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643F4" w14:textId="77777777" w:rsidR="00A13FF9" w:rsidRPr="0013396E" w:rsidRDefault="00A13FF9" w:rsidP="00A13FF9">
      <w:pPr>
        <w:tabs>
          <w:tab w:val="center" w:pos="4680"/>
          <w:tab w:val="left" w:pos="7512"/>
        </w:tabs>
        <w:spacing w:before="2400"/>
        <w:jc w:val="center"/>
        <w:rPr>
          <w:b/>
          <w:sz w:val="36"/>
          <w:szCs w:val="36"/>
        </w:rPr>
      </w:pPr>
      <w:r w:rsidRPr="0013396E">
        <w:rPr>
          <w:b/>
          <w:sz w:val="36"/>
          <w:szCs w:val="36"/>
        </w:rPr>
        <w:t>ERCOT Nodal Protocols</w:t>
      </w:r>
    </w:p>
    <w:p w14:paraId="36D9B425" w14:textId="77777777" w:rsidR="00A13FF9" w:rsidRPr="0013396E" w:rsidRDefault="00A13FF9" w:rsidP="00A13FF9">
      <w:pPr>
        <w:jc w:val="center"/>
        <w:rPr>
          <w:b/>
          <w:sz w:val="36"/>
          <w:szCs w:val="36"/>
        </w:rPr>
      </w:pPr>
    </w:p>
    <w:p w14:paraId="58E0B460" w14:textId="77777777" w:rsidR="00A13FF9" w:rsidRPr="0013396E" w:rsidRDefault="00A13FF9" w:rsidP="00A13FF9">
      <w:pPr>
        <w:jc w:val="center"/>
        <w:rPr>
          <w:b/>
          <w:sz w:val="36"/>
          <w:szCs w:val="36"/>
        </w:rPr>
      </w:pPr>
      <w:r w:rsidRPr="0013396E">
        <w:rPr>
          <w:b/>
          <w:sz w:val="36"/>
          <w:szCs w:val="36"/>
        </w:rPr>
        <w:t xml:space="preserve">Section 6:  Adjustment Period and Real-Time Operations  </w:t>
      </w:r>
    </w:p>
    <w:p w14:paraId="3F74A4E9" w14:textId="77777777" w:rsidR="00A13FF9" w:rsidRPr="0013396E" w:rsidRDefault="00A13FF9" w:rsidP="00A13FF9">
      <w:pPr>
        <w:pStyle w:val="BodyText"/>
        <w:jc w:val="center"/>
        <w:rPr>
          <w:b/>
          <w:szCs w:val="24"/>
        </w:rPr>
      </w:pPr>
    </w:p>
    <w:p w14:paraId="78E756E8" w14:textId="77777777" w:rsidR="00A13FF9" w:rsidRPr="0013396E" w:rsidRDefault="00A13FF9" w:rsidP="00A13FF9">
      <w:pPr>
        <w:pStyle w:val="BodyText"/>
        <w:jc w:val="center"/>
        <w:rPr>
          <w:b/>
          <w:szCs w:val="24"/>
        </w:rPr>
      </w:pPr>
    </w:p>
    <w:p w14:paraId="5DFE016F" w14:textId="1E17BA42" w:rsidR="00A13FF9" w:rsidRPr="0013396E" w:rsidRDefault="00847103" w:rsidP="00A13FF9">
      <w:pPr>
        <w:pStyle w:val="BodyText"/>
        <w:jc w:val="center"/>
        <w:rPr>
          <w:b/>
          <w:szCs w:val="24"/>
        </w:rPr>
      </w:pPr>
      <w:r>
        <w:rPr>
          <w:b/>
          <w:szCs w:val="24"/>
        </w:rPr>
        <w:t>August</w:t>
      </w:r>
      <w:r w:rsidR="00BD31B0">
        <w:rPr>
          <w:b/>
          <w:szCs w:val="24"/>
        </w:rPr>
        <w:t xml:space="preserve"> </w:t>
      </w:r>
      <w:r w:rsidR="00691205">
        <w:rPr>
          <w:b/>
          <w:szCs w:val="24"/>
        </w:rPr>
        <w:t>28</w:t>
      </w:r>
      <w:r w:rsidR="00A13FF9" w:rsidRPr="0013396E">
        <w:rPr>
          <w:b/>
          <w:szCs w:val="24"/>
        </w:rPr>
        <w:t>, 20</w:t>
      </w:r>
      <w:r w:rsidR="00ED4C7D" w:rsidRPr="0013396E">
        <w:rPr>
          <w:b/>
          <w:szCs w:val="24"/>
        </w:rPr>
        <w:t>2</w:t>
      </w:r>
      <w:r w:rsidR="00BD31B0">
        <w:rPr>
          <w:b/>
          <w:szCs w:val="24"/>
        </w:rPr>
        <w:t>6</w:t>
      </w:r>
      <w:r w:rsidR="00735A77" w:rsidRPr="0013396E">
        <w:rPr>
          <w:b/>
          <w:szCs w:val="24"/>
        </w:rPr>
        <w:t xml:space="preserve"> </w:t>
      </w:r>
    </w:p>
    <w:p w14:paraId="7489E29A" w14:textId="77777777" w:rsidR="00A13FF9" w:rsidRPr="0013396E" w:rsidRDefault="00A13FF9" w:rsidP="00A13FF9">
      <w:pPr>
        <w:tabs>
          <w:tab w:val="left" w:pos="675"/>
        </w:tabs>
        <w:spacing w:before="360"/>
        <w:rPr>
          <w:b/>
          <w:bCs/>
          <w:i/>
          <w:iCs/>
        </w:rPr>
      </w:pPr>
    </w:p>
    <w:p w14:paraId="68C721A2" w14:textId="77777777" w:rsidR="00A13FF9" w:rsidRPr="0013396E" w:rsidRDefault="00A13FF9" w:rsidP="00A13FF9">
      <w:pPr>
        <w:pBdr>
          <w:top w:val="single" w:sz="4" w:space="1" w:color="auto"/>
        </w:pBdr>
      </w:pPr>
    </w:p>
    <w:p w14:paraId="3A622F13" w14:textId="77777777" w:rsidR="00A13FF9" w:rsidRPr="0013396E" w:rsidRDefault="00A13FF9" w:rsidP="00A13FF9">
      <w:pPr>
        <w:pBdr>
          <w:top w:val="single" w:sz="4" w:space="1" w:color="auto"/>
        </w:pBdr>
        <w:sectPr w:rsidR="00A13FF9" w:rsidRPr="0013396E" w:rsidSect="0011669A">
          <w:headerReference w:type="default" r:id="rId8"/>
          <w:footerReference w:type="even" r:id="rId9"/>
          <w:footerReference w:type="default" r:id="rId10"/>
          <w:pgSz w:w="12240" w:h="15840" w:code="1"/>
          <w:pgMar w:top="1440" w:right="1440" w:bottom="1440" w:left="1440" w:header="720" w:footer="720" w:gutter="0"/>
          <w:pgNumType w:start="1"/>
          <w:cols w:space="720"/>
        </w:sectPr>
      </w:pPr>
    </w:p>
    <w:p w14:paraId="4EF25FCB" w14:textId="6DF4AA36" w:rsidR="009334EF" w:rsidRDefault="00A1378D">
      <w:pPr>
        <w:pStyle w:val="TOC1"/>
        <w:rPr>
          <w:rFonts w:asciiTheme="minorHAnsi" w:eastAsiaTheme="minorEastAsia" w:hAnsiTheme="minorHAnsi" w:cstheme="minorBidi"/>
          <w:b w:val="0"/>
          <w:bCs w:val="0"/>
          <w:kern w:val="2"/>
          <w:szCs w:val="24"/>
          <w14:ligatures w14:val="standardContextual"/>
        </w:rPr>
      </w:pPr>
      <w:r w:rsidRPr="0013396E">
        <w:rPr>
          <w:sz w:val="20"/>
        </w:rPr>
        <w:lastRenderedPageBreak/>
        <w:fldChar w:fldCharType="begin"/>
      </w:r>
      <w:r w:rsidR="00A13FF9" w:rsidRPr="0013396E">
        <w:rPr>
          <w:sz w:val="20"/>
        </w:rPr>
        <w:instrText xml:space="preserve"> TOC \o "1-5" \h \z \u </w:instrText>
      </w:r>
      <w:r w:rsidRPr="0013396E">
        <w:rPr>
          <w:sz w:val="20"/>
        </w:rPr>
        <w:fldChar w:fldCharType="separate"/>
      </w:r>
      <w:hyperlink w:anchor="_Toc236220065" w:history="1">
        <w:r w:rsidR="009334EF" w:rsidRPr="000E1A55">
          <w:rPr>
            <w:rStyle w:val="Hyperlink"/>
          </w:rPr>
          <w:t>6</w:t>
        </w:r>
        <w:r w:rsidR="009334EF">
          <w:rPr>
            <w:rFonts w:asciiTheme="minorHAnsi" w:eastAsiaTheme="minorEastAsia" w:hAnsiTheme="minorHAnsi" w:cstheme="minorBidi"/>
            <w:b w:val="0"/>
            <w:bCs w:val="0"/>
            <w:kern w:val="2"/>
            <w:szCs w:val="24"/>
            <w14:ligatures w14:val="standardContextual"/>
          </w:rPr>
          <w:tab/>
        </w:r>
        <w:r w:rsidR="009334EF" w:rsidRPr="000E1A55">
          <w:rPr>
            <w:rStyle w:val="Hyperlink"/>
          </w:rPr>
          <w:t>Adjustment Period and Real-Time Operations</w:t>
        </w:r>
        <w:r w:rsidR="009334EF">
          <w:rPr>
            <w:webHidden/>
          </w:rPr>
          <w:tab/>
        </w:r>
        <w:r w:rsidR="009334EF">
          <w:rPr>
            <w:webHidden/>
          </w:rPr>
          <w:fldChar w:fldCharType="begin"/>
        </w:r>
        <w:r w:rsidR="009334EF">
          <w:rPr>
            <w:webHidden/>
          </w:rPr>
          <w:instrText xml:space="preserve"> PAGEREF _Toc236220065 \h </w:instrText>
        </w:r>
        <w:r w:rsidR="009334EF">
          <w:rPr>
            <w:webHidden/>
          </w:rPr>
        </w:r>
        <w:r w:rsidR="009334EF">
          <w:rPr>
            <w:webHidden/>
          </w:rPr>
          <w:fldChar w:fldCharType="separate"/>
        </w:r>
        <w:r w:rsidR="00464A0C">
          <w:rPr>
            <w:webHidden/>
          </w:rPr>
          <w:t>6-1</w:t>
        </w:r>
        <w:r w:rsidR="009334EF">
          <w:rPr>
            <w:webHidden/>
          </w:rPr>
          <w:fldChar w:fldCharType="end"/>
        </w:r>
      </w:hyperlink>
    </w:p>
    <w:p w14:paraId="4351D82C" w14:textId="72A87B62" w:rsidR="009334EF" w:rsidRPr="009334EF" w:rsidRDefault="009334EF">
      <w:pPr>
        <w:pStyle w:val="TOC2"/>
        <w:rPr>
          <w:rFonts w:eastAsiaTheme="minorEastAsia"/>
          <w:noProof/>
          <w:kern w:val="2"/>
          <w14:ligatures w14:val="standardContextual"/>
        </w:rPr>
      </w:pPr>
      <w:hyperlink w:anchor="_Toc236220066" w:history="1">
        <w:r w:rsidRPr="009334EF">
          <w:rPr>
            <w:rStyle w:val="Hyperlink"/>
            <w:noProof/>
            <w:u w:val="none"/>
          </w:rPr>
          <w:t>6.1</w:t>
        </w:r>
        <w:r w:rsidRPr="009334EF">
          <w:rPr>
            <w:rFonts w:eastAsiaTheme="minorEastAsia"/>
            <w:noProof/>
            <w:kern w:val="2"/>
            <w14:ligatures w14:val="standardContextual"/>
          </w:rPr>
          <w:tab/>
        </w:r>
        <w:r w:rsidRPr="009334EF">
          <w:rPr>
            <w:rStyle w:val="Hyperlink"/>
            <w:noProof/>
            <w:u w:val="none"/>
          </w:rPr>
          <w:t>Introduction</w:t>
        </w:r>
        <w:r w:rsidRPr="009334EF">
          <w:rPr>
            <w:noProof/>
            <w:webHidden/>
          </w:rPr>
          <w:tab/>
        </w:r>
        <w:r w:rsidRPr="009334EF">
          <w:rPr>
            <w:noProof/>
            <w:webHidden/>
          </w:rPr>
          <w:fldChar w:fldCharType="begin"/>
        </w:r>
        <w:r w:rsidRPr="009334EF">
          <w:rPr>
            <w:noProof/>
            <w:webHidden/>
          </w:rPr>
          <w:instrText xml:space="preserve"> PAGEREF _Toc236220066 \h </w:instrText>
        </w:r>
        <w:r w:rsidRPr="009334EF">
          <w:rPr>
            <w:noProof/>
            <w:webHidden/>
          </w:rPr>
        </w:r>
        <w:r w:rsidRPr="009334EF">
          <w:rPr>
            <w:noProof/>
            <w:webHidden/>
          </w:rPr>
          <w:fldChar w:fldCharType="separate"/>
        </w:r>
        <w:r w:rsidR="00464A0C">
          <w:rPr>
            <w:noProof/>
            <w:webHidden/>
          </w:rPr>
          <w:t>6-1</w:t>
        </w:r>
        <w:r w:rsidRPr="009334EF">
          <w:rPr>
            <w:noProof/>
            <w:webHidden/>
          </w:rPr>
          <w:fldChar w:fldCharType="end"/>
        </w:r>
      </w:hyperlink>
    </w:p>
    <w:p w14:paraId="35DED944" w14:textId="2D875C3E" w:rsidR="009334EF" w:rsidRPr="009334EF" w:rsidRDefault="009334EF">
      <w:pPr>
        <w:pStyle w:val="TOC2"/>
        <w:rPr>
          <w:rFonts w:eastAsiaTheme="minorEastAsia"/>
          <w:noProof/>
          <w:kern w:val="2"/>
          <w14:ligatures w14:val="standardContextual"/>
        </w:rPr>
      </w:pPr>
      <w:hyperlink w:anchor="_Toc236220067" w:history="1">
        <w:r w:rsidRPr="009334EF">
          <w:rPr>
            <w:rStyle w:val="Hyperlink"/>
            <w:noProof/>
            <w:u w:val="none"/>
          </w:rPr>
          <w:t>6.2</w:t>
        </w:r>
        <w:r w:rsidRPr="009334EF">
          <w:rPr>
            <w:rFonts w:eastAsiaTheme="minorEastAsia"/>
            <w:noProof/>
            <w:kern w:val="2"/>
            <w14:ligatures w14:val="standardContextual"/>
          </w:rPr>
          <w:tab/>
        </w:r>
        <w:r w:rsidRPr="009334EF">
          <w:rPr>
            <w:rStyle w:val="Hyperlink"/>
            <w:noProof/>
            <w:u w:val="none"/>
          </w:rPr>
          <w:t>Market Timeline Summary</w:t>
        </w:r>
        <w:r w:rsidRPr="009334EF">
          <w:rPr>
            <w:noProof/>
            <w:webHidden/>
          </w:rPr>
          <w:tab/>
        </w:r>
        <w:r w:rsidRPr="009334EF">
          <w:rPr>
            <w:noProof/>
            <w:webHidden/>
          </w:rPr>
          <w:fldChar w:fldCharType="begin"/>
        </w:r>
        <w:r w:rsidRPr="009334EF">
          <w:rPr>
            <w:noProof/>
            <w:webHidden/>
          </w:rPr>
          <w:instrText xml:space="preserve"> PAGEREF _Toc236220067 \h </w:instrText>
        </w:r>
        <w:r w:rsidRPr="009334EF">
          <w:rPr>
            <w:noProof/>
            <w:webHidden/>
          </w:rPr>
        </w:r>
        <w:r w:rsidRPr="009334EF">
          <w:rPr>
            <w:noProof/>
            <w:webHidden/>
          </w:rPr>
          <w:fldChar w:fldCharType="separate"/>
        </w:r>
        <w:r w:rsidR="00464A0C">
          <w:rPr>
            <w:noProof/>
            <w:webHidden/>
          </w:rPr>
          <w:t>6-2</w:t>
        </w:r>
        <w:r w:rsidRPr="009334EF">
          <w:rPr>
            <w:noProof/>
            <w:webHidden/>
          </w:rPr>
          <w:fldChar w:fldCharType="end"/>
        </w:r>
      </w:hyperlink>
    </w:p>
    <w:p w14:paraId="4141D1E8" w14:textId="0FDF5D12" w:rsidR="009334EF" w:rsidRPr="009334EF" w:rsidRDefault="009334EF">
      <w:pPr>
        <w:pStyle w:val="TOC2"/>
        <w:rPr>
          <w:rFonts w:eastAsiaTheme="minorEastAsia"/>
          <w:noProof/>
          <w:kern w:val="2"/>
          <w14:ligatures w14:val="standardContextual"/>
        </w:rPr>
      </w:pPr>
      <w:hyperlink w:anchor="_Toc236220068" w:history="1">
        <w:r w:rsidRPr="009334EF">
          <w:rPr>
            <w:rStyle w:val="Hyperlink"/>
            <w:noProof/>
            <w:u w:val="none"/>
          </w:rPr>
          <w:t>6.3</w:t>
        </w:r>
        <w:r w:rsidRPr="009334EF">
          <w:rPr>
            <w:rFonts w:eastAsiaTheme="minorEastAsia"/>
            <w:noProof/>
            <w:kern w:val="2"/>
            <w14:ligatures w14:val="standardContextual"/>
          </w:rPr>
          <w:tab/>
        </w:r>
        <w:r w:rsidRPr="009334EF">
          <w:rPr>
            <w:rStyle w:val="Hyperlink"/>
            <w:noProof/>
            <w:u w:val="none"/>
          </w:rPr>
          <w:t>Adjustment Period and Real-Time Operations Timeline</w:t>
        </w:r>
        <w:r w:rsidRPr="009334EF">
          <w:rPr>
            <w:noProof/>
            <w:webHidden/>
          </w:rPr>
          <w:tab/>
        </w:r>
        <w:r w:rsidRPr="009334EF">
          <w:rPr>
            <w:noProof/>
            <w:webHidden/>
          </w:rPr>
          <w:fldChar w:fldCharType="begin"/>
        </w:r>
        <w:r w:rsidRPr="009334EF">
          <w:rPr>
            <w:noProof/>
            <w:webHidden/>
          </w:rPr>
          <w:instrText xml:space="preserve"> PAGEREF _Toc236220068 \h </w:instrText>
        </w:r>
        <w:r w:rsidRPr="009334EF">
          <w:rPr>
            <w:noProof/>
            <w:webHidden/>
          </w:rPr>
        </w:r>
        <w:r w:rsidRPr="009334EF">
          <w:rPr>
            <w:noProof/>
            <w:webHidden/>
          </w:rPr>
          <w:fldChar w:fldCharType="separate"/>
        </w:r>
        <w:r w:rsidR="00464A0C">
          <w:rPr>
            <w:noProof/>
            <w:webHidden/>
          </w:rPr>
          <w:t>6-3</w:t>
        </w:r>
        <w:r w:rsidRPr="009334EF">
          <w:rPr>
            <w:noProof/>
            <w:webHidden/>
          </w:rPr>
          <w:fldChar w:fldCharType="end"/>
        </w:r>
      </w:hyperlink>
    </w:p>
    <w:p w14:paraId="151E80B5" w14:textId="760B4C7C" w:rsidR="009334EF" w:rsidRPr="009334EF" w:rsidRDefault="009334EF">
      <w:pPr>
        <w:pStyle w:val="TOC3"/>
        <w:rPr>
          <w:rFonts w:eastAsiaTheme="minorEastAsia"/>
          <w:i w:val="0"/>
          <w:iCs w:val="0"/>
          <w:kern w:val="2"/>
          <w14:ligatures w14:val="standardContextual"/>
        </w:rPr>
      </w:pPr>
      <w:hyperlink w:anchor="_Toc236220069" w:history="1">
        <w:r w:rsidRPr="009334EF">
          <w:rPr>
            <w:rStyle w:val="Hyperlink"/>
            <w:i w:val="0"/>
            <w:iCs w:val="0"/>
            <w:u w:val="none"/>
          </w:rPr>
          <w:t>6.3.1</w:t>
        </w:r>
        <w:r w:rsidRPr="009334EF">
          <w:rPr>
            <w:rFonts w:eastAsiaTheme="minorEastAsia"/>
            <w:i w:val="0"/>
            <w:iCs w:val="0"/>
            <w:kern w:val="2"/>
            <w14:ligatures w14:val="standardContextual"/>
          </w:rPr>
          <w:tab/>
        </w:r>
        <w:r w:rsidRPr="009334EF">
          <w:rPr>
            <w:rStyle w:val="Hyperlink"/>
            <w:i w:val="0"/>
            <w:iCs w:val="0"/>
            <w:u w:val="none"/>
          </w:rPr>
          <w:t>Activities for the Adjustment Period</w:t>
        </w:r>
        <w:r w:rsidRPr="009334EF">
          <w:rPr>
            <w:i w:val="0"/>
            <w:iCs w:val="0"/>
            <w:webHidden/>
          </w:rPr>
          <w:tab/>
        </w:r>
        <w:r w:rsidRPr="009334EF">
          <w:rPr>
            <w:i w:val="0"/>
            <w:iCs w:val="0"/>
            <w:webHidden/>
          </w:rPr>
          <w:fldChar w:fldCharType="begin"/>
        </w:r>
        <w:r w:rsidRPr="009334EF">
          <w:rPr>
            <w:i w:val="0"/>
            <w:iCs w:val="0"/>
            <w:webHidden/>
          </w:rPr>
          <w:instrText xml:space="preserve"> PAGEREF _Toc236220069 \h </w:instrText>
        </w:r>
        <w:r w:rsidRPr="009334EF">
          <w:rPr>
            <w:i w:val="0"/>
            <w:iCs w:val="0"/>
            <w:webHidden/>
          </w:rPr>
        </w:r>
        <w:r w:rsidRPr="009334EF">
          <w:rPr>
            <w:i w:val="0"/>
            <w:iCs w:val="0"/>
            <w:webHidden/>
          </w:rPr>
          <w:fldChar w:fldCharType="separate"/>
        </w:r>
        <w:r w:rsidR="00464A0C">
          <w:rPr>
            <w:i w:val="0"/>
            <w:iCs w:val="0"/>
            <w:webHidden/>
          </w:rPr>
          <w:t>6-7</w:t>
        </w:r>
        <w:r w:rsidRPr="009334EF">
          <w:rPr>
            <w:i w:val="0"/>
            <w:iCs w:val="0"/>
            <w:webHidden/>
          </w:rPr>
          <w:fldChar w:fldCharType="end"/>
        </w:r>
      </w:hyperlink>
    </w:p>
    <w:p w14:paraId="4E3C67E9" w14:textId="354F542D" w:rsidR="009334EF" w:rsidRPr="009334EF" w:rsidRDefault="009334EF">
      <w:pPr>
        <w:pStyle w:val="TOC3"/>
        <w:rPr>
          <w:rFonts w:eastAsiaTheme="minorEastAsia"/>
          <w:i w:val="0"/>
          <w:iCs w:val="0"/>
          <w:kern w:val="2"/>
          <w14:ligatures w14:val="standardContextual"/>
        </w:rPr>
      </w:pPr>
      <w:hyperlink w:anchor="_Toc236220070" w:history="1">
        <w:r w:rsidRPr="009334EF">
          <w:rPr>
            <w:rStyle w:val="Hyperlink"/>
            <w:i w:val="0"/>
            <w:iCs w:val="0"/>
            <w:u w:val="none"/>
          </w:rPr>
          <w:t>6.3.2</w:t>
        </w:r>
        <w:r w:rsidRPr="009334EF">
          <w:rPr>
            <w:rFonts w:eastAsiaTheme="minorEastAsia"/>
            <w:i w:val="0"/>
            <w:iCs w:val="0"/>
            <w:kern w:val="2"/>
            <w14:ligatures w14:val="standardContextual"/>
          </w:rPr>
          <w:tab/>
        </w:r>
        <w:r w:rsidRPr="009334EF">
          <w:rPr>
            <w:rStyle w:val="Hyperlink"/>
            <w:i w:val="0"/>
            <w:iCs w:val="0"/>
            <w:u w:val="none"/>
          </w:rPr>
          <w:t>Activities for Real-Time Operations</w:t>
        </w:r>
        <w:r w:rsidRPr="009334EF">
          <w:rPr>
            <w:i w:val="0"/>
            <w:iCs w:val="0"/>
            <w:webHidden/>
          </w:rPr>
          <w:tab/>
        </w:r>
        <w:r w:rsidRPr="009334EF">
          <w:rPr>
            <w:i w:val="0"/>
            <w:iCs w:val="0"/>
            <w:webHidden/>
          </w:rPr>
          <w:fldChar w:fldCharType="begin"/>
        </w:r>
        <w:r w:rsidRPr="009334EF">
          <w:rPr>
            <w:i w:val="0"/>
            <w:iCs w:val="0"/>
            <w:webHidden/>
          </w:rPr>
          <w:instrText xml:space="preserve"> PAGEREF _Toc236220070 \h </w:instrText>
        </w:r>
        <w:r w:rsidRPr="009334EF">
          <w:rPr>
            <w:i w:val="0"/>
            <w:iCs w:val="0"/>
            <w:webHidden/>
          </w:rPr>
        </w:r>
        <w:r w:rsidRPr="009334EF">
          <w:rPr>
            <w:i w:val="0"/>
            <w:iCs w:val="0"/>
            <w:webHidden/>
          </w:rPr>
          <w:fldChar w:fldCharType="separate"/>
        </w:r>
        <w:r w:rsidR="00464A0C">
          <w:rPr>
            <w:i w:val="0"/>
            <w:iCs w:val="0"/>
            <w:webHidden/>
          </w:rPr>
          <w:t>6-9</w:t>
        </w:r>
        <w:r w:rsidRPr="009334EF">
          <w:rPr>
            <w:i w:val="0"/>
            <w:iCs w:val="0"/>
            <w:webHidden/>
          </w:rPr>
          <w:fldChar w:fldCharType="end"/>
        </w:r>
      </w:hyperlink>
    </w:p>
    <w:p w14:paraId="7E6B2C68" w14:textId="78E003CD" w:rsidR="009334EF" w:rsidRPr="009334EF" w:rsidRDefault="009334EF">
      <w:pPr>
        <w:pStyle w:val="TOC3"/>
        <w:rPr>
          <w:rFonts w:eastAsiaTheme="minorEastAsia"/>
          <w:i w:val="0"/>
          <w:iCs w:val="0"/>
          <w:kern w:val="2"/>
          <w14:ligatures w14:val="standardContextual"/>
        </w:rPr>
      </w:pPr>
      <w:hyperlink w:anchor="_Toc236220071" w:history="1">
        <w:r w:rsidRPr="009334EF">
          <w:rPr>
            <w:rStyle w:val="Hyperlink"/>
            <w:i w:val="0"/>
            <w:iCs w:val="0"/>
            <w:u w:val="none"/>
          </w:rPr>
          <w:t>6.3.3</w:t>
        </w:r>
        <w:r w:rsidRPr="009334EF">
          <w:rPr>
            <w:rFonts w:eastAsiaTheme="minorEastAsia"/>
            <w:i w:val="0"/>
            <w:iCs w:val="0"/>
            <w:kern w:val="2"/>
            <w14:ligatures w14:val="standardContextual"/>
          </w:rPr>
          <w:tab/>
        </w:r>
        <w:r w:rsidRPr="009334EF">
          <w:rPr>
            <w:rStyle w:val="Hyperlink"/>
            <w:i w:val="0"/>
            <w:iCs w:val="0"/>
            <w:u w:val="none"/>
          </w:rPr>
          <w:t>Real-Time Timeline Deviations</w:t>
        </w:r>
        <w:r w:rsidRPr="009334EF">
          <w:rPr>
            <w:i w:val="0"/>
            <w:iCs w:val="0"/>
            <w:webHidden/>
          </w:rPr>
          <w:tab/>
        </w:r>
        <w:r w:rsidRPr="009334EF">
          <w:rPr>
            <w:i w:val="0"/>
            <w:iCs w:val="0"/>
            <w:webHidden/>
          </w:rPr>
          <w:fldChar w:fldCharType="begin"/>
        </w:r>
        <w:r w:rsidRPr="009334EF">
          <w:rPr>
            <w:i w:val="0"/>
            <w:iCs w:val="0"/>
            <w:webHidden/>
          </w:rPr>
          <w:instrText xml:space="preserve"> PAGEREF _Toc236220071 \h </w:instrText>
        </w:r>
        <w:r w:rsidRPr="009334EF">
          <w:rPr>
            <w:i w:val="0"/>
            <w:iCs w:val="0"/>
            <w:webHidden/>
          </w:rPr>
        </w:r>
        <w:r w:rsidRPr="009334EF">
          <w:rPr>
            <w:i w:val="0"/>
            <w:iCs w:val="0"/>
            <w:webHidden/>
          </w:rPr>
          <w:fldChar w:fldCharType="separate"/>
        </w:r>
        <w:r w:rsidR="00464A0C">
          <w:rPr>
            <w:i w:val="0"/>
            <w:iCs w:val="0"/>
            <w:webHidden/>
          </w:rPr>
          <w:t>6-17</w:t>
        </w:r>
        <w:r w:rsidRPr="009334EF">
          <w:rPr>
            <w:i w:val="0"/>
            <w:iCs w:val="0"/>
            <w:webHidden/>
          </w:rPr>
          <w:fldChar w:fldCharType="end"/>
        </w:r>
      </w:hyperlink>
    </w:p>
    <w:p w14:paraId="70939F05" w14:textId="5BCC233E" w:rsidR="009334EF" w:rsidRPr="009334EF" w:rsidRDefault="009334EF">
      <w:pPr>
        <w:pStyle w:val="TOC3"/>
        <w:rPr>
          <w:rFonts w:eastAsiaTheme="minorEastAsia"/>
          <w:i w:val="0"/>
          <w:iCs w:val="0"/>
          <w:kern w:val="2"/>
          <w14:ligatures w14:val="standardContextual"/>
        </w:rPr>
      </w:pPr>
      <w:hyperlink w:anchor="_Toc236220072" w:history="1">
        <w:r w:rsidRPr="009334EF">
          <w:rPr>
            <w:rStyle w:val="Hyperlink"/>
            <w:i w:val="0"/>
            <w:iCs w:val="0"/>
            <w:u w:val="none"/>
          </w:rPr>
          <w:t>6.3.4</w:t>
        </w:r>
        <w:r w:rsidRPr="009334EF">
          <w:rPr>
            <w:rFonts w:eastAsiaTheme="minorEastAsia"/>
            <w:i w:val="0"/>
            <w:iCs w:val="0"/>
            <w:kern w:val="2"/>
            <w14:ligatures w14:val="standardContextual"/>
          </w:rPr>
          <w:tab/>
        </w:r>
        <w:r w:rsidRPr="009334EF">
          <w:rPr>
            <w:rStyle w:val="Hyperlink"/>
            <w:i w:val="0"/>
            <w:iCs w:val="0"/>
            <w:u w:val="none"/>
          </w:rPr>
          <w:t>ERCOT Notification of Validation Rules for Real-Time</w:t>
        </w:r>
        <w:r w:rsidRPr="009334EF">
          <w:rPr>
            <w:i w:val="0"/>
            <w:iCs w:val="0"/>
            <w:webHidden/>
          </w:rPr>
          <w:tab/>
        </w:r>
        <w:r w:rsidRPr="009334EF">
          <w:rPr>
            <w:i w:val="0"/>
            <w:iCs w:val="0"/>
            <w:webHidden/>
          </w:rPr>
          <w:fldChar w:fldCharType="begin"/>
        </w:r>
        <w:r w:rsidRPr="009334EF">
          <w:rPr>
            <w:i w:val="0"/>
            <w:iCs w:val="0"/>
            <w:webHidden/>
          </w:rPr>
          <w:instrText xml:space="preserve"> PAGEREF _Toc236220072 \h </w:instrText>
        </w:r>
        <w:r w:rsidRPr="009334EF">
          <w:rPr>
            <w:i w:val="0"/>
            <w:iCs w:val="0"/>
            <w:webHidden/>
          </w:rPr>
        </w:r>
        <w:r w:rsidRPr="009334EF">
          <w:rPr>
            <w:i w:val="0"/>
            <w:iCs w:val="0"/>
            <w:webHidden/>
          </w:rPr>
          <w:fldChar w:fldCharType="separate"/>
        </w:r>
        <w:r w:rsidR="00464A0C">
          <w:rPr>
            <w:i w:val="0"/>
            <w:iCs w:val="0"/>
            <w:webHidden/>
          </w:rPr>
          <w:t>6-17</w:t>
        </w:r>
        <w:r w:rsidRPr="009334EF">
          <w:rPr>
            <w:i w:val="0"/>
            <w:iCs w:val="0"/>
            <w:webHidden/>
          </w:rPr>
          <w:fldChar w:fldCharType="end"/>
        </w:r>
      </w:hyperlink>
    </w:p>
    <w:p w14:paraId="6A486BCA" w14:textId="1F9EE606" w:rsidR="009334EF" w:rsidRPr="009334EF" w:rsidRDefault="009334EF">
      <w:pPr>
        <w:pStyle w:val="TOC2"/>
        <w:rPr>
          <w:rFonts w:eastAsiaTheme="minorEastAsia"/>
          <w:noProof/>
          <w:kern w:val="2"/>
          <w14:ligatures w14:val="standardContextual"/>
        </w:rPr>
      </w:pPr>
      <w:hyperlink w:anchor="_Toc236220073" w:history="1">
        <w:r w:rsidRPr="009334EF">
          <w:rPr>
            <w:rStyle w:val="Hyperlink"/>
            <w:noProof/>
            <w:u w:val="none"/>
          </w:rPr>
          <w:t>6.4</w:t>
        </w:r>
        <w:r w:rsidRPr="009334EF">
          <w:rPr>
            <w:rFonts w:eastAsiaTheme="minorEastAsia"/>
            <w:noProof/>
            <w:kern w:val="2"/>
            <w14:ligatures w14:val="standardContextual"/>
          </w:rPr>
          <w:tab/>
        </w:r>
        <w:r w:rsidRPr="009334EF">
          <w:rPr>
            <w:rStyle w:val="Hyperlink"/>
            <w:noProof/>
            <w:u w:val="none"/>
          </w:rPr>
          <w:t>Adjustment Period</w:t>
        </w:r>
        <w:r w:rsidRPr="009334EF">
          <w:rPr>
            <w:noProof/>
            <w:webHidden/>
          </w:rPr>
          <w:tab/>
        </w:r>
        <w:r w:rsidRPr="009334EF">
          <w:rPr>
            <w:noProof/>
            <w:webHidden/>
          </w:rPr>
          <w:fldChar w:fldCharType="begin"/>
        </w:r>
        <w:r w:rsidRPr="009334EF">
          <w:rPr>
            <w:noProof/>
            <w:webHidden/>
          </w:rPr>
          <w:instrText xml:space="preserve"> PAGEREF _Toc236220073 \h </w:instrText>
        </w:r>
        <w:r w:rsidRPr="009334EF">
          <w:rPr>
            <w:noProof/>
            <w:webHidden/>
          </w:rPr>
        </w:r>
        <w:r w:rsidRPr="009334EF">
          <w:rPr>
            <w:noProof/>
            <w:webHidden/>
          </w:rPr>
          <w:fldChar w:fldCharType="separate"/>
        </w:r>
        <w:r w:rsidR="00464A0C">
          <w:rPr>
            <w:noProof/>
            <w:webHidden/>
          </w:rPr>
          <w:t>6-17</w:t>
        </w:r>
        <w:r w:rsidRPr="009334EF">
          <w:rPr>
            <w:noProof/>
            <w:webHidden/>
          </w:rPr>
          <w:fldChar w:fldCharType="end"/>
        </w:r>
      </w:hyperlink>
    </w:p>
    <w:p w14:paraId="775C10A7" w14:textId="0E9E1220" w:rsidR="009334EF" w:rsidRPr="009334EF" w:rsidRDefault="009334EF">
      <w:pPr>
        <w:pStyle w:val="TOC3"/>
        <w:rPr>
          <w:rFonts w:eastAsiaTheme="minorEastAsia"/>
          <w:i w:val="0"/>
          <w:iCs w:val="0"/>
          <w:kern w:val="2"/>
          <w14:ligatures w14:val="standardContextual"/>
        </w:rPr>
      </w:pPr>
      <w:hyperlink w:anchor="_Toc236220074" w:history="1">
        <w:r w:rsidRPr="009334EF">
          <w:rPr>
            <w:rStyle w:val="Hyperlink"/>
            <w:i w:val="0"/>
            <w:iCs w:val="0"/>
            <w:u w:val="none"/>
          </w:rPr>
          <w:t>6.4.1</w:t>
        </w:r>
        <w:r w:rsidRPr="009334EF">
          <w:rPr>
            <w:rFonts w:eastAsiaTheme="minorEastAsia"/>
            <w:i w:val="0"/>
            <w:iCs w:val="0"/>
            <w:kern w:val="2"/>
            <w14:ligatures w14:val="standardContextual"/>
          </w:rPr>
          <w:tab/>
        </w:r>
        <w:r w:rsidRPr="009334EF">
          <w:rPr>
            <w:rStyle w:val="Hyperlink"/>
            <w:i w:val="0"/>
            <w:iCs w:val="0"/>
            <w:u w:val="none"/>
          </w:rPr>
          <w:t>Capacity Trade, Energy Trade, Self-Schedule, and Ancillary Service Trades</w:t>
        </w:r>
        <w:r w:rsidRPr="009334EF">
          <w:rPr>
            <w:i w:val="0"/>
            <w:iCs w:val="0"/>
            <w:webHidden/>
          </w:rPr>
          <w:tab/>
        </w:r>
        <w:r w:rsidRPr="009334EF">
          <w:rPr>
            <w:i w:val="0"/>
            <w:iCs w:val="0"/>
            <w:webHidden/>
          </w:rPr>
          <w:fldChar w:fldCharType="begin"/>
        </w:r>
        <w:r w:rsidRPr="009334EF">
          <w:rPr>
            <w:i w:val="0"/>
            <w:iCs w:val="0"/>
            <w:webHidden/>
          </w:rPr>
          <w:instrText xml:space="preserve"> PAGEREF _Toc236220074 \h </w:instrText>
        </w:r>
        <w:r w:rsidRPr="009334EF">
          <w:rPr>
            <w:i w:val="0"/>
            <w:iCs w:val="0"/>
            <w:webHidden/>
          </w:rPr>
        </w:r>
        <w:r w:rsidRPr="009334EF">
          <w:rPr>
            <w:i w:val="0"/>
            <w:iCs w:val="0"/>
            <w:webHidden/>
          </w:rPr>
          <w:fldChar w:fldCharType="separate"/>
        </w:r>
        <w:r w:rsidR="00464A0C">
          <w:rPr>
            <w:i w:val="0"/>
            <w:iCs w:val="0"/>
            <w:webHidden/>
          </w:rPr>
          <w:t>6-17</w:t>
        </w:r>
        <w:r w:rsidRPr="009334EF">
          <w:rPr>
            <w:i w:val="0"/>
            <w:iCs w:val="0"/>
            <w:webHidden/>
          </w:rPr>
          <w:fldChar w:fldCharType="end"/>
        </w:r>
      </w:hyperlink>
    </w:p>
    <w:p w14:paraId="21F7C291" w14:textId="0A33ACF7" w:rsidR="009334EF" w:rsidRPr="009334EF" w:rsidRDefault="009334EF">
      <w:pPr>
        <w:pStyle w:val="TOC3"/>
        <w:rPr>
          <w:rFonts w:eastAsiaTheme="minorEastAsia"/>
          <w:i w:val="0"/>
          <w:iCs w:val="0"/>
          <w:kern w:val="2"/>
          <w14:ligatures w14:val="standardContextual"/>
        </w:rPr>
      </w:pPr>
      <w:hyperlink w:anchor="_Toc236220075" w:history="1">
        <w:r w:rsidRPr="009334EF">
          <w:rPr>
            <w:rStyle w:val="Hyperlink"/>
            <w:i w:val="0"/>
            <w:iCs w:val="0"/>
            <w:u w:val="none"/>
          </w:rPr>
          <w:t>6.4.2</w:t>
        </w:r>
        <w:r w:rsidRPr="009334EF">
          <w:rPr>
            <w:rFonts w:eastAsiaTheme="minorEastAsia"/>
            <w:i w:val="0"/>
            <w:iCs w:val="0"/>
            <w:kern w:val="2"/>
            <w14:ligatures w14:val="standardContextual"/>
          </w:rPr>
          <w:tab/>
        </w:r>
        <w:r w:rsidRPr="009334EF">
          <w:rPr>
            <w:rStyle w:val="Hyperlink"/>
            <w:i w:val="0"/>
            <w:iCs w:val="0"/>
            <w:u w:val="none"/>
          </w:rPr>
          <w:t>Output Schedules</w:t>
        </w:r>
        <w:r w:rsidRPr="009334EF">
          <w:rPr>
            <w:i w:val="0"/>
            <w:iCs w:val="0"/>
            <w:webHidden/>
          </w:rPr>
          <w:tab/>
        </w:r>
        <w:r w:rsidRPr="009334EF">
          <w:rPr>
            <w:i w:val="0"/>
            <w:iCs w:val="0"/>
            <w:webHidden/>
          </w:rPr>
          <w:fldChar w:fldCharType="begin"/>
        </w:r>
        <w:r w:rsidRPr="009334EF">
          <w:rPr>
            <w:i w:val="0"/>
            <w:iCs w:val="0"/>
            <w:webHidden/>
          </w:rPr>
          <w:instrText xml:space="preserve"> PAGEREF _Toc236220075 \h </w:instrText>
        </w:r>
        <w:r w:rsidRPr="009334EF">
          <w:rPr>
            <w:i w:val="0"/>
            <w:iCs w:val="0"/>
            <w:webHidden/>
          </w:rPr>
        </w:r>
        <w:r w:rsidRPr="009334EF">
          <w:rPr>
            <w:i w:val="0"/>
            <w:iCs w:val="0"/>
            <w:webHidden/>
          </w:rPr>
          <w:fldChar w:fldCharType="separate"/>
        </w:r>
        <w:r w:rsidR="00464A0C">
          <w:rPr>
            <w:i w:val="0"/>
            <w:iCs w:val="0"/>
            <w:webHidden/>
          </w:rPr>
          <w:t>6-18</w:t>
        </w:r>
        <w:r w:rsidRPr="009334EF">
          <w:rPr>
            <w:i w:val="0"/>
            <w:iCs w:val="0"/>
            <w:webHidden/>
          </w:rPr>
          <w:fldChar w:fldCharType="end"/>
        </w:r>
      </w:hyperlink>
    </w:p>
    <w:p w14:paraId="38EFFDBB" w14:textId="145EA7F4" w:rsidR="009334EF" w:rsidRPr="009334EF" w:rsidRDefault="009334EF">
      <w:pPr>
        <w:pStyle w:val="TOC4"/>
        <w:rPr>
          <w:rFonts w:eastAsiaTheme="minorEastAsia"/>
          <w:kern w:val="2"/>
          <w:lang w:val="en-US"/>
          <w14:ligatures w14:val="standardContextual"/>
        </w:rPr>
      </w:pPr>
      <w:hyperlink w:anchor="_Toc236220076" w:history="1">
        <w:r w:rsidRPr="009334EF">
          <w:rPr>
            <w:rStyle w:val="Hyperlink"/>
            <w:u w:val="none"/>
          </w:rPr>
          <w:t>6.4.2.1</w:t>
        </w:r>
        <w:r w:rsidRPr="009334EF">
          <w:rPr>
            <w:rFonts w:eastAsiaTheme="minorEastAsia"/>
            <w:kern w:val="2"/>
            <w:lang w:val="en-US"/>
            <w14:ligatures w14:val="standardContextual"/>
          </w:rPr>
          <w:tab/>
        </w:r>
        <w:r w:rsidRPr="009334EF">
          <w:rPr>
            <w:rStyle w:val="Hyperlink"/>
            <w:u w:val="none"/>
          </w:rPr>
          <w:t>Output Schedules for Resources</w:t>
        </w:r>
        <w:r w:rsidRPr="009334EF">
          <w:rPr>
            <w:webHidden/>
          </w:rPr>
          <w:tab/>
        </w:r>
        <w:r w:rsidRPr="009334EF">
          <w:rPr>
            <w:webHidden/>
          </w:rPr>
          <w:fldChar w:fldCharType="begin"/>
        </w:r>
        <w:r w:rsidRPr="009334EF">
          <w:rPr>
            <w:webHidden/>
          </w:rPr>
          <w:instrText xml:space="preserve"> PAGEREF _Toc236220076 \h </w:instrText>
        </w:r>
        <w:r w:rsidRPr="009334EF">
          <w:rPr>
            <w:webHidden/>
          </w:rPr>
        </w:r>
        <w:r w:rsidRPr="009334EF">
          <w:rPr>
            <w:webHidden/>
          </w:rPr>
          <w:fldChar w:fldCharType="separate"/>
        </w:r>
        <w:r w:rsidR="00464A0C">
          <w:rPr>
            <w:webHidden/>
          </w:rPr>
          <w:t>6-18</w:t>
        </w:r>
        <w:r w:rsidRPr="009334EF">
          <w:rPr>
            <w:webHidden/>
          </w:rPr>
          <w:fldChar w:fldCharType="end"/>
        </w:r>
      </w:hyperlink>
    </w:p>
    <w:p w14:paraId="69E5CC97" w14:textId="65957E0B" w:rsidR="009334EF" w:rsidRPr="009334EF" w:rsidRDefault="009334EF">
      <w:pPr>
        <w:pStyle w:val="TOC4"/>
        <w:rPr>
          <w:rFonts w:eastAsiaTheme="minorEastAsia"/>
          <w:kern w:val="2"/>
          <w:lang w:val="en-US"/>
          <w14:ligatures w14:val="standardContextual"/>
        </w:rPr>
      </w:pPr>
      <w:hyperlink w:anchor="_Toc236220077" w:history="1">
        <w:r w:rsidRPr="009334EF">
          <w:rPr>
            <w:rStyle w:val="Hyperlink"/>
            <w:u w:val="none"/>
          </w:rPr>
          <w:t>6.4.2.2</w:t>
        </w:r>
        <w:r w:rsidRPr="009334EF">
          <w:rPr>
            <w:rFonts w:eastAsiaTheme="minorEastAsia"/>
            <w:kern w:val="2"/>
            <w:lang w:val="en-US"/>
            <w14:ligatures w14:val="standardContextual"/>
          </w:rPr>
          <w:tab/>
        </w:r>
        <w:r w:rsidRPr="009334EF">
          <w:rPr>
            <w:rStyle w:val="Hyperlink"/>
            <w:u w:val="none"/>
          </w:rPr>
          <w:t>Output Schedule Criteria</w:t>
        </w:r>
        <w:r w:rsidRPr="009334EF">
          <w:rPr>
            <w:webHidden/>
          </w:rPr>
          <w:tab/>
        </w:r>
        <w:r w:rsidRPr="009334EF">
          <w:rPr>
            <w:webHidden/>
          </w:rPr>
          <w:fldChar w:fldCharType="begin"/>
        </w:r>
        <w:r w:rsidRPr="009334EF">
          <w:rPr>
            <w:webHidden/>
          </w:rPr>
          <w:instrText xml:space="preserve"> PAGEREF _Toc236220077 \h </w:instrText>
        </w:r>
        <w:r w:rsidRPr="009334EF">
          <w:rPr>
            <w:webHidden/>
          </w:rPr>
        </w:r>
        <w:r w:rsidRPr="009334EF">
          <w:rPr>
            <w:webHidden/>
          </w:rPr>
          <w:fldChar w:fldCharType="separate"/>
        </w:r>
        <w:r w:rsidR="00464A0C">
          <w:rPr>
            <w:webHidden/>
          </w:rPr>
          <w:t>6-18</w:t>
        </w:r>
        <w:r w:rsidRPr="009334EF">
          <w:rPr>
            <w:webHidden/>
          </w:rPr>
          <w:fldChar w:fldCharType="end"/>
        </w:r>
      </w:hyperlink>
    </w:p>
    <w:p w14:paraId="2FE6BF02" w14:textId="05D74A68" w:rsidR="009334EF" w:rsidRPr="009334EF" w:rsidRDefault="009334EF">
      <w:pPr>
        <w:pStyle w:val="TOC4"/>
        <w:rPr>
          <w:rFonts w:eastAsiaTheme="minorEastAsia"/>
          <w:kern w:val="2"/>
          <w:lang w:val="en-US"/>
          <w14:ligatures w14:val="standardContextual"/>
        </w:rPr>
      </w:pPr>
      <w:hyperlink w:anchor="_Toc236220078" w:history="1">
        <w:r w:rsidRPr="009334EF">
          <w:rPr>
            <w:rStyle w:val="Hyperlink"/>
            <w:u w:val="none"/>
          </w:rPr>
          <w:t>6.4.2.3</w:t>
        </w:r>
        <w:r w:rsidRPr="009334EF">
          <w:rPr>
            <w:rFonts w:eastAsiaTheme="minorEastAsia"/>
            <w:kern w:val="2"/>
            <w:lang w:val="en-US"/>
            <w14:ligatures w14:val="standardContextual"/>
          </w:rPr>
          <w:tab/>
        </w:r>
        <w:r w:rsidRPr="009334EF">
          <w:rPr>
            <w:rStyle w:val="Hyperlink"/>
            <w:u w:val="none"/>
          </w:rPr>
          <w:t>Output Schedule Validation</w:t>
        </w:r>
        <w:r w:rsidRPr="009334EF">
          <w:rPr>
            <w:webHidden/>
          </w:rPr>
          <w:tab/>
        </w:r>
        <w:r w:rsidRPr="009334EF">
          <w:rPr>
            <w:webHidden/>
          </w:rPr>
          <w:fldChar w:fldCharType="begin"/>
        </w:r>
        <w:r w:rsidRPr="009334EF">
          <w:rPr>
            <w:webHidden/>
          </w:rPr>
          <w:instrText xml:space="preserve"> PAGEREF _Toc236220078 \h </w:instrText>
        </w:r>
        <w:r w:rsidRPr="009334EF">
          <w:rPr>
            <w:webHidden/>
          </w:rPr>
        </w:r>
        <w:r w:rsidRPr="009334EF">
          <w:rPr>
            <w:webHidden/>
          </w:rPr>
          <w:fldChar w:fldCharType="separate"/>
        </w:r>
        <w:r w:rsidR="00464A0C">
          <w:rPr>
            <w:webHidden/>
          </w:rPr>
          <w:t>6-19</w:t>
        </w:r>
        <w:r w:rsidRPr="009334EF">
          <w:rPr>
            <w:webHidden/>
          </w:rPr>
          <w:fldChar w:fldCharType="end"/>
        </w:r>
      </w:hyperlink>
    </w:p>
    <w:p w14:paraId="423A76C2" w14:textId="68655958" w:rsidR="009334EF" w:rsidRPr="009334EF" w:rsidRDefault="009334EF">
      <w:pPr>
        <w:pStyle w:val="TOC3"/>
        <w:rPr>
          <w:rFonts w:eastAsiaTheme="minorEastAsia"/>
          <w:i w:val="0"/>
          <w:iCs w:val="0"/>
          <w:kern w:val="2"/>
          <w14:ligatures w14:val="standardContextual"/>
        </w:rPr>
      </w:pPr>
      <w:hyperlink w:anchor="_Toc236220079" w:history="1">
        <w:r w:rsidRPr="009334EF">
          <w:rPr>
            <w:rStyle w:val="Hyperlink"/>
            <w:i w:val="0"/>
            <w:iCs w:val="0"/>
            <w:u w:val="none"/>
          </w:rPr>
          <w:t>6.4.3</w:t>
        </w:r>
        <w:r w:rsidRPr="009334EF">
          <w:rPr>
            <w:rFonts w:eastAsiaTheme="minorEastAsia"/>
            <w:i w:val="0"/>
            <w:iCs w:val="0"/>
            <w:kern w:val="2"/>
            <w14:ligatures w14:val="standardContextual"/>
          </w:rPr>
          <w:tab/>
        </w:r>
        <w:r w:rsidRPr="009334EF">
          <w:rPr>
            <w:rStyle w:val="Hyperlink"/>
            <w:i w:val="0"/>
            <w:iCs w:val="0"/>
            <w:u w:val="none"/>
          </w:rPr>
          <w:t>Real-Time Market (RTM) Energy Bids and Offers</w:t>
        </w:r>
        <w:r w:rsidRPr="009334EF">
          <w:rPr>
            <w:i w:val="0"/>
            <w:iCs w:val="0"/>
            <w:webHidden/>
          </w:rPr>
          <w:tab/>
        </w:r>
        <w:r w:rsidRPr="009334EF">
          <w:rPr>
            <w:i w:val="0"/>
            <w:iCs w:val="0"/>
            <w:webHidden/>
          </w:rPr>
          <w:fldChar w:fldCharType="begin"/>
        </w:r>
        <w:r w:rsidRPr="009334EF">
          <w:rPr>
            <w:i w:val="0"/>
            <w:iCs w:val="0"/>
            <w:webHidden/>
          </w:rPr>
          <w:instrText xml:space="preserve"> PAGEREF _Toc236220079 \h </w:instrText>
        </w:r>
        <w:r w:rsidRPr="009334EF">
          <w:rPr>
            <w:i w:val="0"/>
            <w:iCs w:val="0"/>
            <w:webHidden/>
          </w:rPr>
        </w:r>
        <w:r w:rsidRPr="009334EF">
          <w:rPr>
            <w:i w:val="0"/>
            <w:iCs w:val="0"/>
            <w:webHidden/>
          </w:rPr>
          <w:fldChar w:fldCharType="separate"/>
        </w:r>
        <w:r w:rsidR="00464A0C">
          <w:rPr>
            <w:i w:val="0"/>
            <w:iCs w:val="0"/>
            <w:webHidden/>
          </w:rPr>
          <w:t>6-19</w:t>
        </w:r>
        <w:r w:rsidRPr="009334EF">
          <w:rPr>
            <w:i w:val="0"/>
            <w:iCs w:val="0"/>
            <w:webHidden/>
          </w:rPr>
          <w:fldChar w:fldCharType="end"/>
        </w:r>
      </w:hyperlink>
    </w:p>
    <w:p w14:paraId="57EAD1CF" w14:textId="4E83F7D1" w:rsidR="009334EF" w:rsidRPr="009334EF" w:rsidRDefault="009334EF">
      <w:pPr>
        <w:pStyle w:val="TOC3"/>
        <w:rPr>
          <w:rFonts w:eastAsiaTheme="minorEastAsia"/>
          <w:i w:val="0"/>
          <w:iCs w:val="0"/>
          <w:kern w:val="2"/>
          <w14:ligatures w14:val="standardContextual"/>
        </w:rPr>
      </w:pPr>
      <w:hyperlink w:anchor="_Toc236220080" w:history="1">
        <w:r w:rsidRPr="009334EF">
          <w:rPr>
            <w:rStyle w:val="Hyperlink"/>
            <w:i w:val="0"/>
            <w:iCs w:val="0"/>
            <w:u w:val="none"/>
          </w:rPr>
          <w:t>6.4.3</w:t>
        </w:r>
        <w:r w:rsidRPr="009334EF">
          <w:rPr>
            <w:rFonts w:eastAsiaTheme="minorEastAsia"/>
            <w:i w:val="0"/>
            <w:iCs w:val="0"/>
            <w:kern w:val="2"/>
            <w14:ligatures w14:val="standardContextual"/>
          </w:rPr>
          <w:tab/>
        </w:r>
        <w:r w:rsidRPr="009334EF">
          <w:rPr>
            <w:rStyle w:val="Hyperlink"/>
            <w:i w:val="0"/>
            <w:iCs w:val="0"/>
            <w:u w:val="none"/>
          </w:rPr>
          <w:t>[RESERVED]</w:t>
        </w:r>
        <w:r w:rsidRPr="009334EF">
          <w:rPr>
            <w:i w:val="0"/>
            <w:iCs w:val="0"/>
            <w:webHidden/>
          </w:rPr>
          <w:tab/>
        </w:r>
        <w:r w:rsidRPr="009334EF">
          <w:rPr>
            <w:i w:val="0"/>
            <w:iCs w:val="0"/>
            <w:webHidden/>
          </w:rPr>
          <w:fldChar w:fldCharType="begin"/>
        </w:r>
        <w:r w:rsidRPr="009334EF">
          <w:rPr>
            <w:i w:val="0"/>
            <w:iCs w:val="0"/>
            <w:webHidden/>
          </w:rPr>
          <w:instrText xml:space="preserve"> PAGEREF _Toc236220080 \h </w:instrText>
        </w:r>
        <w:r w:rsidRPr="009334EF">
          <w:rPr>
            <w:i w:val="0"/>
            <w:iCs w:val="0"/>
            <w:webHidden/>
          </w:rPr>
        </w:r>
        <w:r w:rsidRPr="009334EF">
          <w:rPr>
            <w:i w:val="0"/>
            <w:iCs w:val="0"/>
            <w:webHidden/>
          </w:rPr>
          <w:fldChar w:fldCharType="separate"/>
        </w:r>
        <w:r w:rsidR="00464A0C">
          <w:rPr>
            <w:i w:val="0"/>
            <w:iCs w:val="0"/>
            <w:webHidden/>
          </w:rPr>
          <w:t>6-19</w:t>
        </w:r>
        <w:r w:rsidRPr="009334EF">
          <w:rPr>
            <w:i w:val="0"/>
            <w:iCs w:val="0"/>
            <w:webHidden/>
          </w:rPr>
          <w:fldChar w:fldCharType="end"/>
        </w:r>
      </w:hyperlink>
    </w:p>
    <w:p w14:paraId="667FCA2A" w14:textId="432B5564" w:rsidR="009334EF" w:rsidRPr="009334EF" w:rsidRDefault="009334EF">
      <w:pPr>
        <w:pStyle w:val="TOC4"/>
        <w:rPr>
          <w:rFonts w:eastAsiaTheme="minorEastAsia"/>
          <w:kern w:val="2"/>
          <w:lang w:val="en-US"/>
          <w14:ligatures w14:val="standardContextual"/>
        </w:rPr>
      </w:pPr>
      <w:hyperlink w:anchor="_Toc236220081" w:history="1">
        <w:r w:rsidRPr="009334EF">
          <w:rPr>
            <w:rStyle w:val="Hyperlink"/>
            <w:u w:val="none"/>
          </w:rPr>
          <w:t>6.4.3.1</w:t>
        </w:r>
        <w:r w:rsidRPr="009334EF">
          <w:rPr>
            <w:rFonts w:eastAsiaTheme="minorEastAsia"/>
            <w:kern w:val="2"/>
            <w:lang w:val="en-US"/>
            <w14:ligatures w14:val="standardContextual"/>
          </w:rPr>
          <w:tab/>
        </w:r>
        <w:r w:rsidRPr="009334EF">
          <w:rPr>
            <w:rStyle w:val="Hyperlink"/>
            <w:u w:val="none"/>
          </w:rPr>
          <w:t>RTM Energy Bids</w:t>
        </w:r>
        <w:r w:rsidRPr="009334EF">
          <w:rPr>
            <w:webHidden/>
          </w:rPr>
          <w:tab/>
        </w:r>
        <w:r w:rsidRPr="009334EF">
          <w:rPr>
            <w:webHidden/>
          </w:rPr>
          <w:fldChar w:fldCharType="begin"/>
        </w:r>
        <w:r w:rsidRPr="009334EF">
          <w:rPr>
            <w:webHidden/>
          </w:rPr>
          <w:instrText xml:space="preserve"> PAGEREF _Toc236220081 \h </w:instrText>
        </w:r>
        <w:r w:rsidRPr="009334EF">
          <w:rPr>
            <w:webHidden/>
          </w:rPr>
        </w:r>
        <w:r w:rsidRPr="009334EF">
          <w:rPr>
            <w:webHidden/>
          </w:rPr>
          <w:fldChar w:fldCharType="separate"/>
        </w:r>
        <w:r w:rsidR="00464A0C">
          <w:rPr>
            <w:webHidden/>
          </w:rPr>
          <w:t>6-20</w:t>
        </w:r>
        <w:r w:rsidRPr="009334EF">
          <w:rPr>
            <w:webHidden/>
          </w:rPr>
          <w:fldChar w:fldCharType="end"/>
        </w:r>
      </w:hyperlink>
    </w:p>
    <w:p w14:paraId="4F7B908A" w14:textId="0163C602" w:rsidR="009334EF" w:rsidRPr="009334EF" w:rsidRDefault="009334EF">
      <w:pPr>
        <w:pStyle w:val="TOC5"/>
        <w:rPr>
          <w:rFonts w:eastAsiaTheme="minorEastAsia"/>
          <w:i w:val="0"/>
          <w:kern w:val="2"/>
          <w:sz w:val="20"/>
          <w:szCs w:val="20"/>
          <w14:ligatures w14:val="standardContextual"/>
        </w:rPr>
      </w:pPr>
      <w:hyperlink w:anchor="_Toc236220082" w:history="1">
        <w:r w:rsidRPr="009334EF">
          <w:rPr>
            <w:rStyle w:val="Hyperlink"/>
            <w:i w:val="0"/>
            <w:sz w:val="20"/>
            <w:szCs w:val="20"/>
            <w:u w:val="none"/>
          </w:rPr>
          <w:t>6.4.3.1.1</w:t>
        </w:r>
        <w:r w:rsidRPr="009334EF">
          <w:rPr>
            <w:rFonts w:eastAsiaTheme="minorEastAsia"/>
            <w:i w:val="0"/>
            <w:kern w:val="2"/>
            <w:sz w:val="20"/>
            <w:szCs w:val="20"/>
            <w14:ligatures w14:val="standardContextual"/>
          </w:rPr>
          <w:tab/>
        </w:r>
        <w:r w:rsidRPr="009334EF">
          <w:rPr>
            <w:rStyle w:val="Hyperlink"/>
            <w:i w:val="0"/>
            <w:sz w:val="20"/>
            <w:szCs w:val="20"/>
            <w:u w:val="none"/>
          </w:rPr>
          <w:t>RTM Energy Bid Criteria</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_Toc236220082 \h </w:instrText>
        </w:r>
        <w:r w:rsidRPr="009334EF">
          <w:rPr>
            <w:i w:val="0"/>
            <w:webHidden/>
            <w:sz w:val="20"/>
            <w:szCs w:val="20"/>
          </w:rPr>
        </w:r>
        <w:r w:rsidRPr="009334EF">
          <w:rPr>
            <w:i w:val="0"/>
            <w:webHidden/>
            <w:sz w:val="20"/>
            <w:szCs w:val="20"/>
          </w:rPr>
          <w:fldChar w:fldCharType="separate"/>
        </w:r>
        <w:r w:rsidR="00464A0C">
          <w:rPr>
            <w:i w:val="0"/>
            <w:webHidden/>
            <w:sz w:val="20"/>
            <w:szCs w:val="20"/>
          </w:rPr>
          <w:t>6-20</w:t>
        </w:r>
        <w:r w:rsidRPr="009334EF">
          <w:rPr>
            <w:i w:val="0"/>
            <w:webHidden/>
            <w:sz w:val="20"/>
            <w:szCs w:val="20"/>
          </w:rPr>
          <w:fldChar w:fldCharType="end"/>
        </w:r>
      </w:hyperlink>
    </w:p>
    <w:p w14:paraId="5264CB75" w14:textId="2836F78D" w:rsidR="009334EF" w:rsidRPr="009334EF" w:rsidRDefault="009334EF">
      <w:pPr>
        <w:pStyle w:val="TOC5"/>
        <w:rPr>
          <w:rFonts w:eastAsiaTheme="minorEastAsia"/>
          <w:i w:val="0"/>
          <w:kern w:val="2"/>
          <w:sz w:val="20"/>
          <w:szCs w:val="20"/>
          <w14:ligatures w14:val="standardContextual"/>
        </w:rPr>
      </w:pPr>
      <w:hyperlink w:anchor="_Toc236220083" w:history="1">
        <w:r w:rsidRPr="009334EF">
          <w:rPr>
            <w:rStyle w:val="Hyperlink"/>
            <w:i w:val="0"/>
            <w:sz w:val="20"/>
            <w:szCs w:val="20"/>
            <w:u w:val="none"/>
          </w:rPr>
          <w:t>6.4.3.1.2</w:t>
        </w:r>
        <w:r w:rsidRPr="009334EF">
          <w:rPr>
            <w:rFonts w:eastAsiaTheme="minorEastAsia"/>
            <w:i w:val="0"/>
            <w:kern w:val="2"/>
            <w:sz w:val="20"/>
            <w:szCs w:val="20"/>
            <w14:ligatures w14:val="standardContextual"/>
          </w:rPr>
          <w:tab/>
        </w:r>
        <w:r w:rsidRPr="009334EF">
          <w:rPr>
            <w:rStyle w:val="Hyperlink"/>
            <w:i w:val="0"/>
            <w:sz w:val="20"/>
            <w:szCs w:val="20"/>
            <w:u w:val="none"/>
          </w:rPr>
          <w:t>RTM Energy Bid Validation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_Toc236220083 \h </w:instrText>
        </w:r>
        <w:r w:rsidRPr="009334EF">
          <w:rPr>
            <w:i w:val="0"/>
            <w:webHidden/>
            <w:sz w:val="20"/>
            <w:szCs w:val="20"/>
          </w:rPr>
        </w:r>
        <w:r w:rsidRPr="009334EF">
          <w:rPr>
            <w:i w:val="0"/>
            <w:webHidden/>
            <w:sz w:val="20"/>
            <w:szCs w:val="20"/>
          </w:rPr>
          <w:fldChar w:fldCharType="separate"/>
        </w:r>
        <w:r w:rsidR="00464A0C">
          <w:rPr>
            <w:i w:val="0"/>
            <w:webHidden/>
            <w:sz w:val="20"/>
            <w:szCs w:val="20"/>
          </w:rPr>
          <w:t>6-21</w:t>
        </w:r>
        <w:r w:rsidRPr="009334EF">
          <w:rPr>
            <w:i w:val="0"/>
            <w:webHidden/>
            <w:sz w:val="20"/>
            <w:szCs w:val="20"/>
          </w:rPr>
          <w:fldChar w:fldCharType="end"/>
        </w:r>
      </w:hyperlink>
    </w:p>
    <w:p w14:paraId="7FDE32B9" w14:textId="34BD4841" w:rsidR="009334EF" w:rsidRPr="009334EF" w:rsidRDefault="009334EF">
      <w:pPr>
        <w:pStyle w:val="TOC3"/>
        <w:rPr>
          <w:rFonts w:eastAsiaTheme="minorEastAsia"/>
          <w:i w:val="0"/>
          <w:iCs w:val="0"/>
          <w:kern w:val="2"/>
          <w14:ligatures w14:val="standardContextual"/>
        </w:rPr>
      </w:pPr>
      <w:hyperlink w:anchor="_Toc236220084" w:history="1">
        <w:r w:rsidRPr="009334EF">
          <w:rPr>
            <w:rStyle w:val="Hyperlink"/>
            <w:i w:val="0"/>
            <w:iCs w:val="0"/>
            <w:u w:val="none"/>
          </w:rPr>
          <w:t>6.4.4</w:t>
        </w:r>
        <w:r w:rsidRPr="009334EF">
          <w:rPr>
            <w:rFonts w:eastAsiaTheme="minorEastAsia"/>
            <w:i w:val="0"/>
            <w:iCs w:val="0"/>
            <w:kern w:val="2"/>
            <w14:ligatures w14:val="standardContextual"/>
          </w:rPr>
          <w:tab/>
        </w:r>
        <w:r w:rsidRPr="009334EF">
          <w:rPr>
            <w:rStyle w:val="Hyperlink"/>
            <w:i w:val="0"/>
            <w:iCs w:val="0"/>
            <w:u w:val="none"/>
          </w:rPr>
          <w:t>Energy Offer Curve and Energy Bid/Offer Curve</w:t>
        </w:r>
        <w:r w:rsidRPr="009334EF">
          <w:rPr>
            <w:i w:val="0"/>
            <w:iCs w:val="0"/>
            <w:webHidden/>
          </w:rPr>
          <w:tab/>
        </w:r>
        <w:r w:rsidRPr="009334EF">
          <w:rPr>
            <w:i w:val="0"/>
            <w:iCs w:val="0"/>
            <w:webHidden/>
          </w:rPr>
          <w:fldChar w:fldCharType="begin"/>
        </w:r>
        <w:r w:rsidRPr="009334EF">
          <w:rPr>
            <w:i w:val="0"/>
            <w:iCs w:val="0"/>
            <w:webHidden/>
          </w:rPr>
          <w:instrText xml:space="preserve"> PAGEREF _Toc236220084 \h </w:instrText>
        </w:r>
        <w:r w:rsidRPr="009334EF">
          <w:rPr>
            <w:i w:val="0"/>
            <w:iCs w:val="0"/>
            <w:webHidden/>
          </w:rPr>
        </w:r>
        <w:r w:rsidRPr="009334EF">
          <w:rPr>
            <w:i w:val="0"/>
            <w:iCs w:val="0"/>
            <w:webHidden/>
          </w:rPr>
          <w:fldChar w:fldCharType="separate"/>
        </w:r>
        <w:r w:rsidR="00464A0C">
          <w:rPr>
            <w:i w:val="0"/>
            <w:iCs w:val="0"/>
            <w:webHidden/>
          </w:rPr>
          <w:t>6-21</w:t>
        </w:r>
        <w:r w:rsidRPr="009334EF">
          <w:rPr>
            <w:i w:val="0"/>
            <w:iCs w:val="0"/>
            <w:webHidden/>
          </w:rPr>
          <w:fldChar w:fldCharType="end"/>
        </w:r>
      </w:hyperlink>
    </w:p>
    <w:p w14:paraId="0A4CE0A4" w14:textId="654A4F26" w:rsidR="009334EF" w:rsidRPr="009334EF" w:rsidRDefault="009334EF">
      <w:pPr>
        <w:pStyle w:val="TOC4"/>
        <w:rPr>
          <w:rFonts w:eastAsiaTheme="minorEastAsia"/>
          <w:kern w:val="2"/>
          <w:lang w:val="en-US"/>
          <w14:ligatures w14:val="standardContextual"/>
        </w:rPr>
      </w:pPr>
      <w:hyperlink w:anchor="_Toc236220085" w:history="1">
        <w:r w:rsidRPr="009334EF">
          <w:rPr>
            <w:rStyle w:val="Hyperlink"/>
            <w:u w:val="none"/>
          </w:rPr>
          <w:t>6.4.4.1</w:t>
        </w:r>
        <w:r w:rsidRPr="009334EF">
          <w:rPr>
            <w:rFonts w:eastAsiaTheme="minorEastAsia"/>
            <w:kern w:val="2"/>
            <w:lang w:val="en-US"/>
            <w14:ligatures w14:val="standardContextual"/>
          </w:rPr>
          <w:tab/>
        </w:r>
        <w:r w:rsidRPr="009334EF">
          <w:rPr>
            <w:rStyle w:val="Hyperlink"/>
            <w:u w:val="none"/>
          </w:rPr>
          <w:t>Energy Offer Curve for RUC-Committed Switchable Generation Resources</w:t>
        </w:r>
        <w:r w:rsidRPr="009334EF">
          <w:rPr>
            <w:webHidden/>
          </w:rPr>
          <w:tab/>
        </w:r>
        <w:r w:rsidRPr="009334EF">
          <w:rPr>
            <w:webHidden/>
          </w:rPr>
          <w:fldChar w:fldCharType="begin"/>
        </w:r>
        <w:r w:rsidRPr="009334EF">
          <w:rPr>
            <w:webHidden/>
          </w:rPr>
          <w:instrText xml:space="preserve"> PAGEREF _Toc236220085 \h </w:instrText>
        </w:r>
        <w:r w:rsidRPr="009334EF">
          <w:rPr>
            <w:webHidden/>
          </w:rPr>
        </w:r>
        <w:r w:rsidRPr="009334EF">
          <w:rPr>
            <w:webHidden/>
          </w:rPr>
          <w:fldChar w:fldCharType="separate"/>
        </w:r>
        <w:r w:rsidR="00464A0C">
          <w:rPr>
            <w:webHidden/>
          </w:rPr>
          <w:t>6-22</w:t>
        </w:r>
        <w:r w:rsidRPr="009334EF">
          <w:rPr>
            <w:webHidden/>
          </w:rPr>
          <w:fldChar w:fldCharType="end"/>
        </w:r>
      </w:hyperlink>
    </w:p>
    <w:p w14:paraId="4252A9C0" w14:textId="583A7E68" w:rsidR="009334EF" w:rsidRPr="009334EF" w:rsidRDefault="009334EF">
      <w:pPr>
        <w:pStyle w:val="TOC3"/>
        <w:rPr>
          <w:rFonts w:eastAsiaTheme="minorEastAsia"/>
          <w:i w:val="0"/>
          <w:iCs w:val="0"/>
          <w:kern w:val="2"/>
          <w14:ligatures w14:val="standardContextual"/>
        </w:rPr>
      </w:pPr>
      <w:hyperlink w:anchor="_Toc236220086" w:history="1">
        <w:r w:rsidRPr="009334EF">
          <w:rPr>
            <w:rStyle w:val="Hyperlink"/>
            <w:i w:val="0"/>
            <w:iCs w:val="0"/>
            <w:u w:val="none"/>
          </w:rPr>
          <w:t>6.4.5</w:t>
        </w:r>
        <w:r w:rsidRPr="009334EF">
          <w:rPr>
            <w:rFonts w:eastAsiaTheme="minorEastAsia"/>
            <w:i w:val="0"/>
            <w:iCs w:val="0"/>
            <w:kern w:val="2"/>
            <w14:ligatures w14:val="standardContextual"/>
          </w:rPr>
          <w:tab/>
        </w:r>
        <w:r w:rsidRPr="009334EF">
          <w:rPr>
            <w:rStyle w:val="Hyperlink"/>
            <w:i w:val="0"/>
            <w:iCs w:val="0"/>
            <w:u w:val="none"/>
          </w:rPr>
          <w:t>[RESERVED]</w:t>
        </w:r>
        <w:r w:rsidRPr="009334EF">
          <w:rPr>
            <w:i w:val="0"/>
            <w:iCs w:val="0"/>
            <w:webHidden/>
          </w:rPr>
          <w:tab/>
        </w:r>
        <w:r w:rsidRPr="009334EF">
          <w:rPr>
            <w:i w:val="0"/>
            <w:iCs w:val="0"/>
            <w:webHidden/>
          </w:rPr>
          <w:fldChar w:fldCharType="begin"/>
        </w:r>
        <w:r w:rsidRPr="009334EF">
          <w:rPr>
            <w:i w:val="0"/>
            <w:iCs w:val="0"/>
            <w:webHidden/>
          </w:rPr>
          <w:instrText xml:space="preserve"> PAGEREF _Toc236220086 \h </w:instrText>
        </w:r>
        <w:r w:rsidRPr="009334EF">
          <w:rPr>
            <w:i w:val="0"/>
            <w:iCs w:val="0"/>
            <w:webHidden/>
          </w:rPr>
        </w:r>
        <w:r w:rsidRPr="009334EF">
          <w:rPr>
            <w:i w:val="0"/>
            <w:iCs w:val="0"/>
            <w:webHidden/>
          </w:rPr>
          <w:fldChar w:fldCharType="separate"/>
        </w:r>
        <w:r w:rsidR="00464A0C">
          <w:rPr>
            <w:i w:val="0"/>
            <w:iCs w:val="0"/>
            <w:webHidden/>
          </w:rPr>
          <w:t>6-22</w:t>
        </w:r>
        <w:r w:rsidRPr="009334EF">
          <w:rPr>
            <w:i w:val="0"/>
            <w:iCs w:val="0"/>
            <w:webHidden/>
          </w:rPr>
          <w:fldChar w:fldCharType="end"/>
        </w:r>
      </w:hyperlink>
    </w:p>
    <w:p w14:paraId="78471119" w14:textId="5A84B6DB" w:rsidR="009334EF" w:rsidRPr="009334EF" w:rsidRDefault="009334EF">
      <w:pPr>
        <w:pStyle w:val="TOC3"/>
        <w:rPr>
          <w:rFonts w:eastAsiaTheme="minorEastAsia"/>
          <w:i w:val="0"/>
          <w:iCs w:val="0"/>
          <w:kern w:val="2"/>
          <w14:ligatures w14:val="standardContextual"/>
        </w:rPr>
      </w:pPr>
      <w:hyperlink w:anchor="_Toc236220087" w:history="1">
        <w:r w:rsidRPr="009334EF">
          <w:rPr>
            <w:rStyle w:val="Hyperlink"/>
            <w:i w:val="0"/>
            <w:iCs w:val="0"/>
            <w:u w:val="none"/>
          </w:rPr>
          <w:t>6.4.6</w:t>
        </w:r>
        <w:r w:rsidRPr="009334EF">
          <w:rPr>
            <w:rFonts w:eastAsiaTheme="minorEastAsia"/>
            <w:i w:val="0"/>
            <w:iCs w:val="0"/>
            <w:kern w:val="2"/>
            <w14:ligatures w14:val="standardContextual"/>
          </w:rPr>
          <w:tab/>
        </w:r>
        <w:r w:rsidRPr="009334EF">
          <w:rPr>
            <w:rStyle w:val="Hyperlink"/>
            <w:i w:val="0"/>
            <w:iCs w:val="0"/>
            <w:u w:val="none"/>
          </w:rPr>
          <w:t>Resource Status</w:t>
        </w:r>
        <w:r w:rsidRPr="009334EF">
          <w:rPr>
            <w:i w:val="0"/>
            <w:iCs w:val="0"/>
            <w:webHidden/>
          </w:rPr>
          <w:tab/>
        </w:r>
        <w:r w:rsidRPr="009334EF">
          <w:rPr>
            <w:i w:val="0"/>
            <w:iCs w:val="0"/>
            <w:webHidden/>
          </w:rPr>
          <w:fldChar w:fldCharType="begin"/>
        </w:r>
        <w:r w:rsidRPr="009334EF">
          <w:rPr>
            <w:i w:val="0"/>
            <w:iCs w:val="0"/>
            <w:webHidden/>
          </w:rPr>
          <w:instrText xml:space="preserve"> PAGEREF _Toc236220087 \h </w:instrText>
        </w:r>
        <w:r w:rsidRPr="009334EF">
          <w:rPr>
            <w:i w:val="0"/>
            <w:iCs w:val="0"/>
            <w:webHidden/>
          </w:rPr>
        </w:r>
        <w:r w:rsidRPr="009334EF">
          <w:rPr>
            <w:i w:val="0"/>
            <w:iCs w:val="0"/>
            <w:webHidden/>
          </w:rPr>
          <w:fldChar w:fldCharType="separate"/>
        </w:r>
        <w:r w:rsidR="00464A0C">
          <w:rPr>
            <w:i w:val="0"/>
            <w:iCs w:val="0"/>
            <w:webHidden/>
          </w:rPr>
          <w:t>6-22</w:t>
        </w:r>
        <w:r w:rsidRPr="009334EF">
          <w:rPr>
            <w:i w:val="0"/>
            <w:iCs w:val="0"/>
            <w:webHidden/>
          </w:rPr>
          <w:fldChar w:fldCharType="end"/>
        </w:r>
      </w:hyperlink>
    </w:p>
    <w:p w14:paraId="5967F0EE" w14:textId="05F85F89" w:rsidR="009334EF" w:rsidRPr="009334EF" w:rsidRDefault="009334EF">
      <w:pPr>
        <w:pStyle w:val="TOC3"/>
        <w:rPr>
          <w:rFonts w:eastAsiaTheme="minorEastAsia"/>
          <w:i w:val="0"/>
          <w:iCs w:val="0"/>
          <w:kern w:val="2"/>
          <w14:ligatures w14:val="standardContextual"/>
        </w:rPr>
      </w:pPr>
      <w:hyperlink w:anchor="_Toc236220088" w:history="1">
        <w:r w:rsidRPr="009334EF">
          <w:rPr>
            <w:rStyle w:val="Hyperlink"/>
            <w:i w:val="0"/>
            <w:iCs w:val="0"/>
            <w:u w:val="none"/>
          </w:rPr>
          <w:t>6.4.7</w:t>
        </w:r>
        <w:r w:rsidRPr="009334EF">
          <w:rPr>
            <w:rFonts w:eastAsiaTheme="minorEastAsia"/>
            <w:i w:val="0"/>
            <w:iCs w:val="0"/>
            <w:kern w:val="2"/>
            <w14:ligatures w14:val="standardContextual"/>
          </w:rPr>
          <w:tab/>
        </w:r>
        <w:r w:rsidRPr="009334EF">
          <w:rPr>
            <w:rStyle w:val="Hyperlink"/>
            <w:i w:val="0"/>
            <w:iCs w:val="0"/>
            <w:u w:val="none"/>
          </w:rPr>
          <w:t>QSE-Requested Decommitment of Resources</w:t>
        </w:r>
        <w:r w:rsidRPr="009334EF">
          <w:rPr>
            <w:i w:val="0"/>
            <w:iCs w:val="0"/>
            <w:webHidden/>
          </w:rPr>
          <w:tab/>
        </w:r>
        <w:r w:rsidRPr="009334EF">
          <w:rPr>
            <w:i w:val="0"/>
            <w:iCs w:val="0"/>
            <w:webHidden/>
          </w:rPr>
          <w:fldChar w:fldCharType="begin"/>
        </w:r>
        <w:r w:rsidRPr="009334EF">
          <w:rPr>
            <w:i w:val="0"/>
            <w:iCs w:val="0"/>
            <w:webHidden/>
          </w:rPr>
          <w:instrText xml:space="preserve"> PAGEREF _Toc236220088 \h </w:instrText>
        </w:r>
        <w:r w:rsidRPr="009334EF">
          <w:rPr>
            <w:i w:val="0"/>
            <w:iCs w:val="0"/>
            <w:webHidden/>
          </w:rPr>
        </w:r>
        <w:r w:rsidRPr="009334EF">
          <w:rPr>
            <w:i w:val="0"/>
            <w:iCs w:val="0"/>
            <w:webHidden/>
          </w:rPr>
          <w:fldChar w:fldCharType="separate"/>
        </w:r>
        <w:r w:rsidR="00464A0C">
          <w:rPr>
            <w:i w:val="0"/>
            <w:iCs w:val="0"/>
            <w:webHidden/>
          </w:rPr>
          <w:t>6-22</w:t>
        </w:r>
        <w:r w:rsidRPr="009334EF">
          <w:rPr>
            <w:i w:val="0"/>
            <w:iCs w:val="0"/>
            <w:webHidden/>
          </w:rPr>
          <w:fldChar w:fldCharType="end"/>
        </w:r>
      </w:hyperlink>
    </w:p>
    <w:p w14:paraId="0392B641" w14:textId="136BD6A2" w:rsidR="009334EF" w:rsidRPr="009334EF" w:rsidRDefault="009334EF">
      <w:pPr>
        <w:pStyle w:val="TOC4"/>
        <w:rPr>
          <w:rFonts w:eastAsiaTheme="minorEastAsia"/>
          <w:kern w:val="2"/>
          <w:lang w:val="en-US"/>
          <w14:ligatures w14:val="standardContextual"/>
        </w:rPr>
      </w:pPr>
      <w:hyperlink w:anchor="_Toc236220089" w:history="1">
        <w:r w:rsidRPr="009334EF">
          <w:rPr>
            <w:rStyle w:val="Hyperlink"/>
            <w:u w:val="none"/>
          </w:rPr>
          <w:t>6.4.7.1</w:t>
        </w:r>
        <w:r w:rsidRPr="009334EF">
          <w:rPr>
            <w:rFonts w:eastAsiaTheme="minorEastAsia"/>
            <w:kern w:val="2"/>
            <w:lang w:val="en-US"/>
            <w14:ligatures w14:val="standardContextual"/>
          </w:rPr>
          <w:tab/>
        </w:r>
        <w:r w:rsidRPr="009334EF">
          <w:rPr>
            <w:rStyle w:val="Hyperlink"/>
            <w:u w:val="none"/>
          </w:rPr>
          <w:t>QSE Request to Decommit Resources in the Operating Period</w:t>
        </w:r>
        <w:r w:rsidRPr="009334EF">
          <w:rPr>
            <w:webHidden/>
          </w:rPr>
          <w:tab/>
        </w:r>
        <w:r w:rsidRPr="009334EF">
          <w:rPr>
            <w:webHidden/>
          </w:rPr>
          <w:fldChar w:fldCharType="begin"/>
        </w:r>
        <w:r w:rsidRPr="009334EF">
          <w:rPr>
            <w:webHidden/>
          </w:rPr>
          <w:instrText xml:space="preserve"> PAGEREF _Toc236220089 \h </w:instrText>
        </w:r>
        <w:r w:rsidRPr="009334EF">
          <w:rPr>
            <w:webHidden/>
          </w:rPr>
        </w:r>
        <w:r w:rsidRPr="009334EF">
          <w:rPr>
            <w:webHidden/>
          </w:rPr>
          <w:fldChar w:fldCharType="separate"/>
        </w:r>
        <w:r w:rsidR="00464A0C">
          <w:rPr>
            <w:webHidden/>
          </w:rPr>
          <w:t>6-23</w:t>
        </w:r>
        <w:r w:rsidRPr="009334EF">
          <w:rPr>
            <w:webHidden/>
          </w:rPr>
          <w:fldChar w:fldCharType="end"/>
        </w:r>
      </w:hyperlink>
    </w:p>
    <w:p w14:paraId="2E667C49" w14:textId="3908210A" w:rsidR="009334EF" w:rsidRPr="009334EF" w:rsidRDefault="009334EF">
      <w:pPr>
        <w:pStyle w:val="TOC4"/>
        <w:rPr>
          <w:rFonts w:eastAsiaTheme="minorEastAsia"/>
          <w:kern w:val="2"/>
          <w:lang w:val="en-US"/>
          <w14:ligatures w14:val="standardContextual"/>
        </w:rPr>
      </w:pPr>
      <w:hyperlink w:anchor="_Toc236220090" w:history="1">
        <w:r w:rsidRPr="009334EF">
          <w:rPr>
            <w:rStyle w:val="Hyperlink"/>
            <w:u w:val="none"/>
          </w:rPr>
          <w:t>6.4.7.2</w:t>
        </w:r>
        <w:r w:rsidRPr="009334EF">
          <w:rPr>
            <w:rFonts w:eastAsiaTheme="minorEastAsia"/>
            <w:kern w:val="2"/>
            <w:lang w:val="en-US"/>
            <w14:ligatures w14:val="standardContextual"/>
          </w:rPr>
          <w:tab/>
        </w:r>
        <w:r w:rsidRPr="009334EF">
          <w:rPr>
            <w:rStyle w:val="Hyperlink"/>
            <w:u w:val="none"/>
          </w:rPr>
          <w:t>QSE Request to Decommit Resources in the Adjustment Period</w:t>
        </w:r>
        <w:r w:rsidRPr="009334EF">
          <w:rPr>
            <w:webHidden/>
          </w:rPr>
          <w:tab/>
        </w:r>
        <w:r w:rsidRPr="009334EF">
          <w:rPr>
            <w:webHidden/>
          </w:rPr>
          <w:fldChar w:fldCharType="begin"/>
        </w:r>
        <w:r w:rsidRPr="009334EF">
          <w:rPr>
            <w:webHidden/>
          </w:rPr>
          <w:instrText xml:space="preserve"> PAGEREF _Toc236220090 \h </w:instrText>
        </w:r>
        <w:r w:rsidRPr="009334EF">
          <w:rPr>
            <w:webHidden/>
          </w:rPr>
        </w:r>
        <w:r w:rsidRPr="009334EF">
          <w:rPr>
            <w:webHidden/>
          </w:rPr>
          <w:fldChar w:fldCharType="separate"/>
        </w:r>
        <w:r w:rsidR="00464A0C">
          <w:rPr>
            <w:webHidden/>
          </w:rPr>
          <w:t>6-23</w:t>
        </w:r>
        <w:r w:rsidRPr="009334EF">
          <w:rPr>
            <w:webHidden/>
          </w:rPr>
          <w:fldChar w:fldCharType="end"/>
        </w:r>
      </w:hyperlink>
    </w:p>
    <w:p w14:paraId="2CBAB77D" w14:textId="691B8381" w:rsidR="009334EF" w:rsidRPr="009334EF" w:rsidRDefault="009334EF">
      <w:pPr>
        <w:pStyle w:val="TOC3"/>
        <w:rPr>
          <w:rFonts w:eastAsiaTheme="minorEastAsia"/>
          <w:i w:val="0"/>
          <w:iCs w:val="0"/>
          <w:kern w:val="2"/>
          <w14:ligatures w14:val="standardContextual"/>
        </w:rPr>
      </w:pPr>
      <w:hyperlink w:anchor="_Toc236220091" w:history="1">
        <w:r w:rsidRPr="009334EF">
          <w:rPr>
            <w:rStyle w:val="Hyperlink"/>
            <w:i w:val="0"/>
            <w:iCs w:val="0"/>
            <w:u w:val="none"/>
          </w:rPr>
          <w:t>6.4.8</w:t>
        </w:r>
        <w:r w:rsidRPr="009334EF">
          <w:rPr>
            <w:rFonts w:eastAsiaTheme="minorEastAsia"/>
            <w:i w:val="0"/>
            <w:iCs w:val="0"/>
            <w:kern w:val="2"/>
            <w14:ligatures w14:val="standardContextual"/>
          </w:rPr>
          <w:tab/>
        </w:r>
        <w:r w:rsidRPr="009334EF">
          <w:rPr>
            <w:rStyle w:val="Hyperlink"/>
            <w:i w:val="0"/>
            <w:iCs w:val="0"/>
            <w:u w:val="none"/>
          </w:rPr>
          <w:t>Notification of Forced Outage of a Resource</w:t>
        </w:r>
        <w:r w:rsidRPr="009334EF">
          <w:rPr>
            <w:i w:val="0"/>
            <w:iCs w:val="0"/>
            <w:webHidden/>
          </w:rPr>
          <w:tab/>
        </w:r>
        <w:r w:rsidRPr="009334EF">
          <w:rPr>
            <w:i w:val="0"/>
            <w:iCs w:val="0"/>
            <w:webHidden/>
          </w:rPr>
          <w:fldChar w:fldCharType="begin"/>
        </w:r>
        <w:r w:rsidRPr="009334EF">
          <w:rPr>
            <w:i w:val="0"/>
            <w:iCs w:val="0"/>
            <w:webHidden/>
          </w:rPr>
          <w:instrText xml:space="preserve"> PAGEREF _Toc236220091 \h </w:instrText>
        </w:r>
        <w:r w:rsidRPr="009334EF">
          <w:rPr>
            <w:i w:val="0"/>
            <w:iCs w:val="0"/>
            <w:webHidden/>
          </w:rPr>
        </w:r>
        <w:r w:rsidRPr="009334EF">
          <w:rPr>
            <w:i w:val="0"/>
            <w:iCs w:val="0"/>
            <w:webHidden/>
          </w:rPr>
          <w:fldChar w:fldCharType="separate"/>
        </w:r>
        <w:r w:rsidR="00464A0C">
          <w:rPr>
            <w:i w:val="0"/>
            <w:iCs w:val="0"/>
            <w:webHidden/>
          </w:rPr>
          <w:t>6-23</w:t>
        </w:r>
        <w:r w:rsidRPr="009334EF">
          <w:rPr>
            <w:i w:val="0"/>
            <w:iCs w:val="0"/>
            <w:webHidden/>
          </w:rPr>
          <w:fldChar w:fldCharType="end"/>
        </w:r>
      </w:hyperlink>
    </w:p>
    <w:p w14:paraId="121E0E61" w14:textId="7C41444C" w:rsidR="009334EF" w:rsidRPr="009334EF" w:rsidRDefault="009334EF">
      <w:pPr>
        <w:pStyle w:val="TOC3"/>
        <w:rPr>
          <w:rFonts w:eastAsiaTheme="minorEastAsia"/>
          <w:i w:val="0"/>
          <w:iCs w:val="0"/>
          <w:kern w:val="2"/>
          <w14:ligatures w14:val="standardContextual"/>
        </w:rPr>
      </w:pPr>
      <w:hyperlink w:anchor="_Toc236220092" w:history="1">
        <w:r w:rsidRPr="009334EF">
          <w:rPr>
            <w:rStyle w:val="Hyperlink"/>
            <w:i w:val="0"/>
            <w:iCs w:val="0"/>
            <w:u w:val="none"/>
          </w:rPr>
          <w:t>6.4.9</w:t>
        </w:r>
        <w:r w:rsidRPr="009334EF">
          <w:rPr>
            <w:rFonts w:eastAsiaTheme="minorEastAsia"/>
            <w:i w:val="0"/>
            <w:iCs w:val="0"/>
            <w:kern w:val="2"/>
            <w14:ligatures w14:val="standardContextual"/>
          </w:rPr>
          <w:tab/>
        </w:r>
        <w:r w:rsidRPr="009334EF">
          <w:rPr>
            <w:rStyle w:val="Hyperlink"/>
            <w:i w:val="0"/>
            <w:iCs w:val="0"/>
            <w:u w:val="none"/>
          </w:rPr>
          <w:t>Real-Time Ancillary Service Offers and Awards</w:t>
        </w:r>
        <w:r w:rsidRPr="009334EF">
          <w:rPr>
            <w:i w:val="0"/>
            <w:iCs w:val="0"/>
            <w:webHidden/>
          </w:rPr>
          <w:tab/>
        </w:r>
        <w:r w:rsidRPr="009334EF">
          <w:rPr>
            <w:i w:val="0"/>
            <w:iCs w:val="0"/>
            <w:webHidden/>
          </w:rPr>
          <w:fldChar w:fldCharType="begin"/>
        </w:r>
        <w:r w:rsidRPr="009334EF">
          <w:rPr>
            <w:i w:val="0"/>
            <w:iCs w:val="0"/>
            <w:webHidden/>
          </w:rPr>
          <w:instrText xml:space="preserve"> PAGEREF _Toc236220092 \h </w:instrText>
        </w:r>
        <w:r w:rsidRPr="009334EF">
          <w:rPr>
            <w:i w:val="0"/>
            <w:iCs w:val="0"/>
            <w:webHidden/>
          </w:rPr>
        </w:r>
        <w:r w:rsidRPr="009334EF">
          <w:rPr>
            <w:i w:val="0"/>
            <w:iCs w:val="0"/>
            <w:webHidden/>
          </w:rPr>
          <w:fldChar w:fldCharType="separate"/>
        </w:r>
        <w:r w:rsidR="00464A0C">
          <w:rPr>
            <w:i w:val="0"/>
            <w:iCs w:val="0"/>
            <w:webHidden/>
          </w:rPr>
          <w:t>6-24</w:t>
        </w:r>
        <w:r w:rsidRPr="009334EF">
          <w:rPr>
            <w:i w:val="0"/>
            <w:iCs w:val="0"/>
            <w:webHidden/>
          </w:rPr>
          <w:fldChar w:fldCharType="end"/>
        </w:r>
      </w:hyperlink>
    </w:p>
    <w:p w14:paraId="261A5C28" w14:textId="29E58923" w:rsidR="009334EF" w:rsidRPr="009334EF" w:rsidRDefault="009334EF">
      <w:pPr>
        <w:pStyle w:val="TOC4"/>
        <w:rPr>
          <w:rFonts w:eastAsiaTheme="minorEastAsia"/>
          <w:kern w:val="2"/>
          <w:lang w:val="en-US"/>
          <w14:ligatures w14:val="standardContextual"/>
        </w:rPr>
      </w:pPr>
      <w:hyperlink w:anchor="_Toc236220093" w:history="1">
        <w:r w:rsidRPr="009334EF">
          <w:rPr>
            <w:rStyle w:val="Hyperlink"/>
            <w:u w:val="none"/>
          </w:rPr>
          <w:t>6.4.9.1</w:t>
        </w:r>
        <w:r w:rsidRPr="009334EF">
          <w:rPr>
            <w:rFonts w:eastAsiaTheme="minorEastAsia"/>
            <w:kern w:val="2"/>
            <w:lang w:val="en-US"/>
            <w14:ligatures w14:val="standardContextual"/>
          </w:rPr>
          <w:tab/>
        </w:r>
        <w:r w:rsidRPr="009334EF">
          <w:rPr>
            <w:rStyle w:val="Hyperlink"/>
            <w:u w:val="none"/>
          </w:rPr>
          <w:t>Ancillary Service Offers</w:t>
        </w:r>
        <w:r w:rsidRPr="009334EF">
          <w:rPr>
            <w:webHidden/>
          </w:rPr>
          <w:tab/>
        </w:r>
        <w:r w:rsidRPr="009334EF">
          <w:rPr>
            <w:webHidden/>
          </w:rPr>
          <w:fldChar w:fldCharType="begin"/>
        </w:r>
        <w:r w:rsidRPr="009334EF">
          <w:rPr>
            <w:webHidden/>
          </w:rPr>
          <w:instrText xml:space="preserve"> PAGEREF _Toc236220093 \h </w:instrText>
        </w:r>
        <w:r w:rsidRPr="009334EF">
          <w:rPr>
            <w:webHidden/>
          </w:rPr>
        </w:r>
        <w:r w:rsidRPr="009334EF">
          <w:rPr>
            <w:webHidden/>
          </w:rPr>
          <w:fldChar w:fldCharType="separate"/>
        </w:r>
        <w:r w:rsidR="00464A0C">
          <w:rPr>
            <w:webHidden/>
          </w:rPr>
          <w:t>6-24</w:t>
        </w:r>
        <w:r w:rsidRPr="009334EF">
          <w:rPr>
            <w:webHidden/>
          </w:rPr>
          <w:fldChar w:fldCharType="end"/>
        </w:r>
      </w:hyperlink>
    </w:p>
    <w:p w14:paraId="5C4E37DB" w14:textId="5BBE2CAE" w:rsidR="009334EF" w:rsidRPr="009334EF" w:rsidRDefault="009334EF">
      <w:pPr>
        <w:pStyle w:val="TOC5"/>
        <w:rPr>
          <w:rFonts w:eastAsiaTheme="minorEastAsia"/>
          <w:i w:val="0"/>
          <w:kern w:val="2"/>
          <w:sz w:val="20"/>
          <w:szCs w:val="20"/>
          <w14:ligatures w14:val="standardContextual"/>
        </w:rPr>
      </w:pPr>
      <w:hyperlink w:anchor="_Toc236220094" w:history="1">
        <w:r w:rsidRPr="009334EF">
          <w:rPr>
            <w:rStyle w:val="Hyperlink"/>
            <w:i w:val="0"/>
            <w:sz w:val="20"/>
            <w:szCs w:val="20"/>
            <w:u w:val="none"/>
          </w:rPr>
          <w:t>6.4.9.1.1</w:t>
        </w:r>
        <w:r w:rsidRPr="009334EF">
          <w:rPr>
            <w:rFonts w:eastAsiaTheme="minorEastAsia"/>
            <w:i w:val="0"/>
            <w:kern w:val="2"/>
            <w:sz w:val="20"/>
            <w:szCs w:val="20"/>
            <w14:ligatures w14:val="standardContextual"/>
          </w:rPr>
          <w:tab/>
        </w:r>
        <w:r w:rsidRPr="009334EF">
          <w:rPr>
            <w:rStyle w:val="Hyperlink"/>
            <w:i w:val="0"/>
            <w:sz w:val="20"/>
            <w:szCs w:val="20"/>
            <w:u w:val="none"/>
          </w:rPr>
          <w:t>Ancillary Service Awards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_Toc236220094 \h </w:instrText>
        </w:r>
        <w:r w:rsidRPr="009334EF">
          <w:rPr>
            <w:i w:val="0"/>
            <w:webHidden/>
            <w:sz w:val="20"/>
            <w:szCs w:val="20"/>
          </w:rPr>
        </w:r>
        <w:r w:rsidRPr="009334EF">
          <w:rPr>
            <w:i w:val="0"/>
            <w:webHidden/>
            <w:sz w:val="20"/>
            <w:szCs w:val="20"/>
          </w:rPr>
          <w:fldChar w:fldCharType="separate"/>
        </w:r>
        <w:r w:rsidR="00464A0C">
          <w:rPr>
            <w:i w:val="0"/>
            <w:webHidden/>
            <w:sz w:val="20"/>
            <w:szCs w:val="20"/>
          </w:rPr>
          <w:t>6-24</w:t>
        </w:r>
        <w:r w:rsidRPr="009334EF">
          <w:rPr>
            <w:i w:val="0"/>
            <w:webHidden/>
            <w:sz w:val="20"/>
            <w:szCs w:val="20"/>
          </w:rPr>
          <w:fldChar w:fldCharType="end"/>
        </w:r>
      </w:hyperlink>
    </w:p>
    <w:p w14:paraId="3FC1B7C8" w14:textId="05A44D48" w:rsidR="009334EF" w:rsidRPr="009334EF" w:rsidRDefault="009334EF">
      <w:pPr>
        <w:pStyle w:val="TOC5"/>
        <w:rPr>
          <w:rFonts w:eastAsiaTheme="minorEastAsia"/>
          <w:i w:val="0"/>
          <w:kern w:val="2"/>
          <w:sz w:val="20"/>
          <w:szCs w:val="20"/>
          <w14:ligatures w14:val="standardContextual"/>
        </w:rPr>
      </w:pPr>
      <w:hyperlink w:anchor="_Toc236220095" w:history="1">
        <w:r w:rsidRPr="009334EF">
          <w:rPr>
            <w:rStyle w:val="Hyperlink"/>
            <w:i w:val="0"/>
            <w:sz w:val="20"/>
            <w:szCs w:val="20"/>
            <w:u w:val="none"/>
          </w:rPr>
          <w:t>6.4.9.1.2</w:t>
        </w:r>
        <w:r w:rsidRPr="009334EF">
          <w:rPr>
            <w:rFonts w:eastAsiaTheme="minorEastAsia"/>
            <w:i w:val="0"/>
            <w:kern w:val="2"/>
            <w:sz w:val="20"/>
            <w:szCs w:val="20"/>
            <w14:ligatures w14:val="standardContextual"/>
          </w:rPr>
          <w:tab/>
        </w:r>
        <w:r w:rsidRPr="009334EF">
          <w:rPr>
            <w:rStyle w:val="Hyperlink"/>
            <w:i w:val="0"/>
            <w:sz w:val="20"/>
            <w:szCs w:val="20"/>
            <w:u w:val="none"/>
          </w:rPr>
          <w:t>Changes to Operating Day Ancillary Service Plan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_Toc236220095 \h </w:instrText>
        </w:r>
        <w:r w:rsidRPr="009334EF">
          <w:rPr>
            <w:i w:val="0"/>
            <w:webHidden/>
            <w:sz w:val="20"/>
            <w:szCs w:val="20"/>
          </w:rPr>
        </w:r>
        <w:r w:rsidRPr="009334EF">
          <w:rPr>
            <w:i w:val="0"/>
            <w:webHidden/>
            <w:sz w:val="20"/>
            <w:szCs w:val="20"/>
          </w:rPr>
          <w:fldChar w:fldCharType="separate"/>
        </w:r>
        <w:r w:rsidR="00464A0C">
          <w:rPr>
            <w:i w:val="0"/>
            <w:webHidden/>
            <w:sz w:val="20"/>
            <w:szCs w:val="20"/>
          </w:rPr>
          <w:t>6-25</w:t>
        </w:r>
        <w:r w:rsidRPr="009334EF">
          <w:rPr>
            <w:i w:val="0"/>
            <w:webHidden/>
            <w:sz w:val="20"/>
            <w:szCs w:val="20"/>
          </w:rPr>
          <w:fldChar w:fldCharType="end"/>
        </w:r>
      </w:hyperlink>
    </w:p>
    <w:p w14:paraId="05B44ABA" w14:textId="1F15DF2B" w:rsidR="009334EF" w:rsidRPr="009334EF" w:rsidRDefault="009334EF">
      <w:pPr>
        <w:pStyle w:val="TOC2"/>
        <w:rPr>
          <w:rFonts w:eastAsiaTheme="minorEastAsia"/>
          <w:noProof/>
          <w:kern w:val="2"/>
          <w14:ligatures w14:val="standardContextual"/>
        </w:rPr>
      </w:pPr>
      <w:hyperlink w:anchor="_Toc236220096" w:history="1">
        <w:r w:rsidRPr="009334EF">
          <w:rPr>
            <w:rStyle w:val="Hyperlink"/>
            <w:noProof/>
            <w:u w:val="none"/>
          </w:rPr>
          <w:t>6.5</w:t>
        </w:r>
        <w:r w:rsidRPr="009334EF">
          <w:rPr>
            <w:rFonts w:eastAsiaTheme="minorEastAsia"/>
            <w:noProof/>
            <w:kern w:val="2"/>
            <w14:ligatures w14:val="standardContextual"/>
          </w:rPr>
          <w:tab/>
        </w:r>
        <w:r w:rsidRPr="009334EF">
          <w:rPr>
            <w:rStyle w:val="Hyperlink"/>
            <w:noProof/>
            <w:u w:val="none"/>
          </w:rPr>
          <w:t>Real-Time Energy Operations</w:t>
        </w:r>
        <w:r w:rsidRPr="009334EF">
          <w:rPr>
            <w:noProof/>
            <w:webHidden/>
          </w:rPr>
          <w:tab/>
        </w:r>
        <w:r w:rsidRPr="009334EF">
          <w:rPr>
            <w:noProof/>
            <w:webHidden/>
          </w:rPr>
          <w:fldChar w:fldCharType="begin"/>
        </w:r>
        <w:r w:rsidRPr="009334EF">
          <w:rPr>
            <w:noProof/>
            <w:webHidden/>
          </w:rPr>
          <w:instrText xml:space="preserve"> PAGEREF _Toc236220096 \h </w:instrText>
        </w:r>
        <w:r w:rsidRPr="009334EF">
          <w:rPr>
            <w:noProof/>
            <w:webHidden/>
          </w:rPr>
        </w:r>
        <w:r w:rsidRPr="009334EF">
          <w:rPr>
            <w:noProof/>
            <w:webHidden/>
          </w:rPr>
          <w:fldChar w:fldCharType="separate"/>
        </w:r>
        <w:r w:rsidR="00464A0C">
          <w:rPr>
            <w:noProof/>
            <w:webHidden/>
          </w:rPr>
          <w:t>6-26</w:t>
        </w:r>
        <w:r w:rsidRPr="009334EF">
          <w:rPr>
            <w:noProof/>
            <w:webHidden/>
          </w:rPr>
          <w:fldChar w:fldCharType="end"/>
        </w:r>
      </w:hyperlink>
    </w:p>
    <w:p w14:paraId="70A37797" w14:textId="695BA7B3" w:rsidR="009334EF" w:rsidRPr="009334EF" w:rsidRDefault="009334EF">
      <w:pPr>
        <w:pStyle w:val="TOC3"/>
        <w:rPr>
          <w:rFonts w:eastAsiaTheme="minorEastAsia"/>
          <w:i w:val="0"/>
          <w:iCs w:val="0"/>
          <w:kern w:val="2"/>
          <w14:ligatures w14:val="standardContextual"/>
        </w:rPr>
      </w:pPr>
      <w:hyperlink w:anchor="_Toc236220097" w:history="1">
        <w:r w:rsidRPr="009334EF">
          <w:rPr>
            <w:rStyle w:val="Hyperlink"/>
            <w:i w:val="0"/>
            <w:iCs w:val="0"/>
            <w:u w:val="none"/>
          </w:rPr>
          <w:t>6.5.1</w:t>
        </w:r>
        <w:r w:rsidRPr="009334EF">
          <w:rPr>
            <w:rFonts w:eastAsiaTheme="minorEastAsia"/>
            <w:i w:val="0"/>
            <w:iCs w:val="0"/>
            <w:kern w:val="2"/>
            <w14:ligatures w14:val="standardContextual"/>
          </w:rPr>
          <w:tab/>
        </w:r>
        <w:r w:rsidRPr="009334EF">
          <w:rPr>
            <w:rStyle w:val="Hyperlink"/>
            <w:i w:val="0"/>
            <w:iCs w:val="0"/>
            <w:u w:val="none"/>
          </w:rPr>
          <w:t>ERCOT Activities</w:t>
        </w:r>
        <w:r w:rsidRPr="009334EF">
          <w:rPr>
            <w:i w:val="0"/>
            <w:iCs w:val="0"/>
            <w:webHidden/>
          </w:rPr>
          <w:tab/>
        </w:r>
        <w:r w:rsidRPr="009334EF">
          <w:rPr>
            <w:i w:val="0"/>
            <w:iCs w:val="0"/>
            <w:webHidden/>
          </w:rPr>
          <w:fldChar w:fldCharType="begin"/>
        </w:r>
        <w:r w:rsidRPr="009334EF">
          <w:rPr>
            <w:i w:val="0"/>
            <w:iCs w:val="0"/>
            <w:webHidden/>
          </w:rPr>
          <w:instrText xml:space="preserve"> PAGEREF _Toc236220097 \h </w:instrText>
        </w:r>
        <w:r w:rsidRPr="009334EF">
          <w:rPr>
            <w:i w:val="0"/>
            <w:iCs w:val="0"/>
            <w:webHidden/>
          </w:rPr>
        </w:r>
        <w:r w:rsidRPr="009334EF">
          <w:rPr>
            <w:i w:val="0"/>
            <w:iCs w:val="0"/>
            <w:webHidden/>
          </w:rPr>
          <w:fldChar w:fldCharType="separate"/>
        </w:r>
        <w:r w:rsidR="00464A0C">
          <w:rPr>
            <w:i w:val="0"/>
            <w:iCs w:val="0"/>
            <w:webHidden/>
          </w:rPr>
          <w:t>6-26</w:t>
        </w:r>
        <w:r w:rsidRPr="009334EF">
          <w:rPr>
            <w:i w:val="0"/>
            <w:iCs w:val="0"/>
            <w:webHidden/>
          </w:rPr>
          <w:fldChar w:fldCharType="end"/>
        </w:r>
      </w:hyperlink>
    </w:p>
    <w:p w14:paraId="4A2FDAA2" w14:textId="445EC5D9" w:rsidR="009334EF" w:rsidRPr="009334EF" w:rsidRDefault="009334EF">
      <w:pPr>
        <w:pStyle w:val="TOC4"/>
        <w:rPr>
          <w:rFonts w:eastAsiaTheme="minorEastAsia"/>
          <w:kern w:val="2"/>
          <w:lang w:val="en-US"/>
          <w14:ligatures w14:val="standardContextual"/>
        </w:rPr>
      </w:pPr>
      <w:hyperlink w:anchor="_Toc236220098" w:history="1">
        <w:r w:rsidRPr="009334EF">
          <w:rPr>
            <w:rStyle w:val="Hyperlink"/>
            <w:u w:val="none"/>
          </w:rPr>
          <w:t>6.5.1.1</w:t>
        </w:r>
        <w:r w:rsidRPr="009334EF">
          <w:rPr>
            <w:rFonts w:eastAsiaTheme="minorEastAsia"/>
            <w:kern w:val="2"/>
            <w:lang w:val="en-US"/>
            <w14:ligatures w14:val="standardContextual"/>
          </w:rPr>
          <w:tab/>
        </w:r>
        <w:r w:rsidRPr="009334EF">
          <w:rPr>
            <w:rStyle w:val="Hyperlink"/>
            <w:u w:val="none"/>
          </w:rPr>
          <w:t>ERCOT Control Area Authority</w:t>
        </w:r>
        <w:r w:rsidRPr="009334EF">
          <w:rPr>
            <w:webHidden/>
          </w:rPr>
          <w:tab/>
        </w:r>
        <w:r w:rsidRPr="009334EF">
          <w:rPr>
            <w:webHidden/>
          </w:rPr>
          <w:fldChar w:fldCharType="begin"/>
        </w:r>
        <w:r w:rsidRPr="009334EF">
          <w:rPr>
            <w:webHidden/>
          </w:rPr>
          <w:instrText xml:space="preserve"> PAGEREF _Toc236220098 \h </w:instrText>
        </w:r>
        <w:r w:rsidRPr="009334EF">
          <w:rPr>
            <w:webHidden/>
          </w:rPr>
        </w:r>
        <w:r w:rsidRPr="009334EF">
          <w:rPr>
            <w:webHidden/>
          </w:rPr>
          <w:fldChar w:fldCharType="separate"/>
        </w:r>
        <w:r w:rsidR="00464A0C">
          <w:rPr>
            <w:webHidden/>
          </w:rPr>
          <w:t>6-26</w:t>
        </w:r>
        <w:r w:rsidRPr="009334EF">
          <w:rPr>
            <w:webHidden/>
          </w:rPr>
          <w:fldChar w:fldCharType="end"/>
        </w:r>
      </w:hyperlink>
    </w:p>
    <w:p w14:paraId="28E35F94" w14:textId="384AE43F" w:rsidR="009334EF" w:rsidRPr="009334EF" w:rsidRDefault="009334EF">
      <w:pPr>
        <w:pStyle w:val="TOC4"/>
        <w:rPr>
          <w:rFonts w:eastAsiaTheme="minorEastAsia"/>
          <w:kern w:val="2"/>
          <w:lang w:val="en-US"/>
          <w14:ligatures w14:val="standardContextual"/>
        </w:rPr>
      </w:pPr>
      <w:hyperlink w:anchor="_Toc236220099" w:history="1">
        <w:r w:rsidRPr="009334EF">
          <w:rPr>
            <w:rStyle w:val="Hyperlink"/>
            <w:u w:val="none"/>
          </w:rPr>
          <w:t>6.5.1.2</w:t>
        </w:r>
        <w:r w:rsidRPr="009334EF">
          <w:rPr>
            <w:rFonts w:eastAsiaTheme="minorEastAsia"/>
            <w:kern w:val="2"/>
            <w:lang w:val="en-US"/>
            <w14:ligatures w14:val="standardContextual"/>
          </w:rPr>
          <w:tab/>
        </w:r>
        <w:r w:rsidRPr="009334EF">
          <w:rPr>
            <w:rStyle w:val="Hyperlink"/>
            <w:u w:val="none"/>
          </w:rPr>
          <w:t>Centralized Dispatch</w:t>
        </w:r>
        <w:r w:rsidRPr="009334EF">
          <w:rPr>
            <w:webHidden/>
          </w:rPr>
          <w:tab/>
        </w:r>
        <w:r w:rsidRPr="009334EF">
          <w:rPr>
            <w:webHidden/>
          </w:rPr>
          <w:fldChar w:fldCharType="begin"/>
        </w:r>
        <w:r w:rsidRPr="009334EF">
          <w:rPr>
            <w:webHidden/>
          </w:rPr>
          <w:instrText xml:space="preserve"> PAGEREF _Toc236220099 \h </w:instrText>
        </w:r>
        <w:r w:rsidRPr="009334EF">
          <w:rPr>
            <w:webHidden/>
          </w:rPr>
        </w:r>
        <w:r w:rsidRPr="009334EF">
          <w:rPr>
            <w:webHidden/>
          </w:rPr>
          <w:fldChar w:fldCharType="separate"/>
        </w:r>
        <w:r w:rsidR="00464A0C">
          <w:rPr>
            <w:webHidden/>
          </w:rPr>
          <w:t>6-31</w:t>
        </w:r>
        <w:r w:rsidRPr="009334EF">
          <w:rPr>
            <w:webHidden/>
          </w:rPr>
          <w:fldChar w:fldCharType="end"/>
        </w:r>
      </w:hyperlink>
    </w:p>
    <w:p w14:paraId="35D68BBB" w14:textId="613BB96A" w:rsidR="009334EF" w:rsidRPr="009334EF" w:rsidRDefault="009334EF">
      <w:pPr>
        <w:pStyle w:val="TOC3"/>
        <w:rPr>
          <w:rFonts w:eastAsiaTheme="minorEastAsia"/>
          <w:i w:val="0"/>
          <w:iCs w:val="0"/>
          <w:kern w:val="2"/>
          <w14:ligatures w14:val="standardContextual"/>
        </w:rPr>
      </w:pPr>
      <w:hyperlink w:anchor="_Toc236220100" w:history="1">
        <w:r w:rsidRPr="009334EF">
          <w:rPr>
            <w:rStyle w:val="Hyperlink"/>
            <w:i w:val="0"/>
            <w:iCs w:val="0"/>
            <w:u w:val="none"/>
          </w:rPr>
          <w:t>6.5.2</w:t>
        </w:r>
        <w:r w:rsidRPr="009334EF">
          <w:rPr>
            <w:rFonts w:eastAsiaTheme="minorEastAsia"/>
            <w:i w:val="0"/>
            <w:iCs w:val="0"/>
            <w:kern w:val="2"/>
            <w14:ligatures w14:val="standardContextual"/>
          </w:rPr>
          <w:tab/>
        </w:r>
        <w:r w:rsidRPr="009334EF">
          <w:rPr>
            <w:rStyle w:val="Hyperlink"/>
            <w:i w:val="0"/>
            <w:iCs w:val="0"/>
            <w:u w:val="none"/>
          </w:rPr>
          <w:t>Operating Standards</w:t>
        </w:r>
        <w:r w:rsidRPr="009334EF">
          <w:rPr>
            <w:i w:val="0"/>
            <w:iCs w:val="0"/>
            <w:webHidden/>
          </w:rPr>
          <w:tab/>
        </w:r>
        <w:r w:rsidRPr="009334EF">
          <w:rPr>
            <w:i w:val="0"/>
            <w:iCs w:val="0"/>
            <w:webHidden/>
          </w:rPr>
          <w:fldChar w:fldCharType="begin"/>
        </w:r>
        <w:r w:rsidRPr="009334EF">
          <w:rPr>
            <w:i w:val="0"/>
            <w:iCs w:val="0"/>
            <w:webHidden/>
          </w:rPr>
          <w:instrText xml:space="preserve"> PAGEREF _Toc236220100 \h </w:instrText>
        </w:r>
        <w:r w:rsidRPr="009334EF">
          <w:rPr>
            <w:i w:val="0"/>
            <w:iCs w:val="0"/>
            <w:webHidden/>
          </w:rPr>
        </w:r>
        <w:r w:rsidRPr="009334EF">
          <w:rPr>
            <w:i w:val="0"/>
            <w:iCs w:val="0"/>
            <w:webHidden/>
          </w:rPr>
          <w:fldChar w:fldCharType="separate"/>
        </w:r>
        <w:r w:rsidR="00464A0C">
          <w:rPr>
            <w:i w:val="0"/>
            <w:iCs w:val="0"/>
            <w:webHidden/>
          </w:rPr>
          <w:t>6-32</w:t>
        </w:r>
        <w:r w:rsidRPr="009334EF">
          <w:rPr>
            <w:i w:val="0"/>
            <w:iCs w:val="0"/>
            <w:webHidden/>
          </w:rPr>
          <w:fldChar w:fldCharType="end"/>
        </w:r>
      </w:hyperlink>
    </w:p>
    <w:p w14:paraId="02BB4C0B" w14:textId="773CD458" w:rsidR="009334EF" w:rsidRPr="009334EF" w:rsidRDefault="009334EF">
      <w:pPr>
        <w:pStyle w:val="TOC3"/>
        <w:rPr>
          <w:rFonts w:eastAsiaTheme="minorEastAsia"/>
          <w:i w:val="0"/>
          <w:iCs w:val="0"/>
          <w:kern w:val="2"/>
          <w14:ligatures w14:val="standardContextual"/>
        </w:rPr>
      </w:pPr>
      <w:hyperlink w:anchor="_Toc236220101" w:history="1">
        <w:r w:rsidRPr="009334EF">
          <w:rPr>
            <w:rStyle w:val="Hyperlink"/>
            <w:i w:val="0"/>
            <w:iCs w:val="0"/>
            <w:u w:val="none"/>
          </w:rPr>
          <w:t>6.5.3</w:t>
        </w:r>
        <w:r w:rsidRPr="009334EF">
          <w:rPr>
            <w:rFonts w:eastAsiaTheme="minorEastAsia"/>
            <w:i w:val="0"/>
            <w:iCs w:val="0"/>
            <w:kern w:val="2"/>
            <w14:ligatures w14:val="standardContextual"/>
          </w:rPr>
          <w:tab/>
        </w:r>
        <w:r w:rsidRPr="009334EF">
          <w:rPr>
            <w:rStyle w:val="Hyperlink"/>
            <w:i w:val="0"/>
            <w:iCs w:val="0"/>
            <w:u w:val="none"/>
          </w:rPr>
          <w:t>Equipment Operating Ratings and Limits</w:t>
        </w:r>
        <w:r w:rsidRPr="009334EF">
          <w:rPr>
            <w:i w:val="0"/>
            <w:iCs w:val="0"/>
            <w:webHidden/>
          </w:rPr>
          <w:tab/>
        </w:r>
        <w:r w:rsidRPr="009334EF">
          <w:rPr>
            <w:i w:val="0"/>
            <w:iCs w:val="0"/>
            <w:webHidden/>
          </w:rPr>
          <w:fldChar w:fldCharType="begin"/>
        </w:r>
        <w:r w:rsidRPr="009334EF">
          <w:rPr>
            <w:i w:val="0"/>
            <w:iCs w:val="0"/>
            <w:webHidden/>
          </w:rPr>
          <w:instrText xml:space="preserve"> PAGEREF _Toc236220101 \h </w:instrText>
        </w:r>
        <w:r w:rsidRPr="009334EF">
          <w:rPr>
            <w:i w:val="0"/>
            <w:iCs w:val="0"/>
            <w:webHidden/>
          </w:rPr>
        </w:r>
        <w:r w:rsidRPr="009334EF">
          <w:rPr>
            <w:i w:val="0"/>
            <w:iCs w:val="0"/>
            <w:webHidden/>
          </w:rPr>
          <w:fldChar w:fldCharType="separate"/>
        </w:r>
        <w:r w:rsidR="00464A0C">
          <w:rPr>
            <w:i w:val="0"/>
            <w:iCs w:val="0"/>
            <w:webHidden/>
          </w:rPr>
          <w:t>6-33</w:t>
        </w:r>
        <w:r w:rsidRPr="009334EF">
          <w:rPr>
            <w:i w:val="0"/>
            <w:iCs w:val="0"/>
            <w:webHidden/>
          </w:rPr>
          <w:fldChar w:fldCharType="end"/>
        </w:r>
      </w:hyperlink>
    </w:p>
    <w:p w14:paraId="666103EE" w14:textId="3FEEDD83" w:rsidR="009334EF" w:rsidRPr="009334EF" w:rsidRDefault="009334EF">
      <w:pPr>
        <w:pStyle w:val="TOC3"/>
        <w:rPr>
          <w:rFonts w:eastAsiaTheme="minorEastAsia"/>
          <w:i w:val="0"/>
          <w:iCs w:val="0"/>
          <w:kern w:val="2"/>
          <w14:ligatures w14:val="standardContextual"/>
        </w:rPr>
      </w:pPr>
      <w:hyperlink w:anchor="_Toc236220102" w:history="1">
        <w:r w:rsidRPr="009334EF">
          <w:rPr>
            <w:rStyle w:val="Hyperlink"/>
            <w:i w:val="0"/>
            <w:iCs w:val="0"/>
            <w:u w:val="none"/>
          </w:rPr>
          <w:t>6.5.4</w:t>
        </w:r>
        <w:r w:rsidRPr="009334EF">
          <w:rPr>
            <w:rFonts w:eastAsiaTheme="minorEastAsia"/>
            <w:i w:val="0"/>
            <w:iCs w:val="0"/>
            <w:kern w:val="2"/>
            <w14:ligatures w14:val="standardContextual"/>
          </w:rPr>
          <w:tab/>
        </w:r>
        <w:r w:rsidRPr="009334EF">
          <w:rPr>
            <w:rStyle w:val="Hyperlink"/>
            <w:i w:val="0"/>
            <w:iCs w:val="0"/>
            <w:u w:val="none"/>
          </w:rPr>
          <w:t>Inadvertent Energy Account</w:t>
        </w:r>
        <w:r w:rsidRPr="009334EF">
          <w:rPr>
            <w:i w:val="0"/>
            <w:iCs w:val="0"/>
            <w:webHidden/>
          </w:rPr>
          <w:tab/>
        </w:r>
        <w:r w:rsidRPr="009334EF">
          <w:rPr>
            <w:i w:val="0"/>
            <w:iCs w:val="0"/>
            <w:webHidden/>
          </w:rPr>
          <w:fldChar w:fldCharType="begin"/>
        </w:r>
        <w:r w:rsidRPr="009334EF">
          <w:rPr>
            <w:i w:val="0"/>
            <w:iCs w:val="0"/>
            <w:webHidden/>
          </w:rPr>
          <w:instrText xml:space="preserve"> PAGEREF _Toc236220102 \h </w:instrText>
        </w:r>
        <w:r w:rsidRPr="009334EF">
          <w:rPr>
            <w:i w:val="0"/>
            <w:iCs w:val="0"/>
            <w:webHidden/>
          </w:rPr>
        </w:r>
        <w:r w:rsidRPr="009334EF">
          <w:rPr>
            <w:i w:val="0"/>
            <w:iCs w:val="0"/>
            <w:webHidden/>
          </w:rPr>
          <w:fldChar w:fldCharType="separate"/>
        </w:r>
        <w:r w:rsidR="00464A0C">
          <w:rPr>
            <w:i w:val="0"/>
            <w:iCs w:val="0"/>
            <w:webHidden/>
          </w:rPr>
          <w:t>6-34</w:t>
        </w:r>
        <w:r w:rsidRPr="009334EF">
          <w:rPr>
            <w:i w:val="0"/>
            <w:iCs w:val="0"/>
            <w:webHidden/>
          </w:rPr>
          <w:fldChar w:fldCharType="end"/>
        </w:r>
      </w:hyperlink>
    </w:p>
    <w:p w14:paraId="32E0BBAC" w14:textId="257633ED" w:rsidR="009334EF" w:rsidRPr="009334EF" w:rsidRDefault="009334EF">
      <w:pPr>
        <w:pStyle w:val="TOC3"/>
        <w:rPr>
          <w:rFonts w:eastAsiaTheme="minorEastAsia"/>
          <w:i w:val="0"/>
          <w:iCs w:val="0"/>
          <w:kern w:val="2"/>
          <w14:ligatures w14:val="standardContextual"/>
        </w:rPr>
      </w:pPr>
      <w:hyperlink w:anchor="_Toc236220103" w:history="1">
        <w:r w:rsidRPr="009334EF">
          <w:rPr>
            <w:rStyle w:val="Hyperlink"/>
            <w:i w:val="0"/>
            <w:iCs w:val="0"/>
            <w:u w:val="none"/>
          </w:rPr>
          <w:t>6.5.5</w:t>
        </w:r>
        <w:r w:rsidRPr="009334EF">
          <w:rPr>
            <w:rFonts w:eastAsiaTheme="minorEastAsia"/>
            <w:i w:val="0"/>
            <w:iCs w:val="0"/>
            <w:kern w:val="2"/>
            <w14:ligatures w14:val="standardContextual"/>
          </w:rPr>
          <w:tab/>
        </w:r>
        <w:r w:rsidRPr="009334EF">
          <w:rPr>
            <w:rStyle w:val="Hyperlink"/>
            <w:i w:val="0"/>
            <w:iCs w:val="0"/>
            <w:u w:val="none"/>
          </w:rPr>
          <w:t>QSE Activities</w:t>
        </w:r>
        <w:r w:rsidRPr="009334EF">
          <w:rPr>
            <w:i w:val="0"/>
            <w:iCs w:val="0"/>
            <w:webHidden/>
          </w:rPr>
          <w:tab/>
        </w:r>
        <w:r w:rsidRPr="009334EF">
          <w:rPr>
            <w:i w:val="0"/>
            <w:iCs w:val="0"/>
            <w:webHidden/>
          </w:rPr>
          <w:fldChar w:fldCharType="begin"/>
        </w:r>
        <w:r w:rsidRPr="009334EF">
          <w:rPr>
            <w:i w:val="0"/>
            <w:iCs w:val="0"/>
            <w:webHidden/>
          </w:rPr>
          <w:instrText xml:space="preserve"> PAGEREF _Toc236220103 \h </w:instrText>
        </w:r>
        <w:r w:rsidRPr="009334EF">
          <w:rPr>
            <w:i w:val="0"/>
            <w:iCs w:val="0"/>
            <w:webHidden/>
          </w:rPr>
        </w:r>
        <w:r w:rsidRPr="009334EF">
          <w:rPr>
            <w:i w:val="0"/>
            <w:iCs w:val="0"/>
            <w:webHidden/>
          </w:rPr>
          <w:fldChar w:fldCharType="separate"/>
        </w:r>
        <w:r w:rsidR="00464A0C">
          <w:rPr>
            <w:i w:val="0"/>
            <w:iCs w:val="0"/>
            <w:webHidden/>
          </w:rPr>
          <w:t>6-35</w:t>
        </w:r>
        <w:r w:rsidRPr="009334EF">
          <w:rPr>
            <w:i w:val="0"/>
            <w:iCs w:val="0"/>
            <w:webHidden/>
          </w:rPr>
          <w:fldChar w:fldCharType="end"/>
        </w:r>
      </w:hyperlink>
    </w:p>
    <w:p w14:paraId="728C89C7" w14:textId="3F8B93CF" w:rsidR="009334EF" w:rsidRPr="009334EF" w:rsidRDefault="009334EF">
      <w:pPr>
        <w:pStyle w:val="TOC4"/>
        <w:rPr>
          <w:rFonts w:eastAsiaTheme="minorEastAsia"/>
          <w:kern w:val="2"/>
          <w:lang w:val="en-US"/>
          <w14:ligatures w14:val="standardContextual"/>
        </w:rPr>
      </w:pPr>
      <w:hyperlink w:anchor="_Toc236220104" w:history="1">
        <w:r w:rsidRPr="009334EF">
          <w:rPr>
            <w:rStyle w:val="Hyperlink"/>
            <w:u w:val="none"/>
          </w:rPr>
          <w:t>6.5.5.1</w:t>
        </w:r>
        <w:r w:rsidRPr="009334EF">
          <w:rPr>
            <w:rFonts w:eastAsiaTheme="minorEastAsia"/>
            <w:kern w:val="2"/>
            <w:lang w:val="en-US"/>
            <w14:ligatures w14:val="standardContextual"/>
          </w:rPr>
          <w:tab/>
        </w:r>
        <w:r w:rsidRPr="009334EF">
          <w:rPr>
            <w:rStyle w:val="Hyperlink"/>
            <w:u w:val="none"/>
          </w:rPr>
          <w:t>Changes in Resource Status</w:t>
        </w:r>
        <w:r w:rsidRPr="009334EF">
          <w:rPr>
            <w:webHidden/>
          </w:rPr>
          <w:tab/>
        </w:r>
        <w:r w:rsidRPr="009334EF">
          <w:rPr>
            <w:webHidden/>
          </w:rPr>
          <w:fldChar w:fldCharType="begin"/>
        </w:r>
        <w:r w:rsidRPr="009334EF">
          <w:rPr>
            <w:webHidden/>
          </w:rPr>
          <w:instrText xml:space="preserve"> PAGEREF _Toc236220104 \h </w:instrText>
        </w:r>
        <w:r w:rsidRPr="009334EF">
          <w:rPr>
            <w:webHidden/>
          </w:rPr>
        </w:r>
        <w:r w:rsidRPr="009334EF">
          <w:rPr>
            <w:webHidden/>
          </w:rPr>
          <w:fldChar w:fldCharType="separate"/>
        </w:r>
        <w:r w:rsidR="00464A0C">
          <w:rPr>
            <w:webHidden/>
          </w:rPr>
          <w:t>6-35</w:t>
        </w:r>
        <w:r w:rsidRPr="009334EF">
          <w:rPr>
            <w:webHidden/>
          </w:rPr>
          <w:fldChar w:fldCharType="end"/>
        </w:r>
      </w:hyperlink>
    </w:p>
    <w:p w14:paraId="148E7E66" w14:textId="31CA378C" w:rsidR="009334EF" w:rsidRPr="009334EF" w:rsidRDefault="009334EF">
      <w:pPr>
        <w:pStyle w:val="TOC4"/>
        <w:rPr>
          <w:rFonts w:eastAsiaTheme="minorEastAsia"/>
          <w:kern w:val="2"/>
          <w:lang w:val="en-US"/>
          <w14:ligatures w14:val="standardContextual"/>
        </w:rPr>
      </w:pPr>
      <w:hyperlink w:anchor="_Toc236220105" w:history="1">
        <w:r w:rsidRPr="009334EF">
          <w:rPr>
            <w:rStyle w:val="Hyperlink"/>
            <w:u w:val="none"/>
          </w:rPr>
          <w:t>6.5.5.2</w:t>
        </w:r>
        <w:r w:rsidRPr="009334EF">
          <w:rPr>
            <w:rFonts w:eastAsiaTheme="minorEastAsia"/>
            <w:kern w:val="2"/>
            <w:lang w:val="en-US"/>
            <w14:ligatures w14:val="standardContextual"/>
          </w:rPr>
          <w:tab/>
        </w:r>
        <w:r w:rsidRPr="009334EF">
          <w:rPr>
            <w:rStyle w:val="Hyperlink"/>
            <w:u w:val="none"/>
          </w:rPr>
          <w:t>Operational Data Requirements</w:t>
        </w:r>
        <w:r w:rsidRPr="009334EF">
          <w:rPr>
            <w:webHidden/>
          </w:rPr>
          <w:tab/>
        </w:r>
        <w:r w:rsidRPr="009334EF">
          <w:rPr>
            <w:webHidden/>
          </w:rPr>
          <w:fldChar w:fldCharType="begin"/>
        </w:r>
        <w:r w:rsidRPr="009334EF">
          <w:rPr>
            <w:webHidden/>
          </w:rPr>
          <w:instrText xml:space="preserve"> PAGEREF _Toc236220105 \h </w:instrText>
        </w:r>
        <w:r w:rsidRPr="009334EF">
          <w:rPr>
            <w:webHidden/>
          </w:rPr>
        </w:r>
        <w:r w:rsidRPr="009334EF">
          <w:rPr>
            <w:webHidden/>
          </w:rPr>
          <w:fldChar w:fldCharType="separate"/>
        </w:r>
        <w:r w:rsidR="00464A0C">
          <w:rPr>
            <w:webHidden/>
          </w:rPr>
          <w:t>6-36</w:t>
        </w:r>
        <w:r w:rsidRPr="009334EF">
          <w:rPr>
            <w:webHidden/>
          </w:rPr>
          <w:fldChar w:fldCharType="end"/>
        </w:r>
      </w:hyperlink>
    </w:p>
    <w:p w14:paraId="3993C022" w14:textId="2FAA3726" w:rsidR="009334EF" w:rsidRPr="009334EF" w:rsidRDefault="009334EF">
      <w:pPr>
        <w:pStyle w:val="TOC3"/>
        <w:rPr>
          <w:rFonts w:eastAsiaTheme="minorEastAsia"/>
          <w:i w:val="0"/>
          <w:iCs w:val="0"/>
          <w:kern w:val="2"/>
          <w14:ligatures w14:val="standardContextual"/>
        </w:rPr>
      </w:pPr>
      <w:hyperlink w:anchor="_Toc236220106" w:history="1">
        <w:r w:rsidRPr="009334EF">
          <w:rPr>
            <w:rStyle w:val="Hyperlink"/>
            <w:i w:val="0"/>
            <w:iCs w:val="0"/>
            <w:u w:val="none"/>
          </w:rPr>
          <w:t>6.5.6</w:t>
        </w:r>
        <w:r w:rsidRPr="009334EF">
          <w:rPr>
            <w:rFonts w:eastAsiaTheme="minorEastAsia"/>
            <w:i w:val="0"/>
            <w:iCs w:val="0"/>
            <w:kern w:val="2"/>
            <w14:ligatures w14:val="standardContextual"/>
          </w:rPr>
          <w:tab/>
        </w:r>
        <w:r w:rsidRPr="009334EF">
          <w:rPr>
            <w:rStyle w:val="Hyperlink"/>
            <w:i w:val="0"/>
            <w:iCs w:val="0"/>
            <w:u w:val="none"/>
          </w:rPr>
          <w:t>TSP and DSP Responsibilities</w:t>
        </w:r>
        <w:r w:rsidRPr="009334EF">
          <w:rPr>
            <w:i w:val="0"/>
            <w:iCs w:val="0"/>
            <w:webHidden/>
          </w:rPr>
          <w:tab/>
        </w:r>
        <w:r w:rsidRPr="009334EF">
          <w:rPr>
            <w:i w:val="0"/>
            <w:iCs w:val="0"/>
            <w:webHidden/>
          </w:rPr>
          <w:fldChar w:fldCharType="begin"/>
        </w:r>
        <w:r w:rsidRPr="009334EF">
          <w:rPr>
            <w:i w:val="0"/>
            <w:iCs w:val="0"/>
            <w:webHidden/>
          </w:rPr>
          <w:instrText xml:space="preserve"> PAGEREF _Toc236220106 \h </w:instrText>
        </w:r>
        <w:r w:rsidRPr="009334EF">
          <w:rPr>
            <w:i w:val="0"/>
            <w:iCs w:val="0"/>
            <w:webHidden/>
          </w:rPr>
        </w:r>
        <w:r w:rsidRPr="009334EF">
          <w:rPr>
            <w:i w:val="0"/>
            <w:iCs w:val="0"/>
            <w:webHidden/>
          </w:rPr>
          <w:fldChar w:fldCharType="separate"/>
        </w:r>
        <w:r w:rsidR="00464A0C">
          <w:rPr>
            <w:i w:val="0"/>
            <w:iCs w:val="0"/>
            <w:webHidden/>
          </w:rPr>
          <w:t>6-44</w:t>
        </w:r>
        <w:r w:rsidRPr="009334EF">
          <w:rPr>
            <w:i w:val="0"/>
            <w:iCs w:val="0"/>
            <w:webHidden/>
          </w:rPr>
          <w:fldChar w:fldCharType="end"/>
        </w:r>
      </w:hyperlink>
    </w:p>
    <w:p w14:paraId="743EB137" w14:textId="411FFA3E" w:rsidR="009334EF" w:rsidRPr="009334EF" w:rsidRDefault="009334EF">
      <w:pPr>
        <w:pStyle w:val="TOC3"/>
        <w:rPr>
          <w:rFonts w:eastAsiaTheme="minorEastAsia"/>
          <w:i w:val="0"/>
          <w:iCs w:val="0"/>
          <w:kern w:val="2"/>
          <w14:ligatures w14:val="standardContextual"/>
        </w:rPr>
      </w:pPr>
      <w:hyperlink w:anchor="_Toc236220107" w:history="1">
        <w:r w:rsidRPr="009334EF">
          <w:rPr>
            <w:rStyle w:val="Hyperlink"/>
            <w:i w:val="0"/>
            <w:iCs w:val="0"/>
            <w:u w:val="none"/>
          </w:rPr>
          <w:t>6.5.6</w:t>
        </w:r>
        <w:r w:rsidRPr="009334EF">
          <w:rPr>
            <w:rFonts w:eastAsiaTheme="minorEastAsia"/>
            <w:i w:val="0"/>
            <w:iCs w:val="0"/>
            <w:kern w:val="2"/>
            <w14:ligatures w14:val="standardContextual"/>
          </w:rPr>
          <w:tab/>
        </w:r>
        <w:r w:rsidRPr="009334EF">
          <w:rPr>
            <w:rStyle w:val="Hyperlink"/>
            <w:i w:val="0"/>
            <w:iCs w:val="0"/>
            <w:u w:val="none"/>
          </w:rPr>
          <w:t>TSP, TO, DCTO, and DSP Responsibilities</w:t>
        </w:r>
        <w:r w:rsidRPr="009334EF">
          <w:rPr>
            <w:i w:val="0"/>
            <w:iCs w:val="0"/>
            <w:webHidden/>
          </w:rPr>
          <w:tab/>
        </w:r>
        <w:r w:rsidRPr="009334EF">
          <w:rPr>
            <w:i w:val="0"/>
            <w:iCs w:val="0"/>
            <w:webHidden/>
          </w:rPr>
          <w:fldChar w:fldCharType="begin"/>
        </w:r>
        <w:r w:rsidRPr="009334EF">
          <w:rPr>
            <w:i w:val="0"/>
            <w:iCs w:val="0"/>
            <w:webHidden/>
          </w:rPr>
          <w:instrText xml:space="preserve"> PAGEREF _Toc236220107 \h </w:instrText>
        </w:r>
        <w:r w:rsidRPr="009334EF">
          <w:rPr>
            <w:i w:val="0"/>
            <w:iCs w:val="0"/>
            <w:webHidden/>
          </w:rPr>
        </w:r>
        <w:r w:rsidRPr="009334EF">
          <w:rPr>
            <w:i w:val="0"/>
            <w:iCs w:val="0"/>
            <w:webHidden/>
          </w:rPr>
          <w:fldChar w:fldCharType="separate"/>
        </w:r>
        <w:r w:rsidR="00464A0C">
          <w:rPr>
            <w:i w:val="0"/>
            <w:iCs w:val="0"/>
            <w:webHidden/>
          </w:rPr>
          <w:t>6-44</w:t>
        </w:r>
        <w:r w:rsidRPr="009334EF">
          <w:rPr>
            <w:i w:val="0"/>
            <w:iCs w:val="0"/>
            <w:webHidden/>
          </w:rPr>
          <w:fldChar w:fldCharType="end"/>
        </w:r>
      </w:hyperlink>
    </w:p>
    <w:p w14:paraId="24217528" w14:textId="363F0180" w:rsidR="009334EF" w:rsidRPr="009334EF" w:rsidRDefault="009334EF">
      <w:pPr>
        <w:pStyle w:val="TOC3"/>
        <w:rPr>
          <w:rFonts w:eastAsiaTheme="minorEastAsia"/>
          <w:i w:val="0"/>
          <w:iCs w:val="0"/>
          <w:kern w:val="2"/>
          <w14:ligatures w14:val="standardContextual"/>
        </w:rPr>
      </w:pPr>
      <w:hyperlink w:anchor="_Toc236220108" w:history="1">
        <w:r w:rsidRPr="009334EF">
          <w:rPr>
            <w:rStyle w:val="Hyperlink"/>
            <w:i w:val="0"/>
            <w:iCs w:val="0"/>
            <w:u w:val="none"/>
          </w:rPr>
          <w:t>6.5.7</w:t>
        </w:r>
        <w:r w:rsidRPr="009334EF">
          <w:rPr>
            <w:rFonts w:eastAsiaTheme="minorEastAsia"/>
            <w:i w:val="0"/>
            <w:iCs w:val="0"/>
            <w:kern w:val="2"/>
            <w14:ligatures w14:val="standardContextual"/>
          </w:rPr>
          <w:tab/>
        </w:r>
        <w:r w:rsidRPr="009334EF">
          <w:rPr>
            <w:rStyle w:val="Hyperlink"/>
            <w:i w:val="0"/>
            <w:iCs w:val="0"/>
            <w:u w:val="none"/>
          </w:rPr>
          <w:t>Real-Time Sequence Methodology</w:t>
        </w:r>
        <w:r w:rsidRPr="009334EF">
          <w:rPr>
            <w:i w:val="0"/>
            <w:iCs w:val="0"/>
            <w:webHidden/>
          </w:rPr>
          <w:tab/>
        </w:r>
        <w:r w:rsidRPr="009334EF">
          <w:rPr>
            <w:i w:val="0"/>
            <w:iCs w:val="0"/>
            <w:webHidden/>
          </w:rPr>
          <w:fldChar w:fldCharType="begin"/>
        </w:r>
        <w:r w:rsidRPr="009334EF">
          <w:rPr>
            <w:i w:val="0"/>
            <w:iCs w:val="0"/>
            <w:webHidden/>
          </w:rPr>
          <w:instrText xml:space="preserve"> PAGEREF _Toc236220108 \h </w:instrText>
        </w:r>
        <w:r w:rsidRPr="009334EF">
          <w:rPr>
            <w:i w:val="0"/>
            <w:iCs w:val="0"/>
            <w:webHidden/>
          </w:rPr>
        </w:r>
        <w:r w:rsidRPr="009334EF">
          <w:rPr>
            <w:i w:val="0"/>
            <w:iCs w:val="0"/>
            <w:webHidden/>
          </w:rPr>
          <w:fldChar w:fldCharType="separate"/>
        </w:r>
        <w:r w:rsidR="00464A0C">
          <w:rPr>
            <w:i w:val="0"/>
            <w:iCs w:val="0"/>
            <w:webHidden/>
          </w:rPr>
          <w:t>6-45</w:t>
        </w:r>
        <w:r w:rsidRPr="009334EF">
          <w:rPr>
            <w:i w:val="0"/>
            <w:iCs w:val="0"/>
            <w:webHidden/>
          </w:rPr>
          <w:fldChar w:fldCharType="end"/>
        </w:r>
      </w:hyperlink>
    </w:p>
    <w:p w14:paraId="329841D8" w14:textId="61B6A3B3" w:rsidR="009334EF" w:rsidRPr="009334EF" w:rsidRDefault="009334EF">
      <w:pPr>
        <w:pStyle w:val="TOC4"/>
        <w:rPr>
          <w:rFonts w:eastAsiaTheme="minorEastAsia"/>
          <w:kern w:val="2"/>
          <w:lang w:val="en-US"/>
          <w14:ligatures w14:val="standardContextual"/>
        </w:rPr>
      </w:pPr>
      <w:hyperlink w:anchor="_Toc236220109" w:history="1">
        <w:r w:rsidRPr="009334EF">
          <w:rPr>
            <w:rStyle w:val="Hyperlink"/>
            <w:u w:val="none"/>
          </w:rPr>
          <w:t>6.5.7.1</w:t>
        </w:r>
        <w:r w:rsidRPr="009334EF">
          <w:rPr>
            <w:rFonts w:eastAsiaTheme="minorEastAsia"/>
            <w:kern w:val="2"/>
            <w:lang w:val="en-US"/>
            <w14:ligatures w14:val="standardContextual"/>
          </w:rPr>
          <w:tab/>
        </w:r>
        <w:r w:rsidRPr="009334EF">
          <w:rPr>
            <w:rStyle w:val="Hyperlink"/>
            <w:u w:val="none"/>
          </w:rPr>
          <w:t>Real-Time Sequence</w:t>
        </w:r>
        <w:r w:rsidRPr="009334EF">
          <w:rPr>
            <w:webHidden/>
          </w:rPr>
          <w:tab/>
        </w:r>
        <w:r w:rsidRPr="009334EF">
          <w:rPr>
            <w:webHidden/>
          </w:rPr>
          <w:fldChar w:fldCharType="begin"/>
        </w:r>
        <w:r w:rsidRPr="009334EF">
          <w:rPr>
            <w:webHidden/>
          </w:rPr>
          <w:instrText xml:space="preserve"> PAGEREF _Toc236220109 \h </w:instrText>
        </w:r>
        <w:r w:rsidRPr="009334EF">
          <w:rPr>
            <w:webHidden/>
          </w:rPr>
        </w:r>
        <w:r w:rsidRPr="009334EF">
          <w:rPr>
            <w:webHidden/>
          </w:rPr>
          <w:fldChar w:fldCharType="separate"/>
        </w:r>
        <w:r w:rsidR="00464A0C">
          <w:rPr>
            <w:webHidden/>
          </w:rPr>
          <w:t>6-45</w:t>
        </w:r>
        <w:r w:rsidRPr="009334EF">
          <w:rPr>
            <w:webHidden/>
          </w:rPr>
          <w:fldChar w:fldCharType="end"/>
        </w:r>
      </w:hyperlink>
    </w:p>
    <w:p w14:paraId="1622CBCB" w14:textId="73691FC3" w:rsidR="009334EF" w:rsidRPr="009334EF" w:rsidRDefault="009334EF">
      <w:pPr>
        <w:pStyle w:val="TOC5"/>
        <w:rPr>
          <w:rFonts w:eastAsiaTheme="minorEastAsia"/>
          <w:i w:val="0"/>
          <w:kern w:val="2"/>
          <w:sz w:val="20"/>
          <w:szCs w:val="20"/>
          <w14:ligatures w14:val="standardContextual"/>
        </w:rPr>
      </w:pPr>
      <w:hyperlink w:anchor="_Toc236220110" w:history="1">
        <w:r w:rsidRPr="009334EF">
          <w:rPr>
            <w:rStyle w:val="Hyperlink"/>
            <w:i w:val="0"/>
            <w:sz w:val="20"/>
            <w:szCs w:val="20"/>
            <w:u w:val="none"/>
          </w:rPr>
          <w:t>6.5.7.1.1</w:t>
        </w:r>
        <w:r w:rsidRPr="009334EF">
          <w:rPr>
            <w:rFonts w:eastAsiaTheme="minorEastAsia"/>
            <w:i w:val="0"/>
            <w:kern w:val="2"/>
            <w:sz w:val="20"/>
            <w:szCs w:val="20"/>
            <w14:ligatures w14:val="standardContextual"/>
          </w:rPr>
          <w:tab/>
        </w:r>
        <w:r w:rsidRPr="009334EF">
          <w:rPr>
            <w:rStyle w:val="Hyperlink"/>
            <w:i w:val="0"/>
            <w:sz w:val="20"/>
            <w:szCs w:val="20"/>
            <w:u w:val="none"/>
          </w:rPr>
          <w:t>SCADA Telemetry</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_Toc236220110 \h </w:instrText>
        </w:r>
        <w:r w:rsidRPr="009334EF">
          <w:rPr>
            <w:i w:val="0"/>
            <w:webHidden/>
            <w:sz w:val="20"/>
            <w:szCs w:val="20"/>
          </w:rPr>
        </w:r>
        <w:r w:rsidRPr="009334EF">
          <w:rPr>
            <w:i w:val="0"/>
            <w:webHidden/>
            <w:sz w:val="20"/>
            <w:szCs w:val="20"/>
          </w:rPr>
          <w:fldChar w:fldCharType="separate"/>
        </w:r>
        <w:r w:rsidR="00464A0C">
          <w:rPr>
            <w:i w:val="0"/>
            <w:webHidden/>
            <w:sz w:val="20"/>
            <w:szCs w:val="20"/>
          </w:rPr>
          <w:t>6-46</w:t>
        </w:r>
        <w:r w:rsidRPr="009334EF">
          <w:rPr>
            <w:i w:val="0"/>
            <w:webHidden/>
            <w:sz w:val="20"/>
            <w:szCs w:val="20"/>
          </w:rPr>
          <w:fldChar w:fldCharType="end"/>
        </w:r>
      </w:hyperlink>
    </w:p>
    <w:p w14:paraId="4FF0F9CB" w14:textId="4F962B54" w:rsidR="009334EF" w:rsidRPr="009334EF" w:rsidRDefault="009334EF">
      <w:pPr>
        <w:pStyle w:val="TOC5"/>
        <w:rPr>
          <w:rFonts w:eastAsiaTheme="minorEastAsia"/>
          <w:i w:val="0"/>
          <w:kern w:val="2"/>
          <w:sz w:val="20"/>
          <w:szCs w:val="20"/>
          <w14:ligatures w14:val="standardContextual"/>
        </w:rPr>
      </w:pPr>
      <w:hyperlink w:anchor="_Toc236220111" w:history="1">
        <w:r w:rsidRPr="009334EF">
          <w:rPr>
            <w:rStyle w:val="Hyperlink"/>
            <w:i w:val="0"/>
            <w:sz w:val="20"/>
            <w:szCs w:val="20"/>
            <w:u w:val="none"/>
          </w:rPr>
          <w:t>6.5.7.1.2</w:t>
        </w:r>
        <w:r w:rsidRPr="009334EF">
          <w:rPr>
            <w:rFonts w:eastAsiaTheme="minorEastAsia"/>
            <w:i w:val="0"/>
            <w:kern w:val="2"/>
            <w:sz w:val="20"/>
            <w:szCs w:val="20"/>
            <w14:ligatures w14:val="standardContextual"/>
          </w:rPr>
          <w:tab/>
        </w:r>
        <w:r w:rsidRPr="009334EF">
          <w:rPr>
            <w:rStyle w:val="Hyperlink"/>
            <w:i w:val="0"/>
            <w:sz w:val="20"/>
            <w:szCs w:val="20"/>
            <w:u w:val="none"/>
          </w:rPr>
          <w:t>Network Topology Builder</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_Toc236220111 \h </w:instrText>
        </w:r>
        <w:r w:rsidRPr="009334EF">
          <w:rPr>
            <w:i w:val="0"/>
            <w:webHidden/>
            <w:sz w:val="20"/>
            <w:szCs w:val="20"/>
          </w:rPr>
        </w:r>
        <w:r w:rsidRPr="009334EF">
          <w:rPr>
            <w:i w:val="0"/>
            <w:webHidden/>
            <w:sz w:val="20"/>
            <w:szCs w:val="20"/>
          </w:rPr>
          <w:fldChar w:fldCharType="separate"/>
        </w:r>
        <w:r w:rsidR="00464A0C">
          <w:rPr>
            <w:i w:val="0"/>
            <w:webHidden/>
            <w:sz w:val="20"/>
            <w:szCs w:val="20"/>
          </w:rPr>
          <w:t>6-46</w:t>
        </w:r>
        <w:r w:rsidRPr="009334EF">
          <w:rPr>
            <w:i w:val="0"/>
            <w:webHidden/>
            <w:sz w:val="20"/>
            <w:szCs w:val="20"/>
          </w:rPr>
          <w:fldChar w:fldCharType="end"/>
        </w:r>
      </w:hyperlink>
    </w:p>
    <w:p w14:paraId="6AABD2C9" w14:textId="49A4370D" w:rsidR="009334EF" w:rsidRPr="009334EF" w:rsidRDefault="009334EF">
      <w:pPr>
        <w:pStyle w:val="TOC5"/>
        <w:rPr>
          <w:rFonts w:eastAsiaTheme="minorEastAsia"/>
          <w:i w:val="0"/>
          <w:kern w:val="2"/>
          <w:sz w:val="20"/>
          <w:szCs w:val="20"/>
          <w14:ligatures w14:val="standardContextual"/>
        </w:rPr>
      </w:pPr>
      <w:hyperlink w:anchor="_Toc236220112" w:history="1">
        <w:r w:rsidRPr="009334EF">
          <w:rPr>
            <w:rStyle w:val="Hyperlink"/>
            <w:i w:val="0"/>
            <w:sz w:val="20"/>
            <w:szCs w:val="20"/>
            <w:u w:val="none"/>
          </w:rPr>
          <w:t>6.5.7.1.3</w:t>
        </w:r>
        <w:r w:rsidRPr="009334EF">
          <w:rPr>
            <w:rFonts w:eastAsiaTheme="minorEastAsia"/>
            <w:i w:val="0"/>
            <w:kern w:val="2"/>
            <w:sz w:val="20"/>
            <w:szCs w:val="20"/>
            <w14:ligatures w14:val="standardContextual"/>
          </w:rPr>
          <w:tab/>
        </w:r>
        <w:r w:rsidRPr="009334EF">
          <w:rPr>
            <w:rStyle w:val="Hyperlink"/>
            <w:i w:val="0"/>
            <w:sz w:val="20"/>
            <w:szCs w:val="20"/>
            <w:u w:val="none"/>
          </w:rPr>
          <w:t>Bus Load Forecast</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_Toc236220112 \h </w:instrText>
        </w:r>
        <w:r w:rsidRPr="009334EF">
          <w:rPr>
            <w:i w:val="0"/>
            <w:webHidden/>
            <w:sz w:val="20"/>
            <w:szCs w:val="20"/>
          </w:rPr>
        </w:r>
        <w:r w:rsidRPr="009334EF">
          <w:rPr>
            <w:i w:val="0"/>
            <w:webHidden/>
            <w:sz w:val="20"/>
            <w:szCs w:val="20"/>
          </w:rPr>
          <w:fldChar w:fldCharType="separate"/>
        </w:r>
        <w:r w:rsidR="00464A0C">
          <w:rPr>
            <w:i w:val="0"/>
            <w:webHidden/>
            <w:sz w:val="20"/>
            <w:szCs w:val="20"/>
          </w:rPr>
          <w:t>6-46</w:t>
        </w:r>
        <w:r w:rsidRPr="009334EF">
          <w:rPr>
            <w:i w:val="0"/>
            <w:webHidden/>
            <w:sz w:val="20"/>
            <w:szCs w:val="20"/>
          </w:rPr>
          <w:fldChar w:fldCharType="end"/>
        </w:r>
      </w:hyperlink>
    </w:p>
    <w:p w14:paraId="5CC25464" w14:textId="6BB312D0" w:rsidR="009334EF" w:rsidRPr="009334EF" w:rsidRDefault="009334EF">
      <w:pPr>
        <w:pStyle w:val="TOC5"/>
        <w:rPr>
          <w:rFonts w:eastAsiaTheme="minorEastAsia"/>
          <w:i w:val="0"/>
          <w:kern w:val="2"/>
          <w:sz w:val="20"/>
          <w:szCs w:val="20"/>
          <w14:ligatures w14:val="standardContextual"/>
        </w:rPr>
      </w:pPr>
      <w:hyperlink w:anchor="_Toc236220113" w:history="1">
        <w:r w:rsidRPr="009334EF">
          <w:rPr>
            <w:rStyle w:val="Hyperlink"/>
            <w:i w:val="0"/>
            <w:sz w:val="20"/>
            <w:szCs w:val="20"/>
            <w:u w:val="none"/>
          </w:rPr>
          <w:t>6.5.7.1.4</w:t>
        </w:r>
        <w:r w:rsidRPr="009334EF">
          <w:rPr>
            <w:rFonts w:eastAsiaTheme="minorEastAsia"/>
            <w:i w:val="0"/>
            <w:kern w:val="2"/>
            <w:sz w:val="20"/>
            <w:szCs w:val="20"/>
            <w14:ligatures w14:val="standardContextual"/>
          </w:rPr>
          <w:tab/>
        </w:r>
        <w:r w:rsidRPr="009334EF">
          <w:rPr>
            <w:rStyle w:val="Hyperlink"/>
            <w:i w:val="0"/>
            <w:sz w:val="20"/>
            <w:szCs w:val="20"/>
            <w:u w:val="none"/>
          </w:rPr>
          <w:t>State Estimator</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_Toc236220113 \h </w:instrText>
        </w:r>
        <w:r w:rsidRPr="009334EF">
          <w:rPr>
            <w:i w:val="0"/>
            <w:webHidden/>
            <w:sz w:val="20"/>
            <w:szCs w:val="20"/>
          </w:rPr>
        </w:r>
        <w:r w:rsidRPr="009334EF">
          <w:rPr>
            <w:i w:val="0"/>
            <w:webHidden/>
            <w:sz w:val="20"/>
            <w:szCs w:val="20"/>
          </w:rPr>
          <w:fldChar w:fldCharType="separate"/>
        </w:r>
        <w:r w:rsidR="00464A0C">
          <w:rPr>
            <w:i w:val="0"/>
            <w:webHidden/>
            <w:sz w:val="20"/>
            <w:szCs w:val="20"/>
          </w:rPr>
          <w:t>6-47</w:t>
        </w:r>
        <w:r w:rsidRPr="009334EF">
          <w:rPr>
            <w:i w:val="0"/>
            <w:webHidden/>
            <w:sz w:val="20"/>
            <w:szCs w:val="20"/>
          </w:rPr>
          <w:fldChar w:fldCharType="end"/>
        </w:r>
      </w:hyperlink>
    </w:p>
    <w:p w14:paraId="262C6555" w14:textId="4AD3C3A5" w:rsidR="009334EF" w:rsidRPr="009334EF" w:rsidRDefault="009334EF">
      <w:pPr>
        <w:pStyle w:val="TOC5"/>
        <w:rPr>
          <w:rFonts w:eastAsiaTheme="minorEastAsia"/>
          <w:i w:val="0"/>
          <w:kern w:val="2"/>
          <w:sz w:val="20"/>
          <w:szCs w:val="20"/>
          <w14:ligatures w14:val="standardContextual"/>
        </w:rPr>
      </w:pPr>
      <w:hyperlink w:anchor="_Toc236220114" w:history="1">
        <w:r w:rsidRPr="009334EF">
          <w:rPr>
            <w:rStyle w:val="Hyperlink"/>
            <w:i w:val="0"/>
            <w:sz w:val="20"/>
            <w:szCs w:val="20"/>
            <w:u w:val="none"/>
          </w:rPr>
          <w:t>6.5.7.1.5</w:t>
        </w:r>
        <w:r w:rsidRPr="009334EF">
          <w:rPr>
            <w:rFonts w:eastAsiaTheme="minorEastAsia"/>
            <w:i w:val="0"/>
            <w:kern w:val="2"/>
            <w:sz w:val="20"/>
            <w:szCs w:val="20"/>
            <w14:ligatures w14:val="standardContextual"/>
          </w:rPr>
          <w:tab/>
        </w:r>
        <w:r w:rsidRPr="009334EF">
          <w:rPr>
            <w:rStyle w:val="Hyperlink"/>
            <w:i w:val="0"/>
            <w:sz w:val="20"/>
            <w:szCs w:val="20"/>
            <w:u w:val="none"/>
          </w:rPr>
          <w:t>Topology Consistency Analyzer</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_Toc236220114 \h </w:instrText>
        </w:r>
        <w:r w:rsidRPr="009334EF">
          <w:rPr>
            <w:i w:val="0"/>
            <w:webHidden/>
            <w:sz w:val="20"/>
            <w:szCs w:val="20"/>
          </w:rPr>
        </w:r>
        <w:r w:rsidRPr="009334EF">
          <w:rPr>
            <w:i w:val="0"/>
            <w:webHidden/>
            <w:sz w:val="20"/>
            <w:szCs w:val="20"/>
          </w:rPr>
          <w:fldChar w:fldCharType="separate"/>
        </w:r>
        <w:r w:rsidR="00464A0C">
          <w:rPr>
            <w:i w:val="0"/>
            <w:webHidden/>
            <w:sz w:val="20"/>
            <w:szCs w:val="20"/>
          </w:rPr>
          <w:t>6-47</w:t>
        </w:r>
        <w:r w:rsidRPr="009334EF">
          <w:rPr>
            <w:i w:val="0"/>
            <w:webHidden/>
            <w:sz w:val="20"/>
            <w:szCs w:val="20"/>
          </w:rPr>
          <w:fldChar w:fldCharType="end"/>
        </w:r>
      </w:hyperlink>
    </w:p>
    <w:p w14:paraId="10384207" w14:textId="4B7E8CAD" w:rsidR="009334EF" w:rsidRPr="009334EF" w:rsidRDefault="009334EF">
      <w:pPr>
        <w:pStyle w:val="TOC5"/>
        <w:rPr>
          <w:rFonts w:eastAsiaTheme="minorEastAsia"/>
          <w:i w:val="0"/>
          <w:kern w:val="2"/>
          <w:sz w:val="20"/>
          <w:szCs w:val="20"/>
          <w14:ligatures w14:val="standardContextual"/>
        </w:rPr>
      </w:pPr>
      <w:hyperlink w:anchor="_Toc236220115" w:history="1">
        <w:r w:rsidRPr="009334EF">
          <w:rPr>
            <w:rStyle w:val="Hyperlink"/>
            <w:i w:val="0"/>
            <w:sz w:val="20"/>
            <w:szCs w:val="20"/>
            <w:u w:val="none"/>
          </w:rPr>
          <w:t>6.5.7.1.6</w:t>
        </w:r>
        <w:r w:rsidRPr="009334EF">
          <w:rPr>
            <w:rFonts w:eastAsiaTheme="minorEastAsia"/>
            <w:i w:val="0"/>
            <w:kern w:val="2"/>
            <w:sz w:val="20"/>
            <w:szCs w:val="20"/>
            <w14:ligatures w14:val="standardContextual"/>
          </w:rPr>
          <w:tab/>
        </w:r>
        <w:r w:rsidRPr="009334EF">
          <w:rPr>
            <w:rStyle w:val="Hyperlink"/>
            <w:i w:val="0"/>
            <w:sz w:val="20"/>
            <w:szCs w:val="20"/>
            <w:u w:val="none"/>
          </w:rPr>
          <w:t>Breakers/Switch Status Alarm Processor and Forced Outage Detection Processor</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_Toc236220115 \h </w:instrText>
        </w:r>
        <w:r w:rsidRPr="009334EF">
          <w:rPr>
            <w:i w:val="0"/>
            <w:webHidden/>
            <w:sz w:val="20"/>
            <w:szCs w:val="20"/>
          </w:rPr>
        </w:r>
        <w:r w:rsidRPr="009334EF">
          <w:rPr>
            <w:i w:val="0"/>
            <w:webHidden/>
            <w:sz w:val="20"/>
            <w:szCs w:val="20"/>
          </w:rPr>
          <w:fldChar w:fldCharType="separate"/>
        </w:r>
        <w:r w:rsidR="00464A0C">
          <w:rPr>
            <w:i w:val="0"/>
            <w:webHidden/>
            <w:sz w:val="20"/>
            <w:szCs w:val="20"/>
          </w:rPr>
          <w:t>6-48</w:t>
        </w:r>
        <w:r w:rsidRPr="009334EF">
          <w:rPr>
            <w:i w:val="0"/>
            <w:webHidden/>
            <w:sz w:val="20"/>
            <w:szCs w:val="20"/>
          </w:rPr>
          <w:fldChar w:fldCharType="end"/>
        </w:r>
      </w:hyperlink>
    </w:p>
    <w:p w14:paraId="5949B958" w14:textId="698A2B81" w:rsidR="009334EF" w:rsidRPr="009334EF" w:rsidRDefault="009334EF">
      <w:pPr>
        <w:pStyle w:val="TOC5"/>
        <w:rPr>
          <w:rFonts w:eastAsiaTheme="minorEastAsia"/>
          <w:i w:val="0"/>
          <w:kern w:val="2"/>
          <w:sz w:val="20"/>
          <w:szCs w:val="20"/>
          <w14:ligatures w14:val="standardContextual"/>
        </w:rPr>
      </w:pPr>
      <w:hyperlink w:anchor="_Toc236220116" w:history="1">
        <w:r w:rsidRPr="009334EF">
          <w:rPr>
            <w:rStyle w:val="Hyperlink"/>
            <w:i w:val="0"/>
            <w:sz w:val="20"/>
            <w:szCs w:val="20"/>
            <w:u w:val="none"/>
          </w:rPr>
          <w:t>6.5.7.1.7</w:t>
        </w:r>
        <w:r w:rsidRPr="009334EF">
          <w:rPr>
            <w:rFonts w:eastAsiaTheme="minorEastAsia"/>
            <w:i w:val="0"/>
            <w:kern w:val="2"/>
            <w:sz w:val="20"/>
            <w:szCs w:val="20"/>
            <w14:ligatures w14:val="standardContextual"/>
          </w:rPr>
          <w:tab/>
        </w:r>
        <w:r w:rsidRPr="009334EF">
          <w:rPr>
            <w:rStyle w:val="Hyperlink"/>
            <w:i w:val="0"/>
            <w:sz w:val="20"/>
            <w:szCs w:val="20"/>
            <w:u w:val="none"/>
          </w:rPr>
          <w:t>Real-Time Weather and Dynamic Rating Processor</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_Toc236220116 \h </w:instrText>
        </w:r>
        <w:r w:rsidRPr="009334EF">
          <w:rPr>
            <w:i w:val="0"/>
            <w:webHidden/>
            <w:sz w:val="20"/>
            <w:szCs w:val="20"/>
          </w:rPr>
        </w:r>
        <w:r w:rsidRPr="009334EF">
          <w:rPr>
            <w:i w:val="0"/>
            <w:webHidden/>
            <w:sz w:val="20"/>
            <w:szCs w:val="20"/>
          </w:rPr>
          <w:fldChar w:fldCharType="separate"/>
        </w:r>
        <w:r w:rsidR="00464A0C">
          <w:rPr>
            <w:i w:val="0"/>
            <w:webHidden/>
            <w:sz w:val="20"/>
            <w:szCs w:val="20"/>
          </w:rPr>
          <w:t>6-48</w:t>
        </w:r>
        <w:r w:rsidRPr="009334EF">
          <w:rPr>
            <w:i w:val="0"/>
            <w:webHidden/>
            <w:sz w:val="20"/>
            <w:szCs w:val="20"/>
          </w:rPr>
          <w:fldChar w:fldCharType="end"/>
        </w:r>
      </w:hyperlink>
    </w:p>
    <w:p w14:paraId="7C5844A6" w14:textId="5F2C0AEB" w:rsidR="009334EF" w:rsidRPr="009334EF" w:rsidRDefault="009334EF">
      <w:pPr>
        <w:pStyle w:val="TOC5"/>
        <w:rPr>
          <w:rFonts w:eastAsiaTheme="minorEastAsia"/>
          <w:i w:val="0"/>
          <w:kern w:val="2"/>
          <w:sz w:val="20"/>
          <w:szCs w:val="20"/>
          <w14:ligatures w14:val="standardContextual"/>
        </w:rPr>
      </w:pPr>
      <w:hyperlink w:anchor="_Toc236220117" w:history="1">
        <w:r w:rsidRPr="009334EF">
          <w:rPr>
            <w:rStyle w:val="Hyperlink"/>
            <w:i w:val="0"/>
            <w:sz w:val="20"/>
            <w:szCs w:val="20"/>
            <w:u w:val="none"/>
          </w:rPr>
          <w:t>6.5.7.1.8</w:t>
        </w:r>
        <w:r w:rsidRPr="009334EF">
          <w:rPr>
            <w:rFonts w:eastAsiaTheme="minorEastAsia"/>
            <w:i w:val="0"/>
            <w:kern w:val="2"/>
            <w:sz w:val="20"/>
            <w:szCs w:val="20"/>
            <w14:ligatures w14:val="standardContextual"/>
          </w:rPr>
          <w:tab/>
        </w:r>
        <w:r w:rsidRPr="009334EF">
          <w:rPr>
            <w:rStyle w:val="Hyperlink"/>
            <w:i w:val="0"/>
            <w:sz w:val="20"/>
            <w:szCs w:val="20"/>
            <w:u w:val="none"/>
          </w:rPr>
          <w:t>Overload Alarm Processor</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_Toc236220117 \h </w:instrText>
        </w:r>
        <w:r w:rsidRPr="009334EF">
          <w:rPr>
            <w:i w:val="0"/>
            <w:webHidden/>
            <w:sz w:val="20"/>
            <w:szCs w:val="20"/>
          </w:rPr>
        </w:r>
        <w:r w:rsidRPr="009334EF">
          <w:rPr>
            <w:i w:val="0"/>
            <w:webHidden/>
            <w:sz w:val="20"/>
            <w:szCs w:val="20"/>
          </w:rPr>
          <w:fldChar w:fldCharType="separate"/>
        </w:r>
        <w:r w:rsidR="00464A0C">
          <w:rPr>
            <w:i w:val="0"/>
            <w:webHidden/>
            <w:sz w:val="20"/>
            <w:szCs w:val="20"/>
          </w:rPr>
          <w:t>6-48</w:t>
        </w:r>
        <w:r w:rsidRPr="009334EF">
          <w:rPr>
            <w:i w:val="0"/>
            <w:webHidden/>
            <w:sz w:val="20"/>
            <w:szCs w:val="20"/>
          </w:rPr>
          <w:fldChar w:fldCharType="end"/>
        </w:r>
      </w:hyperlink>
    </w:p>
    <w:p w14:paraId="614E92C8" w14:textId="784BC661" w:rsidR="009334EF" w:rsidRPr="009334EF" w:rsidRDefault="009334EF">
      <w:pPr>
        <w:pStyle w:val="TOC5"/>
        <w:rPr>
          <w:rFonts w:eastAsiaTheme="minorEastAsia"/>
          <w:i w:val="0"/>
          <w:kern w:val="2"/>
          <w:sz w:val="20"/>
          <w:szCs w:val="20"/>
          <w14:ligatures w14:val="standardContextual"/>
        </w:rPr>
      </w:pPr>
      <w:hyperlink w:anchor="_Toc236220118" w:history="1">
        <w:r w:rsidRPr="009334EF">
          <w:rPr>
            <w:rStyle w:val="Hyperlink"/>
            <w:i w:val="0"/>
            <w:sz w:val="20"/>
            <w:szCs w:val="20"/>
            <w:u w:val="none"/>
          </w:rPr>
          <w:t>6.5.7.1.9</w:t>
        </w:r>
        <w:r w:rsidRPr="009334EF">
          <w:rPr>
            <w:rFonts w:eastAsiaTheme="minorEastAsia"/>
            <w:i w:val="0"/>
            <w:kern w:val="2"/>
            <w:sz w:val="20"/>
            <w:szCs w:val="20"/>
            <w14:ligatures w14:val="standardContextual"/>
          </w:rPr>
          <w:tab/>
        </w:r>
        <w:r w:rsidRPr="009334EF">
          <w:rPr>
            <w:rStyle w:val="Hyperlink"/>
            <w:i w:val="0"/>
            <w:sz w:val="20"/>
            <w:szCs w:val="20"/>
            <w:u w:val="none"/>
          </w:rPr>
          <w:t>Contingency List and Contingency Screening</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_Toc236220118 \h </w:instrText>
        </w:r>
        <w:r w:rsidRPr="009334EF">
          <w:rPr>
            <w:i w:val="0"/>
            <w:webHidden/>
            <w:sz w:val="20"/>
            <w:szCs w:val="20"/>
          </w:rPr>
        </w:r>
        <w:r w:rsidRPr="009334EF">
          <w:rPr>
            <w:i w:val="0"/>
            <w:webHidden/>
            <w:sz w:val="20"/>
            <w:szCs w:val="20"/>
          </w:rPr>
          <w:fldChar w:fldCharType="separate"/>
        </w:r>
        <w:r w:rsidR="00464A0C">
          <w:rPr>
            <w:i w:val="0"/>
            <w:webHidden/>
            <w:sz w:val="20"/>
            <w:szCs w:val="20"/>
          </w:rPr>
          <w:t>6-48</w:t>
        </w:r>
        <w:r w:rsidRPr="009334EF">
          <w:rPr>
            <w:i w:val="0"/>
            <w:webHidden/>
            <w:sz w:val="20"/>
            <w:szCs w:val="20"/>
          </w:rPr>
          <w:fldChar w:fldCharType="end"/>
        </w:r>
      </w:hyperlink>
    </w:p>
    <w:p w14:paraId="1E61F3E0" w14:textId="770264B9" w:rsidR="009334EF" w:rsidRPr="009334EF" w:rsidRDefault="009334EF">
      <w:pPr>
        <w:pStyle w:val="TOC5"/>
        <w:rPr>
          <w:rFonts w:eastAsiaTheme="minorEastAsia"/>
          <w:i w:val="0"/>
          <w:kern w:val="2"/>
          <w:sz w:val="20"/>
          <w:szCs w:val="20"/>
          <w14:ligatures w14:val="standardContextual"/>
        </w:rPr>
      </w:pPr>
      <w:hyperlink w:anchor="_Toc236220119" w:history="1">
        <w:r w:rsidRPr="009334EF">
          <w:rPr>
            <w:rStyle w:val="Hyperlink"/>
            <w:i w:val="0"/>
            <w:sz w:val="20"/>
            <w:szCs w:val="20"/>
            <w:u w:val="none"/>
          </w:rPr>
          <w:t>6.5.7.1.10</w:t>
        </w:r>
        <w:r w:rsidRPr="009334EF">
          <w:rPr>
            <w:rFonts w:eastAsiaTheme="minorEastAsia"/>
            <w:i w:val="0"/>
            <w:kern w:val="2"/>
            <w:sz w:val="20"/>
            <w:szCs w:val="20"/>
            <w14:ligatures w14:val="standardContextual"/>
          </w:rPr>
          <w:tab/>
        </w:r>
        <w:r w:rsidRPr="009334EF">
          <w:rPr>
            <w:rStyle w:val="Hyperlink"/>
            <w:i w:val="0"/>
            <w:sz w:val="20"/>
            <w:szCs w:val="20"/>
            <w:u w:val="none"/>
          </w:rPr>
          <w:t>Network Security Analysis Processor and Security Violation Alarm</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_Toc236220119 \h </w:instrText>
        </w:r>
        <w:r w:rsidRPr="009334EF">
          <w:rPr>
            <w:i w:val="0"/>
            <w:webHidden/>
            <w:sz w:val="20"/>
            <w:szCs w:val="20"/>
          </w:rPr>
        </w:r>
        <w:r w:rsidRPr="009334EF">
          <w:rPr>
            <w:i w:val="0"/>
            <w:webHidden/>
            <w:sz w:val="20"/>
            <w:szCs w:val="20"/>
          </w:rPr>
          <w:fldChar w:fldCharType="separate"/>
        </w:r>
        <w:r w:rsidR="00464A0C">
          <w:rPr>
            <w:i w:val="0"/>
            <w:webHidden/>
            <w:sz w:val="20"/>
            <w:szCs w:val="20"/>
          </w:rPr>
          <w:t>6-49</w:t>
        </w:r>
        <w:r w:rsidRPr="009334EF">
          <w:rPr>
            <w:i w:val="0"/>
            <w:webHidden/>
            <w:sz w:val="20"/>
            <w:szCs w:val="20"/>
          </w:rPr>
          <w:fldChar w:fldCharType="end"/>
        </w:r>
      </w:hyperlink>
    </w:p>
    <w:p w14:paraId="2ED59D76" w14:textId="17122DD8" w:rsidR="009334EF" w:rsidRPr="009334EF" w:rsidRDefault="009334EF">
      <w:pPr>
        <w:pStyle w:val="TOC5"/>
        <w:rPr>
          <w:rFonts w:eastAsiaTheme="minorEastAsia"/>
          <w:i w:val="0"/>
          <w:kern w:val="2"/>
          <w:sz w:val="20"/>
          <w:szCs w:val="20"/>
          <w14:ligatures w14:val="standardContextual"/>
        </w:rPr>
      </w:pPr>
      <w:hyperlink w:anchor="_Toc236220120" w:history="1">
        <w:r w:rsidRPr="009334EF">
          <w:rPr>
            <w:rStyle w:val="Hyperlink"/>
            <w:i w:val="0"/>
            <w:sz w:val="20"/>
            <w:szCs w:val="20"/>
            <w:u w:val="none"/>
          </w:rPr>
          <w:t>6.5.7.1.11</w:t>
        </w:r>
        <w:r w:rsidRPr="009334EF">
          <w:rPr>
            <w:rFonts w:eastAsiaTheme="minorEastAsia"/>
            <w:i w:val="0"/>
            <w:kern w:val="2"/>
            <w:sz w:val="20"/>
            <w:szCs w:val="20"/>
            <w14:ligatures w14:val="standardContextual"/>
          </w:rPr>
          <w:tab/>
        </w:r>
        <w:r w:rsidRPr="009334EF">
          <w:rPr>
            <w:rStyle w:val="Hyperlink"/>
            <w:i w:val="0"/>
            <w:sz w:val="20"/>
            <w:szCs w:val="20"/>
            <w:u w:val="none"/>
          </w:rPr>
          <w:t>Transmission Network and Power Balance Constraint Management</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_Toc236220120 \h </w:instrText>
        </w:r>
        <w:r w:rsidRPr="009334EF">
          <w:rPr>
            <w:i w:val="0"/>
            <w:webHidden/>
            <w:sz w:val="20"/>
            <w:szCs w:val="20"/>
          </w:rPr>
        </w:r>
        <w:r w:rsidRPr="009334EF">
          <w:rPr>
            <w:i w:val="0"/>
            <w:webHidden/>
            <w:sz w:val="20"/>
            <w:szCs w:val="20"/>
          </w:rPr>
          <w:fldChar w:fldCharType="separate"/>
        </w:r>
        <w:r w:rsidR="00464A0C">
          <w:rPr>
            <w:i w:val="0"/>
            <w:webHidden/>
            <w:sz w:val="20"/>
            <w:szCs w:val="20"/>
          </w:rPr>
          <w:t>6-50</w:t>
        </w:r>
        <w:r w:rsidRPr="009334EF">
          <w:rPr>
            <w:i w:val="0"/>
            <w:webHidden/>
            <w:sz w:val="20"/>
            <w:szCs w:val="20"/>
          </w:rPr>
          <w:fldChar w:fldCharType="end"/>
        </w:r>
      </w:hyperlink>
    </w:p>
    <w:p w14:paraId="54067D7A" w14:textId="6DB3405F" w:rsidR="009334EF" w:rsidRPr="009334EF" w:rsidRDefault="009334EF">
      <w:pPr>
        <w:pStyle w:val="TOC5"/>
        <w:rPr>
          <w:rFonts w:eastAsiaTheme="minorEastAsia"/>
          <w:i w:val="0"/>
          <w:kern w:val="2"/>
          <w:sz w:val="20"/>
          <w:szCs w:val="20"/>
          <w14:ligatures w14:val="standardContextual"/>
        </w:rPr>
      </w:pPr>
      <w:hyperlink w:anchor="_Toc236220121" w:history="1">
        <w:r w:rsidRPr="009334EF">
          <w:rPr>
            <w:rStyle w:val="Hyperlink"/>
            <w:i w:val="0"/>
            <w:sz w:val="20"/>
            <w:szCs w:val="20"/>
            <w:u w:val="none"/>
          </w:rPr>
          <w:t>6.5.7.1.12</w:t>
        </w:r>
        <w:r w:rsidRPr="009334EF">
          <w:rPr>
            <w:rFonts w:eastAsiaTheme="minorEastAsia"/>
            <w:i w:val="0"/>
            <w:kern w:val="2"/>
            <w:sz w:val="20"/>
            <w:szCs w:val="20"/>
            <w14:ligatures w14:val="standardContextual"/>
          </w:rPr>
          <w:tab/>
        </w:r>
        <w:r w:rsidRPr="009334EF">
          <w:rPr>
            <w:rStyle w:val="Hyperlink"/>
            <w:i w:val="0"/>
            <w:sz w:val="20"/>
            <w:szCs w:val="20"/>
            <w:u w:val="none"/>
          </w:rPr>
          <w:t>Resource Limits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_Toc236220121 \h </w:instrText>
        </w:r>
        <w:r w:rsidRPr="009334EF">
          <w:rPr>
            <w:i w:val="0"/>
            <w:webHidden/>
            <w:sz w:val="20"/>
            <w:szCs w:val="20"/>
          </w:rPr>
        </w:r>
        <w:r w:rsidRPr="009334EF">
          <w:rPr>
            <w:i w:val="0"/>
            <w:webHidden/>
            <w:sz w:val="20"/>
            <w:szCs w:val="20"/>
          </w:rPr>
          <w:fldChar w:fldCharType="separate"/>
        </w:r>
        <w:r w:rsidR="00464A0C">
          <w:rPr>
            <w:i w:val="0"/>
            <w:webHidden/>
            <w:sz w:val="20"/>
            <w:szCs w:val="20"/>
          </w:rPr>
          <w:t>6-51</w:t>
        </w:r>
        <w:r w:rsidRPr="009334EF">
          <w:rPr>
            <w:i w:val="0"/>
            <w:webHidden/>
            <w:sz w:val="20"/>
            <w:szCs w:val="20"/>
          </w:rPr>
          <w:fldChar w:fldCharType="end"/>
        </w:r>
      </w:hyperlink>
    </w:p>
    <w:p w14:paraId="18088159" w14:textId="5C95BD9E" w:rsidR="009334EF" w:rsidRPr="009334EF" w:rsidRDefault="009334EF">
      <w:pPr>
        <w:pStyle w:val="TOC5"/>
        <w:rPr>
          <w:rFonts w:eastAsiaTheme="minorEastAsia"/>
          <w:i w:val="0"/>
          <w:kern w:val="2"/>
          <w:sz w:val="20"/>
          <w:szCs w:val="20"/>
          <w14:ligatures w14:val="standardContextual"/>
        </w:rPr>
      </w:pPr>
      <w:hyperlink w:anchor="_Toc236220122" w:history="1">
        <w:r w:rsidRPr="009334EF">
          <w:rPr>
            <w:rStyle w:val="Hyperlink"/>
            <w:i w:val="0"/>
            <w:sz w:val="20"/>
            <w:szCs w:val="20"/>
            <w:u w:val="none"/>
          </w:rPr>
          <w:t>6.5.7.1.13</w:t>
        </w:r>
        <w:r w:rsidRPr="009334EF">
          <w:rPr>
            <w:rFonts w:eastAsiaTheme="minorEastAsia"/>
            <w:i w:val="0"/>
            <w:kern w:val="2"/>
            <w:sz w:val="20"/>
            <w:szCs w:val="20"/>
            <w14:ligatures w14:val="standardContextual"/>
          </w:rPr>
          <w:tab/>
        </w:r>
        <w:r w:rsidRPr="009334EF">
          <w:rPr>
            <w:rStyle w:val="Hyperlink"/>
            <w:i w:val="0"/>
            <w:sz w:val="20"/>
            <w:szCs w:val="20"/>
            <w:u w:val="none"/>
          </w:rPr>
          <w:t>Data Inputs and Outputs for the Real-Time Sequence and SCED</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_Toc236220122 \h </w:instrText>
        </w:r>
        <w:r w:rsidRPr="009334EF">
          <w:rPr>
            <w:i w:val="0"/>
            <w:webHidden/>
            <w:sz w:val="20"/>
            <w:szCs w:val="20"/>
          </w:rPr>
        </w:r>
        <w:r w:rsidRPr="009334EF">
          <w:rPr>
            <w:i w:val="0"/>
            <w:webHidden/>
            <w:sz w:val="20"/>
            <w:szCs w:val="20"/>
          </w:rPr>
          <w:fldChar w:fldCharType="separate"/>
        </w:r>
        <w:r w:rsidR="00464A0C">
          <w:rPr>
            <w:i w:val="0"/>
            <w:webHidden/>
            <w:sz w:val="20"/>
            <w:szCs w:val="20"/>
          </w:rPr>
          <w:t>6-53</w:t>
        </w:r>
        <w:r w:rsidRPr="009334EF">
          <w:rPr>
            <w:i w:val="0"/>
            <w:webHidden/>
            <w:sz w:val="20"/>
            <w:szCs w:val="20"/>
          </w:rPr>
          <w:fldChar w:fldCharType="end"/>
        </w:r>
      </w:hyperlink>
    </w:p>
    <w:p w14:paraId="1956E683" w14:textId="7FE7716F" w:rsidR="009334EF" w:rsidRPr="009334EF" w:rsidRDefault="009334EF">
      <w:pPr>
        <w:pStyle w:val="TOC4"/>
        <w:rPr>
          <w:rFonts w:eastAsiaTheme="minorEastAsia"/>
          <w:kern w:val="2"/>
          <w:lang w:val="en-US"/>
          <w14:ligatures w14:val="standardContextual"/>
        </w:rPr>
      </w:pPr>
      <w:hyperlink w:anchor="_Toc236220123" w:history="1">
        <w:r w:rsidRPr="009334EF">
          <w:rPr>
            <w:rStyle w:val="Hyperlink"/>
            <w:u w:val="none"/>
          </w:rPr>
          <w:t>6.5.7.2</w:t>
        </w:r>
        <w:r w:rsidRPr="009334EF">
          <w:rPr>
            <w:rFonts w:eastAsiaTheme="minorEastAsia"/>
            <w:kern w:val="2"/>
            <w:lang w:val="en-US"/>
            <w14:ligatures w14:val="standardContextual"/>
          </w:rPr>
          <w:tab/>
        </w:r>
        <w:r w:rsidRPr="009334EF">
          <w:rPr>
            <w:rStyle w:val="Hyperlink"/>
            <w:u w:val="none"/>
          </w:rPr>
          <w:t>Resource Limit Calculator</w:t>
        </w:r>
        <w:r w:rsidRPr="009334EF">
          <w:rPr>
            <w:webHidden/>
          </w:rPr>
          <w:tab/>
        </w:r>
        <w:r w:rsidRPr="009334EF">
          <w:rPr>
            <w:webHidden/>
          </w:rPr>
          <w:fldChar w:fldCharType="begin"/>
        </w:r>
        <w:r w:rsidRPr="009334EF">
          <w:rPr>
            <w:webHidden/>
          </w:rPr>
          <w:instrText xml:space="preserve"> PAGEREF _Toc236220123 \h </w:instrText>
        </w:r>
        <w:r w:rsidRPr="009334EF">
          <w:rPr>
            <w:webHidden/>
          </w:rPr>
        </w:r>
        <w:r w:rsidRPr="009334EF">
          <w:rPr>
            <w:webHidden/>
          </w:rPr>
          <w:fldChar w:fldCharType="separate"/>
        </w:r>
        <w:r w:rsidR="00464A0C">
          <w:rPr>
            <w:webHidden/>
          </w:rPr>
          <w:t>6-57</w:t>
        </w:r>
        <w:r w:rsidRPr="009334EF">
          <w:rPr>
            <w:webHidden/>
          </w:rPr>
          <w:fldChar w:fldCharType="end"/>
        </w:r>
      </w:hyperlink>
    </w:p>
    <w:p w14:paraId="35D5E564" w14:textId="335A104F" w:rsidR="009334EF" w:rsidRPr="009334EF" w:rsidRDefault="009334EF">
      <w:pPr>
        <w:pStyle w:val="TOC4"/>
        <w:rPr>
          <w:rFonts w:eastAsiaTheme="minorEastAsia"/>
          <w:kern w:val="2"/>
          <w:lang w:val="en-US"/>
          <w14:ligatures w14:val="standardContextual"/>
        </w:rPr>
      </w:pPr>
      <w:hyperlink w:anchor="_Toc236220124" w:history="1">
        <w:r w:rsidRPr="009334EF">
          <w:rPr>
            <w:rStyle w:val="Hyperlink"/>
            <w:u w:val="none"/>
          </w:rPr>
          <w:t>6.5.7.3</w:t>
        </w:r>
        <w:r w:rsidRPr="009334EF">
          <w:rPr>
            <w:rFonts w:eastAsiaTheme="minorEastAsia"/>
            <w:kern w:val="2"/>
            <w:lang w:val="en-US"/>
            <w14:ligatures w14:val="standardContextual"/>
          </w:rPr>
          <w:tab/>
        </w:r>
        <w:r w:rsidRPr="009334EF">
          <w:rPr>
            <w:rStyle w:val="Hyperlink"/>
            <w:u w:val="none"/>
          </w:rPr>
          <w:t>Security Constrained Economic Dispatch</w:t>
        </w:r>
        <w:r w:rsidRPr="009334EF">
          <w:rPr>
            <w:webHidden/>
          </w:rPr>
          <w:tab/>
        </w:r>
        <w:r w:rsidRPr="009334EF">
          <w:rPr>
            <w:webHidden/>
          </w:rPr>
          <w:fldChar w:fldCharType="begin"/>
        </w:r>
        <w:r w:rsidRPr="009334EF">
          <w:rPr>
            <w:webHidden/>
          </w:rPr>
          <w:instrText xml:space="preserve"> PAGEREF _Toc236220124 \h </w:instrText>
        </w:r>
        <w:r w:rsidRPr="009334EF">
          <w:rPr>
            <w:webHidden/>
          </w:rPr>
        </w:r>
        <w:r w:rsidRPr="009334EF">
          <w:rPr>
            <w:webHidden/>
          </w:rPr>
          <w:fldChar w:fldCharType="separate"/>
        </w:r>
        <w:r w:rsidR="00464A0C">
          <w:rPr>
            <w:webHidden/>
          </w:rPr>
          <w:t>6-59</w:t>
        </w:r>
        <w:r w:rsidRPr="009334EF">
          <w:rPr>
            <w:webHidden/>
          </w:rPr>
          <w:fldChar w:fldCharType="end"/>
        </w:r>
      </w:hyperlink>
    </w:p>
    <w:p w14:paraId="69CDF0D6" w14:textId="353F3D44" w:rsidR="009334EF" w:rsidRPr="009334EF" w:rsidRDefault="009334EF">
      <w:pPr>
        <w:pStyle w:val="TOC5"/>
        <w:rPr>
          <w:rFonts w:eastAsiaTheme="minorEastAsia"/>
          <w:i w:val="0"/>
          <w:kern w:val="2"/>
          <w:sz w:val="20"/>
          <w:szCs w:val="20"/>
          <w14:ligatures w14:val="standardContextual"/>
        </w:rPr>
      </w:pPr>
      <w:hyperlink w:anchor="_Toc236220125" w:history="1">
        <w:r w:rsidRPr="009334EF">
          <w:rPr>
            <w:rStyle w:val="Hyperlink"/>
            <w:i w:val="0"/>
            <w:snapToGrid w:val="0"/>
            <w:sz w:val="20"/>
            <w:szCs w:val="20"/>
            <w:u w:val="none"/>
          </w:rPr>
          <w:t>6.5.7.3.1</w:t>
        </w:r>
        <w:r w:rsidRPr="009334EF">
          <w:rPr>
            <w:rFonts w:eastAsiaTheme="minorEastAsia"/>
            <w:i w:val="0"/>
            <w:kern w:val="2"/>
            <w:sz w:val="20"/>
            <w:szCs w:val="20"/>
            <w14:ligatures w14:val="standardContextual"/>
          </w:rPr>
          <w:tab/>
        </w:r>
        <w:r w:rsidRPr="009334EF">
          <w:rPr>
            <w:rStyle w:val="Hyperlink"/>
            <w:i w:val="0"/>
            <w:snapToGrid w:val="0"/>
            <w:sz w:val="20"/>
            <w:szCs w:val="20"/>
            <w:u w:val="none"/>
          </w:rPr>
          <w:t>Determination of Real-Time Reliability Deployment Price Adders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_Toc236220125 \h </w:instrText>
        </w:r>
        <w:r w:rsidRPr="009334EF">
          <w:rPr>
            <w:i w:val="0"/>
            <w:webHidden/>
            <w:sz w:val="20"/>
            <w:szCs w:val="20"/>
          </w:rPr>
        </w:r>
        <w:r w:rsidRPr="009334EF">
          <w:rPr>
            <w:i w:val="0"/>
            <w:webHidden/>
            <w:sz w:val="20"/>
            <w:szCs w:val="20"/>
          </w:rPr>
          <w:fldChar w:fldCharType="separate"/>
        </w:r>
        <w:r w:rsidR="00464A0C">
          <w:rPr>
            <w:i w:val="0"/>
            <w:webHidden/>
            <w:sz w:val="20"/>
            <w:szCs w:val="20"/>
          </w:rPr>
          <w:t>6-76</w:t>
        </w:r>
        <w:r w:rsidRPr="009334EF">
          <w:rPr>
            <w:i w:val="0"/>
            <w:webHidden/>
            <w:sz w:val="20"/>
            <w:szCs w:val="20"/>
          </w:rPr>
          <w:fldChar w:fldCharType="end"/>
        </w:r>
      </w:hyperlink>
    </w:p>
    <w:p w14:paraId="1C9D34D6" w14:textId="4870912F" w:rsidR="009334EF" w:rsidRPr="009334EF" w:rsidRDefault="009334EF">
      <w:pPr>
        <w:pStyle w:val="TOC4"/>
        <w:rPr>
          <w:rFonts w:eastAsiaTheme="minorEastAsia"/>
          <w:kern w:val="2"/>
          <w:lang w:val="en-US"/>
          <w14:ligatures w14:val="standardContextual"/>
        </w:rPr>
      </w:pPr>
      <w:hyperlink w:anchor="_Toc236220126" w:history="1">
        <w:r w:rsidRPr="009334EF">
          <w:rPr>
            <w:rStyle w:val="Hyperlink"/>
            <w:u w:val="none"/>
          </w:rPr>
          <w:t>6.5.7.4</w:t>
        </w:r>
        <w:r w:rsidRPr="009334EF">
          <w:rPr>
            <w:rFonts w:eastAsiaTheme="minorEastAsia"/>
            <w:kern w:val="2"/>
            <w:lang w:val="en-US"/>
            <w14:ligatures w14:val="standardContextual"/>
          </w:rPr>
          <w:tab/>
        </w:r>
        <w:r w:rsidRPr="009334EF">
          <w:rPr>
            <w:rStyle w:val="Hyperlink"/>
            <w:u w:val="none"/>
          </w:rPr>
          <w:t>Base Points</w:t>
        </w:r>
        <w:r w:rsidRPr="009334EF">
          <w:rPr>
            <w:webHidden/>
          </w:rPr>
          <w:tab/>
        </w:r>
        <w:r w:rsidRPr="009334EF">
          <w:rPr>
            <w:webHidden/>
          </w:rPr>
          <w:fldChar w:fldCharType="begin"/>
        </w:r>
        <w:r w:rsidRPr="009334EF">
          <w:rPr>
            <w:webHidden/>
          </w:rPr>
          <w:instrText xml:space="preserve"> PAGEREF _Toc236220126 \h </w:instrText>
        </w:r>
        <w:r w:rsidRPr="009334EF">
          <w:rPr>
            <w:webHidden/>
          </w:rPr>
        </w:r>
        <w:r w:rsidRPr="009334EF">
          <w:rPr>
            <w:webHidden/>
          </w:rPr>
          <w:fldChar w:fldCharType="separate"/>
        </w:r>
        <w:r w:rsidR="00464A0C">
          <w:rPr>
            <w:webHidden/>
          </w:rPr>
          <w:t>6-84</w:t>
        </w:r>
        <w:r w:rsidRPr="009334EF">
          <w:rPr>
            <w:webHidden/>
          </w:rPr>
          <w:fldChar w:fldCharType="end"/>
        </w:r>
      </w:hyperlink>
    </w:p>
    <w:p w14:paraId="5600A938" w14:textId="403F56A5" w:rsidR="009334EF" w:rsidRPr="009334EF" w:rsidRDefault="009334EF">
      <w:pPr>
        <w:pStyle w:val="TOC5"/>
        <w:rPr>
          <w:rFonts w:eastAsiaTheme="minorEastAsia"/>
          <w:i w:val="0"/>
          <w:kern w:val="2"/>
          <w:sz w:val="20"/>
          <w:szCs w:val="20"/>
          <w14:ligatures w14:val="standardContextual"/>
        </w:rPr>
      </w:pPr>
      <w:hyperlink w:anchor="_Toc236220127" w:history="1">
        <w:r w:rsidRPr="009334EF">
          <w:rPr>
            <w:rStyle w:val="Hyperlink"/>
            <w:i w:val="0"/>
            <w:snapToGrid w:val="0"/>
            <w:sz w:val="20"/>
            <w:szCs w:val="20"/>
            <w:u w:val="none"/>
          </w:rPr>
          <w:t>6.5.7.4.1</w:t>
        </w:r>
        <w:r w:rsidRPr="009334EF">
          <w:rPr>
            <w:rFonts w:eastAsiaTheme="minorEastAsia"/>
            <w:i w:val="0"/>
            <w:kern w:val="2"/>
            <w:sz w:val="20"/>
            <w:szCs w:val="20"/>
            <w14:ligatures w14:val="standardContextual"/>
          </w:rPr>
          <w:tab/>
        </w:r>
        <w:r w:rsidRPr="009334EF">
          <w:rPr>
            <w:rStyle w:val="Hyperlink"/>
            <w:i w:val="0"/>
            <w:snapToGrid w:val="0"/>
            <w:sz w:val="20"/>
            <w:szCs w:val="20"/>
            <w:u w:val="none"/>
          </w:rPr>
          <w:t>Updated Desired Set Points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_Toc236220127 \h </w:instrText>
        </w:r>
        <w:r w:rsidRPr="009334EF">
          <w:rPr>
            <w:i w:val="0"/>
            <w:webHidden/>
            <w:sz w:val="20"/>
            <w:szCs w:val="20"/>
          </w:rPr>
        </w:r>
        <w:r w:rsidRPr="009334EF">
          <w:rPr>
            <w:i w:val="0"/>
            <w:webHidden/>
            <w:sz w:val="20"/>
            <w:szCs w:val="20"/>
          </w:rPr>
          <w:fldChar w:fldCharType="separate"/>
        </w:r>
        <w:r w:rsidR="00464A0C">
          <w:rPr>
            <w:i w:val="0"/>
            <w:webHidden/>
            <w:sz w:val="20"/>
            <w:szCs w:val="20"/>
          </w:rPr>
          <w:t>6-85</w:t>
        </w:r>
        <w:r w:rsidRPr="009334EF">
          <w:rPr>
            <w:i w:val="0"/>
            <w:webHidden/>
            <w:sz w:val="20"/>
            <w:szCs w:val="20"/>
          </w:rPr>
          <w:fldChar w:fldCharType="end"/>
        </w:r>
      </w:hyperlink>
    </w:p>
    <w:p w14:paraId="72689B03" w14:textId="224A2CEA" w:rsidR="009334EF" w:rsidRPr="009334EF" w:rsidRDefault="009334EF">
      <w:pPr>
        <w:pStyle w:val="TOC4"/>
        <w:rPr>
          <w:rFonts w:eastAsiaTheme="minorEastAsia"/>
          <w:kern w:val="2"/>
          <w:lang w:val="en-US"/>
          <w14:ligatures w14:val="standardContextual"/>
        </w:rPr>
      </w:pPr>
      <w:hyperlink w:anchor="_Toc236220128" w:history="1">
        <w:r w:rsidRPr="009334EF">
          <w:rPr>
            <w:rStyle w:val="Hyperlink"/>
            <w:u w:val="none"/>
          </w:rPr>
          <w:t>6.5.7.5</w:t>
        </w:r>
        <w:r w:rsidRPr="009334EF">
          <w:rPr>
            <w:rFonts w:eastAsiaTheme="minorEastAsia"/>
            <w:kern w:val="2"/>
            <w:lang w:val="en-US"/>
            <w14:ligatures w14:val="standardContextual"/>
          </w:rPr>
          <w:tab/>
        </w:r>
        <w:r w:rsidRPr="009334EF">
          <w:rPr>
            <w:rStyle w:val="Hyperlink"/>
            <w:u w:val="none"/>
          </w:rPr>
          <w:t>Ancillary Services Capacity Monitor</w:t>
        </w:r>
        <w:r w:rsidRPr="009334EF">
          <w:rPr>
            <w:webHidden/>
          </w:rPr>
          <w:tab/>
        </w:r>
        <w:r w:rsidRPr="009334EF">
          <w:rPr>
            <w:webHidden/>
          </w:rPr>
          <w:fldChar w:fldCharType="begin"/>
        </w:r>
        <w:r w:rsidRPr="009334EF">
          <w:rPr>
            <w:webHidden/>
          </w:rPr>
          <w:instrText xml:space="preserve"> PAGEREF _Toc236220128 \h </w:instrText>
        </w:r>
        <w:r w:rsidRPr="009334EF">
          <w:rPr>
            <w:webHidden/>
          </w:rPr>
        </w:r>
        <w:r w:rsidRPr="009334EF">
          <w:rPr>
            <w:webHidden/>
          </w:rPr>
          <w:fldChar w:fldCharType="separate"/>
        </w:r>
        <w:r w:rsidR="00464A0C">
          <w:rPr>
            <w:webHidden/>
          </w:rPr>
          <w:t>6-85</w:t>
        </w:r>
        <w:r w:rsidRPr="009334EF">
          <w:rPr>
            <w:webHidden/>
          </w:rPr>
          <w:fldChar w:fldCharType="end"/>
        </w:r>
      </w:hyperlink>
    </w:p>
    <w:p w14:paraId="320FC1D8" w14:textId="0CFF00F5" w:rsidR="009334EF" w:rsidRPr="009334EF" w:rsidRDefault="009334EF">
      <w:pPr>
        <w:pStyle w:val="TOC4"/>
        <w:rPr>
          <w:rFonts w:eastAsiaTheme="minorEastAsia"/>
          <w:kern w:val="2"/>
          <w:lang w:val="en-US"/>
          <w14:ligatures w14:val="standardContextual"/>
        </w:rPr>
      </w:pPr>
      <w:hyperlink w:anchor="_Toc236220129" w:history="1">
        <w:r w:rsidRPr="009334EF">
          <w:rPr>
            <w:rStyle w:val="Hyperlink"/>
            <w:u w:val="none"/>
          </w:rPr>
          <w:t>6.5.7.6</w:t>
        </w:r>
        <w:r w:rsidRPr="009334EF">
          <w:rPr>
            <w:rFonts w:eastAsiaTheme="minorEastAsia"/>
            <w:kern w:val="2"/>
            <w:lang w:val="en-US"/>
            <w14:ligatures w14:val="standardContextual"/>
          </w:rPr>
          <w:tab/>
        </w:r>
        <w:r w:rsidRPr="009334EF">
          <w:rPr>
            <w:rStyle w:val="Hyperlink"/>
            <w:u w:val="none"/>
          </w:rPr>
          <w:t>Load Frequency Control</w:t>
        </w:r>
        <w:r w:rsidRPr="009334EF">
          <w:rPr>
            <w:webHidden/>
          </w:rPr>
          <w:tab/>
        </w:r>
        <w:r w:rsidRPr="009334EF">
          <w:rPr>
            <w:webHidden/>
          </w:rPr>
          <w:fldChar w:fldCharType="begin"/>
        </w:r>
        <w:r w:rsidRPr="009334EF">
          <w:rPr>
            <w:webHidden/>
          </w:rPr>
          <w:instrText xml:space="preserve"> PAGEREF _Toc236220129 \h </w:instrText>
        </w:r>
        <w:r w:rsidRPr="009334EF">
          <w:rPr>
            <w:webHidden/>
          </w:rPr>
        </w:r>
        <w:r w:rsidRPr="009334EF">
          <w:rPr>
            <w:webHidden/>
          </w:rPr>
          <w:fldChar w:fldCharType="separate"/>
        </w:r>
        <w:r w:rsidR="00464A0C">
          <w:rPr>
            <w:webHidden/>
          </w:rPr>
          <w:t>6-94</w:t>
        </w:r>
        <w:r w:rsidRPr="009334EF">
          <w:rPr>
            <w:webHidden/>
          </w:rPr>
          <w:fldChar w:fldCharType="end"/>
        </w:r>
      </w:hyperlink>
    </w:p>
    <w:p w14:paraId="218C49C5" w14:textId="4A4E8120" w:rsidR="009334EF" w:rsidRPr="009334EF" w:rsidRDefault="009334EF">
      <w:pPr>
        <w:pStyle w:val="TOC5"/>
        <w:rPr>
          <w:rFonts w:eastAsiaTheme="minorEastAsia"/>
          <w:i w:val="0"/>
          <w:kern w:val="2"/>
          <w:sz w:val="20"/>
          <w:szCs w:val="20"/>
          <w14:ligatures w14:val="standardContextual"/>
        </w:rPr>
      </w:pPr>
      <w:hyperlink w:anchor="_Toc236220130" w:history="1">
        <w:r w:rsidRPr="009334EF">
          <w:rPr>
            <w:rStyle w:val="Hyperlink"/>
            <w:i w:val="0"/>
            <w:sz w:val="20"/>
            <w:szCs w:val="20"/>
            <w:u w:val="none"/>
          </w:rPr>
          <w:t>6.5.7.6.1</w:t>
        </w:r>
        <w:r w:rsidRPr="009334EF">
          <w:rPr>
            <w:rFonts w:eastAsiaTheme="minorEastAsia"/>
            <w:i w:val="0"/>
            <w:kern w:val="2"/>
            <w:sz w:val="20"/>
            <w:szCs w:val="20"/>
            <w14:ligatures w14:val="standardContextual"/>
          </w:rPr>
          <w:tab/>
        </w:r>
        <w:r w:rsidRPr="009334EF">
          <w:rPr>
            <w:rStyle w:val="Hyperlink"/>
            <w:i w:val="0"/>
            <w:sz w:val="20"/>
            <w:szCs w:val="20"/>
            <w:u w:val="none"/>
          </w:rPr>
          <w:t>LFC Process Description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_Toc236220130 \h </w:instrText>
        </w:r>
        <w:r w:rsidRPr="009334EF">
          <w:rPr>
            <w:i w:val="0"/>
            <w:webHidden/>
            <w:sz w:val="20"/>
            <w:szCs w:val="20"/>
          </w:rPr>
        </w:r>
        <w:r w:rsidRPr="009334EF">
          <w:rPr>
            <w:i w:val="0"/>
            <w:webHidden/>
            <w:sz w:val="20"/>
            <w:szCs w:val="20"/>
          </w:rPr>
          <w:fldChar w:fldCharType="separate"/>
        </w:r>
        <w:r w:rsidR="00464A0C">
          <w:rPr>
            <w:i w:val="0"/>
            <w:webHidden/>
            <w:sz w:val="20"/>
            <w:szCs w:val="20"/>
          </w:rPr>
          <w:t>6-94</w:t>
        </w:r>
        <w:r w:rsidRPr="009334EF">
          <w:rPr>
            <w:i w:val="0"/>
            <w:webHidden/>
            <w:sz w:val="20"/>
            <w:szCs w:val="20"/>
          </w:rPr>
          <w:fldChar w:fldCharType="end"/>
        </w:r>
      </w:hyperlink>
    </w:p>
    <w:p w14:paraId="1DF6DD4A" w14:textId="4B7A4409" w:rsidR="009334EF" w:rsidRPr="009334EF" w:rsidRDefault="009334EF">
      <w:pPr>
        <w:pStyle w:val="TOC5"/>
        <w:rPr>
          <w:rFonts w:eastAsiaTheme="minorEastAsia"/>
          <w:i w:val="0"/>
          <w:kern w:val="2"/>
          <w:sz w:val="20"/>
          <w:szCs w:val="20"/>
          <w14:ligatures w14:val="standardContextual"/>
        </w:rPr>
      </w:pPr>
      <w:hyperlink w:anchor="_Toc236220131" w:history="1">
        <w:r w:rsidRPr="009334EF">
          <w:rPr>
            <w:rStyle w:val="Hyperlink"/>
            <w:i w:val="0"/>
            <w:sz w:val="20"/>
            <w:szCs w:val="20"/>
            <w:u w:val="none"/>
          </w:rPr>
          <w:t>6.5.7.6.2</w:t>
        </w:r>
        <w:r w:rsidRPr="009334EF">
          <w:rPr>
            <w:rFonts w:eastAsiaTheme="minorEastAsia"/>
            <w:i w:val="0"/>
            <w:kern w:val="2"/>
            <w:sz w:val="20"/>
            <w:szCs w:val="20"/>
            <w14:ligatures w14:val="standardContextual"/>
          </w:rPr>
          <w:tab/>
        </w:r>
        <w:r w:rsidRPr="009334EF">
          <w:rPr>
            <w:rStyle w:val="Hyperlink"/>
            <w:i w:val="0"/>
            <w:sz w:val="20"/>
            <w:szCs w:val="20"/>
            <w:u w:val="none"/>
          </w:rPr>
          <w:t>LFC Deployment</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_Toc236220131 \h </w:instrText>
        </w:r>
        <w:r w:rsidRPr="009334EF">
          <w:rPr>
            <w:i w:val="0"/>
            <w:webHidden/>
            <w:sz w:val="20"/>
            <w:szCs w:val="20"/>
          </w:rPr>
        </w:r>
        <w:r w:rsidRPr="009334EF">
          <w:rPr>
            <w:i w:val="0"/>
            <w:webHidden/>
            <w:sz w:val="20"/>
            <w:szCs w:val="20"/>
          </w:rPr>
          <w:fldChar w:fldCharType="separate"/>
        </w:r>
        <w:r w:rsidR="00464A0C">
          <w:rPr>
            <w:i w:val="0"/>
            <w:webHidden/>
            <w:sz w:val="20"/>
            <w:szCs w:val="20"/>
          </w:rPr>
          <w:t>6-95</w:t>
        </w:r>
        <w:r w:rsidRPr="009334EF">
          <w:rPr>
            <w:i w:val="0"/>
            <w:webHidden/>
            <w:sz w:val="20"/>
            <w:szCs w:val="20"/>
          </w:rPr>
          <w:fldChar w:fldCharType="end"/>
        </w:r>
      </w:hyperlink>
    </w:p>
    <w:p w14:paraId="229427BE" w14:textId="7AE63367" w:rsidR="009334EF" w:rsidRPr="009334EF" w:rsidRDefault="009334EF">
      <w:pPr>
        <w:pStyle w:val="TOC4"/>
        <w:rPr>
          <w:rFonts w:eastAsiaTheme="minorEastAsia"/>
          <w:kern w:val="2"/>
          <w:lang w:val="en-US"/>
          <w14:ligatures w14:val="standardContextual"/>
        </w:rPr>
      </w:pPr>
      <w:hyperlink w:anchor="_Toc236220132" w:history="1">
        <w:r w:rsidRPr="009334EF">
          <w:rPr>
            <w:rStyle w:val="Hyperlink"/>
            <w:u w:val="none"/>
          </w:rPr>
          <w:t>6.5.7.7</w:t>
        </w:r>
        <w:r w:rsidRPr="009334EF">
          <w:rPr>
            <w:rFonts w:eastAsiaTheme="minorEastAsia"/>
            <w:kern w:val="2"/>
            <w:lang w:val="en-US"/>
            <w14:ligatures w14:val="standardContextual"/>
          </w:rPr>
          <w:tab/>
        </w:r>
        <w:r w:rsidRPr="009334EF">
          <w:rPr>
            <w:rStyle w:val="Hyperlink"/>
            <w:u w:val="none"/>
          </w:rPr>
          <w:t>Voltage Support Service</w:t>
        </w:r>
        <w:r w:rsidRPr="009334EF">
          <w:rPr>
            <w:webHidden/>
          </w:rPr>
          <w:tab/>
        </w:r>
        <w:r w:rsidRPr="009334EF">
          <w:rPr>
            <w:webHidden/>
          </w:rPr>
          <w:fldChar w:fldCharType="begin"/>
        </w:r>
        <w:r w:rsidRPr="009334EF">
          <w:rPr>
            <w:webHidden/>
          </w:rPr>
          <w:instrText xml:space="preserve"> PAGEREF _Toc236220132 \h </w:instrText>
        </w:r>
        <w:r w:rsidRPr="009334EF">
          <w:rPr>
            <w:webHidden/>
          </w:rPr>
        </w:r>
        <w:r w:rsidRPr="009334EF">
          <w:rPr>
            <w:webHidden/>
          </w:rPr>
          <w:fldChar w:fldCharType="separate"/>
        </w:r>
        <w:r w:rsidR="00464A0C">
          <w:rPr>
            <w:webHidden/>
          </w:rPr>
          <w:t>6-102</w:t>
        </w:r>
        <w:r w:rsidRPr="009334EF">
          <w:rPr>
            <w:webHidden/>
          </w:rPr>
          <w:fldChar w:fldCharType="end"/>
        </w:r>
      </w:hyperlink>
    </w:p>
    <w:p w14:paraId="28C55EEB" w14:textId="6B70D5F5" w:rsidR="009334EF" w:rsidRPr="009334EF" w:rsidRDefault="009334EF">
      <w:pPr>
        <w:pStyle w:val="TOC4"/>
        <w:rPr>
          <w:rFonts w:eastAsiaTheme="minorEastAsia"/>
          <w:kern w:val="2"/>
          <w:lang w:val="en-US"/>
          <w14:ligatures w14:val="standardContextual"/>
        </w:rPr>
      </w:pPr>
      <w:hyperlink w:anchor="_Toc236220133" w:history="1">
        <w:r w:rsidRPr="009334EF">
          <w:rPr>
            <w:rStyle w:val="Hyperlink"/>
            <w:u w:val="none"/>
          </w:rPr>
          <w:t>6.5.7.8</w:t>
        </w:r>
        <w:r w:rsidRPr="009334EF">
          <w:rPr>
            <w:rFonts w:eastAsiaTheme="minorEastAsia"/>
            <w:kern w:val="2"/>
            <w:lang w:val="en-US"/>
            <w14:ligatures w14:val="standardContextual"/>
          </w:rPr>
          <w:tab/>
        </w:r>
        <w:r w:rsidRPr="009334EF">
          <w:rPr>
            <w:rStyle w:val="Hyperlink"/>
            <w:u w:val="none"/>
          </w:rPr>
          <w:t>Dispatch Procedures</w:t>
        </w:r>
        <w:r w:rsidRPr="009334EF">
          <w:rPr>
            <w:webHidden/>
          </w:rPr>
          <w:tab/>
        </w:r>
        <w:r w:rsidRPr="009334EF">
          <w:rPr>
            <w:webHidden/>
          </w:rPr>
          <w:fldChar w:fldCharType="begin"/>
        </w:r>
        <w:r w:rsidRPr="009334EF">
          <w:rPr>
            <w:webHidden/>
          </w:rPr>
          <w:instrText xml:space="preserve"> PAGEREF _Toc236220133 \h </w:instrText>
        </w:r>
        <w:r w:rsidRPr="009334EF">
          <w:rPr>
            <w:webHidden/>
          </w:rPr>
        </w:r>
        <w:r w:rsidRPr="009334EF">
          <w:rPr>
            <w:webHidden/>
          </w:rPr>
          <w:fldChar w:fldCharType="separate"/>
        </w:r>
        <w:r w:rsidR="00464A0C">
          <w:rPr>
            <w:webHidden/>
          </w:rPr>
          <w:t>6-103</w:t>
        </w:r>
        <w:r w:rsidRPr="009334EF">
          <w:rPr>
            <w:webHidden/>
          </w:rPr>
          <w:fldChar w:fldCharType="end"/>
        </w:r>
      </w:hyperlink>
    </w:p>
    <w:p w14:paraId="36D72E5F" w14:textId="517326DB" w:rsidR="009334EF" w:rsidRPr="009334EF" w:rsidRDefault="009334EF">
      <w:pPr>
        <w:pStyle w:val="TOC4"/>
        <w:rPr>
          <w:rFonts w:eastAsiaTheme="minorEastAsia"/>
          <w:kern w:val="2"/>
          <w:lang w:val="en-US"/>
          <w14:ligatures w14:val="standardContextual"/>
        </w:rPr>
      </w:pPr>
      <w:hyperlink w:anchor="_Toc236220134" w:history="1">
        <w:r w:rsidRPr="009334EF">
          <w:rPr>
            <w:rStyle w:val="Hyperlink"/>
            <w:u w:val="none"/>
          </w:rPr>
          <w:t>6.5.7.9</w:t>
        </w:r>
        <w:r w:rsidRPr="009334EF">
          <w:rPr>
            <w:rFonts w:eastAsiaTheme="minorEastAsia"/>
            <w:kern w:val="2"/>
            <w:lang w:val="en-US"/>
            <w14:ligatures w14:val="standardContextual"/>
          </w:rPr>
          <w:tab/>
        </w:r>
        <w:r w:rsidRPr="009334EF">
          <w:rPr>
            <w:rStyle w:val="Hyperlink"/>
            <w:u w:val="none"/>
          </w:rPr>
          <w:t>Compliance with Dispatch Instructions</w:t>
        </w:r>
        <w:r w:rsidRPr="009334EF">
          <w:rPr>
            <w:webHidden/>
          </w:rPr>
          <w:tab/>
        </w:r>
        <w:r w:rsidRPr="009334EF">
          <w:rPr>
            <w:webHidden/>
          </w:rPr>
          <w:fldChar w:fldCharType="begin"/>
        </w:r>
        <w:r w:rsidRPr="009334EF">
          <w:rPr>
            <w:webHidden/>
          </w:rPr>
          <w:instrText xml:space="preserve"> PAGEREF _Toc236220134 \h </w:instrText>
        </w:r>
        <w:r w:rsidRPr="009334EF">
          <w:rPr>
            <w:webHidden/>
          </w:rPr>
        </w:r>
        <w:r w:rsidRPr="009334EF">
          <w:rPr>
            <w:webHidden/>
          </w:rPr>
          <w:fldChar w:fldCharType="separate"/>
        </w:r>
        <w:r w:rsidR="00464A0C">
          <w:rPr>
            <w:webHidden/>
          </w:rPr>
          <w:t>6-104</w:t>
        </w:r>
        <w:r w:rsidRPr="009334EF">
          <w:rPr>
            <w:webHidden/>
          </w:rPr>
          <w:fldChar w:fldCharType="end"/>
        </w:r>
      </w:hyperlink>
    </w:p>
    <w:p w14:paraId="781AB38C" w14:textId="40962B0E" w:rsidR="009334EF" w:rsidRPr="009334EF" w:rsidRDefault="009334EF">
      <w:pPr>
        <w:pStyle w:val="TOC4"/>
        <w:rPr>
          <w:rFonts w:eastAsiaTheme="minorEastAsia"/>
          <w:kern w:val="2"/>
          <w:lang w:val="en-US"/>
          <w14:ligatures w14:val="standardContextual"/>
        </w:rPr>
      </w:pPr>
      <w:hyperlink w:anchor="_Toc236220135" w:history="1">
        <w:r w:rsidRPr="009334EF">
          <w:rPr>
            <w:rStyle w:val="Hyperlink"/>
            <w:u w:val="none"/>
          </w:rPr>
          <w:t>6.5.7.10</w:t>
        </w:r>
        <w:r w:rsidRPr="009334EF">
          <w:rPr>
            <w:rFonts w:eastAsiaTheme="minorEastAsia"/>
            <w:kern w:val="2"/>
            <w:lang w:val="en-US"/>
            <w14:ligatures w14:val="standardContextual"/>
          </w:rPr>
          <w:tab/>
        </w:r>
        <w:r w:rsidRPr="009334EF">
          <w:rPr>
            <w:rStyle w:val="Hyperlink"/>
            <w:u w:val="none"/>
          </w:rPr>
          <w:t>IRR Ramp Rate Limitations</w:t>
        </w:r>
        <w:r w:rsidRPr="009334EF">
          <w:rPr>
            <w:webHidden/>
          </w:rPr>
          <w:tab/>
        </w:r>
        <w:r w:rsidRPr="009334EF">
          <w:rPr>
            <w:webHidden/>
          </w:rPr>
          <w:fldChar w:fldCharType="begin"/>
        </w:r>
        <w:r w:rsidRPr="009334EF">
          <w:rPr>
            <w:webHidden/>
          </w:rPr>
          <w:instrText xml:space="preserve"> PAGEREF _Toc236220135 \h </w:instrText>
        </w:r>
        <w:r w:rsidRPr="009334EF">
          <w:rPr>
            <w:webHidden/>
          </w:rPr>
        </w:r>
        <w:r w:rsidRPr="009334EF">
          <w:rPr>
            <w:webHidden/>
          </w:rPr>
          <w:fldChar w:fldCharType="separate"/>
        </w:r>
        <w:r w:rsidR="00464A0C">
          <w:rPr>
            <w:webHidden/>
          </w:rPr>
          <w:t>6-106</w:t>
        </w:r>
        <w:r w:rsidRPr="009334EF">
          <w:rPr>
            <w:webHidden/>
          </w:rPr>
          <w:fldChar w:fldCharType="end"/>
        </w:r>
      </w:hyperlink>
    </w:p>
    <w:p w14:paraId="3366F52D" w14:textId="60B10D65" w:rsidR="009334EF" w:rsidRPr="009334EF" w:rsidRDefault="009334EF">
      <w:pPr>
        <w:pStyle w:val="TOC4"/>
        <w:rPr>
          <w:rFonts w:eastAsiaTheme="minorEastAsia"/>
          <w:kern w:val="2"/>
          <w:lang w:val="en-US"/>
          <w14:ligatures w14:val="standardContextual"/>
        </w:rPr>
      </w:pPr>
      <w:hyperlink w:anchor="_Toc236220136" w:history="1">
        <w:r w:rsidRPr="009334EF">
          <w:rPr>
            <w:rStyle w:val="Hyperlink"/>
            <w:snapToGrid w:val="0"/>
            <w:u w:val="none"/>
          </w:rPr>
          <w:t>6.5.7.11</w:t>
        </w:r>
        <w:r w:rsidRPr="009334EF">
          <w:rPr>
            <w:rFonts w:eastAsiaTheme="minorEastAsia"/>
            <w:kern w:val="2"/>
            <w:lang w:val="en-US"/>
            <w14:ligatures w14:val="standardContextual"/>
          </w:rPr>
          <w:tab/>
        </w:r>
        <w:r w:rsidRPr="009334EF">
          <w:rPr>
            <w:rStyle w:val="Hyperlink"/>
            <w:snapToGrid w:val="0"/>
            <w:u w:val="none"/>
          </w:rPr>
          <w:t>Provisional Controllable Load Resource (PCLR) Ramp Rate Requirements</w:t>
        </w:r>
        <w:r w:rsidRPr="009334EF">
          <w:rPr>
            <w:webHidden/>
          </w:rPr>
          <w:tab/>
        </w:r>
        <w:r w:rsidRPr="009334EF">
          <w:rPr>
            <w:webHidden/>
          </w:rPr>
          <w:fldChar w:fldCharType="begin"/>
        </w:r>
        <w:r w:rsidRPr="009334EF">
          <w:rPr>
            <w:webHidden/>
          </w:rPr>
          <w:instrText xml:space="preserve"> PAGEREF _Toc236220136 \h </w:instrText>
        </w:r>
        <w:r w:rsidRPr="009334EF">
          <w:rPr>
            <w:webHidden/>
          </w:rPr>
        </w:r>
        <w:r w:rsidRPr="009334EF">
          <w:rPr>
            <w:webHidden/>
          </w:rPr>
          <w:fldChar w:fldCharType="separate"/>
        </w:r>
        <w:r w:rsidR="00464A0C">
          <w:rPr>
            <w:webHidden/>
          </w:rPr>
          <w:t>6-108</w:t>
        </w:r>
        <w:r w:rsidRPr="009334EF">
          <w:rPr>
            <w:webHidden/>
          </w:rPr>
          <w:fldChar w:fldCharType="end"/>
        </w:r>
      </w:hyperlink>
    </w:p>
    <w:p w14:paraId="0FD887CE" w14:textId="57BD3BEB" w:rsidR="009334EF" w:rsidRPr="009334EF" w:rsidRDefault="009334EF">
      <w:pPr>
        <w:pStyle w:val="TOC4"/>
        <w:rPr>
          <w:rFonts w:eastAsiaTheme="minorEastAsia"/>
          <w:kern w:val="2"/>
          <w:lang w:val="en-US"/>
          <w14:ligatures w14:val="standardContextual"/>
        </w:rPr>
      </w:pPr>
      <w:hyperlink w:anchor="_Toc236220137" w:history="1">
        <w:r w:rsidRPr="009334EF">
          <w:rPr>
            <w:rStyle w:val="Hyperlink"/>
            <w:snapToGrid w:val="0"/>
            <w:u w:val="none"/>
          </w:rPr>
          <w:t>6.5.7.11</w:t>
        </w:r>
        <w:r w:rsidRPr="009334EF">
          <w:rPr>
            <w:rFonts w:eastAsiaTheme="minorEastAsia"/>
            <w:kern w:val="2"/>
            <w:lang w:val="en-US"/>
            <w14:ligatures w14:val="standardContextual"/>
          </w:rPr>
          <w:tab/>
        </w:r>
        <w:r w:rsidRPr="009334EF">
          <w:rPr>
            <w:rStyle w:val="Hyperlink"/>
            <w:snapToGrid w:val="0"/>
            <w:u w:val="none"/>
          </w:rPr>
          <w:t>DC-Coupled Resource Ramp Rate Limitations</w:t>
        </w:r>
        <w:r w:rsidRPr="009334EF">
          <w:rPr>
            <w:webHidden/>
          </w:rPr>
          <w:tab/>
        </w:r>
        <w:r w:rsidRPr="009334EF">
          <w:rPr>
            <w:webHidden/>
          </w:rPr>
          <w:fldChar w:fldCharType="begin"/>
        </w:r>
        <w:r w:rsidRPr="009334EF">
          <w:rPr>
            <w:webHidden/>
          </w:rPr>
          <w:instrText xml:space="preserve"> PAGEREF _Toc236220137 \h </w:instrText>
        </w:r>
        <w:r w:rsidRPr="009334EF">
          <w:rPr>
            <w:webHidden/>
          </w:rPr>
        </w:r>
        <w:r w:rsidRPr="009334EF">
          <w:rPr>
            <w:webHidden/>
          </w:rPr>
          <w:fldChar w:fldCharType="separate"/>
        </w:r>
        <w:r w:rsidR="00464A0C">
          <w:rPr>
            <w:webHidden/>
          </w:rPr>
          <w:t>6-108</w:t>
        </w:r>
        <w:r w:rsidRPr="009334EF">
          <w:rPr>
            <w:webHidden/>
          </w:rPr>
          <w:fldChar w:fldCharType="end"/>
        </w:r>
      </w:hyperlink>
    </w:p>
    <w:p w14:paraId="00DEB61E" w14:textId="37E392CB" w:rsidR="009334EF" w:rsidRPr="009334EF" w:rsidRDefault="009334EF">
      <w:pPr>
        <w:pStyle w:val="TOC3"/>
        <w:rPr>
          <w:rFonts w:eastAsiaTheme="minorEastAsia"/>
          <w:i w:val="0"/>
          <w:iCs w:val="0"/>
          <w:kern w:val="2"/>
          <w14:ligatures w14:val="standardContextual"/>
        </w:rPr>
      </w:pPr>
      <w:hyperlink w:anchor="_Toc236220138" w:history="1">
        <w:r w:rsidRPr="009334EF">
          <w:rPr>
            <w:rStyle w:val="Hyperlink"/>
            <w:i w:val="0"/>
            <w:iCs w:val="0"/>
            <w:u w:val="none"/>
          </w:rPr>
          <w:t>6.5.8</w:t>
        </w:r>
        <w:r w:rsidRPr="009334EF">
          <w:rPr>
            <w:rFonts w:eastAsiaTheme="minorEastAsia"/>
            <w:i w:val="0"/>
            <w:iCs w:val="0"/>
            <w:kern w:val="2"/>
            <w14:ligatures w14:val="standardContextual"/>
          </w:rPr>
          <w:tab/>
        </w:r>
        <w:r w:rsidRPr="009334EF">
          <w:rPr>
            <w:rStyle w:val="Hyperlink"/>
            <w:i w:val="0"/>
            <w:iCs w:val="0"/>
            <w:u w:val="none"/>
          </w:rPr>
          <w:t>Verbal Dispatch Instruction Confirmation</w:t>
        </w:r>
        <w:r w:rsidRPr="009334EF">
          <w:rPr>
            <w:i w:val="0"/>
            <w:iCs w:val="0"/>
            <w:webHidden/>
          </w:rPr>
          <w:tab/>
        </w:r>
        <w:r w:rsidRPr="009334EF">
          <w:rPr>
            <w:i w:val="0"/>
            <w:iCs w:val="0"/>
            <w:webHidden/>
          </w:rPr>
          <w:fldChar w:fldCharType="begin"/>
        </w:r>
        <w:r w:rsidRPr="009334EF">
          <w:rPr>
            <w:i w:val="0"/>
            <w:iCs w:val="0"/>
            <w:webHidden/>
          </w:rPr>
          <w:instrText xml:space="preserve"> PAGEREF _Toc236220138 \h </w:instrText>
        </w:r>
        <w:r w:rsidRPr="009334EF">
          <w:rPr>
            <w:i w:val="0"/>
            <w:iCs w:val="0"/>
            <w:webHidden/>
          </w:rPr>
        </w:r>
        <w:r w:rsidRPr="009334EF">
          <w:rPr>
            <w:i w:val="0"/>
            <w:iCs w:val="0"/>
            <w:webHidden/>
          </w:rPr>
          <w:fldChar w:fldCharType="separate"/>
        </w:r>
        <w:r w:rsidR="00464A0C">
          <w:rPr>
            <w:i w:val="0"/>
            <w:iCs w:val="0"/>
            <w:webHidden/>
          </w:rPr>
          <w:t>6-108</w:t>
        </w:r>
        <w:r w:rsidRPr="009334EF">
          <w:rPr>
            <w:i w:val="0"/>
            <w:iCs w:val="0"/>
            <w:webHidden/>
          </w:rPr>
          <w:fldChar w:fldCharType="end"/>
        </w:r>
      </w:hyperlink>
    </w:p>
    <w:p w14:paraId="7AFD4CED" w14:textId="4F54B64E" w:rsidR="009334EF" w:rsidRPr="009334EF" w:rsidRDefault="009334EF">
      <w:pPr>
        <w:pStyle w:val="TOC3"/>
        <w:rPr>
          <w:rFonts w:eastAsiaTheme="minorEastAsia"/>
          <w:i w:val="0"/>
          <w:iCs w:val="0"/>
          <w:kern w:val="2"/>
          <w14:ligatures w14:val="standardContextual"/>
        </w:rPr>
      </w:pPr>
      <w:hyperlink w:anchor="_Toc236220139" w:history="1">
        <w:r w:rsidRPr="009334EF">
          <w:rPr>
            <w:rStyle w:val="Hyperlink"/>
            <w:i w:val="0"/>
            <w:iCs w:val="0"/>
            <w:u w:val="none"/>
          </w:rPr>
          <w:t>6.5.9</w:t>
        </w:r>
        <w:r w:rsidRPr="009334EF">
          <w:rPr>
            <w:rFonts w:eastAsiaTheme="minorEastAsia"/>
            <w:i w:val="0"/>
            <w:iCs w:val="0"/>
            <w:kern w:val="2"/>
            <w14:ligatures w14:val="standardContextual"/>
          </w:rPr>
          <w:tab/>
        </w:r>
        <w:r w:rsidRPr="009334EF">
          <w:rPr>
            <w:rStyle w:val="Hyperlink"/>
            <w:i w:val="0"/>
            <w:iCs w:val="0"/>
            <w:u w:val="none"/>
          </w:rPr>
          <w:t>Emergency Operations</w:t>
        </w:r>
        <w:r w:rsidRPr="009334EF">
          <w:rPr>
            <w:i w:val="0"/>
            <w:iCs w:val="0"/>
            <w:webHidden/>
          </w:rPr>
          <w:tab/>
        </w:r>
        <w:r w:rsidRPr="009334EF">
          <w:rPr>
            <w:i w:val="0"/>
            <w:iCs w:val="0"/>
            <w:webHidden/>
          </w:rPr>
          <w:fldChar w:fldCharType="begin"/>
        </w:r>
        <w:r w:rsidRPr="009334EF">
          <w:rPr>
            <w:i w:val="0"/>
            <w:iCs w:val="0"/>
            <w:webHidden/>
          </w:rPr>
          <w:instrText xml:space="preserve"> PAGEREF _Toc236220139 \h </w:instrText>
        </w:r>
        <w:r w:rsidRPr="009334EF">
          <w:rPr>
            <w:i w:val="0"/>
            <w:iCs w:val="0"/>
            <w:webHidden/>
          </w:rPr>
        </w:r>
        <w:r w:rsidRPr="009334EF">
          <w:rPr>
            <w:i w:val="0"/>
            <w:iCs w:val="0"/>
            <w:webHidden/>
          </w:rPr>
          <w:fldChar w:fldCharType="separate"/>
        </w:r>
        <w:r w:rsidR="00464A0C">
          <w:rPr>
            <w:i w:val="0"/>
            <w:iCs w:val="0"/>
            <w:webHidden/>
          </w:rPr>
          <w:t>6-109</w:t>
        </w:r>
        <w:r w:rsidRPr="009334EF">
          <w:rPr>
            <w:i w:val="0"/>
            <w:iCs w:val="0"/>
            <w:webHidden/>
          </w:rPr>
          <w:fldChar w:fldCharType="end"/>
        </w:r>
      </w:hyperlink>
    </w:p>
    <w:p w14:paraId="627D0A7F" w14:textId="24236CBD" w:rsidR="009334EF" w:rsidRPr="009334EF" w:rsidRDefault="009334EF">
      <w:pPr>
        <w:pStyle w:val="TOC4"/>
        <w:rPr>
          <w:rFonts w:eastAsiaTheme="minorEastAsia"/>
          <w:kern w:val="2"/>
          <w:lang w:val="en-US"/>
          <w14:ligatures w14:val="standardContextual"/>
        </w:rPr>
      </w:pPr>
      <w:hyperlink w:anchor="_Toc236220140" w:history="1">
        <w:r w:rsidRPr="009334EF">
          <w:rPr>
            <w:rStyle w:val="Hyperlink"/>
            <w:u w:val="none"/>
          </w:rPr>
          <w:t>6.5.9.1</w:t>
        </w:r>
        <w:r w:rsidRPr="009334EF">
          <w:rPr>
            <w:rFonts w:eastAsiaTheme="minorEastAsia"/>
            <w:kern w:val="2"/>
            <w:lang w:val="en-US"/>
            <w14:ligatures w14:val="standardContextual"/>
          </w:rPr>
          <w:tab/>
        </w:r>
        <w:r w:rsidRPr="009334EF">
          <w:rPr>
            <w:rStyle w:val="Hyperlink"/>
            <w:u w:val="none"/>
          </w:rPr>
          <w:t>Emergency and Short Supply Operation</w:t>
        </w:r>
        <w:r w:rsidRPr="009334EF">
          <w:rPr>
            <w:webHidden/>
          </w:rPr>
          <w:tab/>
        </w:r>
        <w:r w:rsidRPr="009334EF">
          <w:rPr>
            <w:webHidden/>
          </w:rPr>
          <w:fldChar w:fldCharType="begin"/>
        </w:r>
        <w:r w:rsidRPr="009334EF">
          <w:rPr>
            <w:webHidden/>
          </w:rPr>
          <w:instrText xml:space="preserve"> PAGEREF _Toc236220140 \h </w:instrText>
        </w:r>
        <w:r w:rsidRPr="009334EF">
          <w:rPr>
            <w:webHidden/>
          </w:rPr>
        </w:r>
        <w:r w:rsidRPr="009334EF">
          <w:rPr>
            <w:webHidden/>
          </w:rPr>
          <w:fldChar w:fldCharType="separate"/>
        </w:r>
        <w:r w:rsidR="00464A0C">
          <w:rPr>
            <w:webHidden/>
          </w:rPr>
          <w:t>6-110</w:t>
        </w:r>
        <w:r w:rsidRPr="009334EF">
          <w:rPr>
            <w:webHidden/>
          </w:rPr>
          <w:fldChar w:fldCharType="end"/>
        </w:r>
      </w:hyperlink>
    </w:p>
    <w:p w14:paraId="72088CD1" w14:textId="49A2DBAA" w:rsidR="009334EF" w:rsidRPr="009334EF" w:rsidRDefault="009334EF">
      <w:pPr>
        <w:pStyle w:val="TOC4"/>
        <w:rPr>
          <w:rFonts w:eastAsiaTheme="minorEastAsia"/>
          <w:kern w:val="2"/>
          <w:lang w:val="en-US"/>
          <w14:ligatures w14:val="standardContextual"/>
        </w:rPr>
      </w:pPr>
      <w:hyperlink w:anchor="_Toc236220141" w:history="1">
        <w:r w:rsidRPr="009334EF">
          <w:rPr>
            <w:rStyle w:val="Hyperlink"/>
            <w:u w:val="none"/>
          </w:rPr>
          <w:t>6.5.9.2</w:t>
        </w:r>
        <w:r w:rsidRPr="009334EF">
          <w:rPr>
            <w:rFonts w:eastAsiaTheme="minorEastAsia"/>
            <w:kern w:val="2"/>
            <w:lang w:val="en-US"/>
            <w14:ligatures w14:val="standardContextual"/>
          </w:rPr>
          <w:tab/>
        </w:r>
        <w:r w:rsidRPr="009334EF">
          <w:rPr>
            <w:rStyle w:val="Hyperlink"/>
            <w:u w:val="none"/>
          </w:rPr>
          <w:t>Failure of the SCED Process</w:t>
        </w:r>
        <w:r w:rsidRPr="009334EF">
          <w:rPr>
            <w:webHidden/>
          </w:rPr>
          <w:tab/>
        </w:r>
        <w:r w:rsidRPr="009334EF">
          <w:rPr>
            <w:webHidden/>
          </w:rPr>
          <w:fldChar w:fldCharType="begin"/>
        </w:r>
        <w:r w:rsidRPr="009334EF">
          <w:rPr>
            <w:webHidden/>
          </w:rPr>
          <w:instrText xml:space="preserve"> PAGEREF _Toc236220141 \h </w:instrText>
        </w:r>
        <w:r w:rsidRPr="009334EF">
          <w:rPr>
            <w:webHidden/>
          </w:rPr>
        </w:r>
        <w:r w:rsidRPr="009334EF">
          <w:rPr>
            <w:webHidden/>
          </w:rPr>
          <w:fldChar w:fldCharType="separate"/>
        </w:r>
        <w:r w:rsidR="00464A0C">
          <w:rPr>
            <w:webHidden/>
          </w:rPr>
          <w:t>6-110</w:t>
        </w:r>
        <w:r w:rsidRPr="009334EF">
          <w:rPr>
            <w:webHidden/>
          </w:rPr>
          <w:fldChar w:fldCharType="end"/>
        </w:r>
      </w:hyperlink>
    </w:p>
    <w:p w14:paraId="4D0F103B" w14:textId="468345B7" w:rsidR="009334EF" w:rsidRPr="009334EF" w:rsidRDefault="009334EF">
      <w:pPr>
        <w:pStyle w:val="TOC4"/>
        <w:rPr>
          <w:rFonts w:eastAsiaTheme="minorEastAsia"/>
          <w:kern w:val="2"/>
          <w:lang w:val="en-US"/>
          <w14:ligatures w14:val="standardContextual"/>
        </w:rPr>
      </w:pPr>
      <w:hyperlink w:anchor="_Toc236220142" w:history="1">
        <w:r w:rsidRPr="009334EF">
          <w:rPr>
            <w:rStyle w:val="Hyperlink"/>
            <w:u w:val="none"/>
          </w:rPr>
          <w:t>6.5.9.3</w:t>
        </w:r>
        <w:r w:rsidRPr="009334EF">
          <w:rPr>
            <w:rFonts w:eastAsiaTheme="minorEastAsia"/>
            <w:kern w:val="2"/>
            <w:lang w:val="en-US"/>
            <w14:ligatures w14:val="standardContextual"/>
          </w:rPr>
          <w:tab/>
        </w:r>
        <w:r w:rsidRPr="009334EF">
          <w:rPr>
            <w:rStyle w:val="Hyperlink"/>
            <w:u w:val="none"/>
          </w:rPr>
          <w:t>Communication Prior to and During Emergency Conditions</w:t>
        </w:r>
        <w:r w:rsidRPr="009334EF">
          <w:rPr>
            <w:webHidden/>
          </w:rPr>
          <w:tab/>
        </w:r>
        <w:r w:rsidRPr="009334EF">
          <w:rPr>
            <w:webHidden/>
          </w:rPr>
          <w:fldChar w:fldCharType="begin"/>
        </w:r>
        <w:r w:rsidRPr="009334EF">
          <w:rPr>
            <w:webHidden/>
          </w:rPr>
          <w:instrText xml:space="preserve"> PAGEREF _Toc236220142 \h </w:instrText>
        </w:r>
        <w:r w:rsidRPr="009334EF">
          <w:rPr>
            <w:webHidden/>
          </w:rPr>
        </w:r>
        <w:r w:rsidRPr="009334EF">
          <w:rPr>
            <w:webHidden/>
          </w:rPr>
          <w:fldChar w:fldCharType="separate"/>
        </w:r>
        <w:r w:rsidR="00464A0C">
          <w:rPr>
            <w:webHidden/>
          </w:rPr>
          <w:t>6-111</w:t>
        </w:r>
        <w:r w:rsidRPr="009334EF">
          <w:rPr>
            <w:webHidden/>
          </w:rPr>
          <w:fldChar w:fldCharType="end"/>
        </w:r>
      </w:hyperlink>
    </w:p>
    <w:p w14:paraId="55EE8D43" w14:textId="629FF4CF" w:rsidR="009334EF" w:rsidRPr="009334EF" w:rsidRDefault="009334EF">
      <w:pPr>
        <w:pStyle w:val="TOC5"/>
        <w:rPr>
          <w:rFonts w:eastAsiaTheme="minorEastAsia"/>
          <w:i w:val="0"/>
          <w:kern w:val="2"/>
          <w:sz w:val="20"/>
          <w:szCs w:val="20"/>
          <w14:ligatures w14:val="standardContextual"/>
        </w:rPr>
      </w:pPr>
      <w:hyperlink w:anchor="_Toc236220143" w:history="1">
        <w:r w:rsidRPr="009334EF">
          <w:rPr>
            <w:rStyle w:val="Hyperlink"/>
            <w:i w:val="0"/>
            <w:sz w:val="20"/>
            <w:szCs w:val="20"/>
            <w:u w:val="none"/>
          </w:rPr>
          <w:t>6.5.9.3.1</w:t>
        </w:r>
        <w:r w:rsidRPr="009334EF">
          <w:rPr>
            <w:rFonts w:eastAsiaTheme="minorEastAsia"/>
            <w:i w:val="0"/>
            <w:kern w:val="2"/>
            <w:sz w:val="20"/>
            <w:szCs w:val="20"/>
            <w14:ligatures w14:val="standardContextual"/>
          </w:rPr>
          <w:tab/>
        </w:r>
        <w:r w:rsidRPr="009334EF">
          <w:rPr>
            <w:rStyle w:val="Hyperlink"/>
            <w:i w:val="0"/>
            <w:sz w:val="20"/>
            <w:szCs w:val="20"/>
            <w:u w:val="none"/>
          </w:rPr>
          <w:t>Operating Condition Notice</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_Toc236220143 \h </w:instrText>
        </w:r>
        <w:r w:rsidRPr="009334EF">
          <w:rPr>
            <w:i w:val="0"/>
            <w:webHidden/>
            <w:sz w:val="20"/>
            <w:szCs w:val="20"/>
          </w:rPr>
        </w:r>
        <w:r w:rsidRPr="009334EF">
          <w:rPr>
            <w:i w:val="0"/>
            <w:webHidden/>
            <w:sz w:val="20"/>
            <w:szCs w:val="20"/>
          </w:rPr>
          <w:fldChar w:fldCharType="separate"/>
        </w:r>
        <w:r w:rsidR="00464A0C">
          <w:rPr>
            <w:i w:val="0"/>
            <w:webHidden/>
            <w:sz w:val="20"/>
            <w:szCs w:val="20"/>
          </w:rPr>
          <w:t>6-113</w:t>
        </w:r>
        <w:r w:rsidRPr="009334EF">
          <w:rPr>
            <w:i w:val="0"/>
            <w:webHidden/>
            <w:sz w:val="20"/>
            <w:szCs w:val="20"/>
          </w:rPr>
          <w:fldChar w:fldCharType="end"/>
        </w:r>
      </w:hyperlink>
    </w:p>
    <w:p w14:paraId="3BAE1769" w14:textId="259D1797" w:rsidR="009334EF" w:rsidRPr="009334EF" w:rsidRDefault="009334EF">
      <w:pPr>
        <w:pStyle w:val="TOC5"/>
        <w:rPr>
          <w:rFonts w:eastAsiaTheme="minorEastAsia"/>
          <w:i w:val="0"/>
          <w:kern w:val="2"/>
          <w:sz w:val="20"/>
          <w:szCs w:val="20"/>
          <w14:ligatures w14:val="standardContextual"/>
        </w:rPr>
      </w:pPr>
      <w:hyperlink w:anchor="_Toc236220144" w:history="1">
        <w:r w:rsidRPr="009334EF">
          <w:rPr>
            <w:rStyle w:val="Hyperlink"/>
            <w:i w:val="0"/>
            <w:sz w:val="20"/>
            <w:szCs w:val="20"/>
            <w:u w:val="none"/>
          </w:rPr>
          <w:t>6.5.9.3.1.1</w:t>
        </w:r>
        <w:r w:rsidRPr="009334EF">
          <w:rPr>
            <w:rFonts w:eastAsiaTheme="minorEastAsia"/>
            <w:i w:val="0"/>
            <w:kern w:val="2"/>
            <w:sz w:val="20"/>
            <w:szCs w:val="20"/>
            <w14:ligatures w14:val="standardContextual"/>
          </w:rPr>
          <w:tab/>
        </w:r>
        <w:r w:rsidRPr="009334EF">
          <w:rPr>
            <w:rStyle w:val="Hyperlink"/>
            <w:i w:val="0"/>
            <w:sz w:val="20"/>
            <w:szCs w:val="20"/>
            <w:u w:val="none"/>
          </w:rPr>
          <w:t>Advance Action Notice</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_Toc236220144 \h </w:instrText>
        </w:r>
        <w:r w:rsidRPr="009334EF">
          <w:rPr>
            <w:i w:val="0"/>
            <w:webHidden/>
            <w:sz w:val="20"/>
            <w:szCs w:val="20"/>
          </w:rPr>
        </w:r>
        <w:r w:rsidRPr="009334EF">
          <w:rPr>
            <w:i w:val="0"/>
            <w:webHidden/>
            <w:sz w:val="20"/>
            <w:szCs w:val="20"/>
          </w:rPr>
          <w:fldChar w:fldCharType="separate"/>
        </w:r>
        <w:r w:rsidR="00464A0C">
          <w:rPr>
            <w:i w:val="0"/>
            <w:webHidden/>
            <w:sz w:val="20"/>
            <w:szCs w:val="20"/>
          </w:rPr>
          <w:t>6-115</w:t>
        </w:r>
        <w:r w:rsidRPr="009334EF">
          <w:rPr>
            <w:i w:val="0"/>
            <w:webHidden/>
            <w:sz w:val="20"/>
            <w:szCs w:val="20"/>
          </w:rPr>
          <w:fldChar w:fldCharType="end"/>
        </w:r>
      </w:hyperlink>
    </w:p>
    <w:p w14:paraId="20C4E958" w14:textId="3087EE4F" w:rsidR="009334EF" w:rsidRPr="009334EF" w:rsidRDefault="009334EF">
      <w:pPr>
        <w:pStyle w:val="TOC5"/>
        <w:rPr>
          <w:rFonts w:eastAsiaTheme="minorEastAsia"/>
          <w:i w:val="0"/>
          <w:kern w:val="2"/>
          <w:sz w:val="20"/>
          <w:szCs w:val="20"/>
          <w14:ligatures w14:val="standardContextual"/>
        </w:rPr>
      </w:pPr>
      <w:hyperlink w:anchor="_Toc236220145" w:history="1">
        <w:r w:rsidRPr="009334EF">
          <w:rPr>
            <w:rStyle w:val="Hyperlink"/>
            <w:i w:val="0"/>
            <w:sz w:val="20"/>
            <w:szCs w:val="20"/>
            <w:u w:val="none"/>
          </w:rPr>
          <w:t>6.5.9.3.2</w:t>
        </w:r>
        <w:r w:rsidRPr="009334EF">
          <w:rPr>
            <w:rFonts w:eastAsiaTheme="minorEastAsia"/>
            <w:i w:val="0"/>
            <w:kern w:val="2"/>
            <w:sz w:val="20"/>
            <w:szCs w:val="20"/>
            <w14:ligatures w14:val="standardContextual"/>
          </w:rPr>
          <w:tab/>
        </w:r>
        <w:r w:rsidRPr="009334EF">
          <w:rPr>
            <w:rStyle w:val="Hyperlink"/>
            <w:i w:val="0"/>
            <w:sz w:val="20"/>
            <w:szCs w:val="20"/>
            <w:u w:val="none"/>
          </w:rPr>
          <w:t>Advisory</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_Toc236220145 \h </w:instrText>
        </w:r>
        <w:r w:rsidRPr="009334EF">
          <w:rPr>
            <w:i w:val="0"/>
            <w:webHidden/>
            <w:sz w:val="20"/>
            <w:szCs w:val="20"/>
          </w:rPr>
        </w:r>
        <w:r w:rsidRPr="009334EF">
          <w:rPr>
            <w:i w:val="0"/>
            <w:webHidden/>
            <w:sz w:val="20"/>
            <w:szCs w:val="20"/>
          </w:rPr>
          <w:fldChar w:fldCharType="separate"/>
        </w:r>
        <w:r w:rsidR="00464A0C">
          <w:rPr>
            <w:i w:val="0"/>
            <w:webHidden/>
            <w:sz w:val="20"/>
            <w:szCs w:val="20"/>
          </w:rPr>
          <w:t>6-115</w:t>
        </w:r>
        <w:r w:rsidRPr="009334EF">
          <w:rPr>
            <w:i w:val="0"/>
            <w:webHidden/>
            <w:sz w:val="20"/>
            <w:szCs w:val="20"/>
          </w:rPr>
          <w:fldChar w:fldCharType="end"/>
        </w:r>
      </w:hyperlink>
    </w:p>
    <w:p w14:paraId="3D389269" w14:textId="2D4C7CD9" w:rsidR="009334EF" w:rsidRPr="009334EF" w:rsidRDefault="009334EF">
      <w:pPr>
        <w:pStyle w:val="TOC5"/>
        <w:rPr>
          <w:rFonts w:eastAsiaTheme="minorEastAsia"/>
          <w:i w:val="0"/>
          <w:kern w:val="2"/>
          <w:sz w:val="20"/>
          <w:szCs w:val="20"/>
          <w14:ligatures w14:val="standardContextual"/>
        </w:rPr>
      </w:pPr>
      <w:hyperlink w:anchor="_Toc236220146" w:history="1">
        <w:r w:rsidRPr="009334EF">
          <w:rPr>
            <w:rStyle w:val="Hyperlink"/>
            <w:i w:val="0"/>
            <w:sz w:val="20"/>
            <w:szCs w:val="20"/>
            <w:u w:val="none"/>
          </w:rPr>
          <w:t>6.5.9.3.3</w:t>
        </w:r>
        <w:r w:rsidRPr="009334EF">
          <w:rPr>
            <w:rFonts w:eastAsiaTheme="minorEastAsia"/>
            <w:i w:val="0"/>
            <w:kern w:val="2"/>
            <w:sz w:val="20"/>
            <w:szCs w:val="20"/>
            <w14:ligatures w14:val="standardContextual"/>
          </w:rPr>
          <w:tab/>
        </w:r>
        <w:r w:rsidRPr="009334EF">
          <w:rPr>
            <w:rStyle w:val="Hyperlink"/>
            <w:i w:val="0"/>
            <w:sz w:val="20"/>
            <w:szCs w:val="20"/>
            <w:u w:val="none"/>
          </w:rPr>
          <w:t>Watch</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_Toc236220146 \h </w:instrText>
        </w:r>
        <w:r w:rsidRPr="009334EF">
          <w:rPr>
            <w:i w:val="0"/>
            <w:webHidden/>
            <w:sz w:val="20"/>
            <w:szCs w:val="20"/>
          </w:rPr>
        </w:r>
        <w:r w:rsidRPr="009334EF">
          <w:rPr>
            <w:i w:val="0"/>
            <w:webHidden/>
            <w:sz w:val="20"/>
            <w:szCs w:val="20"/>
          </w:rPr>
          <w:fldChar w:fldCharType="separate"/>
        </w:r>
        <w:r w:rsidR="00464A0C">
          <w:rPr>
            <w:i w:val="0"/>
            <w:webHidden/>
            <w:sz w:val="20"/>
            <w:szCs w:val="20"/>
          </w:rPr>
          <w:t>6-116</w:t>
        </w:r>
        <w:r w:rsidRPr="009334EF">
          <w:rPr>
            <w:i w:val="0"/>
            <w:webHidden/>
            <w:sz w:val="20"/>
            <w:szCs w:val="20"/>
          </w:rPr>
          <w:fldChar w:fldCharType="end"/>
        </w:r>
      </w:hyperlink>
    </w:p>
    <w:p w14:paraId="3E559DE3" w14:textId="6869DCB8" w:rsidR="009334EF" w:rsidRPr="009334EF" w:rsidRDefault="009334EF">
      <w:pPr>
        <w:pStyle w:val="TOC5"/>
        <w:rPr>
          <w:rFonts w:eastAsiaTheme="minorEastAsia"/>
          <w:i w:val="0"/>
          <w:kern w:val="2"/>
          <w:sz w:val="20"/>
          <w:szCs w:val="20"/>
          <w14:ligatures w14:val="standardContextual"/>
        </w:rPr>
      </w:pPr>
      <w:hyperlink w:anchor="_Toc236220147" w:history="1">
        <w:r w:rsidRPr="009334EF">
          <w:rPr>
            <w:rStyle w:val="Hyperlink"/>
            <w:i w:val="0"/>
            <w:sz w:val="20"/>
            <w:szCs w:val="20"/>
            <w:u w:val="none"/>
          </w:rPr>
          <w:t>6.5.9.3.4</w:t>
        </w:r>
        <w:r w:rsidRPr="009334EF">
          <w:rPr>
            <w:rFonts w:eastAsiaTheme="minorEastAsia"/>
            <w:i w:val="0"/>
            <w:kern w:val="2"/>
            <w:sz w:val="20"/>
            <w:szCs w:val="20"/>
            <w14:ligatures w14:val="standardContextual"/>
          </w:rPr>
          <w:tab/>
        </w:r>
        <w:r w:rsidRPr="009334EF">
          <w:rPr>
            <w:rStyle w:val="Hyperlink"/>
            <w:i w:val="0"/>
            <w:sz w:val="20"/>
            <w:szCs w:val="20"/>
            <w:u w:val="none"/>
          </w:rPr>
          <w:t>Emergency Notice</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_Toc236220147 \h </w:instrText>
        </w:r>
        <w:r w:rsidRPr="009334EF">
          <w:rPr>
            <w:i w:val="0"/>
            <w:webHidden/>
            <w:sz w:val="20"/>
            <w:szCs w:val="20"/>
          </w:rPr>
        </w:r>
        <w:r w:rsidRPr="009334EF">
          <w:rPr>
            <w:i w:val="0"/>
            <w:webHidden/>
            <w:sz w:val="20"/>
            <w:szCs w:val="20"/>
          </w:rPr>
          <w:fldChar w:fldCharType="separate"/>
        </w:r>
        <w:r w:rsidR="00464A0C">
          <w:rPr>
            <w:i w:val="0"/>
            <w:webHidden/>
            <w:sz w:val="20"/>
            <w:szCs w:val="20"/>
          </w:rPr>
          <w:t>6-118</w:t>
        </w:r>
        <w:r w:rsidRPr="009334EF">
          <w:rPr>
            <w:i w:val="0"/>
            <w:webHidden/>
            <w:sz w:val="20"/>
            <w:szCs w:val="20"/>
          </w:rPr>
          <w:fldChar w:fldCharType="end"/>
        </w:r>
      </w:hyperlink>
    </w:p>
    <w:p w14:paraId="7596DBD6" w14:textId="20BFCF77" w:rsidR="009334EF" w:rsidRPr="009334EF" w:rsidRDefault="009334EF">
      <w:pPr>
        <w:pStyle w:val="TOC4"/>
        <w:rPr>
          <w:rFonts w:eastAsiaTheme="minorEastAsia"/>
          <w:kern w:val="2"/>
          <w:lang w:val="en-US"/>
          <w14:ligatures w14:val="standardContextual"/>
        </w:rPr>
      </w:pPr>
      <w:hyperlink w:anchor="_Toc236220148" w:history="1">
        <w:r w:rsidRPr="009334EF">
          <w:rPr>
            <w:rStyle w:val="Hyperlink"/>
            <w:u w:val="none"/>
          </w:rPr>
          <w:t>6.5.9.4</w:t>
        </w:r>
        <w:r w:rsidRPr="009334EF">
          <w:rPr>
            <w:rFonts w:eastAsiaTheme="minorEastAsia"/>
            <w:kern w:val="2"/>
            <w:lang w:val="en-US"/>
            <w14:ligatures w14:val="standardContextual"/>
          </w:rPr>
          <w:tab/>
        </w:r>
        <w:r w:rsidRPr="009334EF">
          <w:rPr>
            <w:rStyle w:val="Hyperlink"/>
            <w:u w:val="none"/>
          </w:rPr>
          <w:t>Energy Emergency Alert</w:t>
        </w:r>
        <w:r w:rsidRPr="009334EF">
          <w:rPr>
            <w:webHidden/>
          </w:rPr>
          <w:tab/>
        </w:r>
        <w:r w:rsidRPr="009334EF">
          <w:rPr>
            <w:webHidden/>
          </w:rPr>
          <w:fldChar w:fldCharType="begin"/>
        </w:r>
        <w:r w:rsidRPr="009334EF">
          <w:rPr>
            <w:webHidden/>
          </w:rPr>
          <w:instrText xml:space="preserve"> PAGEREF _Toc236220148 \h </w:instrText>
        </w:r>
        <w:r w:rsidRPr="009334EF">
          <w:rPr>
            <w:webHidden/>
          </w:rPr>
        </w:r>
        <w:r w:rsidRPr="009334EF">
          <w:rPr>
            <w:webHidden/>
          </w:rPr>
          <w:fldChar w:fldCharType="separate"/>
        </w:r>
        <w:r w:rsidR="00464A0C">
          <w:rPr>
            <w:webHidden/>
          </w:rPr>
          <w:t>6-118</w:t>
        </w:r>
        <w:r w:rsidRPr="009334EF">
          <w:rPr>
            <w:webHidden/>
          </w:rPr>
          <w:fldChar w:fldCharType="end"/>
        </w:r>
      </w:hyperlink>
    </w:p>
    <w:p w14:paraId="377CA0CC" w14:textId="031FB336" w:rsidR="009334EF" w:rsidRPr="009334EF" w:rsidRDefault="009334EF">
      <w:pPr>
        <w:pStyle w:val="TOC5"/>
        <w:rPr>
          <w:rFonts w:eastAsiaTheme="minorEastAsia"/>
          <w:i w:val="0"/>
          <w:kern w:val="2"/>
          <w:sz w:val="20"/>
          <w:szCs w:val="20"/>
          <w14:ligatures w14:val="standardContextual"/>
        </w:rPr>
      </w:pPr>
      <w:hyperlink w:anchor="_Toc236220149" w:history="1">
        <w:r w:rsidRPr="009334EF">
          <w:rPr>
            <w:rStyle w:val="Hyperlink"/>
            <w:i w:val="0"/>
            <w:sz w:val="20"/>
            <w:szCs w:val="20"/>
            <w:u w:val="none"/>
          </w:rPr>
          <w:t>6.5.9.4.1</w:t>
        </w:r>
        <w:r w:rsidRPr="009334EF">
          <w:rPr>
            <w:rFonts w:eastAsiaTheme="minorEastAsia"/>
            <w:i w:val="0"/>
            <w:kern w:val="2"/>
            <w:sz w:val="20"/>
            <w:szCs w:val="20"/>
            <w14:ligatures w14:val="standardContextual"/>
          </w:rPr>
          <w:tab/>
        </w:r>
        <w:r w:rsidRPr="009334EF">
          <w:rPr>
            <w:rStyle w:val="Hyperlink"/>
            <w:i w:val="0"/>
            <w:sz w:val="20"/>
            <w:szCs w:val="20"/>
            <w:u w:val="none"/>
          </w:rPr>
          <w:t>General Procedures Prior to EEA Operations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_Toc236220149 \h </w:instrText>
        </w:r>
        <w:r w:rsidRPr="009334EF">
          <w:rPr>
            <w:i w:val="0"/>
            <w:webHidden/>
            <w:sz w:val="20"/>
            <w:szCs w:val="20"/>
          </w:rPr>
        </w:r>
        <w:r w:rsidRPr="009334EF">
          <w:rPr>
            <w:i w:val="0"/>
            <w:webHidden/>
            <w:sz w:val="20"/>
            <w:szCs w:val="20"/>
          </w:rPr>
          <w:fldChar w:fldCharType="separate"/>
        </w:r>
        <w:r w:rsidR="00464A0C">
          <w:rPr>
            <w:i w:val="0"/>
            <w:webHidden/>
            <w:sz w:val="20"/>
            <w:szCs w:val="20"/>
          </w:rPr>
          <w:t>6-121</w:t>
        </w:r>
        <w:r w:rsidRPr="009334EF">
          <w:rPr>
            <w:i w:val="0"/>
            <w:webHidden/>
            <w:sz w:val="20"/>
            <w:szCs w:val="20"/>
          </w:rPr>
          <w:fldChar w:fldCharType="end"/>
        </w:r>
      </w:hyperlink>
    </w:p>
    <w:p w14:paraId="433175EB" w14:textId="6B85801E" w:rsidR="009334EF" w:rsidRPr="009334EF" w:rsidRDefault="009334EF">
      <w:pPr>
        <w:pStyle w:val="TOC5"/>
        <w:rPr>
          <w:rFonts w:eastAsiaTheme="minorEastAsia"/>
          <w:i w:val="0"/>
          <w:kern w:val="2"/>
          <w:sz w:val="20"/>
          <w:szCs w:val="20"/>
          <w14:ligatures w14:val="standardContextual"/>
        </w:rPr>
      </w:pPr>
      <w:hyperlink w:anchor="_Toc236220150" w:history="1">
        <w:r w:rsidRPr="009334EF">
          <w:rPr>
            <w:rStyle w:val="Hyperlink"/>
            <w:i w:val="0"/>
            <w:sz w:val="20"/>
            <w:szCs w:val="20"/>
            <w:u w:val="none"/>
          </w:rPr>
          <w:t>6.5.9.4.2</w:t>
        </w:r>
        <w:r w:rsidRPr="009334EF">
          <w:rPr>
            <w:rFonts w:eastAsiaTheme="minorEastAsia"/>
            <w:i w:val="0"/>
            <w:kern w:val="2"/>
            <w:sz w:val="20"/>
            <w:szCs w:val="20"/>
            <w14:ligatures w14:val="standardContextual"/>
          </w:rPr>
          <w:tab/>
        </w:r>
        <w:r w:rsidRPr="009334EF">
          <w:rPr>
            <w:rStyle w:val="Hyperlink"/>
            <w:i w:val="0"/>
            <w:sz w:val="20"/>
            <w:szCs w:val="20"/>
            <w:u w:val="none"/>
          </w:rPr>
          <w:t>EEA Levels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_Toc236220150 \h </w:instrText>
        </w:r>
        <w:r w:rsidRPr="009334EF">
          <w:rPr>
            <w:i w:val="0"/>
            <w:webHidden/>
            <w:sz w:val="20"/>
            <w:szCs w:val="20"/>
          </w:rPr>
        </w:r>
        <w:r w:rsidRPr="009334EF">
          <w:rPr>
            <w:i w:val="0"/>
            <w:webHidden/>
            <w:sz w:val="20"/>
            <w:szCs w:val="20"/>
          </w:rPr>
          <w:fldChar w:fldCharType="separate"/>
        </w:r>
        <w:r w:rsidR="00464A0C">
          <w:rPr>
            <w:i w:val="0"/>
            <w:webHidden/>
            <w:sz w:val="20"/>
            <w:szCs w:val="20"/>
          </w:rPr>
          <w:t>6-125</w:t>
        </w:r>
        <w:r w:rsidRPr="009334EF">
          <w:rPr>
            <w:i w:val="0"/>
            <w:webHidden/>
            <w:sz w:val="20"/>
            <w:szCs w:val="20"/>
          </w:rPr>
          <w:fldChar w:fldCharType="end"/>
        </w:r>
      </w:hyperlink>
    </w:p>
    <w:p w14:paraId="5B85A0F8" w14:textId="4A389309" w:rsidR="009334EF" w:rsidRPr="009334EF" w:rsidRDefault="009334EF">
      <w:pPr>
        <w:pStyle w:val="TOC5"/>
        <w:rPr>
          <w:rFonts w:eastAsiaTheme="minorEastAsia"/>
          <w:i w:val="0"/>
          <w:kern w:val="2"/>
          <w:sz w:val="20"/>
          <w:szCs w:val="20"/>
          <w14:ligatures w14:val="standardContextual"/>
        </w:rPr>
      </w:pPr>
      <w:hyperlink w:anchor="_Toc236220151" w:history="1">
        <w:r w:rsidRPr="009334EF">
          <w:rPr>
            <w:rStyle w:val="Hyperlink"/>
            <w:i w:val="0"/>
            <w:sz w:val="20"/>
            <w:szCs w:val="20"/>
            <w:u w:val="none"/>
          </w:rPr>
          <w:t>6.5.9.4.3</w:t>
        </w:r>
        <w:r w:rsidRPr="009334EF">
          <w:rPr>
            <w:rFonts w:eastAsiaTheme="minorEastAsia"/>
            <w:i w:val="0"/>
            <w:kern w:val="2"/>
            <w:sz w:val="20"/>
            <w:szCs w:val="20"/>
            <w14:ligatures w14:val="standardContextual"/>
          </w:rPr>
          <w:tab/>
        </w:r>
        <w:r w:rsidRPr="009334EF">
          <w:rPr>
            <w:rStyle w:val="Hyperlink"/>
            <w:i w:val="0"/>
            <w:sz w:val="20"/>
            <w:szCs w:val="20"/>
            <w:u w:val="none"/>
          </w:rPr>
          <w:t>Restoration of Market Operations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_Toc236220151 \h </w:instrText>
        </w:r>
        <w:r w:rsidRPr="009334EF">
          <w:rPr>
            <w:i w:val="0"/>
            <w:webHidden/>
            <w:sz w:val="20"/>
            <w:szCs w:val="20"/>
          </w:rPr>
        </w:r>
        <w:r w:rsidRPr="009334EF">
          <w:rPr>
            <w:i w:val="0"/>
            <w:webHidden/>
            <w:sz w:val="20"/>
            <w:szCs w:val="20"/>
          </w:rPr>
          <w:fldChar w:fldCharType="separate"/>
        </w:r>
        <w:r w:rsidR="00464A0C">
          <w:rPr>
            <w:i w:val="0"/>
            <w:webHidden/>
            <w:sz w:val="20"/>
            <w:szCs w:val="20"/>
          </w:rPr>
          <w:t>6-129</w:t>
        </w:r>
        <w:r w:rsidRPr="009334EF">
          <w:rPr>
            <w:i w:val="0"/>
            <w:webHidden/>
            <w:sz w:val="20"/>
            <w:szCs w:val="20"/>
          </w:rPr>
          <w:fldChar w:fldCharType="end"/>
        </w:r>
      </w:hyperlink>
    </w:p>
    <w:p w14:paraId="307D39D0" w14:textId="423E1F4A" w:rsidR="009334EF" w:rsidRPr="009334EF" w:rsidRDefault="009334EF">
      <w:pPr>
        <w:pStyle w:val="TOC4"/>
        <w:rPr>
          <w:rFonts w:eastAsiaTheme="minorEastAsia"/>
          <w:kern w:val="2"/>
          <w:lang w:val="en-US"/>
          <w14:ligatures w14:val="standardContextual"/>
        </w:rPr>
      </w:pPr>
      <w:hyperlink w:anchor="_Toc236220152" w:history="1">
        <w:r w:rsidRPr="009334EF">
          <w:rPr>
            <w:rStyle w:val="Hyperlink"/>
            <w:u w:val="none"/>
          </w:rPr>
          <w:t>6.5.9.5</w:t>
        </w:r>
        <w:r w:rsidRPr="009334EF">
          <w:rPr>
            <w:rFonts w:eastAsiaTheme="minorEastAsia"/>
            <w:kern w:val="2"/>
            <w:lang w:val="en-US"/>
            <w14:ligatures w14:val="standardContextual"/>
          </w:rPr>
          <w:tab/>
        </w:r>
        <w:r w:rsidRPr="009334EF">
          <w:rPr>
            <w:rStyle w:val="Hyperlink"/>
            <w:u w:val="none"/>
          </w:rPr>
          <w:t>Block Load Transfers between ERCOT and Non-ERCOT Control Areas</w:t>
        </w:r>
        <w:r w:rsidRPr="009334EF">
          <w:rPr>
            <w:webHidden/>
          </w:rPr>
          <w:tab/>
        </w:r>
        <w:r w:rsidRPr="009334EF">
          <w:rPr>
            <w:webHidden/>
          </w:rPr>
          <w:fldChar w:fldCharType="begin"/>
        </w:r>
        <w:r w:rsidRPr="009334EF">
          <w:rPr>
            <w:webHidden/>
          </w:rPr>
          <w:instrText xml:space="preserve"> PAGEREF _Toc236220152 \h </w:instrText>
        </w:r>
        <w:r w:rsidRPr="009334EF">
          <w:rPr>
            <w:webHidden/>
          </w:rPr>
        </w:r>
        <w:r w:rsidRPr="009334EF">
          <w:rPr>
            <w:webHidden/>
          </w:rPr>
          <w:fldChar w:fldCharType="separate"/>
        </w:r>
        <w:r w:rsidR="00464A0C">
          <w:rPr>
            <w:webHidden/>
          </w:rPr>
          <w:t>6-129</w:t>
        </w:r>
        <w:r w:rsidRPr="009334EF">
          <w:rPr>
            <w:webHidden/>
          </w:rPr>
          <w:fldChar w:fldCharType="end"/>
        </w:r>
      </w:hyperlink>
    </w:p>
    <w:p w14:paraId="4F1FB3BB" w14:textId="0AC3DCEE" w:rsidR="009334EF" w:rsidRPr="009334EF" w:rsidRDefault="009334EF">
      <w:pPr>
        <w:pStyle w:val="TOC5"/>
        <w:rPr>
          <w:rFonts w:eastAsiaTheme="minorEastAsia"/>
          <w:i w:val="0"/>
          <w:kern w:val="2"/>
          <w:sz w:val="20"/>
          <w:szCs w:val="20"/>
          <w14:ligatures w14:val="standardContextual"/>
        </w:rPr>
      </w:pPr>
      <w:hyperlink w:anchor="_Toc236220153" w:history="1">
        <w:r w:rsidRPr="009334EF">
          <w:rPr>
            <w:rStyle w:val="Hyperlink"/>
            <w:i w:val="0"/>
            <w:sz w:val="20"/>
            <w:szCs w:val="20"/>
            <w:u w:val="none"/>
          </w:rPr>
          <w:t>6.5.9.5.1</w:t>
        </w:r>
        <w:r w:rsidRPr="009334EF">
          <w:rPr>
            <w:rFonts w:eastAsiaTheme="minorEastAsia"/>
            <w:i w:val="0"/>
            <w:kern w:val="2"/>
            <w:sz w:val="20"/>
            <w:szCs w:val="20"/>
            <w14:ligatures w14:val="standardContextual"/>
          </w:rPr>
          <w:tab/>
        </w:r>
        <w:r w:rsidRPr="009334EF">
          <w:rPr>
            <w:rStyle w:val="Hyperlink"/>
            <w:i w:val="0"/>
            <w:sz w:val="20"/>
            <w:szCs w:val="20"/>
            <w:u w:val="none"/>
          </w:rPr>
          <w:t>Registration and Posting of BLT Points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_Toc236220153 \h </w:instrText>
        </w:r>
        <w:r w:rsidRPr="009334EF">
          <w:rPr>
            <w:i w:val="0"/>
            <w:webHidden/>
            <w:sz w:val="20"/>
            <w:szCs w:val="20"/>
          </w:rPr>
        </w:r>
        <w:r w:rsidRPr="009334EF">
          <w:rPr>
            <w:i w:val="0"/>
            <w:webHidden/>
            <w:sz w:val="20"/>
            <w:szCs w:val="20"/>
          </w:rPr>
          <w:fldChar w:fldCharType="separate"/>
        </w:r>
        <w:r w:rsidR="00464A0C">
          <w:rPr>
            <w:i w:val="0"/>
            <w:webHidden/>
            <w:sz w:val="20"/>
            <w:szCs w:val="20"/>
          </w:rPr>
          <w:t>6-131</w:t>
        </w:r>
        <w:r w:rsidRPr="009334EF">
          <w:rPr>
            <w:i w:val="0"/>
            <w:webHidden/>
            <w:sz w:val="20"/>
            <w:szCs w:val="20"/>
          </w:rPr>
          <w:fldChar w:fldCharType="end"/>
        </w:r>
      </w:hyperlink>
    </w:p>
    <w:p w14:paraId="0E3EFE9A" w14:textId="19495839" w:rsidR="009334EF" w:rsidRPr="009334EF" w:rsidRDefault="009334EF">
      <w:pPr>
        <w:pStyle w:val="TOC5"/>
        <w:rPr>
          <w:rFonts w:eastAsiaTheme="minorEastAsia"/>
          <w:i w:val="0"/>
          <w:kern w:val="2"/>
          <w:sz w:val="20"/>
          <w:szCs w:val="20"/>
          <w14:ligatures w14:val="standardContextual"/>
        </w:rPr>
      </w:pPr>
      <w:hyperlink w:anchor="_Toc236220154" w:history="1">
        <w:r w:rsidRPr="009334EF">
          <w:rPr>
            <w:rStyle w:val="Hyperlink"/>
            <w:i w:val="0"/>
            <w:sz w:val="20"/>
            <w:szCs w:val="20"/>
            <w:u w:val="none"/>
          </w:rPr>
          <w:t>6.5.9.5.2</w:t>
        </w:r>
        <w:r w:rsidRPr="009334EF">
          <w:rPr>
            <w:rFonts w:eastAsiaTheme="minorEastAsia"/>
            <w:i w:val="0"/>
            <w:kern w:val="2"/>
            <w:sz w:val="20"/>
            <w:szCs w:val="20"/>
            <w14:ligatures w14:val="standardContextual"/>
          </w:rPr>
          <w:tab/>
        </w:r>
        <w:r w:rsidRPr="009334EF">
          <w:rPr>
            <w:rStyle w:val="Hyperlink"/>
            <w:i w:val="0"/>
            <w:sz w:val="20"/>
            <w:szCs w:val="20"/>
            <w:u w:val="none"/>
          </w:rPr>
          <w:t>Scheduling and Operation of BLTs</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_Toc236220154 \h </w:instrText>
        </w:r>
        <w:r w:rsidRPr="009334EF">
          <w:rPr>
            <w:i w:val="0"/>
            <w:webHidden/>
            <w:sz w:val="20"/>
            <w:szCs w:val="20"/>
          </w:rPr>
        </w:r>
        <w:r w:rsidRPr="009334EF">
          <w:rPr>
            <w:i w:val="0"/>
            <w:webHidden/>
            <w:sz w:val="20"/>
            <w:szCs w:val="20"/>
          </w:rPr>
          <w:fldChar w:fldCharType="separate"/>
        </w:r>
        <w:r w:rsidR="00464A0C">
          <w:rPr>
            <w:i w:val="0"/>
            <w:webHidden/>
            <w:sz w:val="20"/>
            <w:szCs w:val="20"/>
          </w:rPr>
          <w:t>6-132</w:t>
        </w:r>
        <w:r w:rsidRPr="009334EF">
          <w:rPr>
            <w:i w:val="0"/>
            <w:webHidden/>
            <w:sz w:val="20"/>
            <w:szCs w:val="20"/>
          </w:rPr>
          <w:fldChar w:fldCharType="end"/>
        </w:r>
      </w:hyperlink>
    </w:p>
    <w:p w14:paraId="21BA227A" w14:textId="1B76BB39" w:rsidR="009334EF" w:rsidRPr="009334EF" w:rsidRDefault="009334EF">
      <w:pPr>
        <w:pStyle w:val="TOC4"/>
        <w:rPr>
          <w:rFonts w:eastAsiaTheme="minorEastAsia"/>
          <w:kern w:val="2"/>
          <w:lang w:val="en-US"/>
          <w14:ligatures w14:val="standardContextual"/>
        </w:rPr>
      </w:pPr>
      <w:hyperlink w:anchor="_Toc236220155" w:history="1">
        <w:r w:rsidRPr="009334EF">
          <w:rPr>
            <w:rStyle w:val="Hyperlink"/>
            <w:u w:val="none"/>
          </w:rPr>
          <w:t>6.5.9.6</w:t>
        </w:r>
        <w:r w:rsidRPr="009334EF">
          <w:rPr>
            <w:rFonts w:eastAsiaTheme="minorEastAsia"/>
            <w:kern w:val="2"/>
            <w:lang w:val="en-US"/>
            <w14:ligatures w14:val="standardContextual"/>
          </w:rPr>
          <w:tab/>
        </w:r>
        <w:r w:rsidRPr="009334EF">
          <w:rPr>
            <w:rStyle w:val="Hyperlink"/>
            <w:u w:val="none"/>
          </w:rPr>
          <w:t>Black Start</w:t>
        </w:r>
        <w:r w:rsidRPr="009334EF">
          <w:rPr>
            <w:webHidden/>
          </w:rPr>
          <w:tab/>
        </w:r>
        <w:r w:rsidRPr="009334EF">
          <w:rPr>
            <w:webHidden/>
          </w:rPr>
          <w:fldChar w:fldCharType="begin"/>
        </w:r>
        <w:r w:rsidRPr="009334EF">
          <w:rPr>
            <w:webHidden/>
          </w:rPr>
          <w:instrText xml:space="preserve"> PAGEREF _Toc236220155 \h </w:instrText>
        </w:r>
        <w:r w:rsidRPr="009334EF">
          <w:rPr>
            <w:webHidden/>
          </w:rPr>
        </w:r>
        <w:r w:rsidRPr="009334EF">
          <w:rPr>
            <w:webHidden/>
          </w:rPr>
          <w:fldChar w:fldCharType="separate"/>
        </w:r>
        <w:r w:rsidR="00464A0C">
          <w:rPr>
            <w:webHidden/>
          </w:rPr>
          <w:t>6-132</w:t>
        </w:r>
        <w:r w:rsidRPr="009334EF">
          <w:rPr>
            <w:webHidden/>
          </w:rPr>
          <w:fldChar w:fldCharType="end"/>
        </w:r>
      </w:hyperlink>
    </w:p>
    <w:p w14:paraId="7CC97590" w14:textId="128ACF08" w:rsidR="009334EF" w:rsidRPr="009334EF" w:rsidRDefault="009334EF">
      <w:pPr>
        <w:pStyle w:val="TOC2"/>
        <w:rPr>
          <w:rFonts w:eastAsiaTheme="minorEastAsia"/>
          <w:noProof/>
          <w:kern w:val="2"/>
          <w14:ligatures w14:val="standardContextual"/>
        </w:rPr>
      </w:pPr>
      <w:hyperlink w:anchor="_Toc236220156" w:history="1">
        <w:r w:rsidRPr="009334EF">
          <w:rPr>
            <w:rStyle w:val="Hyperlink"/>
            <w:noProof/>
            <w:u w:val="none"/>
          </w:rPr>
          <w:t>6.6</w:t>
        </w:r>
        <w:r w:rsidRPr="009334EF">
          <w:rPr>
            <w:rFonts w:eastAsiaTheme="minorEastAsia"/>
            <w:noProof/>
            <w:kern w:val="2"/>
            <w14:ligatures w14:val="standardContextual"/>
          </w:rPr>
          <w:tab/>
        </w:r>
        <w:r w:rsidRPr="009334EF">
          <w:rPr>
            <w:rStyle w:val="Hyperlink"/>
            <w:noProof/>
            <w:u w:val="none"/>
          </w:rPr>
          <w:t>Settlement Calculations for the Real-Time Energy Operations</w:t>
        </w:r>
        <w:r w:rsidRPr="009334EF">
          <w:rPr>
            <w:noProof/>
            <w:webHidden/>
          </w:rPr>
          <w:tab/>
        </w:r>
        <w:r w:rsidRPr="009334EF">
          <w:rPr>
            <w:noProof/>
            <w:webHidden/>
          </w:rPr>
          <w:fldChar w:fldCharType="begin"/>
        </w:r>
        <w:r w:rsidRPr="009334EF">
          <w:rPr>
            <w:noProof/>
            <w:webHidden/>
          </w:rPr>
          <w:instrText xml:space="preserve"> PAGEREF _Toc236220156 \h </w:instrText>
        </w:r>
        <w:r w:rsidRPr="009334EF">
          <w:rPr>
            <w:noProof/>
            <w:webHidden/>
          </w:rPr>
        </w:r>
        <w:r w:rsidRPr="009334EF">
          <w:rPr>
            <w:noProof/>
            <w:webHidden/>
          </w:rPr>
          <w:fldChar w:fldCharType="separate"/>
        </w:r>
        <w:r w:rsidR="00464A0C">
          <w:rPr>
            <w:noProof/>
            <w:webHidden/>
          </w:rPr>
          <w:t>6-133</w:t>
        </w:r>
        <w:r w:rsidRPr="009334EF">
          <w:rPr>
            <w:noProof/>
            <w:webHidden/>
          </w:rPr>
          <w:fldChar w:fldCharType="end"/>
        </w:r>
      </w:hyperlink>
    </w:p>
    <w:p w14:paraId="57B00DF2" w14:textId="53E2858A" w:rsidR="009334EF" w:rsidRPr="009334EF" w:rsidRDefault="009334EF">
      <w:pPr>
        <w:pStyle w:val="TOC3"/>
        <w:rPr>
          <w:rFonts w:eastAsiaTheme="minorEastAsia"/>
          <w:i w:val="0"/>
          <w:iCs w:val="0"/>
          <w:kern w:val="2"/>
          <w14:ligatures w14:val="standardContextual"/>
        </w:rPr>
      </w:pPr>
      <w:hyperlink w:anchor="_Toc236220157" w:history="1">
        <w:r w:rsidRPr="009334EF">
          <w:rPr>
            <w:rStyle w:val="Hyperlink"/>
            <w:i w:val="0"/>
            <w:iCs w:val="0"/>
            <w:u w:val="none"/>
          </w:rPr>
          <w:t>6.6.1</w:t>
        </w:r>
        <w:r w:rsidRPr="009334EF">
          <w:rPr>
            <w:rFonts w:eastAsiaTheme="minorEastAsia"/>
            <w:i w:val="0"/>
            <w:iCs w:val="0"/>
            <w:kern w:val="2"/>
            <w14:ligatures w14:val="standardContextual"/>
          </w:rPr>
          <w:tab/>
        </w:r>
        <w:r w:rsidRPr="009334EF">
          <w:rPr>
            <w:rStyle w:val="Hyperlink"/>
            <w:i w:val="0"/>
            <w:iCs w:val="0"/>
            <w:u w:val="none"/>
          </w:rPr>
          <w:t>Real-Time Settlement Point Prices</w:t>
        </w:r>
        <w:r w:rsidRPr="009334EF">
          <w:rPr>
            <w:i w:val="0"/>
            <w:iCs w:val="0"/>
            <w:webHidden/>
          </w:rPr>
          <w:tab/>
        </w:r>
        <w:r w:rsidRPr="009334EF">
          <w:rPr>
            <w:i w:val="0"/>
            <w:iCs w:val="0"/>
            <w:webHidden/>
          </w:rPr>
          <w:fldChar w:fldCharType="begin"/>
        </w:r>
        <w:r w:rsidRPr="009334EF">
          <w:rPr>
            <w:i w:val="0"/>
            <w:iCs w:val="0"/>
            <w:webHidden/>
          </w:rPr>
          <w:instrText xml:space="preserve"> PAGEREF _Toc236220157 \h </w:instrText>
        </w:r>
        <w:r w:rsidRPr="009334EF">
          <w:rPr>
            <w:i w:val="0"/>
            <w:iCs w:val="0"/>
            <w:webHidden/>
          </w:rPr>
        </w:r>
        <w:r w:rsidRPr="009334EF">
          <w:rPr>
            <w:i w:val="0"/>
            <w:iCs w:val="0"/>
            <w:webHidden/>
          </w:rPr>
          <w:fldChar w:fldCharType="separate"/>
        </w:r>
        <w:r w:rsidR="00464A0C">
          <w:rPr>
            <w:i w:val="0"/>
            <w:iCs w:val="0"/>
            <w:webHidden/>
          </w:rPr>
          <w:t>6-133</w:t>
        </w:r>
        <w:r w:rsidRPr="009334EF">
          <w:rPr>
            <w:i w:val="0"/>
            <w:iCs w:val="0"/>
            <w:webHidden/>
          </w:rPr>
          <w:fldChar w:fldCharType="end"/>
        </w:r>
      </w:hyperlink>
    </w:p>
    <w:p w14:paraId="1813E7D7" w14:textId="336F1B2D" w:rsidR="009334EF" w:rsidRPr="009334EF" w:rsidRDefault="009334EF">
      <w:pPr>
        <w:pStyle w:val="TOC4"/>
        <w:rPr>
          <w:rFonts w:eastAsiaTheme="minorEastAsia"/>
          <w:kern w:val="2"/>
          <w:lang w:val="en-US"/>
          <w14:ligatures w14:val="standardContextual"/>
        </w:rPr>
      </w:pPr>
      <w:hyperlink w:anchor="_Toc236220158" w:history="1">
        <w:r w:rsidRPr="009334EF">
          <w:rPr>
            <w:rStyle w:val="Hyperlink"/>
            <w:u w:val="none"/>
          </w:rPr>
          <w:t>6.6.1.1</w:t>
        </w:r>
        <w:r w:rsidRPr="009334EF">
          <w:rPr>
            <w:rFonts w:eastAsiaTheme="minorEastAsia"/>
            <w:kern w:val="2"/>
            <w:lang w:val="en-US"/>
            <w14:ligatures w14:val="standardContextual"/>
          </w:rPr>
          <w:tab/>
        </w:r>
        <w:r w:rsidRPr="009334EF">
          <w:rPr>
            <w:rStyle w:val="Hyperlink"/>
            <w:u w:val="none"/>
          </w:rPr>
          <w:t>Real-Time Settlement Point Price for a Resource Node</w:t>
        </w:r>
        <w:r w:rsidRPr="009334EF">
          <w:rPr>
            <w:webHidden/>
          </w:rPr>
          <w:tab/>
        </w:r>
        <w:r w:rsidRPr="009334EF">
          <w:rPr>
            <w:webHidden/>
          </w:rPr>
          <w:fldChar w:fldCharType="begin"/>
        </w:r>
        <w:r w:rsidRPr="009334EF">
          <w:rPr>
            <w:webHidden/>
          </w:rPr>
          <w:instrText xml:space="preserve"> PAGEREF _Toc236220158 \h </w:instrText>
        </w:r>
        <w:r w:rsidRPr="009334EF">
          <w:rPr>
            <w:webHidden/>
          </w:rPr>
        </w:r>
        <w:r w:rsidRPr="009334EF">
          <w:rPr>
            <w:webHidden/>
          </w:rPr>
          <w:fldChar w:fldCharType="separate"/>
        </w:r>
        <w:r w:rsidR="00464A0C">
          <w:rPr>
            <w:webHidden/>
          </w:rPr>
          <w:t>6-133</w:t>
        </w:r>
        <w:r w:rsidRPr="009334EF">
          <w:rPr>
            <w:webHidden/>
          </w:rPr>
          <w:fldChar w:fldCharType="end"/>
        </w:r>
      </w:hyperlink>
    </w:p>
    <w:p w14:paraId="4EB1DE4C" w14:textId="1F65E3E8" w:rsidR="009334EF" w:rsidRPr="009334EF" w:rsidRDefault="009334EF">
      <w:pPr>
        <w:pStyle w:val="TOC4"/>
        <w:rPr>
          <w:rFonts w:eastAsiaTheme="minorEastAsia"/>
          <w:kern w:val="2"/>
          <w:lang w:val="en-US"/>
          <w14:ligatures w14:val="standardContextual"/>
        </w:rPr>
      </w:pPr>
      <w:hyperlink w:anchor="_Toc236220159" w:history="1">
        <w:r w:rsidRPr="009334EF">
          <w:rPr>
            <w:rStyle w:val="Hyperlink"/>
            <w:u w:val="none"/>
          </w:rPr>
          <w:t>6.6.1.2</w:t>
        </w:r>
        <w:r w:rsidRPr="009334EF">
          <w:rPr>
            <w:rFonts w:eastAsiaTheme="minorEastAsia"/>
            <w:kern w:val="2"/>
            <w:lang w:val="en-US"/>
            <w14:ligatures w14:val="standardContextual"/>
          </w:rPr>
          <w:tab/>
        </w:r>
        <w:r w:rsidRPr="009334EF">
          <w:rPr>
            <w:rStyle w:val="Hyperlink"/>
            <w:u w:val="none"/>
          </w:rPr>
          <w:t>Real-Time Settlement Point Price for a Load Zone</w:t>
        </w:r>
        <w:r w:rsidRPr="009334EF">
          <w:rPr>
            <w:webHidden/>
          </w:rPr>
          <w:tab/>
        </w:r>
        <w:r w:rsidRPr="009334EF">
          <w:rPr>
            <w:webHidden/>
          </w:rPr>
          <w:fldChar w:fldCharType="begin"/>
        </w:r>
        <w:r w:rsidRPr="009334EF">
          <w:rPr>
            <w:webHidden/>
          </w:rPr>
          <w:instrText xml:space="preserve"> PAGEREF _Toc236220159 \h </w:instrText>
        </w:r>
        <w:r w:rsidRPr="009334EF">
          <w:rPr>
            <w:webHidden/>
          </w:rPr>
        </w:r>
        <w:r w:rsidRPr="009334EF">
          <w:rPr>
            <w:webHidden/>
          </w:rPr>
          <w:fldChar w:fldCharType="separate"/>
        </w:r>
        <w:r w:rsidR="00464A0C">
          <w:rPr>
            <w:webHidden/>
          </w:rPr>
          <w:t>6-136</w:t>
        </w:r>
        <w:r w:rsidRPr="009334EF">
          <w:rPr>
            <w:webHidden/>
          </w:rPr>
          <w:fldChar w:fldCharType="end"/>
        </w:r>
      </w:hyperlink>
    </w:p>
    <w:p w14:paraId="18A9F67C" w14:textId="069FD03B" w:rsidR="009334EF" w:rsidRPr="009334EF" w:rsidRDefault="009334EF">
      <w:pPr>
        <w:pStyle w:val="TOC4"/>
        <w:rPr>
          <w:rFonts w:eastAsiaTheme="minorEastAsia"/>
          <w:kern w:val="2"/>
          <w:lang w:val="en-US"/>
          <w14:ligatures w14:val="standardContextual"/>
        </w:rPr>
      </w:pPr>
      <w:hyperlink w:anchor="_Toc236220160" w:history="1">
        <w:r w:rsidRPr="009334EF">
          <w:rPr>
            <w:rStyle w:val="Hyperlink"/>
            <w:u w:val="none"/>
          </w:rPr>
          <w:t>6.6.1.3</w:t>
        </w:r>
        <w:r w:rsidRPr="009334EF">
          <w:rPr>
            <w:rFonts w:eastAsiaTheme="minorEastAsia"/>
            <w:kern w:val="2"/>
            <w:lang w:val="en-US"/>
            <w14:ligatures w14:val="standardContextual"/>
          </w:rPr>
          <w:tab/>
        </w:r>
        <w:r w:rsidRPr="009334EF">
          <w:rPr>
            <w:rStyle w:val="Hyperlink"/>
            <w:u w:val="none"/>
          </w:rPr>
          <w:t>Real-Time Settlement Point Price for a Hub</w:t>
        </w:r>
        <w:r w:rsidRPr="009334EF">
          <w:rPr>
            <w:webHidden/>
          </w:rPr>
          <w:tab/>
        </w:r>
        <w:r w:rsidRPr="009334EF">
          <w:rPr>
            <w:webHidden/>
          </w:rPr>
          <w:fldChar w:fldCharType="begin"/>
        </w:r>
        <w:r w:rsidRPr="009334EF">
          <w:rPr>
            <w:webHidden/>
          </w:rPr>
          <w:instrText xml:space="preserve"> PAGEREF _Toc236220160 \h </w:instrText>
        </w:r>
        <w:r w:rsidRPr="009334EF">
          <w:rPr>
            <w:webHidden/>
          </w:rPr>
        </w:r>
        <w:r w:rsidRPr="009334EF">
          <w:rPr>
            <w:webHidden/>
          </w:rPr>
          <w:fldChar w:fldCharType="separate"/>
        </w:r>
        <w:r w:rsidR="00464A0C">
          <w:rPr>
            <w:webHidden/>
          </w:rPr>
          <w:t>6-138</w:t>
        </w:r>
        <w:r w:rsidRPr="009334EF">
          <w:rPr>
            <w:webHidden/>
          </w:rPr>
          <w:fldChar w:fldCharType="end"/>
        </w:r>
      </w:hyperlink>
    </w:p>
    <w:p w14:paraId="4B61A39A" w14:textId="2AD43EDF" w:rsidR="009334EF" w:rsidRPr="009334EF" w:rsidRDefault="009334EF">
      <w:pPr>
        <w:pStyle w:val="TOC4"/>
        <w:rPr>
          <w:rFonts w:eastAsiaTheme="minorEastAsia"/>
          <w:kern w:val="2"/>
          <w:lang w:val="en-US"/>
          <w14:ligatures w14:val="standardContextual"/>
        </w:rPr>
      </w:pPr>
      <w:hyperlink w:anchor="_Toc236220161" w:history="1">
        <w:r w:rsidRPr="009334EF">
          <w:rPr>
            <w:rStyle w:val="Hyperlink"/>
            <w:u w:val="none"/>
          </w:rPr>
          <w:t>6.6.1.4</w:t>
        </w:r>
        <w:r w:rsidRPr="009334EF">
          <w:rPr>
            <w:rFonts w:eastAsiaTheme="minorEastAsia"/>
            <w:kern w:val="2"/>
            <w:lang w:val="en-US"/>
            <w14:ligatures w14:val="standardContextual"/>
          </w:rPr>
          <w:tab/>
        </w:r>
        <w:r w:rsidRPr="009334EF">
          <w:rPr>
            <w:rStyle w:val="Hyperlink"/>
            <w:u w:val="none"/>
          </w:rPr>
          <w:t>Load Zone LMPs</w:t>
        </w:r>
        <w:r w:rsidRPr="009334EF">
          <w:rPr>
            <w:webHidden/>
          </w:rPr>
          <w:tab/>
        </w:r>
        <w:r w:rsidRPr="009334EF">
          <w:rPr>
            <w:webHidden/>
          </w:rPr>
          <w:fldChar w:fldCharType="begin"/>
        </w:r>
        <w:r w:rsidRPr="009334EF">
          <w:rPr>
            <w:webHidden/>
          </w:rPr>
          <w:instrText xml:space="preserve"> PAGEREF _Toc236220161 \h </w:instrText>
        </w:r>
        <w:r w:rsidRPr="009334EF">
          <w:rPr>
            <w:webHidden/>
          </w:rPr>
        </w:r>
        <w:r w:rsidRPr="009334EF">
          <w:rPr>
            <w:webHidden/>
          </w:rPr>
          <w:fldChar w:fldCharType="separate"/>
        </w:r>
        <w:r w:rsidR="00464A0C">
          <w:rPr>
            <w:webHidden/>
          </w:rPr>
          <w:t>6-138</w:t>
        </w:r>
        <w:r w:rsidRPr="009334EF">
          <w:rPr>
            <w:webHidden/>
          </w:rPr>
          <w:fldChar w:fldCharType="end"/>
        </w:r>
      </w:hyperlink>
    </w:p>
    <w:p w14:paraId="7BCE1964" w14:textId="0BFFE99B" w:rsidR="009334EF" w:rsidRPr="009334EF" w:rsidRDefault="009334EF">
      <w:pPr>
        <w:pStyle w:val="TOC4"/>
        <w:rPr>
          <w:rFonts w:eastAsiaTheme="minorEastAsia"/>
          <w:kern w:val="2"/>
          <w:lang w:val="en-US"/>
          <w14:ligatures w14:val="standardContextual"/>
        </w:rPr>
      </w:pPr>
      <w:hyperlink w:anchor="_Toc236220162" w:history="1">
        <w:r w:rsidRPr="009334EF">
          <w:rPr>
            <w:rStyle w:val="Hyperlink"/>
            <w:u w:val="none"/>
          </w:rPr>
          <w:t>6.6.1.5</w:t>
        </w:r>
        <w:r w:rsidRPr="009334EF">
          <w:rPr>
            <w:rFonts w:eastAsiaTheme="minorEastAsia"/>
            <w:kern w:val="2"/>
            <w:lang w:val="en-US"/>
            <w14:ligatures w14:val="standardContextual"/>
          </w:rPr>
          <w:tab/>
        </w:r>
        <w:r w:rsidRPr="009334EF">
          <w:rPr>
            <w:rStyle w:val="Hyperlink"/>
            <w:u w:val="none"/>
          </w:rPr>
          <w:t xml:space="preserve"> Hub LMPs</w:t>
        </w:r>
        <w:r w:rsidRPr="009334EF">
          <w:rPr>
            <w:webHidden/>
          </w:rPr>
          <w:tab/>
        </w:r>
        <w:r w:rsidRPr="009334EF">
          <w:rPr>
            <w:webHidden/>
          </w:rPr>
          <w:fldChar w:fldCharType="begin"/>
        </w:r>
        <w:r w:rsidRPr="009334EF">
          <w:rPr>
            <w:webHidden/>
          </w:rPr>
          <w:instrText xml:space="preserve"> PAGEREF _Toc236220162 \h </w:instrText>
        </w:r>
        <w:r w:rsidRPr="009334EF">
          <w:rPr>
            <w:webHidden/>
          </w:rPr>
        </w:r>
        <w:r w:rsidRPr="009334EF">
          <w:rPr>
            <w:webHidden/>
          </w:rPr>
          <w:fldChar w:fldCharType="separate"/>
        </w:r>
        <w:r w:rsidR="00464A0C">
          <w:rPr>
            <w:webHidden/>
          </w:rPr>
          <w:t>6-139</w:t>
        </w:r>
        <w:r w:rsidRPr="009334EF">
          <w:rPr>
            <w:webHidden/>
          </w:rPr>
          <w:fldChar w:fldCharType="end"/>
        </w:r>
      </w:hyperlink>
    </w:p>
    <w:p w14:paraId="2CB1185A" w14:textId="1C10BFD5" w:rsidR="009334EF" w:rsidRPr="009334EF" w:rsidRDefault="009334EF">
      <w:pPr>
        <w:pStyle w:val="TOC4"/>
        <w:rPr>
          <w:rFonts w:eastAsiaTheme="minorEastAsia"/>
          <w:kern w:val="2"/>
          <w:lang w:val="en-US"/>
          <w14:ligatures w14:val="standardContextual"/>
        </w:rPr>
      </w:pPr>
      <w:hyperlink w:anchor="_Toc236220163" w:history="1">
        <w:r w:rsidRPr="009334EF">
          <w:rPr>
            <w:rStyle w:val="Hyperlink"/>
            <w:u w:val="none"/>
          </w:rPr>
          <w:t>6.6.1.5</w:t>
        </w:r>
        <w:r w:rsidRPr="009334EF">
          <w:rPr>
            <w:rFonts w:eastAsiaTheme="minorEastAsia"/>
            <w:kern w:val="2"/>
            <w:lang w:val="en-US"/>
            <w14:ligatures w14:val="standardContextual"/>
          </w:rPr>
          <w:tab/>
        </w:r>
        <w:r w:rsidRPr="009334EF">
          <w:rPr>
            <w:rStyle w:val="Hyperlink"/>
            <w:u w:val="none"/>
          </w:rPr>
          <w:t xml:space="preserve"> Hub LMPs</w:t>
        </w:r>
        <w:r w:rsidRPr="009334EF">
          <w:rPr>
            <w:webHidden/>
          </w:rPr>
          <w:tab/>
        </w:r>
        <w:r w:rsidRPr="009334EF">
          <w:rPr>
            <w:webHidden/>
          </w:rPr>
          <w:fldChar w:fldCharType="begin"/>
        </w:r>
        <w:r w:rsidRPr="009334EF">
          <w:rPr>
            <w:webHidden/>
          </w:rPr>
          <w:instrText xml:space="preserve"> PAGEREF _Toc236220163 \h </w:instrText>
        </w:r>
        <w:r w:rsidRPr="009334EF">
          <w:rPr>
            <w:webHidden/>
          </w:rPr>
        </w:r>
        <w:r w:rsidRPr="009334EF">
          <w:rPr>
            <w:webHidden/>
          </w:rPr>
          <w:fldChar w:fldCharType="separate"/>
        </w:r>
        <w:r w:rsidR="00464A0C">
          <w:rPr>
            <w:webHidden/>
          </w:rPr>
          <w:t>6-141</w:t>
        </w:r>
        <w:r w:rsidRPr="009334EF">
          <w:rPr>
            <w:webHidden/>
          </w:rPr>
          <w:fldChar w:fldCharType="end"/>
        </w:r>
      </w:hyperlink>
    </w:p>
    <w:p w14:paraId="20FFF476" w14:textId="060094DD" w:rsidR="009334EF" w:rsidRPr="009334EF" w:rsidRDefault="009334EF">
      <w:pPr>
        <w:pStyle w:val="TOC4"/>
        <w:rPr>
          <w:rFonts w:eastAsiaTheme="minorEastAsia"/>
          <w:kern w:val="2"/>
          <w:lang w:val="en-US"/>
          <w14:ligatures w14:val="standardContextual"/>
        </w:rPr>
      </w:pPr>
      <w:hyperlink w:anchor="_Toc236220164" w:history="1">
        <w:r w:rsidRPr="009334EF">
          <w:rPr>
            <w:rStyle w:val="Hyperlink"/>
            <w:snapToGrid w:val="0"/>
            <w:u w:val="none"/>
          </w:rPr>
          <w:t>6.6.1.6</w:t>
        </w:r>
        <w:r w:rsidRPr="009334EF">
          <w:rPr>
            <w:rFonts w:eastAsiaTheme="minorEastAsia"/>
            <w:kern w:val="2"/>
            <w:lang w:val="en-US"/>
            <w14:ligatures w14:val="standardContextual"/>
          </w:rPr>
          <w:tab/>
        </w:r>
        <w:r w:rsidRPr="009334EF">
          <w:rPr>
            <w:rStyle w:val="Hyperlink"/>
            <w:snapToGrid w:val="0"/>
            <w:u w:val="none"/>
          </w:rPr>
          <w:t xml:space="preserve"> Real-Time Market Clearing Prices for Ancillary Services</w:t>
        </w:r>
        <w:r w:rsidRPr="009334EF">
          <w:rPr>
            <w:webHidden/>
          </w:rPr>
          <w:tab/>
        </w:r>
        <w:r w:rsidRPr="009334EF">
          <w:rPr>
            <w:webHidden/>
          </w:rPr>
          <w:fldChar w:fldCharType="begin"/>
        </w:r>
        <w:r w:rsidRPr="009334EF">
          <w:rPr>
            <w:webHidden/>
          </w:rPr>
          <w:instrText xml:space="preserve"> PAGEREF _Toc236220164 \h </w:instrText>
        </w:r>
        <w:r w:rsidRPr="009334EF">
          <w:rPr>
            <w:webHidden/>
          </w:rPr>
        </w:r>
        <w:r w:rsidRPr="009334EF">
          <w:rPr>
            <w:webHidden/>
          </w:rPr>
          <w:fldChar w:fldCharType="separate"/>
        </w:r>
        <w:r w:rsidR="00464A0C">
          <w:rPr>
            <w:webHidden/>
          </w:rPr>
          <w:t>6-143</w:t>
        </w:r>
        <w:r w:rsidRPr="009334EF">
          <w:rPr>
            <w:webHidden/>
          </w:rPr>
          <w:fldChar w:fldCharType="end"/>
        </w:r>
      </w:hyperlink>
    </w:p>
    <w:p w14:paraId="16521C73" w14:textId="1F8BB513" w:rsidR="009334EF" w:rsidRPr="009334EF" w:rsidRDefault="009334EF">
      <w:pPr>
        <w:pStyle w:val="TOC4"/>
        <w:rPr>
          <w:rFonts w:eastAsiaTheme="minorEastAsia"/>
          <w:kern w:val="2"/>
          <w:lang w:val="en-US"/>
          <w14:ligatures w14:val="standardContextual"/>
        </w:rPr>
      </w:pPr>
      <w:hyperlink w:anchor="_Toc236220165" w:history="1">
        <w:r w:rsidRPr="009334EF">
          <w:rPr>
            <w:rStyle w:val="Hyperlink"/>
            <w:snapToGrid w:val="0"/>
            <w:u w:val="none"/>
          </w:rPr>
          <w:t>6.6.1.7</w:t>
        </w:r>
        <w:r w:rsidRPr="009334EF">
          <w:rPr>
            <w:rFonts w:eastAsiaTheme="minorEastAsia"/>
            <w:kern w:val="2"/>
            <w:lang w:val="en-US"/>
            <w14:ligatures w14:val="standardContextual"/>
          </w:rPr>
          <w:tab/>
        </w:r>
        <w:r w:rsidRPr="009334EF">
          <w:rPr>
            <w:rStyle w:val="Hyperlink"/>
            <w:snapToGrid w:val="0"/>
            <w:u w:val="none"/>
          </w:rPr>
          <w:t xml:space="preserve"> Real-Time Reliability Deployment Prices for Ancillary Services</w:t>
        </w:r>
        <w:r w:rsidRPr="009334EF">
          <w:rPr>
            <w:webHidden/>
          </w:rPr>
          <w:tab/>
        </w:r>
        <w:r w:rsidRPr="009334EF">
          <w:rPr>
            <w:webHidden/>
          </w:rPr>
          <w:fldChar w:fldCharType="begin"/>
        </w:r>
        <w:r w:rsidRPr="009334EF">
          <w:rPr>
            <w:webHidden/>
          </w:rPr>
          <w:instrText xml:space="preserve"> PAGEREF _Toc236220165 \h </w:instrText>
        </w:r>
        <w:r w:rsidRPr="009334EF">
          <w:rPr>
            <w:webHidden/>
          </w:rPr>
        </w:r>
        <w:r w:rsidRPr="009334EF">
          <w:rPr>
            <w:webHidden/>
          </w:rPr>
          <w:fldChar w:fldCharType="separate"/>
        </w:r>
        <w:r w:rsidR="00464A0C">
          <w:rPr>
            <w:webHidden/>
          </w:rPr>
          <w:t>6-147</w:t>
        </w:r>
        <w:r w:rsidRPr="009334EF">
          <w:rPr>
            <w:webHidden/>
          </w:rPr>
          <w:fldChar w:fldCharType="end"/>
        </w:r>
      </w:hyperlink>
    </w:p>
    <w:p w14:paraId="671A297D" w14:textId="4A932CA2" w:rsidR="009334EF" w:rsidRPr="009334EF" w:rsidRDefault="009334EF">
      <w:pPr>
        <w:pStyle w:val="TOC3"/>
        <w:rPr>
          <w:rFonts w:eastAsiaTheme="minorEastAsia"/>
          <w:i w:val="0"/>
          <w:iCs w:val="0"/>
          <w:kern w:val="2"/>
          <w14:ligatures w14:val="standardContextual"/>
        </w:rPr>
      </w:pPr>
      <w:hyperlink w:anchor="_Toc236220166" w:history="1">
        <w:r w:rsidRPr="009334EF">
          <w:rPr>
            <w:rStyle w:val="Hyperlink"/>
            <w:i w:val="0"/>
            <w:iCs w:val="0"/>
            <w:u w:val="none"/>
          </w:rPr>
          <w:t>6.6.2</w:t>
        </w:r>
        <w:r w:rsidRPr="009334EF">
          <w:rPr>
            <w:rFonts w:eastAsiaTheme="minorEastAsia"/>
            <w:i w:val="0"/>
            <w:iCs w:val="0"/>
            <w:kern w:val="2"/>
            <w14:ligatures w14:val="standardContextual"/>
          </w:rPr>
          <w:tab/>
        </w:r>
        <w:r w:rsidRPr="009334EF">
          <w:rPr>
            <w:rStyle w:val="Hyperlink"/>
            <w:i w:val="0"/>
            <w:iCs w:val="0"/>
            <w:u w:val="none"/>
          </w:rPr>
          <w:t>Load Ratio Share</w:t>
        </w:r>
        <w:r w:rsidRPr="009334EF">
          <w:rPr>
            <w:i w:val="0"/>
            <w:iCs w:val="0"/>
            <w:webHidden/>
          </w:rPr>
          <w:tab/>
        </w:r>
        <w:r w:rsidRPr="009334EF">
          <w:rPr>
            <w:i w:val="0"/>
            <w:iCs w:val="0"/>
            <w:webHidden/>
          </w:rPr>
          <w:fldChar w:fldCharType="begin"/>
        </w:r>
        <w:r w:rsidRPr="009334EF">
          <w:rPr>
            <w:i w:val="0"/>
            <w:iCs w:val="0"/>
            <w:webHidden/>
          </w:rPr>
          <w:instrText xml:space="preserve"> PAGEREF _Toc236220166 \h </w:instrText>
        </w:r>
        <w:r w:rsidRPr="009334EF">
          <w:rPr>
            <w:i w:val="0"/>
            <w:iCs w:val="0"/>
            <w:webHidden/>
          </w:rPr>
        </w:r>
        <w:r w:rsidRPr="009334EF">
          <w:rPr>
            <w:i w:val="0"/>
            <w:iCs w:val="0"/>
            <w:webHidden/>
          </w:rPr>
          <w:fldChar w:fldCharType="separate"/>
        </w:r>
        <w:r w:rsidR="00464A0C">
          <w:rPr>
            <w:i w:val="0"/>
            <w:iCs w:val="0"/>
            <w:webHidden/>
          </w:rPr>
          <w:t>6-151</w:t>
        </w:r>
        <w:r w:rsidRPr="009334EF">
          <w:rPr>
            <w:i w:val="0"/>
            <w:iCs w:val="0"/>
            <w:webHidden/>
          </w:rPr>
          <w:fldChar w:fldCharType="end"/>
        </w:r>
      </w:hyperlink>
    </w:p>
    <w:p w14:paraId="71B685B6" w14:textId="05F6CFD6" w:rsidR="009334EF" w:rsidRPr="009334EF" w:rsidRDefault="009334EF">
      <w:pPr>
        <w:pStyle w:val="TOC4"/>
        <w:rPr>
          <w:rFonts w:eastAsiaTheme="minorEastAsia"/>
          <w:kern w:val="2"/>
          <w:lang w:val="en-US"/>
          <w14:ligatures w14:val="standardContextual"/>
        </w:rPr>
      </w:pPr>
      <w:hyperlink w:anchor="_Toc236220167" w:history="1">
        <w:r w:rsidRPr="009334EF">
          <w:rPr>
            <w:rStyle w:val="Hyperlink"/>
            <w:u w:val="none"/>
          </w:rPr>
          <w:t>6.6.2.1</w:t>
        </w:r>
        <w:r w:rsidRPr="009334EF">
          <w:rPr>
            <w:rFonts w:eastAsiaTheme="minorEastAsia"/>
            <w:kern w:val="2"/>
            <w:lang w:val="en-US"/>
            <w14:ligatures w14:val="standardContextual"/>
          </w:rPr>
          <w:tab/>
        </w:r>
        <w:r w:rsidRPr="009334EF">
          <w:rPr>
            <w:rStyle w:val="Hyperlink"/>
            <w:u w:val="none"/>
          </w:rPr>
          <w:t>ERCOT Total Adjusted Metered Load for a 15-Minute Settlement Interval</w:t>
        </w:r>
        <w:r w:rsidRPr="009334EF">
          <w:rPr>
            <w:webHidden/>
          </w:rPr>
          <w:tab/>
        </w:r>
        <w:r w:rsidRPr="009334EF">
          <w:rPr>
            <w:webHidden/>
          </w:rPr>
          <w:fldChar w:fldCharType="begin"/>
        </w:r>
        <w:r w:rsidRPr="009334EF">
          <w:rPr>
            <w:webHidden/>
          </w:rPr>
          <w:instrText xml:space="preserve"> PAGEREF _Toc236220167 \h </w:instrText>
        </w:r>
        <w:r w:rsidRPr="009334EF">
          <w:rPr>
            <w:webHidden/>
          </w:rPr>
        </w:r>
        <w:r w:rsidRPr="009334EF">
          <w:rPr>
            <w:webHidden/>
          </w:rPr>
          <w:fldChar w:fldCharType="separate"/>
        </w:r>
        <w:r w:rsidR="00464A0C">
          <w:rPr>
            <w:webHidden/>
          </w:rPr>
          <w:t>6-151</w:t>
        </w:r>
        <w:r w:rsidRPr="009334EF">
          <w:rPr>
            <w:webHidden/>
          </w:rPr>
          <w:fldChar w:fldCharType="end"/>
        </w:r>
      </w:hyperlink>
    </w:p>
    <w:p w14:paraId="02348724" w14:textId="131CB515" w:rsidR="009334EF" w:rsidRPr="009334EF" w:rsidRDefault="009334EF">
      <w:pPr>
        <w:pStyle w:val="TOC4"/>
        <w:rPr>
          <w:rFonts w:eastAsiaTheme="minorEastAsia"/>
          <w:kern w:val="2"/>
          <w:lang w:val="en-US"/>
          <w14:ligatures w14:val="standardContextual"/>
        </w:rPr>
      </w:pPr>
      <w:hyperlink w:anchor="_Toc236220168" w:history="1">
        <w:r w:rsidRPr="009334EF">
          <w:rPr>
            <w:rStyle w:val="Hyperlink"/>
            <w:u w:val="none"/>
          </w:rPr>
          <w:t>6.6.2.2</w:t>
        </w:r>
        <w:r w:rsidRPr="009334EF">
          <w:rPr>
            <w:rFonts w:eastAsiaTheme="minorEastAsia"/>
            <w:kern w:val="2"/>
            <w:lang w:val="en-US"/>
            <w14:ligatures w14:val="standardContextual"/>
          </w:rPr>
          <w:tab/>
        </w:r>
        <w:r w:rsidRPr="009334EF">
          <w:rPr>
            <w:rStyle w:val="Hyperlink"/>
            <w:u w:val="none"/>
          </w:rPr>
          <w:t>QSE Load Ratio Share for a 15-Minute Settlement Interval</w:t>
        </w:r>
        <w:r w:rsidRPr="009334EF">
          <w:rPr>
            <w:webHidden/>
          </w:rPr>
          <w:tab/>
        </w:r>
        <w:r w:rsidRPr="009334EF">
          <w:rPr>
            <w:webHidden/>
          </w:rPr>
          <w:fldChar w:fldCharType="begin"/>
        </w:r>
        <w:r w:rsidRPr="009334EF">
          <w:rPr>
            <w:webHidden/>
          </w:rPr>
          <w:instrText xml:space="preserve"> PAGEREF _Toc236220168 \h </w:instrText>
        </w:r>
        <w:r w:rsidRPr="009334EF">
          <w:rPr>
            <w:webHidden/>
          </w:rPr>
        </w:r>
        <w:r w:rsidRPr="009334EF">
          <w:rPr>
            <w:webHidden/>
          </w:rPr>
          <w:fldChar w:fldCharType="separate"/>
        </w:r>
        <w:r w:rsidR="00464A0C">
          <w:rPr>
            <w:webHidden/>
          </w:rPr>
          <w:t>6-151</w:t>
        </w:r>
        <w:r w:rsidRPr="009334EF">
          <w:rPr>
            <w:webHidden/>
          </w:rPr>
          <w:fldChar w:fldCharType="end"/>
        </w:r>
      </w:hyperlink>
    </w:p>
    <w:p w14:paraId="34311279" w14:textId="5BA1CEEB" w:rsidR="009334EF" w:rsidRPr="009334EF" w:rsidRDefault="009334EF">
      <w:pPr>
        <w:pStyle w:val="TOC4"/>
        <w:rPr>
          <w:rFonts w:eastAsiaTheme="minorEastAsia"/>
          <w:kern w:val="2"/>
          <w:lang w:val="en-US"/>
          <w14:ligatures w14:val="standardContextual"/>
        </w:rPr>
      </w:pPr>
      <w:hyperlink w:anchor="_Toc236220169" w:history="1">
        <w:r w:rsidRPr="009334EF">
          <w:rPr>
            <w:rStyle w:val="Hyperlink"/>
            <w:snapToGrid w:val="0"/>
            <w:u w:val="none"/>
          </w:rPr>
          <w:t>6.6.2.3</w:t>
        </w:r>
        <w:r w:rsidRPr="009334EF">
          <w:rPr>
            <w:rFonts w:eastAsiaTheme="minorEastAsia"/>
            <w:kern w:val="2"/>
            <w:lang w:val="en-US"/>
            <w14:ligatures w14:val="standardContextual"/>
          </w:rPr>
          <w:tab/>
        </w:r>
        <w:r w:rsidRPr="009334EF">
          <w:rPr>
            <w:rStyle w:val="Hyperlink"/>
            <w:snapToGrid w:val="0"/>
            <w:u w:val="none"/>
          </w:rPr>
          <w:t>ERCOT Total Adjusted Metered Load for an Operating Hour</w:t>
        </w:r>
        <w:r w:rsidRPr="009334EF">
          <w:rPr>
            <w:webHidden/>
          </w:rPr>
          <w:tab/>
        </w:r>
        <w:r w:rsidRPr="009334EF">
          <w:rPr>
            <w:webHidden/>
          </w:rPr>
          <w:fldChar w:fldCharType="begin"/>
        </w:r>
        <w:r w:rsidRPr="009334EF">
          <w:rPr>
            <w:webHidden/>
          </w:rPr>
          <w:instrText xml:space="preserve"> PAGEREF _Toc236220169 \h </w:instrText>
        </w:r>
        <w:r w:rsidRPr="009334EF">
          <w:rPr>
            <w:webHidden/>
          </w:rPr>
        </w:r>
        <w:r w:rsidRPr="009334EF">
          <w:rPr>
            <w:webHidden/>
          </w:rPr>
          <w:fldChar w:fldCharType="separate"/>
        </w:r>
        <w:r w:rsidR="00464A0C">
          <w:rPr>
            <w:webHidden/>
          </w:rPr>
          <w:t>6-153</w:t>
        </w:r>
        <w:r w:rsidRPr="009334EF">
          <w:rPr>
            <w:webHidden/>
          </w:rPr>
          <w:fldChar w:fldCharType="end"/>
        </w:r>
      </w:hyperlink>
    </w:p>
    <w:p w14:paraId="599E6DBF" w14:textId="47C9F638" w:rsidR="009334EF" w:rsidRPr="009334EF" w:rsidRDefault="009334EF">
      <w:pPr>
        <w:pStyle w:val="TOC4"/>
        <w:rPr>
          <w:rFonts w:eastAsiaTheme="minorEastAsia"/>
          <w:kern w:val="2"/>
          <w:lang w:val="en-US"/>
          <w14:ligatures w14:val="standardContextual"/>
        </w:rPr>
      </w:pPr>
      <w:hyperlink w:anchor="_Toc236220170" w:history="1">
        <w:r w:rsidRPr="009334EF">
          <w:rPr>
            <w:rStyle w:val="Hyperlink"/>
            <w:u w:val="none"/>
          </w:rPr>
          <w:t>6.6.2.4</w:t>
        </w:r>
        <w:r w:rsidRPr="009334EF">
          <w:rPr>
            <w:rFonts w:eastAsiaTheme="minorEastAsia"/>
            <w:kern w:val="2"/>
            <w:lang w:val="en-US"/>
            <w14:ligatures w14:val="standardContextual"/>
          </w:rPr>
          <w:tab/>
        </w:r>
        <w:r w:rsidRPr="009334EF">
          <w:rPr>
            <w:rStyle w:val="Hyperlink"/>
            <w:u w:val="none"/>
          </w:rPr>
          <w:t>QSE Load Ratio Share for an Operating Hour</w:t>
        </w:r>
        <w:r w:rsidRPr="009334EF">
          <w:rPr>
            <w:webHidden/>
          </w:rPr>
          <w:tab/>
        </w:r>
        <w:r w:rsidRPr="009334EF">
          <w:rPr>
            <w:webHidden/>
          </w:rPr>
          <w:fldChar w:fldCharType="begin"/>
        </w:r>
        <w:r w:rsidRPr="009334EF">
          <w:rPr>
            <w:webHidden/>
          </w:rPr>
          <w:instrText xml:space="preserve"> PAGEREF _Toc236220170 \h </w:instrText>
        </w:r>
        <w:r w:rsidRPr="009334EF">
          <w:rPr>
            <w:webHidden/>
          </w:rPr>
        </w:r>
        <w:r w:rsidRPr="009334EF">
          <w:rPr>
            <w:webHidden/>
          </w:rPr>
          <w:fldChar w:fldCharType="separate"/>
        </w:r>
        <w:r w:rsidR="00464A0C">
          <w:rPr>
            <w:webHidden/>
          </w:rPr>
          <w:t>6-153</w:t>
        </w:r>
        <w:r w:rsidRPr="009334EF">
          <w:rPr>
            <w:webHidden/>
          </w:rPr>
          <w:fldChar w:fldCharType="end"/>
        </w:r>
      </w:hyperlink>
    </w:p>
    <w:p w14:paraId="2DE5154D" w14:textId="7912E013" w:rsidR="009334EF" w:rsidRPr="009334EF" w:rsidRDefault="009334EF">
      <w:pPr>
        <w:pStyle w:val="TOC4"/>
        <w:rPr>
          <w:rFonts w:eastAsiaTheme="minorEastAsia"/>
          <w:kern w:val="2"/>
          <w:lang w:val="en-US"/>
          <w14:ligatures w14:val="standardContextual"/>
        </w:rPr>
      </w:pPr>
      <w:hyperlink w:anchor="_Toc236220171" w:history="1">
        <w:r w:rsidRPr="009334EF">
          <w:rPr>
            <w:rStyle w:val="Hyperlink"/>
            <w:snapToGrid w:val="0"/>
            <w:u w:val="none"/>
          </w:rPr>
          <w:t>6.6.2.5</w:t>
        </w:r>
        <w:r w:rsidRPr="009334EF">
          <w:rPr>
            <w:rFonts w:eastAsiaTheme="minorEastAsia"/>
            <w:kern w:val="2"/>
            <w:lang w:val="en-US"/>
            <w14:ligatures w14:val="standardContextual"/>
          </w:rPr>
          <w:tab/>
        </w:r>
        <w:r w:rsidRPr="009334EF">
          <w:rPr>
            <w:rStyle w:val="Hyperlink"/>
            <w:snapToGrid w:val="0"/>
            <w:u w:val="none"/>
          </w:rPr>
          <w:t>ERCOT Total Adjusted Metered Load for a Month</w:t>
        </w:r>
        <w:r w:rsidRPr="009334EF">
          <w:rPr>
            <w:webHidden/>
          </w:rPr>
          <w:tab/>
        </w:r>
        <w:r w:rsidRPr="009334EF">
          <w:rPr>
            <w:webHidden/>
          </w:rPr>
          <w:fldChar w:fldCharType="begin"/>
        </w:r>
        <w:r w:rsidRPr="009334EF">
          <w:rPr>
            <w:webHidden/>
          </w:rPr>
          <w:instrText xml:space="preserve"> PAGEREF _Toc236220171 \h </w:instrText>
        </w:r>
        <w:r w:rsidRPr="009334EF">
          <w:rPr>
            <w:webHidden/>
          </w:rPr>
        </w:r>
        <w:r w:rsidRPr="009334EF">
          <w:rPr>
            <w:webHidden/>
          </w:rPr>
          <w:fldChar w:fldCharType="separate"/>
        </w:r>
        <w:r w:rsidR="00464A0C">
          <w:rPr>
            <w:webHidden/>
          </w:rPr>
          <w:t>6-154</w:t>
        </w:r>
        <w:r w:rsidRPr="009334EF">
          <w:rPr>
            <w:webHidden/>
          </w:rPr>
          <w:fldChar w:fldCharType="end"/>
        </w:r>
      </w:hyperlink>
    </w:p>
    <w:p w14:paraId="486EE771" w14:textId="576CD474" w:rsidR="009334EF" w:rsidRPr="009334EF" w:rsidRDefault="009334EF">
      <w:pPr>
        <w:pStyle w:val="TOC4"/>
        <w:rPr>
          <w:rFonts w:eastAsiaTheme="minorEastAsia"/>
          <w:kern w:val="2"/>
          <w:lang w:val="en-US"/>
          <w14:ligatures w14:val="standardContextual"/>
        </w:rPr>
      </w:pPr>
      <w:hyperlink w:anchor="_Toc236220172" w:history="1">
        <w:r w:rsidRPr="009334EF">
          <w:rPr>
            <w:rStyle w:val="Hyperlink"/>
            <w:u w:val="none"/>
          </w:rPr>
          <w:t>6.6.2.6</w:t>
        </w:r>
        <w:r w:rsidRPr="009334EF">
          <w:rPr>
            <w:rFonts w:eastAsiaTheme="minorEastAsia"/>
            <w:kern w:val="2"/>
            <w:lang w:val="en-US"/>
            <w14:ligatures w14:val="standardContextual"/>
          </w:rPr>
          <w:tab/>
        </w:r>
        <w:r w:rsidRPr="009334EF">
          <w:rPr>
            <w:rStyle w:val="Hyperlink"/>
            <w:u w:val="none"/>
          </w:rPr>
          <w:t>QSE DC Tie Export Load Ratio Share for a Month</w:t>
        </w:r>
        <w:r w:rsidRPr="009334EF">
          <w:rPr>
            <w:webHidden/>
          </w:rPr>
          <w:tab/>
        </w:r>
        <w:r w:rsidRPr="009334EF">
          <w:rPr>
            <w:webHidden/>
          </w:rPr>
          <w:fldChar w:fldCharType="begin"/>
        </w:r>
        <w:r w:rsidRPr="009334EF">
          <w:rPr>
            <w:webHidden/>
          </w:rPr>
          <w:instrText xml:space="preserve"> PAGEREF _Toc236220172 \h </w:instrText>
        </w:r>
        <w:r w:rsidRPr="009334EF">
          <w:rPr>
            <w:webHidden/>
          </w:rPr>
        </w:r>
        <w:r w:rsidRPr="009334EF">
          <w:rPr>
            <w:webHidden/>
          </w:rPr>
          <w:fldChar w:fldCharType="separate"/>
        </w:r>
        <w:r w:rsidR="00464A0C">
          <w:rPr>
            <w:webHidden/>
          </w:rPr>
          <w:t>6-154</w:t>
        </w:r>
        <w:r w:rsidRPr="009334EF">
          <w:rPr>
            <w:webHidden/>
          </w:rPr>
          <w:fldChar w:fldCharType="end"/>
        </w:r>
      </w:hyperlink>
    </w:p>
    <w:p w14:paraId="61B1A3EE" w14:textId="3A60E089" w:rsidR="009334EF" w:rsidRPr="009334EF" w:rsidRDefault="009334EF">
      <w:pPr>
        <w:pStyle w:val="TOC4"/>
        <w:rPr>
          <w:rFonts w:eastAsiaTheme="minorEastAsia"/>
          <w:kern w:val="2"/>
          <w:lang w:val="en-US"/>
          <w14:ligatures w14:val="standardContextual"/>
        </w:rPr>
      </w:pPr>
      <w:hyperlink w:anchor="_Toc236220173" w:history="1">
        <w:r w:rsidRPr="009334EF">
          <w:rPr>
            <w:rStyle w:val="Hyperlink"/>
            <w:snapToGrid w:val="0"/>
            <w:u w:val="none"/>
          </w:rPr>
          <w:t>6.6.2.7</w:t>
        </w:r>
        <w:r w:rsidRPr="009334EF">
          <w:rPr>
            <w:rFonts w:eastAsiaTheme="minorEastAsia"/>
            <w:kern w:val="2"/>
            <w:lang w:val="en-US"/>
            <w14:ligatures w14:val="standardContextual"/>
          </w:rPr>
          <w:tab/>
        </w:r>
        <w:r w:rsidRPr="009334EF">
          <w:rPr>
            <w:rStyle w:val="Hyperlink"/>
            <w:snapToGrid w:val="0"/>
            <w:u w:val="none"/>
          </w:rPr>
          <w:t>ERCOT Adjusted Metered Load by Congestion Management Zone for a Month</w:t>
        </w:r>
        <w:r w:rsidRPr="009334EF">
          <w:rPr>
            <w:webHidden/>
          </w:rPr>
          <w:tab/>
        </w:r>
        <w:r w:rsidRPr="009334EF">
          <w:rPr>
            <w:webHidden/>
          </w:rPr>
          <w:fldChar w:fldCharType="begin"/>
        </w:r>
        <w:r w:rsidRPr="009334EF">
          <w:rPr>
            <w:webHidden/>
          </w:rPr>
          <w:instrText xml:space="preserve"> PAGEREF _Toc236220173 \h </w:instrText>
        </w:r>
        <w:r w:rsidRPr="009334EF">
          <w:rPr>
            <w:webHidden/>
          </w:rPr>
        </w:r>
        <w:r w:rsidRPr="009334EF">
          <w:rPr>
            <w:webHidden/>
          </w:rPr>
          <w:fldChar w:fldCharType="separate"/>
        </w:r>
        <w:r w:rsidR="00464A0C">
          <w:rPr>
            <w:webHidden/>
          </w:rPr>
          <w:t>6-155</w:t>
        </w:r>
        <w:r w:rsidRPr="009334EF">
          <w:rPr>
            <w:webHidden/>
          </w:rPr>
          <w:fldChar w:fldCharType="end"/>
        </w:r>
      </w:hyperlink>
    </w:p>
    <w:p w14:paraId="76EABF0B" w14:textId="5C2D33D9" w:rsidR="009334EF" w:rsidRPr="009334EF" w:rsidRDefault="009334EF">
      <w:pPr>
        <w:pStyle w:val="TOC4"/>
        <w:rPr>
          <w:rFonts w:eastAsiaTheme="minorEastAsia"/>
          <w:kern w:val="2"/>
          <w:lang w:val="en-US"/>
          <w14:ligatures w14:val="standardContextual"/>
        </w:rPr>
      </w:pPr>
      <w:hyperlink w:anchor="_Toc236220174" w:history="1">
        <w:r w:rsidRPr="009334EF">
          <w:rPr>
            <w:rStyle w:val="Hyperlink"/>
            <w:u w:val="none"/>
          </w:rPr>
          <w:t>6.6.2.8</w:t>
        </w:r>
        <w:r w:rsidRPr="009334EF">
          <w:rPr>
            <w:rFonts w:eastAsiaTheme="minorEastAsia"/>
            <w:kern w:val="2"/>
            <w:lang w:val="en-US"/>
            <w14:ligatures w14:val="standardContextual"/>
          </w:rPr>
          <w:tab/>
        </w:r>
        <w:r w:rsidRPr="009334EF">
          <w:rPr>
            <w:rStyle w:val="Hyperlink"/>
            <w:u w:val="none"/>
          </w:rPr>
          <w:t>QSE DC Tie Export Load Ratio Share by Congestion Management Zone for a Month</w:t>
        </w:r>
        <w:r w:rsidRPr="009334EF">
          <w:rPr>
            <w:webHidden/>
          </w:rPr>
          <w:tab/>
        </w:r>
        <w:r w:rsidRPr="009334EF">
          <w:rPr>
            <w:webHidden/>
          </w:rPr>
          <w:fldChar w:fldCharType="begin"/>
        </w:r>
        <w:r w:rsidRPr="009334EF">
          <w:rPr>
            <w:webHidden/>
          </w:rPr>
          <w:instrText xml:space="preserve"> PAGEREF _Toc236220174 \h </w:instrText>
        </w:r>
        <w:r w:rsidRPr="009334EF">
          <w:rPr>
            <w:webHidden/>
          </w:rPr>
        </w:r>
        <w:r w:rsidRPr="009334EF">
          <w:rPr>
            <w:webHidden/>
          </w:rPr>
          <w:fldChar w:fldCharType="separate"/>
        </w:r>
        <w:r w:rsidR="00464A0C">
          <w:rPr>
            <w:webHidden/>
          </w:rPr>
          <w:t>6-155</w:t>
        </w:r>
        <w:r w:rsidRPr="009334EF">
          <w:rPr>
            <w:webHidden/>
          </w:rPr>
          <w:fldChar w:fldCharType="end"/>
        </w:r>
      </w:hyperlink>
    </w:p>
    <w:p w14:paraId="26B0042E" w14:textId="49C8E020" w:rsidR="009334EF" w:rsidRPr="009334EF" w:rsidRDefault="009334EF">
      <w:pPr>
        <w:pStyle w:val="TOC3"/>
        <w:rPr>
          <w:rFonts w:eastAsiaTheme="minorEastAsia"/>
          <w:i w:val="0"/>
          <w:iCs w:val="0"/>
          <w:kern w:val="2"/>
          <w14:ligatures w14:val="standardContextual"/>
        </w:rPr>
      </w:pPr>
      <w:hyperlink w:anchor="_Toc236220175" w:history="1">
        <w:r w:rsidRPr="009334EF">
          <w:rPr>
            <w:rStyle w:val="Hyperlink"/>
            <w:i w:val="0"/>
            <w:iCs w:val="0"/>
            <w:u w:val="none"/>
          </w:rPr>
          <w:t>6.6.3</w:t>
        </w:r>
        <w:r w:rsidRPr="009334EF">
          <w:rPr>
            <w:rFonts w:eastAsiaTheme="minorEastAsia"/>
            <w:i w:val="0"/>
            <w:iCs w:val="0"/>
            <w:kern w:val="2"/>
            <w14:ligatures w14:val="standardContextual"/>
          </w:rPr>
          <w:tab/>
        </w:r>
        <w:r w:rsidRPr="009334EF">
          <w:rPr>
            <w:rStyle w:val="Hyperlink"/>
            <w:i w:val="0"/>
            <w:iCs w:val="0"/>
            <w:u w:val="none"/>
          </w:rPr>
          <w:t>Real-Time Energy Charges and Payments</w:t>
        </w:r>
        <w:r w:rsidRPr="009334EF">
          <w:rPr>
            <w:i w:val="0"/>
            <w:iCs w:val="0"/>
            <w:webHidden/>
          </w:rPr>
          <w:tab/>
        </w:r>
        <w:r w:rsidRPr="009334EF">
          <w:rPr>
            <w:i w:val="0"/>
            <w:iCs w:val="0"/>
            <w:webHidden/>
          </w:rPr>
          <w:fldChar w:fldCharType="begin"/>
        </w:r>
        <w:r w:rsidRPr="009334EF">
          <w:rPr>
            <w:i w:val="0"/>
            <w:iCs w:val="0"/>
            <w:webHidden/>
          </w:rPr>
          <w:instrText xml:space="preserve"> PAGEREF _Toc236220175 \h </w:instrText>
        </w:r>
        <w:r w:rsidRPr="009334EF">
          <w:rPr>
            <w:i w:val="0"/>
            <w:iCs w:val="0"/>
            <w:webHidden/>
          </w:rPr>
        </w:r>
        <w:r w:rsidRPr="009334EF">
          <w:rPr>
            <w:i w:val="0"/>
            <w:iCs w:val="0"/>
            <w:webHidden/>
          </w:rPr>
          <w:fldChar w:fldCharType="separate"/>
        </w:r>
        <w:r w:rsidR="00464A0C">
          <w:rPr>
            <w:i w:val="0"/>
            <w:iCs w:val="0"/>
            <w:webHidden/>
          </w:rPr>
          <w:t>6-156</w:t>
        </w:r>
        <w:r w:rsidRPr="009334EF">
          <w:rPr>
            <w:i w:val="0"/>
            <w:iCs w:val="0"/>
            <w:webHidden/>
          </w:rPr>
          <w:fldChar w:fldCharType="end"/>
        </w:r>
      </w:hyperlink>
    </w:p>
    <w:p w14:paraId="499D23DD" w14:textId="054B345E" w:rsidR="009334EF" w:rsidRPr="009334EF" w:rsidRDefault="009334EF">
      <w:pPr>
        <w:pStyle w:val="TOC4"/>
        <w:rPr>
          <w:rFonts w:eastAsiaTheme="minorEastAsia"/>
          <w:kern w:val="2"/>
          <w:lang w:val="en-US"/>
          <w14:ligatures w14:val="standardContextual"/>
        </w:rPr>
      </w:pPr>
      <w:hyperlink w:anchor="_Toc236220176" w:history="1">
        <w:r w:rsidRPr="009334EF">
          <w:rPr>
            <w:rStyle w:val="Hyperlink"/>
            <w:u w:val="none"/>
          </w:rPr>
          <w:t>6.6.3.1</w:t>
        </w:r>
        <w:r w:rsidRPr="009334EF">
          <w:rPr>
            <w:rFonts w:eastAsiaTheme="minorEastAsia"/>
            <w:kern w:val="2"/>
            <w:lang w:val="en-US"/>
            <w14:ligatures w14:val="standardContextual"/>
          </w:rPr>
          <w:tab/>
        </w:r>
        <w:r w:rsidRPr="009334EF">
          <w:rPr>
            <w:rStyle w:val="Hyperlink"/>
            <w:u w:val="none"/>
          </w:rPr>
          <w:t>Real-Time Energy Imbalance Payment or Charge at a Resource Node</w:t>
        </w:r>
        <w:r w:rsidRPr="009334EF">
          <w:rPr>
            <w:webHidden/>
          </w:rPr>
          <w:tab/>
        </w:r>
        <w:r w:rsidRPr="009334EF">
          <w:rPr>
            <w:webHidden/>
          </w:rPr>
          <w:fldChar w:fldCharType="begin"/>
        </w:r>
        <w:r w:rsidRPr="009334EF">
          <w:rPr>
            <w:webHidden/>
          </w:rPr>
          <w:instrText xml:space="preserve"> PAGEREF _Toc236220176 \h </w:instrText>
        </w:r>
        <w:r w:rsidRPr="009334EF">
          <w:rPr>
            <w:webHidden/>
          </w:rPr>
        </w:r>
        <w:r w:rsidRPr="009334EF">
          <w:rPr>
            <w:webHidden/>
          </w:rPr>
          <w:fldChar w:fldCharType="separate"/>
        </w:r>
        <w:r w:rsidR="00464A0C">
          <w:rPr>
            <w:webHidden/>
          </w:rPr>
          <w:t>6-156</w:t>
        </w:r>
        <w:r w:rsidRPr="009334EF">
          <w:rPr>
            <w:webHidden/>
          </w:rPr>
          <w:fldChar w:fldCharType="end"/>
        </w:r>
      </w:hyperlink>
    </w:p>
    <w:p w14:paraId="2C75B63E" w14:textId="69F6F4D4" w:rsidR="009334EF" w:rsidRPr="009334EF" w:rsidRDefault="009334EF">
      <w:pPr>
        <w:pStyle w:val="TOC4"/>
        <w:rPr>
          <w:rFonts w:eastAsiaTheme="minorEastAsia"/>
          <w:kern w:val="2"/>
          <w:lang w:val="en-US"/>
          <w14:ligatures w14:val="standardContextual"/>
        </w:rPr>
      </w:pPr>
      <w:hyperlink w:anchor="_Toc236220177" w:history="1">
        <w:r w:rsidRPr="009334EF">
          <w:rPr>
            <w:rStyle w:val="Hyperlink"/>
            <w:u w:val="none"/>
          </w:rPr>
          <w:t>6.6.3.2</w:t>
        </w:r>
        <w:r w:rsidRPr="009334EF">
          <w:rPr>
            <w:rFonts w:eastAsiaTheme="minorEastAsia"/>
            <w:kern w:val="2"/>
            <w:lang w:val="en-US"/>
            <w14:ligatures w14:val="standardContextual"/>
          </w:rPr>
          <w:tab/>
        </w:r>
        <w:r w:rsidRPr="009334EF">
          <w:rPr>
            <w:rStyle w:val="Hyperlink"/>
            <w:u w:val="none"/>
          </w:rPr>
          <w:t>Real-Time Energy Imbalance Payment or Charge at a Load Zone</w:t>
        </w:r>
        <w:r w:rsidRPr="009334EF">
          <w:rPr>
            <w:webHidden/>
          </w:rPr>
          <w:tab/>
        </w:r>
        <w:r w:rsidRPr="009334EF">
          <w:rPr>
            <w:webHidden/>
          </w:rPr>
          <w:fldChar w:fldCharType="begin"/>
        </w:r>
        <w:r w:rsidRPr="009334EF">
          <w:rPr>
            <w:webHidden/>
          </w:rPr>
          <w:instrText xml:space="preserve"> PAGEREF _Toc236220177 \h </w:instrText>
        </w:r>
        <w:r w:rsidRPr="009334EF">
          <w:rPr>
            <w:webHidden/>
          </w:rPr>
        </w:r>
        <w:r w:rsidRPr="009334EF">
          <w:rPr>
            <w:webHidden/>
          </w:rPr>
          <w:fldChar w:fldCharType="separate"/>
        </w:r>
        <w:r w:rsidR="00464A0C">
          <w:rPr>
            <w:webHidden/>
          </w:rPr>
          <w:t>6-169</w:t>
        </w:r>
        <w:r w:rsidRPr="009334EF">
          <w:rPr>
            <w:webHidden/>
          </w:rPr>
          <w:fldChar w:fldCharType="end"/>
        </w:r>
      </w:hyperlink>
    </w:p>
    <w:p w14:paraId="3ADD4403" w14:textId="4F07B8A9" w:rsidR="009334EF" w:rsidRPr="009334EF" w:rsidRDefault="009334EF">
      <w:pPr>
        <w:pStyle w:val="TOC4"/>
        <w:rPr>
          <w:rFonts w:eastAsiaTheme="minorEastAsia"/>
          <w:kern w:val="2"/>
          <w:lang w:val="en-US"/>
          <w14:ligatures w14:val="standardContextual"/>
        </w:rPr>
      </w:pPr>
      <w:hyperlink w:anchor="_Toc236220178" w:history="1">
        <w:r w:rsidRPr="009334EF">
          <w:rPr>
            <w:rStyle w:val="Hyperlink"/>
            <w:u w:val="none"/>
          </w:rPr>
          <w:t>6.6.3.3</w:t>
        </w:r>
        <w:r w:rsidRPr="009334EF">
          <w:rPr>
            <w:rFonts w:eastAsiaTheme="minorEastAsia"/>
            <w:kern w:val="2"/>
            <w:lang w:val="en-US"/>
            <w14:ligatures w14:val="standardContextual"/>
          </w:rPr>
          <w:tab/>
        </w:r>
        <w:r w:rsidRPr="009334EF">
          <w:rPr>
            <w:rStyle w:val="Hyperlink"/>
            <w:u w:val="none"/>
          </w:rPr>
          <w:t>Real-Time Energy Imbalance Payment or Charge at a Hub</w:t>
        </w:r>
        <w:r w:rsidRPr="009334EF">
          <w:rPr>
            <w:webHidden/>
          </w:rPr>
          <w:tab/>
        </w:r>
        <w:r w:rsidRPr="009334EF">
          <w:rPr>
            <w:webHidden/>
          </w:rPr>
          <w:fldChar w:fldCharType="begin"/>
        </w:r>
        <w:r w:rsidRPr="009334EF">
          <w:rPr>
            <w:webHidden/>
          </w:rPr>
          <w:instrText xml:space="preserve"> PAGEREF _Toc236220178 \h </w:instrText>
        </w:r>
        <w:r w:rsidRPr="009334EF">
          <w:rPr>
            <w:webHidden/>
          </w:rPr>
        </w:r>
        <w:r w:rsidRPr="009334EF">
          <w:rPr>
            <w:webHidden/>
          </w:rPr>
          <w:fldChar w:fldCharType="separate"/>
        </w:r>
        <w:r w:rsidR="00464A0C">
          <w:rPr>
            <w:webHidden/>
          </w:rPr>
          <w:t>6-173</w:t>
        </w:r>
        <w:r w:rsidRPr="009334EF">
          <w:rPr>
            <w:webHidden/>
          </w:rPr>
          <w:fldChar w:fldCharType="end"/>
        </w:r>
      </w:hyperlink>
    </w:p>
    <w:p w14:paraId="5586F89C" w14:textId="2E891934" w:rsidR="009334EF" w:rsidRPr="009334EF" w:rsidRDefault="009334EF">
      <w:pPr>
        <w:pStyle w:val="TOC4"/>
        <w:rPr>
          <w:rFonts w:eastAsiaTheme="minorEastAsia"/>
          <w:kern w:val="2"/>
          <w:lang w:val="en-US"/>
          <w14:ligatures w14:val="standardContextual"/>
        </w:rPr>
      </w:pPr>
      <w:hyperlink w:anchor="_Toc236220179" w:history="1">
        <w:r w:rsidRPr="009334EF">
          <w:rPr>
            <w:rStyle w:val="Hyperlink"/>
            <w:u w:val="none"/>
          </w:rPr>
          <w:t>6.6.3.4</w:t>
        </w:r>
        <w:r w:rsidRPr="009334EF">
          <w:rPr>
            <w:rFonts w:eastAsiaTheme="minorEastAsia"/>
            <w:kern w:val="2"/>
            <w:lang w:val="en-US"/>
            <w14:ligatures w14:val="standardContextual"/>
          </w:rPr>
          <w:tab/>
        </w:r>
        <w:r w:rsidRPr="009334EF">
          <w:rPr>
            <w:rStyle w:val="Hyperlink"/>
            <w:u w:val="none"/>
          </w:rPr>
          <w:t>Real-Time Energy Payment for DC Tie Import</w:t>
        </w:r>
        <w:r w:rsidRPr="009334EF">
          <w:rPr>
            <w:webHidden/>
          </w:rPr>
          <w:tab/>
        </w:r>
        <w:r w:rsidRPr="009334EF">
          <w:rPr>
            <w:webHidden/>
          </w:rPr>
          <w:fldChar w:fldCharType="begin"/>
        </w:r>
        <w:r w:rsidRPr="009334EF">
          <w:rPr>
            <w:webHidden/>
          </w:rPr>
          <w:instrText xml:space="preserve"> PAGEREF _Toc236220179 \h </w:instrText>
        </w:r>
        <w:r w:rsidRPr="009334EF">
          <w:rPr>
            <w:webHidden/>
          </w:rPr>
        </w:r>
        <w:r w:rsidRPr="009334EF">
          <w:rPr>
            <w:webHidden/>
          </w:rPr>
          <w:fldChar w:fldCharType="separate"/>
        </w:r>
        <w:r w:rsidR="00464A0C">
          <w:rPr>
            <w:webHidden/>
          </w:rPr>
          <w:t>6-175</w:t>
        </w:r>
        <w:r w:rsidRPr="009334EF">
          <w:rPr>
            <w:webHidden/>
          </w:rPr>
          <w:fldChar w:fldCharType="end"/>
        </w:r>
      </w:hyperlink>
    </w:p>
    <w:p w14:paraId="35FC6A7D" w14:textId="70B5879B" w:rsidR="009334EF" w:rsidRPr="009334EF" w:rsidRDefault="009334EF">
      <w:pPr>
        <w:pStyle w:val="TOC4"/>
        <w:rPr>
          <w:rFonts w:eastAsiaTheme="minorEastAsia"/>
          <w:kern w:val="2"/>
          <w:lang w:val="en-US"/>
          <w14:ligatures w14:val="standardContextual"/>
        </w:rPr>
      </w:pPr>
      <w:hyperlink w:anchor="_Toc236220180" w:history="1">
        <w:r w:rsidRPr="009334EF">
          <w:rPr>
            <w:rStyle w:val="Hyperlink"/>
            <w:u w:val="none"/>
          </w:rPr>
          <w:t>6.6.3.5</w:t>
        </w:r>
        <w:r w:rsidRPr="009334EF">
          <w:rPr>
            <w:rFonts w:eastAsiaTheme="minorEastAsia"/>
            <w:kern w:val="2"/>
            <w:lang w:val="en-US"/>
            <w14:ligatures w14:val="standardContextual"/>
          </w:rPr>
          <w:tab/>
        </w:r>
        <w:r w:rsidRPr="009334EF">
          <w:rPr>
            <w:rStyle w:val="Hyperlink"/>
            <w:u w:val="none"/>
          </w:rPr>
          <w:t>Real-Time Payment for a Block Load Transfer Point</w:t>
        </w:r>
        <w:r w:rsidRPr="009334EF">
          <w:rPr>
            <w:webHidden/>
          </w:rPr>
          <w:tab/>
        </w:r>
        <w:r w:rsidRPr="009334EF">
          <w:rPr>
            <w:webHidden/>
          </w:rPr>
          <w:fldChar w:fldCharType="begin"/>
        </w:r>
        <w:r w:rsidRPr="009334EF">
          <w:rPr>
            <w:webHidden/>
          </w:rPr>
          <w:instrText xml:space="preserve"> PAGEREF _Toc236220180 \h </w:instrText>
        </w:r>
        <w:r w:rsidRPr="009334EF">
          <w:rPr>
            <w:webHidden/>
          </w:rPr>
        </w:r>
        <w:r w:rsidRPr="009334EF">
          <w:rPr>
            <w:webHidden/>
          </w:rPr>
          <w:fldChar w:fldCharType="separate"/>
        </w:r>
        <w:r w:rsidR="00464A0C">
          <w:rPr>
            <w:webHidden/>
          </w:rPr>
          <w:t>6-177</w:t>
        </w:r>
        <w:r w:rsidRPr="009334EF">
          <w:rPr>
            <w:webHidden/>
          </w:rPr>
          <w:fldChar w:fldCharType="end"/>
        </w:r>
      </w:hyperlink>
    </w:p>
    <w:p w14:paraId="2F8E13E1" w14:textId="7D6C1392" w:rsidR="009334EF" w:rsidRPr="009334EF" w:rsidRDefault="009334EF">
      <w:pPr>
        <w:pStyle w:val="TOC4"/>
        <w:rPr>
          <w:rFonts w:eastAsiaTheme="minorEastAsia"/>
          <w:kern w:val="2"/>
          <w:lang w:val="en-US"/>
          <w14:ligatures w14:val="standardContextual"/>
        </w:rPr>
      </w:pPr>
      <w:hyperlink w:anchor="_Toc236220181" w:history="1">
        <w:r w:rsidRPr="009334EF">
          <w:rPr>
            <w:rStyle w:val="Hyperlink"/>
            <w:u w:val="none"/>
          </w:rPr>
          <w:t>6.6.3.6</w:t>
        </w:r>
        <w:r w:rsidRPr="009334EF">
          <w:rPr>
            <w:rFonts w:eastAsiaTheme="minorEastAsia"/>
            <w:kern w:val="2"/>
            <w:lang w:val="en-US"/>
            <w14:ligatures w14:val="standardContextual"/>
          </w:rPr>
          <w:tab/>
        </w:r>
        <w:r w:rsidRPr="009334EF">
          <w:rPr>
            <w:rStyle w:val="Hyperlink"/>
            <w:u w:val="none"/>
          </w:rPr>
          <w:t>Real-Time High Dispatch Limit Override Energy Payment</w:t>
        </w:r>
        <w:r w:rsidRPr="009334EF">
          <w:rPr>
            <w:webHidden/>
          </w:rPr>
          <w:tab/>
        </w:r>
        <w:r w:rsidRPr="009334EF">
          <w:rPr>
            <w:webHidden/>
          </w:rPr>
          <w:fldChar w:fldCharType="begin"/>
        </w:r>
        <w:r w:rsidRPr="009334EF">
          <w:rPr>
            <w:webHidden/>
          </w:rPr>
          <w:instrText xml:space="preserve"> PAGEREF _Toc236220181 \h </w:instrText>
        </w:r>
        <w:r w:rsidRPr="009334EF">
          <w:rPr>
            <w:webHidden/>
          </w:rPr>
        </w:r>
        <w:r w:rsidRPr="009334EF">
          <w:rPr>
            <w:webHidden/>
          </w:rPr>
          <w:fldChar w:fldCharType="separate"/>
        </w:r>
        <w:r w:rsidR="00464A0C">
          <w:rPr>
            <w:webHidden/>
          </w:rPr>
          <w:t>6-180</w:t>
        </w:r>
        <w:r w:rsidRPr="009334EF">
          <w:rPr>
            <w:webHidden/>
          </w:rPr>
          <w:fldChar w:fldCharType="end"/>
        </w:r>
      </w:hyperlink>
    </w:p>
    <w:p w14:paraId="789D69BD" w14:textId="6459B766" w:rsidR="009334EF" w:rsidRPr="009334EF" w:rsidRDefault="009334EF">
      <w:pPr>
        <w:pStyle w:val="TOC4"/>
        <w:rPr>
          <w:rFonts w:eastAsiaTheme="minorEastAsia"/>
          <w:kern w:val="2"/>
          <w:lang w:val="en-US"/>
          <w14:ligatures w14:val="standardContextual"/>
        </w:rPr>
      </w:pPr>
      <w:hyperlink w:anchor="_Toc236220182" w:history="1">
        <w:r w:rsidRPr="009334EF">
          <w:rPr>
            <w:rStyle w:val="Hyperlink"/>
            <w:u w:val="none"/>
          </w:rPr>
          <w:t>6.6.3.7</w:t>
        </w:r>
        <w:r w:rsidRPr="009334EF">
          <w:rPr>
            <w:rFonts w:eastAsiaTheme="minorEastAsia"/>
            <w:kern w:val="2"/>
            <w:lang w:val="en-US"/>
            <w14:ligatures w14:val="standardContextual"/>
          </w:rPr>
          <w:tab/>
        </w:r>
        <w:r w:rsidRPr="009334EF">
          <w:rPr>
            <w:rStyle w:val="Hyperlink"/>
            <w:u w:val="none"/>
          </w:rPr>
          <w:t>Real-Time High Dispatch Limit Override Energy Charge</w:t>
        </w:r>
        <w:r w:rsidRPr="009334EF">
          <w:rPr>
            <w:webHidden/>
          </w:rPr>
          <w:tab/>
        </w:r>
        <w:r w:rsidRPr="009334EF">
          <w:rPr>
            <w:webHidden/>
          </w:rPr>
          <w:fldChar w:fldCharType="begin"/>
        </w:r>
        <w:r w:rsidRPr="009334EF">
          <w:rPr>
            <w:webHidden/>
          </w:rPr>
          <w:instrText xml:space="preserve"> PAGEREF _Toc236220182 \h </w:instrText>
        </w:r>
        <w:r w:rsidRPr="009334EF">
          <w:rPr>
            <w:webHidden/>
          </w:rPr>
        </w:r>
        <w:r w:rsidRPr="009334EF">
          <w:rPr>
            <w:webHidden/>
          </w:rPr>
          <w:fldChar w:fldCharType="separate"/>
        </w:r>
        <w:r w:rsidR="00464A0C">
          <w:rPr>
            <w:webHidden/>
          </w:rPr>
          <w:t>6-184</w:t>
        </w:r>
        <w:r w:rsidRPr="009334EF">
          <w:rPr>
            <w:webHidden/>
          </w:rPr>
          <w:fldChar w:fldCharType="end"/>
        </w:r>
      </w:hyperlink>
    </w:p>
    <w:p w14:paraId="49EE710B" w14:textId="7D2F2B69" w:rsidR="009334EF" w:rsidRPr="009334EF" w:rsidRDefault="009334EF">
      <w:pPr>
        <w:pStyle w:val="TOC4"/>
        <w:rPr>
          <w:rFonts w:eastAsiaTheme="minorEastAsia"/>
          <w:kern w:val="2"/>
          <w:lang w:val="en-US"/>
          <w14:ligatures w14:val="standardContextual"/>
        </w:rPr>
      </w:pPr>
      <w:hyperlink w:anchor="_Toc236220183" w:history="1">
        <w:r w:rsidRPr="009334EF">
          <w:rPr>
            <w:rStyle w:val="Hyperlink"/>
            <w:snapToGrid w:val="0"/>
            <w:u w:val="none"/>
          </w:rPr>
          <w:t>6.6.3.8</w:t>
        </w:r>
        <w:r w:rsidRPr="009334EF">
          <w:rPr>
            <w:rFonts w:eastAsiaTheme="minorEastAsia"/>
            <w:kern w:val="2"/>
            <w:lang w:val="en-US"/>
            <w14:ligatures w14:val="standardContextual"/>
          </w:rPr>
          <w:tab/>
        </w:r>
        <w:r w:rsidRPr="009334EF">
          <w:rPr>
            <w:rStyle w:val="Hyperlink"/>
            <w:snapToGrid w:val="0"/>
            <w:u w:val="none"/>
          </w:rPr>
          <w:t>Real-Time Payment or Charge for Energy from a Settlement Only Distribution Generator (SODG) or a Settlement Only Transmission Generator (SOTG)</w:t>
        </w:r>
        <w:r w:rsidRPr="009334EF">
          <w:rPr>
            <w:webHidden/>
          </w:rPr>
          <w:tab/>
        </w:r>
        <w:r w:rsidRPr="009334EF">
          <w:rPr>
            <w:webHidden/>
          </w:rPr>
          <w:fldChar w:fldCharType="begin"/>
        </w:r>
        <w:r w:rsidRPr="009334EF">
          <w:rPr>
            <w:webHidden/>
          </w:rPr>
          <w:instrText xml:space="preserve"> PAGEREF _Toc236220183 \h </w:instrText>
        </w:r>
        <w:r w:rsidRPr="009334EF">
          <w:rPr>
            <w:webHidden/>
          </w:rPr>
        </w:r>
        <w:r w:rsidRPr="009334EF">
          <w:rPr>
            <w:webHidden/>
          </w:rPr>
          <w:fldChar w:fldCharType="separate"/>
        </w:r>
        <w:r w:rsidR="00464A0C">
          <w:rPr>
            <w:webHidden/>
          </w:rPr>
          <w:t>6-184</w:t>
        </w:r>
        <w:r w:rsidRPr="009334EF">
          <w:rPr>
            <w:webHidden/>
          </w:rPr>
          <w:fldChar w:fldCharType="end"/>
        </w:r>
      </w:hyperlink>
    </w:p>
    <w:p w14:paraId="5B7396B9" w14:textId="040A680D" w:rsidR="009334EF" w:rsidRPr="009334EF" w:rsidRDefault="009334EF">
      <w:pPr>
        <w:pStyle w:val="TOC4"/>
        <w:rPr>
          <w:rFonts w:eastAsiaTheme="minorEastAsia"/>
          <w:kern w:val="2"/>
          <w:lang w:val="en-US"/>
          <w14:ligatures w14:val="standardContextual"/>
        </w:rPr>
      </w:pPr>
      <w:hyperlink w:anchor="_Toc236220184" w:history="1">
        <w:r w:rsidRPr="009334EF">
          <w:rPr>
            <w:rStyle w:val="Hyperlink"/>
            <w:u w:val="none"/>
          </w:rPr>
          <w:t>6.6.3.8</w:t>
        </w:r>
        <w:r w:rsidRPr="009334EF">
          <w:rPr>
            <w:rFonts w:eastAsiaTheme="minorEastAsia"/>
            <w:kern w:val="2"/>
            <w:lang w:val="en-US"/>
            <w14:ligatures w14:val="standardContextual"/>
          </w:rPr>
          <w:tab/>
        </w:r>
        <w:r w:rsidRPr="009334EF">
          <w:rPr>
            <w:rStyle w:val="Hyperlink"/>
            <w:u w:val="none"/>
          </w:rPr>
          <w:t>Real-Time Payment or Charge for Energy from a Settlement Only Distribution Generator (SODG), Settlement Only Transmission Generator (SOTG), Settlement Only Distribution Energy Storage System (SODESS), or Settlement Only Transmission Energy Storage System (SOTESS)</w:t>
        </w:r>
        <w:r w:rsidRPr="009334EF">
          <w:rPr>
            <w:webHidden/>
          </w:rPr>
          <w:tab/>
        </w:r>
        <w:r w:rsidRPr="009334EF">
          <w:rPr>
            <w:webHidden/>
          </w:rPr>
          <w:fldChar w:fldCharType="begin"/>
        </w:r>
        <w:r w:rsidRPr="009334EF">
          <w:rPr>
            <w:webHidden/>
          </w:rPr>
          <w:instrText xml:space="preserve"> PAGEREF _Toc236220184 \h </w:instrText>
        </w:r>
        <w:r w:rsidRPr="009334EF">
          <w:rPr>
            <w:webHidden/>
          </w:rPr>
        </w:r>
        <w:r w:rsidRPr="009334EF">
          <w:rPr>
            <w:webHidden/>
          </w:rPr>
          <w:fldChar w:fldCharType="separate"/>
        </w:r>
        <w:r w:rsidR="00464A0C">
          <w:rPr>
            <w:webHidden/>
          </w:rPr>
          <w:t>6-187</w:t>
        </w:r>
        <w:r w:rsidRPr="009334EF">
          <w:rPr>
            <w:webHidden/>
          </w:rPr>
          <w:fldChar w:fldCharType="end"/>
        </w:r>
      </w:hyperlink>
    </w:p>
    <w:p w14:paraId="7C6A2E57" w14:textId="1C9C5210" w:rsidR="009334EF" w:rsidRPr="009334EF" w:rsidRDefault="009334EF">
      <w:pPr>
        <w:pStyle w:val="TOC4"/>
        <w:rPr>
          <w:rFonts w:eastAsiaTheme="minorEastAsia"/>
          <w:kern w:val="2"/>
          <w:lang w:val="en-US"/>
          <w14:ligatures w14:val="standardContextual"/>
        </w:rPr>
      </w:pPr>
      <w:hyperlink w:anchor="_Toc236220185" w:history="1">
        <w:r w:rsidRPr="009334EF">
          <w:rPr>
            <w:rStyle w:val="Hyperlink"/>
            <w:u w:val="none"/>
          </w:rPr>
          <w:t>6.6.3.9</w:t>
        </w:r>
        <w:r w:rsidRPr="009334EF">
          <w:rPr>
            <w:rFonts w:eastAsiaTheme="minorEastAsia"/>
            <w:kern w:val="2"/>
            <w:lang w:val="en-US"/>
            <w14:ligatures w14:val="standardContextual"/>
          </w:rPr>
          <w:tab/>
        </w:r>
        <w:r w:rsidRPr="009334EF">
          <w:rPr>
            <w:rStyle w:val="Hyperlink"/>
            <w:u w:val="none"/>
          </w:rPr>
          <w:t>Real-Time Constraint Management Plan Cost Recovery Payment</w:t>
        </w:r>
        <w:r w:rsidRPr="009334EF">
          <w:rPr>
            <w:webHidden/>
          </w:rPr>
          <w:tab/>
        </w:r>
        <w:r w:rsidRPr="009334EF">
          <w:rPr>
            <w:webHidden/>
          </w:rPr>
          <w:fldChar w:fldCharType="begin"/>
        </w:r>
        <w:r w:rsidRPr="009334EF">
          <w:rPr>
            <w:webHidden/>
          </w:rPr>
          <w:instrText xml:space="preserve"> PAGEREF _Toc236220185 \h </w:instrText>
        </w:r>
        <w:r w:rsidRPr="009334EF">
          <w:rPr>
            <w:webHidden/>
          </w:rPr>
        </w:r>
        <w:r w:rsidRPr="009334EF">
          <w:rPr>
            <w:webHidden/>
          </w:rPr>
          <w:fldChar w:fldCharType="separate"/>
        </w:r>
        <w:r w:rsidR="00464A0C">
          <w:rPr>
            <w:webHidden/>
          </w:rPr>
          <w:t>6-191</w:t>
        </w:r>
        <w:r w:rsidRPr="009334EF">
          <w:rPr>
            <w:webHidden/>
          </w:rPr>
          <w:fldChar w:fldCharType="end"/>
        </w:r>
      </w:hyperlink>
    </w:p>
    <w:p w14:paraId="1080B878" w14:textId="5BD038E4" w:rsidR="009334EF" w:rsidRPr="009334EF" w:rsidRDefault="009334EF">
      <w:pPr>
        <w:pStyle w:val="TOC4"/>
        <w:rPr>
          <w:rFonts w:eastAsiaTheme="minorEastAsia"/>
          <w:kern w:val="2"/>
          <w:lang w:val="en-US"/>
          <w14:ligatures w14:val="standardContextual"/>
        </w:rPr>
      </w:pPr>
      <w:hyperlink w:anchor="_Toc236220186" w:history="1">
        <w:r w:rsidRPr="009334EF">
          <w:rPr>
            <w:rStyle w:val="Hyperlink"/>
            <w:snapToGrid w:val="0"/>
            <w:u w:val="none"/>
          </w:rPr>
          <w:t>6.6.3.10</w:t>
        </w:r>
        <w:r w:rsidRPr="009334EF">
          <w:rPr>
            <w:rFonts w:eastAsiaTheme="minorEastAsia"/>
            <w:kern w:val="2"/>
            <w:lang w:val="en-US"/>
            <w14:ligatures w14:val="standardContextual"/>
          </w:rPr>
          <w:tab/>
        </w:r>
        <w:r w:rsidRPr="009334EF">
          <w:rPr>
            <w:rStyle w:val="Hyperlink"/>
            <w:snapToGrid w:val="0"/>
            <w:u w:val="none"/>
          </w:rPr>
          <w:t>Real-Time Constraint Management Plan Cost Recovery Charge</w:t>
        </w:r>
        <w:r w:rsidRPr="009334EF">
          <w:rPr>
            <w:webHidden/>
          </w:rPr>
          <w:tab/>
        </w:r>
        <w:r w:rsidRPr="009334EF">
          <w:rPr>
            <w:webHidden/>
          </w:rPr>
          <w:fldChar w:fldCharType="begin"/>
        </w:r>
        <w:r w:rsidRPr="009334EF">
          <w:rPr>
            <w:webHidden/>
          </w:rPr>
          <w:instrText xml:space="preserve"> PAGEREF _Toc236220186 \h </w:instrText>
        </w:r>
        <w:r w:rsidRPr="009334EF">
          <w:rPr>
            <w:webHidden/>
          </w:rPr>
        </w:r>
        <w:r w:rsidRPr="009334EF">
          <w:rPr>
            <w:webHidden/>
          </w:rPr>
          <w:fldChar w:fldCharType="separate"/>
        </w:r>
        <w:r w:rsidR="00464A0C">
          <w:rPr>
            <w:webHidden/>
          </w:rPr>
          <w:t>6-196</w:t>
        </w:r>
        <w:r w:rsidRPr="009334EF">
          <w:rPr>
            <w:webHidden/>
          </w:rPr>
          <w:fldChar w:fldCharType="end"/>
        </w:r>
      </w:hyperlink>
    </w:p>
    <w:p w14:paraId="3531869F" w14:textId="3FAFAA55" w:rsidR="009334EF" w:rsidRPr="009334EF" w:rsidRDefault="009334EF">
      <w:pPr>
        <w:pStyle w:val="TOC4"/>
        <w:rPr>
          <w:rFonts w:eastAsiaTheme="minorEastAsia"/>
          <w:kern w:val="2"/>
          <w:lang w:val="en-US"/>
          <w14:ligatures w14:val="standardContextual"/>
        </w:rPr>
      </w:pPr>
      <w:hyperlink w:anchor="_Toc236220187" w:history="1">
        <w:r w:rsidRPr="009334EF">
          <w:rPr>
            <w:rStyle w:val="Hyperlink"/>
            <w:snapToGrid w:val="0"/>
            <w:u w:val="none"/>
          </w:rPr>
          <w:t>6.6.3.11</w:t>
        </w:r>
        <w:r w:rsidRPr="009334EF">
          <w:rPr>
            <w:rFonts w:eastAsiaTheme="minorEastAsia"/>
            <w:kern w:val="2"/>
            <w:lang w:val="en-US"/>
            <w14:ligatures w14:val="standardContextual"/>
          </w:rPr>
          <w:tab/>
        </w:r>
        <w:r w:rsidRPr="009334EF">
          <w:rPr>
            <w:rStyle w:val="Hyperlink"/>
            <w:snapToGrid w:val="0"/>
            <w:u w:val="none"/>
          </w:rPr>
          <w:t>Miscellaneous Invoice for Cost Recovery Payments and Charges for a Real-Time Constraint Management Plan</w:t>
        </w:r>
        <w:r w:rsidRPr="009334EF">
          <w:rPr>
            <w:webHidden/>
          </w:rPr>
          <w:tab/>
        </w:r>
        <w:r w:rsidRPr="009334EF">
          <w:rPr>
            <w:webHidden/>
          </w:rPr>
          <w:fldChar w:fldCharType="begin"/>
        </w:r>
        <w:r w:rsidRPr="009334EF">
          <w:rPr>
            <w:webHidden/>
          </w:rPr>
          <w:instrText xml:space="preserve"> PAGEREF _Toc236220187 \h </w:instrText>
        </w:r>
        <w:r w:rsidRPr="009334EF">
          <w:rPr>
            <w:webHidden/>
          </w:rPr>
        </w:r>
        <w:r w:rsidRPr="009334EF">
          <w:rPr>
            <w:webHidden/>
          </w:rPr>
          <w:fldChar w:fldCharType="separate"/>
        </w:r>
        <w:r w:rsidR="00464A0C">
          <w:rPr>
            <w:webHidden/>
          </w:rPr>
          <w:t>6-197</w:t>
        </w:r>
        <w:r w:rsidRPr="009334EF">
          <w:rPr>
            <w:webHidden/>
          </w:rPr>
          <w:fldChar w:fldCharType="end"/>
        </w:r>
      </w:hyperlink>
    </w:p>
    <w:p w14:paraId="48064FFD" w14:textId="179FFE7F" w:rsidR="009334EF" w:rsidRPr="009334EF" w:rsidRDefault="009334EF">
      <w:pPr>
        <w:pStyle w:val="TOC3"/>
        <w:rPr>
          <w:rFonts w:eastAsiaTheme="minorEastAsia"/>
          <w:i w:val="0"/>
          <w:iCs w:val="0"/>
          <w:kern w:val="2"/>
          <w14:ligatures w14:val="standardContextual"/>
        </w:rPr>
      </w:pPr>
      <w:hyperlink w:anchor="_Toc236220188" w:history="1">
        <w:r w:rsidRPr="009334EF">
          <w:rPr>
            <w:rStyle w:val="Hyperlink"/>
            <w:i w:val="0"/>
            <w:iCs w:val="0"/>
            <w:u w:val="none"/>
          </w:rPr>
          <w:t>6.6.4</w:t>
        </w:r>
        <w:r w:rsidRPr="009334EF">
          <w:rPr>
            <w:rFonts w:eastAsiaTheme="minorEastAsia"/>
            <w:i w:val="0"/>
            <w:iCs w:val="0"/>
            <w:kern w:val="2"/>
            <w14:ligatures w14:val="standardContextual"/>
          </w:rPr>
          <w:tab/>
        </w:r>
        <w:r w:rsidRPr="009334EF">
          <w:rPr>
            <w:rStyle w:val="Hyperlink"/>
            <w:i w:val="0"/>
            <w:iCs w:val="0"/>
            <w:u w:val="none"/>
          </w:rPr>
          <w:t>Real-Time Congestion Payment or Charge for Self-Schedules</w:t>
        </w:r>
        <w:r w:rsidRPr="009334EF">
          <w:rPr>
            <w:i w:val="0"/>
            <w:iCs w:val="0"/>
            <w:webHidden/>
          </w:rPr>
          <w:tab/>
        </w:r>
        <w:r w:rsidRPr="009334EF">
          <w:rPr>
            <w:i w:val="0"/>
            <w:iCs w:val="0"/>
            <w:webHidden/>
          </w:rPr>
          <w:fldChar w:fldCharType="begin"/>
        </w:r>
        <w:r w:rsidRPr="009334EF">
          <w:rPr>
            <w:i w:val="0"/>
            <w:iCs w:val="0"/>
            <w:webHidden/>
          </w:rPr>
          <w:instrText xml:space="preserve"> PAGEREF _Toc236220188 \h </w:instrText>
        </w:r>
        <w:r w:rsidRPr="009334EF">
          <w:rPr>
            <w:i w:val="0"/>
            <w:iCs w:val="0"/>
            <w:webHidden/>
          </w:rPr>
        </w:r>
        <w:r w:rsidRPr="009334EF">
          <w:rPr>
            <w:i w:val="0"/>
            <w:iCs w:val="0"/>
            <w:webHidden/>
          </w:rPr>
          <w:fldChar w:fldCharType="separate"/>
        </w:r>
        <w:r w:rsidR="00464A0C">
          <w:rPr>
            <w:i w:val="0"/>
            <w:iCs w:val="0"/>
            <w:webHidden/>
          </w:rPr>
          <w:t>6-197</w:t>
        </w:r>
        <w:r w:rsidRPr="009334EF">
          <w:rPr>
            <w:i w:val="0"/>
            <w:iCs w:val="0"/>
            <w:webHidden/>
          </w:rPr>
          <w:fldChar w:fldCharType="end"/>
        </w:r>
      </w:hyperlink>
    </w:p>
    <w:p w14:paraId="353768AA" w14:textId="39B04D79" w:rsidR="009334EF" w:rsidRPr="009334EF" w:rsidRDefault="009334EF">
      <w:pPr>
        <w:pStyle w:val="TOC3"/>
        <w:rPr>
          <w:rFonts w:eastAsiaTheme="minorEastAsia"/>
          <w:i w:val="0"/>
          <w:iCs w:val="0"/>
          <w:kern w:val="2"/>
          <w14:ligatures w14:val="standardContextual"/>
        </w:rPr>
      </w:pPr>
      <w:hyperlink w:anchor="_Toc236220189" w:history="1">
        <w:r w:rsidRPr="009334EF">
          <w:rPr>
            <w:rStyle w:val="Hyperlink"/>
            <w:i w:val="0"/>
            <w:iCs w:val="0"/>
            <w:u w:val="none"/>
            <w:lang w:val="fr-FR"/>
          </w:rPr>
          <w:t>6.6.5</w:t>
        </w:r>
        <w:r w:rsidRPr="009334EF">
          <w:rPr>
            <w:rFonts w:eastAsiaTheme="minorEastAsia"/>
            <w:i w:val="0"/>
            <w:iCs w:val="0"/>
            <w:kern w:val="2"/>
            <w14:ligatures w14:val="standardContextual"/>
          </w:rPr>
          <w:tab/>
        </w:r>
        <w:r w:rsidRPr="009334EF">
          <w:rPr>
            <w:rStyle w:val="Hyperlink"/>
            <w:i w:val="0"/>
            <w:iCs w:val="0"/>
            <w:u w:val="none"/>
            <w:lang w:val="fr-FR"/>
          </w:rPr>
          <w:t>Set Point Deviation Charge</w:t>
        </w:r>
        <w:r w:rsidRPr="009334EF">
          <w:rPr>
            <w:i w:val="0"/>
            <w:iCs w:val="0"/>
            <w:webHidden/>
          </w:rPr>
          <w:tab/>
        </w:r>
        <w:r w:rsidRPr="009334EF">
          <w:rPr>
            <w:i w:val="0"/>
            <w:iCs w:val="0"/>
            <w:webHidden/>
          </w:rPr>
          <w:fldChar w:fldCharType="begin"/>
        </w:r>
        <w:r w:rsidRPr="009334EF">
          <w:rPr>
            <w:i w:val="0"/>
            <w:iCs w:val="0"/>
            <w:webHidden/>
          </w:rPr>
          <w:instrText xml:space="preserve"> PAGEREF _Toc236220189 \h </w:instrText>
        </w:r>
        <w:r w:rsidRPr="009334EF">
          <w:rPr>
            <w:i w:val="0"/>
            <w:iCs w:val="0"/>
            <w:webHidden/>
          </w:rPr>
        </w:r>
        <w:r w:rsidRPr="009334EF">
          <w:rPr>
            <w:i w:val="0"/>
            <w:iCs w:val="0"/>
            <w:webHidden/>
          </w:rPr>
          <w:fldChar w:fldCharType="separate"/>
        </w:r>
        <w:r w:rsidR="00464A0C">
          <w:rPr>
            <w:i w:val="0"/>
            <w:iCs w:val="0"/>
            <w:webHidden/>
          </w:rPr>
          <w:t>6-198</w:t>
        </w:r>
        <w:r w:rsidRPr="009334EF">
          <w:rPr>
            <w:i w:val="0"/>
            <w:iCs w:val="0"/>
            <w:webHidden/>
          </w:rPr>
          <w:fldChar w:fldCharType="end"/>
        </w:r>
      </w:hyperlink>
    </w:p>
    <w:p w14:paraId="29B70DBD" w14:textId="4CF4C341" w:rsidR="009334EF" w:rsidRPr="009334EF" w:rsidRDefault="009334EF">
      <w:pPr>
        <w:pStyle w:val="TOC4"/>
        <w:rPr>
          <w:rFonts w:eastAsiaTheme="minorEastAsia"/>
          <w:kern w:val="2"/>
          <w:lang w:val="en-US"/>
          <w14:ligatures w14:val="standardContextual"/>
        </w:rPr>
      </w:pPr>
      <w:hyperlink w:anchor="_Toc236220190" w:history="1">
        <w:r w:rsidRPr="009334EF">
          <w:rPr>
            <w:rStyle w:val="Hyperlink"/>
            <w:u w:val="none"/>
          </w:rPr>
          <w:t>6.6.5.1</w:t>
        </w:r>
        <w:r w:rsidRPr="009334EF">
          <w:rPr>
            <w:rFonts w:eastAsiaTheme="minorEastAsia"/>
            <w:kern w:val="2"/>
            <w:lang w:val="en-US"/>
            <w14:ligatures w14:val="standardContextual"/>
          </w:rPr>
          <w:tab/>
        </w:r>
        <w:r w:rsidRPr="009334EF">
          <w:rPr>
            <w:rStyle w:val="Hyperlink"/>
            <w:u w:val="none"/>
          </w:rPr>
          <w:t>Resource Set Point Deviation Charge</w:t>
        </w:r>
        <w:r w:rsidRPr="009334EF">
          <w:rPr>
            <w:webHidden/>
          </w:rPr>
          <w:tab/>
        </w:r>
        <w:r w:rsidRPr="009334EF">
          <w:rPr>
            <w:webHidden/>
          </w:rPr>
          <w:fldChar w:fldCharType="begin"/>
        </w:r>
        <w:r w:rsidRPr="009334EF">
          <w:rPr>
            <w:webHidden/>
          </w:rPr>
          <w:instrText xml:space="preserve"> PAGEREF _Toc236220190 \h </w:instrText>
        </w:r>
        <w:r w:rsidRPr="009334EF">
          <w:rPr>
            <w:webHidden/>
          </w:rPr>
        </w:r>
        <w:r w:rsidRPr="009334EF">
          <w:rPr>
            <w:webHidden/>
          </w:rPr>
          <w:fldChar w:fldCharType="separate"/>
        </w:r>
        <w:r w:rsidR="00464A0C">
          <w:rPr>
            <w:webHidden/>
          </w:rPr>
          <w:t>6-198</w:t>
        </w:r>
        <w:r w:rsidRPr="009334EF">
          <w:rPr>
            <w:webHidden/>
          </w:rPr>
          <w:fldChar w:fldCharType="end"/>
        </w:r>
      </w:hyperlink>
    </w:p>
    <w:p w14:paraId="6E96C62D" w14:textId="7388B3A9" w:rsidR="009334EF" w:rsidRPr="009334EF" w:rsidRDefault="009334EF">
      <w:pPr>
        <w:pStyle w:val="TOC4"/>
        <w:rPr>
          <w:rFonts w:eastAsiaTheme="minorEastAsia"/>
          <w:kern w:val="2"/>
          <w:lang w:val="en-US"/>
          <w14:ligatures w14:val="standardContextual"/>
        </w:rPr>
      </w:pPr>
      <w:hyperlink w:anchor="_Toc236220191" w:history="1">
        <w:r w:rsidRPr="009334EF">
          <w:rPr>
            <w:rStyle w:val="Hyperlink"/>
            <w:u w:val="none"/>
          </w:rPr>
          <w:t>6.6.5.2</w:t>
        </w:r>
        <w:r w:rsidRPr="009334EF">
          <w:rPr>
            <w:rFonts w:eastAsiaTheme="minorEastAsia"/>
            <w:kern w:val="2"/>
            <w:lang w:val="en-US"/>
            <w14:ligatures w14:val="standardContextual"/>
          </w:rPr>
          <w:tab/>
        </w:r>
        <w:r w:rsidRPr="009334EF">
          <w:rPr>
            <w:rStyle w:val="Hyperlink"/>
            <w:u w:val="none"/>
          </w:rPr>
          <w:t>Set Point Deviation Charge for Over Generation</w:t>
        </w:r>
        <w:r w:rsidRPr="009334EF">
          <w:rPr>
            <w:webHidden/>
          </w:rPr>
          <w:tab/>
        </w:r>
        <w:r w:rsidRPr="009334EF">
          <w:rPr>
            <w:webHidden/>
          </w:rPr>
          <w:fldChar w:fldCharType="begin"/>
        </w:r>
        <w:r w:rsidRPr="009334EF">
          <w:rPr>
            <w:webHidden/>
          </w:rPr>
          <w:instrText xml:space="preserve"> PAGEREF _Toc236220191 \h </w:instrText>
        </w:r>
        <w:r w:rsidRPr="009334EF">
          <w:rPr>
            <w:webHidden/>
          </w:rPr>
        </w:r>
        <w:r w:rsidRPr="009334EF">
          <w:rPr>
            <w:webHidden/>
          </w:rPr>
          <w:fldChar w:fldCharType="separate"/>
        </w:r>
        <w:r w:rsidR="00464A0C">
          <w:rPr>
            <w:webHidden/>
          </w:rPr>
          <w:t>6-199</w:t>
        </w:r>
        <w:r w:rsidRPr="009334EF">
          <w:rPr>
            <w:webHidden/>
          </w:rPr>
          <w:fldChar w:fldCharType="end"/>
        </w:r>
      </w:hyperlink>
    </w:p>
    <w:p w14:paraId="293DA73B" w14:textId="207B2FC8" w:rsidR="009334EF" w:rsidRPr="009334EF" w:rsidRDefault="009334EF">
      <w:pPr>
        <w:pStyle w:val="TOC4"/>
        <w:rPr>
          <w:rFonts w:eastAsiaTheme="minorEastAsia"/>
          <w:kern w:val="2"/>
          <w:lang w:val="en-US"/>
          <w14:ligatures w14:val="standardContextual"/>
        </w:rPr>
      </w:pPr>
      <w:hyperlink w:anchor="_Toc236220192" w:history="1">
        <w:r w:rsidRPr="009334EF">
          <w:rPr>
            <w:rStyle w:val="Hyperlink"/>
            <w:u w:val="none"/>
          </w:rPr>
          <w:t>6.6.5.2</w:t>
        </w:r>
        <w:r w:rsidRPr="009334EF">
          <w:rPr>
            <w:rFonts w:eastAsiaTheme="minorEastAsia"/>
            <w:kern w:val="2"/>
            <w:lang w:val="en-US"/>
            <w14:ligatures w14:val="standardContextual"/>
          </w:rPr>
          <w:tab/>
        </w:r>
        <w:r w:rsidRPr="009334EF">
          <w:rPr>
            <w:rStyle w:val="Hyperlink"/>
            <w:u w:val="none"/>
          </w:rPr>
          <w:t>Set Point Deviation Charge for Over Generation</w:t>
        </w:r>
        <w:r w:rsidRPr="009334EF">
          <w:rPr>
            <w:webHidden/>
          </w:rPr>
          <w:tab/>
        </w:r>
        <w:r w:rsidRPr="009334EF">
          <w:rPr>
            <w:webHidden/>
          </w:rPr>
          <w:fldChar w:fldCharType="begin"/>
        </w:r>
        <w:r w:rsidRPr="009334EF">
          <w:rPr>
            <w:webHidden/>
          </w:rPr>
          <w:instrText xml:space="preserve"> PAGEREF _Toc236220192 \h </w:instrText>
        </w:r>
        <w:r w:rsidRPr="009334EF">
          <w:rPr>
            <w:webHidden/>
          </w:rPr>
        </w:r>
        <w:r w:rsidRPr="009334EF">
          <w:rPr>
            <w:webHidden/>
          </w:rPr>
          <w:fldChar w:fldCharType="separate"/>
        </w:r>
        <w:r w:rsidR="00464A0C">
          <w:rPr>
            <w:webHidden/>
          </w:rPr>
          <w:t>6-200</w:t>
        </w:r>
        <w:r w:rsidRPr="009334EF">
          <w:rPr>
            <w:webHidden/>
          </w:rPr>
          <w:fldChar w:fldCharType="end"/>
        </w:r>
      </w:hyperlink>
    </w:p>
    <w:p w14:paraId="3D455814" w14:textId="0EE9151C" w:rsidR="009334EF" w:rsidRPr="009334EF" w:rsidRDefault="009334EF">
      <w:pPr>
        <w:pStyle w:val="TOC5"/>
        <w:rPr>
          <w:rFonts w:eastAsiaTheme="minorEastAsia"/>
          <w:i w:val="0"/>
          <w:kern w:val="2"/>
          <w:sz w:val="20"/>
          <w:szCs w:val="20"/>
          <w14:ligatures w14:val="standardContextual"/>
        </w:rPr>
      </w:pPr>
      <w:hyperlink w:anchor="_Toc236220193" w:history="1">
        <w:r w:rsidRPr="009334EF">
          <w:rPr>
            <w:rStyle w:val="Hyperlink"/>
            <w:i w:val="0"/>
            <w:snapToGrid w:val="0"/>
            <w:sz w:val="20"/>
            <w:szCs w:val="20"/>
            <w:u w:val="none"/>
          </w:rPr>
          <w:t>6.6.5.2.1</w:t>
        </w:r>
        <w:r w:rsidRPr="009334EF">
          <w:rPr>
            <w:rFonts w:eastAsiaTheme="minorEastAsia"/>
            <w:i w:val="0"/>
            <w:kern w:val="2"/>
            <w:sz w:val="20"/>
            <w:szCs w:val="20"/>
            <w14:ligatures w14:val="standardContextual"/>
          </w:rPr>
          <w:tab/>
        </w:r>
        <w:r w:rsidRPr="009334EF">
          <w:rPr>
            <w:rStyle w:val="Hyperlink"/>
            <w:i w:val="0"/>
            <w:snapToGrid w:val="0"/>
            <w:sz w:val="20"/>
            <w:szCs w:val="20"/>
            <w:u w:val="none"/>
          </w:rPr>
          <w:t>Set Point Deviation Charge for Under Generation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_Toc236220193 \h </w:instrText>
        </w:r>
        <w:r w:rsidRPr="009334EF">
          <w:rPr>
            <w:i w:val="0"/>
            <w:webHidden/>
            <w:sz w:val="20"/>
            <w:szCs w:val="20"/>
          </w:rPr>
        </w:r>
        <w:r w:rsidRPr="009334EF">
          <w:rPr>
            <w:i w:val="0"/>
            <w:webHidden/>
            <w:sz w:val="20"/>
            <w:szCs w:val="20"/>
          </w:rPr>
          <w:fldChar w:fldCharType="separate"/>
        </w:r>
        <w:r w:rsidR="00464A0C">
          <w:rPr>
            <w:i w:val="0"/>
            <w:webHidden/>
            <w:sz w:val="20"/>
            <w:szCs w:val="20"/>
          </w:rPr>
          <w:t>6-202</w:t>
        </w:r>
        <w:r w:rsidRPr="009334EF">
          <w:rPr>
            <w:i w:val="0"/>
            <w:webHidden/>
            <w:sz w:val="20"/>
            <w:szCs w:val="20"/>
          </w:rPr>
          <w:fldChar w:fldCharType="end"/>
        </w:r>
      </w:hyperlink>
    </w:p>
    <w:p w14:paraId="2850C258" w14:textId="645C5EBD" w:rsidR="009334EF" w:rsidRPr="009334EF" w:rsidRDefault="009334EF">
      <w:pPr>
        <w:pStyle w:val="TOC5"/>
        <w:rPr>
          <w:rFonts w:eastAsiaTheme="minorEastAsia"/>
          <w:i w:val="0"/>
          <w:kern w:val="2"/>
          <w:sz w:val="20"/>
          <w:szCs w:val="20"/>
          <w14:ligatures w14:val="standardContextual"/>
        </w:rPr>
      </w:pPr>
      <w:hyperlink w:anchor="_Toc236220194" w:history="1">
        <w:r w:rsidRPr="009334EF">
          <w:rPr>
            <w:rStyle w:val="Hyperlink"/>
            <w:i w:val="0"/>
            <w:snapToGrid w:val="0"/>
            <w:sz w:val="20"/>
            <w:szCs w:val="20"/>
            <w:u w:val="none"/>
          </w:rPr>
          <w:t>6.6.5.2.1</w:t>
        </w:r>
        <w:r w:rsidRPr="009334EF">
          <w:rPr>
            <w:rFonts w:eastAsiaTheme="minorEastAsia"/>
            <w:i w:val="0"/>
            <w:kern w:val="2"/>
            <w:sz w:val="20"/>
            <w:szCs w:val="20"/>
            <w14:ligatures w14:val="standardContextual"/>
          </w:rPr>
          <w:tab/>
        </w:r>
        <w:r w:rsidRPr="009334EF">
          <w:rPr>
            <w:rStyle w:val="Hyperlink"/>
            <w:i w:val="0"/>
            <w:snapToGrid w:val="0"/>
            <w:sz w:val="20"/>
            <w:szCs w:val="20"/>
            <w:u w:val="none"/>
          </w:rPr>
          <w:t>Set Point Deviation Charge for Under Generation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_Toc236220194 \h </w:instrText>
        </w:r>
        <w:r w:rsidRPr="009334EF">
          <w:rPr>
            <w:i w:val="0"/>
            <w:webHidden/>
            <w:sz w:val="20"/>
            <w:szCs w:val="20"/>
          </w:rPr>
        </w:r>
        <w:r w:rsidRPr="009334EF">
          <w:rPr>
            <w:i w:val="0"/>
            <w:webHidden/>
            <w:sz w:val="20"/>
            <w:szCs w:val="20"/>
          </w:rPr>
          <w:fldChar w:fldCharType="separate"/>
        </w:r>
        <w:r w:rsidR="00464A0C">
          <w:rPr>
            <w:i w:val="0"/>
            <w:webHidden/>
            <w:sz w:val="20"/>
            <w:szCs w:val="20"/>
          </w:rPr>
          <w:t>6-204</w:t>
        </w:r>
        <w:r w:rsidRPr="009334EF">
          <w:rPr>
            <w:i w:val="0"/>
            <w:webHidden/>
            <w:sz w:val="20"/>
            <w:szCs w:val="20"/>
          </w:rPr>
          <w:fldChar w:fldCharType="end"/>
        </w:r>
      </w:hyperlink>
    </w:p>
    <w:p w14:paraId="3D3C83F5" w14:textId="5465FB08" w:rsidR="009334EF" w:rsidRPr="009334EF" w:rsidRDefault="009334EF">
      <w:pPr>
        <w:pStyle w:val="TOC5"/>
        <w:rPr>
          <w:rFonts w:eastAsiaTheme="minorEastAsia"/>
          <w:i w:val="0"/>
          <w:kern w:val="2"/>
          <w:sz w:val="20"/>
          <w:szCs w:val="20"/>
          <w14:ligatures w14:val="standardContextual"/>
        </w:rPr>
      </w:pPr>
      <w:hyperlink w:anchor="_Toc236220195" w:history="1">
        <w:r w:rsidRPr="009334EF">
          <w:rPr>
            <w:rStyle w:val="Hyperlink"/>
            <w:i w:val="0"/>
            <w:sz w:val="20"/>
            <w:szCs w:val="20"/>
            <w:u w:val="none"/>
            <w:lang w:val="fr-FR"/>
          </w:rPr>
          <w:t>6.6.5.3</w:t>
        </w:r>
        <w:r w:rsidRPr="009334EF">
          <w:rPr>
            <w:rFonts w:eastAsiaTheme="minorEastAsia"/>
            <w:i w:val="0"/>
            <w:kern w:val="2"/>
            <w:sz w:val="20"/>
            <w:szCs w:val="20"/>
            <w14:ligatures w14:val="standardContextual"/>
          </w:rPr>
          <w:tab/>
        </w:r>
        <w:r w:rsidRPr="009334EF">
          <w:rPr>
            <w:rStyle w:val="Hyperlink"/>
            <w:i w:val="0"/>
            <w:sz w:val="20"/>
            <w:szCs w:val="20"/>
            <w:u w:val="none"/>
            <w:lang w:val="fr-FR"/>
          </w:rPr>
          <w:t xml:space="preserve">Controllable Load Resource Set Point Deviation Charge for Over </w:t>
        </w:r>
        <w:r w:rsidRPr="009334EF">
          <w:rPr>
            <w:rStyle w:val="Hyperlink"/>
            <w:i w:val="0"/>
            <w:sz w:val="20"/>
            <w:szCs w:val="20"/>
            <w:u w:val="none"/>
          </w:rPr>
          <w:t>Consumption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_Toc236220195 \h </w:instrText>
        </w:r>
        <w:r w:rsidRPr="009334EF">
          <w:rPr>
            <w:i w:val="0"/>
            <w:webHidden/>
            <w:sz w:val="20"/>
            <w:szCs w:val="20"/>
          </w:rPr>
        </w:r>
        <w:r w:rsidRPr="009334EF">
          <w:rPr>
            <w:i w:val="0"/>
            <w:webHidden/>
            <w:sz w:val="20"/>
            <w:szCs w:val="20"/>
          </w:rPr>
          <w:fldChar w:fldCharType="separate"/>
        </w:r>
        <w:r w:rsidR="00464A0C">
          <w:rPr>
            <w:i w:val="0"/>
            <w:webHidden/>
            <w:sz w:val="20"/>
            <w:szCs w:val="20"/>
          </w:rPr>
          <w:t>6-205</w:t>
        </w:r>
        <w:r w:rsidRPr="009334EF">
          <w:rPr>
            <w:i w:val="0"/>
            <w:webHidden/>
            <w:sz w:val="20"/>
            <w:szCs w:val="20"/>
          </w:rPr>
          <w:fldChar w:fldCharType="end"/>
        </w:r>
      </w:hyperlink>
    </w:p>
    <w:p w14:paraId="559F2D9D" w14:textId="307EB775" w:rsidR="009334EF" w:rsidRPr="009334EF" w:rsidRDefault="009334EF">
      <w:pPr>
        <w:pStyle w:val="TOC5"/>
        <w:rPr>
          <w:rFonts w:eastAsiaTheme="minorEastAsia"/>
          <w:i w:val="0"/>
          <w:kern w:val="2"/>
          <w:sz w:val="20"/>
          <w:szCs w:val="20"/>
          <w14:ligatures w14:val="standardContextual"/>
        </w:rPr>
      </w:pPr>
      <w:hyperlink w:anchor="_Toc236220196" w:history="1">
        <w:r w:rsidRPr="009334EF">
          <w:rPr>
            <w:rStyle w:val="Hyperlink"/>
            <w:i w:val="0"/>
            <w:sz w:val="20"/>
            <w:szCs w:val="20"/>
            <w:u w:val="none"/>
          </w:rPr>
          <w:t>6.6.5.3.1</w:t>
        </w:r>
        <w:r w:rsidRPr="009334EF">
          <w:rPr>
            <w:rFonts w:eastAsiaTheme="minorEastAsia"/>
            <w:i w:val="0"/>
            <w:kern w:val="2"/>
            <w:sz w:val="20"/>
            <w:szCs w:val="20"/>
            <w14:ligatures w14:val="standardContextual"/>
          </w:rPr>
          <w:tab/>
        </w:r>
        <w:r w:rsidRPr="009334EF">
          <w:rPr>
            <w:rStyle w:val="Hyperlink"/>
            <w:i w:val="0"/>
            <w:sz w:val="20"/>
            <w:szCs w:val="20"/>
            <w:u w:val="none"/>
          </w:rPr>
          <w:t>Controllable Load Resource Set Point Deviation Charge for Under Consumption</w:t>
        </w:r>
        <w:r w:rsidRPr="009334EF">
          <w:rPr>
            <w:i w:val="0"/>
            <w:webHidden/>
            <w:sz w:val="20"/>
            <w:szCs w:val="20"/>
          </w:rPr>
          <w:tab/>
        </w:r>
        <w:r w:rsidRPr="009334EF">
          <w:rPr>
            <w:i w:val="0"/>
            <w:webHidden/>
            <w:sz w:val="20"/>
            <w:szCs w:val="20"/>
          </w:rPr>
          <w:fldChar w:fldCharType="begin"/>
        </w:r>
        <w:r w:rsidRPr="009334EF">
          <w:rPr>
            <w:i w:val="0"/>
            <w:webHidden/>
            <w:sz w:val="20"/>
            <w:szCs w:val="20"/>
          </w:rPr>
          <w:instrText xml:space="preserve"> PAGEREF _Toc236220196 \h </w:instrText>
        </w:r>
        <w:r w:rsidRPr="009334EF">
          <w:rPr>
            <w:i w:val="0"/>
            <w:webHidden/>
            <w:sz w:val="20"/>
            <w:szCs w:val="20"/>
          </w:rPr>
        </w:r>
        <w:r w:rsidRPr="009334EF">
          <w:rPr>
            <w:i w:val="0"/>
            <w:webHidden/>
            <w:sz w:val="20"/>
            <w:szCs w:val="20"/>
          </w:rPr>
          <w:fldChar w:fldCharType="separate"/>
        </w:r>
        <w:r w:rsidR="00464A0C">
          <w:rPr>
            <w:i w:val="0"/>
            <w:webHidden/>
            <w:sz w:val="20"/>
            <w:szCs w:val="20"/>
          </w:rPr>
          <w:t>6-207</w:t>
        </w:r>
        <w:r w:rsidRPr="009334EF">
          <w:rPr>
            <w:i w:val="0"/>
            <w:webHidden/>
            <w:sz w:val="20"/>
            <w:szCs w:val="20"/>
          </w:rPr>
          <w:fldChar w:fldCharType="end"/>
        </w:r>
      </w:hyperlink>
    </w:p>
    <w:p w14:paraId="56A5B12E" w14:textId="73326A9C" w:rsidR="009334EF" w:rsidRPr="009334EF" w:rsidRDefault="009334EF">
      <w:pPr>
        <w:pStyle w:val="TOC4"/>
        <w:rPr>
          <w:rFonts w:eastAsiaTheme="minorEastAsia"/>
          <w:kern w:val="2"/>
          <w:lang w:val="en-US"/>
          <w14:ligatures w14:val="standardContextual"/>
        </w:rPr>
      </w:pPr>
      <w:hyperlink w:anchor="_Toc236220197" w:history="1">
        <w:r w:rsidRPr="009334EF">
          <w:rPr>
            <w:rStyle w:val="Hyperlink"/>
            <w:u w:val="none"/>
          </w:rPr>
          <w:t>6.6.5.4</w:t>
        </w:r>
        <w:r w:rsidRPr="009334EF">
          <w:rPr>
            <w:rFonts w:eastAsiaTheme="minorEastAsia"/>
            <w:kern w:val="2"/>
            <w:lang w:val="en-US"/>
            <w14:ligatures w14:val="standardContextual"/>
          </w:rPr>
          <w:tab/>
        </w:r>
        <w:r w:rsidRPr="009334EF">
          <w:rPr>
            <w:rStyle w:val="Hyperlink"/>
            <w:u w:val="none"/>
          </w:rPr>
          <w:t>IRR Generation Resource Set Point Deviation Charge</w:t>
        </w:r>
        <w:r w:rsidRPr="009334EF">
          <w:rPr>
            <w:webHidden/>
          </w:rPr>
          <w:tab/>
        </w:r>
        <w:r w:rsidRPr="009334EF">
          <w:rPr>
            <w:webHidden/>
          </w:rPr>
          <w:fldChar w:fldCharType="begin"/>
        </w:r>
        <w:r w:rsidRPr="009334EF">
          <w:rPr>
            <w:webHidden/>
          </w:rPr>
          <w:instrText xml:space="preserve"> PAGEREF _Toc236220197 \h </w:instrText>
        </w:r>
        <w:r w:rsidRPr="009334EF">
          <w:rPr>
            <w:webHidden/>
          </w:rPr>
        </w:r>
        <w:r w:rsidRPr="009334EF">
          <w:rPr>
            <w:webHidden/>
          </w:rPr>
          <w:fldChar w:fldCharType="separate"/>
        </w:r>
        <w:r w:rsidR="00464A0C">
          <w:rPr>
            <w:webHidden/>
          </w:rPr>
          <w:t>6-208</w:t>
        </w:r>
        <w:r w:rsidRPr="009334EF">
          <w:rPr>
            <w:webHidden/>
          </w:rPr>
          <w:fldChar w:fldCharType="end"/>
        </w:r>
      </w:hyperlink>
    </w:p>
    <w:p w14:paraId="2D8B270D" w14:textId="7C461E1A" w:rsidR="009334EF" w:rsidRPr="009334EF" w:rsidRDefault="009334EF">
      <w:pPr>
        <w:pStyle w:val="TOC4"/>
        <w:rPr>
          <w:rFonts w:eastAsiaTheme="minorEastAsia"/>
          <w:kern w:val="2"/>
          <w:lang w:val="en-US"/>
          <w14:ligatures w14:val="standardContextual"/>
        </w:rPr>
      </w:pPr>
      <w:hyperlink w:anchor="_Toc236220198" w:history="1">
        <w:r w:rsidRPr="009334EF">
          <w:rPr>
            <w:rStyle w:val="Hyperlink"/>
            <w:u w:val="none"/>
          </w:rPr>
          <w:t>6.6.5.4</w:t>
        </w:r>
        <w:r w:rsidRPr="009334EF">
          <w:rPr>
            <w:rFonts w:eastAsiaTheme="minorEastAsia"/>
            <w:kern w:val="2"/>
            <w:lang w:val="en-US"/>
            <w14:ligatures w14:val="standardContextual"/>
          </w:rPr>
          <w:tab/>
        </w:r>
        <w:r w:rsidRPr="009334EF">
          <w:rPr>
            <w:rStyle w:val="Hyperlink"/>
            <w:u w:val="none"/>
          </w:rPr>
          <w:t>IRR Generation Resource Set Point Deviation Charge</w:t>
        </w:r>
        <w:r w:rsidRPr="009334EF">
          <w:rPr>
            <w:webHidden/>
          </w:rPr>
          <w:tab/>
        </w:r>
        <w:r w:rsidRPr="009334EF">
          <w:rPr>
            <w:webHidden/>
          </w:rPr>
          <w:fldChar w:fldCharType="begin"/>
        </w:r>
        <w:r w:rsidRPr="009334EF">
          <w:rPr>
            <w:webHidden/>
          </w:rPr>
          <w:instrText xml:space="preserve"> PAGEREF _Toc236220198 \h </w:instrText>
        </w:r>
        <w:r w:rsidRPr="009334EF">
          <w:rPr>
            <w:webHidden/>
          </w:rPr>
        </w:r>
        <w:r w:rsidRPr="009334EF">
          <w:rPr>
            <w:webHidden/>
          </w:rPr>
          <w:fldChar w:fldCharType="separate"/>
        </w:r>
        <w:r w:rsidR="00464A0C">
          <w:rPr>
            <w:webHidden/>
          </w:rPr>
          <w:t>6-210</w:t>
        </w:r>
        <w:r w:rsidRPr="009334EF">
          <w:rPr>
            <w:webHidden/>
          </w:rPr>
          <w:fldChar w:fldCharType="end"/>
        </w:r>
      </w:hyperlink>
    </w:p>
    <w:p w14:paraId="4E65E26E" w14:textId="52EBC5F6" w:rsidR="009334EF" w:rsidRPr="009334EF" w:rsidRDefault="009334EF">
      <w:pPr>
        <w:pStyle w:val="TOC4"/>
        <w:rPr>
          <w:rFonts w:eastAsiaTheme="minorEastAsia"/>
          <w:kern w:val="2"/>
          <w:lang w:val="en-US"/>
          <w14:ligatures w14:val="standardContextual"/>
        </w:rPr>
      </w:pPr>
      <w:hyperlink w:anchor="_Toc236220199" w:history="1">
        <w:r w:rsidRPr="009334EF">
          <w:rPr>
            <w:rStyle w:val="Hyperlink"/>
            <w:u w:val="none"/>
          </w:rPr>
          <w:t>6.6.5.5</w:t>
        </w:r>
        <w:r w:rsidRPr="009334EF">
          <w:rPr>
            <w:rFonts w:eastAsiaTheme="minorEastAsia"/>
            <w:kern w:val="2"/>
            <w:lang w:val="en-US"/>
            <w14:ligatures w14:val="standardContextual"/>
          </w:rPr>
          <w:tab/>
        </w:r>
        <w:r w:rsidRPr="009334EF">
          <w:rPr>
            <w:rStyle w:val="Hyperlink"/>
            <w:u w:val="none"/>
          </w:rPr>
          <w:t>Energy Storage Resource Set Point Deviation Charge for Over Performance</w:t>
        </w:r>
        <w:r w:rsidRPr="009334EF">
          <w:rPr>
            <w:webHidden/>
          </w:rPr>
          <w:tab/>
        </w:r>
        <w:r w:rsidRPr="009334EF">
          <w:rPr>
            <w:webHidden/>
          </w:rPr>
          <w:fldChar w:fldCharType="begin"/>
        </w:r>
        <w:r w:rsidRPr="009334EF">
          <w:rPr>
            <w:webHidden/>
          </w:rPr>
          <w:instrText xml:space="preserve"> PAGEREF _Toc236220199 \h </w:instrText>
        </w:r>
        <w:r w:rsidRPr="009334EF">
          <w:rPr>
            <w:webHidden/>
          </w:rPr>
        </w:r>
        <w:r w:rsidRPr="009334EF">
          <w:rPr>
            <w:webHidden/>
          </w:rPr>
          <w:fldChar w:fldCharType="separate"/>
        </w:r>
        <w:r w:rsidR="00464A0C">
          <w:rPr>
            <w:webHidden/>
          </w:rPr>
          <w:t>6-212</w:t>
        </w:r>
        <w:r w:rsidRPr="009334EF">
          <w:rPr>
            <w:webHidden/>
          </w:rPr>
          <w:fldChar w:fldCharType="end"/>
        </w:r>
      </w:hyperlink>
    </w:p>
    <w:p w14:paraId="35AC8575" w14:textId="0611B606" w:rsidR="009334EF" w:rsidRPr="009334EF" w:rsidRDefault="009334EF">
      <w:pPr>
        <w:pStyle w:val="TOC4"/>
        <w:rPr>
          <w:rFonts w:eastAsiaTheme="minorEastAsia"/>
          <w:kern w:val="2"/>
          <w:lang w:val="en-US"/>
          <w14:ligatures w14:val="standardContextual"/>
        </w:rPr>
      </w:pPr>
      <w:hyperlink w:anchor="_Toc236220200" w:history="1">
        <w:r w:rsidRPr="009334EF">
          <w:rPr>
            <w:rStyle w:val="Hyperlink"/>
            <w:u w:val="none"/>
          </w:rPr>
          <w:t>6.6.5.5.1</w:t>
        </w:r>
        <w:r w:rsidRPr="009334EF">
          <w:rPr>
            <w:rFonts w:eastAsiaTheme="minorEastAsia"/>
            <w:kern w:val="2"/>
            <w:lang w:val="en-US"/>
            <w14:ligatures w14:val="standardContextual"/>
          </w:rPr>
          <w:tab/>
        </w:r>
        <w:r w:rsidRPr="009334EF">
          <w:rPr>
            <w:rStyle w:val="Hyperlink"/>
            <w:u w:val="none"/>
          </w:rPr>
          <w:t>Energy Storage Resource Set Point Deviation Charge for Under Performance</w:t>
        </w:r>
        <w:r w:rsidRPr="009334EF">
          <w:rPr>
            <w:webHidden/>
          </w:rPr>
          <w:tab/>
        </w:r>
        <w:r w:rsidRPr="009334EF">
          <w:rPr>
            <w:webHidden/>
          </w:rPr>
          <w:fldChar w:fldCharType="begin"/>
        </w:r>
        <w:r w:rsidRPr="009334EF">
          <w:rPr>
            <w:webHidden/>
          </w:rPr>
          <w:instrText xml:space="preserve"> PAGEREF _Toc236220200 \h </w:instrText>
        </w:r>
        <w:r w:rsidRPr="009334EF">
          <w:rPr>
            <w:webHidden/>
          </w:rPr>
        </w:r>
        <w:r w:rsidRPr="009334EF">
          <w:rPr>
            <w:webHidden/>
          </w:rPr>
          <w:fldChar w:fldCharType="separate"/>
        </w:r>
        <w:r w:rsidR="00464A0C">
          <w:rPr>
            <w:webHidden/>
          </w:rPr>
          <w:t>6-215</w:t>
        </w:r>
        <w:r w:rsidRPr="009334EF">
          <w:rPr>
            <w:webHidden/>
          </w:rPr>
          <w:fldChar w:fldCharType="end"/>
        </w:r>
      </w:hyperlink>
    </w:p>
    <w:p w14:paraId="368897C5" w14:textId="0FE37DDE" w:rsidR="009334EF" w:rsidRPr="009334EF" w:rsidRDefault="009334EF">
      <w:pPr>
        <w:pStyle w:val="TOC4"/>
        <w:rPr>
          <w:rFonts w:eastAsiaTheme="minorEastAsia"/>
          <w:kern w:val="2"/>
          <w:lang w:val="en-US"/>
          <w14:ligatures w14:val="standardContextual"/>
        </w:rPr>
      </w:pPr>
      <w:hyperlink w:anchor="_Toc236220201" w:history="1">
        <w:r w:rsidRPr="009334EF">
          <w:rPr>
            <w:rStyle w:val="Hyperlink"/>
            <w:u w:val="none"/>
          </w:rPr>
          <w:t>6.6.5.6</w:t>
        </w:r>
        <w:r w:rsidRPr="009334EF">
          <w:rPr>
            <w:rFonts w:eastAsiaTheme="minorEastAsia"/>
            <w:kern w:val="2"/>
            <w:lang w:val="en-US"/>
            <w14:ligatures w14:val="standardContextual"/>
          </w:rPr>
          <w:tab/>
        </w:r>
        <w:r w:rsidRPr="009334EF">
          <w:rPr>
            <w:rStyle w:val="Hyperlink"/>
            <w:u w:val="none"/>
          </w:rPr>
          <w:t>Resources Exempt from Deviation Charges</w:t>
        </w:r>
        <w:r w:rsidRPr="009334EF">
          <w:rPr>
            <w:webHidden/>
          </w:rPr>
          <w:tab/>
        </w:r>
        <w:r w:rsidRPr="009334EF">
          <w:rPr>
            <w:webHidden/>
          </w:rPr>
          <w:fldChar w:fldCharType="begin"/>
        </w:r>
        <w:r w:rsidRPr="009334EF">
          <w:rPr>
            <w:webHidden/>
          </w:rPr>
          <w:instrText xml:space="preserve"> PAGEREF _Toc236220201 \h </w:instrText>
        </w:r>
        <w:r w:rsidRPr="009334EF">
          <w:rPr>
            <w:webHidden/>
          </w:rPr>
        </w:r>
        <w:r w:rsidRPr="009334EF">
          <w:rPr>
            <w:webHidden/>
          </w:rPr>
          <w:fldChar w:fldCharType="separate"/>
        </w:r>
        <w:r w:rsidR="00464A0C">
          <w:rPr>
            <w:webHidden/>
          </w:rPr>
          <w:t>6-217</w:t>
        </w:r>
        <w:r w:rsidRPr="009334EF">
          <w:rPr>
            <w:webHidden/>
          </w:rPr>
          <w:fldChar w:fldCharType="end"/>
        </w:r>
      </w:hyperlink>
    </w:p>
    <w:p w14:paraId="3133383C" w14:textId="6BBBC9C7" w:rsidR="009334EF" w:rsidRPr="009334EF" w:rsidRDefault="009334EF">
      <w:pPr>
        <w:pStyle w:val="TOC4"/>
        <w:rPr>
          <w:rFonts w:eastAsiaTheme="minorEastAsia"/>
          <w:kern w:val="2"/>
          <w:lang w:val="en-US"/>
          <w14:ligatures w14:val="standardContextual"/>
        </w:rPr>
      </w:pPr>
      <w:hyperlink w:anchor="_Toc236220202" w:history="1">
        <w:r w:rsidRPr="009334EF">
          <w:rPr>
            <w:rStyle w:val="Hyperlink"/>
            <w:snapToGrid w:val="0"/>
            <w:u w:val="none"/>
          </w:rPr>
          <w:t>6.6.5.7</w:t>
        </w:r>
        <w:r w:rsidRPr="009334EF">
          <w:rPr>
            <w:rFonts w:eastAsiaTheme="minorEastAsia"/>
            <w:kern w:val="2"/>
            <w:lang w:val="en-US"/>
            <w14:ligatures w14:val="standardContextual"/>
          </w:rPr>
          <w:tab/>
        </w:r>
        <w:r w:rsidRPr="009334EF">
          <w:rPr>
            <w:rStyle w:val="Hyperlink"/>
            <w:snapToGrid w:val="0"/>
            <w:u w:val="none"/>
          </w:rPr>
          <w:t>Set Point Deviation Payment</w:t>
        </w:r>
        <w:r w:rsidRPr="009334EF">
          <w:rPr>
            <w:webHidden/>
          </w:rPr>
          <w:tab/>
        </w:r>
        <w:r w:rsidRPr="009334EF">
          <w:rPr>
            <w:webHidden/>
          </w:rPr>
          <w:fldChar w:fldCharType="begin"/>
        </w:r>
        <w:r w:rsidRPr="009334EF">
          <w:rPr>
            <w:webHidden/>
          </w:rPr>
          <w:instrText xml:space="preserve"> PAGEREF _Toc236220202 \h </w:instrText>
        </w:r>
        <w:r w:rsidRPr="009334EF">
          <w:rPr>
            <w:webHidden/>
          </w:rPr>
        </w:r>
        <w:r w:rsidRPr="009334EF">
          <w:rPr>
            <w:webHidden/>
          </w:rPr>
          <w:fldChar w:fldCharType="separate"/>
        </w:r>
        <w:r w:rsidR="00464A0C">
          <w:rPr>
            <w:webHidden/>
          </w:rPr>
          <w:t>6-218</w:t>
        </w:r>
        <w:r w:rsidRPr="009334EF">
          <w:rPr>
            <w:webHidden/>
          </w:rPr>
          <w:fldChar w:fldCharType="end"/>
        </w:r>
      </w:hyperlink>
    </w:p>
    <w:p w14:paraId="15011D35" w14:textId="4DEA3B6A" w:rsidR="009334EF" w:rsidRPr="009334EF" w:rsidRDefault="009334EF">
      <w:pPr>
        <w:pStyle w:val="TOC3"/>
        <w:rPr>
          <w:rFonts w:eastAsiaTheme="minorEastAsia"/>
          <w:i w:val="0"/>
          <w:iCs w:val="0"/>
          <w:kern w:val="2"/>
          <w14:ligatures w14:val="standardContextual"/>
        </w:rPr>
      </w:pPr>
      <w:hyperlink w:anchor="_Toc236220203" w:history="1">
        <w:r w:rsidRPr="009334EF">
          <w:rPr>
            <w:rStyle w:val="Hyperlink"/>
            <w:i w:val="0"/>
            <w:iCs w:val="0"/>
            <w:u w:val="none"/>
          </w:rPr>
          <w:t>6.6.6</w:t>
        </w:r>
        <w:r w:rsidRPr="009334EF">
          <w:rPr>
            <w:rFonts w:eastAsiaTheme="minorEastAsia"/>
            <w:i w:val="0"/>
            <w:iCs w:val="0"/>
            <w:kern w:val="2"/>
            <w14:ligatures w14:val="standardContextual"/>
          </w:rPr>
          <w:tab/>
        </w:r>
        <w:r w:rsidRPr="009334EF">
          <w:rPr>
            <w:rStyle w:val="Hyperlink"/>
            <w:i w:val="0"/>
            <w:iCs w:val="0"/>
            <w:u w:val="none"/>
          </w:rPr>
          <w:t>Reliability Must-Run Settlement</w:t>
        </w:r>
        <w:r w:rsidRPr="009334EF">
          <w:rPr>
            <w:i w:val="0"/>
            <w:iCs w:val="0"/>
            <w:webHidden/>
          </w:rPr>
          <w:tab/>
        </w:r>
        <w:r w:rsidRPr="009334EF">
          <w:rPr>
            <w:i w:val="0"/>
            <w:iCs w:val="0"/>
            <w:webHidden/>
          </w:rPr>
          <w:fldChar w:fldCharType="begin"/>
        </w:r>
        <w:r w:rsidRPr="009334EF">
          <w:rPr>
            <w:i w:val="0"/>
            <w:iCs w:val="0"/>
            <w:webHidden/>
          </w:rPr>
          <w:instrText xml:space="preserve"> PAGEREF _Toc236220203 \h </w:instrText>
        </w:r>
        <w:r w:rsidRPr="009334EF">
          <w:rPr>
            <w:i w:val="0"/>
            <w:iCs w:val="0"/>
            <w:webHidden/>
          </w:rPr>
        </w:r>
        <w:r w:rsidRPr="009334EF">
          <w:rPr>
            <w:i w:val="0"/>
            <w:iCs w:val="0"/>
            <w:webHidden/>
          </w:rPr>
          <w:fldChar w:fldCharType="separate"/>
        </w:r>
        <w:r w:rsidR="00464A0C">
          <w:rPr>
            <w:i w:val="0"/>
            <w:iCs w:val="0"/>
            <w:webHidden/>
          </w:rPr>
          <w:t>6-219</w:t>
        </w:r>
        <w:r w:rsidRPr="009334EF">
          <w:rPr>
            <w:i w:val="0"/>
            <w:iCs w:val="0"/>
            <w:webHidden/>
          </w:rPr>
          <w:fldChar w:fldCharType="end"/>
        </w:r>
      </w:hyperlink>
    </w:p>
    <w:p w14:paraId="66CA31B3" w14:textId="0E6BE54D" w:rsidR="009334EF" w:rsidRPr="009334EF" w:rsidRDefault="009334EF">
      <w:pPr>
        <w:pStyle w:val="TOC3"/>
        <w:rPr>
          <w:rFonts w:eastAsiaTheme="minorEastAsia"/>
          <w:i w:val="0"/>
          <w:iCs w:val="0"/>
          <w:kern w:val="2"/>
          <w14:ligatures w14:val="standardContextual"/>
        </w:rPr>
      </w:pPr>
      <w:hyperlink w:anchor="_Toc236220204" w:history="1">
        <w:r w:rsidRPr="009334EF">
          <w:rPr>
            <w:rStyle w:val="Hyperlink"/>
            <w:i w:val="0"/>
            <w:iCs w:val="0"/>
            <w:u w:val="none"/>
          </w:rPr>
          <w:t>6.6.6</w:t>
        </w:r>
        <w:r w:rsidRPr="009334EF">
          <w:rPr>
            <w:rFonts w:eastAsiaTheme="minorEastAsia"/>
            <w:i w:val="0"/>
            <w:iCs w:val="0"/>
            <w:kern w:val="2"/>
            <w14:ligatures w14:val="standardContextual"/>
          </w:rPr>
          <w:tab/>
        </w:r>
        <w:r w:rsidRPr="009334EF">
          <w:rPr>
            <w:rStyle w:val="Hyperlink"/>
            <w:i w:val="0"/>
            <w:iCs w:val="0"/>
            <w:u w:val="none"/>
          </w:rPr>
          <w:t>Reliability Must-Run and Must-Run Alternative Settlement</w:t>
        </w:r>
        <w:r w:rsidRPr="009334EF">
          <w:rPr>
            <w:i w:val="0"/>
            <w:iCs w:val="0"/>
            <w:webHidden/>
          </w:rPr>
          <w:tab/>
        </w:r>
        <w:r w:rsidRPr="009334EF">
          <w:rPr>
            <w:i w:val="0"/>
            <w:iCs w:val="0"/>
            <w:webHidden/>
          </w:rPr>
          <w:fldChar w:fldCharType="begin"/>
        </w:r>
        <w:r w:rsidRPr="009334EF">
          <w:rPr>
            <w:i w:val="0"/>
            <w:iCs w:val="0"/>
            <w:webHidden/>
          </w:rPr>
          <w:instrText xml:space="preserve"> PAGEREF _Toc236220204 \h </w:instrText>
        </w:r>
        <w:r w:rsidRPr="009334EF">
          <w:rPr>
            <w:i w:val="0"/>
            <w:iCs w:val="0"/>
            <w:webHidden/>
          </w:rPr>
        </w:r>
        <w:r w:rsidRPr="009334EF">
          <w:rPr>
            <w:i w:val="0"/>
            <w:iCs w:val="0"/>
            <w:webHidden/>
          </w:rPr>
          <w:fldChar w:fldCharType="separate"/>
        </w:r>
        <w:r w:rsidR="00464A0C">
          <w:rPr>
            <w:i w:val="0"/>
            <w:iCs w:val="0"/>
            <w:webHidden/>
          </w:rPr>
          <w:t>6-219</w:t>
        </w:r>
        <w:r w:rsidRPr="009334EF">
          <w:rPr>
            <w:i w:val="0"/>
            <w:iCs w:val="0"/>
            <w:webHidden/>
          </w:rPr>
          <w:fldChar w:fldCharType="end"/>
        </w:r>
      </w:hyperlink>
    </w:p>
    <w:p w14:paraId="75E189C0" w14:textId="3E60A52D" w:rsidR="009334EF" w:rsidRPr="009334EF" w:rsidRDefault="009334EF">
      <w:pPr>
        <w:pStyle w:val="TOC4"/>
        <w:rPr>
          <w:rFonts w:eastAsiaTheme="minorEastAsia"/>
          <w:kern w:val="2"/>
          <w:lang w:val="en-US"/>
          <w14:ligatures w14:val="standardContextual"/>
        </w:rPr>
      </w:pPr>
      <w:hyperlink w:anchor="_Toc236220205" w:history="1">
        <w:r w:rsidRPr="009334EF">
          <w:rPr>
            <w:rStyle w:val="Hyperlink"/>
            <w:u w:val="none"/>
          </w:rPr>
          <w:t>6.6.6.1</w:t>
        </w:r>
        <w:r w:rsidRPr="009334EF">
          <w:rPr>
            <w:rFonts w:eastAsiaTheme="minorEastAsia"/>
            <w:kern w:val="2"/>
            <w:lang w:val="en-US"/>
            <w14:ligatures w14:val="standardContextual"/>
          </w:rPr>
          <w:tab/>
        </w:r>
        <w:r w:rsidRPr="009334EF">
          <w:rPr>
            <w:rStyle w:val="Hyperlink"/>
            <w:u w:val="none"/>
          </w:rPr>
          <w:t>RMR Standby Payment</w:t>
        </w:r>
        <w:r w:rsidRPr="009334EF">
          <w:rPr>
            <w:webHidden/>
          </w:rPr>
          <w:tab/>
        </w:r>
        <w:r w:rsidRPr="009334EF">
          <w:rPr>
            <w:webHidden/>
          </w:rPr>
          <w:fldChar w:fldCharType="begin"/>
        </w:r>
        <w:r w:rsidRPr="009334EF">
          <w:rPr>
            <w:webHidden/>
          </w:rPr>
          <w:instrText xml:space="preserve"> PAGEREF _Toc236220205 \h </w:instrText>
        </w:r>
        <w:r w:rsidRPr="009334EF">
          <w:rPr>
            <w:webHidden/>
          </w:rPr>
        </w:r>
        <w:r w:rsidRPr="009334EF">
          <w:rPr>
            <w:webHidden/>
          </w:rPr>
          <w:fldChar w:fldCharType="separate"/>
        </w:r>
        <w:r w:rsidR="00464A0C">
          <w:rPr>
            <w:webHidden/>
          </w:rPr>
          <w:t>6-219</w:t>
        </w:r>
        <w:r w:rsidRPr="009334EF">
          <w:rPr>
            <w:webHidden/>
          </w:rPr>
          <w:fldChar w:fldCharType="end"/>
        </w:r>
      </w:hyperlink>
    </w:p>
    <w:p w14:paraId="686E6FE7" w14:textId="6747CC4D" w:rsidR="009334EF" w:rsidRPr="009334EF" w:rsidRDefault="009334EF">
      <w:pPr>
        <w:pStyle w:val="TOC4"/>
        <w:rPr>
          <w:rFonts w:eastAsiaTheme="minorEastAsia"/>
          <w:kern w:val="2"/>
          <w:lang w:val="en-US"/>
          <w14:ligatures w14:val="standardContextual"/>
        </w:rPr>
      </w:pPr>
      <w:hyperlink w:anchor="_Toc236220206" w:history="1">
        <w:r w:rsidRPr="009334EF">
          <w:rPr>
            <w:rStyle w:val="Hyperlink"/>
            <w:u w:val="none"/>
          </w:rPr>
          <w:t>6.6.6.2</w:t>
        </w:r>
        <w:r w:rsidRPr="009334EF">
          <w:rPr>
            <w:rFonts w:eastAsiaTheme="minorEastAsia"/>
            <w:kern w:val="2"/>
            <w:lang w:val="en-US"/>
            <w14:ligatures w14:val="standardContextual"/>
          </w:rPr>
          <w:tab/>
        </w:r>
        <w:r w:rsidRPr="009334EF">
          <w:rPr>
            <w:rStyle w:val="Hyperlink"/>
            <w:u w:val="none"/>
          </w:rPr>
          <w:t>RMR Payment for Energy</w:t>
        </w:r>
        <w:r w:rsidRPr="009334EF">
          <w:rPr>
            <w:webHidden/>
          </w:rPr>
          <w:tab/>
        </w:r>
        <w:r w:rsidRPr="009334EF">
          <w:rPr>
            <w:webHidden/>
          </w:rPr>
          <w:fldChar w:fldCharType="begin"/>
        </w:r>
        <w:r w:rsidRPr="009334EF">
          <w:rPr>
            <w:webHidden/>
          </w:rPr>
          <w:instrText xml:space="preserve"> PAGEREF _Toc236220206 \h </w:instrText>
        </w:r>
        <w:r w:rsidRPr="009334EF">
          <w:rPr>
            <w:webHidden/>
          </w:rPr>
        </w:r>
        <w:r w:rsidRPr="009334EF">
          <w:rPr>
            <w:webHidden/>
          </w:rPr>
          <w:fldChar w:fldCharType="separate"/>
        </w:r>
        <w:r w:rsidR="00464A0C">
          <w:rPr>
            <w:webHidden/>
          </w:rPr>
          <w:t>6-222</w:t>
        </w:r>
        <w:r w:rsidRPr="009334EF">
          <w:rPr>
            <w:webHidden/>
          </w:rPr>
          <w:fldChar w:fldCharType="end"/>
        </w:r>
      </w:hyperlink>
    </w:p>
    <w:p w14:paraId="6FC7D325" w14:textId="7D043F90" w:rsidR="009334EF" w:rsidRPr="009334EF" w:rsidRDefault="009334EF">
      <w:pPr>
        <w:pStyle w:val="TOC4"/>
        <w:rPr>
          <w:rFonts w:eastAsiaTheme="minorEastAsia"/>
          <w:kern w:val="2"/>
          <w:lang w:val="en-US"/>
          <w14:ligatures w14:val="standardContextual"/>
        </w:rPr>
      </w:pPr>
      <w:hyperlink w:anchor="_Toc236220207" w:history="1">
        <w:r w:rsidRPr="009334EF">
          <w:rPr>
            <w:rStyle w:val="Hyperlink"/>
            <w:u w:val="none"/>
          </w:rPr>
          <w:t>6.6.6.3</w:t>
        </w:r>
        <w:r w:rsidRPr="009334EF">
          <w:rPr>
            <w:rFonts w:eastAsiaTheme="minorEastAsia"/>
            <w:kern w:val="2"/>
            <w:lang w:val="en-US"/>
            <w14:ligatures w14:val="standardContextual"/>
          </w:rPr>
          <w:tab/>
        </w:r>
        <w:r w:rsidRPr="009334EF">
          <w:rPr>
            <w:rStyle w:val="Hyperlink"/>
            <w:u w:val="none"/>
          </w:rPr>
          <w:t>RMR Adjustment Charge</w:t>
        </w:r>
        <w:r w:rsidRPr="009334EF">
          <w:rPr>
            <w:webHidden/>
          </w:rPr>
          <w:tab/>
        </w:r>
        <w:r w:rsidRPr="009334EF">
          <w:rPr>
            <w:webHidden/>
          </w:rPr>
          <w:fldChar w:fldCharType="begin"/>
        </w:r>
        <w:r w:rsidRPr="009334EF">
          <w:rPr>
            <w:webHidden/>
          </w:rPr>
          <w:instrText xml:space="preserve"> PAGEREF _Toc236220207 \h </w:instrText>
        </w:r>
        <w:r w:rsidRPr="009334EF">
          <w:rPr>
            <w:webHidden/>
          </w:rPr>
        </w:r>
        <w:r w:rsidRPr="009334EF">
          <w:rPr>
            <w:webHidden/>
          </w:rPr>
          <w:fldChar w:fldCharType="separate"/>
        </w:r>
        <w:r w:rsidR="00464A0C">
          <w:rPr>
            <w:webHidden/>
          </w:rPr>
          <w:t>6-225</w:t>
        </w:r>
        <w:r w:rsidRPr="009334EF">
          <w:rPr>
            <w:webHidden/>
          </w:rPr>
          <w:fldChar w:fldCharType="end"/>
        </w:r>
      </w:hyperlink>
    </w:p>
    <w:p w14:paraId="5FFC37AA" w14:textId="1170335E" w:rsidR="009334EF" w:rsidRPr="009334EF" w:rsidRDefault="009334EF">
      <w:pPr>
        <w:pStyle w:val="TOC4"/>
        <w:rPr>
          <w:rFonts w:eastAsiaTheme="minorEastAsia"/>
          <w:kern w:val="2"/>
          <w:lang w:val="en-US"/>
          <w14:ligatures w14:val="standardContextual"/>
        </w:rPr>
      </w:pPr>
      <w:hyperlink w:anchor="_Toc236220208" w:history="1">
        <w:r w:rsidRPr="009334EF">
          <w:rPr>
            <w:rStyle w:val="Hyperlink"/>
            <w:u w:val="none"/>
          </w:rPr>
          <w:t>6.6.6.4</w:t>
        </w:r>
        <w:r w:rsidRPr="009334EF">
          <w:rPr>
            <w:rFonts w:eastAsiaTheme="minorEastAsia"/>
            <w:kern w:val="2"/>
            <w:lang w:val="en-US"/>
            <w14:ligatures w14:val="standardContextual"/>
          </w:rPr>
          <w:tab/>
        </w:r>
        <w:r w:rsidRPr="009334EF">
          <w:rPr>
            <w:rStyle w:val="Hyperlink"/>
            <w:u w:val="none"/>
          </w:rPr>
          <w:t>RMR Charge for Unexcused Misconduct</w:t>
        </w:r>
        <w:r w:rsidRPr="009334EF">
          <w:rPr>
            <w:webHidden/>
          </w:rPr>
          <w:tab/>
        </w:r>
        <w:r w:rsidRPr="009334EF">
          <w:rPr>
            <w:webHidden/>
          </w:rPr>
          <w:fldChar w:fldCharType="begin"/>
        </w:r>
        <w:r w:rsidRPr="009334EF">
          <w:rPr>
            <w:webHidden/>
          </w:rPr>
          <w:instrText xml:space="preserve"> PAGEREF _Toc236220208 \h </w:instrText>
        </w:r>
        <w:r w:rsidRPr="009334EF">
          <w:rPr>
            <w:webHidden/>
          </w:rPr>
        </w:r>
        <w:r w:rsidRPr="009334EF">
          <w:rPr>
            <w:webHidden/>
          </w:rPr>
          <w:fldChar w:fldCharType="separate"/>
        </w:r>
        <w:r w:rsidR="00464A0C">
          <w:rPr>
            <w:webHidden/>
          </w:rPr>
          <w:t>6-226</w:t>
        </w:r>
        <w:r w:rsidRPr="009334EF">
          <w:rPr>
            <w:webHidden/>
          </w:rPr>
          <w:fldChar w:fldCharType="end"/>
        </w:r>
      </w:hyperlink>
    </w:p>
    <w:p w14:paraId="69F04D19" w14:textId="182FCC51" w:rsidR="009334EF" w:rsidRPr="009334EF" w:rsidRDefault="009334EF">
      <w:pPr>
        <w:pStyle w:val="TOC4"/>
        <w:rPr>
          <w:rFonts w:eastAsiaTheme="minorEastAsia"/>
          <w:kern w:val="2"/>
          <w:lang w:val="en-US"/>
          <w14:ligatures w14:val="standardContextual"/>
        </w:rPr>
      </w:pPr>
      <w:hyperlink w:anchor="_Toc236220209" w:history="1">
        <w:r w:rsidRPr="009334EF">
          <w:rPr>
            <w:rStyle w:val="Hyperlink"/>
            <w:u w:val="none"/>
          </w:rPr>
          <w:t>6.6.6.5</w:t>
        </w:r>
        <w:r w:rsidRPr="009334EF">
          <w:rPr>
            <w:rFonts w:eastAsiaTheme="minorEastAsia"/>
            <w:kern w:val="2"/>
            <w:lang w:val="en-US"/>
            <w14:ligatures w14:val="standardContextual"/>
          </w:rPr>
          <w:tab/>
        </w:r>
        <w:r w:rsidRPr="009334EF">
          <w:rPr>
            <w:rStyle w:val="Hyperlink"/>
            <w:u w:val="none"/>
          </w:rPr>
          <w:t>RMR Service Charge</w:t>
        </w:r>
        <w:r w:rsidRPr="009334EF">
          <w:rPr>
            <w:webHidden/>
          </w:rPr>
          <w:tab/>
        </w:r>
        <w:r w:rsidRPr="009334EF">
          <w:rPr>
            <w:webHidden/>
          </w:rPr>
          <w:fldChar w:fldCharType="begin"/>
        </w:r>
        <w:r w:rsidRPr="009334EF">
          <w:rPr>
            <w:webHidden/>
          </w:rPr>
          <w:instrText xml:space="preserve"> PAGEREF _Toc236220209 \h </w:instrText>
        </w:r>
        <w:r w:rsidRPr="009334EF">
          <w:rPr>
            <w:webHidden/>
          </w:rPr>
        </w:r>
        <w:r w:rsidRPr="009334EF">
          <w:rPr>
            <w:webHidden/>
          </w:rPr>
          <w:fldChar w:fldCharType="separate"/>
        </w:r>
        <w:r w:rsidR="00464A0C">
          <w:rPr>
            <w:webHidden/>
          </w:rPr>
          <w:t>6-227</w:t>
        </w:r>
        <w:r w:rsidRPr="009334EF">
          <w:rPr>
            <w:webHidden/>
          </w:rPr>
          <w:fldChar w:fldCharType="end"/>
        </w:r>
      </w:hyperlink>
    </w:p>
    <w:p w14:paraId="42CA97D7" w14:textId="3E919AA1" w:rsidR="009334EF" w:rsidRPr="009334EF" w:rsidRDefault="009334EF">
      <w:pPr>
        <w:pStyle w:val="TOC4"/>
        <w:rPr>
          <w:rFonts w:eastAsiaTheme="minorEastAsia"/>
          <w:kern w:val="2"/>
          <w:lang w:val="en-US"/>
          <w14:ligatures w14:val="standardContextual"/>
        </w:rPr>
      </w:pPr>
      <w:hyperlink w:anchor="_Toc236220210" w:history="1">
        <w:r w:rsidRPr="009334EF">
          <w:rPr>
            <w:rStyle w:val="Hyperlink"/>
            <w:u w:val="none"/>
          </w:rPr>
          <w:t>6.6.6.6</w:t>
        </w:r>
        <w:r w:rsidRPr="009334EF">
          <w:rPr>
            <w:rFonts w:eastAsiaTheme="minorEastAsia"/>
            <w:kern w:val="2"/>
            <w:lang w:val="en-US"/>
            <w14:ligatures w14:val="standardContextual"/>
          </w:rPr>
          <w:tab/>
        </w:r>
        <w:r w:rsidRPr="009334EF">
          <w:rPr>
            <w:rStyle w:val="Hyperlink"/>
            <w:u w:val="none"/>
          </w:rPr>
          <w:t>Method for Reconciling RMR Actual Eligible Costs, RMR and MRA Contributed Capital Expenditures, and Miscellaneous RMR Incurred Expenses</w:t>
        </w:r>
        <w:r w:rsidRPr="009334EF">
          <w:rPr>
            <w:webHidden/>
          </w:rPr>
          <w:tab/>
        </w:r>
        <w:r w:rsidRPr="009334EF">
          <w:rPr>
            <w:webHidden/>
          </w:rPr>
          <w:fldChar w:fldCharType="begin"/>
        </w:r>
        <w:r w:rsidRPr="009334EF">
          <w:rPr>
            <w:webHidden/>
          </w:rPr>
          <w:instrText xml:space="preserve"> PAGEREF _Toc236220210 \h </w:instrText>
        </w:r>
        <w:r w:rsidRPr="009334EF">
          <w:rPr>
            <w:webHidden/>
          </w:rPr>
        </w:r>
        <w:r w:rsidRPr="009334EF">
          <w:rPr>
            <w:webHidden/>
          </w:rPr>
          <w:fldChar w:fldCharType="separate"/>
        </w:r>
        <w:r w:rsidR="00464A0C">
          <w:rPr>
            <w:webHidden/>
          </w:rPr>
          <w:t>6-228</w:t>
        </w:r>
        <w:r w:rsidRPr="009334EF">
          <w:rPr>
            <w:webHidden/>
          </w:rPr>
          <w:fldChar w:fldCharType="end"/>
        </w:r>
      </w:hyperlink>
    </w:p>
    <w:p w14:paraId="712FF230" w14:textId="768CC233" w:rsidR="009334EF" w:rsidRPr="009334EF" w:rsidRDefault="009334EF">
      <w:pPr>
        <w:pStyle w:val="TOC4"/>
        <w:rPr>
          <w:rFonts w:eastAsiaTheme="minorEastAsia"/>
          <w:kern w:val="2"/>
          <w:lang w:val="en-US"/>
          <w14:ligatures w14:val="standardContextual"/>
        </w:rPr>
      </w:pPr>
      <w:hyperlink w:anchor="_Toc236220211" w:history="1">
        <w:r w:rsidRPr="009334EF">
          <w:rPr>
            <w:rStyle w:val="Hyperlink"/>
            <w:snapToGrid w:val="0"/>
            <w:u w:val="none"/>
          </w:rPr>
          <w:t>6.6.6.7</w:t>
        </w:r>
        <w:r w:rsidRPr="009334EF">
          <w:rPr>
            <w:rFonts w:eastAsiaTheme="minorEastAsia"/>
            <w:kern w:val="2"/>
            <w:lang w:val="en-US"/>
            <w14:ligatures w14:val="standardContextual"/>
          </w:rPr>
          <w:tab/>
        </w:r>
        <w:r w:rsidRPr="009334EF">
          <w:rPr>
            <w:rStyle w:val="Hyperlink"/>
            <w:snapToGrid w:val="0"/>
            <w:u w:val="none"/>
          </w:rPr>
          <w:t>MRA Standby Payment</w:t>
        </w:r>
        <w:r w:rsidRPr="009334EF">
          <w:rPr>
            <w:webHidden/>
          </w:rPr>
          <w:tab/>
        </w:r>
        <w:r w:rsidRPr="009334EF">
          <w:rPr>
            <w:webHidden/>
          </w:rPr>
          <w:fldChar w:fldCharType="begin"/>
        </w:r>
        <w:r w:rsidRPr="009334EF">
          <w:rPr>
            <w:webHidden/>
          </w:rPr>
          <w:instrText xml:space="preserve"> PAGEREF _Toc236220211 \h </w:instrText>
        </w:r>
        <w:r w:rsidRPr="009334EF">
          <w:rPr>
            <w:webHidden/>
          </w:rPr>
        </w:r>
        <w:r w:rsidRPr="009334EF">
          <w:rPr>
            <w:webHidden/>
          </w:rPr>
          <w:fldChar w:fldCharType="separate"/>
        </w:r>
        <w:r w:rsidR="00464A0C">
          <w:rPr>
            <w:webHidden/>
          </w:rPr>
          <w:t>6-232</w:t>
        </w:r>
        <w:r w:rsidRPr="009334EF">
          <w:rPr>
            <w:webHidden/>
          </w:rPr>
          <w:fldChar w:fldCharType="end"/>
        </w:r>
      </w:hyperlink>
    </w:p>
    <w:p w14:paraId="576B0888" w14:textId="4EED2636" w:rsidR="009334EF" w:rsidRPr="009334EF" w:rsidRDefault="009334EF">
      <w:pPr>
        <w:pStyle w:val="TOC4"/>
        <w:rPr>
          <w:rFonts w:eastAsiaTheme="minorEastAsia"/>
          <w:kern w:val="2"/>
          <w:lang w:val="en-US"/>
          <w14:ligatures w14:val="standardContextual"/>
        </w:rPr>
      </w:pPr>
      <w:hyperlink w:anchor="_Toc236220212" w:history="1">
        <w:r w:rsidRPr="009334EF">
          <w:rPr>
            <w:rStyle w:val="Hyperlink"/>
            <w:snapToGrid w:val="0"/>
            <w:u w:val="none"/>
          </w:rPr>
          <w:t>6.6.6.8</w:t>
        </w:r>
        <w:r w:rsidRPr="009334EF">
          <w:rPr>
            <w:rFonts w:eastAsiaTheme="minorEastAsia"/>
            <w:kern w:val="2"/>
            <w:lang w:val="en-US"/>
            <w14:ligatures w14:val="standardContextual"/>
          </w:rPr>
          <w:tab/>
        </w:r>
        <w:r w:rsidRPr="009334EF">
          <w:rPr>
            <w:rStyle w:val="Hyperlink"/>
            <w:snapToGrid w:val="0"/>
            <w:u w:val="none"/>
          </w:rPr>
          <w:t>MRA Contributed Capital Expenditures Payment</w:t>
        </w:r>
        <w:r w:rsidRPr="009334EF">
          <w:rPr>
            <w:webHidden/>
          </w:rPr>
          <w:tab/>
        </w:r>
        <w:r w:rsidRPr="009334EF">
          <w:rPr>
            <w:webHidden/>
          </w:rPr>
          <w:fldChar w:fldCharType="begin"/>
        </w:r>
        <w:r w:rsidRPr="009334EF">
          <w:rPr>
            <w:webHidden/>
          </w:rPr>
          <w:instrText xml:space="preserve"> PAGEREF _Toc236220212 \h </w:instrText>
        </w:r>
        <w:r w:rsidRPr="009334EF">
          <w:rPr>
            <w:webHidden/>
          </w:rPr>
        </w:r>
        <w:r w:rsidRPr="009334EF">
          <w:rPr>
            <w:webHidden/>
          </w:rPr>
          <w:fldChar w:fldCharType="separate"/>
        </w:r>
        <w:r w:rsidR="00464A0C">
          <w:rPr>
            <w:webHidden/>
          </w:rPr>
          <w:t>6-236</w:t>
        </w:r>
        <w:r w:rsidRPr="009334EF">
          <w:rPr>
            <w:webHidden/>
          </w:rPr>
          <w:fldChar w:fldCharType="end"/>
        </w:r>
      </w:hyperlink>
    </w:p>
    <w:p w14:paraId="4033353A" w14:textId="4AC18760" w:rsidR="009334EF" w:rsidRPr="009334EF" w:rsidRDefault="009334EF">
      <w:pPr>
        <w:pStyle w:val="TOC4"/>
        <w:rPr>
          <w:rFonts w:eastAsiaTheme="minorEastAsia"/>
          <w:kern w:val="2"/>
          <w:lang w:val="en-US"/>
          <w14:ligatures w14:val="standardContextual"/>
        </w:rPr>
      </w:pPr>
      <w:hyperlink w:anchor="_Toc236220213" w:history="1">
        <w:r w:rsidRPr="009334EF">
          <w:rPr>
            <w:rStyle w:val="Hyperlink"/>
            <w:snapToGrid w:val="0"/>
            <w:u w:val="none"/>
          </w:rPr>
          <w:t>6.6.6.9</w:t>
        </w:r>
        <w:r w:rsidRPr="009334EF">
          <w:rPr>
            <w:rFonts w:eastAsiaTheme="minorEastAsia"/>
            <w:kern w:val="2"/>
            <w:lang w:val="en-US"/>
            <w14:ligatures w14:val="standardContextual"/>
          </w:rPr>
          <w:tab/>
        </w:r>
        <w:r w:rsidRPr="009334EF">
          <w:rPr>
            <w:rStyle w:val="Hyperlink"/>
            <w:snapToGrid w:val="0"/>
            <w:u w:val="none"/>
          </w:rPr>
          <w:t>MRA Payment for Deployment Event</w:t>
        </w:r>
        <w:r w:rsidRPr="009334EF">
          <w:rPr>
            <w:webHidden/>
          </w:rPr>
          <w:tab/>
        </w:r>
        <w:r w:rsidRPr="009334EF">
          <w:rPr>
            <w:webHidden/>
          </w:rPr>
          <w:fldChar w:fldCharType="begin"/>
        </w:r>
        <w:r w:rsidRPr="009334EF">
          <w:rPr>
            <w:webHidden/>
          </w:rPr>
          <w:instrText xml:space="preserve"> PAGEREF _Toc236220213 \h </w:instrText>
        </w:r>
        <w:r w:rsidRPr="009334EF">
          <w:rPr>
            <w:webHidden/>
          </w:rPr>
        </w:r>
        <w:r w:rsidRPr="009334EF">
          <w:rPr>
            <w:webHidden/>
          </w:rPr>
          <w:fldChar w:fldCharType="separate"/>
        </w:r>
        <w:r w:rsidR="00464A0C">
          <w:rPr>
            <w:webHidden/>
          </w:rPr>
          <w:t>6-237</w:t>
        </w:r>
        <w:r w:rsidRPr="009334EF">
          <w:rPr>
            <w:webHidden/>
          </w:rPr>
          <w:fldChar w:fldCharType="end"/>
        </w:r>
      </w:hyperlink>
    </w:p>
    <w:p w14:paraId="078DDA86" w14:textId="087AD49C" w:rsidR="009334EF" w:rsidRPr="009334EF" w:rsidRDefault="009334EF">
      <w:pPr>
        <w:pStyle w:val="TOC4"/>
        <w:rPr>
          <w:rFonts w:eastAsiaTheme="minorEastAsia"/>
          <w:kern w:val="2"/>
          <w:lang w:val="en-US"/>
          <w14:ligatures w14:val="standardContextual"/>
        </w:rPr>
      </w:pPr>
      <w:hyperlink w:anchor="_Toc236220214" w:history="1">
        <w:r w:rsidRPr="009334EF">
          <w:rPr>
            <w:rStyle w:val="Hyperlink"/>
            <w:snapToGrid w:val="0"/>
            <w:u w:val="none"/>
          </w:rPr>
          <w:t>6.6.6.10</w:t>
        </w:r>
        <w:r w:rsidRPr="009334EF">
          <w:rPr>
            <w:rFonts w:eastAsiaTheme="minorEastAsia"/>
            <w:kern w:val="2"/>
            <w:lang w:val="en-US"/>
            <w14:ligatures w14:val="standardContextual"/>
          </w:rPr>
          <w:tab/>
        </w:r>
        <w:r w:rsidRPr="009334EF">
          <w:rPr>
            <w:rStyle w:val="Hyperlink"/>
            <w:snapToGrid w:val="0"/>
            <w:u w:val="none"/>
          </w:rPr>
          <w:t>MRA Variable Payment for Deployment</w:t>
        </w:r>
        <w:r w:rsidRPr="009334EF">
          <w:rPr>
            <w:webHidden/>
          </w:rPr>
          <w:tab/>
        </w:r>
        <w:r w:rsidRPr="009334EF">
          <w:rPr>
            <w:webHidden/>
          </w:rPr>
          <w:fldChar w:fldCharType="begin"/>
        </w:r>
        <w:r w:rsidRPr="009334EF">
          <w:rPr>
            <w:webHidden/>
          </w:rPr>
          <w:instrText xml:space="preserve"> PAGEREF _Toc236220214 \h </w:instrText>
        </w:r>
        <w:r w:rsidRPr="009334EF">
          <w:rPr>
            <w:webHidden/>
          </w:rPr>
        </w:r>
        <w:r w:rsidRPr="009334EF">
          <w:rPr>
            <w:webHidden/>
          </w:rPr>
          <w:fldChar w:fldCharType="separate"/>
        </w:r>
        <w:r w:rsidR="00464A0C">
          <w:rPr>
            <w:webHidden/>
          </w:rPr>
          <w:t>6-239</w:t>
        </w:r>
        <w:r w:rsidRPr="009334EF">
          <w:rPr>
            <w:webHidden/>
          </w:rPr>
          <w:fldChar w:fldCharType="end"/>
        </w:r>
      </w:hyperlink>
    </w:p>
    <w:p w14:paraId="68050219" w14:textId="0FA7A054" w:rsidR="009334EF" w:rsidRPr="009334EF" w:rsidRDefault="009334EF">
      <w:pPr>
        <w:pStyle w:val="TOC4"/>
        <w:rPr>
          <w:rFonts w:eastAsiaTheme="minorEastAsia"/>
          <w:kern w:val="2"/>
          <w:lang w:val="en-US"/>
          <w14:ligatures w14:val="standardContextual"/>
        </w:rPr>
      </w:pPr>
      <w:hyperlink w:anchor="_Toc236220215" w:history="1">
        <w:r w:rsidRPr="009334EF">
          <w:rPr>
            <w:rStyle w:val="Hyperlink"/>
            <w:snapToGrid w:val="0"/>
            <w:u w:val="none"/>
          </w:rPr>
          <w:t>6.6.6.11</w:t>
        </w:r>
        <w:r w:rsidRPr="009334EF">
          <w:rPr>
            <w:rFonts w:eastAsiaTheme="minorEastAsia"/>
            <w:kern w:val="2"/>
            <w:lang w:val="en-US"/>
            <w14:ligatures w14:val="standardContextual"/>
          </w:rPr>
          <w:tab/>
        </w:r>
        <w:r w:rsidRPr="009334EF">
          <w:rPr>
            <w:rStyle w:val="Hyperlink"/>
            <w:snapToGrid w:val="0"/>
            <w:u w:val="none"/>
          </w:rPr>
          <w:t>MRA Charge for Unexcused Misconduct</w:t>
        </w:r>
        <w:r w:rsidRPr="009334EF">
          <w:rPr>
            <w:webHidden/>
          </w:rPr>
          <w:tab/>
        </w:r>
        <w:r w:rsidRPr="009334EF">
          <w:rPr>
            <w:webHidden/>
          </w:rPr>
          <w:fldChar w:fldCharType="begin"/>
        </w:r>
        <w:r w:rsidRPr="009334EF">
          <w:rPr>
            <w:webHidden/>
          </w:rPr>
          <w:instrText xml:space="preserve"> PAGEREF _Toc236220215 \h </w:instrText>
        </w:r>
        <w:r w:rsidRPr="009334EF">
          <w:rPr>
            <w:webHidden/>
          </w:rPr>
        </w:r>
        <w:r w:rsidRPr="009334EF">
          <w:rPr>
            <w:webHidden/>
          </w:rPr>
          <w:fldChar w:fldCharType="separate"/>
        </w:r>
        <w:r w:rsidR="00464A0C">
          <w:rPr>
            <w:webHidden/>
          </w:rPr>
          <w:t>6-244</w:t>
        </w:r>
        <w:r w:rsidRPr="009334EF">
          <w:rPr>
            <w:webHidden/>
          </w:rPr>
          <w:fldChar w:fldCharType="end"/>
        </w:r>
      </w:hyperlink>
    </w:p>
    <w:p w14:paraId="232E547F" w14:textId="01B019EA" w:rsidR="009334EF" w:rsidRPr="009334EF" w:rsidRDefault="009334EF">
      <w:pPr>
        <w:pStyle w:val="TOC4"/>
        <w:rPr>
          <w:rFonts w:eastAsiaTheme="minorEastAsia"/>
          <w:kern w:val="2"/>
          <w:lang w:val="en-US"/>
          <w14:ligatures w14:val="standardContextual"/>
        </w:rPr>
      </w:pPr>
      <w:hyperlink w:anchor="_Toc236220216" w:history="1">
        <w:r w:rsidRPr="009334EF">
          <w:rPr>
            <w:rStyle w:val="Hyperlink"/>
            <w:snapToGrid w:val="0"/>
            <w:u w:val="none"/>
          </w:rPr>
          <w:t>6.6.6.12</w:t>
        </w:r>
        <w:r w:rsidRPr="009334EF">
          <w:rPr>
            <w:rFonts w:eastAsiaTheme="minorEastAsia"/>
            <w:kern w:val="2"/>
            <w:lang w:val="en-US"/>
            <w14:ligatures w14:val="standardContextual"/>
          </w:rPr>
          <w:tab/>
        </w:r>
        <w:r w:rsidRPr="009334EF">
          <w:rPr>
            <w:rStyle w:val="Hyperlink"/>
            <w:snapToGrid w:val="0"/>
            <w:u w:val="none"/>
          </w:rPr>
          <w:t>MRA Service Charge</w:t>
        </w:r>
        <w:r w:rsidRPr="009334EF">
          <w:rPr>
            <w:webHidden/>
          </w:rPr>
          <w:tab/>
        </w:r>
        <w:r w:rsidRPr="009334EF">
          <w:rPr>
            <w:webHidden/>
          </w:rPr>
          <w:fldChar w:fldCharType="begin"/>
        </w:r>
        <w:r w:rsidRPr="009334EF">
          <w:rPr>
            <w:webHidden/>
          </w:rPr>
          <w:instrText xml:space="preserve"> PAGEREF _Toc236220216 \h </w:instrText>
        </w:r>
        <w:r w:rsidRPr="009334EF">
          <w:rPr>
            <w:webHidden/>
          </w:rPr>
        </w:r>
        <w:r w:rsidRPr="009334EF">
          <w:rPr>
            <w:webHidden/>
          </w:rPr>
          <w:fldChar w:fldCharType="separate"/>
        </w:r>
        <w:r w:rsidR="00464A0C">
          <w:rPr>
            <w:webHidden/>
          </w:rPr>
          <w:t>6-245</w:t>
        </w:r>
        <w:r w:rsidRPr="009334EF">
          <w:rPr>
            <w:webHidden/>
          </w:rPr>
          <w:fldChar w:fldCharType="end"/>
        </w:r>
      </w:hyperlink>
    </w:p>
    <w:p w14:paraId="436C56B1" w14:textId="319C90ED" w:rsidR="009334EF" w:rsidRPr="009334EF" w:rsidRDefault="009334EF">
      <w:pPr>
        <w:pStyle w:val="TOC3"/>
        <w:rPr>
          <w:rFonts w:eastAsiaTheme="minorEastAsia"/>
          <w:i w:val="0"/>
          <w:iCs w:val="0"/>
          <w:kern w:val="2"/>
          <w14:ligatures w14:val="standardContextual"/>
        </w:rPr>
      </w:pPr>
      <w:hyperlink w:anchor="_Toc236220217" w:history="1">
        <w:r w:rsidRPr="009334EF">
          <w:rPr>
            <w:rStyle w:val="Hyperlink"/>
            <w:i w:val="0"/>
            <w:iCs w:val="0"/>
            <w:u w:val="none"/>
          </w:rPr>
          <w:t>6.6.7</w:t>
        </w:r>
        <w:r w:rsidRPr="009334EF">
          <w:rPr>
            <w:rFonts w:eastAsiaTheme="minorEastAsia"/>
            <w:i w:val="0"/>
            <w:iCs w:val="0"/>
            <w:kern w:val="2"/>
            <w14:ligatures w14:val="standardContextual"/>
          </w:rPr>
          <w:tab/>
        </w:r>
        <w:r w:rsidRPr="009334EF">
          <w:rPr>
            <w:rStyle w:val="Hyperlink"/>
            <w:i w:val="0"/>
            <w:iCs w:val="0"/>
            <w:u w:val="none"/>
          </w:rPr>
          <w:t>Voltage Support Settlement</w:t>
        </w:r>
        <w:r w:rsidRPr="009334EF">
          <w:rPr>
            <w:i w:val="0"/>
            <w:iCs w:val="0"/>
            <w:webHidden/>
          </w:rPr>
          <w:tab/>
        </w:r>
        <w:r w:rsidRPr="009334EF">
          <w:rPr>
            <w:i w:val="0"/>
            <w:iCs w:val="0"/>
            <w:webHidden/>
          </w:rPr>
          <w:fldChar w:fldCharType="begin"/>
        </w:r>
        <w:r w:rsidRPr="009334EF">
          <w:rPr>
            <w:i w:val="0"/>
            <w:iCs w:val="0"/>
            <w:webHidden/>
          </w:rPr>
          <w:instrText xml:space="preserve"> PAGEREF _Toc236220217 \h </w:instrText>
        </w:r>
        <w:r w:rsidRPr="009334EF">
          <w:rPr>
            <w:i w:val="0"/>
            <w:iCs w:val="0"/>
            <w:webHidden/>
          </w:rPr>
        </w:r>
        <w:r w:rsidRPr="009334EF">
          <w:rPr>
            <w:i w:val="0"/>
            <w:iCs w:val="0"/>
            <w:webHidden/>
          </w:rPr>
          <w:fldChar w:fldCharType="separate"/>
        </w:r>
        <w:r w:rsidR="00464A0C">
          <w:rPr>
            <w:i w:val="0"/>
            <w:iCs w:val="0"/>
            <w:webHidden/>
          </w:rPr>
          <w:t>6-246</w:t>
        </w:r>
        <w:r w:rsidRPr="009334EF">
          <w:rPr>
            <w:i w:val="0"/>
            <w:iCs w:val="0"/>
            <w:webHidden/>
          </w:rPr>
          <w:fldChar w:fldCharType="end"/>
        </w:r>
      </w:hyperlink>
    </w:p>
    <w:p w14:paraId="2E4693E0" w14:textId="63E823A0" w:rsidR="009334EF" w:rsidRPr="009334EF" w:rsidRDefault="009334EF">
      <w:pPr>
        <w:pStyle w:val="TOC4"/>
        <w:rPr>
          <w:rFonts w:eastAsiaTheme="minorEastAsia"/>
          <w:kern w:val="2"/>
          <w:lang w:val="en-US"/>
          <w14:ligatures w14:val="standardContextual"/>
        </w:rPr>
      </w:pPr>
      <w:hyperlink w:anchor="_Toc236220218" w:history="1">
        <w:r w:rsidRPr="009334EF">
          <w:rPr>
            <w:rStyle w:val="Hyperlink"/>
            <w:u w:val="none"/>
          </w:rPr>
          <w:t>6.6.7.1</w:t>
        </w:r>
        <w:r w:rsidRPr="009334EF">
          <w:rPr>
            <w:rFonts w:eastAsiaTheme="minorEastAsia"/>
            <w:kern w:val="2"/>
            <w:lang w:val="en-US"/>
            <w14:ligatures w14:val="standardContextual"/>
          </w:rPr>
          <w:tab/>
        </w:r>
        <w:r w:rsidRPr="009334EF">
          <w:rPr>
            <w:rStyle w:val="Hyperlink"/>
            <w:u w:val="none"/>
          </w:rPr>
          <w:t>Voltage Support Service Payments</w:t>
        </w:r>
        <w:r w:rsidRPr="009334EF">
          <w:rPr>
            <w:webHidden/>
          </w:rPr>
          <w:tab/>
        </w:r>
        <w:r w:rsidRPr="009334EF">
          <w:rPr>
            <w:webHidden/>
          </w:rPr>
          <w:fldChar w:fldCharType="begin"/>
        </w:r>
        <w:r w:rsidRPr="009334EF">
          <w:rPr>
            <w:webHidden/>
          </w:rPr>
          <w:instrText xml:space="preserve"> PAGEREF _Toc236220218 \h </w:instrText>
        </w:r>
        <w:r w:rsidRPr="009334EF">
          <w:rPr>
            <w:webHidden/>
          </w:rPr>
        </w:r>
        <w:r w:rsidRPr="009334EF">
          <w:rPr>
            <w:webHidden/>
          </w:rPr>
          <w:fldChar w:fldCharType="separate"/>
        </w:r>
        <w:r w:rsidR="00464A0C">
          <w:rPr>
            <w:webHidden/>
          </w:rPr>
          <w:t>6-246</w:t>
        </w:r>
        <w:r w:rsidRPr="009334EF">
          <w:rPr>
            <w:webHidden/>
          </w:rPr>
          <w:fldChar w:fldCharType="end"/>
        </w:r>
      </w:hyperlink>
    </w:p>
    <w:p w14:paraId="64A3CE77" w14:textId="7A67CC8B" w:rsidR="009334EF" w:rsidRPr="009334EF" w:rsidRDefault="009334EF">
      <w:pPr>
        <w:pStyle w:val="TOC4"/>
        <w:rPr>
          <w:rFonts w:eastAsiaTheme="minorEastAsia"/>
          <w:kern w:val="2"/>
          <w:lang w:val="en-US"/>
          <w14:ligatures w14:val="standardContextual"/>
        </w:rPr>
      </w:pPr>
      <w:hyperlink w:anchor="_Toc236220219" w:history="1">
        <w:r w:rsidRPr="009334EF">
          <w:rPr>
            <w:rStyle w:val="Hyperlink"/>
            <w:u w:val="none"/>
          </w:rPr>
          <w:t>6.6.7.2</w:t>
        </w:r>
        <w:r w:rsidRPr="009334EF">
          <w:rPr>
            <w:rFonts w:eastAsiaTheme="minorEastAsia"/>
            <w:kern w:val="2"/>
            <w:lang w:val="en-US"/>
            <w14:ligatures w14:val="standardContextual"/>
          </w:rPr>
          <w:tab/>
        </w:r>
        <w:r w:rsidRPr="009334EF">
          <w:rPr>
            <w:rStyle w:val="Hyperlink"/>
            <w:u w:val="none"/>
          </w:rPr>
          <w:t>Voltage Support Charge</w:t>
        </w:r>
        <w:r w:rsidRPr="009334EF">
          <w:rPr>
            <w:webHidden/>
          </w:rPr>
          <w:tab/>
        </w:r>
        <w:r w:rsidRPr="009334EF">
          <w:rPr>
            <w:webHidden/>
          </w:rPr>
          <w:fldChar w:fldCharType="begin"/>
        </w:r>
        <w:r w:rsidRPr="009334EF">
          <w:rPr>
            <w:webHidden/>
          </w:rPr>
          <w:instrText xml:space="preserve"> PAGEREF _Toc236220219 \h </w:instrText>
        </w:r>
        <w:r w:rsidRPr="009334EF">
          <w:rPr>
            <w:webHidden/>
          </w:rPr>
        </w:r>
        <w:r w:rsidRPr="009334EF">
          <w:rPr>
            <w:webHidden/>
          </w:rPr>
          <w:fldChar w:fldCharType="separate"/>
        </w:r>
        <w:r w:rsidR="00464A0C">
          <w:rPr>
            <w:webHidden/>
          </w:rPr>
          <w:t>6-250</w:t>
        </w:r>
        <w:r w:rsidRPr="009334EF">
          <w:rPr>
            <w:webHidden/>
          </w:rPr>
          <w:fldChar w:fldCharType="end"/>
        </w:r>
      </w:hyperlink>
    </w:p>
    <w:p w14:paraId="7B34A01E" w14:textId="0AC6F87E" w:rsidR="009334EF" w:rsidRPr="009334EF" w:rsidRDefault="009334EF">
      <w:pPr>
        <w:pStyle w:val="TOC3"/>
        <w:rPr>
          <w:rFonts w:eastAsiaTheme="minorEastAsia"/>
          <w:i w:val="0"/>
          <w:iCs w:val="0"/>
          <w:kern w:val="2"/>
          <w14:ligatures w14:val="standardContextual"/>
        </w:rPr>
      </w:pPr>
      <w:hyperlink w:anchor="_Toc236220220" w:history="1">
        <w:r w:rsidRPr="009334EF">
          <w:rPr>
            <w:rStyle w:val="Hyperlink"/>
            <w:i w:val="0"/>
            <w:iCs w:val="0"/>
            <w:u w:val="none"/>
          </w:rPr>
          <w:t>6.6.8</w:t>
        </w:r>
        <w:r w:rsidRPr="009334EF">
          <w:rPr>
            <w:rFonts w:eastAsiaTheme="minorEastAsia"/>
            <w:i w:val="0"/>
            <w:iCs w:val="0"/>
            <w:kern w:val="2"/>
            <w14:ligatures w14:val="standardContextual"/>
          </w:rPr>
          <w:tab/>
        </w:r>
        <w:r w:rsidRPr="009334EF">
          <w:rPr>
            <w:rStyle w:val="Hyperlink"/>
            <w:i w:val="0"/>
            <w:iCs w:val="0"/>
            <w:u w:val="none"/>
          </w:rPr>
          <w:t>Black Start Capacity</w:t>
        </w:r>
        <w:r w:rsidRPr="009334EF">
          <w:rPr>
            <w:i w:val="0"/>
            <w:iCs w:val="0"/>
            <w:webHidden/>
          </w:rPr>
          <w:tab/>
        </w:r>
        <w:r w:rsidRPr="009334EF">
          <w:rPr>
            <w:i w:val="0"/>
            <w:iCs w:val="0"/>
            <w:webHidden/>
          </w:rPr>
          <w:fldChar w:fldCharType="begin"/>
        </w:r>
        <w:r w:rsidRPr="009334EF">
          <w:rPr>
            <w:i w:val="0"/>
            <w:iCs w:val="0"/>
            <w:webHidden/>
          </w:rPr>
          <w:instrText xml:space="preserve"> PAGEREF _Toc236220220 \h </w:instrText>
        </w:r>
        <w:r w:rsidRPr="009334EF">
          <w:rPr>
            <w:i w:val="0"/>
            <w:iCs w:val="0"/>
            <w:webHidden/>
          </w:rPr>
        </w:r>
        <w:r w:rsidRPr="009334EF">
          <w:rPr>
            <w:i w:val="0"/>
            <w:iCs w:val="0"/>
            <w:webHidden/>
          </w:rPr>
          <w:fldChar w:fldCharType="separate"/>
        </w:r>
        <w:r w:rsidR="00464A0C">
          <w:rPr>
            <w:i w:val="0"/>
            <w:iCs w:val="0"/>
            <w:webHidden/>
          </w:rPr>
          <w:t>6-251</w:t>
        </w:r>
        <w:r w:rsidRPr="009334EF">
          <w:rPr>
            <w:i w:val="0"/>
            <w:iCs w:val="0"/>
            <w:webHidden/>
          </w:rPr>
          <w:fldChar w:fldCharType="end"/>
        </w:r>
      </w:hyperlink>
    </w:p>
    <w:p w14:paraId="2CEF8687" w14:textId="44B66387" w:rsidR="009334EF" w:rsidRPr="009334EF" w:rsidRDefault="009334EF">
      <w:pPr>
        <w:pStyle w:val="TOC4"/>
        <w:rPr>
          <w:rFonts w:eastAsiaTheme="minorEastAsia"/>
          <w:kern w:val="2"/>
          <w:lang w:val="en-US"/>
          <w14:ligatures w14:val="standardContextual"/>
        </w:rPr>
      </w:pPr>
      <w:hyperlink w:anchor="_Toc236220221" w:history="1">
        <w:r w:rsidRPr="009334EF">
          <w:rPr>
            <w:rStyle w:val="Hyperlink"/>
            <w:u w:val="none"/>
          </w:rPr>
          <w:t>6.6.8.1</w:t>
        </w:r>
        <w:r w:rsidRPr="009334EF">
          <w:rPr>
            <w:rFonts w:eastAsiaTheme="minorEastAsia"/>
            <w:kern w:val="2"/>
            <w:lang w:val="en-US"/>
            <w14:ligatures w14:val="standardContextual"/>
          </w:rPr>
          <w:tab/>
        </w:r>
        <w:r w:rsidRPr="009334EF">
          <w:rPr>
            <w:rStyle w:val="Hyperlink"/>
            <w:u w:val="none"/>
          </w:rPr>
          <w:t>Black Start Hourly Standby Fee Payment</w:t>
        </w:r>
        <w:r w:rsidRPr="009334EF">
          <w:rPr>
            <w:webHidden/>
          </w:rPr>
          <w:tab/>
        </w:r>
        <w:r w:rsidRPr="009334EF">
          <w:rPr>
            <w:webHidden/>
          </w:rPr>
          <w:fldChar w:fldCharType="begin"/>
        </w:r>
        <w:r w:rsidRPr="009334EF">
          <w:rPr>
            <w:webHidden/>
          </w:rPr>
          <w:instrText xml:space="preserve"> PAGEREF _Toc236220221 \h </w:instrText>
        </w:r>
        <w:r w:rsidRPr="009334EF">
          <w:rPr>
            <w:webHidden/>
          </w:rPr>
        </w:r>
        <w:r w:rsidRPr="009334EF">
          <w:rPr>
            <w:webHidden/>
          </w:rPr>
          <w:fldChar w:fldCharType="separate"/>
        </w:r>
        <w:r w:rsidR="00464A0C">
          <w:rPr>
            <w:webHidden/>
          </w:rPr>
          <w:t>6-251</w:t>
        </w:r>
        <w:r w:rsidRPr="009334EF">
          <w:rPr>
            <w:webHidden/>
          </w:rPr>
          <w:fldChar w:fldCharType="end"/>
        </w:r>
      </w:hyperlink>
    </w:p>
    <w:p w14:paraId="7C08A49C" w14:textId="48AF0D81" w:rsidR="009334EF" w:rsidRPr="009334EF" w:rsidRDefault="009334EF">
      <w:pPr>
        <w:pStyle w:val="TOC4"/>
        <w:rPr>
          <w:rFonts w:eastAsiaTheme="minorEastAsia"/>
          <w:kern w:val="2"/>
          <w:lang w:val="en-US"/>
          <w14:ligatures w14:val="standardContextual"/>
        </w:rPr>
      </w:pPr>
      <w:hyperlink w:anchor="_Toc236220222" w:history="1">
        <w:r w:rsidRPr="009334EF">
          <w:rPr>
            <w:rStyle w:val="Hyperlink"/>
            <w:u w:val="none"/>
          </w:rPr>
          <w:t>6.6.8.2</w:t>
        </w:r>
        <w:r w:rsidRPr="009334EF">
          <w:rPr>
            <w:rFonts w:eastAsiaTheme="minorEastAsia"/>
            <w:kern w:val="2"/>
            <w:lang w:val="en-US"/>
            <w14:ligatures w14:val="standardContextual"/>
          </w:rPr>
          <w:tab/>
        </w:r>
        <w:r w:rsidRPr="009334EF">
          <w:rPr>
            <w:rStyle w:val="Hyperlink"/>
            <w:u w:val="none"/>
          </w:rPr>
          <w:t>Black Start Capacity Charge</w:t>
        </w:r>
        <w:r w:rsidRPr="009334EF">
          <w:rPr>
            <w:webHidden/>
          </w:rPr>
          <w:tab/>
        </w:r>
        <w:r w:rsidRPr="009334EF">
          <w:rPr>
            <w:webHidden/>
          </w:rPr>
          <w:fldChar w:fldCharType="begin"/>
        </w:r>
        <w:r w:rsidRPr="009334EF">
          <w:rPr>
            <w:webHidden/>
          </w:rPr>
          <w:instrText xml:space="preserve"> PAGEREF _Toc236220222 \h </w:instrText>
        </w:r>
        <w:r w:rsidRPr="009334EF">
          <w:rPr>
            <w:webHidden/>
          </w:rPr>
        </w:r>
        <w:r w:rsidRPr="009334EF">
          <w:rPr>
            <w:webHidden/>
          </w:rPr>
          <w:fldChar w:fldCharType="separate"/>
        </w:r>
        <w:r w:rsidR="00464A0C">
          <w:rPr>
            <w:webHidden/>
          </w:rPr>
          <w:t>6-253</w:t>
        </w:r>
        <w:r w:rsidRPr="009334EF">
          <w:rPr>
            <w:webHidden/>
          </w:rPr>
          <w:fldChar w:fldCharType="end"/>
        </w:r>
      </w:hyperlink>
    </w:p>
    <w:p w14:paraId="729FDE05" w14:textId="5350423A" w:rsidR="009334EF" w:rsidRPr="009334EF" w:rsidRDefault="009334EF">
      <w:pPr>
        <w:pStyle w:val="TOC3"/>
        <w:rPr>
          <w:rFonts w:eastAsiaTheme="minorEastAsia"/>
          <w:i w:val="0"/>
          <w:iCs w:val="0"/>
          <w:kern w:val="2"/>
          <w14:ligatures w14:val="standardContextual"/>
        </w:rPr>
      </w:pPr>
      <w:hyperlink w:anchor="_Toc236220223" w:history="1">
        <w:r w:rsidRPr="009334EF">
          <w:rPr>
            <w:rStyle w:val="Hyperlink"/>
            <w:i w:val="0"/>
            <w:iCs w:val="0"/>
            <w:u w:val="none"/>
          </w:rPr>
          <w:t>6.6.9</w:t>
        </w:r>
        <w:r w:rsidRPr="009334EF">
          <w:rPr>
            <w:rFonts w:eastAsiaTheme="minorEastAsia"/>
            <w:i w:val="0"/>
            <w:iCs w:val="0"/>
            <w:kern w:val="2"/>
            <w14:ligatures w14:val="standardContextual"/>
          </w:rPr>
          <w:tab/>
        </w:r>
        <w:r w:rsidRPr="009334EF">
          <w:rPr>
            <w:rStyle w:val="Hyperlink"/>
            <w:i w:val="0"/>
            <w:iCs w:val="0"/>
            <w:u w:val="none"/>
          </w:rPr>
          <w:t>Emergency Operations Settlement</w:t>
        </w:r>
        <w:r w:rsidRPr="009334EF">
          <w:rPr>
            <w:i w:val="0"/>
            <w:iCs w:val="0"/>
            <w:webHidden/>
          </w:rPr>
          <w:tab/>
        </w:r>
        <w:r w:rsidRPr="009334EF">
          <w:rPr>
            <w:i w:val="0"/>
            <w:iCs w:val="0"/>
            <w:webHidden/>
          </w:rPr>
          <w:fldChar w:fldCharType="begin"/>
        </w:r>
        <w:r w:rsidRPr="009334EF">
          <w:rPr>
            <w:i w:val="0"/>
            <w:iCs w:val="0"/>
            <w:webHidden/>
          </w:rPr>
          <w:instrText xml:space="preserve"> PAGEREF _Toc236220223 \h </w:instrText>
        </w:r>
        <w:r w:rsidRPr="009334EF">
          <w:rPr>
            <w:i w:val="0"/>
            <w:iCs w:val="0"/>
            <w:webHidden/>
          </w:rPr>
        </w:r>
        <w:r w:rsidRPr="009334EF">
          <w:rPr>
            <w:i w:val="0"/>
            <w:iCs w:val="0"/>
            <w:webHidden/>
          </w:rPr>
          <w:fldChar w:fldCharType="separate"/>
        </w:r>
        <w:r w:rsidR="00464A0C">
          <w:rPr>
            <w:i w:val="0"/>
            <w:iCs w:val="0"/>
            <w:webHidden/>
          </w:rPr>
          <w:t>6-253</w:t>
        </w:r>
        <w:r w:rsidRPr="009334EF">
          <w:rPr>
            <w:i w:val="0"/>
            <w:iCs w:val="0"/>
            <w:webHidden/>
          </w:rPr>
          <w:fldChar w:fldCharType="end"/>
        </w:r>
      </w:hyperlink>
    </w:p>
    <w:p w14:paraId="7A154EA3" w14:textId="77E48162" w:rsidR="009334EF" w:rsidRPr="009334EF" w:rsidRDefault="009334EF">
      <w:pPr>
        <w:pStyle w:val="TOC4"/>
        <w:rPr>
          <w:rFonts w:eastAsiaTheme="minorEastAsia"/>
          <w:kern w:val="2"/>
          <w:lang w:val="en-US"/>
          <w14:ligatures w14:val="standardContextual"/>
        </w:rPr>
      </w:pPr>
      <w:hyperlink w:anchor="_Toc236220224" w:history="1">
        <w:r w:rsidRPr="009334EF">
          <w:rPr>
            <w:rStyle w:val="Hyperlink"/>
            <w:snapToGrid w:val="0"/>
            <w:u w:val="none"/>
          </w:rPr>
          <w:t>6.6.9.1</w:t>
        </w:r>
        <w:r w:rsidRPr="009334EF">
          <w:rPr>
            <w:rFonts w:eastAsiaTheme="minorEastAsia"/>
            <w:kern w:val="2"/>
            <w:lang w:val="en-US"/>
            <w14:ligatures w14:val="standardContextual"/>
          </w:rPr>
          <w:tab/>
        </w:r>
        <w:r w:rsidRPr="009334EF">
          <w:rPr>
            <w:rStyle w:val="Hyperlink"/>
            <w:snapToGrid w:val="0"/>
            <w:u w:val="none"/>
          </w:rPr>
          <w:t>Payment for Emergency Operations Settlement</w:t>
        </w:r>
        <w:r w:rsidRPr="009334EF">
          <w:rPr>
            <w:webHidden/>
          </w:rPr>
          <w:tab/>
        </w:r>
        <w:r w:rsidRPr="009334EF">
          <w:rPr>
            <w:webHidden/>
          </w:rPr>
          <w:fldChar w:fldCharType="begin"/>
        </w:r>
        <w:r w:rsidRPr="009334EF">
          <w:rPr>
            <w:webHidden/>
          </w:rPr>
          <w:instrText xml:space="preserve"> PAGEREF _Toc236220224 \h </w:instrText>
        </w:r>
        <w:r w:rsidRPr="009334EF">
          <w:rPr>
            <w:webHidden/>
          </w:rPr>
        </w:r>
        <w:r w:rsidRPr="009334EF">
          <w:rPr>
            <w:webHidden/>
          </w:rPr>
          <w:fldChar w:fldCharType="separate"/>
        </w:r>
        <w:r w:rsidR="00464A0C">
          <w:rPr>
            <w:webHidden/>
          </w:rPr>
          <w:t>6-256</w:t>
        </w:r>
        <w:r w:rsidRPr="009334EF">
          <w:rPr>
            <w:webHidden/>
          </w:rPr>
          <w:fldChar w:fldCharType="end"/>
        </w:r>
      </w:hyperlink>
    </w:p>
    <w:p w14:paraId="1E76C7EA" w14:textId="476D3B8F" w:rsidR="009334EF" w:rsidRPr="009334EF" w:rsidRDefault="009334EF">
      <w:pPr>
        <w:pStyle w:val="TOC4"/>
        <w:rPr>
          <w:rFonts w:eastAsiaTheme="minorEastAsia"/>
          <w:kern w:val="2"/>
          <w:lang w:val="en-US"/>
          <w14:ligatures w14:val="standardContextual"/>
        </w:rPr>
      </w:pPr>
      <w:hyperlink w:anchor="_Toc236220225" w:history="1">
        <w:r w:rsidRPr="009334EF">
          <w:rPr>
            <w:rStyle w:val="Hyperlink"/>
            <w:snapToGrid w:val="0"/>
            <w:u w:val="none"/>
          </w:rPr>
          <w:t>6.6.9.2</w:t>
        </w:r>
        <w:r w:rsidRPr="009334EF">
          <w:rPr>
            <w:rFonts w:eastAsiaTheme="minorEastAsia"/>
            <w:kern w:val="2"/>
            <w:lang w:val="en-US"/>
            <w14:ligatures w14:val="standardContextual"/>
          </w:rPr>
          <w:tab/>
        </w:r>
        <w:r w:rsidRPr="009334EF">
          <w:rPr>
            <w:rStyle w:val="Hyperlink"/>
            <w:snapToGrid w:val="0"/>
            <w:u w:val="none"/>
          </w:rPr>
          <w:t>Charge for Emergency Operations Settlement</w:t>
        </w:r>
        <w:r w:rsidRPr="009334EF">
          <w:rPr>
            <w:webHidden/>
          </w:rPr>
          <w:tab/>
        </w:r>
        <w:r w:rsidRPr="009334EF">
          <w:rPr>
            <w:webHidden/>
          </w:rPr>
          <w:fldChar w:fldCharType="begin"/>
        </w:r>
        <w:r w:rsidRPr="009334EF">
          <w:rPr>
            <w:webHidden/>
          </w:rPr>
          <w:instrText xml:space="preserve"> PAGEREF _Toc236220225 \h </w:instrText>
        </w:r>
        <w:r w:rsidRPr="009334EF">
          <w:rPr>
            <w:webHidden/>
          </w:rPr>
        </w:r>
        <w:r w:rsidRPr="009334EF">
          <w:rPr>
            <w:webHidden/>
          </w:rPr>
          <w:fldChar w:fldCharType="separate"/>
        </w:r>
        <w:r w:rsidR="00464A0C">
          <w:rPr>
            <w:webHidden/>
          </w:rPr>
          <w:t>6-268</w:t>
        </w:r>
        <w:r w:rsidRPr="009334EF">
          <w:rPr>
            <w:webHidden/>
          </w:rPr>
          <w:fldChar w:fldCharType="end"/>
        </w:r>
      </w:hyperlink>
    </w:p>
    <w:p w14:paraId="4DE029DC" w14:textId="0341964E" w:rsidR="009334EF" w:rsidRPr="009334EF" w:rsidRDefault="009334EF">
      <w:pPr>
        <w:pStyle w:val="TOC3"/>
        <w:rPr>
          <w:rFonts w:eastAsiaTheme="minorEastAsia"/>
          <w:i w:val="0"/>
          <w:iCs w:val="0"/>
          <w:kern w:val="2"/>
          <w14:ligatures w14:val="standardContextual"/>
        </w:rPr>
      </w:pPr>
      <w:hyperlink w:anchor="_Toc236220226" w:history="1">
        <w:r w:rsidRPr="009334EF">
          <w:rPr>
            <w:rStyle w:val="Hyperlink"/>
            <w:i w:val="0"/>
            <w:iCs w:val="0"/>
            <w:u w:val="none"/>
          </w:rPr>
          <w:t>6.6.10</w:t>
        </w:r>
        <w:r w:rsidRPr="009334EF">
          <w:rPr>
            <w:rFonts w:eastAsiaTheme="minorEastAsia"/>
            <w:i w:val="0"/>
            <w:iCs w:val="0"/>
            <w:kern w:val="2"/>
            <w14:ligatures w14:val="standardContextual"/>
          </w:rPr>
          <w:tab/>
        </w:r>
        <w:r w:rsidRPr="009334EF">
          <w:rPr>
            <w:rStyle w:val="Hyperlink"/>
            <w:i w:val="0"/>
            <w:iCs w:val="0"/>
            <w:u w:val="none"/>
          </w:rPr>
          <w:t>Real-Time Revenue Neutrality Allocation</w:t>
        </w:r>
        <w:r w:rsidRPr="009334EF">
          <w:rPr>
            <w:i w:val="0"/>
            <w:iCs w:val="0"/>
            <w:webHidden/>
          </w:rPr>
          <w:tab/>
        </w:r>
        <w:r w:rsidRPr="009334EF">
          <w:rPr>
            <w:i w:val="0"/>
            <w:iCs w:val="0"/>
            <w:webHidden/>
          </w:rPr>
          <w:fldChar w:fldCharType="begin"/>
        </w:r>
        <w:r w:rsidRPr="009334EF">
          <w:rPr>
            <w:i w:val="0"/>
            <w:iCs w:val="0"/>
            <w:webHidden/>
          </w:rPr>
          <w:instrText xml:space="preserve"> PAGEREF _Toc236220226 \h </w:instrText>
        </w:r>
        <w:r w:rsidRPr="009334EF">
          <w:rPr>
            <w:i w:val="0"/>
            <w:iCs w:val="0"/>
            <w:webHidden/>
          </w:rPr>
        </w:r>
        <w:r w:rsidRPr="009334EF">
          <w:rPr>
            <w:i w:val="0"/>
            <w:iCs w:val="0"/>
            <w:webHidden/>
          </w:rPr>
          <w:fldChar w:fldCharType="separate"/>
        </w:r>
        <w:r w:rsidR="00464A0C">
          <w:rPr>
            <w:i w:val="0"/>
            <w:iCs w:val="0"/>
            <w:webHidden/>
          </w:rPr>
          <w:t>6-269</w:t>
        </w:r>
        <w:r w:rsidRPr="009334EF">
          <w:rPr>
            <w:i w:val="0"/>
            <w:iCs w:val="0"/>
            <w:webHidden/>
          </w:rPr>
          <w:fldChar w:fldCharType="end"/>
        </w:r>
      </w:hyperlink>
    </w:p>
    <w:p w14:paraId="2BB2AC33" w14:textId="722263E1" w:rsidR="009334EF" w:rsidRPr="009334EF" w:rsidRDefault="009334EF">
      <w:pPr>
        <w:pStyle w:val="TOC3"/>
        <w:rPr>
          <w:rFonts w:eastAsiaTheme="minorEastAsia"/>
          <w:i w:val="0"/>
          <w:iCs w:val="0"/>
          <w:kern w:val="2"/>
          <w14:ligatures w14:val="standardContextual"/>
        </w:rPr>
      </w:pPr>
      <w:hyperlink w:anchor="_Toc236220227" w:history="1">
        <w:r w:rsidRPr="009334EF">
          <w:rPr>
            <w:rStyle w:val="Hyperlink"/>
            <w:i w:val="0"/>
            <w:iCs w:val="0"/>
            <w:u w:val="none"/>
          </w:rPr>
          <w:t>6.6.11</w:t>
        </w:r>
        <w:r w:rsidRPr="009334EF">
          <w:rPr>
            <w:rFonts w:eastAsiaTheme="minorEastAsia"/>
            <w:i w:val="0"/>
            <w:iCs w:val="0"/>
            <w:kern w:val="2"/>
            <w14:ligatures w14:val="standardContextual"/>
          </w:rPr>
          <w:tab/>
        </w:r>
        <w:r w:rsidRPr="009334EF">
          <w:rPr>
            <w:rStyle w:val="Hyperlink"/>
            <w:i w:val="0"/>
            <w:iCs w:val="0"/>
            <w:u w:val="none"/>
          </w:rPr>
          <w:t>Emergency Response Service Capacity</w:t>
        </w:r>
        <w:r w:rsidRPr="009334EF">
          <w:rPr>
            <w:i w:val="0"/>
            <w:iCs w:val="0"/>
            <w:webHidden/>
          </w:rPr>
          <w:tab/>
        </w:r>
        <w:r w:rsidRPr="009334EF">
          <w:rPr>
            <w:i w:val="0"/>
            <w:iCs w:val="0"/>
            <w:webHidden/>
          </w:rPr>
          <w:fldChar w:fldCharType="begin"/>
        </w:r>
        <w:r w:rsidRPr="009334EF">
          <w:rPr>
            <w:i w:val="0"/>
            <w:iCs w:val="0"/>
            <w:webHidden/>
          </w:rPr>
          <w:instrText xml:space="preserve"> PAGEREF _Toc236220227 \h </w:instrText>
        </w:r>
        <w:r w:rsidRPr="009334EF">
          <w:rPr>
            <w:i w:val="0"/>
            <w:iCs w:val="0"/>
            <w:webHidden/>
          </w:rPr>
        </w:r>
        <w:r w:rsidRPr="009334EF">
          <w:rPr>
            <w:i w:val="0"/>
            <w:iCs w:val="0"/>
            <w:webHidden/>
          </w:rPr>
          <w:fldChar w:fldCharType="separate"/>
        </w:r>
        <w:r w:rsidR="00464A0C">
          <w:rPr>
            <w:i w:val="0"/>
            <w:iCs w:val="0"/>
            <w:webHidden/>
          </w:rPr>
          <w:t>6-275</w:t>
        </w:r>
        <w:r w:rsidRPr="009334EF">
          <w:rPr>
            <w:i w:val="0"/>
            <w:iCs w:val="0"/>
            <w:webHidden/>
          </w:rPr>
          <w:fldChar w:fldCharType="end"/>
        </w:r>
      </w:hyperlink>
    </w:p>
    <w:p w14:paraId="0084DAC0" w14:textId="2CF8AFD7" w:rsidR="009334EF" w:rsidRPr="009334EF" w:rsidRDefault="009334EF">
      <w:pPr>
        <w:pStyle w:val="TOC4"/>
        <w:rPr>
          <w:rFonts w:eastAsiaTheme="minorEastAsia"/>
          <w:kern w:val="2"/>
          <w:lang w:val="en-US"/>
          <w14:ligatures w14:val="standardContextual"/>
        </w:rPr>
      </w:pPr>
      <w:hyperlink w:anchor="_Toc236220228" w:history="1">
        <w:r w:rsidRPr="009334EF">
          <w:rPr>
            <w:rStyle w:val="Hyperlink"/>
            <w:u w:val="none"/>
          </w:rPr>
          <w:t>6.6.11.1</w:t>
        </w:r>
        <w:r w:rsidRPr="009334EF">
          <w:rPr>
            <w:rFonts w:eastAsiaTheme="minorEastAsia"/>
            <w:kern w:val="2"/>
            <w:lang w:val="en-US"/>
            <w14:ligatures w14:val="standardContextual"/>
          </w:rPr>
          <w:tab/>
        </w:r>
        <w:r w:rsidRPr="009334EF">
          <w:rPr>
            <w:rStyle w:val="Hyperlink"/>
            <w:u w:val="none"/>
          </w:rPr>
          <w:t>Emergency Response Service Capacity Payments</w:t>
        </w:r>
        <w:r w:rsidRPr="009334EF">
          <w:rPr>
            <w:webHidden/>
          </w:rPr>
          <w:tab/>
        </w:r>
        <w:r w:rsidRPr="009334EF">
          <w:rPr>
            <w:webHidden/>
          </w:rPr>
          <w:fldChar w:fldCharType="begin"/>
        </w:r>
        <w:r w:rsidRPr="009334EF">
          <w:rPr>
            <w:webHidden/>
          </w:rPr>
          <w:instrText xml:space="preserve"> PAGEREF _Toc236220228 \h </w:instrText>
        </w:r>
        <w:r w:rsidRPr="009334EF">
          <w:rPr>
            <w:webHidden/>
          </w:rPr>
        </w:r>
        <w:r w:rsidRPr="009334EF">
          <w:rPr>
            <w:webHidden/>
          </w:rPr>
          <w:fldChar w:fldCharType="separate"/>
        </w:r>
        <w:r w:rsidR="00464A0C">
          <w:rPr>
            <w:webHidden/>
          </w:rPr>
          <w:t>6-275</w:t>
        </w:r>
        <w:r w:rsidRPr="009334EF">
          <w:rPr>
            <w:webHidden/>
          </w:rPr>
          <w:fldChar w:fldCharType="end"/>
        </w:r>
      </w:hyperlink>
    </w:p>
    <w:p w14:paraId="03C8B066" w14:textId="4E7E7CEF" w:rsidR="009334EF" w:rsidRPr="009334EF" w:rsidRDefault="009334EF">
      <w:pPr>
        <w:pStyle w:val="TOC4"/>
        <w:rPr>
          <w:rFonts w:eastAsiaTheme="minorEastAsia"/>
          <w:kern w:val="2"/>
          <w:lang w:val="en-US"/>
          <w14:ligatures w14:val="standardContextual"/>
        </w:rPr>
      </w:pPr>
      <w:hyperlink w:anchor="_Toc236220229" w:history="1">
        <w:r w:rsidRPr="009334EF">
          <w:rPr>
            <w:rStyle w:val="Hyperlink"/>
            <w:u w:val="none"/>
          </w:rPr>
          <w:t>6.6.11.2</w:t>
        </w:r>
        <w:r w:rsidRPr="009334EF">
          <w:rPr>
            <w:rFonts w:eastAsiaTheme="minorEastAsia"/>
            <w:kern w:val="2"/>
            <w:lang w:val="en-US"/>
            <w14:ligatures w14:val="standardContextual"/>
          </w:rPr>
          <w:tab/>
        </w:r>
        <w:r w:rsidRPr="009334EF">
          <w:rPr>
            <w:rStyle w:val="Hyperlink"/>
            <w:u w:val="none"/>
          </w:rPr>
          <w:t>Emergency Response Service Capacity Charge</w:t>
        </w:r>
        <w:r w:rsidRPr="009334EF">
          <w:rPr>
            <w:webHidden/>
          </w:rPr>
          <w:tab/>
        </w:r>
        <w:r w:rsidRPr="009334EF">
          <w:rPr>
            <w:webHidden/>
          </w:rPr>
          <w:fldChar w:fldCharType="begin"/>
        </w:r>
        <w:r w:rsidRPr="009334EF">
          <w:rPr>
            <w:webHidden/>
          </w:rPr>
          <w:instrText xml:space="preserve"> PAGEREF _Toc236220229 \h </w:instrText>
        </w:r>
        <w:r w:rsidRPr="009334EF">
          <w:rPr>
            <w:webHidden/>
          </w:rPr>
        </w:r>
        <w:r w:rsidRPr="009334EF">
          <w:rPr>
            <w:webHidden/>
          </w:rPr>
          <w:fldChar w:fldCharType="separate"/>
        </w:r>
        <w:r w:rsidR="00464A0C">
          <w:rPr>
            <w:webHidden/>
          </w:rPr>
          <w:t>6-280</w:t>
        </w:r>
        <w:r w:rsidRPr="009334EF">
          <w:rPr>
            <w:webHidden/>
          </w:rPr>
          <w:fldChar w:fldCharType="end"/>
        </w:r>
      </w:hyperlink>
    </w:p>
    <w:p w14:paraId="4523F8D2" w14:textId="4BD64166" w:rsidR="009334EF" w:rsidRPr="009334EF" w:rsidRDefault="009334EF">
      <w:pPr>
        <w:pStyle w:val="TOC3"/>
        <w:rPr>
          <w:rFonts w:eastAsiaTheme="minorEastAsia"/>
          <w:i w:val="0"/>
          <w:iCs w:val="0"/>
          <w:kern w:val="2"/>
          <w14:ligatures w14:val="standardContextual"/>
        </w:rPr>
      </w:pPr>
      <w:hyperlink w:anchor="_Toc236220230" w:history="1">
        <w:r w:rsidRPr="009334EF">
          <w:rPr>
            <w:rStyle w:val="Hyperlink"/>
            <w:i w:val="0"/>
            <w:iCs w:val="0"/>
            <w:u w:val="none"/>
          </w:rPr>
          <w:t>6.6.12</w:t>
        </w:r>
        <w:r w:rsidRPr="009334EF">
          <w:rPr>
            <w:rFonts w:eastAsiaTheme="minorEastAsia"/>
            <w:i w:val="0"/>
            <w:iCs w:val="0"/>
            <w:kern w:val="2"/>
            <w14:ligatures w14:val="standardContextual"/>
          </w:rPr>
          <w:tab/>
        </w:r>
        <w:r w:rsidRPr="009334EF">
          <w:rPr>
            <w:rStyle w:val="Hyperlink"/>
            <w:i w:val="0"/>
            <w:iCs w:val="0"/>
            <w:u w:val="none"/>
          </w:rPr>
          <w:t>Make-Whole Payment for Switchable Generation Resources Committed for Energy Emergency Alert (EEA)</w:t>
        </w:r>
        <w:r w:rsidRPr="009334EF">
          <w:rPr>
            <w:i w:val="0"/>
            <w:iCs w:val="0"/>
            <w:webHidden/>
          </w:rPr>
          <w:tab/>
        </w:r>
        <w:r w:rsidRPr="009334EF">
          <w:rPr>
            <w:i w:val="0"/>
            <w:iCs w:val="0"/>
            <w:webHidden/>
          </w:rPr>
          <w:fldChar w:fldCharType="begin"/>
        </w:r>
        <w:r w:rsidRPr="009334EF">
          <w:rPr>
            <w:i w:val="0"/>
            <w:iCs w:val="0"/>
            <w:webHidden/>
          </w:rPr>
          <w:instrText xml:space="preserve"> PAGEREF _Toc236220230 \h </w:instrText>
        </w:r>
        <w:r w:rsidRPr="009334EF">
          <w:rPr>
            <w:i w:val="0"/>
            <w:iCs w:val="0"/>
            <w:webHidden/>
          </w:rPr>
        </w:r>
        <w:r w:rsidRPr="009334EF">
          <w:rPr>
            <w:i w:val="0"/>
            <w:iCs w:val="0"/>
            <w:webHidden/>
          </w:rPr>
          <w:fldChar w:fldCharType="separate"/>
        </w:r>
        <w:r w:rsidR="00464A0C">
          <w:rPr>
            <w:i w:val="0"/>
            <w:iCs w:val="0"/>
            <w:webHidden/>
          </w:rPr>
          <w:t>6-281</w:t>
        </w:r>
        <w:r w:rsidRPr="009334EF">
          <w:rPr>
            <w:i w:val="0"/>
            <w:iCs w:val="0"/>
            <w:webHidden/>
          </w:rPr>
          <w:fldChar w:fldCharType="end"/>
        </w:r>
      </w:hyperlink>
    </w:p>
    <w:p w14:paraId="100D655E" w14:textId="77F6B874" w:rsidR="009334EF" w:rsidRPr="009334EF" w:rsidRDefault="009334EF">
      <w:pPr>
        <w:pStyle w:val="TOC4"/>
        <w:rPr>
          <w:rFonts w:eastAsiaTheme="minorEastAsia"/>
          <w:kern w:val="2"/>
          <w:lang w:val="en-US"/>
          <w14:ligatures w14:val="standardContextual"/>
        </w:rPr>
      </w:pPr>
      <w:hyperlink w:anchor="_Toc236220231" w:history="1">
        <w:r w:rsidRPr="009334EF">
          <w:rPr>
            <w:rStyle w:val="Hyperlink"/>
            <w:u w:val="none"/>
          </w:rPr>
          <w:t>6.6.12.1</w:t>
        </w:r>
        <w:r w:rsidRPr="009334EF">
          <w:rPr>
            <w:rFonts w:eastAsiaTheme="minorEastAsia"/>
            <w:kern w:val="2"/>
            <w:lang w:val="en-US"/>
            <w14:ligatures w14:val="standardContextual"/>
          </w:rPr>
          <w:tab/>
        </w:r>
        <w:r w:rsidRPr="009334EF">
          <w:rPr>
            <w:rStyle w:val="Hyperlink"/>
            <w:u w:val="none"/>
          </w:rPr>
          <w:t>Switchable Generation Make-Whole Payment</w:t>
        </w:r>
        <w:r w:rsidRPr="009334EF">
          <w:rPr>
            <w:webHidden/>
          </w:rPr>
          <w:tab/>
        </w:r>
        <w:r w:rsidRPr="009334EF">
          <w:rPr>
            <w:webHidden/>
          </w:rPr>
          <w:fldChar w:fldCharType="begin"/>
        </w:r>
        <w:r w:rsidRPr="009334EF">
          <w:rPr>
            <w:webHidden/>
          </w:rPr>
          <w:instrText xml:space="preserve"> PAGEREF _Toc236220231 \h </w:instrText>
        </w:r>
        <w:r w:rsidRPr="009334EF">
          <w:rPr>
            <w:webHidden/>
          </w:rPr>
        </w:r>
        <w:r w:rsidRPr="009334EF">
          <w:rPr>
            <w:webHidden/>
          </w:rPr>
          <w:fldChar w:fldCharType="separate"/>
        </w:r>
        <w:r w:rsidR="00464A0C">
          <w:rPr>
            <w:webHidden/>
          </w:rPr>
          <w:t>6-284</w:t>
        </w:r>
        <w:r w:rsidRPr="009334EF">
          <w:rPr>
            <w:webHidden/>
          </w:rPr>
          <w:fldChar w:fldCharType="end"/>
        </w:r>
      </w:hyperlink>
    </w:p>
    <w:p w14:paraId="6CF68FE7" w14:textId="681B39C3" w:rsidR="009334EF" w:rsidRPr="009334EF" w:rsidRDefault="009334EF">
      <w:pPr>
        <w:pStyle w:val="TOC4"/>
        <w:rPr>
          <w:rFonts w:eastAsiaTheme="minorEastAsia"/>
          <w:kern w:val="2"/>
          <w:lang w:val="en-US"/>
          <w14:ligatures w14:val="standardContextual"/>
        </w:rPr>
      </w:pPr>
      <w:hyperlink w:anchor="_Toc236220232" w:history="1">
        <w:r w:rsidRPr="009334EF">
          <w:rPr>
            <w:rStyle w:val="Hyperlink"/>
            <w:u w:val="none"/>
          </w:rPr>
          <w:t>6.6.12.2</w:t>
        </w:r>
        <w:r w:rsidRPr="009334EF">
          <w:rPr>
            <w:rFonts w:eastAsiaTheme="minorEastAsia"/>
            <w:kern w:val="2"/>
            <w:lang w:val="en-US"/>
            <w14:ligatures w14:val="standardContextual"/>
          </w:rPr>
          <w:tab/>
        </w:r>
        <w:r w:rsidRPr="009334EF">
          <w:rPr>
            <w:rStyle w:val="Hyperlink"/>
            <w:u w:val="none"/>
          </w:rPr>
          <w:t>Switchable Generation Make-Whole Charge</w:t>
        </w:r>
        <w:r w:rsidRPr="009334EF">
          <w:rPr>
            <w:webHidden/>
          </w:rPr>
          <w:tab/>
        </w:r>
        <w:r w:rsidRPr="009334EF">
          <w:rPr>
            <w:webHidden/>
          </w:rPr>
          <w:fldChar w:fldCharType="begin"/>
        </w:r>
        <w:r w:rsidRPr="009334EF">
          <w:rPr>
            <w:webHidden/>
          </w:rPr>
          <w:instrText xml:space="preserve"> PAGEREF _Toc236220232 \h </w:instrText>
        </w:r>
        <w:r w:rsidRPr="009334EF">
          <w:rPr>
            <w:webHidden/>
          </w:rPr>
        </w:r>
        <w:r w:rsidRPr="009334EF">
          <w:rPr>
            <w:webHidden/>
          </w:rPr>
          <w:fldChar w:fldCharType="separate"/>
        </w:r>
        <w:r w:rsidR="00464A0C">
          <w:rPr>
            <w:webHidden/>
          </w:rPr>
          <w:t>6-292</w:t>
        </w:r>
        <w:r w:rsidRPr="009334EF">
          <w:rPr>
            <w:webHidden/>
          </w:rPr>
          <w:fldChar w:fldCharType="end"/>
        </w:r>
      </w:hyperlink>
    </w:p>
    <w:p w14:paraId="49FB7911" w14:textId="2BF4AEA5" w:rsidR="009334EF" w:rsidRPr="009334EF" w:rsidRDefault="009334EF">
      <w:pPr>
        <w:pStyle w:val="TOC4"/>
        <w:rPr>
          <w:rFonts w:eastAsiaTheme="minorEastAsia"/>
          <w:kern w:val="2"/>
          <w:lang w:val="en-US"/>
          <w14:ligatures w14:val="standardContextual"/>
        </w:rPr>
      </w:pPr>
      <w:hyperlink w:anchor="_Toc236220233" w:history="1">
        <w:r w:rsidRPr="009334EF">
          <w:rPr>
            <w:rStyle w:val="Hyperlink"/>
            <w:u w:val="none"/>
          </w:rPr>
          <w:t>6.6.12.3</w:t>
        </w:r>
        <w:r w:rsidRPr="009334EF">
          <w:rPr>
            <w:rFonts w:eastAsiaTheme="minorEastAsia"/>
            <w:kern w:val="2"/>
            <w:lang w:val="en-US"/>
            <w14:ligatures w14:val="standardContextual"/>
          </w:rPr>
          <w:tab/>
        </w:r>
        <w:r w:rsidRPr="009334EF">
          <w:rPr>
            <w:rStyle w:val="Hyperlink"/>
            <w:u w:val="none"/>
          </w:rPr>
          <w:t>Miscellaneous Invoice for Switchable Generation Make-Whole Payments and Charges</w:t>
        </w:r>
        <w:r w:rsidRPr="009334EF">
          <w:rPr>
            <w:webHidden/>
          </w:rPr>
          <w:tab/>
        </w:r>
        <w:r w:rsidRPr="009334EF">
          <w:rPr>
            <w:webHidden/>
          </w:rPr>
          <w:fldChar w:fldCharType="begin"/>
        </w:r>
        <w:r w:rsidRPr="009334EF">
          <w:rPr>
            <w:webHidden/>
          </w:rPr>
          <w:instrText xml:space="preserve"> PAGEREF _Toc236220233 \h </w:instrText>
        </w:r>
        <w:r w:rsidRPr="009334EF">
          <w:rPr>
            <w:webHidden/>
          </w:rPr>
        </w:r>
        <w:r w:rsidRPr="009334EF">
          <w:rPr>
            <w:webHidden/>
          </w:rPr>
          <w:fldChar w:fldCharType="separate"/>
        </w:r>
        <w:r w:rsidR="00464A0C">
          <w:rPr>
            <w:webHidden/>
          </w:rPr>
          <w:t>6-292</w:t>
        </w:r>
        <w:r w:rsidRPr="009334EF">
          <w:rPr>
            <w:webHidden/>
          </w:rPr>
          <w:fldChar w:fldCharType="end"/>
        </w:r>
      </w:hyperlink>
    </w:p>
    <w:p w14:paraId="4F606D99" w14:textId="48A011BE" w:rsidR="009334EF" w:rsidRPr="009334EF" w:rsidRDefault="009334EF">
      <w:pPr>
        <w:pStyle w:val="TOC3"/>
        <w:rPr>
          <w:rFonts w:eastAsiaTheme="minorEastAsia"/>
          <w:i w:val="0"/>
          <w:iCs w:val="0"/>
          <w:kern w:val="2"/>
          <w14:ligatures w14:val="standardContextual"/>
        </w:rPr>
      </w:pPr>
      <w:hyperlink w:anchor="_Toc236220234" w:history="1">
        <w:r w:rsidRPr="009334EF">
          <w:rPr>
            <w:rStyle w:val="Hyperlink"/>
            <w:i w:val="0"/>
            <w:iCs w:val="0"/>
            <w:u w:val="none"/>
          </w:rPr>
          <w:t>6.6.13</w:t>
        </w:r>
        <w:r w:rsidRPr="009334EF">
          <w:rPr>
            <w:rFonts w:eastAsiaTheme="minorEastAsia"/>
            <w:i w:val="0"/>
            <w:iCs w:val="0"/>
            <w:kern w:val="2"/>
            <w14:ligatures w14:val="standardContextual"/>
          </w:rPr>
          <w:tab/>
        </w:r>
        <w:r w:rsidRPr="009334EF">
          <w:rPr>
            <w:rStyle w:val="Hyperlink"/>
            <w:i w:val="0"/>
            <w:iCs w:val="0"/>
            <w:u w:val="none"/>
          </w:rPr>
          <w:t>Wholesale Storage Load Reconciliation for ESRs Operating in a Private Microgrid Island</w:t>
        </w:r>
        <w:r w:rsidRPr="009334EF">
          <w:rPr>
            <w:i w:val="0"/>
            <w:iCs w:val="0"/>
            <w:webHidden/>
          </w:rPr>
          <w:tab/>
        </w:r>
        <w:r w:rsidRPr="009334EF">
          <w:rPr>
            <w:i w:val="0"/>
            <w:iCs w:val="0"/>
            <w:webHidden/>
          </w:rPr>
          <w:fldChar w:fldCharType="begin"/>
        </w:r>
        <w:r w:rsidRPr="009334EF">
          <w:rPr>
            <w:i w:val="0"/>
            <w:iCs w:val="0"/>
            <w:webHidden/>
          </w:rPr>
          <w:instrText xml:space="preserve"> PAGEREF _Toc236220234 \h </w:instrText>
        </w:r>
        <w:r w:rsidRPr="009334EF">
          <w:rPr>
            <w:i w:val="0"/>
            <w:iCs w:val="0"/>
            <w:webHidden/>
          </w:rPr>
        </w:r>
        <w:r w:rsidRPr="009334EF">
          <w:rPr>
            <w:i w:val="0"/>
            <w:iCs w:val="0"/>
            <w:webHidden/>
          </w:rPr>
          <w:fldChar w:fldCharType="separate"/>
        </w:r>
        <w:r w:rsidR="00464A0C">
          <w:rPr>
            <w:i w:val="0"/>
            <w:iCs w:val="0"/>
            <w:webHidden/>
          </w:rPr>
          <w:t>6-293</w:t>
        </w:r>
        <w:r w:rsidRPr="009334EF">
          <w:rPr>
            <w:i w:val="0"/>
            <w:iCs w:val="0"/>
            <w:webHidden/>
          </w:rPr>
          <w:fldChar w:fldCharType="end"/>
        </w:r>
      </w:hyperlink>
    </w:p>
    <w:p w14:paraId="41595A0D" w14:textId="7A3C4909" w:rsidR="009334EF" w:rsidRPr="009334EF" w:rsidRDefault="009334EF">
      <w:pPr>
        <w:pStyle w:val="TOC3"/>
        <w:rPr>
          <w:rFonts w:eastAsiaTheme="minorEastAsia"/>
          <w:i w:val="0"/>
          <w:iCs w:val="0"/>
          <w:kern w:val="2"/>
          <w14:ligatures w14:val="standardContextual"/>
        </w:rPr>
      </w:pPr>
      <w:hyperlink w:anchor="_Toc236220235" w:history="1">
        <w:r w:rsidRPr="009334EF">
          <w:rPr>
            <w:rStyle w:val="Hyperlink"/>
            <w:i w:val="0"/>
            <w:iCs w:val="0"/>
            <w:u w:val="none"/>
          </w:rPr>
          <w:t>6.6.14</w:t>
        </w:r>
        <w:r w:rsidRPr="009334EF">
          <w:rPr>
            <w:rFonts w:eastAsiaTheme="minorEastAsia"/>
            <w:i w:val="0"/>
            <w:iCs w:val="0"/>
            <w:kern w:val="2"/>
            <w14:ligatures w14:val="standardContextual"/>
          </w:rPr>
          <w:tab/>
        </w:r>
        <w:r w:rsidRPr="009334EF">
          <w:rPr>
            <w:rStyle w:val="Hyperlink"/>
            <w:i w:val="0"/>
            <w:iCs w:val="0"/>
            <w:u w:val="none"/>
          </w:rPr>
          <w:t>Firm Fuel Supply Service Capability</w:t>
        </w:r>
        <w:r w:rsidRPr="009334EF">
          <w:rPr>
            <w:i w:val="0"/>
            <w:iCs w:val="0"/>
            <w:webHidden/>
          </w:rPr>
          <w:tab/>
        </w:r>
        <w:r w:rsidRPr="009334EF">
          <w:rPr>
            <w:i w:val="0"/>
            <w:iCs w:val="0"/>
            <w:webHidden/>
          </w:rPr>
          <w:fldChar w:fldCharType="begin"/>
        </w:r>
        <w:r w:rsidRPr="009334EF">
          <w:rPr>
            <w:i w:val="0"/>
            <w:iCs w:val="0"/>
            <w:webHidden/>
          </w:rPr>
          <w:instrText xml:space="preserve"> PAGEREF _Toc236220235 \h </w:instrText>
        </w:r>
        <w:r w:rsidRPr="009334EF">
          <w:rPr>
            <w:i w:val="0"/>
            <w:iCs w:val="0"/>
            <w:webHidden/>
          </w:rPr>
        </w:r>
        <w:r w:rsidRPr="009334EF">
          <w:rPr>
            <w:i w:val="0"/>
            <w:iCs w:val="0"/>
            <w:webHidden/>
          </w:rPr>
          <w:fldChar w:fldCharType="separate"/>
        </w:r>
        <w:r w:rsidR="00464A0C">
          <w:rPr>
            <w:i w:val="0"/>
            <w:iCs w:val="0"/>
            <w:webHidden/>
          </w:rPr>
          <w:t>6-293</w:t>
        </w:r>
        <w:r w:rsidRPr="009334EF">
          <w:rPr>
            <w:i w:val="0"/>
            <w:iCs w:val="0"/>
            <w:webHidden/>
          </w:rPr>
          <w:fldChar w:fldCharType="end"/>
        </w:r>
      </w:hyperlink>
    </w:p>
    <w:p w14:paraId="1BE08BE7" w14:textId="4B361E9E" w:rsidR="009334EF" w:rsidRPr="009334EF" w:rsidRDefault="009334EF">
      <w:pPr>
        <w:pStyle w:val="TOC4"/>
        <w:rPr>
          <w:rFonts w:eastAsiaTheme="minorEastAsia"/>
          <w:kern w:val="2"/>
          <w:lang w:val="en-US"/>
          <w14:ligatures w14:val="standardContextual"/>
        </w:rPr>
      </w:pPr>
      <w:hyperlink w:anchor="_Toc236220236" w:history="1">
        <w:r w:rsidRPr="009334EF">
          <w:rPr>
            <w:rStyle w:val="Hyperlink"/>
            <w:u w:val="none"/>
          </w:rPr>
          <w:t>6.6.14.1</w:t>
        </w:r>
        <w:r w:rsidRPr="009334EF">
          <w:rPr>
            <w:rFonts w:eastAsiaTheme="minorEastAsia"/>
            <w:kern w:val="2"/>
            <w:lang w:val="en-US"/>
            <w14:ligatures w14:val="standardContextual"/>
          </w:rPr>
          <w:tab/>
        </w:r>
        <w:r w:rsidRPr="009334EF">
          <w:rPr>
            <w:rStyle w:val="Hyperlink"/>
            <w:u w:val="none"/>
          </w:rPr>
          <w:t>Firm Fuel Supply Service Fuel Replacement Costs Recovery</w:t>
        </w:r>
        <w:r w:rsidRPr="009334EF">
          <w:rPr>
            <w:webHidden/>
          </w:rPr>
          <w:tab/>
        </w:r>
        <w:r w:rsidRPr="009334EF">
          <w:rPr>
            <w:webHidden/>
          </w:rPr>
          <w:fldChar w:fldCharType="begin"/>
        </w:r>
        <w:r w:rsidRPr="009334EF">
          <w:rPr>
            <w:webHidden/>
          </w:rPr>
          <w:instrText xml:space="preserve"> PAGEREF _Toc236220236 \h </w:instrText>
        </w:r>
        <w:r w:rsidRPr="009334EF">
          <w:rPr>
            <w:webHidden/>
          </w:rPr>
        </w:r>
        <w:r w:rsidRPr="009334EF">
          <w:rPr>
            <w:webHidden/>
          </w:rPr>
          <w:fldChar w:fldCharType="separate"/>
        </w:r>
        <w:r w:rsidR="00464A0C">
          <w:rPr>
            <w:webHidden/>
          </w:rPr>
          <w:t>6-293</w:t>
        </w:r>
        <w:r w:rsidRPr="009334EF">
          <w:rPr>
            <w:webHidden/>
          </w:rPr>
          <w:fldChar w:fldCharType="end"/>
        </w:r>
      </w:hyperlink>
    </w:p>
    <w:p w14:paraId="1063D4F8" w14:textId="1AB68C52" w:rsidR="009334EF" w:rsidRPr="009334EF" w:rsidRDefault="009334EF">
      <w:pPr>
        <w:pStyle w:val="TOC4"/>
        <w:rPr>
          <w:rFonts w:eastAsiaTheme="minorEastAsia"/>
          <w:kern w:val="2"/>
          <w:lang w:val="en-US"/>
          <w14:ligatures w14:val="standardContextual"/>
        </w:rPr>
      </w:pPr>
      <w:hyperlink w:anchor="_Toc236220237" w:history="1">
        <w:r w:rsidRPr="009334EF">
          <w:rPr>
            <w:rStyle w:val="Hyperlink"/>
            <w:u w:val="none"/>
          </w:rPr>
          <w:t>6.6.14.2</w:t>
        </w:r>
        <w:r w:rsidRPr="009334EF">
          <w:rPr>
            <w:rFonts w:eastAsiaTheme="minorEastAsia"/>
            <w:kern w:val="2"/>
            <w:lang w:val="en-US"/>
            <w14:ligatures w14:val="standardContextual"/>
          </w:rPr>
          <w:tab/>
        </w:r>
        <w:r w:rsidRPr="009334EF">
          <w:rPr>
            <w:rStyle w:val="Hyperlink"/>
            <w:u w:val="none"/>
          </w:rPr>
          <w:t>Firm Fuel Supply Service Hourly Standby Fee Payment and Fuel Replacement Cost Recovery</w:t>
        </w:r>
        <w:r w:rsidRPr="009334EF">
          <w:rPr>
            <w:webHidden/>
          </w:rPr>
          <w:tab/>
        </w:r>
        <w:r w:rsidRPr="009334EF">
          <w:rPr>
            <w:webHidden/>
          </w:rPr>
          <w:fldChar w:fldCharType="begin"/>
        </w:r>
        <w:r w:rsidRPr="009334EF">
          <w:rPr>
            <w:webHidden/>
          </w:rPr>
          <w:instrText xml:space="preserve"> PAGEREF _Toc236220237 \h </w:instrText>
        </w:r>
        <w:r w:rsidRPr="009334EF">
          <w:rPr>
            <w:webHidden/>
          </w:rPr>
        </w:r>
        <w:r w:rsidRPr="009334EF">
          <w:rPr>
            <w:webHidden/>
          </w:rPr>
          <w:fldChar w:fldCharType="separate"/>
        </w:r>
        <w:r w:rsidR="00464A0C">
          <w:rPr>
            <w:webHidden/>
          </w:rPr>
          <w:t>6-295</w:t>
        </w:r>
        <w:r w:rsidRPr="009334EF">
          <w:rPr>
            <w:webHidden/>
          </w:rPr>
          <w:fldChar w:fldCharType="end"/>
        </w:r>
      </w:hyperlink>
    </w:p>
    <w:p w14:paraId="60EDDC79" w14:textId="57264DCC" w:rsidR="009334EF" w:rsidRPr="009334EF" w:rsidRDefault="009334EF">
      <w:pPr>
        <w:pStyle w:val="TOC4"/>
        <w:rPr>
          <w:rFonts w:eastAsiaTheme="minorEastAsia"/>
          <w:kern w:val="2"/>
          <w:lang w:val="en-US"/>
          <w14:ligatures w14:val="standardContextual"/>
        </w:rPr>
      </w:pPr>
      <w:hyperlink w:anchor="_Toc236220238" w:history="1">
        <w:r w:rsidRPr="009334EF">
          <w:rPr>
            <w:rStyle w:val="Hyperlink"/>
            <w:u w:val="none"/>
          </w:rPr>
          <w:t>6.6.14.3</w:t>
        </w:r>
        <w:r w:rsidRPr="009334EF">
          <w:rPr>
            <w:rFonts w:eastAsiaTheme="minorEastAsia"/>
            <w:kern w:val="2"/>
            <w:lang w:val="en-US"/>
            <w14:ligatures w14:val="standardContextual"/>
          </w:rPr>
          <w:tab/>
        </w:r>
        <w:r w:rsidRPr="009334EF">
          <w:rPr>
            <w:rStyle w:val="Hyperlink"/>
            <w:u w:val="none"/>
          </w:rPr>
          <w:t>Firm Fuel Supply Service Capacity Charge</w:t>
        </w:r>
        <w:r w:rsidRPr="009334EF">
          <w:rPr>
            <w:webHidden/>
          </w:rPr>
          <w:tab/>
        </w:r>
        <w:r w:rsidRPr="009334EF">
          <w:rPr>
            <w:webHidden/>
          </w:rPr>
          <w:fldChar w:fldCharType="begin"/>
        </w:r>
        <w:r w:rsidRPr="009334EF">
          <w:rPr>
            <w:webHidden/>
          </w:rPr>
          <w:instrText xml:space="preserve"> PAGEREF _Toc236220238 \h </w:instrText>
        </w:r>
        <w:r w:rsidRPr="009334EF">
          <w:rPr>
            <w:webHidden/>
          </w:rPr>
        </w:r>
        <w:r w:rsidRPr="009334EF">
          <w:rPr>
            <w:webHidden/>
          </w:rPr>
          <w:fldChar w:fldCharType="separate"/>
        </w:r>
        <w:r w:rsidR="00464A0C">
          <w:rPr>
            <w:webHidden/>
          </w:rPr>
          <w:t>6-299</w:t>
        </w:r>
        <w:r w:rsidRPr="009334EF">
          <w:rPr>
            <w:webHidden/>
          </w:rPr>
          <w:fldChar w:fldCharType="end"/>
        </w:r>
      </w:hyperlink>
    </w:p>
    <w:p w14:paraId="202FF882" w14:textId="0A132E74" w:rsidR="009334EF" w:rsidRPr="009334EF" w:rsidRDefault="009334EF">
      <w:pPr>
        <w:pStyle w:val="TOC2"/>
        <w:rPr>
          <w:rFonts w:eastAsiaTheme="minorEastAsia"/>
          <w:noProof/>
          <w:kern w:val="2"/>
          <w14:ligatures w14:val="standardContextual"/>
        </w:rPr>
      </w:pPr>
      <w:hyperlink w:anchor="_Toc236220239" w:history="1">
        <w:r w:rsidRPr="009334EF">
          <w:rPr>
            <w:rStyle w:val="Hyperlink"/>
            <w:noProof/>
            <w:u w:val="none"/>
          </w:rPr>
          <w:t>6.7</w:t>
        </w:r>
        <w:r w:rsidRPr="009334EF">
          <w:rPr>
            <w:rFonts w:eastAsiaTheme="minorEastAsia"/>
            <w:noProof/>
            <w:kern w:val="2"/>
            <w14:ligatures w14:val="standardContextual"/>
          </w:rPr>
          <w:tab/>
        </w:r>
        <w:r w:rsidRPr="009334EF">
          <w:rPr>
            <w:rStyle w:val="Hyperlink"/>
            <w:noProof/>
            <w:u w:val="none"/>
          </w:rPr>
          <w:t>Real-Time Settlement Calculations for the Ancillary Services</w:t>
        </w:r>
        <w:r w:rsidRPr="009334EF">
          <w:rPr>
            <w:noProof/>
            <w:webHidden/>
          </w:rPr>
          <w:tab/>
        </w:r>
        <w:r w:rsidRPr="009334EF">
          <w:rPr>
            <w:noProof/>
            <w:webHidden/>
          </w:rPr>
          <w:fldChar w:fldCharType="begin"/>
        </w:r>
        <w:r w:rsidRPr="009334EF">
          <w:rPr>
            <w:noProof/>
            <w:webHidden/>
          </w:rPr>
          <w:instrText xml:space="preserve"> PAGEREF _Toc236220239 \h </w:instrText>
        </w:r>
        <w:r w:rsidRPr="009334EF">
          <w:rPr>
            <w:noProof/>
            <w:webHidden/>
          </w:rPr>
        </w:r>
        <w:r w:rsidRPr="009334EF">
          <w:rPr>
            <w:noProof/>
            <w:webHidden/>
          </w:rPr>
          <w:fldChar w:fldCharType="separate"/>
        </w:r>
        <w:r w:rsidR="00464A0C">
          <w:rPr>
            <w:noProof/>
            <w:webHidden/>
          </w:rPr>
          <w:t>6-300</w:t>
        </w:r>
        <w:r w:rsidRPr="009334EF">
          <w:rPr>
            <w:noProof/>
            <w:webHidden/>
          </w:rPr>
          <w:fldChar w:fldCharType="end"/>
        </w:r>
      </w:hyperlink>
    </w:p>
    <w:p w14:paraId="6B5D51F0" w14:textId="5A54A745" w:rsidR="009334EF" w:rsidRPr="009334EF" w:rsidRDefault="009334EF">
      <w:pPr>
        <w:pStyle w:val="TOC3"/>
        <w:rPr>
          <w:rFonts w:eastAsiaTheme="minorEastAsia"/>
          <w:i w:val="0"/>
          <w:iCs w:val="0"/>
          <w:kern w:val="2"/>
          <w14:ligatures w14:val="standardContextual"/>
        </w:rPr>
      </w:pPr>
      <w:hyperlink w:anchor="_Toc236220240" w:history="1">
        <w:r w:rsidRPr="009334EF">
          <w:rPr>
            <w:rStyle w:val="Hyperlink"/>
            <w:i w:val="0"/>
            <w:iCs w:val="0"/>
            <w:u w:val="none"/>
          </w:rPr>
          <w:t>6.7.1</w:t>
        </w:r>
        <w:r w:rsidRPr="009334EF">
          <w:rPr>
            <w:rFonts w:eastAsiaTheme="minorEastAsia"/>
            <w:i w:val="0"/>
            <w:iCs w:val="0"/>
            <w:kern w:val="2"/>
            <w14:ligatures w14:val="standardContextual"/>
          </w:rPr>
          <w:tab/>
        </w:r>
        <w:r w:rsidRPr="009334EF">
          <w:rPr>
            <w:rStyle w:val="Hyperlink"/>
            <w:i w:val="0"/>
            <w:iCs w:val="0"/>
            <w:u w:val="none"/>
          </w:rPr>
          <w:t>Real-Time Settlement for Updated Day-Ahead Market Ancillary Service Obligations</w:t>
        </w:r>
        <w:r w:rsidRPr="009334EF">
          <w:rPr>
            <w:i w:val="0"/>
            <w:iCs w:val="0"/>
            <w:webHidden/>
          </w:rPr>
          <w:tab/>
        </w:r>
        <w:r w:rsidRPr="009334EF">
          <w:rPr>
            <w:i w:val="0"/>
            <w:iCs w:val="0"/>
            <w:webHidden/>
          </w:rPr>
          <w:fldChar w:fldCharType="begin"/>
        </w:r>
        <w:r w:rsidRPr="009334EF">
          <w:rPr>
            <w:i w:val="0"/>
            <w:iCs w:val="0"/>
            <w:webHidden/>
          </w:rPr>
          <w:instrText xml:space="preserve"> PAGEREF _Toc236220240 \h </w:instrText>
        </w:r>
        <w:r w:rsidRPr="009334EF">
          <w:rPr>
            <w:i w:val="0"/>
            <w:iCs w:val="0"/>
            <w:webHidden/>
          </w:rPr>
        </w:r>
        <w:r w:rsidRPr="009334EF">
          <w:rPr>
            <w:i w:val="0"/>
            <w:iCs w:val="0"/>
            <w:webHidden/>
          </w:rPr>
          <w:fldChar w:fldCharType="separate"/>
        </w:r>
        <w:r w:rsidR="00464A0C">
          <w:rPr>
            <w:i w:val="0"/>
            <w:iCs w:val="0"/>
            <w:webHidden/>
          </w:rPr>
          <w:t>6-300</w:t>
        </w:r>
        <w:r w:rsidRPr="009334EF">
          <w:rPr>
            <w:i w:val="0"/>
            <w:iCs w:val="0"/>
            <w:webHidden/>
          </w:rPr>
          <w:fldChar w:fldCharType="end"/>
        </w:r>
      </w:hyperlink>
    </w:p>
    <w:p w14:paraId="761D65A9" w14:textId="00C450FB" w:rsidR="009334EF" w:rsidRPr="009334EF" w:rsidRDefault="009334EF">
      <w:pPr>
        <w:pStyle w:val="TOC3"/>
        <w:rPr>
          <w:rFonts w:eastAsiaTheme="minorEastAsia"/>
          <w:i w:val="0"/>
          <w:iCs w:val="0"/>
          <w:kern w:val="2"/>
          <w14:ligatures w14:val="standardContextual"/>
        </w:rPr>
      </w:pPr>
      <w:hyperlink w:anchor="_Toc236220241" w:history="1">
        <w:r w:rsidRPr="009334EF">
          <w:rPr>
            <w:rStyle w:val="Hyperlink"/>
            <w:i w:val="0"/>
            <w:iCs w:val="0"/>
            <w:u w:val="none"/>
          </w:rPr>
          <w:t>6.7.2</w:t>
        </w:r>
        <w:r w:rsidRPr="009334EF">
          <w:rPr>
            <w:rFonts w:eastAsiaTheme="minorEastAsia"/>
            <w:i w:val="0"/>
            <w:iCs w:val="0"/>
            <w:kern w:val="2"/>
            <w14:ligatures w14:val="standardContextual"/>
          </w:rPr>
          <w:tab/>
        </w:r>
        <w:r w:rsidRPr="009334EF">
          <w:rPr>
            <w:rStyle w:val="Hyperlink"/>
            <w:i w:val="0"/>
            <w:iCs w:val="0"/>
            <w:u w:val="none"/>
          </w:rPr>
          <w:t>Real-Time Ancillary Service Charges and Payments</w:t>
        </w:r>
        <w:r w:rsidRPr="009334EF">
          <w:rPr>
            <w:i w:val="0"/>
            <w:iCs w:val="0"/>
            <w:webHidden/>
          </w:rPr>
          <w:tab/>
        </w:r>
        <w:r w:rsidRPr="009334EF">
          <w:rPr>
            <w:i w:val="0"/>
            <w:iCs w:val="0"/>
            <w:webHidden/>
          </w:rPr>
          <w:fldChar w:fldCharType="begin"/>
        </w:r>
        <w:r w:rsidRPr="009334EF">
          <w:rPr>
            <w:i w:val="0"/>
            <w:iCs w:val="0"/>
            <w:webHidden/>
          </w:rPr>
          <w:instrText xml:space="preserve"> PAGEREF _Toc236220241 \h </w:instrText>
        </w:r>
        <w:r w:rsidRPr="009334EF">
          <w:rPr>
            <w:i w:val="0"/>
            <w:iCs w:val="0"/>
            <w:webHidden/>
          </w:rPr>
        </w:r>
        <w:r w:rsidRPr="009334EF">
          <w:rPr>
            <w:i w:val="0"/>
            <w:iCs w:val="0"/>
            <w:webHidden/>
          </w:rPr>
          <w:fldChar w:fldCharType="separate"/>
        </w:r>
        <w:r w:rsidR="00464A0C">
          <w:rPr>
            <w:i w:val="0"/>
            <w:iCs w:val="0"/>
            <w:webHidden/>
          </w:rPr>
          <w:t>6-305</w:t>
        </w:r>
        <w:r w:rsidRPr="009334EF">
          <w:rPr>
            <w:i w:val="0"/>
            <w:iCs w:val="0"/>
            <w:webHidden/>
          </w:rPr>
          <w:fldChar w:fldCharType="end"/>
        </w:r>
      </w:hyperlink>
    </w:p>
    <w:p w14:paraId="60D1FFCD" w14:textId="110ADB1C" w:rsidR="009334EF" w:rsidRPr="009334EF" w:rsidRDefault="009334EF">
      <w:pPr>
        <w:pStyle w:val="TOC4"/>
        <w:rPr>
          <w:rFonts w:eastAsiaTheme="minorEastAsia"/>
          <w:kern w:val="2"/>
          <w:lang w:val="en-US"/>
          <w14:ligatures w14:val="standardContextual"/>
        </w:rPr>
      </w:pPr>
      <w:hyperlink w:anchor="_Toc236220242" w:history="1">
        <w:r w:rsidRPr="009334EF">
          <w:rPr>
            <w:rStyle w:val="Hyperlink"/>
            <w:u w:val="none"/>
          </w:rPr>
          <w:t>6.7.2.1</w:t>
        </w:r>
        <w:r w:rsidRPr="009334EF">
          <w:rPr>
            <w:rFonts w:eastAsiaTheme="minorEastAsia"/>
            <w:kern w:val="2"/>
            <w:lang w:val="en-US"/>
            <w14:ligatures w14:val="standardContextual"/>
          </w:rPr>
          <w:tab/>
        </w:r>
        <w:r w:rsidRPr="009334EF">
          <w:rPr>
            <w:rStyle w:val="Hyperlink"/>
            <w:u w:val="none"/>
          </w:rPr>
          <w:t>Real-Time Ancillary Service Imbalance Payment or Charge</w:t>
        </w:r>
        <w:r w:rsidRPr="009334EF">
          <w:rPr>
            <w:webHidden/>
          </w:rPr>
          <w:tab/>
        </w:r>
        <w:r w:rsidRPr="009334EF">
          <w:rPr>
            <w:webHidden/>
          </w:rPr>
          <w:fldChar w:fldCharType="begin"/>
        </w:r>
        <w:r w:rsidRPr="009334EF">
          <w:rPr>
            <w:webHidden/>
          </w:rPr>
          <w:instrText xml:space="preserve"> PAGEREF _Toc236220242 \h </w:instrText>
        </w:r>
        <w:r w:rsidRPr="009334EF">
          <w:rPr>
            <w:webHidden/>
          </w:rPr>
        </w:r>
        <w:r w:rsidRPr="009334EF">
          <w:rPr>
            <w:webHidden/>
          </w:rPr>
          <w:fldChar w:fldCharType="separate"/>
        </w:r>
        <w:r w:rsidR="00464A0C">
          <w:rPr>
            <w:webHidden/>
          </w:rPr>
          <w:t>6-305</w:t>
        </w:r>
        <w:r w:rsidRPr="009334EF">
          <w:rPr>
            <w:webHidden/>
          </w:rPr>
          <w:fldChar w:fldCharType="end"/>
        </w:r>
      </w:hyperlink>
    </w:p>
    <w:p w14:paraId="734F3B9A" w14:textId="15F92A8D" w:rsidR="009334EF" w:rsidRPr="009334EF" w:rsidRDefault="009334EF">
      <w:pPr>
        <w:pStyle w:val="TOC4"/>
        <w:rPr>
          <w:rFonts w:eastAsiaTheme="minorEastAsia"/>
          <w:kern w:val="2"/>
          <w:lang w:val="en-US"/>
          <w14:ligatures w14:val="standardContextual"/>
        </w:rPr>
      </w:pPr>
      <w:hyperlink w:anchor="_Toc236220243" w:history="1">
        <w:r w:rsidRPr="009334EF">
          <w:rPr>
            <w:rStyle w:val="Hyperlink"/>
            <w:u w:val="none"/>
          </w:rPr>
          <w:t>6.7.2.2</w:t>
        </w:r>
        <w:r w:rsidRPr="009334EF">
          <w:rPr>
            <w:rFonts w:eastAsiaTheme="minorEastAsia"/>
            <w:kern w:val="2"/>
            <w:lang w:val="en-US"/>
            <w14:ligatures w14:val="standardContextual"/>
          </w:rPr>
          <w:tab/>
        </w:r>
        <w:r w:rsidRPr="009334EF">
          <w:rPr>
            <w:rStyle w:val="Hyperlink"/>
            <w:u w:val="none"/>
          </w:rPr>
          <w:t>Regulation Up Service Payments and Charges</w:t>
        </w:r>
        <w:r w:rsidRPr="009334EF">
          <w:rPr>
            <w:webHidden/>
          </w:rPr>
          <w:tab/>
        </w:r>
        <w:r w:rsidRPr="009334EF">
          <w:rPr>
            <w:webHidden/>
          </w:rPr>
          <w:fldChar w:fldCharType="begin"/>
        </w:r>
        <w:r w:rsidRPr="009334EF">
          <w:rPr>
            <w:webHidden/>
          </w:rPr>
          <w:instrText xml:space="preserve"> PAGEREF _Toc236220243 \h </w:instrText>
        </w:r>
        <w:r w:rsidRPr="009334EF">
          <w:rPr>
            <w:webHidden/>
          </w:rPr>
        </w:r>
        <w:r w:rsidRPr="009334EF">
          <w:rPr>
            <w:webHidden/>
          </w:rPr>
          <w:fldChar w:fldCharType="separate"/>
        </w:r>
        <w:r w:rsidR="00464A0C">
          <w:rPr>
            <w:webHidden/>
          </w:rPr>
          <w:t>6-306</w:t>
        </w:r>
        <w:r w:rsidRPr="009334EF">
          <w:rPr>
            <w:webHidden/>
          </w:rPr>
          <w:fldChar w:fldCharType="end"/>
        </w:r>
      </w:hyperlink>
    </w:p>
    <w:p w14:paraId="41AE84DF" w14:textId="540E5AFE" w:rsidR="009334EF" w:rsidRPr="009334EF" w:rsidRDefault="009334EF">
      <w:pPr>
        <w:pStyle w:val="TOC4"/>
        <w:rPr>
          <w:rFonts w:eastAsiaTheme="minorEastAsia"/>
          <w:kern w:val="2"/>
          <w:lang w:val="en-US"/>
          <w14:ligatures w14:val="standardContextual"/>
        </w:rPr>
      </w:pPr>
      <w:hyperlink w:anchor="_Toc236220244" w:history="1">
        <w:r w:rsidRPr="009334EF">
          <w:rPr>
            <w:rStyle w:val="Hyperlink"/>
            <w:u w:val="none"/>
          </w:rPr>
          <w:t>6.7.2.3</w:t>
        </w:r>
        <w:r w:rsidRPr="009334EF">
          <w:rPr>
            <w:rFonts w:eastAsiaTheme="minorEastAsia"/>
            <w:kern w:val="2"/>
            <w:lang w:val="en-US"/>
            <w14:ligatures w14:val="standardContextual"/>
          </w:rPr>
          <w:tab/>
        </w:r>
        <w:r w:rsidRPr="009334EF">
          <w:rPr>
            <w:rStyle w:val="Hyperlink"/>
            <w:u w:val="none"/>
          </w:rPr>
          <w:t>Regulation Down Service Payments and Charges</w:t>
        </w:r>
        <w:r w:rsidRPr="009334EF">
          <w:rPr>
            <w:webHidden/>
          </w:rPr>
          <w:tab/>
        </w:r>
        <w:r w:rsidRPr="009334EF">
          <w:rPr>
            <w:webHidden/>
          </w:rPr>
          <w:fldChar w:fldCharType="begin"/>
        </w:r>
        <w:r w:rsidRPr="009334EF">
          <w:rPr>
            <w:webHidden/>
          </w:rPr>
          <w:instrText xml:space="preserve"> PAGEREF _Toc236220244 \h </w:instrText>
        </w:r>
        <w:r w:rsidRPr="009334EF">
          <w:rPr>
            <w:webHidden/>
          </w:rPr>
        </w:r>
        <w:r w:rsidRPr="009334EF">
          <w:rPr>
            <w:webHidden/>
          </w:rPr>
          <w:fldChar w:fldCharType="separate"/>
        </w:r>
        <w:r w:rsidR="00464A0C">
          <w:rPr>
            <w:webHidden/>
          </w:rPr>
          <w:t>6-308</w:t>
        </w:r>
        <w:r w:rsidRPr="009334EF">
          <w:rPr>
            <w:webHidden/>
          </w:rPr>
          <w:fldChar w:fldCharType="end"/>
        </w:r>
      </w:hyperlink>
    </w:p>
    <w:p w14:paraId="5F2C37A6" w14:textId="5A9A3AC9" w:rsidR="009334EF" w:rsidRPr="009334EF" w:rsidRDefault="009334EF">
      <w:pPr>
        <w:pStyle w:val="TOC4"/>
        <w:rPr>
          <w:rFonts w:eastAsiaTheme="minorEastAsia"/>
          <w:kern w:val="2"/>
          <w:lang w:val="en-US"/>
          <w14:ligatures w14:val="standardContextual"/>
        </w:rPr>
      </w:pPr>
      <w:hyperlink w:anchor="_Toc236220245" w:history="1">
        <w:r w:rsidRPr="009334EF">
          <w:rPr>
            <w:rStyle w:val="Hyperlink"/>
            <w:u w:val="none"/>
          </w:rPr>
          <w:t>6.7.2.4</w:t>
        </w:r>
        <w:r w:rsidRPr="009334EF">
          <w:rPr>
            <w:rFonts w:eastAsiaTheme="minorEastAsia"/>
            <w:kern w:val="2"/>
            <w:lang w:val="en-US"/>
            <w14:ligatures w14:val="standardContextual"/>
          </w:rPr>
          <w:tab/>
        </w:r>
        <w:r w:rsidRPr="009334EF">
          <w:rPr>
            <w:rStyle w:val="Hyperlink"/>
            <w:u w:val="none"/>
          </w:rPr>
          <w:t>Responsive Reserve Payments and Charges</w:t>
        </w:r>
        <w:r w:rsidRPr="009334EF">
          <w:rPr>
            <w:webHidden/>
          </w:rPr>
          <w:tab/>
        </w:r>
        <w:r w:rsidRPr="009334EF">
          <w:rPr>
            <w:webHidden/>
          </w:rPr>
          <w:fldChar w:fldCharType="begin"/>
        </w:r>
        <w:r w:rsidRPr="009334EF">
          <w:rPr>
            <w:webHidden/>
          </w:rPr>
          <w:instrText xml:space="preserve"> PAGEREF _Toc236220245 \h </w:instrText>
        </w:r>
        <w:r w:rsidRPr="009334EF">
          <w:rPr>
            <w:webHidden/>
          </w:rPr>
        </w:r>
        <w:r w:rsidRPr="009334EF">
          <w:rPr>
            <w:webHidden/>
          </w:rPr>
          <w:fldChar w:fldCharType="separate"/>
        </w:r>
        <w:r w:rsidR="00464A0C">
          <w:rPr>
            <w:webHidden/>
          </w:rPr>
          <w:t>6-311</w:t>
        </w:r>
        <w:r w:rsidRPr="009334EF">
          <w:rPr>
            <w:webHidden/>
          </w:rPr>
          <w:fldChar w:fldCharType="end"/>
        </w:r>
      </w:hyperlink>
    </w:p>
    <w:p w14:paraId="3E5FD6F0" w14:textId="285B827D" w:rsidR="009334EF" w:rsidRPr="009334EF" w:rsidRDefault="009334EF">
      <w:pPr>
        <w:pStyle w:val="TOC4"/>
        <w:rPr>
          <w:rFonts w:eastAsiaTheme="minorEastAsia"/>
          <w:kern w:val="2"/>
          <w:lang w:val="en-US"/>
          <w14:ligatures w14:val="standardContextual"/>
        </w:rPr>
      </w:pPr>
      <w:hyperlink w:anchor="_Toc236220246" w:history="1">
        <w:r w:rsidRPr="009334EF">
          <w:rPr>
            <w:rStyle w:val="Hyperlink"/>
            <w:u w:val="none"/>
          </w:rPr>
          <w:t>6.7.2.5</w:t>
        </w:r>
        <w:r w:rsidRPr="009334EF">
          <w:rPr>
            <w:rFonts w:eastAsiaTheme="minorEastAsia"/>
            <w:kern w:val="2"/>
            <w:lang w:val="en-US"/>
            <w14:ligatures w14:val="standardContextual"/>
          </w:rPr>
          <w:tab/>
        </w:r>
        <w:r w:rsidRPr="009334EF">
          <w:rPr>
            <w:rStyle w:val="Hyperlink"/>
            <w:u w:val="none"/>
          </w:rPr>
          <w:t>Non-Spinning Reserve Service Payments and Charges</w:t>
        </w:r>
        <w:r w:rsidRPr="009334EF">
          <w:rPr>
            <w:webHidden/>
          </w:rPr>
          <w:tab/>
        </w:r>
        <w:r w:rsidRPr="009334EF">
          <w:rPr>
            <w:webHidden/>
          </w:rPr>
          <w:fldChar w:fldCharType="begin"/>
        </w:r>
        <w:r w:rsidRPr="009334EF">
          <w:rPr>
            <w:webHidden/>
          </w:rPr>
          <w:instrText xml:space="preserve"> PAGEREF _Toc236220246 \h </w:instrText>
        </w:r>
        <w:r w:rsidRPr="009334EF">
          <w:rPr>
            <w:webHidden/>
          </w:rPr>
        </w:r>
        <w:r w:rsidRPr="009334EF">
          <w:rPr>
            <w:webHidden/>
          </w:rPr>
          <w:fldChar w:fldCharType="separate"/>
        </w:r>
        <w:r w:rsidR="00464A0C">
          <w:rPr>
            <w:webHidden/>
          </w:rPr>
          <w:t>6-314</w:t>
        </w:r>
        <w:r w:rsidRPr="009334EF">
          <w:rPr>
            <w:webHidden/>
          </w:rPr>
          <w:fldChar w:fldCharType="end"/>
        </w:r>
      </w:hyperlink>
    </w:p>
    <w:p w14:paraId="7DC583C9" w14:textId="7E899F4B" w:rsidR="009334EF" w:rsidRPr="009334EF" w:rsidRDefault="009334EF">
      <w:pPr>
        <w:pStyle w:val="TOC4"/>
        <w:rPr>
          <w:rFonts w:eastAsiaTheme="minorEastAsia"/>
          <w:kern w:val="2"/>
          <w:lang w:val="en-US"/>
          <w14:ligatures w14:val="standardContextual"/>
        </w:rPr>
      </w:pPr>
      <w:hyperlink w:anchor="_Toc236220247" w:history="1">
        <w:r w:rsidRPr="009334EF">
          <w:rPr>
            <w:rStyle w:val="Hyperlink"/>
            <w:u w:val="none"/>
          </w:rPr>
          <w:t>6.7.2.6</w:t>
        </w:r>
        <w:r w:rsidRPr="009334EF">
          <w:rPr>
            <w:rFonts w:eastAsiaTheme="minorEastAsia"/>
            <w:kern w:val="2"/>
            <w:lang w:val="en-US"/>
            <w14:ligatures w14:val="standardContextual"/>
          </w:rPr>
          <w:tab/>
        </w:r>
        <w:r w:rsidRPr="009334EF">
          <w:rPr>
            <w:rStyle w:val="Hyperlink"/>
            <w:u w:val="none"/>
          </w:rPr>
          <w:t>ERCOT Contingency Reserve Service Payments and Charges</w:t>
        </w:r>
        <w:r w:rsidRPr="009334EF">
          <w:rPr>
            <w:webHidden/>
          </w:rPr>
          <w:tab/>
        </w:r>
        <w:r w:rsidRPr="009334EF">
          <w:rPr>
            <w:webHidden/>
          </w:rPr>
          <w:fldChar w:fldCharType="begin"/>
        </w:r>
        <w:r w:rsidRPr="009334EF">
          <w:rPr>
            <w:webHidden/>
          </w:rPr>
          <w:instrText xml:space="preserve"> PAGEREF _Toc236220247 \h </w:instrText>
        </w:r>
        <w:r w:rsidRPr="009334EF">
          <w:rPr>
            <w:webHidden/>
          </w:rPr>
        </w:r>
        <w:r w:rsidRPr="009334EF">
          <w:rPr>
            <w:webHidden/>
          </w:rPr>
          <w:fldChar w:fldCharType="separate"/>
        </w:r>
        <w:r w:rsidR="00464A0C">
          <w:rPr>
            <w:webHidden/>
          </w:rPr>
          <w:t>6-316</w:t>
        </w:r>
        <w:r w:rsidRPr="009334EF">
          <w:rPr>
            <w:webHidden/>
          </w:rPr>
          <w:fldChar w:fldCharType="end"/>
        </w:r>
      </w:hyperlink>
    </w:p>
    <w:p w14:paraId="1D5DA49E" w14:textId="45DA4A6D" w:rsidR="009334EF" w:rsidRPr="009334EF" w:rsidRDefault="009334EF">
      <w:pPr>
        <w:pStyle w:val="TOC4"/>
        <w:rPr>
          <w:rFonts w:eastAsiaTheme="minorEastAsia"/>
          <w:kern w:val="2"/>
          <w:lang w:val="en-US"/>
          <w14:ligatures w14:val="standardContextual"/>
        </w:rPr>
      </w:pPr>
      <w:hyperlink w:anchor="_Toc236220248" w:history="1">
        <w:r w:rsidRPr="009334EF">
          <w:rPr>
            <w:rStyle w:val="Hyperlink"/>
            <w:snapToGrid w:val="0"/>
            <w:u w:val="none"/>
          </w:rPr>
          <w:t>6.7.2.7</w:t>
        </w:r>
        <w:r w:rsidRPr="009334EF">
          <w:rPr>
            <w:rFonts w:eastAsiaTheme="minorEastAsia"/>
            <w:kern w:val="2"/>
            <w:lang w:val="en-US"/>
            <w14:ligatures w14:val="standardContextual"/>
          </w:rPr>
          <w:tab/>
        </w:r>
        <w:r w:rsidRPr="009334EF">
          <w:rPr>
            <w:rStyle w:val="Hyperlink"/>
            <w:snapToGrid w:val="0"/>
            <w:u w:val="none"/>
          </w:rPr>
          <w:t>Dispatchable Reliability Reserve Service Payments and Charges</w:t>
        </w:r>
        <w:r w:rsidRPr="009334EF">
          <w:rPr>
            <w:webHidden/>
          </w:rPr>
          <w:tab/>
        </w:r>
        <w:r w:rsidRPr="009334EF">
          <w:rPr>
            <w:webHidden/>
          </w:rPr>
          <w:fldChar w:fldCharType="begin"/>
        </w:r>
        <w:r w:rsidRPr="009334EF">
          <w:rPr>
            <w:webHidden/>
          </w:rPr>
          <w:instrText xml:space="preserve"> PAGEREF _Toc236220248 \h </w:instrText>
        </w:r>
        <w:r w:rsidRPr="009334EF">
          <w:rPr>
            <w:webHidden/>
          </w:rPr>
        </w:r>
        <w:r w:rsidRPr="009334EF">
          <w:rPr>
            <w:webHidden/>
          </w:rPr>
          <w:fldChar w:fldCharType="separate"/>
        </w:r>
        <w:r w:rsidR="00464A0C">
          <w:rPr>
            <w:webHidden/>
          </w:rPr>
          <w:t>6-319</w:t>
        </w:r>
        <w:r w:rsidRPr="009334EF">
          <w:rPr>
            <w:webHidden/>
          </w:rPr>
          <w:fldChar w:fldCharType="end"/>
        </w:r>
      </w:hyperlink>
    </w:p>
    <w:p w14:paraId="2C80F8C6" w14:textId="36060B8C" w:rsidR="009334EF" w:rsidRPr="009334EF" w:rsidRDefault="009334EF">
      <w:pPr>
        <w:pStyle w:val="TOC4"/>
        <w:rPr>
          <w:rFonts w:eastAsiaTheme="minorEastAsia"/>
          <w:kern w:val="2"/>
          <w:lang w:val="en-US"/>
          <w14:ligatures w14:val="standardContextual"/>
        </w:rPr>
      </w:pPr>
      <w:hyperlink w:anchor="_Toc236220249" w:history="1">
        <w:r w:rsidRPr="009334EF">
          <w:rPr>
            <w:rStyle w:val="Hyperlink"/>
            <w:u w:val="none"/>
          </w:rPr>
          <w:t>6.7.2.7</w:t>
        </w:r>
        <w:r w:rsidRPr="009334EF">
          <w:rPr>
            <w:rFonts w:eastAsiaTheme="minorEastAsia"/>
            <w:kern w:val="2"/>
            <w:lang w:val="en-US"/>
            <w14:ligatures w14:val="standardContextual"/>
          </w:rPr>
          <w:tab/>
        </w:r>
        <w:r w:rsidRPr="009334EF">
          <w:rPr>
            <w:rStyle w:val="Hyperlink"/>
            <w:u w:val="none"/>
          </w:rPr>
          <w:t>Real-Time Derated Ancillary Service Capability Payment</w:t>
        </w:r>
        <w:r w:rsidRPr="009334EF">
          <w:rPr>
            <w:webHidden/>
          </w:rPr>
          <w:tab/>
        </w:r>
        <w:r w:rsidRPr="009334EF">
          <w:rPr>
            <w:webHidden/>
          </w:rPr>
          <w:fldChar w:fldCharType="begin"/>
        </w:r>
        <w:r w:rsidRPr="009334EF">
          <w:rPr>
            <w:webHidden/>
          </w:rPr>
          <w:instrText xml:space="preserve"> PAGEREF _Toc236220249 \h </w:instrText>
        </w:r>
        <w:r w:rsidRPr="009334EF">
          <w:rPr>
            <w:webHidden/>
          </w:rPr>
        </w:r>
        <w:r w:rsidRPr="009334EF">
          <w:rPr>
            <w:webHidden/>
          </w:rPr>
          <w:fldChar w:fldCharType="separate"/>
        </w:r>
        <w:r w:rsidR="00464A0C">
          <w:rPr>
            <w:webHidden/>
          </w:rPr>
          <w:t>6-322</w:t>
        </w:r>
        <w:r w:rsidRPr="009334EF">
          <w:rPr>
            <w:webHidden/>
          </w:rPr>
          <w:fldChar w:fldCharType="end"/>
        </w:r>
      </w:hyperlink>
    </w:p>
    <w:p w14:paraId="6AD48052" w14:textId="77841F62" w:rsidR="009334EF" w:rsidRPr="009334EF" w:rsidRDefault="009334EF">
      <w:pPr>
        <w:pStyle w:val="TOC4"/>
        <w:rPr>
          <w:rFonts w:eastAsiaTheme="minorEastAsia"/>
          <w:kern w:val="2"/>
          <w:lang w:val="en-US"/>
          <w14:ligatures w14:val="standardContextual"/>
        </w:rPr>
      </w:pPr>
      <w:hyperlink w:anchor="_Toc236220250" w:history="1">
        <w:r w:rsidRPr="009334EF">
          <w:rPr>
            <w:rStyle w:val="Hyperlink"/>
            <w:u w:val="none"/>
          </w:rPr>
          <w:t>6.7.2.8</w:t>
        </w:r>
        <w:r w:rsidRPr="009334EF">
          <w:rPr>
            <w:rFonts w:eastAsiaTheme="minorEastAsia"/>
            <w:kern w:val="2"/>
            <w:lang w:val="en-US"/>
            <w14:ligatures w14:val="standardContextual"/>
          </w:rPr>
          <w:tab/>
        </w:r>
        <w:r w:rsidRPr="009334EF">
          <w:rPr>
            <w:rStyle w:val="Hyperlink"/>
            <w:u w:val="none"/>
          </w:rPr>
          <w:t>Real-Time Derated Ancillary Service Capability Charge</w:t>
        </w:r>
        <w:r w:rsidRPr="009334EF">
          <w:rPr>
            <w:webHidden/>
          </w:rPr>
          <w:tab/>
        </w:r>
        <w:r w:rsidRPr="009334EF">
          <w:rPr>
            <w:webHidden/>
          </w:rPr>
          <w:fldChar w:fldCharType="begin"/>
        </w:r>
        <w:r w:rsidRPr="009334EF">
          <w:rPr>
            <w:webHidden/>
          </w:rPr>
          <w:instrText xml:space="preserve"> PAGEREF _Toc236220250 \h </w:instrText>
        </w:r>
        <w:r w:rsidRPr="009334EF">
          <w:rPr>
            <w:webHidden/>
          </w:rPr>
        </w:r>
        <w:r w:rsidRPr="009334EF">
          <w:rPr>
            <w:webHidden/>
          </w:rPr>
          <w:fldChar w:fldCharType="separate"/>
        </w:r>
        <w:r w:rsidR="00464A0C">
          <w:rPr>
            <w:webHidden/>
          </w:rPr>
          <w:t>6-325</w:t>
        </w:r>
        <w:r w:rsidRPr="009334EF">
          <w:rPr>
            <w:webHidden/>
          </w:rPr>
          <w:fldChar w:fldCharType="end"/>
        </w:r>
      </w:hyperlink>
    </w:p>
    <w:p w14:paraId="754BB30F" w14:textId="06598A99" w:rsidR="009334EF" w:rsidRPr="009334EF" w:rsidRDefault="009334EF">
      <w:pPr>
        <w:pStyle w:val="TOC3"/>
        <w:rPr>
          <w:rFonts w:eastAsiaTheme="minorEastAsia"/>
          <w:i w:val="0"/>
          <w:iCs w:val="0"/>
          <w:kern w:val="2"/>
          <w14:ligatures w14:val="standardContextual"/>
        </w:rPr>
      </w:pPr>
      <w:hyperlink w:anchor="_Toc236220251" w:history="1">
        <w:r w:rsidRPr="009334EF">
          <w:rPr>
            <w:rStyle w:val="Hyperlink"/>
            <w:i w:val="0"/>
            <w:iCs w:val="0"/>
            <w:u w:val="none"/>
          </w:rPr>
          <w:t>6.7.3</w:t>
        </w:r>
        <w:r w:rsidRPr="009334EF">
          <w:rPr>
            <w:rFonts w:eastAsiaTheme="minorEastAsia"/>
            <w:i w:val="0"/>
            <w:iCs w:val="0"/>
            <w:kern w:val="2"/>
            <w14:ligatures w14:val="standardContextual"/>
          </w:rPr>
          <w:tab/>
        </w:r>
        <w:r w:rsidRPr="009334EF">
          <w:rPr>
            <w:rStyle w:val="Hyperlink"/>
            <w:i w:val="0"/>
            <w:iCs w:val="0"/>
            <w:u w:val="none"/>
          </w:rPr>
          <w:t>Real-Time Ancillary Service Revenue Neutrality Allocation</w:t>
        </w:r>
        <w:r w:rsidRPr="009334EF">
          <w:rPr>
            <w:i w:val="0"/>
            <w:iCs w:val="0"/>
            <w:webHidden/>
          </w:rPr>
          <w:tab/>
        </w:r>
        <w:r w:rsidRPr="009334EF">
          <w:rPr>
            <w:i w:val="0"/>
            <w:iCs w:val="0"/>
            <w:webHidden/>
          </w:rPr>
          <w:fldChar w:fldCharType="begin"/>
        </w:r>
        <w:r w:rsidRPr="009334EF">
          <w:rPr>
            <w:i w:val="0"/>
            <w:iCs w:val="0"/>
            <w:webHidden/>
          </w:rPr>
          <w:instrText xml:space="preserve"> PAGEREF _Toc236220251 \h </w:instrText>
        </w:r>
        <w:r w:rsidRPr="009334EF">
          <w:rPr>
            <w:i w:val="0"/>
            <w:iCs w:val="0"/>
            <w:webHidden/>
          </w:rPr>
        </w:r>
        <w:r w:rsidRPr="009334EF">
          <w:rPr>
            <w:i w:val="0"/>
            <w:iCs w:val="0"/>
            <w:webHidden/>
          </w:rPr>
          <w:fldChar w:fldCharType="separate"/>
        </w:r>
        <w:r w:rsidR="00464A0C">
          <w:rPr>
            <w:i w:val="0"/>
            <w:iCs w:val="0"/>
            <w:webHidden/>
          </w:rPr>
          <w:t>6-326</w:t>
        </w:r>
        <w:r w:rsidRPr="009334EF">
          <w:rPr>
            <w:i w:val="0"/>
            <w:iCs w:val="0"/>
            <w:webHidden/>
          </w:rPr>
          <w:fldChar w:fldCharType="end"/>
        </w:r>
      </w:hyperlink>
    </w:p>
    <w:p w14:paraId="74214E97" w14:textId="0318B1D9" w:rsidR="009334EF" w:rsidRPr="009334EF" w:rsidRDefault="009334EF">
      <w:pPr>
        <w:pStyle w:val="TOC2"/>
        <w:rPr>
          <w:rFonts w:eastAsiaTheme="minorEastAsia"/>
          <w:noProof/>
          <w:kern w:val="2"/>
          <w14:ligatures w14:val="standardContextual"/>
        </w:rPr>
      </w:pPr>
      <w:hyperlink w:anchor="_Toc236220252" w:history="1">
        <w:r w:rsidRPr="009334EF">
          <w:rPr>
            <w:rStyle w:val="Hyperlink"/>
            <w:noProof/>
            <w:snapToGrid w:val="0"/>
            <w:u w:val="none"/>
          </w:rPr>
          <w:t>6.8</w:t>
        </w:r>
        <w:r w:rsidRPr="009334EF">
          <w:rPr>
            <w:rFonts w:eastAsiaTheme="minorEastAsia"/>
            <w:noProof/>
            <w:kern w:val="2"/>
            <w14:ligatures w14:val="standardContextual"/>
          </w:rPr>
          <w:tab/>
        </w:r>
        <w:r w:rsidRPr="009334EF">
          <w:rPr>
            <w:rStyle w:val="Hyperlink"/>
            <w:noProof/>
            <w:snapToGrid w:val="0"/>
            <w:u w:val="none"/>
          </w:rPr>
          <w:t>Settlement for Operating Losses During an LCAP or ECAP Effective Period</w:t>
        </w:r>
        <w:r w:rsidRPr="009334EF">
          <w:rPr>
            <w:noProof/>
            <w:webHidden/>
          </w:rPr>
          <w:tab/>
        </w:r>
        <w:r w:rsidRPr="009334EF">
          <w:rPr>
            <w:noProof/>
            <w:webHidden/>
          </w:rPr>
          <w:fldChar w:fldCharType="begin"/>
        </w:r>
        <w:r w:rsidRPr="009334EF">
          <w:rPr>
            <w:noProof/>
            <w:webHidden/>
          </w:rPr>
          <w:instrText xml:space="preserve"> PAGEREF _Toc236220252 \h </w:instrText>
        </w:r>
        <w:r w:rsidRPr="009334EF">
          <w:rPr>
            <w:noProof/>
            <w:webHidden/>
          </w:rPr>
        </w:r>
        <w:r w:rsidRPr="009334EF">
          <w:rPr>
            <w:noProof/>
            <w:webHidden/>
          </w:rPr>
          <w:fldChar w:fldCharType="separate"/>
        </w:r>
        <w:r w:rsidR="00464A0C">
          <w:rPr>
            <w:noProof/>
            <w:webHidden/>
          </w:rPr>
          <w:t>6-332</w:t>
        </w:r>
        <w:r w:rsidRPr="009334EF">
          <w:rPr>
            <w:noProof/>
            <w:webHidden/>
          </w:rPr>
          <w:fldChar w:fldCharType="end"/>
        </w:r>
      </w:hyperlink>
    </w:p>
    <w:p w14:paraId="3CD0F8B5" w14:textId="7260C002" w:rsidR="009334EF" w:rsidRPr="009334EF" w:rsidRDefault="009334EF">
      <w:pPr>
        <w:pStyle w:val="TOC3"/>
        <w:rPr>
          <w:rFonts w:eastAsiaTheme="minorEastAsia"/>
          <w:i w:val="0"/>
          <w:iCs w:val="0"/>
          <w:kern w:val="2"/>
          <w14:ligatures w14:val="standardContextual"/>
        </w:rPr>
      </w:pPr>
      <w:hyperlink w:anchor="_Toc236220253" w:history="1">
        <w:r w:rsidRPr="009334EF">
          <w:rPr>
            <w:rStyle w:val="Hyperlink"/>
            <w:i w:val="0"/>
            <w:iCs w:val="0"/>
            <w:snapToGrid w:val="0"/>
            <w:u w:val="none"/>
          </w:rPr>
          <w:t>6.8.1</w:t>
        </w:r>
        <w:r w:rsidRPr="009334EF">
          <w:rPr>
            <w:rFonts w:eastAsiaTheme="minorEastAsia"/>
            <w:i w:val="0"/>
            <w:iCs w:val="0"/>
            <w:kern w:val="2"/>
            <w14:ligatures w14:val="standardContextual"/>
          </w:rPr>
          <w:tab/>
        </w:r>
        <w:r w:rsidRPr="009334EF">
          <w:rPr>
            <w:rStyle w:val="Hyperlink"/>
            <w:i w:val="0"/>
            <w:iCs w:val="0"/>
            <w:snapToGrid w:val="0"/>
            <w:u w:val="none"/>
          </w:rPr>
          <w:t>Determination of Operating Losses During an LCAP or ECAP Effective Period</w:t>
        </w:r>
        <w:r w:rsidRPr="009334EF">
          <w:rPr>
            <w:i w:val="0"/>
            <w:iCs w:val="0"/>
            <w:webHidden/>
          </w:rPr>
          <w:tab/>
        </w:r>
        <w:r w:rsidRPr="009334EF">
          <w:rPr>
            <w:i w:val="0"/>
            <w:iCs w:val="0"/>
            <w:webHidden/>
          </w:rPr>
          <w:fldChar w:fldCharType="begin"/>
        </w:r>
        <w:r w:rsidRPr="009334EF">
          <w:rPr>
            <w:i w:val="0"/>
            <w:iCs w:val="0"/>
            <w:webHidden/>
          </w:rPr>
          <w:instrText xml:space="preserve"> PAGEREF _Toc236220253 \h </w:instrText>
        </w:r>
        <w:r w:rsidRPr="009334EF">
          <w:rPr>
            <w:i w:val="0"/>
            <w:iCs w:val="0"/>
            <w:webHidden/>
          </w:rPr>
        </w:r>
        <w:r w:rsidRPr="009334EF">
          <w:rPr>
            <w:i w:val="0"/>
            <w:iCs w:val="0"/>
            <w:webHidden/>
          </w:rPr>
          <w:fldChar w:fldCharType="separate"/>
        </w:r>
        <w:r w:rsidR="00464A0C">
          <w:rPr>
            <w:i w:val="0"/>
            <w:iCs w:val="0"/>
            <w:webHidden/>
          </w:rPr>
          <w:t>6-332</w:t>
        </w:r>
        <w:r w:rsidRPr="009334EF">
          <w:rPr>
            <w:i w:val="0"/>
            <w:iCs w:val="0"/>
            <w:webHidden/>
          </w:rPr>
          <w:fldChar w:fldCharType="end"/>
        </w:r>
      </w:hyperlink>
    </w:p>
    <w:p w14:paraId="37E2095A" w14:textId="599D0B8F" w:rsidR="009334EF" w:rsidRPr="009334EF" w:rsidRDefault="009334EF">
      <w:pPr>
        <w:pStyle w:val="TOC3"/>
        <w:rPr>
          <w:rFonts w:eastAsiaTheme="minorEastAsia"/>
          <w:i w:val="0"/>
          <w:iCs w:val="0"/>
          <w:kern w:val="2"/>
          <w14:ligatures w14:val="standardContextual"/>
        </w:rPr>
      </w:pPr>
      <w:hyperlink w:anchor="_Toc236220254" w:history="1">
        <w:r w:rsidRPr="009334EF">
          <w:rPr>
            <w:rStyle w:val="Hyperlink"/>
            <w:i w:val="0"/>
            <w:iCs w:val="0"/>
            <w:snapToGrid w:val="0"/>
            <w:u w:val="none"/>
          </w:rPr>
          <w:t>6.8.2</w:t>
        </w:r>
        <w:r w:rsidRPr="009334EF">
          <w:rPr>
            <w:rFonts w:eastAsiaTheme="minorEastAsia"/>
            <w:i w:val="0"/>
            <w:iCs w:val="0"/>
            <w:kern w:val="2"/>
            <w14:ligatures w14:val="standardContextual"/>
          </w:rPr>
          <w:tab/>
        </w:r>
        <w:r w:rsidRPr="009334EF">
          <w:rPr>
            <w:rStyle w:val="Hyperlink"/>
            <w:i w:val="0"/>
            <w:iCs w:val="0"/>
            <w:snapToGrid w:val="0"/>
            <w:u w:val="none"/>
          </w:rPr>
          <w:t>Recovery of Operating Losses During an LCAP or ECAP Effective Period</w:t>
        </w:r>
        <w:r w:rsidRPr="009334EF">
          <w:rPr>
            <w:i w:val="0"/>
            <w:iCs w:val="0"/>
            <w:webHidden/>
          </w:rPr>
          <w:tab/>
        </w:r>
        <w:r w:rsidRPr="009334EF">
          <w:rPr>
            <w:i w:val="0"/>
            <w:iCs w:val="0"/>
            <w:webHidden/>
          </w:rPr>
          <w:fldChar w:fldCharType="begin"/>
        </w:r>
        <w:r w:rsidRPr="009334EF">
          <w:rPr>
            <w:i w:val="0"/>
            <w:iCs w:val="0"/>
            <w:webHidden/>
          </w:rPr>
          <w:instrText xml:space="preserve"> PAGEREF _Toc236220254 \h </w:instrText>
        </w:r>
        <w:r w:rsidRPr="009334EF">
          <w:rPr>
            <w:i w:val="0"/>
            <w:iCs w:val="0"/>
            <w:webHidden/>
          </w:rPr>
        </w:r>
        <w:r w:rsidRPr="009334EF">
          <w:rPr>
            <w:i w:val="0"/>
            <w:iCs w:val="0"/>
            <w:webHidden/>
          </w:rPr>
          <w:fldChar w:fldCharType="separate"/>
        </w:r>
        <w:r w:rsidR="00464A0C">
          <w:rPr>
            <w:i w:val="0"/>
            <w:iCs w:val="0"/>
            <w:webHidden/>
          </w:rPr>
          <w:t>6-333</w:t>
        </w:r>
        <w:r w:rsidRPr="009334EF">
          <w:rPr>
            <w:i w:val="0"/>
            <w:iCs w:val="0"/>
            <w:webHidden/>
          </w:rPr>
          <w:fldChar w:fldCharType="end"/>
        </w:r>
      </w:hyperlink>
    </w:p>
    <w:p w14:paraId="758D941D" w14:textId="7AD97519" w:rsidR="009334EF" w:rsidRPr="009334EF" w:rsidRDefault="009334EF">
      <w:pPr>
        <w:pStyle w:val="TOC3"/>
        <w:rPr>
          <w:rFonts w:eastAsiaTheme="minorEastAsia"/>
          <w:i w:val="0"/>
          <w:iCs w:val="0"/>
          <w:kern w:val="2"/>
          <w14:ligatures w14:val="standardContextual"/>
        </w:rPr>
      </w:pPr>
      <w:hyperlink w:anchor="_Toc236220255" w:history="1">
        <w:r w:rsidRPr="009334EF">
          <w:rPr>
            <w:rStyle w:val="Hyperlink"/>
            <w:i w:val="0"/>
            <w:iCs w:val="0"/>
            <w:snapToGrid w:val="0"/>
            <w:u w:val="none"/>
          </w:rPr>
          <w:t>6.8.3</w:t>
        </w:r>
        <w:r w:rsidRPr="009334EF">
          <w:rPr>
            <w:rFonts w:eastAsiaTheme="minorEastAsia"/>
            <w:i w:val="0"/>
            <w:iCs w:val="0"/>
            <w:kern w:val="2"/>
            <w14:ligatures w14:val="standardContextual"/>
          </w:rPr>
          <w:tab/>
        </w:r>
        <w:r w:rsidRPr="009334EF">
          <w:rPr>
            <w:rStyle w:val="Hyperlink"/>
            <w:i w:val="0"/>
            <w:iCs w:val="0"/>
            <w:snapToGrid w:val="0"/>
            <w:u w:val="none"/>
          </w:rPr>
          <w:t>Charges for Operating Losses During an LCAP or ECAP Effective Period</w:t>
        </w:r>
        <w:r w:rsidRPr="009334EF">
          <w:rPr>
            <w:i w:val="0"/>
            <w:iCs w:val="0"/>
            <w:webHidden/>
          </w:rPr>
          <w:tab/>
        </w:r>
        <w:r w:rsidRPr="009334EF">
          <w:rPr>
            <w:i w:val="0"/>
            <w:iCs w:val="0"/>
            <w:webHidden/>
          </w:rPr>
          <w:fldChar w:fldCharType="begin"/>
        </w:r>
        <w:r w:rsidRPr="009334EF">
          <w:rPr>
            <w:i w:val="0"/>
            <w:iCs w:val="0"/>
            <w:webHidden/>
          </w:rPr>
          <w:instrText xml:space="preserve"> PAGEREF _Toc236220255 \h </w:instrText>
        </w:r>
        <w:r w:rsidRPr="009334EF">
          <w:rPr>
            <w:i w:val="0"/>
            <w:iCs w:val="0"/>
            <w:webHidden/>
          </w:rPr>
        </w:r>
        <w:r w:rsidRPr="009334EF">
          <w:rPr>
            <w:i w:val="0"/>
            <w:iCs w:val="0"/>
            <w:webHidden/>
          </w:rPr>
          <w:fldChar w:fldCharType="separate"/>
        </w:r>
        <w:r w:rsidR="00464A0C">
          <w:rPr>
            <w:i w:val="0"/>
            <w:iCs w:val="0"/>
            <w:webHidden/>
          </w:rPr>
          <w:t>6-337</w:t>
        </w:r>
        <w:r w:rsidRPr="009334EF">
          <w:rPr>
            <w:i w:val="0"/>
            <w:iCs w:val="0"/>
            <w:webHidden/>
          </w:rPr>
          <w:fldChar w:fldCharType="end"/>
        </w:r>
      </w:hyperlink>
    </w:p>
    <w:p w14:paraId="5378153E" w14:textId="481D4CED" w:rsidR="009334EF" w:rsidRPr="009334EF" w:rsidRDefault="009334EF">
      <w:pPr>
        <w:pStyle w:val="TOC3"/>
        <w:rPr>
          <w:rFonts w:eastAsiaTheme="minorEastAsia"/>
          <w:i w:val="0"/>
          <w:iCs w:val="0"/>
          <w:kern w:val="2"/>
          <w14:ligatures w14:val="standardContextual"/>
        </w:rPr>
      </w:pPr>
      <w:hyperlink w:anchor="_Toc236220256" w:history="1">
        <w:r w:rsidRPr="009334EF">
          <w:rPr>
            <w:rStyle w:val="Hyperlink"/>
            <w:i w:val="0"/>
            <w:iCs w:val="0"/>
            <w:snapToGrid w:val="0"/>
            <w:u w:val="none"/>
          </w:rPr>
          <w:t>6.8.4    Miscellaneous Invoice for Payments and Charges for an LCAP or ECAP Effective Period</w:t>
        </w:r>
        <w:r w:rsidRPr="009334EF">
          <w:rPr>
            <w:i w:val="0"/>
            <w:iCs w:val="0"/>
            <w:webHidden/>
          </w:rPr>
          <w:tab/>
        </w:r>
        <w:r w:rsidRPr="009334EF">
          <w:rPr>
            <w:i w:val="0"/>
            <w:iCs w:val="0"/>
            <w:webHidden/>
          </w:rPr>
          <w:fldChar w:fldCharType="begin"/>
        </w:r>
        <w:r w:rsidRPr="009334EF">
          <w:rPr>
            <w:i w:val="0"/>
            <w:iCs w:val="0"/>
            <w:webHidden/>
          </w:rPr>
          <w:instrText xml:space="preserve"> PAGEREF _Toc236220256 \h </w:instrText>
        </w:r>
        <w:r w:rsidRPr="009334EF">
          <w:rPr>
            <w:i w:val="0"/>
            <w:iCs w:val="0"/>
            <w:webHidden/>
          </w:rPr>
        </w:r>
        <w:r w:rsidRPr="009334EF">
          <w:rPr>
            <w:i w:val="0"/>
            <w:iCs w:val="0"/>
            <w:webHidden/>
          </w:rPr>
          <w:fldChar w:fldCharType="separate"/>
        </w:r>
        <w:r w:rsidR="00464A0C">
          <w:rPr>
            <w:i w:val="0"/>
            <w:iCs w:val="0"/>
            <w:webHidden/>
          </w:rPr>
          <w:t>6-338</w:t>
        </w:r>
        <w:r w:rsidRPr="009334EF">
          <w:rPr>
            <w:i w:val="0"/>
            <w:iCs w:val="0"/>
            <w:webHidden/>
          </w:rPr>
          <w:fldChar w:fldCharType="end"/>
        </w:r>
      </w:hyperlink>
    </w:p>
    <w:p w14:paraId="457F05BD" w14:textId="40D3DD57" w:rsidR="00A13FF9" w:rsidRPr="0013396E" w:rsidRDefault="00A1378D" w:rsidP="00A13FF9">
      <w:pPr>
        <w:rPr>
          <w:sz w:val="20"/>
        </w:rPr>
        <w:sectPr w:rsidR="00A13FF9" w:rsidRPr="0013396E" w:rsidSect="0011669A">
          <w:headerReference w:type="default" r:id="rId11"/>
          <w:footerReference w:type="default" r:id="rId12"/>
          <w:pgSz w:w="12240" w:h="15840" w:code="1"/>
          <w:pgMar w:top="1440" w:right="1440" w:bottom="1440" w:left="1440" w:header="720" w:footer="720" w:gutter="0"/>
          <w:pgNumType w:chapStyle="1"/>
          <w:cols w:space="720"/>
        </w:sectPr>
      </w:pPr>
      <w:r w:rsidRPr="0013396E">
        <w:rPr>
          <w:bCs/>
          <w:sz w:val="20"/>
        </w:rPr>
        <w:fldChar w:fldCharType="end"/>
      </w:r>
    </w:p>
    <w:p w14:paraId="350BED17" w14:textId="77777777" w:rsidR="00A13FF9" w:rsidRPr="0013396E" w:rsidRDefault="00A13FF9" w:rsidP="00A13FF9">
      <w:pPr>
        <w:pStyle w:val="Heading1"/>
      </w:pPr>
      <w:bookmarkStart w:id="0" w:name="_Toc397504904"/>
      <w:bookmarkStart w:id="1" w:name="_Toc402357032"/>
      <w:bookmarkStart w:id="2" w:name="_Toc422486412"/>
      <w:bookmarkStart w:id="3" w:name="_Toc433093264"/>
      <w:bookmarkStart w:id="4" w:name="_Toc433093422"/>
      <w:bookmarkStart w:id="5" w:name="_Toc440874653"/>
      <w:bookmarkStart w:id="6" w:name="_Toc468286734"/>
      <w:bookmarkStart w:id="7" w:name="_Toc481502780"/>
      <w:bookmarkStart w:id="8" w:name="_Toc496079950"/>
      <w:bookmarkStart w:id="9" w:name="_Toc236220065"/>
      <w:r w:rsidRPr="0013396E">
        <w:lastRenderedPageBreak/>
        <w:t>Adjustment Period and Real-Time Operations</w:t>
      </w:r>
      <w:bookmarkEnd w:id="0"/>
      <w:bookmarkEnd w:id="1"/>
      <w:bookmarkEnd w:id="2"/>
      <w:bookmarkEnd w:id="3"/>
      <w:bookmarkEnd w:id="4"/>
      <w:bookmarkEnd w:id="5"/>
      <w:bookmarkEnd w:id="6"/>
      <w:bookmarkEnd w:id="7"/>
      <w:bookmarkEnd w:id="8"/>
      <w:bookmarkEnd w:id="9"/>
    </w:p>
    <w:p w14:paraId="2593657F" w14:textId="77777777" w:rsidR="001F04FD" w:rsidRPr="0013396E" w:rsidRDefault="001F04FD" w:rsidP="007A1E53">
      <w:pPr>
        <w:pStyle w:val="H2"/>
        <w:spacing w:before="480"/>
        <w:ind w:left="907" w:hanging="907"/>
      </w:pPr>
      <w:bookmarkStart w:id="10" w:name="_Toc73215970"/>
      <w:bookmarkStart w:id="11" w:name="_Toc397504905"/>
      <w:bookmarkStart w:id="12" w:name="_Toc402357033"/>
      <w:bookmarkStart w:id="13" w:name="_Toc422486413"/>
      <w:bookmarkStart w:id="14" w:name="_Toc433093265"/>
      <w:bookmarkStart w:id="15" w:name="_Toc433093423"/>
      <w:bookmarkStart w:id="16" w:name="_Toc440874654"/>
      <w:bookmarkStart w:id="17" w:name="_Toc448142209"/>
      <w:bookmarkStart w:id="18" w:name="_Toc448142366"/>
      <w:bookmarkStart w:id="19" w:name="_Toc458770202"/>
      <w:bookmarkStart w:id="20" w:name="_Toc459294170"/>
      <w:bookmarkStart w:id="21" w:name="_Toc463262663"/>
      <w:bookmarkStart w:id="22" w:name="_Toc468286735"/>
      <w:bookmarkStart w:id="23" w:name="_Toc481502781"/>
      <w:bookmarkStart w:id="24" w:name="_Toc496079951"/>
      <w:bookmarkStart w:id="25" w:name="_Toc236220066"/>
      <w:r w:rsidRPr="0013396E">
        <w:t>6.1</w:t>
      </w:r>
      <w:r w:rsidRPr="0013396E">
        <w:tab/>
        <w:t>Introduction</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22A98052" w14:textId="77777777" w:rsidR="001F04FD" w:rsidRPr="0013396E" w:rsidRDefault="001F04FD" w:rsidP="001F04FD">
      <w:pPr>
        <w:pStyle w:val="BodyTextNumbered"/>
      </w:pPr>
      <w:r w:rsidRPr="0013396E">
        <w:t>(1)</w:t>
      </w:r>
      <w:r w:rsidRPr="0013396E">
        <w:tab/>
        <w:t>This Section addresses the following components: the Adjustment Period and Real-Time Operations, including Emergency Operations.</w:t>
      </w:r>
    </w:p>
    <w:p w14:paraId="5BAC92B1" w14:textId="1E50C8D8" w:rsidR="001F04FD" w:rsidRPr="0013396E" w:rsidRDefault="001F04FD" w:rsidP="001F04FD">
      <w:pPr>
        <w:pStyle w:val="BodyTextNumbered"/>
      </w:pPr>
      <w:r w:rsidRPr="0013396E">
        <w:t>(2)</w:t>
      </w:r>
      <w:r w:rsidRPr="0013396E">
        <w:tab/>
      </w:r>
      <w:r w:rsidR="001D4369" w:rsidRPr="0013396E">
        <w:t>The Adjustment Period provides each Qualified Scheduling Entity (QSE) the opportunity to adjust its trades, Self-Schedules, and Resource commitments as more accurate information becomes available under Section 6.4, Adjustment Period.  During the Adjustment Period, ERCOT continues to evaluate system sufficiency and security by use of Hour-Ahead Reliability Unit Commitment (RUC) processes, as described in Section 5, Transmission Security Analysis and Reliability Unit Commitment.</w:t>
      </w:r>
    </w:p>
    <w:p w14:paraId="06848664" w14:textId="1A912F70" w:rsidR="001F04FD" w:rsidRPr="0013396E" w:rsidRDefault="001F04FD" w:rsidP="007A1E53">
      <w:pPr>
        <w:pStyle w:val="BodyTextNumbered"/>
      </w:pPr>
      <w:r w:rsidRPr="0013396E">
        <w:t>(3)</w:t>
      </w:r>
      <w:r w:rsidRPr="0013396E">
        <w:tab/>
      </w:r>
      <w:r w:rsidR="001D4369" w:rsidRPr="0013396E">
        <w:t>During Real-Time operations,</w:t>
      </w:r>
      <w:r w:rsidR="001D4369" w:rsidRPr="0013396E">
        <w:rPr>
          <w:b/>
        </w:rPr>
        <w:t xml:space="preserve"> </w:t>
      </w:r>
      <w:r w:rsidR="001D4369" w:rsidRPr="0013396E">
        <w:t xml:space="preserve">ERCOT dispatches Resources under normal system conditions and behavior based on economics and reliability to match system Load with On-Line generation while observing Resource and transmission constraints. </w:t>
      </w:r>
      <w:r w:rsidR="00B44B0A">
        <w:t xml:space="preserve"> </w:t>
      </w:r>
      <w:r w:rsidR="001D4369" w:rsidRPr="0013396E">
        <w:t>The Security-Constrained Economic Dispatch (SCED) process produces Base Points and Ancillary Service awards for Resources.  ERCOT uses the Base Points from the SCED process and uses the deployment of Regulation Up Service (Reg-Up), Regulation Down Service (Reg-Down), ERCOT Contingency Reserve Service (ECRS), Responsive Reserve (RRS), and Non-Spinning Reserve (Non-Spin) to control frequency and solve potential reliability issues.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47103" w:rsidRPr="0013396E" w14:paraId="179B832A" w14:textId="77777777" w:rsidTr="00A86863">
        <w:trPr>
          <w:trHeight w:val="206"/>
        </w:trPr>
        <w:tc>
          <w:tcPr>
            <w:tcW w:w="9350" w:type="dxa"/>
            <w:shd w:val="pct12" w:color="auto" w:fill="auto"/>
          </w:tcPr>
          <w:p w14:paraId="4FCAD5F7" w14:textId="05818E13" w:rsidR="00847103" w:rsidRPr="0013396E" w:rsidRDefault="00847103" w:rsidP="00A86863">
            <w:pPr>
              <w:pStyle w:val="Instructions"/>
              <w:spacing w:before="120"/>
            </w:pPr>
            <w:r w:rsidRPr="0013396E">
              <w:t>[NPRR1</w:t>
            </w:r>
            <w:r>
              <w:t>309</w:t>
            </w:r>
            <w:r w:rsidRPr="0013396E">
              <w:t>:  Replace paragraph (</w:t>
            </w:r>
            <w:r>
              <w:t>3</w:t>
            </w:r>
            <w:r w:rsidRPr="0013396E">
              <w:t>) above with the following upon system implementation:]</w:t>
            </w:r>
          </w:p>
          <w:p w14:paraId="32C701C4" w14:textId="43FB63ED" w:rsidR="00847103" w:rsidRPr="00847103" w:rsidRDefault="00847103" w:rsidP="00847103">
            <w:pPr>
              <w:spacing w:before="240" w:after="240"/>
              <w:ind w:left="720" w:hanging="720"/>
              <w:rPr>
                <w:rFonts w:eastAsia="SimSun"/>
                <w:iCs/>
              </w:rPr>
            </w:pPr>
            <w:r w:rsidRPr="00847103">
              <w:rPr>
                <w:rFonts w:eastAsia="SimSun"/>
                <w:iCs/>
              </w:rPr>
              <w:t>(3)</w:t>
            </w:r>
            <w:r w:rsidRPr="00847103">
              <w:rPr>
                <w:rFonts w:eastAsia="SimSun"/>
                <w:iCs/>
              </w:rPr>
              <w:tab/>
              <w:t>During Real-Time operations,</w:t>
            </w:r>
            <w:r w:rsidRPr="00847103">
              <w:rPr>
                <w:rFonts w:eastAsia="SimSun"/>
                <w:b/>
                <w:bCs/>
                <w:iCs/>
              </w:rPr>
              <w:t xml:space="preserve"> </w:t>
            </w:r>
            <w:r w:rsidRPr="00847103">
              <w:rPr>
                <w:rFonts w:eastAsia="SimSun"/>
                <w:iCs/>
              </w:rPr>
              <w:t>ERCOT dispatches Resources under normal system conditions and behavior based on economics and reliability to match system Load with On-Line generation while observing Resource and transmission constraints. The Security-Constrained Economic Dispatch (SCED) process produces Base Points and Ancillary Service awards for Resources.  ERCOT uses the Base Points from the SCED process and uses the deployment of Regulation Up Service (Reg-Up), Regulation Down Service (Reg-Down), ERCOT Contingency Reserve Service (ECRS), Responsive Reserve (RRS), Non-Spinning Reserve (Non-Spin), and Dispatchable Reliability Reserve Service (DRRS) to control frequency and solve potential reliability issues.</w:t>
            </w:r>
          </w:p>
        </w:tc>
      </w:tr>
    </w:tbl>
    <w:p w14:paraId="0AF53B9A" w14:textId="3C8EBF05" w:rsidR="001F04FD" w:rsidRPr="0013396E" w:rsidRDefault="001F04FD" w:rsidP="007C3E74">
      <w:pPr>
        <w:pStyle w:val="BodyTextNumbered"/>
        <w:spacing w:before="240"/>
      </w:pPr>
      <w:r w:rsidRPr="0013396E">
        <w:t>(</w:t>
      </w:r>
      <w:r w:rsidR="002D28ED" w:rsidRPr="0013396E">
        <w:t>4</w:t>
      </w:r>
      <w:r w:rsidRPr="0013396E">
        <w:t>)</w:t>
      </w:r>
      <w:r w:rsidRPr="0013396E">
        <w:tab/>
      </w:r>
      <w:r w:rsidR="001D4369" w:rsidRPr="0013396E">
        <w:t xml:space="preserve">Real-Time energy settlements use Real-Time Settlement Point Prices that are calculated for Resource Nodes, Load Zones, and Hubs for a 15-minute Settlement Interval, using the Locational Marginal Prices (LMPs) from all of the executions of SCED in the Settlement Interval.  Similarly, Real-Time Ancillary Service Settlements use Real-Time Market </w:t>
      </w:r>
      <w:r w:rsidR="00CE39AE">
        <w:t xml:space="preserve">(RTM) </w:t>
      </w:r>
      <w:r w:rsidR="001D4369" w:rsidRPr="0013396E">
        <w:t xml:space="preserve">Clearing Prices for Capacity (MCPCs) for a 15-minute Settlement Interval, using the MCPCs from all of the executions of SCED in the Settlement Interval.  In contrast, the Day-Ahead Market (DAM) energy settlements will use DAM Settlement Point Prices </w:t>
      </w:r>
      <w:r w:rsidR="001D4369" w:rsidRPr="0013396E">
        <w:lastRenderedPageBreak/>
        <w:t>that are calculated for Resource Nodes, Load Zones, and Hubs for a one-hour Settlement Interval, and DAM Ancillary Service Settlements will use DAM MCPCs for a one-hour Settlement Interval.</w:t>
      </w:r>
      <w:bookmarkStart w:id="26" w:name="_Toc78358879"/>
    </w:p>
    <w:p w14:paraId="7CFC4C12" w14:textId="284CA9A4" w:rsidR="00470AB8" w:rsidRPr="0013396E" w:rsidRDefault="001F04FD" w:rsidP="007A1E53">
      <w:pPr>
        <w:pStyle w:val="BodyText"/>
        <w:ind w:left="720" w:hanging="720"/>
      </w:pPr>
      <w:r w:rsidRPr="0013396E">
        <w:t>(</w:t>
      </w:r>
      <w:r w:rsidR="002D28ED" w:rsidRPr="0013396E">
        <w:t>5</w:t>
      </w:r>
      <w:r w:rsidRPr="0013396E">
        <w:t>)</w:t>
      </w:r>
      <w:r w:rsidRPr="0013396E">
        <w:tab/>
        <w:t>To the extent that the ERCOT CEO or designee determines that Market Participant activities have produced an outcome inconsistent with the efficient operation of the ERCOT-administered markets as defined in subsection (c)(2) of P.U.C. S</w:t>
      </w:r>
      <w:r w:rsidRPr="0013396E">
        <w:rPr>
          <w:smallCaps/>
        </w:rPr>
        <w:t>ubst</w:t>
      </w:r>
      <w:r w:rsidRPr="0013396E">
        <w:t xml:space="preserve">. R. 25.503, Oversight of Wholesale Market Participants, ERCOT may prohibit the activity by Notice for a period beginning on the date of the Notice and ending no later than 45 days after the date of the Notice.  ERCOT may issue subsequent Notices on the same activity.  The ERCOT CEO may deem any Nodal Protocol Revision Request (NPRR) designed to correct the activity or issues affecting the activity as Urgent pursuant to Section 21.5, Urgent </w:t>
      </w:r>
      <w:r w:rsidR="00470AB8" w:rsidRPr="0013396E">
        <w:t xml:space="preserve">and Board Priority </w:t>
      </w:r>
      <w:r w:rsidRPr="0013396E">
        <w:t>Nodal Protocol Revision Requests</w:t>
      </w:r>
      <w:r w:rsidR="00470AB8" w:rsidRPr="0013396E">
        <w:t xml:space="preserve"> and System Change Requests</w:t>
      </w:r>
      <w:r w:rsidRPr="0013396E">
        <w:t>.</w:t>
      </w:r>
      <w:bookmarkStart w:id="27" w:name="_Toc397504906"/>
      <w:bookmarkStart w:id="28" w:name="_Toc402357034"/>
      <w:bookmarkStart w:id="29" w:name="_Toc422486414"/>
      <w:bookmarkStart w:id="30" w:name="_Toc433093266"/>
      <w:bookmarkStart w:id="31" w:name="_Toc433093424"/>
      <w:bookmarkStart w:id="32" w:name="_Toc440874655"/>
      <w:bookmarkStart w:id="33" w:name="_Toc448142210"/>
      <w:bookmarkStart w:id="34" w:name="_Toc448142367"/>
      <w:bookmarkStart w:id="35" w:name="_Toc458770203"/>
      <w:bookmarkStart w:id="36" w:name="_Toc459294171"/>
      <w:bookmarkStart w:id="37" w:name="_Toc463262664"/>
      <w:bookmarkStart w:id="38" w:name="_Toc468286736"/>
      <w:bookmarkStart w:id="39" w:name="_Toc481502782"/>
      <w:bookmarkStart w:id="40" w:name="_Toc496079952"/>
    </w:p>
    <w:p w14:paraId="75FF5987" w14:textId="77777777" w:rsidR="001F04FD" w:rsidRPr="0013396E" w:rsidRDefault="001F04FD" w:rsidP="00221A13">
      <w:pPr>
        <w:pStyle w:val="H2"/>
        <w:spacing w:before="480"/>
        <w:ind w:left="907" w:hanging="907"/>
      </w:pPr>
      <w:bookmarkStart w:id="41" w:name="_Toc236220067"/>
      <w:r w:rsidRPr="0013396E">
        <w:t>6.2</w:t>
      </w:r>
      <w:r w:rsidRPr="0013396E">
        <w:tab/>
        <w:t>Market Timeline Summary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601A8E25" w14:textId="77777777" w:rsidR="001F04FD" w:rsidRPr="0013396E" w:rsidRDefault="000468AC" w:rsidP="008E724B">
      <w:pPr>
        <w:pStyle w:val="BodyText"/>
        <w:ind w:left="720" w:hanging="720"/>
      </w:pPr>
      <w:r w:rsidRPr="0013396E">
        <w:t>(1)</w:t>
      </w:r>
      <w:r w:rsidRPr="0013396E">
        <w:tab/>
      </w:r>
      <w:r w:rsidR="001F04FD" w:rsidRPr="0013396E">
        <w:t>The figure below is a high-level summary of the overall market timeline:</w:t>
      </w:r>
    </w:p>
    <w:p w14:paraId="75CC1640" w14:textId="4C5F520E" w:rsidR="001F04FD" w:rsidRPr="0013396E" w:rsidRDefault="00A94020" w:rsidP="001F04FD">
      <w:pPr>
        <w:rPr>
          <w:rStyle w:val="CharCharChar1"/>
        </w:rPr>
      </w:pPr>
      <w:r w:rsidRPr="0013396E">
        <w:rPr>
          <w:noProof/>
        </w:rPr>
        <w:drawing>
          <wp:inline distT="0" distB="0" distL="0" distR="0" wp14:anchorId="0A0AD4E1" wp14:editId="6B8AF17E">
            <wp:extent cx="5705475" cy="3248025"/>
            <wp:effectExtent l="0" t="0" r="9525" b="9525"/>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5475" cy="3248025"/>
                    </a:xfrm>
                    <a:prstGeom prst="rect">
                      <a:avLst/>
                    </a:prstGeom>
                    <a:noFill/>
                    <a:ln>
                      <a:noFill/>
                    </a:ln>
                  </pic:spPr>
                </pic:pic>
              </a:graphicData>
            </a:graphic>
          </wp:inline>
        </w:drawing>
      </w:r>
    </w:p>
    <w:p w14:paraId="5FDC4E9E" w14:textId="77777777" w:rsidR="000778F6" w:rsidRPr="0013396E" w:rsidRDefault="000778F6" w:rsidP="001F04FD">
      <w:pPr>
        <w:pStyle w:val="H2"/>
        <w:ind w:left="0" w:firstLine="0"/>
      </w:pPr>
      <w:bookmarkStart w:id="42" w:name="_Toc397504907"/>
      <w:bookmarkStart w:id="43" w:name="_Toc402357035"/>
      <w:bookmarkStart w:id="44" w:name="_Toc422486415"/>
      <w:bookmarkStart w:id="45" w:name="_Toc433093267"/>
      <w:bookmarkStart w:id="46" w:name="_Toc433093425"/>
      <w:bookmarkStart w:id="47" w:name="_Toc440874656"/>
      <w:bookmarkStart w:id="48" w:name="_Toc448142211"/>
      <w:bookmarkStart w:id="49" w:name="_Toc448142368"/>
      <w:bookmarkStart w:id="50" w:name="_Toc458770204"/>
      <w:bookmarkStart w:id="51" w:name="_Toc459294172"/>
      <w:bookmarkStart w:id="52" w:name="_Toc463262665"/>
      <w:bookmarkStart w:id="53" w:name="_Toc468286737"/>
      <w:bookmarkStart w:id="54" w:name="_Toc481502783"/>
      <w:bookmarkStart w:id="55" w:name="_Toc496079953"/>
    </w:p>
    <w:p w14:paraId="3C11A62C" w14:textId="77777777" w:rsidR="00B21480" w:rsidRDefault="00B21480" w:rsidP="001F04FD">
      <w:pPr>
        <w:pStyle w:val="H2"/>
        <w:ind w:left="0" w:firstLine="0"/>
      </w:pPr>
      <w:bookmarkStart w:id="56" w:name="_Toc119310177"/>
    </w:p>
    <w:p w14:paraId="46F2CEA1" w14:textId="77777777" w:rsidR="00B21480" w:rsidRDefault="00B21480" w:rsidP="001F04FD">
      <w:pPr>
        <w:pStyle w:val="H2"/>
        <w:ind w:left="0" w:firstLine="0"/>
      </w:pPr>
    </w:p>
    <w:p w14:paraId="1AB2433E" w14:textId="77777777" w:rsidR="00B21480" w:rsidRDefault="00B21480" w:rsidP="001F04FD">
      <w:pPr>
        <w:pStyle w:val="H2"/>
        <w:ind w:left="0" w:firstLine="0"/>
      </w:pPr>
    </w:p>
    <w:p w14:paraId="18ACB782" w14:textId="77777777" w:rsidR="00B21480" w:rsidRDefault="00B21480" w:rsidP="001F04FD">
      <w:pPr>
        <w:pStyle w:val="H2"/>
        <w:ind w:left="0" w:firstLine="0"/>
      </w:pPr>
    </w:p>
    <w:p w14:paraId="62E0798A" w14:textId="77777777" w:rsidR="00B21480" w:rsidRDefault="00B21480" w:rsidP="001F04FD">
      <w:pPr>
        <w:pStyle w:val="H2"/>
        <w:ind w:left="0" w:firstLine="0"/>
      </w:pPr>
    </w:p>
    <w:p w14:paraId="65628A07" w14:textId="77777777" w:rsidR="00B21480" w:rsidRDefault="00B21480" w:rsidP="001F04FD">
      <w:pPr>
        <w:pStyle w:val="H2"/>
        <w:ind w:left="0" w:firstLine="0"/>
      </w:pPr>
    </w:p>
    <w:p w14:paraId="29A29D6A" w14:textId="77777777" w:rsidR="00B21480" w:rsidRDefault="00B21480" w:rsidP="001F04FD">
      <w:pPr>
        <w:pStyle w:val="H2"/>
        <w:ind w:left="0" w:firstLine="0"/>
      </w:pPr>
    </w:p>
    <w:p w14:paraId="5CC8DA02" w14:textId="77777777" w:rsidR="00B21480" w:rsidRDefault="00B21480" w:rsidP="001F04FD">
      <w:pPr>
        <w:pStyle w:val="H2"/>
        <w:ind w:left="0" w:firstLine="0"/>
      </w:pPr>
    </w:p>
    <w:p w14:paraId="3DA72608" w14:textId="77777777" w:rsidR="00B21480" w:rsidRDefault="00B21480" w:rsidP="001F04FD">
      <w:pPr>
        <w:pStyle w:val="H2"/>
        <w:ind w:left="0" w:firstLine="0"/>
      </w:pPr>
    </w:p>
    <w:p w14:paraId="184F9B0A" w14:textId="77777777" w:rsidR="00B21480" w:rsidRPr="00B21480" w:rsidRDefault="00B21480" w:rsidP="007A1E53">
      <w:pPr>
        <w:pStyle w:val="BodyText"/>
      </w:pPr>
    </w:p>
    <w:p w14:paraId="613DE931" w14:textId="1D50BE74" w:rsidR="001F04FD" w:rsidRPr="0013396E" w:rsidRDefault="001F04FD" w:rsidP="001F04FD">
      <w:pPr>
        <w:pStyle w:val="H2"/>
        <w:ind w:left="0" w:firstLine="0"/>
      </w:pPr>
      <w:bookmarkStart w:id="57" w:name="_Toc236220068"/>
      <w:r w:rsidRPr="0013396E">
        <w:t>6.3</w:t>
      </w:r>
      <w:r w:rsidRPr="0013396E">
        <w:tab/>
        <w:t>Adjustment Period and Real-Time Operations Timeline</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2F9E9E72" w14:textId="77777777" w:rsidR="001D4369" w:rsidRPr="0013396E" w:rsidRDefault="001D4369" w:rsidP="001D4369">
      <w:pPr>
        <w:pStyle w:val="Instructions"/>
        <w:spacing w:before="120"/>
        <w:ind w:left="690" w:hanging="690"/>
        <w:rPr>
          <w:b w:val="0"/>
          <w:i w:val="0"/>
        </w:rPr>
      </w:pPr>
      <w:r w:rsidRPr="0013396E">
        <w:rPr>
          <w:b w:val="0"/>
          <w:i w:val="0"/>
          <w:szCs w:val="20"/>
        </w:rPr>
        <w:t>(1)</w:t>
      </w:r>
      <w:r w:rsidRPr="0013396E">
        <w:rPr>
          <w:b w:val="0"/>
          <w:i w:val="0"/>
          <w:szCs w:val="20"/>
        </w:rPr>
        <w:tab/>
        <w:t>The figure below highlights the major activities that occur in the Adjustment Period and Real-Time operations:</w:t>
      </w:r>
    </w:p>
    <w:p w14:paraId="733156AD" w14:textId="72535513" w:rsidR="001D4369" w:rsidRPr="0013396E" w:rsidRDefault="001D4369" w:rsidP="001D4369">
      <w:pPr>
        <w:pStyle w:val="Instructions"/>
        <w:spacing w:before="120"/>
      </w:pPr>
      <w:r w:rsidRPr="0013396E">
        <w:rPr>
          <w:b w:val="0"/>
          <w:bCs/>
          <w:i w:val="0"/>
          <w:noProof/>
          <w:sz w:val="20"/>
          <w:szCs w:val="20"/>
        </w:rPr>
        <mc:AlternateContent>
          <mc:Choice Requires="wpc">
            <w:drawing>
              <wp:anchor distT="0" distB="0" distL="114300" distR="114300" simplePos="0" relativeHeight="251697152" behindDoc="0" locked="0" layoutInCell="1" allowOverlap="1" wp14:anchorId="4C838C7E" wp14:editId="58F5D3A6">
                <wp:simplePos x="0" y="0"/>
                <wp:positionH relativeFrom="column">
                  <wp:posOffset>130175</wp:posOffset>
                </wp:positionH>
                <wp:positionV relativeFrom="paragraph">
                  <wp:posOffset>122251</wp:posOffset>
                </wp:positionV>
                <wp:extent cx="5372100" cy="3479165"/>
                <wp:effectExtent l="0" t="0" r="19050" b="0"/>
                <wp:wrapNone/>
                <wp:docPr id="1797423834" name="Canvas 4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839316906" name="Group 117"/>
                        <wpg:cNvGrpSpPr>
                          <a:grpSpLocks/>
                        </wpg:cNvGrpSpPr>
                        <wpg:grpSpPr bwMode="auto">
                          <a:xfrm>
                            <a:off x="80000" y="882616"/>
                            <a:ext cx="5265400" cy="1565329"/>
                            <a:chOff x="2007" y="3420"/>
                            <a:chExt cx="8292" cy="2465"/>
                          </a:xfrm>
                        </wpg:grpSpPr>
                        <wps:wsp>
                          <wps:cNvPr id="1799225380" name="Freeform 118"/>
                          <wps:cNvSpPr>
                            <a:spLocks/>
                          </wps:cNvSpPr>
                          <wps:spPr bwMode="auto">
                            <a:xfrm>
                              <a:off x="2007" y="3420"/>
                              <a:ext cx="8292" cy="2465"/>
                            </a:xfrm>
                            <a:custGeom>
                              <a:avLst/>
                              <a:gdLst>
                                <a:gd name="T0" fmla="*/ 6219 w 8292"/>
                                <a:gd name="T1" fmla="*/ 0 h 2465"/>
                                <a:gd name="T2" fmla="*/ 6219 w 8292"/>
                                <a:gd name="T3" fmla="*/ 616 h 2465"/>
                                <a:gd name="T4" fmla="*/ 0 w 8292"/>
                                <a:gd name="T5" fmla="*/ 616 h 2465"/>
                                <a:gd name="T6" fmla="*/ 0 w 8292"/>
                                <a:gd name="T7" fmla="*/ 1849 h 2465"/>
                                <a:gd name="T8" fmla="*/ 6219 w 8292"/>
                                <a:gd name="T9" fmla="*/ 1849 h 2465"/>
                                <a:gd name="T10" fmla="*/ 6219 w 8292"/>
                                <a:gd name="T11" fmla="*/ 2465 h 2465"/>
                                <a:gd name="T12" fmla="*/ 8292 w 8292"/>
                                <a:gd name="T13" fmla="*/ 1233 h 2465"/>
                                <a:gd name="T14" fmla="*/ 6219 w 8292"/>
                                <a:gd name="T15" fmla="*/ 0 h 246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92" h="2465">
                                  <a:moveTo>
                                    <a:pt x="6219" y="0"/>
                                  </a:moveTo>
                                  <a:lnTo>
                                    <a:pt x="6219" y="616"/>
                                  </a:lnTo>
                                  <a:lnTo>
                                    <a:pt x="0" y="616"/>
                                  </a:lnTo>
                                  <a:lnTo>
                                    <a:pt x="0" y="1849"/>
                                  </a:lnTo>
                                  <a:lnTo>
                                    <a:pt x="6219" y="1849"/>
                                  </a:lnTo>
                                  <a:lnTo>
                                    <a:pt x="6219" y="2465"/>
                                  </a:lnTo>
                                  <a:lnTo>
                                    <a:pt x="8292" y="1233"/>
                                  </a:lnTo>
                                  <a:lnTo>
                                    <a:pt x="6219" y="0"/>
                                  </a:lnTo>
                                  <a:close/>
                                </a:path>
                              </a:pathLst>
                            </a:custGeom>
                            <a:solidFill>
                              <a:srgbClr val="BBE0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03339" name="Freeform 119"/>
                          <wps:cNvSpPr>
                            <a:spLocks/>
                          </wps:cNvSpPr>
                          <wps:spPr bwMode="auto">
                            <a:xfrm>
                              <a:off x="2007" y="3420"/>
                              <a:ext cx="8292" cy="2465"/>
                            </a:xfrm>
                            <a:custGeom>
                              <a:avLst/>
                              <a:gdLst>
                                <a:gd name="T0" fmla="*/ 6219 w 8292"/>
                                <a:gd name="T1" fmla="*/ 0 h 2465"/>
                                <a:gd name="T2" fmla="*/ 6219 w 8292"/>
                                <a:gd name="T3" fmla="*/ 616 h 2465"/>
                                <a:gd name="T4" fmla="*/ 0 w 8292"/>
                                <a:gd name="T5" fmla="*/ 616 h 2465"/>
                                <a:gd name="T6" fmla="*/ 0 w 8292"/>
                                <a:gd name="T7" fmla="*/ 1849 h 2465"/>
                                <a:gd name="T8" fmla="*/ 6219 w 8292"/>
                                <a:gd name="T9" fmla="*/ 1849 h 2465"/>
                                <a:gd name="T10" fmla="*/ 6219 w 8292"/>
                                <a:gd name="T11" fmla="*/ 2465 h 2465"/>
                                <a:gd name="T12" fmla="*/ 8292 w 8292"/>
                                <a:gd name="T13" fmla="*/ 1233 h 2465"/>
                                <a:gd name="T14" fmla="*/ 6219 w 8292"/>
                                <a:gd name="T15" fmla="*/ 0 h 246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92" h="2465">
                                  <a:moveTo>
                                    <a:pt x="6219" y="0"/>
                                  </a:moveTo>
                                  <a:lnTo>
                                    <a:pt x="6219" y="616"/>
                                  </a:lnTo>
                                  <a:lnTo>
                                    <a:pt x="0" y="616"/>
                                  </a:lnTo>
                                  <a:lnTo>
                                    <a:pt x="0" y="1849"/>
                                  </a:lnTo>
                                  <a:lnTo>
                                    <a:pt x="6219" y="1849"/>
                                  </a:lnTo>
                                  <a:lnTo>
                                    <a:pt x="6219" y="2465"/>
                                  </a:lnTo>
                                  <a:lnTo>
                                    <a:pt x="8292" y="1233"/>
                                  </a:lnTo>
                                  <a:lnTo>
                                    <a:pt x="6219" y="0"/>
                                  </a:lnTo>
                                  <a:close/>
                                </a:path>
                              </a:pathLst>
                            </a:custGeom>
                            <a:noFill/>
                            <a:ln w="21"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947971952" name="Group 120"/>
                        <wpg:cNvGrpSpPr>
                          <a:grpSpLocks/>
                        </wpg:cNvGrpSpPr>
                        <wpg:grpSpPr bwMode="auto">
                          <a:xfrm>
                            <a:off x="927700" y="1323925"/>
                            <a:ext cx="1604000" cy="281305"/>
                            <a:chOff x="3342" y="4115"/>
                            <a:chExt cx="2526" cy="443"/>
                          </a:xfrm>
                        </wpg:grpSpPr>
                        <wps:wsp>
                          <wps:cNvPr id="1412536197" name="Freeform 121"/>
                          <wps:cNvSpPr>
                            <a:spLocks/>
                          </wps:cNvSpPr>
                          <wps:spPr bwMode="auto">
                            <a:xfrm>
                              <a:off x="3342" y="4115"/>
                              <a:ext cx="2526" cy="443"/>
                            </a:xfrm>
                            <a:custGeom>
                              <a:avLst/>
                              <a:gdLst>
                                <a:gd name="T0" fmla="*/ 12 w 15966"/>
                                <a:gd name="T1" fmla="*/ 0 h 2800"/>
                                <a:gd name="T2" fmla="*/ 0 w 15966"/>
                                <a:gd name="T3" fmla="*/ 12 h 2800"/>
                                <a:gd name="T4" fmla="*/ 0 w 15966"/>
                                <a:gd name="T5" fmla="*/ 58 h 2800"/>
                                <a:gd name="T6" fmla="*/ 12 w 15966"/>
                                <a:gd name="T7" fmla="*/ 70 h 2800"/>
                                <a:gd name="T8" fmla="*/ 388 w 15966"/>
                                <a:gd name="T9" fmla="*/ 70 h 2800"/>
                                <a:gd name="T10" fmla="*/ 400 w 15966"/>
                                <a:gd name="T11" fmla="*/ 58 h 2800"/>
                                <a:gd name="T12" fmla="*/ 400 w 15966"/>
                                <a:gd name="T13" fmla="*/ 12 h 2800"/>
                                <a:gd name="T14" fmla="*/ 388 w 15966"/>
                                <a:gd name="T15" fmla="*/ 0 h 2800"/>
                                <a:gd name="T16" fmla="*/ 12 w 15966"/>
                                <a:gd name="T17" fmla="*/ 0 h 2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5966" h="2800">
                                  <a:moveTo>
                                    <a:pt x="466" y="0"/>
                                  </a:moveTo>
                                  <a:cubicBezTo>
                                    <a:pt x="209" y="0"/>
                                    <a:pt x="0" y="209"/>
                                    <a:pt x="0" y="467"/>
                                  </a:cubicBezTo>
                                  <a:lnTo>
                                    <a:pt x="0" y="2334"/>
                                  </a:lnTo>
                                  <a:cubicBezTo>
                                    <a:pt x="0" y="2592"/>
                                    <a:pt x="209" y="2800"/>
                                    <a:pt x="466" y="2800"/>
                                  </a:cubicBezTo>
                                  <a:lnTo>
                                    <a:pt x="15500" y="2800"/>
                                  </a:lnTo>
                                  <a:cubicBezTo>
                                    <a:pt x="15758" y="2800"/>
                                    <a:pt x="15966" y="2592"/>
                                    <a:pt x="15966" y="2334"/>
                                  </a:cubicBezTo>
                                  <a:lnTo>
                                    <a:pt x="15966" y="467"/>
                                  </a:lnTo>
                                  <a:cubicBezTo>
                                    <a:pt x="15966" y="209"/>
                                    <a:pt x="15758" y="0"/>
                                    <a:pt x="15500" y="0"/>
                                  </a:cubicBezTo>
                                  <a:lnTo>
                                    <a:pt x="466" y="0"/>
                                  </a:lnTo>
                                  <a:close/>
                                </a:path>
                              </a:pathLst>
                            </a:custGeom>
                            <a:solidFill>
                              <a:srgbClr val="333399"/>
                            </a:solidFill>
                            <a:ln w="0">
                              <a:solidFill>
                                <a:srgbClr val="000000"/>
                              </a:solidFill>
                              <a:round/>
                              <a:headEnd/>
                              <a:tailEnd/>
                            </a:ln>
                          </wps:spPr>
                          <wps:bodyPr rot="0" vert="horz" wrap="square" lIns="91440" tIns="45720" rIns="91440" bIns="45720" anchor="t" anchorCtr="0" upright="1">
                            <a:noAutofit/>
                          </wps:bodyPr>
                        </wps:wsp>
                        <wps:wsp>
                          <wps:cNvPr id="1993019686" name="Freeform 122"/>
                          <wps:cNvSpPr>
                            <a:spLocks/>
                          </wps:cNvSpPr>
                          <wps:spPr bwMode="auto">
                            <a:xfrm>
                              <a:off x="3342" y="4115"/>
                              <a:ext cx="2526" cy="443"/>
                            </a:xfrm>
                            <a:custGeom>
                              <a:avLst/>
                              <a:gdLst>
                                <a:gd name="T0" fmla="*/ 12 w 15966"/>
                                <a:gd name="T1" fmla="*/ 0 h 2800"/>
                                <a:gd name="T2" fmla="*/ 0 w 15966"/>
                                <a:gd name="T3" fmla="*/ 12 h 2800"/>
                                <a:gd name="T4" fmla="*/ 0 w 15966"/>
                                <a:gd name="T5" fmla="*/ 58 h 2800"/>
                                <a:gd name="T6" fmla="*/ 12 w 15966"/>
                                <a:gd name="T7" fmla="*/ 70 h 2800"/>
                                <a:gd name="T8" fmla="*/ 388 w 15966"/>
                                <a:gd name="T9" fmla="*/ 70 h 2800"/>
                                <a:gd name="T10" fmla="*/ 400 w 15966"/>
                                <a:gd name="T11" fmla="*/ 58 h 2800"/>
                                <a:gd name="T12" fmla="*/ 400 w 15966"/>
                                <a:gd name="T13" fmla="*/ 12 h 2800"/>
                                <a:gd name="T14" fmla="*/ 388 w 15966"/>
                                <a:gd name="T15" fmla="*/ 0 h 2800"/>
                                <a:gd name="T16" fmla="*/ 12 w 15966"/>
                                <a:gd name="T17" fmla="*/ 0 h 2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5966" h="2800">
                                  <a:moveTo>
                                    <a:pt x="466" y="0"/>
                                  </a:moveTo>
                                  <a:cubicBezTo>
                                    <a:pt x="209" y="0"/>
                                    <a:pt x="0" y="209"/>
                                    <a:pt x="0" y="467"/>
                                  </a:cubicBezTo>
                                  <a:lnTo>
                                    <a:pt x="0" y="2334"/>
                                  </a:lnTo>
                                  <a:cubicBezTo>
                                    <a:pt x="0" y="2592"/>
                                    <a:pt x="209" y="2800"/>
                                    <a:pt x="466" y="2800"/>
                                  </a:cubicBezTo>
                                  <a:lnTo>
                                    <a:pt x="15500" y="2800"/>
                                  </a:lnTo>
                                  <a:cubicBezTo>
                                    <a:pt x="15758" y="2800"/>
                                    <a:pt x="15966" y="2592"/>
                                    <a:pt x="15966" y="2334"/>
                                  </a:cubicBezTo>
                                  <a:lnTo>
                                    <a:pt x="15966" y="467"/>
                                  </a:lnTo>
                                  <a:cubicBezTo>
                                    <a:pt x="15966" y="209"/>
                                    <a:pt x="15758" y="0"/>
                                    <a:pt x="15500" y="0"/>
                                  </a:cubicBezTo>
                                  <a:lnTo>
                                    <a:pt x="466" y="0"/>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886268667" name="Rectangle 123"/>
                        <wps:cNvSpPr>
                          <a:spLocks noChangeArrowheads="1"/>
                        </wps:cNvSpPr>
                        <wps:spPr bwMode="auto">
                          <a:xfrm>
                            <a:off x="1297900" y="1326525"/>
                            <a:ext cx="9105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50E55" w14:textId="77777777" w:rsidR="001D4369" w:rsidRDefault="001D4369" w:rsidP="001D4369">
                              <w:r>
                                <w:rPr>
                                  <w:rFonts w:ascii="Arial" w:hAnsi="Arial" w:cs="Arial"/>
                                  <w:b/>
                                  <w:bCs/>
                                  <w:color w:val="FFFFFF"/>
                                  <w:sz w:val="20"/>
                                </w:rPr>
                                <w:t>Preparation for</w:t>
                              </w:r>
                            </w:p>
                          </w:txbxContent>
                        </wps:txbx>
                        <wps:bodyPr rot="0" vert="horz" wrap="none" lIns="0" tIns="0" rIns="0" bIns="0" anchor="t" anchorCtr="0" upright="1">
                          <a:spAutoFit/>
                        </wps:bodyPr>
                      </wps:wsp>
                      <wps:wsp>
                        <wps:cNvPr id="1497627003" name="Rectangle 124"/>
                        <wps:cNvSpPr>
                          <a:spLocks noChangeArrowheads="1"/>
                        </wps:cNvSpPr>
                        <wps:spPr bwMode="auto">
                          <a:xfrm>
                            <a:off x="1308100" y="1471327"/>
                            <a:ext cx="2686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1CBD3" w14:textId="77777777" w:rsidR="001D4369" w:rsidRDefault="001D4369" w:rsidP="001D4369">
                              <w:r>
                                <w:rPr>
                                  <w:rFonts w:ascii="Arial" w:hAnsi="Arial" w:cs="Arial"/>
                                  <w:b/>
                                  <w:bCs/>
                                  <w:color w:val="FFFFFF"/>
                                  <w:sz w:val="20"/>
                                </w:rPr>
                                <w:t>Real</w:t>
                              </w:r>
                            </w:p>
                          </w:txbxContent>
                        </wps:txbx>
                        <wps:bodyPr rot="0" vert="horz" wrap="none" lIns="0" tIns="0" rIns="0" bIns="0" anchor="t" anchorCtr="0" upright="1">
                          <a:spAutoFit/>
                        </wps:bodyPr>
                      </wps:wsp>
                      <wps:wsp>
                        <wps:cNvPr id="828544592" name="Rectangle 125"/>
                        <wps:cNvSpPr>
                          <a:spLocks noChangeArrowheads="1"/>
                        </wps:cNvSpPr>
                        <wps:spPr bwMode="auto">
                          <a:xfrm>
                            <a:off x="1562100" y="1471327"/>
                            <a:ext cx="425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97BA3" w14:textId="77777777" w:rsidR="001D4369" w:rsidRDefault="001D4369" w:rsidP="001D4369">
                              <w:r>
                                <w:rPr>
                                  <w:rFonts w:ascii="Arial" w:hAnsi="Arial" w:cs="Arial"/>
                                  <w:b/>
                                  <w:bCs/>
                                  <w:color w:val="FFFFFF"/>
                                  <w:sz w:val="20"/>
                                </w:rPr>
                                <w:t>-</w:t>
                              </w:r>
                            </w:p>
                          </w:txbxContent>
                        </wps:txbx>
                        <wps:bodyPr rot="0" vert="horz" wrap="none" lIns="0" tIns="0" rIns="0" bIns="0" anchor="t" anchorCtr="0" upright="1">
                          <a:spAutoFit/>
                        </wps:bodyPr>
                      </wps:wsp>
                      <wps:wsp>
                        <wps:cNvPr id="782260554" name="Rectangle 126"/>
                        <wps:cNvSpPr>
                          <a:spLocks noChangeArrowheads="1"/>
                        </wps:cNvSpPr>
                        <wps:spPr bwMode="auto">
                          <a:xfrm>
                            <a:off x="1602100" y="1471327"/>
                            <a:ext cx="579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3CC60" w14:textId="77777777" w:rsidR="001D4369" w:rsidRDefault="001D4369" w:rsidP="001D4369">
                              <w:r>
                                <w:rPr>
                                  <w:rFonts w:ascii="Arial" w:hAnsi="Arial" w:cs="Arial"/>
                                  <w:b/>
                                  <w:bCs/>
                                  <w:color w:val="FFFFFF"/>
                                  <w:sz w:val="20"/>
                                </w:rPr>
                                <w:t>Time Ops</w:t>
                              </w:r>
                            </w:p>
                          </w:txbxContent>
                        </wps:txbx>
                        <wps:bodyPr rot="0" vert="horz" wrap="none" lIns="0" tIns="0" rIns="0" bIns="0" anchor="t" anchorCtr="0" upright="1">
                          <a:spAutoFit/>
                        </wps:bodyPr>
                      </wps:wsp>
                      <wpg:wgp>
                        <wpg:cNvPr id="2110426919" name="Group 127"/>
                        <wpg:cNvGrpSpPr>
                          <a:grpSpLocks/>
                        </wpg:cNvGrpSpPr>
                        <wpg:grpSpPr bwMode="auto">
                          <a:xfrm>
                            <a:off x="160600" y="1323925"/>
                            <a:ext cx="723300" cy="682713"/>
                            <a:chOff x="2134" y="4115"/>
                            <a:chExt cx="1139" cy="1075"/>
                          </a:xfrm>
                        </wpg:grpSpPr>
                        <wps:wsp>
                          <wps:cNvPr id="36778401" name="Freeform 128"/>
                          <wps:cNvSpPr>
                            <a:spLocks/>
                          </wps:cNvSpPr>
                          <wps:spPr bwMode="auto">
                            <a:xfrm>
                              <a:off x="2134" y="4115"/>
                              <a:ext cx="1139" cy="1075"/>
                            </a:xfrm>
                            <a:custGeom>
                              <a:avLst/>
                              <a:gdLst>
                                <a:gd name="T0" fmla="*/ 28 w 7200"/>
                                <a:gd name="T1" fmla="*/ 0 h 6800"/>
                                <a:gd name="T2" fmla="*/ 0 w 7200"/>
                                <a:gd name="T3" fmla="*/ 28 h 6800"/>
                                <a:gd name="T4" fmla="*/ 0 w 7200"/>
                                <a:gd name="T5" fmla="*/ 142 h 6800"/>
                                <a:gd name="T6" fmla="*/ 28 w 7200"/>
                                <a:gd name="T7" fmla="*/ 170 h 6800"/>
                                <a:gd name="T8" fmla="*/ 152 w 7200"/>
                                <a:gd name="T9" fmla="*/ 170 h 6800"/>
                                <a:gd name="T10" fmla="*/ 180 w 7200"/>
                                <a:gd name="T11" fmla="*/ 142 h 6800"/>
                                <a:gd name="T12" fmla="*/ 180 w 7200"/>
                                <a:gd name="T13" fmla="*/ 28 h 6800"/>
                                <a:gd name="T14" fmla="*/ 152 w 7200"/>
                                <a:gd name="T15" fmla="*/ 0 h 6800"/>
                                <a:gd name="T16" fmla="*/ 28 w 7200"/>
                                <a:gd name="T17" fmla="*/ 0 h 6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200" h="6800">
                                  <a:moveTo>
                                    <a:pt x="1134" y="0"/>
                                  </a:moveTo>
                                  <a:cubicBezTo>
                                    <a:pt x="508" y="0"/>
                                    <a:pt x="0" y="508"/>
                                    <a:pt x="0" y="1134"/>
                                  </a:cubicBezTo>
                                  <a:lnTo>
                                    <a:pt x="0" y="5667"/>
                                  </a:lnTo>
                                  <a:cubicBezTo>
                                    <a:pt x="0" y="6293"/>
                                    <a:pt x="508" y="6800"/>
                                    <a:pt x="1134" y="6800"/>
                                  </a:cubicBezTo>
                                  <a:lnTo>
                                    <a:pt x="6067" y="6800"/>
                                  </a:lnTo>
                                  <a:cubicBezTo>
                                    <a:pt x="6693" y="6800"/>
                                    <a:pt x="7200" y="6293"/>
                                    <a:pt x="7200" y="5667"/>
                                  </a:cubicBezTo>
                                  <a:lnTo>
                                    <a:pt x="7200" y="1134"/>
                                  </a:lnTo>
                                  <a:cubicBezTo>
                                    <a:pt x="7200" y="508"/>
                                    <a:pt x="6693" y="0"/>
                                    <a:pt x="6067" y="0"/>
                                  </a:cubicBezTo>
                                  <a:lnTo>
                                    <a:pt x="1134" y="0"/>
                                  </a:lnTo>
                                  <a:close/>
                                </a:path>
                              </a:pathLst>
                            </a:custGeom>
                            <a:solidFill>
                              <a:srgbClr val="333399"/>
                            </a:solidFill>
                            <a:ln w="0">
                              <a:solidFill>
                                <a:srgbClr val="000000"/>
                              </a:solidFill>
                              <a:round/>
                              <a:headEnd/>
                              <a:tailEnd/>
                            </a:ln>
                          </wps:spPr>
                          <wps:bodyPr rot="0" vert="horz" wrap="square" lIns="91440" tIns="45720" rIns="91440" bIns="45720" anchor="t" anchorCtr="0" upright="1">
                            <a:noAutofit/>
                          </wps:bodyPr>
                        </wps:wsp>
                        <wps:wsp>
                          <wps:cNvPr id="1074305229" name="Freeform 129"/>
                          <wps:cNvSpPr>
                            <a:spLocks/>
                          </wps:cNvSpPr>
                          <wps:spPr bwMode="auto">
                            <a:xfrm>
                              <a:off x="2134" y="4115"/>
                              <a:ext cx="1139" cy="1075"/>
                            </a:xfrm>
                            <a:custGeom>
                              <a:avLst/>
                              <a:gdLst>
                                <a:gd name="T0" fmla="*/ 28 w 7200"/>
                                <a:gd name="T1" fmla="*/ 0 h 6800"/>
                                <a:gd name="T2" fmla="*/ 0 w 7200"/>
                                <a:gd name="T3" fmla="*/ 28 h 6800"/>
                                <a:gd name="T4" fmla="*/ 0 w 7200"/>
                                <a:gd name="T5" fmla="*/ 142 h 6800"/>
                                <a:gd name="T6" fmla="*/ 28 w 7200"/>
                                <a:gd name="T7" fmla="*/ 170 h 6800"/>
                                <a:gd name="T8" fmla="*/ 152 w 7200"/>
                                <a:gd name="T9" fmla="*/ 170 h 6800"/>
                                <a:gd name="T10" fmla="*/ 180 w 7200"/>
                                <a:gd name="T11" fmla="*/ 142 h 6800"/>
                                <a:gd name="T12" fmla="*/ 180 w 7200"/>
                                <a:gd name="T13" fmla="*/ 28 h 6800"/>
                                <a:gd name="T14" fmla="*/ 152 w 7200"/>
                                <a:gd name="T15" fmla="*/ 0 h 6800"/>
                                <a:gd name="T16" fmla="*/ 28 w 7200"/>
                                <a:gd name="T17" fmla="*/ 0 h 6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200" h="6800">
                                  <a:moveTo>
                                    <a:pt x="1134" y="0"/>
                                  </a:moveTo>
                                  <a:cubicBezTo>
                                    <a:pt x="508" y="0"/>
                                    <a:pt x="0" y="508"/>
                                    <a:pt x="0" y="1134"/>
                                  </a:cubicBezTo>
                                  <a:lnTo>
                                    <a:pt x="0" y="5667"/>
                                  </a:lnTo>
                                  <a:cubicBezTo>
                                    <a:pt x="0" y="6293"/>
                                    <a:pt x="508" y="6800"/>
                                    <a:pt x="1134" y="6800"/>
                                  </a:cubicBezTo>
                                  <a:lnTo>
                                    <a:pt x="6067" y="6800"/>
                                  </a:lnTo>
                                  <a:cubicBezTo>
                                    <a:pt x="6693" y="6800"/>
                                    <a:pt x="7200" y="6293"/>
                                    <a:pt x="7200" y="5667"/>
                                  </a:cubicBezTo>
                                  <a:lnTo>
                                    <a:pt x="7200" y="1134"/>
                                  </a:lnTo>
                                  <a:cubicBezTo>
                                    <a:pt x="7200" y="508"/>
                                    <a:pt x="6693" y="0"/>
                                    <a:pt x="6067" y="0"/>
                                  </a:cubicBezTo>
                                  <a:lnTo>
                                    <a:pt x="1134" y="0"/>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2125658208" name="Rectangle 130"/>
                        <wps:cNvSpPr>
                          <a:spLocks noChangeArrowheads="1"/>
                        </wps:cNvSpPr>
                        <wps:spPr bwMode="auto">
                          <a:xfrm>
                            <a:off x="221000" y="1598930"/>
                            <a:ext cx="635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63445" w14:textId="77777777" w:rsidR="001D4369" w:rsidRDefault="001D4369" w:rsidP="001D4369">
                              <w:r>
                                <w:rPr>
                                  <w:rFonts w:ascii="Arial" w:hAnsi="Arial" w:cs="Arial"/>
                                  <w:b/>
                                  <w:bCs/>
                                  <w:color w:val="FFFFFF"/>
                                  <w:sz w:val="20"/>
                                </w:rPr>
                                <w:t>Adj Period</w:t>
                              </w:r>
                            </w:p>
                          </w:txbxContent>
                        </wps:txbx>
                        <wps:bodyPr rot="0" vert="horz" wrap="none" lIns="0" tIns="0" rIns="0" bIns="0" anchor="t" anchorCtr="0" upright="1">
                          <a:spAutoFit/>
                        </wps:bodyPr>
                      </wps:wsp>
                      <wps:wsp>
                        <wps:cNvPr id="1533975182" name="Rectangle 131"/>
                        <wps:cNvSpPr>
                          <a:spLocks noChangeArrowheads="1"/>
                        </wps:cNvSpPr>
                        <wps:spPr bwMode="auto">
                          <a:xfrm>
                            <a:off x="48300" y="2301243"/>
                            <a:ext cx="325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52C03" w14:textId="77777777" w:rsidR="001D4369" w:rsidRDefault="001D4369" w:rsidP="001D4369">
                              <w:r>
                                <w:rPr>
                                  <w:rFonts w:ascii="Arial" w:hAnsi="Arial" w:cs="Arial"/>
                                  <w:b/>
                                  <w:bCs/>
                                  <w:color w:val="000000"/>
                                  <w:sz w:val="20"/>
                                </w:rPr>
                                <w:t>18:00</w:t>
                              </w:r>
                            </w:p>
                          </w:txbxContent>
                        </wps:txbx>
                        <wps:bodyPr rot="0" vert="horz" wrap="none" lIns="0" tIns="0" rIns="0" bIns="0" anchor="t" anchorCtr="0" upright="1">
                          <a:spAutoFit/>
                        </wps:bodyPr>
                      </wps:wsp>
                      <wps:wsp>
                        <wps:cNvPr id="1068829149" name="Rectangle 132"/>
                        <wps:cNvSpPr>
                          <a:spLocks noChangeArrowheads="1"/>
                        </wps:cNvSpPr>
                        <wps:spPr bwMode="auto">
                          <a:xfrm>
                            <a:off x="48300" y="2446046"/>
                            <a:ext cx="134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04F3E" w14:textId="77777777" w:rsidR="001D4369" w:rsidRDefault="001D4369" w:rsidP="001D4369">
                              <w:r>
                                <w:rPr>
                                  <w:rFonts w:ascii="Arial" w:hAnsi="Arial" w:cs="Arial"/>
                                  <w:b/>
                                  <w:bCs/>
                                  <w:color w:val="000000"/>
                                  <w:sz w:val="20"/>
                                </w:rPr>
                                <w:t xml:space="preserve">(D </w:t>
                              </w:r>
                            </w:p>
                          </w:txbxContent>
                        </wps:txbx>
                        <wps:bodyPr rot="0" vert="horz" wrap="none" lIns="0" tIns="0" rIns="0" bIns="0" anchor="t" anchorCtr="0" upright="1">
                          <a:spAutoFit/>
                        </wps:bodyPr>
                      </wps:wsp>
                      <wps:wsp>
                        <wps:cNvPr id="1244010377" name="Rectangle 133"/>
                        <wps:cNvSpPr>
                          <a:spLocks noChangeArrowheads="1"/>
                        </wps:cNvSpPr>
                        <wps:spPr bwMode="auto">
                          <a:xfrm>
                            <a:off x="208900" y="2446046"/>
                            <a:ext cx="71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F9B0E" w14:textId="77777777" w:rsidR="001D4369" w:rsidRDefault="001D4369" w:rsidP="001D4369">
                              <w:r>
                                <w:rPr>
                                  <w:rFonts w:ascii="Arial" w:hAnsi="Arial" w:cs="Arial"/>
                                  <w:b/>
                                  <w:bCs/>
                                  <w:color w:val="000000"/>
                                  <w:sz w:val="20"/>
                                </w:rPr>
                                <w:t>–</w:t>
                              </w:r>
                            </w:p>
                          </w:txbxContent>
                        </wps:txbx>
                        <wps:bodyPr rot="0" vert="horz" wrap="none" lIns="0" tIns="0" rIns="0" bIns="0" anchor="t" anchorCtr="0" upright="1">
                          <a:spAutoFit/>
                        </wps:bodyPr>
                      </wps:wsp>
                      <wps:wsp>
                        <wps:cNvPr id="1713046920" name="Rectangle 134"/>
                        <wps:cNvSpPr>
                          <a:spLocks noChangeArrowheads="1"/>
                        </wps:cNvSpPr>
                        <wps:spPr bwMode="auto">
                          <a:xfrm>
                            <a:off x="309200" y="2446046"/>
                            <a:ext cx="11303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FEE94" w14:textId="77777777" w:rsidR="001D4369" w:rsidRDefault="001D4369" w:rsidP="001D4369">
                              <w:r>
                                <w:rPr>
                                  <w:rFonts w:ascii="Arial" w:hAnsi="Arial" w:cs="Arial"/>
                                  <w:b/>
                                  <w:bCs/>
                                  <w:color w:val="000000"/>
                                  <w:sz w:val="20"/>
                                </w:rPr>
                                <w:t>1)</w:t>
                              </w:r>
                            </w:p>
                          </w:txbxContent>
                        </wps:txbx>
                        <wps:bodyPr rot="0" vert="horz" wrap="none" lIns="0" tIns="0" rIns="0" bIns="0" anchor="t" anchorCtr="0" upright="1">
                          <a:spAutoFit/>
                        </wps:bodyPr>
                      </wps:wsp>
                      <wps:wsp>
                        <wps:cNvPr id="2037959410" name="Rectangle 135"/>
                        <wps:cNvSpPr>
                          <a:spLocks noChangeArrowheads="1"/>
                        </wps:cNvSpPr>
                        <wps:spPr bwMode="auto">
                          <a:xfrm>
                            <a:off x="552500" y="2316443"/>
                            <a:ext cx="6565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B51A3" w14:textId="77777777" w:rsidR="001D4369" w:rsidRDefault="001D4369" w:rsidP="001D4369">
                              <w:r>
                                <w:rPr>
                                  <w:rFonts w:ascii="Arial" w:hAnsi="Arial" w:cs="Arial"/>
                                  <w:b/>
                                  <w:bCs/>
                                  <w:color w:val="000000"/>
                                  <w:sz w:val="20"/>
                                </w:rPr>
                                <w:t>60 Minutes</w:t>
                              </w:r>
                            </w:p>
                          </w:txbxContent>
                        </wps:txbx>
                        <wps:bodyPr rot="0" vert="horz" wrap="none" lIns="0" tIns="0" rIns="0" bIns="0" anchor="t" anchorCtr="0" upright="1">
                          <a:spAutoFit/>
                        </wps:bodyPr>
                      </wps:wsp>
                      <wps:wsp>
                        <wps:cNvPr id="873604951" name="Rectangle 136"/>
                        <wps:cNvSpPr>
                          <a:spLocks noChangeArrowheads="1"/>
                        </wps:cNvSpPr>
                        <wps:spPr bwMode="auto">
                          <a:xfrm>
                            <a:off x="649000" y="2461846"/>
                            <a:ext cx="452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2D888" w14:textId="77777777" w:rsidR="001D4369" w:rsidRDefault="001D4369" w:rsidP="001D4369">
                              <w:r>
                                <w:rPr>
                                  <w:rFonts w:ascii="Arial" w:hAnsi="Arial" w:cs="Arial"/>
                                  <w:b/>
                                  <w:bCs/>
                                  <w:color w:val="000000"/>
                                  <w:sz w:val="20"/>
                                </w:rPr>
                                <w:t>Prior to</w:t>
                              </w:r>
                            </w:p>
                          </w:txbxContent>
                        </wps:txbx>
                        <wps:bodyPr rot="0" vert="horz" wrap="none" lIns="0" tIns="0" rIns="0" bIns="0" anchor="t" anchorCtr="0" upright="1">
                          <a:spAutoFit/>
                        </wps:bodyPr>
                      </wps:wsp>
                      <wps:wsp>
                        <wps:cNvPr id="962027991" name="Rectangle 137"/>
                        <wps:cNvSpPr>
                          <a:spLocks noChangeArrowheads="1"/>
                        </wps:cNvSpPr>
                        <wps:spPr bwMode="auto">
                          <a:xfrm>
                            <a:off x="622300" y="2606649"/>
                            <a:ext cx="5080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F7E61" w14:textId="77777777" w:rsidR="001D4369" w:rsidRDefault="001D4369" w:rsidP="001D4369">
                              <w:r>
                                <w:rPr>
                                  <w:rFonts w:ascii="Arial" w:hAnsi="Arial" w:cs="Arial"/>
                                  <w:b/>
                                  <w:bCs/>
                                  <w:color w:val="000000"/>
                                  <w:sz w:val="20"/>
                                </w:rPr>
                                <w:t>Op Hour</w:t>
                              </w:r>
                            </w:p>
                          </w:txbxContent>
                        </wps:txbx>
                        <wps:bodyPr rot="0" vert="horz" wrap="none" lIns="0" tIns="0" rIns="0" bIns="0" anchor="t" anchorCtr="0" upright="1">
                          <a:spAutoFit/>
                        </wps:bodyPr>
                      </wps:wsp>
                      <wpg:wgp>
                        <wpg:cNvPr id="1330891185" name="Group 138"/>
                        <wpg:cNvGrpSpPr>
                          <a:grpSpLocks/>
                        </wpg:cNvGrpSpPr>
                        <wpg:grpSpPr bwMode="auto">
                          <a:xfrm>
                            <a:off x="202500" y="467067"/>
                            <a:ext cx="1406500" cy="576253"/>
                            <a:chOff x="2197" y="2598"/>
                            <a:chExt cx="2215" cy="1075"/>
                          </a:xfrm>
                        </wpg:grpSpPr>
                        <wps:wsp>
                          <wps:cNvPr id="743237116" name="Rectangle 139"/>
                          <wps:cNvSpPr>
                            <a:spLocks noChangeArrowheads="1"/>
                          </wps:cNvSpPr>
                          <wps:spPr bwMode="auto">
                            <a:xfrm>
                              <a:off x="2197" y="2598"/>
                              <a:ext cx="2215" cy="1075"/>
                            </a:xfrm>
                            <a:prstGeom prst="rect">
                              <a:avLst/>
                            </a:prstGeom>
                            <a:solidFill>
                              <a:srgbClr val="99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099268" name="Rectangle 140"/>
                          <wps:cNvSpPr>
                            <a:spLocks noChangeArrowheads="1"/>
                          </wps:cNvSpPr>
                          <wps:spPr bwMode="auto">
                            <a:xfrm>
                              <a:off x="2197" y="2598"/>
                              <a:ext cx="2215" cy="1075"/>
                            </a:xfrm>
                            <a:prstGeom prst="rect">
                              <a:avLst/>
                            </a:prstGeom>
                            <a:noFill/>
                            <a:ln w="8"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14018445" name="Rectangle 141"/>
                        <wps:cNvSpPr>
                          <a:spLocks noChangeArrowheads="1"/>
                        </wps:cNvSpPr>
                        <wps:spPr bwMode="auto">
                          <a:xfrm>
                            <a:off x="582300" y="556973"/>
                            <a:ext cx="612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58330" w14:textId="77777777" w:rsidR="001D4369" w:rsidRDefault="001D4369" w:rsidP="001D4369">
                              <w:r>
                                <w:rPr>
                                  <w:rFonts w:ascii="Arial" w:hAnsi="Arial" w:cs="Arial"/>
                                  <w:b/>
                                  <w:bCs/>
                                  <w:color w:val="FFFFFF"/>
                                  <w:sz w:val="14"/>
                                  <w:szCs w:val="14"/>
                                </w:rPr>
                                <w:t>QSE Deadline:</w:t>
                              </w:r>
                            </w:p>
                          </w:txbxContent>
                        </wps:txbx>
                        <wps:bodyPr rot="0" vert="horz" wrap="none" lIns="0" tIns="0" rIns="0" bIns="0" anchor="t" anchorCtr="0" upright="1">
                          <a:spAutoFit/>
                        </wps:bodyPr>
                      </wps:wsp>
                      <wps:wsp>
                        <wps:cNvPr id="789235591" name="Rectangle 142"/>
                        <wps:cNvSpPr>
                          <a:spLocks noChangeArrowheads="1"/>
                        </wps:cNvSpPr>
                        <wps:spPr bwMode="auto">
                          <a:xfrm>
                            <a:off x="578911" y="657459"/>
                            <a:ext cx="645200" cy="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3837924" name="Rectangle 143"/>
                        <wps:cNvSpPr>
                          <a:spLocks noChangeArrowheads="1"/>
                        </wps:cNvSpPr>
                        <wps:spPr bwMode="auto">
                          <a:xfrm>
                            <a:off x="262300" y="703030"/>
                            <a:ext cx="13144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B2D65" w14:textId="77777777" w:rsidR="001D4369" w:rsidRDefault="001D4369" w:rsidP="001D4369">
                              <w:r>
                                <w:rPr>
                                  <w:rFonts w:ascii="Arial" w:hAnsi="Arial" w:cs="Arial"/>
                                  <w:b/>
                                  <w:bCs/>
                                  <w:color w:val="FFFFFF"/>
                                  <w:sz w:val="14"/>
                                  <w:szCs w:val="14"/>
                                </w:rPr>
                                <w:t>Update Energy Bids and Offers</w:t>
                              </w:r>
                            </w:p>
                          </w:txbxContent>
                        </wps:txbx>
                        <wps:bodyPr rot="0" vert="horz" wrap="none" lIns="0" tIns="0" rIns="0" bIns="0" anchor="t" anchorCtr="0" upright="1">
                          <a:spAutoFit/>
                        </wps:bodyPr>
                      </wps:wsp>
                      <wps:wsp>
                        <wps:cNvPr id="997225313" name="Rectangle 144"/>
                        <wps:cNvSpPr>
                          <a:spLocks noChangeArrowheads="1"/>
                        </wps:cNvSpPr>
                        <wps:spPr bwMode="auto">
                          <a:xfrm>
                            <a:off x="446400" y="649012"/>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18E64" w14:textId="77777777" w:rsidR="001D4369" w:rsidRDefault="001D4369" w:rsidP="001D4369"/>
                          </w:txbxContent>
                        </wps:txbx>
                        <wps:bodyPr rot="0" vert="horz" wrap="none" lIns="0" tIns="0" rIns="0" bIns="0" anchor="t" anchorCtr="0" upright="1">
                          <a:spAutoFit/>
                        </wps:bodyPr>
                      </wps:wsp>
                      <wps:wsp>
                        <wps:cNvPr id="1268971937" name="Rectangle 145"/>
                        <wps:cNvSpPr>
                          <a:spLocks noChangeArrowheads="1"/>
                        </wps:cNvSpPr>
                        <wps:spPr bwMode="auto">
                          <a:xfrm>
                            <a:off x="333400" y="819916"/>
                            <a:ext cx="10871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3F02E" w14:textId="77777777" w:rsidR="001D4369" w:rsidRDefault="001D4369" w:rsidP="001D4369">
                              <w:r>
                                <w:rPr>
                                  <w:rFonts w:ascii="Arial" w:hAnsi="Arial" w:cs="Arial"/>
                                  <w:b/>
                                  <w:bCs/>
                                  <w:color w:val="FFFFFF"/>
                                  <w:sz w:val="14"/>
                                  <w:szCs w:val="14"/>
                                </w:rPr>
                                <w:t>Update Output Schedules</w:t>
                              </w:r>
                            </w:p>
                          </w:txbxContent>
                        </wps:txbx>
                        <wps:bodyPr rot="0" vert="horz" wrap="none" lIns="0" tIns="0" rIns="0" bIns="0" anchor="t" anchorCtr="0" upright="1">
                          <a:spAutoFit/>
                        </wps:bodyPr>
                      </wps:wsp>
                      <wpg:wgp>
                        <wpg:cNvPr id="1512067389" name="Group 148"/>
                        <wpg:cNvGrpSpPr>
                          <a:grpSpLocks/>
                        </wpg:cNvGrpSpPr>
                        <wpg:grpSpPr bwMode="auto">
                          <a:xfrm>
                            <a:off x="2411000" y="2729251"/>
                            <a:ext cx="1447200" cy="682013"/>
                            <a:chOff x="5678" y="6328"/>
                            <a:chExt cx="2279" cy="1074"/>
                          </a:xfrm>
                        </wpg:grpSpPr>
                        <wps:wsp>
                          <wps:cNvPr id="1820734658" name="Rectangle 149"/>
                          <wps:cNvSpPr>
                            <a:spLocks noChangeArrowheads="1"/>
                          </wps:cNvSpPr>
                          <wps:spPr bwMode="auto">
                            <a:xfrm>
                              <a:off x="5678" y="6328"/>
                              <a:ext cx="2279" cy="1074"/>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71742" name="Rectangle 150"/>
                          <wps:cNvSpPr>
                            <a:spLocks noChangeArrowheads="1"/>
                          </wps:cNvSpPr>
                          <wps:spPr bwMode="auto">
                            <a:xfrm>
                              <a:off x="5678" y="6328"/>
                              <a:ext cx="2279" cy="1074"/>
                            </a:xfrm>
                            <a:prstGeom prst="rect">
                              <a:avLst/>
                            </a:prstGeom>
                            <a:noFill/>
                            <a:ln w="8"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690784208" name="Rectangle 151"/>
                        <wps:cNvSpPr>
                          <a:spLocks noChangeArrowheads="1"/>
                        </wps:cNvSpPr>
                        <wps:spPr bwMode="auto">
                          <a:xfrm>
                            <a:off x="2773000" y="2777452"/>
                            <a:ext cx="687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383CB" w14:textId="77777777" w:rsidR="001D4369" w:rsidRDefault="001D4369" w:rsidP="001D4369">
                              <w:r>
                                <w:rPr>
                                  <w:rFonts w:ascii="Arial" w:hAnsi="Arial" w:cs="Arial"/>
                                  <w:b/>
                                  <w:bCs/>
                                  <w:color w:val="000000"/>
                                  <w:sz w:val="14"/>
                                  <w:szCs w:val="14"/>
                                </w:rPr>
                                <w:t>ERCOT Activity:</w:t>
                              </w:r>
                            </w:p>
                          </w:txbxContent>
                        </wps:txbx>
                        <wps:bodyPr rot="0" vert="horz" wrap="none" lIns="0" tIns="0" rIns="0" bIns="0" anchor="t" anchorCtr="0" upright="1">
                          <a:spAutoFit/>
                        </wps:bodyPr>
                      </wps:wsp>
                      <wps:wsp>
                        <wps:cNvPr id="335322388" name="Rectangle 152"/>
                        <wps:cNvSpPr>
                          <a:spLocks noChangeArrowheads="1"/>
                        </wps:cNvSpPr>
                        <wps:spPr bwMode="auto">
                          <a:xfrm>
                            <a:off x="2773000" y="2874654"/>
                            <a:ext cx="722000" cy="89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642698" name="Rectangle 153"/>
                        <wps:cNvSpPr>
                          <a:spLocks noChangeArrowheads="1"/>
                        </wps:cNvSpPr>
                        <wps:spPr bwMode="auto">
                          <a:xfrm>
                            <a:off x="2557800" y="2889254"/>
                            <a:ext cx="10972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0A1EC" w14:textId="77777777" w:rsidR="001D4369" w:rsidRDefault="001D4369" w:rsidP="001D4369">
                              <w:r>
                                <w:rPr>
                                  <w:rFonts w:ascii="Arial" w:hAnsi="Arial" w:cs="Arial"/>
                                  <w:b/>
                                  <w:bCs/>
                                  <w:color w:val="000000"/>
                                  <w:sz w:val="14"/>
                                  <w:szCs w:val="14"/>
                                </w:rPr>
                                <w:t>LFC Process every 4 secs</w:t>
                              </w:r>
                            </w:p>
                          </w:txbxContent>
                        </wps:txbx>
                        <wps:bodyPr rot="0" vert="horz" wrap="none" lIns="0" tIns="0" rIns="0" bIns="0" anchor="t" anchorCtr="0" upright="1">
                          <a:spAutoFit/>
                        </wps:bodyPr>
                      </wps:wsp>
                      <wps:wsp>
                        <wps:cNvPr id="561699237" name="Rectangle 154"/>
                        <wps:cNvSpPr>
                          <a:spLocks noChangeArrowheads="1"/>
                        </wps:cNvSpPr>
                        <wps:spPr bwMode="auto">
                          <a:xfrm>
                            <a:off x="2515200" y="3001656"/>
                            <a:ext cx="9442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D9D67" w14:textId="77777777" w:rsidR="001D4369" w:rsidRDefault="001D4369" w:rsidP="001D4369">
                              <w:r>
                                <w:rPr>
                                  <w:rFonts w:ascii="Arial" w:hAnsi="Arial" w:cs="Arial"/>
                                  <w:b/>
                                  <w:bCs/>
                                  <w:color w:val="000000"/>
                                  <w:sz w:val="14"/>
                                  <w:szCs w:val="14"/>
                                </w:rPr>
                                <w:t xml:space="preserve">Execute SCED every 5 </w:t>
                              </w:r>
                            </w:p>
                          </w:txbxContent>
                        </wps:txbx>
                        <wps:bodyPr rot="0" vert="horz" wrap="none" lIns="0" tIns="0" rIns="0" bIns="0" anchor="t" anchorCtr="0" upright="1">
                          <a:spAutoFit/>
                        </wps:bodyPr>
                      </wps:wsp>
                      <wps:wsp>
                        <wps:cNvPr id="56157338" name="Rectangle 155"/>
                        <wps:cNvSpPr>
                          <a:spLocks noChangeArrowheads="1"/>
                        </wps:cNvSpPr>
                        <wps:spPr bwMode="auto">
                          <a:xfrm>
                            <a:off x="3474618" y="3001656"/>
                            <a:ext cx="2076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647DC" w14:textId="77777777" w:rsidR="001D4369" w:rsidRDefault="001D4369" w:rsidP="001D4369">
                              <w:r>
                                <w:rPr>
                                  <w:rFonts w:ascii="Arial" w:hAnsi="Arial" w:cs="Arial"/>
                                  <w:b/>
                                  <w:bCs/>
                                  <w:color w:val="000000"/>
                                  <w:sz w:val="14"/>
                                  <w:szCs w:val="14"/>
                                </w:rPr>
                                <w:t>mins</w:t>
                              </w:r>
                            </w:p>
                          </w:txbxContent>
                        </wps:txbx>
                        <wps:bodyPr rot="0" vert="horz" wrap="none" lIns="0" tIns="0" rIns="0" bIns="0" anchor="t" anchorCtr="0" upright="1">
                          <a:spAutoFit/>
                        </wps:bodyPr>
                      </wps:wsp>
                      <wps:wsp>
                        <wps:cNvPr id="1043488336" name="Rectangle 156"/>
                        <wps:cNvSpPr>
                          <a:spLocks noChangeArrowheads="1"/>
                        </wps:cNvSpPr>
                        <wps:spPr bwMode="auto">
                          <a:xfrm>
                            <a:off x="2545700" y="3114058"/>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50840" w14:textId="77777777" w:rsidR="001D4369" w:rsidRDefault="001D4369" w:rsidP="001D4369">
                              <w:r>
                                <w:rPr>
                                  <w:rFonts w:ascii="Arial" w:hAnsi="Arial" w:cs="Arial"/>
                                  <w:b/>
                                  <w:bCs/>
                                  <w:color w:val="000000"/>
                                  <w:sz w:val="14"/>
                                  <w:szCs w:val="14"/>
                                </w:rPr>
                                <w:t>Communicate Instructions,</w:t>
                              </w:r>
                            </w:p>
                          </w:txbxContent>
                        </wps:txbx>
                        <wps:bodyPr rot="0" vert="horz" wrap="none" lIns="0" tIns="0" rIns="0" bIns="0" anchor="t" anchorCtr="0" upright="1">
                          <a:spAutoFit/>
                        </wps:bodyPr>
                      </wps:wsp>
                      <wps:wsp>
                        <wps:cNvPr id="755311544" name="Rectangle 157"/>
                        <wps:cNvSpPr>
                          <a:spLocks noChangeArrowheads="1"/>
                        </wps:cNvSpPr>
                        <wps:spPr bwMode="auto">
                          <a:xfrm>
                            <a:off x="2723525" y="3225160"/>
                            <a:ext cx="7016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6A342" w14:textId="77777777" w:rsidR="001D4369" w:rsidRDefault="001D4369" w:rsidP="001D4369">
                              <w:r>
                                <w:rPr>
                                  <w:rFonts w:ascii="Arial" w:hAnsi="Arial" w:cs="Arial"/>
                                  <w:b/>
                                  <w:bCs/>
                                  <w:color w:val="000000"/>
                                  <w:sz w:val="14"/>
                                  <w:szCs w:val="14"/>
                                </w:rPr>
                                <w:t>Awards &amp; Prices</w:t>
                              </w:r>
                            </w:p>
                          </w:txbxContent>
                        </wps:txbx>
                        <wps:bodyPr rot="0" vert="horz" wrap="none" lIns="0" tIns="0" rIns="0" bIns="0" anchor="t" anchorCtr="0" upright="1">
                          <a:spAutoFit/>
                        </wps:bodyPr>
                      </wps:wsp>
                      <wpg:wgp>
                        <wpg:cNvPr id="1001345548" name="Group 158"/>
                        <wpg:cNvGrpSpPr>
                          <a:grpSpLocks/>
                        </wpg:cNvGrpSpPr>
                        <wpg:grpSpPr bwMode="auto">
                          <a:xfrm>
                            <a:off x="321300" y="2929855"/>
                            <a:ext cx="964500" cy="481409"/>
                            <a:chOff x="2387" y="6644"/>
                            <a:chExt cx="1519" cy="758"/>
                          </a:xfrm>
                        </wpg:grpSpPr>
                        <wps:wsp>
                          <wps:cNvPr id="318007909" name="Rectangle 159"/>
                          <wps:cNvSpPr>
                            <a:spLocks noChangeArrowheads="1"/>
                          </wps:cNvSpPr>
                          <wps:spPr bwMode="auto">
                            <a:xfrm>
                              <a:off x="2387" y="6644"/>
                              <a:ext cx="1519" cy="75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9423766" name="Rectangle 160"/>
                          <wps:cNvSpPr>
                            <a:spLocks noChangeArrowheads="1"/>
                          </wps:cNvSpPr>
                          <wps:spPr bwMode="auto">
                            <a:xfrm>
                              <a:off x="2387" y="6644"/>
                              <a:ext cx="1519" cy="758"/>
                            </a:xfrm>
                            <a:prstGeom prst="rect">
                              <a:avLst/>
                            </a:prstGeom>
                            <a:noFill/>
                            <a:ln w="8"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507595366" name="Rectangle 161"/>
                        <wps:cNvSpPr>
                          <a:spLocks noChangeArrowheads="1"/>
                        </wps:cNvSpPr>
                        <wps:spPr bwMode="auto">
                          <a:xfrm>
                            <a:off x="442000" y="2989556"/>
                            <a:ext cx="687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D58DA" w14:textId="77777777" w:rsidR="001D4369" w:rsidRDefault="001D4369" w:rsidP="001D4369">
                              <w:r>
                                <w:rPr>
                                  <w:rFonts w:ascii="Arial" w:hAnsi="Arial" w:cs="Arial"/>
                                  <w:b/>
                                  <w:bCs/>
                                  <w:color w:val="000000"/>
                                  <w:sz w:val="14"/>
                                  <w:szCs w:val="14"/>
                                </w:rPr>
                                <w:t>ERCOT Activity:</w:t>
                              </w:r>
                            </w:p>
                          </w:txbxContent>
                        </wps:txbx>
                        <wps:bodyPr rot="0" vert="horz" wrap="none" lIns="0" tIns="0" rIns="0" bIns="0" anchor="t" anchorCtr="0" upright="1">
                          <a:spAutoFit/>
                        </wps:bodyPr>
                      </wps:wsp>
                      <wps:wsp>
                        <wps:cNvPr id="711232924" name="Rectangle 162"/>
                        <wps:cNvSpPr>
                          <a:spLocks noChangeArrowheads="1"/>
                        </wps:cNvSpPr>
                        <wps:spPr bwMode="auto">
                          <a:xfrm>
                            <a:off x="441900" y="3086758"/>
                            <a:ext cx="722000" cy="89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619957" name="Rectangle 163"/>
                        <wps:cNvSpPr>
                          <a:spLocks noChangeArrowheads="1"/>
                        </wps:cNvSpPr>
                        <wps:spPr bwMode="auto">
                          <a:xfrm>
                            <a:off x="378500" y="3101958"/>
                            <a:ext cx="7854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A9B13" w14:textId="77777777" w:rsidR="001D4369" w:rsidRDefault="001D4369" w:rsidP="001D4369">
                              <w:r>
                                <w:rPr>
                                  <w:rFonts w:ascii="Arial" w:hAnsi="Arial" w:cs="Arial"/>
                                  <w:b/>
                                  <w:bCs/>
                                  <w:color w:val="000000"/>
                                  <w:sz w:val="14"/>
                                  <w:szCs w:val="14"/>
                                </w:rPr>
                                <w:t xml:space="preserve">Snapshot Inputs &amp; </w:t>
                              </w:r>
                            </w:p>
                          </w:txbxContent>
                        </wps:txbx>
                        <wps:bodyPr rot="0" vert="horz" wrap="none" lIns="0" tIns="0" rIns="0" bIns="0" anchor="t" anchorCtr="0" upright="1">
                          <a:spAutoFit/>
                        </wps:bodyPr>
                      </wps:wsp>
                      <wps:wsp>
                        <wps:cNvPr id="2005165859" name="Rectangle 164"/>
                        <wps:cNvSpPr>
                          <a:spLocks noChangeArrowheads="1"/>
                        </wps:cNvSpPr>
                        <wps:spPr bwMode="auto">
                          <a:xfrm>
                            <a:off x="475600" y="3214360"/>
                            <a:ext cx="6229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36541" w14:textId="77777777" w:rsidR="001D4369" w:rsidRDefault="001D4369" w:rsidP="001D4369">
                              <w:r>
                                <w:rPr>
                                  <w:rFonts w:ascii="Arial" w:hAnsi="Arial" w:cs="Arial"/>
                                  <w:b/>
                                  <w:bCs/>
                                  <w:color w:val="000000"/>
                                  <w:sz w:val="14"/>
                                  <w:szCs w:val="14"/>
                                </w:rPr>
                                <w:t>Execute HRUC</w:t>
                              </w:r>
                            </w:p>
                          </w:txbxContent>
                        </wps:txbx>
                        <wps:bodyPr rot="0" vert="horz" wrap="none" lIns="0" tIns="0" rIns="0" bIns="0" anchor="t" anchorCtr="0" upright="1">
                          <a:spAutoFit/>
                        </wps:bodyPr>
                      </wps:wsp>
                      <wps:wsp>
                        <wps:cNvPr id="643570629" name="Freeform 165"/>
                        <wps:cNvSpPr>
                          <a:spLocks noEditPoints="1"/>
                        </wps:cNvSpPr>
                        <wps:spPr bwMode="auto">
                          <a:xfrm>
                            <a:off x="904200" y="1043319"/>
                            <a:ext cx="40000" cy="160603"/>
                          </a:xfrm>
                          <a:custGeom>
                            <a:avLst/>
                            <a:gdLst>
                              <a:gd name="T0" fmla="*/ 15723810 w 63"/>
                              <a:gd name="T1" fmla="*/ 0 h 253"/>
                              <a:gd name="T2" fmla="*/ 15723810 w 63"/>
                              <a:gd name="T3" fmla="*/ 80618897 h 253"/>
                              <a:gd name="T4" fmla="*/ 9273016 w 63"/>
                              <a:gd name="T5" fmla="*/ 80618897 h 253"/>
                              <a:gd name="T6" fmla="*/ 9273016 w 63"/>
                              <a:gd name="T7" fmla="*/ 0 h 253"/>
                              <a:gd name="T8" fmla="*/ 15723810 w 63"/>
                              <a:gd name="T9" fmla="*/ 0 h 253"/>
                              <a:gd name="T10" fmla="*/ 25400000 w 63"/>
                              <a:gd name="T11" fmla="*/ 76184858 h 253"/>
                              <a:gd name="T12" fmla="*/ 12498413 w 63"/>
                              <a:gd name="T13" fmla="*/ 101982905 h 253"/>
                              <a:gd name="T14" fmla="*/ 0 w 63"/>
                              <a:gd name="T15" fmla="*/ 76184858 h 253"/>
                              <a:gd name="T16" fmla="*/ 25400000 w 63"/>
                              <a:gd name="T17" fmla="*/ 76184858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3" h="253">
                                <a:moveTo>
                                  <a:pt x="39" y="0"/>
                                </a:moveTo>
                                <a:lnTo>
                                  <a:pt x="39" y="200"/>
                                </a:lnTo>
                                <a:lnTo>
                                  <a:pt x="23" y="200"/>
                                </a:lnTo>
                                <a:lnTo>
                                  <a:pt x="23" y="0"/>
                                </a:lnTo>
                                <a:lnTo>
                                  <a:pt x="39" y="0"/>
                                </a:lnTo>
                                <a:close/>
                                <a:moveTo>
                                  <a:pt x="63" y="189"/>
                                </a:moveTo>
                                <a:lnTo>
                                  <a:pt x="31" y="253"/>
                                </a:lnTo>
                                <a:lnTo>
                                  <a:pt x="0" y="189"/>
                                </a:lnTo>
                                <a:lnTo>
                                  <a:pt x="63" y="189"/>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s:wsp>
                        <wps:cNvPr id="1042274362" name="Freeform 166"/>
                        <wps:cNvSpPr>
                          <a:spLocks noEditPoints="1"/>
                        </wps:cNvSpPr>
                        <wps:spPr bwMode="auto">
                          <a:xfrm>
                            <a:off x="3154600" y="962618"/>
                            <a:ext cx="40000" cy="241305"/>
                          </a:xfrm>
                          <a:custGeom>
                            <a:avLst/>
                            <a:gdLst>
                              <a:gd name="T0" fmla="*/ 16126984 w 63"/>
                              <a:gd name="T1" fmla="*/ 0 h 380"/>
                              <a:gd name="T2" fmla="*/ 16126984 w 63"/>
                              <a:gd name="T3" fmla="*/ 131857307 h 380"/>
                              <a:gd name="T4" fmla="*/ 9676190 w 63"/>
                              <a:gd name="T5" fmla="*/ 131857307 h 380"/>
                              <a:gd name="T6" fmla="*/ 9676190 w 63"/>
                              <a:gd name="T7" fmla="*/ 0 h 380"/>
                              <a:gd name="T8" fmla="*/ 16126984 w 63"/>
                              <a:gd name="T9" fmla="*/ 0 h 380"/>
                              <a:gd name="T10" fmla="*/ 25400000 w 63"/>
                              <a:gd name="T11" fmla="*/ 127421740 h 380"/>
                              <a:gd name="T12" fmla="*/ 12901587 w 63"/>
                              <a:gd name="T13" fmla="*/ 153228675 h 380"/>
                              <a:gd name="T14" fmla="*/ 0 w 63"/>
                              <a:gd name="T15" fmla="*/ 127421740 h 380"/>
                              <a:gd name="T16" fmla="*/ 25400000 w 63"/>
                              <a:gd name="T17" fmla="*/ 127421740 h 38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3" h="380">
                                <a:moveTo>
                                  <a:pt x="40" y="0"/>
                                </a:moveTo>
                                <a:lnTo>
                                  <a:pt x="40" y="327"/>
                                </a:lnTo>
                                <a:lnTo>
                                  <a:pt x="24" y="327"/>
                                </a:lnTo>
                                <a:lnTo>
                                  <a:pt x="24" y="0"/>
                                </a:lnTo>
                                <a:lnTo>
                                  <a:pt x="40" y="0"/>
                                </a:lnTo>
                                <a:close/>
                                <a:moveTo>
                                  <a:pt x="63" y="316"/>
                                </a:moveTo>
                                <a:lnTo>
                                  <a:pt x="32" y="380"/>
                                </a:lnTo>
                                <a:lnTo>
                                  <a:pt x="0" y="316"/>
                                </a:lnTo>
                                <a:lnTo>
                                  <a:pt x="63" y="316"/>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s:wsp>
                        <wps:cNvPr id="218808030" name="Freeform 167"/>
                        <wps:cNvSpPr>
                          <a:spLocks noEditPoints="1"/>
                        </wps:cNvSpPr>
                        <wps:spPr bwMode="auto">
                          <a:xfrm>
                            <a:off x="783500" y="2809252"/>
                            <a:ext cx="40000" cy="120602"/>
                          </a:xfrm>
                          <a:custGeom>
                            <a:avLst/>
                            <a:gdLst>
                              <a:gd name="T0" fmla="*/ 9273016 w 63"/>
                              <a:gd name="T1" fmla="*/ 76582270 h 190"/>
                              <a:gd name="T2" fmla="*/ 9273016 w 63"/>
                              <a:gd name="T3" fmla="*/ 21362423 h 190"/>
                              <a:gd name="T4" fmla="*/ 15723810 w 63"/>
                              <a:gd name="T5" fmla="*/ 21362423 h 190"/>
                              <a:gd name="T6" fmla="*/ 15723810 w 63"/>
                              <a:gd name="T7" fmla="*/ 76582270 h 190"/>
                              <a:gd name="T8" fmla="*/ 9273016 w 63"/>
                              <a:gd name="T9" fmla="*/ 76582270 h 190"/>
                              <a:gd name="T10" fmla="*/ 0 w 63"/>
                              <a:gd name="T11" fmla="*/ 25393068 h 190"/>
                              <a:gd name="T12" fmla="*/ 12498413 w 63"/>
                              <a:gd name="T13" fmla="*/ 0 h 190"/>
                              <a:gd name="T14" fmla="*/ 25400000 w 63"/>
                              <a:gd name="T15" fmla="*/ 25393068 h 190"/>
                              <a:gd name="T16" fmla="*/ 0 w 63"/>
                              <a:gd name="T17" fmla="*/ 25393068 h 19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3" h="190">
                                <a:moveTo>
                                  <a:pt x="23" y="190"/>
                                </a:moveTo>
                                <a:lnTo>
                                  <a:pt x="23" y="53"/>
                                </a:lnTo>
                                <a:lnTo>
                                  <a:pt x="39" y="53"/>
                                </a:lnTo>
                                <a:lnTo>
                                  <a:pt x="39" y="190"/>
                                </a:lnTo>
                                <a:lnTo>
                                  <a:pt x="23" y="190"/>
                                </a:lnTo>
                                <a:close/>
                                <a:moveTo>
                                  <a:pt x="0" y="63"/>
                                </a:moveTo>
                                <a:lnTo>
                                  <a:pt x="31" y="0"/>
                                </a:lnTo>
                                <a:lnTo>
                                  <a:pt x="63" y="63"/>
                                </a:lnTo>
                                <a:lnTo>
                                  <a:pt x="0" y="63"/>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s:wsp>
                        <wps:cNvPr id="1184197513" name="Freeform 168"/>
                        <wps:cNvSpPr>
                          <a:spLocks noEditPoints="1"/>
                        </wps:cNvSpPr>
                        <wps:spPr bwMode="auto">
                          <a:xfrm>
                            <a:off x="3114600" y="2528547"/>
                            <a:ext cx="40000" cy="200704"/>
                          </a:xfrm>
                          <a:custGeom>
                            <a:avLst/>
                            <a:gdLst>
                              <a:gd name="T0" fmla="*/ 9676190 w 63"/>
                              <a:gd name="T1" fmla="*/ 127447040 h 316"/>
                              <a:gd name="T2" fmla="*/ 9676190 w 63"/>
                              <a:gd name="T3" fmla="*/ 20972298 h 316"/>
                              <a:gd name="T4" fmla="*/ 15723810 w 63"/>
                              <a:gd name="T5" fmla="*/ 20972298 h 316"/>
                              <a:gd name="T6" fmla="*/ 15723810 w 63"/>
                              <a:gd name="T7" fmla="*/ 127447040 h 316"/>
                              <a:gd name="T8" fmla="*/ 9676190 w 63"/>
                              <a:gd name="T9" fmla="*/ 127447040 h 316"/>
                              <a:gd name="T10" fmla="*/ 0 w 63"/>
                              <a:gd name="T11" fmla="*/ 25408745 h 316"/>
                              <a:gd name="T12" fmla="*/ 12498413 w 63"/>
                              <a:gd name="T13" fmla="*/ 0 h 316"/>
                              <a:gd name="T14" fmla="*/ 25400000 w 63"/>
                              <a:gd name="T15" fmla="*/ 25408745 h 316"/>
                              <a:gd name="T16" fmla="*/ 0 w 63"/>
                              <a:gd name="T17" fmla="*/ 25408745 h 31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3" h="316">
                                <a:moveTo>
                                  <a:pt x="24" y="316"/>
                                </a:moveTo>
                                <a:lnTo>
                                  <a:pt x="24" y="52"/>
                                </a:lnTo>
                                <a:lnTo>
                                  <a:pt x="39" y="52"/>
                                </a:lnTo>
                                <a:lnTo>
                                  <a:pt x="39" y="316"/>
                                </a:lnTo>
                                <a:lnTo>
                                  <a:pt x="24" y="316"/>
                                </a:lnTo>
                                <a:close/>
                                <a:moveTo>
                                  <a:pt x="0" y="63"/>
                                </a:moveTo>
                                <a:lnTo>
                                  <a:pt x="31" y="0"/>
                                </a:lnTo>
                                <a:lnTo>
                                  <a:pt x="63" y="63"/>
                                </a:lnTo>
                                <a:lnTo>
                                  <a:pt x="0" y="63"/>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g:wgp>
                        <wpg:cNvPr id="634137136" name="Group 169"/>
                        <wpg:cNvGrpSpPr>
                          <a:grpSpLocks/>
                        </wpg:cNvGrpSpPr>
                        <wpg:grpSpPr bwMode="auto">
                          <a:xfrm>
                            <a:off x="923900" y="1645231"/>
                            <a:ext cx="2934300" cy="160703"/>
                            <a:chOff x="3336" y="4621"/>
                            <a:chExt cx="4621" cy="253"/>
                          </a:xfrm>
                        </wpg:grpSpPr>
                        <wps:wsp>
                          <wps:cNvPr id="1754731745" name="Freeform 170"/>
                          <wps:cNvSpPr>
                            <a:spLocks/>
                          </wps:cNvSpPr>
                          <wps:spPr bwMode="auto">
                            <a:xfrm>
                              <a:off x="3336" y="4621"/>
                              <a:ext cx="4621" cy="253"/>
                            </a:xfrm>
                            <a:custGeom>
                              <a:avLst/>
                              <a:gdLst>
                                <a:gd name="T0" fmla="*/ 13 w 14600"/>
                                <a:gd name="T1" fmla="*/ 0 h 800"/>
                                <a:gd name="T2" fmla="*/ 0 w 14600"/>
                                <a:gd name="T3" fmla="*/ 13 h 800"/>
                                <a:gd name="T4" fmla="*/ 0 w 14600"/>
                                <a:gd name="T5" fmla="*/ 67 h 800"/>
                                <a:gd name="T6" fmla="*/ 13 w 14600"/>
                                <a:gd name="T7" fmla="*/ 80 h 800"/>
                                <a:gd name="T8" fmla="*/ 1449 w 14600"/>
                                <a:gd name="T9" fmla="*/ 80 h 800"/>
                                <a:gd name="T10" fmla="*/ 1463 w 14600"/>
                                <a:gd name="T11" fmla="*/ 67 h 800"/>
                                <a:gd name="T12" fmla="*/ 1463 w 14600"/>
                                <a:gd name="T13" fmla="*/ 13 h 800"/>
                                <a:gd name="T14" fmla="*/ 1449 w 14600"/>
                                <a:gd name="T15" fmla="*/ 0 h 800"/>
                                <a:gd name="T16" fmla="*/ 13 w 14600"/>
                                <a:gd name="T17" fmla="*/ 0 h 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600" h="800">
                                  <a:moveTo>
                                    <a:pt x="134" y="0"/>
                                  </a:moveTo>
                                  <a:cubicBezTo>
                                    <a:pt x="60" y="0"/>
                                    <a:pt x="0" y="60"/>
                                    <a:pt x="0" y="134"/>
                                  </a:cubicBezTo>
                                  <a:lnTo>
                                    <a:pt x="0" y="667"/>
                                  </a:lnTo>
                                  <a:cubicBezTo>
                                    <a:pt x="0" y="741"/>
                                    <a:pt x="60" y="800"/>
                                    <a:pt x="134" y="800"/>
                                  </a:cubicBezTo>
                                  <a:lnTo>
                                    <a:pt x="14467" y="800"/>
                                  </a:lnTo>
                                  <a:cubicBezTo>
                                    <a:pt x="14541" y="800"/>
                                    <a:pt x="14600" y="741"/>
                                    <a:pt x="14600" y="667"/>
                                  </a:cubicBezTo>
                                  <a:lnTo>
                                    <a:pt x="14600" y="134"/>
                                  </a:lnTo>
                                  <a:cubicBezTo>
                                    <a:pt x="14600" y="60"/>
                                    <a:pt x="14541" y="0"/>
                                    <a:pt x="14467" y="0"/>
                                  </a:cubicBezTo>
                                  <a:lnTo>
                                    <a:pt x="134" y="0"/>
                                  </a:lnTo>
                                  <a:close/>
                                </a:path>
                              </a:pathLst>
                            </a:cu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1607553596" name="Freeform 171"/>
                          <wps:cNvSpPr>
                            <a:spLocks/>
                          </wps:cNvSpPr>
                          <wps:spPr bwMode="auto">
                            <a:xfrm>
                              <a:off x="3336" y="4621"/>
                              <a:ext cx="4621" cy="253"/>
                            </a:xfrm>
                            <a:custGeom>
                              <a:avLst/>
                              <a:gdLst>
                                <a:gd name="T0" fmla="*/ 13 w 14600"/>
                                <a:gd name="T1" fmla="*/ 0 h 800"/>
                                <a:gd name="T2" fmla="*/ 0 w 14600"/>
                                <a:gd name="T3" fmla="*/ 13 h 800"/>
                                <a:gd name="T4" fmla="*/ 0 w 14600"/>
                                <a:gd name="T5" fmla="*/ 67 h 800"/>
                                <a:gd name="T6" fmla="*/ 13 w 14600"/>
                                <a:gd name="T7" fmla="*/ 80 h 800"/>
                                <a:gd name="T8" fmla="*/ 1449 w 14600"/>
                                <a:gd name="T9" fmla="*/ 80 h 800"/>
                                <a:gd name="T10" fmla="*/ 1463 w 14600"/>
                                <a:gd name="T11" fmla="*/ 67 h 800"/>
                                <a:gd name="T12" fmla="*/ 1463 w 14600"/>
                                <a:gd name="T13" fmla="*/ 13 h 800"/>
                                <a:gd name="T14" fmla="*/ 1449 w 14600"/>
                                <a:gd name="T15" fmla="*/ 0 h 800"/>
                                <a:gd name="T16" fmla="*/ 13 w 14600"/>
                                <a:gd name="T17" fmla="*/ 0 h 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600" h="800">
                                  <a:moveTo>
                                    <a:pt x="134" y="0"/>
                                  </a:moveTo>
                                  <a:cubicBezTo>
                                    <a:pt x="60" y="0"/>
                                    <a:pt x="0" y="60"/>
                                    <a:pt x="0" y="134"/>
                                  </a:cubicBezTo>
                                  <a:lnTo>
                                    <a:pt x="0" y="667"/>
                                  </a:lnTo>
                                  <a:cubicBezTo>
                                    <a:pt x="0" y="741"/>
                                    <a:pt x="60" y="800"/>
                                    <a:pt x="134" y="800"/>
                                  </a:cubicBezTo>
                                  <a:lnTo>
                                    <a:pt x="14467" y="800"/>
                                  </a:lnTo>
                                  <a:cubicBezTo>
                                    <a:pt x="14541" y="800"/>
                                    <a:pt x="14600" y="741"/>
                                    <a:pt x="14600" y="667"/>
                                  </a:cubicBezTo>
                                  <a:lnTo>
                                    <a:pt x="14600" y="134"/>
                                  </a:lnTo>
                                  <a:cubicBezTo>
                                    <a:pt x="14600" y="60"/>
                                    <a:pt x="14541" y="0"/>
                                    <a:pt x="14467" y="0"/>
                                  </a:cubicBezTo>
                                  <a:lnTo>
                                    <a:pt x="134" y="0"/>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587987725" name="Rectangle 172"/>
                        <wps:cNvSpPr>
                          <a:spLocks noChangeArrowheads="1"/>
                        </wps:cNvSpPr>
                        <wps:spPr bwMode="auto">
                          <a:xfrm>
                            <a:off x="1902500" y="1659931"/>
                            <a:ext cx="10306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A93CB" w14:textId="77777777" w:rsidR="001D4369" w:rsidRDefault="001D4369" w:rsidP="001D4369">
                              <w:r>
                                <w:rPr>
                                  <w:rFonts w:ascii="Arial" w:hAnsi="Arial" w:cs="Arial"/>
                                  <w:b/>
                                  <w:bCs/>
                                  <w:color w:val="000000"/>
                                  <w:sz w:val="20"/>
                                </w:rPr>
                                <w:t>Operating Period</w:t>
                              </w:r>
                            </w:p>
                          </w:txbxContent>
                        </wps:txbx>
                        <wps:bodyPr rot="0" vert="horz" wrap="none" lIns="0" tIns="0" rIns="0" bIns="0" anchor="t" anchorCtr="0" upright="1">
                          <a:spAutoFit/>
                        </wps:bodyPr>
                      </wps:wsp>
                      <wpg:wgp>
                        <wpg:cNvPr id="1121298741" name="Group 173"/>
                        <wpg:cNvGrpSpPr>
                          <a:grpSpLocks/>
                        </wpg:cNvGrpSpPr>
                        <wpg:grpSpPr bwMode="auto">
                          <a:xfrm>
                            <a:off x="2531700" y="1845934"/>
                            <a:ext cx="1326500" cy="160703"/>
                            <a:chOff x="5868" y="4937"/>
                            <a:chExt cx="2089" cy="253"/>
                          </a:xfrm>
                        </wpg:grpSpPr>
                        <wps:wsp>
                          <wps:cNvPr id="862593529" name="Freeform 174"/>
                          <wps:cNvSpPr>
                            <a:spLocks/>
                          </wps:cNvSpPr>
                          <wps:spPr bwMode="auto">
                            <a:xfrm>
                              <a:off x="5868" y="4937"/>
                              <a:ext cx="2089" cy="253"/>
                            </a:xfrm>
                            <a:custGeom>
                              <a:avLst/>
                              <a:gdLst>
                                <a:gd name="T0" fmla="*/ 13 w 6600"/>
                                <a:gd name="T1" fmla="*/ 0 h 800"/>
                                <a:gd name="T2" fmla="*/ 0 w 6600"/>
                                <a:gd name="T3" fmla="*/ 13 h 800"/>
                                <a:gd name="T4" fmla="*/ 0 w 6600"/>
                                <a:gd name="T5" fmla="*/ 67 h 800"/>
                                <a:gd name="T6" fmla="*/ 13 w 6600"/>
                                <a:gd name="T7" fmla="*/ 80 h 800"/>
                                <a:gd name="T8" fmla="*/ 648 w 6600"/>
                                <a:gd name="T9" fmla="*/ 80 h 800"/>
                                <a:gd name="T10" fmla="*/ 661 w 6600"/>
                                <a:gd name="T11" fmla="*/ 67 h 800"/>
                                <a:gd name="T12" fmla="*/ 661 w 6600"/>
                                <a:gd name="T13" fmla="*/ 13 h 800"/>
                                <a:gd name="T14" fmla="*/ 648 w 6600"/>
                                <a:gd name="T15" fmla="*/ 0 h 800"/>
                                <a:gd name="T16" fmla="*/ 13 w 6600"/>
                                <a:gd name="T17" fmla="*/ 0 h 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00" h="800">
                                  <a:moveTo>
                                    <a:pt x="134" y="0"/>
                                  </a:moveTo>
                                  <a:cubicBezTo>
                                    <a:pt x="60" y="0"/>
                                    <a:pt x="0" y="60"/>
                                    <a:pt x="0" y="134"/>
                                  </a:cubicBezTo>
                                  <a:lnTo>
                                    <a:pt x="0" y="667"/>
                                  </a:lnTo>
                                  <a:cubicBezTo>
                                    <a:pt x="0" y="741"/>
                                    <a:pt x="60" y="800"/>
                                    <a:pt x="134" y="800"/>
                                  </a:cubicBezTo>
                                  <a:lnTo>
                                    <a:pt x="6467" y="800"/>
                                  </a:lnTo>
                                  <a:cubicBezTo>
                                    <a:pt x="6541" y="800"/>
                                    <a:pt x="6600" y="741"/>
                                    <a:pt x="6600" y="667"/>
                                  </a:cubicBezTo>
                                  <a:lnTo>
                                    <a:pt x="6600" y="134"/>
                                  </a:lnTo>
                                  <a:cubicBezTo>
                                    <a:pt x="6600" y="60"/>
                                    <a:pt x="6541" y="0"/>
                                    <a:pt x="6467" y="0"/>
                                  </a:cubicBezTo>
                                  <a:lnTo>
                                    <a:pt x="134" y="0"/>
                                  </a:lnTo>
                                  <a:close/>
                                </a:path>
                              </a:pathLst>
                            </a:cu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717739579" name="Freeform 175"/>
                          <wps:cNvSpPr>
                            <a:spLocks/>
                          </wps:cNvSpPr>
                          <wps:spPr bwMode="auto">
                            <a:xfrm>
                              <a:off x="5868" y="4937"/>
                              <a:ext cx="2089" cy="253"/>
                            </a:xfrm>
                            <a:custGeom>
                              <a:avLst/>
                              <a:gdLst>
                                <a:gd name="T0" fmla="*/ 13 w 6600"/>
                                <a:gd name="T1" fmla="*/ 0 h 800"/>
                                <a:gd name="T2" fmla="*/ 0 w 6600"/>
                                <a:gd name="T3" fmla="*/ 13 h 800"/>
                                <a:gd name="T4" fmla="*/ 0 w 6600"/>
                                <a:gd name="T5" fmla="*/ 67 h 800"/>
                                <a:gd name="T6" fmla="*/ 13 w 6600"/>
                                <a:gd name="T7" fmla="*/ 80 h 800"/>
                                <a:gd name="T8" fmla="*/ 648 w 6600"/>
                                <a:gd name="T9" fmla="*/ 80 h 800"/>
                                <a:gd name="T10" fmla="*/ 661 w 6600"/>
                                <a:gd name="T11" fmla="*/ 67 h 800"/>
                                <a:gd name="T12" fmla="*/ 661 w 6600"/>
                                <a:gd name="T13" fmla="*/ 13 h 800"/>
                                <a:gd name="T14" fmla="*/ 648 w 6600"/>
                                <a:gd name="T15" fmla="*/ 0 h 800"/>
                                <a:gd name="T16" fmla="*/ 13 w 6600"/>
                                <a:gd name="T17" fmla="*/ 0 h 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00" h="800">
                                  <a:moveTo>
                                    <a:pt x="134" y="0"/>
                                  </a:moveTo>
                                  <a:cubicBezTo>
                                    <a:pt x="60" y="0"/>
                                    <a:pt x="0" y="60"/>
                                    <a:pt x="0" y="134"/>
                                  </a:cubicBezTo>
                                  <a:lnTo>
                                    <a:pt x="0" y="667"/>
                                  </a:lnTo>
                                  <a:cubicBezTo>
                                    <a:pt x="0" y="741"/>
                                    <a:pt x="60" y="800"/>
                                    <a:pt x="134" y="800"/>
                                  </a:cubicBezTo>
                                  <a:lnTo>
                                    <a:pt x="6467" y="800"/>
                                  </a:lnTo>
                                  <a:cubicBezTo>
                                    <a:pt x="6541" y="800"/>
                                    <a:pt x="6600" y="741"/>
                                    <a:pt x="6600" y="667"/>
                                  </a:cubicBezTo>
                                  <a:lnTo>
                                    <a:pt x="6600" y="134"/>
                                  </a:lnTo>
                                  <a:cubicBezTo>
                                    <a:pt x="6600" y="60"/>
                                    <a:pt x="6541" y="0"/>
                                    <a:pt x="6467" y="0"/>
                                  </a:cubicBezTo>
                                  <a:lnTo>
                                    <a:pt x="134" y="0"/>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09313985" name="Rectangle 176"/>
                        <wps:cNvSpPr>
                          <a:spLocks noChangeArrowheads="1"/>
                        </wps:cNvSpPr>
                        <wps:spPr bwMode="auto">
                          <a:xfrm>
                            <a:off x="2689900" y="1860535"/>
                            <a:ext cx="9315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0B270" w14:textId="77777777" w:rsidR="001D4369" w:rsidRDefault="001D4369" w:rsidP="001D4369">
                              <w:r>
                                <w:rPr>
                                  <w:rFonts w:ascii="Arial" w:hAnsi="Arial" w:cs="Arial"/>
                                  <w:b/>
                                  <w:bCs/>
                                  <w:color w:val="000000"/>
                                  <w:sz w:val="20"/>
                                </w:rPr>
                                <w:t>Operating Hour</w:t>
                              </w:r>
                            </w:p>
                          </w:txbxContent>
                        </wps:txbx>
                        <wps:bodyPr rot="0" vert="horz" wrap="none" lIns="0" tIns="0" rIns="0" bIns="0" anchor="t" anchorCtr="0" upright="1">
                          <a:spAutoFit/>
                        </wps:bodyPr>
                      </wps:wsp>
                      <wps:wsp>
                        <wps:cNvPr id="1289585381" name="Line 177"/>
                        <wps:cNvCnPr>
                          <a:cxnSpLocks noChangeShapeType="1"/>
                        </wps:cNvCnPr>
                        <wps:spPr bwMode="auto">
                          <a:xfrm>
                            <a:off x="2531700" y="2046638"/>
                            <a:ext cx="0" cy="240604"/>
                          </a:xfrm>
                          <a:prstGeom prst="line">
                            <a:avLst/>
                          </a:prstGeom>
                          <a:noFill/>
                          <a:ln w="21">
                            <a:solidFill>
                              <a:srgbClr val="000000"/>
                            </a:solidFill>
                            <a:round/>
                            <a:headEnd/>
                            <a:tailEnd/>
                          </a:ln>
                          <a:extLst>
                            <a:ext uri="{909E8E84-426E-40DD-AFC4-6F175D3DCCD1}">
                              <a14:hiddenFill xmlns:a14="http://schemas.microsoft.com/office/drawing/2010/main">
                                <a:noFill/>
                              </a14:hiddenFill>
                            </a:ext>
                          </a:extLst>
                        </wps:spPr>
                        <wps:bodyPr/>
                      </wps:wsp>
                      <wps:wsp>
                        <wps:cNvPr id="597523095" name="Rectangle 178"/>
                        <wps:cNvSpPr>
                          <a:spLocks noChangeArrowheads="1"/>
                        </wps:cNvSpPr>
                        <wps:spPr bwMode="auto">
                          <a:xfrm>
                            <a:off x="2369800" y="2317143"/>
                            <a:ext cx="3460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62C57" w14:textId="77777777" w:rsidR="001D4369" w:rsidRDefault="001D4369" w:rsidP="001D4369">
                              <w:r>
                                <w:rPr>
                                  <w:rFonts w:ascii="Arial" w:hAnsi="Arial" w:cs="Arial"/>
                                  <w:b/>
                                  <w:bCs/>
                                  <w:color w:val="000000"/>
                                  <w:sz w:val="20"/>
                                </w:rPr>
                                <w:t>Clock</w:t>
                              </w:r>
                            </w:p>
                          </w:txbxContent>
                        </wps:txbx>
                        <wps:bodyPr rot="0" vert="horz" wrap="none" lIns="0" tIns="0" rIns="0" bIns="0" anchor="t" anchorCtr="0" upright="1">
                          <a:spAutoFit/>
                        </wps:bodyPr>
                      </wps:wsp>
                      <wps:wsp>
                        <wps:cNvPr id="717938228" name="Rectangle 179"/>
                        <wps:cNvSpPr>
                          <a:spLocks noChangeArrowheads="1"/>
                        </wps:cNvSpPr>
                        <wps:spPr bwMode="auto">
                          <a:xfrm>
                            <a:off x="2393300" y="2462546"/>
                            <a:ext cx="2965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2C4D" w14:textId="77777777" w:rsidR="001D4369" w:rsidRDefault="001D4369" w:rsidP="001D4369">
                              <w:r>
                                <w:rPr>
                                  <w:rFonts w:ascii="Arial" w:hAnsi="Arial" w:cs="Arial"/>
                                  <w:b/>
                                  <w:bCs/>
                                  <w:color w:val="000000"/>
                                  <w:sz w:val="20"/>
                                </w:rPr>
                                <w:t>Hour</w:t>
                              </w:r>
                            </w:p>
                          </w:txbxContent>
                        </wps:txbx>
                        <wps:bodyPr rot="0" vert="horz" wrap="none" lIns="0" tIns="0" rIns="0" bIns="0" anchor="t" anchorCtr="0" upright="1">
                          <a:spAutoFit/>
                        </wps:bodyPr>
                      </wps:wsp>
                      <wps:wsp>
                        <wps:cNvPr id="1736819556" name="Freeform 180"/>
                        <wps:cNvSpPr>
                          <a:spLocks/>
                        </wps:cNvSpPr>
                        <wps:spPr bwMode="auto">
                          <a:xfrm>
                            <a:off x="2531700" y="2126640"/>
                            <a:ext cx="1326500" cy="321306"/>
                          </a:xfrm>
                          <a:custGeom>
                            <a:avLst/>
                            <a:gdLst>
                              <a:gd name="T0" fmla="*/ 0 w 6600"/>
                              <a:gd name="T1" fmla="*/ 0 h 1600"/>
                              <a:gd name="T2" fmla="*/ 22217468 w 6600"/>
                              <a:gd name="T3" fmla="*/ 32262135 h 1600"/>
                              <a:gd name="T4" fmla="*/ 101836812 w 6600"/>
                              <a:gd name="T5" fmla="*/ 32262135 h 1600"/>
                              <a:gd name="T6" fmla="*/ 124054079 w 6600"/>
                              <a:gd name="T7" fmla="*/ 64524269 h 1600"/>
                              <a:gd name="T8" fmla="*/ 146271547 w 6600"/>
                              <a:gd name="T9" fmla="*/ 32262135 h 1600"/>
                              <a:gd name="T10" fmla="*/ 244391948 w 6600"/>
                              <a:gd name="T11" fmla="*/ 32262135 h 1600"/>
                              <a:gd name="T12" fmla="*/ 266609416 w 6600"/>
                              <a:gd name="T13" fmla="*/ 0 h 16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600" h="1600">
                                <a:moveTo>
                                  <a:pt x="0" y="0"/>
                                </a:moveTo>
                                <a:cubicBezTo>
                                  <a:pt x="0" y="442"/>
                                  <a:pt x="247" y="800"/>
                                  <a:pt x="550" y="800"/>
                                </a:cubicBezTo>
                                <a:lnTo>
                                  <a:pt x="2521" y="800"/>
                                </a:lnTo>
                                <a:cubicBezTo>
                                  <a:pt x="2825" y="800"/>
                                  <a:pt x="3071" y="1159"/>
                                  <a:pt x="3071" y="1600"/>
                                </a:cubicBezTo>
                                <a:cubicBezTo>
                                  <a:pt x="3071" y="1159"/>
                                  <a:pt x="3317" y="800"/>
                                  <a:pt x="3621" y="800"/>
                                </a:cubicBezTo>
                                <a:lnTo>
                                  <a:pt x="6050" y="800"/>
                                </a:lnTo>
                                <a:cubicBezTo>
                                  <a:pt x="6354" y="800"/>
                                  <a:pt x="6600" y="442"/>
                                  <a:pt x="6600" y="0"/>
                                </a:cubicBezTo>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7481946" name="Line 181"/>
                        <wps:cNvCnPr>
                          <a:cxnSpLocks noChangeShapeType="1"/>
                        </wps:cNvCnPr>
                        <wps:spPr bwMode="auto">
                          <a:xfrm>
                            <a:off x="843900" y="2046638"/>
                            <a:ext cx="0" cy="240604"/>
                          </a:xfrm>
                          <a:prstGeom prst="line">
                            <a:avLst/>
                          </a:prstGeom>
                          <a:noFill/>
                          <a:ln w="21">
                            <a:solidFill>
                              <a:srgbClr val="000000"/>
                            </a:solidFill>
                            <a:round/>
                            <a:headEnd/>
                            <a:tailEnd/>
                          </a:ln>
                          <a:extLst>
                            <a:ext uri="{909E8E84-426E-40DD-AFC4-6F175D3DCCD1}">
                              <a14:hiddenFill xmlns:a14="http://schemas.microsoft.com/office/drawing/2010/main">
                                <a:noFill/>
                              </a14:hiddenFill>
                            </a:ext>
                          </a:extLst>
                        </wps:spPr>
                        <wps:bodyPr/>
                      </wps:wsp>
                      <wps:wsp>
                        <wps:cNvPr id="1452533204" name="Line 182"/>
                        <wps:cNvCnPr>
                          <a:cxnSpLocks noChangeShapeType="1"/>
                        </wps:cNvCnPr>
                        <wps:spPr bwMode="auto">
                          <a:xfrm>
                            <a:off x="240600" y="2046638"/>
                            <a:ext cx="0" cy="240604"/>
                          </a:xfrm>
                          <a:prstGeom prst="line">
                            <a:avLst/>
                          </a:prstGeom>
                          <a:noFill/>
                          <a:ln w="21">
                            <a:solidFill>
                              <a:srgbClr val="000000"/>
                            </a:solidFill>
                            <a:round/>
                            <a:headEnd/>
                            <a:tailEnd/>
                          </a:ln>
                          <a:extLst>
                            <a:ext uri="{909E8E84-426E-40DD-AFC4-6F175D3DCCD1}">
                              <a14:hiddenFill xmlns:a14="http://schemas.microsoft.com/office/drawing/2010/main">
                                <a:noFill/>
                              </a14:hiddenFill>
                            </a:ext>
                          </a:extLst>
                        </wps:spPr>
                        <wps:bodyPr/>
                      </wps:wsp>
                      <wps:wsp>
                        <wps:cNvPr id="1219104002" name="Rectangle 183"/>
                        <wps:cNvSpPr>
                          <a:spLocks noChangeArrowheads="1"/>
                        </wps:cNvSpPr>
                        <wps:spPr bwMode="auto">
                          <a:xfrm>
                            <a:off x="3102600" y="2084739"/>
                            <a:ext cx="78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34103" w14:textId="77777777" w:rsidR="001D4369" w:rsidRDefault="001D4369" w:rsidP="001D4369">
                              <w:r>
                                <w:rPr>
                                  <w:rFonts w:ascii="Arial" w:hAnsi="Arial" w:cs="Arial"/>
                                  <w:b/>
                                  <w:bCs/>
                                  <w:color w:val="000000"/>
                                  <w:sz w:val="20"/>
                                </w:rPr>
                                <w:t>T</w:t>
                              </w:r>
                            </w:p>
                          </w:txbxContent>
                        </wps:txbx>
                        <wps:bodyPr rot="0" vert="horz" wrap="none" lIns="0" tIns="0" rIns="0" bIns="0" anchor="t" anchorCtr="0" upright="1">
                          <a:spAutoFit/>
                        </wps:bodyPr>
                      </wps:wsp>
                      <wps:wsp>
                        <wps:cNvPr id="250594016" name="Freeform 184"/>
                        <wps:cNvSpPr>
                          <a:spLocks noEditPoints="1"/>
                        </wps:cNvSpPr>
                        <wps:spPr bwMode="auto">
                          <a:xfrm>
                            <a:off x="2612300" y="2146940"/>
                            <a:ext cx="442000" cy="40001"/>
                          </a:xfrm>
                          <a:custGeom>
                            <a:avLst/>
                            <a:gdLst>
                              <a:gd name="T0" fmla="*/ 280670000 w 696"/>
                              <a:gd name="T1" fmla="*/ 16127387 h 63"/>
                              <a:gd name="T2" fmla="*/ 20969598 w 696"/>
                              <a:gd name="T3" fmla="*/ 16127387 h 63"/>
                              <a:gd name="T4" fmla="*/ 20969598 w 696"/>
                              <a:gd name="T5" fmla="*/ 9676432 h 63"/>
                              <a:gd name="T6" fmla="*/ 280670000 w 696"/>
                              <a:gd name="T7" fmla="*/ 9676432 h 63"/>
                              <a:gd name="T8" fmla="*/ 280670000 w 696"/>
                              <a:gd name="T9" fmla="*/ 16127387 h 63"/>
                              <a:gd name="T10" fmla="*/ 25405474 w 696"/>
                              <a:gd name="T11" fmla="*/ 25400635 h 63"/>
                              <a:gd name="T12" fmla="*/ 0 w 696"/>
                              <a:gd name="T13" fmla="*/ 12901910 h 63"/>
                              <a:gd name="T14" fmla="*/ 25405474 w 696"/>
                              <a:gd name="T15" fmla="*/ 0 h 63"/>
                              <a:gd name="T16" fmla="*/ 25405474 w 696"/>
                              <a:gd name="T17" fmla="*/ 25400635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96" h="63">
                                <a:moveTo>
                                  <a:pt x="696" y="40"/>
                                </a:moveTo>
                                <a:lnTo>
                                  <a:pt x="52" y="40"/>
                                </a:lnTo>
                                <a:lnTo>
                                  <a:pt x="52" y="24"/>
                                </a:lnTo>
                                <a:lnTo>
                                  <a:pt x="696" y="24"/>
                                </a:lnTo>
                                <a:lnTo>
                                  <a:pt x="696" y="40"/>
                                </a:lnTo>
                                <a:close/>
                                <a:moveTo>
                                  <a:pt x="63" y="63"/>
                                </a:moveTo>
                                <a:lnTo>
                                  <a:pt x="0" y="32"/>
                                </a:lnTo>
                                <a:lnTo>
                                  <a:pt x="63" y="0"/>
                                </a:lnTo>
                                <a:lnTo>
                                  <a:pt x="63" y="63"/>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s:wsp>
                        <wps:cNvPr id="410032577" name="Freeform 185"/>
                        <wps:cNvSpPr>
                          <a:spLocks noEditPoints="1"/>
                        </wps:cNvSpPr>
                        <wps:spPr bwMode="auto">
                          <a:xfrm>
                            <a:off x="3215000" y="2146940"/>
                            <a:ext cx="441900" cy="40001"/>
                          </a:xfrm>
                          <a:custGeom>
                            <a:avLst/>
                            <a:gdLst>
                              <a:gd name="T0" fmla="*/ 0 w 696"/>
                              <a:gd name="T1" fmla="*/ 9676432 h 63"/>
                              <a:gd name="T2" fmla="*/ 259641647 w 696"/>
                              <a:gd name="T3" fmla="*/ 9676432 h 63"/>
                              <a:gd name="T4" fmla="*/ 259641647 w 696"/>
                              <a:gd name="T5" fmla="*/ 16127387 h 63"/>
                              <a:gd name="T6" fmla="*/ 0 w 696"/>
                              <a:gd name="T7" fmla="*/ 16127387 h 63"/>
                              <a:gd name="T8" fmla="*/ 0 w 696"/>
                              <a:gd name="T9" fmla="*/ 9676432 h 63"/>
                              <a:gd name="T10" fmla="*/ 255206774 w 696"/>
                              <a:gd name="T11" fmla="*/ 0 h 63"/>
                              <a:gd name="T12" fmla="*/ 280606500 w 696"/>
                              <a:gd name="T13" fmla="*/ 12901910 h 63"/>
                              <a:gd name="T14" fmla="*/ 255206774 w 696"/>
                              <a:gd name="T15" fmla="*/ 25400635 h 63"/>
                              <a:gd name="T16" fmla="*/ 255206774 w 696"/>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96" h="63">
                                <a:moveTo>
                                  <a:pt x="0" y="24"/>
                                </a:moveTo>
                                <a:lnTo>
                                  <a:pt x="644" y="24"/>
                                </a:lnTo>
                                <a:lnTo>
                                  <a:pt x="644" y="40"/>
                                </a:lnTo>
                                <a:lnTo>
                                  <a:pt x="0" y="40"/>
                                </a:lnTo>
                                <a:lnTo>
                                  <a:pt x="0" y="24"/>
                                </a:lnTo>
                                <a:close/>
                                <a:moveTo>
                                  <a:pt x="633" y="0"/>
                                </a:moveTo>
                                <a:lnTo>
                                  <a:pt x="696" y="32"/>
                                </a:lnTo>
                                <a:lnTo>
                                  <a:pt x="633" y="63"/>
                                </a:lnTo>
                                <a:lnTo>
                                  <a:pt x="633" y="0"/>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s:wsp>
                        <wps:cNvPr id="1997289622" name="Rectangle 186"/>
                        <wps:cNvSpPr>
                          <a:spLocks noChangeArrowheads="1"/>
                        </wps:cNvSpPr>
                        <wps:spPr bwMode="auto">
                          <a:xfrm>
                            <a:off x="248900" y="38701"/>
                            <a:ext cx="2651800" cy="24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BB971" w14:textId="77777777" w:rsidR="001D4369" w:rsidRDefault="001D4369" w:rsidP="001D4369">
                              <w:r>
                                <w:rPr>
                                  <w:rFonts w:ascii="Arial" w:hAnsi="Arial" w:cs="Arial"/>
                                  <w:b/>
                                  <w:bCs/>
                                  <w:color w:val="000000"/>
                                  <w:sz w:val="34"/>
                                  <w:szCs w:val="34"/>
                                </w:rPr>
                                <w:t>Adjustment Period &amp; Real</w:t>
                              </w:r>
                            </w:p>
                          </w:txbxContent>
                        </wps:txbx>
                        <wps:bodyPr rot="0" vert="horz" wrap="none" lIns="0" tIns="0" rIns="0" bIns="0" anchor="t" anchorCtr="0" upright="1">
                          <a:spAutoFit/>
                        </wps:bodyPr>
                      </wps:wsp>
                      <wps:wsp>
                        <wps:cNvPr id="1018074243" name="Rectangle 187"/>
                        <wps:cNvSpPr>
                          <a:spLocks noChangeArrowheads="1"/>
                        </wps:cNvSpPr>
                        <wps:spPr bwMode="auto">
                          <a:xfrm>
                            <a:off x="2879100" y="38701"/>
                            <a:ext cx="72400" cy="24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7D735" w14:textId="77777777" w:rsidR="001D4369" w:rsidRDefault="001D4369" w:rsidP="001D4369">
                              <w:r>
                                <w:rPr>
                                  <w:rFonts w:ascii="Arial" w:hAnsi="Arial" w:cs="Arial"/>
                                  <w:b/>
                                  <w:bCs/>
                                  <w:color w:val="000000"/>
                                  <w:sz w:val="34"/>
                                  <w:szCs w:val="34"/>
                                </w:rPr>
                                <w:t>-</w:t>
                              </w:r>
                            </w:p>
                          </w:txbxContent>
                        </wps:txbx>
                        <wps:bodyPr rot="0" vert="horz" wrap="none" lIns="0" tIns="0" rIns="0" bIns="0" anchor="t" anchorCtr="0" upright="1">
                          <a:spAutoFit/>
                        </wps:bodyPr>
                      </wps:wsp>
                      <wps:wsp>
                        <wps:cNvPr id="1394833226" name="Rectangle 188"/>
                        <wps:cNvSpPr>
                          <a:spLocks noChangeArrowheads="1"/>
                        </wps:cNvSpPr>
                        <wps:spPr bwMode="auto">
                          <a:xfrm>
                            <a:off x="2950800" y="38701"/>
                            <a:ext cx="1703800" cy="24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D95D2" w14:textId="77777777" w:rsidR="001D4369" w:rsidRDefault="001D4369" w:rsidP="001D4369">
                              <w:r>
                                <w:rPr>
                                  <w:rFonts w:ascii="Arial" w:hAnsi="Arial" w:cs="Arial"/>
                                  <w:b/>
                                  <w:bCs/>
                                  <w:color w:val="000000"/>
                                  <w:sz w:val="34"/>
                                  <w:szCs w:val="34"/>
                                </w:rPr>
                                <w:t>Time Operations</w:t>
                              </w:r>
                            </w:p>
                          </w:txbxContent>
                        </wps:txbx>
                        <wps:bodyPr rot="0" vert="horz" wrap="none" lIns="0" tIns="0" rIns="0" bIns="0" anchor="t" anchorCtr="0" upright="1">
                          <a:spAutoFit/>
                        </wps:bodyPr>
                      </wps:wsp>
                      <wpg:wgp>
                        <wpg:cNvPr id="1105658717" name="Group 189"/>
                        <wpg:cNvGrpSpPr>
                          <a:grpSpLocks/>
                        </wpg:cNvGrpSpPr>
                        <wpg:grpSpPr bwMode="auto">
                          <a:xfrm>
                            <a:off x="2571700" y="1323925"/>
                            <a:ext cx="1286500" cy="281305"/>
                            <a:chOff x="5931" y="4115"/>
                            <a:chExt cx="2026" cy="443"/>
                          </a:xfrm>
                        </wpg:grpSpPr>
                        <wps:wsp>
                          <wps:cNvPr id="1243608084" name="Freeform 190"/>
                          <wps:cNvSpPr>
                            <a:spLocks/>
                          </wps:cNvSpPr>
                          <wps:spPr bwMode="auto">
                            <a:xfrm>
                              <a:off x="5931" y="4115"/>
                              <a:ext cx="2026" cy="443"/>
                            </a:xfrm>
                            <a:custGeom>
                              <a:avLst/>
                              <a:gdLst>
                                <a:gd name="T0" fmla="*/ 23 w 6400"/>
                                <a:gd name="T1" fmla="*/ 0 h 1400"/>
                                <a:gd name="T2" fmla="*/ 0 w 6400"/>
                                <a:gd name="T3" fmla="*/ 23 h 1400"/>
                                <a:gd name="T4" fmla="*/ 0 w 6400"/>
                                <a:gd name="T5" fmla="*/ 117 h 1400"/>
                                <a:gd name="T6" fmla="*/ 23 w 6400"/>
                                <a:gd name="T7" fmla="*/ 140 h 1400"/>
                                <a:gd name="T8" fmla="*/ 618 w 6400"/>
                                <a:gd name="T9" fmla="*/ 140 h 1400"/>
                                <a:gd name="T10" fmla="*/ 641 w 6400"/>
                                <a:gd name="T11" fmla="*/ 117 h 1400"/>
                                <a:gd name="T12" fmla="*/ 641 w 6400"/>
                                <a:gd name="T13" fmla="*/ 23 h 1400"/>
                                <a:gd name="T14" fmla="*/ 618 w 6400"/>
                                <a:gd name="T15" fmla="*/ 0 h 1400"/>
                                <a:gd name="T16" fmla="*/ 23 w 6400"/>
                                <a:gd name="T17" fmla="*/ 0 h 14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400" h="1400">
                                  <a:moveTo>
                                    <a:pt x="234" y="0"/>
                                  </a:moveTo>
                                  <a:cubicBezTo>
                                    <a:pt x="105" y="0"/>
                                    <a:pt x="0" y="105"/>
                                    <a:pt x="0" y="234"/>
                                  </a:cubicBezTo>
                                  <a:lnTo>
                                    <a:pt x="0" y="1167"/>
                                  </a:lnTo>
                                  <a:cubicBezTo>
                                    <a:pt x="0" y="1296"/>
                                    <a:pt x="105" y="1400"/>
                                    <a:pt x="234" y="1400"/>
                                  </a:cubicBezTo>
                                  <a:lnTo>
                                    <a:pt x="6167" y="1400"/>
                                  </a:lnTo>
                                  <a:cubicBezTo>
                                    <a:pt x="6296" y="1400"/>
                                    <a:pt x="6400" y="1296"/>
                                    <a:pt x="6400" y="1167"/>
                                  </a:cubicBezTo>
                                  <a:lnTo>
                                    <a:pt x="6400" y="234"/>
                                  </a:lnTo>
                                  <a:cubicBezTo>
                                    <a:pt x="6400" y="105"/>
                                    <a:pt x="6296" y="0"/>
                                    <a:pt x="6167" y="0"/>
                                  </a:cubicBezTo>
                                  <a:lnTo>
                                    <a:pt x="234" y="0"/>
                                  </a:lnTo>
                                  <a:close/>
                                </a:path>
                              </a:pathLst>
                            </a:custGeom>
                            <a:solidFill>
                              <a:srgbClr val="333399"/>
                            </a:solidFill>
                            <a:ln w="0">
                              <a:solidFill>
                                <a:srgbClr val="000000"/>
                              </a:solidFill>
                              <a:round/>
                              <a:headEnd/>
                              <a:tailEnd/>
                            </a:ln>
                          </wps:spPr>
                          <wps:bodyPr rot="0" vert="horz" wrap="square" lIns="91440" tIns="45720" rIns="91440" bIns="45720" anchor="t" anchorCtr="0" upright="1">
                            <a:noAutofit/>
                          </wps:bodyPr>
                        </wps:wsp>
                        <wps:wsp>
                          <wps:cNvPr id="1137900567" name="Freeform 191"/>
                          <wps:cNvSpPr>
                            <a:spLocks/>
                          </wps:cNvSpPr>
                          <wps:spPr bwMode="auto">
                            <a:xfrm>
                              <a:off x="5931" y="4115"/>
                              <a:ext cx="2026" cy="443"/>
                            </a:xfrm>
                            <a:custGeom>
                              <a:avLst/>
                              <a:gdLst>
                                <a:gd name="T0" fmla="*/ 23 w 6400"/>
                                <a:gd name="T1" fmla="*/ 0 h 1400"/>
                                <a:gd name="T2" fmla="*/ 0 w 6400"/>
                                <a:gd name="T3" fmla="*/ 23 h 1400"/>
                                <a:gd name="T4" fmla="*/ 0 w 6400"/>
                                <a:gd name="T5" fmla="*/ 117 h 1400"/>
                                <a:gd name="T6" fmla="*/ 23 w 6400"/>
                                <a:gd name="T7" fmla="*/ 140 h 1400"/>
                                <a:gd name="T8" fmla="*/ 618 w 6400"/>
                                <a:gd name="T9" fmla="*/ 140 h 1400"/>
                                <a:gd name="T10" fmla="*/ 641 w 6400"/>
                                <a:gd name="T11" fmla="*/ 117 h 1400"/>
                                <a:gd name="T12" fmla="*/ 641 w 6400"/>
                                <a:gd name="T13" fmla="*/ 23 h 1400"/>
                                <a:gd name="T14" fmla="*/ 618 w 6400"/>
                                <a:gd name="T15" fmla="*/ 0 h 1400"/>
                                <a:gd name="T16" fmla="*/ 23 w 6400"/>
                                <a:gd name="T17" fmla="*/ 0 h 14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400" h="1400">
                                  <a:moveTo>
                                    <a:pt x="234" y="0"/>
                                  </a:moveTo>
                                  <a:cubicBezTo>
                                    <a:pt x="105" y="0"/>
                                    <a:pt x="0" y="105"/>
                                    <a:pt x="0" y="234"/>
                                  </a:cubicBezTo>
                                  <a:lnTo>
                                    <a:pt x="0" y="1167"/>
                                  </a:lnTo>
                                  <a:cubicBezTo>
                                    <a:pt x="0" y="1296"/>
                                    <a:pt x="105" y="1400"/>
                                    <a:pt x="234" y="1400"/>
                                  </a:cubicBezTo>
                                  <a:lnTo>
                                    <a:pt x="6167" y="1400"/>
                                  </a:lnTo>
                                  <a:cubicBezTo>
                                    <a:pt x="6296" y="1400"/>
                                    <a:pt x="6400" y="1296"/>
                                    <a:pt x="6400" y="1167"/>
                                  </a:cubicBezTo>
                                  <a:lnTo>
                                    <a:pt x="6400" y="234"/>
                                  </a:lnTo>
                                  <a:cubicBezTo>
                                    <a:pt x="6400" y="105"/>
                                    <a:pt x="6296" y="0"/>
                                    <a:pt x="6167" y="0"/>
                                  </a:cubicBezTo>
                                  <a:lnTo>
                                    <a:pt x="234" y="0"/>
                                  </a:lnTo>
                                  <a:close/>
                                </a:path>
                              </a:pathLst>
                            </a:custGeom>
                            <a:noFill/>
                            <a:ln w="8"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81805570" name="Rectangle 192"/>
                        <wps:cNvSpPr>
                          <a:spLocks noChangeArrowheads="1"/>
                        </wps:cNvSpPr>
                        <wps:spPr bwMode="auto">
                          <a:xfrm>
                            <a:off x="2910800" y="1326525"/>
                            <a:ext cx="2686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6A9C2" w14:textId="77777777" w:rsidR="001D4369" w:rsidRDefault="001D4369" w:rsidP="001D4369">
                              <w:r>
                                <w:rPr>
                                  <w:rFonts w:ascii="Arial" w:hAnsi="Arial" w:cs="Arial"/>
                                  <w:b/>
                                  <w:bCs/>
                                  <w:color w:val="FFFFFF"/>
                                  <w:sz w:val="20"/>
                                </w:rPr>
                                <w:t>Real</w:t>
                              </w:r>
                            </w:p>
                          </w:txbxContent>
                        </wps:txbx>
                        <wps:bodyPr rot="0" vert="horz" wrap="none" lIns="0" tIns="0" rIns="0" bIns="0" anchor="t" anchorCtr="0" upright="1">
                          <a:spAutoFit/>
                        </wps:bodyPr>
                      </wps:wsp>
                      <wps:wsp>
                        <wps:cNvPr id="967180010" name="Rectangle 193"/>
                        <wps:cNvSpPr>
                          <a:spLocks noChangeArrowheads="1"/>
                        </wps:cNvSpPr>
                        <wps:spPr bwMode="auto">
                          <a:xfrm>
                            <a:off x="3164800" y="1326525"/>
                            <a:ext cx="425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A5489" w14:textId="77777777" w:rsidR="001D4369" w:rsidRDefault="001D4369" w:rsidP="001D4369">
                              <w:r>
                                <w:rPr>
                                  <w:rFonts w:ascii="Arial" w:hAnsi="Arial" w:cs="Arial"/>
                                  <w:b/>
                                  <w:bCs/>
                                  <w:color w:val="FFFFFF"/>
                                  <w:sz w:val="20"/>
                                </w:rPr>
                                <w:t>-</w:t>
                              </w:r>
                            </w:p>
                          </w:txbxContent>
                        </wps:txbx>
                        <wps:bodyPr rot="0" vert="horz" wrap="none" lIns="0" tIns="0" rIns="0" bIns="0" anchor="t" anchorCtr="0" upright="1">
                          <a:spAutoFit/>
                        </wps:bodyPr>
                      </wps:wsp>
                      <wps:wsp>
                        <wps:cNvPr id="1935332343" name="Rectangle 194"/>
                        <wps:cNvSpPr>
                          <a:spLocks noChangeArrowheads="1"/>
                        </wps:cNvSpPr>
                        <wps:spPr bwMode="auto">
                          <a:xfrm>
                            <a:off x="3204800" y="1326525"/>
                            <a:ext cx="2965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DEB1A" w14:textId="77777777" w:rsidR="001D4369" w:rsidRDefault="001D4369" w:rsidP="001D4369">
                              <w:r>
                                <w:rPr>
                                  <w:rFonts w:ascii="Arial" w:hAnsi="Arial" w:cs="Arial"/>
                                  <w:b/>
                                  <w:bCs/>
                                  <w:color w:val="FFFFFF"/>
                                  <w:sz w:val="20"/>
                                </w:rPr>
                                <w:t xml:space="preserve">Time </w:t>
                              </w:r>
                            </w:p>
                          </w:txbxContent>
                        </wps:txbx>
                        <wps:bodyPr rot="0" vert="horz" wrap="none" lIns="0" tIns="0" rIns="0" bIns="0" anchor="t" anchorCtr="0" upright="1">
                          <a:spAutoFit/>
                        </wps:bodyPr>
                      </wps:wsp>
                      <wps:wsp>
                        <wps:cNvPr id="456075126" name="Rectangle 195"/>
                        <wps:cNvSpPr>
                          <a:spLocks noChangeArrowheads="1"/>
                        </wps:cNvSpPr>
                        <wps:spPr bwMode="auto">
                          <a:xfrm>
                            <a:off x="2896900" y="1471327"/>
                            <a:ext cx="670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1CB8E" w14:textId="77777777" w:rsidR="001D4369" w:rsidRDefault="001D4369" w:rsidP="001D4369">
                              <w:r>
                                <w:rPr>
                                  <w:rFonts w:ascii="Arial" w:hAnsi="Arial" w:cs="Arial"/>
                                  <w:b/>
                                  <w:bCs/>
                                  <w:color w:val="FFFFFF"/>
                                  <w:sz w:val="20"/>
                                </w:rPr>
                                <w:t>Operations</w:t>
                              </w:r>
                            </w:p>
                          </w:txbxContent>
                        </wps:txbx>
                        <wps:bodyPr rot="0" vert="horz" wrap="none" lIns="0" tIns="0" rIns="0" bIns="0" anchor="t" anchorCtr="0" upright="1">
                          <a:spAutoFit/>
                        </wps:bodyPr>
                      </wps:wsp>
                      <wpg:wgp>
                        <wpg:cNvPr id="1465444041" name="Group 196"/>
                        <wpg:cNvGrpSpPr>
                          <a:grpSpLocks/>
                        </wpg:cNvGrpSpPr>
                        <wpg:grpSpPr bwMode="auto">
                          <a:xfrm>
                            <a:off x="2331000" y="444043"/>
                            <a:ext cx="1607200" cy="599277"/>
                            <a:chOff x="5552" y="2851"/>
                            <a:chExt cx="2531" cy="822"/>
                          </a:xfrm>
                        </wpg:grpSpPr>
                        <wps:wsp>
                          <wps:cNvPr id="1919248983" name="Rectangle 197"/>
                          <wps:cNvSpPr>
                            <a:spLocks noChangeArrowheads="1"/>
                          </wps:cNvSpPr>
                          <wps:spPr bwMode="auto">
                            <a:xfrm>
                              <a:off x="5552" y="2851"/>
                              <a:ext cx="2531" cy="822"/>
                            </a:xfrm>
                            <a:prstGeom prst="rect">
                              <a:avLst/>
                            </a:prstGeom>
                            <a:solidFill>
                              <a:srgbClr val="99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6648918" name="Rectangle 198"/>
                          <wps:cNvSpPr>
                            <a:spLocks noChangeArrowheads="1"/>
                          </wps:cNvSpPr>
                          <wps:spPr bwMode="auto">
                            <a:xfrm>
                              <a:off x="5552" y="2851"/>
                              <a:ext cx="2531" cy="822"/>
                            </a:xfrm>
                            <a:prstGeom prst="rect">
                              <a:avLst/>
                            </a:prstGeom>
                            <a:noFill/>
                            <a:ln w="8"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352981800" name="Rectangle 199"/>
                        <wps:cNvSpPr>
                          <a:spLocks noChangeArrowheads="1"/>
                        </wps:cNvSpPr>
                        <wps:spPr bwMode="auto">
                          <a:xfrm>
                            <a:off x="2821026" y="459986"/>
                            <a:ext cx="612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AD1ED" w14:textId="77777777" w:rsidR="001D4369" w:rsidRDefault="001D4369" w:rsidP="001D4369">
                              <w:r>
                                <w:rPr>
                                  <w:rFonts w:ascii="Arial" w:hAnsi="Arial" w:cs="Arial"/>
                                  <w:b/>
                                  <w:bCs/>
                                  <w:color w:val="FFFFFF"/>
                                  <w:sz w:val="14"/>
                                  <w:szCs w:val="14"/>
                                </w:rPr>
                                <w:t>QSE Deadline:</w:t>
                              </w:r>
                            </w:p>
                          </w:txbxContent>
                        </wps:txbx>
                        <wps:bodyPr rot="0" vert="horz" wrap="none" lIns="0" tIns="0" rIns="0" bIns="0" anchor="t" anchorCtr="0" upright="1">
                          <a:spAutoFit/>
                        </wps:bodyPr>
                      </wps:wsp>
                      <wps:wsp>
                        <wps:cNvPr id="308665085" name="Rectangle 200"/>
                        <wps:cNvSpPr>
                          <a:spLocks noChangeArrowheads="1"/>
                        </wps:cNvSpPr>
                        <wps:spPr bwMode="auto">
                          <a:xfrm>
                            <a:off x="2812400" y="562650"/>
                            <a:ext cx="645800" cy="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3484957" name="Rectangle 201"/>
                        <wps:cNvSpPr>
                          <a:spLocks noChangeArrowheads="1"/>
                        </wps:cNvSpPr>
                        <wps:spPr bwMode="auto">
                          <a:xfrm>
                            <a:off x="2421692" y="634003"/>
                            <a:ext cx="135890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F8E44" w14:textId="77777777" w:rsidR="001D4369" w:rsidRDefault="001D4369" w:rsidP="001D4369">
                              <w:pPr>
                                <w:rPr>
                                  <w:rFonts w:ascii="Arial" w:hAnsi="Arial" w:cs="Arial"/>
                                  <w:b/>
                                  <w:bCs/>
                                  <w:color w:val="FFFFFF"/>
                                  <w:sz w:val="14"/>
                                  <w:szCs w:val="14"/>
                                </w:rPr>
                              </w:pPr>
                              <w:r>
                                <w:rPr>
                                  <w:rFonts w:ascii="Arial" w:hAnsi="Arial" w:cs="Arial"/>
                                  <w:b/>
                                  <w:bCs/>
                                  <w:color w:val="FFFFFF"/>
                                  <w:sz w:val="14"/>
                                  <w:szCs w:val="14"/>
                                </w:rPr>
                                <w:t xml:space="preserve">                Update AS Offers</w:t>
                              </w:r>
                            </w:p>
                            <w:p w14:paraId="7F718ABC" w14:textId="77777777" w:rsidR="001D4369" w:rsidRDefault="001D4369" w:rsidP="001D4369">
                              <w:pPr>
                                <w:jc w:val="center"/>
                              </w:pPr>
                              <w:r>
                                <w:rPr>
                                  <w:rFonts w:ascii="Arial" w:hAnsi="Arial" w:cs="Arial"/>
                                  <w:b/>
                                  <w:bCs/>
                                  <w:color w:val="FFFFFF"/>
                                  <w:sz w:val="14"/>
                                  <w:szCs w:val="14"/>
                                </w:rPr>
                                <w:t>Provide SCADA Telemetry</w:t>
                              </w:r>
                            </w:p>
                            <w:p w14:paraId="41E44BCD" w14:textId="77777777" w:rsidR="001D4369" w:rsidRDefault="001D4369" w:rsidP="001D4369">
                              <w:pPr>
                                <w:rPr>
                                  <w:rFonts w:asciiTheme="minorHAnsi" w:hAnsiTheme="minorHAnsi" w:cstheme="minorBidi"/>
                                  <w:sz w:val="22"/>
                                  <w:szCs w:val="22"/>
                                </w:rPr>
                              </w:pPr>
                              <w:r>
                                <w:rPr>
                                  <w:rFonts w:ascii="Arial" w:hAnsi="Arial" w:cs="Arial"/>
                                  <w:b/>
                                  <w:bCs/>
                                  <w:color w:val="FFFFFF"/>
                                  <w:sz w:val="14"/>
                                  <w:szCs w:val="14"/>
                                </w:rPr>
                                <w:t>Update Energy Bid/Offer Curves</w:t>
                              </w:r>
                            </w:p>
                            <w:p w14:paraId="6E3CDAE6" w14:textId="77777777" w:rsidR="001D4369" w:rsidRDefault="001D4369" w:rsidP="001D4369"/>
                          </w:txbxContent>
                        </wps:txbx>
                        <wps:bodyPr rot="0" vert="horz" wrap="none" lIns="0" tIns="0" rIns="0" bIns="0" anchor="t" anchorCtr="0" upright="1">
                          <a:spAutoFit/>
                        </wps:bodyPr>
                      </wps:wsp>
                      <wpg:wgp>
                        <wpg:cNvPr id="142699568" name="Group 204"/>
                        <wpg:cNvGrpSpPr>
                          <a:grpSpLocks/>
                        </wpg:cNvGrpSpPr>
                        <wpg:grpSpPr bwMode="auto">
                          <a:xfrm>
                            <a:off x="1365800" y="2929855"/>
                            <a:ext cx="965200" cy="481409"/>
                            <a:chOff x="4032" y="6644"/>
                            <a:chExt cx="1520" cy="758"/>
                          </a:xfrm>
                        </wpg:grpSpPr>
                        <wps:wsp>
                          <wps:cNvPr id="482556422" name="Rectangle 205"/>
                          <wps:cNvSpPr>
                            <a:spLocks noChangeArrowheads="1"/>
                          </wps:cNvSpPr>
                          <wps:spPr bwMode="auto">
                            <a:xfrm>
                              <a:off x="4032" y="6644"/>
                              <a:ext cx="1520" cy="75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889508" name="Rectangle 206"/>
                          <wps:cNvSpPr>
                            <a:spLocks noChangeArrowheads="1"/>
                          </wps:cNvSpPr>
                          <wps:spPr bwMode="auto">
                            <a:xfrm>
                              <a:off x="4032" y="6644"/>
                              <a:ext cx="1520" cy="758"/>
                            </a:xfrm>
                            <a:prstGeom prst="rect">
                              <a:avLst/>
                            </a:prstGeom>
                            <a:noFill/>
                            <a:ln w="8"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875470260" name="Rectangle 207"/>
                        <wps:cNvSpPr>
                          <a:spLocks noChangeArrowheads="1"/>
                        </wps:cNvSpPr>
                        <wps:spPr bwMode="auto">
                          <a:xfrm>
                            <a:off x="1487200" y="2989556"/>
                            <a:ext cx="6870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1E6D8" w14:textId="77777777" w:rsidR="001D4369" w:rsidRDefault="001D4369" w:rsidP="001D4369">
                              <w:r>
                                <w:rPr>
                                  <w:rFonts w:ascii="Arial" w:hAnsi="Arial" w:cs="Arial"/>
                                  <w:b/>
                                  <w:bCs/>
                                  <w:color w:val="000000"/>
                                  <w:sz w:val="14"/>
                                  <w:szCs w:val="14"/>
                                </w:rPr>
                                <w:t>ERCOT Activity:</w:t>
                              </w:r>
                            </w:p>
                          </w:txbxContent>
                        </wps:txbx>
                        <wps:bodyPr rot="0" vert="horz" wrap="none" lIns="0" tIns="0" rIns="0" bIns="0" anchor="t" anchorCtr="0" upright="1">
                          <a:spAutoFit/>
                        </wps:bodyPr>
                      </wps:wsp>
                      <wps:wsp>
                        <wps:cNvPr id="1383678361" name="Rectangle 208"/>
                        <wps:cNvSpPr>
                          <a:spLocks noChangeArrowheads="1"/>
                        </wps:cNvSpPr>
                        <wps:spPr bwMode="auto">
                          <a:xfrm>
                            <a:off x="1487100" y="3086758"/>
                            <a:ext cx="722000" cy="89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775665" name="Rectangle 209"/>
                        <wps:cNvSpPr>
                          <a:spLocks noChangeArrowheads="1"/>
                        </wps:cNvSpPr>
                        <wps:spPr bwMode="auto">
                          <a:xfrm>
                            <a:off x="1539200" y="3101958"/>
                            <a:ext cx="5880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AE407" w14:textId="77777777" w:rsidR="001D4369" w:rsidRDefault="001D4369" w:rsidP="001D4369">
                              <w:r>
                                <w:rPr>
                                  <w:rFonts w:ascii="Arial" w:hAnsi="Arial" w:cs="Arial"/>
                                  <w:b/>
                                  <w:bCs/>
                                  <w:color w:val="000000"/>
                                  <w:sz w:val="14"/>
                                  <w:szCs w:val="14"/>
                                </w:rPr>
                                <w:t>Communicate</w:t>
                              </w:r>
                            </w:p>
                          </w:txbxContent>
                        </wps:txbx>
                        <wps:bodyPr rot="0" vert="horz" wrap="none" lIns="0" tIns="0" rIns="0" bIns="0" anchor="t" anchorCtr="0" upright="1">
                          <a:spAutoFit/>
                        </wps:bodyPr>
                      </wps:wsp>
                      <wps:wsp>
                        <wps:cNvPr id="182285037" name="Rectangle 210"/>
                        <wps:cNvSpPr>
                          <a:spLocks noChangeArrowheads="1"/>
                        </wps:cNvSpPr>
                        <wps:spPr bwMode="auto">
                          <a:xfrm>
                            <a:off x="1388100" y="3214360"/>
                            <a:ext cx="8743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91B6F" w14:textId="77777777" w:rsidR="001D4369" w:rsidRDefault="001D4369" w:rsidP="001D4369">
                              <w:r>
                                <w:rPr>
                                  <w:rFonts w:ascii="Arial" w:hAnsi="Arial" w:cs="Arial"/>
                                  <w:b/>
                                  <w:bCs/>
                                  <w:color w:val="000000"/>
                                  <w:sz w:val="14"/>
                                  <w:szCs w:val="14"/>
                                </w:rPr>
                                <w:t>HRUC Commitments</w:t>
                              </w:r>
                            </w:p>
                          </w:txbxContent>
                        </wps:txbx>
                        <wps:bodyPr rot="0" vert="horz" wrap="none" lIns="0" tIns="0" rIns="0" bIns="0" anchor="t" anchorCtr="0" upright="1">
                          <a:spAutoFit/>
                        </wps:bodyPr>
                      </wps:wsp>
                      <wps:wsp>
                        <wps:cNvPr id="35916403" name="Freeform 211"/>
                        <wps:cNvSpPr>
                          <a:spLocks noEditPoints="1"/>
                        </wps:cNvSpPr>
                        <wps:spPr bwMode="auto">
                          <a:xfrm>
                            <a:off x="1828100" y="2167240"/>
                            <a:ext cx="40700" cy="762614"/>
                          </a:xfrm>
                          <a:custGeom>
                            <a:avLst/>
                            <a:gdLst>
                              <a:gd name="T0" fmla="*/ 9691688 w 64"/>
                              <a:gd name="T1" fmla="*/ 484259890 h 1201"/>
                              <a:gd name="T2" fmla="*/ 9691688 w 64"/>
                              <a:gd name="T3" fmla="*/ 20967123 h 1201"/>
                              <a:gd name="T4" fmla="*/ 16152813 w 64"/>
                              <a:gd name="T5" fmla="*/ 20967123 h 1201"/>
                              <a:gd name="T6" fmla="*/ 16152813 w 64"/>
                              <a:gd name="T7" fmla="*/ 484259890 h 1201"/>
                              <a:gd name="T8" fmla="*/ 9691688 w 64"/>
                              <a:gd name="T9" fmla="*/ 484259890 h 1201"/>
                              <a:gd name="T10" fmla="*/ 0 w 64"/>
                              <a:gd name="T11" fmla="*/ 25402475 h 1201"/>
                              <a:gd name="T12" fmla="*/ 12922250 w 64"/>
                              <a:gd name="T13" fmla="*/ 0 h 1201"/>
                              <a:gd name="T14" fmla="*/ 25844500 w 64"/>
                              <a:gd name="T15" fmla="*/ 25402475 h 1201"/>
                              <a:gd name="T16" fmla="*/ 0 w 64"/>
                              <a:gd name="T17" fmla="*/ 25402475 h 120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4" h="1201">
                                <a:moveTo>
                                  <a:pt x="24" y="1201"/>
                                </a:moveTo>
                                <a:lnTo>
                                  <a:pt x="24" y="52"/>
                                </a:lnTo>
                                <a:lnTo>
                                  <a:pt x="40" y="52"/>
                                </a:lnTo>
                                <a:lnTo>
                                  <a:pt x="40" y="1201"/>
                                </a:lnTo>
                                <a:lnTo>
                                  <a:pt x="24" y="1201"/>
                                </a:lnTo>
                                <a:close/>
                                <a:moveTo>
                                  <a:pt x="0" y="63"/>
                                </a:moveTo>
                                <a:lnTo>
                                  <a:pt x="32" y="0"/>
                                </a:lnTo>
                                <a:lnTo>
                                  <a:pt x="64" y="63"/>
                                </a:lnTo>
                                <a:lnTo>
                                  <a:pt x="0" y="63"/>
                                </a:lnTo>
                                <a:close/>
                              </a:path>
                            </a:pathLst>
                          </a:custGeom>
                          <a:solidFill>
                            <a:srgbClr val="000000"/>
                          </a:solidFill>
                          <a:ln w="1">
                            <a:solidFill>
                              <a:srgbClr val="000000"/>
                            </a:solidFill>
                            <a:bevel/>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838C7E" id="Canvas 448" o:spid="_x0000_s1026" editas="canvas" style="position:absolute;margin-left:10.25pt;margin-top:9.65pt;width:423pt;height:273.95pt;z-index:251697152" coordsize="53721,34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gc1aCgAAMpvAQAOAAAAZHJzL2Uyb0RvYy54bWzsXW1zI7eR/n5V9x9Y/Jiqs+b9RRU5ZW92&#10;XalyLqmz7gdQFCWxjiIVkrta+9ff0wAa05jBgJRWGjGrsROT4mAweOkBnn660f3nv3y9X02+LLa7&#10;5WZ9MY1/iKaTxXq+uV6uby+m/3v56b+q6WS3n62vZ6vNenEx/X2xm/7lx//8jz8/Ppwvks3dZnW9&#10;2E5QyXp3/vhwMb3b7x/Oz85287vF/Wz3w+ZhscbFm832frbHn9vbs+vt7BG136/Okigqzh432+uH&#10;7Wa+2O3w61/1xemPqv6bm8V8/4+bm91iP1ldTNG2vfrvVv33iv579uOfZ+e329nD3XJumjF7Rivu&#10;Z8s1Hmqr+utsP5t83i47Vd0v59vNbnOz/2G+uT/b3Nws5wvVB/Qmjlq9+TBbf5ntVGfmGB1uIL69&#10;YL1Xt9Tu9ebTcrXCaJyh9nP6jT4fMT8L/Pj4cHv+ePtg5wlz25qoJ/Xrl+3m84Pq1u35/L+//HM7&#10;WV5fTKu0TuOijorpZD27h6yoYpM4LmmWqAko+8v24beHf271UOPrr5v5/+10s93rVP5WF55cPf59&#10;c40KZ5/3GzVLX2+291QFxn/yFU+O8M908ju+VUkRF1oqFl/3kzmu5kmRZ3R9jgJxXuRpUusS8zsI&#10;F1UASSzV/WmWGJma330091dJneibk6zI6c6z2bluAQbbtpK6iHdg14zy7ttG+be72cNCjfJOjHJc&#10;1nWS5GmFDulh/rRdLOgFw0hXeqRVeR7mnRxjcYVau8NUHBxdz+Dw0AaGZnY+/7zb/7LYqImaffl1&#10;t8fI4QW7xjf9xbT/Ej25uV/htf3T2aRI4nryOFEVm/JcLBbFosndhGeD6uQymKhjqkplsbjoqSwT&#10;paKeRuWiDCSvpya8ErZZfTVBAG2ZuMrqnqqwHttigcGqRbFAbfGxYy8Hnwa+p3WxnACaxJ5hi+UM&#10;xEma9tUn5yDQ3VjOQ59wYGFoxi6aFLRqTIo8T82C0YgRlqxjS8r5CNcppyRYEkvQkU9P5LSE65QT&#10;Ey4pp6ZTEkuffYNnd/xSz7+uzVuNb5MZYYdLjDa95g+bHa2w9JJj+b2MzfqJcnRVFC+d4mguFU97&#10;i1dOcYgJFefVuVt77RSHIFBxtTGhR53imAHZdswxFVe7hrd47BSnl4rKx72dTRL3BtNbvBV6d+k2&#10;KHVvMP2F2IsbdNPMRGwBndqgaTudADRd0T2YmNme5o+/Th6xe6qd7g77IW10dOV+82VxuVFl9jSN&#10;9AqqzqldEg9sCqzW3oJmO0ZRLsCfD6pGPVbHlaKFzHSYK+FPXZlt3vEleRfpbaAeFMwnLVPHPZ0H&#10;hxs3X212BMPwDBp1+0UNP36UO+Vus1peE5ajQd9tb68+rLaTLzPA359//hh95BY4xVbqXWogII21&#10;QoJ6h9fI5Gpz/Tt2++1GY2hgfny522z/mE4egZ8vprt/fZ5tF9PJ6m9rIJc6zjLMzV79keUlLUpb&#10;eeVKXpmt56jqYrqf4u2nrx/2GqR/ftgub+/wJP2KrDc/AcPdLAkLADztznWrzB8AT0OhqKhIojRN&#10;IcwdEKVEjNoGuDqCqH48JveJfugjN/A+6CM37/6a3N3bjxHlvh2APXLTDqAKuWMHahtB1Aii1Jba&#10;AMhEvhwjiCIAOIIo7P4jiBoERFkoREiIkC0pSnMCOdv1tQK2Dn5yYBZphWCLNFxzit0v9+A6V8t7&#10;wzgZpuhuMbv+uL5WK8B+tlzp7wpP/tuCMEVsgTHUvN2rU4dxnZV1Gdc5FCGHO9Rs3Gtyh3VSloY8&#10;jNMkrROlUs3OmeKKiwjkIcAvsYdJFaeRKWDJwxSkodKJsljrYwD0ljxMwD7qe7OMsfvbcYdZDOaw&#10;iGvApDbsxRsCCX5p2OsZGx7Y/pFxFaKjqcOYyKY4r4sunePwKWAOQRhTb/uYQ8Kp3orkro7H+Wtq&#10;I15vTRLy5lVPTRLx9vdOYt5ScV+e7knEm1ZVXwcl4u2ty8G7eDn6KgP/0fBYvZ10KMNQbUcNfixH&#10;P9DRLmHoGTSHMOyfgBZb6JcKcPPNYHQQoZREYlgsxRssecpEoexRIicl3CP5XoRLypejUxK777E0&#10;pUskajoqQFO6RKIh7nhl7/J2LpGIcSBi0GHtFP1oOFMswoprM5wpukjF+2lKl0Y8iLBbJCL3tZ+m&#10;zJzm0JtK7QnQlJo1ZM6XXkZ1Q3+HXZKYXjh1g9NlYsgswfwcXlOvwBMiNuktpyFueEuNyTPsGvRo&#10;Bn7N9fnnq+X858Ufkt1MIryjXJphvR5OuqS2FklvZoXtkFMbE4SyLAByZtAnX/Y1wTwth21SPI4b&#10;1uxwbvf4d0U6yn7xo3TxOM8NJhI3cBFfa+K8zLX48Q08KmbsMVhJq63iStNlt3J+JLeK9nYa92Y8&#10;uYR7X7t8a1Ka1hoYwOW51ywFbq38LF26LTF89WXIXnCTac1kt6OFaIVGS7Fz4UgtBrZ7o6x8j4oL&#10;AdjXt8HXdRrFdVFBGjs4Wr2PI44mY34vMjwKyrmgoQeRS7zQCzExTRZQ9cO4EUcLR4oRR3s5beKR&#10;rCh1UKeDeQGWjiwp34Zwne4rEXBgAItx7NPly9F5+oijFfYkxAgIyih9xNEK5Y04miz6IYw44mjo&#10;JgfG6CVwdIfvhy7yzXT/9w2UJcM/BGSuqiIBYIYibCDz/8BBCZ5iq8UEjjWkw/ox82S9+XCHcouf&#10;ttvNI6kscE7RjIVzA/1xlDtrnNRlbbRbMP5F3mb86zjKa6jXyl04K6KctUH2On7YasfWCX2BSQkd&#10;UZwCM9UQeC5CS6QjnM4PKOhx1Nl/vfqqHKqtJnHQdWcN33x23EHLtdMOvmiHHXzRzjr4cqyjzu6B&#10;HHU+vb2jTlaXRQILDUCSVrWk3CiixBED+Expf+eXl5s0qmKWm6yE6ChOp7EUkXjDOPT2cmPfpncs&#10;N1VS5VlGjJNHbBQdOZTY5HAwColNluTZKUiNfZfesdSUVZLgHc6hZ3UXG2VWHEpqiigsNXlZx2T+&#10;efNNyr5Lpyo2A5x8SuI4ypKiJsudlhtz9ElvEa/pvgD3BNAAihT3ui+UMCfQdZKTokqwbWlzgfVe&#10;SGKYGxSn7vFeiGPykFUyFpVsxHkz94W0KMsqi0DBdEjX1zn41B0adl4IDAxphM84+JSQTR5e1sYi&#10;0bgSuozT3aTwGKpdrslfj2SZ8DB/RS7B5K9IUktxRl4QviZJWqm3b5JyjZW/ga8qaTmPc/Ly8I2T&#10;tJr31+X4LsQVMdS+yhzXhf5OOr4LgdqOGnuHcu3vZ8dzwTdkjudC7/DHcvzJc8RblRz+DkEoKc/R&#10;ccEcYgyOEvmD9RPDUAlHx4X22TDwA6Q3W7cCvd+Fzld9J44LamkivwX1Yvr4VmxEevtmkiLsuJBH&#10;2kpvdhltydbDSZeEJ4HBFFT9YQ7P1EDsji5sjeGOu4N8XJHUBoroX7llzRKkf7cd5AsH6ETgIaxq&#10;Cu3ovVSRLNp5w6Vqdf1FgXbI8pAz5aWtx54qarXUXsib/ro1c+9bFamuHB6fpn53RmxLncmz/WUB&#10;CDXFDiYX5paOTgvv4MhbmcF5OUHwgy5+fp0zb7w2NY7RI34m779m/++HlhIl9AI4id/6Ma8EcP24&#10;csTP0v3hqOEf8TP5+ITcEFx9MlRSvhXhOuXUdEqO+Hl0WACCwyl7OvY14uephXwjfmak/8b42bEH&#10;q7AboFi/9Wzi6KzAIeeeFMnMH2MrwTG5Iq8SUpY7dqBUic9AdqCErEBGFc/rCm7HWkdnHF2kOf53&#10;AmYgaxw7VTPQED4uOXz2yzyufEbnNHC+8sV9FbJKGX1AXiRwVE/0ydPGUyFN8tMwHiq6iF6l9yw1&#10;UYGohQi3Y/Vy4eGSWh+gbjCa15SaDH5PmTlHy2sNtHkEzTmBtcYa+96z1CQIzxRHaQkKoLtFWQ+g&#10;AaQGuyS706FNXbEp49NYayzF9Z6lBvZ/vNc1vcZdqbEeQANITRqhERrYeKUGaksEsPP2/i0wGIOy&#10;f+d7FGKllXVeZ2Q978qNdQEaQG5yuOuy3CDasAmq0UCbAsD9JJx3dfDHdy43VZliQ6hz67IjoY1V&#10;GQYQmyLDHsXLTYFYbi1sk+XQ+U5iubGA7x1vUzVwZoI4116xsTrDEGKTQH8yYgNDK6TIVb9htLax&#10;geK3PCqg3fpOebUZwA0zhqtjVSMKOggRvUsZN8zUaAxuhHl42lB8+ReJQA955W0JsQnIBQGgodmV&#10;4iwq1HVypcxxoCHvumFSUCZS2EHz6JtFEKmEnL5OxQ0TZuQkBaqHHaaLBSzKHuDtRGjS9pixrgre&#10;rG/EYB142vmd/iALCAOQ6mhTMDs5xcaIvP1ZMfycK3ELyGxQ+ChXBCI2GPz7kapXsQK80wiFQ3C7&#10;EdZw4EY6qtNZ9bIhuV3YJRiT5HlRl2Yn4ZWviBHQ0K59wC+u2/6TVz9HTp9yehHuzKPiXFY1ZiD3&#10;IllEjRxuVcvREnJqJ3/GvMTBOI0xrNRAASKgSxijMgcMsKc988SrsxU6YYk+qX/o2eOOeXweKf+O&#10;mURZWoGXoeh63SVpUAq4sEtSCdaubaSMU+QSwClqg2Dfck2yVNV71q7rkhJIQWX0iI1dtAdAWrAW&#10;qLxctCaBn8FhGqwLjdIEmtqC+BJhdBUIfP6i9PyNzBJV71hoYiBzitCc+uxNAEXD7WQIjMdSU8Xg&#10;iFpMXhxVZUPlRW+52Fim6lTlZghOhjwNijKtrHXbcDLZ63MycDu3pG+J1EagoZ0FBruSdhAk1IPD&#10;sVHncGxelPq8TJEmHlamRKcMK8OnZN7scCy8TqISFnoKw9lFA0PSMp5BY5iZgNXtGbInKyb9IPND&#10;RP+OIPOHF3CFS6FOxiUFuO8IlY6LQ5zzAFhhIKFyQMJL+WaOrAyS375OMlSkm0VIAL+jpl7uB5JP&#10;kC5gZYypqCyhYbfRbFVG5UnoQGbjfddOd2mKLMAJ8gP41rUheRlHbqoS+7dCEo0WBF3NmhiVo5Xm&#10;Tl6cmcFD6Dm6dmdvHW0ZT7VlQFktKB6MV7oGJWZy8H68KlXgItvSFUcgAyiVtIaxb6ktWYh6qtrS&#10;AFaGHNkPYQTzKtl66obaznIcFDWCg30thluVqzvVWZbYsGVvqWXDa8dwD+9bbvIyhZuDB6UPys1k&#10;2MEo0w0Uaq/YQEctTkNsrMnuHYsNopalWVXBicEnOJb2HEC9oxiInIYtjWFqBY3hcjVwr4pPwq6J&#10;3N3jglPmMCDEiLDpExzLew4hOAhwRxF81YoDswbi4bmCU2LzOg25scDvVFecIehgYIk0Q4BNu1UZ&#10;Oli/768ZKTFFpEOGwnVSV7naGBtFq8bGRNcJCWcVliBjIm8iJaaVdjcDuDdKWuOiF+cU/YzupURI&#10;Wot6My44jQH6EeTacu7C7Vpb/oeCkd0hYyq4f8BGJni7vL1DYHGdDG69oUjcN28eiRtmnDqDakIp&#10;uDpcsF51vyupGqng+d1m+2G/paR4k88PTxXKoRMM5IhQWyO7rVc8LdofAJJAMyYmTTlz48g+nPRc&#10;RFKcChMMx6ERydLx1BTGYR+SLSzUH0RsYj5Hi2MMwKwtDWgkgo/PXnEqeyaitCPbdp37nGYKqw8M&#10;IFxpWfH5lDRG6sKOcCFbQn0KXsM6GQsBiVPVkgaggbF/QJHNK2B1D9Syq/YAcpOVOYeXh/6U4TRn&#10;ay9DOEkbf+ZNaWDLVr1juSmyFCwa4tWy2HzaLhY3m+39BNLEe71Xaj5eL/f/3CzX+29MrlQjD4LB&#10;PkQuplCKHRoPnnusY6vMBWoNFD6dzwqdj3S+MOXGFMtdL6pOUHIRbZNCnNujd02EfRk9P1iXDONe&#10;RSC64RLpr1LGPawTuAbEhbd1WHJtLPBwjYC1tmSoRmw1tlxPf8G92CLB/kKObMGeupx4+mBxaX57&#10;JkImMijpDHalE7byWchmQtyw+klWV1mcesePnJhtE2ljQySdKPfPiRNfv6eNcj4OtFFOSLjjckoO&#10;VCqnphPb0hFrd25CkTWhitghCtY5Jjcl9/Mm1XyT8RMmLbrEAei1cneplEosXihnbjQJQrHqyeJY&#10;X8ALXvJa1ykOE6YsjrWDiqsF21c7pkkWhxxScUW6e4snTnFtnLtU67K3+HuNtY+tgyLt0/5Aw9vE&#10;0ddR3CkRDsaZPWSayxxC3SlGm6Amgfkyf+piyGhAtR1ZLFxXq2X8IA7p3u0K9RQPj+GTrdvY2xl9&#10;YMxsmZAWrps/dWf069BUx1f5U5fqPJUvc0NRP8VtVUfD6Muvu71JHtqk03Eck5yTZWrj4YFyiq3W&#10;5MipXxrnwpH3Xy2+LFYKxVD2yY/ra/V9P1uu9Hc1LmgpKS2UgfLIaEG7f32ebRectRHx33DK2WRu&#10;hC0Ua4LJ3miu6AyO5sqxWRxPRQ+m9FgJ4gaAUDEKjUCmFrm/KjJNYa1kVQbxRchLQc0j2yMEMk2A&#10;NpDIUb8b7Gj3PGSK07hwA8v82MXZl+8mKfywVJMaIOQg01BdDgyC+QfeIBFBU0+dDjQtgEdqPxaS&#10;UAgn+EJVSihUB6qUQIjwpKd1EgDFoR67+Mdb1zOxKTzeswQ+7z0tbIFTnFvLq9I/wc6skMMp0Xr+&#10;fj8VnB5qpJyS49HpoVrl7ASh5JgKakwFtZt8BS4d4anC+xpqK0gzO98iY/RkpexqMPPSTo8s0kjS&#10;fDG90juAhT8aEhF+MfCUlkwfPCXwcAQ8NcVM7uJeREfWENR2ZDFGXQzo+FPjvlbL+CKjvl54iuh+&#10;ZgvuhadasTK7SG9n9Mg01XEL+NOBp91i3FDUP8LTv61BEH538DQBk4dIbhRvVHs2CHQadmZ7Kd60&#10;rFK2z8AdH376yvLYOCcJdErnaSN1GRL5Teg0RCO6ZB1iziAHO5ALwGIIo4ZqlGAIrlhFAmcSf40S&#10;oQb5SQlRw1VKOBSsUkLUknIA9PZbYqFQvyVQDdfo4FU/KHfykkIvR0KAgnK5eualhVOPJVF7ZtnB&#10;p2FA6cxKuIlyWno6LCfkQIfljIzoFCMAJ13jeyJUSjk9wVEaE5VOL+HsLblWSBhg0UieGnKug05p&#10;GfKhU0N3mlUK+1YfpDMFtUmoF9EZxvO4Us1DGfDxpwZ+nbbxZQZ+srX6Fo0ogcg1RdTXGaT8kJic&#10;6+VPB3fayvgqf3qfyBe5iSM2/X6pUxhKEec0b8I1CXCqOMxer9uXAqd0IIepUyBTuAopUOxFp7Bo&#10;lJHyUPlmdBogEiU6Jc4qwzMVXcfRgMR+J1jWEDfpwFM6FYsjAkTVdWt8HjwNVilx0NHw9EDHJRoK&#10;dVzi0wNVPh2gZojGlCnKszuO3wBQPbPybIAabKKcmKMAarA2OSVB6DXSpyN9OtKnGl29LH2KZcgL&#10;UA3hqVepEEDVBTU/cxCgMk3DeI0/NagzMLZLObrFmIy1bePLjP5GgKrmdLTtX/9O3gfKEeFx90B+&#10;CAMc6SxSmMuRVwpbpSZPzYnOQnmXvOaJTgTK4BMTyASUJzrFYgNL4ZqMjPdQ1lRwkwLAVGlscNi6&#10;+8fNDVmnEEsSzYZKj+jzJjhgc6RT/abubRxg3uxIJ86+Z2UKqzTomzZHjbBSWCr9agCtoc4V+oO8&#10;VCZXj3/fXC8upjOcLlTvD3PJm96xsb4SNFrekcHYfm68dWZfYPBCC8hx0Zi+GmCOebFuicq7UysZ&#10;prjpJHzsmlKE8E1saukKKZ0kCKN565HwHk/zViSBfW9Fkj4ryMXC0yKJGvu7JpnNqqdvEjHCQ6ju&#10;654E8X11Oegdg0Qetd6xckjmvj666D1U2zFD76D3UEcpIrAVm55Bw0bZlOkf/1hOQF9VcgJGyD5y&#10;yoB8Xf/d0SFX0eJ4oWi7MSOkP7/B40GvTeSTS0usD7UjlITDsDZE7Pzz1XL+8+KPyw3dZ5hWTdsa&#10;A6bDq3p+o7pNb5y6GHw79+t8T0Id8D1fP77UyUJajbKbiK6WO2Z+pqEMNALrJRpAU9CU52a695na&#10;sxyNEOW5MWbEUVGrlc2FwnbVrZmfx09gvrAZRi7h3tcuzwfM+HduqTNDTYfVz4eGpyUltiGrzW6h&#10;p/gbHDtCwYbJb0dL7nN0k+3ms/E1Hv2O78+ASpfzpwZixBkzilSU11Y5acjzMhATgKRiRM10ZMUB&#10;Ul6wO6Lm2T3UqMsRNV9bpW1EzbOL6Z/OJkGNgaKWCVUmdIRPKjSdOrH9WfV6RqdmsHopDGawF/Aq&#10;n0sbj7H1ntkDy6qg4kbz7qTekquHTglBCKN9yA/T59ygoeglFFQDGzs3aOqZDxGSlqqeMKJmi8gc&#10;kKsh4IiaN+p19gyNQOUteHwiqPlVQmh937AYsFNx9prPBYs/+Xq/WiPmyCslUMDZpboqS9qLOkHd&#10;SmW+cnAw0tzqhMmT9ebD3Wx9u/hpu908koLyjZEj4KZlUygjWgVS6xpCnknnGP7ZBY7laTb/LZNt&#10;J9Yn/FRjjQxg9kHYrBguMkQUGMkxdh+dkPQ17T4wx8QcLBjeUTnMPLTnNoafOE2adNukA3YMP3lF&#10;iYax/WaU0UwDpruPX/eTOaxCSCcCPp2MRidg+KmQLBwhdnwxXcpAJCDCIM6bS38cZffxDA2/gv0D&#10;QwTVc+0+BXFFagoa49AzzD6+ap6jv/rqkUi9zyAiMboyOvgqkiaHPjuNVJ6KrKKjpZ4RerLFpyji&#10;nqqerrkG6jpmyB1rT38Xn2fr8Q1WLMd9NPV0DwW4JE5IFZWvQkcVdcyy8oXolByVVp9K+W5jr9AC&#10;N1p6tPHM0fRYNdbKcPE0Qw+SSXntPGqJJPTTMvPY34+z8tjixxl5bHHXxmMb6eiwtqejhUcDuTGy&#10;zN3sYQHKzaBaeDAtryHBMRLvIcAq4FDHLSoQ8nCEx2SyOAarucjAj0UlJhjh8Rnwei/UPmbIR3jc&#10;BaiuQhgCqK47YKiknIsOQHWgrPsShOqUr0K4zhEej6drj439MsJjTREd8PSxoPE4PyiLPFveVxao&#10;jvB4/8tic0/U6mjKOfkEKFEEm0mKxFYMhUXWp1LtqA4h/HqmnKSoanswo4LNBhHiFb/LPDLaiXx/&#10;p2DJsQeoT9WSM0C2gThBkpoqRwR1Fpxfl+vFBIoVzZqRmQ9rOlqkOKvfWhbA30gxu/z9ARqF9q5w&#10;bqE/jrI7SKtOEmVFgXSmjtSAIVI2mQxmQPbN5TMrD1ttfZjQl4vpCh1Q3hl8AgUbBxfxrmY4z0K/&#10;D+2myWqoOa01wGTnCCWQpBHl+ujae+3b4I3E+rL23iRFYFRi/cjMBnsekku4053CxGsTN76pudcc&#10;ZHvXKUnAs9QpomHBONWVGztAg8hNndo8jjiih6i+rtwkNXDdKWwuCCdn1s/3vLmUaVEh3xCSoHUI&#10;Oh3v2OwWv6nI2RaU8MpoJep5+wjCLxcIQOnsI453gMoKqiQIWwTvJs+yZavwEKSoqYf1m7Lhj9Ap&#10;IzmLJKHgw4jq5ufaJGmBiMI4iZlSfA1frZK1QG6MimYi6akWL4z1RT1QrSQu4gSpmjPkGu2pVtpd&#10;6YhuhnDYPa2VZm94tiUlMKKKq+wZL2n8PtBa59RjkmVpHde9RnXHEn6oYmfSCiiNdaazvHga7OQp&#10;IQO0b74c3i9IHrUs43ggkq54w705ZyHDdcq5CpeUUxUuKScqWJLi3VsB7JR8grXYdePV+OKy1+sX&#10;A0m4j31yjdMvB/bq+PxiNGVxvGBAL/2ZOuB2IIvjxaHijr+vQtR+92yMMhXnJA3dxrhZRkjQqTxk&#10;mBZPn3lZn0XizvpdnPWN33BsT7MnOLWnRJz63xzLky69ahHE05qrvpNhulNIqamXVV1BggBU1NcW&#10;b5PnunTD/rg1urZURLJyjKNoChdwbzPPrMhHsvtQxNnX1SAdupoqPkzXXDDrAY2sY9t1/9KPae5q&#10;VweM7H2+OovftKvzFO6Urh/aeHuQuICvOUWaayFvDbWlyFozY3/n2ZWVomkHD9qNPNOTeSZCRq/v&#10;KBylJbKi10DbBsdpkgCkAVYbg+FenySosH+z0jhyBBj2i+ndfv9wfna2m98t7me7H+6X8+1mt7nZ&#10;/zDfPPfUJIBanqYgYVpzLf3BX3+uAS1p5aQ1d+SDXu0AQBLXyM4TIaJ4V7GvFBAyL3dLQXvxAwDI&#10;S5s0810h2o3ZTpk1Lqv4JNz/9cEEGpV3rNfjrEZeZ0hryWLTHKyuAm7pkJqXikqKFE4gMs36AIUR&#10;rdEYkeWF87ATaUzx8xkXf5OWj+j8Bc4e6ByXOFYeUPYpfVGZIjfQnSctqaM8RnVR5wg3Co2/W6VU&#10;+INVSnU/CVYplX0KDZqlibeRUtM/0HGpPIaqlKrjgSql7hjsuKvig44AcaBSbnUH01HwVRh7IFxv&#10;3534Rorb8dTmzA0yj9Ja6q/NmZxwE+Xs9NTmTEy4Njkx4Q7Lqelo4NIdZoxOOkYnHaOTCpKFdO6v&#10;62/hTLC2kPs7osD7CBPaFQgG6x0OT2s4E1betXaPsKROOb7Kn04pnHjXfeCr/GmYAvPQI4vZtnEt&#10;/dFJKZUVemND3vf1Ru/taTiIqqmM+QZ+On+avrSeyFe5jccwE8+xDY+pR5cUjUKdRNRg2fwxnME7&#10;i6MoTXI4M3TtTwEH8RcEqjAxIbdTEKji8DOuvyhQ7YMsgmYP4TQHnyJ+Ekwb2hrTRUESBIWqdCFQ&#10;sEoJgYLQTwKhnh5LABSsy8U/XiwuIWmoqy1EmiNlV3kUJO3Be85sQAOJ6HizX11wLE04oX00Jg03&#10;Us5IGEbKKUnycK1ybnq67s5KyNIlJyeIX8O2Jol0yULQb5VySsopCj9dvi/hkvKNCZeU0xMuKaen&#10;UxL74BhKqBO3592eygyjUrOjMYrsQ3FFBjEmDpcLMvjiTwPRTLEOjnSL6YceVajzQEZ7Ej8zPtQA&#10;kVFkb18MJj6ISXvwptuXInWfyle5nSMq/X6zOtXIMFQhDz22jY4/XTWos3ZWsUUNXKUmSZtIKoij&#10;EisvTe15W6Vg4LXSyCwqu9Uaz1tKbax02GM8b0nXtQZfSPtqbdSD5rDr/uvVV3XQU79y75x1Jy+u&#10;CNnp4SvrERvpr/3a1poEcaOgWamV3SM3JYx3RqNJsreUGmvBese2GhwKwRyQO5tPagZ1+q5z5Fnu&#10;lRpEdUIy75OQG2vDOlW5GSTEV5QjBTJcv1luTIgvhMfCJvC6Ib7wVCMo8NdNkRFbm9rYuIdDK02I&#10;r6SKzcYEIpZzuyBqlnbMyuCZpW9ucrsksDUbwkWfO8Duo3c0FYDvdvugF1Dab17ftwbreYH3AobT&#10;Dkel8237TfDMrD3dR9ozNjyw/SND7mvPiPGFLN/gUmg7QHulyuzq1nCJ9ZRxtWp/PdgLrY6uU4p7&#10;KnJVaX9FUomOY7Lb+pokFejevkliA5X0VCW5jSJW9l9P0yWv0V+XQzmBrusbdDnq/Z10rJ+B2o4a&#10;e8evub+fLadm/+g7/sy9w08rlpWJvtGP5fB3qBBHUuUUBEuO1FKfaXSklpSRkJZA2AqNxzdyT9MP&#10;1iNbI6OQC7fr3u534Xae4Dq406sILubNo1Sr/YAsnmqFpTFoKBdNySStrB3NdelSjLHbUyI35RmG&#10;jplNRv+oR5MuqZ1H/ki10/ZJe5rMFMMUjCwbxzbnCV92b3IK4/iZfBw3rNlJdGnuHv9+oCUFtYFm&#10;TpQPNaagZsjyPFB64KmiVkObC0133W7y83QHbPlmKLmAe1ureGs6bEOdmbPdZULOrZIf5A4ll+Wr&#10;L0OjIUVgWvMZDMcGrI27Y36XhpMZ3LgbI/Mk2KucXo52+K9aeqa36JAROauUJUehtxE5e/K7jMhZ&#10;wOvRKOs9eknnxY4bJeIi+kuOyHlEzoBvs/0d5ZMbkbNRDAQSDqFDCyVFeYsQHexvgOqInM+fgpyt&#10;/Y7MdySgYFXms4eL6XZ9rZRbBzPvtrdXH1bbyZfZCsqa+sfoYU6xMcfLCx7nw7HNKspzZAnv2gxr&#10;eaSvBZJf/IRXAoshW39UEI42qY/AYaeR4UUHLGsUm8l2g6hSGMAviy2+3G22f0wnj1sS8/UGoaYm&#10;q7+tcRQTBfb8ZctfrvjLbD3HjRfT/RTsD339sMdfuOeze+R39/ATUrJ/enPPWTg4QnAiIpY7Lgq1&#10;tata44MN3fLicpPC9zQoNxk8EgG2yEeBcmLhhLvmdgb3UbCOG6dqNRzCmoVsNTA2p14fhdraVYeQ&#10;GxwbDsoNtvoTERzruvGOBSfLKeAbIjb51hvF4frNoC++3pBjFvtExVmJrUpNT+MVhROgaOspLDjW&#10;eeNU5WYIN4UMb3GWRZ1MZJqJf1U3hRSn1o2bgmqC2hYbQUEInDJhhxbktEt0TE3os9ZLAR7yiqhP&#10;qlwRlnTtIyciQ6IzLWWIvOfsaW/hpYDAWfDlqhEUwIMH7AI2wLqed8fMei/0jhg0aDdG6CFPRUch&#10;cfQW5CZMC7XVg5pxipED40GXxoOv6u5fn2dbCyprZLu3wDLLIU/TiQaX5ooGmObKsSBzvSGQefPm&#10;IDPGwSKgu5qM8V2UaZe370aqXkVdvl/uF9vJanmvQmLRgqQMnpSV8+P6Wn3fz5Yr/R0y6/Gz/XcR&#10;SrXwPd4+6JhDr++aRZkXSX/2KkHGDW53PoB4JlVCAVLUXoGUl7V2Em+2Ggo2YcPlRkmiVVhM9uBK&#10;kB2VgzL1/erOaVQV8E/0xWInPIBXcjAsSyE6Ib3QjfOC0qLqtYE3TATlVMJNurM6CPBNmrOzGTp7&#10;5if1j8EwTrFxz1ycPW6212cJqBb17WG7mS92u+X6VoVWB4tqhMXkvEJkwDSrMmS96u6ZqGRI6cqS&#10;uACHSNJVpJCzNv5Nc326RB1tRvi4Qulxb7Aq6RNjp8zoDaIpIfxunVPqY421tD83BXpTK9ItbWS/&#10;sO8zPCDp66+b+f/taFVoK1L0t3GUnlw9/n1zjQQAM4BKxfrzrrO5uVH+WSkcyc0ylNTYUnPjlMXr&#10;ECTDKkogrLNI7SJCUcpwil/LGR0oRHukohTjZq0olbnCjFbC3kBRyhApNC8y39GuRPuiDbT2e4aM&#10;h7t/wF5QT/oQ0b/jmv8SMRmTuqyQpiOyr26T3AXBBQZc8ocRqlFNChiIjtDdh1aTqhIx1yh+I+8s&#10;UjyH5IbirNKMGxAJthmVeEBtFrzyFTjkSqZQZSx6Sz0JdKXadN91GMk4RVaCEv8Hz9mmfxIsdmaE&#10;BtCvSXDsgVZobwZINAp2mQCgGMF5TU1JOUWMu+aLRDIGcwNSBJq4T7osTzGEdOU4wmjwL0wGSIii&#10;ZLuRrryqlKX97Zcl6xHyjumbmDId5Qh57pEb+EMMuCqlFaIeY9XBdoY4YnROlJ7eyE1VIiI6+z68&#10;6XZmPULesdykeQ1fFbAgZjOzQZETnZWjV/F7qaDIEFwrL6BmKAyDKy/I1cObWAk6EOfBIE5WW4ZO&#10;/ZwjvjCXx0Wlz6/qx/nTH4G0ShDnuFYnMg1TJc9ZytO+oTqdcwuIdFwiEjQdsfVUKU8vIPpbTkfF&#10;1dHYdjvxDlkXbIqeHKhTemsH68TyYes81HcodrZsqO/yKOqhOp0zwSpenGFOxPTI88AU2A25VVQ+&#10;Kc9YOoeCcX4MmarynlrlDPXNtnMsOMmrLMt1ULtuI53JOdBIOTs9rZPzcqjPcl6CR3/HqMh9R3+d&#10;V9ydntbRESxEY/y5Mf6cPeqggiKrZd17RFgfZuZlH8LTHBJmF39zRFSXhKuN3u34Kn/qUuRmAZx1&#10;XCnxVK6FP51nesqxe71sr75HN+BgYGTDhLOSyM/lT11XoftsK+Or/Ol9Il/kJmJMD6Zscqx5jtEv&#10;pMrSUYHnJ929WnxZrBQQ/k6dHOZI+DJXyOwWbuZ3y/lfZ/uZ/FsZZM4XyeZus7pebH/8fwAAAP//&#10;AwBQSwMEFAAGAAgAAAAhANMNY6XeAAAACQEAAA8AAABkcnMvZG93bnJldi54bWxMj8FOwzAQRO9I&#10;/IO1SNyoTVBDG+JUFRIIDj20RZzdeJukjddR7DTh71lO9Lgzo9k3+WpyrbhgHxpPGh5nCgRS6W1D&#10;lYav/dvDAkSIhqxpPaGGHwywKm5vcpNZP9IWL7tYCS6hkBkNdYxdJmUoa3QmzHyHxN7R985EPvtK&#10;2t6MXO5amSiVSmca4g+16fC1xvK8G5wG9X7ex26Dm+Vp8p/b9Th8tx+o9f3dtH4BEXGK/2H4w2d0&#10;KJjp4AeyQbQaEjXnJOvLJxDsL9KUhYOGefqcgCxyeb2g+AUAAP//AwBQSwECLQAUAAYACAAAACEA&#10;toM4kv4AAADhAQAAEwAAAAAAAAAAAAAAAAAAAAAAW0NvbnRlbnRfVHlwZXNdLnhtbFBLAQItABQA&#10;BgAIAAAAIQA4/SH/1gAAAJQBAAALAAAAAAAAAAAAAAAAAC8BAABfcmVscy8ucmVsc1BLAQItABQA&#10;BgAIAAAAIQBL0gc1aCgAAMpvAQAOAAAAAAAAAAAAAAAAAC4CAABkcnMvZTJvRG9jLnhtbFBLAQIt&#10;ABQABgAIAAAAIQDTDWOl3gAAAAkBAAAPAAAAAAAAAAAAAAAAAMIqAABkcnMvZG93bnJldi54bWxQ&#10;SwUGAAAAAAQABADzAAAAzS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721;height:34791;visibility:visible;mso-wrap-style:square">
                  <v:fill o:detectmouseclick="t"/>
                  <v:path o:connecttype="none"/>
                </v:shape>
                <v:group id="Group 117" o:spid="_x0000_s1028" style="position:absolute;left:800;top:8826;width:52654;height:15653" coordorigin="2007,3420" coordsize="8292,2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QygAAAOIAAAAPAAAAZHJzL2Rvd25yZXYueG1sRI9Ba8JA&#10;FITvQv/D8gredJOGBo2uItJKD1JQC8XbI/tMgtm3IbtN4r93hYLHYWa+YZbrwdSio9ZVlhXE0wgE&#10;cW51xYWCn9PnZAbCeWSNtWVScCMH69XLaImZtj0fqDv6QgQIuwwVlN43mZQuL8mgm9qGOHgX2xr0&#10;QbaF1C32AW5q+RZFqTRYcVgosaFtSfn1+GcU7HrsN0n80e2vl+3tfHr//t3HpNT4ddgsQHga/DP8&#10;3/7SCmbJPInTeZTC41K4A3J1BwAA//8DAFBLAQItABQABgAIAAAAIQDb4fbL7gAAAIUBAAATAAAA&#10;AAAAAAAAAAAAAAAAAABbQ29udGVudF9UeXBlc10ueG1sUEsBAi0AFAAGAAgAAAAhAFr0LFu/AAAA&#10;FQEAAAsAAAAAAAAAAAAAAAAAHwEAAF9yZWxzLy5yZWxzUEsBAi0AFAAGAAgAAAAhAL6XZhDKAAAA&#10;4gAAAA8AAAAAAAAAAAAAAAAABwIAAGRycy9kb3ducmV2LnhtbFBLBQYAAAAAAwADALcAAAD+AgAA&#10;AAA=&#10;">
                  <v:shape id="Freeform 118" o:spid="_x0000_s1029" style="position:absolute;left:2007;top:3420;width:8292;height:2465;visibility:visible;mso-wrap-style:square;v-text-anchor:top" coordsize="8292,2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0vywAAAOMAAAAPAAAAZHJzL2Rvd25yZXYueG1sRI9Bb8Iw&#10;DIXvk/gPkZG4TCOlG6x0BARIk3Yd48LNary2onGqJEDZr58Pk3a0/fze+1abwXXqSiG2ng3Mphko&#10;4srblmsDx6/3pwJUTMgWO89k4E4RNuvRwwpL62/8SddDqpWYcCzRQJNSX2odq4YcxqnvieX27YPD&#10;JGOotQ14E3PX6TzLFtphy5LQYE/7hqrz4eIMnH8W2XwbisfY1rPTyy7uj6fL3ZjJeNi+gUo0pH/x&#10;3/eHlfqvy2Wez58LoRAmWYBe/wIAAP//AwBQSwECLQAUAAYACAAAACEA2+H2y+4AAACFAQAAEwAA&#10;AAAAAAAAAAAAAAAAAAAAW0NvbnRlbnRfVHlwZXNdLnhtbFBLAQItABQABgAIAAAAIQBa9CxbvwAA&#10;ABUBAAALAAAAAAAAAAAAAAAAAB8BAABfcmVscy8ucmVsc1BLAQItABQABgAIAAAAIQBP/J0vywAA&#10;AOMAAAAPAAAAAAAAAAAAAAAAAAcCAABkcnMvZG93bnJldi54bWxQSwUGAAAAAAMAAwC3AAAA/wIA&#10;AAAA&#10;" path="m6219,r,616l,616,,1849r6219,l6219,2465,8292,1233,6219,xe" fillcolor="#bbe0e3" stroked="f">
                    <v:path arrowok="t" o:connecttype="custom" o:connectlocs="6219,0;6219,616;0,616;0,1849;6219,1849;6219,2465;8292,1233;6219,0" o:connectangles="0,0,0,0,0,0,0,0"/>
                  </v:shape>
                  <v:shape id="Freeform 119" o:spid="_x0000_s1030" style="position:absolute;left:2007;top:3420;width:8292;height:2465;visibility:visible;mso-wrap-style:square;v-text-anchor:top" coordsize="8292,2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neuxAAAAOIAAAAPAAAAZHJzL2Rvd25yZXYueG1sRE/LagIx&#10;FN0X+g/hFrqrSQ2ITo0igqCLSutjf5nczgxObqZJ1PHvjVDo8nDe03nvWnGhEBvPBt4HCgRx6W3D&#10;lYHDfvU2BhETssXWMxm4UYT57PlpioX1V/6myy5VIodwLNBAnVJXSBnLmhzGge+IM/fjg8OUYaik&#10;DXjN4a6VQ6VG0mHDuaHGjpY1lafd2Rmg9eev/tJL3jfl5jBWYYvH/mzM60u/+ACRqE//4j/32ub5&#10;ajRUWusJPC5lDHJ2BwAA//8DAFBLAQItABQABgAIAAAAIQDb4fbL7gAAAIUBAAATAAAAAAAAAAAA&#10;AAAAAAAAAABbQ29udGVudF9UeXBlc10ueG1sUEsBAi0AFAAGAAgAAAAhAFr0LFu/AAAAFQEAAAsA&#10;AAAAAAAAAAAAAAAAHwEAAF9yZWxzLy5yZWxzUEsBAi0AFAAGAAgAAAAhAFPWd67EAAAA4gAAAA8A&#10;AAAAAAAAAAAAAAAABwIAAGRycy9kb3ducmV2LnhtbFBLBQYAAAAAAwADALcAAAD4AgAAAAA=&#10;" path="m6219,r,616l,616,,1849r6219,l6219,2465,8292,1233,6219,xe" filled="f" strokeweight="58e-5mm">
                    <v:stroke joinstyle="miter" endcap="round"/>
                    <v:path arrowok="t" o:connecttype="custom" o:connectlocs="6219,0;6219,616;0,616;0,1849;6219,1849;6219,2465;8292,1233;6219,0" o:connectangles="0,0,0,0,0,0,0,0"/>
                  </v:shape>
                </v:group>
                <v:group id="Group 120" o:spid="_x0000_s1031" style="position:absolute;left:9277;top:13239;width:16040;height:2813" coordorigin="3342,4115" coordsize="2526,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hoHyQAAAOMAAAAPAAAAZHJzL2Rvd25yZXYueG1sRE/NasJA&#10;EL4X+g7LFLzVTaw2TeoqIq30IEK1IN6G7JgEs7Mhuybx7bsFocf5/me+HEwtOmpdZVlBPI5AEOdW&#10;V1wo+Dl8Pr+BcB5ZY22ZFNzIwXLx+DDHTNuev6nb+0KEEHYZKii9bzIpXV6SQTe2DXHgzrY16MPZ&#10;FlK32IdwU8tJFL1KgxWHhhIbWpeUX/ZXo2DTY796iT+67eW8vp0Os91xG5NSo6dh9Q7C0+D/xXf3&#10;lw7z02mSJnE6m8DfTwEAufgFAAD//wMAUEsBAi0AFAAGAAgAAAAhANvh9svuAAAAhQEAABMAAAAA&#10;AAAAAAAAAAAAAAAAAFtDb250ZW50X1R5cGVzXS54bWxQSwECLQAUAAYACAAAACEAWvQsW78AAAAV&#10;AQAACwAAAAAAAAAAAAAAAAAfAQAAX3JlbHMvLnJlbHNQSwECLQAUAAYACAAAACEA2RIaB8kAAADj&#10;AAAADwAAAAAAAAAAAAAAAAAHAgAAZHJzL2Rvd25yZXYueG1sUEsFBgAAAAADAAMAtwAAAP0CAAAA&#10;AA==&#10;">
                  <v:shape id="Freeform 121" o:spid="_x0000_s1032" style="position:absolute;left:3342;top:4115;width:2526;height:443;visibility:visible;mso-wrap-style:square;v-text-anchor:top" coordsize="15966,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gvyyQAAAOMAAAAPAAAAZHJzL2Rvd25yZXYueG1sRE9LS8NA&#10;EL4L/odlBC+l3aRNWo3dFhELUi/aB3gcsmMSzM4u2W0a/31XKHic7z3L9WBa0VPnG8sK0kkCgri0&#10;uuFKwWG/GT+A8AFZY2uZFPySh/Xq9maJhbZn/qR+FyoRQ9gXqKAOwRVS+rImg35iHXHkvm1nMMSz&#10;q6Tu8BzDTSunSTKXBhuODTU6eqmp/NmdjIL3j/7o8u1X5l7zk/TZqE14dFTq/m54fgIRaAj/4qv7&#10;Tcf5WTrNZ/P0cQF/P0UA5OoCAAD//wMAUEsBAi0AFAAGAAgAAAAhANvh9svuAAAAhQEAABMAAAAA&#10;AAAAAAAAAAAAAAAAAFtDb250ZW50X1R5cGVzXS54bWxQSwECLQAUAAYACAAAACEAWvQsW78AAAAV&#10;AQAACwAAAAAAAAAAAAAAAAAfAQAAX3JlbHMvLnJlbHNQSwECLQAUAAYACAAAACEAd4oL8skAAADj&#10;AAAADwAAAAAAAAAAAAAAAAAHAgAAZHJzL2Rvd25yZXYueG1sUEsFBgAAAAADAAMAtwAAAP0CAAAA&#10;AA==&#10;" path="m466,c209,,,209,,467l,2334v,258,209,466,466,466l15500,2800v258,,466,-208,466,-466l15966,467c15966,209,15758,,15500,l466,xe" fillcolor="#339" strokeweight="0">
                    <v:path arrowok="t" o:connecttype="custom" o:connectlocs="2,0;0,2;0,9;2,11;61,11;63,9;63,2;61,0;2,0" o:connectangles="0,0,0,0,0,0,0,0,0"/>
                  </v:shape>
                  <v:shape id="Freeform 122" o:spid="_x0000_s1033" style="position:absolute;left:3342;top:4115;width:2526;height:443;visibility:visible;mso-wrap-style:square;v-text-anchor:top" coordsize="15966,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ookywAAAOMAAAAPAAAAZHJzL2Rvd25yZXYueG1sRI/BboMw&#10;EETvlfoP1lbKrTG0EgEaEzWtonLJISkfsMIbIOA1wm5C/r6uVCnH3ZmdN7vezGYQF5pcZ1lBvIxA&#10;ENdWd9woqL53zykI55E1DpZJwY0cbIrHhzXm2l75QJejb0QIYZejgtb7MZfS1S0ZdEs7EgftZCeD&#10;PoxTI/WE1xBuBvkSRYk02HEgtDjSR0t1f/wxgdvjtlqlvurL2/nza7+dy2p1UGrxNL+/gfA0+7v5&#10;/7rUoX6WvUZxlqQJ/P0UFiCLXwAAAP//AwBQSwECLQAUAAYACAAAACEA2+H2y+4AAACFAQAAEwAA&#10;AAAAAAAAAAAAAAAAAAAAW0NvbnRlbnRfVHlwZXNdLnhtbFBLAQItABQABgAIAAAAIQBa9CxbvwAA&#10;ABUBAAALAAAAAAAAAAAAAAAAAB8BAABfcmVscy8ucmVsc1BLAQItABQABgAIAAAAIQC57ookywAA&#10;AOMAAAAPAAAAAAAAAAAAAAAAAAcCAABkcnMvZG93bnJldi54bWxQSwUGAAAAAAMAAwC3AAAA/wIA&#10;AAAA&#10;" path="m466,c209,,,209,,467l,2334v,258,209,466,466,466l15500,2800v258,,466,-208,466,-466l15966,467c15966,209,15758,,15500,l466,xe" filled="f" strokeweight="22e-5mm">
                    <v:stroke endcap="round"/>
                    <v:path arrowok="t" o:connecttype="custom" o:connectlocs="2,0;0,2;0,9;2,11;61,11;63,9;63,2;61,0;2,0" o:connectangles="0,0,0,0,0,0,0,0,0"/>
                  </v:shape>
                </v:group>
                <v:rect id="Rectangle 123" o:spid="_x0000_s1034" style="position:absolute;left:12979;top:13265;width:910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zQxAAAAOMAAAAPAAAAZHJzL2Rvd25yZXYueG1sRE/NSgMx&#10;EL4LvkMYwZvNuocY1qZFhEIVL932AYbN7A8mkyWJ3fXtjSB4nO9/tvvVO3GlmKbABh43FQjiLtiJ&#10;BwOX8+FBg0gZ2aILTAa+KcF+d3uzxcaGhU90bfMgSginBg2MOc+NlKkbyWPahJm4cH2IHnM54yBt&#10;xKWEeyfrqlLS48SlYcSZXkfqPtsvb0Ce28OiWxer8F73H+7teOopGHN/t748g8i05n/xn/toy3yt&#10;Va20Uk/w+1MBQO5+AAAA//8DAFBLAQItABQABgAIAAAAIQDb4fbL7gAAAIUBAAATAAAAAAAAAAAA&#10;AAAAAAAAAABbQ29udGVudF9UeXBlc10ueG1sUEsBAi0AFAAGAAgAAAAhAFr0LFu/AAAAFQEAAAsA&#10;AAAAAAAAAAAAAAAAHwEAAF9yZWxzLy5yZWxzUEsBAi0AFAAGAAgAAAAhAEsZ7NDEAAAA4wAAAA8A&#10;AAAAAAAAAAAAAAAABwIAAGRycy9kb3ducmV2LnhtbFBLBQYAAAAAAwADALcAAAD4AgAAAAA=&#10;" filled="f" stroked="f">
                  <v:textbox style="mso-fit-shape-to-text:t" inset="0,0,0,0">
                    <w:txbxContent>
                      <w:p w14:paraId="65E50E55" w14:textId="77777777" w:rsidR="001D4369" w:rsidRDefault="001D4369" w:rsidP="001D4369">
                        <w:r>
                          <w:rPr>
                            <w:rFonts w:ascii="Arial" w:hAnsi="Arial" w:cs="Arial"/>
                            <w:b/>
                            <w:bCs/>
                            <w:color w:val="FFFFFF"/>
                            <w:sz w:val="20"/>
                          </w:rPr>
                          <w:t>Preparation for</w:t>
                        </w:r>
                      </w:p>
                    </w:txbxContent>
                  </v:textbox>
                </v:rect>
                <v:rect id="Rectangle 124" o:spid="_x0000_s1035" style="position:absolute;left:13081;top:14713;width:268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fqTxQAAAOMAAAAPAAAAZHJzL2Rvd25yZXYueG1sRE/bSgMx&#10;EH0X/Icwgm82cZVetk1LEQpVfOm2HzBsZi+YTJYk7a5/bwTBxzn32ewmZ8WNQuw9a3ieKRDEtTc9&#10;txou58PTEkRMyAatZ9LwTRF22/u7DZbGj3yiW5VakUM4lqihS2kopYx1Rw7jzA/EmWt8cJjyGVpp&#10;Ao453FlZKDWXDnvODR0O9NZR/VVdnQZ5rg7jsrJB+Y+i+bTvx1NDXuvHh2m/BpFoSv/iP/fR5Pmv&#10;q8W8WCj1Ar8/ZQDk9gcAAP//AwBQSwECLQAUAAYACAAAACEA2+H2y+4AAACFAQAAEwAAAAAAAAAA&#10;AAAAAAAAAAAAW0NvbnRlbnRfVHlwZXNdLnhtbFBLAQItABQABgAIAAAAIQBa9CxbvwAAABUBAAAL&#10;AAAAAAAAAAAAAAAAAB8BAABfcmVscy8ucmVsc1BLAQItABQABgAIAAAAIQDYFfqTxQAAAOMAAAAP&#10;AAAAAAAAAAAAAAAAAAcCAABkcnMvZG93bnJldi54bWxQSwUGAAAAAAMAAwC3AAAA+QIAAAAA&#10;" filled="f" stroked="f">
                  <v:textbox style="mso-fit-shape-to-text:t" inset="0,0,0,0">
                    <w:txbxContent>
                      <w:p w14:paraId="4FB1CBD3" w14:textId="77777777" w:rsidR="001D4369" w:rsidRDefault="001D4369" w:rsidP="001D4369">
                        <w:r>
                          <w:rPr>
                            <w:rFonts w:ascii="Arial" w:hAnsi="Arial" w:cs="Arial"/>
                            <w:b/>
                            <w:bCs/>
                            <w:color w:val="FFFFFF"/>
                            <w:sz w:val="20"/>
                          </w:rPr>
                          <w:t>Real</w:t>
                        </w:r>
                      </w:p>
                    </w:txbxContent>
                  </v:textbox>
                </v:rect>
                <v:rect id="Rectangle 125" o:spid="_x0000_s1036" style="position:absolute;left:15621;top:14713;width:42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AoyAAAAOIAAAAPAAAAZHJzL2Rvd25yZXYueG1sRI/NasMw&#10;EITvgb6D2EJviVyTFMeNEkogkJZeYucBFmv9Q6WVkZTYffuqUOhxmJlvmN1htkbcyYfBsYLnVQaC&#10;uHF64E7BtT4tCxAhIms0jknBNwU47B8WOyy1m/hC9yp2IkE4lKigj3EspQxNTxbDyo3EyWudtxiT&#10;9J3UHqcEt0bmWfYiLQ6cFnoc6dhT81XdrAJZV6epqIzP3Efefpr386Ulp9TT4/z2CiLSHP/Df+2z&#10;VlDkxWa93mxz+L2U7oDc/wAAAP//AwBQSwECLQAUAAYACAAAACEA2+H2y+4AAACFAQAAEwAAAAAA&#10;AAAAAAAAAAAAAAAAW0NvbnRlbnRfVHlwZXNdLnhtbFBLAQItABQABgAIAAAAIQBa9CxbvwAAABUB&#10;AAALAAAAAAAAAAAAAAAAAB8BAABfcmVscy8ucmVsc1BLAQItABQABgAIAAAAIQBQMPAoyAAAAOIA&#10;AAAPAAAAAAAAAAAAAAAAAAcCAABkcnMvZG93bnJldi54bWxQSwUGAAAAAAMAAwC3AAAA/AIAAAAA&#10;" filled="f" stroked="f">
                  <v:textbox style="mso-fit-shape-to-text:t" inset="0,0,0,0">
                    <w:txbxContent>
                      <w:p w14:paraId="5D697BA3" w14:textId="77777777" w:rsidR="001D4369" w:rsidRDefault="001D4369" w:rsidP="001D4369">
                        <w:r>
                          <w:rPr>
                            <w:rFonts w:ascii="Arial" w:hAnsi="Arial" w:cs="Arial"/>
                            <w:b/>
                            <w:bCs/>
                            <w:color w:val="FFFFFF"/>
                            <w:sz w:val="20"/>
                          </w:rPr>
                          <w:t>-</w:t>
                        </w:r>
                      </w:p>
                    </w:txbxContent>
                  </v:textbox>
                </v:rect>
                <v:rect id="Rectangle 126" o:spid="_x0000_s1037" style="position:absolute;left:16021;top:14713;width:579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jZjyAAAAOIAAAAPAAAAZHJzL2Rvd25yZXYueG1sRI/dSgMx&#10;FITvhb5DOIJ3NnGxdVmbliIUqvSmWx/gsDn7g8nJksTu+vZGEHo5zMw3zGY3OyuuFOLgWcPTUoEg&#10;brwZuNPweTk8liBiQjZoPZOGH4qw2y7uNlgZP/GZrnXqRIZwrFBDn9JYSRmbnhzGpR+Js9f64DBl&#10;GTppAk4Z7qwslFpLhwPnhR5Heuup+aq/nQZ5qQ9TWdug/EfRnuz78dyS1/rhft6/gkg0p1v4v300&#10;Gl7Kolir1eoZ/i7lOyC3vwAAAP//AwBQSwECLQAUAAYACAAAACEA2+H2y+4AAACFAQAAEwAAAAAA&#10;AAAAAAAAAAAAAAAAW0NvbnRlbnRfVHlwZXNdLnhtbFBLAQItABQABgAIAAAAIQBa9CxbvwAAABUB&#10;AAALAAAAAAAAAAAAAAAAAB8BAABfcmVscy8ucmVsc1BLAQItABQABgAIAAAAIQDavjZjyAAAAOIA&#10;AAAPAAAAAAAAAAAAAAAAAAcCAABkcnMvZG93bnJldi54bWxQSwUGAAAAAAMAAwC3AAAA/AIAAAAA&#10;" filled="f" stroked="f">
                  <v:textbox style="mso-fit-shape-to-text:t" inset="0,0,0,0">
                    <w:txbxContent>
                      <w:p w14:paraId="7C73CC60" w14:textId="77777777" w:rsidR="001D4369" w:rsidRDefault="001D4369" w:rsidP="001D4369">
                        <w:r>
                          <w:rPr>
                            <w:rFonts w:ascii="Arial" w:hAnsi="Arial" w:cs="Arial"/>
                            <w:b/>
                            <w:bCs/>
                            <w:color w:val="FFFFFF"/>
                            <w:sz w:val="20"/>
                          </w:rPr>
                          <w:t>Time Ops</w:t>
                        </w:r>
                      </w:p>
                    </w:txbxContent>
                  </v:textbox>
                </v:rect>
                <v:group id="Group 127" o:spid="_x0000_s1038" style="position:absolute;left:1606;top:13239;width:7233;height:6827" coordorigin="2134,4115" coordsize="1139,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rZ8ywAAAOMAAAAPAAAAZHJzL2Rvd25yZXYueG1sRI9Ba8JA&#10;FITvhf6H5Qm91c2mVWp0FZG2eJBCtSDeHtlnEsy+DdltEv+9KxR6HGbmG2axGmwtOmp95ViDGicg&#10;iHNnKi40/Bw+nt9A+IBssHZMGq7kYbV8fFhgZlzP39TtQyEihH2GGsoQmkxKn5dk0Y9dQxy9s2st&#10;hijbQpoW+wi3tUyTZCotVhwXSmxoU1J+2f9aDZ899usX9d7tLufN9XSYfB13irR+Gg3rOYhAQ/gP&#10;/7W3RkOqVPKaTmdqBvdP8Q/I5Q0AAP//AwBQSwECLQAUAAYACAAAACEA2+H2y+4AAACFAQAAEwAA&#10;AAAAAAAAAAAAAAAAAAAAW0NvbnRlbnRfVHlwZXNdLnhtbFBLAQItABQABgAIAAAAIQBa9CxbvwAA&#10;ABUBAAALAAAAAAAAAAAAAAAAAB8BAABfcmVscy8ucmVsc1BLAQItABQABgAIAAAAIQDQfrZ8ywAA&#10;AOMAAAAPAAAAAAAAAAAAAAAAAAcCAABkcnMvZG93bnJldi54bWxQSwUGAAAAAAMAAwC3AAAA/wIA&#10;AAAA&#10;">
                  <v:shape id="Freeform 128" o:spid="_x0000_s1039" style="position:absolute;left:2134;top:4115;width:1139;height:1075;visibility:visible;mso-wrap-style:square;v-text-anchor:top" coordsize="7200,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KgxwAAAOEAAAAPAAAAZHJzL2Rvd25yZXYueG1sRI/RagIx&#10;FETfC/5DuIJvNWstKqtRtCAUEaTWD7hurtnFzc2yiXH7940g+DjMzBlmsepsLSK1vnKsYDTMQBAX&#10;TldsFJx+t+8zED4ga6wdk4I/8rBa9t4WmGt35x+Kx2BEgrDPUUEZQpNL6YuSLPqha4iTd3GtxZBk&#10;a6Ru8Z7gtpYfWTaRFitOCyU29FVScT3erIKw70zcxXpz2G03cS/P1o+NVWrQ79ZzEIG68Ao/299a&#10;wXgync4+sxE8HqU3IJf/AAAA//8DAFBLAQItABQABgAIAAAAIQDb4fbL7gAAAIUBAAATAAAAAAAA&#10;AAAAAAAAAAAAAABbQ29udGVudF9UeXBlc10ueG1sUEsBAi0AFAAGAAgAAAAhAFr0LFu/AAAAFQEA&#10;AAsAAAAAAAAAAAAAAAAAHwEAAF9yZWxzLy5yZWxzUEsBAi0AFAAGAAgAAAAhAHlLIqDHAAAA4QAA&#10;AA8AAAAAAAAAAAAAAAAABwIAAGRycy9kb3ducmV2LnhtbFBLBQYAAAAAAwADALcAAAD7AgAAAAA=&#10;" path="m1134,c508,,,508,,1134l,5667v,626,508,1133,1134,1133l6067,6800v626,,1133,-507,1133,-1133l7200,1134c7200,508,6693,,6067,l1134,xe" fillcolor="#339" strokeweight="0">
                    <v:path arrowok="t" o:connecttype="custom" o:connectlocs="4,0;0,4;0,22;4,27;24,27;28,22;28,4;24,0;4,0" o:connectangles="0,0,0,0,0,0,0,0,0"/>
                  </v:shape>
                  <v:shape id="Freeform 129" o:spid="_x0000_s1040" style="position:absolute;left:2134;top:4115;width:1139;height:1075;visibility:visible;mso-wrap-style:square;v-text-anchor:top" coordsize="7200,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bUvyAAAAOMAAAAPAAAAZHJzL2Rvd25yZXYueG1sRE9fT8Iw&#10;EH838Ts0Z+KbtEwRmBQCRA0+EYEPcK7HurBe51rZ8NNbExMf7/f/Zove1eJMbag8axgOFAjiwpuK&#10;Sw2H/cvdBESIyAZrz6ThQgEW8+urGebGd/xO510sRQrhkKMGG2OTSxkKSw7DwDfEiTv61mFMZ1tK&#10;02KXwl0tM6UepcOKU4PFhtaWitPuy2novteH0X71Wjbbz+f+Yj5Wb9ux1fr2pl8+gYjUx3/xn3tj&#10;0nw1frhXoyybwu9PCQA5/wEAAP//AwBQSwECLQAUAAYACAAAACEA2+H2y+4AAACFAQAAEwAAAAAA&#10;AAAAAAAAAAAAAAAAW0NvbnRlbnRfVHlwZXNdLnhtbFBLAQItABQABgAIAAAAIQBa9CxbvwAAABUB&#10;AAALAAAAAAAAAAAAAAAAAB8BAABfcmVscy8ucmVsc1BLAQItABQABgAIAAAAIQAXebUvyAAAAOMA&#10;AAAPAAAAAAAAAAAAAAAAAAcCAABkcnMvZG93bnJldi54bWxQSwUGAAAAAAMAAwC3AAAA/AIAAAAA&#10;" path="m1134,c508,,,508,,1134l,5667v,626,508,1133,1134,1133l6067,6800v626,,1133,-507,1133,-1133l7200,1134c7200,508,6693,,6067,l1134,xe" filled="f" strokeweight="22e-5mm">
                    <v:stroke endcap="round"/>
                    <v:path arrowok="t" o:connecttype="custom" o:connectlocs="4,0;0,4;0,22;4,27;24,27;28,22;28,4;24,0;4,0" o:connectangles="0,0,0,0,0,0,0,0,0"/>
                  </v:shape>
                </v:group>
                <v:rect id="Rectangle 130" o:spid="_x0000_s1041" style="position:absolute;left:2210;top:15989;width:635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MBVxQAAAOMAAAAPAAAAZHJzL2Rvd25yZXYueG1sRE/LSgMx&#10;FN0L/kO4gjubNNAyjE1LEQpV3HTqB1wmdx40uRmS2Bn/3iwEl4fz3h0W78SdYhoDG1ivFAjiNtiR&#10;ewNf19NLBSJlZIsuMBn4oQSH/ePDDmsbZr7Qvcm9KCGcajQw5DzVUqZ2II9pFSbiwnUheswFxl7a&#10;iHMJ905qpbbS48ilYcCJ3gZqb823NyCvzWmuGhdV+NDdp3s/XzoKxjw/LcdXEJmW/C/+c5+tAb3W&#10;m+2m0qqMLp/KH5D7XwAAAP//AwBQSwECLQAUAAYACAAAACEA2+H2y+4AAACFAQAAEwAAAAAAAAAA&#10;AAAAAAAAAAAAW0NvbnRlbnRfVHlwZXNdLnhtbFBLAQItABQABgAIAAAAIQBa9CxbvwAAABUBAAAL&#10;AAAAAAAAAAAAAAAAAB8BAABfcmVscy8ucmVsc1BLAQItABQABgAIAAAAIQDA7MBVxQAAAOMAAAAP&#10;AAAAAAAAAAAAAAAAAAcCAABkcnMvZG93bnJldi54bWxQSwUGAAAAAAMAAwC3AAAA+QIAAAAA&#10;" filled="f" stroked="f">
                  <v:textbox style="mso-fit-shape-to-text:t" inset="0,0,0,0">
                    <w:txbxContent>
                      <w:p w14:paraId="6D363445" w14:textId="77777777" w:rsidR="001D4369" w:rsidRDefault="001D4369" w:rsidP="001D4369">
                        <w:r>
                          <w:rPr>
                            <w:rFonts w:ascii="Arial" w:hAnsi="Arial" w:cs="Arial"/>
                            <w:b/>
                            <w:bCs/>
                            <w:color w:val="FFFFFF"/>
                            <w:sz w:val="20"/>
                          </w:rPr>
                          <w:t>Adj Period</w:t>
                        </w:r>
                      </w:p>
                    </w:txbxContent>
                  </v:textbox>
                </v:rect>
                <v:rect id="Rectangle 131" o:spid="_x0000_s1042" style="position:absolute;left:483;top:23012;width:325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9TIxgAAAOMAAAAPAAAAZHJzL2Rvd25yZXYueG1sRE/NagIx&#10;EL4XfIcwgreadcV2uzWKFARbenHtAwyb2R9MJkuSuuvbN4VCj/P9z3Y/WSNu5EPvWMFqmYEgrp3u&#10;uVXwdTk+FiBCRNZoHJOCOwXY72YPWyy1G/lMtyq2IoVwKFFBF+NQShnqjiyGpRuIE9c4bzGm07dS&#10;exxTuDUyz7InabHn1NDhQG8d1dfq2yqQl+o4FpXxmfvIm0/zfjo35JRazKfDK4hIU/wX/7lPOs3f&#10;rNcvz5tVkcPvTwkAufsBAAD//wMAUEsBAi0AFAAGAAgAAAAhANvh9svuAAAAhQEAABMAAAAAAAAA&#10;AAAAAAAAAAAAAFtDb250ZW50X1R5cGVzXS54bWxQSwECLQAUAAYACAAAACEAWvQsW78AAAAVAQAA&#10;CwAAAAAAAAAAAAAAAAAfAQAAX3JlbHMvLnJlbHNQSwECLQAUAAYACAAAACEAysPUyMYAAADjAAAA&#10;DwAAAAAAAAAAAAAAAAAHAgAAZHJzL2Rvd25yZXYueG1sUEsFBgAAAAADAAMAtwAAAPoCAAAAAA==&#10;" filled="f" stroked="f">
                  <v:textbox style="mso-fit-shape-to-text:t" inset="0,0,0,0">
                    <w:txbxContent>
                      <w:p w14:paraId="75E52C03" w14:textId="77777777" w:rsidR="001D4369" w:rsidRDefault="001D4369" w:rsidP="001D4369">
                        <w:r>
                          <w:rPr>
                            <w:rFonts w:ascii="Arial" w:hAnsi="Arial" w:cs="Arial"/>
                            <w:b/>
                            <w:bCs/>
                            <w:color w:val="000000"/>
                            <w:sz w:val="20"/>
                          </w:rPr>
                          <w:t>18:00</w:t>
                        </w:r>
                      </w:p>
                    </w:txbxContent>
                  </v:textbox>
                </v:rect>
                <v:rect id="Rectangle 132" o:spid="_x0000_s1043" style="position:absolute;left:483;top:24460;width:134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yFzxQAAAOMAAAAPAAAAZHJzL2Rvd25yZXYueG1sRE/NagIx&#10;EL4XfIcwQm81cSmybo1SBMGWXlz7AMNm9ocmkyWJ7vbtm0Khx/n+Z3eYnRV3CnHwrGG9UiCIG28G&#10;7jR8Xk9PJYiYkA1az6ThmyIc9ouHHVbGT3yhe506kUM4VqihT2mspIxNTw7jyo/EmWt9cJjyGTpp&#10;Ak453FlZKLWRDgfODT2OdOyp+apvToO81qeprG1Q/r1oP+zb+dKS1/pxOb++gEg0p3/xn/ts8ny1&#10;Kctiu37ewu9PGQC5/wEAAP//AwBQSwECLQAUAAYACAAAACEA2+H2y+4AAACFAQAAEwAAAAAAAAAA&#10;AAAAAAAAAAAAW0NvbnRlbnRfVHlwZXNdLnhtbFBLAQItABQABgAIAAAAIQBa9CxbvwAAABUBAAAL&#10;AAAAAAAAAAAAAAAAAB8BAABfcmVscy8ucmVsc1BLAQItABQABgAIAAAAIQBFTyFzxQAAAOMAAAAP&#10;AAAAAAAAAAAAAAAAAAcCAABkcnMvZG93bnJldi54bWxQSwUGAAAAAAMAAwC3AAAA+QIAAAAA&#10;" filled="f" stroked="f">
                  <v:textbox style="mso-fit-shape-to-text:t" inset="0,0,0,0">
                    <w:txbxContent>
                      <w:p w14:paraId="03504F3E" w14:textId="77777777" w:rsidR="001D4369" w:rsidRDefault="001D4369" w:rsidP="001D4369">
                        <w:r>
                          <w:rPr>
                            <w:rFonts w:ascii="Arial" w:hAnsi="Arial" w:cs="Arial"/>
                            <w:b/>
                            <w:bCs/>
                            <w:color w:val="000000"/>
                            <w:sz w:val="20"/>
                          </w:rPr>
                          <w:t xml:space="preserve">(D </w:t>
                        </w:r>
                      </w:p>
                    </w:txbxContent>
                  </v:textbox>
                </v:rect>
                <v:rect id="Rectangle 133" o:spid="_x0000_s1044" style="position:absolute;left:2089;top:24460;width:71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Z3dxQAAAOMAAAAPAAAAZHJzL2Rvd25yZXYueG1sRE/NagIx&#10;EL4X+g5hCr3VxK1UWY0igmBLL64+wLCZ/cFksiSpu337plDocb7/2ewmZ8WdQuw9a5jPFAji2pue&#10;Ww3Xy/FlBSImZIPWM2n4pgi77ePDBkvjRz7TvUqtyCEcS9TQpTSUUsa6I4dx5gfizDU+OEz5DK00&#10;Accc7qwslHqTDnvODR0OdOiovlVfToO8VMdxVdmg/EfRfNr307khr/Xz07Rfg0g0pX/xn/tk8vxi&#10;sVBz9bpcwu9PGQC5/QEAAP//AwBQSwECLQAUAAYACAAAACEA2+H2y+4AAACFAQAAEwAAAAAAAAAA&#10;AAAAAAAAAAAAW0NvbnRlbnRfVHlwZXNdLnhtbFBLAQItABQABgAIAAAAIQBa9CxbvwAAABUBAAAL&#10;AAAAAAAAAAAAAAAAAB8BAABfcmVscy8ucmVsc1BLAQItABQABgAIAAAAIQBM0Z3dxQAAAOMAAAAP&#10;AAAAAAAAAAAAAAAAAAcCAABkcnMvZG93bnJldi54bWxQSwUGAAAAAAMAAwC3AAAA+QIAAAAA&#10;" filled="f" stroked="f">
                  <v:textbox style="mso-fit-shape-to-text:t" inset="0,0,0,0">
                    <w:txbxContent>
                      <w:p w14:paraId="0B6F9B0E" w14:textId="77777777" w:rsidR="001D4369" w:rsidRDefault="001D4369" w:rsidP="001D4369">
                        <w:r>
                          <w:rPr>
                            <w:rFonts w:ascii="Arial" w:hAnsi="Arial" w:cs="Arial"/>
                            <w:b/>
                            <w:bCs/>
                            <w:color w:val="000000"/>
                            <w:sz w:val="20"/>
                          </w:rPr>
                          <w:t>–</w:t>
                        </w:r>
                      </w:p>
                    </w:txbxContent>
                  </v:textbox>
                </v:rect>
                <v:rect id="Rectangle 134" o:spid="_x0000_s1045" style="position:absolute;left:3092;top:24460;width:113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5DKyQAAAOMAAAAPAAAAZHJzL2Rvd25yZXYueG1sRI/NagJB&#10;EITvgbzD0IK3OOMajNk4SggIJuTimgdodnp/cH6WmYm7vr19COTY3dVV9W33k7PiSjH1wWtYLhQI&#10;8nUwvW81/JwPTxsQKaM3aIMnDTdKsN89PmyxNGH0J7pWuRVs4lOJGrqch1LKVHfkMC3CQJ5vTYgO&#10;M4+xlSbiyObOykKptXTYe07ocKCPjupL9es0yHN1GDeVjSp8Fc23/TyeGgpaz2fT+xuITFP+F/99&#10;Hw3Xf1mu1PP6tWAKZuIFyN0dAAD//wMAUEsBAi0AFAAGAAgAAAAhANvh9svuAAAAhQEAABMAAAAA&#10;AAAAAAAAAAAAAAAAAFtDb250ZW50X1R5cGVzXS54bWxQSwECLQAUAAYACAAAACEAWvQsW78AAAAV&#10;AQAACwAAAAAAAAAAAAAAAAAfAQAAX3JlbHMvLnJlbHNQSwECLQAUAAYACAAAACEAbg+QyskAAADj&#10;AAAADwAAAAAAAAAAAAAAAAAHAgAAZHJzL2Rvd25yZXYueG1sUEsFBgAAAAADAAMAtwAAAP0CAAAA&#10;AA==&#10;" filled="f" stroked="f">
                  <v:textbox style="mso-fit-shape-to-text:t" inset="0,0,0,0">
                    <w:txbxContent>
                      <w:p w14:paraId="2A2FEE94" w14:textId="77777777" w:rsidR="001D4369" w:rsidRDefault="001D4369" w:rsidP="001D4369">
                        <w:r>
                          <w:rPr>
                            <w:rFonts w:ascii="Arial" w:hAnsi="Arial" w:cs="Arial"/>
                            <w:b/>
                            <w:bCs/>
                            <w:color w:val="000000"/>
                            <w:sz w:val="20"/>
                          </w:rPr>
                          <w:t>1)</w:t>
                        </w:r>
                      </w:p>
                    </w:txbxContent>
                  </v:textbox>
                </v:rect>
                <v:rect id="Rectangle 135" o:spid="_x0000_s1046" style="position:absolute;left:5525;top:23164;width:656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LC+yAAAAOMAAAAPAAAAZHJzL2Rvd25yZXYueG1sRI/LSgMx&#10;FIb3Qt8hHMGdTTpqL2PTUoRClW469QEOkzMXTE6GJHbGtzcLweXPf+Pb7idnxY1C7D1rWMwVCOLa&#10;m55bDZ/X4+MaREzIBq1n0vBDEfa72d0WS+NHvtCtSq3IIxxL1NClNJRSxrojh3HuB+LsNT44TFmG&#10;VpqAYx53VhZKLaXDnvNDhwO9dVR/Vd9Og7xWx3Fd2aD8R9Gc7fvp0pDX+uF+OryCSDSl//Bf+2Q0&#10;FOpptXnZPC8yRWbKPCB3vwAAAP//AwBQSwECLQAUAAYACAAAACEA2+H2y+4AAACFAQAAEwAAAAAA&#10;AAAAAAAAAAAAAAAAW0NvbnRlbnRfVHlwZXNdLnhtbFBLAQItABQABgAIAAAAIQBa9CxbvwAAABUB&#10;AAALAAAAAAAAAAAAAAAAAB8BAABfcmVscy8ucmVsc1BLAQItABQABgAIAAAAIQCtMLC+yAAAAOMA&#10;AAAPAAAAAAAAAAAAAAAAAAcCAABkcnMvZG93bnJldi54bWxQSwUGAAAAAAMAAwC3AAAA/AIAAAAA&#10;" filled="f" stroked="f">
                  <v:textbox style="mso-fit-shape-to-text:t" inset="0,0,0,0">
                    <w:txbxContent>
                      <w:p w14:paraId="38FB51A3" w14:textId="77777777" w:rsidR="001D4369" w:rsidRDefault="001D4369" w:rsidP="001D4369">
                        <w:r>
                          <w:rPr>
                            <w:rFonts w:ascii="Arial" w:hAnsi="Arial" w:cs="Arial"/>
                            <w:b/>
                            <w:bCs/>
                            <w:color w:val="000000"/>
                            <w:sz w:val="20"/>
                          </w:rPr>
                          <w:t>60 Minutes</w:t>
                        </w:r>
                      </w:p>
                    </w:txbxContent>
                  </v:textbox>
                </v:rect>
                <v:rect id="Rectangle 136" o:spid="_x0000_s1047" style="position:absolute;left:6490;top:24618;width:452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9eryAAAAOIAAAAPAAAAZHJzL2Rvd25yZXYueG1sRI/dSgMx&#10;FITvhb5DOIXe2aRV67o2LSIUqnjTrQ9w2Jz9weRkSWJ3+/ZGELwcZuYbZrufnBUXCrH3rGG1VCCI&#10;a296bjV8ng+3BYiYkA1az6ThShH2u9nNFkvjRz7RpUqtyBCOJWroUhpKKWPdkcO49ANx9hofHKYs&#10;QytNwDHDnZVrpTbSYc95ocOBXjuqv6pvp0Geq8NYVDYo/75uPuzb8dSQ13oxn16eQSSa0n/4r300&#10;GorHu426f3pYwe+lfAfk7gcAAP//AwBQSwECLQAUAAYACAAAACEA2+H2y+4AAACFAQAAEwAAAAAA&#10;AAAAAAAAAAAAAAAAW0NvbnRlbnRfVHlwZXNdLnhtbFBLAQItABQABgAIAAAAIQBa9CxbvwAAABUB&#10;AAALAAAAAAAAAAAAAAAAAB8BAABfcmVscy8ucmVsc1BLAQItABQABgAIAAAAIQChI9eryAAAAOIA&#10;AAAPAAAAAAAAAAAAAAAAAAcCAABkcnMvZG93bnJldi54bWxQSwUGAAAAAAMAAwC3AAAA/AIAAAAA&#10;" filled="f" stroked="f">
                  <v:textbox style="mso-fit-shape-to-text:t" inset="0,0,0,0">
                    <w:txbxContent>
                      <w:p w14:paraId="33A2D888" w14:textId="77777777" w:rsidR="001D4369" w:rsidRDefault="001D4369" w:rsidP="001D4369">
                        <w:r>
                          <w:rPr>
                            <w:rFonts w:ascii="Arial" w:hAnsi="Arial" w:cs="Arial"/>
                            <w:b/>
                            <w:bCs/>
                            <w:color w:val="000000"/>
                            <w:sz w:val="20"/>
                          </w:rPr>
                          <w:t>Prior to</w:t>
                        </w:r>
                      </w:p>
                    </w:txbxContent>
                  </v:textbox>
                </v:rect>
                <v:rect id="Rectangle 137" o:spid="_x0000_s1048" style="position:absolute;left:6223;top:26066;width:508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1NdyAAAAOIAAAAPAAAAZHJzL2Rvd25yZXYueG1sRI/NasMw&#10;EITvhbyD2EBvjRQf0tiNEkogkJZe4vQBFmv9Q6WVkZTYffuqUOhxmJlvmN1hdlbcKcTBs4b1SoEg&#10;brwZuNPweT09bUHEhGzQeiYN3xThsF887LAyfuIL3evUiQzhWKGGPqWxkjI2PTmMKz8SZ6/1wWHK&#10;MnTSBJwy3FlZKLWRDgfOCz2OdOyp+apvToO81qdpW9ug/HvRfti386Ulr/Xjcn59AZFoTv/hv/bZ&#10;aCg3hSqey3INv5fyHZD7HwAAAP//AwBQSwECLQAUAAYACAAAACEA2+H2y+4AAACFAQAAEwAAAAAA&#10;AAAAAAAAAAAAAAAAW0NvbnRlbnRfVHlwZXNdLnhtbFBLAQItABQABgAIAAAAIQBa9CxbvwAAABUB&#10;AAALAAAAAAAAAAAAAAAAAB8BAABfcmVscy8ucmVsc1BLAQItABQABgAIAAAAIQC3b1NdyAAAAOIA&#10;AAAPAAAAAAAAAAAAAAAAAAcCAABkcnMvZG93bnJldi54bWxQSwUGAAAAAAMAAwC3AAAA/AIAAAAA&#10;" filled="f" stroked="f">
                  <v:textbox style="mso-fit-shape-to-text:t" inset="0,0,0,0">
                    <w:txbxContent>
                      <w:p w14:paraId="4F6F7E61" w14:textId="77777777" w:rsidR="001D4369" w:rsidRDefault="001D4369" w:rsidP="001D4369">
                        <w:r>
                          <w:rPr>
                            <w:rFonts w:ascii="Arial" w:hAnsi="Arial" w:cs="Arial"/>
                            <w:b/>
                            <w:bCs/>
                            <w:color w:val="000000"/>
                            <w:sz w:val="20"/>
                          </w:rPr>
                          <w:t>Op Hour</w:t>
                        </w:r>
                      </w:p>
                    </w:txbxContent>
                  </v:textbox>
                </v:rect>
                <v:group id="Group 138" o:spid="_x0000_s1049" style="position:absolute;left:2025;top:4670;width:14065;height:5763" coordorigin="2197,2598" coordsize="2215,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dZcyQAAAOMAAAAPAAAAZHJzL2Rvd25yZXYueG1sRE9La8JA&#10;EL4X+h+WKfRWN2uwpNFVRGzpQQo+oHgbsmMSzM6G7DaJ/75bKHic7z2L1Wgb0VPna8ca1CQBQVw4&#10;U3Op4XR8f8lA+IBssHFMGm7kYbV8fFhgbtzAe+oPoRQxhH2OGqoQ2lxKX1Rk0U9cSxy5i+sshnh2&#10;pTQdDjHcNnKaJK/SYs2xocKWNhUV18OP1fAx4LBO1bbfXS+b2/k4+/reKdL6+Wlcz0EEGsNd/O/+&#10;NHF+mibZm1LZDP5+igDI5S8AAAD//wMAUEsBAi0AFAAGAAgAAAAhANvh9svuAAAAhQEAABMAAAAA&#10;AAAAAAAAAAAAAAAAAFtDb250ZW50X1R5cGVzXS54bWxQSwECLQAUAAYACAAAACEAWvQsW78AAAAV&#10;AQAACwAAAAAAAAAAAAAAAAAfAQAAX3JlbHMvLnJlbHNQSwECLQAUAAYACAAAACEA55nWXMkAAADj&#10;AAAADwAAAAAAAAAAAAAAAAAHAgAAZHJzL2Rvd25yZXYueG1sUEsFBgAAAAADAAMAtwAAAP0CAAAA&#10;AA==&#10;">
                  <v:rect id="Rectangle 139" o:spid="_x0000_s1050" style="position:absolute;left:2197;top:2598;width:2215;height: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Qw4ywAAAOIAAAAPAAAAZHJzL2Rvd25yZXYueG1sRI9Ba8JA&#10;FITvhf6H5Qne6ibaxhJdpRQs7akaC14f2WcSzL4Nu9sk+uu7hUKPw8x8w6y3o2lFT843lhWkswQE&#10;cWl1w5WCr+Pu4RmED8gaW8uk4Eoetpv7uzXm2g58oL4IlYgQ9jkqqEPocil9WZNBP7MdcfTO1hkM&#10;UbpKaodDhJtWzpMkkwYbjgs1dvRaU3kpvo2C0+dtSG9Xd0k+Ti57s11fPO3PSk0n48sKRKAx/If/&#10;2u9awfJxMV8s0zSD30vxDsjNDwAAAP//AwBQSwECLQAUAAYACAAAACEA2+H2y+4AAACFAQAAEwAA&#10;AAAAAAAAAAAAAAAAAAAAW0NvbnRlbnRfVHlwZXNdLnhtbFBLAQItABQABgAIAAAAIQBa9CxbvwAA&#10;ABUBAAALAAAAAAAAAAAAAAAAAB8BAABfcmVscy8ucmVsc1BLAQItABQABgAIAAAAIQAMPQw4ywAA&#10;AOIAAAAPAAAAAAAAAAAAAAAAAAcCAABkcnMvZG93bnJldi54bWxQSwUGAAAAAAMAAwC3AAAA/wIA&#10;AAAA&#10;" fillcolor="#936" stroked="f"/>
                  <v:rect id="Rectangle 140" o:spid="_x0000_s1051" style="position:absolute;left:2197;top:2598;width:2215;height: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9BQxwAAAOIAAAAPAAAAZHJzL2Rvd25yZXYueG1sRE9bS8Mw&#10;FH4X/A/hDHwZW2qV0nbLhgqKCEPc5f3QnDVlzUlJ4lb99eZh4OPHd1+uR9uLM/nQOVZwP89AEDdO&#10;d9wq2O9eZyWIEJE19o5JwQ8FWK9ub5ZYa3fhLzpvYytSCIcaFZgYh1rK0BiyGOZuIE7c0XmLMUHf&#10;Su3xksJtL/MsK6TFjlODwYFeDDWn7bdVYD8fmufSl0b/HuKUTPWGH5tcqbvJ+LQAEWmM/+Kr+10r&#10;eCzyrKryIm1Ol9IdkKs/AAAA//8DAFBLAQItABQABgAIAAAAIQDb4fbL7gAAAIUBAAATAAAAAAAA&#10;AAAAAAAAAAAAAABbQ29udGVudF9UeXBlc10ueG1sUEsBAi0AFAAGAAgAAAAhAFr0LFu/AAAAFQEA&#10;AAsAAAAAAAAAAAAAAAAAHwEAAF9yZWxzLy5yZWxzUEsBAi0AFAAGAAgAAAAhAO6H0FDHAAAA4gAA&#10;AA8AAAAAAAAAAAAAAAAABwIAAGRycy9kb3ducmV2LnhtbFBLBQYAAAAAAwADALcAAAD7AgAAAAA=&#10;" filled="f" strokeweight="22e-5mm">
                    <v:stroke endcap="round"/>
                  </v:rect>
                </v:group>
                <v:rect id="Rectangle 141" o:spid="_x0000_s1052" style="position:absolute;left:5823;top:5569;width:612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mzSxQAAAOMAAAAPAAAAZHJzL2Rvd25yZXYueG1sRE/NSgMx&#10;EL4LvkOYgjebbFllWZuWIhSqeOm2DzBsZn8wmSxJ7K5vbwTB43z/s90vzoobhTh61lCsFQji1puR&#10;ew3Xy/GxAhETskHrmTR8U4T97v5ui7XxM5/p1qRe5BCONWoYUppqKWM7kMO49hNx5jofHKZ8hl6a&#10;gHMOd1ZulHqWDkfODQNO9DpQ+9l8OQ3y0hznqrFB+fdN92HfTueOvNYPq+XwAiLRkv7Ff+6TyfNV&#10;UaqiKssn+P0pAyB3PwAAAP//AwBQSwECLQAUAAYACAAAACEA2+H2y+4AAACFAQAAEwAAAAAAAAAA&#10;AAAAAAAAAAAAW0NvbnRlbnRfVHlwZXNdLnhtbFBLAQItABQABgAIAAAAIQBa9CxbvwAAABUBAAAL&#10;AAAAAAAAAAAAAAAAAB8BAABfcmVscy8ucmVsc1BLAQItABQABgAIAAAAIQBsvmzSxQAAAOMAAAAP&#10;AAAAAAAAAAAAAAAAAAcCAABkcnMvZG93bnJldi54bWxQSwUGAAAAAAMAAwC3AAAA+QIAAAAA&#10;" filled="f" stroked="f">
                  <v:textbox style="mso-fit-shape-to-text:t" inset="0,0,0,0">
                    <w:txbxContent>
                      <w:p w14:paraId="36E58330" w14:textId="77777777" w:rsidR="001D4369" w:rsidRDefault="001D4369" w:rsidP="001D4369">
                        <w:r>
                          <w:rPr>
                            <w:rFonts w:ascii="Arial" w:hAnsi="Arial" w:cs="Arial"/>
                            <w:b/>
                            <w:bCs/>
                            <w:color w:val="FFFFFF"/>
                            <w:sz w:val="14"/>
                            <w:szCs w:val="14"/>
                          </w:rPr>
                          <w:t>QSE Deadline:</w:t>
                        </w:r>
                      </w:p>
                    </w:txbxContent>
                  </v:textbox>
                </v:rect>
                <v:rect id="Rectangle 142" o:spid="_x0000_s1053" style="position:absolute;left:5789;top:6574;width:6452;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BoUygAAAOIAAAAPAAAAZHJzL2Rvd25yZXYueG1sRI9Ba8JA&#10;FITvhf6H5Qne6q7apCa6igiC0HpQC14f2WcSzL5Ns6um/75bKPQ4zMw3zGLV20bcqfO1Yw3jkQJB&#10;XDhTc6nh87R9mYHwAdlg45g0fJOH1fL5aYG5cQ8+0P0YShEh7HPUUIXQ5lL6oiKLfuRa4uhdXGcx&#10;RNmV0nT4iHDbyIlSqbRYc1yosKVNRcX1eLMaMH01X/vL9OP0fksxK3u1Tc5K6+GgX89BBOrDf/iv&#10;vTMa3mbZZJok2Rh+L8U7IJc/AAAA//8DAFBLAQItABQABgAIAAAAIQDb4fbL7gAAAIUBAAATAAAA&#10;AAAAAAAAAAAAAAAAAABbQ29udGVudF9UeXBlc10ueG1sUEsBAi0AFAAGAAgAAAAhAFr0LFu/AAAA&#10;FQEAAAsAAAAAAAAAAAAAAAAAHwEAAF9yZWxzLy5yZWxzUEsBAi0AFAAGAAgAAAAhADsgGhTKAAAA&#10;4gAAAA8AAAAAAAAAAAAAAAAABwIAAGRycy9kb3ducmV2LnhtbFBLBQYAAAAAAwADALcAAAD+AgAA&#10;AAA=&#10;" stroked="f"/>
                <v:rect id="Rectangle 143" o:spid="_x0000_s1054" style="position:absolute;left:2623;top:7030;width:131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TPyQAAAOMAAAAPAAAAZHJzL2Rvd25yZXYueG1sRI/dSgMx&#10;FITvBd8hHME7m7gtdl2bFhEKrXjTrQ9w2Jz9weRkSWJ3fftGELwcZuYbZrObnRUXCnHwrOFxoUAQ&#10;N94M3Gn4PO8fShAxIRu0nknDD0XYbW9vNlgZP/GJLnXqRIZwrFBDn9JYSRmbnhzGhR+Js9f64DBl&#10;GTppAk4Z7qwslHqSDgfOCz2O9NZT81V/Ow3yXO+nsrZB+fei/bDHw6klr/X93fz6AiLRnP7Df+2D&#10;0VCo1bJcrp+LFfx+yn9Abq8AAAD//wMAUEsBAi0AFAAGAAgAAAAhANvh9svuAAAAhQEAABMAAAAA&#10;AAAAAAAAAAAAAAAAAFtDb250ZW50X1R5cGVzXS54bWxQSwECLQAUAAYACAAAACEAWvQsW78AAAAV&#10;AQAACwAAAAAAAAAAAAAAAAAfAQAAX3JlbHMvLnJlbHNQSwECLQAUAAYACAAAACEA2PFUz8kAAADj&#10;AAAADwAAAAAAAAAAAAAAAAAHAgAAZHJzL2Rvd25yZXYueG1sUEsFBgAAAAADAAMAtwAAAP0CAAAA&#10;AA==&#10;" filled="f" stroked="f">
                  <v:textbox style="mso-fit-shape-to-text:t" inset="0,0,0,0">
                    <w:txbxContent>
                      <w:p w14:paraId="308B2D65" w14:textId="77777777" w:rsidR="001D4369" w:rsidRDefault="001D4369" w:rsidP="001D4369">
                        <w:r>
                          <w:rPr>
                            <w:rFonts w:ascii="Arial" w:hAnsi="Arial" w:cs="Arial"/>
                            <w:b/>
                            <w:bCs/>
                            <w:color w:val="FFFFFF"/>
                            <w:sz w:val="14"/>
                            <w:szCs w:val="14"/>
                          </w:rPr>
                          <w:t>Update Energy Bids and Offers</w:t>
                        </w:r>
                      </w:p>
                    </w:txbxContent>
                  </v:textbox>
                </v:rect>
                <v:rect id="Rectangle 144" o:spid="_x0000_s1055" style="position:absolute;left:4464;top:649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oPiyAAAAOIAAAAPAAAAZHJzL2Rvd25yZXYueG1sRI/dagIx&#10;FITvC32HcAq9q1lX2upqlFIQrPTGtQ9w2Jz9weRkSVJ3fXsjCF4OM/MNs9qM1ogz+dA5VjCdZCCI&#10;K6c7bhT8HbdvcxAhIms0jknBhQJs1s9PKyy0G/hA5zI2IkE4FKigjbEvpAxVSxbDxPXEyaudtxiT&#10;9I3UHocEt0bmWfYhLXacFlrs6bul6lT+WwXyWG6HeWl85vZ5/Wt+doeanFKvL+PXEkSkMT7C9/ZO&#10;K1gsPvP8fTadwe1SugNyfQUAAP//AwBQSwECLQAUAAYACAAAACEA2+H2y+4AAACFAQAAEwAAAAAA&#10;AAAAAAAAAAAAAAAAW0NvbnRlbnRfVHlwZXNdLnhtbFBLAQItABQABgAIAAAAIQBa9CxbvwAAABUB&#10;AAALAAAAAAAAAAAAAAAAAB8BAABfcmVscy8ucmVsc1BLAQItABQABgAIAAAAIQChLoPiyAAAAOIA&#10;AAAPAAAAAAAAAAAAAAAAAAcCAABkcnMvZG93bnJldi54bWxQSwUGAAAAAAMAAwC3AAAA/AIAAAAA&#10;" filled="f" stroked="f">
                  <v:textbox style="mso-fit-shape-to-text:t" inset="0,0,0,0">
                    <w:txbxContent>
                      <w:p w14:paraId="0CB18E64" w14:textId="77777777" w:rsidR="001D4369" w:rsidRDefault="001D4369" w:rsidP="001D4369"/>
                    </w:txbxContent>
                  </v:textbox>
                </v:rect>
                <v:rect id="Rectangle 145" o:spid="_x0000_s1056" style="position:absolute;left:3334;top:8199;width:108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IIsxgAAAOMAAAAPAAAAZHJzL2Rvd25yZXYueG1sRE/NagIx&#10;EL4X+g5hCt5q1hV03RqlFARbvLj2AYbN7A9NJkuSuuvbm0LB43z/s91P1ogr+dA7VrCYZyCIa6d7&#10;bhV8Xw6vBYgQkTUax6TgRgH2u+enLZbajXymaxVbkUI4lKigi3EopQx1RxbD3A3EiWuctxjT6Vup&#10;PY4p3BqZZ9lKWuw5NXQ40EdH9U/1axXIS3UYi8r4zH3lzcl8Hs8NOaVmL9P7G4hIU3yI/91Hnebn&#10;q2KzXmyWa/j7KQEgd3cAAAD//wMAUEsBAi0AFAAGAAgAAAAhANvh9svuAAAAhQEAABMAAAAAAAAA&#10;AAAAAAAAAAAAAFtDb250ZW50X1R5cGVzXS54bWxQSwECLQAUAAYACAAAACEAWvQsW78AAAAVAQAA&#10;CwAAAAAAAAAAAAAAAAAfAQAAX3JlbHMvLnJlbHNQSwECLQAUAAYACAAAACEAayiCLMYAAADjAAAA&#10;DwAAAAAAAAAAAAAAAAAHAgAAZHJzL2Rvd25yZXYueG1sUEsFBgAAAAADAAMAtwAAAPoCAAAAAA==&#10;" filled="f" stroked="f">
                  <v:textbox style="mso-fit-shape-to-text:t" inset="0,0,0,0">
                    <w:txbxContent>
                      <w:p w14:paraId="10F3F02E" w14:textId="77777777" w:rsidR="001D4369" w:rsidRDefault="001D4369" w:rsidP="001D4369">
                        <w:r>
                          <w:rPr>
                            <w:rFonts w:ascii="Arial" w:hAnsi="Arial" w:cs="Arial"/>
                            <w:b/>
                            <w:bCs/>
                            <w:color w:val="FFFFFF"/>
                            <w:sz w:val="14"/>
                            <w:szCs w:val="14"/>
                          </w:rPr>
                          <w:t>Update Output Schedules</w:t>
                        </w:r>
                      </w:p>
                    </w:txbxContent>
                  </v:textbox>
                </v:rect>
                <v:group id="Group 148" o:spid="_x0000_s1057" style="position:absolute;left:24110;top:27292;width:14472;height:6820" coordorigin="5678,6328" coordsize="2279,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PEHyAAAAOMAAAAPAAAAZHJzL2Rvd25yZXYueG1sRE9La8JA&#10;EL4L/Q/LFLzVTRRf0VVErPQghaog3obsmASzsyG7TeK/dwsFj/O9Z7nuTCkaql1hWUE8iEAQp1YX&#10;nCk4nz4/ZiCcR9ZYWiYFD3KwXr31lpho2/IPNUefiRDCLkEFufdVIqVLczLoBrYiDtzN1gZ9OOtM&#10;6hrbEG5KOYyiiTRYcGjIsaJtTun9+GsU7FtsN6N41xzut+3jehp/Xw4xKdV/7zYLEJ46/xL/u790&#10;mD+Oh9FkOprN4e+nAIBcPQEAAP//AwBQSwECLQAUAAYACAAAACEA2+H2y+4AAACFAQAAEwAAAAAA&#10;AAAAAAAAAAAAAAAAW0NvbnRlbnRfVHlwZXNdLnhtbFBLAQItABQABgAIAAAAIQBa9CxbvwAAABUB&#10;AAALAAAAAAAAAAAAAAAAAB8BAABfcmVscy8ucmVsc1BLAQItABQABgAIAAAAIQA6HPEHyAAAAOMA&#10;AAAPAAAAAAAAAAAAAAAAAAcCAABkcnMvZG93bnJldi54bWxQSwUGAAAAAAMAAwC3AAAA/AIAAAAA&#10;">
                  <v:rect id="Rectangle 149" o:spid="_x0000_s1058" style="position:absolute;left:5678;top:6328;width:2279;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BZygAAAOMAAAAPAAAAZHJzL2Rvd25yZXYueG1sRI9PT8Mw&#10;DMXvSHyHyEjcWLp2lKksm6ZJA25of8TZakzbrXGqJNvKt8cHJI72e37v58VqdL26UoidZwPTSQaK&#10;uPa248bA8bB9moOKCdli75kM/FCE1fL+boGV9Tfe0XWfGiUhHCs00KY0VFrHuiWHceIHYtG+fXCY&#10;ZAyNtgFvEu56nWdZqR12LA0tDrRpqT7vL86APpQhnYtZcdqlmK/d5e39s/4y5vFhXL+CSjSmf/Pf&#10;9YcV/HmevRSz8lmg5SdZgF7+AgAA//8DAFBLAQItABQABgAIAAAAIQDb4fbL7gAAAIUBAAATAAAA&#10;AAAAAAAAAAAAAAAAAABbQ29udGVudF9UeXBlc10ueG1sUEsBAi0AFAAGAAgAAAAhAFr0LFu/AAAA&#10;FQEAAAsAAAAAAAAAAAAAAAAAHwEAAF9yZWxzLy5yZWxzUEsBAi0AFAAGAAgAAAAhAGfMUFnKAAAA&#10;4wAAAA8AAAAAAAAAAAAAAAAABwIAAGRycy9kb3ducmV2LnhtbFBLBQYAAAAAAwADALcAAAD+AgAA&#10;AAA=&#10;" fillcolor="silver" stroked="f"/>
                  <v:rect id="Rectangle 150" o:spid="_x0000_s1059" style="position:absolute;left:5678;top:6328;width:2279;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UGtyQAAAOEAAAAPAAAAZHJzL2Rvd25yZXYueG1sRI9fS8Mw&#10;FMXfhX2HcAd7kS1tJ66ry4YTFBFE9u/90lybYnNTkrhVP70RBB8P55zf4aw2g+3EmXxoHSvIZxkI&#10;4trplhsFx8PjtAQRIrLGzjEp+KIAm/XoaoWVdhfe0XkfG5EgHCpUYGLsKylDbchimLmeOHnvzluM&#10;SfpGao+XBLedLLLsVlpsOS0Y7OnBUP2x/7QK7Nu83pa+NPr7FK/JLJ/w5bVQajIe7u9ARBrif/iv&#10;/awVzPNikS9uCvh9lN6AXP8AAAD//wMAUEsBAi0AFAAGAAgAAAAhANvh9svuAAAAhQEAABMAAAAA&#10;AAAAAAAAAAAAAAAAAFtDb250ZW50X1R5cGVzXS54bWxQSwECLQAUAAYACAAAACEAWvQsW78AAAAV&#10;AQAACwAAAAAAAAAAAAAAAAAfAQAAX3JlbHMvLnJlbHNQSwECLQAUAAYACAAAACEAnEVBrckAAADh&#10;AAAADwAAAAAAAAAAAAAAAAAHAgAAZHJzL2Rvd25yZXYueG1sUEsFBgAAAAADAAMAtwAAAP0CAAAA&#10;AA==&#10;" filled="f" strokeweight="22e-5mm">
                    <v:stroke endcap="round"/>
                  </v:rect>
                </v:group>
                <v:rect id="Rectangle 151" o:spid="_x0000_s1060" style="position:absolute;left:27730;top:27774;width:687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o5KyQAAAOMAAAAPAAAAZHJzL2Rvd25yZXYueG1sRI/NasMw&#10;EITvhb6D2EJujVQTUteJEkohkJZe4vQBFmv9Q/RjJDV23j57KPS4O7Mz3273s7PiSjENwWt4WSoQ&#10;5JtgBt9p+DkfnksQKaM3aIMnDTdKsN89PmyxMmHyJ7rWuRMc4lOFGvqcx0rK1PTkMC3DSJ61NkSH&#10;mcfYSRNx4nBnZaHUWjocPDf0ONJHT82l/nUa5Lk+TGVtowpfRfttP4+nloLWi6f5fQMi05z/zX/X&#10;R8P46zf1Wq4KxdD8Ey9A7u4AAAD//wMAUEsBAi0AFAAGAAgAAAAhANvh9svuAAAAhQEAABMAAAAA&#10;AAAAAAAAAAAAAAAAAFtDb250ZW50X1R5cGVzXS54bWxQSwECLQAUAAYACAAAACEAWvQsW78AAAAV&#10;AQAACwAAAAAAAAAAAAAAAAAfAQAAX3JlbHMvLnJlbHNQSwECLQAUAAYACAAAACEAhRKOSskAAADj&#10;AAAADwAAAAAAAAAAAAAAAAAHAgAAZHJzL2Rvd25yZXYueG1sUEsFBgAAAAADAAMAtwAAAP0CAAAA&#10;AA==&#10;" filled="f" stroked="f">
                  <v:textbox style="mso-fit-shape-to-text:t" inset="0,0,0,0">
                    <w:txbxContent>
                      <w:p w14:paraId="54E383CB" w14:textId="77777777" w:rsidR="001D4369" w:rsidRDefault="001D4369" w:rsidP="001D4369">
                        <w:r>
                          <w:rPr>
                            <w:rFonts w:ascii="Arial" w:hAnsi="Arial" w:cs="Arial"/>
                            <w:b/>
                            <w:bCs/>
                            <w:color w:val="000000"/>
                            <w:sz w:val="14"/>
                            <w:szCs w:val="14"/>
                          </w:rPr>
                          <w:t>ERCOT Activity:</w:t>
                        </w:r>
                      </w:p>
                    </w:txbxContent>
                  </v:textbox>
                </v:rect>
                <v:rect id="Rectangle 152" o:spid="_x0000_s1061" style="position:absolute;left:27730;top:28746;width:72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hlfyQAAAOIAAAAPAAAAZHJzL2Rvd25yZXYueG1sRE+7bsIw&#10;FN0r9R+sW4mtOE0KCgGDSqVKXSqVxwDbJb4kEfF1ahtI+/X1gMR4dN6zRW9acSHnG8sKXoYJCOLS&#10;6oYrBdvNx3MOwgdkja1lUvBLHhbzx4cZFtpeeUWXdahEDGFfoII6hK6Q0pc1GfRD2xFH7midwRCh&#10;q6R2eI3hppVpkoylwYZjQ40dvddUntZno2A5yZc/36/89bc67Gm/O5xGqUuUGjz1b1MQgfpwF9/c&#10;n1pBlo2yNM3yuDleindAzv8BAAD//wMAUEsBAi0AFAAGAAgAAAAhANvh9svuAAAAhQEAABMAAAAA&#10;AAAAAAAAAAAAAAAAAFtDb250ZW50X1R5cGVzXS54bWxQSwECLQAUAAYACAAAACEAWvQsW78AAAAV&#10;AQAACwAAAAAAAAAAAAAAAAAfAQAAX3JlbHMvLnJlbHNQSwECLQAUAAYACAAAACEAOjoZX8kAAADi&#10;AAAADwAAAAAAAAAAAAAAAAAHAgAAZHJzL2Rvd25yZXYueG1sUEsFBgAAAAADAAMAtwAAAP0CAAAA&#10;AA==&#10;" fillcolor="black" stroked="f"/>
                <v:rect id="Rectangle 153" o:spid="_x0000_s1062" style="position:absolute;left:25578;top:28892;width:1097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rpgxQAAAOIAAAAPAAAAZHJzL2Rvd25yZXYueG1sRE/dasIw&#10;FL4X9g7hDHan6cosrhplDAQn3lj3AIfm9AeTk5Jktr69uRh4+fH9b3aTNeJGPvSOFbwvMhDEtdM9&#10;twp+L/v5CkSIyBqNY1JwpwC77ctsg6V2I5/pVsVWpBAOJSroYhxKKUPdkcWwcANx4hrnLcYEfSu1&#10;xzGFWyPzLCukxZ5TQ4cDfXdUX6s/q0Beqv24qozP3DFvTubncG7IKfX2On2tQUSa4lP87z5oBcu8&#10;KD7y4jNtTpfSHZDbBwAAAP//AwBQSwECLQAUAAYACAAAACEA2+H2y+4AAACFAQAAEwAAAAAAAAAA&#10;AAAAAAAAAAAAW0NvbnRlbnRfVHlwZXNdLnhtbFBLAQItABQABgAIAAAAIQBa9CxbvwAAABUBAAAL&#10;AAAAAAAAAAAAAAAAAB8BAABfcmVscy8ucmVsc1BLAQItABQABgAIAAAAIQC4ZrpgxQAAAOIAAAAP&#10;AAAAAAAAAAAAAAAAAAcCAABkcnMvZG93bnJldi54bWxQSwUGAAAAAAMAAwC3AAAA+QIAAAAA&#10;" filled="f" stroked="f">
                  <v:textbox style="mso-fit-shape-to-text:t" inset="0,0,0,0">
                    <w:txbxContent>
                      <w:p w14:paraId="4360A1EC" w14:textId="77777777" w:rsidR="001D4369" w:rsidRDefault="001D4369" w:rsidP="001D4369">
                        <w:r>
                          <w:rPr>
                            <w:rFonts w:ascii="Arial" w:hAnsi="Arial" w:cs="Arial"/>
                            <w:b/>
                            <w:bCs/>
                            <w:color w:val="000000"/>
                            <w:sz w:val="14"/>
                            <w:szCs w:val="14"/>
                          </w:rPr>
                          <w:t>LFC Process every 4 secs</w:t>
                        </w:r>
                      </w:p>
                    </w:txbxContent>
                  </v:textbox>
                </v:rect>
                <v:rect id="Rectangle 154" o:spid="_x0000_s1063" style="position:absolute;left:25152;top:30016;width:944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yXuyQAAAOIAAAAPAAAAZHJzL2Rvd25yZXYueG1sRI/NasMw&#10;EITvhb6D2EJvjRyXuokTJYRCICm9xOkDLNb6h0grIymx+/ZRodDjMDPfMOvtZI24kQ+9YwXzWQaC&#10;uHa651bB93n/sgARIrJG45gU/FCA7ebxYY2ldiOf6FbFViQIhxIVdDEOpZSh7shimLmBOHmN8xZj&#10;kr6V2uOY4NbIPMsKabHntNDhQB8d1ZfqahXIc7UfF5XxmfvMmy9zPJwacko9P027FYhIU/wP/7UP&#10;WsFbMS+Wy/z1HX4vpTsgN3cAAAD//wMAUEsBAi0AFAAGAAgAAAAhANvh9svuAAAAhQEAABMAAAAA&#10;AAAAAAAAAAAAAAAAAFtDb250ZW50X1R5cGVzXS54bWxQSwECLQAUAAYACAAAACEAWvQsW78AAAAV&#10;AQAACwAAAAAAAAAAAAAAAAAfAQAAX3JlbHMvLnJlbHNQSwECLQAUAAYACAAAACEA1fMl7skAAADi&#10;AAAADwAAAAAAAAAAAAAAAAAHAgAAZHJzL2Rvd25yZXYueG1sUEsFBgAAAAADAAMAtwAAAP0CAAAA&#10;AA==&#10;" filled="f" stroked="f">
                  <v:textbox style="mso-fit-shape-to-text:t" inset="0,0,0,0">
                    <w:txbxContent>
                      <w:p w14:paraId="7DBD9D67" w14:textId="77777777" w:rsidR="001D4369" w:rsidRDefault="001D4369" w:rsidP="001D4369">
                        <w:r>
                          <w:rPr>
                            <w:rFonts w:ascii="Arial" w:hAnsi="Arial" w:cs="Arial"/>
                            <w:b/>
                            <w:bCs/>
                            <w:color w:val="000000"/>
                            <w:sz w:val="14"/>
                            <w:szCs w:val="14"/>
                          </w:rPr>
                          <w:t xml:space="preserve">Execute SCED every 5 </w:t>
                        </w:r>
                      </w:p>
                    </w:txbxContent>
                  </v:textbox>
                </v:rect>
                <v:rect id="Rectangle 155" o:spid="_x0000_s1064" style="position:absolute;left:34746;top:30016;width:207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U2LwwAAAOEAAAAPAAAAZHJzL2Rvd25yZXYueG1sRE/LisIw&#10;FN0L8w/hCrPTVMUHHaMMgqAyG+t8wKW5fWByU5JoO39vFsIsD+e93Q/WiCf50DpWMJtmIIhLp1uu&#10;FfzejpMNiBCRNRrHpOCPAux3H6Mt5tr1fKVnEWuRQjjkqKCJsculDGVDFsPUdcSJq5y3GBP0tdQe&#10;+xRujZxn2UpabDk1NNjRoaHyXjysAnkrjv2mMD5zl3n1Y86na0VOqc/x8P0FItIQ/8Vv90krWK5m&#10;y/VikSanR+kNyN0LAAD//wMAUEsBAi0AFAAGAAgAAAAhANvh9svuAAAAhQEAABMAAAAAAAAAAAAA&#10;AAAAAAAAAFtDb250ZW50X1R5cGVzXS54bWxQSwECLQAUAAYACAAAACEAWvQsW78AAAAVAQAACwAA&#10;AAAAAAAAAAAAAAAfAQAAX3JlbHMvLnJlbHNQSwECLQAUAAYACAAAACEAQJVNi8MAAADhAAAADwAA&#10;AAAAAAAAAAAAAAAHAgAAZHJzL2Rvd25yZXYueG1sUEsFBgAAAAADAAMAtwAAAPcCAAAAAA==&#10;" filled="f" stroked="f">
                  <v:textbox style="mso-fit-shape-to-text:t" inset="0,0,0,0">
                    <w:txbxContent>
                      <w:p w14:paraId="05D647DC" w14:textId="77777777" w:rsidR="001D4369" w:rsidRDefault="001D4369" w:rsidP="001D4369">
                        <w:r>
                          <w:rPr>
                            <w:rFonts w:ascii="Arial" w:hAnsi="Arial" w:cs="Arial"/>
                            <w:b/>
                            <w:bCs/>
                            <w:color w:val="000000"/>
                            <w:sz w:val="14"/>
                            <w:szCs w:val="14"/>
                          </w:rPr>
                          <w:t>mins</w:t>
                        </w:r>
                      </w:p>
                    </w:txbxContent>
                  </v:textbox>
                </v:rect>
                <v:rect id="Rectangle 156" o:spid="_x0000_s1065" style="position:absolute;left:25457;top:31140;width:1146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pvMxQAAAOMAAAAPAAAAZHJzL2Rvd25yZXYueG1sRE/NagIx&#10;EL4LfYcwhd40qSuybI1SCoKVXlz7AMNm9ocmkyVJ3e3bm0Khx/n+Z3eYnRU3CnHwrOF5pUAQN94M&#10;3Gn4vB6XJYiYkA1az6ThhyIc9g+LHVbGT3yhW506kUM4VqihT2mspIxNTw7jyo/EmWt9cJjyGTpp&#10;Ak453Fm5VmorHQ6cG3oc6a2n5qv+dhrktT5OZW2D8ud1+2HfT5eWvNZPj/PrC4hEc/oX/7lPJs9X&#10;m2JTlkWxhd+fMgByfwcAAP//AwBQSwECLQAUAAYACAAAACEA2+H2y+4AAACFAQAAEwAAAAAAAAAA&#10;AAAAAAAAAAAAW0NvbnRlbnRfVHlwZXNdLnhtbFBLAQItABQABgAIAAAAIQBa9CxbvwAAABUBAAAL&#10;AAAAAAAAAAAAAAAAAB8BAABfcmVscy8ucmVsc1BLAQItABQABgAIAAAAIQDLbpvMxQAAAOMAAAAP&#10;AAAAAAAAAAAAAAAAAAcCAABkcnMvZG93bnJldi54bWxQSwUGAAAAAAMAAwC3AAAA+QIAAAAA&#10;" filled="f" stroked="f">
                  <v:textbox style="mso-fit-shape-to-text:t" inset="0,0,0,0">
                    <w:txbxContent>
                      <w:p w14:paraId="01650840" w14:textId="77777777" w:rsidR="001D4369" w:rsidRDefault="001D4369" w:rsidP="001D4369">
                        <w:r>
                          <w:rPr>
                            <w:rFonts w:ascii="Arial" w:hAnsi="Arial" w:cs="Arial"/>
                            <w:b/>
                            <w:bCs/>
                            <w:color w:val="000000"/>
                            <w:sz w:val="14"/>
                            <w:szCs w:val="14"/>
                          </w:rPr>
                          <w:t>Communicate Instructions,</w:t>
                        </w:r>
                      </w:p>
                    </w:txbxContent>
                  </v:textbox>
                </v:rect>
                <v:rect id="Rectangle 157" o:spid="_x0000_s1066" style="position:absolute;left:27235;top:32251;width:70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QGryQAAAOIAAAAPAAAAZHJzL2Rvd25yZXYueG1sRI/NasMw&#10;EITvhb6D2EBujewkboMbJZRCIC29xOkDLNb6h0grI6mx8/ZRodDjMDPfMNv9ZI24kg+9YwX5IgNB&#10;XDvdc6vg+3x42oAIEVmjcUwKbhRgv3t82GKp3cgnulaxFQnCoUQFXYxDKWWoO7IYFm4gTl7jvMWY&#10;pG+l9jgmuDVymWXP0mLPaaHDgd47qi/Vj1Ugz9Vh3FTGZ+5z2XyZj+OpIafUfDa9vYKINMX/8F/7&#10;qBW8FMUqz4v1Gn4vpTsgd3cAAAD//wMAUEsBAi0AFAAGAAgAAAAhANvh9svuAAAAhQEAABMAAAAA&#10;AAAAAAAAAAAAAAAAAFtDb250ZW50X1R5cGVzXS54bWxQSwECLQAUAAYACAAAACEAWvQsW78AAAAV&#10;AQAACwAAAAAAAAAAAAAAAAAfAQAAX3JlbHMvLnJlbHNQSwECLQAUAAYACAAAACEA2hUBq8kAAADi&#10;AAAADwAAAAAAAAAAAAAAAAAHAgAAZHJzL2Rvd25yZXYueG1sUEsFBgAAAAADAAMAtwAAAP0CAAAA&#10;AA==&#10;" filled="f" stroked="f">
                  <v:textbox style="mso-fit-shape-to-text:t" inset="0,0,0,0">
                    <w:txbxContent>
                      <w:p w14:paraId="67C6A342" w14:textId="77777777" w:rsidR="001D4369" w:rsidRDefault="001D4369" w:rsidP="001D4369">
                        <w:r>
                          <w:rPr>
                            <w:rFonts w:ascii="Arial" w:hAnsi="Arial" w:cs="Arial"/>
                            <w:b/>
                            <w:bCs/>
                            <w:color w:val="000000"/>
                            <w:sz w:val="14"/>
                            <w:szCs w:val="14"/>
                          </w:rPr>
                          <w:t>Awards &amp; Prices</w:t>
                        </w:r>
                      </w:p>
                    </w:txbxContent>
                  </v:textbox>
                </v:rect>
                <v:group id="Group 158" o:spid="_x0000_s1067" style="position:absolute;left:3213;top:29298;width:9645;height:4814" coordorigin="2387,6644" coordsize="1519,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H6UzAAAAOMAAAAPAAAAZHJzL2Rvd25yZXYueG1sRI9BS8NA&#10;EIXvgv9hGcGb3Y1tRGK3pRQVD0WwFUpvQ3aahGZnQ3ZN0n/vHASPM+/Ne98s15Nv1UB9bAJbyGYG&#10;FHEZXMOVhe/D28MzqJiQHbaBycKVIqxXtzdLLFwY+YuGfaqUhHAs0EKdUldoHcuaPMZZ6IhFO4fe&#10;Y5Kxr7TrcZRw3+pHY560x4alocaOtjWVl/2Pt/A+4riZZ6/D7nLeXk+H/PO4y8ja+7tp8wIq0ZT+&#10;zX/XH07wjcnmizxfCLT8JAvQq18AAAD//wMAUEsBAi0AFAAGAAgAAAAhANvh9svuAAAAhQEAABMA&#10;AAAAAAAAAAAAAAAAAAAAAFtDb250ZW50X1R5cGVzXS54bWxQSwECLQAUAAYACAAAACEAWvQsW78A&#10;AAAVAQAACwAAAAAAAAAAAAAAAAAfAQAAX3JlbHMvLnJlbHNQSwECLQAUAAYACAAAACEAS+B+lMwA&#10;AADjAAAADwAAAAAAAAAAAAAAAAAHAgAAZHJzL2Rvd25yZXYueG1sUEsFBgAAAAADAAMAtwAAAAAD&#10;AAAAAA==&#10;">
                  <v:rect id="Rectangle 159" o:spid="_x0000_s1068" style="position:absolute;left:2387;top:6644;width:1519;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sYJyQAAAOIAAAAPAAAAZHJzL2Rvd25yZXYueG1sRI9fawIx&#10;EMTfC/0OYQt9q4lesXoaRQr981bU0uflsr07vWyOZNXrt28KBR+HmfkNs1wPvlNniqkNbGE8MqCI&#10;q+Bari187l8eZqCSIDvsApOFH0qwXt3eLLF04cJbOu+kVhnCqUQLjUhfap2qhjymUeiJs/cdokfJ&#10;MtbaRbxkuO/0xJip9thyXmiwp+eGquPu5C3o/TTKsXgsDltJk40/vb59VF/W3t8NmwUooUGu4f/2&#10;u7NQjGfGPM3NHP4u5TugV78AAAD//wMAUEsBAi0AFAAGAAgAAAAhANvh9svuAAAAhQEAABMAAAAA&#10;AAAAAAAAAAAAAAAAAFtDb250ZW50X1R5cGVzXS54bWxQSwECLQAUAAYACAAAACEAWvQsW78AAAAV&#10;AQAACwAAAAAAAAAAAAAAAAAfAQAAX3JlbHMvLnJlbHNQSwECLQAUAAYACAAAACEAoLLGCckAAADi&#10;AAAADwAAAAAAAAAAAAAAAAAHAgAAZHJzL2Rvd25yZXYueG1sUEsFBgAAAAADAAMAtwAAAP0CAAAA&#10;AA==&#10;" fillcolor="silver" stroked="f"/>
                  <v:rect id="Rectangle 160" o:spid="_x0000_s1069" style="position:absolute;left:2387;top:6644;width:1519;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ebfywAAAOMAAAAPAAAAZHJzL2Rvd25yZXYueG1sRI9RS8Mw&#10;FIXfhf2HcAe+yJauk9p1y4YKighjuOn7pblrypqbksSt+uuNIPh4OOd8h7PaDLYTZ/KhdaxgNs1A&#10;ENdOt9woeD88TUoQISJr7ByTgi8KsFmPrlZYaXfhNzrvYyMShEOFCkyMfSVlqA1ZDFPXEyfv6LzF&#10;mKRvpPZ4SXDbyTzLCmmx5bRgsKdHQ/Vp/2kV2N28fih9afT3R7whs3jG122u1PV4uF+CiDTE//Bf&#10;+0UryLNicZvP74oCfj+lPyDXPwAAAP//AwBQSwECLQAUAAYACAAAACEA2+H2y+4AAACFAQAAEwAA&#10;AAAAAAAAAAAAAAAAAAAAW0NvbnRlbnRfVHlwZXNdLnhtbFBLAQItABQABgAIAAAAIQBa9CxbvwAA&#10;ABUBAAALAAAAAAAAAAAAAAAAAB8BAABfcmVscy8ucmVsc1BLAQItABQABgAIAAAAIQA2EebfywAA&#10;AOMAAAAPAAAAAAAAAAAAAAAAAAcCAABkcnMvZG93bnJldi54bWxQSwUGAAAAAAMAAwC3AAAA/wIA&#10;AAAA&#10;" filled="f" strokeweight="22e-5mm">
                    <v:stroke endcap="round"/>
                  </v:rect>
                </v:group>
                <v:rect id="Rectangle 161" o:spid="_x0000_s1070" style="position:absolute;left:4420;top:29895;width:687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7NxgAAAOMAAAAPAAAAZHJzL2Rvd25yZXYueG1sRE/NSgMx&#10;EL4LvkMYwZtNrOy2bpsWEQpVvHTrAwyb2R+aTJYkdte3N4Lgcb7/2e5nZ8WVQhw8a3hcKBDEjTcD&#10;dxo+z4eHNYiYkA1az6ThmyLsd7c3W6yMn/hE1zp1IodwrFBDn9JYSRmbnhzGhR+JM9f64DDlM3TS&#10;BJxyuLNyqVQpHQ6cG3oc6bWn5lJ/OQ3yXB+mdW2D8u/L9sO+HU8tea3v7+aXDYhEc/oX/7mPJs8v&#10;1Kp4Lp7KEn5/ygDI3Q8AAAD//wMAUEsBAi0AFAAGAAgAAAAhANvh9svuAAAAhQEAABMAAAAAAAAA&#10;AAAAAAAAAAAAAFtDb250ZW50X1R5cGVzXS54bWxQSwECLQAUAAYACAAAACEAWvQsW78AAAAVAQAA&#10;CwAAAAAAAAAAAAAAAAAfAQAAX3JlbHMvLnJlbHNQSwECLQAUAAYACAAAACEA/f8+zcYAAADjAAAA&#10;DwAAAAAAAAAAAAAAAAAHAgAAZHJzL2Rvd25yZXYueG1sUEsFBgAAAAADAAMAtwAAAPoCAAAAAA==&#10;" filled="f" stroked="f">
                  <v:textbox style="mso-fit-shape-to-text:t" inset="0,0,0,0">
                    <w:txbxContent>
                      <w:p w14:paraId="163D58DA" w14:textId="77777777" w:rsidR="001D4369" w:rsidRDefault="001D4369" w:rsidP="001D4369">
                        <w:r>
                          <w:rPr>
                            <w:rFonts w:ascii="Arial" w:hAnsi="Arial" w:cs="Arial"/>
                            <w:b/>
                            <w:bCs/>
                            <w:color w:val="000000"/>
                            <w:sz w:val="14"/>
                            <w:szCs w:val="14"/>
                          </w:rPr>
                          <w:t>ERCOT Activity:</w:t>
                        </w:r>
                      </w:p>
                    </w:txbxContent>
                  </v:textbox>
                </v:rect>
                <v:rect id="Rectangle 162" o:spid="_x0000_s1071" style="position:absolute;left:4419;top:30867;width:72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0SqzAAAAOIAAAAPAAAAZHJzL2Rvd25yZXYueG1sRI9BTwIx&#10;FITvJv6H5pl4k+5WRFgpBExMvJgIcoDbY/vc3bB9XdoKq7/emphwnMzMN5npvLetOJEPjWMN+SAD&#10;QVw603ClYfPxcjcGESKywdYxafimAPPZ9dUUC+POvKLTOlYiQTgUqKGOsSukDGVNFsPAdcTJ+3Te&#10;YkzSV9J4PCe4baXKspG02HBaqLGj55rKw/rLalhOxsvj+5Dfflb7He22+8OD8pnWtzf94glEpD5e&#10;wv/tV6PhMc/VvZqoIfxdSndAzn4BAAD//wMAUEsBAi0AFAAGAAgAAAAhANvh9svuAAAAhQEAABMA&#10;AAAAAAAAAAAAAAAAAAAAAFtDb250ZW50X1R5cGVzXS54bWxQSwECLQAUAAYACAAAACEAWvQsW78A&#10;AAAVAQAACwAAAAAAAAAAAAAAAAAfAQAAX3JlbHMvLnJlbHNQSwECLQAUAAYACAAAACEAeqtEqswA&#10;AADiAAAADwAAAAAAAAAAAAAAAAAHAgAAZHJzL2Rvd25yZXYueG1sUEsFBgAAAAADAAMAtwAAAAAD&#10;AAAAAA==&#10;" fillcolor="black" stroked="f"/>
                <v:rect id="Rectangle 163" o:spid="_x0000_s1072" style="position:absolute;left:3785;top:31019;width:785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yyAAAAOIAAAAPAAAAZHJzL2Rvd25yZXYueG1sRI/dagIx&#10;FITvC32HcAre1ayCP7sapRQEW3rj6gMcNmd/MDlZkuiub28KhV4OM/MNs92P1og7+dA5VjCbZiCI&#10;K6c7bhRczof3NYgQkTUax6TgQQH2u9eXLRbaDXyiexkbkSAcClTQxtgXUoaqJYth6nri5NXOW4xJ&#10;+kZqj0OCWyPnWbaUFjtOCy329NlSdS1vVoE8l4dhXRqfue95/WO+jqeanFKTt/FjAyLSGP/Df+2j&#10;VrBY5ctZni9W8Hsp3QG5ewIAAP//AwBQSwECLQAUAAYACAAAACEA2+H2y+4AAACFAQAAEwAAAAAA&#10;AAAAAAAAAAAAAAAAW0NvbnRlbnRfVHlwZXNdLnhtbFBLAQItABQABgAIAAAAIQBa9CxbvwAAABUB&#10;AAALAAAAAAAAAAAAAAAAAB8BAABfcmVscy8ucmVsc1BLAQItABQABgAIAAAAIQD+pliyyAAAAOIA&#10;AAAPAAAAAAAAAAAAAAAAAAcCAABkcnMvZG93bnJldi54bWxQSwUGAAAAAAMAAwC3AAAA/AIAAAAA&#10;" filled="f" stroked="f">
                  <v:textbox style="mso-fit-shape-to-text:t" inset="0,0,0,0">
                    <w:txbxContent>
                      <w:p w14:paraId="1E4A9B13" w14:textId="77777777" w:rsidR="001D4369" w:rsidRDefault="001D4369" w:rsidP="001D4369">
                        <w:r>
                          <w:rPr>
                            <w:rFonts w:ascii="Arial" w:hAnsi="Arial" w:cs="Arial"/>
                            <w:b/>
                            <w:bCs/>
                            <w:color w:val="000000"/>
                            <w:sz w:val="14"/>
                            <w:szCs w:val="14"/>
                          </w:rPr>
                          <w:t xml:space="preserve">Snapshot Inputs &amp; </w:t>
                        </w:r>
                      </w:p>
                    </w:txbxContent>
                  </v:textbox>
                </v:rect>
                <v:rect id="Rectangle 164" o:spid="_x0000_s1073" style="position:absolute;left:4756;top:32143;width:622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rlyAAAAOMAAAAPAAAAZHJzL2Rvd25yZXYueG1sRI/NasMw&#10;EITvhb6D2EJvjeyAg+NGMaUQSEsvcfIAi7X+odLKSGrsvn0VCPQ4zMw3zK5erBFX8mF0rCBfZSCI&#10;W6dH7hVczoeXEkSIyBqNY1LwSwHq/ePDDivtZj7RtYm9SBAOFSoYYpwqKUM7kMWwchNx8jrnLcYk&#10;fS+1xznBrZHrLNtIiyOnhQEneh+o/W5+rAJ5bg5z2Rifuc9192U+jqeOnFLPT8vbK4hIS/wP39tH&#10;rSARi3xTlMUWbp/SH5D7PwAAAP//AwBQSwECLQAUAAYACAAAACEA2+H2y+4AAACFAQAAEwAAAAAA&#10;AAAAAAAAAAAAAAAAW0NvbnRlbnRfVHlwZXNdLnhtbFBLAQItABQABgAIAAAAIQBa9CxbvwAAABUB&#10;AAALAAAAAAAAAAAAAAAAAB8BAABfcmVscy8ucmVsc1BLAQItABQABgAIAAAAIQAlTvrlyAAAAOMA&#10;AAAPAAAAAAAAAAAAAAAAAAcCAABkcnMvZG93bnJldi54bWxQSwUGAAAAAAMAAwC3AAAA/AIAAAAA&#10;" filled="f" stroked="f">
                  <v:textbox style="mso-fit-shape-to-text:t" inset="0,0,0,0">
                    <w:txbxContent>
                      <w:p w14:paraId="40F36541" w14:textId="77777777" w:rsidR="001D4369" w:rsidRDefault="001D4369" w:rsidP="001D4369">
                        <w:r>
                          <w:rPr>
                            <w:rFonts w:ascii="Arial" w:hAnsi="Arial" w:cs="Arial"/>
                            <w:b/>
                            <w:bCs/>
                            <w:color w:val="000000"/>
                            <w:sz w:val="14"/>
                            <w:szCs w:val="14"/>
                          </w:rPr>
                          <w:t>Execute HRUC</w:t>
                        </w:r>
                      </w:p>
                    </w:txbxContent>
                  </v:textbox>
                </v:rect>
                <v:shape id="Freeform 165" o:spid="_x0000_s1074" style="position:absolute;left:9042;top:10433;width:400;height:1606;visibility:visible;mso-wrap-style:square;v-text-anchor:top" coordsize="6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pr3zAAAAOIAAAAPAAAAZHJzL2Rvd25yZXYueG1sRI9RS8Mw&#10;FIXfBf9DuIJvLrG62nXLhgwEcaA4RdzbXXNti81NTbKt+uuNMPDxcM75Dme2GGwn9uRD61jD5UiB&#10;IK6cabnW8Ppyd1GACBHZYOeYNHxTgMX89GSGpXEHfqb9OtYiQTiUqKGJsS+lDFVDFsPI9cTJ+3De&#10;YkzS19J4PCS47WSmVC4ttpwWGuxp2VD1ud5ZDY/t9mdVeNU9ve8eiuxtOfZfxUbr87Phdgoi0hD/&#10;w8f2vdGQX1+Nb1SeTeDvUroDcv4LAAD//wMAUEsBAi0AFAAGAAgAAAAhANvh9svuAAAAhQEAABMA&#10;AAAAAAAAAAAAAAAAAAAAAFtDb250ZW50X1R5cGVzXS54bWxQSwECLQAUAAYACAAAACEAWvQsW78A&#10;AAAVAQAACwAAAAAAAAAAAAAAAAAfAQAAX3JlbHMvLnJlbHNQSwECLQAUAAYACAAAACEAuBKa98wA&#10;AADiAAAADwAAAAAAAAAAAAAAAAAHAgAAZHJzL2Rvd25yZXYueG1sUEsFBgAAAAADAAMAtwAAAAAD&#10;AAAAAA==&#10;" path="m39,r,200l23,200,23,,39,xm63,189l31,253,,189r63,xe" fillcolor="black" strokeweight="3e-5mm">
                  <v:stroke joinstyle="bevel"/>
                  <v:path arrowok="t" o:connecttype="custom" o:connectlocs="2147483646,0;2147483646,2147483646;2147483646,2147483646;2147483646,0;2147483646,0;2147483646,2147483646;2147483646,2147483646;0,2147483646;2147483646,2147483646" o:connectangles="0,0,0,0,0,0,0,0,0"/>
                  <o:lock v:ext="edit" verticies="t"/>
                </v:shape>
                <v:shape id="Freeform 166" o:spid="_x0000_s1075" style="position:absolute;left:31546;top:9626;width:400;height:2413;visibility:visible;mso-wrap-style:square;v-text-anchor:top" coordsize="6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VK1xgAAAOMAAAAPAAAAZHJzL2Rvd25yZXYueG1sRE9fS8Mw&#10;EH8X/A7hBF/EpaZljrpsiEzmo27CXo/k1tQ1l9LErn57Iwh7vN//W64n34mRhtgG1vAwK0AQm2Bb&#10;bjR87l/vFyBiQrbYBSYNPxRhvbq+WmJtw5k/aNylRuQQjjVqcCn1tZTROPIYZ6EnztwxDB5TPodG&#10;2gHPOdx3UhXFXHpsOTc47OnFkTntvr2G/dFs3g2Np0315VXp7g52W261vr2Znp9AJJrSRfzvfrN5&#10;flEp9ViVcwV/P2UA5OoXAAD//wMAUEsBAi0AFAAGAAgAAAAhANvh9svuAAAAhQEAABMAAAAAAAAA&#10;AAAAAAAAAAAAAFtDb250ZW50X1R5cGVzXS54bWxQSwECLQAUAAYACAAAACEAWvQsW78AAAAVAQAA&#10;CwAAAAAAAAAAAAAAAAAfAQAAX3JlbHMvLnJlbHNQSwECLQAUAAYACAAAACEALglStcYAAADjAAAA&#10;DwAAAAAAAAAAAAAAAAAHAgAAZHJzL2Rvd25yZXYueG1sUEsFBgAAAAADAAMAtwAAAPoCAAAAAA==&#10;" path="m40,r,327l24,327,24,,40,xm63,316l32,380,,316r63,xe" fillcolor="black" strokeweight="3e-5mm">
                  <v:stroke joinstyle="bevel"/>
                  <v:path arrowok="t" o:connecttype="custom" o:connectlocs="2147483646,0;2147483646,2147483646;2147483646,2147483646;2147483646,0;2147483646,0;2147483646,2147483646;2147483646,2147483646;0,2147483646;2147483646,2147483646" o:connectangles="0,0,0,0,0,0,0,0,0"/>
                  <o:lock v:ext="edit" verticies="t"/>
                </v:shape>
                <v:shape id="Freeform 167" o:spid="_x0000_s1076" style="position:absolute;left:7835;top:28092;width:400;height:1206;visibility:visible;mso-wrap-style:square;v-text-anchor:top" coordsize="6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eYWyQAAAOIAAAAPAAAAZHJzL2Rvd25yZXYueG1sRI/NTgIx&#10;FIX3Jr5Dc0ncSQtG0gwUQkxEzLBAdOHyZnqZjk5vx2mF4e3pwsTlyfnLt1gNvhUn6mMT2MBkrEAQ&#10;V8E2XBv4eH++1yBiQrbYBiYDF4qwWt7eLLCw4cxvdDqkWuQRjgUacCl1hZSxcuQxjkNHnL1j6D2m&#10;LPta2h7Pedy3cqrUTHpsOD847OjJUfV9+PUGXmavu/Jzv9X0U24e281l+CqtM+ZuNKznIBIN6T/8&#10;195aA9OJ1kqrhwyRkTIOyOUVAAD//wMAUEsBAi0AFAAGAAgAAAAhANvh9svuAAAAhQEAABMAAAAA&#10;AAAAAAAAAAAAAAAAAFtDb250ZW50X1R5cGVzXS54bWxQSwECLQAUAAYACAAAACEAWvQsW78AAAAV&#10;AQAACwAAAAAAAAAAAAAAAAAfAQAAX3JlbHMvLnJlbHNQSwECLQAUAAYACAAAACEAoyHmFskAAADi&#10;AAAADwAAAAAAAAAAAAAAAAAHAgAAZHJzL2Rvd25yZXYueG1sUEsFBgAAAAADAAMAtwAAAP0CAAAA&#10;AA==&#10;" path="m23,190l23,53r16,l39,190r-16,xm,63l31,,63,63,,63xe" fillcolor="black" strokeweight="3e-5mm">
                  <v:stroke joinstyle="bevel"/>
                  <v:path arrowok="t" o:connecttype="custom" o:connectlocs="2147483646,2147483646;2147483646,2147483646;2147483646,2147483646;2147483646,2147483646;2147483646,2147483646;0,2147483646;2147483646,0;2147483646,2147483646;0,2147483646" o:connectangles="0,0,0,0,0,0,0,0,0"/>
                  <o:lock v:ext="edit" verticies="t"/>
                </v:shape>
                <v:shape id="Freeform 168" o:spid="_x0000_s1077" style="position:absolute;left:31146;top:25285;width:400;height:2007;visibility:visible;mso-wrap-style:square;v-text-anchor:top" coordsize="6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y6dyAAAAOMAAAAPAAAAZHJzL2Rvd25yZXYueG1sRE87T8Mw&#10;EN6R+A/WIbFUrRPKo4S6FaJFZYSUhe0UH3GEfY5sNwn/HiMhMd73vvV2clYMFGLnWUG5KEAQN153&#10;3Cp4Pz7PVyBiQtZoPZOCb4qw3ZyfrbHSfuQ3GurUihzCsUIFJqW+kjI2hhzGhe+JM/fpg8OUz9BK&#10;HXDM4c7Kq6K4lQ47zg0Ge3oy1HzVJ6dgFszyNHy8Hqw9zHa7fejcuK+VuryYHh9AJJrSv/jP/aLz&#10;/HJ1Xd7f3ZRL+P0pAyA3PwAAAP//AwBQSwECLQAUAAYACAAAACEA2+H2y+4AAACFAQAAEwAAAAAA&#10;AAAAAAAAAAAAAAAAW0NvbnRlbnRfVHlwZXNdLnhtbFBLAQItABQABgAIAAAAIQBa9CxbvwAAABUB&#10;AAALAAAAAAAAAAAAAAAAAB8BAABfcmVscy8ucmVsc1BLAQItABQABgAIAAAAIQAD4y6dyAAAAOMA&#10;AAAPAAAAAAAAAAAAAAAAAAcCAABkcnMvZG93bnJldi54bWxQSwUGAAAAAAMAAwC3AAAA/AIAAAAA&#10;" path="m24,316l24,52r15,l39,316r-15,xm,63l31,,63,63,,63xe" fillcolor="black" strokeweight="3e-5mm">
                  <v:stroke joinstyle="bevel"/>
                  <v:path arrowok="t" o:connecttype="custom" o:connectlocs="2147483646,2147483646;2147483646,2147483646;2147483646,2147483646;2147483646,2147483646;2147483646,2147483646;0,2147483646;2147483646,0;2147483646,2147483646;0,2147483646" o:connectangles="0,0,0,0,0,0,0,0,0"/>
                  <o:lock v:ext="edit" verticies="t"/>
                </v:shape>
                <v:group id="Group 169" o:spid="_x0000_s1078" style="position:absolute;left:9239;top:16452;width:29343;height:1607" coordorigin="3336,4621" coordsize="462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GeywAAAOIAAAAPAAAAZHJzL2Rvd25yZXYueG1sRI9Ba8JA&#10;FITvBf/D8gq91c2aNkrqKiJt6UEEtVC8PbLPJJh9G7LbJP77bqHQ4zAz3zDL9Wgb0VPna8ca1DQB&#10;QVw4U3Op4fP09rgA4QOywcYxabiRh/VqcrfE3LiBD9QfQykihH2OGqoQ2lxKX1Rk0U9dSxy9i+ss&#10;hii7UpoOhwi3jZwlSSYt1hwXKmxpW1FxPX5bDe8DDptUvfa762V7O5+e9187RVo/3I+bFxCBxvAf&#10;/mt/GA1Z+qTSuUoz+L0U74Bc/QAAAP//AwBQSwECLQAUAAYACAAAACEA2+H2y+4AAACFAQAAEwAA&#10;AAAAAAAAAAAAAAAAAAAAW0NvbnRlbnRfVHlwZXNdLnhtbFBLAQItABQABgAIAAAAIQBa9CxbvwAA&#10;ABUBAAALAAAAAAAAAAAAAAAAAB8BAABfcmVscy8ucmVsc1BLAQItABQABgAIAAAAIQCGD8GeywAA&#10;AOIAAAAPAAAAAAAAAAAAAAAAAAcCAABkcnMvZG93bnJldi54bWxQSwUGAAAAAAMAAwC3AAAA/wIA&#10;AAAA&#10;">
                  <v:shape id="Freeform 170" o:spid="_x0000_s1079" style="position:absolute;left:3336;top:4621;width:4621;height:253;visibility:visible;mso-wrap-style:square;v-text-anchor:top" coordsize="1460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tXDywAAAOMAAAAPAAAAZHJzL2Rvd25yZXYueG1sRE9LS8NA&#10;EL4L/odlBC/FbmJTU2K3pRSlFrzYitbbkJ0modnZkN08/PeuIHic7z3L9Whq0VPrKssK4mkEgji3&#10;uuJCwfvx+W4BwnlkjbVlUvBNDtar66slZtoO/Eb9wRcihLDLUEHpfZNJ6fKSDLqpbYgDd7atQR/O&#10;tpC6xSGEm1reR9GDNFhxaCixoW1J+eXQGQWvk9PxvP8cokv/lEy6j3i3675mSt3ejJtHEJ5G/y/+&#10;c7/oMD+dJ+ksTpM5/P4UAJCrHwAAAP//AwBQSwECLQAUAAYACAAAACEA2+H2y+4AAACFAQAAEwAA&#10;AAAAAAAAAAAAAAAAAAAAW0NvbnRlbnRfVHlwZXNdLnhtbFBLAQItABQABgAIAAAAIQBa9CxbvwAA&#10;ABUBAAALAAAAAAAAAAAAAAAAAB8BAABfcmVscy8ucmVsc1BLAQItABQABgAIAAAAIQBHZtXDywAA&#10;AOMAAAAPAAAAAAAAAAAAAAAAAAcCAABkcnMvZG93bnJldi54bWxQSwUGAAAAAAMAAwC3AAAA/wIA&#10;AAAA&#10;" path="m134,c60,,,60,,134l,667v,74,60,133,134,133l14467,800v74,,133,-59,133,-133l14600,134c14600,60,14541,,14467,l134,xe" fillcolor="silver" strokeweight="0">
                    <v:path arrowok="t" o:connecttype="custom" o:connectlocs="4,0;0,4;0,21;4,25;459,25;463,21;463,4;459,0;4,0" o:connectangles="0,0,0,0,0,0,0,0,0"/>
                  </v:shape>
                  <v:shape id="Freeform 171" o:spid="_x0000_s1080" style="position:absolute;left:3336;top:4621;width:4621;height:253;visibility:visible;mso-wrap-style:square;v-text-anchor:top" coordsize="1460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vjEyQAAAOMAAAAPAAAAZHJzL2Rvd25yZXYueG1sRE9PT8Iw&#10;FL+b8B2aR+JNOjAbMiiEkGi8mGjxILeX9blN1tfZFph+emti4vH9/r/VZrCdOJMPrWMF00kGgrhy&#10;puVawev+/uYORIjIBjvHpOCLAmzWo6sVlsZd+IXOOtYihXAoUUETY19KGaqGLIaJ64kT9+68xZhO&#10;X0vj8ZLCbSdnWVZIiy2nhgZ72jVUHfXJKvievmn/9Kn3lX6WcXeazw4fhwelrsfDdgki0hD/xX/u&#10;R5PmF9k8z2/zRQG/PyUA5PoHAAD//wMAUEsBAi0AFAAGAAgAAAAhANvh9svuAAAAhQEAABMAAAAA&#10;AAAAAAAAAAAAAAAAAFtDb250ZW50X1R5cGVzXS54bWxQSwECLQAUAAYACAAAACEAWvQsW78AAAAV&#10;AQAACwAAAAAAAAAAAAAAAAAfAQAAX3JlbHMvLnJlbHNQSwECLQAUAAYACAAAACEAEt74xMkAAADj&#10;AAAADwAAAAAAAAAAAAAAAAAHAgAAZHJzL2Rvd25yZXYueG1sUEsFBgAAAAADAAMAtwAAAP0CAAAA&#10;AA==&#10;" path="m134,c60,,,60,,134l,667v,74,60,133,134,133l14467,800v74,,133,-59,133,-133l14600,134c14600,60,14541,,14467,l134,xe" filled="f" strokeweight="22e-5mm">
                    <v:stroke endcap="round"/>
                    <v:path arrowok="t" o:connecttype="custom" o:connectlocs="4,0;0,4;0,21;4,25;459,25;463,21;463,4;459,0;4,0" o:connectangles="0,0,0,0,0,0,0,0,0"/>
                  </v:shape>
                </v:group>
                <v:rect id="Rectangle 172" o:spid="_x0000_s1081" style="position:absolute;left:19025;top:16599;width:1030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L5xgAAAOMAAAAPAAAAZHJzL2Rvd25yZXYueG1sRE9LasMw&#10;EN0XegcxgewaOYbUjhsllEIgLd3EyQEGa/yh0shIauzcvioUupz3n91htkbcyIfBsYL1KgNB3Dg9&#10;cKfgejk+lSBCRNZoHJOCOwU47B8fdlhpN/GZbnXsRArhUKGCPsaxkjI0PVkMKzcSJ6513mJMp++k&#10;9jilcGtknmXP0uLAqaHHkd56ar7qb6tAXurjVNbGZ+4jbz/N++ncklNquZhfX0BEmuO/+M990mn+&#10;piy2ZVHkG/j9KQEg9z8AAAD//wMAUEsBAi0AFAAGAAgAAAAhANvh9svuAAAAhQEAABMAAAAAAAAA&#10;AAAAAAAAAAAAAFtDb250ZW50X1R5cGVzXS54bWxQSwECLQAUAAYACAAAACEAWvQsW78AAAAVAQAA&#10;CwAAAAAAAAAAAAAAAAAfAQAAX3JlbHMvLnJlbHNQSwECLQAUAAYACAAAACEAVJ3i+cYAAADjAAAA&#10;DwAAAAAAAAAAAAAAAAAHAgAAZHJzL2Rvd25yZXYueG1sUEsFBgAAAAADAAMAtwAAAPoCAAAAAA==&#10;" filled="f" stroked="f">
                  <v:textbox style="mso-fit-shape-to-text:t" inset="0,0,0,0">
                    <w:txbxContent>
                      <w:p w14:paraId="591A93CB" w14:textId="77777777" w:rsidR="001D4369" w:rsidRDefault="001D4369" w:rsidP="001D4369">
                        <w:r>
                          <w:rPr>
                            <w:rFonts w:ascii="Arial" w:hAnsi="Arial" w:cs="Arial"/>
                            <w:b/>
                            <w:bCs/>
                            <w:color w:val="000000"/>
                            <w:sz w:val="20"/>
                          </w:rPr>
                          <w:t>Operating Period</w:t>
                        </w:r>
                      </w:p>
                    </w:txbxContent>
                  </v:textbox>
                </v:rect>
                <v:group id="Group 173" o:spid="_x0000_s1082" style="position:absolute;left:25317;top:18459;width:13265;height:1607" coordorigin="5868,4937" coordsize="208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IiLyQAAAOMAAAAPAAAAZHJzL2Rvd25yZXYueG1sRE9La8JA&#10;EL4X+h+WKfTWbDZ9aFNXEWlLDyJUBfE2ZMckmJ0N2W0S/323IPQ433tmi9E2oqfO1441qCQFQVw4&#10;U3OpYb/7eJiC8AHZYOOYNFzIw2J+ezPD3LiBv6nfhlLEEPY5aqhCaHMpfVGRRZ+4ljhyJ9dZDPHs&#10;Smk6HGK4bWSWpi/SYs2xocKWVhUV5+2P1fA54LB8VO/9+nxaXY67581hrUjr+7tx+QYi0Bj+xVf3&#10;l4nzVaay1+nkScHfTxEAOf8FAAD//wMAUEsBAi0AFAAGAAgAAAAhANvh9svuAAAAhQEAABMAAAAA&#10;AAAAAAAAAAAAAAAAAFtDb250ZW50X1R5cGVzXS54bWxQSwECLQAUAAYACAAAACEAWvQsW78AAAAV&#10;AQAACwAAAAAAAAAAAAAAAAAfAQAAX3JlbHMvLnJlbHNQSwECLQAUAAYACAAAACEA1tiIi8kAAADj&#10;AAAADwAAAAAAAAAAAAAAAAAHAgAAZHJzL2Rvd25yZXYueG1sUEsFBgAAAAADAAMAtwAAAP0CAAAA&#10;AA==&#10;">
                  <v:shape id="Freeform 174" o:spid="_x0000_s1083" style="position:absolute;left:5868;top:4937;width:2089;height:253;visibility:visible;mso-wrap-style:square;v-text-anchor:top" coordsize="660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wzszAAAAOIAAAAPAAAAZHJzL2Rvd25yZXYueG1sRI9Ba8JA&#10;FITvhf6H5RV6qxtjlRhdRQRpqUhRW8/P7DMJZt+G7Nak/nq3UPA4zMw3zHTemUpcqHGlZQX9XgSC&#10;OLO65FzB1371koBwHlljZZkU/JKD+ezxYYqpti1v6bLzuQgQdikqKLyvUyldVpBB17M1cfBOtjHo&#10;g2xyqRtsA9xUMo6ikTRYclgosKZlQdl592MUDPabt2TTfp8/Dotlfby+ntar6FOp56duMQHhqfP3&#10;8H/7XStIRvFwPBjGY/i7FO6AnN0AAAD//wMAUEsBAi0AFAAGAAgAAAAhANvh9svuAAAAhQEAABMA&#10;AAAAAAAAAAAAAAAAAAAAAFtDb250ZW50X1R5cGVzXS54bWxQSwECLQAUAAYACAAAACEAWvQsW78A&#10;AAAVAQAACwAAAAAAAAAAAAAAAAAfAQAAX3JlbHMvLnJlbHNQSwECLQAUAAYACAAAACEA99sM7MwA&#10;AADiAAAADwAAAAAAAAAAAAAAAAAHAgAAZHJzL2Rvd25yZXYueG1sUEsFBgAAAAADAAMAtwAAAAAD&#10;AAAAAA==&#10;" path="m134,c60,,,60,,134l,667v,74,60,133,134,133l6467,800v74,,133,-59,133,-133l6600,134c6600,60,6541,,6467,l134,xe" fillcolor="silver" strokeweight="0">
                    <v:path arrowok="t" o:connecttype="custom" o:connectlocs="4,0;0,4;0,21;4,25;205,25;209,21;209,4;205,0;4,0" o:connectangles="0,0,0,0,0,0,0,0,0"/>
                  </v:shape>
                  <v:shape id="Freeform 175" o:spid="_x0000_s1084" style="position:absolute;left:5868;top:4937;width:2089;height:253;visibility:visible;mso-wrap-style:square;v-text-anchor:top" coordsize="660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6xRyAAAAOIAAAAPAAAAZHJzL2Rvd25yZXYueG1sRI/RSgMx&#10;FETfBf8hXME3m61iY9emZakI+iRd+wGXzXWzuLmJSdxu/94Igo/DzJxhNrvZjWKimAbPGpaLCgRx&#10;583AvYbj+/PNA4iUkQ2OnknDmRLstpcXG6yNP/GBpjb3okA41ajB5hxqKVNnyWFa+EBcvA8fHeYi&#10;Yy9NxFOBu1HeVtVKOhy4LFgMtLfUfbbfTkP8Cm/NapKknvZDG16Ps2vOVuvrq7l5BJFpzv/hv/aL&#10;0aCWSt2t79Uafi+VOyC3PwAAAP//AwBQSwECLQAUAAYACAAAACEA2+H2y+4AAACFAQAAEwAAAAAA&#10;AAAAAAAAAAAAAAAAW0NvbnRlbnRfVHlwZXNdLnhtbFBLAQItABQABgAIAAAAIQBa9CxbvwAAABUB&#10;AAALAAAAAAAAAAAAAAAAAB8BAABfcmVscy8ucmVsc1BLAQItABQABgAIAAAAIQDd16xRyAAAAOIA&#10;AAAPAAAAAAAAAAAAAAAAAAcCAABkcnMvZG93bnJldi54bWxQSwUGAAAAAAMAAwC3AAAA/AIAAAAA&#10;" path="m134,c60,,,60,,134l,667v,74,60,133,134,133l6467,800v74,,133,-59,133,-133l6600,134c6600,60,6541,,6467,l134,xe" filled="f" strokeweight="22e-5mm">
                    <v:stroke endcap="round"/>
                    <v:path arrowok="t" o:connecttype="custom" o:connectlocs="4,0;0,4;0,21;4,25;205,25;209,21;209,4;205,0;4,0" o:connectangles="0,0,0,0,0,0,0,0,0"/>
                  </v:shape>
                </v:group>
                <v:rect id="Rectangle 176" o:spid="_x0000_s1085" style="position:absolute;left:26899;top:18605;width:931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QtWxQAAAOMAAAAPAAAAZHJzL2Rvd25yZXYueG1sRE/NagIx&#10;EL4X+g5hCt5qotKyrkYpBcGWXlx9gGEz+4PJZEmiu337plDocb7/2e4nZ8WdQuw9a1jMFQji2pue&#10;Ww2X8+G5ABETskHrmTR8U4T97vFhi6XxI5/oXqVW5BCOJWroUhpKKWPdkcM49wNx5hofHKZ8hlaa&#10;gGMOd1YulXqVDnvODR0O9N5Rfa1uToM8V4exqGxQ/nPZfNmP46khr/XsaXrbgEg0pX/xn/to8nyl&#10;1qvFal28wO9PGQC5+wEAAP//AwBQSwECLQAUAAYACAAAACEA2+H2y+4AAACFAQAAEwAAAAAAAAAA&#10;AAAAAAAAAAAAW0NvbnRlbnRfVHlwZXNdLnhtbFBLAQItABQABgAIAAAAIQBa9CxbvwAAABUBAAAL&#10;AAAAAAAAAAAAAAAAAB8BAABfcmVscy8ucmVsc1BLAQItABQABgAIAAAAIQAFxQtWxQAAAOMAAAAP&#10;AAAAAAAAAAAAAAAAAAcCAABkcnMvZG93bnJldi54bWxQSwUGAAAAAAMAAwC3AAAA+QIAAAAA&#10;" filled="f" stroked="f">
                  <v:textbox style="mso-fit-shape-to-text:t" inset="0,0,0,0">
                    <w:txbxContent>
                      <w:p w14:paraId="2960B270" w14:textId="77777777" w:rsidR="001D4369" w:rsidRDefault="001D4369" w:rsidP="001D4369">
                        <w:r>
                          <w:rPr>
                            <w:rFonts w:ascii="Arial" w:hAnsi="Arial" w:cs="Arial"/>
                            <w:b/>
                            <w:bCs/>
                            <w:color w:val="000000"/>
                            <w:sz w:val="20"/>
                          </w:rPr>
                          <w:t>Operating Hour</w:t>
                        </w:r>
                      </w:p>
                    </w:txbxContent>
                  </v:textbox>
                </v:rect>
                <v:line id="Line 177" o:spid="_x0000_s1086" style="position:absolute;visibility:visible;mso-wrap-style:square" from="25317,20466" to="25317,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HtyAAAAOMAAAAPAAAAZHJzL2Rvd25yZXYueG1sRE/da8Iw&#10;EH8f+D+EE/YyNNVZidUoY18IYwx1ez+asy1rLiXJavffL4PBHu/3fZvdYFvRkw+NYw2zaQaCuHSm&#10;4UrD++lpokCEiGywdUwavinAbju62mBh3IUP1B9jJVIIhwI11DF2hZShrMlimLqOOHFn5y3GdPpK&#10;Go+XFG5bOc+ypbTYcGqosaP7msrP45fVcDCv/eND93yz/OhX/o3VwucvC62vx8PdGkSkIf6L/9x7&#10;k+bP1SpX+a2awe9PCQC5/QEAAP//AwBQSwECLQAUAAYACAAAACEA2+H2y+4AAACFAQAAEwAAAAAA&#10;AAAAAAAAAAAAAAAAW0NvbnRlbnRfVHlwZXNdLnhtbFBLAQItABQABgAIAAAAIQBa9CxbvwAAABUB&#10;AAALAAAAAAAAAAAAAAAAAB8BAABfcmVscy8ucmVsc1BLAQItABQABgAIAAAAIQAYoJHtyAAAAOMA&#10;AAAPAAAAAAAAAAAAAAAAAAcCAABkcnMvZG93bnJldi54bWxQSwUGAAAAAAMAAwC3AAAA/AIAAAAA&#10;" strokeweight="58e-5mm"/>
                <v:rect id="Rectangle 178" o:spid="_x0000_s1087" style="position:absolute;left:23698;top:23171;width:346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L6yAAAAOIAAAAPAAAAZHJzL2Rvd25yZXYueG1sRI/dSgMx&#10;FITvBd8hHME7m3Rlbbs2LSIUqnjTrQ9w2Jz9ocnJksTu+vZGELwcZuYbZrufnRVXCnHwrGG5UCCI&#10;G28G7jR8ng8PaxAxIRu0nknDN0XY725vtlgZP/GJrnXqRIZwrFBDn9JYSRmbnhzGhR+Js9f64DBl&#10;GTppAk4Z7qwslHqSDgfOCz2O9NpTc6m/nAZ5rg/TurZB+fei/bBvx1NLXuv7u/nlGUSiOf2H/9pH&#10;o6HcrMriUW1K+L2U74Dc/QAAAP//AwBQSwECLQAUAAYACAAAACEA2+H2y+4AAACFAQAAEwAAAAAA&#10;AAAAAAAAAAAAAAAAW0NvbnRlbnRfVHlwZXNdLnhtbFBLAQItABQABgAIAAAAIQBa9CxbvwAAABUB&#10;AAALAAAAAAAAAAAAAAAAAB8BAABfcmVscy8ucmVsc1BLAQItABQABgAIAAAAIQCl6IL6yAAAAOIA&#10;AAAPAAAAAAAAAAAAAAAAAAcCAABkcnMvZG93bnJldi54bWxQSwUGAAAAAAMAAwC3AAAA/AIAAAAA&#10;" filled="f" stroked="f">
                  <v:textbox style="mso-fit-shape-to-text:t" inset="0,0,0,0">
                    <w:txbxContent>
                      <w:p w14:paraId="08F62C57" w14:textId="77777777" w:rsidR="001D4369" w:rsidRDefault="001D4369" w:rsidP="001D4369">
                        <w:r>
                          <w:rPr>
                            <w:rFonts w:ascii="Arial" w:hAnsi="Arial" w:cs="Arial"/>
                            <w:b/>
                            <w:bCs/>
                            <w:color w:val="000000"/>
                            <w:sz w:val="20"/>
                          </w:rPr>
                          <w:t>Clock</w:t>
                        </w:r>
                      </w:p>
                    </w:txbxContent>
                  </v:textbox>
                </v:rect>
                <v:rect id="Rectangle 179" o:spid="_x0000_s1088" style="position:absolute;left:23933;top:24625;width:296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FExQAAAOIAAAAPAAAAZHJzL2Rvd25yZXYueG1sRE/dasIw&#10;FL4f7B3CEXY3UzuYtRplCIKO3Vh9gENz+oPJSUmi7d5+uRB2+fH9b3aTNeJBPvSOFSzmGQji2ume&#10;WwXXy+G9ABEiskbjmBT8UoDd9vVlg6V2I5/pUcVWpBAOJSroYhxKKUPdkcUwdwNx4hrnLcYEfSu1&#10;xzGFWyPzLPuUFntODR0OtO+ovlV3q0BeqsNYVMZn7jtvfszpeG7IKfU2m77WICJN8V/8dB+1guVi&#10;ufoo8jxtTpfSHZDbPwAAAP//AwBQSwECLQAUAAYACAAAACEA2+H2y+4AAACFAQAAEwAAAAAAAAAA&#10;AAAAAAAAAAAAW0NvbnRlbnRfVHlwZXNdLnhtbFBLAQItABQABgAIAAAAIQBa9CxbvwAAABUBAAAL&#10;AAAAAAAAAAAAAAAAAB8BAABfcmVscy8ucmVsc1BLAQItABQABgAIAAAAIQBypmFExQAAAOIAAAAP&#10;AAAAAAAAAAAAAAAAAAcCAABkcnMvZG93bnJldi54bWxQSwUGAAAAAAMAAwC3AAAA+QIAAAAA&#10;" filled="f" stroked="f">
                  <v:textbox style="mso-fit-shape-to-text:t" inset="0,0,0,0">
                    <w:txbxContent>
                      <w:p w14:paraId="613C2C4D" w14:textId="77777777" w:rsidR="001D4369" w:rsidRDefault="001D4369" w:rsidP="001D4369">
                        <w:r>
                          <w:rPr>
                            <w:rFonts w:ascii="Arial" w:hAnsi="Arial" w:cs="Arial"/>
                            <w:b/>
                            <w:bCs/>
                            <w:color w:val="000000"/>
                            <w:sz w:val="20"/>
                          </w:rPr>
                          <w:t>Hour</w:t>
                        </w:r>
                      </w:p>
                    </w:txbxContent>
                  </v:textbox>
                </v:rect>
                <v:shape id="Freeform 180" o:spid="_x0000_s1089" style="position:absolute;left:25317;top:21266;width:13265;height:3213;visibility:visible;mso-wrap-style:square;v-text-anchor:top" coordsize="660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0bDxgAAAOMAAAAPAAAAZHJzL2Rvd25yZXYueG1sRE/NasJA&#10;EL4XfIdlhN7qJhWjRlcpSouXBvx5gCE7JsHsbMyuJn17Vyh4nO9/luve1OJOrassK4hHEQji3OqK&#10;CwWn4/fHDITzyBpry6TgjxysV4O3Jabadryn+8EXIoSwS1FB6X2TSunykgy6kW2IA3e2rUEfzraQ&#10;usUuhJtafkZRIg1WHBpKbGhTUn453IyCrbnt4mb+47pxkmW/l2vGpial3of91wKEp96/xP/unQ7z&#10;p+NkFs8nkwSePwUA5OoBAAD//wMAUEsBAi0AFAAGAAgAAAAhANvh9svuAAAAhQEAABMAAAAAAAAA&#10;AAAAAAAAAAAAAFtDb250ZW50X1R5cGVzXS54bWxQSwECLQAUAAYACAAAACEAWvQsW78AAAAVAQAA&#10;CwAAAAAAAAAAAAAAAAAfAQAAX3JlbHMvLnJlbHNQSwECLQAUAAYACAAAACEA7YdGw8YAAADjAAAA&#10;DwAAAAAAAAAAAAAAAAAHAgAAZHJzL2Rvd25yZXYueG1sUEsFBgAAAAADAAMAtwAAAPoCAAAAAA==&#10;" path="m,c,442,247,800,550,800r1971,c2825,800,3071,1159,3071,1600v,-441,246,-800,550,-800l6050,800v304,,550,-358,550,-800e" filled="f" strokeweight="22e-5mm">
                  <v:stroke endcap="round"/>
                  <v:path arrowok="t" o:connecttype="custom" o:connectlocs="0,0;2147483646,2147483646;2147483646,2147483646;2147483646,2147483646;2147483646,2147483646;2147483646,2147483646;2147483646,0" o:connectangles="0,0,0,0,0,0,0"/>
                </v:shape>
                <v:line id="Line 181" o:spid="_x0000_s1090" style="position:absolute;visibility:visible;mso-wrap-style:square" from="8439,20466" to="8439,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qlyQAAAOMAAAAPAAAAZHJzL2Rvd25yZXYueG1sRE/da8Iw&#10;EH8f+D+EE/YyZupWa61GGftiIEN08/1ozrbYXEqS1e6/XwaDPd7v+1abwbSiJ+cbywqmkwQEcWl1&#10;w5WCz4+X2xyED8gaW8uk4Js8bNajqxUW2l54T/0hVCKGsC9QQR1CV0jpy5oM+ontiCN3ss5giKer&#10;pHZ4ieGmlXdJkkmDDceGGjt6rKk8H76Mgr1+75+futeb7Ngv3I7z1M22qVLX4+FhCSLQEP7Ff+43&#10;Hecn9/M0ny7SDH5/igDI9Q8AAAD//wMAUEsBAi0AFAAGAAgAAAAhANvh9svuAAAAhQEAABMAAAAA&#10;AAAAAAAAAAAAAAAAAFtDb250ZW50X1R5cGVzXS54bWxQSwECLQAUAAYACAAAACEAWvQsW78AAAAV&#10;AQAACwAAAAAAAAAAAAAAAAAfAQAAX3JlbHMvLnJlbHNQSwECLQAUAAYACAAAACEA/ntKpckAAADj&#10;AAAADwAAAAAAAAAAAAAAAAAHAgAAZHJzL2Rvd25yZXYueG1sUEsFBgAAAAADAAMAtwAAAP0CAAAA&#10;AA==&#10;" strokeweight="58e-5mm"/>
                <v:line id="Line 182" o:spid="_x0000_s1091" style="position:absolute;visibility:visible;mso-wrap-style:square" from="2406,20466" to="2406,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CEyAAAAOMAAAAPAAAAZHJzL2Rvd25yZXYueG1sRE/dS8Mw&#10;EH8X/B/CCXuRLbVrx1aXjbGpCCJjX+9Hc7bF5lKS2NX/3giCj/f7vuV6MK3oyfnGsoKHSQKCuLS6&#10;4UrB+fQ8noPwAVlja5kUfJOH9er2ZomFtlc+UH8MlYgh7AtUUIfQFVL6siaDfmI74sh9WGcwxNNV&#10;Uju8xnDTyjRJZtJgw7Ghxo62NZWfxy+j4KDf+6dd93I/u/QLt+d55vK3TKnR3bB5BBFoCP/iP/er&#10;jvOzPM2n0zTJ4PenCIBc/QAAAP//AwBQSwECLQAUAAYACAAAACEA2+H2y+4AAACFAQAAEwAAAAAA&#10;AAAAAAAAAAAAAAAAW0NvbnRlbnRfVHlwZXNdLnhtbFBLAQItABQABgAIAAAAIQBa9CxbvwAAABUB&#10;AAALAAAAAAAAAAAAAAAAAB8BAABfcmVscy8ucmVsc1BLAQItABQABgAIAAAAIQDYZMCEyAAAAOMA&#10;AAAPAAAAAAAAAAAAAAAAAAcCAABkcnMvZG93bnJldi54bWxQSwUGAAAAAAMAAwC3AAAA/AIAAAAA&#10;" strokeweight="58e-5mm"/>
                <v:rect id="Rectangle 183" o:spid="_x0000_s1092" style="position:absolute;left:31026;top:20847;width:78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qxQAAAOMAAAAPAAAAZHJzL2Rvd25yZXYueG1sRE/NagIx&#10;EL4X+g5hBG812UWK3RpFCoKWXlz7AMNm9ocmkyVJ3e3bm0Khx/n+Z7ufnRU3CnHwrKFYKRDEjTcD&#10;dxo+r8enDYiYkA1az6ThhyLsd48PW6yMn/hCtzp1IodwrFBDn9JYSRmbnhzGlR+JM9f64DDlM3TS&#10;BJxyuLOyVOpZOhw4N/Q40ltPzVf97TTIa32cNrUNyr+X7Yc9ny4tea2Xi/nwCiLRnP7Ff+6TyfPL&#10;4qVQa6VK+P0pAyB3dwAAAP//AwBQSwECLQAUAAYACAAAACEA2+H2y+4AAACFAQAAEwAAAAAAAAAA&#10;AAAAAAAAAAAAW0NvbnRlbnRfVHlwZXNdLnhtbFBLAQItABQABgAIAAAAIQBa9CxbvwAAABUBAAAL&#10;AAAAAAAAAAAAAAAAAB8BAABfcmVscy8ucmVsc1BLAQItABQABgAIAAAAIQA/+L8qxQAAAOMAAAAP&#10;AAAAAAAAAAAAAAAAAAcCAABkcnMvZG93bnJldi54bWxQSwUGAAAAAAMAAwC3AAAA+QIAAAAA&#10;" filled="f" stroked="f">
                  <v:textbox style="mso-fit-shape-to-text:t" inset="0,0,0,0">
                    <w:txbxContent>
                      <w:p w14:paraId="2A634103" w14:textId="77777777" w:rsidR="001D4369" w:rsidRDefault="001D4369" w:rsidP="001D4369">
                        <w:r>
                          <w:rPr>
                            <w:rFonts w:ascii="Arial" w:hAnsi="Arial" w:cs="Arial"/>
                            <w:b/>
                            <w:bCs/>
                            <w:color w:val="000000"/>
                            <w:sz w:val="20"/>
                          </w:rPr>
                          <w:t>T</w:t>
                        </w:r>
                      </w:p>
                    </w:txbxContent>
                  </v:textbox>
                </v:rect>
                <v:shape id="Freeform 184" o:spid="_x0000_s1093" style="position:absolute;left:26123;top:21469;width:4420;height:400;visibility:visible;mso-wrap-style:square;v-text-anchor:top" coordsize="6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ljygAAAOIAAAAPAAAAZHJzL2Rvd25yZXYueG1sRI9Ba8JA&#10;FITvQv/D8gq96a62CW3qKkUQpTdNDj0+sq9JaPZtml1j9Nd3C4LHYWa+YZbr0bZioN43jjXMZwoE&#10;celMw5WGIt9OX0H4gGywdUwaLuRhvXqYLDEz7swHGo6hEhHCPkMNdQhdJqUva7LoZ64jjt636y2G&#10;KPtKmh7PEW5buVAqlRYbjgs1drSpqfw5nqyGYdvmX/vC/A58zdPCJs+76nOn9dPj+PEOItAY7uFb&#10;e280LBKVvL2oeQr/l+IdkKs/AAAA//8DAFBLAQItABQABgAIAAAAIQDb4fbL7gAAAIUBAAATAAAA&#10;AAAAAAAAAAAAAAAAAABbQ29udGVudF9UeXBlc10ueG1sUEsBAi0AFAAGAAgAAAAhAFr0LFu/AAAA&#10;FQEAAAsAAAAAAAAAAAAAAAAAHwEAAF9yZWxzLy5yZWxzUEsBAi0AFAAGAAgAAAAhAE79CWPKAAAA&#10;4gAAAA8AAAAAAAAAAAAAAAAABwIAAGRycy9kb3ducmV2LnhtbFBLBQYAAAAAAwADALcAAAD+AgAA&#10;AAA=&#10;" path="m696,40l52,40r,-16l696,24r,16xm63,63l,32,63,r,63xe" fillcolor="black" strokeweight="3e-5mm">
                  <v:stroke joinstyle="bevel"/>
                  <v:path arrowok="t" o:connecttype="custom" o:connectlocs="2147483646,2147483646;2147483646,2147483646;2147483646,2147483646;2147483646,2147483646;2147483646,2147483646;2147483646,2147483646;0,2147483646;2147483646,0;2147483646,2147483646" o:connectangles="0,0,0,0,0,0,0,0,0"/>
                  <o:lock v:ext="edit" verticies="t"/>
                </v:shape>
                <v:shape id="Freeform 185" o:spid="_x0000_s1094" style="position:absolute;left:32150;top:21469;width:4419;height:400;visibility:visible;mso-wrap-style:square;v-text-anchor:top" coordsize="6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kaTyQAAAOIAAAAPAAAAZHJzL2Rvd25yZXYueG1sRI9Pa8JA&#10;FMTvQr/D8gq96a7/S3SVUhDFW00OPT6yzyQ0+zbNbmP007tCweMwM79h1tve1qKj1leONYxHCgRx&#10;7kzFhYYs3Q3fQfiAbLB2TBqu5GG7eRmsMTHuwl/UnUIhIoR9ghrKEJpESp+XZNGPXEMcvbNrLYYo&#10;20KaFi8Rbms5UWohLVYcF0ps6LOk/Of0ZzV0uzr9PmTmt+NbusjsfLovjnut3177jxWIQH14hv/b&#10;B6NhNlZqOpkvl/C4FO+A3NwBAAD//wMAUEsBAi0AFAAGAAgAAAAhANvh9svuAAAAhQEAABMAAAAA&#10;AAAAAAAAAAAAAAAAAFtDb250ZW50X1R5cGVzXS54bWxQSwECLQAUAAYACAAAACEAWvQsW78AAAAV&#10;AQAACwAAAAAAAAAAAAAAAAAfAQAAX3JlbHMvLnJlbHNQSwECLQAUAAYACAAAACEA9BJGk8kAAADi&#10;AAAADwAAAAAAAAAAAAAAAAAHAgAAZHJzL2Rvd25yZXYueG1sUEsFBgAAAAADAAMAtwAAAP0CAAAA&#10;AA==&#10;" path="m,24r644,l644,40,,40,,24xm633,r63,32l633,63,633,xe" fillcolor="black" strokeweight="3e-5mm">
                  <v:stroke joinstyle="bevel"/>
                  <v:path arrowok="t" o:connecttype="custom" o:connectlocs="0,2147483646;2147483646,2147483646;2147483646,2147483646;0,2147483646;0,2147483646;2147483646,0;2147483646,2147483646;2147483646,2147483646;2147483646,0" o:connectangles="0,0,0,0,0,0,0,0,0"/>
                  <o:lock v:ext="edit" verticies="t"/>
                </v:shape>
                <v:rect id="Rectangle 186" o:spid="_x0000_s1095" style="position:absolute;left:2489;top:387;width:26518;height:2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FhMxQAAAOMAAAAPAAAAZHJzL2Rvd25yZXYueG1sRE/NSgMx&#10;EL4LvkMYwZvNNoe6uzYtRShU8dJtH2DYzP5gMlmS2F3f3giCx/n+Z7tfnBU3CnH0rGG9KkAQt96M&#10;3Gu4Xo5PJYiYkA1az6ThmyLsd/d3W6yNn/lMtyb1IodwrFHDkNJUSxnbgRzGlZ+IM9f54DDlM/TS&#10;BJxzuLNSFcVGOhw5Nww40etA7Wfz5TTIS3Ocy8aGwr+r7sO+nc4dea0fH5bDC4hES/oX/7lPJs+v&#10;qmdVVhul4PenDIDc/QAAAP//AwBQSwECLQAUAAYACAAAACEA2+H2y+4AAACFAQAAEwAAAAAAAAAA&#10;AAAAAAAAAAAAW0NvbnRlbnRfVHlwZXNdLnhtbFBLAQItABQABgAIAAAAIQBa9CxbvwAAABUBAAAL&#10;AAAAAAAAAAAAAAAAAB8BAABfcmVscy8ucmVsc1BLAQItABQABgAIAAAAIQBxJFhMxQAAAOMAAAAP&#10;AAAAAAAAAAAAAAAAAAcCAABkcnMvZG93bnJldi54bWxQSwUGAAAAAAMAAwC3AAAA+QIAAAAA&#10;" filled="f" stroked="f">
                  <v:textbox style="mso-fit-shape-to-text:t" inset="0,0,0,0">
                    <w:txbxContent>
                      <w:p w14:paraId="741BB971" w14:textId="77777777" w:rsidR="001D4369" w:rsidRDefault="001D4369" w:rsidP="001D4369">
                        <w:r>
                          <w:rPr>
                            <w:rFonts w:ascii="Arial" w:hAnsi="Arial" w:cs="Arial"/>
                            <w:b/>
                            <w:bCs/>
                            <w:color w:val="000000"/>
                            <w:sz w:val="34"/>
                            <w:szCs w:val="34"/>
                          </w:rPr>
                          <w:t>Adjustment Period &amp; Real</w:t>
                        </w:r>
                      </w:p>
                    </w:txbxContent>
                  </v:textbox>
                </v:rect>
                <v:rect id="Rectangle 187" o:spid="_x0000_s1096" style="position:absolute;left:28791;top:387;width:724;height:2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Q7PxQAAAOMAAAAPAAAAZHJzL2Rvd25yZXYueG1sRE/NSgMx&#10;EL4LvkMYoTebdC26rE2LCIVWvHTrAwyb2R9MJksSu9u3bwTB43z/s9nNzooLhTh41rBaKhDEjTcD&#10;dxq+zvvHEkRMyAatZ9JwpQi77f3dBivjJz7RpU6dyCEcK9TQpzRWUsamJ4dx6UfizLU+OEz5DJ00&#10;Aacc7qwslHqWDgfODT2O9N5T813/OA3yXO+nsrZB+Y+i/bTHw6klr/XiYX57BZFoTv/iP/fB5Plq&#10;VaqXdbF+gt+fMgByewMAAP//AwBQSwECLQAUAAYACAAAACEA2+H2y+4AAACFAQAAEwAAAAAAAAAA&#10;AAAAAAAAAAAAW0NvbnRlbnRfVHlwZXNdLnhtbFBLAQItABQABgAIAAAAIQBa9CxbvwAAABUBAAAL&#10;AAAAAAAAAAAAAAAAAB8BAABfcmVscy8ucmVsc1BLAQItABQABgAIAAAAIQAw6Q7PxQAAAOMAAAAP&#10;AAAAAAAAAAAAAAAAAAcCAABkcnMvZG93bnJldi54bWxQSwUGAAAAAAMAAwC3AAAA+QIAAAAA&#10;" filled="f" stroked="f">
                  <v:textbox style="mso-fit-shape-to-text:t" inset="0,0,0,0">
                    <w:txbxContent>
                      <w:p w14:paraId="0FD7D735" w14:textId="77777777" w:rsidR="001D4369" w:rsidRDefault="001D4369" w:rsidP="001D4369">
                        <w:r>
                          <w:rPr>
                            <w:rFonts w:ascii="Arial" w:hAnsi="Arial" w:cs="Arial"/>
                            <w:b/>
                            <w:bCs/>
                            <w:color w:val="000000"/>
                            <w:sz w:val="34"/>
                            <w:szCs w:val="34"/>
                          </w:rPr>
                          <w:t>-</w:t>
                        </w:r>
                      </w:p>
                    </w:txbxContent>
                  </v:textbox>
                </v:rect>
                <v:rect id="Rectangle 188" o:spid="_x0000_s1097" style="position:absolute;left:29508;top:387;width:17038;height:2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JnkxgAAAOMAAAAPAAAAZHJzL2Rvd25yZXYueG1sRE9LasMw&#10;EN0XegcxhewauXYJrhMllEIgKd3E6QEGa/wh0shIauzcPioUupz3n81utkZcyYfBsYKXZQaCuHF6&#10;4E7B93n/XIIIEVmjcUwKbhRgt3182GCl3cQnutaxEymEQ4UK+hjHSsrQ9GQxLN1InLjWeYsxnb6T&#10;2uOUwq2ReZatpMWBU0OPI3301FzqH6tAnuv9VNbGZ+4zb7/M8XBqySm1eJrf1yAizfFf/Oc+6DS/&#10;eHstiyLPV/D7UwJAbu8AAAD//wMAUEsBAi0AFAAGAAgAAAAhANvh9svuAAAAhQEAABMAAAAAAAAA&#10;AAAAAAAAAAAAAFtDb250ZW50X1R5cGVzXS54bWxQSwECLQAUAAYACAAAACEAWvQsW78AAAAVAQAA&#10;CwAAAAAAAAAAAAAAAAAfAQAAX3JlbHMvLnJlbHNQSwECLQAUAAYACAAAACEAu2SZ5MYAAADjAAAA&#10;DwAAAAAAAAAAAAAAAAAHAgAAZHJzL2Rvd25yZXYueG1sUEsFBgAAAAADAAMAtwAAAPoCAAAAAA==&#10;" filled="f" stroked="f">
                  <v:textbox style="mso-fit-shape-to-text:t" inset="0,0,0,0">
                    <w:txbxContent>
                      <w:p w14:paraId="359D95D2" w14:textId="77777777" w:rsidR="001D4369" w:rsidRDefault="001D4369" w:rsidP="001D4369">
                        <w:r>
                          <w:rPr>
                            <w:rFonts w:ascii="Arial" w:hAnsi="Arial" w:cs="Arial"/>
                            <w:b/>
                            <w:bCs/>
                            <w:color w:val="000000"/>
                            <w:sz w:val="34"/>
                            <w:szCs w:val="34"/>
                          </w:rPr>
                          <w:t>Time Operations</w:t>
                        </w:r>
                      </w:p>
                    </w:txbxContent>
                  </v:textbox>
                </v:rect>
                <v:group id="Group 189" o:spid="_x0000_s1098" style="position:absolute;left:25717;top:13239;width:12865;height:2813" coordorigin="5931,4115" coordsize="2026,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6zSyAAAAOMAAAAPAAAAZHJzL2Rvd25yZXYueG1sRE9fa8Iw&#10;EH8f7DuEG/g200yq0hlFZBMfRJgOxt6O5myLzaU0WVu/vRGEPd7v/y1Wg61FR62vHGtQ4wQEce5M&#10;xYWG79Pn6xyED8gGa8ek4UoeVsvnpwVmxvX8Rd0xFCKGsM9QQxlCk0np85Is+rFriCN3dq3FEM+2&#10;kKbFPobbWr4lyVRarDg2lNjQpqT8cvyzGrY99uuJ+uj2l/Pm+ntKDz97RVqPXob1O4hAQ/gXP9w7&#10;E+erJJ2m85mawf2nCIBc3gAAAP//AwBQSwECLQAUAAYACAAAACEA2+H2y+4AAACFAQAAEwAAAAAA&#10;AAAAAAAAAAAAAAAAW0NvbnRlbnRfVHlwZXNdLnhtbFBLAQItABQABgAIAAAAIQBa9CxbvwAAABUB&#10;AAALAAAAAAAAAAAAAAAAAB8BAABfcmVscy8ucmVsc1BLAQItABQABgAIAAAAIQDV66zSyAAAAOMA&#10;AAAPAAAAAAAAAAAAAAAAAAcCAABkcnMvZG93bnJldi54bWxQSwUGAAAAAAMAAwC3AAAA/AIAAAAA&#10;">
                  <v:shape id="Freeform 190" o:spid="_x0000_s1099" style="position:absolute;left:5931;top:4115;width:2026;height:443;visibility:visible;mso-wrap-style:square;v-text-anchor:top" coordsize="6400,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2+syAAAAOMAAAAPAAAAZHJzL2Rvd25yZXYueG1sRE9fa8Iw&#10;EH8X/A7hBF9EE51IV42ijsGexqqDsbejOdticylNZuu3N4PBHu/3/za73tbiRq2vHGuYzxQI4tyZ&#10;igsNn+fXaQLCB2SDtWPScCcPu+1wsMHUuI4zup1CIWII+xQ1lCE0qZQ+L8min7mGOHIX11oM8WwL&#10;aVrsYrit5UKplbRYcWwosaFjSfn19GM1JEV9POw5M/nz5HL46rPu/eX7Q+vxqN+vQQTqw7/4z/1m&#10;4vzF8mmlEpUs4fenCIDcPgAAAP//AwBQSwECLQAUAAYACAAAACEA2+H2y+4AAACFAQAAEwAAAAAA&#10;AAAAAAAAAAAAAAAAW0NvbnRlbnRfVHlwZXNdLnhtbFBLAQItABQABgAIAAAAIQBa9CxbvwAAABUB&#10;AAALAAAAAAAAAAAAAAAAAB8BAABfcmVscy8ucmVsc1BLAQItABQABgAIAAAAIQCVU2+syAAAAOMA&#10;AAAPAAAAAAAAAAAAAAAAAAcCAABkcnMvZG93bnJldi54bWxQSwUGAAAAAAMAAwC3AAAA/AIAAAAA&#10;" path="m234,c105,,,105,,234r,933c,1296,105,1400,234,1400r5933,c6296,1400,6400,1296,6400,1167r,-933c6400,105,6296,,6167,l234,xe" fillcolor="#339" strokeweight="0">
                    <v:path arrowok="t" o:connecttype="custom" o:connectlocs="7,0;0,7;0,37;7,44;196,44;203,37;203,7;196,0;7,0" o:connectangles="0,0,0,0,0,0,0,0,0"/>
                  </v:shape>
                  <v:shape id="Freeform 191" o:spid="_x0000_s1100" style="position:absolute;left:5931;top:4115;width:2026;height:443;visibility:visible;mso-wrap-style:square;v-text-anchor:top" coordsize="6400,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9kcxwAAAOMAAAAPAAAAZHJzL2Rvd25yZXYueG1sRE9fa8Iw&#10;EH8f+B3CCb7ITNStbp1RZEMQkYHdPsDR3Nqy5lKTTLtvbwbCHu/3/5br3rbiTD40jjVMJwoEcelM&#10;w5WGz4/t/ROIEJENto5Jwy8FWK8Gd0vMjbvwkc5FrEQK4ZCjhjrGLpcylDVZDBPXESfuy3mLMZ2+&#10;ksbjJYXbVs6UyqTFhlNDjR291lR+Fz9Ww3txKPY87h+wm2+DyiIe/dtJ69Gw37yAiNTHf/HNvTNp&#10;/nS+eFbqMVvA308JALm6AgAA//8DAFBLAQItABQABgAIAAAAIQDb4fbL7gAAAIUBAAATAAAAAAAA&#10;AAAAAAAAAAAAAABbQ29udGVudF9UeXBlc10ueG1sUEsBAi0AFAAGAAgAAAAhAFr0LFu/AAAAFQEA&#10;AAsAAAAAAAAAAAAAAAAAHwEAAF9yZWxzLy5yZWxzUEsBAi0AFAAGAAgAAAAhAP2X2RzHAAAA4wAA&#10;AA8AAAAAAAAAAAAAAAAABwIAAGRycy9kb3ducmV2LnhtbFBLBQYAAAAAAwADALcAAAD7AgAAAAA=&#10;" path="m234,c105,,,105,,234r,933c,1296,105,1400,234,1400r5933,c6296,1400,6400,1296,6400,1167r,-933c6400,105,6296,,6167,l234,xe" filled="f" strokeweight="22e-5mm">
                    <v:stroke endcap="round"/>
                    <v:path arrowok="t" o:connecttype="custom" o:connectlocs="7,0;0,7;0,37;7,44;196,44;203,37;203,7;196,0;7,0" o:connectangles="0,0,0,0,0,0,0,0,0"/>
                  </v:shape>
                </v:group>
                <v:rect id="Rectangle 192" o:spid="_x0000_s1101" style="position:absolute;left:29108;top:13265;width:268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HkXxgAAAOIAAAAPAAAAZHJzL2Rvd25yZXYueG1sRI/LagIx&#10;FIb3hb5DOIK7mihah6lRSkGwpRvHPsBhcuaCycmQpM749mZR6PLnv/HtDpOz4kYh9p41LBcKBHHt&#10;Tc+thp/L8aUAEROyQeuZNNwpwmH//LTD0viRz3SrUivyCMcSNXQpDaWUse7IYVz4gTh7jQ8OU5ah&#10;lSbgmMedlSulXqXDnvNDhwN9dFRfq1+nQV6q41hUNij/tWq+7efp3JDXej6b3t9AJJrSf/ivfTIa&#10;1sWyUJvNNkNkpIwDcv8AAAD//wMAUEsBAi0AFAAGAAgAAAAhANvh9svuAAAAhQEAABMAAAAAAAAA&#10;AAAAAAAAAAAAAFtDb250ZW50X1R5cGVzXS54bWxQSwECLQAUAAYACAAAACEAWvQsW78AAAAVAQAA&#10;CwAAAAAAAAAAAAAAAAAfAQAAX3JlbHMvLnJlbHNQSwECLQAUAAYACAAAACEAcKh5F8YAAADiAAAA&#10;DwAAAAAAAAAAAAAAAAAHAgAAZHJzL2Rvd25yZXYueG1sUEsFBgAAAAADAAMAtwAAAPoCAAAAAA==&#10;" filled="f" stroked="f">
                  <v:textbox style="mso-fit-shape-to-text:t" inset="0,0,0,0">
                    <w:txbxContent>
                      <w:p w14:paraId="2926A9C2" w14:textId="77777777" w:rsidR="001D4369" w:rsidRDefault="001D4369" w:rsidP="001D4369">
                        <w:r>
                          <w:rPr>
                            <w:rFonts w:ascii="Arial" w:hAnsi="Arial" w:cs="Arial"/>
                            <w:b/>
                            <w:bCs/>
                            <w:color w:val="FFFFFF"/>
                            <w:sz w:val="20"/>
                          </w:rPr>
                          <w:t>Real</w:t>
                        </w:r>
                      </w:p>
                    </w:txbxContent>
                  </v:textbox>
                </v:rect>
                <v:rect id="Rectangle 193" o:spid="_x0000_s1102" style="position:absolute;left:31648;top:13265;width:42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0+xgAAAOIAAAAPAAAAZHJzL2Rvd25yZXYueG1sRI/LagIx&#10;FIb3Bd8hnIK7mowLO06NUgRBSzeOPsBhcuZCk5MhSZ3p2zeLQpc//41vd5idFQ8KcfCsoVgpEMSN&#10;NwN3Gu6300sJIiZkg9YzafihCIf94mmHlfETX+lRp07kEY4VauhTGispY9OTw7jyI3H2Wh8cpixD&#10;J03AKY87K9dKbaTDgfNDjyMde2q+6m+nQd7q01TWNij/sW4/7eV8bclrvXye399AJJrTf/ivfTYa&#10;tpvXolSqyBAZKeOA3P8CAAD//wMAUEsBAi0AFAAGAAgAAAAhANvh9svuAAAAhQEAABMAAAAAAAAA&#10;AAAAAAAAAAAAAFtDb250ZW50X1R5cGVzXS54bWxQSwECLQAUAAYACAAAACEAWvQsW78AAAAVAQAA&#10;CwAAAAAAAAAAAAAAAAAfAQAAX3JlbHMvLnJlbHNQSwECLQAUAAYACAAAACEAZxBNPsYAAADiAAAA&#10;DwAAAAAAAAAAAAAAAAAHAgAAZHJzL2Rvd25yZXYueG1sUEsFBgAAAAADAAMAtwAAAPoCAAAAAA==&#10;" filled="f" stroked="f">
                  <v:textbox style="mso-fit-shape-to-text:t" inset="0,0,0,0">
                    <w:txbxContent>
                      <w:p w14:paraId="1F1A5489" w14:textId="77777777" w:rsidR="001D4369" w:rsidRDefault="001D4369" w:rsidP="001D4369">
                        <w:r>
                          <w:rPr>
                            <w:rFonts w:ascii="Arial" w:hAnsi="Arial" w:cs="Arial"/>
                            <w:b/>
                            <w:bCs/>
                            <w:color w:val="FFFFFF"/>
                            <w:sz w:val="20"/>
                          </w:rPr>
                          <w:t>-</w:t>
                        </w:r>
                      </w:p>
                    </w:txbxContent>
                  </v:textbox>
                </v:rect>
                <v:rect id="Rectangle 194" o:spid="_x0000_s1103" style="position:absolute;left:32048;top:13265;width:296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OIxQAAAOMAAAAPAAAAZHJzL2Rvd25yZXYueG1sRE/NSgMx&#10;EL4LfYcwBW8260alrk1LEQpVvHTrAwyb2R9MJkuSdte3N4Lgcb7/2exmZ8WVQhw8a7hfFSCIG28G&#10;7jR8ng93axAxIRu0nknDN0XYbRc3G6yMn/hE1zp1IodwrFBDn9JYSRmbnhzGlR+JM9f64DDlM3TS&#10;BJxyuLOyLIon6XDg3NDjSK89NV/1xWmQ5/owrWsbCv9eth/27XhqyWt9u5z3LyASzelf/Oc+mjz/&#10;WT0qVaoHBb8/ZQDk9gcAAP//AwBQSwECLQAUAAYACAAAACEA2+H2y+4AAACFAQAAEwAAAAAAAAAA&#10;AAAAAAAAAAAAW0NvbnRlbnRfVHlwZXNdLnhtbFBLAQItABQABgAIAAAAIQBa9CxbvwAAABUBAAAL&#10;AAAAAAAAAAAAAAAAAB8BAABfcmVscy8ucmVsc1BLAQItABQABgAIAAAAIQBZ7/OIxQAAAOMAAAAP&#10;AAAAAAAAAAAAAAAAAAcCAABkcnMvZG93bnJldi54bWxQSwUGAAAAAAMAAwC3AAAA+QIAAAAA&#10;" filled="f" stroked="f">
                  <v:textbox style="mso-fit-shape-to-text:t" inset="0,0,0,0">
                    <w:txbxContent>
                      <w:p w14:paraId="71ADEB1A" w14:textId="77777777" w:rsidR="001D4369" w:rsidRDefault="001D4369" w:rsidP="001D4369">
                        <w:r>
                          <w:rPr>
                            <w:rFonts w:ascii="Arial" w:hAnsi="Arial" w:cs="Arial"/>
                            <w:b/>
                            <w:bCs/>
                            <w:color w:val="FFFFFF"/>
                            <w:sz w:val="20"/>
                          </w:rPr>
                          <w:t xml:space="preserve">Time </w:t>
                        </w:r>
                      </w:p>
                    </w:txbxContent>
                  </v:textbox>
                </v:rect>
                <v:rect id="Rectangle 195" o:spid="_x0000_s1104" style="position:absolute;left:28969;top:14713;width:670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CsxyAAAAOIAAAAPAAAAZHJzL2Rvd25yZXYueG1sRI/dSgMx&#10;FITvBd8hHME7m3Sx27I2LSIUqvSmWx/gsDn7g8nJksTu+vZGEHo5zMw3zHY/OyuuFOLgWcNyoUAQ&#10;N94M3Gn4vByeNiBiQjZoPZOGH4qw393fbbEyfuIzXevUiQzhWKGGPqWxkjI2PTmMCz8SZ6/1wWHK&#10;MnTSBJwy3FlZKFVKhwPnhR5Heuup+aq/nQZ5qQ/TprZB+Y+iPdn347klr/Xjw/z6AiLRnG7h//bR&#10;aHhelWq9WhYl/F3Kd0DufgEAAP//AwBQSwECLQAUAAYACAAAACEA2+H2y+4AAACFAQAAEwAAAAAA&#10;AAAAAAAAAAAAAAAAW0NvbnRlbnRfVHlwZXNdLnhtbFBLAQItABQABgAIAAAAIQBa9CxbvwAAABUB&#10;AAALAAAAAAAAAAAAAAAAAB8BAABfcmVscy8ucmVsc1BLAQItABQABgAIAAAAIQAoHCsxyAAAAOIA&#10;AAAPAAAAAAAAAAAAAAAAAAcCAABkcnMvZG93bnJldi54bWxQSwUGAAAAAAMAAwC3AAAA/AIAAAAA&#10;" filled="f" stroked="f">
                  <v:textbox style="mso-fit-shape-to-text:t" inset="0,0,0,0">
                    <w:txbxContent>
                      <w:p w14:paraId="6C11CB8E" w14:textId="77777777" w:rsidR="001D4369" w:rsidRDefault="001D4369" w:rsidP="001D4369">
                        <w:r>
                          <w:rPr>
                            <w:rFonts w:ascii="Arial" w:hAnsi="Arial" w:cs="Arial"/>
                            <w:b/>
                            <w:bCs/>
                            <w:color w:val="FFFFFF"/>
                            <w:sz w:val="20"/>
                          </w:rPr>
                          <w:t>Operations</w:t>
                        </w:r>
                      </w:p>
                    </w:txbxContent>
                  </v:textbox>
                </v:rect>
                <v:group id="Group 196" o:spid="_x0000_s1105" style="position:absolute;left:23310;top:4440;width:16072;height:5993" coordorigin="5552,2851" coordsize="2531,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ITMyAAAAOMAAAAPAAAAZHJzL2Rvd25yZXYueG1sRE9fa8Iw&#10;EH8f7DuEG/g2084oUo0iso09iDAdiG9Hc7bF5lKarK3ffhkIPt7v/y3Xg61FR62vHGtIxwkI4tyZ&#10;igsNP8eP1zkIH5AN1o5Jw408rFfPT0vMjOv5m7pDKEQMYZ+hhjKEJpPS5yVZ9GPXEEfu4lqLIZ5t&#10;IU2LfQy3tXxLkpm0WHFsKLGhbUn59fBrNXz22G8m6Xu3u162t/Nxuj/tUtJ69DJsFiACDeEhvru/&#10;TJyvZlOlVKJS+P8pAiBXfwAAAP//AwBQSwECLQAUAAYACAAAACEA2+H2y+4AAACFAQAAEwAAAAAA&#10;AAAAAAAAAAAAAAAAW0NvbnRlbnRfVHlwZXNdLnhtbFBLAQItABQABgAIAAAAIQBa9CxbvwAAABUB&#10;AAALAAAAAAAAAAAAAAAAAB8BAABfcmVscy8ucmVsc1BLAQItABQABgAIAAAAIQBYJITMyAAAAOMA&#10;AAAPAAAAAAAAAAAAAAAAAAcCAABkcnMvZG93bnJldi54bWxQSwUGAAAAAAMAAwC3AAAA/AIAAAAA&#10;">
                  <v:rect id="Rectangle 197" o:spid="_x0000_s1106" style="position:absolute;left:5552;top:2851;width:2531;height: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ockyAAAAOMAAAAPAAAAZHJzL2Rvd25yZXYueG1sRE9fS8Mw&#10;EH8X/A7hBN9c2qmjrcvGGCj65NYJez2aW1vWXEoS226f3giCj/f7f8v1ZDoxkPOtZQXpLAFBXFnd&#10;cq3g6/D6kIHwAVljZ5kUXMjDenV7s8RC25H3NJShFjGEfYEKmhD6QkpfNWTQz2xPHLmTdQZDPF0t&#10;tcMxhptOzpNkIQ22HBsa7GnbUHUuv42C4+d1TK8Xd04+jm7xZvuhfN6dlLq/mzYvIAJN4V/8537X&#10;cX6e5vOnLM8e4fenCIBc/QAAAP//AwBQSwECLQAUAAYACAAAACEA2+H2y+4AAACFAQAAEwAAAAAA&#10;AAAAAAAAAAAAAAAAW0NvbnRlbnRfVHlwZXNdLnhtbFBLAQItABQABgAIAAAAIQBa9CxbvwAAABUB&#10;AAALAAAAAAAAAAAAAAAAAB8BAABfcmVscy8ucmVsc1BLAQItABQABgAIAAAAIQD5BockyAAAAOMA&#10;AAAPAAAAAAAAAAAAAAAAAAcCAABkcnMvZG93bnJldi54bWxQSwUGAAAAAAMAAwC3AAAA/AIAAAAA&#10;" fillcolor="#936" stroked="f"/>
                  <v:rect id="Rectangle 198" o:spid="_x0000_s1107" style="position:absolute;left:5552;top:2851;width:2531;height: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NRQygAAAOMAAAAPAAAAZHJzL2Rvd25yZXYueG1sRI9BS8NA&#10;EIXvgv9hGcGL2E1qCWnstqigiFDE2t6H7JgNZmfD7tpGf71zEDzOvDfvfbPaTH5QR4qpD2ygnBWg&#10;iNtge+4M7N8fr2tQKSNbHAKTgW9KsFmfn62wseHEb3Tc5U5JCKcGDbicx0br1DrymGZhJBbtI0SP&#10;WcbYaRvxJOF+0POiqLTHnqXB4UgPjtrP3Zc34F9v2vs61s7+HPIVueUTvmznxlxeTHe3oDJN+d/8&#10;d/1sBX9RVtWiXpYCLT/JAvT6FwAA//8DAFBLAQItABQABgAIAAAAIQDb4fbL7gAAAIUBAAATAAAA&#10;AAAAAAAAAAAAAAAAAABbQ29udGVudF9UeXBlc10ueG1sUEsBAi0AFAAGAAgAAAAhAFr0LFu/AAAA&#10;FQEAAAsAAAAAAAAAAAAAAAAAHwEAAF9yZWxzLy5yZWxzUEsBAi0AFAAGAAgAAAAhALSI1FDKAAAA&#10;4wAAAA8AAAAAAAAAAAAAAAAABwIAAGRycy9kb3ducmV2LnhtbFBLBQYAAAAAAwADALcAAAD+AgAA&#10;AAA=&#10;" filled="f" strokeweight="22e-5mm">
                    <v:stroke endcap="round"/>
                  </v:rect>
                </v:group>
                <v:rect id="Rectangle 199" o:spid="_x0000_s1108" style="position:absolute;left:28210;top:4599;width:612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4EiyQAAAOMAAAAPAAAAZHJzL2Rvd25yZXYueG1sRI/NasMw&#10;EITvhb6D2EJujRSHFteJEkohkJZe4vQBFmv9Q/RjJCV23r57KPS4u7Mz8233s7PiRjENwWtYLRUI&#10;8k0wg+80/JwPzyWIlNEbtMGThjsl2O8eH7ZYmTD5E93q3Ak28alCDX3OYyVlanpymJZhJM+3NkSH&#10;mcfYSRNxYnNnZaHUq3Q4eE7ocaSPnppLfXUa5Lk+TGVtowpfRfttP4+nloLWi6f5fQMi05z/xX/f&#10;R8P11y/FW7kqFVMwEy9A7n4BAAD//wMAUEsBAi0AFAAGAAgAAAAhANvh9svuAAAAhQEAABMAAAAA&#10;AAAAAAAAAAAAAAAAAFtDb250ZW50X1R5cGVzXS54bWxQSwECLQAUAAYACAAAACEAWvQsW78AAAAV&#10;AQAACwAAAAAAAAAAAAAAAAAfAQAAX3JlbHMvLnJlbHNQSwECLQAUAAYACAAAACEABlOBIskAAADj&#10;AAAADwAAAAAAAAAAAAAAAAAHAgAAZHJzL2Rvd25yZXYueG1sUEsFBgAAAAADAAMAtwAAAP0CAAAA&#10;AA==&#10;" filled="f" stroked="f">
                  <v:textbox style="mso-fit-shape-to-text:t" inset="0,0,0,0">
                    <w:txbxContent>
                      <w:p w14:paraId="7B1AD1ED" w14:textId="77777777" w:rsidR="001D4369" w:rsidRDefault="001D4369" w:rsidP="001D4369">
                        <w:r>
                          <w:rPr>
                            <w:rFonts w:ascii="Arial" w:hAnsi="Arial" w:cs="Arial"/>
                            <w:b/>
                            <w:bCs/>
                            <w:color w:val="FFFFFF"/>
                            <w:sz w:val="14"/>
                            <w:szCs w:val="14"/>
                          </w:rPr>
                          <w:t>QSE Deadline:</w:t>
                        </w:r>
                      </w:p>
                    </w:txbxContent>
                  </v:textbox>
                </v:rect>
                <v:rect id="Rectangle 200" o:spid="_x0000_s1109" style="position:absolute;left:28124;top:5626;width:645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mbvyQAAAOIAAAAPAAAAZHJzL2Rvd25yZXYueG1sRI9BawIx&#10;FITvBf9DeIK3mrR2w7oaRQqCYHuoFnp9bJ67Szcv6ybq+u+bQqHHYWa+YZbrwbXiSn1oPBt4mioQ&#10;xKW3DVcGPo/bxxxEiMgWW89k4E4B1qvRwxIL62/8QddDrESCcCjQQB1jV0gZypochqnviJN38r3D&#10;mGRfSdvjLcFdK5+V0tJhw2mhxo5eayq/DxdnAPWLPb+fZm/H/UXjvBrUNvtSxkzGw2YBItIQ/8N/&#10;7Z01MFO51pnKM/i9lO6AXP0AAAD//wMAUEsBAi0AFAAGAAgAAAAhANvh9svuAAAAhQEAABMAAAAA&#10;AAAAAAAAAAAAAAAAAFtDb250ZW50X1R5cGVzXS54bWxQSwECLQAUAAYACAAAACEAWvQsW78AAAAV&#10;AQAACwAAAAAAAAAAAAAAAAAfAQAAX3JlbHMvLnJlbHNQSwECLQAUAAYACAAAACEASBZm78kAAADi&#10;AAAADwAAAAAAAAAAAAAAAAAHAgAAZHJzL2Rvd25yZXYueG1sUEsFBgAAAAADAAMAtwAAAP0CAAAA&#10;AA==&#10;" stroked="f"/>
                <v:rect id="Rectangle 201" o:spid="_x0000_s1110" style="position:absolute;left:24216;top:6340;width:13589;height:48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h8xgAAAOMAAAAPAAAAZHJzL2Rvd25yZXYueG1sRE/NagIx&#10;EL4XfIcwQm81q9V23RpFCoItXlz7AMNm9geTyZJEd/v2TaHQ43z/s9mN1og7+dA5VjCfZSCIK6c7&#10;bhR8XQ5POYgQkTUax6TgmwLstpOHDRbaDXymexkbkUI4FKigjbEvpAxVSxbDzPXEiaudtxjT6Rup&#10;PQ4p3Bq5yLIXabHj1NBiT+8tVdfyZhXIS3kY8tL4zH0u6pP5OJ5rcko9Tsf9G4hIY/wX/7mPOs1f&#10;rZ+X+XK9eoXfnxIAcvsDAAD//wMAUEsBAi0AFAAGAAgAAAAhANvh9svuAAAAhQEAABMAAAAAAAAA&#10;AAAAAAAAAAAAAFtDb250ZW50X1R5cGVzXS54bWxQSwECLQAUAAYACAAAACEAWvQsW78AAAAVAQAA&#10;CwAAAAAAAAAAAAAAAAAfAQAAX3JlbHMvLnJlbHNQSwECLQAUAAYACAAAACEAJs64fMYAAADjAAAA&#10;DwAAAAAAAAAAAAAAAAAHAgAAZHJzL2Rvd25yZXYueG1sUEsFBgAAAAADAAMAtwAAAPoCAAAAAA==&#10;" filled="f" stroked="f">
                  <v:textbox style="mso-fit-shape-to-text:t" inset="0,0,0,0">
                    <w:txbxContent>
                      <w:p w14:paraId="142F8E44" w14:textId="77777777" w:rsidR="001D4369" w:rsidRDefault="001D4369" w:rsidP="001D4369">
                        <w:pPr>
                          <w:rPr>
                            <w:rFonts w:ascii="Arial" w:hAnsi="Arial" w:cs="Arial"/>
                            <w:b/>
                            <w:bCs/>
                            <w:color w:val="FFFFFF"/>
                            <w:sz w:val="14"/>
                            <w:szCs w:val="14"/>
                          </w:rPr>
                        </w:pPr>
                        <w:r>
                          <w:rPr>
                            <w:rFonts w:ascii="Arial" w:hAnsi="Arial" w:cs="Arial"/>
                            <w:b/>
                            <w:bCs/>
                            <w:color w:val="FFFFFF"/>
                            <w:sz w:val="14"/>
                            <w:szCs w:val="14"/>
                          </w:rPr>
                          <w:t xml:space="preserve">                Update AS Offers</w:t>
                        </w:r>
                      </w:p>
                      <w:p w14:paraId="7F718ABC" w14:textId="77777777" w:rsidR="001D4369" w:rsidRDefault="001D4369" w:rsidP="001D4369">
                        <w:pPr>
                          <w:jc w:val="center"/>
                        </w:pPr>
                        <w:r>
                          <w:rPr>
                            <w:rFonts w:ascii="Arial" w:hAnsi="Arial" w:cs="Arial"/>
                            <w:b/>
                            <w:bCs/>
                            <w:color w:val="FFFFFF"/>
                            <w:sz w:val="14"/>
                            <w:szCs w:val="14"/>
                          </w:rPr>
                          <w:t>Provide SCADA Telemetry</w:t>
                        </w:r>
                      </w:p>
                      <w:p w14:paraId="41E44BCD" w14:textId="77777777" w:rsidR="001D4369" w:rsidRDefault="001D4369" w:rsidP="001D4369">
                        <w:pPr>
                          <w:rPr>
                            <w:rFonts w:asciiTheme="minorHAnsi" w:hAnsiTheme="minorHAnsi" w:cstheme="minorBidi"/>
                            <w:sz w:val="22"/>
                            <w:szCs w:val="22"/>
                          </w:rPr>
                        </w:pPr>
                        <w:r>
                          <w:rPr>
                            <w:rFonts w:ascii="Arial" w:hAnsi="Arial" w:cs="Arial"/>
                            <w:b/>
                            <w:bCs/>
                            <w:color w:val="FFFFFF"/>
                            <w:sz w:val="14"/>
                            <w:szCs w:val="14"/>
                          </w:rPr>
                          <w:t>Update Energy Bid/Offer Curves</w:t>
                        </w:r>
                      </w:p>
                      <w:p w14:paraId="6E3CDAE6" w14:textId="77777777" w:rsidR="001D4369" w:rsidRDefault="001D4369" w:rsidP="001D4369"/>
                    </w:txbxContent>
                  </v:textbox>
                </v:rect>
                <v:group id="Group 204" o:spid="_x0000_s1111" style="position:absolute;left:13658;top:29298;width:9652;height:4814" coordorigin="4032,6644" coordsize="152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yfvyAAAAOIAAAAPAAAAZHJzL2Rvd25yZXYueG1sRE9Na8JA&#10;EL0X/A/LFHqrm9gaNHUVEVt6kEJVKL0N2TEJZmdDdpvEf985FHp8vO/VZnSN6qkLtWcD6TQBRVx4&#10;W3Np4Hx6fVyAChHZYuOZDNwowGY9uVthbv3An9QfY6kkhEOOBqoY21zrUFTkMEx9SyzcxXcOo8Cu&#10;1LbDQcJdo2dJkmmHNUtDhS3tKiquxx9n4G3AYfuU7vvD9bK7fZ/mH1+HlIx5uB+3L6AijfFf/Od+&#10;tzL/eZYtl/NMNsslwaDXvwAAAP//AwBQSwECLQAUAAYACAAAACEA2+H2y+4AAACFAQAAEwAAAAAA&#10;AAAAAAAAAAAAAAAAW0NvbnRlbnRfVHlwZXNdLnhtbFBLAQItABQABgAIAAAAIQBa9CxbvwAAABUB&#10;AAALAAAAAAAAAAAAAAAAAB8BAABfcmVscy8ucmVsc1BLAQItABQABgAIAAAAIQDfryfvyAAAAOIA&#10;AAAPAAAAAAAAAAAAAAAAAAcCAABkcnMvZG93bnJldi54bWxQSwUGAAAAAAMAAwC3AAAA/AIAAAAA&#10;">
                  <v:rect id="Rectangle 205" o:spid="_x0000_s1112" style="position:absolute;left:4032;top:6644;width:1520;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3y1yQAAAOIAAAAPAAAAZHJzL2Rvd25yZXYueG1sRI/NasMw&#10;EITvhb6D2EJvjVzFMcGNEkKhP7eSpPS8WFvbjbUy0iZx374qFHocZuYbZrWZ/KDOFFMf2ML9rABF&#10;3ATXc2vh/fB0twSVBNnhEJgsfFOCzfr6aoW1Cxfe0XkvrcoQTjVa6ETGWuvUdOQxzcJInL3PED1K&#10;lrHVLuIlw/2gTVFU2mPPeaHDkR47ao77k7egD1WU47ycf+0kma0/Pb+8NR/W3t5M2wdQQpP8h//a&#10;r85CuTSLRVUaA7+X8h3Q6x8AAAD//wMAUEsBAi0AFAAGAAgAAAAhANvh9svuAAAAhQEAABMAAAAA&#10;AAAAAAAAAAAAAAAAAFtDb250ZW50X1R5cGVzXS54bWxQSwECLQAUAAYACAAAACEAWvQsW78AAAAV&#10;AQAACwAAAAAAAAAAAAAAAAAfAQAAX3JlbHMvLnJlbHNQSwECLQAUAAYACAAAACEADcd8tckAAADi&#10;AAAADwAAAAAAAAAAAAAAAAAHAgAAZHJzL2Rvd25yZXYueG1sUEsFBgAAAAADAAMAtwAAAP0CAAAA&#10;AA==&#10;" fillcolor="silver" stroked="f"/>
                  <v:rect id="Rectangle 206" o:spid="_x0000_s1113" style="position:absolute;left:4032;top:6644;width:1520;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b+xgAAAOIAAAAPAAAAZHJzL2Rvd25yZXYueG1sRE9bS8Mw&#10;FH4X/A/hCL6IS+1Q07psqLAhAxm7+H5ojk2xOSlJ3Dp/vXkQfPz47rPF6HpxpBA7zxruJgUI4sab&#10;jlsNh/3yVoGICdlg75k0nCnCYn55McPa+BNv6bhLrcghHGvUYFMaailjY8lhnPiBOHOfPjhMGYZW&#10;moCnHO56WRbFg3TYcW6wONCrpeZr9+00uM20eVFBWfPzkW7IVitcv5daX1+Nz08gEo3pX/znfjMa&#10;yupRqeq+yJvzpXwH5PwXAAD//wMAUEsBAi0AFAAGAAgAAAAhANvh9svuAAAAhQEAABMAAAAAAAAA&#10;AAAAAAAAAAAAAFtDb250ZW50X1R5cGVzXS54bWxQSwECLQAUAAYACAAAACEAWvQsW78AAAAVAQAA&#10;CwAAAAAAAAAAAAAAAAAfAQAAX3JlbHMvLnJlbHNQSwECLQAUAAYACAAAACEAAEbG/sYAAADiAAAA&#10;DwAAAAAAAAAAAAAAAAAHAgAAZHJzL2Rvd25yZXYueG1sUEsFBgAAAAADAAMAtwAAAPoCAAAAAA==&#10;" filled="f" strokeweight="22e-5mm">
                    <v:stroke endcap="round"/>
                  </v:rect>
                </v:group>
                <v:rect id="Rectangle 207" o:spid="_x0000_s1114" style="position:absolute;left:14872;top:29895;width:687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hTSyQAAAOMAAAAPAAAAZHJzL2Rvd25yZXYueG1sRI/NasMw&#10;EITvhb6D2EJujVSTJsaJEkohkJZe4uQBFmv9Q6SVkdTYffvqUOhxd2dn5tsdZmfFnUIcPGt4WSoQ&#10;xI03A3carpfjcwkiJmSD1jNp+KEIh/3jww4r4yc+071OncgmHCvU0Kc0VlLGpieHcelH4nxrfXCY&#10;8hg6aQJO2dxZWSi1lg4Hzgk9jvTeU3Orv50GeamPU1nboPxn0X7Zj9O5Ja/14ml+24JINKd/8d/3&#10;yeT65eZ1tVHFOlNkprwAuf8FAAD//wMAUEsBAi0AFAAGAAgAAAAhANvh9svuAAAAhQEAABMAAAAA&#10;AAAAAAAAAAAAAAAAAFtDb250ZW50X1R5cGVzXS54bWxQSwECLQAUAAYACAAAACEAWvQsW78AAAAV&#10;AQAACwAAAAAAAAAAAAAAAAAfAQAAX3JlbHMvLnJlbHNQSwECLQAUAAYACAAAACEAbd4U0skAAADj&#10;AAAADwAAAAAAAAAAAAAAAAAHAgAAZHJzL2Rvd25yZXYueG1sUEsFBgAAAAADAAMAtwAAAP0CAAAA&#10;AA==&#10;" filled="f" stroked="f">
                  <v:textbox style="mso-fit-shape-to-text:t" inset="0,0,0,0">
                    <w:txbxContent>
                      <w:p w14:paraId="2801E6D8" w14:textId="77777777" w:rsidR="001D4369" w:rsidRDefault="001D4369" w:rsidP="001D4369">
                        <w:r>
                          <w:rPr>
                            <w:rFonts w:ascii="Arial" w:hAnsi="Arial" w:cs="Arial"/>
                            <w:b/>
                            <w:bCs/>
                            <w:color w:val="000000"/>
                            <w:sz w:val="14"/>
                            <w:szCs w:val="14"/>
                          </w:rPr>
                          <w:t>ERCOT Activity:</w:t>
                        </w:r>
                      </w:p>
                    </w:txbxContent>
                  </v:textbox>
                </v:rect>
                <v:rect id="Rectangle 208" o:spid="_x0000_s1115" style="position:absolute;left:14871;top:30867;width:72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lluzAAAAOMAAAAPAAAAZHJzL2Rvd25yZXYueG1sRE/LbsIw&#10;ELxX6j9Yi9RbcYACaYpBpVKlXpB4HeC2xEsSEa9T24XA19dIlXqYw+7szOxMZq2pxZmcrywr6HUT&#10;EMS51RUXCrabz+cUhA/IGmvLpOBKHmbTx4cJZtpeeEXndShENGGfoYIyhCaT0uclGfRd2xBH7mid&#10;wRBHV0jt8BLNTS37STKSBiuOCSU29FFSflr/GAXz13T+vXzhxW112NN+dzgN+y5R6qnTvr+BCNSG&#10;/+M/9ZeO7w/SwWgc0YN7p7gAOf0FAAD//wMAUEsBAi0AFAAGAAgAAAAhANvh9svuAAAAhQEAABMA&#10;AAAAAAAAAAAAAAAAAAAAAFtDb250ZW50X1R5cGVzXS54bWxQSwECLQAUAAYACAAAACEAWvQsW78A&#10;AAAVAQAACwAAAAAAAAAAAAAAAAAfAQAAX3JlbHMvLnJlbHNQSwECLQAUAAYACAAAACEAbO5ZbswA&#10;AADjAAAADwAAAAAAAAAAAAAAAAAHAgAAZHJzL2Rvd25yZXYueG1sUEsFBgAAAAADAAMAtwAAAAAD&#10;AAAAAA==&#10;" fillcolor="black" stroked="f"/>
                <v:rect id="Rectangle 209" o:spid="_x0000_s1116" style="position:absolute;left:15392;top:31019;width:588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DgyAAAAOIAAAAPAAAAZHJzL2Rvd25yZXYueG1sRI/dagIx&#10;FITvC75DOELvalbBdVmNIoJgS29cfYDD5uwPJidLkrrbt28KhV4OM/MNsztM1ogn+dA7VrBcZCCI&#10;a6d7bhXcb+e3AkSIyBqNY1LwTQEO+9nLDkvtRr7Ss4qtSBAOJSroYhxKKUPdkcWwcANx8hrnLcYk&#10;fSu1xzHBrZGrLMulxZ7TQocDnTqqH9WXVSBv1XksKuMz97FqPs375dqQU+p1Ph23ICJN8T/8175o&#10;BcWy2GzWeb6G30vpDsj9DwAAAP//AwBQSwECLQAUAAYACAAAACEA2+H2y+4AAACFAQAAEwAAAAAA&#10;AAAAAAAAAAAAAAAAW0NvbnRlbnRfVHlwZXNdLnhtbFBLAQItABQABgAIAAAAIQBa9CxbvwAAABUB&#10;AAALAAAAAAAAAAAAAAAAAB8BAABfcmVscy8ucmVsc1BLAQItABQABgAIAAAAIQBFUCDgyAAAAOIA&#10;AAAPAAAAAAAAAAAAAAAAAAcCAABkcnMvZG93bnJldi54bWxQSwUGAAAAAAMAAwC3AAAA/AIAAAAA&#10;" filled="f" stroked="f">
                  <v:textbox style="mso-fit-shape-to-text:t" inset="0,0,0,0">
                    <w:txbxContent>
                      <w:p w14:paraId="172AE407" w14:textId="77777777" w:rsidR="001D4369" w:rsidRDefault="001D4369" w:rsidP="001D4369">
                        <w:r>
                          <w:rPr>
                            <w:rFonts w:ascii="Arial" w:hAnsi="Arial" w:cs="Arial"/>
                            <w:b/>
                            <w:bCs/>
                            <w:color w:val="000000"/>
                            <w:sz w:val="14"/>
                            <w:szCs w:val="14"/>
                          </w:rPr>
                          <w:t>Communicate</w:t>
                        </w:r>
                      </w:p>
                    </w:txbxContent>
                  </v:textbox>
                </v:rect>
                <v:rect id="Rectangle 210" o:spid="_x0000_s1117" style="position:absolute;left:13881;top:32143;width:87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inxAAAAOIAAAAPAAAAZHJzL2Rvd25yZXYueG1sRE/dSsMw&#10;FL4XfIdwBrtzyTp0pS4bIgymeLNuD3BoTn8wOSlJXOvbG0Hw8uP73x1mZ8WNQhw8a1ivFAjixpuB&#10;Ow3Xy/GhBBETskHrmTR8U4TD/v5uh5XxE5/pVqdO5BCOFWroUxorKWPTk8O48iNx5lofHKYMQydN&#10;wCmHOysLpZ6kw4FzQ48jvfbUfNZfToO81MeprG1Q/r1oP+zb6dyS13q5mF+eQSSa07/4z30yeX5Z&#10;FOWj2mzh91LGIPc/AAAA//8DAFBLAQItABQABgAIAAAAIQDb4fbL7gAAAIUBAAATAAAAAAAAAAAA&#10;AAAAAAAAAABbQ29udGVudF9UeXBlc10ueG1sUEsBAi0AFAAGAAgAAAAhAFr0LFu/AAAAFQEAAAsA&#10;AAAAAAAAAAAAAAAAHwEAAF9yZWxzLy5yZWxzUEsBAi0AFAAGAAgAAAAhAG8IyKfEAAAA4gAAAA8A&#10;AAAAAAAAAAAAAAAABwIAAGRycy9kb3ducmV2LnhtbFBLBQYAAAAAAwADALcAAAD4AgAAAAA=&#10;" filled="f" stroked="f">
                  <v:textbox style="mso-fit-shape-to-text:t" inset="0,0,0,0">
                    <w:txbxContent>
                      <w:p w14:paraId="70091B6F" w14:textId="77777777" w:rsidR="001D4369" w:rsidRDefault="001D4369" w:rsidP="001D4369">
                        <w:r>
                          <w:rPr>
                            <w:rFonts w:ascii="Arial" w:hAnsi="Arial" w:cs="Arial"/>
                            <w:b/>
                            <w:bCs/>
                            <w:color w:val="000000"/>
                            <w:sz w:val="14"/>
                            <w:szCs w:val="14"/>
                          </w:rPr>
                          <w:t>HRUC Commitments</w:t>
                        </w:r>
                      </w:p>
                    </w:txbxContent>
                  </v:textbox>
                </v:rect>
                <v:shape id="Freeform 211" o:spid="_x0000_s1118" style="position:absolute;left:18281;top:21672;width:407;height:7626;visibility:visible;mso-wrap-style:square;v-text-anchor:top" coordsize="64,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YCywAAAOEAAAAPAAAAZHJzL2Rvd25yZXYueG1sRI9ba8JA&#10;FITfBf/DcoS+iG68VDS6ipRa2mIevNDn0+wxCWbPhuzWpP313YLQx2FmvmFWm9aU4ka1KywrGA0j&#10;EMSp1QVnCs6n3WAOwnlkjaVlUvBNDjbrbmeFsbYNH+h29JkIEHYxKsi9r2IpXZqTQTe0FXHwLrY2&#10;6IOsM6lrbALclHIcRTNpsOCwkGNFTzml1+OXUdD+fNrxh31/c6eXPiXPbtfsk1Kph167XYLw1Pr/&#10;8L39qhVMHhej2TSawN+j8Abk+hcAAP//AwBQSwECLQAUAAYACAAAACEA2+H2y+4AAACFAQAAEwAA&#10;AAAAAAAAAAAAAAAAAAAAW0NvbnRlbnRfVHlwZXNdLnhtbFBLAQItABQABgAIAAAAIQBa9CxbvwAA&#10;ABUBAAALAAAAAAAAAAAAAAAAAB8BAABfcmVscy8ucmVsc1BLAQItABQABgAIAAAAIQD+9YYCywAA&#10;AOEAAAAPAAAAAAAAAAAAAAAAAAcCAABkcnMvZG93bnJldi54bWxQSwUGAAAAAAMAAwC3AAAA/wIA&#10;AAAA&#10;" path="m24,1201l24,52r16,l40,1201r-16,xm,63l32,,64,63,,63xe" fillcolor="black" strokeweight="3e-5mm">
                  <v:stroke joinstyle="bevel"/>
                  <v:path arrowok="t" o:connecttype="custom" o:connectlocs="2147483646,2147483646;2147483646,2147483646;2147483646,2147483646;2147483646,2147483646;2147483646,2147483646;0,2147483646;2147483646,0;2147483646,2147483646;0,2147483646" o:connectangles="0,0,0,0,0,0,0,0,0"/>
                  <o:lock v:ext="edit" verticies="t"/>
                </v:shape>
              </v:group>
            </w:pict>
          </mc:Fallback>
        </mc:AlternateContent>
      </w:r>
    </w:p>
    <w:p w14:paraId="46D70DD4" w14:textId="77777777" w:rsidR="001D4369" w:rsidRPr="0013396E" w:rsidRDefault="001D4369" w:rsidP="001D4369">
      <w:pPr>
        <w:spacing w:after="240"/>
      </w:pPr>
    </w:p>
    <w:p w14:paraId="433A55E8" w14:textId="77777777" w:rsidR="001D4369" w:rsidRPr="0013396E" w:rsidRDefault="001D4369" w:rsidP="001D4369">
      <w:pPr>
        <w:spacing w:after="240"/>
      </w:pPr>
    </w:p>
    <w:p w14:paraId="2FFE8198" w14:textId="77777777" w:rsidR="001D4369" w:rsidRPr="0013396E" w:rsidRDefault="001D4369" w:rsidP="001D4369">
      <w:pPr>
        <w:spacing w:after="240"/>
      </w:pPr>
    </w:p>
    <w:p w14:paraId="51BE75AA" w14:textId="77777777" w:rsidR="001D4369" w:rsidRPr="0013396E" w:rsidRDefault="001D4369" w:rsidP="001D4369">
      <w:pPr>
        <w:spacing w:after="240"/>
      </w:pPr>
    </w:p>
    <w:p w14:paraId="12B4E59C" w14:textId="77777777" w:rsidR="001D4369" w:rsidRPr="0013396E" w:rsidRDefault="001D4369" w:rsidP="001D4369">
      <w:pPr>
        <w:spacing w:after="240"/>
      </w:pPr>
    </w:p>
    <w:p w14:paraId="40D945E6" w14:textId="77777777" w:rsidR="001D4369" w:rsidRPr="0013396E" w:rsidRDefault="001D4369" w:rsidP="001D4369">
      <w:pPr>
        <w:spacing w:after="240"/>
      </w:pPr>
    </w:p>
    <w:p w14:paraId="6A5B532E" w14:textId="77777777" w:rsidR="001D4369" w:rsidRPr="0013396E" w:rsidRDefault="001D4369" w:rsidP="001D4369">
      <w:pPr>
        <w:spacing w:after="240"/>
      </w:pPr>
    </w:p>
    <w:p w14:paraId="4C93089E" w14:textId="77777777" w:rsidR="001D4369" w:rsidRPr="0013396E" w:rsidRDefault="001D4369" w:rsidP="001D4369">
      <w:pPr>
        <w:spacing w:before="240" w:after="240"/>
        <w:ind w:left="720" w:hanging="720"/>
      </w:pPr>
    </w:p>
    <w:p w14:paraId="3FBE675F" w14:textId="77777777" w:rsidR="001D4369" w:rsidRPr="0013396E" w:rsidRDefault="001D4369" w:rsidP="001D4369">
      <w:pPr>
        <w:spacing w:before="240" w:after="240"/>
        <w:ind w:left="720" w:hanging="720"/>
      </w:pPr>
    </w:p>
    <w:p w14:paraId="0690766A" w14:textId="77777777" w:rsidR="001D4369" w:rsidRPr="0013396E" w:rsidRDefault="001D4369" w:rsidP="001D4369">
      <w:pPr>
        <w:spacing w:before="240" w:after="240"/>
        <w:ind w:left="720" w:hanging="720"/>
      </w:pPr>
    </w:p>
    <w:p w14:paraId="6F1B7E3F" w14:textId="77777777" w:rsidR="001D4369" w:rsidRPr="0013396E" w:rsidRDefault="001D4369" w:rsidP="001D4369">
      <w:pPr>
        <w:spacing w:before="240" w:after="240"/>
        <w:ind w:left="720" w:hanging="720"/>
      </w:pPr>
    </w:p>
    <w:p w14:paraId="0CC72A81" w14:textId="77777777" w:rsidR="001D4369" w:rsidRPr="0013396E" w:rsidRDefault="001D4369" w:rsidP="001D4369">
      <w:pPr>
        <w:spacing w:before="240" w:after="240"/>
        <w:ind w:left="720" w:hanging="720"/>
      </w:pPr>
      <w:r w:rsidRPr="0013396E">
        <w:lastRenderedPageBreak/>
        <w:t>(2)</w:t>
      </w:r>
      <w:r w:rsidRPr="0013396E">
        <w:tab/>
        <w:t>Activities for the Adjustment Period begin at 1800 in the Day-Ahead and end one full hour before the start of the Operating Hour.  The figure above is intended to be only a general guide and not controlling language, and any conflict between this figure and another section of the Protocols is controlled by the other section.</w:t>
      </w:r>
    </w:p>
    <w:p w14:paraId="4FB654D4" w14:textId="7957A834" w:rsidR="001D4369" w:rsidRPr="0013396E" w:rsidRDefault="001D4369" w:rsidP="001D4369">
      <w:pPr>
        <w:spacing w:after="240"/>
        <w:ind w:left="720" w:hanging="720"/>
        <w:rPr>
          <w:iCs/>
        </w:rPr>
      </w:pPr>
      <w:r w:rsidRPr="0013396E">
        <w:rPr>
          <w:iCs/>
        </w:rPr>
        <w:t>(3)</w:t>
      </w:r>
      <w:r w:rsidRPr="0013396E">
        <w:rPr>
          <w:iCs/>
        </w:rPr>
        <w:tab/>
        <w:t xml:space="preserve">ERCOT shall monitor Real-Time Locational Marginal Prices (LMPs), Real-Time Market </w:t>
      </w:r>
      <w:r w:rsidR="00CE39AE">
        <w:rPr>
          <w:iCs/>
        </w:rPr>
        <w:t xml:space="preserve">(RTM) </w:t>
      </w:r>
      <w:r w:rsidRPr="0013396E">
        <w:rPr>
          <w:iCs/>
        </w:rPr>
        <w:t xml:space="preserve">Clearing Prices for Capacity (MCPCs), and Real-Time Settlement Point Prices, including Real-Time prices for energy metered, Real-Time Reliability Deployment Price Adders for Energy, and Real-Time Reliability Deployment Price Adders for Ancillary Service, for errors and if there are conditions that cause the price to be questionable, as soon as practicable, ERCOT shall notify all Market Participants that the Real-Time LMPs, Real-Time MCPCs, and Real-Time Settlement Point Prices are under investigation.  </w:t>
      </w:r>
    </w:p>
    <w:p w14:paraId="20E12B2D" w14:textId="77777777" w:rsidR="001D4369" w:rsidRPr="0013396E" w:rsidRDefault="001D4369" w:rsidP="001D4369">
      <w:pPr>
        <w:spacing w:after="240"/>
        <w:ind w:left="720" w:hanging="720"/>
      </w:pPr>
      <w:r w:rsidRPr="0013396E">
        <w:t>(4)</w:t>
      </w:r>
      <w:r w:rsidRPr="0013396E">
        <w:tab/>
        <w:t>ERCOT shall correct prices for an Operating Day when accurate prices can be determined, the impact of the price correction is determined to be significant, and one of the following conditions has been met:  a market solution is determined to be invalid, invalid prices are identified in an otherwise valid market solution, the Base Points or Ancillary Service awards received by Market Participants are inconsistent with the Base Points or Ancillary Service awards of a valid market solution, or the Security-Constrained Economic Dispatch (SCED) process experiences a failure as described in Section 6.5.9.2, Failure of the SCED Process.  The following are some reasons that may cause these conditions.</w:t>
      </w:r>
    </w:p>
    <w:p w14:paraId="79420EDF" w14:textId="77777777" w:rsidR="001D4369" w:rsidRPr="0013396E" w:rsidRDefault="001D4369" w:rsidP="001D4369">
      <w:pPr>
        <w:spacing w:after="240"/>
        <w:ind w:left="1440" w:hanging="720"/>
      </w:pPr>
      <w:r w:rsidRPr="0013396E">
        <w:t>(a)</w:t>
      </w:r>
      <w:r w:rsidRPr="0013396E">
        <w:tab/>
        <w:t>Data Input error:  Missing, incomplete, stale, or incorrect versions of one or more data elements input to the market applications may result in an invalid market solution and/or prices.</w:t>
      </w:r>
    </w:p>
    <w:p w14:paraId="764183AF" w14:textId="77777777" w:rsidR="001D4369" w:rsidRPr="0013396E" w:rsidRDefault="001D4369" w:rsidP="001D4369">
      <w:pPr>
        <w:spacing w:after="240"/>
        <w:ind w:left="1440" w:hanging="720"/>
      </w:pPr>
      <w:r w:rsidRPr="0013396E">
        <w:t>(b)</w:t>
      </w:r>
      <w:r w:rsidRPr="0013396E">
        <w:tab/>
        <w:t>Data Output error:  These include:  incorrect or incomplete data transfer, price recalculation error in post-processing, and Base Points inconsistent with prices due to the Emergency Base Point flag remaining activated even when the SCED solution is valid.</w:t>
      </w:r>
    </w:p>
    <w:p w14:paraId="4A65C862" w14:textId="77777777" w:rsidR="001D4369" w:rsidRPr="0013396E" w:rsidRDefault="001D4369" w:rsidP="001D4369">
      <w:pPr>
        <w:spacing w:after="240"/>
        <w:ind w:left="1440" w:hanging="720"/>
      </w:pPr>
      <w:r w:rsidRPr="0013396E">
        <w:t>(c)</w:t>
      </w:r>
      <w:r w:rsidRPr="0013396E">
        <w:tab/>
        <w:t>Hardware/Software error:  These include unpredicted hardware or software failures, planned market system or database outages, planned application or database upgrades, software implementation errors, and failure of the market run to complete.</w:t>
      </w:r>
    </w:p>
    <w:p w14:paraId="3DC54286" w14:textId="77777777" w:rsidR="001D4369" w:rsidRPr="0013396E" w:rsidRDefault="001D4369" w:rsidP="001D4369">
      <w:pPr>
        <w:spacing w:after="240"/>
        <w:ind w:left="1440" w:hanging="720"/>
      </w:pPr>
      <w:r w:rsidRPr="0013396E">
        <w:t>(d)</w:t>
      </w:r>
      <w:r w:rsidRPr="0013396E">
        <w:tab/>
        <w:t>Inconsistency with the Protocols or Public Utility Commission of Texas (PUCT) Substantive Rules:  Pricing errors may occur when specific circumstances result in prices that are in conflict with such Protocol language or the PUCT Substantive Rules.</w:t>
      </w:r>
    </w:p>
    <w:p w14:paraId="5395F03C" w14:textId="77777777" w:rsidR="001D4369" w:rsidRPr="0013396E" w:rsidRDefault="001D4369" w:rsidP="001D4369">
      <w:pPr>
        <w:spacing w:after="240"/>
        <w:ind w:left="720" w:hanging="720"/>
        <w:rPr>
          <w:iCs/>
        </w:rPr>
      </w:pPr>
      <w:r w:rsidRPr="0013396E">
        <w:rPr>
          <w:iCs/>
        </w:rPr>
        <w:t>(5)</w:t>
      </w:r>
      <w:r w:rsidRPr="0013396E">
        <w:rPr>
          <w:iCs/>
        </w:rPr>
        <w:tab/>
        <w:t>For purposes of a price correction performed prior to 1600 on the second Business Day after the Operating Day, the impact of a price correction shall be considered significant, as that term is used in paragraph (4) above, for the Operating Day when:</w:t>
      </w:r>
    </w:p>
    <w:p w14:paraId="3A2E1AAB" w14:textId="77777777" w:rsidR="001D4369" w:rsidRPr="0013396E" w:rsidRDefault="001D4369" w:rsidP="001D4369">
      <w:pPr>
        <w:spacing w:after="240"/>
        <w:ind w:left="1440" w:hanging="720"/>
        <w:rPr>
          <w:iCs/>
        </w:rPr>
      </w:pPr>
      <w:r w:rsidRPr="0013396E">
        <w:lastRenderedPageBreak/>
        <w:t>(a)</w:t>
      </w:r>
      <w:r w:rsidRPr="0013396E">
        <w:rPr>
          <w:iCs/>
        </w:rPr>
        <w:tab/>
        <w:t>The absolute value change to any single Real-Time Settlement Point Price at a Resource Node or Real-Time MCPC is greater than $0.05/MWh;</w:t>
      </w:r>
    </w:p>
    <w:p w14:paraId="15C1E90A" w14:textId="77777777" w:rsidR="001D4369" w:rsidRPr="0013396E" w:rsidRDefault="001D4369" w:rsidP="001D4369">
      <w:pPr>
        <w:spacing w:after="240"/>
        <w:ind w:left="1440" w:hanging="720"/>
        <w:rPr>
          <w:iCs/>
        </w:rPr>
      </w:pPr>
      <w:r w:rsidRPr="0013396E">
        <w:rPr>
          <w:iCs/>
        </w:rPr>
        <w:t>(b)       The price correction would require ERCOT to change more than 50 Real-Time Settlement Point Prices and/or Real-Time MCPCs;</w:t>
      </w:r>
    </w:p>
    <w:p w14:paraId="4B15F315" w14:textId="77777777" w:rsidR="001D4369" w:rsidRPr="0013396E" w:rsidRDefault="001D4369" w:rsidP="001D4369">
      <w:pPr>
        <w:spacing w:after="240"/>
        <w:ind w:left="1440" w:hanging="720"/>
        <w:rPr>
          <w:iCs/>
        </w:rPr>
      </w:pPr>
      <w:r w:rsidRPr="0013396E">
        <w:rPr>
          <w:iCs/>
        </w:rPr>
        <w:t>(c)       The absolute value change to any Real-Time Settlement Point Price at a Load Zone or Hub is greater than $0.02/MWh; or</w:t>
      </w:r>
    </w:p>
    <w:p w14:paraId="241B4D4A" w14:textId="77777777" w:rsidR="001D4369" w:rsidRPr="0013396E" w:rsidRDefault="001D4369" w:rsidP="001D4369">
      <w:pPr>
        <w:spacing w:after="240"/>
        <w:ind w:left="1440" w:hanging="720"/>
        <w:rPr>
          <w:iCs/>
        </w:rPr>
      </w:pPr>
      <w:r w:rsidRPr="0013396E">
        <w:rPr>
          <w:iCs/>
        </w:rPr>
        <w:t>(d)       The estimated absolute total dollar impact for changes to Real-Time prices for energy metered is greater than $500.</w:t>
      </w:r>
    </w:p>
    <w:p w14:paraId="4670CF7F" w14:textId="77777777" w:rsidR="001D4369" w:rsidRPr="0013396E" w:rsidRDefault="001D4369" w:rsidP="001D4369">
      <w:pPr>
        <w:spacing w:after="240"/>
        <w:ind w:left="720" w:hanging="720"/>
      </w:pPr>
      <w:r w:rsidRPr="0013396E">
        <w:t>(6)</w:t>
      </w:r>
      <w:r w:rsidRPr="0013396E">
        <w:tab/>
        <w:t xml:space="preserve">If it is determined that any Real-Time Settlement Point Prices, Settlement Point LMPs, Electrical Bus LMPs, Real-Time prices for energy metered, Real-Time Reliability Deployment Price Adders for Energy, </w:t>
      </w:r>
      <w:r w:rsidRPr="0013396E">
        <w:rPr>
          <w:iCs/>
        </w:rPr>
        <w:t xml:space="preserve">Real-Time </w:t>
      </w:r>
      <w:r w:rsidRPr="0013396E">
        <w:t>MCPCs, Real-Time Reliability Deployment Price Adders for Ancillary Service, and/or constraint Shadow Prices are erroneous, ERCOT shall correct the prices before the prices are considered final in paragraph (7) below.  Specifically:</w:t>
      </w:r>
    </w:p>
    <w:p w14:paraId="70D51D24" w14:textId="77777777" w:rsidR="001D4369" w:rsidRPr="0013396E" w:rsidRDefault="001D4369" w:rsidP="001D4369">
      <w:pPr>
        <w:spacing w:after="240"/>
        <w:ind w:left="1440" w:hanging="720"/>
      </w:pPr>
      <w:r w:rsidRPr="0013396E">
        <w:t>(a)</w:t>
      </w:r>
      <w:r w:rsidRPr="0013396E">
        <w:tab/>
        <w:t>If it is determined that correcting the Real-Time Settlement Point Prices will not affect the Base Points, and correcting Real-Time MCPCs will not affect Ancillary Service awards, then ERCOT shall correct the prices before the prices are considered final in paragraph (7) below.</w:t>
      </w:r>
    </w:p>
    <w:p w14:paraId="3ACBDE65" w14:textId="77777777" w:rsidR="001D4369" w:rsidRPr="0013396E" w:rsidRDefault="001D4369" w:rsidP="001D4369">
      <w:pPr>
        <w:spacing w:after="240"/>
        <w:ind w:left="1440" w:hanging="720"/>
      </w:pPr>
      <w:r w:rsidRPr="0013396E">
        <w:t>(b)</w:t>
      </w:r>
      <w:r w:rsidRPr="0013396E">
        <w:tab/>
        <w:t xml:space="preserve">If it is determined that correcting the Real-Time Settlement Point Prices will affect the Base Points, or correcting Real-Time MCPCs will affect Ancillary Service awards, </w:t>
      </w:r>
      <w:r w:rsidRPr="0013396E">
        <w:rPr>
          <w:iCs/>
        </w:rPr>
        <w:t xml:space="preserve">then ERCOT shall correct the prices </w:t>
      </w:r>
      <w:r w:rsidRPr="0013396E">
        <w:t xml:space="preserve">before the prices are considered final and settle the SCED executions as failed in accordance with Section 6.5.9.2.  </w:t>
      </w:r>
    </w:p>
    <w:p w14:paraId="3A1FAD52" w14:textId="77777777" w:rsidR="001D4369" w:rsidRPr="0013396E" w:rsidRDefault="001D4369" w:rsidP="001D4369">
      <w:pPr>
        <w:spacing w:after="240"/>
        <w:ind w:left="1440" w:hanging="720"/>
      </w:pPr>
      <w:r w:rsidRPr="0013396E">
        <w:t>(c)</w:t>
      </w:r>
      <w:r w:rsidRPr="0013396E">
        <w:tab/>
        <w:t>For Settlement purposes, if the Base Points are inconsistent with the Real-Time LMPs, ignoring the Real-Time Reliability Deployment Price Adder for Energy, or Ancillary Service awards are inconsistent with the Real-Time MCPCs, ignoring the Real-Time Reliability Deployment Price Adder for Ancillary Service, averaged over the 15-minute Settlement Interval, then ERCOT shall consider the relevant Settlement Interval(s) in accordance with Section 6.6.9, Emergency Operations Settlement.</w:t>
      </w:r>
    </w:p>
    <w:p w14:paraId="6C48FA74" w14:textId="77777777" w:rsidR="001D4369" w:rsidRPr="0013396E" w:rsidRDefault="001D4369" w:rsidP="001D4369">
      <w:pPr>
        <w:spacing w:after="240"/>
        <w:ind w:left="720" w:hanging="720"/>
      </w:pPr>
      <w:r w:rsidRPr="0013396E">
        <w:t>(7)</w:t>
      </w:r>
      <w:r w:rsidRPr="0013396E">
        <w:tab/>
        <w:t xml:space="preserve">All Real-Time LMPs, Real-Time Settlement Point Prices, Real-Time prices for energy metered, Real-Time Reliability Deployment Price Adders for Energy, Real-Time MCPCs, and Real-Time Reliability Deployment Price Adders for Ancillary Service are final at 1600 of the second Business Day after the Operating Day.  </w:t>
      </w:r>
    </w:p>
    <w:p w14:paraId="46BD21E9" w14:textId="77777777" w:rsidR="001D4369" w:rsidRPr="0013396E" w:rsidRDefault="001D4369" w:rsidP="001D4369">
      <w:pPr>
        <w:spacing w:after="240"/>
        <w:ind w:left="1440" w:hanging="720"/>
      </w:pPr>
      <w:r w:rsidRPr="0013396E">
        <w:t>(a)</w:t>
      </w:r>
      <w:r w:rsidRPr="0013396E">
        <w:tab/>
        <w:t xml:space="preserve">However, after Real-Time LMPs, Real-Time Settlement Point Prices, Real-Time prices for energy metered, Real-Time Reliability Deployment Price Adders for Energy, </w:t>
      </w:r>
      <w:r w:rsidRPr="0013396E">
        <w:rPr>
          <w:iCs/>
        </w:rPr>
        <w:t xml:space="preserve">Real-Time </w:t>
      </w:r>
      <w:r w:rsidRPr="0013396E">
        <w:t xml:space="preserve">MCPCs, and Real-Time Reliability Deployment Price Adders for Ancillary Service are final, if ERCOT determines that prices qualify for a price correction pursuant to paragraph (4) above and that ERCOT will seek </w:t>
      </w:r>
      <w:r w:rsidRPr="0013396E">
        <w:lastRenderedPageBreak/>
        <w:t>ERCOT Board review of such prices, it shall notify Market Participants and describe the need for such correction as soon as practicable but no later than 30 days after the Operating Day.  Failure to notify Market Participants within this timeline precludes the ERCOT Board from reviewing such prices.  However, nothing in this section shall be understood to limit or otherwise inhibit any of the following:</w:t>
      </w:r>
    </w:p>
    <w:p w14:paraId="60CAC587" w14:textId="77777777" w:rsidR="001D4369" w:rsidRPr="0013396E" w:rsidRDefault="001D4369" w:rsidP="001D4369">
      <w:pPr>
        <w:spacing w:after="240"/>
        <w:ind w:left="2160" w:hanging="720"/>
      </w:pPr>
      <w:r w:rsidRPr="0013396E">
        <w:t>(i)</w:t>
      </w:r>
      <w:r w:rsidRPr="0013396E">
        <w:tab/>
        <w:t xml:space="preserve">ERCOT’s duty to inform the PUCT of potential or actual violations of the ERCOT Protocols or PUCT Rules and its right to request that the PUCT authorize correction of any prices that may have been affected by such potential or actual violations; </w:t>
      </w:r>
    </w:p>
    <w:p w14:paraId="5E08BCBC" w14:textId="77777777" w:rsidR="001D4369" w:rsidRPr="0013396E" w:rsidRDefault="001D4369" w:rsidP="001D4369">
      <w:pPr>
        <w:spacing w:after="240"/>
        <w:ind w:left="2160" w:hanging="720"/>
      </w:pPr>
      <w:r w:rsidRPr="0013396E">
        <w:t>(ii)</w:t>
      </w:r>
      <w:r w:rsidRPr="0013396E">
        <w:tab/>
        <w:t>The PUCT’s authority to order price corrections when permitted to do so under other law; or</w:t>
      </w:r>
    </w:p>
    <w:p w14:paraId="103D5955" w14:textId="77777777" w:rsidR="001D4369" w:rsidRPr="0013396E" w:rsidRDefault="001D4369" w:rsidP="001D4369">
      <w:pPr>
        <w:spacing w:after="240"/>
        <w:ind w:left="2160" w:hanging="720"/>
      </w:pPr>
      <w:r w:rsidRPr="0013396E">
        <w:t>(iii)</w:t>
      </w:r>
      <w:r w:rsidRPr="0013396E">
        <w:tab/>
        <w:t xml:space="preserve">ERCOT’s authority to grant relief to a Market Participant pursuant to the timelines specified in Section 20, Alternative Dispute Resolution Procedure and Procedure for Return of Settlement Funds.  </w:t>
      </w:r>
    </w:p>
    <w:p w14:paraId="1C98CDF9" w14:textId="77777777" w:rsidR="001D4369" w:rsidRPr="0013396E" w:rsidRDefault="001D4369" w:rsidP="001D4369">
      <w:pPr>
        <w:pStyle w:val="BodyTextNumbered"/>
        <w:ind w:left="1440"/>
      </w:pPr>
      <w:r w:rsidRPr="0013396E">
        <w:t>(b)</w:t>
      </w:r>
      <w:r w:rsidRPr="0013396E">
        <w:tab/>
        <w:t>Before seeking ERCOT Board review of prices, ERCOT will determine if the impact of the price correction is significant, as that term is used in paragraph (4) above, by calculating the potential changes to the RTM Settlement Statement(s) of any Counter-Party on a given Operating Day.  ERCOT shall seek ERCOT Board review of prices if the change in RTM Settlement Statement(s) would result in the absolute value impact to any single Counter-Party, based on the sum of all original RTM Settlement Statement amounts of Market Participants assigned to the Counter-Party, to be greater than:</w:t>
      </w:r>
    </w:p>
    <w:p w14:paraId="2D2296DC" w14:textId="77777777" w:rsidR="001D4369" w:rsidRPr="0013396E" w:rsidRDefault="001D4369" w:rsidP="001D4369">
      <w:pPr>
        <w:pStyle w:val="BodyTextNumbered"/>
        <w:ind w:left="2160"/>
      </w:pPr>
      <w:r w:rsidRPr="0013396E">
        <w:t>(i)</w:t>
      </w:r>
      <w:r w:rsidRPr="0013396E">
        <w:tab/>
        <w:t>2% and also greater than $20,000; or</w:t>
      </w:r>
    </w:p>
    <w:p w14:paraId="230241C0" w14:textId="77777777" w:rsidR="001D4369" w:rsidRPr="0013396E" w:rsidRDefault="001D4369" w:rsidP="001D4369">
      <w:pPr>
        <w:pStyle w:val="BodyTextNumbered"/>
        <w:ind w:left="2160"/>
      </w:pPr>
      <w:r w:rsidRPr="0013396E">
        <w:t>(ii)</w:t>
      </w:r>
      <w:r w:rsidRPr="0013396E">
        <w:tab/>
        <w:t>20% and also greater than $2,000.</w:t>
      </w:r>
    </w:p>
    <w:p w14:paraId="28A135B3" w14:textId="77777777" w:rsidR="001D4369" w:rsidRPr="0013396E" w:rsidRDefault="001D4369" w:rsidP="001D4369">
      <w:pPr>
        <w:spacing w:after="240"/>
        <w:ind w:left="1440" w:hanging="720"/>
      </w:pPr>
      <w:r w:rsidRPr="0013396E">
        <w:t>(c)</w:t>
      </w:r>
      <w:r w:rsidRPr="0013396E">
        <w:tab/>
        <w:t xml:space="preserve">The ERCOT Board may review and change Real-Time LMPs, Real-Time Settlement Point Prices, Real-Time prices for energy metered, Real-Time Reliability Deployment Price Adders for Energy, </w:t>
      </w:r>
      <w:r w:rsidRPr="0013396E">
        <w:rPr>
          <w:iCs/>
        </w:rPr>
        <w:t xml:space="preserve">Real-Time </w:t>
      </w:r>
      <w:r w:rsidRPr="0013396E">
        <w:t>MCPCs, and Real-Time Reliability Deployment Price Adders for Ancillary Service if ERCOT gave timely notice to Market Participants and the ERCOT Board finds that such prices should be corrected for an Operating Day.</w:t>
      </w:r>
    </w:p>
    <w:p w14:paraId="6ADFE909" w14:textId="49D532F7" w:rsidR="001F04FD" w:rsidRPr="0013396E" w:rsidRDefault="001D4369" w:rsidP="005B6369">
      <w:pPr>
        <w:pStyle w:val="BodyTextNumbered"/>
        <w:tabs>
          <w:tab w:val="left" w:pos="3510"/>
        </w:tabs>
        <w:ind w:left="1440"/>
      </w:pPr>
      <w:r w:rsidRPr="0013396E">
        <w:t>(d)</w:t>
      </w:r>
      <w:r w:rsidRPr="0013396E">
        <w:tab/>
        <w:t xml:space="preserve">In review of Real-Time LMPs, Real-Time Settlement Point Prices, Real-Time prices for energy metered, Real-Time Reliability Deployment Price Adders for Energy, </w:t>
      </w:r>
      <w:r w:rsidRPr="0013396E">
        <w:rPr>
          <w:iCs/>
        </w:rPr>
        <w:t xml:space="preserve">Real-Time </w:t>
      </w:r>
      <w:r w:rsidRPr="0013396E">
        <w:t>MCPCs, and Real-Time Reliability Deployment Price Adders for Ancillary Service, the ERCOT Board may rely on the same reasons identified in paragraph (4) above to find that the prices should be corrected for an Operating Day.</w:t>
      </w:r>
    </w:p>
    <w:p w14:paraId="2AFBE24D" w14:textId="77777777" w:rsidR="001F04FD" w:rsidRPr="0013396E" w:rsidRDefault="001F04FD" w:rsidP="007A1E53">
      <w:pPr>
        <w:pStyle w:val="H3"/>
      </w:pPr>
      <w:bookmarkStart w:id="58" w:name="_Toc397504908"/>
      <w:bookmarkStart w:id="59" w:name="_Toc402357036"/>
      <w:bookmarkStart w:id="60" w:name="_Toc422486416"/>
      <w:bookmarkStart w:id="61" w:name="_Toc433093268"/>
      <w:bookmarkStart w:id="62" w:name="_Toc433093426"/>
      <w:bookmarkStart w:id="63" w:name="_Toc440874657"/>
      <w:bookmarkStart w:id="64" w:name="_Toc448142212"/>
      <w:bookmarkStart w:id="65" w:name="_Toc448142369"/>
      <w:bookmarkStart w:id="66" w:name="_Toc458770205"/>
      <w:bookmarkStart w:id="67" w:name="_Toc459294173"/>
      <w:bookmarkStart w:id="68" w:name="_Toc463262666"/>
      <w:bookmarkStart w:id="69" w:name="_Toc468286738"/>
      <w:bookmarkStart w:id="70" w:name="_Toc481502784"/>
      <w:bookmarkStart w:id="71" w:name="_Toc496079954"/>
      <w:bookmarkStart w:id="72" w:name="_Toc236220069"/>
      <w:r w:rsidRPr="0013396E">
        <w:lastRenderedPageBreak/>
        <w:t>6.3.1</w:t>
      </w:r>
      <w:r w:rsidRPr="0013396E">
        <w:tab/>
        <w:t>Activities for the Adjustment Period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C256A55" w14:textId="04A0EE22" w:rsidR="001F04FD" w:rsidRPr="0013396E" w:rsidRDefault="001F04FD" w:rsidP="001F04FD">
      <w:pPr>
        <w:pStyle w:val="BodyTextNumbered"/>
      </w:pPr>
      <w:r w:rsidRPr="0013396E">
        <w:t>(1)</w:t>
      </w:r>
      <w:r w:rsidRPr="0013396E">
        <w:tab/>
        <w:t xml:space="preserve">The following table summarizes the timeline for the Adjustment Period and the activities of </w:t>
      </w:r>
      <w:r w:rsidR="00B21480">
        <w:t>Qualified Scheduling Entities (</w:t>
      </w:r>
      <w:r w:rsidRPr="0013396E">
        <w:t>QSEs</w:t>
      </w:r>
      <w:r w:rsidR="00B21480">
        <w:t>)</w:t>
      </w:r>
      <w:r w:rsidRPr="0013396E">
        <w:t xml:space="preserve"> and ERCOT.  The table is intended to be only a general guide and not controlling language, and any conflict between this table and another section of the Protocols is controlled by the other section: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0"/>
        <w:gridCol w:w="3596"/>
        <w:gridCol w:w="3826"/>
      </w:tblGrid>
      <w:tr w:rsidR="001F04FD" w:rsidRPr="0013396E" w14:paraId="1733F993" w14:textId="77777777" w:rsidTr="005D68C2">
        <w:trPr>
          <w:cantSplit/>
          <w:trHeight w:val="576"/>
          <w:tblHeader/>
        </w:trPr>
        <w:tc>
          <w:tcPr>
            <w:tcW w:w="1820" w:type="dxa"/>
          </w:tcPr>
          <w:p w14:paraId="626D07DB" w14:textId="77777777" w:rsidR="001F04FD" w:rsidRPr="0013396E" w:rsidRDefault="001F04FD" w:rsidP="00AC4DEE">
            <w:pPr>
              <w:pStyle w:val="TableHead"/>
            </w:pPr>
            <w:r w:rsidRPr="0013396E">
              <w:t xml:space="preserve">Adjustment Period </w:t>
            </w:r>
          </w:p>
        </w:tc>
        <w:tc>
          <w:tcPr>
            <w:tcW w:w="3596" w:type="dxa"/>
          </w:tcPr>
          <w:p w14:paraId="0BD3599E" w14:textId="77777777" w:rsidR="001F04FD" w:rsidRPr="0013396E" w:rsidRDefault="001F04FD" w:rsidP="00AC4DEE">
            <w:pPr>
              <w:pStyle w:val="TableHead"/>
              <w:rPr>
                <w:bCs/>
              </w:rPr>
            </w:pPr>
            <w:r w:rsidRPr="0013396E">
              <w:rPr>
                <w:bCs/>
              </w:rPr>
              <w:t>QSE Activities</w:t>
            </w:r>
          </w:p>
        </w:tc>
        <w:tc>
          <w:tcPr>
            <w:tcW w:w="3826" w:type="dxa"/>
          </w:tcPr>
          <w:p w14:paraId="4621BBF1" w14:textId="77777777" w:rsidR="001F04FD" w:rsidRPr="0013396E" w:rsidRDefault="001F04FD" w:rsidP="00AC4DEE">
            <w:pPr>
              <w:pStyle w:val="TableHead"/>
              <w:rPr>
                <w:bCs/>
              </w:rPr>
            </w:pPr>
            <w:r w:rsidRPr="0013396E">
              <w:rPr>
                <w:bCs/>
              </w:rPr>
              <w:t>ERCOT Activities</w:t>
            </w:r>
          </w:p>
        </w:tc>
      </w:tr>
      <w:tr w:rsidR="001F04FD" w:rsidRPr="0013396E" w14:paraId="21DA5B99" w14:textId="77777777" w:rsidTr="005D68C2">
        <w:trPr>
          <w:trHeight w:val="576"/>
        </w:trPr>
        <w:tc>
          <w:tcPr>
            <w:tcW w:w="1820" w:type="dxa"/>
          </w:tcPr>
          <w:p w14:paraId="3FFA3AE5" w14:textId="77777777" w:rsidR="001F04FD" w:rsidRPr="0013396E" w:rsidRDefault="001F04FD" w:rsidP="00AC4DEE">
            <w:pPr>
              <w:pStyle w:val="TableBody"/>
            </w:pPr>
            <w:r w:rsidRPr="0013396E">
              <w:t>Time = From 1800 in the Day-Ahead  up to one hour before the start of the Operating Hour</w:t>
            </w:r>
          </w:p>
        </w:tc>
        <w:tc>
          <w:tcPr>
            <w:tcW w:w="3596" w:type="dxa"/>
          </w:tcPr>
          <w:p w14:paraId="7DB22965" w14:textId="77777777" w:rsidR="001F04FD" w:rsidRPr="0013396E" w:rsidRDefault="001F04FD" w:rsidP="00AC4DEE">
            <w:pPr>
              <w:pStyle w:val="TableBody"/>
              <w:spacing w:after="0"/>
            </w:pPr>
            <w:r w:rsidRPr="0013396E">
              <w:t xml:space="preserve">Submit and update Energy Trades, Capacity Trades, Self-Schedules, and Ancillary Service Trades </w:t>
            </w:r>
          </w:p>
          <w:p w14:paraId="36EB0F76" w14:textId="77777777" w:rsidR="001F04FD" w:rsidRPr="0013396E" w:rsidRDefault="001F04FD" w:rsidP="00AC4DEE">
            <w:pPr>
              <w:pStyle w:val="TableBody"/>
              <w:spacing w:after="0"/>
            </w:pPr>
          </w:p>
          <w:p w14:paraId="72BD00CC" w14:textId="77777777" w:rsidR="001F04FD" w:rsidRPr="0013396E" w:rsidRDefault="001F04FD" w:rsidP="00AC4DEE">
            <w:pPr>
              <w:pStyle w:val="TableBody"/>
              <w:spacing w:after="0"/>
            </w:pPr>
            <w:r w:rsidRPr="0013396E">
              <w:t>Submit and update Output Schedules</w:t>
            </w:r>
          </w:p>
          <w:p w14:paraId="11C9EFB5" w14:textId="496C011F" w:rsidR="001F04FD" w:rsidRPr="0013396E" w:rsidRDefault="001F04FD" w:rsidP="007A1E53">
            <w:pPr>
              <w:pStyle w:val="TableBody"/>
              <w:spacing w:after="0"/>
            </w:pPr>
          </w:p>
          <w:p w14:paraId="0DFBEDFE" w14:textId="43DCC591" w:rsidR="00EA1351" w:rsidRPr="0013396E" w:rsidRDefault="001F04FD" w:rsidP="004116AE">
            <w:pPr>
              <w:pStyle w:val="TableBody"/>
              <w:spacing w:after="240"/>
            </w:pPr>
            <w:r w:rsidRPr="0013396E">
              <w:t xml:space="preserve">Submit and update Energy Offer Curves and/or </w:t>
            </w:r>
            <w:r w:rsidR="00D5222B" w:rsidRPr="0013396E">
              <w:t>RTM Energy 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3370"/>
            </w:tblGrid>
            <w:tr w:rsidR="00D3410D" w:rsidRPr="0013396E" w14:paraId="4C58870B" w14:textId="77777777" w:rsidTr="00F5593C">
              <w:trPr>
                <w:trHeight w:val="206"/>
              </w:trPr>
              <w:tc>
                <w:tcPr>
                  <w:tcW w:w="9576" w:type="dxa"/>
                  <w:shd w:val="pct12" w:color="auto" w:fill="auto"/>
                </w:tcPr>
                <w:p w14:paraId="004FE607" w14:textId="77777777" w:rsidR="00D3410D" w:rsidRPr="0013396E" w:rsidRDefault="00D3410D" w:rsidP="00D3410D">
                  <w:pPr>
                    <w:spacing w:before="120" w:after="240"/>
                    <w:rPr>
                      <w:b/>
                      <w:i/>
                      <w:iCs/>
                    </w:rPr>
                  </w:pPr>
                  <w:r w:rsidRPr="0013396E">
                    <w:rPr>
                      <w:b/>
                      <w:i/>
                      <w:iCs/>
                    </w:rPr>
                    <w:t>[NPRR1188:  Replace the item above with the following upon system implementation:]</w:t>
                  </w:r>
                </w:p>
                <w:p w14:paraId="14383BBD" w14:textId="0FF3A526" w:rsidR="00D3410D" w:rsidRPr="0013396E" w:rsidRDefault="00D3410D" w:rsidP="00D3410D">
                  <w:pPr>
                    <w:rPr>
                      <w:iCs/>
                      <w:sz w:val="20"/>
                    </w:rPr>
                  </w:pPr>
                  <w:r w:rsidRPr="0013396E">
                    <w:rPr>
                      <w:iCs/>
                      <w:sz w:val="20"/>
                    </w:rPr>
                    <w:t xml:space="preserve">Submit </w:t>
                  </w:r>
                  <w:r w:rsidR="004067E8" w:rsidRPr="0013396E">
                    <w:rPr>
                      <w:iCs/>
                      <w:sz w:val="20"/>
                    </w:rPr>
                    <w:t>and update Energy Offer Curves and/or Energy Bid Curves</w:t>
                  </w:r>
                </w:p>
              </w:tc>
            </w:tr>
          </w:tbl>
          <w:p w14:paraId="392445D9" w14:textId="5C848059" w:rsidR="00D5222B" w:rsidRPr="0013396E" w:rsidRDefault="001D4369" w:rsidP="007A1E53">
            <w:pPr>
              <w:pStyle w:val="TableBody"/>
              <w:spacing w:before="240" w:after="240"/>
            </w:pPr>
            <w:r w:rsidRPr="0013396E">
              <w:t>Submit Energy Bid/Offer Curves for Energy Storage Resources (ESRs)</w:t>
            </w:r>
          </w:p>
          <w:p w14:paraId="2C98662A" w14:textId="77777777" w:rsidR="001F04FD" w:rsidRPr="0013396E" w:rsidRDefault="001F04FD" w:rsidP="00AC4DEE">
            <w:pPr>
              <w:pStyle w:val="TableBody"/>
              <w:spacing w:after="0"/>
            </w:pPr>
            <w:r w:rsidRPr="0013396E">
              <w:t>Update Current Operating Plan (COP)</w:t>
            </w:r>
          </w:p>
          <w:p w14:paraId="670953D1" w14:textId="77777777" w:rsidR="001F04FD" w:rsidRPr="0013396E" w:rsidRDefault="001F04FD" w:rsidP="000B1D41">
            <w:pPr>
              <w:pStyle w:val="TableBody"/>
              <w:spacing w:before="240" w:after="0"/>
            </w:pPr>
            <w:r w:rsidRPr="0013396E">
              <w:t xml:space="preserve">Request Resource decommitments </w:t>
            </w:r>
          </w:p>
          <w:p w14:paraId="6BE15E4D" w14:textId="77777777" w:rsidR="001F04FD" w:rsidRPr="0013396E" w:rsidRDefault="001F04FD" w:rsidP="00AC4DEE">
            <w:pPr>
              <w:pStyle w:val="TableBody"/>
              <w:spacing w:after="0"/>
            </w:pPr>
          </w:p>
          <w:p w14:paraId="3FEBA6F6" w14:textId="77777777" w:rsidR="001F04FD" w:rsidRPr="0013396E" w:rsidRDefault="001F04FD" w:rsidP="00AC4DEE">
            <w:pPr>
              <w:pStyle w:val="TableBody"/>
              <w:spacing w:after="0"/>
            </w:pPr>
            <w:r w:rsidRPr="0013396E">
              <w:t>Submit Three-Part Supply Offers for Off-Line Generation Resources</w:t>
            </w:r>
          </w:p>
          <w:p w14:paraId="4E70EFED" w14:textId="77777777" w:rsidR="001F04FD" w:rsidRPr="0013396E" w:rsidRDefault="001F04FD" w:rsidP="00AC4DEE">
            <w:pPr>
              <w:pStyle w:val="TableBody"/>
              <w:spacing w:after="0"/>
            </w:pPr>
          </w:p>
          <w:p w14:paraId="5DB138A7" w14:textId="2F923D76" w:rsidR="001F04FD" w:rsidRPr="0013396E" w:rsidRDefault="001D4369" w:rsidP="000B1D41">
            <w:pPr>
              <w:pStyle w:val="TableBody"/>
              <w:spacing w:after="240"/>
            </w:pPr>
            <w:r w:rsidRPr="0013396E">
              <w:t>Submit and update Ancillary Service Offers</w:t>
            </w:r>
          </w:p>
          <w:p w14:paraId="4879C40D" w14:textId="77777777" w:rsidR="001F04FD" w:rsidRPr="0013396E" w:rsidRDefault="001F04FD" w:rsidP="00AC4DEE">
            <w:pPr>
              <w:pStyle w:val="TableBody"/>
              <w:spacing w:after="0"/>
            </w:pPr>
            <w:r w:rsidRPr="0013396E">
              <w:t>Communicate Resource Forced Outages</w:t>
            </w:r>
          </w:p>
          <w:p w14:paraId="0262F52D" w14:textId="77777777" w:rsidR="001F04FD" w:rsidRPr="0013396E" w:rsidRDefault="001F04FD" w:rsidP="00AC4DEE">
            <w:pPr>
              <w:pStyle w:val="TableBody"/>
            </w:pPr>
          </w:p>
          <w:p w14:paraId="296479A5" w14:textId="77777777" w:rsidR="001F04FD" w:rsidRPr="0013396E" w:rsidRDefault="001F04FD" w:rsidP="00AC4DEE">
            <w:pPr>
              <w:pStyle w:val="TableBody"/>
            </w:pPr>
          </w:p>
          <w:p w14:paraId="0E9B6E90" w14:textId="77777777" w:rsidR="001F04FD" w:rsidRPr="0013396E" w:rsidRDefault="001F04FD" w:rsidP="00AC4DEE">
            <w:pPr>
              <w:pStyle w:val="TableBody"/>
            </w:pPr>
          </w:p>
        </w:tc>
        <w:tc>
          <w:tcPr>
            <w:tcW w:w="3826" w:type="dxa"/>
          </w:tcPr>
          <w:p w14:paraId="7BED3697" w14:textId="77777777" w:rsidR="001F04FD" w:rsidRPr="0013396E" w:rsidRDefault="001F04FD" w:rsidP="00AC4DEE">
            <w:pPr>
              <w:pStyle w:val="TableBody"/>
              <w:spacing w:after="0"/>
            </w:pPr>
            <w:r w:rsidRPr="0013396E">
              <w:t>Post shift schedules on the Market Information System (MIS) Secure Area</w:t>
            </w:r>
          </w:p>
          <w:p w14:paraId="56544C78" w14:textId="77777777" w:rsidR="001F04FD" w:rsidRPr="0013396E" w:rsidRDefault="001F04FD" w:rsidP="00AC4DEE">
            <w:pPr>
              <w:pStyle w:val="TableBody"/>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3600"/>
            </w:tblGrid>
            <w:tr w:rsidR="00D779AB" w:rsidRPr="0013396E" w14:paraId="72239242" w14:textId="77777777" w:rsidTr="00AE5CE8">
              <w:trPr>
                <w:trHeight w:val="206"/>
              </w:trPr>
              <w:tc>
                <w:tcPr>
                  <w:tcW w:w="9576" w:type="dxa"/>
                  <w:shd w:val="pct12" w:color="auto" w:fill="auto"/>
                </w:tcPr>
                <w:p w14:paraId="17BE1475" w14:textId="3559607A" w:rsidR="00D779AB" w:rsidRPr="0013396E" w:rsidRDefault="00D779AB" w:rsidP="00D779AB">
                  <w:pPr>
                    <w:pStyle w:val="Instructions"/>
                    <w:spacing w:before="120"/>
                  </w:pPr>
                  <w:r w:rsidRPr="0013396E">
                    <w:t>[NPRR1240:  Delete the item above upon system implementation.]</w:t>
                  </w:r>
                </w:p>
              </w:tc>
            </w:tr>
          </w:tbl>
          <w:p w14:paraId="7B067D1E" w14:textId="77777777" w:rsidR="001F04FD" w:rsidRPr="0013396E" w:rsidRDefault="001F04FD" w:rsidP="00D779AB">
            <w:pPr>
              <w:pStyle w:val="TableBody"/>
              <w:spacing w:before="240" w:after="0"/>
            </w:pPr>
            <w:r w:rsidRPr="0013396E">
              <w:t>Validate Energy Trades, Capacity Trades, Self-Schedules, and Ancillary Service Trades and identify invalid or mismatched trades</w:t>
            </w:r>
          </w:p>
          <w:p w14:paraId="42FAECD2" w14:textId="77777777" w:rsidR="001F04FD" w:rsidRPr="0013396E" w:rsidRDefault="001F04FD" w:rsidP="00AC4DEE">
            <w:pPr>
              <w:pStyle w:val="TableBody"/>
              <w:spacing w:after="0"/>
            </w:pPr>
          </w:p>
          <w:p w14:paraId="2F5C171F" w14:textId="77777777" w:rsidR="001F04FD" w:rsidRPr="0013396E" w:rsidRDefault="001F04FD" w:rsidP="00AC4DEE">
            <w:pPr>
              <w:pStyle w:val="TableBody"/>
              <w:spacing w:after="0"/>
            </w:pPr>
            <w:r w:rsidRPr="0013396E">
              <w:t xml:space="preserve">Validate Output Schedules </w:t>
            </w:r>
          </w:p>
          <w:p w14:paraId="7AEFCA23" w14:textId="77777777" w:rsidR="001F04FD" w:rsidRPr="0013396E" w:rsidRDefault="001F04FD" w:rsidP="00AC4DEE">
            <w:pPr>
              <w:pStyle w:val="TableBody"/>
              <w:spacing w:after="0"/>
            </w:pPr>
          </w:p>
          <w:p w14:paraId="5C2AA4AA" w14:textId="77777777" w:rsidR="001F04FD" w:rsidRPr="0013396E" w:rsidRDefault="001F04FD" w:rsidP="00AC4DEE">
            <w:pPr>
              <w:pStyle w:val="TableBody"/>
              <w:spacing w:after="0"/>
            </w:pPr>
            <w:r w:rsidRPr="0013396E">
              <w:t xml:space="preserve">Validate Incremental and Decremental Energy Offer Curves </w:t>
            </w:r>
          </w:p>
          <w:p w14:paraId="6AFBE2A6" w14:textId="77777777" w:rsidR="001F04FD" w:rsidRPr="0013396E" w:rsidRDefault="001F04FD" w:rsidP="00AC4DEE">
            <w:pPr>
              <w:pStyle w:val="TableBody"/>
              <w:spacing w:after="0"/>
            </w:pPr>
          </w:p>
          <w:p w14:paraId="356CCD92" w14:textId="77777777" w:rsidR="00D3410D" w:rsidRPr="0013396E" w:rsidRDefault="001F04FD" w:rsidP="004116AE">
            <w:pPr>
              <w:pStyle w:val="TableBody"/>
              <w:spacing w:after="240"/>
            </w:pPr>
            <w:r w:rsidRPr="0013396E">
              <w:t>Validate Energy Offer Curves and/or RTM Energy 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3600"/>
            </w:tblGrid>
            <w:tr w:rsidR="00D3410D" w:rsidRPr="0013396E" w14:paraId="13B5F138" w14:textId="77777777" w:rsidTr="00F5593C">
              <w:trPr>
                <w:trHeight w:val="206"/>
              </w:trPr>
              <w:tc>
                <w:tcPr>
                  <w:tcW w:w="9576" w:type="dxa"/>
                  <w:shd w:val="pct12" w:color="auto" w:fill="auto"/>
                </w:tcPr>
                <w:p w14:paraId="2A172665" w14:textId="77777777" w:rsidR="00D3410D" w:rsidRPr="0013396E" w:rsidRDefault="00D3410D" w:rsidP="00D3410D">
                  <w:pPr>
                    <w:spacing w:before="120" w:after="240"/>
                    <w:rPr>
                      <w:b/>
                      <w:i/>
                      <w:iCs/>
                    </w:rPr>
                  </w:pPr>
                  <w:r w:rsidRPr="0013396E">
                    <w:rPr>
                      <w:b/>
                      <w:i/>
                      <w:iCs/>
                    </w:rPr>
                    <w:t>[NPRR1188:  Replace the item above with the following upon system implementation:]</w:t>
                  </w:r>
                </w:p>
                <w:p w14:paraId="5528A7B0" w14:textId="55EA9B92" w:rsidR="00D3410D" w:rsidRPr="0013396E" w:rsidRDefault="00D3410D" w:rsidP="00D3410D">
                  <w:pPr>
                    <w:rPr>
                      <w:iCs/>
                      <w:sz w:val="20"/>
                    </w:rPr>
                  </w:pPr>
                  <w:r w:rsidRPr="0013396E">
                    <w:rPr>
                      <w:iCs/>
                      <w:sz w:val="20"/>
                    </w:rPr>
                    <w:t>Validate Energy Offer Curves and/or Energy Bid Curves</w:t>
                  </w:r>
                </w:p>
              </w:tc>
            </w:tr>
          </w:tbl>
          <w:p w14:paraId="29990C38" w14:textId="1DF3CD00" w:rsidR="001F04FD" w:rsidRPr="0013396E" w:rsidRDefault="001D4369" w:rsidP="007A1E53">
            <w:pPr>
              <w:pStyle w:val="TableBody"/>
              <w:spacing w:before="240" w:after="240"/>
            </w:pPr>
            <w:r w:rsidRPr="0013396E">
              <w:t>Validate Energy Bid/Offer Curves</w:t>
            </w:r>
          </w:p>
          <w:p w14:paraId="6F769C34" w14:textId="77777777" w:rsidR="001F04FD" w:rsidRPr="0013396E" w:rsidRDefault="001F04FD" w:rsidP="007A1E53">
            <w:pPr>
              <w:pStyle w:val="TableBody"/>
              <w:spacing w:after="0"/>
            </w:pPr>
            <w:r w:rsidRPr="0013396E">
              <w:t>Validate COP including validation of the deliverability of Ancillary Services from Resources for the next Operating Period</w:t>
            </w:r>
          </w:p>
          <w:p w14:paraId="34536B41" w14:textId="77777777" w:rsidR="001F04FD" w:rsidRPr="0013396E" w:rsidRDefault="001F04FD" w:rsidP="00AC4DEE">
            <w:pPr>
              <w:pStyle w:val="TableBody"/>
              <w:spacing w:after="0"/>
            </w:pPr>
          </w:p>
          <w:p w14:paraId="7F4679E5" w14:textId="77777777" w:rsidR="001F04FD" w:rsidRPr="0013396E" w:rsidRDefault="001F04FD" w:rsidP="00AC4DEE">
            <w:pPr>
              <w:pStyle w:val="TableBody"/>
              <w:spacing w:after="0"/>
            </w:pPr>
            <w:r w:rsidRPr="0013396E">
              <w:t xml:space="preserve">Review and approve or reject Resource decommitments </w:t>
            </w:r>
          </w:p>
          <w:p w14:paraId="4DBF4BDD" w14:textId="77777777" w:rsidR="001F04FD" w:rsidRPr="0013396E" w:rsidRDefault="001F04FD" w:rsidP="00AC4DEE">
            <w:pPr>
              <w:pStyle w:val="TableBody"/>
              <w:spacing w:after="0"/>
            </w:pPr>
          </w:p>
          <w:p w14:paraId="3ECE38EC" w14:textId="77777777" w:rsidR="001F04FD" w:rsidRPr="0013396E" w:rsidRDefault="001F04FD" w:rsidP="00AC4DEE">
            <w:pPr>
              <w:pStyle w:val="TableBody"/>
              <w:spacing w:after="0"/>
            </w:pPr>
            <w:r w:rsidRPr="0013396E">
              <w:t xml:space="preserve">Validate Three-Part Supply Offers  </w:t>
            </w:r>
          </w:p>
          <w:p w14:paraId="086A9532" w14:textId="77777777" w:rsidR="001F04FD" w:rsidRPr="0013396E" w:rsidRDefault="001F04FD" w:rsidP="00AC4DEE">
            <w:pPr>
              <w:pStyle w:val="TableBody"/>
              <w:spacing w:after="0"/>
            </w:pPr>
          </w:p>
          <w:p w14:paraId="7BEA625F" w14:textId="59E144B8" w:rsidR="001F04FD" w:rsidRPr="0013396E" w:rsidRDefault="001D4369" w:rsidP="00AC4DEE">
            <w:pPr>
              <w:pStyle w:val="TableBody"/>
              <w:spacing w:after="0"/>
            </w:pPr>
            <w:r w:rsidRPr="0013396E">
              <w:t xml:space="preserve">Publish Notice of need to update the  Ancillary Service Plan if required and </w:t>
            </w:r>
            <w:r w:rsidRPr="0013396E">
              <w:lastRenderedPageBreak/>
              <w:t xml:space="preserve">update the Ancillary Service Demand Curves (ASDCs) for the affected hours and Ancillary Services </w:t>
            </w:r>
          </w:p>
          <w:p w14:paraId="69CCD417" w14:textId="77777777" w:rsidR="001F04FD" w:rsidRPr="0013396E" w:rsidRDefault="001F04FD" w:rsidP="00AC4DEE">
            <w:pPr>
              <w:pStyle w:val="TableBody"/>
              <w:spacing w:after="0"/>
            </w:pPr>
          </w:p>
          <w:p w14:paraId="71F160AD" w14:textId="77777777" w:rsidR="001F04FD" w:rsidRPr="0013396E" w:rsidRDefault="001F04FD" w:rsidP="007A1E53">
            <w:pPr>
              <w:pStyle w:val="TableBody"/>
              <w:spacing w:after="0"/>
            </w:pPr>
            <w:r w:rsidRPr="0013396E">
              <w:t>Validate Ancillary Service Offers</w:t>
            </w:r>
          </w:p>
          <w:p w14:paraId="5416C362" w14:textId="77777777" w:rsidR="001F04FD" w:rsidRPr="0013396E" w:rsidRDefault="001F04FD" w:rsidP="00AC4DEE">
            <w:pPr>
              <w:pStyle w:val="TableBody"/>
              <w:spacing w:after="0"/>
            </w:pPr>
          </w:p>
          <w:p w14:paraId="08526E3B" w14:textId="77777777" w:rsidR="001F04FD" w:rsidRPr="0013396E" w:rsidRDefault="001F04FD" w:rsidP="00AC4DEE">
            <w:pPr>
              <w:pStyle w:val="TableBody"/>
              <w:spacing w:after="0"/>
            </w:pPr>
            <w:r w:rsidRPr="0013396E">
              <w:t>At the end of the Adjustment Period snap-shot the net capacity credits for Hourly Reliability Unit Commitment (HRUC) Settlement</w:t>
            </w:r>
          </w:p>
          <w:p w14:paraId="5D5B88ED" w14:textId="77777777" w:rsidR="001F04FD" w:rsidRPr="0013396E" w:rsidRDefault="001F04FD" w:rsidP="00AC4DEE">
            <w:pPr>
              <w:pStyle w:val="TableBody"/>
              <w:spacing w:after="0"/>
            </w:pPr>
          </w:p>
          <w:p w14:paraId="1BA0CE7B" w14:textId="77777777" w:rsidR="001F04FD" w:rsidRPr="0013396E" w:rsidRDefault="001F04FD" w:rsidP="00AC4DEE">
            <w:pPr>
              <w:pStyle w:val="TableBody"/>
              <w:spacing w:after="0"/>
            </w:pPr>
            <w:r w:rsidRPr="0013396E">
              <w:t>Update Short-Term Wind Power Forecast (STWPF)</w:t>
            </w:r>
          </w:p>
          <w:p w14:paraId="031E0B1F" w14:textId="77777777" w:rsidR="001F04FD" w:rsidRPr="0013396E" w:rsidRDefault="001F04FD" w:rsidP="00AC4DEE">
            <w:pPr>
              <w:pStyle w:val="TableBody"/>
              <w:spacing w:after="0"/>
            </w:pPr>
          </w:p>
          <w:p w14:paraId="329D4DD9" w14:textId="77777777" w:rsidR="001F04FD" w:rsidRPr="0013396E" w:rsidRDefault="001F04FD" w:rsidP="00AC4DEE">
            <w:pPr>
              <w:pStyle w:val="TableBody"/>
              <w:spacing w:after="0"/>
            </w:pPr>
            <w:r w:rsidRPr="0013396E">
              <w:t>Update Short-Term PhotoVoltaic Power Forecast (STPPF)</w:t>
            </w:r>
          </w:p>
          <w:p w14:paraId="57C05067" w14:textId="77777777" w:rsidR="001F04FD" w:rsidRPr="0013396E" w:rsidRDefault="001F04FD" w:rsidP="00AC4DEE">
            <w:pPr>
              <w:pStyle w:val="TableBody"/>
              <w:spacing w:after="0"/>
            </w:pPr>
          </w:p>
          <w:p w14:paraId="07D976B5" w14:textId="77777777" w:rsidR="001F04FD" w:rsidRPr="0013396E" w:rsidRDefault="001F04FD" w:rsidP="00AC4DEE">
            <w:pPr>
              <w:pStyle w:val="TableBody"/>
              <w:spacing w:after="0"/>
            </w:pPr>
            <w:r w:rsidRPr="0013396E">
              <w:t>Execute the Hour-Ahead Sequence</w:t>
            </w:r>
          </w:p>
          <w:p w14:paraId="3CABB7D3" w14:textId="77777777" w:rsidR="001F04FD" w:rsidRPr="0013396E" w:rsidRDefault="001F04FD" w:rsidP="00AC4DEE">
            <w:pPr>
              <w:pStyle w:val="TableBody"/>
              <w:spacing w:after="0"/>
            </w:pPr>
          </w:p>
          <w:p w14:paraId="13DFF0F9" w14:textId="77777777" w:rsidR="00D3410D" w:rsidRPr="0013396E" w:rsidRDefault="001F04FD" w:rsidP="000B1D41">
            <w:pPr>
              <w:pStyle w:val="TableBody"/>
              <w:spacing w:after="240"/>
            </w:pPr>
            <w:r w:rsidRPr="0013396E">
              <w:t xml:space="preserve">Notify the QSE via the MIS Certified Area that an Energy Offer Curve, RTM Energy Bid or Output Schedule has not yet been submitted for a Resource as a reminder that one of the three must be submitted by the end of the Adjustment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3600"/>
            </w:tblGrid>
            <w:tr w:rsidR="00D3410D" w:rsidRPr="0013396E" w14:paraId="22B4C679" w14:textId="77777777" w:rsidTr="00F5593C">
              <w:trPr>
                <w:trHeight w:val="206"/>
              </w:trPr>
              <w:tc>
                <w:tcPr>
                  <w:tcW w:w="9576" w:type="dxa"/>
                  <w:shd w:val="pct12" w:color="auto" w:fill="auto"/>
                </w:tcPr>
                <w:p w14:paraId="112C446C" w14:textId="77777777" w:rsidR="00D3410D" w:rsidRPr="0013396E" w:rsidRDefault="00D3410D" w:rsidP="00D3410D">
                  <w:pPr>
                    <w:spacing w:before="120" w:after="240"/>
                    <w:rPr>
                      <w:b/>
                      <w:i/>
                      <w:iCs/>
                    </w:rPr>
                  </w:pPr>
                  <w:r w:rsidRPr="0013396E">
                    <w:rPr>
                      <w:b/>
                      <w:i/>
                      <w:iCs/>
                    </w:rPr>
                    <w:t>[NPRR1188:  Replace the item above with the following upon system implementation:]</w:t>
                  </w:r>
                </w:p>
                <w:p w14:paraId="6A498D0B" w14:textId="6DFEAC47" w:rsidR="00D3410D" w:rsidRPr="0013396E" w:rsidRDefault="00D3410D" w:rsidP="00D3410D">
                  <w:pPr>
                    <w:spacing w:after="240"/>
                    <w:rPr>
                      <w:iCs/>
                      <w:sz w:val="20"/>
                    </w:rPr>
                  </w:pPr>
                  <w:r w:rsidRPr="0013396E">
                    <w:rPr>
                      <w:iCs/>
                      <w:sz w:val="20"/>
                    </w:rPr>
                    <w:t>Notify the QSE via the MIS Certified Area that an Energy Offer Curve, Energy Bid Curve or Output Schedule has not yet been submitted for a Resource as a reminder that one of the three must be submitted by the end of the Adjustment Period</w:t>
                  </w:r>
                </w:p>
              </w:tc>
            </w:tr>
          </w:tbl>
          <w:p w14:paraId="1A15945A" w14:textId="77777777" w:rsidR="001D4369" w:rsidRPr="0013396E" w:rsidRDefault="001D4369" w:rsidP="007A1E53">
            <w:pPr>
              <w:spacing w:before="240"/>
              <w:rPr>
                <w:iCs/>
                <w:sz w:val="20"/>
              </w:rPr>
            </w:pPr>
            <w:r w:rsidRPr="0013396E">
              <w:rPr>
                <w:iCs/>
                <w:sz w:val="20"/>
              </w:rPr>
              <w:t>Notify the QSE via the MIS Certified Area that an Ancillary Service Offer has not yet been submitted for a Resource by the end of the Adjustment Period</w:t>
            </w:r>
          </w:p>
          <w:p w14:paraId="48E8F465" w14:textId="77777777" w:rsidR="001D4369" w:rsidRPr="0013396E" w:rsidRDefault="001D4369" w:rsidP="001D4369">
            <w:pPr>
              <w:rPr>
                <w:iCs/>
                <w:sz w:val="20"/>
              </w:rPr>
            </w:pPr>
          </w:p>
          <w:p w14:paraId="2D2B7E63" w14:textId="2BF4AD45" w:rsidR="00C61B40" w:rsidRPr="0013396E" w:rsidRDefault="001D4369" w:rsidP="007A1E53">
            <w:pPr>
              <w:pStyle w:val="TableBody"/>
              <w:spacing w:after="240"/>
            </w:pPr>
            <w:r w:rsidRPr="0013396E">
              <w:t>Notify the QSE via the MIS Certified Area that an Energy Bid/Offer Curve has not yet been submitted for an ESR by the end of the Adjustment Period</w:t>
            </w:r>
          </w:p>
          <w:p w14:paraId="04B4A995" w14:textId="77777777" w:rsidR="001F04FD" w:rsidRPr="0013396E" w:rsidRDefault="001F04FD" w:rsidP="00AC4DEE">
            <w:pPr>
              <w:pStyle w:val="TableBody"/>
              <w:spacing w:after="0"/>
            </w:pPr>
          </w:p>
        </w:tc>
      </w:tr>
    </w:tbl>
    <w:p w14:paraId="50F8C556" w14:textId="3F987956" w:rsidR="001F04FD" w:rsidRPr="0013396E" w:rsidRDefault="001F04FD" w:rsidP="001F04FD">
      <w:pPr>
        <w:pStyle w:val="H3"/>
        <w:spacing w:before="480"/>
      </w:pPr>
      <w:bookmarkStart w:id="73" w:name="_Toc397504910"/>
      <w:bookmarkStart w:id="74" w:name="_Toc402357038"/>
      <w:bookmarkStart w:id="75" w:name="_Toc422486418"/>
      <w:bookmarkStart w:id="76" w:name="_Toc433093270"/>
      <w:bookmarkStart w:id="77" w:name="_Toc433093428"/>
      <w:bookmarkStart w:id="78" w:name="_Toc440874658"/>
      <w:bookmarkStart w:id="79" w:name="_Toc448142213"/>
      <w:bookmarkStart w:id="80" w:name="_Toc448142370"/>
      <w:bookmarkStart w:id="81" w:name="_Toc458770206"/>
      <w:bookmarkStart w:id="82" w:name="_Toc459294174"/>
      <w:bookmarkStart w:id="83" w:name="_Toc463262667"/>
      <w:bookmarkStart w:id="84" w:name="_Toc468286739"/>
      <w:bookmarkStart w:id="85" w:name="_Toc481502785"/>
      <w:bookmarkStart w:id="86" w:name="_Toc496079955"/>
      <w:bookmarkStart w:id="87" w:name="_Toc236220070"/>
      <w:r w:rsidRPr="0013396E">
        <w:lastRenderedPageBreak/>
        <w:t>6.3.2</w:t>
      </w:r>
      <w:r w:rsidRPr="0013396E">
        <w:tab/>
        <w:t>Activities for Real-Time Operations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2B75C64" w14:textId="77777777" w:rsidR="001F04FD" w:rsidRPr="0013396E" w:rsidRDefault="001F04FD" w:rsidP="001F04FD">
      <w:pPr>
        <w:pStyle w:val="BodyTextNumbered"/>
      </w:pPr>
      <w:r w:rsidRPr="0013396E">
        <w:t>(1)</w:t>
      </w:r>
      <w:r w:rsidRPr="0013396E">
        <w:tab/>
        <w:t>Activities for Real-Time operations begin at the end of the Adjustment Period and conclude at the close of the Operating Hour.</w:t>
      </w:r>
    </w:p>
    <w:p w14:paraId="7F605499" w14:textId="77777777" w:rsidR="001F04FD" w:rsidRPr="0013396E" w:rsidRDefault="001F04FD" w:rsidP="001F04FD">
      <w:pPr>
        <w:pStyle w:val="BodyTextNumbered"/>
        <w:rPr>
          <w:iCs/>
        </w:rPr>
      </w:pPr>
      <w:r w:rsidRPr="0013396E">
        <w:rPr>
          <w:iCs/>
        </w:rPr>
        <w:t>(2)</w:t>
      </w:r>
      <w:r w:rsidRPr="0013396E">
        <w:rPr>
          <w:iCs/>
        </w:rPr>
        <w:tab/>
        <w:t>The following table summarizes the timeline for the Operating Period and the activities of QSEs and ERCOT during Real-Time operations where “T” represents any instant within the Operating Hour.  The table is intended to be only a general guide and not controlling language, and any conflict between this table and another section of the Protocols is controlled by the other section: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3477"/>
        <w:gridCol w:w="3823"/>
      </w:tblGrid>
      <w:tr w:rsidR="001F04FD" w:rsidRPr="0013396E" w14:paraId="0B8B4FAC" w14:textId="77777777" w:rsidTr="00AC4DEE">
        <w:trPr>
          <w:cantSplit/>
          <w:trHeight w:val="440"/>
          <w:tblHeader/>
        </w:trPr>
        <w:tc>
          <w:tcPr>
            <w:tcW w:w="2276" w:type="dxa"/>
          </w:tcPr>
          <w:p w14:paraId="2D9A5D8E" w14:textId="77777777" w:rsidR="001F04FD" w:rsidRPr="0013396E" w:rsidRDefault="001F04FD" w:rsidP="00AC4DEE">
            <w:pPr>
              <w:pStyle w:val="TableBody"/>
              <w:rPr>
                <w:b/>
              </w:rPr>
            </w:pPr>
            <w:r w:rsidRPr="0013396E">
              <w:rPr>
                <w:b/>
              </w:rPr>
              <w:t>Operating Period</w:t>
            </w:r>
          </w:p>
        </w:tc>
        <w:tc>
          <w:tcPr>
            <w:tcW w:w="3477" w:type="dxa"/>
          </w:tcPr>
          <w:p w14:paraId="1603E0B0" w14:textId="77777777" w:rsidR="001F04FD" w:rsidRPr="0013396E" w:rsidRDefault="001F04FD" w:rsidP="00AC4DEE">
            <w:pPr>
              <w:pStyle w:val="TableBody"/>
              <w:rPr>
                <w:b/>
                <w:bCs/>
              </w:rPr>
            </w:pPr>
            <w:r w:rsidRPr="0013396E">
              <w:rPr>
                <w:b/>
                <w:bCs/>
              </w:rPr>
              <w:t>QSE Activities</w:t>
            </w:r>
          </w:p>
        </w:tc>
        <w:tc>
          <w:tcPr>
            <w:tcW w:w="3823" w:type="dxa"/>
          </w:tcPr>
          <w:p w14:paraId="2DCF7A15" w14:textId="77777777" w:rsidR="001F04FD" w:rsidRPr="0013396E" w:rsidRDefault="001F04FD" w:rsidP="00AC4DEE">
            <w:pPr>
              <w:pStyle w:val="TableBody"/>
              <w:rPr>
                <w:b/>
                <w:bCs/>
              </w:rPr>
            </w:pPr>
            <w:r w:rsidRPr="0013396E">
              <w:rPr>
                <w:b/>
                <w:bCs/>
              </w:rPr>
              <w:t>ERCOT Activities</w:t>
            </w:r>
          </w:p>
        </w:tc>
      </w:tr>
      <w:tr w:rsidR="001F04FD" w:rsidRPr="0013396E" w14:paraId="0AE25BBA" w14:textId="77777777" w:rsidTr="00AC4DEE">
        <w:trPr>
          <w:cantSplit/>
          <w:trHeight w:val="576"/>
        </w:trPr>
        <w:tc>
          <w:tcPr>
            <w:tcW w:w="2276" w:type="dxa"/>
          </w:tcPr>
          <w:p w14:paraId="7A7C3D5E" w14:textId="77777777" w:rsidR="001F04FD" w:rsidRPr="0013396E" w:rsidRDefault="001F04FD" w:rsidP="00AC4DEE">
            <w:pPr>
              <w:pStyle w:val="TableBody"/>
            </w:pPr>
            <w:r w:rsidRPr="0013396E">
              <w:t xml:space="preserve">During the first hour of the Operating Period </w:t>
            </w:r>
          </w:p>
        </w:tc>
        <w:tc>
          <w:tcPr>
            <w:tcW w:w="3477" w:type="dxa"/>
          </w:tcPr>
          <w:p w14:paraId="0B4B2EB8" w14:textId="77777777" w:rsidR="001F04FD" w:rsidRPr="0013396E" w:rsidRDefault="001F04FD" w:rsidP="00AC4DEE">
            <w:pPr>
              <w:pStyle w:val="TableBody"/>
            </w:pPr>
          </w:p>
        </w:tc>
        <w:tc>
          <w:tcPr>
            <w:tcW w:w="3823" w:type="dxa"/>
          </w:tcPr>
          <w:p w14:paraId="5E4C0E27" w14:textId="77777777" w:rsidR="001F04FD" w:rsidRPr="0013396E" w:rsidRDefault="001F04FD" w:rsidP="00AC4DEE">
            <w:pPr>
              <w:pStyle w:val="TableBody"/>
              <w:spacing w:after="0"/>
            </w:pPr>
            <w:r w:rsidRPr="0013396E">
              <w:t>Execute the Hour-Ahead Sequence, including HRUC, beginning with the second hour of the Operating Period</w:t>
            </w:r>
          </w:p>
          <w:p w14:paraId="26C7C8AF" w14:textId="77777777" w:rsidR="001F04FD" w:rsidRPr="0013396E" w:rsidRDefault="001F04FD" w:rsidP="00AC4DEE">
            <w:pPr>
              <w:rPr>
                <w:iCs/>
                <w:sz w:val="20"/>
              </w:rPr>
            </w:pPr>
          </w:p>
          <w:p w14:paraId="596AA53C" w14:textId="77777777" w:rsidR="001F04FD" w:rsidRPr="0013396E" w:rsidRDefault="001F04FD" w:rsidP="00AC4DEE">
            <w:pPr>
              <w:rPr>
                <w:iCs/>
                <w:sz w:val="20"/>
              </w:rPr>
            </w:pPr>
            <w:r w:rsidRPr="0013396E">
              <w:rPr>
                <w:iCs/>
                <w:sz w:val="20"/>
              </w:rPr>
              <w:t>Review the list of Off-Line Available Resources with a start-up time of one hour or less</w:t>
            </w:r>
          </w:p>
          <w:p w14:paraId="6B51C975" w14:textId="77777777" w:rsidR="001F04FD" w:rsidRPr="0013396E" w:rsidRDefault="001F04FD" w:rsidP="00AC4DEE">
            <w:pPr>
              <w:rPr>
                <w:iCs/>
                <w:sz w:val="20"/>
              </w:rPr>
            </w:pPr>
          </w:p>
          <w:p w14:paraId="3BAA8577" w14:textId="77777777" w:rsidR="001F04FD" w:rsidRPr="0013396E" w:rsidRDefault="001F04FD" w:rsidP="00AC4DEE">
            <w:pPr>
              <w:pStyle w:val="TableBody"/>
              <w:spacing w:after="0"/>
            </w:pPr>
            <w:r w:rsidRPr="0013396E">
              <w:t>Review and communicate HRUC commitments and Direct Current Tie (DC Tie) Schedule curtailments</w:t>
            </w:r>
          </w:p>
          <w:p w14:paraId="17CEF8BB" w14:textId="77777777" w:rsidR="001F04FD" w:rsidRPr="0013396E" w:rsidRDefault="001F04FD" w:rsidP="00AC4DEE">
            <w:pPr>
              <w:pStyle w:val="TableBody"/>
              <w:spacing w:after="0"/>
            </w:pPr>
          </w:p>
          <w:p w14:paraId="7A28D0E2" w14:textId="58B00504" w:rsidR="001F04FD" w:rsidRPr="0013396E" w:rsidRDefault="001F04FD" w:rsidP="00AC4DEE">
            <w:pPr>
              <w:pStyle w:val="TableBody"/>
              <w:spacing w:after="0"/>
            </w:pPr>
            <w:r w:rsidRPr="0013396E">
              <w:t>Snapshot the Scheduled Power Consumption for Controllable Load Resources</w:t>
            </w:r>
            <w:r w:rsidR="00A15EAB">
              <w:t xml:space="preserve"> (CLRs)</w:t>
            </w:r>
          </w:p>
        </w:tc>
      </w:tr>
      <w:tr w:rsidR="001F04FD" w:rsidRPr="0013396E" w14:paraId="78B083DA" w14:textId="77777777" w:rsidTr="00AC4DEE">
        <w:trPr>
          <w:cantSplit/>
          <w:trHeight w:val="395"/>
        </w:trPr>
        <w:tc>
          <w:tcPr>
            <w:tcW w:w="2276" w:type="dxa"/>
          </w:tcPr>
          <w:p w14:paraId="3DF96C6F" w14:textId="77777777" w:rsidR="001F04FD" w:rsidRPr="0013396E" w:rsidRDefault="001F04FD" w:rsidP="00AC4DEE">
            <w:pPr>
              <w:pStyle w:val="TableBody"/>
            </w:pPr>
            <w:r w:rsidRPr="0013396E">
              <w:t>SCED run</w:t>
            </w:r>
          </w:p>
        </w:tc>
        <w:tc>
          <w:tcPr>
            <w:tcW w:w="3477" w:type="dxa"/>
          </w:tcPr>
          <w:p w14:paraId="24C1A0DD" w14:textId="77777777" w:rsidR="001F04FD" w:rsidRPr="0013396E" w:rsidRDefault="001F04FD" w:rsidP="00AC4DEE">
            <w:pPr>
              <w:pStyle w:val="TableBody"/>
            </w:pPr>
          </w:p>
        </w:tc>
        <w:tc>
          <w:tcPr>
            <w:tcW w:w="3823" w:type="dxa"/>
          </w:tcPr>
          <w:p w14:paraId="3344FD27" w14:textId="2603CA2A" w:rsidR="001F04FD" w:rsidRPr="0013396E" w:rsidRDefault="001F04FD" w:rsidP="00AC4DEE">
            <w:pPr>
              <w:pStyle w:val="TableBody"/>
            </w:pPr>
            <w:r w:rsidRPr="0013396E">
              <w:t>Execute SCED and pricing run to determine impact of reliability deployments on energy</w:t>
            </w:r>
            <w:r w:rsidR="00D373ED" w:rsidRPr="0013396E">
              <w:t xml:space="preserve"> and Ancillary Service</w:t>
            </w:r>
            <w:r w:rsidRPr="0013396E">
              <w:t xml:space="preserve"> prices</w:t>
            </w:r>
          </w:p>
        </w:tc>
      </w:tr>
      <w:tr w:rsidR="001F04FD" w:rsidRPr="0013396E" w14:paraId="7CB64DF3" w14:textId="77777777" w:rsidTr="00AC4DEE">
        <w:trPr>
          <w:trHeight w:val="576"/>
        </w:trPr>
        <w:tc>
          <w:tcPr>
            <w:tcW w:w="2276" w:type="dxa"/>
          </w:tcPr>
          <w:p w14:paraId="26BF355D" w14:textId="77777777" w:rsidR="001F04FD" w:rsidRPr="0013396E" w:rsidRDefault="001F04FD" w:rsidP="00AC4DEE">
            <w:pPr>
              <w:pStyle w:val="TableBody"/>
            </w:pPr>
            <w:r w:rsidRPr="0013396E">
              <w:t>During the Operating Hour</w:t>
            </w:r>
          </w:p>
        </w:tc>
        <w:tc>
          <w:tcPr>
            <w:tcW w:w="3477" w:type="dxa"/>
          </w:tcPr>
          <w:p w14:paraId="1F708304" w14:textId="512662D8" w:rsidR="00C23DEE" w:rsidRPr="0013396E" w:rsidRDefault="00C23DEE" w:rsidP="00AC4DEE">
            <w:pPr>
              <w:pStyle w:val="TableBody"/>
              <w:spacing w:after="0"/>
            </w:pPr>
            <w:r w:rsidRPr="0013396E">
              <w:t>Telemeter next Operating Hour Ancillary Service Resource Responsibility for an ESR</w:t>
            </w:r>
          </w:p>
          <w:p w14:paraId="36431E34" w14:textId="19703580" w:rsidR="001F04FD" w:rsidRPr="0013396E" w:rsidRDefault="001F04FD" w:rsidP="003D77E1">
            <w:pPr>
              <w:pStyle w:val="TableBody"/>
              <w:spacing w:before="240" w:after="0"/>
            </w:pPr>
            <w:r w:rsidRPr="0013396E">
              <w:t>Acknowledge receipt of Dispatch Instructions</w:t>
            </w:r>
          </w:p>
          <w:p w14:paraId="47EA7BF8" w14:textId="77777777" w:rsidR="001F04FD" w:rsidRPr="0013396E" w:rsidRDefault="001F04FD" w:rsidP="00AC4DEE">
            <w:pPr>
              <w:pStyle w:val="TableBody"/>
              <w:spacing w:after="0"/>
            </w:pPr>
          </w:p>
          <w:p w14:paraId="09A2B316" w14:textId="77777777" w:rsidR="001F04FD" w:rsidRPr="0013396E" w:rsidRDefault="001F04FD" w:rsidP="00AC4DEE">
            <w:pPr>
              <w:pStyle w:val="TableBody"/>
              <w:spacing w:after="0"/>
            </w:pPr>
            <w:r w:rsidRPr="0013396E">
              <w:t>Comply with Dispatch Instruction</w:t>
            </w:r>
          </w:p>
          <w:p w14:paraId="41BD0C3D" w14:textId="77777777" w:rsidR="001F04FD" w:rsidRPr="0013396E" w:rsidRDefault="001F04FD" w:rsidP="00AC4DEE">
            <w:pPr>
              <w:pStyle w:val="TableBody"/>
              <w:spacing w:after="0"/>
            </w:pPr>
            <w:r w:rsidRPr="0013396E">
              <w:t xml:space="preserve"> </w:t>
            </w:r>
          </w:p>
          <w:p w14:paraId="0C8B5150" w14:textId="77777777" w:rsidR="001F04FD" w:rsidRPr="0013396E" w:rsidRDefault="001F04FD" w:rsidP="00AC4DEE">
            <w:pPr>
              <w:pStyle w:val="TableBody"/>
              <w:spacing w:after="0"/>
            </w:pPr>
            <w:r w:rsidRPr="0013396E">
              <w:t>Review Resource Status to assure current state of the Resources is properly telemetered</w:t>
            </w:r>
          </w:p>
          <w:p w14:paraId="57BB12AC" w14:textId="77777777" w:rsidR="001F04FD" w:rsidRPr="0013396E" w:rsidRDefault="001F04FD" w:rsidP="00AC4DEE">
            <w:pPr>
              <w:pStyle w:val="TableBody"/>
              <w:spacing w:after="0"/>
            </w:pPr>
          </w:p>
          <w:p w14:paraId="3EC83B8F" w14:textId="1329E1B1" w:rsidR="001F04FD" w:rsidRPr="0013396E" w:rsidRDefault="001F04FD" w:rsidP="00AC4DEE">
            <w:pPr>
              <w:pStyle w:val="TableBody"/>
              <w:spacing w:after="0"/>
            </w:pPr>
            <w:r w:rsidRPr="0013396E">
              <w:t xml:space="preserve">Update COP </w:t>
            </w:r>
            <w:r w:rsidR="00D373ED" w:rsidRPr="0013396E">
              <w:t xml:space="preserve">and telemetry </w:t>
            </w:r>
            <w:r w:rsidRPr="0013396E">
              <w:t xml:space="preserve">with actual Resource Status and limits and Ancillary Service </w:t>
            </w:r>
            <w:r w:rsidR="00D373ED" w:rsidRPr="0013396E">
              <w:t>capabilities</w:t>
            </w:r>
            <w:r w:rsidRPr="0013396E">
              <w:t xml:space="preserve"> </w:t>
            </w:r>
          </w:p>
          <w:p w14:paraId="22A1A615" w14:textId="77777777" w:rsidR="001F04FD" w:rsidRPr="0013396E" w:rsidRDefault="001F04FD" w:rsidP="00AC4DEE">
            <w:pPr>
              <w:pStyle w:val="TableBody"/>
              <w:spacing w:after="0"/>
            </w:pPr>
          </w:p>
          <w:p w14:paraId="60894013" w14:textId="77777777" w:rsidR="00D373ED" w:rsidRPr="0013396E" w:rsidRDefault="00D373ED" w:rsidP="00D373ED">
            <w:pPr>
              <w:rPr>
                <w:iCs/>
                <w:sz w:val="20"/>
              </w:rPr>
            </w:pPr>
            <w:r w:rsidRPr="0013396E">
              <w:rPr>
                <w:iCs/>
                <w:sz w:val="20"/>
              </w:rPr>
              <w:t>Submit and update Ancillary Service Offers</w:t>
            </w:r>
          </w:p>
          <w:p w14:paraId="433FBB06" w14:textId="77777777" w:rsidR="00D373ED" w:rsidRPr="0013396E" w:rsidRDefault="00D373ED" w:rsidP="00AC4DEE">
            <w:pPr>
              <w:pStyle w:val="TableBody"/>
              <w:spacing w:after="0"/>
            </w:pPr>
          </w:p>
          <w:p w14:paraId="2E6D31E5" w14:textId="77777777" w:rsidR="001F04FD" w:rsidRPr="0013396E" w:rsidRDefault="001F04FD" w:rsidP="00AC4DEE">
            <w:pPr>
              <w:pStyle w:val="TableBody"/>
              <w:spacing w:after="0"/>
            </w:pPr>
            <w:r w:rsidRPr="0013396E">
              <w:t xml:space="preserve">Communicate Resource Forced Outages to ERCOT </w:t>
            </w:r>
          </w:p>
          <w:p w14:paraId="23E2A6B1" w14:textId="77777777" w:rsidR="0053020C" w:rsidRPr="0013396E" w:rsidRDefault="0053020C" w:rsidP="00AC4DEE">
            <w:pPr>
              <w:pStyle w:val="TableBody"/>
              <w:spacing w:after="0"/>
            </w:pPr>
          </w:p>
          <w:p w14:paraId="1B27C055" w14:textId="17E92FF5" w:rsidR="0053020C" w:rsidRPr="0013396E" w:rsidRDefault="0053020C" w:rsidP="0053020C">
            <w:pPr>
              <w:rPr>
                <w:iCs/>
                <w:sz w:val="20"/>
              </w:rPr>
            </w:pPr>
            <w:r w:rsidRPr="0013396E">
              <w:rPr>
                <w:iCs/>
                <w:sz w:val="20"/>
              </w:rPr>
              <w:lastRenderedPageBreak/>
              <w:t>Submit and update Energy Offer Curves and/or RTM Energy Bids</w:t>
            </w:r>
          </w:p>
        </w:tc>
        <w:tc>
          <w:tcPr>
            <w:tcW w:w="3823" w:type="dxa"/>
          </w:tcPr>
          <w:p w14:paraId="5F0A3453" w14:textId="2B0D68ED" w:rsidR="001F04FD" w:rsidRPr="0013396E" w:rsidRDefault="00DB6E87" w:rsidP="00826982">
            <w:pPr>
              <w:pStyle w:val="TableBody"/>
              <w:spacing w:after="240"/>
            </w:pPr>
            <w:r w:rsidRPr="0013396E">
              <w:lastRenderedPageBreak/>
              <w:t xml:space="preserve">Communicate all binding Base Points, </w:t>
            </w:r>
            <w:r w:rsidR="00D373ED" w:rsidRPr="0013396E">
              <w:t xml:space="preserve">Updated Desired Set Points (UDSPs), Ancillary Service awards, </w:t>
            </w:r>
            <w:r w:rsidRPr="0013396E">
              <w:t xml:space="preserve">Dispatch Instructions, and LMPs for energy and </w:t>
            </w:r>
            <w:r w:rsidR="00D373ED" w:rsidRPr="0013396E">
              <w:t xml:space="preserve">Real-Time MCPCs for </w:t>
            </w:r>
            <w:r w:rsidRPr="0013396E">
              <w:t xml:space="preserve">Ancillary Services, and for the pricing run </w:t>
            </w:r>
            <w:r w:rsidRPr="0013396E">
              <w:rPr>
                <w:iCs w:val="0"/>
              </w:rPr>
              <w:t>as described in Section 6.5.7.3.1, Determination of Real-Time Reliability Deployment Price Adder</w:t>
            </w:r>
            <w:r w:rsidR="00D373ED" w:rsidRPr="0013396E">
              <w:rPr>
                <w:iCs w:val="0"/>
              </w:rPr>
              <w:t>s</w:t>
            </w:r>
            <w:r w:rsidRPr="0013396E">
              <w:rPr>
                <w:iCs w:val="0"/>
              </w:rPr>
              <w:t xml:space="preserve">, </w:t>
            </w:r>
            <w:r w:rsidRPr="0013396E">
              <w:t>the total Reliability Unit Commitment (RUC)/Reliability Must-Run (RMR) MW relaxed, total Load Resource MW deployed that is added to the Demand, total Emergency Response Service (ERS) MW deployed that is added to the Demand, total emergency DC Tie MW that is added to or subtracted from the Demand, total Block Load Transfer (BLT) MW that is added to or subtracted from the Demand, Real-Time Reliability Deployment Price Adder</w:t>
            </w:r>
            <w:r w:rsidR="00D373ED" w:rsidRPr="0013396E">
              <w:t xml:space="preserve"> for Energy, and Real-Time Reliability Deployment Price Adders for Ancillary Service</w:t>
            </w:r>
            <w:r w:rsidRPr="0013396E">
              <w:t xml:space="preserve"> using Inter-Control Center Communications Protocol (ICCP) or Verbal Dispatch Instructions (VDIs)</w:t>
            </w:r>
            <w:r w:rsidR="00D373ED" w:rsidRPr="0013396E">
              <w:t xml:space="preserve">.  In </w:t>
            </w:r>
            <w:r w:rsidR="00D373ED" w:rsidRPr="0013396E">
              <w:lastRenderedPageBreak/>
              <w:t>communicating Ancillary Service awards, the awards shall be broken out by Ancillary Service sub-type, where applicable.</w:t>
            </w:r>
          </w:p>
          <w:p w14:paraId="7146FC8B" w14:textId="77777777" w:rsidR="001F04FD" w:rsidRPr="0013396E" w:rsidRDefault="001F04FD" w:rsidP="00F26F08">
            <w:pPr>
              <w:pStyle w:val="TableBody"/>
              <w:spacing w:before="240" w:after="0"/>
            </w:pPr>
            <w:r w:rsidRPr="0013396E">
              <w:t>Monitor Resource Status and identify discrepancies between COP and telemetered Resource Status</w:t>
            </w:r>
          </w:p>
          <w:p w14:paraId="4B53674B" w14:textId="77777777" w:rsidR="001F04FD" w:rsidRPr="0013396E" w:rsidRDefault="001F04FD" w:rsidP="00AC4DEE">
            <w:pPr>
              <w:pStyle w:val="TableBody"/>
              <w:spacing w:after="0"/>
            </w:pPr>
          </w:p>
          <w:p w14:paraId="59AE7964" w14:textId="77777777" w:rsidR="001F04FD" w:rsidRPr="0013396E" w:rsidRDefault="001F04FD" w:rsidP="00AC4DEE">
            <w:pPr>
              <w:pStyle w:val="TableBody"/>
              <w:spacing w:after="0"/>
            </w:pPr>
            <w:r w:rsidRPr="0013396E">
              <w:t>Restart Real-Time Sequence on major change of Resource or Transmission Element Status</w:t>
            </w:r>
          </w:p>
          <w:p w14:paraId="1573E6AB" w14:textId="77777777" w:rsidR="001F04FD" w:rsidRPr="0013396E" w:rsidRDefault="001F04FD" w:rsidP="00AC4DEE">
            <w:pPr>
              <w:pStyle w:val="TableBody"/>
              <w:spacing w:after="0"/>
            </w:pPr>
          </w:p>
          <w:p w14:paraId="1A64F2D5" w14:textId="77777777" w:rsidR="001F04FD" w:rsidRPr="0013396E" w:rsidRDefault="001F04FD" w:rsidP="00AC4DEE">
            <w:pPr>
              <w:pStyle w:val="TableBody"/>
              <w:spacing w:after="0"/>
              <w:rPr>
                <w:b/>
              </w:rPr>
            </w:pPr>
            <w:r w:rsidRPr="0013396E">
              <w:t>Monitor ERCOT total system capacity providing Ancillary Services</w:t>
            </w:r>
            <w:r w:rsidRPr="0013396E">
              <w:rPr>
                <w:b/>
              </w:rPr>
              <w:t xml:space="preserve"> </w:t>
            </w:r>
          </w:p>
          <w:p w14:paraId="495ACC0F" w14:textId="53CDF9A5" w:rsidR="00C23DEE" w:rsidRPr="0013396E" w:rsidRDefault="00C23DEE" w:rsidP="00745851">
            <w:pPr>
              <w:pStyle w:val="TableBody"/>
              <w:spacing w:before="240" w:after="240"/>
              <w:rPr>
                <w:b/>
              </w:rPr>
            </w:pPr>
            <w:r w:rsidRPr="0013396E">
              <w:t>Monitor ESR State of Charge (SOC) information to ensure Ancillary Service Resource Responsibilities can be met</w:t>
            </w:r>
          </w:p>
          <w:p w14:paraId="6B01C5DA" w14:textId="39D22908" w:rsidR="001F04FD" w:rsidRPr="0013396E" w:rsidRDefault="001F04FD" w:rsidP="00745851">
            <w:pPr>
              <w:pStyle w:val="TableBody"/>
              <w:spacing w:before="240" w:after="240"/>
            </w:pPr>
            <w:r w:rsidRPr="0013396E">
              <w:t>Validate COP information</w:t>
            </w:r>
          </w:p>
          <w:p w14:paraId="613DAFBD" w14:textId="762824E9" w:rsidR="00745851" w:rsidRPr="0013396E" w:rsidRDefault="00745851" w:rsidP="00745851">
            <w:pPr>
              <w:pStyle w:val="TableBody"/>
              <w:spacing w:before="240" w:after="240"/>
            </w:pPr>
            <w:r w:rsidRPr="0013396E">
              <w:t>Validate Ancillary Service Trades</w:t>
            </w:r>
          </w:p>
          <w:p w14:paraId="0F968AA1" w14:textId="77777777" w:rsidR="001F04FD" w:rsidRPr="0013396E" w:rsidRDefault="001F04FD" w:rsidP="00745851">
            <w:pPr>
              <w:pStyle w:val="TableBody"/>
              <w:spacing w:before="240" w:after="240"/>
            </w:pPr>
            <w:r w:rsidRPr="0013396E">
              <w:t>Monitor ERCOT control performance</w:t>
            </w:r>
          </w:p>
          <w:p w14:paraId="48A7D77E" w14:textId="57C4CA18" w:rsidR="001F04FD" w:rsidRPr="0013396E" w:rsidRDefault="00DB6E87" w:rsidP="00745851">
            <w:pPr>
              <w:pStyle w:val="TableBody"/>
              <w:spacing w:before="240" w:after="240"/>
            </w:pPr>
            <w:r w:rsidRPr="0013396E">
              <w:t xml:space="preserve">Distribute by ICCP, and post on the </w:t>
            </w:r>
            <w:r w:rsidR="00693D2A" w:rsidRPr="0013396E">
              <w:t>ERCOT website</w:t>
            </w:r>
            <w:r w:rsidRPr="0013396E">
              <w:t xml:space="preserve">, System Lambda and the LMPs for each Resource Node, Load Zone and Hub, </w:t>
            </w:r>
            <w:r w:rsidR="00D373ED" w:rsidRPr="0013396E">
              <w:t xml:space="preserve">Real-Time MCPCs for each Ancillary Service, </w:t>
            </w:r>
            <w:r w:rsidRPr="0013396E">
              <w:t xml:space="preserve">and for the pricing run </w:t>
            </w:r>
            <w:r w:rsidRPr="0013396E">
              <w:rPr>
                <w:iCs w:val="0"/>
              </w:rPr>
              <w:t xml:space="preserve">as described in Section 6.5.7.3.1 </w:t>
            </w:r>
            <w:r w:rsidRPr="0013396E">
              <w:t xml:space="preserve">the total RUC/RMR MW relaxed, total Load Resource MW deployed that is added to the Demand, total ERS MW deployed that is added to the Demand, total emergency DC Tie MW that is added to or subtracted from the Demand, total BLT MW that is added to or subtracted from the Demand, Real-Time Reliability Deployment Price Adder </w:t>
            </w:r>
            <w:r w:rsidR="00D373ED" w:rsidRPr="0013396E">
              <w:t xml:space="preserve">for Energy, and Real-Time Reliability Deployment Price Adders for Ancillary Service </w:t>
            </w:r>
            <w:r w:rsidRPr="0013396E">
              <w:t xml:space="preserve">created for each SCED process.  These prices shall be posted immediately subsequent to deployment of Base Points </w:t>
            </w:r>
            <w:r w:rsidR="00D373ED" w:rsidRPr="0013396E">
              <w:t xml:space="preserve">and Ancillary Service awards </w:t>
            </w:r>
            <w:r w:rsidRPr="0013396E">
              <w:t>from SCED with the time stamp the prices are effective</w:t>
            </w:r>
          </w:p>
          <w:p w14:paraId="144B52AC" w14:textId="2B8DE38D" w:rsidR="000E55F3" w:rsidRPr="0013396E" w:rsidRDefault="000E55F3" w:rsidP="000E55F3">
            <w:pPr>
              <w:spacing w:before="240"/>
              <w:rPr>
                <w:iCs/>
                <w:sz w:val="20"/>
              </w:rPr>
            </w:pPr>
            <w:r w:rsidRPr="0013396E">
              <w:rPr>
                <w:iCs/>
                <w:sz w:val="20"/>
              </w:rPr>
              <w:t>Post on the ERCOT website the nodal prices for Settlement Only Distribution Generators (SODGs) and Settlement Only Transmission Generator (SOTGs).  These prices shall include Real-Time Reliability Deployment Price Adders</w:t>
            </w:r>
            <w:r w:rsidR="007964D8" w:rsidRPr="0013396E">
              <w:rPr>
                <w:iCs/>
                <w:sz w:val="20"/>
              </w:rPr>
              <w:t xml:space="preserve"> for Energy</w:t>
            </w:r>
            <w:r w:rsidRPr="0013396E">
              <w:rPr>
                <w:iCs/>
                <w:sz w:val="20"/>
              </w:rPr>
              <w:t xml:space="preserve"> created for each SCED process.  These prices shall be posted </w:t>
            </w:r>
            <w:r w:rsidRPr="0013396E">
              <w:rPr>
                <w:iCs/>
                <w:sz w:val="20"/>
              </w:rPr>
              <w:lastRenderedPageBreak/>
              <w:t>immediately subsequent to deployment of Base Points from SCED with the time stamp the prices are effective</w:t>
            </w:r>
          </w:p>
          <w:p w14:paraId="70E9BA9C" w14:textId="4A25EE65" w:rsidR="001F04FD" w:rsidRPr="0013396E" w:rsidRDefault="001F04FD" w:rsidP="00E87687">
            <w:pPr>
              <w:pStyle w:val="TableBody"/>
              <w:spacing w:before="240" w:after="0"/>
            </w:pPr>
            <w:r w:rsidRPr="0013396E">
              <w:t xml:space="preserve">Post LMPs for each Electrical Bus on the </w:t>
            </w:r>
            <w:r w:rsidR="00693D2A" w:rsidRPr="0013396E">
              <w:t>ERCOT website</w:t>
            </w:r>
            <w:r w:rsidRPr="0013396E">
              <w:t>.  These prices shall be posted immediately subsequent to deployment of Base Points from each binding SCED with the time stamp the prices are effective</w:t>
            </w:r>
          </w:p>
          <w:p w14:paraId="0532DBC2" w14:textId="6C026C84" w:rsidR="001F04FD" w:rsidRPr="0013396E" w:rsidRDefault="00DB6E87" w:rsidP="00826982">
            <w:pPr>
              <w:pStyle w:val="TableBody"/>
              <w:spacing w:before="240" w:after="240"/>
            </w:pPr>
            <w:r w:rsidRPr="0013396E">
              <w:t xml:space="preserve">Post on the </w:t>
            </w:r>
            <w:r w:rsidR="00693D2A" w:rsidRPr="0013396E">
              <w:t>ERCOT website</w:t>
            </w:r>
            <w:r w:rsidRPr="0013396E">
              <w:t xml:space="preserve"> the projected non-binding LMPs </w:t>
            </w:r>
            <w:r w:rsidR="007964D8" w:rsidRPr="0013396E">
              <w:t xml:space="preserve">for each Resource Node, and Real-Time MCPCs for each Ancillary Service </w:t>
            </w:r>
            <w:r w:rsidRPr="0013396E">
              <w:t xml:space="preserve">created by each SCED process </w:t>
            </w:r>
            <w:r w:rsidRPr="0013396E">
              <w:rPr>
                <w:iCs w:val="0"/>
              </w:rPr>
              <w:t>and for the projected non-binding pricing runs as described in Section 6.5.7.3.1 the total RUC/RMR MW relaxed, total Load Resource MW deployed that is added to Demand,</w:t>
            </w:r>
            <w:r w:rsidRPr="0013396E">
              <w:t xml:space="preserve"> total emergency DC Tie MW that is added to or subtracted from the Demand, total BLT MW that is added to or subtracted from the Demand,</w:t>
            </w:r>
            <w:r w:rsidRPr="0013396E">
              <w:rPr>
                <w:iCs w:val="0"/>
              </w:rPr>
              <w:t xml:space="preserve"> total ERS MW deployed that is added to the Demand, Real-Time Reliability Deployment Price Adder </w:t>
            </w:r>
            <w:r w:rsidR="007964D8" w:rsidRPr="0013396E">
              <w:t xml:space="preserve">for Energy, Real-Time Reliability Deployment Price Adders for Ancillary Service, </w:t>
            </w:r>
            <w:r w:rsidRPr="0013396E">
              <w:rPr>
                <w:iCs w:val="0"/>
              </w:rPr>
              <w:t>and</w:t>
            </w:r>
            <w:r w:rsidRPr="0013396E">
              <w:t xml:space="preserve"> the projected Hub LMPs and Load Zone LMPs.  These projected prices shall be posted at a frequency of every five minutes from SCED for at least 15 minutes in the future with the time stamp of the SCED process that produced the projections</w:t>
            </w:r>
            <w:r w:rsidR="001F04FD" w:rsidRPr="0013396E">
              <w:t xml:space="preserve"> </w:t>
            </w:r>
          </w:p>
          <w:p w14:paraId="4060F503" w14:textId="0F4A8A85" w:rsidR="001F04FD" w:rsidRPr="0013396E" w:rsidRDefault="001F04FD" w:rsidP="00F26F08">
            <w:pPr>
              <w:pStyle w:val="TableBody"/>
              <w:spacing w:before="240" w:after="0"/>
            </w:pPr>
            <w:r w:rsidRPr="0013396E">
              <w:t xml:space="preserve">Post on the MIS Certified Area the projected non-binding Base Points </w:t>
            </w:r>
            <w:r w:rsidR="007964D8" w:rsidRPr="0013396E">
              <w:t xml:space="preserve">and Ancillary Service awards </w:t>
            </w:r>
            <w:r w:rsidRPr="0013396E">
              <w:t>for each Resource created by each SCED process.  These projected non-binding Base Points shall be posted at a frequency of every five minutes from SCED for at least 15 minutes in the future with the time stamp of the SCED process that produced the projections</w:t>
            </w:r>
            <w:r w:rsidR="007964D8" w:rsidRPr="0013396E">
              <w:t>.  In posting Ancillary Service awards, the awards shall be broken out by Ancillary Service sub-type, where applicable.</w:t>
            </w:r>
          </w:p>
          <w:p w14:paraId="62A4484F" w14:textId="77777777" w:rsidR="001F04FD" w:rsidRPr="0013396E" w:rsidRDefault="001F04FD" w:rsidP="00AC4DEE">
            <w:pPr>
              <w:pStyle w:val="TableBody"/>
              <w:spacing w:after="0"/>
            </w:pPr>
          </w:p>
          <w:p w14:paraId="5376DED5" w14:textId="49A797AD" w:rsidR="001F04FD" w:rsidRPr="0013396E" w:rsidRDefault="001F04FD" w:rsidP="00AC4DEE">
            <w:pPr>
              <w:pStyle w:val="TableBody"/>
              <w:spacing w:after="0"/>
            </w:pPr>
            <w:r w:rsidRPr="0013396E">
              <w:t xml:space="preserve">Post each hour on the </w:t>
            </w:r>
            <w:r w:rsidR="00693D2A" w:rsidRPr="0013396E">
              <w:t>ERCOT website</w:t>
            </w:r>
            <w:r w:rsidRPr="0013396E">
              <w:t xml:space="preserve"> binding SCED Shadow Prices and active binding transmission constraints by Transmission Element name (contingency /overloaded element pairs) </w:t>
            </w:r>
          </w:p>
          <w:p w14:paraId="124F6CF2" w14:textId="77777777" w:rsidR="001F04FD" w:rsidRPr="0013396E" w:rsidRDefault="001F04FD" w:rsidP="00AC4DEE">
            <w:pPr>
              <w:pStyle w:val="TableBody"/>
              <w:spacing w:after="0"/>
            </w:pPr>
          </w:p>
          <w:p w14:paraId="57739754" w14:textId="6E1BD293" w:rsidR="001F04FD" w:rsidRPr="0013396E" w:rsidRDefault="001F04FD" w:rsidP="00AC4DEE">
            <w:pPr>
              <w:pStyle w:val="TableBody"/>
              <w:spacing w:after="0"/>
            </w:pPr>
            <w:r w:rsidRPr="0013396E">
              <w:lastRenderedPageBreak/>
              <w:t xml:space="preserve">Post </w:t>
            </w:r>
            <w:r w:rsidR="00CE3A65" w:rsidRPr="0013396E">
              <w:t xml:space="preserve">on </w:t>
            </w:r>
            <w:r w:rsidRPr="0013396E">
              <w:t xml:space="preserve">the </w:t>
            </w:r>
            <w:r w:rsidR="000E55F3" w:rsidRPr="0013396E">
              <w:t xml:space="preserve">ERCOT website the </w:t>
            </w:r>
            <w:r w:rsidRPr="0013396E">
              <w:t>Settlement Point Prices for each Settlement Point</w:t>
            </w:r>
            <w:r w:rsidR="007964D8" w:rsidRPr="0013396E">
              <w:t>,</w:t>
            </w:r>
            <w:r w:rsidR="000E55F3" w:rsidRPr="0013396E">
              <w:rPr>
                <w:iCs w:val="0"/>
              </w:rPr>
              <w:t xml:space="preserve"> the Real-Time price for each SODG and SOTG</w:t>
            </w:r>
            <w:r w:rsidR="007964D8" w:rsidRPr="0013396E">
              <w:rPr>
                <w:iCs w:val="0"/>
              </w:rPr>
              <w:t>,</w:t>
            </w:r>
            <w:r w:rsidR="007964D8" w:rsidRPr="0013396E">
              <w:t xml:space="preserve"> and Settlement Interval MCPCs for Ancillary Services</w:t>
            </w:r>
            <w:r w:rsidR="000E55F3" w:rsidRPr="0013396E">
              <w:rPr>
                <w:iCs w:val="0"/>
              </w:rPr>
              <w:t xml:space="preserve"> </w:t>
            </w:r>
            <w:r w:rsidRPr="0013396E">
              <w:t>immediately following the end of each Settlement Interval</w:t>
            </w:r>
          </w:p>
          <w:p w14:paraId="34955C31" w14:textId="77777777" w:rsidR="007964D8" w:rsidRPr="0013396E" w:rsidRDefault="007964D8" w:rsidP="007964D8">
            <w:pPr>
              <w:tabs>
                <w:tab w:val="left" w:pos="1350"/>
              </w:tabs>
              <w:spacing w:before="240"/>
              <w:rPr>
                <w:iCs/>
                <w:sz w:val="20"/>
              </w:rPr>
            </w:pPr>
            <w:r w:rsidRPr="0013396E">
              <w:rPr>
                <w:iCs/>
                <w:sz w:val="20"/>
              </w:rPr>
              <w:t>By Settlement Interval, post the 15-minute Real-Time Reliability Deployment Price for Energy, and the 15-minute Real-Time Reliability Deployment Price for Ancillary Service for each of the Ancillary Services.</w:t>
            </w:r>
          </w:p>
          <w:p w14:paraId="334517FF" w14:textId="6B0D72A0" w:rsidR="001F04FD" w:rsidRPr="0013396E" w:rsidRDefault="001F04FD" w:rsidP="00693D2A">
            <w:pPr>
              <w:pStyle w:val="TableBody"/>
              <w:spacing w:after="0"/>
            </w:pPr>
          </w:p>
        </w:tc>
      </w:tr>
    </w:tbl>
    <w:p w14:paraId="3E37B558" w14:textId="77777777" w:rsidR="00C61B40" w:rsidRPr="0013396E" w:rsidRDefault="00C61B40" w:rsidP="00C61B40">
      <w:pPr>
        <w:pStyle w:val="BodyTextNumbered"/>
        <w:spacing w:after="0"/>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816"/>
      </w:tblGrid>
      <w:tr w:rsidR="00C61B40" w:rsidRPr="0013396E" w14:paraId="43CDACAF" w14:textId="77777777" w:rsidTr="00C61B40">
        <w:trPr>
          <w:trHeight w:val="206"/>
        </w:trPr>
        <w:tc>
          <w:tcPr>
            <w:tcW w:w="9625" w:type="dxa"/>
            <w:shd w:val="pct12" w:color="auto" w:fill="auto"/>
          </w:tcPr>
          <w:p w14:paraId="7A34CD5A" w14:textId="7F6CD4F1" w:rsidR="00C61B40" w:rsidRPr="0013396E" w:rsidRDefault="00C61B40" w:rsidP="0058150D">
            <w:pPr>
              <w:pStyle w:val="Instructions"/>
              <w:spacing w:before="120"/>
            </w:pPr>
            <w:r w:rsidRPr="0013396E">
              <w:t>[</w:t>
            </w:r>
            <w:r w:rsidR="008A5A12" w:rsidRPr="0013396E">
              <w:t xml:space="preserve">NPRR829, NPRR904, </w:t>
            </w:r>
            <w:r w:rsidR="00E21F4F" w:rsidRPr="0013396E">
              <w:t xml:space="preserve">NPRR995, </w:t>
            </w:r>
            <w:r w:rsidR="008A5A12" w:rsidRPr="0013396E">
              <w:t>NPRR1006</w:t>
            </w:r>
            <w:r w:rsidR="00853AD7" w:rsidRPr="0013396E">
              <w:t xml:space="preserve">, </w:t>
            </w:r>
            <w:r w:rsidR="004D1724" w:rsidRPr="0013396E">
              <w:t>NPRR1077</w:t>
            </w:r>
            <w:r w:rsidR="00AD58D8" w:rsidRPr="0013396E">
              <w:t xml:space="preserve">, </w:t>
            </w:r>
            <w:r w:rsidR="009C388E" w:rsidRPr="0013396E">
              <w:t xml:space="preserve">NPRR1226, </w:t>
            </w:r>
            <w:r w:rsidR="00AD58D8" w:rsidRPr="0013396E">
              <w:t>and NPRR1253</w:t>
            </w:r>
            <w:r w:rsidRPr="0013396E">
              <w:t>:  Replace applicable portions of paragraph (2) above with the following upon system implementation:]</w:t>
            </w:r>
          </w:p>
          <w:p w14:paraId="63429248" w14:textId="77777777" w:rsidR="008A5A12" w:rsidRPr="0013396E" w:rsidRDefault="008A5A12" w:rsidP="008A5A12">
            <w:pPr>
              <w:spacing w:after="240"/>
              <w:ind w:left="720" w:hanging="720"/>
              <w:rPr>
                <w:iCs/>
              </w:rPr>
            </w:pPr>
            <w:r w:rsidRPr="0013396E">
              <w:rPr>
                <w:iCs/>
              </w:rPr>
              <w:t>(2)</w:t>
            </w:r>
            <w:r w:rsidRPr="0013396E">
              <w:rPr>
                <w:iCs/>
              </w:rPr>
              <w:tab/>
              <w:t>The following table summarizes the timeline for the Operating Period and the activities of QSEs and ERCOT during Real-Time operations where “T” represents any instant within the Operating Hour.  The table is intended to be only a general guide and not controlling language, and any conflict between this table and another section of the Protocols is controlled by the other section: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3477"/>
              <w:gridCol w:w="3823"/>
            </w:tblGrid>
            <w:tr w:rsidR="008A5A12" w:rsidRPr="0013396E" w14:paraId="02ACDD09" w14:textId="77777777" w:rsidTr="0058150D">
              <w:trPr>
                <w:cantSplit/>
                <w:trHeight w:val="440"/>
                <w:tblHeader/>
              </w:trPr>
              <w:tc>
                <w:tcPr>
                  <w:tcW w:w="2276" w:type="dxa"/>
                </w:tcPr>
                <w:p w14:paraId="081FEB67" w14:textId="77777777" w:rsidR="008A5A12" w:rsidRPr="0013396E" w:rsidRDefault="008A5A12" w:rsidP="008A5A12">
                  <w:pPr>
                    <w:spacing w:after="60"/>
                    <w:rPr>
                      <w:b/>
                      <w:iCs/>
                      <w:sz w:val="20"/>
                    </w:rPr>
                  </w:pPr>
                  <w:r w:rsidRPr="0013396E">
                    <w:rPr>
                      <w:b/>
                      <w:iCs/>
                      <w:sz w:val="20"/>
                    </w:rPr>
                    <w:t>Operating Period</w:t>
                  </w:r>
                </w:p>
              </w:tc>
              <w:tc>
                <w:tcPr>
                  <w:tcW w:w="3477" w:type="dxa"/>
                </w:tcPr>
                <w:p w14:paraId="4B96796D" w14:textId="77777777" w:rsidR="008A5A12" w:rsidRPr="0013396E" w:rsidRDefault="008A5A12" w:rsidP="008A5A12">
                  <w:pPr>
                    <w:spacing w:after="60"/>
                    <w:rPr>
                      <w:b/>
                      <w:bCs/>
                      <w:iCs/>
                      <w:sz w:val="20"/>
                    </w:rPr>
                  </w:pPr>
                  <w:r w:rsidRPr="0013396E">
                    <w:rPr>
                      <w:b/>
                      <w:bCs/>
                      <w:iCs/>
                      <w:sz w:val="20"/>
                    </w:rPr>
                    <w:t>QSE Activities</w:t>
                  </w:r>
                </w:p>
              </w:tc>
              <w:tc>
                <w:tcPr>
                  <w:tcW w:w="3823" w:type="dxa"/>
                </w:tcPr>
                <w:p w14:paraId="66BD2E7A" w14:textId="77777777" w:rsidR="008A5A12" w:rsidRPr="0013396E" w:rsidRDefault="008A5A12" w:rsidP="008A5A12">
                  <w:pPr>
                    <w:spacing w:after="60"/>
                    <w:rPr>
                      <w:b/>
                      <w:bCs/>
                      <w:iCs/>
                      <w:sz w:val="20"/>
                    </w:rPr>
                  </w:pPr>
                  <w:r w:rsidRPr="0013396E">
                    <w:rPr>
                      <w:b/>
                      <w:bCs/>
                      <w:iCs/>
                      <w:sz w:val="20"/>
                    </w:rPr>
                    <w:t>ERCOT Activities</w:t>
                  </w:r>
                </w:p>
              </w:tc>
            </w:tr>
            <w:tr w:rsidR="008A5A12" w:rsidRPr="0013396E" w14:paraId="3326862F" w14:textId="77777777" w:rsidTr="0058150D">
              <w:trPr>
                <w:cantSplit/>
                <w:trHeight w:val="576"/>
              </w:trPr>
              <w:tc>
                <w:tcPr>
                  <w:tcW w:w="2276" w:type="dxa"/>
                </w:tcPr>
                <w:p w14:paraId="3CA84629" w14:textId="77777777" w:rsidR="008A5A12" w:rsidRPr="0013396E" w:rsidRDefault="008A5A12" w:rsidP="008A5A12">
                  <w:pPr>
                    <w:spacing w:after="60"/>
                    <w:rPr>
                      <w:iCs/>
                      <w:sz w:val="20"/>
                    </w:rPr>
                  </w:pPr>
                  <w:r w:rsidRPr="0013396E">
                    <w:rPr>
                      <w:iCs/>
                      <w:sz w:val="20"/>
                    </w:rPr>
                    <w:t xml:space="preserve">During the first hour of the Operating Period </w:t>
                  </w:r>
                </w:p>
              </w:tc>
              <w:tc>
                <w:tcPr>
                  <w:tcW w:w="3477" w:type="dxa"/>
                </w:tcPr>
                <w:p w14:paraId="1E986CF7" w14:textId="77777777" w:rsidR="008A5A12" w:rsidRPr="0013396E" w:rsidRDefault="008A5A12" w:rsidP="008A5A12">
                  <w:pPr>
                    <w:spacing w:after="60"/>
                    <w:rPr>
                      <w:iCs/>
                      <w:sz w:val="20"/>
                    </w:rPr>
                  </w:pPr>
                </w:p>
              </w:tc>
              <w:tc>
                <w:tcPr>
                  <w:tcW w:w="3823" w:type="dxa"/>
                </w:tcPr>
                <w:p w14:paraId="5898F095" w14:textId="77777777" w:rsidR="008A5A12" w:rsidRPr="0013396E" w:rsidRDefault="008A5A12" w:rsidP="008A5A12">
                  <w:pPr>
                    <w:rPr>
                      <w:iCs/>
                      <w:sz w:val="20"/>
                    </w:rPr>
                  </w:pPr>
                  <w:r w:rsidRPr="0013396E">
                    <w:rPr>
                      <w:iCs/>
                      <w:sz w:val="20"/>
                    </w:rPr>
                    <w:t>Execute the Hour-Ahead Sequence, including HRUC, beginning with the second hour of the Operating Period</w:t>
                  </w:r>
                </w:p>
                <w:p w14:paraId="7E526E73" w14:textId="77777777" w:rsidR="008A5A12" w:rsidRPr="0013396E" w:rsidRDefault="008A5A12" w:rsidP="008A5A12">
                  <w:pPr>
                    <w:rPr>
                      <w:iCs/>
                      <w:sz w:val="20"/>
                    </w:rPr>
                  </w:pPr>
                </w:p>
                <w:p w14:paraId="3B642851" w14:textId="77777777" w:rsidR="008A5A12" w:rsidRPr="0013396E" w:rsidRDefault="008A5A12" w:rsidP="008A5A12">
                  <w:pPr>
                    <w:rPr>
                      <w:iCs/>
                      <w:sz w:val="20"/>
                    </w:rPr>
                  </w:pPr>
                  <w:r w:rsidRPr="0013396E">
                    <w:rPr>
                      <w:iCs/>
                      <w:sz w:val="20"/>
                    </w:rPr>
                    <w:t>Review the list of Off-Line Available Resources with a start-up time of one hour or less</w:t>
                  </w:r>
                </w:p>
                <w:p w14:paraId="0C6B6CB1" w14:textId="77777777" w:rsidR="008A5A12" w:rsidRPr="0013396E" w:rsidRDefault="008A5A12" w:rsidP="008A5A12">
                  <w:pPr>
                    <w:rPr>
                      <w:iCs/>
                      <w:sz w:val="20"/>
                    </w:rPr>
                  </w:pPr>
                </w:p>
                <w:p w14:paraId="10357DCC" w14:textId="77777777" w:rsidR="008A5A12" w:rsidRPr="0013396E" w:rsidRDefault="008A5A12" w:rsidP="008A5A12">
                  <w:pPr>
                    <w:rPr>
                      <w:iCs/>
                      <w:sz w:val="20"/>
                    </w:rPr>
                  </w:pPr>
                  <w:r w:rsidRPr="0013396E">
                    <w:rPr>
                      <w:iCs/>
                      <w:sz w:val="20"/>
                    </w:rPr>
                    <w:t>Review and communicate HRUC commitments and Direct Current Tie (DC Tie) Schedule curtailments</w:t>
                  </w:r>
                </w:p>
                <w:p w14:paraId="6F27B720" w14:textId="77777777" w:rsidR="008A5A12" w:rsidRPr="0013396E" w:rsidRDefault="008A5A12" w:rsidP="008A5A12">
                  <w:pPr>
                    <w:rPr>
                      <w:iCs/>
                      <w:sz w:val="20"/>
                    </w:rPr>
                  </w:pPr>
                </w:p>
                <w:p w14:paraId="61A9336B" w14:textId="77777777" w:rsidR="008A5A12" w:rsidRPr="0013396E" w:rsidRDefault="008A5A12" w:rsidP="008A5A12">
                  <w:pPr>
                    <w:rPr>
                      <w:iCs/>
                      <w:sz w:val="20"/>
                    </w:rPr>
                  </w:pPr>
                  <w:r w:rsidRPr="0013396E">
                    <w:rPr>
                      <w:iCs/>
                      <w:sz w:val="20"/>
                    </w:rPr>
                    <w:t>Snapshot the Scheduled Power Consumption for Controllable Load Resources</w:t>
                  </w:r>
                </w:p>
              </w:tc>
            </w:tr>
            <w:tr w:rsidR="008A5A12" w:rsidRPr="0013396E" w14:paraId="68234648" w14:textId="77777777" w:rsidTr="0058150D">
              <w:trPr>
                <w:cantSplit/>
                <w:trHeight w:val="395"/>
              </w:trPr>
              <w:tc>
                <w:tcPr>
                  <w:tcW w:w="2276" w:type="dxa"/>
                </w:tcPr>
                <w:p w14:paraId="53464A10" w14:textId="77777777" w:rsidR="008A5A12" w:rsidRPr="0013396E" w:rsidRDefault="008A5A12" w:rsidP="008A5A12">
                  <w:pPr>
                    <w:spacing w:after="60"/>
                    <w:rPr>
                      <w:iCs/>
                      <w:sz w:val="20"/>
                    </w:rPr>
                  </w:pPr>
                  <w:r w:rsidRPr="0013396E">
                    <w:rPr>
                      <w:iCs/>
                      <w:sz w:val="20"/>
                    </w:rPr>
                    <w:t>SCED run</w:t>
                  </w:r>
                </w:p>
              </w:tc>
              <w:tc>
                <w:tcPr>
                  <w:tcW w:w="3477" w:type="dxa"/>
                </w:tcPr>
                <w:p w14:paraId="4A942DCA" w14:textId="77777777" w:rsidR="008A5A12" w:rsidRPr="0013396E" w:rsidRDefault="008A5A12" w:rsidP="008A5A12">
                  <w:pPr>
                    <w:spacing w:after="60"/>
                    <w:rPr>
                      <w:iCs/>
                      <w:sz w:val="20"/>
                    </w:rPr>
                  </w:pPr>
                </w:p>
              </w:tc>
              <w:tc>
                <w:tcPr>
                  <w:tcW w:w="3823" w:type="dxa"/>
                </w:tcPr>
                <w:p w14:paraId="31AD8064" w14:textId="77777777" w:rsidR="008A5A12" w:rsidRPr="0013396E" w:rsidRDefault="008A5A12" w:rsidP="008A5A12">
                  <w:pPr>
                    <w:spacing w:after="60"/>
                    <w:rPr>
                      <w:iCs/>
                      <w:sz w:val="20"/>
                    </w:rPr>
                  </w:pPr>
                  <w:r w:rsidRPr="0013396E">
                    <w:rPr>
                      <w:iCs/>
                      <w:sz w:val="20"/>
                    </w:rPr>
                    <w:t>Execute SCED and pricing run to determine impact of reliability deployments on energy and Ancillary Service prices</w:t>
                  </w:r>
                </w:p>
              </w:tc>
            </w:tr>
            <w:tr w:rsidR="008A5A12" w:rsidRPr="0013396E" w14:paraId="48579037" w14:textId="77777777" w:rsidTr="0058150D">
              <w:trPr>
                <w:trHeight w:val="576"/>
              </w:trPr>
              <w:tc>
                <w:tcPr>
                  <w:tcW w:w="2276" w:type="dxa"/>
                </w:tcPr>
                <w:p w14:paraId="2C4C1CB6" w14:textId="77777777" w:rsidR="008A5A12" w:rsidRPr="0013396E" w:rsidRDefault="008A5A12" w:rsidP="008A5A12">
                  <w:pPr>
                    <w:spacing w:after="60"/>
                    <w:rPr>
                      <w:iCs/>
                      <w:sz w:val="20"/>
                    </w:rPr>
                  </w:pPr>
                  <w:r w:rsidRPr="0013396E">
                    <w:rPr>
                      <w:iCs/>
                      <w:sz w:val="20"/>
                    </w:rPr>
                    <w:t>During the Operating Hour</w:t>
                  </w:r>
                </w:p>
              </w:tc>
              <w:tc>
                <w:tcPr>
                  <w:tcW w:w="3477" w:type="dxa"/>
                </w:tcPr>
                <w:p w14:paraId="486E1774" w14:textId="77777777" w:rsidR="008A5A12" w:rsidRPr="0013396E" w:rsidRDefault="008A5A12" w:rsidP="008A5A12">
                  <w:pPr>
                    <w:rPr>
                      <w:iCs/>
                      <w:sz w:val="20"/>
                    </w:rPr>
                  </w:pPr>
                  <w:r w:rsidRPr="0013396E">
                    <w:rPr>
                      <w:iCs/>
                      <w:sz w:val="20"/>
                    </w:rPr>
                    <w:t>Acknowledge receipt of Dispatch Instructions</w:t>
                  </w:r>
                </w:p>
                <w:p w14:paraId="42869A94" w14:textId="77777777" w:rsidR="008A5A12" w:rsidRPr="0013396E" w:rsidRDefault="008A5A12" w:rsidP="008A5A12">
                  <w:pPr>
                    <w:rPr>
                      <w:iCs/>
                      <w:sz w:val="20"/>
                    </w:rPr>
                  </w:pPr>
                </w:p>
                <w:p w14:paraId="40E4E6A6" w14:textId="77777777" w:rsidR="008A5A12" w:rsidRPr="0013396E" w:rsidRDefault="008A5A12" w:rsidP="008A5A12">
                  <w:pPr>
                    <w:rPr>
                      <w:iCs/>
                      <w:sz w:val="20"/>
                    </w:rPr>
                  </w:pPr>
                  <w:r w:rsidRPr="0013396E">
                    <w:rPr>
                      <w:iCs/>
                      <w:sz w:val="20"/>
                    </w:rPr>
                    <w:t>Comply with Dispatch Instruction</w:t>
                  </w:r>
                </w:p>
                <w:p w14:paraId="287141B4" w14:textId="77777777" w:rsidR="008A5A12" w:rsidRPr="0013396E" w:rsidRDefault="008A5A12" w:rsidP="008A5A12">
                  <w:pPr>
                    <w:rPr>
                      <w:iCs/>
                      <w:sz w:val="20"/>
                    </w:rPr>
                  </w:pPr>
                  <w:r w:rsidRPr="0013396E">
                    <w:rPr>
                      <w:iCs/>
                      <w:sz w:val="20"/>
                    </w:rPr>
                    <w:t xml:space="preserve"> </w:t>
                  </w:r>
                </w:p>
                <w:p w14:paraId="1BF2503D" w14:textId="77777777" w:rsidR="008A5A12" w:rsidRPr="0013396E" w:rsidRDefault="008A5A12" w:rsidP="008A5A12">
                  <w:pPr>
                    <w:rPr>
                      <w:iCs/>
                      <w:sz w:val="20"/>
                    </w:rPr>
                  </w:pPr>
                  <w:r w:rsidRPr="0013396E">
                    <w:rPr>
                      <w:iCs/>
                      <w:sz w:val="20"/>
                    </w:rPr>
                    <w:lastRenderedPageBreak/>
                    <w:t>Review Resource Status to assure current state of the Resources is properly telemetered</w:t>
                  </w:r>
                </w:p>
                <w:p w14:paraId="39FCF054" w14:textId="77777777" w:rsidR="008A5A12" w:rsidRPr="0013396E" w:rsidRDefault="008A5A12" w:rsidP="008A5A12">
                  <w:pPr>
                    <w:rPr>
                      <w:iCs/>
                      <w:sz w:val="20"/>
                    </w:rPr>
                  </w:pPr>
                </w:p>
                <w:p w14:paraId="379C9AE3" w14:textId="77777777" w:rsidR="008A5A12" w:rsidRPr="0013396E" w:rsidRDefault="008A5A12" w:rsidP="008A5A12">
                  <w:pPr>
                    <w:rPr>
                      <w:iCs/>
                      <w:sz w:val="20"/>
                    </w:rPr>
                  </w:pPr>
                  <w:r w:rsidRPr="0013396E">
                    <w:rPr>
                      <w:iCs/>
                      <w:sz w:val="20"/>
                    </w:rPr>
                    <w:t>Update COP and telemetry with actual Resource Status and limits and Ancillary Service capabilities</w:t>
                  </w:r>
                </w:p>
                <w:p w14:paraId="0DEEBE2D" w14:textId="77777777" w:rsidR="008A5A12" w:rsidRPr="0013396E" w:rsidRDefault="008A5A12" w:rsidP="008A5A12">
                  <w:pPr>
                    <w:rPr>
                      <w:iCs/>
                      <w:sz w:val="20"/>
                    </w:rPr>
                  </w:pPr>
                </w:p>
                <w:p w14:paraId="1B02714F" w14:textId="77777777" w:rsidR="008A5A12" w:rsidRPr="0013396E" w:rsidRDefault="008A5A12" w:rsidP="008A5A12">
                  <w:pPr>
                    <w:rPr>
                      <w:iCs/>
                      <w:sz w:val="20"/>
                    </w:rPr>
                  </w:pPr>
                  <w:r w:rsidRPr="0013396E">
                    <w:rPr>
                      <w:iCs/>
                      <w:sz w:val="20"/>
                    </w:rPr>
                    <w:t>Submit and update Ancillary Service Offers</w:t>
                  </w:r>
                </w:p>
                <w:p w14:paraId="47C19693" w14:textId="77777777" w:rsidR="008A5A12" w:rsidRPr="0013396E" w:rsidRDefault="008A5A12" w:rsidP="008A5A12">
                  <w:pPr>
                    <w:rPr>
                      <w:iCs/>
                      <w:sz w:val="20"/>
                    </w:rPr>
                  </w:pPr>
                </w:p>
                <w:p w14:paraId="68BA6C0D" w14:textId="77777777" w:rsidR="008A5A12" w:rsidRPr="0013396E" w:rsidRDefault="008A5A12" w:rsidP="008A5A12">
                  <w:pPr>
                    <w:rPr>
                      <w:iCs/>
                      <w:sz w:val="20"/>
                    </w:rPr>
                  </w:pPr>
                  <w:r w:rsidRPr="0013396E">
                    <w:rPr>
                      <w:iCs/>
                      <w:sz w:val="20"/>
                    </w:rPr>
                    <w:t xml:space="preserve">Communicate Resource Forced Outages to ERCOT </w:t>
                  </w:r>
                </w:p>
                <w:p w14:paraId="52D02914" w14:textId="77777777" w:rsidR="008A5A12" w:rsidRPr="0013396E" w:rsidRDefault="008A5A12" w:rsidP="008A5A12">
                  <w:pPr>
                    <w:rPr>
                      <w:iCs/>
                      <w:sz w:val="20"/>
                    </w:rPr>
                  </w:pPr>
                </w:p>
                <w:p w14:paraId="357172EC" w14:textId="086453A2" w:rsidR="00853AD7" w:rsidRPr="0013396E" w:rsidRDefault="00853AD7" w:rsidP="00853AD7">
                  <w:pPr>
                    <w:rPr>
                      <w:iCs/>
                      <w:sz w:val="20"/>
                    </w:rPr>
                  </w:pPr>
                  <w:r w:rsidRPr="0013396E">
                    <w:rPr>
                      <w:iCs/>
                      <w:sz w:val="20"/>
                    </w:rPr>
                    <w:t xml:space="preserve">Submit and update Energy Offer Curves and/or RTM Energy Bids </w:t>
                  </w:r>
                </w:p>
                <w:p w14:paraId="16C4D5DC" w14:textId="77777777" w:rsidR="008A5A12" w:rsidRPr="0013396E" w:rsidRDefault="008A5A12" w:rsidP="008A5A12">
                  <w:pPr>
                    <w:rPr>
                      <w:iCs/>
                      <w:sz w:val="20"/>
                    </w:rPr>
                  </w:pPr>
                </w:p>
              </w:tc>
              <w:tc>
                <w:tcPr>
                  <w:tcW w:w="3823" w:type="dxa"/>
                </w:tcPr>
                <w:p w14:paraId="184D1A7D" w14:textId="6F5833E7" w:rsidR="008A5A12" w:rsidRPr="0013396E" w:rsidRDefault="00C92338" w:rsidP="00985A9C">
                  <w:pPr>
                    <w:tabs>
                      <w:tab w:val="left" w:pos="2521"/>
                    </w:tabs>
                    <w:spacing w:after="240"/>
                    <w:rPr>
                      <w:iCs/>
                      <w:sz w:val="20"/>
                    </w:rPr>
                  </w:pPr>
                  <w:r w:rsidRPr="0013396E">
                    <w:rPr>
                      <w:iCs/>
                      <w:sz w:val="20"/>
                    </w:rPr>
                    <w:lastRenderedPageBreak/>
                    <w:t xml:space="preserve">Communicate all binding Base Points, Updated Desired Set Points (UDSPs), Ancillary Service awards, Dispatch Instructions, LMPs for energy, Real-Time MCPCs for Ancillary Services, and for the pricing run </w:t>
                  </w:r>
                  <w:r w:rsidRPr="0013396E">
                    <w:rPr>
                      <w:sz w:val="20"/>
                    </w:rPr>
                    <w:t xml:space="preserve">as described in Section 6.5.7.3.1, Determination of Real-Time Reliability </w:t>
                  </w:r>
                  <w:r w:rsidRPr="0013396E">
                    <w:rPr>
                      <w:sz w:val="20"/>
                    </w:rPr>
                    <w:lastRenderedPageBreak/>
                    <w:t xml:space="preserve">Deployment Price Adders, </w:t>
                  </w:r>
                  <w:r w:rsidRPr="0013396E">
                    <w:rPr>
                      <w:iCs/>
                      <w:sz w:val="20"/>
                    </w:rPr>
                    <w:t>the total Reliability Unit Commitment (RUC)/Reliability Must-Run (RMR) MW relaxed, total Load Resource MW deployed that is added to the Demand</w:t>
                  </w:r>
                  <w:r w:rsidRPr="0013396E">
                    <w:rPr>
                      <w:sz w:val="20"/>
                    </w:rPr>
                    <w:t>, total Transmission and/or Distribution Service Provider (TDSP) standard offer Load management MW deployed that is added to the Demand,</w:t>
                  </w:r>
                  <w:r w:rsidRPr="0013396E">
                    <w:rPr>
                      <w:iCs/>
                      <w:sz w:val="20"/>
                    </w:rPr>
                    <w:t xml:space="preserve"> total Emergency Response Service (ERS) MW deployed that is added to the Demand, total ERCOT-directed DC Tie MW that is added to or subtracted from the Demand, total Block Load Transfer (BLT) MW that is added to or subtracted from the Demand Real-Time Reliability Deployment Price Adder for Energy, and Real-Time Reliability Deployment Price Adders for Ancillary Service using Inter-Control Center Communications Protocol (ICCP) or Verbal Dispatch Instructions (VDIs).  In communicating Ancillary Service awards, the awards shall be broken out by Ancillary Service sub-type, where applicable</w:t>
                  </w:r>
                </w:p>
                <w:p w14:paraId="2516A158" w14:textId="77777777" w:rsidR="008A5A12" w:rsidRPr="0013396E" w:rsidRDefault="008A5A12" w:rsidP="008A5A12">
                  <w:pPr>
                    <w:spacing w:before="240"/>
                    <w:rPr>
                      <w:iCs/>
                      <w:sz w:val="20"/>
                    </w:rPr>
                  </w:pPr>
                  <w:r w:rsidRPr="0013396E">
                    <w:rPr>
                      <w:iCs/>
                      <w:sz w:val="20"/>
                    </w:rPr>
                    <w:t>Monitor Resource Status and identify discrepancies between COP and telemetered Resource Status</w:t>
                  </w:r>
                </w:p>
                <w:p w14:paraId="703879EB" w14:textId="77777777" w:rsidR="008A5A12" w:rsidRPr="0013396E" w:rsidRDefault="008A5A12" w:rsidP="008A5A12">
                  <w:pPr>
                    <w:rPr>
                      <w:iCs/>
                      <w:sz w:val="20"/>
                    </w:rPr>
                  </w:pPr>
                </w:p>
                <w:p w14:paraId="41AA1B1E" w14:textId="77777777" w:rsidR="008A5A12" w:rsidRPr="0013396E" w:rsidRDefault="008A5A12" w:rsidP="008A5A12">
                  <w:pPr>
                    <w:rPr>
                      <w:iCs/>
                      <w:sz w:val="20"/>
                    </w:rPr>
                  </w:pPr>
                  <w:r w:rsidRPr="0013396E">
                    <w:rPr>
                      <w:iCs/>
                      <w:sz w:val="20"/>
                    </w:rPr>
                    <w:t>Restart Real-Time Sequence on major change of Resource or Transmission Element Status</w:t>
                  </w:r>
                </w:p>
                <w:p w14:paraId="35DF135C" w14:textId="77777777" w:rsidR="008A5A12" w:rsidRPr="0013396E" w:rsidRDefault="008A5A12" w:rsidP="008A5A12">
                  <w:pPr>
                    <w:rPr>
                      <w:iCs/>
                      <w:sz w:val="20"/>
                    </w:rPr>
                  </w:pPr>
                </w:p>
                <w:p w14:paraId="49F67282" w14:textId="77777777" w:rsidR="008A5A12" w:rsidRPr="0013396E" w:rsidRDefault="008A5A12" w:rsidP="008A5A12">
                  <w:pPr>
                    <w:rPr>
                      <w:b/>
                      <w:iCs/>
                      <w:sz w:val="20"/>
                    </w:rPr>
                  </w:pPr>
                  <w:r w:rsidRPr="0013396E">
                    <w:rPr>
                      <w:iCs/>
                      <w:sz w:val="20"/>
                    </w:rPr>
                    <w:t>Monitor ERCOT total system capacity providing Ancillary Services</w:t>
                  </w:r>
                  <w:r w:rsidRPr="0013396E">
                    <w:rPr>
                      <w:b/>
                      <w:iCs/>
                      <w:sz w:val="20"/>
                    </w:rPr>
                    <w:t xml:space="preserve"> </w:t>
                  </w:r>
                </w:p>
                <w:p w14:paraId="0E93C703" w14:textId="77777777" w:rsidR="008A5A12" w:rsidRPr="0013396E" w:rsidRDefault="008A5A12" w:rsidP="008A5A12">
                  <w:pPr>
                    <w:rPr>
                      <w:iCs/>
                      <w:sz w:val="20"/>
                    </w:rPr>
                  </w:pPr>
                </w:p>
                <w:p w14:paraId="56467323" w14:textId="21C35FE6" w:rsidR="008A5A12" w:rsidRPr="0013396E" w:rsidRDefault="008A5A12" w:rsidP="008A5A12">
                  <w:pPr>
                    <w:rPr>
                      <w:iCs/>
                      <w:sz w:val="20"/>
                    </w:rPr>
                  </w:pPr>
                  <w:r w:rsidRPr="0013396E">
                    <w:rPr>
                      <w:iCs/>
                      <w:sz w:val="20"/>
                    </w:rPr>
                    <w:t>Validate COP information</w:t>
                  </w:r>
                </w:p>
                <w:p w14:paraId="5F42B79F" w14:textId="77777777" w:rsidR="00070608" w:rsidRPr="0013396E" w:rsidRDefault="00070608" w:rsidP="008A5A12">
                  <w:pPr>
                    <w:rPr>
                      <w:iCs/>
                      <w:sz w:val="20"/>
                    </w:rPr>
                  </w:pPr>
                </w:p>
                <w:p w14:paraId="6104163E" w14:textId="74D62296" w:rsidR="00070608" w:rsidRPr="0013396E" w:rsidRDefault="00070608" w:rsidP="008A5A12">
                  <w:pPr>
                    <w:rPr>
                      <w:iCs/>
                      <w:sz w:val="20"/>
                    </w:rPr>
                  </w:pPr>
                  <w:r w:rsidRPr="0013396E">
                    <w:rPr>
                      <w:iCs/>
                      <w:sz w:val="20"/>
                    </w:rPr>
                    <w:t>Validate Ancillary Service Trades</w:t>
                  </w:r>
                </w:p>
                <w:p w14:paraId="67BBF6A1" w14:textId="77777777" w:rsidR="008A5A12" w:rsidRPr="0013396E" w:rsidRDefault="008A5A12" w:rsidP="008A5A12">
                  <w:pPr>
                    <w:rPr>
                      <w:iCs/>
                      <w:sz w:val="20"/>
                    </w:rPr>
                  </w:pPr>
                </w:p>
                <w:p w14:paraId="30F1746D" w14:textId="77777777" w:rsidR="008A5A12" w:rsidRPr="0013396E" w:rsidRDefault="008A5A12" w:rsidP="008A5A12">
                  <w:pPr>
                    <w:rPr>
                      <w:iCs/>
                      <w:sz w:val="20"/>
                    </w:rPr>
                  </w:pPr>
                  <w:r w:rsidRPr="0013396E">
                    <w:rPr>
                      <w:iCs/>
                      <w:sz w:val="20"/>
                    </w:rPr>
                    <w:t>Monitor ERCOT control performance</w:t>
                  </w:r>
                </w:p>
                <w:p w14:paraId="3A0C4FB1" w14:textId="77777777" w:rsidR="008A5A12" w:rsidRPr="0013396E" w:rsidRDefault="008A5A12" w:rsidP="008A5A12">
                  <w:pPr>
                    <w:rPr>
                      <w:iCs/>
                      <w:sz w:val="20"/>
                    </w:rPr>
                  </w:pPr>
                </w:p>
                <w:p w14:paraId="055A07D4" w14:textId="709110B8" w:rsidR="008A5A12" w:rsidRPr="0013396E" w:rsidRDefault="00C92338" w:rsidP="008A5A12">
                  <w:pPr>
                    <w:spacing w:after="240"/>
                    <w:rPr>
                      <w:iCs/>
                      <w:sz w:val="20"/>
                    </w:rPr>
                  </w:pPr>
                  <w:r w:rsidRPr="0013396E">
                    <w:rPr>
                      <w:iCs/>
                      <w:sz w:val="20"/>
                    </w:rPr>
                    <w:t xml:space="preserve">Distribute by ICCP, and post on the </w:t>
                  </w:r>
                  <w:r w:rsidR="0007207E" w:rsidRPr="0013396E">
                    <w:rPr>
                      <w:iCs/>
                      <w:sz w:val="20"/>
                    </w:rPr>
                    <w:t>ERCOT website</w:t>
                  </w:r>
                  <w:r w:rsidRPr="0013396E">
                    <w:rPr>
                      <w:iCs/>
                      <w:sz w:val="20"/>
                    </w:rPr>
                    <w:t xml:space="preserve">, System Lambda and the LMPs for each Resource Node, Load Zone and Hub, and Real-Time MCPCs for each Ancillary Service, and for the pricing run </w:t>
                  </w:r>
                  <w:r w:rsidRPr="0013396E">
                    <w:rPr>
                      <w:sz w:val="20"/>
                    </w:rPr>
                    <w:t xml:space="preserve">as described in Section 6.5.7.3.1 </w:t>
                  </w:r>
                  <w:r w:rsidRPr="0013396E">
                    <w:rPr>
                      <w:iCs/>
                      <w:sz w:val="20"/>
                    </w:rPr>
                    <w:t xml:space="preserve">the total RUC/RMR MW relaxed, total Load Resource MW deployed that is added to the Demand, total ERS MW deployed that is added to the Demand, </w:t>
                  </w:r>
                  <w:r w:rsidRPr="0013396E">
                    <w:rPr>
                      <w:sz w:val="20"/>
                    </w:rPr>
                    <w:t xml:space="preserve">total TDSP standard offer Load management MW deployed that is added to the Demand, </w:t>
                  </w:r>
                  <w:r w:rsidRPr="0013396E">
                    <w:rPr>
                      <w:iCs/>
                      <w:sz w:val="20"/>
                    </w:rPr>
                    <w:t xml:space="preserve">total ERCOT-directed DC Tie MW that is added to or subtracted from the </w:t>
                  </w:r>
                  <w:r w:rsidRPr="0013396E">
                    <w:rPr>
                      <w:iCs/>
                      <w:sz w:val="20"/>
                    </w:rPr>
                    <w:lastRenderedPageBreak/>
                    <w:t>Demand, total BLT MW that is added to or subtracted from the Demand, Real-Time Reliability Deployment Price Adder for Energy, and Real-Time Reliability Deployment Price Adders for Ancillary Service</w:t>
                  </w:r>
                  <w:r w:rsidR="00AD58D8" w:rsidRPr="0013396E">
                    <w:rPr>
                      <w:iCs/>
                      <w:sz w:val="20"/>
                    </w:rPr>
                    <w:t>, and ESR charging</w:t>
                  </w:r>
                  <w:r w:rsidRPr="0013396E">
                    <w:rPr>
                      <w:iCs/>
                      <w:sz w:val="20"/>
                    </w:rPr>
                    <w:t xml:space="preserve"> created for each SCED process</w:t>
                  </w:r>
                  <w:r w:rsidR="009C388E" w:rsidRPr="0013396E">
                    <w:rPr>
                      <w:iCs/>
                      <w:sz w:val="20"/>
                    </w:rPr>
                    <w:t>, and aggregated data from the estimated Demand response data process as described in Section 6.5.7.1.13</w:t>
                  </w:r>
                  <w:r w:rsidR="00973752" w:rsidRPr="0013396E">
                    <w:rPr>
                      <w:iCs/>
                      <w:sz w:val="20"/>
                    </w:rPr>
                    <w:t>, Data Inputs and Outputs for the Real-Time Sequence and SCED</w:t>
                  </w:r>
                  <w:r w:rsidRPr="0013396E">
                    <w:rPr>
                      <w:iCs/>
                      <w:sz w:val="20"/>
                    </w:rPr>
                    <w:t xml:space="preserve">.  </w:t>
                  </w:r>
                  <w:r w:rsidR="00AD58D8" w:rsidRPr="0013396E">
                    <w:rPr>
                      <w:iCs/>
                      <w:sz w:val="20"/>
                    </w:rPr>
                    <w:t>This data</w:t>
                  </w:r>
                  <w:r w:rsidRPr="0013396E">
                    <w:rPr>
                      <w:iCs/>
                      <w:sz w:val="20"/>
                    </w:rPr>
                    <w:t xml:space="preserve"> shall be posted immediately subsequent to deployment of Base Points and Ancillary Service awards from SCED with the time stamp the </w:t>
                  </w:r>
                  <w:r w:rsidR="00AD58D8" w:rsidRPr="0013396E">
                    <w:rPr>
                      <w:iCs/>
                      <w:sz w:val="20"/>
                    </w:rPr>
                    <w:t>data</w:t>
                  </w:r>
                  <w:r w:rsidRPr="0013396E">
                    <w:rPr>
                      <w:iCs/>
                      <w:sz w:val="20"/>
                    </w:rPr>
                    <w:t xml:space="preserve"> are effective</w:t>
                  </w:r>
                  <w:r w:rsidR="008A5A12" w:rsidRPr="0013396E">
                    <w:rPr>
                      <w:iCs/>
                      <w:sz w:val="20"/>
                    </w:rPr>
                    <w:t xml:space="preserve"> </w:t>
                  </w:r>
                </w:p>
                <w:p w14:paraId="7B8F7553" w14:textId="25CC2978" w:rsidR="00C92338" w:rsidRPr="0013396E" w:rsidRDefault="00C92338" w:rsidP="008A5A12">
                  <w:pPr>
                    <w:spacing w:after="240"/>
                    <w:rPr>
                      <w:iCs/>
                      <w:sz w:val="20"/>
                    </w:rPr>
                  </w:pPr>
                  <w:r w:rsidRPr="0013396E">
                    <w:rPr>
                      <w:iCs/>
                      <w:sz w:val="20"/>
                    </w:rPr>
                    <w:t xml:space="preserve">Post on the </w:t>
                  </w:r>
                  <w:r w:rsidR="0007207E" w:rsidRPr="0013396E">
                    <w:rPr>
                      <w:iCs/>
                      <w:sz w:val="20"/>
                    </w:rPr>
                    <w:t>ERCOT website</w:t>
                  </w:r>
                  <w:r w:rsidRPr="0013396E">
                    <w:rPr>
                      <w:iCs/>
                      <w:sz w:val="20"/>
                    </w:rPr>
                    <w:t xml:space="preserve"> the nodal prices for Settlement Only Distribution Generators (SODGs)</w:t>
                  </w:r>
                  <w:r w:rsidR="00E21F4F" w:rsidRPr="0013396E">
                    <w:rPr>
                      <w:iCs/>
                      <w:sz w:val="20"/>
                    </w:rPr>
                    <w:t>, Settlement Only Distribution Energy Storage Systems (SODESSs),</w:t>
                  </w:r>
                  <w:r w:rsidRPr="0013396E">
                    <w:rPr>
                      <w:iCs/>
                      <w:sz w:val="20"/>
                    </w:rPr>
                    <w:t xml:space="preserve"> Settlement Only Transmission Generator</w:t>
                  </w:r>
                  <w:r w:rsidR="00525E33" w:rsidRPr="0013396E">
                    <w:rPr>
                      <w:iCs/>
                      <w:sz w:val="20"/>
                    </w:rPr>
                    <w:t>s</w:t>
                  </w:r>
                  <w:r w:rsidRPr="0013396E">
                    <w:rPr>
                      <w:iCs/>
                      <w:sz w:val="20"/>
                    </w:rPr>
                    <w:t xml:space="preserve"> (SOTGs)</w:t>
                  </w:r>
                  <w:r w:rsidR="00125072" w:rsidRPr="0013396E">
                    <w:rPr>
                      <w:iCs/>
                      <w:sz w:val="20"/>
                    </w:rPr>
                    <w:t>, and Settlement Only Transmission Energy Storage Systems (SOTESSs)</w:t>
                  </w:r>
                  <w:r w:rsidRPr="0013396E">
                    <w:rPr>
                      <w:iCs/>
                      <w:sz w:val="20"/>
                    </w:rPr>
                    <w:t>.  These prices shall include Real-Time Reliability Deployment Price Adders for Energy created for each SCED process.  These prices shall be posted immediately subsequent to deployment of Base Points from SCED with the time stamp the prices are effective</w:t>
                  </w:r>
                </w:p>
                <w:p w14:paraId="773079F5" w14:textId="007F3393" w:rsidR="008A5A12" w:rsidRPr="0013396E" w:rsidRDefault="008A5A12" w:rsidP="008A5A12">
                  <w:pPr>
                    <w:spacing w:before="240"/>
                    <w:rPr>
                      <w:iCs/>
                      <w:sz w:val="20"/>
                    </w:rPr>
                  </w:pPr>
                  <w:r w:rsidRPr="0013396E">
                    <w:rPr>
                      <w:iCs/>
                      <w:sz w:val="20"/>
                    </w:rPr>
                    <w:t xml:space="preserve">Post LMPs for each Electrical Bus on the </w:t>
                  </w:r>
                  <w:r w:rsidR="0007207E" w:rsidRPr="0013396E">
                    <w:rPr>
                      <w:iCs/>
                      <w:sz w:val="20"/>
                    </w:rPr>
                    <w:t>ERCOT website</w:t>
                  </w:r>
                  <w:r w:rsidRPr="0013396E">
                    <w:rPr>
                      <w:iCs/>
                      <w:sz w:val="20"/>
                    </w:rPr>
                    <w:t>.  These prices shall be posted immediately subsequent to deployment of Base Points from each binding SCED with the time stamp the prices are effective</w:t>
                  </w:r>
                </w:p>
                <w:p w14:paraId="07ACD4ED" w14:textId="7B2C45C9" w:rsidR="00C92338" w:rsidRPr="0013396E" w:rsidRDefault="00C92338" w:rsidP="008A5A12">
                  <w:pPr>
                    <w:spacing w:before="240"/>
                    <w:rPr>
                      <w:iCs/>
                      <w:sz w:val="20"/>
                    </w:rPr>
                  </w:pPr>
                  <w:r w:rsidRPr="0013396E">
                    <w:rPr>
                      <w:iCs/>
                      <w:sz w:val="20"/>
                    </w:rPr>
                    <w:t xml:space="preserve">Post every 15 minutes on the </w:t>
                  </w:r>
                  <w:r w:rsidR="0007207E" w:rsidRPr="0013396E">
                    <w:rPr>
                      <w:iCs/>
                      <w:sz w:val="20"/>
                    </w:rPr>
                    <w:t>ERCOT website</w:t>
                  </w:r>
                  <w:r w:rsidRPr="0013396E">
                    <w:rPr>
                      <w:iCs/>
                      <w:sz w:val="20"/>
                    </w:rPr>
                    <w:t xml:space="preserve"> the aggregate net injection from </w:t>
                  </w:r>
                  <w:r w:rsidRPr="0013396E">
                    <w:rPr>
                      <w:sz w:val="20"/>
                    </w:rPr>
                    <w:t>Settlement Only</w:t>
                  </w:r>
                  <w:r w:rsidRPr="0013396E">
                    <w:rPr>
                      <w:iCs/>
                      <w:sz w:val="20"/>
                    </w:rPr>
                    <w:t xml:space="preserve"> Generators (SOGs) </w:t>
                  </w:r>
                  <w:r w:rsidR="00125072" w:rsidRPr="0013396E">
                    <w:rPr>
                      <w:iCs/>
                      <w:sz w:val="20"/>
                    </w:rPr>
                    <w:t>and Settlement Only Energy Storage Systems (SOESSs)</w:t>
                  </w:r>
                </w:p>
                <w:p w14:paraId="4EF8EC43" w14:textId="5C3499B7" w:rsidR="008A5A12" w:rsidRPr="0013396E" w:rsidRDefault="00C92338" w:rsidP="008A5A12">
                  <w:pPr>
                    <w:spacing w:before="240" w:after="240"/>
                    <w:rPr>
                      <w:iCs/>
                      <w:sz w:val="20"/>
                    </w:rPr>
                  </w:pPr>
                  <w:r w:rsidRPr="0013396E">
                    <w:rPr>
                      <w:iCs/>
                      <w:sz w:val="20"/>
                    </w:rPr>
                    <w:t xml:space="preserve">Post on the </w:t>
                  </w:r>
                  <w:r w:rsidR="0007207E" w:rsidRPr="0013396E">
                    <w:rPr>
                      <w:iCs/>
                      <w:sz w:val="20"/>
                    </w:rPr>
                    <w:t>ERCOT website</w:t>
                  </w:r>
                  <w:r w:rsidRPr="0013396E">
                    <w:rPr>
                      <w:iCs/>
                      <w:sz w:val="20"/>
                    </w:rPr>
                    <w:t xml:space="preserve"> the projected non-binding LMPs for each Resource Node and Real-Time MCPCs for each Ancillary Service created by each SCED process </w:t>
                  </w:r>
                  <w:r w:rsidRPr="0013396E">
                    <w:rPr>
                      <w:sz w:val="20"/>
                    </w:rPr>
                    <w:t>and for the projected non-binding pricing runs as described in Section 6.5.7.3.1 the total RUC/RMR MW relaxed, total Load Resource MW deployed that is added to Demand,</w:t>
                  </w:r>
                  <w:r w:rsidRPr="0013396E">
                    <w:rPr>
                      <w:iCs/>
                      <w:sz w:val="20"/>
                    </w:rPr>
                    <w:t xml:space="preserve"> </w:t>
                  </w:r>
                  <w:r w:rsidRPr="0013396E">
                    <w:rPr>
                      <w:sz w:val="20"/>
                    </w:rPr>
                    <w:t>total TDSP standard offer Load management MW deployed that is added to the Demand,</w:t>
                  </w:r>
                  <w:r w:rsidRPr="0013396E">
                    <w:rPr>
                      <w:rFonts w:ascii="Calibri" w:hAnsi="Calibri" w:cs="Calibri"/>
                      <w:color w:val="1F497D"/>
                      <w:sz w:val="20"/>
                    </w:rPr>
                    <w:t xml:space="preserve"> </w:t>
                  </w:r>
                  <w:r w:rsidRPr="0013396E">
                    <w:rPr>
                      <w:iCs/>
                      <w:sz w:val="20"/>
                    </w:rPr>
                    <w:t xml:space="preserve">total ERCOT-directed DC Tie </w:t>
                  </w:r>
                  <w:r w:rsidRPr="0013396E">
                    <w:rPr>
                      <w:iCs/>
                      <w:sz w:val="20"/>
                    </w:rPr>
                    <w:lastRenderedPageBreak/>
                    <w:t>MW that is added to or subtracted from the Demand, total BLT MW that is added to or subtracted from the Demand,</w:t>
                  </w:r>
                  <w:r w:rsidRPr="0013396E">
                    <w:rPr>
                      <w:sz w:val="20"/>
                    </w:rPr>
                    <w:t xml:space="preserve"> total ERS MW deployed that are deployed that is added to the Demand, Real-Time Reliability Deployment Price Adder for Energy</w:t>
                  </w:r>
                  <w:r w:rsidRPr="0013396E">
                    <w:rPr>
                      <w:iCs/>
                      <w:sz w:val="20"/>
                    </w:rPr>
                    <w:t>, Real-Time On-Line Reliability Deployment Price Adders for Ancillary Service,</w:t>
                  </w:r>
                  <w:r w:rsidRPr="0013396E">
                    <w:rPr>
                      <w:sz w:val="20"/>
                    </w:rPr>
                    <w:t xml:space="preserve"> and</w:t>
                  </w:r>
                  <w:r w:rsidRPr="0013396E">
                    <w:rPr>
                      <w:iCs/>
                      <w:sz w:val="20"/>
                    </w:rPr>
                    <w:t xml:space="preserve"> the projected Hub LMPs and Load Zone LMPs.  These projected prices shall be posted at a frequency of every five minutes from SCED for at least 15 minutes in the future with the time stamp of the SCED process that produced the projections</w:t>
                  </w:r>
                </w:p>
                <w:p w14:paraId="6B027916" w14:textId="039D72BF" w:rsidR="008A5A12" w:rsidRPr="0013396E" w:rsidRDefault="008A5A12" w:rsidP="008A5A12">
                  <w:pPr>
                    <w:spacing w:before="240"/>
                    <w:rPr>
                      <w:iCs/>
                      <w:sz w:val="20"/>
                    </w:rPr>
                  </w:pPr>
                  <w:r w:rsidRPr="0013396E">
                    <w:rPr>
                      <w:iCs/>
                      <w:sz w:val="20"/>
                    </w:rPr>
                    <w:t>Post on the MIS Certified Area the projected non-binding Base Points and Ancillary Service awards for each Resource created by each SCED process.  These projected non-binding Base Points shall be posted at a frequency of every five minutes from SCED for at least 15 minutes in the future with the time stamp of the SCED process that produced the projections.  In posting Ancillary Service awards, the awards shall be broken out by Ancillary Service sub-type, where applicable</w:t>
                  </w:r>
                </w:p>
                <w:p w14:paraId="58EC3548" w14:textId="77777777" w:rsidR="008A5A12" w:rsidRPr="0013396E" w:rsidRDefault="008A5A12" w:rsidP="008A5A12">
                  <w:pPr>
                    <w:rPr>
                      <w:iCs/>
                      <w:sz w:val="20"/>
                    </w:rPr>
                  </w:pPr>
                </w:p>
                <w:p w14:paraId="78C4E165" w14:textId="1E654D31" w:rsidR="008A5A12" w:rsidRPr="0013396E" w:rsidRDefault="008A5A12" w:rsidP="008A5A12">
                  <w:pPr>
                    <w:rPr>
                      <w:iCs/>
                      <w:sz w:val="20"/>
                    </w:rPr>
                  </w:pPr>
                  <w:r w:rsidRPr="0013396E">
                    <w:rPr>
                      <w:iCs/>
                      <w:sz w:val="20"/>
                    </w:rPr>
                    <w:t xml:space="preserve">Post each hour on the </w:t>
                  </w:r>
                  <w:r w:rsidR="0007207E" w:rsidRPr="0013396E">
                    <w:rPr>
                      <w:iCs/>
                      <w:sz w:val="20"/>
                    </w:rPr>
                    <w:t>ERCOT website</w:t>
                  </w:r>
                  <w:r w:rsidRPr="0013396E">
                    <w:rPr>
                      <w:iCs/>
                      <w:sz w:val="20"/>
                    </w:rPr>
                    <w:t xml:space="preserve"> binding SCED Shadow Prices and active binding transmission constraints by Transmission Element name (contingency /overloaded element pairs) </w:t>
                  </w:r>
                </w:p>
                <w:p w14:paraId="3407E284" w14:textId="77777777" w:rsidR="008A5A12" w:rsidRPr="0013396E" w:rsidRDefault="008A5A12" w:rsidP="008A5A12">
                  <w:pPr>
                    <w:rPr>
                      <w:iCs/>
                      <w:sz w:val="20"/>
                    </w:rPr>
                  </w:pPr>
                </w:p>
                <w:p w14:paraId="18D0A298" w14:textId="4A47C2DB" w:rsidR="008A5A12" w:rsidRPr="0013396E" w:rsidRDefault="00C92338" w:rsidP="008A5A12">
                  <w:pPr>
                    <w:rPr>
                      <w:iCs/>
                      <w:sz w:val="20"/>
                    </w:rPr>
                  </w:pPr>
                  <w:r w:rsidRPr="0013396E">
                    <w:rPr>
                      <w:iCs/>
                      <w:sz w:val="20"/>
                    </w:rPr>
                    <w:t xml:space="preserve">Post on the </w:t>
                  </w:r>
                  <w:r w:rsidR="0007207E" w:rsidRPr="0013396E">
                    <w:rPr>
                      <w:iCs/>
                      <w:sz w:val="20"/>
                    </w:rPr>
                    <w:t>ERCOT website</w:t>
                  </w:r>
                  <w:r w:rsidRPr="0013396E">
                    <w:rPr>
                      <w:iCs/>
                      <w:sz w:val="20"/>
                    </w:rPr>
                    <w:t>, the Settlement Point Prices for each Settlement Point and the Real-Time price for each SODG</w:t>
                  </w:r>
                  <w:r w:rsidR="00125072" w:rsidRPr="0013396E">
                    <w:rPr>
                      <w:iCs/>
                      <w:sz w:val="20"/>
                    </w:rPr>
                    <w:t>, SODESS,</w:t>
                  </w:r>
                  <w:r w:rsidRPr="0013396E">
                    <w:rPr>
                      <w:iCs/>
                      <w:sz w:val="20"/>
                    </w:rPr>
                    <w:t xml:space="preserve"> SOTG</w:t>
                  </w:r>
                  <w:r w:rsidR="00125072" w:rsidRPr="0013396E">
                    <w:rPr>
                      <w:iCs/>
                      <w:sz w:val="20"/>
                    </w:rPr>
                    <w:t>, and SOTESS</w:t>
                  </w:r>
                  <w:r w:rsidRPr="0013396E">
                    <w:rPr>
                      <w:iCs/>
                      <w:sz w:val="20"/>
                    </w:rPr>
                    <w:t xml:space="preserve"> immediately following the end of each Settlement Interval  </w:t>
                  </w:r>
                </w:p>
                <w:p w14:paraId="591DC0D4" w14:textId="3E0B319D" w:rsidR="008A5A12" w:rsidRPr="0013396E" w:rsidRDefault="008A5A12" w:rsidP="008A5A12">
                  <w:pPr>
                    <w:tabs>
                      <w:tab w:val="left" w:pos="1350"/>
                    </w:tabs>
                    <w:spacing w:before="240"/>
                    <w:rPr>
                      <w:iCs/>
                      <w:sz w:val="20"/>
                    </w:rPr>
                  </w:pPr>
                  <w:r w:rsidRPr="0013396E">
                    <w:rPr>
                      <w:iCs/>
                      <w:sz w:val="20"/>
                    </w:rPr>
                    <w:t>By Settlement Interval, post the 15-minute Real-Time Reliability Deployment Price for Energy, and the 15-minute Real-Time Reliability Deployment Price for Ancillary Service for each of the Ancillary Services</w:t>
                  </w:r>
                </w:p>
                <w:p w14:paraId="657B5ACE" w14:textId="77777777" w:rsidR="008A5A12" w:rsidRPr="0013396E" w:rsidRDefault="008A5A12" w:rsidP="008A5A12">
                  <w:pPr>
                    <w:rPr>
                      <w:iCs/>
                      <w:sz w:val="20"/>
                    </w:rPr>
                  </w:pPr>
                </w:p>
              </w:tc>
            </w:tr>
          </w:tbl>
          <w:p w14:paraId="56B6F479" w14:textId="0EC7C26B" w:rsidR="00C61B40" w:rsidRPr="0013396E" w:rsidRDefault="00C61B40" w:rsidP="0058150D">
            <w:pPr>
              <w:rPr>
                <w:iCs/>
              </w:rPr>
            </w:pPr>
          </w:p>
        </w:tc>
      </w:tr>
    </w:tbl>
    <w:p w14:paraId="78D96BF2" w14:textId="72022AFC" w:rsidR="001F04FD" w:rsidRPr="0013396E" w:rsidRDefault="001F04FD" w:rsidP="001F04FD">
      <w:pPr>
        <w:pStyle w:val="BodyTextNumbered"/>
        <w:spacing w:before="240"/>
      </w:pPr>
      <w:r w:rsidRPr="0013396E">
        <w:lastRenderedPageBreak/>
        <w:t>(3)</w:t>
      </w:r>
      <w:r w:rsidRPr="0013396E">
        <w:tab/>
        <w:t xml:space="preserve">At the beginning of each hour, ERCOT shall post on the </w:t>
      </w:r>
      <w:r w:rsidR="0007207E" w:rsidRPr="0013396E">
        <w:t>ERCOT website</w:t>
      </w:r>
      <w:r w:rsidRPr="0013396E">
        <w:t xml:space="preserve"> the following information:</w:t>
      </w:r>
    </w:p>
    <w:p w14:paraId="480F08BE" w14:textId="77777777" w:rsidR="001F04FD" w:rsidRPr="0013396E" w:rsidRDefault="001F04FD" w:rsidP="001F04FD">
      <w:pPr>
        <w:pStyle w:val="List"/>
      </w:pPr>
      <w:r w:rsidRPr="0013396E">
        <w:t>(a)</w:t>
      </w:r>
      <w:r w:rsidRPr="0013396E">
        <w:tab/>
        <w:t>Changes in ERCOT System conditions that could affect the security and dynamic transmission limits of the ERCOT System, including:</w:t>
      </w:r>
    </w:p>
    <w:p w14:paraId="03CF352C" w14:textId="77777777" w:rsidR="001F04FD" w:rsidRPr="0013396E" w:rsidRDefault="001F04FD" w:rsidP="001F04FD">
      <w:pPr>
        <w:pStyle w:val="List2"/>
      </w:pPr>
      <w:r w:rsidRPr="0013396E">
        <w:lastRenderedPageBreak/>
        <w:t>(i)</w:t>
      </w:r>
      <w:r w:rsidRPr="0013396E">
        <w:tab/>
        <w:t>Changes or expected changes, in the status of Transmission Facilities as recorded in the Outage Scheduler for the remaining hours of the current Operating Day and all hours of the next Operating Day; and</w:t>
      </w:r>
    </w:p>
    <w:p w14:paraId="3F378BC9" w14:textId="77777777" w:rsidR="001F04FD" w:rsidRPr="0013396E" w:rsidRDefault="001F04FD" w:rsidP="001F04FD">
      <w:pPr>
        <w:pStyle w:val="List2"/>
      </w:pPr>
      <w:r w:rsidRPr="0013396E">
        <w:t>(ii)</w:t>
      </w:r>
      <w:r w:rsidRPr="0013396E">
        <w:tab/>
        <w:t>Any conditions such as adverse weather conditions as determined from the ERCOT-designated weather service;</w:t>
      </w:r>
    </w:p>
    <w:p w14:paraId="50FA7DB4" w14:textId="77777777" w:rsidR="001F04FD" w:rsidRPr="0013396E" w:rsidRDefault="001F04FD" w:rsidP="001F04FD">
      <w:pPr>
        <w:pStyle w:val="List"/>
      </w:pPr>
      <w:r w:rsidRPr="0013396E">
        <w:t>(b)</w:t>
      </w:r>
      <w:r w:rsidRPr="0013396E">
        <w:tab/>
      </w:r>
      <w:r w:rsidR="00DA5067" w:rsidRPr="0013396E">
        <w:t>Updated system-wide Mid-Term Load Forecasts (MTLFs) for all forecast models available to ERCOT Operations, as well as an indicator for which forecast was in use by ERCOT at the time of publication;</w:t>
      </w:r>
    </w:p>
    <w:p w14:paraId="34B53A82" w14:textId="77777777" w:rsidR="001F04FD" w:rsidRPr="0013396E" w:rsidRDefault="001F04FD" w:rsidP="00052E36">
      <w:pPr>
        <w:pStyle w:val="List"/>
      </w:pPr>
      <w:r w:rsidRPr="0013396E">
        <w:t>(c)</w:t>
      </w:r>
      <w:r w:rsidRPr="0013396E">
        <w:tab/>
        <w:t>The quantities of RMR Services deployed by ERCOT for each previous hour of the current Operating Day;</w:t>
      </w:r>
      <w:r w:rsidR="001F147F" w:rsidRPr="0013396E">
        <w:t xml:space="preserve"> and</w:t>
      </w:r>
    </w:p>
    <w:p w14:paraId="27925815" w14:textId="77777777" w:rsidR="001F04FD" w:rsidRPr="0013396E" w:rsidRDefault="001F04FD" w:rsidP="001F04FD">
      <w:pPr>
        <w:pStyle w:val="List"/>
        <w:rPr>
          <w:iCs/>
        </w:rPr>
      </w:pPr>
      <w:r w:rsidRPr="0013396E">
        <w:t>(d)</w:t>
      </w:r>
      <w:r w:rsidRPr="0013396E">
        <w:tab/>
        <w:t>Total ERCOT System Demand, from Real-Time operations, integrated over each Settlement Interval</w:t>
      </w:r>
      <w:r w:rsidR="001F147F" w:rsidRPr="0013396E">
        <w:t>.</w:t>
      </w:r>
      <w:bookmarkStart w:id="88" w:name="_Toc74137648"/>
    </w:p>
    <w:p w14:paraId="3449E2B7" w14:textId="58380500" w:rsidR="001F04FD" w:rsidRPr="0013396E" w:rsidRDefault="001F04FD" w:rsidP="00B67C64">
      <w:pPr>
        <w:pStyle w:val="List"/>
        <w:ind w:left="720"/>
      </w:pPr>
      <w:r w:rsidRPr="0013396E">
        <w:t>(4)</w:t>
      </w:r>
      <w:r w:rsidRPr="0013396E">
        <w:tab/>
      </w:r>
      <w:r w:rsidR="0018254B" w:rsidRPr="0013396E">
        <w:t xml:space="preserve">No later than 0600, ERCOT shall post on the </w:t>
      </w:r>
      <w:r w:rsidR="0007207E" w:rsidRPr="0013396E">
        <w:t>ERCOT website</w:t>
      </w:r>
      <w:r w:rsidR="0018254B" w:rsidRPr="0013396E">
        <w:t xml:space="preserve"> the actual system Load by Weather Zone, the actual system Load by Forecast Zone, and the actual system Load by Study Area for each hour of the previous Operating Day.</w:t>
      </w:r>
    </w:p>
    <w:p w14:paraId="118B4C18" w14:textId="7824A9C9" w:rsidR="004E0395" w:rsidRPr="0013396E" w:rsidRDefault="001F147F" w:rsidP="002F3F37">
      <w:pPr>
        <w:pStyle w:val="List"/>
        <w:ind w:left="720"/>
        <w:rPr>
          <w:iCs/>
        </w:rPr>
      </w:pPr>
      <w:r w:rsidRPr="0013396E">
        <w:t>(5)</w:t>
      </w:r>
      <w:r w:rsidRPr="0013396E">
        <w:tab/>
      </w:r>
      <w:r w:rsidR="00E62A42" w:rsidRPr="0013396E">
        <w:t xml:space="preserve">ERCOT shall provide notification to the market and post on the </w:t>
      </w:r>
      <w:r w:rsidR="0007207E" w:rsidRPr="0013396E">
        <w:t>ERCOT website</w:t>
      </w:r>
      <w:r w:rsidR="00E62A42" w:rsidRPr="0013396E">
        <w:t xml:space="preserve"> </w:t>
      </w:r>
      <w:r w:rsidR="00E62A42" w:rsidRPr="0013396E">
        <w:rPr>
          <w:iCs/>
        </w:rPr>
        <w:t>Electrical Bus Load distribution factors and other information necessary to forecast Electrical Bus Loads.  This report will be published when updates to the Load distribution factors are made.  Private Use Network net Load will be redacted from this posting.</w:t>
      </w:r>
    </w:p>
    <w:p w14:paraId="06C9735A" w14:textId="77777777" w:rsidR="001D4369" w:rsidRPr="0013396E" w:rsidRDefault="001D4369" w:rsidP="001D4369">
      <w:pPr>
        <w:spacing w:after="240"/>
        <w:ind w:left="720" w:hanging="720"/>
        <w:rPr>
          <w:iCs/>
        </w:rPr>
      </w:pPr>
      <w:r w:rsidRPr="0013396E">
        <w:rPr>
          <w:iCs/>
        </w:rPr>
        <w:t>(6)</w:t>
      </w:r>
      <w:r w:rsidRPr="0013396E">
        <w:rPr>
          <w:iCs/>
        </w:rPr>
        <w:tab/>
        <w:t>After every SCED run, ERCOT shall post to the ERCOT website the total capability of Resources available to provide the following Ancillary Service combinations, based on the Resource telemetry from the QSE and capped by the limits of the Resource</w:t>
      </w:r>
      <w:r w:rsidRPr="0013396E">
        <w:t xml:space="preserve"> and, for ESRs, further capped by Ancillary Service SCED duration requirements and current available State of Charge (SOC)</w:t>
      </w:r>
      <w:r w:rsidRPr="0013396E">
        <w:rPr>
          <w:iCs/>
        </w:rPr>
        <w:t>, for the most recent SCED execution:</w:t>
      </w:r>
    </w:p>
    <w:p w14:paraId="795AF2F9" w14:textId="77777777" w:rsidR="001D4369" w:rsidRPr="0013396E" w:rsidRDefault="001D4369" w:rsidP="001D4369">
      <w:pPr>
        <w:spacing w:after="240"/>
        <w:ind w:left="1440" w:hanging="720"/>
        <w:rPr>
          <w:color w:val="000000"/>
          <w:sz w:val="22"/>
          <w:szCs w:val="22"/>
        </w:rPr>
      </w:pPr>
      <w:r w:rsidRPr="0013396E">
        <w:rPr>
          <w:color w:val="000000"/>
        </w:rPr>
        <w:t>(a)</w:t>
      </w:r>
      <w:r w:rsidRPr="0013396E">
        <w:rPr>
          <w:color w:val="000000"/>
        </w:rPr>
        <w:tab/>
        <w:t>Capacity to provide Reg-Up, irrespective of whether it is capable of providing any other Ancillary Service;</w:t>
      </w:r>
    </w:p>
    <w:p w14:paraId="31282BE6" w14:textId="77777777" w:rsidR="001D4369" w:rsidRPr="0013396E" w:rsidRDefault="001D4369" w:rsidP="001D4369">
      <w:pPr>
        <w:spacing w:after="240"/>
        <w:ind w:left="1440" w:hanging="720"/>
        <w:rPr>
          <w:color w:val="000000"/>
        </w:rPr>
      </w:pPr>
      <w:r w:rsidRPr="0013396E">
        <w:rPr>
          <w:color w:val="000000"/>
        </w:rPr>
        <w:t>(b)</w:t>
      </w:r>
      <w:r w:rsidRPr="0013396E">
        <w:rPr>
          <w:color w:val="000000"/>
        </w:rPr>
        <w:tab/>
        <w:t>Capacity to provide RRS, irrespective of whether it is capable of providing any other Ancillary Service;</w:t>
      </w:r>
    </w:p>
    <w:p w14:paraId="6D28F0B1" w14:textId="77777777" w:rsidR="001D4369" w:rsidRPr="0013396E" w:rsidRDefault="001D4369" w:rsidP="001D4369">
      <w:pPr>
        <w:spacing w:after="240"/>
        <w:ind w:left="1440" w:hanging="720"/>
        <w:rPr>
          <w:color w:val="000000"/>
        </w:rPr>
      </w:pPr>
      <w:r w:rsidRPr="0013396E">
        <w:rPr>
          <w:color w:val="000000"/>
        </w:rPr>
        <w:t>(c)</w:t>
      </w:r>
      <w:r w:rsidRPr="0013396E">
        <w:rPr>
          <w:color w:val="000000"/>
        </w:rPr>
        <w:tab/>
        <w:t>Capacity to provide ECRS, irrespective of whether it is capable of providing any other Ancillary Service;</w:t>
      </w:r>
    </w:p>
    <w:p w14:paraId="56A6A3D8" w14:textId="77777777" w:rsidR="001D4369" w:rsidRPr="0013396E" w:rsidRDefault="001D4369" w:rsidP="001D4369">
      <w:pPr>
        <w:spacing w:after="240"/>
        <w:ind w:left="1440" w:hanging="720"/>
        <w:rPr>
          <w:color w:val="000000"/>
        </w:rPr>
      </w:pPr>
      <w:r w:rsidRPr="0013396E">
        <w:rPr>
          <w:color w:val="000000"/>
        </w:rPr>
        <w:t>(d)</w:t>
      </w:r>
      <w:r w:rsidRPr="0013396E">
        <w:rPr>
          <w:color w:val="000000"/>
        </w:rPr>
        <w:tab/>
        <w:t>Capacity to provide Non-Spin, irrespective of whether it is capable of providing any other Ancillary Service;</w:t>
      </w:r>
    </w:p>
    <w:p w14:paraId="51E884E3" w14:textId="77777777" w:rsidR="001D4369" w:rsidRPr="0013396E" w:rsidRDefault="001D4369" w:rsidP="001D4369">
      <w:pPr>
        <w:spacing w:after="240"/>
        <w:ind w:left="1440" w:hanging="720"/>
        <w:rPr>
          <w:color w:val="000000"/>
        </w:rPr>
      </w:pPr>
      <w:r w:rsidRPr="0013396E">
        <w:rPr>
          <w:color w:val="000000"/>
        </w:rPr>
        <w:t>(e)</w:t>
      </w:r>
      <w:r w:rsidRPr="0013396E">
        <w:rPr>
          <w:color w:val="000000"/>
        </w:rPr>
        <w:tab/>
        <w:t>Capacity to provide Reg-Up, RRS, or both, irrespective of whether it is capable of providing ECRS or Non-Spin;</w:t>
      </w:r>
    </w:p>
    <w:p w14:paraId="603ED620" w14:textId="77777777" w:rsidR="001D4369" w:rsidRPr="0013396E" w:rsidRDefault="001D4369" w:rsidP="001D4369">
      <w:pPr>
        <w:spacing w:after="240"/>
        <w:ind w:left="1440" w:hanging="720"/>
        <w:rPr>
          <w:color w:val="000000"/>
        </w:rPr>
      </w:pPr>
      <w:r w:rsidRPr="0013396E">
        <w:rPr>
          <w:color w:val="000000"/>
        </w:rPr>
        <w:lastRenderedPageBreak/>
        <w:t>(f)</w:t>
      </w:r>
      <w:r w:rsidRPr="0013396E">
        <w:rPr>
          <w:color w:val="000000"/>
        </w:rPr>
        <w:tab/>
        <w:t>Capacity to provide Reg-Up, RRS, ECRS, or any combination, irrespective of whether it is capable of providing Non-Spin;</w:t>
      </w:r>
    </w:p>
    <w:p w14:paraId="65A96569" w14:textId="77777777" w:rsidR="001D4369" w:rsidRPr="0013396E" w:rsidRDefault="001D4369" w:rsidP="001D4369">
      <w:pPr>
        <w:spacing w:after="240"/>
        <w:ind w:left="1440" w:hanging="720"/>
        <w:rPr>
          <w:color w:val="000000"/>
        </w:rPr>
      </w:pPr>
      <w:r w:rsidRPr="0013396E">
        <w:rPr>
          <w:color w:val="000000"/>
        </w:rPr>
        <w:t>(g)</w:t>
      </w:r>
      <w:r w:rsidRPr="0013396E">
        <w:rPr>
          <w:color w:val="000000"/>
        </w:rPr>
        <w:tab/>
        <w:t>Capacity to provide Reg-Up, RRS, ECRS, Non-Spin, or any combination; and</w:t>
      </w:r>
    </w:p>
    <w:p w14:paraId="2EA45A8B" w14:textId="77777777" w:rsidR="001D4369" w:rsidRPr="0013396E" w:rsidRDefault="001D4369" w:rsidP="001D4369">
      <w:pPr>
        <w:spacing w:after="240"/>
        <w:ind w:left="1440" w:hanging="720"/>
        <w:rPr>
          <w:iCs/>
        </w:rPr>
      </w:pPr>
      <w:r w:rsidRPr="0013396E">
        <w:rPr>
          <w:color w:val="000000"/>
        </w:rPr>
        <w:t>(h)</w:t>
      </w:r>
      <w:r w:rsidRPr="0013396E">
        <w:rPr>
          <w:color w:val="000000"/>
        </w:rPr>
        <w:tab/>
        <w:t>Capacity to provide Reg-Down</w:t>
      </w:r>
      <w:r w:rsidRPr="0013396E">
        <w:rPr>
          <w:iCs/>
        </w:rPr>
        <w:t>.</w:t>
      </w:r>
    </w:p>
    <w:p w14:paraId="343F548E" w14:textId="72324176" w:rsidR="001D4369" w:rsidRPr="0013396E" w:rsidRDefault="001D4369" w:rsidP="001D4369">
      <w:pPr>
        <w:pStyle w:val="List"/>
        <w:ind w:left="720"/>
        <w:rPr>
          <w:iCs/>
        </w:rPr>
      </w:pPr>
      <w:r w:rsidRPr="0013396E">
        <w:rPr>
          <w:iCs/>
        </w:rPr>
        <w:t>(7)</w:t>
      </w:r>
      <w:r w:rsidRPr="0013396E">
        <w:rPr>
          <w:iCs/>
        </w:rPr>
        <w:tab/>
        <w:t>Each week, ERCOT shall post on the ERCOT website the historical SCED-interval data described in paragraph (6) above.</w:t>
      </w:r>
    </w:p>
    <w:p w14:paraId="27F2DE61" w14:textId="23B3E80E" w:rsidR="001F04FD" w:rsidRPr="0013396E" w:rsidRDefault="001F04FD" w:rsidP="007A1E53">
      <w:pPr>
        <w:pStyle w:val="H3"/>
        <w:ind w:left="0" w:firstLine="0"/>
      </w:pPr>
      <w:bookmarkStart w:id="89" w:name="_Toc397504911"/>
      <w:bookmarkStart w:id="90" w:name="_Toc402357039"/>
      <w:bookmarkStart w:id="91" w:name="_Toc422486419"/>
      <w:bookmarkStart w:id="92" w:name="_Toc433093271"/>
      <w:bookmarkStart w:id="93" w:name="_Toc433093429"/>
      <w:bookmarkStart w:id="94" w:name="_Toc440874659"/>
      <w:bookmarkStart w:id="95" w:name="_Toc448142214"/>
      <w:bookmarkStart w:id="96" w:name="_Toc448142371"/>
      <w:bookmarkStart w:id="97" w:name="_Toc458770207"/>
      <w:bookmarkStart w:id="98" w:name="_Toc459294175"/>
      <w:bookmarkStart w:id="99" w:name="_Toc463262668"/>
      <w:bookmarkStart w:id="100" w:name="_Toc468286740"/>
      <w:bookmarkStart w:id="101" w:name="_Toc481502786"/>
      <w:bookmarkStart w:id="102" w:name="_Toc496079956"/>
      <w:bookmarkStart w:id="103" w:name="_Toc236220071"/>
      <w:r w:rsidRPr="0013396E">
        <w:t>6.3.3</w:t>
      </w:r>
      <w:r w:rsidRPr="0013396E">
        <w:tab/>
        <w:t>Real-Time Timeline Deviations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2B4A08C7" w14:textId="77777777" w:rsidR="001F04FD" w:rsidRPr="0013396E" w:rsidRDefault="001F04FD" w:rsidP="001F04FD">
      <w:pPr>
        <w:pStyle w:val="List"/>
        <w:spacing w:before="240"/>
        <w:ind w:left="720"/>
        <w:rPr>
          <w:iCs/>
        </w:rPr>
      </w:pPr>
      <w:r w:rsidRPr="0013396E">
        <w:t>(1)</w:t>
      </w:r>
      <w:r w:rsidRPr="0013396E">
        <w:tab/>
        <w:t xml:space="preserve">ERCOT may temporarily deviate from the Real-Time deadlines but only to the extent necessary to ensure the secure operation of the ERCOT System.  Temporary measures may include varying the timing requirements as specified below or omitting one or more procedures in the Real-Time Sequence.  </w:t>
      </w:r>
      <w:r w:rsidRPr="0013396E">
        <w:rPr>
          <w:iCs/>
        </w:rPr>
        <w:t>In such an event, ERCOT shall immediately issue a Watch and notify all QSEs of the following:</w:t>
      </w:r>
    </w:p>
    <w:p w14:paraId="523F9674" w14:textId="77777777" w:rsidR="001F04FD" w:rsidRPr="0013396E" w:rsidRDefault="001F04FD" w:rsidP="001F04FD">
      <w:pPr>
        <w:pStyle w:val="List"/>
      </w:pPr>
      <w:r w:rsidRPr="0013396E">
        <w:t>(a)</w:t>
      </w:r>
      <w:r w:rsidRPr="0013396E">
        <w:tab/>
        <w:t>Details of the affected timing requirements and procedures;</w:t>
      </w:r>
    </w:p>
    <w:p w14:paraId="6C7BCA03" w14:textId="77777777" w:rsidR="001F04FD" w:rsidRPr="0013396E" w:rsidRDefault="001F04FD" w:rsidP="001F04FD">
      <w:pPr>
        <w:pStyle w:val="List"/>
      </w:pPr>
      <w:r w:rsidRPr="0013396E">
        <w:t>(b)</w:t>
      </w:r>
      <w:r w:rsidRPr="0013396E">
        <w:tab/>
        <w:t>Details of any interim requirements;</w:t>
      </w:r>
    </w:p>
    <w:p w14:paraId="6401C82E" w14:textId="77777777" w:rsidR="001F04FD" w:rsidRPr="0013396E" w:rsidRDefault="001F04FD" w:rsidP="001F04FD">
      <w:pPr>
        <w:pStyle w:val="List"/>
      </w:pPr>
      <w:r w:rsidRPr="0013396E">
        <w:t>(c)</w:t>
      </w:r>
      <w:r w:rsidRPr="0013396E">
        <w:tab/>
        <w:t>An estimate of the period for which the interim requirements apply; and</w:t>
      </w:r>
    </w:p>
    <w:p w14:paraId="3369668D" w14:textId="77777777" w:rsidR="001F04FD" w:rsidRPr="0013396E" w:rsidRDefault="001F04FD" w:rsidP="001F04FD">
      <w:pPr>
        <w:pStyle w:val="List"/>
      </w:pPr>
      <w:r w:rsidRPr="0013396E">
        <w:t>(d)</w:t>
      </w:r>
      <w:r w:rsidRPr="0013396E">
        <w:tab/>
        <w:t>Reasons for the temporary variation.</w:t>
      </w:r>
    </w:p>
    <w:p w14:paraId="6D9000E4" w14:textId="77777777" w:rsidR="001F04FD" w:rsidRPr="0013396E" w:rsidRDefault="001F04FD" w:rsidP="001F04FD">
      <w:pPr>
        <w:pStyle w:val="H3"/>
        <w:spacing w:before="480"/>
      </w:pPr>
      <w:bookmarkStart w:id="104" w:name="_Toc397504912"/>
      <w:bookmarkStart w:id="105" w:name="_Toc402357040"/>
      <w:bookmarkStart w:id="106" w:name="_Toc422486420"/>
      <w:bookmarkStart w:id="107" w:name="_Toc433093272"/>
      <w:bookmarkStart w:id="108" w:name="_Toc433093430"/>
      <w:bookmarkStart w:id="109" w:name="_Toc440874660"/>
      <w:bookmarkStart w:id="110" w:name="_Toc448142215"/>
      <w:bookmarkStart w:id="111" w:name="_Toc448142372"/>
      <w:bookmarkStart w:id="112" w:name="_Toc458770208"/>
      <w:bookmarkStart w:id="113" w:name="_Toc459294176"/>
      <w:bookmarkStart w:id="114" w:name="_Toc463262669"/>
      <w:bookmarkStart w:id="115" w:name="_Toc468286741"/>
      <w:bookmarkStart w:id="116" w:name="_Toc481502787"/>
      <w:bookmarkStart w:id="117" w:name="_Toc496079957"/>
      <w:bookmarkStart w:id="118" w:name="_Toc236220072"/>
      <w:r w:rsidRPr="0013396E">
        <w:t>6.3.4</w:t>
      </w:r>
      <w:r w:rsidRPr="0013396E">
        <w:tab/>
        <w:t>ERCOT Notification of Validation Rules for Real-Time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487F2A95" w14:textId="77777777" w:rsidR="001F04FD" w:rsidRPr="0013396E" w:rsidRDefault="001F04FD" w:rsidP="001F04FD">
      <w:pPr>
        <w:pStyle w:val="List"/>
        <w:spacing w:before="240"/>
        <w:ind w:left="720"/>
      </w:pPr>
      <w:r w:rsidRPr="0013396E">
        <w:t>(1)</w:t>
      </w:r>
      <w:r w:rsidRPr="0013396E">
        <w:tab/>
        <w:t>ERCOT shall provide each QSE with the information necessary to pre-validate its data for Real-Time operations, including publishing validation rules for offers, bids, and trades.</w:t>
      </w:r>
    </w:p>
    <w:p w14:paraId="5191646E" w14:textId="77777777" w:rsidR="001F04FD" w:rsidRPr="0013396E" w:rsidRDefault="001F04FD" w:rsidP="001F04FD">
      <w:pPr>
        <w:pStyle w:val="H2"/>
        <w:spacing w:before="480"/>
        <w:ind w:left="907" w:hanging="907"/>
      </w:pPr>
      <w:bookmarkStart w:id="119" w:name="_Toc73215972"/>
      <w:bookmarkStart w:id="120" w:name="_Toc397504913"/>
      <w:bookmarkStart w:id="121" w:name="_Toc402357041"/>
      <w:bookmarkStart w:id="122" w:name="_Toc422486421"/>
      <w:bookmarkStart w:id="123" w:name="_Toc433093273"/>
      <w:bookmarkStart w:id="124" w:name="_Toc433093431"/>
      <w:bookmarkStart w:id="125" w:name="_Toc440874661"/>
      <w:bookmarkStart w:id="126" w:name="_Toc448142216"/>
      <w:bookmarkStart w:id="127" w:name="_Toc448142373"/>
      <w:bookmarkStart w:id="128" w:name="_Toc458770209"/>
      <w:bookmarkStart w:id="129" w:name="_Toc459294177"/>
      <w:bookmarkStart w:id="130" w:name="_Toc463262670"/>
      <w:bookmarkStart w:id="131" w:name="_Toc468286742"/>
      <w:bookmarkStart w:id="132" w:name="_Toc481502788"/>
      <w:bookmarkStart w:id="133" w:name="_Toc496079958"/>
      <w:bookmarkStart w:id="134" w:name="_Toc236220073"/>
      <w:r w:rsidRPr="0013396E">
        <w:t>6.4</w:t>
      </w:r>
      <w:r w:rsidRPr="0013396E">
        <w:tab/>
        <w:t>Adjustment Period</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51C6A2AE" w14:textId="77777777" w:rsidR="001F04FD" w:rsidRPr="0013396E" w:rsidRDefault="001F04FD" w:rsidP="001F04FD">
      <w:pPr>
        <w:pStyle w:val="H3"/>
        <w:spacing w:before="480"/>
      </w:pPr>
      <w:bookmarkStart w:id="135" w:name="_Toc397504914"/>
      <w:bookmarkStart w:id="136" w:name="_Toc402357042"/>
      <w:bookmarkStart w:id="137" w:name="_Toc422486422"/>
      <w:bookmarkStart w:id="138" w:name="_Toc433093274"/>
      <w:bookmarkStart w:id="139" w:name="_Toc433093432"/>
      <w:bookmarkStart w:id="140" w:name="_Toc440874662"/>
      <w:bookmarkStart w:id="141" w:name="_Toc448142217"/>
      <w:bookmarkStart w:id="142" w:name="_Toc448142374"/>
      <w:bookmarkStart w:id="143" w:name="_Toc458770210"/>
      <w:bookmarkStart w:id="144" w:name="_Toc459294178"/>
      <w:bookmarkStart w:id="145" w:name="_Toc463262671"/>
      <w:bookmarkStart w:id="146" w:name="_Toc468286743"/>
      <w:bookmarkStart w:id="147" w:name="_Toc481502789"/>
      <w:bookmarkStart w:id="148" w:name="_Toc496079959"/>
      <w:bookmarkStart w:id="149" w:name="_Toc236220074"/>
      <w:bookmarkStart w:id="150" w:name="_Toc73215975"/>
      <w:r w:rsidRPr="0013396E">
        <w:t>6.4.1</w:t>
      </w:r>
      <w:r w:rsidRPr="0013396E">
        <w:tab/>
        <w:t>Capacity Trade, Energy Trade, Self-Schedule, and Ancillary Service Trades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13396E">
        <w:t xml:space="preserve"> </w:t>
      </w:r>
      <w:bookmarkEnd w:id="150"/>
    </w:p>
    <w:p w14:paraId="4C5BDB6E" w14:textId="7B31A74A" w:rsidR="001F04FD" w:rsidRPr="0013396E" w:rsidRDefault="001F04FD" w:rsidP="001F04FD">
      <w:pPr>
        <w:pStyle w:val="BodyTextNumbered"/>
      </w:pPr>
      <w:r w:rsidRPr="0013396E">
        <w:t>(1)</w:t>
      </w:r>
      <w:r w:rsidRPr="0013396E">
        <w:tab/>
        <w:t xml:space="preserve">A detailed explanation of Capacity Trade criteria and validations performed by ERCOT is provided in Section 4.4.1, Capacity Trades. </w:t>
      </w:r>
      <w:r w:rsidR="000E6D97" w:rsidRPr="0013396E">
        <w:t xml:space="preserve"> </w:t>
      </w:r>
      <w:r w:rsidRPr="0013396E">
        <w:t xml:space="preserve">A </w:t>
      </w:r>
      <w:r w:rsidR="00C0502C" w:rsidRPr="0013396E">
        <w:t>Qualified Scheduling Entity (</w:t>
      </w:r>
      <w:r w:rsidRPr="0013396E">
        <w:t>QSE</w:t>
      </w:r>
      <w:r w:rsidR="00C0502C" w:rsidRPr="0013396E">
        <w:t>)</w:t>
      </w:r>
      <w:r w:rsidRPr="0013396E">
        <w:t xml:space="preserve"> may submit and update Capacity Trades during the Adjustment Period.</w:t>
      </w:r>
    </w:p>
    <w:p w14:paraId="7AFDEC37" w14:textId="77777777" w:rsidR="001F04FD" w:rsidRPr="0013396E" w:rsidRDefault="001F04FD" w:rsidP="001F04FD">
      <w:pPr>
        <w:pStyle w:val="BodyTextNumbered"/>
      </w:pPr>
      <w:r w:rsidRPr="0013396E">
        <w:t>(2)</w:t>
      </w:r>
      <w:r w:rsidRPr="0013396E">
        <w:tab/>
        <w:t>A detailed explanation of Energy Trade criteria and validations performed by ERCOT is provided in Section 4.4.2, Energy Trades.  A QSE may submit and update Energy Trades during the Adjustment Period and through 1430 on the day following the Operating Day for Settlement.</w:t>
      </w:r>
    </w:p>
    <w:p w14:paraId="7A5BF157" w14:textId="77777777" w:rsidR="001F04FD" w:rsidRPr="0013396E" w:rsidRDefault="001F04FD" w:rsidP="001F04FD">
      <w:pPr>
        <w:pStyle w:val="BodyTextNumbered"/>
      </w:pPr>
      <w:r w:rsidRPr="0013396E">
        <w:lastRenderedPageBreak/>
        <w:t>(3)</w:t>
      </w:r>
      <w:r w:rsidRPr="0013396E">
        <w:tab/>
        <w:t xml:space="preserve">A detailed explanation of Self-Schedule criteria and validations performed by ERCOT is provided in Section 4.4.3, Self-Schedules.  A QSE may submit and update Self-Schedules during the Adjustment Period. </w:t>
      </w:r>
    </w:p>
    <w:p w14:paraId="5E7EBF46" w14:textId="5B878EF5" w:rsidR="00070608" w:rsidRPr="0013396E" w:rsidRDefault="001F04FD" w:rsidP="001F04FD">
      <w:pPr>
        <w:pStyle w:val="BodyTextNumbered"/>
      </w:pPr>
      <w:r w:rsidRPr="0013396E">
        <w:t>(4)</w:t>
      </w:r>
      <w:r w:rsidRPr="0013396E">
        <w:tab/>
      </w:r>
      <w:r w:rsidR="002A38DB" w:rsidRPr="0013396E">
        <w:rPr>
          <w:iCs/>
        </w:rPr>
        <w:t>A detailed explanation of Ancillary Service Trade criteria and validations performed by ERCOT is provided in Section 4.4.7.3, Ancillary Service Trades.  A QSE may submit and update Ancillary Service Trades during the Adjustment Period.</w:t>
      </w:r>
    </w:p>
    <w:p w14:paraId="0F5FBFA0" w14:textId="77777777" w:rsidR="001F04FD" w:rsidRPr="0013396E" w:rsidRDefault="001F04FD" w:rsidP="007A1E53">
      <w:pPr>
        <w:pStyle w:val="H3"/>
      </w:pPr>
      <w:bookmarkStart w:id="151" w:name="_Toc73215976"/>
      <w:bookmarkStart w:id="152" w:name="_Toc397504915"/>
      <w:bookmarkStart w:id="153" w:name="_Toc402357043"/>
      <w:bookmarkStart w:id="154" w:name="_Toc422486423"/>
      <w:bookmarkStart w:id="155" w:name="_Toc433093275"/>
      <w:bookmarkStart w:id="156" w:name="_Toc433093433"/>
      <w:bookmarkStart w:id="157" w:name="_Toc440874663"/>
      <w:bookmarkStart w:id="158" w:name="_Toc448142218"/>
      <w:bookmarkStart w:id="159" w:name="_Toc448142375"/>
      <w:bookmarkStart w:id="160" w:name="_Toc458770211"/>
      <w:bookmarkStart w:id="161" w:name="_Toc459294179"/>
      <w:bookmarkStart w:id="162" w:name="_Toc463262672"/>
      <w:bookmarkStart w:id="163" w:name="_Toc468286744"/>
      <w:bookmarkStart w:id="164" w:name="_Toc481502790"/>
      <w:bookmarkStart w:id="165" w:name="_Toc496079960"/>
      <w:bookmarkStart w:id="166" w:name="_Toc119310185"/>
      <w:bookmarkStart w:id="167" w:name="_Toc236220075"/>
      <w:r w:rsidRPr="0013396E">
        <w:t>6.4.2</w:t>
      </w:r>
      <w:r w:rsidRPr="0013396E">
        <w:tab/>
        <w:t>Output Schedules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22933CA3" w14:textId="1562369D" w:rsidR="002A38DB" w:rsidRPr="0013396E" w:rsidRDefault="002A38DB" w:rsidP="002A38DB">
      <w:pPr>
        <w:spacing w:after="240"/>
        <w:ind w:left="720" w:hanging="720"/>
      </w:pPr>
      <w:r w:rsidRPr="0013396E">
        <w:t>(1)</w:t>
      </w:r>
      <w:r w:rsidRPr="0013396E">
        <w:tab/>
        <w:t xml:space="preserve">A QSE that represents a Resource, other than a </w:t>
      </w:r>
      <w:r w:rsidR="00414995">
        <w:t>Reliability Must-Run (</w:t>
      </w:r>
      <w:r w:rsidRPr="0013396E">
        <w:t>RMR</w:t>
      </w:r>
      <w:r w:rsidR="00414995">
        <w:t>)</w:t>
      </w:r>
      <w:r w:rsidRPr="0013396E">
        <w:t xml:space="preserve"> Unit, must submit and maintain an Energy Offer Curve, an Energy Bid/Offer Curve, or an Output Schedule for the Resource for all times when the Resource is On-Line.</w:t>
      </w:r>
    </w:p>
    <w:p w14:paraId="0589EAF9" w14:textId="77777777" w:rsidR="002A38DB" w:rsidRPr="0013396E" w:rsidRDefault="002A38DB" w:rsidP="002A38DB">
      <w:pPr>
        <w:spacing w:after="240"/>
        <w:ind w:left="720" w:hanging="720"/>
      </w:pPr>
      <w:r w:rsidRPr="0013396E">
        <w:t>(2)</w:t>
      </w:r>
      <w:r w:rsidRPr="0013396E">
        <w:tab/>
        <w:t>The entry of an Energy Offer Curve or Energy Bid/Offer Curve for a Resource automatically nullifies the Output Schedule for that Resource and prohibits entry of future Output Schedules for that Resource for the time during which the Energy Offer Curve or Energy Bid/Offer Curve is in effect.</w:t>
      </w:r>
    </w:p>
    <w:p w14:paraId="55F96721" w14:textId="0F32E09B" w:rsidR="001F04FD" w:rsidRPr="0013396E" w:rsidRDefault="002A38DB" w:rsidP="001F04FD">
      <w:pPr>
        <w:pStyle w:val="BodyTextNumbered"/>
      </w:pPr>
      <w:r w:rsidRPr="0013396E">
        <w:t>(3)</w:t>
      </w:r>
      <w:r w:rsidRPr="0013396E">
        <w:tab/>
        <w:t>For a Resource for which an Energy Offer Curve or Energy Bid/Offer Curve has not been submitted, the Security-Constrained Economic Dispatch (SCED) process uses the Output Schedule submitted for that Resource as desired Dispatch levels for the Resource.</w:t>
      </w:r>
    </w:p>
    <w:p w14:paraId="5BF62EE2" w14:textId="16914566" w:rsidR="001F04FD" w:rsidRPr="0013396E" w:rsidRDefault="001F04FD" w:rsidP="007A1E53">
      <w:pPr>
        <w:pStyle w:val="H4"/>
        <w:ind w:left="1267" w:hanging="1267"/>
      </w:pPr>
      <w:bookmarkStart w:id="168" w:name="_Toc93908289"/>
      <w:bookmarkStart w:id="169" w:name="_Toc397504916"/>
      <w:bookmarkStart w:id="170" w:name="_Toc402357044"/>
      <w:bookmarkStart w:id="171" w:name="_Toc422486424"/>
      <w:bookmarkStart w:id="172" w:name="_Toc433093276"/>
      <w:bookmarkStart w:id="173" w:name="_Toc433093434"/>
      <w:bookmarkStart w:id="174" w:name="_Toc440874664"/>
      <w:bookmarkStart w:id="175" w:name="_Toc448142219"/>
      <w:bookmarkStart w:id="176" w:name="_Toc448142376"/>
      <w:bookmarkStart w:id="177" w:name="_Toc458770212"/>
      <w:bookmarkStart w:id="178" w:name="_Toc459294180"/>
      <w:bookmarkStart w:id="179" w:name="_Toc463262673"/>
      <w:bookmarkStart w:id="180" w:name="_Toc468286745"/>
      <w:bookmarkStart w:id="181" w:name="_Toc481502791"/>
      <w:bookmarkStart w:id="182" w:name="_Toc496079961"/>
      <w:bookmarkStart w:id="183" w:name="_Toc236220076"/>
      <w:r w:rsidRPr="0013396E">
        <w:t>6.4.2.1</w:t>
      </w:r>
      <w:r w:rsidRPr="0013396E">
        <w:tab/>
        <w:t>Output Schedules for Resources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0BC526FB" w14:textId="77777777" w:rsidR="002A38DB" w:rsidRPr="0013396E" w:rsidRDefault="002A38DB" w:rsidP="002A38DB">
      <w:pPr>
        <w:spacing w:after="240"/>
        <w:ind w:left="720" w:hanging="720"/>
      </w:pPr>
      <w:r w:rsidRPr="0013396E">
        <w:t>(1)</w:t>
      </w:r>
      <w:r w:rsidRPr="0013396E">
        <w:tab/>
        <w:t xml:space="preserve">An Output Schedule for a Resource may be submitted and updated only during the Adjustment Period.  An Output Schedule for a Resource may be submitted and updated for each five-minute interval for each Operating Hour.  </w:t>
      </w:r>
    </w:p>
    <w:p w14:paraId="25752255" w14:textId="77777777" w:rsidR="002A38DB" w:rsidRPr="0013396E" w:rsidRDefault="002A38DB" w:rsidP="002A38DB">
      <w:pPr>
        <w:spacing w:after="240"/>
        <w:ind w:left="720" w:hanging="720"/>
      </w:pPr>
      <w:r w:rsidRPr="0013396E">
        <w:t>(2)</w:t>
      </w:r>
      <w:r w:rsidRPr="0013396E">
        <w:tab/>
        <w:t>For a Resource that is On-Line, the following provisions apply:</w:t>
      </w:r>
    </w:p>
    <w:p w14:paraId="19B2E4BB" w14:textId="77777777" w:rsidR="002A38DB" w:rsidRPr="0013396E" w:rsidRDefault="002A38DB" w:rsidP="002A38DB">
      <w:pPr>
        <w:spacing w:after="240"/>
        <w:ind w:left="1440" w:hanging="720"/>
      </w:pPr>
      <w:r w:rsidRPr="0013396E">
        <w:t>(a)</w:t>
      </w:r>
      <w:r w:rsidRPr="0013396E">
        <w:tab/>
        <w:t>The Output Schedule for a Qualifying Facility (QF) not submitting an Energy Offer Curve is considered to be equal to the telemetered output of the QF at the time that the SCED runs;</w:t>
      </w:r>
    </w:p>
    <w:p w14:paraId="7EFDA934" w14:textId="77777777" w:rsidR="002A38DB" w:rsidRPr="0013396E" w:rsidRDefault="002A38DB" w:rsidP="002A38DB">
      <w:pPr>
        <w:spacing w:after="240"/>
        <w:ind w:left="1440" w:hanging="720"/>
      </w:pPr>
      <w:r w:rsidRPr="0013396E">
        <w:t>(b)</w:t>
      </w:r>
      <w:r w:rsidRPr="0013396E">
        <w:tab/>
        <w:t>The Output Schedule for Intermittent Renewable Resources (IRR) not submitting Energy Offer Curves is considered to be equal to the telemetered output of the Resource at the time that the SCED runs; and</w:t>
      </w:r>
    </w:p>
    <w:p w14:paraId="6E50B32F" w14:textId="0409DAD8" w:rsidR="001F04FD" w:rsidRPr="0013396E" w:rsidRDefault="002A38DB" w:rsidP="001F04FD">
      <w:pPr>
        <w:pStyle w:val="List"/>
      </w:pPr>
      <w:r w:rsidRPr="0013396E">
        <w:t>(c)</w:t>
      </w:r>
      <w:r w:rsidRPr="0013396E">
        <w:tab/>
        <w:t>ERCOT shall create proxy Energy Offer Curves or proxy Energy Bid/Offer Curves for the Resource under paragraph (4)(a) of Section 6.5.7.3, Security Constrained Economic Dispatch.</w:t>
      </w:r>
    </w:p>
    <w:p w14:paraId="56B5810B" w14:textId="3D78D344" w:rsidR="001F04FD" w:rsidRPr="0013396E" w:rsidRDefault="001F04FD" w:rsidP="007A1E53">
      <w:pPr>
        <w:pStyle w:val="H4"/>
        <w:tabs>
          <w:tab w:val="center" w:pos="4680"/>
        </w:tabs>
        <w:ind w:left="1267" w:hanging="1267"/>
      </w:pPr>
      <w:bookmarkStart w:id="184" w:name="_Toc73215977"/>
      <w:bookmarkStart w:id="185" w:name="_Toc397504918"/>
      <w:bookmarkStart w:id="186" w:name="_Toc402357046"/>
      <w:bookmarkStart w:id="187" w:name="_Toc422486426"/>
      <w:bookmarkStart w:id="188" w:name="_Toc433093278"/>
      <w:bookmarkStart w:id="189" w:name="_Toc433093436"/>
      <w:bookmarkStart w:id="190" w:name="_Toc440874666"/>
      <w:bookmarkStart w:id="191" w:name="_Toc448142221"/>
      <w:bookmarkStart w:id="192" w:name="_Toc448142378"/>
      <w:bookmarkStart w:id="193" w:name="_Toc458770214"/>
      <w:bookmarkStart w:id="194" w:name="_Toc459294182"/>
      <w:bookmarkStart w:id="195" w:name="_Toc463262675"/>
      <w:bookmarkStart w:id="196" w:name="_Toc468286747"/>
      <w:bookmarkStart w:id="197" w:name="_Toc481502793"/>
      <w:bookmarkStart w:id="198" w:name="_Toc496079963"/>
      <w:bookmarkStart w:id="199" w:name="_Toc236220077"/>
      <w:r w:rsidRPr="0013396E">
        <w:t>6.4.2.</w:t>
      </w:r>
      <w:r w:rsidR="002A38DB" w:rsidRPr="0013396E">
        <w:t>2</w:t>
      </w:r>
      <w:r w:rsidRPr="0013396E">
        <w:tab/>
        <w:t>Output Schedule Criteria</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0C245F76" w14:textId="77777777" w:rsidR="001F04FD" w:rsidRPr="0013396E" w:rsidRDefault="001F04FD" w:rsidP="001F04FD">
      <w:pPr>
        <w:pStyle w:val="BodyTextNumbered"/>
      </w:pPr>
      <w:r w:rsidRPr="0013396E">
        <w:t>(1)</w:t>
      </w:r>
      <w:r w:rsidRPr="0013396E">
        <w:tab/>
        <w:t>An Output Schedule submitted by a QSE for a Resource must include the following:</w:t>
      </w:r>
    </w:p>
    <w:p w14:paraId="6A6EEAE3" w14:textId="77777777" w:rsidR="001F04FD" w:rsidRPr="0013396E" w:rsidRDefault="001F04FD" w:rsidP="001F04FD">
      <w:pPr>
        <w:pStyle w:val="List"/>
      </w:pPr>
      <w:r w:rsidRPr="0013396E">
        <w:t>(a)</w:t>
      </w:r>
      <w:r w:rsidRPr="0013396E">
        <w:tab/>
        <w:t>The name of the Entity submitting the Output Schedule for the Resource;</w:t>
      </w:r>
    </w:p>
    <w:p w14:paraId="3C35E912" w14:textId="77777777" w:rsidR="001F04FD" w:rsidRPr="0013396E" w:rsidRDefault="001F04FD" w:rsidP="001F04FD">
      <w:pPr>
        <w:pStyle w:val="List"/>
      </w:pPr>
      <w:r w:rsidRPr="0013396E">
        <w:lastRenderedPageBreak/>
        <w:t>(b)</w:t>
      </w:r>
      <w:r w:rsidRPr="0013396E">
        <w:tab/>
        <w:t>The name of the Resource;</w:t>
      </w:r>
    </w:p>
    <w:p w14:paraId="7B3B32E0" w14:textId="6E1DB179" w:rsidR="001F04FD" w:rsidRPr="0013396E" w:rsidRDefault="001F04FD" w:rsidP="001F04FD">
      <w:pPr>
        <w:pStyle w:val="List"/>
      </w:pPr>
      <w:r w:rsidRPr="0013396E">
        <w:t>(c)</w:t>
      </w:r>
      <w:r w:rsidRPr="0013396E">
        <w:tab/>
      </w:r>
      <w:r w:rsidR="002A38DB" w:rsidRPr="0013396E">
        <w:t>The desired MW output level for each five-minute interval for the Resource for all of the remaining five-minute intervals in the Operating Day for which an Energy Offer Curve or Energy Bid/Offer Curve has not been submitted.</w:t>
      </w:r>
    </w:p>
    <w:p w14:paraId="291BA553" w14:textId="05334EEA" w:rsidR="001F04FD" w:rsidRPr="0013396E" w:rsidRDefault="001F04FD" w:rsidP="007A1E53">
      <w:pPr>
        <w:pStyle w:val="BodyTextNumbered"/>
      </w:pPr>
      <w:r w:rsidRPr="0013396E">
        <w:t>(2)</w:t>
      </w:r>
      <w:r w:rsidRPr="0013396E">
        <w:tab/>
      </w:r>
      <w:r w:rsidR="002A38DB" w:rsidRPr="0013396E">
        <w:t>ERCOT must reject an Output Schedule for a Resource if an Energy Offer Curve or Energy Bid/Offer Curve corresponding to any period in the Output Schedule exists;</w:t>
      </w:r>
    </w:p>
    <w:p w14:paraId="7DD7FE4A" w14:textId="7E8809D3" w:rsidR="001F04FD" w:rsidRPr="0013396E" w:rsidRDefault="001F04FD" w:rsidP="007A1E53">
      <w:pPr>
        <w:pStyle w:val="BodyTextNumbered"/>
      </w:pPr>
      <w:r w:rsidRPr="0013396E">
        <w:t>(</w:t>
      </w:r>
      <w:r w:rsidR="002A38DB" w:rsidRPr="0013396E">
        <w:t>3</w:t>
      </w:r>
      <w:r w:rsidRPr="0013396E">
        <w:t>)</w:t>
      </w:r>
      <w:r w:rsidRPr="0013396E">
        <w:tab/>
      </w:r>
      <w:r w:rsidR="002A38DB" w:rsidRPr="0013396E">
        <w:t>The MW difference between Output Schedules for any two consecutive five-minute intervals must be less than ten times the Normal Ramp Rate up for schedules showing an increase from the prior period and the Normal Ramp Rate down for schedules showing a decrease from the prior period.</w:t>
      </w:r>
    </w:p>
    <w:p w14:paraId="62434D0C" w14:textId="6D5C66D1" w:rsidR="001F04FD" w:rsidRPr="0013396E" w:rsidRDefault="001F04FD" w:rsidP="007A1E53">
      <w:pPr>
        <w:pStyle w:val="BodyTextNumbered"/>
      </w:pPr>
      <w:r w:rsidRPr="0013396E">
        <w:t>(</w:t>
      </w:r>
      <w:r w:rsidR="002A38DB" w:rsidRPr="0013396E">
        <w:t>4</w:t>
      </w:r>
      <w:r w:rsidRPr="0013396E">
        <w:t>)</w:t>
      </w:r>
      <w:r w:rsidRPr="0013396E">
        <w:tab/>
        <w:t>The Output Schedule for each interval in the Operating Period must be less than or equal to the Resource’s High Sustained Limit (HSL) and must be greater than or equal to the Resource’s Low Sustained Limit (LSL) for the corresponding hour.</w:t>
      </w:r>
    </w:p>
    <w:p w14:paraId="4AEFC26A" w14:textId="68712D8F" w:rsidR="001F04FD" w:rsidRPr="0013396E" w:rsidRDefault="001F04FD" w:rsidP="001F04FD">
      <w:pPr>
        <w:pStyle w:val="H4"/>
        <w:spacing w:before="480"/>
        <w:ind w:left="1267" w:hanging="1267"/>
      </w:pPr>
      <w:bookmarkStart w:id="200" w:name="_Toc397504919"/>
      <w:bookmarkStart w:id="201" w:name="_Toc402357047"/>
      <w:bookmarkStart w:id="202" w:name="_Toc422486427"/>
      <w:bookmarkStart w:id="203" w:name="_Toc433093279"/>
      <w:bookmarkStart w:id="204" w:name="_Toc433093437"/>
      <w:bookmarkStart w:id="205" w:name="_Toc440874667"/>
      <w:bookmarkStart w:id="206" w:name="_Toc448142222"/>
      <w:bookmarkStart w:id="207" w:name="_Toc448142379"/>
      <w:bookmarkStart w:id="208" w:name="_Toc458770215"/>
      <w:bookmarkStart w:id="209" w:name="_Toc459294183"/>
      <w:bookmarkStart w:id="210" w:name="_Toc463262676"/>
      <w:bookmarkStart w:id="211" w:name="_Toc468286748"/>
      <w:bookmarkStart w:id="212" w:name="_Toc481502794"/>
      <w:bookmarkStart w:id="213" w:name="_Toc496079964"/>
      <w:bookmarkStart w:id="214" w:name="_Toc236220078"/>
      <w:r w:rsidRPr="0013396E">
        <w:t>6.4.2.</w:t>
      </w:r>
      <w:r w:rsidR="002A38DB" w:rsidRPr="0013396E">
        <w:t>3</w:t>
      </w:r>
      <w:r w:rsidRPr="0013396E">
        <w:tab/>
        <w:t>Output Schedule Validation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6B023C6A" w14:textId="6B41A036" w:rsidR="001F04FD" w:rsidRPr="0013396E" w:rsidRDefault="001F04FD" w:rsidP="001F04FD">
      <w:pPr>
        <w:pStyle w:val="BodyTextNumbered"/>
      </w:pPr>
      <w:r w:rsidRPr="0013396E">
        <w:t>(1)</w:t>
      </w:r>
      <w:r w:rsidRPr="0013396E">
        <w:tab/>
        <w:t>A validated Output Schedule is a schedule that ERCOT has determined meets the criteria listed in Section 6.4.2.</w:t>
      </w:r>
      <w:r w:rsidR="00101759">
        <w:t>2</w:t>
      </w:r>
      <w:r w:rsidRPr="0013396E">
        <w:t>, Output Schedule Criteria.</w:t>
      </w:r>
    </w:p>
    <w:p w14:paraId="4FD49B87" w14:textId="77777777" w:rsidR="001F04FD" w:rsidRPr="0013396E" w:rsidRDefault="001F04FD" w:rsidP="001F04FD">
      <w:pPr>
        <w:pStyle w:val="BodyTextNumbered"/>
      </w:pPr>
      <w:r w:rsidRPr="0013396E">
        <w:t>(2)</w:t>
      </w:r>
      <w:r w:rsidRPr="0013396E">
        <w:tab/>
        <w:t>ERCOT shall notify the QSE submitting an Output Schedule by the Messaging System if the schedule was rejected or was considered invalid for any reason.  The QSE may then resubmit the schedule within the appropriate market timeline.</w:t>
      </w:r>
    </w:p>
    <w:p w14:paraId="2A5F6EF9" w14:textId="77777777" w:rsidR="001F04FD" w:rsidRPr="0013396E" w:rsidRDefault="001F04FD" w:rsidP="001F04FD">
      <w:pPr>
        <w:pStyle w:val="BodyTextNumbered"/>
      </w:pPr>
      <w:r w:rsidRPr="0013396E">
        <w:t>(3)</w:t>
      </w:r>
      <w:r w:rsidRPr="0013396E">
        <w:tab/>
        <w:t>ERCOT shall continuously validate Output Schedules and continuously display on the Market Information System (MIS) Certified Area information that allows any QSE to view its valid Output Schedule.</w:t>
      </w:r>
    </w:p>
    <w:p w14:paraId="37CB0B23" w14:textId="6FD832E0" w:rsidR="001F04FD" w:rsidRPr="0013396E" w:rsidRDefault="001F04FD" w:rsidP="007A1E53">
      <w:pPr>
        <w:spacing w:after="240"/>
        <w:ind w:left="720" w:hanging="720"/>
      </w:pPr>
      <w:r w:rsidRPr="0013396E">
        <w:t>(</w:t>
      </w:r>
      <w:r w:rsidR="00815042" w:rsidRPr="0013396E">
        <w:t>4</w:t>
      </w:r>
      <w:r w:rsidRPr="0013396E">
        <w:t>)</w:t>
      </w:r>
      <w:r w:rsidRPr="0013396E">
        <w:tab/>
      </w:r>
      <w:r w:rsidR="00815042" w:rsidRPr="0013396E">
        <w:t>For Generation Resources with a Resource Status other than ONTEST, STARTUP, or SHUTDOWN, if a valid Energy Offer Curve or an Output Schedule does not exist for a Resource that has a status of On-Line at the end of the Adjustment Period, then ERCOT shall notify the QSE and set the Output Schedule equal to the then current telemetered output of the Resource until an Output Schedule or Energy Offer Curve is submitted in a subsequent Adjustment Period.</w:t>
      </w:r>
    </w:p>
    <w:p w14:paraId="43488063" w14:textId="77777777" w:rsidR="001F04FD" w:rsidRPr="0013396E" w:rsidRDefault="001F04FD" w:rsidP="007A1E53">
      <w:pPr>
        <w:pStyle w:val="H3"/>
      </w:pPr>
      <w:bookmarkStart w:id="215" w:name="_Toc397504921"/>
      <w:bookmarkStart w:id="216" w:name="_Toc402357049"/>
      <w:bookmarkStart w:id="217" w:name="_Toc422486429"/>
      <w:bookmarkStart w:id="218" w:name="_Toc433093281"/>
      <w:bookmarkStart w:id="219" w:name="_Toc433093439"/>
      <w:bookmarkStart w:id="220" w:name="_Toc440874669"/>
      <w:bookmarkStart w:id="221" w:name="_Toc448142224"/>
      <w:bookmarkStart w:id="222" w:name="_Toc448142381"/>
      <w:bookmarkStart w:id="223" w:name="_Toc458770217"/>
      <w:bookmarkStart w:id="224" w:name="_Toc459294185"/>
      <w:bookmarkStart w:id="225" w:name="_Toc463262678"/>
      <w:bookmarkStart w:id="226" w:name="_Toc468286750"/>
      <w:bookmarkStart w:id="227" w:name="_Toc481502796"/>
      <w:bookmarkStart w:id="228" w:name="_Toc496079966"/>
      <w:bookmarkStart w:id="229" w:name="_Toc236220079"/>
      <w:r w:rsidRPr="0013396E">
        <w:t>6.4.3</w:t>
      </w:r>
      <w:r w:rsidRPr="0013396E">
        <w:tab/>
        <w:t>Real-Time Market (RTM) Energy Bids and Offers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3410D" w:rsidRPr="0013396E" w14:paraId="4D478754" w14:textId="77777777" w:rsidTr="00F5593C">
        <w:trPr>
          <w:trHeight w:val="206"/>
        </w:trPr>
        <w:tc>
          <w:tcPr>
            <w:tcW w:w="9350" w:type="dxa"/>
            <w:shd w:val="pct12" w:color="auto" w:fill="auto"/>
          </w:tcPr>
          <w:p w14:paraId="3DE5AA58" w14:textId="52EDFEFD" w:rsidR="00D3410D" w:rsidRPr="0013396E" w:rsidRDefault="00D3410D" w:rsidP="00F5593C">
            <w:pPr>
              <w:pStyle w:val="Instructions"/>
              <w:spacing w:before="120"/>
            </w:pPr>
            <w:bookmarkStart w:id="230" w:name="_Toc397504922"/>
            <w:bookmarkStart w:id="231" w:name="_Toc402357050"/>
            <w:bookmarkStart w:id="232" w:name="_Toc422486430"/>
            <w:bookmarkStart w:id="233" w:name="_Toc433093282"/>
            <w:bookmarkStart w:id="234" w:name="_Toc433093440"/>
            <w:bookmarkStart w:id="235" w:name="_Toc440874670"/>
            <w:bookmarkStart w:id="236" w:name="_Toc448142225"/>
            <w:bookmarkStart w:id="237" w:name="_Toc448142382"/>
            <w:bookmarkStart w:id="238" w:name="_Toc458770218"/>
            <w:bookmarkStart w:id="239" w:name="_Toc459294186"/>
            <w:bookmarkStart w:id="240" w:name="_Toc463262679"/>
            <w:bookmarkStart w:id="241" w:name="_Toc468286751"/>
            <w:bookmarkStart w:id="242" w:name="_Toc481502797"/>
            <w:bookmarkStart w:id="243" w:name="_Toc496079967"/>
            <w:bookmarkStart w:id="244" w:name="_Hlk120515232"/>
            <w:bookmarkStart w:id="245" w:name="_Hlk174601017"/>
            <w:r w:rsidRPr="0013396E">
              <w:t>[NPRR1188:  Replace the title for Section 6.4.3 above with the following upon system implementation:]</w:t>
            </w:r>
          </w:p>
          <w:p w14:paraId="2EC4C1B2" w14:textId="2909E83F" w:rsidR="00D3410D" w:rsidRPr="0013396E" w:rsidRDefault="00D3410D" w:rsidP="00D3410D">
            <w:pPr>
              <w:pStyle w:val="H3"/>
              <w:spacing w:before="480"/>
            </w:pPr>
            <w:bookmarkStart w:id="246" w:name="_Toc236220080"/>
            <w:r w:rsidRPr="0013396E">
              <w:t>6.4.3</w:t>
            </w:r>
            <w:r w:rsidRPr="0013396E">
              <w:tab/>
              <w:t>[RESERVED]</w:t>
            </w:r>
            <w:bookmarkEnd w:id="246"/>
          </w:p>
        </w:tc>
      </w:tr>
    </w:tbl>
    <w:p w14:paraId="4F723D71" w14:textId="77777777" w:rsidR="001F04FD" w:rsidRPr="0013396E" w:rsidRDefault="001F04FD" w:rsidP="001F04FD">
      <w:pPr>
        <w:pStyle w:val="H4"/>
        <w:spacing w:before="480"/>
      </w:pPr>
      <w:bookmarkStart w:id="247" w:name="_Toc236220081"/>
      <w:r w:rsidRPr="00886E1B">
        <w:lastRenderedPageBreak/>
        <w:t>6.4.3.1</w:t>
      </w:r>
      <w:r w:rsidRPr="00886E1B">
        <w:tab/>
        <w:t>RTM Energy Bids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7"/>
    </w:p>
    <w:p w14:paraId="1A8873B8" w14:textId="667893EB" w:rsidR="001F04FD" w:rsidRPr="0013396E" w:rsidRDefault="001F04FD" w:rsidP="00F468C2">
      <w:pPr>
        <w:pStyle w:val="BodyTextNumbered"/>
      </w:pPr>
      <w:r w:rsidRPr="0013396E">
        <w:t>(</w:t>
      </w:r>
      <w:r w:rsidR="0053020C" w:rsidRPr="0013396E">
        <w:t>1</w:t>
      </w:r>
      <w:r w:rsidRPr="0013396E">
        <w:t>)</w:t>
      </w:r>
      <w:r w:rsidRPr="0013396E">
        <w:tab/>
      </w:r>
      <w:r w:rsidR="00492BE2" w:rsidRPr="0013396E">
        <w:t>An RTM Energy Bid represents the willingness to buy energy at or below a certain price, not to exceed the effective Value of Lost Load (VOLL), for the Demand response capability of a Controllable Load Resource</w:t>
      </w:r>
      <w:r w:rsidR="00A15EAB">
        <w:t xml:space="preserve"> (CLR)</w:t>
      </w:r>
      <w:r w:rsidR="00492BE2" w:rsidRPr="0013396E">
        <w:t xml:space="preserve"> in the RTM.</w:t>
      </w:r>
    </w:p>
    <w:p w14:paraId="782B79BA" w14:textId="09C4946E" w:rsidR="001F04FD" w:rsidRPr="0013396E" w:rsidRDefault="001F04FD" w:rsidP="007A1E53">
      <w:pPr>
        <w:pStyle w:val="List"/>
        <w:ind w:left="720"/>
      </w:pPr>
      <w:r w:rsidRPr="0013396E">
        <w:t>(</w:t>
      </w:r>
      <w:r w:rsidR="0053020C" w:rsidRPr="0013396E">
        <w:t>2</w:t>
      </w:r>
      <w:r w:rsidRPr="0013396E">
        <w:t>)</w:t>
      </w:r>
      <w:r w:rsidRPr="0013396E">
        <w:tab/>
      </w:r>
      <w:r w:rsidR="0053020C" w:rsidRPr="0013396E">
        <w:t>RTM Energy Bids remain active for the offered period until automatically inactivated at the offer expiration time specified in the RTM Energy Bid.</w:t>
      </w:r>
    </w:p>
    <w:p w14:paraId="03B0282F" w14:textId="3B286C02" w:rsidR="00B4018E" w:rsidRPr="0013396E" w:rsidRDefault="0053020C" w:rsidP="00F468C2">
      <w:pPr>
        <w:spacing w:after="240"/>
        <w:ind w:left="720" w:hanging="720"/>
      </w:pPr>
      <w:r w:rsidRPr="0013396E">
        <w:t>(3)</w:t>
      </w:r>
      <w:r w:rsidRPr="0013396E">
        <w:tab/>
      </w:r>
      <w:r w:rsidR="00492BE2" w:rsidRPr="0013396E">
        <w:t>For any Operating Hour, the QSE may submit or change an RTM Energy Bid in the Adjustment Period.  If, by the end of the Adjustment Period, the QSE has not submitted a valid RTM Energy Bid, ERCOT shall create a proxy RTM Energy Bid for the entire Demand response capability of that Load Resource with a not-to-exceed price at the effective VOLL.</w:t>
      </w:r>
    </w:p>
    <w:p w14:paraId="4061469C" w14:textId="4FEED8A8" w:rsidR="001F04FD" w:rsidRPr="0013396E" w:rsidRDefault="001F04FD" w:rsidP="007A1E53">
      <w:pPr>
        <w:pStyle w:val="BodyTextNumbered"/>
      </w:pPr>
      <w:r w:rsidRPr="0013396E">
        <w:t>(</w:t>
      </w:r>
      <w:r w:rsidR="00492BE2" w:rsidRPr="0013396E">
        <w:t>4</w:t>
      </w:r>
      <w:r w:rsidRPr="0013396E">
        <w:t>)</w:t>
      </w:r>
      <w:r w:rsidRPr="0013396E">
        <w:tab/>
        <w:t xml:space="preserve">The QSE may remove the </w:t>
      </w:r>
      <w:r w:rsidR="00A15EAB">
        <w:t>CLR</w:t>
      </w:r>
      <w:r w:rsidRPr="0013396E">
        <w:t xml:space="preserve"> from SCED Dispatch by changing the Load Resource’s telemetered Resource Status or ramp rates appropriately.  The QSE will update the COP Resource Status accordingly as soon as practicable.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3410D" w:rsidRPr="0013396E" w14:paraId="415DCD0C" w14:textId="77777777" w:rsidTr="00F5593C">
        <w:trPr>
          <w:trHeight w:val="206"/>
        </w:trPr>
        <w:tc>
          <w:tcPr>
            <w:tcW w:w="9350" w:type="dxa"/>
            <w:shd w:val="pct12" w:color="auto" w:fill="auto"/>
          </w:tcPr>
          <w:p w14:paraId="74281941" w14:textId="344933E6" w:rsidR="00D3410D" w:rsidRPr="0013396E" w:rsidRDefault="00D3410D" w:rsidP="00F5593C">
            <w:pPr>
              <w:pStyle w:val="Instructions"/>
              <w:spacing w:before="120"/>
            </w:pPr>
            <w:bookmarkStart w:id="248" w:name="_Toc397504923"/>
            <w:bookmarkStart w:id="249" w:name="_Toc402357051"/>
            <w:bookmarkStart w:id="250" w:name="_Toc422486431"/>
            <w:bookmarkStart w:id="251" w:name="_Toc433093283"/>
            <w:bookmarkStart w:id="252" w:name="_Toc433093441"/>
            <w:bookmarkStart w:id="253" w:name="_Toc440874671"/>
            <w:bookmarkStart w:id="254" w:name="_Toc448142226"/>
            <w:bookmarkStart w:id="255" w:name="_Toc448142383"/>
            <w:bookmarkStart w:id="256" w:name="_Toc458770219"/>
            <w:bookmarkStart w:id="257" w:name="_Toc459294187"/>
            <w:bookmarkStart w:id="258" w:name="_Toc463262680"/>
            <w:bookmarkStart w:id="259" w:name="_Toc468286752"/>
            <w:bookmarkStart w:id="260" w:name="_Toc481502798"/>
            <w:bookmarkStart w:id="261" w:name="_Toc496079968"/>
            <w:bookmarkEnd w:id="244"/>
            <w:r w:rsidRPr="0013396E">
              <w:t>[NPRR1188:  Delete Section 6.4.3.1 above upon system implementation.]</w:t>
            </w:r>
          </w:p>
        </w:tc>
      </w:tr>
    </w:tbl>
    <w:p w14:paraId="6EDEA73C" w14:textId="77777777" w:rsidR="001F04FD" w:rsidRPr="0013396E" w:rsidRDefault="001F04FD" w:rsidP="004116AE">
      <w:pPr>
        <w:pStyle w:val="H5"/>
        <w:spacing w:before="480"/>
        <w:ind w:left="720" w:hanging="720"/>
      </w:pPr>
      <w:bookmarkStart w:id="262" w:name="_Toc236220082"/>
      <w:r w:rsidRPr="0013396E">
        <w:t>6.4.3.1.1</w:t>
      </w:r>
      <w:r w:rsidRPr="0013396E">
        <w:tab/>
        <w:t>RTM Energy Bid Criteria</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EC29D75" w14:textId="77777777" w:rsidR="001F04FD" w:rsidRPr="0013396E" w:rsidRDefault="001F04FD" w:rsidP="001F04FD">
      <w:pPr>
        <w:pStyle w:val="BodyTextNumbered"/>
      </w:pPr>
      <w:r w:rsidRPr="0013396E">
        <w:t>(1)</w:t>
      </w:r>
      <w:r w:rsidRPr="0013396E">
        <w:tab/>
        <w:t>Each RTM Energy Bid submitted by a QSE must include the following information:</w:t>
      </w:r>
    </w:p>
    <w:p w14:paraId="3B1F8AAA" w14:textId="77777777" w:rsidR="001F04FD" w:rsidRPr="0013396E" w:rsidRDefault="001F04FD" w:rsidP="001F04FD">
      <w:pPr>
        <w:pStyle w:val="List"/>
      </w:pPr>
      <w:r w:rsidRPr="0013396E">
        <w:t>(a)</w:t>
      </w:r>
      <w:r w:rsidRPr="0013396E">
        <w:tab/>
        <w:t>The QSE;</w:t>
      </w:r>
    </w:p>
    <w:p w14:paraId="44176AA8" w14:textId="77777777" w:rsidR="001F04FD" w:rsidRPr="0013396E" w:rsidRDefault="001F04FD" w:rsidP="001F04FD">
      <w:pPr>
        <w:pStyle w:val="List"/>
      </w:pPr>
      <w:r w:rsidRPr="0013396E">
        <w:t>(b)</w:t>
      </w:r>
      <w:r w:rsidRPr="0013396E">
        <w:tab/>
        <w:t>The relevant Load Resource;</w:t>
      </w:r>
    </w:p>
    <w:p w14:paraId="51639322" w14:textId="77777777" w:rsidR="001F04FD" w:rsidRPr="0013396E" w:rsidRDefault="001F04FD" w:rsidP="001F04FD">
      <w:pPr>
        <w:pStyle w:val="List"/>
      </w:pPr>
      <w:r w:rsidRPr="0013396E">
        <w:t>(c)</w:t>
      </w:r>
      <w:r w:rsidRPr="0013396E">
        <w:tab/>
        <w:t>A bid curve with no more than ten price/quantity pairs with monotonically non-increasing not-to-exceed prices (in $/MWh) and with increasing quantities ranging from zero to the Load Resource’s maximum demand response capability (in MW) represented by the difference between the Load Resource’s telemetered Maximum Power Consumption (MPC) and Low Power Consumption (LPC);</w:t>
      </w:r>
    </w:p>
    <w:p w14:paraId="741072F7" w14:textId="77777777" w:rsidR="001F04FD" w:rsidRPr="0013396E" w:rsidRDefault="001F04FD" w:rsidP="001F04FD">
      <w:pPr>
        <w:pStyle w:val="List"/>
      </w:pPr>
      <w:r w:rsidRPr="0013396E">
        <w:t>(d)</w:t>
      </w:r>
      <w:r w:rsidRPr="0013396E">
        <w:tab/>
        <w:t>The first and last hour of the bid; and</w:t>
      </w:r>
    </w:p>
    <w:p w14:paraId="361751FC" w14:textId="77777777" w:rsidR="001F04FD" w:rsidRPr="0013396E" w:rsidRDefault="001F04FD" w:rsidP="001F04FD">
      <w:pPr>
        <w:pStyle w:val="List"/>
      </w:pPr>
      <w:r w:rsidRPr="0013396E">
        <w:t>(e)</w:t>
      </w:r>
      <w:r w:rsidRPr="0013396E">
        <w:tab/>
        <w:t>The expiration time and date of the bid.</w:t>
      </w:r>
    </w:p>
    <w:p w14:paraId="37B10BE3" w14:textId="77777777" w:rsidR="001F04FD" w:rsidRPr="0013396E" w:rsidRDefault="001F04FD" w:rsidP="001F04FD">
      <w:pPr>
        <w:pStyle w:val="BodyTextNumbered"/>
      </w:pPr>
      <w:r w:rsidRPr="0013396E">
        <w:t>(2)</w:t>
      </w:r>
      <w:r w:rsidRPr="0013396E">
        <w:tab/>
        <w:t>The software systems must be able to provide ERCOT with the ability to enter Resource-specific RTM Energy Bid floors and caps.</w:t>
      </w:r>
    </w:p>
    <w:p w14:paraId="1E21C70D" w14:textId="77777777" w:rsidR="001F04FD" w:rsidRPr="0013396E" w:rsidRDefault="001F04FD" w:rsidP="001F04FD">
      <w:pPr>
        <w:pStyle w:val="BodyTextNumbered"/>
      </w:pPr>
      <w:r w:rsidRPr="0013396E">
        <w:t>(3)</w:t>
      </w:r>
      <w:r w:rsidRPr="0013396E">
        <w:tab/>
        <w:t>The minimum amount per Load Resource for each RTM Energy Bid that may be submitted is one-tenth (0.1) MW.</w:t>
      </w:r>
    </w:p>
    <w:p w14:paraId="10DE116C" w14:textId="5764D23D" w:rsidR="001F04FD" w:rsidRPr="0013396E" w:rsidRDefault="001F04FD" w:rsidP="001F04FD">
      <w:pPr>
        <w:pStyle w:val="BodyTextNumbered"/>
      </w:pPr>
      <w:r w:rsidRPr="0013396E">
        <w:lastRenderedPageBreak/>
        <w:t>(4)</w:t>
      </w:r>
      <w:r w:rsidRPr="0013396E">
        <w:tab/>
      </w:r>
      <w:r w:rsidR="00492BE2" w:rsidRPr="0013396E">
        <w:t xml:space="preserve">If a </w:t>
      </w:r>
      <w:r w:rsidR="004874DF">
        <w:t>CLR</w:t>
      </w:r>
      <w:r w:rsidR="00492BE2" w:rsidRPr="0013396E">
        <w:t xml:space="preserve"> is offering to provide an Ancillary Service, its RTM Energy Bid must be priced no higher than the effective VOLL.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3410D" w:rsidRPr="0013396E" w14:paraId="50B4235A" w14:textId="77777777" w:rsidTr="00D3410D">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5E1E6FCE" w14:textId="5A4E3950" w:rsidR="00D3410D" w:rsidRPr="0013396E" w:rsidRDefault="00D3410D" w:rsidP="00F5593C">
            <w:pPr>
              <w:pStyle w:val="Instructions"/>
              <w:spacing w:before="120"/>
            </w:pPr>
            <w:bookmarkStart w:id="263" w:name="_Toc397504924"/>
            <w:bookmarkStart w:id="264" w:name="_Toc402357052"/>
            <w:bookmarkStart w:id="265" w:name="_Toc422486432"/>
            <w:bookmarkStart w:id="266" w:name="_Toc433093284"/>
            <w:bookmarkStart w:id="267" w:name="_Toc433093442"/>
            <w:bookmarkStart w:id="268" w:name="_Toc440874672"/>
            <w:bookmarkStart w:id="269" w:name="_Toc448142227"/>
            <w:bookmarkStart w:id="270" w:name="_Toc448142384"/>
            <w:bookmarkStart w:id="271" w:name="_Toc458770220"/>
            <w:bookmarkStart w:id="272" w:name="_Toc459294188"/>
            <w:bookmarkStart w:id="273" w:name="_Toc463262681"/>
            <w:bookmarkStart w:id="274" w:name="_Toc468286753"/>
            <w:bookmarkStart w:id="275" w:name="_Toc481502799"/>
            <w:bookmarkStart w:id="276" w:name="_Toc496079969"/>
            <w:r w:rsidRPr="0013396E">
              <w:t>[NPRR1188:  Delete Section 6.4.3.1.1 above upon system implementation.]</w:t>
            </w:r>
          </w:p>
        </w:tc>
      </w:tr>
    </w:tbl>
    <w:p w14:paraId="324F0B97" w14:textId="7EDC5929" w:rsidR="001F04FD" w:rsidRPr="0013396E" w:rsidRDefault="001F04FD" w:rsidP="00F468C2">
      <w:pPr>
        <w:pStyle w:val="H5"/>
        <w:tabs>
          <w:tab w:val="left" w:pos="5366"/>
        </w:tabs>
        <w:spacing w:before="480"/>
        <w:ind w:left="1627" w:hanging="1627"/>
      </w:pPr>
      <w:bookmarkStart w:id="277" w:name="_Toc236220083"/>
      <w:r w:rsidRPr="0013396E">
        <w:t>6.4.3.1.2</w:t>
      </w:r>
      <w:r w:rsidRPr="0013396E">
        <w:tab/>
        <w:t>RTM Energy Bid Validation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00C476E8" w:rsidRPr="0013396E">
        <w:tab/>
      </w:r>
    </w:p>
    <w:p w14:paraId="1D7C71E8" w14:textId="77777777" w:rsidR="001F04FD" w:rsidRPr="0013396E" w:rsidRDefault="001F04FD" w:rsidP="001F04FD">
      <w:pPr>
        <w:pStyle w:val="BodyTextNumbered"/>
      </w:pPr>
      <w:r w:rsidRPr="0013396E">
        <w:t>(1)</w:t>
      </w:r>
      <w:r w:rsidRPr="0013396E">
        <w:tab/>
        <w:t>A valid RTM Energy Bid is a bid that ERCOT has determined meets the criteria listed in Section 6.4.3.1.1, RTM Energy Bid Criteria.</w:t>
      </w:r>
    </w:p>
    <w:p w14:paraId="4A2A80C9" w14:textId="77777777" w:rsidR="001F04FD" w:rsidRPr="0013396E" w:rsidRDefault="001F04FD" w:rsidP="001F04FD">
      <w:pPr>
        <w:pStyle w:val="BodyTextNumbered"/>
      </w:pPr>
      <w:r w:rsidRPr="0013396E">
        <w:t>(2)</w:t>
      </w:r>
      <w:r w:rsidRPr="0013396E">
        <w:tab/>
        <w:t>ERCOT shall notify the QSE submitting an RTM Energy Bid by the Messaging System if the bid was rejected or was considered invalid for any reason.  The QSE may then resubmit the bid within the appropriate market timeline.</w:t>
      </w:r>
    </w:p>
    <w:p w14:paraId="5B9B7F00" w14:textId="77777777" w:rsidR="001F04FD" w:rsidRPr="0013396E" w:rsidRDefault="001F04FD" w:rsidP="001F04FD">
      <w:pPr>
        <w:pStyle w:val="BodyTextNumbered"/>
      </w:pPr>
      <w:r w:rsidRPr="0013396E">
        <w:t>(3)</w:t>
      </w:r>
      <w:r w:rsidRPr="0013396E">
        <w:tab/>
        <w:t>ERCOT shall continuously validate RTM Energy Bids and continuously display on the MIS Certified Area information that allows any QSE to view its valid RTM Energy Bids.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3410D" w:rsidRPr="0013396E" w14:paraId="6362E997" w14:textId="77777777" w:rsidTr="00F5593C">
        <w:trPr>
          <w:trHeight w:val="206"/>
        </w:trPr>
        <w:tc>
          <w:tcPr>
            <w:tcW w:w="9350" w:type="dxa"/>
            <w:shd w:val="pct12" w:color="auto" w:fill="auto"/>
          </w:tcPr>
          <w:p w14:paraId="59BA83E6" w14:textId="48452E83" w:rsidR="00D3410D" w:rsidRPr="0013396E" w:rsidRDefault="00D3410D" w:rsidP="00F5593C">
            <w:pPr>
              <w:pStyle w:val="Instructions"/>
              <w:spacing w:before="120"/>
            </w:pPr>
            <w:bookmarkStart w:id="278" w:name="_Toc397504925"/>
            <w:bookmarkStart w:id="279" w:name="_Toc402357053"/>
            <w:bookmarkStart w:id="280" w:name="_Toc422486433"/>
            <w:bookmarkStart w:id="281" w:name="_Toc433093285"/>
            <w:bookmarkStart w:id="282" w:name="_Toc433093443"/>
            <w:bookmarkStart w:id="283" w:name="_Toc440874673"/>
            <w:bookmarkStart w:id="284" w:name="_Toc448142228"/>
            <w:bookmarkStart w:id="285" w:name="_Toc448142385"/>
            <w:bookmarkStart w:id="286" w:name="_Toc458770221"/>
            <w:bookmarkStart w:id="287" w:name="_Toc459294189"/>
            <w:bookmarkStart w:id="288" w:name="_Toc463262682"/>
            <w:bookmarkStart w:id="289" w:name="_Toc468286754"/>
            <w:bookmarkStart w:id="290" w:name="_Toc481502800"/>
            <w:bookmarkStart w:id="291" w:name="_Toc496079970"/>
            <w:r w:rsidRPr="0013396E">
              <w:t>[NPRR1188:  Delete Section 6.4.3.1.2 above upon system implementation.]</w:t>
            </w:r>
          </w:p>
        </w:tc>
      </w:tr>
    </w:tbl>
    <w:p w14:paraId="776416FC" w14:textId="558041CA" w:rsidR="001F04FD" w:rsidRPr="0013396E" w:rsidRDefault="001F04FD" w:rsidP="001F04FD">
      <w:pPr>
        <w:pStyle w:val="H3"/>
        <w:spacing w:before="480"/>
      </w:pPr>
      <w:bookmarkStart w:id="292" w:name="_Toc236220084"/>
      <w:r w:rsidRPr="0013396E">
        <w:t>6.4.4</w:t>
      </w:r>
      <w:r w:rsidRPr="0013396E">
        <w:tab/>
        <w:t>Energy Offer Curve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00393FFF" w:rsidRPr="0013396E">
        <w:t xml:space="preserve"> and Energy Bid/Offer Curve</w:t>
      </w:r>
      <w:bookmarkEnd w:id="292"/>
    </w:p>
    <w:p w14:paraId="248A558C" w14:textId="77777777" w:rsidR="00393FFF" w:rsidRPr="0013396E" w:rsidRDefault="00393FFF" w:rsidP="00393FFF">
      <w:pPr>
        <w:spacing w:after="240"/>
        <w:ind w:left="720" w:hanging="720"/>
      </w:pPr>
      <w:r w:rsidRPr="0013396E">
        <w:t>(1)</w:t>
      </w:r>
      <w:r w:rsidRPr="0013396E">
        <w:tab/>
        <w:t>A detailed description of Energy Offer Curve, Energy Bid/Offer Curve, and validations performed by ERCOT is in Section 4.4.9, Energy Offers and Bids.</w:t>
      </w:r>
    </w:p>
    <w:p w14:paraId="6A00A01E" w14:textId="77777777" w:rsidR="00393FFF" w:rsidRPr="0013396E" w:rsidRDefault="00393FFF" w:rsidP="00393FFF">
      <w:pPr>
        <w:spacing w:after="240"/>
        <w:ind w:left="720" w:hanging="720"/>
      </w:pPr>
      <w:r w:rsidRPr="0013396E">
        <w:t>(2)</w:t>
      </w:r>
      <w:r w:rsidRPr="0013396E">
        <w:tab/>
        <w:t>For an On-Line RMR Unit, ERCOT shall submit an Energy Offer Curve considering contractual constraints on the Resource and any other adverse effects on, or implications arising from, the RMR Agreement, that may occur as the result of the Dispatch of the RMR Unit.  The RMR Unit’s administratively-set Energy Offer Curve must price all energy at the effective VOLL in $/MWh.</w:t>
      </w:r>
    </w:p>
    <w:p w14:paraId="350B8AF2" w14:textId="77777777" w:rsidR="00393FFF" w:rsidRPr="0013396E" w:rsidRDefault="00393FFF" w:rsidP="00393FFF">
      <w:pPr>
        <w:spacing w:after="240"/>
        <w:ind w:left="720" w:hanging="720"/>
      </w:pPr>
      <w:r w:rsidRPr="0013396E">
        <w:t>(3)</w:t>
      </w:r>
      <w:r w:rsidRPr="0013396E">
        <w:tab/>
        <w:t>For Generation Resources with a Resource Status other than ONTEST, STARTUP, or SHUTDOWN, if a valid Energy Offer Curve or an Output Schedule does not exist for a Resource that has a status of On-Line at the end of the Adjustment Period, then ERCOT shall notify the QSE.  Except for IRRs and QF Resources, ERCOT shall create an Output Schedule equal to the then-current telemetered output of the Resource until an Output Schedule or Energy Offer Curve is submitted.</w:t>
      </w:r>
    </w:p>
    <w:p w14:paraId="40EA5A70" w14:textId="23AFDCC0" w:rsidR="001F04FD" w:rsidRPr="0013396E" w:rsidRDefault="00393FFF" w:rsidP="005A7D2B">
      <w:pPr>
        <w:pStyle w:val="BodyTextNumbered"/>
      </w:pPr>
      <w:r w:rsidRPr="0013396E">
        <w:t>(4)</w:t>
      </w:r>
      <w:r w:rsidRPr="0013396E">
        <w:tab/>
        <w:t xml:space="preserve">For ESRs with a Resource Status other than ONTEST or ONHOLD, if a valid Energy Bid/Offer Curve or an Output Schedule does not exist, then ERCOT shall notify the QSE and create a proxy Energy Bid/Offer Curve priced at -$250/MWh for the MW portion of the curve less than zero MW, and priced at the </w:t>
      </w:r>
      <w:r w:rsidR="00096737">
        <w:t>Real-Time System-Wide Offer Cap (</w:t>
      </w:r>
      <w:r w:rsidRPr="0013396E">
        <w:t>RTSWCAP</w:t>
      </w:r>
      <w:r w:rsidR="00096737">
        <w:t>)</w:t>
      </w:r>
      <w:r w:rsidRPr="0013396E">
        <w:t xml:space="preserve"> for the MW portion of the curve greater than zero MW.</w:t>
      </w:r>
      <w:r w:rsidRPr="0013396E" w:rsidDel="00393FFF">
        <w:t xml:space="preserve"> </w:t>
      </w:r>
    </w:p>
    <w:p w14:paraId="02BE171C" w14:textId="23F634F7" w:rsidR="00236104" w:rsidRPr="0013396E" w:rsidRDefault="00236104" w:rsidP="007A1E53">
      <w:pPr>
        <w:spacing w:before="240" w:after="240"/>
        <w:ind w:left="1080" w:hanging="1080"/>
        <w:outlineLvl w:val="3"/>
        <w:rPr>
          <w:b/>
        </w:rPr>
      </w:pPr>
      <w:bookmarkStart w:id="293" w:name="_Toc236220085"/>
      <w:bookmarkStart w:id="294" w:name="_Toc397504928"/>
      <w:bookmarkStart w:id="295" w:name="_Toc402357056"/>
      <w:bookmarkStart w:id="296" w:name="_Toc422486436"/>
      <w:bookmarkStart w:id="297" w:name="_Toc433093288"/>
      <w:bookmarkStart w:id="298" w:name="_Toc433093446"/>
      <w:bookmarkStart w:id="299" w:name="_Toc440874675"/>
      <w:bookmarkStart w:id="300" w:name="_Toc448142230"/>
      <w:bookmarkStart w:id="301" w:name="_Toc448142387"/>
      <w:bookmarkStart w:id="302" w:name="_Toc458770223"/>
      <w:bookmarkStart w:id="303" w:name="_Toc459294191"/>
      <w:bookmarkStart w:id="304" w:name="_Toc463262684"/>
      <w:bookmarkStart w:id="305" w:name="_Toc468286756"/>
      <w:bookmarkStart w:id="306" w:name="_Toc481502802"/>
      <w:bookmarkStart w:id="307" w:name="_Toc496079972"/>
      <w:r w:rsidRPr="0013396E">
        <w:rPr>
          <w:b/>
        </w:rPr>
        <w:lastRenderedPageBreak/>
        <w:t>6.4.4.</w:t>
      </w:r>
      <w:r w:rsidR="00DA3953" w:rsidRPr="0013396E">
        <w:rPr>
          <w:b/>
        </w:rPr>
        <w:t>1</w:t>
      </w:r>
      <w:r w:rsidRPr="0013396E">
        <w:rPr>
          <w:b/>
        </w:rPr>
        <w:tab/>
        <w:t>Energy Offer Curve for RUC-Committed Switchable Generation Resources</w:t>
      </w:r>
      <w:bookmarkEnd w:id="293"/>
    </w:p>
    <w:p w14:paraId="62C34E73" w14:textId="0E1FAD44" w:rsidR="00BD7CC8" w:rsidRPr="0013396E" w:rsidRDefault="00236104" w:rsidP="00236104">
      <w:pPr>
        <w:pStyle w:val="BodyTextNumbered"/>
        <w:rPr>
          <w:color w:val="000000"/>
        </w:rPr>
      </w:pPr>
      <w:r w:rsidRPr="0013396E">
        <w:rPr>
          <w:color w:val="000000"/>
        </w:rPr>
        <w:t>(1)</w:t>
      </w:r>
      <w:r w:rsidRPr="0013396E">
        <w:rPr>
          <w:color w:val="000000"/>
        </w:rPr>
        <w:tab/>
      </w:r>
      <w:r w:rsidR="00DA3953" w:rsidRPr="0013396E">
        <w:rPr>
          <w:color w:val="000000"/>
        </w:rPr>
        <w:t xml:space="preserve">Prior to the end of the Adjustment Period for an Operating Hour during which a </w:t>
      </w:r>
      <w:r w:rsidR="00DA3953" w:rsidRPr="0013396E">
        <w:t>Switchable</w:t>
      </w:r>
      <w:r w:rsidR="00DA3953" w:rsidRPr="0013396E">
        <w:rPr>
          <w:color w:val="000000"/>
        </w:rPr>
        <w:t xml:space="preserve"> Generation Resource (SWGR) has been committed by ERCOT as part of the Reliability Unit Commitment (RUC) process to address an actual or anticipated Energy Emergency Alert (EEA) event, ERCOT shall administratively set an Energy Offer Curve that prices all energy from LSL to HSL at or above $4,500 per MWh, or at the effective VOLL, whichever is lower, for the Operating Hours in the RUC commitment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B10B3" w:rsidRPr="0013396E" w14:paraId="3C39CAA4" w14:textId="77777777" w:rsidTr="00AC4758">
        <w:trPr>
          <w:trHeight w:val="206"/>
        </w:trPr>
        <w:tc>
          <w:tcPr>
            <w:tcW w:w="9350" w:type="dxa"/>
            <w:shd w:val="pct12" w:color="auto" w:fill="auto"/>
          </w:tcPr>
          <w:bookmarkEnd w:id="245"/>
          <w:p w14:paraId="39242F5D" w14:textId="057C7BA4" w:rsidR="00BB10B3" w:rsidRPr="0013396E" w:rsidRDefault="00BB10B3" w:rsidP="00BB10B3">
            <w:pPr>
              <w:pStyle w:val="Instructions"/>
              <w:spacing w:before="120"/>
            </w:pPr>
            <w:r w:rsidRPr="0013396E">
              <w:t>[NPRR1019:  Delete Section 6.4.4.</w:t>
            </w:r>
            <w:r w:rsidR="00DA3953" w:rsidRPr="0013396E">
              <w:t>1</w:t>
            </w:r>
            <w:r w:rsidRPr="0013396E">
              <w:t xml:space="preserve"> above upon system implementation.]</w:t>
            </w:r>
          </w:p>
        </w:tc>
      </w:tr>
    </w:tbl>
    <w:p w14:paraId="1AFD60E9" w14:textId="2A241966" w:rsidR="001F04FD" w:rsidRPr="0013396E" w:rsidRDefault="001F04FD" w:rsidP="00043D95">
      <w:pPr>
        <w:pStyle w:val="H3"/>
        <w:spacing w:before="480"/>
      </w:pPr>
      <w:bookmarkStart w:id="308" w:name="_Toc236220086"/>
      <w:r w:rsidRPr="0013396E">
        <w:t>6.4.5</w:t>
      </w:r>
      <w:r w:rsidRPr="0013396E">
        <w:tab/>
      </w:r>
      <w:r w:rsidR="0060225A" w:rsidRPr="0013396E">
        <w:rPr>
          <w:iCs/>
          <w:sz w:val="23"/>
          <w:szCs w:val="23"/>
        </w:rPr>
        <w:t>[RESERVED]</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6FFB01E7" w14:textId="77777777" w:rsidR="001F04FD" w:rsidRPr="0013396E" w:rsidRDefault="001F04FD" w:rsidP="007A1E53">
      <w:pPr>
        <w:pStyle w:val="H3"/>
      </w:pPr>
      <w:bookmarkStart w:id="309" w:name="_Toc397504929"/>
      <w:bookmarkStart w:id="310" w:name="_Toc402357057"/>
      <w:bookmarkStart w:id="311" w:name="_Toc422486437"/>
      <w:bookmarkStart w:id="312" w:name="_Toc433093289"/>
      <w:bookmarkStart w:id="313" w:name="_Toc433093447"/>
      <w:bookmarkStart w:id="314" w:name="_Toc440874676"/>
      <w:bookmarkStart w:id="315" w:name="_Toc448142231"/>
      <w:bookmarkStart w:id="316" w:name="_Toc448142388"/>
      <w:bookmarkStart w:id="317" w:name="_Toc458770224"/>
      <w:bookmarkStart w:id="318" w:name="_Toc459294192"/>
      <w:bookmarkStart w:id="319" w:name="_Toc463262685"/>
      <w:bookmarkStart w:id="320" w:name="_Toc468286757"/>
      <w:bookmarkStart w:id="321" w:name="_Toc481502803"/>
      <w:bookmarkStart w:id="322" w:name="_Toc496079973"/>
      <w:bookmarkStart w:id="323" w:name="_Toc236220087"/>
      <w:r w:rsidRPr="0013396E">
        <w:t>6.4.6</w:t>
      </w:r>
      <w:r w:rsidRPr="0013396E">
        <w:tab/>
        <w:t>Resource Status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13396E">
        <w:t xml:space="preserve"> </w:t>
      </w:r>
    </w:p>
    <w:p w14:paraId="0B84E95E" w14:textId="1E64F19E" w:rsidR="001F04FD" w:rsidRPr="0013396E" w:rsidRDefault="001F04FD" w:rsidP="001F04FD">
      <w:pPr>
        <w:pStyle w:val="BodyTextNumbered"/>
      </w:pPr>
      <w:r w:rsidRPr="0013396E">
        <w:t>(1)</w:t>
      </w:r>
      <w:r w:rsidRPr="0013396E">
        <w:tab/>
      </w:r>
      <w:r w:rsidR="0060225A" w:rsidRPr="0013396E">
        <w:t>ERCOT shall use the telemetered Resource Status for all applications requiring status of Resources during the Operating Hour, including SCED and Load Frequency Control (LFC).  QSEs shall provide ERCOT with accurate telemetry of the current capability of each Resource including the Resource Status, Ancillary Service capability for each Ancillary Service, Ramp Rates, HSL, and LSL.</w:t>
      </w:r>
    </w:p>
    <w:p w14:paraId="04F964BD" w14:textId="39B9D709" w:rsidR="001F04FD" w:rsidRPr="0013396E" w:rsidRDefault="001F04FD" w:rsidP="007A1E53">
      <w:pPr>
        <w:pStyle w:val="BodyTextNumbered"/>
      </w:pPr>
      <w:r w:rsidRPr="0013396E">
        <w:t>(2)</w:t>
      </w:r>
      <w:r w:rsidRPr="0013396E">
        <w:tab/>
        <w:t>ERCOT shall perform the following validations during the Operating Period:</w:t>
      </w:r>
    </w:p>
    <w:p w14:paraId="6E9A52DE" w14:textId="77777777" w:rsidR="001F04FD" w:rsidRPr="0013396E" w:rsidRDefault="001F04FD" w:rsidP="001F04FD">
      <w:pPr>
        <w:pStyle w:val="List"/>
      </w:pPr>
      <w:r w:rsidRPr="0013396E">
        <w:t>(a)</w:t>
      </w:r>
      <w:r w:rsidRPr="0013396E">
        <w:tab/>
        <w:t>Each QSE shall provide the Real-Time operating status of each Resource to ERCOT by telemetry using the status codes in the COP for Real-Time as described in Section 3.9, Current Operating Plan (COP); and</w:t>
      </w:r>
    </w:p>
    <w:p w14:paraId="3169EEEF" w14:textId="77777777" w:rsidR="001F04FD" w:rsidRPr="0013396E" w:rsidRDefault="001F04FD" w:rsidP="001F04FD">
      <w:pPr>
        <w:pStyle w:val="List"/>
      </w:pPr>
      <w:r w:rsidRPr="0013396E">
        <w:t>(b)</w:t>
      </w:r>
      <w:r w:rsidRPr="0013396E">
        <w:tab/>
        <w:t>Five minutes before the end of each hour, ERCOT shall identify inconsistencies between the telemetered Resource Status and the Resource Status stated in the COP for that Resource in the next hour.  On detecting an inconsistency, ERCOT shall provide a notice of inconsistent Resource Status to the QSE using the Messaging System.</w:t>
      </w:r>
    </w:p>
    <w:p w14:paraId="48000A09" w14:textId="153242B4" w:rsidR="001F04FD" w:rsidRPr="0013396E" w:rsidRDefault="001F04FD" w:rsidP="001F04FD">
      <w:pPr>
        <w:pStyle w:val="H3"/>
        <w:spacing w:before="480"/>
      </w:pPr>
      <w:bookmarkStart w:id="324" w:name="_Toc397504930"/>
      <w:bookmarkStart w:id="325" w:name="_Toc402357058"/>
      <w:bookmarkStart w:id="326" w:name="_Toc422486438"/>
      <w:bookmarkStart w:id="327" w:name="_Toc433093290"/>
      <w:bookmarkStart w:id="328" w:name="_Toc433093448"/>
      <w:bookmarkStart w:id="329" w:name="_Toc440874677"/>
      <w:bookmarkStart w:id="330" w:name="_Toc448142232"/>
      <w:bookmarkStart w:id="331" w:name="_Toc448142389"/>
      <w:bookmarkStart w:id="332" w:name="_Toc458770225"/>
      <w:bookmarkStart w:id="333" w:name="_Toc459294193"/>
      <w:bookmarkStart w:id="334" w:name="_Toc463262686"/>
      <w:bookmarkStart w:id="335" w:name="_Toc468286758"/>
      <w:bookmarkStart w:id="336" w:name="_Toc481502804"/>
      <w:bookmarkStart w:id="337" w:name="_Toc496079974"/>
      <w:bookmarkStart w:id="338" w:name="_Toc236220088"/>
      <w:r w:rsidRPr="0013396E">
        <w:t>6.4.7</w:t>
      </w:r>
      <w:r w:rsidRPr="0013396E">
        <w:tab/>
        <w:t>QSE-Requested Decommitment of Resources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51FFFD2C" w14:textId="77777777" w:rsidR="0060225A" w:rsidRPr="0013396E" w:rsidRDefault="0060225A" w:rsidP="0060225A">
      <w:pPr>
        <w:spacing w:after="240"/>
        <w:ind w:left="720" w:hanging="720"/>
      </w:pPr>
      <w:r w:rsidRPr="0013396E">
        <w:t>(1)</w:t>
      </w:r>
      <w:r w:rsidRPr="0013396E">
        <w:tab/>
        <w:t>A Resource must remain committed during any RUC-Committed Interval or RUC Buy-Back Hour unless the Resource has a Forced Outage.</w:t>
      </w:r>
    </w:p>
    <w:p w14:paraId="64A072A6" w14:textId="77777777" w:rsidR="0060225A" w:rsidRPr="0013396E" w:rsidRDefault="0060225A" w:rsidP="0060225A">
      <w:pPr>
        <w:spacing w:after="240"/>
        <w:ind w:left="720" w:hanging="720"/>
      </w:pPr>
      <w:r w:rsidRPr="0013396E">
        <w:t>(2)</w:t>
      </w:r>
      <w:r w:rsidRPr="0013396E">
        <w:tab/>
        <w:t>In the Operating Period, a QSE may request to decommit a Resource other than a Quick Start Generation Resource (QSGR) for any interval that is not a RUC-Committed Interval or RUC Buy-Back Hour by verbally requesting ERCOT to consider its request.</w:t>
      </w:r>
    </w:p>
    <w:p w14:paraId="7A5B3932" w14:textId="77777777" w:rsidR="0060225A" w:rsidRPr="0013396E" w:rsidRDefault="0060225A" w:rsidP="0060225A">
      <w:pPr>
        <w:spacing w:after="240"/>
        <w:ind w:left="720" w:hanging="720"/>
      </w:pPr>
      <w:r w:rsidRPr="0013396E">
        <w:lastRenderedPageBreak/>
        <w:t>(3)</w:t>
      </w:r>
      <w:r w:rsidRPr="0013396E">
        <w:tab/>
        <w:t xml:space="preserve">In the Operating Period, a QSE may decommit a QSGR without any request for any interval that is neither a RUC-Committed Interval, a RUC Buy-Back Hour, nor an interval in which a manual override by the ERCOT Operator has been given. </w:t>
      </w:r>
    </w:p>
    <w:p w14:paraId="4E895293" w14:textId="5CEF914A" w:rsidR="001F04FD" w:rsidRPr="0013396E" w:rsidRDefault="0060225A" w:rsidP="001F04FD">
      <w:pPr>
        <w:pStyle w:val="BodyTextNumbered"/>
      </w:pPr>
      <w:r w:rsidRPr="0013396E">
        <w:t>(4)</w:t>
      </w:r>
      <w:r w:rsidRPr="0013396E">
        <w:tab/>
        <w:t>In the Adjustment Period, a QSE may request to decommit a Resource for any interval that is not a RUC-Committed Interval or RUC Buy-Back Hour by indicating a change in unit status in the QSE’s COP</w:t>
      </w:r>
      <w:r w:rsidRPr="0013396E">
        <w:rPr>
          <w:iCs/>
        </w:rPr>
        <w:t>, unless the Resource received a Weekly Reliability Unit Commitment (WRUC) instruction for the hour.  A QSE may request to decommit a Resource for any interval that is a WRUC-instructed Interval and that is not a RUC-Committed Interval or RUC Buy-Back Hour by verbally requesting ERCOT to consider its request</w:t>
      </w:r>
      <w:r w:rsidRPr="0013396E">
        <w:t>.</w:t>
      </w:r>
      <w:r w:rsidRPr="0013396E" w:rsidDel="0060225A">
        <w:t xml:space="preserve"> </w:t>
      </w:r>
    </w:p>
    <w:p w14:paraId="0531A866" w14:textId="77777777" w:rsidR="001F04FD" w:rsidRPr="0013396E" w:rsidRDefault="001F04FD" w:rsidP="007A1E53">
      <w:pPr>
        <w:pStyle w:val="H4"/>
        <w:ind w:left="1267" w:hanging="1267"/>
      </w:pPr>
      <w:bookmarkStart w:id="339" w:name="_Toc397504931"/>
      <w:bookmarkStart w:id="340" w:name="_Toc402357059"/>
      <w:bookmarkStart w:id="341" w:name="_Toc422486439"/>
      <w:bookmarkStart w:id="342" w:name="_Toc433093291"/>
      <w:bookmarkStart w:id="343" w:name="_Toc433093449"/>
      <w:bookmarkStart w:id="344" w:name="_Toc440874678"/>
      <w:bookmarkStart w:id="345" w:name="_Toc448142233"/>
      <w:bookmarkStart w:id="346" w:name="_Toc448142390"/>
      <w:bookmarkStart w:id="347" w:name="_Toc458770226"/>
      <w:bookmarkStart w:id="348" w:name="_Toc459294194"/>
      <w:bookmarkStart w:id="349" w:name="_Toc463262687"/>
      <w:bookmarkStart w:id="350" w:name="_Toc468286759"/>
      <w:bookmarkStart w:id="351" w:name="_Toc481502805"/>
      <w:bookmarkStart w:id="352" w:name="_Toc496079975"/>
      <w:bookmarkStart w:id="353" w:name="_Toc236220089"/>
      <w:r w:rsidRPr="0013396E">
        <w:t>6.4.7.1</w:t>
      </w:r>
      <w:r w:rsidRPr="0013396E">
        <w:tab/>
        <w:t>QSE Request to Decommit Resources in the Operating Period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5D16001C" w14:textId="259A3A80" w:rsidR="001F04FD" w:rsidRPr="0013396E" w:rsidRDefault="001F04FD" w:rsidP="001F04FD">
      <w:pPr>
        <w:pStyle w:val="BodyTextNumbered"/>
      </w:pPr>
      <w:r w:rsidRPr="0013396E">
        <w:t>(1)</w:t>
      </w:r>
      <w:r w:rsidRPr="0013396E">
        <w:tab/>
      </w:r>
      <w:r w:rsidR="0060225A" w:rsidRPr="0013396E">
        <w:t>For a request made during the Operating Period to decommit a Resource, ERCOT may perform a study using Real-Time conditions to determine if ERCOT will remain n-1 secure with that Resource Off-Line.  ERCOT may grant the request provided the analysis indicates the Resource Outage contingency results in no additional active constraints for SCED.  ERCOT may only approve requests that do not have a reliability impact.</w:t>
      </w:r>
    </w:p>
    <w:p w14:paraId="300F0EB6" w14:textId="569AA2DD" w:rsidR="001F04FD" w:rsidRPr="0013396E" w:rsidRDefault="001F04FD" w:rsidP="007A1E53">
      <w:pPr>
        <w:pStyle w:val="BodyTextNumbered"/>
      </w:pPr>
      <w:r w:rsidRPr="0013396E">
        <w:t>(2)</w:t>
      </w:r>
      <w:r w:rsidRPr="0013396E">
        <w:tab/>
        <w:t>If more units are requesting decommitment than can be accommodated, ERCOT shall review the requests in order of receipt.</w:t>
      </w:r>
    </w:p>
    <w:p w14:paraId="4CB41C1B" w14:textId="77777777" w:rsidR="001F04FD" w:rsidRPr="0013396E" w:rsidRDefault="001F04FD" w:rsidP="001F04FD">
      <w:pPr>
        <w:pStyle w:val="H4"/>
        <w:spacing w:before="480"/>
        <w:ind w:left="1267" w:hanging="1267"/>
      </w:pPr>
      <w:bookmarkStart w:id="354" w:name="_Toc397504932"/>
      <w:bookmarkStart w:id="355" w:name="_Toc402357060"/>
      <w:bookmarkStart w:id="356" w:name="_Toc422486440"/>
      <w:bookmarkStart w:id="357" w:name="_Toc433093292"/>
      <w:bookmarkStart w:id="358" w:name="_Toc433093450"/>
      <w:bookmarkStart w:id="359" w:name="_Toc440874679"/>
      <w:bookmarkStart w:id="360" w:name="_Toc448142234"/>
      <w:bookmarkStart w:id="361" w:name="_Toc448142391"/>
      <w:bookmarkStart w:id="362" w:name="_Toc458770227"/>
      <w:bookmarkStart w:id="363" w:name="_Toc459294195"/>
      <w:bookmarkStart w:id="364" w:name="_Toc463262688"/>
      <w:bookmarkStart w:id="365" w:name="_Toc468286760"/>
      <w:bookmarkStart w:id="366" w:name="_Toc481502806"/>
      <w:bookmarkStart w:id="367" w:name="_Toc496079976"/>
      <w:bookmarkStart w:id="368" w:name="_Toc236220090"/>
      <w:r w:rsidRPr="0013396E">
        <w:t>6.4.7.2</w:t>
      </w:r>
      <w:r w:rsidRPr="0013396E">
        <w:tab/>
        <w:t>QSE Request to Decommit Resources in the Adjustment Period</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34A7164B" w14:textId="77777777" w:rsidR="001F04FD" w:rsidRPr="0013396E" w:rsidRDefault="001F04FD" w:rsidP="001F04FD">
      <w:pPr>
        <w:pStyle w:val="BodyTextNumbered"/>
      </w:pPr>
      <w:r w:rsidRPr="0013396E">
        <w:t>(1)</w:t>
      </w:r>
      <w:r w:rsidRPr="0013396E">
        <w:tab/>
        <w:t xml:space="preserve">To decommit an otherwise available Resource for hours other than the Operating Period, the QSE must update the COP indicating the change in Resource Status for each hour in the COP for the remaining hours in the Adjustment Period. On detection of a change from On-Line to Off-Line Available state in future hours for a Resource, ERCOT shall review all requests for decommitment using the next scheduled HRUC.  The Resource must be shown as available for HRUC commitment.  </w:t>
      </w:r>
      <w:r w:rsidRPr="0013396E">
        <w:rPr>
          <w:szCs w:val="24"/>
        </w:rPr>
        <w:t>ERCOT shall also review the list of Off-Line Available Resources with a start-up time of one hour or less</w:t>
      </w:r>
      <w:r w:rsidRPr="0013396E">
        <w:t>.  The next HRUC commitment must consider the Resource’s Minimum-Energy Offer excluding the Resource’s Startup Offer from the Three-Part Supply Offer.</w:t>
      </w:r>
    </w:p>
    <w:p w14:paraId="090F16F6" w14:textId="77777777" w:rsidR="001F04FD" w:rsidRPr="0013396E" w:rsidRDefault="001F04FD" w:rsidP="001F04FD">
      <w:pPr>
        <w:pStyle w:val="BodyTextNumbered"/>
      </w:pPr>
      <w:r w:rsidRPr="0013396E">
        <w:t>(2)</w:t>
      </w:r>
      <w:r w:rsidRPr="0013396E">
        <w:tab/>
        <w:t>If HRUC continues to require the Resource to be committed, ERCOT shall notify the QSE, using the process described in Section 5.5.3, Communication of RUC Commitments and Decommitments, that the decommitment has been denied, and the affected intervals become RUC-Committed Intervals instead of QSE-Committed Intervals for RUC Settlement purposes. The QSE must update its COP to denote the RUC-Committed Intervals.</w:t>
      </w:r>
    </w:p>
    <w:p w14:paraId="22F09B6F" w14:textId="77777777" w:rsidR="001F04FD" w:rsidRPr="0013396E" w:rsidRDefault="001F04FD" w:rsidP="001F04FD">
      <w:pPr>
        <w:pStyle w:val="H3"/>
        <w:spacing w:before="480"/>
      </w:pPr>
      <w:bookmarkStart w:id="369" w:name="_Toc72750554"/>
      <w:bookmarkStart w:id="370" w:name="_Toc73215986"/>
      <w:bookmarkStart w:id="371" w:name="_Toc397504933"/>
      <w:bookmarkStart w:id="372" w:name="_Toc402357061"/>
      <w:bookmarkStart w:id="373" w:name="_Toc422486441"/>
      <w:bookmarkStart w:id="374" w:name="_Toc433093293"/>
      <w:bookmarkStart w:id="375" w:name="_Toc433093451"/>
      <w:bookmarkStart w:id="376" w:name="_Toc440874680"/>
      <w:bookmarkStart w:id="377" w:name="_Toc448142235"/>
      <w:bookmarkStart w:id="378" w:name="_Toc448142392"/>
      <w:bookmarkStart w:id="379" w:name="_Toc458770228"/>
      <w:bookmarkStart w:id="380" w:name="_Toc459294196"/>
      <w:bookmarkStart w:id="381" w:name="_Toc463262689"/>
      <w:bookmarkStart w:id="382" w:name="_Toc468286761"/>
      <w:bookmarkStart w:id="383" w:name="_Toc481502807"/>
      <w:bookmarkStart w:id="384" w:name="_Toc496079977"/>
      <w:bookmarkStart w:id="385" w:name="_Toc236220091"/>
      <w:r w:rsidRPr="0013396E">
        <w:t>6.4.8</w:t>
      </w:r>
      <w:r w:rsidRPr="0013396E">
        <w:tab/>
        <w:t>Notification of Forced Outage of a Resource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2BBC4819" w14:textId="77777777" w:rsidR="00DE555F" w:rsidRPr="0013396E" w:rsidRDefault="00DE555F" w:rsidP="00DE555F">
      <w:pPr>
        <w:pStyle w:val="BodyTextNumbered"/>
      </w:pPr>
      <w:r w:rsidRPr="0013396E">
        <w:t>(1)</w:t>
      </w:r>
      <w:r w:rsidRPr="0013396E">
        <w:tab/>
        <w:t xml:space="preserve">In the event of a Forced Outage of a Resource, the telemetered status of the Resource automatically notifies ERCOT of the event.  In the event of a Forced Outage, the </w:t>
      </w:r>
      <w:r w:rsidRPr="0013396E">
        <w:lastRenderedPageBreak/>
        <w:t>telemetered Resource Status shall be changed to the appropriate Off-Line status as soon as practicable but no longer than 15 minutes after the Forced Outage occurs.</w:t>
      </w:r>
    </w:p>
    <w:p w14:paraId="7126BA53" w14:textId="77777777" w:rsidR="00DE555F" w:rsidRPr="0013396E" w:rsidRDefault="00DE555F" w:rsidP="00DE555F">
      <w:pPr>
        <w:pStyle w:val="BodyTextNumbered"/>
      </w:pPr>
      <w:r w:rsidRPr="0013396E">
        <w:t>(2)</w:t>
      </w:r>
      <w:r w:rsidRPr="0013396E">
        <w:tab/>
        <w:t>In the event of a Forced Outage or an impending Forced Outage, the Resource Entity or its designee shall inform ERCOT of the following in the Outage Scheduler:</w:t>
      </w:r>
    </w:p>
    <w:p w14:paraId="75C6FAC9" w14:textId="77777777" w:rsidR="00DE555F" w:rsidRPr="0013396E" w:rsidRDefault="00DE555F" w:rsidP="00DE555F">
      <w:pPr>
        <w:pStyle w:val="List"/>
      </w:pPr>
      <w:r w:rsidRPr="0013396E">
        <w:t>(a)</w:t>
      </w:r>
      <w:r w:rsidRPr="0013396E">
        <w:tab/>
        <w:t>Time of expected change in Resource Status or rating;</w:t>
      </w:r>
    </w:p>
    <w:p w14:paraId="6D8FDBF1" w14:textId="77777777" w:rsidR="00DE555F" w:rsidRPr="0013396E" w:rsidRDefault="00DE555F" w:rsidP="00DE555F">
      <w:pPr>
        <w:pStyle w:val="List"/>
      </w:pPr>
      <w:r w:rsidRPr="0013396E">
        <w:t>(b)</w:t>
      </w:r>
      <w:r w:rsidRPr="0013396E">
        <w:tab/>
        <w:t>Text message describing the nature of the Forced Outage or de-rating updated as new information becomes available; and</w:t>
      </w:r>
    </w:p>
    <w:p w14:paraId="42F58E2F" w14:textId="77777777" w:rsidR="00DE555F" w:rsidRPr="0013396E" w:rsidRDefault="00DE555F" w:rsidP="00DE555F">
      <w:pPr>
        <w:pStyle w:val="List"/>
      </w:pPr>
      <w:r w:rsidRPr="0013396E">
        <w:t>(c)</w:t>
      </w:r>
      <w:r w:rsidRPr="0013396E">
        <w:tab/>
        <w:t>The expected minimum and maximum duration of the Forced Outage or de-rating.</w:t>
      </w:r>
    </w:p>
    <w:p w14:paraId="615C6EA0" w14:textId="0535FB95" w:rsidR="00DE555F" w:rsidRPr="0013396E" w:rsidRDefault="00DE555F" w:rsidP="00DE555F">
      <w:pPr>
        <w:pStyle w:val="BodyTextNumbered"/>
      </w:pPr>
      <w:r w:rsidRPr="0013396E">
        <w:t>(3)</w:t>
      </w:r>
      <w:r w:rsidRPr="0013396E">
        <w:tab/>
        <w:t>In the event of a Forced Outage, the QSE must update the Resource’s COP as soon as practicable but no longer than 60 minutes after the Forced Outage occurs.</w:t>
      </w:r>
    </w:p>
    <w:p w14:paraId="518F7DE8" w14:textId="77777777" w:rsidR="00DE555F" w:rsidRPr="0013396E" w:rsidRDefault="00DE555F" w:rsidP="00DE555F">
      <w:pPr>
        <w:pStyle w:val="BodyTextNumbered"/>
      </w:pPr>
      <w:r w:rsidRPr="0013396E">
        <w:t>(4)</w:t>
      </w:r>
      <w:r w:rsidRPr="0013396E">
        <w:tab/>
        <w:t xml:space="preserve">Each QSE shall timely update the telemetered Resource Status and COP unless in the reasonable judgment of the QSE, such compliance would create an undue threat to safety, undue risk of bodily harm, or undue damage to equipment.  The QSE is excused from updating the telemetered Resource Status and/or COP only for so long as the undue threat to safety, undue risk of bodily harm, or undue damage to equipment exists.  </w:t>
      </w:r>
      <w:r w:rsidRPr="0013396E">
        <w:rPr>
          <w:color w:val="000000" w:themeColor="text1"/>
          <w:szCs w:val="24"/>
        </w:rPr>
        <w:t>The time for updating the telemetered Resource Status and/or COP begins once the undue threat to safety, undue risk of bodily harm, or undue damage to equipment no longer exists.</w:t>
      </w:r>
    </w:p>
    <w:p w14:paraId="50E2BB54" w14:textId="76AB3498" w:rsidR="001F04FD" w:rsidRPr="0013396E" w:rsidRDefault="001F04FD" w:rsidP="007A1E53">
      <w:pPr>
        <w:pStyle w:val="H3"/>
        <w:spacing w:before="480"/>
      </w:pPr>
      <w:bookmarkStart w:id="386" w:name="_Toc397504934"/>
      <w:bookmarkStart w:id="387" w:name="_Toc402357062"/>
      <w:bookmarkStart w:id="388" w:name="_Toc422486442"/>
      <w:bookmarkStart w:id="389" w:name="_Toc433093294"/>
      <w:bookmarkStart w:id="390" w:name="_Toc433093452"/>
      <w:bookmarkStart w:id="391" w:name="_Toc440874681"/>
      <w:bookmarkStart w:id="392" w:name="_Toc448142236"/>
      <w:bookmarkStart w:id="393" w:name="_Toc448142393"/>
      <w:bookmarkStart w:id="394" w:name="_Toc458770229"/>
      <w:bookmarkStart w:id="395" w:name="_Toc459294197"/>
      <w:bookmarkStart w:id="396" w:name="_Toc463262690"/>
      <w:bookmarkStart w:id="397" w:name="_Toc468286762"/>
      <w:bookmarkStart w:id="398" w:name="_Toc481502808"/>
      <w:bookmarkStart w:id="399" w:name="_Toc496079978"/>
      <w:bookmarkStart w:id="400" w:name="_Toc236220092"/>
      <w:bookmarkStart w:id="401" w:name="_Hlk214366169"/>
      <w:r w:rsidRPr="0013396E">
        <w:t>6.4.9</w:t>
      </w:r>
      <w:r w:rsidRPr="0013396E">
        <w:tab/>
      </w:r>
      <w:r w:rsidR="0060225A" w:rsidRPr="0013396E">
        <w:t>Real-Time Ancillary Service Offers and Awards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25397529" w14:textId="5AF1EC2C" w:rsidR="001F04FD" w:rsidRPr="0013396E" w:rsidRDefault="001F04FD" w:rsidP="007A1E53">
      <w:pPr>
        <w:pStyle w:val="H4"/>
      </w:pPr>
      <w:bookmarkStart w:id="402" w:name="_Toc397504935"/>
      <w:bookmarkStart w:id="403" w:name="_Toc402357063"/>
      <w:bookmarkStart w:id="404" w:name="_Toc422486443"/>
      <w:bookmarkStart w:id="405" w:name="_Toc433093295"/>
      <w:bookmarkStart w:id="406" w:name="_Toc433093453"/>
      <w:bookmarkStart w:id="407" w:name="_Toc440874682"/>
      <w:bookmarkStart w:id="408" w:name="_Toc448142237"/>
      <w:bookmarkStart w:id="409" w:name="_Toc448142394"/>
      <w:bookmarkStart w:id="410" w:name="_Toc458770230"/>
      <w:bookmarkStart w:id="411" w:name="_Toc459294198"/>
      <w:bookmarkStart w:id="412" w:name="_Toc463262691"/>
      <w:bookmarkStart w:id="413" w:name="_Toc468286763"/>
      <w:bookmarkStart w:id="414" w:name="_Toc481502809"/>
      <w:bookmarkStart w:id="415" w:name="_Toc496079979"/>
      <w:bookmarkStart w:id="416" w:name="_Toc236220093"/>
      <w:r w:rsidRPr="0013396E">
        <w:t>6.4.9.1</w:t>
      </w:r>
      <w:r w:rsidRPr="0013396E">
        <w:tab/>
      </w:r>
      <w:r w:rsidR="00C67F7B" w:rsidRPr="0013396E">
        <w:t>Ancillary Service Offers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13396E">
        <w:t xml:space="preserve"> </w:t>
      </w:r>
    </w:p>
    <w:p w14:paraId="683F6412" w14:textId="77777777" w:rsidR="00C67F7B" w:rsidRPr="0013396E" w:rsidRDefault="00C67F7B" w:rsidP="00C67F7B">
      <w:pPr>
        <w:spacing w:after="240"/>
        <w:ind w:left="720" w:hanging="720"/>
      </w:pPr>
      <w:r w:rsidRPr="0013396E">
        <w:t>(1)</w:t>
      </w:r>
      <w:r w:rsidRPr="0013396E">
        <w:tab/>
        <w:t>A detailed description of the Ancillary Service Offers and validations performed by ERCOT is in Section 4.4.7.2, Ancillary Service Offers.</w:t>
      </w:r>
    </w:p>
    <w:p w14:paraId="62CA74D2" w14:textId="2F0151C4" w:rsidR="001F04FD" w:rsidRPr="0013396E" w:rsidRDefault="00C67F7B" w:rsidP="001F04FD">
      <w:pPr>
        <w:pStyle w:val="BodyTextNumbered"/>
      </w:pPr>
      <w:r w:rsidRPr="0013396E">
        <w:t>(2)</w:t>
      </w:r>
      <w:r w:rsidRPr="0013396E">
        <w:tab/>
        <w:t>QSEs may update their Ancillary Service Offers in Real-Time.  SCED shall use the latest updated Ancillary Service Offers available to it at the time of the SCED execution.</w:t>
      </w:r>
      <w:r w:rsidRPr="0013396E" w:rsidDel="00C67F7B">
        <w:t xml:space="preserve"> </w:t>
      </w:r>
    </w:p>
    <w:p w14:paraId="0BF07947" w14:textId="38F88527" w:rsidR="001F04FD" w:rsidRPr="0013396E" w:rsidRDefault="001F04FD" w:rsidP="007A1E53">
      <w:pPr>
        <w:pStyle w:val="H5"/>
        <w:ind w:left="1627" w:hanging="1627"/>
      </w:pPr>
      <w:bookmarkStart w:id="417" w:name="_Toc397504936"/>
      <w:bookmarkStart w:id="418" w:name="_Toc402357064"/>
      <w:bookmarkStart w:id="419" w:name="_Toc422486444"/>
      <w:bookmarkStart w:id="420" w:name="_Toc433093296"/>
      <w:bookmarkStart w:id="421" w:name="_Toc433093454"/>
      <w:bookmarkStart w:id="422" w:name="_Toc440874683"/>
      <w:bookmarkStart w:id="423" w:name="_Toc448142238"/>
      <w:bookmarkStart w:id="424" w:name="_Toc448142395"/>
      <w:bookmarkStart w:id="425" w:name="_Toc458770231"/>
      <w:bookmarkStart w:id="426" w:name="_Toc459294199"/>
      <w:bookmarkStart w:id="427" w:name="_Toc463262692"/>
      <w:bookmarkStart w:id="428" w:name="_Toc468286764"/>
      <w:bookmarkStart w:id="429" w:name="_Toc481502810"/>
      <w:bookmarkStart w:id="430" w:name="_Toc496079980"/>
      <w:bookmarkStart w:id="431" w:name="_Toc236220094"/>
      <w:r w:rsidRPr="0013396E">
        <w:t>6.4.9.1.1</w:t>
      </w:r>
      <w:r w:rsidRPr="0013396E">
        <w:tab/>
      </w:r>
      <w:r w:rsidR="00C67F7B" w:rsidRPr="0013396E">
        <w:t>Ancillary Service Awards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0F61C055" w14:textId="77777777" w:rsidR="00C67F7B" w:rsidRPr="0013396E" w:rsidRDefault="00C67F7B" w:rsidP="00C67F7B">
      <w:pPr>
        <w:spacing w:after="240"/>
        <w:ind w:left="720" w:hanging="720"/>
      </w:pPr>
      <w:r w:rsidRPr="0013396E">
        <w:t>(1)</w:t>
      </w:r>
      <w:r w:rsidRPr="0013396E">
        <w:tab/>
        <w:t xml:space="preserve">Ancillary Service awards will be based on Resource capability (qualification, operating limits, Ancillary Service limits, ramp rates, State of Charge (SOC), SOC limits, etc.) and Ancillary Service Demand Curves (ASDCs) regardless of the quantity of Ancillary Service under deployment.  </w:t>
      </w:r>
    </w:p>
    <w:p w14:paraId="341C300E" w14:textId="77777777" w:rsidR="00C67F7B" w:rsidRPr="0013396E" w:rsidRDefault="00C67F7B" w:rsidP="00C67F7B">
      <w:pPr>
        <w:spacing w:after="240"/>
        <w:ind w:left="720" w:hanging="720"/>
      </w:pPr>
      <w:r w:rsidRPr="0013396E">
        <w:t>(2)</w:t>
      </w:r>
      <w:r w:rsidRPr="0013396E">
        <w:tab/>
        <w:t>QSEs representing Resources that are qualified to provide an Ancillary Service must submit valid Ancillary Service Offers for use in Real-Time clearing.  QSEs shall submit Resource-specific telemetry indicating the Resource’s ability to provide Ancillary Service in Real-Time.</w:t>
      </w:r>
    </w:p>
    <w:p w14:paraId="386C6540" w14:textId="77777777" w:rsidR="00C67F7B" w:rsidRPr="0013396E" w:rsidRDefault="00C67F7B" w:rsidP="00C67F7B">
      <w:pPr>
        <w:spacing w:after="240"/>
        <w:ind w:left="720" w:hanging="720"/>
      </w:pPr>
      <w:r w:rsidRPr="0013396E">
        <w:lastRenderedPageBreak/>
        <w:t>(3)</w:t>
      </w:r>
      <w:r w:rsidRPr="0013396E">
        <w:tab/>
        <w:t xml:space="preserve">QSEs representing Load Resources providing Ancillary Service via high-set under-frequency relays may self-provide high-set under-frequency relay-controlled RRS and ECRS; the amount of self-provision shall be limited based on the QSE’s Day-Ahead Market (DAM) Ancillary Service awards and trades. </w:t>
      </w:r>
    </w:p>
    <w:p w14:paraId="31750BC3" w14:textId="77777777" w:rsidR="00C67F7B" w:rsidRPr="0013396E" w:rsidRDefault="00C67F7B" w:rsidP="00C67F7B">
      <w:pPr>
        <w:spacing w:after="240"/>
        <w:ind w:left="720" w:hanging="720"/>
      </w:pPr>
      <w:r w:rsidRPr="0013396E">
        <w:t>(4)</w:t>
      </w:r>
      <w:r w:rsidRPr="0013396E">
        <w:tab/>
        <w:t>A previously Off-Line Generation Resource in startup mode due to a manual deployment of Non-Spin by ERCOT will continue to be eligible for Non-Spin.  The eligible capacity shall be based on the telemetered HSL of the Resource minus its Base Point Dispatch Instruction by SCED interval.</w:t>
      </w:r>
    </w:p>
    <w:p w14:paraId="72510490" w14:textId="77777777" w:rsidR="00C67F7B" w:rsidRPr="0013396E" w:rsidRDefault="00C67F7B" w:rsidP="00C67F7B">
      <w:pPr>
        <w:spacing w:after="240"/>
        <w:ind w:left="720" w:hanging="720"/>
      </w:pPr>
      <w:r w:rsidRPr="0013396E">
        <w:t>(5)</w:t>
      </w:r>
      <w:r w:rsidRPr="0013396E">
        <w:tab/>
        <w:t>A Quick Start Generation Resource (QSGR) in startup mode due to an ERCOT Dispatch Instruction will continue to be eligible for ECRS and Non-Spin.  The eligible capacity shall be based on the telemetered HSL of the Resource minus its Base Point Dispatch Instruction by Security-Constrained Economic Dispatch (SCED) interval.</w:t>
      </w:r>
    </w:p>
    <w:p w14:paraId="29290884" w14:textId="1E574EB2" w:rsidR="00C67F7B" w:rsidRPr="0013396E" w:rsidRDefault="00C67F7B" w:rsidP="00C67F7B">
      <w:pPr>
        <w:spacing w:after="240"/>
        <w:ind w:left="720" w:hanging="720"/>
      </w:pPr>
      <w:r w:rsidRPr="0013396E">
        <w:t>(6)</w:t>
      </w:r>
      <w:r w:rsidRPr="0013396E">
        <w:tab/>
        <w:t>ERCOT may manually reduce the amount of Ancillary Service eligible to be awarded to a Resource that, if deployed, could violate a transmission constraint.  ERCOT shall notify the Resource’s QSE in Real-Time of any Ancillary Service capability that has been derated by ERCOT, including the Resource’s new Ancillary Service limit in MWs.  Should the deration impact payments the QSE would have received under Section 6.7.</w:t>
      </w:r>
      <w:r w:rsidR="00A12B52" w:rsidRPr="0013396E">
        <w:t>2</w:t>
      </w:r>
      <w:r w:rsidRPr="0013396E">
        <w:t>.1, Real-Time Ancillary Service Imbalance</w:t>
      </w:r>
      <w:r w:rsidR="00B55869">
        <w:t xml:space="preserve"> Payment or Charge</w:t>
      </w:r>
      <w:r w:rsidRPr="0013396E">
        <w:t>, the QSE will be eligible for consideration of a payment under Section 6.7.</w:t>
      </w:r>
      <w:r w:rsidR="00A12B52" w:rsidRPr="0013396E">
        <w:t>2</w:t>
      </w:r>
      <w:r w:rsidRPr="0013396E">
        <w:t xml:space="preserve">.7, Real-Time Derated Ancillary Service Capability Payment. </w:t>
      </w:r>
    </w:p>
    <w:p w14:paraId="263881B4" w14:textId="77777777" w:rsidR="00C67F7B" w:rsidRPr="0013396E" w:rsidRDefault="00C67F7B" w:rsidP="00C67F7B">
      <w:pPr>
        <w:spacing w:after="240"/>
        <w:ind w:left="720" w:hanging="720"/>
      </w:pPr>
      <w:r w:rsidRPr="0013396E">
        <w:t>(7)       Sixty days after the applicable Operating Day, ERCOT shall post to the ERCOT website the instances of ERCOT Operator reduction of Ancillary Services capability, including the name of the Resource, the type and reduced MW by Ancillary Service, and the reason for the reduction.</w:t>
      </w:r>
    </w:p>
    <w:p w14:paraId="61E17AC2" w14:textId="74A3FCE5" w:rsidR="001F04FD" w:rsidRPr="0013396E" w:rsidRDefault="00C67F7B" w:rsidP="001F04FD">
      <w:pPr>
        <w:pStyle w:val="BodyTextNumbered"/>
      </w:pPr>
      <w:r w:rsidRPr="0013396E">
        <w:t>(8)</w:t>
      </w:r>
      <w:r w:rsidRPr="0013396E">
        <w:tab/>
        <w:t xml:space="preserve">Ancillary Service awards and </w:t>
      </w:r>
      <w:r w:rsidR="00CE39AE">
        <w:t>R</w:t>
      </w:r>
      <w:r w:rsidR="00730774">
        <w:t xml:space="preserve">eal-Time </w:t>
      </w:r>
      <w:r w:rsidR="00CE39AE">
        <w:t>M</w:t>
      </w:r>
      <w:r w:rsidR="00730774">
        <w:t>arket</w:t>
      </w:r>
      <w:r w:rsidRPr="0013396E">
        <w:t xml:space="preserve"> Clearing Prices for Capacity (MCPCs) are immediately binding upon the completion of a SCED run.</w:t>
      </w:r>
    </w:p>
    <w:p w14:paraId="214391AF" w14:textId="77777777" w:rsidR="00C67F7B" w:rsidRPr="0013396E" w:rsidRDefault="00C67F7B" w:rsidP="00C67F7B">
      <w:pPr>
        <w:pStyle w:val="H5"/>
        <w:ind w:left="1627" w:hanging="1627"/>
        <w:rPr>
          <w:b w:val="0"/>
          <w:bCs w:val="0"/>
          <w:iCs w:val="0"/>
        </w:rPr>
      </w:pPr>
      <w:bookmarkStart w:id="432" w:name="_Toc236220095"/>
      <w:bookmarkStart w:id="433" w:name="_Toc397504939"/>
      <w:bookmarkStart w:id="434" w:name="_Toc402357067"/>
      <w:bookmarkStart w:id="435" w:name="_Toc422486447"/>
      <w:bookmarkStart w:id="436" w:name="_Toc433093299"/>
      <w:bookmarkStart w:id="437" w:name="_Toc433093457"/>
      <w:bookmarkStart w:id="438" w:name="_Toc440874686"/>
      <w:bookmarkStart w:id="439" w:name="_Toc448142241"/>
      <w:bookmarkStart w:id="440" w:name="_Toc448142398"/>
      <w:bookmarkStart w:id="441" w:name="_Toc458770234"/>
      <w:bookmarkStart w:id="442" w:name="_Toc459294202"/>
      <w:bookmarkStart w:id="443" w:name="_Toc463262695"/>
      <w:bookmarkStart w:id="444" w:name="_Toc468286769"/>
      <w:bookmarkStart w:id="445" w:name="_Toc481502815"/>
      <w:bookmarkStart w:id="446" w:name="_Toc496079983"/>
      <w:r w:rsidRPr="0013396E">
        <w:t>6.4.9.1.2</w:t>
      </w:r>
      <w:r w:rsidRPr="0013396E">
        <w:tab/>
        <w:t>Changes to Operating Day Ancillary Service Plan</w:t>
      </w:r>
      <w:bookmarkEnd w:id="432"/>
    </w:p>
    <w:p w14:paraId="6C5DCB00" w14:textId="3838B254" w:rsidR="00C67F7B" w:rsidRPr="0013396E" w:rsidRDefault="00C67F7B" w:rsidP="007A1E53">
      <w:pPr>
        <w:spacing w:after="240"/>
        <w:ind w:left="720" w:hanging="720"/>
      </w:pPr>
      <w:r w:rsidRPr="0013396E">
        <w:t>(1)</w:t>
      </w:r>
      <w:r w:rsidRPr="0013396E">
        <w:tab/>
        <w:t>Any time during the Adjustment Period or Operating Period, if ERCOT determines that the Ancillary Service Plan needs to be modified, ERCOT will notify Market Participants of ERCOT’s need to modify the Ancillary Service Plan and post the reliability reason for the modification in service requirements.  ERCOT will also update the Ancillary Service Plan, as described in Section 4.2.1, Ancillary Service Plan and Ancillary Service Obligation, and update and post ASDCs for each impacted Ancillary Service product, as described in Section 4.2.1.1, Ancillary Service Plan.</w:t>
      </w:r>
    </w:p>
    <w:p w14:paraId="11CFB20C" w14:textId="77777777" w:rsidR="001F04FD" w:rsidRPr="0013396E" w:rsidRDefault="001F04FD" w:rsidP="007A1E53">
      <w:pPr>
        <w:pStyle w:val="H2"/>
      </w:pPr>
      <w:bookmarkStart w:id="447" w:name="_Toc397504943"/>
      <w:bookmarkStart w:id="448" w:name="_Toc402357071"/>
      <w:bookmarkStart w:id="449" w:name="_Toc422486451"/>
      <w:bookmarkStart w:id="450" w:name="_Toc433093303"/>
      <w:bookmarkStart w:id="451" w:name="_Toc433093461"/>
      <w:bookmarkStart w:id="452" w:name="_Toc440874690"/>
      <w:bookmarkStart w:id="453" w:name="_Toc448142245"/>
      <w:bookmarkStart w:id="454" w:name="_Toc448142402"/>
      <w:bookmarkStart w:id="455" w:name="_Toc458770238"/>
      <w:bookmarkStart w:id="456" w:name="_Toc459294206"/>
      <w:bookmarkStart w:id="457" w:name="_Toc463262699"/>
      <w:bookmarkStart w:id="458" w:name="_Toc468286773"/>
      <w:bookmarkStart w:id="459" w:name="_Toc481502819"/>
      <w:bookmarkStart w:id="460" w:name="_Toc496079987"/>
      <w:bookmarkStart w:id="461" w:name="_Toc236220096"/>
      <w:bookmarkStart w:id="462" w:name="_Toc73216034"/>
      <w:bookmarkEnd w:id="401"/>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13396E">
        <w:lastRenderedPageBreak/>
        <w:t>6.5</w:t>
      </w:r>
      <w:r w:rsidRPr="0013396E">
        <w:tab/>
        <w:t>Real-Time Energy Operations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13396E">
        <w:t xml:space="preserve"> </w:t>
      </w:r>
    </w:p>
    <w:p w14:paraId="67EE3BE4" w14:textId="77777777" w:rsidR="001F04FD" w:rsidRPr="0013396E" w:rsidRDefault="001F04FD" w:rsidP="001F04FD">
      <w:pPr>
        <w:pStyle w:val="H3"/>
        <w:spacing w:before="480"/>
      </w:pPr>
      <w:bookmarkStart w:id="463" w:name="_Toc397504944"/>
      <w:bookmarkStart w:id="464" w:name="_Toc402357072"/>
      <w:bookmarkStart w:id="465" w:name="_Toc422486452"/>
      <w:bookmarkStart w:id="466" w:name="_Toc433093304"/>
      <w:bookmarkStart w:id="467" w:name="_Toc433093462"/>
      <w:bookmarkStart w:id="468" w:name="_Toc440874691"/>
      <w:bookmarkStart w:id="469" w:name="_Toc448142246"/>
      <w:bookmarkStart w:id="470" w:name="_Toc448142403"/>
      <w:bookmarkStart w:id="471" w:name="_Toc458770239"/>
      <w:bookmarkStart w:id="472" w:name="_Toc459294207"/>
      <w:bookmarkStart w:id="473" w:name="_Toc463262700"/>
      <w:bookmarkStart w:id="474" w:name="_Toc468286774"/>
      <w:bookmarkStart w:id="475" w:name="_Toc481502820"/>
      <w:bookmarkStart w:id="476" w:name="_Toc496079988"/>
      <w:bookmarkStart w:id="477" w:name="_Toc236220097"/>
      <w:r w:rsidRPr="0013396E">
        <w:t>6.5.1</w:t>
      </w:r>
      <w:r w:rsidRPr="0013396E">
        <w:tab/>
        <w:t>ERCOT Activities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397C893F" w14:textId="77777777" w:rsidR="001F04FD" w:rsidRPr="0013396E" w:rsidRDefault="001F04FD" w:rsidP="001F04FD">
      <w:pPr>
        <w:pStyle w:val="BodyText"/>
        <w:ind w:left="720" w:hanging="720"/>
      </w:pPr>
      <w:r w:rsidRPr="0013396E">
        <w:t>(1)</w:t>
      </w:r>
      <w:r w:rsidRPr="0013396E">
        <w:tab/>
        <w:t>ERCOT activities during Real-Time operations are summarized in the table located in Section 6.3.2, Activities for Real-Time Operations.  That table is intended to be only a general guide and not controlling language, and any conflict between the table and another section of the Protocols is controlled by the other section.</w:t>
      </w:r>
    </w:p>
    <w:p w14:paraId="79AA138B" w14:textId="77777777" w:rsidR="001F04FD" w:rsidRPr="0013396E" w:rsidRDefault="001F04FD" w:rsidP="001F04FD">
      <w:pPr>
        <w:pStyle w:val="H4"/>
        <w:spacing w:before="480"/>
        <w:ind w:left="1267" w:hanging="1267"/>
      </w:pPr>
      <w:bookmarkStart w:id="478" w:name="_Toc397504945"/>
      <w:bookmarkStart w:id="479" w:name="_Toc402357073"/>
      <w:bookmarkStart w:id="480" w:name="_Toc422486453"/>
      <w:bookmarkStart w:id="481" w:name="_Toc433093305"/>
      <w:bookmarkStart w:id="482" w:name="_Toc433093463"/>
      <w:bookmarkStart w:id="483" w:name="_Toc440874692"/>
      <w:bookmarkStart w:id="484" w:name="_Toc448142247"/>
      <w:bookmarkStart w:id="485" w:name="_Toc448142404"/>
      <w:bookmarkStart w:id="486" w:name="_Toc458770240"/>
      <w:bookmarkStart w:id="487" w:name="_Toc459294208"/>
      <w:bookmarkStart w:id="488" w:name="_Toc463262701"/>
      <w:bookmarkStart w:id="489" w:name="_Toc468286775"/>
      <w:bookmarkStart w:id="490" w:name="_Toc481502821"/>
      <w:bookmarkStart w:id="491" w:name="_Toc496079989"/>
      <w:bookmarkStart w:id="492" w:name="_Toc236220098"/>
      <w:r w:rsidRPr="0013396E">
        <w:t>6.5.1.1</w:t>
      </w:r>
      <w:r w:rsidRPr="0013396E">
        <w:tab/>
        <w:t>ERCOT Control Area Authority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0CBCBDA6" w14:textId="715ED106" w:rsidR="001F04FD" w:rsidRPr="0013396E" w:rsidRDefault="001F04FD" w:rsidP="001F04FD">
      <w:pPr>
        <w:pStyle w:val="BodyText"/>
        <w:ind w:left="720" w:hanging="720"/>
      </w:pPr>
      <w:r w:rsidRPr="0013396E">
        <w:t>(1)</w:t>
      </w:r>
      <w:r w:rsidRPr="0013396E">
        <w:tab/>
        <w:t xml:space="preserve">ERCOT, as Control Area Operator (CAO), is authorized to perform the following actions for the limited purpose of securely operating the ERCOT Transmission Grid under the standards specified in North American Electric Reliability Corporation (NERC) Standards, the </w:t>
      </w:r>
      <w:r w:rsidR="0098177F" w:rsidRPr="0013396E">
        <w:t xml:space="preserve">Nodal </w:t>
      </w:r>
      <w:r w:rsidRPr="0013396E">
        <w:t>Operating Guides and these Protocols,</w:t>
      </w:r>
      <w:r w:rsidRPr="0013396E">
        <w:rPr>
          <w:b/>
        </w:rPr>
        <w:t xml:space="preserve"> </w:t>
      </w:r>
      <w:r w:rsidRPr="0013396E">
        <w:t>including:</w:t>
      </w:r>
    </w:p>
    <w:p w14:paraId="3FC45069" w14:textId="77777777" w:rsidR="001F04FD" w:rsidRPr="0013396E" w:rsidRDefault="001F04FD" w:rsidP="001F04FD">
      <w:pPr>
        <w:pStyle w:val="List"/>
      </w:pPr>
      <w:r w:rsidRPr="0013396E">
        <w:t>(a)</w:t>
      </w:r>
      <w:r w:rsidRPr="0013396E">
        <w:tab/>
        <w:t>Direct the physical operation of the ERCOT Transmission Grid, including circuit breakers, switches, voltage control equipment, and Load-shedding equipment;</w:t>
      </w:r>
    </w:p>
    <w:p w14:paraId="694DB471" w14:textId="6B46E53A" w:rsidR="001F04FD" w:rsidRPr="0013396E" w:rsidRDefault="001F04FD" w:rsidP="001F04FD">
      <w:pPr>
        <w:pStyle w:val="List"/>
      </w:pPr>
      <w:r w:rsidRPr="0013396E">
        <w:t>(b)</w:t>
      </w:r>
      <w:r w:rsidRPr="0013396E">
        <w:tab/>
      </w:r>
      <w:r w:rsidR="0066695B" w:rsidRPr="0013396E">
        <w:t>Dispatch Resources that have been awarded Ancillary Services;</w:t>
      </w:r>
    </w:p>
    <w:p w14:paraId="65104D42" w14:textId="0B4DE3B9" w:rsidR="001F04FD" w:rsidRPr="0013396E" w:rsidRDefault="001F04FD" w:rsidP="007A1E53">
      <w:pPr>
        <w:pStyle w:val="List"/>
      </w:pPr>
      <w:r w:rsidRPr="0013396E">
        <w:t>(c)</w:t>
      </w:r>
      <w:r w:rsidRPr="0013396E">
        <w:tab/>
        <w:t>Direct changes in the operation of voltage control equipment;</w:t>
      </w:r>
    </w:p>
    <w:p w14:paraId="3D70C0A2" w14:textId="77777777" w:rsidR="001F04FD" w:rsidRPr="0013396E" w:rsidRDefault="001F04FD" w:rsidP="001F04FD">
      <w:pPr>
        <w:pStyle w:val="List"/>
      </w:pPr>
      <w:r w:rsidRPr="0013396E">
        <w:t>(d)</w:t>
      </w:r>
      <w:r w:rsidRPr="0013396E">
        <w:tab/>
      </w:r>
      <w:r w:rsidR="004B6E53" w:rsidRPr="0013396E">
        <w:t>Direct the implementation of Reliability Must-Run (RMR) Service, Remedial Action Plans (RAPs), Automatic Mitigation Plans (AMPs), Remedial Action Schemes (RASs), and transmission switching to prevent the violation of ERCOT Transmission Grid security limits; and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8177F" w:rsidRPr="0013396E" w14:paraId="32589B9E" w14:textId="77777777" w:rsidTr="007E7B7E">
        <w:trPr>
          <w:trHeight w:val="206"/>
        </w:trPr>
        <w:tc>
          <w:tcPr>
            <w:tcW w:w="9350" w:type="dxa"/>
            <w:shd w:val="pct12" w:color="auto" w:fill="auto"/>
          </w:tcPr>
          <w:p w14:paraId="4CCE8674" w14:textId="047A4199" w:rsidR="0098177F" w:rsidRPr="0013396E" w:rsidRDefault="0098177F" w:rsidP="007E7B7E">
            <w:pPr>
              <w:pStyle w:val="Instructions"/>
              <w:spacing w:before="120"/>
            </w:pPr>
            <w:r w:rsidRPr="0013396E">
              <w:t>[NPRR1198:  Replace paragraph (d) above with the following upon system implementation and renumber accordingly:]</w:t>
            </w:r>
          </w:p>
          <w:p w14:paraId="794F2A6D" w14:textId="77777777" w:rsidR="0098177F" w:rsidRPr="0013396E" w:rsidRDefault="0098177F" w:rsidP="0098177F">
            <w:pPr>
              <w:spacing w:after="240"/>
              <w:ind w:left="1440" w:hanging="720"/>
            </w:pPr>
            <w:r w:rsidRPr="0013396E">
              <w:t>(d)</w:t>
            </w:r>
            <w:r w:rsidRPr="0013396E">
              <w:tab/>
              <w:t>Direct the implementation of Reliability Must-Run (RMR) Service;</w:t>
            </w:r>
          </w:p>
          <w:p w14:paraId="2A08E57C" w14:textId="77356D32" w:rsidR="0098177F" w:rsidRPr="0013396E" w:rsidRDefault="0098177F" w:rsidP="0098177F">
            <w:pPr>
              <w:spacing w:after="240"/>
              <w:ind w:left="1440" w:hanging="720"/>
            </w:pPr>
            <w:r w:rsidRPr="0013396E">
              <w:t>(e)</w:t>
            </w:r>
            <w:r w:rsidRPr="0013396E">
              <w:tab/>
              <w:t>Direct the implementation, disabling, or reversal of implementation of Remedial Action Plans (RAPs), Automatic Mitigation Plans (AMPs), Remedial Action Schemes (RASs), Pre-Contingency Action Plans (PCAPs), Extended Action Plans (EAPs), and transmission switching to prevent the violation of ERCOT Transmission Grid security limits; and</w:t>
            </w:r>
          </w:p>
        </w:tc>
      </w:tr>
    </w:tbl>
    <w:p w14:paraId="299AD0A8" w14:textId="7A0053E3" w:rsidR="001F04FD" w:rsidRPr="0013396E" w:rsidRDefault="001F04FD" w:rsidP="00B07D39">
      <w:pPr>
        <w:pStyle w:val="List"/>
        <w:spacing w:before="240"/>
      </w:pPr>
      <w:r w:rsidRPr="0013396E">
        <w:t>(e)</w:t>
      </w:r>
      <w:r w:rsidRPr="0013396E">
        <w:tab/>
        <w:t>Perform additional actions required to prevent an imminent Emergency Condition or to restore the ERCOT Transmission Grid to a secure state in the event of an ERCOT Transmission Grid Emergency Condition.</w:t>
      </w:r>
    </w:p>
    <w:p w14:paraId="361CD841" w14:textId="77777777" w:rsidR="00DC3C3E" w:rsidRPr="0013396E" w:rsidRDefault="00DC3C3E" w:rsidP="00DC3C3E">
      <w:pPr>
        <w:spacing w:after="240"/>
        <w:ind w:left="720" w:hanging="720"/>
      </w:pPr>
      <w:r w:rsidRPr="0013396E">
        <w:t>(2)</w:t>
      </w:r>
      <w:r w:rsidRPr="0013396E">
        <w:tab/>
        <w:t xml:space="preserve">Unless the ERCOT Protocols or Other Binding Documents explicitly provide otherwise, ERCOT shall not model, monitor, direct operation of, or otherwise exercise any </w:t>
      </w:r>
      <w:r w:rsidRPr="0013396E">
        <w:lastRenderedPageBreak/>
        <w:t>operational authority over any facility that operates on the low voltage side of the distribution transformer except as may be necessary for the following purposes:</w:t>
      </w:r>
    </w:p>
    <w:p w14:paraId="0BA115F9" w14:textId="4207CCFC" w:rsidR="00DC3C3E" w:rsidRPr="0013396E" w:rsidRDefault="00DC3C3E" w:rsidP="00DC3C3E">
      <w:pPr>
        <w:spacing w:after="240"/>
        <w:ind w:left="1440" w:hanging="720"/>
        <w:rPr>
          <w:szCs w:val="24"/>
        </w:rPr>
      </w:pPr>
      <w:r w:rsidRPr="0013396E">
        <w:rPr>
          <w:szCs w:val="24"/>
        </w:rPr>
        <w:t>(a)</w:t>
      </w:r>
      <w:r w:rsidRPr="0013396E">
        <w:rPr>
          <w:szCs w:val="24"/>
        </w:rPr>
        <w:tab/>
      </w:r>
      <w:r w:rsidR="0066695B" w:rsidRPr="0013396E">
        <w:rPr>
          <w:szCs w:val="24"/>
        </w:rPr>
        <w:t>To ensure the reliable interconnection, dispatch, operation, and Settlement of any Generation Resource, Energy Storage Resource (ESR), Load Resource, or Emergency Response Service (ERS) Resource that is, or is proposed to be, interconnected at distribution voltage, and to ensure the reliable operation and Settlement of any other ERCOT-registered generator;</w:t>
      </w:r>
    </w:p>
    <w:p w14:paraId="3DD4BB90" w14:textId="3DFD7B92" w:rsidR="00DC3C3E" w:rsidRPr="0013396E" w:rsidRDefault="00DC3C3E" w:rsidP="007A1E53">
      <w:pPr>
        <w:spacing w:after="240"/>
        <w:ind w:left="1440" w:hanging="720"/>
        <w:rPr>
          <w:szCs w:val="24"/>
        </w:rPr>
      </w:pPr>
      <w:r w:rsidRPr="0013396E">
        <w:rPr>
          <w:szCs w:val="24"/>
        </w:rPr>
        <w:t>(b)</w:t>
      </w:r>
      <w:r w:rsidRPr="0013396E">
        <w:rPr>
          <w:szCs w:val="24"/>
        </w:rPr>
        <w:tab/>
      </w:r>
      <w:r w:rsidR="0066695B" w:rsidRPr="0013396E">
        <w:rPr>
          <w:szCs w:val="24"/>
        </w:rPr>
        <w:t>To provide ERCOT information about all generators interconnected at distribution voltage as requested by ERCOT pursuant to these Protocols or Other Binding Documents for the purposes of ensuring accurate Settlement and operating and planning the ERCOT Transmission Grid; and</w:t>
      </w:r>
    </w:p>
    <w:p w14:paraId="252C4F71" w14:textId="757FD605" w:rsidR="00DC3C3E" w:rsidRPr="0013396E" w:rsidRDefault="00DC3C3E" w:rsidP="007A1E53">
      <w:pPr>
        <w:spacing w:after="240"/>
        <w:ind w:left="1440" w:hanging="720"/>
        <w:rPr>
          <w:szCs w:val="24"/>
        </w:rPr>
      </w:pPr>
      <w:r w:rsidRPr="0013396E">
        <w:rPr>
          <w:szCs w:val="24"/>
        </w:rPr>
        <w:t>(c)</w:t>
      </w:r>
      <w:r w:rsidRPr="0013396E">
        <w:rPr>
          <w:szCs w:val="24"/>
        </w:rPr>
        <w:tab/>
        <w:t>To effectuate automatic or manual Load-shedding as prescribed by these Protocols or Other Binding Documents.</w:t>
      </w:r>
    </w:p>
    <w:p w14:paraId="1A36746A" w14:textId="5581D7AE" w:rsidR="00DC3C3E" w:rsidRPr="0013396E" w:rsidRDefault="00DC3C3E" w:rsidP="00DC3C3E">
      <w:pPr>
        <w:pStyle w:val="List"/>
        <w:ind w:left="720"/>
      </w:pPr>
      <w:r w:rsidRPr="0013396E">
        <w:rPr>
          <w:szCs w:val="24"/>
        </w:rPr>
        <w:t>(3)</w:t>
      </w:r>
      <w:r w:rsidRPr="0013396E">
        <w:rPr>
          <w:szCs w:val="24"/>
        </w:rPr>
        <w:tab/>
        <w:t xml:space="preserve">Nothing in paragraph (2) above limits ERCOT’s authority to require that a Transmission Service Provider (TSP) or Transmission Operator (TO) disconnect any Facility operated at distribution voltage from the ERCOT System if </w:t>
      </w:r>
      <w:r w:rsidRPr="0013396E">
        <w:t>ERCOT</w:t>
      </w:r>
      <w:r w:rsidRPr="0013396E">
        <w:rPr>
          <w:szCs w:val="24"/>
        </w:rPr>
        <w:t xml:space="preserve"> determines such action is necessary to address a reliability concern on the ERCOT Transmission Grid.  Additionally, nothing in paragraph (2) above limits ERCOT’s authority to require appropriate modeling and telemetry of </w:t>
      </w:r>
      <w:r w:rsidR="00847E53" w:rsidRPr="0013396E">
        <w:rPr>
          <w:szCs w:val="24"/>
        </w:rPr>
        <w:t>t</w:t>
      </w:r>
      <w:r w:rsidRPr="0013396E">
        <w:rPr>
          <w:szCs w:val="24"/>
        </w:rPr>
        <w:t>ransmission Loads that may represent multiple distribution-level Loads, as provided in Section 3.10.7.2, Modeling of Resources and Transmission Loads.</w:t>
      </w:r>
    </w:p>
    <w:p w14:paraId="031D5405" w14:textId="5517BBD9" w:rsidR="003028E1" w:rsidRDefault="001F04FD" w:rsidP="00F42848">
      <w:pPr>
        <w:pStyle w:val="List"/>
        <w:ind w:left="720"/>
      </w:pPr>
      <w:r w:rsidRPr="0013396E">
        <w:t>(</w:t>
      </w:r>
      <w:r w:rsidR="00DC3C3E" w:rsidRPr="0013396E">
        <w:t>4</w:t>
      </w:r>
      <w:r w:rsidRPr="0013396E">
        <w:t>)</w:t>
      </w:r>
      <w:r w:rsidRPr="0013396E">
        <w:tab/>
        <w:t xml:space="preserve">Consistent with paragraph (1)(e) above, ERCOT </w:t>
      </w:r>
      <w:r w:rsidR="003028E1">
        <w:t xml:space="preserve">may </w:t>
      </w:r>
      <w:r w:rsidRPr="0013396E">
        <w:t xml:space="preserve">seek to exercise its authority to prevent an anticipated Emergency Condition relating to </w:t>
      </w:r>
      <w:r w:rsidR="003028E1">
        <w:t>addressing a local constraint identified by ERCOT up to two years into the future</w:t>
      </w:r>
      <w:r w:rsidRPr="0013396E">
        <w:t xml:space="preserve"> by procuring</w:t>
      </w:r>
      <w:r w:rsidR="003028E1" w:rsidRPr="003028E1">
        <w:t xml:space="preserve"> </w:t>
      </w:r>
      <w:r w:rsidR="003028E1" w:rsidRPr="00111643">
        <w:t xml:space="preserve">additional capacity.  </w:t>
      </w:r>
      <w:r w:rsidR="003028E1">
        <w:t xml:space="preserve">Additionally, consistent with paragraph (1)(e) above, ERCOT may seek to exercise its authority to prevent an anticipated Emergency Condition relating to serving Load for an ERCOT-wide capacity shortage identified in the current or next Season by procuring additional capacity.  </w:t>
      </w:r>
      <w:r w:rsidR="003028E1" w:rsidRPr="00111643">
        <w:t xml:space="preserve">Such capacity </w:t>
      </w:r>
      <w:r w:rsidR="003028E1">
        <w:t>for either purpose may include</w:t>
      </w:r>
      <w:r w:rsidR="003028E1" w:rsidRPr="00111643">
        <w:t>:</w:t>
      </w:r>
      <w:r w:rsidR="003028E1">
        <w:rPr>
          <w:highlight w:val="yellow"/>
        </w:rPr>
        <w:t xml:space="preserve"> </w:t>
      </w:r>
      <w:r w:rsidRPr="0013396E">
        <w:t xml:space="preserve"> </w:t>
      </w:r>
    </w:p>
    <w:p w14:paraId="6B947185" w14:textId="77777777" w:rsidR="003028E1" w:rsidRPr="003028E1" w:rsidRDefault="003028E1" w:rsidP="003028E1">
      <w:pPr>
        <w:spacing w:after="240"/>
        <w:ind w:left="1440" w:hanging="720"/>
      </w:pPr>
      <w:r w:rsidRPr="003028E1">
        <w:t>(a)</w:t>
      </w:r>
      <w:r w:rsidRPr="003028E1">
        <w:tab/>
        <w:t>Capacity that was either mothballed, retired, or decommissioned and is capable of being brought back into service;</w:t>
      </w:r>
    </w:p>
    <w:p w14:paraId="38D3E7E3" w14:textId="77777777" w:rsidR="003028E1" w:rsidRPr="003028E1" w:rsidRDefault="003028E1" w:rsidP="003028E1">
      <w:pPr>
        <w:spacing w:after="240"/>
        <w:ind w:left="1440" w:hanging="720"/>
      </w:pPr>
      <w:r w:rsidRPr="003028E1">
        <w:t>(b)</w:t>
      </w:r>
      <w:r w:rsidRPr="003028E1">
        <w:tab/>
        <w:t xml:space="preserve">Demand Response capacity that can be baselined and was absent from the ERCOT market in the last three years;   </w:t>
      </w:r>
    </w:p>
    <w:p w14:paraId="3473D0F3" w14:textId="77777777" w:rsidR="003028E1" w:rsidRPr="003028E1" w:rsidRDefault="003028E1" w:rsidP="003028E1">
      <w:pPr>
        <w:spacing w:after="240"/>
        <w:ind w:left="1440" w:hanging="720"/>
      </w:pPr>
      <w:r w:rsidRPr="003028E1">
        <w:t>(c)</w:t>
      </w:r>
      <w:r w:rsidRPr="003028E1">
        <w:tab/>
      </w:r>
      <w:bookmarkStart w:id="493" w:name="_Hlk222721986"/>
      <w:r w:rsidRPr="003028E1">
        <w:t xml:space="preserve">Capacity excluded from ERCOT’s Report on Capacity, Demand and Reserves in the ERCOT Region (CDR) but that can be quickly interconnected at a useful location, such as energy storage or mobile generation; </w:t>
      </w:r>
    </w:p>
    <w:bookmarkEnd w:id="493"/>
    <w:p w14:paraId="5A23B9D1" w14:textId="1F0CA4D1" w:rsidR="003028E1" w:rsidRPr="003028E1" w:rsidRDefault="003028E1" w:rsidP="003028E1">
      <w:pPr>
        <w:spacing w:after="240"/>
        <w:ind w:left="1440" w:hanging="720"/>
        <w:rPr>
          <w:highlight w:val="yellow"/>
        </w:rPr>
      </w:pPr>
      <w:r w:rsidRPr="003028E1">
        <w:t>(d)</w:t>
      </w:r>
      <w:r w:rsidRPr="003028E1">
        <w:tab/>
        <w:t xml:space="preserve">Capacity included in the CDR issued by ERCOT, that has not yet reached its Commercial Operations Date, but can accelerate its </w:t>
      </w:r>
      <w:r w:rsidR="00924B28">
        <w:t xml:space="preserve">Commercial Operations Date </w:t>
      </w:r>
      <w:r w:rsidRPr="003028E1">
        <w:t>during the period additional capacity is needed; or</w:t>
      </w:r>
      <w:r w:rsidRPr="003028E1">
        <w:rPr>
          <w:highlight w:val="yellow"/>
        </w:rPr>
        <w:t xml:space="preserve"> </w:t>
      </w:r>
    </w:p>
    <w:p w14:paraId="279C61F7" w14:textId="77777777" w:rsidR="003028E1" w:rsidRPr="003028E1" w:rsidRDefault="003028E1" w:rsidP="003028E1">
      <w:pPr>
        <w:spacing w:after="240"/>
        <w:ind w:left="1440" w:hanging="720"/>
      </w:pPr>
      <w:r w:rsidRPr="003028E1">
        <w:lastRenderedPageBreak/>
        <w:t>(e)</w:t>
      </w:r>
      <w:r w:rsidRPr="003028E1">
        <w:tab/>
        <w:t xml:space="preserve">Capacity from Settlement Only Generators (SOGs) that is not expected to be available to ERCOT during the period additional capacity is needed.  </w:t>
      </w:r>
    </w:p>
    <w:p w14:paraId="334393A6" w14:textId="12F93728" w:rsidR="001F04FD" w:rsidRPr="0013396E" w:rsidRDefault="003028E1" w:rsidP="00F42848">
      <w:pPr>
        <w:pStyle w:val="List"/>
        <w:ind w:left="720"/>
      </w:pPr>
      <w:r>
        <w:t>(5)</w:t>
      </w:r>
      <w:r>
        <w:tab/>
        <w:t>C</w:t>
      </w:r>
      <w:r w:rsidR="001F04FD" w:rsidRPr="0013396E">
        <w:t xml:space="preserve">apacity </w:t>
      </w:r>
      <w:r w:rsidRPr="00111643">
        <w:t>procured under paragraph (4)</w:t>
      </w:r>
      <w:r>
        <w:t xml:space="preserve"> above</w:t>
      </w:r>
      <w:r w:rsidR="001F04FD" w:rsidRPr="0013396E">
        <w:t xml:space="preserve"> may be used to maintain </w:t>
      </w:r>
      <w:r>
        <w:t xml:space="preserve">the </w:t>
      </w:r>
      <w:r w:rsidR="001F04FD" w:rsidRPr="0013396E">
        <w:t xml:space="preserve">ERCOT System reliability in a manner not otherwise delineated in these Protocols and the </w:t>
      </w:r>
      <w:r w:rsidR="0098177F" w:rsidRPr="0013396E">
        <w:t xml:space="preserve">Nodal </w:t>
      </w:r>
      <w:r w:rsidR="001F04FD" w:rsidRPr="0013396E">
        <w:t xml:space="preserve">Operating Guides, </w:t>
      </w:r>
      <w:r>
        <w:t xml:space="preserve">provided </w:t>
      </w:r>
      <w:r w:rsidR="001F04FD" w:rsidRPr="0013396E">
        <w:t>ERCOT take</w:t>
      </w:r>
      <w:r>
        <w:t>s</w:t>
      </w:r>
      <w:r w:rsidR="001F04FD" w:rsidRPr="0013396E">
        <w:t xml:space="preserve"> the following actions: </w:t>
      </w:r>
    </w:p>
    <w:p w14:paraId="562A656D" w14:textId="77777777" w:rsidR="003028E1" w:rsidRPr="003028E1" w:rsidRDefault="003028E1" w:rsidP="003028E1">
      <w:pPr>
        <w:spacing w:after="240"/>
        <w:ind w:left="1440" w:hanging="720"/>
      </w:pPr>
      <w:r w:rsidRPr="003028E1">
        <w:t>(a)</w:t>
      </w:r>
      <w:r w:rsidRPr="003028E1">
        <w:tab/>
        <w:t>ERCOT shall conduct an analysis to determine if any additional capacity is needed to prevent an anticipated Emergency Condition.  ERCOT may conduct an analysis if deemed appropriate by ERCOT following consultation with affected TSP(s).</w:t>
      </w:r>
    </w:p>
    <w:p w14:paraId="3381F7D1" w14:textId="77777777" w:rsidR="003028E1" w:rsidRPr="003028E1" w:rsidRDefault="003028E1" w:rsidP="003028E1">
      <w:pPr>
        <w:spacing w:after="240"/>
        <w:ind w:left="1440" w:hanging="720"/>
      </w:pPr>
      <w:r w:rsidRPr="003028E1">
        <w:t>(b)</w:t>
      </w:r>
      <w:r w:rsidRPr="003028E1">
        <w:tab/>
        <w:t>ERCOT shall present its study assumptions (including Load forecast assumptions) to the ERCOT Board of Directors before any “Request for Proposal” (RFP) awards are made.</w:t>
      </w:r>
    </w:p>
    <w:p w14:paraId="1C0CD203" w14:textId="77777777" w:rsidR="003028E1" w:rsidRPr="003028E1" w:rsidRDefault="003028E1" w:rsidP="003028E1">
      <w:pPr>
        <w:spacing w:after="240"/>
        <w:ind w:left="2160" w:hanging="720"/>
      </w:pPr>
      <w:r w:rsidRPr="003028E1">
        <w:t>(i)</w:t>
      </w:r>
      <w:r w:rsidRPr="003028E1">
        <w:tab/>
      </w:r>
      <w:r w:rsidRPr="003028E1">
        <w:rPr>
          <w:lang w:val="en"/>
        </w:rPr>
        <w:t>For each finalized contract for capacity, ERCOT shall post the study assumptions to the ERCOT website.</w:t>
      </w:r>
    </w:p>
    <w:p w14:paraId="2E0726B1" w14:textId="77777777" w:rsidR="003028E1" w:rsidRDefault="003028E1" w:rsidP="001F04FD">
      <w:pPr>
        <w:pStyle w:val="List"/>
      </w:pPr>
      <w:r>
        <w:t>(c)</w:t>
      </w:r>
      <w:r>
        <w:tab/>
        <w:t xml:space="preserve">Upon determination by ERCOT that additional capacity is needed to prevent an Emergency Condition, and 30 days prior to any procurement activity associated with such additional capacity, ERCOT shall notify the Public Utility Commission of Texas (PUCT) of ERCOT’s determination.  </w:t>
      </w:r>
      <w:r w:rsidRPr="00F8472D">
        <w:t>This notification shall include the analysis of capacity needed to prevent the anticipated Emergency Condition.</w:t>
      </w:r>
    </w:p>
    <w:p w14:paraId="4284203F" w14:textId="2F4EDC0F" w:rsidR="001F04FD" w:rsidRPr="0013396E" w:rsidRDefault="001F04FD" w:rsidP="001F04FD">
      <w:pPr>
        <w:pStyle w:val="List"/>
      </w:pPr>
      <w:r w:rsidRPr="0013396E">
        <w:t>(</w:t>
      </w:r>
      <w:r w:rsidR="003028E1">
        <w:t>d</w:t>
      </w:r>
      <w:r w:rsidRPr="0013396E">
        <w:t>)</w:t>
      </w:r>
      <w:r w:rsidRPr="0013396E">
        <w:tab/>
        <w:t xml:space="preserve">Upon determination by ERCOT that additional capacity is needed to prevent an Emergency Condition and prior to any procurement activity associated with such additional capacity, ERCOT shall issue a Notice as soon as practicable with the following information: </w:t>
      </w:r>
    </w:p>
    <w:p w14:paraId="61D5DBAA" w14:textId="6AC1E046" w:rsidR="001F04FD" w:rsidRPr="0013396E" w:rsidRDefault="001F04FD" w:rsidP="001F04FD">
      <w:pPr>
        <w:pStyle w:val="List"/>
        <w:ind w:left="2160"/>
      </w:pPr>
      <w:r w:rsidRPr="0013396E">
        <w:t>(i)</w:t>
      </w:r>
      <w:r w:rsidRPr="0013396E">
        <w:tab/>
        <w:t xml:space="preserve">A detailed </w:t>
      </w:r>
      <w:r w:rsidRPr="0013396E">
        <w:rPr>
          <w:szCs w:val="24"/>
        </w:rPr>
        <w:t>description</w:t>
      </w:r>
      <w:r w:rsidRPr="0013396E">
        <w:t xml:space="preserve"> of the reliability condition and need for additional capacity as determined by ERCOT</w:t>
      </w:r>
      <w:r w:rsidR="003028E1">
        <w:t xml:space="preserve">, </w:t>
      </w:r>
      <w:r w:rsidR="003028E1" w:rsidRPr="00F8472D">
        <w:t xml:space="preserve">including the analysis in </w:t>
      </w:r>
      <w:r w:rsidR="003028E1">
        <w:t>paragraph (5)</w:t>
      </w:r>
      <w:r w:rsidR="003028E1" w:rsidRPr="00F8472D">
        <w:t>(a)</w:t>
      </w:r>
      <w:r w:rsidR="003028E1">
        <w:t xml:space="preserve"> above,</w:t>
      </w:r>
      <w:r w:rsidRPr="0013396E">
        <w:t xml:space="preserve"> and the timing of the proposed procurement;</w:t>
      </w:r>
    </w:p>
    <w:p w14:paraId="6458ED3C" w14:textId="77777777" w:rsidR="001F04FD" w:rsidRPr="0013396E" w:rsidRDefault="001F04FD" w:rsidP="001F04FD">
      <w:pPr>
        <w:pStyle w:val="List"/>
        <w:ind w:left="2160"/>
      </w:pPr>
      <w:r w:rsidRPr="0013396E">
        <w:t>(ii)</w:t>
      </w:r>
      <w:r w:rsidRPr="0013396E">
        <w:tab/>
        <w:t>Justification for the quantity of additional capacity to be requested;</w:t>
      </w:r>
    </w:p>
    <w:p w14:paraId="429206E4" w14:textId="52824280" w:rsidR="001F04FD" w:rsidRPr="0013396E" w:rsidRDefault="001F04FD" w:rsidP="001F04FD">
      <w:pPr>
        <w:pStyle w:val="List"/>
        <w:ind w:left="2160"/>
      </w:pPr>
      <w:r w:rsidRPr="0013396E">
        <w:t>(iii)</w:t>
      </w:r>
      <w:r w:rsidRPr="0013396E">
        <w:tab/>
      </w:r>
      <w:r w:rsidR="0066695B" w:rsidRPr="0013396E">
        <w:t xml:space="preserve">Identification of potential Generation Resources, ESRs, </w:t>
      </w:r>
      <w:r w:rsidR="003028E1">
        <w:t xml:space="preserve">SOGs, </w:t>
      </w:r>
      <w:r w:rsidR="0066695B" w:rsidRPr="0013396E">
        <w:t>or Load providing capacity considered by ERCOT to be acceptable for providing the additional capacity.  Load capacity may be provided by Entities who, at ERCOT’s direction, would interrupt consumption of electric power and remain interrupted until released by ERCOT; and</w:t>
      </w:r>
    </w:p>
    <w:p w14:paraId="771F2879" w14:textId="5AED003C" w:rsidR="001F04FD" w:rsidRPr="0013396E" w:rsidRDefault="001F04FD" w:rsidP="007A1E53">
      <w:pPr>
        <w:pStyle w:val="List"/>
        <w:ind w:left="2160"/>
      </w:pPr>
      <w:r w:rsidRPr="0013396E">
        <w:t>(iv)</w:t>
      </w:r>
      <w:r w:rsidRPr="0013396E">
        <w:tab/>
        <w:t>A schedule of activities associated with the proposed procurement.</w:t>
      </w:r>
    </w:p>
    <w:p w14:paraId="0160AD63" w14:textId="3E2EB99A" w:rsidR="001F04FD" w:rsidRPr="0013396E" w:rsidRDefault="001F04FD" w:rsidP="001F04FD">
      <w:pPr>
        <w:pStyle w:val="List"/>
      </w:pPr>
      <w:r w:rsidRPr="0013396E">
        <w:t>(</w:t>
      </w:r>
      <w:r w:rsidR="003028E1">
        <w:t>e</w:t>
      </w:r>
      <w:r w:rsidRPr="0013396E">
        <w:t>)</w:t>
      </w:r>
      <w:r w:rsidRPr="0013396E">
        <w:tab/>
        <w:t xml:space="preserve">If ERCOT identifies a specific Entity with which it will negotiate the terms for procurement of additional capacity, then ERCOT shall issue a Notice as soon as practicable that includes the Entity name and, as applicable, the Resource mnemonic, the Resource MW rating by Season, the name of the Resource Entity, </w:t>
      </w:r>
      <w:r w:rsidRPr="0013396E">
        <w:lastRenderedPageBreak/>
        <w:t>and the potential duration of any contract, including anticipated start and end dates.</w:t>
      </w:r>
      <w:r w:rsidR="003028E1" w:rsidRPr="003028E1">
        <w:t xml:space="preserve"> </w:t>
      </w:r>
      <w:r w:rsidR="003028E1">
        <w:t xml:space="preserve"> Such notice shall also be filed with the PUCT.  No final contract for additional capacity may be executed until at least one PUCT Open Meeting has taken place seven or more days after that date of such notice.</w:t>
      </w:r>
    </w:p>
    <w:p w14:paraId="74E85327" w14:textId="66EE55BA" w:rsidR="001F04FD" w:rsidRPr="0013396E" w:rsidRDefault="001F04FD" w:rsidP="001F04FD">
      <w:pPr>
        <w:pStyle w:val="List"/>
      </w:pPr>
      <w:r w:rsidRPr="0013396E">
        <w:t>(</w:t>
      </w:r>
      <w:r w:rsidR="003028E1">
        <w:t>f</w:t>
      </w:r>
      <w:r w:rsidRPr="0013396E">
        <w:t>)</w:t>
      </w:r>
      <w:r w:rsidRPr="0013396E">
        <w:tab/>
        <w:t>ERCOT shall, to the fullest extent practicable, ensure that any actions taken to procure additional capacity meet the following criteria:</w:t>
      </w:r>
    </w:p>
    <w:p w14:paraId="0FCAF51C" w14:textId="1F4F053F" w:rsidR="001F04FD" w:rsidRPr="0013396E" w:rsidRDefault="001F04FD" w:rsidP="001F04FD">
      <w:pPr>
        <w:pStyle w:val="List"/>
        <w:ind w:left="2160"/>
        <w:rPr>
          <w:color w:val="000000"/>
          <w:szCs w:val="24"/>
        </w:rPr>
      </w:pPr>
      <w:r w:rsidRPr="0013396E">
        <w:rPr>
          <w:color w:val="000000"/>
          <w:szCs w:val="24"/>
        </w:rPr>
        <w:t>(i)</w:t>
      </w:r>
      <w:r w:rsidRPr="0013396E">
        <w:rPr>
          <w:color w:val="000000"/>
          <w:szCs w:val="24"/>
        </w:rPr>
        <w:tab/>
        <w:t xml:space="preserve">Any capacity procured pursuant to this </w:t>
      </w:r>
      <w:r w:rsidR="003028E1">
        <w:rPr>
          <w:color w:val="000000"/>
          <w:szCs w:val="24"/>
        </w:rPr>
        <w:t>Section</w:t>
      </w:r>
      <w:r w:rsidRPr="0013396E">
        <w:rPr>
          <w:color w:val="000000"/>
          <w:szCs w:val="24"/>
        </w:rPr>
        <w:t xml:space="preserve"> will be procured using an open process, and the terms of the </w:t>
      </w:r>
      <w:r w:rsidRPr="0013396E">
        <w:t>procurement</w:t>
      </w:r>
      <w:r w:rsidRPr="0013396E">
        <w:rPr>
          <w:color w:val="000000"/>
          <w:szCs w:val="24"/>
        </w:rPr>
        <w:t xml:space="preserve"> between ERCOT and the Entity will be memorialized in contracts that will be publicly available for inspection on the ERCOT website.  </w:t>
      </w:r>
    </w:p>
    <w:p w14:paraId="7829EE70" w14:textId="3243CE50" w:rsidR="001F04FD" w:rsidRPr="0013396E" w:rsidRDefault="001F04FD" w:rsidP="001F04FD">
      <w:pPr>
        <w:pStyle w:val="List"/>
        <w:ind w:left="2160"/>
        <w:rPr>
          <w:color w:val="000000"/>
          <w:szCs w:val="24"/>
        </w:rPr>
      </w:pPr>
      <w:r w:rsidRPr="0013396E">
        <w:rPr>
          <w:color w:val="000000"/>
          <w:szCs w:val="24"/>
        </w:rPr>
        <w:t>(ii)</w:t>
      </w:r>
      <w:r w:rsidRPr="0013396E">
        <w:rPr>
          <w:color w:val="000000"/>
          <w:szCs w:val="24"/>
        </w:rPr>
        <w:tab/>
      </w:r>
      <w:r w:rsidR="0066695B" w:rsidRPr="0013396E">
        <w:rPr>
          <w:color w:val="000000"/>
        </w:rPr>
        <w:t xml:space="preserve">Each contract will include specified financial terms and termination dates.  For purposes of Settlement, any contract associated with a Resource </w:t>
      </w:r>
      <w:r w:rsidR="003028E1">
        <w:rPr>
          <w:color w:val="000000"/>
        </w:rPr>
        <w:t>that was previously mothballed, retired or decommissioned</w:t>
      </w:r>
      <w:r w:rsidR="003028E1" w:rsidRPr="0013396E">
        <w:rPr>
          <w:color w:val="000000"/>
        </w:rPr>
        <w:t xml:space="preserve"> </w:t>
      </w:r>
      <w:r w:rsidR="0066695B" w:rsidRPr="0013396E">
        <w:rPr>
          <w:color w:val="000000"/>
        </w:rPr>
        <w:t>will include substantially the same terms and conditions as an RMR Unit under a RMR Agreement, including the Eligible Cost budgeting process.</w:t>
      </w:r>
      <w:r w:rsidRPr="0013396E">
        <w:rPr>
          <w:color w:val="000000"/>
          <w:szCs w:val="24"/>
        </w:rPr>
        <w:t xml:space="preserve"> </w:t>
      </w:r>
      <w:r w:rsidR="003028E1">
        <w:rPr>
          <w:color w:val="000000"/>
          <w:szCs w:val="24"/>
        </w:rPr>
        <w:t xml:space="preserve"> </w:t>
      </w:r>
      <w:r w:rsidR="003028E1">
        <w:rPr>
          <w:color w:val="000000"/>
        </w:rPr>
        <w:t>For purposes of Settlement, for any contract associated with a Resource that was not previously mothballed, retired or decommissioned, the payment will be based on the offer information provided and included in the contract, subject to performance reductions.</w:t>
      </w:r>
    </w:p>
    <w:p w14:paraId="140A9595" w14:textId="77777777" w:rsidR="003028E1" w:rsidRPr="003028E1" w:rsidRDefault="003028E1" w:rsidP="003028E1">
      <w:pPr>
        <w:spacing w:after="240"/>
        <w:ind w:left="2160" w:hanging="720"/>
        <w:rPr>
          <w:color w:val="000000"/>
        </w:rPr>
      </w:pPr>
      <w:r w:rsidRPr="003028E1">
        <w:rPr>
          <w:color w:val="000000"/>
          <w:szCs w:val="24"/>
        </w:rPr>
        <w:t>(iii)</w:t>
      </w:r>
      <w:r w:rsidRPr="003028E1">
        <w:rPr>
          <w:color w:val="000000"/>
          <w:szCs w:val="24"/>
        </w:rPr>
        <w:tab/>
      </w:r>
      <w:r w:rsidRPr="003028E1">
        <w:rPr>
          <w:color w:val="000000"/>
        </w:rPr>
        <w:t xml:space="preserve">In order to address a local constraint, </w:t>
      </w:r>
      <w:bookmarkStart w:id="494" w:name="_Hlk222727924"/>
      <w:r w:rsidRPr="003028E1">
        <w:rPr>
          <w:color w:val="000000"/>
        </w:rPr>
        <w:t xml:space="preserve">ERCOT may execute a contract for a term longer than 12 months if the local constraint is shown to remain for more than a period of 12 months. </w:t>
      </w:r>
      <w:bookmarkEnd w:id="494"/>
      <w:r w:rsidRPr="003028E1">
        <w:rPr>
          <w:color w:val="000000"/>
        </w:rPr>
        <w:t xml:space="preserve"> The term of a contract under this Section must take into account the appropriate exit strategy that will resolve the local constraint that necessitated the contract.  In the event ERCOT chooses to contract for capacity for a period longer than one year, ERCOT shall annually re-evaluate the need for the capacity. </w:t>
      </w:r>
    </w:p>
    <w:p w14:paraId="7BAD3286" w14:textId="707E03B3" w:rsidR="001F04FD" w:rsidRPr="0013396E" w:rsidRDefault="001F04FD" w:rsidP="007A1E53">
      <w:pPr>
        <w:pStyle w:val="List"/>
        <w:ind w:left="2160"/>
        <w:rPr>
          <w:color w:val="000000"/>
          <w:szCs w:val="24"/>
        </w:rPr>
      </w:pPr>
      <w:r w:rsidRPr="0013396E">
        <w:rPr>
          <w:color w:val="000000"/>
          <w:szCs w:val="24"/>
        </w:rPr>
        <w:t>(i</w:t>
      </w:r>
      <w:r w:rsidR="003028E1">
        <w:rPr>
          <w:color w:val="000000"/>
          <w:szCs w:val="24"/>
        </w:rPr>
        <w:t>v</w:t>
      </w:r>
      <w:r w:rsidRPr="0013396E">
        <w:rPr>
          <w:color w:val="000000"/>
          <w:szCs w:val="24"/>
        </w:rPr>
        <w:t>)</w:t>
      </w:r>
      <w:r w:rsidRPr="0013396E">
        <w:rPr>
          <w:color w:val="000000"/>
          <w:szCs w:val="24"/>
        </w:rPr>
        <w:tab/>
        <w:t>ERCOT shall provide notice to the ERCOT Board, at the next ERCOT Board meeting after ERCOT has signed the contract, that the actions required prior to execution of the contract, pursuant to paragraphs (</w:t>
      </w:r>
      <w:r w:rsidR="003028E1">
        <w:rPr>
          <w:color w:val="000000"/>
          <w:szCs w:val="24"/>
        </w:rPr>
        <w:t>5</w:t>
      </w:r>
      <w:r w:rsidRPr="0013396E">
        <w:rPr>
          <w:color w:val="000000"/>
          <w:szCs w:val="24"/>
        </w:rPr>
        <w:t>)(a) through (</w:t>
      </w:r>
      <w:r w:rsidR="003028E1">
        <w:rPr>
          <w:color w:val="000000"/>
          <w:szCs w:val="24"/>
        </w:rPr>
        <w:t>f</w:t>
      </w:r>
      <w:r w:rsidRPr="0013396E">
        <w:rPr>
          <w:color w:val="000000"/>
          <w:szCs w:val="24"/>
        </w:rPr>
        <w:t xml:space="preserve">) above, were completed by ERCOT before the contract was executed.  </w:t>
      </w:r>
    </w:p>
    <w:p w14:paraId="3E7837FD" w14:textId="170FB183" w:rsidR="001F04FD" w:rsidRPr="0013396E" w:rsidRDefault="001F04FD" w:rsidP="001F04FD">
      <w:pPr>
        <w:pStyle w:val="List"/>
        <w:ind w:left="2160"/>
        <w:rPr>
          <w:color w:val="000000"/>
          <w:szCs w:val="24"/>
        </w:rPr>
      </w:pPr>
      <w:r w:rsidRPr="0013396E">
        <w:rPr>
          <w:color w:val="000000"/>
          <w:szCs w:val="24"/>
        </w:rPr>
        <w:t>(v)</w:t>
      </w:r>
      <w:r w:rsidRPr="0013396E">
        <w:rPr>
          <w:color w:val="000000"/>
          <w:szCs w:val="24"/>
        </w:rPr>
        <w:tab/>
        <w:t>Any information submitted by the Entity to ERCOT through the procurement process may be designated as Protected Information and treated in accordance with the provisions of Section 1.3, Confidentiality, provided that final contract terms must be made available for public inspection.</w:t>
      </w:r>
    </w:p>
    <w:p w14:paraId="2508C1C0" w14:textId="021426D3" w:rsidR="001F04FD" w:rsidRPr="0013396E" w:rsidRDefault="001F04FD" w:rsidP="001F04FD">
      <w:pPr>
        <w:pStyle w:val="List"/>
      </w:pPr>
      <w:r w:rsidRPr="0013396E">
        <w:rPr>
          <w:color w:val="000000"/>
          <w:szCs w:val="24"/>
        </w:rPr>
        <w:t>(</w:t>
      </w:r>
      <w:r w:rsidR="003028E1">
        <w:rPr>
          <w:color w:val="000000"/>
          <w:szCs w:val="24"/>
        </w:rPr>
        <w:t>g</w:t>
      </w:r>
      <w:r w:rsidRPr="0013396E">
        <w:rPr>
          <w:color w:val="000000"/>
          <w:szCs w:val="24"/>
        </w:rPr>
        <w:t>)</w:t>
      </w:r>
      <w:r w:rsidRPr="0013396E">
        <w:rPr>
          <w:color w:val="000000"/>
          <w:szCs w:val="24"/>
        </w:rPr>
        <w:tab/>
      </w:r>
      <w:r w:rsidR="0066695B" w:rsidRPr="0013396E">
        <w:rPr>
          <w:color w:val="000000"/>
          <w:szCs w:val="24"/>
        </w:rPr>
        <w:t xml:space="preserve">A Resource that has received capital contributions from ERCOT pursuant to a contract executed under </w:t>
      </w:r>
      <w:r w:rsidR="00924B28">
        <w:rPr>
          <w:color w:val="000000"/>
          <w:szCs w:val="24"/>
        </w:rPr>
        <w:t xml:space="preserve">this </w:t>
      </w:r>
      <w:r w:rsidR="0066695B" w:rsidRPr="0013396E">
        <w:rPr>
          <w:color w:val="000000"/>
          <w:szCs w:val="24"/>
        </w:rPr>
        <w:t>paragraph (</w:t>
      </w:r>
      <w:r w:rsidR="00924B28">
        <w:rPr>
          <w:color w:val="000000"/>
          <w:szCs w:val="24"/>
        </w:rPr>
        <w:t>5</w:t>
      </w:r>
      <w:r w:rsidR="0066695B" w:rsidRPr="0013396E">
        <w:rPr>
          <w:color w:val="000000"/>
          <w:szCs w:val="24"/>
        </w:rPr>
        <w:t>)</w:t>
      </w:r>
      <w:r w:rsidR="007614A0">
        <w:rPr>
          <w:color w:val="000000"/>
          <w:szCs w:val="24"/>
        </w:rPr>
        <w:t xml:space="preserve"> </w:t>
      </w:r>
      <w:r w:rsidR="0066695B" w:rsidRPr="0013396E">
        <w:rPr>
          <w:color w:val="000000"/>
          <w:szCs w:val="24"/>
        </w:rPr>
        <w:t xml:space="preserve">may not participate in the energy or Ancillary Services markets until such capital contributions have been refunded to ERCOT.  For the purposes of this Section, capital contributions are defined as </w:t>
      </w:r>
      <w:r w:rsidR="0066695B" w:rsidRPr="0013396E">
        <w:rPr>
          <w:color w:val="000000"/>
          <w:szCs w:val="24"/>
        </w:rPr>
        <w:lastRenderedPageBreak/>
        <w:t>improvements with an asset life greater than one year under the applicable federal tax rules.  The Resource Entity’s refund of capital contributions shall be a lump sum payment calculated as follows:</w:t>
      </w:r>
    </w:p>
    <w:p w14:paraId="5BFD983F" w14:textId="55B6176F" w:rsidR="001F04FD" w:rsidRPr="0013396E" w:rsidRDefault="001F04FD" w:rsidP="007A1E53">
      <w:pPr>
        <w:pStyle w:val="List"/>
        <w:ind w:left="2160"/>
        <w:rPr>
          <w:szCs w:val="24"/>
        </w:rPr>
      </w:pPr>
      <w:r w:rsidRPr="0013396E">
        <w:rPr>
          <w:color w:val="000000"/>
          <w:szCs w:val="24"/>
        </w:rPr>
        <w:t>(i)</w:t>
      </w:r>
      <w:r w:rsidRPr="0013396E">
        <w:rPr>
          <w:color w:val="000000"/>
          <w:szCs w:val="24"/>
        </w:rPr>
        <w:tab/>
      </w:r>
      <w:r w:rsidR="0066695B" w:rsidRPr="0013396E">
        <w:rPr>
          <w:color w:val="000000"/>
        </w:rPr>
        <w:t xml:space="preserve">If the Resource chooses to participate in the energy or Ancillary Service markets after the termination date of the contract executed under </w:t>
      </w:r>
      <w:r w:rsidR="00924B28">
        <w:rPr>
          <w:color w:val="000000"/>
        </w:rPr>
        <w:t xml:space="preserve">this </w:t>
      </w:r>
      <w:r w:rsidR="0066695B" w:rsidRPr="0013396E">
        <w:rPr>
          <w:color w:val="000000"/>
        </w:rPr>
        <w:t>paragraph (</w:t>
      </w:r>
      <w:r w:rsidR="00924B28">
        <w:rPr>
          <w:color w:val="000000"/>
        </w:rPr>
        <w:t>5</w:t>
      </w:r>
      <w:r w:rsidR="0066695B" w:rsidRPr="0013396E">
        <w:rPr>
          <w:color w:val="000000"/>
        </w:rPr>
        <w:t xml:space="preserve">), the Qualified Scheduling Entity (QSE) representing the </w:t>
      </w:r>
      <w:r w:rsidR="003028E1">
        <w:rPr>
          <w:color w:val="000000"/>
        </w:rPr>
        <w:t>capacity</w:t>
      </w:r>
      <w:r w:rsidR="0066695B" w:rsidRPr="0013396E">
        <w:rPr>
          <w:color w:val="000000"/>
        </w:rPr>
        <w:t xml:space="preserve"> shall repay, in a lump sum payment,  100% of the book value of the capitalized equipment and all installation charges leading to turn key, one-time startup based on a linear depreciation over the estimated life of the capitalized component(s) in accordance with Generally Accepted Accounting Principles (GAAP) standards for electric utility equipment.  The estimated life shall be based on documentation provided by the manufacturer; if installing used equipment, the estimated life may be based on an approximation agreed to by the Resource Entity and ERCOT.</w:t>
      </w:r>
    </w:p>
    <w:p w14:paraId="2AC69D41" w14:textId="6860C56C" w:rsidR="001F04FD" w:rsidRPr="0013396E" w:rsidRDefault="001F04FD" w:rsidP="007A1E53">
      <w:pPr>
        <w:pStyle w:val="List"/>
        <w:ind w:left="2160"/>
        <w:rPr>
          <w:color w:val="000000"/>
          <w:szCs w:val="24"/>
        </w:rPr>
      </w:pPr>
      <w:r w:rsidRPr="0013396E">
        <w:rPr>
          <w:color w:val="000000"/>
          <w:szCs w:val="24"/>
        </w:rPr>
        <w:t>(ii)</w:t>
      </w:r>
      <w:r w:rsidRPr="0013396E">
        <w:rPr>
          <w:color w:val="000000"/>
          <w:szCs w:val="24"/>
        </w:rPr>
        <w:tab/>
      </w:r>
      <w:r w:rsidR="0066695B" w:rsidRPr="0013396E">
        <w:rPr>
          <w:color w:val="000000"/>
        </w:rPr>
        <w:t>If the Resource chooses to participate in the energy or Ancillary Services markets as contemplated in item (</w:t>
      </w:r>
      <w:r w:rsidR="003028E1">
        <w:rPr>
          <w:color w:val="000000"/>
        </w:rPr>
        <w:t>5</w:t>
      </w:r>
      <w:r w:rsidR="0066695B" w:rsidRPr="0013396E">
        <w:rPr>
          <w:color w:val="000000"/>
        </w:rPr>
        <w:t>)(</w:t>
      </w:r>
      <w:r w:rsidR="003028E1">
        <w:rPr>
          <w:color w:val="000000"/>
        </w:rPr>
        <w:t>g</w:t>
      </w:r>
      <w:r w:rsidR="0066695B" w:rsidRPr="0013396E">
        <w:rPr>
          <w:color w:val="000000"/>
        </w:rPr>
        <w:t>)(i) above, and its participation requires a lump sum payment of capital contributions, ERCOT will issue a notice to all registered Market Participants announcing the Resource’s decision to participate in the market(s) and identifying the amount of the lump sum payment due pursuant to item (</w:t>
      </w:r>
      <w:r w:rsidR="003028E1">
        <w:rPr>
          <w:color w:val="000000"/>
        </w:rPr>
        <w:t>5</w:t>
      </w:r>
      <w:r w:rsidR="0066695B" w:rsidRPr="0013396E">
        <w:rPr>
          <w:color w:val="000000"/>
        </w:rPr>
        <w:t>)(</w:t>
      </w:r>
      <w:r w:rsidR="003028E1">
        <w:rPr>
          <w:color w:val="000000"/>
        </w:rPr>
        <w:t>g</w:t>
      </w:r>
      <w:r w:rsidR="0066695B" w:rsidRPr="0013396E">
        <w:rPr>
          <w:color w:val="000000"/>
        </w:rPr>
        <w:t>)(i) above.  ERCOT will also issue a notice to all registered Market Participants after completion of the collection and disbursement of the capital contributions, as described in item (</w:t>
      </w:r>
      <w:r w:rsidR="003028E1">
        <w:rPr>
          <w:color w:val="000000"/>
        </w:rPr>
        <w:t>5</w:t>
      </w:r>
      <w:r w:rsidR="0066695B" w:rsidRPr="0013396E">
        <w:rPr>
          <w:color w:val="000000"/>
        </w:rPr>
        <w:t>)(</w:t>
      </w:r>
      <w:r w:rsidR="003028E1">
        <w:rPr>
          <w:color w:val="000000"/>
        </w:rPr>
        <w:t>g</w:t>
      </w:r>
      <w:r w:rsidR="0066695B" w:rsidRPr="0013396E">
        <w:rPr>
          <w:color w:val="000000"/>
        </w:rPr>
        <w:t>)(iii) below, and after resolution of any disputes related to these capital contributions.</w:t>
      </w:r>
    </w:p>
    <w:p w14:paraId="208B7D77" w14:textId="1A075822" w:rsidR="001F04FD" w:rsidRPr="0013396E" w:rsidRDefault="001F04FD" w:rsidP="007A1E53">
      <w:pPr>
        <w:pStyle w:val="List"/>
        <w:ind w:left="2160"/>
      </w:pPr>
      <w:r w:rsidRPr="0013396E">
        <w:rPr>
          <w:color w:val="000000"/>
          <w:szCs w:val="24"/>
        </w:rPr>
        <w:t>(iii)</w:t>
      </w:r>
      <w:r w:rsidRPr="0013396E">
        <w:rPr>
          <w:color w:val="000000"/>
          <w:szCs w:val="24"/>
        </w:rPr>
        <w:tab/>
      </w:r>
      <w:r w:rsidR="0066695B" w:rsidRPr="0013396E">
        <w:t>After ERCOT receives a Notification of Change of Resource Designation (Section 22, Attachment H, Notification of Change of Resource Designation) changing the Resource designation to “operational” at a future date, ERCOT shall charge the QSE representing the Resource Entity for capital expenditures incurred and previously paid to the Resource Entity as a result of the Resource’s return to service pursuant to this Section.</w:t>
      </w:r>
    </w:p>
    <w:p w14:paraId="2258F036" w14:textId="42F2574F" w:rsidR="001F04FD" w:rsidRPr="0013396E" w:rsidRDefault="001F04FD" w:rsidP="00DD0A69">
      <w:pPr>
        <w:pStyle w:val="List"/>
        <w:spacing w:before="240"/>
        <w:ind w:left="2880"/>
      </w:pPr>
      <w:r w:rsidRPr="0013396E">
        <w:t>(A)</w:t>
      </w:r>
      <w:r w:rsidRPr="0013396E">
        <w:tab/>
        <w:t>For months in the contract term where notice is received more than five Business Days prior to True-Up Settlement of the first Operating Day of that month, ERCOT shall claw back any payments made for the capital expenditure associated with that month and subsequent months of the term, on the next practical Settlement but no later than the True-Up Settlement.</w:t>
      </w:r>
    </w:p>
    <w:p w14:paraId="49040103" w14:textId="77777777" w:rsidR="001F04FD" w:rsidRPr="0013396E" w:rsidRDefault="001F04FD" w:rsidP="001F04FD">
      <w:pPr>
        <w:pStyle w:val="List"/>
        <w:ind w:left="2880"/>
      </w:pPr>
      <w:r w:rsidRPr="0013396E">
        <w:rPr>
          <w:color w:val="000000"/>
          <w:szCs w:val="24"/>
        </w:rPr>
        <w:t>(B)</w:t>
      </w:r>
      <w:r w:rsidRPr="0013396E">
        <w:rPr>
          <w:color w:val="000000"/>
          <w:szCs w:val="24"/>
        </w:rPr>
        <w:tab/>
      </w:r>
      <w:r w:rsidRPr="0013396E">
        <w:t>For months in the contract term where notice is received five Business Days or less prior to True-Up Settlement of the first Operating Day of that month, ERCOT shall claw back any payments made for the capital expenditures</w:t>
      </w:r>
      <w:r w:rsidRPr="0013396E" w:rsidDel="000434B6">
        <w:t xml:space="preserve"> </w:t>
      </w:r>
      <w:r w:rsidRPr="0013396E">
        <w:t>within 45 days of receipt of the notice.</w:t>
      </w:r>
    </w:p>
    <w:p w14:paraId="39A7AF2D" w14:textId="77777777" w:rsidR="001F04FD" w:rsidRPr="0013396E" w:rsidRDefault="001F04FD" w:rsidP="001F04FD">
      <w:pPr>
        <w:pStyle w:val="List"/>
        <w:ind w:left="2880"/>
        <w:rPr>
          <w:color w:val="000000"/>
          <w:szCs w:val="24"/>
        </w:rPr>
      </w:pPr>
      <w:r w:rsidRPr="0013396E">
        <w:lastRenderedPageBreak/>
        <w:t>(C)</w:t>
      </w:r>
      <w:r w:rsidRPr="0013396E">
        <w:tab/>
        <w:t>ERCOT shall distribute the repayment to QSEs representing Load on the same basis used to collect the monthly capital expenditures, using a monthly Load Ratio Share (LRS).  A QSE’s monthly LRS shall be the QSE’s total Real-Time Adjusted Metered Load (AML) for the month divided by the total ERCOT Real-Time AML for the same month.</w:t>
      </w:r>
    </w:p>
    <w:p w14:paraId="70F81814" w14:textId="51F25AC2" w:rsidR="001F04FD" w:rsidRPr="0013396E" w:rsidRDefault="001F04FD" w:rsidP="001F04FD">
      <w:pPr>
        <w:pStyle w:val="List"/>
        <w:rPr>
          <w:color w:val="000000"/>
          <w:szCs w:val="24"/>
        </w:rPr>
      </w:pPr>
      <w:r w:rsidRPr="0013396E">
        <w:rPr>
          <w:szCs w:val="24"/>
        </w:rPr>
        <w:t>(</w:t>
      </w:r>
      <w:r w:rsidR="003028E1">
        <w:rPr>
          <w:szCs w:val="24"/>
        </w:rPr>
        <w:t>h</w:t>
      </w:r>
      <w:r w:rsidRPr="0013396E">
        <w:rPr>
          <w:szCs w:val="24"/>
        </w:rPr>
        <w:t>)</w:t>
      </w:r>
      <w:r w:rsidRPr="0013396E">
        <w:rPr>
          <w:szCs w:val="24"/>
        </w:rPr>
        <w:tab/>
      </w:r>
      <w:r w:rsidR="0066695B" w:rsidRPr="0013396E">
        <w:t xml:space="preserve">ERCOT shall endeavor to minimize the deployment of capacity procured pursuant to this </w:t>
      </w:r>
      <w:r w:rsidR="003028E1">
        <w:t>Section</w:t>
      </w:r>
      <w:r w:rsidR="0066695B" w:rsidRPr="0013396E">
        <w:t xml:space="preserve"> with the goal of reducing the potential distortion of markets.  Resources and Loads deployed to alleviate imminent Emergency Conditions </w:t>
      </w:r>
      <w:r w:rsidR="0066695B" w:rsidRPr="0013396E">
        <w:rPr>
          <w:color w:val="000000"/>
        </w:rPr>
        <w:t>will not be offered into the Day-Ahead Market (DAM).  Rather, ERCOT will determine whether to use the capacity as part of the Hourly Reliability Unit Commitment (HRUC) process based on system conditions and the ability to meet Demand.  In the event Generation Resources are committed and On-Line, ERCOT systems will generate a proxy offer for the Generation Resource at the Real-Time System-Wide Offer Cap (RTSWCAP).  The default offer will place the Generation Resources among the last for economic Dispatch, so as not to displace Generation Resources that are On-Line and offering into the market.  To the extent practicable, the capacity deployed to alleviate imminent Emergency Conditions will not be used solely for the purpose of reducing local congestion.</w:t>
      </w:r>
    </w:p>
    <w:p w14:paraId="7577A2E3" w14:textId="035C72A2" w:rsidR="003028E1" w:rsidRPr="003028E1" w:rsidRDefault="003028E1" w:rsidP="003028E1">
      <w:pPr>
        <w:spacing w:before="240" w:after="240"/>
        <w:ind w:left="1440" w:hanging="720"/>
      </w:pPr>
      <w:r w:rsidRPr="003028E1">
        <w:t>(i)</w:t>
      </w:r>
      <w:r w:rsidRPr="003028E1">
        <w:tab/>
        <w:t>For any capacity procured under paragraph (4)(d)</w:t>
      </w:r>
      <w:r>
        <w:t xml:space="preserve"> above</w:t>
      </w:r>
      <w:r w:rsidRPr="003028E1">
        <w:t>, ERCOT must be provided with a detailed explanation that demonstrates that any payments made to accelerate the Commercial Operations Date is justifiable and reasonable, and that, absent the payments, the acceleration would not have occurred otherwise.</w:t>
      </w:r>
    </w:p>
    <w:p w14:paraId="78C0A316" w14:textId="0D3094DA" w:rsidR="001F04FD" w:rsidRPr="0013396E" w:rsidRDefault="001F04FD" w:rsidP="007A1E53">
      <w:pPr>
        <w:pStyle w:val="List"/>
      </w:pPr>
      <w:r w:rsidRPr="0013396E">
        <w:rPr>
          <w:color w:val="000000"/>
          <w:szCs w:val="24"/>
        </w:rPr>
        <w:t>(</w:t>
      </w:r>
      <w:r w:rsidR="003028E1">
        <w:rPr>
          <w:color w:val="000000"/>
          <w:szCs w:val="24"/>
        </w:rPr>
        <w:t>j</w:t>
      </w:r>
      <w:r w:rsidRPr="0013396E">
        <w:rPr>
          <w:color w:val="000000"/>
          <w:szCs w:val="24"/>
        </w:rPr>
        <w:t>)</w:t>
      </w:r>
      <w:r w:rsidRPr="0013396E">
        <w:rPr>
          <w:color w:val="000000"/>
          <w:szCs w:val="24"/>
        </w:rPr>
        <w:tab/>
        <w:t xml:space="preserve">An Entity cannot be compelled to enter into a contract under this </w:t>
      </w:r>
      <w:r w:rsidR="003028E1">
        <w:rPr>
          <w:color w:val="000000"/>
          <w:szCs w:val="24"/>
        </w:rPr>
        <w:t>Section</w:t>
      </w:r>
      <w:r w:rsidRPr="0013396E">
        <w:rPr>
          <w:color w:val="000000"/>
          <w:szCs w:val="24"/>
        </w:rPr>
        <w:t>.</w:t>
      </w:r>
    </w:p>
    <w:p w14:paraId="113D6B85" w14:textId="77777777" w:rsidR="001F04FD" w:rsidRPr="0013396E" w:rsidRDefault="001F04FD" w:rsidP="001F04FD">
      <w:pPr>
        <w:pStyle w:val="H4"/>
        <w:spacing w:before="480"/>
        <w:ind w:left="1267" w:hanging="1267"/>
      </w:pPr>
      <w:bookmarkStart w:id="495" w:name="_Toc73216004"/>
      <w:bookmarkStart w:id="496" w:name="_Toc397504946"/>
      <w:bookmarkStart w:id="497" w:name="_Toc402357074"/>
      <w:bookmarkStart w:id="498" w:name="_Toc422486454"/>
      <w:bookmarkStart w:id="499" w:name="_Toc433093306"/>
      <w:bookmarkStart w:id="500" w:name="_Toc433093464"/>
      <w:bookmarkStart w:id="501" w:name="_Toc440874693"/>
      <w:bookmarkStart w:id="502" w:name="_Toc448142248"/>
      <w:bookmarkStart w:id="503" w:name="_Toc448142405"/>
      <w:bookmarkStart w:id="504" w:name="_Toc458770241"/>
      <w:bookmarkStart w:id="505" w:name="_Toc459294209"/>
      <w:bookmarkStart w:id="506" w:name="_Toc463262702"/>
      <w:bookmarkStart w:id="507" w:name="_Toc468286776"/>
      <w:bookmarkStart w:id="508" w:name="_Toc481502822"/>
      <w:bookmarkStart w:id="509" w:name="_Toc496079990"/>
      <w:bookmarkStart w:id="510" w:name="_Toc236220099"/>
      <w:r w:rsidRPr="0013396E">
        <w:t>6.5.1.2</w:t>
      </w:r>
      <w:r w:rsidRPr="0013396E">
        <w:tab/>
        <w:t>Centralized Dispatch</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7C528FC6" w14:textId="34DD4B43" w:rsidR="001F04FD" w:rsidRPr="0013396E" w:rsidRDefault="001F04FD" w:rsidP="001F04FD">
      <w:pPr>
        <w:pStyle w:val="BodyTextNumbered"/>
      </w:pPr>
      <w:r w:rsidRPr="0013396E">
        <w:t>(1)</w:t>
      </w:r>
      <w:r w:rsidRPr="0013396E">
        <w:tab/>
        <w:t xml:space="preserve">ERCOT shall centrally Dispatch Resources and Transmission Facilities under these Protocols, including deploying energy by establishing Base Points, and Emergency Base Points, and by deploying Regulation Service, </w:t>
      </w:r>
      <w:r w:rsidR="00A93ECE" w:rsidRPr="0013396E">
        <w:t>ERCOT Contingency Reserve Service (ECRS)</w:t>
      </w:r>
      <w:r w:rsidRPr="0013396E">
        <w:t>, and Non-Spinning Reserve (Non-Spin)</w:t>
      </w:r>
      <w:r w:rsidR="00DC6D12" w:rsidRPr="0013396E">
        <w:t xml:space="preserve"> </w:t>
      </w:r>
      <w:r w:rsidRPr="0013396E">
        <w:t>to ensure operational security.</w:t>
      </w:r>
      <w:r w:rsidR="00A93ECE" w:rsidRPr="0013396E">
        <w:t xml:space="preserve">  Responsive Reserve (RRS) shall be self-deployed in response to frequency deviations or as specified in Nodal Operating Guide Section 4.8, Responsive Reserve Service </w:t>
      </w:r>
      <w:r w:rsidR="00EB35AD">
        <w:t xml:space="preserve">and ERCOT Contingency Reserve Service </w:t>
      </w:r>
      <w:r w:rsidR="00A93ECE" w:rsidRPr="0013396E">
        <w:t>During Scarcity Conditions.</w:t>
      </w:r>
    </w:p>
    <w:p w14:paraId="7F77D775" w14:textId="2820CE48" w:rsidR="003235C1" w:rsidRPr="0013396E" w:rsidRDefault="001F04FD" w:rsidP="00F969DB">
      <w:pPr>
        <w:pStyle w:val="BodyTextNumbered"/>
      </w:pPr>
      <w:r w:rsidRPr="0013396E">
        <w:t>(2)</w:t>
      </w:r>
      <w:r w:rsidRPr="0013396E">
        <w:tab/>
      </w:r>
      <w:r w:rsidR="0066695B" w:rsidRPr="0013396E">
        <w:t>ERCOT shall verify that either an Energy Offer Curve or Energy Bid/Offer Curve providing prices for the Resource between its High Sustained Limit (HSL) and Low Sustained Limit (LSL) or an Output Schedule has been submitted for each On-Line Resource an hour before the end of the Adjustment Period for the upcoming Operating Hour.  ERCOT shall notify QSEs that have not submitted an Output Schedule or Energy Offer Curve or Energy Bid/Offer Curve through the Market Information System (MIS) Certified Area.</w:t>
      </w:r>
    </w:p>
    <w:p w14:paraId="26B370F6" w14:textId="77B5E9B4" w:rsidR="003235C1" w:rsidRPr="0013396E" w:rsidRDefault="0066695B" w:rsidP="007A1E53">
      <w:pPr>
        <w:pStyle w:val="BodyTextNumbered"/>
      </w:pPr>
      <w:r w:rsidRPr="0013396E">
        <w:lastRenderedPageBreak/>
        <w:t>(3)</w:t>
      </w:r>
      <w:r w:rsidRPr="0013396E">
        <w:tab/>
        <w:t>If a Resource is scheduled to be On-Line and available to provide an Ancillary Service, but does not have any Ancillary Service Offers for which the Resource is qualified to provide, then at the end of the Adjustment Period, ERCOT shall notify the Resource’s QSE through the MIS Certified Area.</w:t>
      </w:r>
    </w:p>
    <w:p w14:paraId="37C92AB5" w14:textId="066C9E07" w:rsidR="001F04FD" w:rsidRPr="0013396E" w:rsidRDefault="001F04FD" w:rsidP="007A1E53">
      <w:pPr>
        <w:pStyle w:val="BodyTextNumbered"/>
      </w:pPr>
      <w:r w:rsidRPr="0013396E">
        <w:t>(</w:t>
      </w:r>
      <w:r w:rsidR="0066695B" w:rsidRPr="0013396E">
        <w:t>4</w:t>
      </w:r>
      <w:r w:rsidRPr="0013396E">
        <w:t>)</w:t>
      </w:r>
      <w:r w:rsidRPr="0013396E">
        <w:tab/>
        <w:t>ERCOT may only issue Dispatch Instructions for the Real-Time operation of Transmission Facilities to a TSP, for the Real-Time operation of distribution facilities to a Distribution Service Provider (DSP), or for a Resource to the QSE that represents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37C4B" w:rsidRPr="0013396E" w14:paraId="1835642C" w14:textId="77777777" w:rsidTr="0052684A">
        <w:trPr>
          <w:trHeight w:val="566"/>
        </w:trPr>
        <w:tc>
          <w:tcPr>
            <w:tcW w:w="9576" w:type="dxa"/>
            <w:shd w:val="pct12" w:color="auto" w:fill="auto"/>
          </w:tcPr>
          <w:p w14:paraId="3B783992" w14:textId="45B1E826" w:rsidR="00B37C4B" w:rsidRPr="0013396E" w:rsidRDefault="00B37C4B" w:rsidP="004510FA">
            <w:pPr>
              <w:pStyle w:val="Instructions"/>
              <w:spacing w:before="120"/>
            </w:pPr>
            <w:r w:rsidRPr="0013396E">
              <w:t>[NPRR857:  Replace paragraph (</w:t>
            </w:r>
            <w:r w:rsidR="0066695B" w:rsidRPr="0013396E">
              <w:t>4</w:t>
            </w:r>
            <w:r w:rsidRPr="0013396E">
              <w:t>)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0E456B63" w14:textId="67A92B1C" w:rsidR="00B37C4B" w:rsidRPr="0013396E" w:rsidRDefault="00B37C4B" w:rsidP="00B17C2D">
            <w:pPr>
              <w:spacing w:after="240"/>
              <w:ind w:left="720" w:hanging="720"/>
            </w:pPr>
            <w:r w:rsidRPr="0013396E">
              <w:t>(</w:t>
            </w:r>
            <w:r w:rsidR="0066695B" w:rsidRPr="0013396E">
              <w:t>4</w:t>
            </w:r>
            <w:r w:rsidRPr="0013396E">
              <w:t>)</w:t>
            </w:r>
            <w:r w:rsidRPr="0013396E">
              <w:tab/>
              <w:t>In Real-Time operations, ERCOT may only issue Dispatch Instructions for</w:t>
            </w:r>
            <w:r w:rsidR="00B17C2D" w:rsidRPr="0013396E">
              <w:t xml:space="preserve"> Direct Current Ties (DC Ties)</w:t>
            </w:r>
            <w:r w:rsidRPr="0013396E">
              <w:t xml:space="preserve"> to the appropriate Direct Current Tie Operator (DCTO), for Transmission Facilities to a Transmission Service Provider (TSP), for distribution facilities to a Distribution Service Provider (DSP), or for a Resource to the QSE that represents it.</w:t>
            </w:r>
          </w:p>
        </w:tc>
      </w:tr>
    </w:tbl>
    <w:p w14:paraId="5350B018" w14:textId="7CDAB9F4" w:rsidR="001F04FD" w:rsidRPr="0013396E" w:rsidRDefault="001F04FD" w:rsidP="0099247E">
      <w:pPr>
        <w:pStyle w:val="BodyTextNumbered"/>
        <w:spacing w:before="240"/>
      </w:pPr>
      <w:r w:rsidRPr="0013396E">
        <w:t>(</w:t>
      </w:r>
      <w:r w:rsidR="0066695B" w:rsidRPr="0013396E">
        <w:t>5</w:t>
      </w:r>
      <w:r w:rsidRPr="0013396E">
        <w:t>)</w:t>
      </w:r>
      <w:r w:rsidRPr="0013396E">
        <w:tab/>
        <w:t>ERCOT shall post shift schedules on the MIS Secure Area.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779AB" w:rsidRPr="0013396E" w14:paraId="66DB325F" w14:textId="77777777" w:rsidTr="00AE5CE8">
        <w:trPr>
          <w:trHeight w:val="206"/>
        </w:trPr>
        <w:tc>
          <w:tcPr>
            <w:tcW w:w="9576" w:type="dxa"/>
            <w:shd w:val="pct12" w:color="auto" w:fill="auto"/>
          </w:tcPr>
          <w:p w14:paraId="3A97A67F" w14:textId="540955AA" w:rsidR="00D779AB" w:rsidRPr="0013396E" w:rsidRDefault="00D779AB" w:rsidP="00D779AB">
            <w:pPr>
              <w:pStyle w:val="Instructions"/>
              <w:spacing w:before="120"/>
            </w:pPr>
            <w:bookmarkStart w:id="511" w:name="_Toc73216005"/>
            <w:bookmarkStart w:id="512" w:name="_Toc397504947"/>
            <w:bookmarkStart w:id="513" w:name="_Toc402357075"/>
            <w:bookmarkStart w:id="514" w:name="_Toc422486455"/>
            <w:bookmarkStart w:id="515" w:name="_Toc433093307"/>
            <w:bookmarkStart w:id="516" w:name="_Toc433093465"/>
            <w:bookmarkStart w:id="517" w:name="_Toc440874694"/>
            <w:bookmarkStart w:id="518" w:name="_Toc448142249"/>
            <w:bookmarkStart w:id="519" w:name="_Toc448142406"/>
            <w:bookmarkStart w:id="520" w:name="_Toc458770242"/>
            <w:bookmarkStart w:id="521" w:name="_Toc459294210"/>
            <w:bookmarkStart w:id="522" w:name="_Toc463262703"/>
            <w:bookmarkStart w:id="523" w:name="_Toc468286777"/>
            <w:bookmarkStart w:id="524" w:name="_Toc481502823"/>
            <w:bookmarkStart w:id="525" w:name="_Toc496079991"/>
            <w:r w:rsidRPr="0013396E">
              <w:t>[NPRR1240:  Delete paragraph (</w:t>
            </w:r>
            <w:r w:rsidR="0066695B" w:rsidRPr="0013396E">
              <w:t>5</w:t>
            </w:r>
            <w:r w:rsidRPr="0013396E">
              <w:t>) above upon system implementation.]</w:t>
            </w:r>
          </w:p>
        </w:tc>
      </w:tr>
    </w:tbl>
    <w:p w14:paraId="598066D4" w14:textId="77777777" w:rsidR="001F04FD" w:rsidRPr="0013396E" w:rsidRDefault="001F04FD" w:rsidP="001F04FD">
      <w:pPr>
        <w:pStyle w:val="H3"/>
        <w:spacing w:before="480"/>
      </w:pPr>
      <w:bookmarkStart w:id="526" w:name="_Toc236220100"/>
      <w:r w:rsidRPr="0013396E">
        <w:t>6.5.2</w:t>
      </w:r>
      <w:r w:rsidRPr="0013396E">
        <w:tab/>
        <w:t>Operating Standards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DF5B240" w14:textId="77777777" w:rsidR="001F04FD" w:rsidRPr="0013396E" w:rsidRDefault="001F04FD" w:rsidP="001F04FD">
      <w:pPr>
        <w:pStyle w:val="BodyTextNumbered"/>
      </w:pPr>
      <w:r w:rsidRPr="0013396E">
        <w:t>(1)</w:t>
      </w:r>
      <w:r w:rsidRPr="0013396E">
        <w:tab/>
        <w:t>ERCOT and each TSP shall operate the ERCOT Transmission Grid pursuant to NERC Reliability Standards, these Protocols, and Good Utility Practice.  The requirements of the NERC Reliability Standards shall prevail to the extent there are any inconsistencies with these Protocols or Good Utility Practice.  These Protocols control to the extent of any inconsistency between the Protocols and any of the following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01DDE" w:rsidRPr="0013396E" w14:paraId="54FC427A" w14:textId="77777777" w:rsidTr="004510FA">
        <w:trPr>
          <w:trHeight w:val="1547"/>
        </w:trPr>
        <w:tc>
          <w:tcPr>
            <w:tcW w:w="9576" w:type="dxa"/>
            <w:shd w:val="pct12" w:color="auto" w:fill="auto"/>
          </w:tcPr>
          <w:p w14:paraId="45C415EB" w14:textId="2745D3A8" w:rsidR="00901DDE" w:rsidRPr="0013396E" w:rsidRDefault="00901DDE" w:rsidP="004510FA">
            <w:pPr>
              <w:pStyle w:val="Instructions"/>
              <w:spacing w:before="120"/>
            </w:pPr>
            <w:r w:rsidRPr="0013396E">
              <w:t>[NPRR857:  Replace paragraph (1) above with the following upon system implementation</w:t>
            </w:r>
            <w:r w:rsidR="004A5B0B" w:rsidRPr="0013396E">
              <w:t xml:space="preserve"> </w:t>
            </w:r>
            <w:r w:rsidR="004A5B0B" w:rsidRPr="0013396E">
              <w:rPr>
                <w:bCs/>
                <w:iCs w:val="0"/>
              </w:rPr>
              <w:t xml:space="preserve">and </w:t>
            </w:r>
            <w:r w:rsidR="004A5B0B" w:rsidRPr="0013396E">
              <w:t xml:space="preserve">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w:t>
            </w:r>
            <w:r w:rsidR="004A5B0B" w:rsidRPr="0013396E">
              <w:lastRenderedPageBreak/>
              <w:t>interconnection; and (b) The financial security required to fund the interconnection facilities</w:t>
            </w:r>
            <w:r w:rsidRPr="0013396E">
              <w:t>:]</w:t>
            </w:r>
          </w:p>
          <w:p w14:paraId="0E89BBF4" w14:textId="77777777" w:rsidR="00901DDE" w:rsidRPr="0013396E" w:rsidRDefault="00901DDE" w:rsidP="00901DDE">
            <w:pPr>
              <w:spacing w:after="240"/>
              <w:ind w:left="720" w:hanging="720"/>
            </w:pPr>
            <w:r w:rsidRPr="0013396E">
              <w:t>(1)</w:t>
            </w:r>
            <w:r w:rsidRPr="0013396E">
              <w:tab/>
              <w:t>ERCOT and each TSP and DCTO shall operate the ERCOT Transmission Grid pursuant to NERC Reliability Standards, these Protocols, and Good Utility Practice.  The requirements of the NERC Reliability Standards shall prevail to the extent there are any inconsistencies with these Protocols or Good Utility Practice.  These Protocols control to the extent of any inconsistency between the Protocols and any of the following documents:</w:t>
            </w:r>
          </w:p>
        </w:tc>
      </w:tr>
    </w:tbl>
    <w:p w14:paraId="6C8F1D0E" w14:textId="77777777" w:rsidR="001F04FD" w:rsidRPr="0013396E" w:rsidRDefault="001F04FD" w:rsidP="0099247E">
      <w:pPr>
        <w:pStyle w:val="List"/>
        <w:spacing w:before="240"/>
      </w:pPr>
      <w:r w:rsidRPr="0013396E">
        <w:lastRenderedPageBreak/>
        <w:t>(a)</w:t>
      </w:r>
      <w:r w:rsidRPr="0013396E">
        <w:tab/>
        <w:t>The Operating Guides;</w:t>
      </w:r>
    </w:p>
    <w:p w14:paraId="495AA104" w14:textId="77777777" w:rsidR="001F04FD" w:rsidRPr="0013396E" w:rsidRDefault="001F04FD" w:rsidP="001F04FD">
      <w:pPr>
        <w:pStyle w:val="List"/>
      </w:pPr>
      <w:r w:rsidRPr="0013396E">
        <w:t>(b)</w:t>
      </w:r>
      <w:r w:rsidRPr="0013396E">
        <w:tab/>
        <w:t>ERCOT procedures manual for ERCOT Operators to use during normal and emergency operations of the ERCOT Transmission Grid;</w:t>
      </w:r>
    </w:p>
    <w:p w14:paraId="34DFE4E7" w14:textId="77777777" w:rsidR="001F04FD" w:rsidRPr="0013396E" w:rsidRDefault="001F04FD" w:rsidP="001F04FD">
      <w:pPr>
        <w:pStyle w:val="List"/>
      </w:pPr>
      <w:r w:rsidRPr="0013396E">
        <w:t>(c)</w:t>
      </w:r>
      <w:r w:rsidRPr="0013396E">
        <w:tab/>
        <w:t>Specific operating procedures and RAPs submitted to ERCOT by individual Transmission Facilities owners or operators to address operating problems on their respective grids that could affect operation of the ERCOT Transmission Grid; and</w:t>
      </w:r>
    </w:p>
    <w:p w14:paraId="0C5D5294" w14:textId="77777777" w:rsidR="001F04FD" w:rsidRPr="0013396E" w:rsidRDefault="001F04FD" w:rsidP="001F04FD">
      <w:pPr>
        <w:pStyle w:val="List"/>
      </w:pPr>
      <w:r w:rsidRPr="0013396E">
        <w:t>(d)</w:t>
      </w:r>
      <w:r w:rsidRPr="0013396E">
        <w:tab/>
        <w:t>Guidelines established by the ERCOT Board, which may be more stringent than those established by NERC for the secure operation of the ERCOT Transmission Grid.</w:t>
      </w:r>
    </w:p>
    <w:p w14:paraId="7335B760" w14:textId="77777777" w:rsidR="001F04FD" w:rsidRPr="0013396E" w:rsidRDefault="001F04FD" w:rsidP="001F04FD">
      <w:pPr>
        <w:pStyle w:val="H3"/>
        <w:spacing w:before="480"/>
      </w:pPr>
      <w:bookmarkStart w:id="527" w:name="_Toc73216006"/>
      <w:bookmarkStart w:id="528" w:name="_Toc397504948"/>
      <w:bookmarkStart w:id="529" w:name="_Toc402357076"/>
      <w:bookmarkStart w:id="530" w:name="_Toc422486456"/>
      <w:bookmarkStart w:id="531" w:name="_Toc433093308"/>
      <w:bookmarkStart w:id="532" w:name="_Toc433093466"/>
      <w:bookmarkStart w:id="533" w:name="_Toc440874695"/>
      <w:bookmarkStart w:id="534" w:name="_Toc448142250"/>
      <w:bookmarkStart w:id="535" w:name="_Toc448142407"/>
      <w:bookmarkStart w:id="536" w:name="_Toc458770243"/>
      <w:bookmarkStart w:id="537" w:name="_Toc459294211"/>
      <w:bookmarkStart w:id="538" w:name="_Toc463262704"/>
      <w:bookmarkStart w:id="539" w:name="_Toc468286778"/>
      <w:bookmarkStart w:id="540" w:name="_Toc481502824"/>
      <w:bookmarkStart w:id="541" w:name="_Toc496079992"/>
      <w:bookmarkStart w:id="542" w:name="_Toc236220101"/>
      <w:r w:rsidRPr="0013396E">
        <w:t>6.5.3</w:t>
      </w:r>
      <w:r w:rsidRPr="0013396E">
        <w:tab/>
        <w:t>Equipment Operating Ratings and Limits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6EC8E63E" w14:textId="35C97827" w:rsidR="001F04FD" w:rsidRPr="0013396E" w:rsidRDefault="001F04FD" w:rsidP="001F04FD">
      <w:pPr>
        <w:pStyle w:val="BodyTextNumbered"/>
      </w:pPr>
      <w:r w:rsidRPr="0013396E">
        <w:t>(1)</w:t>
      </w:r>
      <w:r w:rsidRPr="0013396E">
        <w:tab/>
        <w:t xml:space="preserve">ERCOT shall consider all equipment operating limits when issuing Dispatch Instructions.  Except as stated in Section 6.5.9, Emergency Operations, if a Dispatch Instruction conflicts with a restriction that may be placed on equipment from time to time by a TSP, a DSP, or a </w:t>
      </w:r>
      <w:r w:rsidR="006F578F" w:rsidRPr="0013396E">
        <w:t xml:space="preserve">QSE representing a </w:t>
      </w:r>
      <w:r w:rsidRPr="0013396E">
        <w:t>Generation Resource</w:t>
      </w:r>
      <w:r w:rsidR="006F578F" w:rsidRPr="0013396E">
        <w:t xml:space="preserve"> or ESR</w:t>
      </w:r>
      <w:r w:rsidRPr="0013396E">
        <w:t xml:space="preserve"> to protect the integrity of equipment, ERCOT shall honor the restriction.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01DDE" w:rsidRPr="0013396E" w14:paraId="4F9637F6" w14:textId="77777777" w:rsidTr="004510FA">
        <w:trPr>
          <w:trHeight w:val="1547"/>
        </w:trPr>
        <w:tc>
          <w:tcPr>
            <w:tcW w:w="9576" w:type="dxa"/>
            <w:shd w:val="pct12" w:color="auto" w:fill="auto"/>
          </w:tcPr>
          <w:p w14:paraId="2C35C8D8" w14:textId="783B3937" w:rsidR="00901DDE" w:rsidRPr="0013396E" w:rsidRDefault="00901DDE" w:rsidP="004510FA">
            <w:pPr>
              <w:pStyle w:val="Instructions"/>
              <w:spacing w:before="120"/>
            </w:pPr>
            <w:r w:rsidRPr="0013396E">
              <w:t>[NPRR857:  Replace paragraph (1)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2666C4BC" w14:textId="5849F131" w:rsidR="00901DDE" w:rsidRPr="0013396E" w:rsidRDefault="00901DDE" w:rsidP="00901DDE">
            <w:pPr>
              <w:spacing w:after="240"/>
              <w:ind w:left="720" w:hanging="720"/>
            </w:pPr>
            <w:r w:rsidRPr="0013396E">
              <w:t>(1)</w:t>
            </w:r>
            <w:r w:rsidRPr="0013396E">
              <w:tab/>
              <w:t xml:space="preserve">ERCOT shall consider all equipment operating limits when issuing Dispatch Instructions.  Except as stated in Section 6.5.9, Emergency Operations, if a Dispatch Instruction conflicts with a restriction that may be placed on equipment from time to </w:t>
            </w:r>
            <w:r w:rsidRPr="0013396E">
              <w:lastRenderedPageBreak/>
              <w:t xml:space="preserve">time by a TSP, a DSP, a DCTO, or a </w:t>
            </w:r>
            <w:r w:rsidR="00490BFE" w:rsidRPr="0013396E">
              <w:t xml:space="preserve">QSE representing a </w:t>
            </w:r>
            <w:r w:rsidRPr="0013396E">
              <w:t>Generation Resource</w:t>
            </w:r>
            <w:r w:rsidR="00490BFE" w:rsidRPr="0013396E">
              <w:t xml:space="preserve"> or ESR</w:t>
            </w:r>
            <w:r w:rsidRPr="0013396E">
              <w:t xml:space="preserve"> to protect the integrity of equipment, ERCOT shall honor the restriction.</w:t>
            </w:r>
          </w:p>
        </w:tc>
      </w:tr>
    </w:tbl>
    <w:p w14:paraId="50EDC623" w14:textId="77777777" w:rsidR="001F04FD" w:rsidRPr="0013396E" w:rsidRDefault="001F04FD" w:rsidP="0099247E">
      <w:pPr>
        <w:pStyle w:val="BodyTextNumbered"/>
        <w:spacing w:before="240"/>
      </w:pPr>
      <w:r w:rsidRPr="0013396E">
        <w:lastRenderedPageBreak/>
        <w:t>(2)</w:t>
      </w:r>
      <w:r w:rsidRPr="0013396E">
        <w:tab/>
        <w:t>Each TSP shall notify ERCOT of any limitations on the TSP’s system that may affect ERCOT Dispatch Instructions.  ERCOT shall continuously maintain a posting on the MIS Secure Area of any TSP limitations that may affect Dispatch Instructions.  Examples of such limitations may include: temporary changes to transmission or transformer ratings, temporary changes to range of automatic tap position capabilities on auto-transformers, fixing or blocking tap changer, changes to no-load tap positions or other limitations affecting the delivery of energy across the ERCOT Transmission Grid.  Any conflicts that cannot be satisfactorily resolved may be brought to ERCOT by any of the affected Entities for investigation and resolution.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01DDE" w:rsidRPr="0013396E" w14:paraId="69057492" w14:textId="77777777" w:rsidTr="004510FA">
        <w:trPr>
          <w:trHeight w:val="1547"/>
        </w:trPr>
        <w:tc>
          <w:tcPr>
            <w:tcW w:w="9576" w:type="dxa"/>
            <w:shd w:val="pct12" w:color="auto" w:fill="auto"/>
          </w:tcPr>
          <w:p w14:paraId="4CD70A86" w14:textId="0FB3A777" w:rsidR="00901DDE" w:rsidRPr="0013396E" w:rsidRDefault="00901DDE" w:rsidP="004510FA">
            <w:pPr>
              <w:pStyle w:val="Instructions"/>
              <w:spacing w:before="120"/>
            </w:pPr>
            <w:bookmarkStart w:id="543" w:name="_Toc73164254"/>
            <w:bookmarkStart w:id="544" w:name="_Toc73216007"/>
            <w:bookmarkStart w:id="545" w:name="_Toc397504949"/>
            <w:bookmarkStart w:id="546" w:name="_Toc402357077"/>
            <w:bookmarkStart w:id="547" w:name="_Toc422486457"/>
            <w:bookmarkStart w:id="548" w:name="_Toc433093309"/>
            <w:bookmarkStart w:id="549" w:name="_Toc433093467"/>
            <w:bookmarkStart w:id="550" w:name="_Toc440874696"/>
            <w:bookmarkStart w:id="551" w:name="_Toc448142251"/>
            <w:bookmarkStart w:id="552" w:name="_Toc448142408"/>
            <w:bookmarkStart w:id="553" w:name="_Toc458770244"/>
            <w:bookmarkStart w:id="554" w:name="_Toc459294212"/>
            <w:bookmarkStart w:id="555" w:name="_Toc463262705"/>
            <w:bookmarkStart w:id="556" w:name="_Toc468286779"/>
            <w:bookmarkStart w:id="557" w:name="_Toc481502825"/>
            <w:bookmarkStart w:id="558" w:name="_Toc496079993"/>
            <w:r w:rsidRPr="0013396E">
              <w:t>[NPRR857:  Replace paragraph (2)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70BBA067" w14:textId="77777777" w:rsidR="00901DDE" w:rsidRPr="0013396E" w:rsidRDefault="00901DDE" w:rsidP="00901DDE">
            <w:pPr>
              <w:spacing w:after="240"/>
              <w:ind w:left="720" w:hanging="720"/>
            </w:pPr>
            <w:r w:rsidRPr="0013396E">
              <w:t>(2)</w:t>
            </w:r>
            <w:r w:rsidRPr="0013396E">
              <w:tab/>
              <w:t>Each TSP or DCTO shall notify ERCOT of any limitations on the TSP’s or DCTO’s system that may affect ERCOT Dispatch Instructions.  ERCOT shall continuously maintain a posting on the MIS Secure Area of any TSP or DCTO limitations that may affect Dispatch Instructions.  Examples of such limitations may include: temporary changes to transmission or transformer ratings, temporary changes to range of automatic tap position capabilities on auto-transformers, fixing or blocking tap changer, changes to no-load tap positions or other limitations affecting the delivery of energy across the ERCOT Transmission Grid.  Any conflicts that cannot be satisfactorily resolved may be brought to ERCOT by any of the affected Entities for investigation and resolution.</w:t>
            </w:r>
          </w:p>
        </w:tc>
      </w:tr>
    </w:tbl>
    <w:p w14:paraId="1155E746" w14:textId="77777777" w:rsidR="001F04FD" w:rsidRPr="0013396E" w:rsidRDefault="001F04FD" w:rsidP="0099247E">
      <w:pPr>
        <w:pStyle w:val="H3"/>
        <w:spacing w:before="480"/>
      </w:pPr>
      <w:bookmarkStart w:id="559" w:name="_Toc236220102"/>
      <w:r w:rsidRPr="0013396E">
        <w:t>6.5.4</w:t>
      </w:r>
      <w:r w:rsidRPr="0013396E">
        <w:tab/>
        <w:t>Inadvertent Energy Account</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279620ED" w14:textId="77777777" w:rsidR="001F04FD" w:rsidRPr="0013396E" w:rsidRDefault="001F04FD" w:rsidP="001F04FD">
      <w:pPr>
        <w:pStyle w:val="BodyTextNumbered"/>
      </w:pPr>
      <w:r w:rsidRPr="0013396E">
        <w:t>(1)</w:t>
      </w:r>
      <w:r w:rsidRPr="0013396E">
        <w:tab/>
        <w:t xml:space="preserve">ERCOT shall track any differences between the scheduled energy and the actual metered value at each Direct Current Tie (DC Tie) in an “Inadvertent Energy Account” between ERCOT and each interconnected non-ERCOT Control Area.  ERCOT shall coordinate operation of each DC Tie with the DC Tie operator such that the Inadvertent Energy Account is maintained as close to zero as possible.  Corrections of inadvertent energy between ERCOT and the other NERC-interconnected non-ERCOT Control Areas must </w:t>
      </w:r>
      <w:r w:rsidRPr="0013396E">
        <w:lastRenderedPageBreak/>
        <w:t>comply with the NERC scheduling protocols and the ERCOT Operating Guides.  ERCOT shall establish procedures to correct Inadvertent Energy Accounts with non-ERCOT Control Areas that are not subject to NERC scheduling protocols.</w:t>
      </w:r>
    </w:p>
    <w:p w14:paraId="4579FC4A" w14:textId="77777777" w:rsidR="001F04FD" w:rsidRPr="0013396E" w:rsidRDefault="001F04FD" w:rsidP="001F04FD">
      <w:pPr>
        <w:pStyle w:val="H3"/>
        <w:spacing w:before="480"/>
      </w:pPr>
      <w:bookmarkStart w:id="560" w:name="_Toc397504950"/>
      <w:bookmarkStart w:id="561" w:name="_Toc402357078"/>
      <w:bookmarkStart w:id="562" w:name="_Toc422486458"/>
      <w:bookmarkStart w:id="563" w:name="_Toc433093310"/>
      <w:bookmarkStart w:id="564" w:name="_Toc433093468"/>
      <w:bookmarkStart w:id="565" w:name="_Toc440874697"/>
      <w:bookmarkStart w:id="566" w:name="_Toc448142252"/>
      <w:bookmarkStart w:id="567" w:name="_Toc448142409"/>
      <w:bookmarkStart w:id="568" w:name="_Toc458770245"/>
      <w:bookmarkStart w:id="569" w:name="_Toc459294213"/>
      <w:bookmarkStart w:id="570" w:name="_Toc463262706"/>
      <w:bookmarkStart w:id="571" w:name="_Toc468286780"/>
      <w:bookmarkStart w:id="572" w:name="_Toc481502826"/>
      <w:bookmarkStart w:id="573" w:name="_Toc496079994"/>
      <w:bookmarkStart w:id="574" w:name="_Toc236220103"/>
      <w:r w:rsidRPr="0013396E">
        <w:t>6.5.5</w:t>
      </w:r>
      <w:r w:rsidRPr="0013396E">
        <w:tab/>
        <w:t>QSE Activities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73D074B4" w14:textId="77777777" w:rsidR="001F04FD" w:rsidRPr="0013396E" w:rsidRDefault="001F04FD" w:rsidP="001F04FD">
      <w:pPr>
        <w:pStyle w:val="BodyTextNumbered"/>
      </w:pPr>
      <w:r w:rsidRPr="0013396E">
        <w:t>(1)</w:t>
      </w:r>
      <w:r w:rsidRPr="0013396E">
        <w:tab/>
        <w:t>QSE activities during Real-Time operations are summarized in the table located in Section 6.3.2, Activities for Real-Time Operations.  That table is intended to be only a general guide and not controlling language, and any conflict between the table and another section of the Protocols is controlled by the other section.</w:t>
      </w:r>
    </w:p>
    <w:p w14:paraId="1F1A04B8" w14:textId="77777777" w:rsidR="001F04FD" w:rsidRPr="0013396E" w:rsidRDefault="001F04FD" w:rsidP="001F04FD">
      <w:pPr>
        <w:pStyle w:val="H4"/>
        <w:spacing w:before="480"/>
        <w:ind w:left="1267" w:hanging="1267"/>
      </w:pPr>
      <w:bookmarkStart w:id="575" w:name="_Toc73216009"/>
      <w:bookmarkStart w:id="576" w:name="_Toc397504951"/>
      <w:bookmarkStart w:id="577" w:name="_Toc402357079"/>
      <w:bookmarkStart w:id="578" w:name="_Toc422486459"/>
      <w:bookmarkStart w:id="579" w:name="_Toc433093311"/>
      <w:bookmarkStart w:id="580" w:name="_Toc433093469"/>
      <w:bookmarkStart w:id="581" w:name="_Toc440874698"/>
      <w:bookmarkStart w:id="582" w:name="_Toc448142253"/>
      <w:bookmarkStart w:id="583" w:name="_Toc448142410"/>
      <w:bookmarkStart w:id="584" w:name="_Toc458770246"/>
      <w:bookmarkStart w:id="585" w:name="_Toc459294214"/>
      <w:bookmarkStart w:id="586" w:name="_Toc463262707"/>
      <w:bookmarkStart w:id="587" w:name="_Toc468286781"/>
      <w:bookmarkStart w:id="588" w:name="_Toc481502827"/>
      <w:bookmarkStart w:id="589" w:name="_Toc496079995"/>
      <w:bookmarkStart w:id="590" w:name="_Toc236220104"/>
      <w:bookmarkStart w:id="591" w:name="_Hlk135901057"/>
      <w:r w:rsidRPr="0013396E">
        <w:t>6.5.5.1</w:t>
      </w:r>
      <w:r w:rsidRPr="0013396E">
        <w:tab/>
        <w:t>Changes in Resource Status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4433CCE7" w14:textId="77F004F2" w:rsidR="001F04FD" w:rsidRPr="0013396E" w:rsidRDefault="001F04FD" w:rsidP="001F04FD">
      <w:pPr>
        <w:pStyle w:val="BodyTextNumbered"/>
      </w:pPr>
      <w:bookmarkStart w:id="592" w:name="_Toc73216010"/>
      <w:r w:rsidRPr="0013396E">
        <w:t>(1)</w:t>
      </w:r>
      <w:r w:rsidRPr="0013396E">
        <w:tab/>
      </w:r>
      <w:r w:rsidR="00DE555F" w:rsidRPr="0013396E">
        <w:t>Each QSE shall notify ERCOT via telemetry of a change in Resource Status that is not related to a Forced Outage as soon as practicable but no longer than 15 minutes</w:t>
      </w:r>
      <w:r w:rsidR="00DE555F" w:rsidRPr="0013396E">
        <w:rPr>
          <w:iCs/>
        </w:rPr>
        <w:t xml:space="preserve"> after the change in status occurs</w:t>
      </w:r>
      <w:r w:rsidR="00DE555F" w:rsidRPr="0013396E">
        <w:t xml:space="preserve"> and through changes in the Current Operating Plan (COP) as soon as practicable but no longer than 60 minutes</w:t>
      </w:r>
      <w:r w:rsidR="00DE555F" w:rsidRPr="0013396E">
        <w:rPr>
          <w:iCs/>
        </w:rPr>
        <w:t xml:space="preserve"> after the change in status of the Resource occurs</w:t>
      </w:r>
      <w:r w:rsidRPr="0013396E">
        <w:t>.</w:t>
      </w:r>
    </w:p>
    <w:p w14:paraId="5FC9B193" w14:textId="5D28EA2E" w:rsidR="00A5535F" w:rsidRPr="0013396E" w:rsidRDefault="00DE555F" w:rsidP="00DE555F">
      <w:pPr>
        <w:pStyle w:val="BodyTextNumbered"/>
      </w:pPr>
      <w:r w:rsidRPr="0013396E">
        <w:t xml:space="preserve">(2) </w:t>
      </w:r>
      <w:r w:rsidRPr="0013396E">
        <w:tab/>
        <w:t>When an On-Line Resource is experiencing an event that may affect its availability and/or capability and that requires further actions to stabilize the Resource and/or determine the impact of the event, the QSE may change the Resource Status to ONHOLD within 15 minutes of experiencing an event.  Following this Resource Status change, the telemetered HSL and any other applicable telemetry of the Resource as specified in paragraph (2) of Section 6.5.5.2, Operational Data Requirements, shall be updated as soon as practicable but no longer than 15 minutes after the change in Resource Status to ONHOLD.  After the QSE has determined the impact of the event, the QSE shall change the Resource Status to its updated status as soon as practicable but no longer than 60 consecutive minutes of being in the ONHOLD status.</w:t>
      </w:r>
    </w:p>
    <w:p w14:paraId="12488D64" w14:textId="41FA02D0" w:rsidR="001F04FD" w:rsidRPr="0013396E" w:rsidRDefault="001F04FD" w:rsidP="00F969DB">
      <w:pPr>
        <w:pStyle w:val="BodyTextNumbered"/>
      </w:pPr>
      <w:r w:rsidRPr="0013396E">
        <w:t>(</w:t>
      </w:r>
      <w:r w:rsidR="00DE555F" w:rsidRPr="0013396E">
        <w:t>3</w:t>
      </w:r>
      <w:r w:rsidRPr="0013396E">
        <w:t>)</w:t>
      </w:r>
      <w:r w:rsidRPr="0013396E">
        <w:tab/>
      </w:r>
      <w:r w:rsidR="00C06242" w:rsidRPr="0013396E">
        <w:t xml:space="preserve">Each QSE shall promptly inform ERCOT when the operating mode of the Automatic Voltage Regulator (AVR) or Power System Stabilizer (PSS) for the QSE’s Generation Resource or ESR is changed while the Resource is On-Line.  The QSE shall also provide the Resource’s AVR or PSS status logs to ERCOT upon request.  For each Generation Resource that is </w:t>
      </w:r>
      <w:r w:rsidR="00C06242" w:rsidRPr="0013396E">
        <w:rPr>
          <w:lang w:eastAsia="x-none"/>
        </w:rPr>
        <w:t>On-Line but not producing real power and is not capable of providing Reactive Power, each QSE must still telemeter its AVR status to ERCOT but is not required to provide verbal notifications of its AVR status changes to ERCOT during these operating conditions.</w:t>
      </w:r>
    </w:p>
    <w:p w14:paraId="0464F625" w14:textId="1E65A19C" w:rsidR="001F04FD" w:rsidRPr="0013396E" w:rsidRDefault="001F04FD" w:rsidP="007A1E53">
      <w:pPr>
        <w:pStyle w:val="BodyTextNumbered"/>
      </w:pPr>
      <w:r w:rsidRPr="0013396E">
        <w:t>(</w:t>
      </w:r>
      <w:r w:rsidR="00DE555F" w:rsidRPr="0013396E">
        <w:t>4</w:t>
      </w:r>
      <w:r w:rsidRPr="0013396E">
        <w:t>)</w:t>
      </w:r>
      <w:r w:rsidRPr="0013396E">
        <w:tab/>
      </w:r>
      <w:r w:rsidR="00C06242" w:rsidRPr="0013396E">
        <w:t>Each QSE shall immediately report to ERCOT and the TSP any inability of the QSE’s Generation Resource or ESR required to meet its reactive capability requirements in these Protocols.</w:t>
      </w:r>
    </w:p>
    <w:p w14:paraId="256E42E6" w14:textId="557C66A8" w:rsidR="00DE555F" w:rsidRPr="0013396E" w:rsidRDefault="00DE555F" w:rsidP="007A1E53">
      <w:pPr>
        <w:pStyle w:val="BodyTextNumbered"/>
      </w:pPr>
      <w:r w:rsidRPr="0013396E">
        <w:t>(5)</w:t>
      </w:r>
      <w:r w:rsidRPr="0013396E">
        <w:tab/>
        <w:t xml:space="preserve">Each QSE shall timely update the telemetered Resource Status unless in the reasonable judgment of the QSE, such compliance would create an undue threat to safety, undue risk of bodily harm, or undue damage to equipment.  The QSE is excused from updating the </w:t>
      </w:r>
      <w:r w:rsidRPr="0013396E">
        <w:lastRenderedPageBreak/>
        <w:t xml:space="preserve">telemetered Resource Status only for so long as the undue threat to safety, undue risk of bodily harm, or undue damage to equipment exists.  </w:t>
      </w:r>
      <w:r w:rsidRPr="0013396E">
        <w:rPr>
          <w:color w:val="000000" w:themeColor="text1"/>
        </w:rPr>
        <w:t>The time for updating the telemetered Resource Status begins once the undue threat to safety, undue risk of bodily harm, or undue damage to equipment no longer exists.</w:t>
      </w:r>
    </w:p>
    <w:p w14:paraId="55982816" w14:textId="76F7BB23" w:rsidR="00ED74F0" w:rsidRPr="0013396E" w:rsidRDefault="00ED74F0" w:rsidP="00F969DB">
      <w:pPr>
        <w:spacing w:after="240"/>
        <w:ind w:left="720" w:hanging="720"/>
      </w:pPr>
      <w:bookmarkStart w:id="593" w:name="_Toc397504952"/>
      <w:bookmarkStart w:id="594" w:name="_Toc402357080"/>
      <w:bookmarkStart w:id="595" w:name="_Toc422486460"/>
      <w:bookmarkStart w:id="596" w:name="_Toc433093312"/>
      <w:bookmarkStart w:id="597" w:name="_Toc433093470"/>
      <w:bookmarkStart w:id="598" w:name="_Toc440874699"/>
      <w:bookmarkStart w:id="599" w:name="_Toc448142254"/>
      <w:bookmarkStart w:id="600" w:name="_Toc448142411"/>
      <w:bookmarkStart w:id="601" w:name="_Toc458770247"/>
      <w:bookmarkStart w:id="602" w:name="_Toc459294215"/>
      <w:bookmarkStart w:id="603" w:name="_Toc463262708"/>
      <w:bookmarkStart w:id="604" w:name="_Toc468286782"/>
      <w:bookmarkStart w:id="605" w:name="_Toc481502828"/>
      <w:bookmarkStart w:id="606" w:name="_Toc496079996"/>
      <w:r w:rsidRPr="0013396E">
        <w:t>(</w:t>
      </w:r>
      <w:r w:rsidR="00DE555F" w:rsidRPr="0013396E">
        <w:t>6</w:t>
      </w:r>
      <w:r w:rsidRPr="0013396E">
        <w:t>)</w:t>
      </w:r>
      <w:r w:rsidRPr="0013396E">
        <w:tab/>
        <w:t>A QSE or Resource Entity may use a Generation Resource or ESR to serve Customer Load as part of a Private Microgrid Island (PMI) in any circumstance in which the Customer Load and the Resource are both disconnected from the ERCOT System due to an Outage of the transmission and/or distribution system, provided that the configuration complies with the requirements of paragraph (7) of Section 10.3.2.3, Generation Netting for ERCOT-Polled Settlement Meters, and provided that the QSE or Resource Entity has notified the Transmission and/or Distribution Service Provider (TDSP) of the establishment of a PMI configuration.  The QSE shall ensure that the Load served by the Resource in the PMI configuration is de-energized at the time it is reconnected to the ERCOT System following the PMI configuration.  All operations in a PMI configuration and any reconnection of Load following a PMI configuration shall be coordinated with the TDSP.</w:t>
      </w:r>
    </w:p>
    <w:p w14:paraId="4946B014" w14:textId="5865FD79" w:rsidR="00ED74F0" w:rsidRPr="0013396E" w:rsidRDefault="00ED74F0" w:rsidP="00ED74F0">
      <w:pPr>
        <w:spacing w:after="240"/>
        <w:ind w:left="720" w:hanging="720"/>
      </w:pPr>
      <w:r w:rsidRPr="0013396E">
        <w:t>(</w:t>
      </w:r>
      <w:r w:rsidR="00DE555F" w:rsidRPr="0013396E">
        <w:t>7</w:t>
      </w:r>
      <w:r w:rsidRPr="0013396E">
        <w:t>)</w:t>
      </w:r>
      <w:r w:rsidRPr="0013396E">
        <w:tab/>
        <w:t>A TDSP shall not intentionally disconnect, or direct another TDSP to disconnect, a Generation Resource or ESR included in a PMI configuration from the ERCOT System except in the following circumstances:</w:t>
      </w:r>
    </w:p>
    <w:p w14:paraId="37DDD22C" w14:textId="77777777" w:rsidR="00ED74F0" w:rsidRPr="0013396E" w:rsidRDefault="00ED74F0" w:rsidP="00ED74F0">
      <w:pPr>
        <w:spacing w:after="240"/>
        <w:ind w:left="1440" w:hanging="720"/>
      </w:pPr>
      <w:r w:rsidRPr="0013396E">
        <w:t xml:space="preserve">(a) </w:t>
      </w:r>
      <w:r w:rsidRPr="0013396E">
        <w:tab/>
        <w:t>An approved or accepted Planned or Maintenance Outage of a Transmission Facility reasonably requires, or would otherwise result in, the disconnection of the Resource from the ERCOT System;</w:t>
      </w:r>
    </w:p>
    <w:p w14:paraId="53D4B2D5" w14:textId="1475F996" w:rsidR="00ED74F0" w:rsidRPr="0013396E" w:rsidRDefault="00ED74F0" w:rsidP="00ED74F0">
      <w:pPr>
        <w:spacing w:after="240"/>
        <w:ind w:left="1440" w:hanging="720"/>
      </w:pPr>
      <w:r w:rsidRPr="0013396E">
        <w:t>(b)</w:t>
      </w:r>
      <w:r w:rsidRPr="0013396E">
        <w:tab/>
        <w:t>The Resource is a Distribution Generation Resource or Distribution Energy Storage Resource (DESR), and disconnection of the Resource is required for Distribution System maintenance;</w:t>
      </w:r>
    </w:p>
    <w:p w14:paraId="21DD6ED8" w14:textId="77777777" w:rsidR="00ED74F0" w:rsidRPr="0013396E" w:rsidRDefault="00ED74F0" w:rsidP="00ED74F0">
      <w:pPr>
        <w:spacing w:after="240"/>
        <w:ind w:left="1440" w:hanging="720"/>
      </w:pPr>
      <w:r w:rsidRPr="0013396E">
        <w:t>(c)</w:t>
      </w:r>
      <w:r w:rsidRPr="0013396E">
        <w:tab/>
        <w:t xml:space="preserve">The TDSP’s disconnection of the Resource is necessary to maintain the security of the TDSP’s system or the ERCOT System; </w:t>
      </w:r>
    </w:p>
    <w:p w14:paraId="46F229AA" w14:textId="77777777" w:rsidR="00ED74F0" w:rsidRPr="0013396E" w:rsidRDefault="00ED74F0" w:rsidP="00ED74F0">
      <w:pPr>
        <w:spacing w:after="240"/>
        <w:ind w:left="1440" w:hanging="720"/>
      </w:pPr>
      <w:r w:rsidRPr="0013396E">
        <w:t>(d)</w:t>
      </w:r>
      <w:r w:rsidRPr="0013396E">
        <w:tab/>
        <w:t xml:space="preserve">The TDSP’s disconnection of the Resource is necessary to protect the public from a safety risk attributable to the operation of the Resource; or </w:t>
      </w:r>
    </w:p>
    <w:p w14:paraId="53352663" w14:textId="1CB9BD09" w:rsidR="00ED74F0" w:rsidRPr="0013396E" w:rsidRDefault="00ED74F0" w:rsidP="00ED74F0">
      <w:pPr>
        <w:spacing w:after="240"/>
        <w:ind w:left="1440" w:hanging="720"/>
      </w:pPr>
      <w:r w:rsidRPr="0013396E">
        <w:t>(e)</w:t>
      </w:r>
      <w:r w:rsidRPr="0013396E">
        <w:tab/>
        <w:t>ERCOT directs the disconnection of the Resource.</w:t>
      </w:r>
    </w:p>
    <w:p w14:paraId="1C95CD20" w14:textId="3881D33B" w:rsidR="000266C6" w:rsidRPr="0013396E" w:rsidRDefault="000266C6" w:rsidP="000266C6">
      <w:pPr>
        <w:pStyle w:val="BodyText"/>
        <w:ind w:left="720" w:hanging="720"/>
      </w:pPr>
      <w:r w:rsidRPr="0013396E">
        <w:t>(</w:t>
      </w:r>
      <w:r w:rsidR="00DE555F" w:rsidRPr="0013396E">
        <w:t>8</w:t>
      </w:r>
      <w:r w:rsidRPr="0013396E">
        <w:t>)</w:t>
      </w:r>
      <w:r w:rsidRPr="0013396E">
        <w:tab/>
        <w:t xml:space="preserve">For each Intermittent Renewable Resource (IRR) </w:t>
      </w:r>
      <w:r w:rsidRPr="0013396E">
        <w:rPr>
          <w:iCs w:val="0"/>
        </w:rPr>
        <w:t>synchronized to the ERCOT System</w:t>
      </w:r>
      <w:r w:rsidRPr="0013396E" w:rsidDel="009E3B3E">
        <w:t xml:space="preserve"> </w:t>
      </w:r>
      <w:r w:rsidRPr="0013396E">
        <w:t xml:space="preserve">and </w:t>
      </w:r>
      <w:r w:rsidRPr="0013396E">
        <w:rPr>
          <w:iCs w:val="0"/>
        </w:rPr>
        <w:t xml:space="preserve">not capable of providing real power due to a lack of fuel, the </w:t>
      </w:r>
      <w:r w:rsidRPr="0013396E">
        <w:t xml:space="preserve">Resource Entity and QSE shall </w:t>
      </w:r>
      <w:r w:rsidRPr="0013396E">
        <w:rPr>
          <w:iCs w:val="0"/>
        </w:rPr>
        <w:t>send ERCOT, via telemetry, a Real-Time On-Line status and HSL and LSL of 0.</w:t>
      </w:r>
    </w:p>
    <w:p w14:paraId="3043A17D" w14:textId="77777777" w:rsidR="001F04FD" w:rsidRPr="0013396E" w:rsidRDefault="001F04FD" w:rsidP="001F04FD">
      <w:pPr>
        <w:pStyle w:val="H4"/>
        <w:spacing w:before="480"/>
        <w:ind w:left="1267" w:hanging="1267"/>
      </w:pPr>
      <w:bookmarkStart w:id="607" w:name="_Toc236220105"/>
      <w:bookmarkEnd w:id="591"/>
      <w:r w:rsidRPr="0013396E">
        <w:t>6.5.5.2</w:t>
      </w:r>
      <w:r w:rsidRPr="0013396E">
        <w:tab/>
        <w:t>Operational Data Requirements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2D970D28" w14:textId="77777777" w:rsidR="001F04FD" w:rsidRPr="0013396E" w:rsidRDefault="001F04FD" w:rsidP="001F04FD">
      <w:pPr>
        <w:pStyle w:val="BodyTextNumbered"/>
      </w:pPr>
      <w:r w:rsidRPr="0013396E">
        <w:t>(1)</w:t>
      </w:r>
      <w:r w:rsidRPr="0013396E">
        <w:tab/>
        <w:t xml:space="preserve">ERCOT shall use Operating Period data to monitor and control the reliability of the ERCOT Transmission Grid and shall use it in network analysis software to predict the </w:t>
      </w:r>
      <w:r w:rsidRPr="0013396E">
        <w:lastRenderedPageBreak/>
        <w:t>short-term reliability of the ERCOT Transmission Grid.  Each TSP, at its own expense, may obtain that Operating Period data from ERCOT or directly from QSEs.</w:t>
      </w:r>
    </w:p>
    <w:p w14:paraId="3B7DE318" w14:textId="77777777" w:rsidR="008E27E0" w:rsidRPr="0013396E" w:rsidRDefault="008E27E0" w:rsidP="008E27E0">
      <w:pPr>
        <w:spacing w:after="240"/>
        <w:ind w:left="720" w:hanging="720"/>
      </w:pPr>
      <w:r w:rsidRPr="0013396E">
        <w:t>(2)</w:t>
      </w:r>
      <w:r w:rsidRPr="0013396E">
        <w:tab/>
        <w:t>A QSE representing a Generation Resource connected to Transmission Facilities or distribution facilities shall provide the following Real-Time telemetry data to ERCOT for each Generation Resource.  ERCOT shall make that data available, in accordance with ERCOT Protocols, NERC Reliability Standards, and Governmental Authority requirements, to requesting TSPs and DSPs operating within ERCOT.  Such data must be provided to the requesting TSP or DSP at the requesting TSP’s or DSP’s expense, including:</w:t>
      </w:r>
    </w:p>
    <w:p w14:paraId="677DE2F6" w14:textId="77777777" w:rsidR="008E27E0" w:rsidRPr="0013396E" w:rsidRDefault="008E27E0" w:rsidP="008E27E0">
      <w:pPr>
        <w:spacing w:after="240"/>
        <w:ind w:left="1440" w:hanging="720"/>
      </w:pPr>
      <w:r w:rsidRPr="0013396E">
        <w:t>(a)</w:t>
      </w:r>
      <w:r w:rsidRPr="0013396E">
        <w:tab/>
        <w:t>Net real power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of a Resource for all real power dispatch purposes, including use in Security-Constrained Economic Dispatch (SCED), High Dispatch Limit (HDL), and Low Dispatch Limit (LDL), and is consistent with telemetered HSL, LSL, and Frequency Responsive Capacity (FRC);</w:t>
      </w:r>
    </w:p>
    <w:p w14:paraId="6378F000" w14:textId="77777777" w:rsidR="008E27E0" w:rsidRPr="0013396E" w:rsidRDefault="008E27E0" w:rsidP="008E27E0">
      <w:pPr>
        <w:spacing w:after="240"/>
        <w:ind w:left="1440" w:hanging="720"/>
      </w:pPr>
      <w:r w:rsidRPr="0013396E">
        <w:t>(b)</w:t>
      </w:r>
      <w:r w:rsidRPr="0013396E">
        <w:tab/>
        <w:t>Gross real power (in MW) as measured by installed power metering or as calculated in accordance with the Operating Guides based on metered real power, which may include Supervisory Control and Data Acquisition (SCADA) metering, and conversions constants determined by the Resource Entity and provided to ERCOT through the Resource Registration process;</w:t>
      </w:r>
    </w:p>
    <w:p w14:paraId="319C1AC6" w14:textId="77777777" w:rsidR="008E27E0" w:rsidRPr="0013396E" w:rsidRDefault="008E27E0" w:rsidP="008E27E0">
      <w:pPr>
        <w:spacing w:after="240"/>
        <w:ind w:left="1440" w:hanging="720"/>
      </w:pPr>
      <w:r w:rsidRPr="0013396E">
        <w:t>(c)</w:t>
      </w:r>
      <w:r w:rsidRPr="0013396E">
        <w:tab/>
        <w:t>Gross Reactive Power (in Megavolt-Amperes reactive (MVAr));</w:t>
      </w:r>
    </w:p>
    <w:p w14:paraId="4CBBF18D" w14:textId="77777777" w:rsidR="008E27E0" w:rsidRPr="0013396E" w:rsidRDefault="008E27E0" w:rsidP="008E27E0">
      <w:pPr>
        <w:spacing w:after="240"/>
        <w:ind w:left="1440" w:hanging="720"/>
      </w:pPr>
      <w:r w:rsidRPr="0013396E">
        <w:t>(d)</w:t>
      </w:r>
      <w:r w:rsidRPr="0013396E">
        <w:tab/>
        <w:t>Net Reactive Power (in MVAr);</w:t>
      </w:r>
    </w:p>
    <w:p w14:paraId="612E7CF8" w14:textId="77777777" w:rsidR="008E27E0" w:rsidRPr="0013396E" w:rsidRDefault="008E27E0" w:rsidP="008E27E0">
      <w:pPr>
        <w:spacing w:after="240"/>
        <w:ind w:left="1440" w:hanging="720"/>
      </w:pPr>
      <w:r w:rsidRPr="0013396E">
        <w:t>(e)</w:t>
      </w:r>
      <w:r w:rsidRPr="0013396E">
        <w:tab/>
        <w:t>Power to standby transformers serving plant auxiliary Load;</w:t>
      </w:r>
    </w:p>
    <w:p w14:paraId="4F7D32A0" w14:textId="77777777" w:rsidR="008E27E0" w:rsidRPr="0013396E" w:rsidRDefault="008E27E0" w:rsidP="008E27E0">
      <w:pPr>
        <w:spacing w:after="240"/>
        <w:ind w:left="1440" w:hanging="720"/>
      </w:pPr>
      <w:r w:rsidRPr="0013396E">
        <w:t>(f)</w:t>
      </w:r>
      <w:r w:rsidRPr="0013396E">
        <w:tab/>
        <w:t>Status of switching devices in the plant switchyard not monitored by the TSP or DSP affecting flows on the ERCOT Transmission Grid;</w:t>
      </w:r>
    </w:p>
    <w:p w14:paraId="110BF99F" w14:textId="77777777" w:rsidR="008E27E0" w:rsidRPr="0013396E" w:rsidRDefault="008E27E0" w:rsidP="008E27E0">
      <w:pPr>
        <w:spacing w:after="240"/>
        <w:ind w:left="1440" w:hanging="720"/>
      </w:pPr>
      <w:r w:rsidRPr="0013396E">
        <w:t>(g)</w:t>
      </w:r>
      <w:r w:rsidRPr="0013396E">
        <w:tab/>
        <w:t>Any data mutually agreed to by ERCOT and the QSE to adequately manage system reliability;</w:t>
      </w:r>
    </w:p>
    <w:p w14:paraId="137405E8" w14:textId="77777777" w:rsidR="008E27E0" w:rsidRPr="0013396E" w:rsidRDefault="008E27E0" w:rsidP="008E27E0">
      <w:pPr>
        <w:spacing w:after="240"/>
        <w:ind w:left="1440" w:hanging="720"/>
      </w:pPr>
      <w:r w:rsidRPr="0013396E">
        <w:t>(h)</w:t>
      </w:r>
      <w:r w:rsidRPr="0013396E">
        <w:tab/>
        <w:t>Generation Resource breaker and switch status;</w:t>
      </w:r>
    </w:p>
    <w:p w14:paraId="65135126" w14:textId="77777777" w:rsidR="008E27E0" w:rsidRPr="0013396E" w:rsidRDefault="008E27E0" w:rsidP="008E27E0">
      <w:pPr>
        <w:spacing w:after="240"/>
        <w:ind w:left="1440" w:hanging="720"/>
      </w:pPr>
      <w:r w:rsidRPr="0013396E">
        <w:t>(i)</w:t>
      </w:r>
      <w:r w:rsidRPr="0013396E">
        <w:tab/>
        <w:t xml:space="preserve">HSL (Combined Cycle Generation Resources) shall:  </w:t>
      </w:r>
    </w:p>
    <w:p w14:paraId="311CFDAA" w14:textId="77777777" w:rsidR="008E27E0" w:rsidRPr="0013396E" w:rsidRDefault="008E27E0" w:rsidP="008E27E0">
      <w:pPr>
        <w:spacing w:after="240"/>
        <w:ind w:left="2160" w:hanging="720"/>
      </w:pPr>
      <w:r w:rsidRPr="0013396E">
        <w:t>(i)</w:t>
      </w:r>
      <w:r w:rsidRPr="0013396E">
        <w:tab/>
        <w:t xml:space="preserve">Submit the HSL of the current operating configuration; and </w:t>
      </w:r>
    </w:p>
    <w:p w14:paraId="403C3AF3" w14:textId="77777777" w:rsidR="008E27E0" w:rsidRPr="0013396E" w:rsidRDefault="008E27E0" w:rsidP="008E27E0">
      <w:pPr>
        <w:spacing w:after="240"/>
        <w:ind w:left="2160" w:hanging="720"/>
      </w:pPr>
      <w:r w:rsidRPr="0013396E">
        <w:t>(ii)</w:t>
      </w:r>
      <w:r w:rsidRPr="0013396E">
        <w:tab/>
        <w:t>When providing ECRS, update the HSL as needed, to be consistent with Resource performance limitations of ECRS provision;</w:t>
      </w:r>
    </w:p>
    <w:p w14:paraId="61AE4E19" w14:textId="77777777" w:rsidR="008E27E0" w:rsidRPr="0013396E" w:rsidRDefault="008E27E0" w:rsidP="008E27E0">
      <w:pPr>
        <w:spacing w:after="240"/>
        <w:ind w:left="1440" w:hanging="720"/>
      </w:pPr>
      <w:r w:rsidRPr="0013396E">
        <w:lastRenderedPageBreak/>
        <w:t>(j)</w:t>
      </w:r>
      <w:r w:rsidRPr="0013396E">
        <w:tab/>
      </w:r>
      <w:r w:rsidRPr="0013396E">
        <w:rPr>
          <w:color w:val="000000"/>
        </w:rPr>
        <w:t>NFRC currently available (unloaded) and included in the HSL of the Generation Resource</w:t>
      </w:r>
      <w:r w:rsidRPr="0013396E">
        <w:t xml:space="preserve">; </w:t>
      </w:r>
    </w:p>
    <w:p w14:paraId="76F6FC68" w14:textId="77777777" w:rsidR="008E27E0" w:rsidRPr="0013396E" w:rsidRDefault="008E27E0" w:rsidP="008E27E0">
      <w:pPr>
        <w:spacing w:after="240"/>
        <w:ind w:left="1440" w:hanging="720"/>
      </w:pPr>
      <w:r w:rsidRPr="0013396E">
        <w:t>(k)</w:t>
      </w:r>
      <w:r w:rsidRPr="0013396E">
        <w:tab/>
        <w:t>High Emergency Limit (HEL), under Section 6.5.9.2, Failure of the SCED Process;</w:t>
      </w:r>
    </w:p>
    <w:p w14:paraId="7C3E0E20" w14:textId="77777777" w:rsidR="008E27E0" w:rsidRPr="0013396E" w:rsidRDefault="008E27E0" w:rsidP="008E27E0">
      <w:pPr>
        <w:spacing w:after="240"/>
        <w:ind w:left="1440" w:hanging="720"/>
      </w:pPr>
      <w:r w:rsidRPr="0013396E">
        <w:t>(l)</w:t>
      </w:r>
      <w:r w:rsidRPr="0013396E">
        <w:tab/>
        <w:t xml:space="preserve">Low Emergency Limit (LEL), under Section 6.5.9.2; </w:t>
      </w:r>
    </w:p>
    <w:p w14:paraId="73B0D4A3" w14:textId="77777777" w:rsidR="008E27E0" w:rsidRPr="0013396E" w:rsidRDefault="008E27E0" w:rsidP="008E27E0">
      <w:pPr>
        <w:spacing w:after="240"/>
        <w:ind w:left="1440" w:hanging="720"/>
      </w:pPr>
      <w:r w:rsidRPr="0013396E">
        <w:t>(m)</w:t>
      </w:r>
      <w:r w:rsidRPr="0013396E">
        <w:tab/>
        <w:t>LSL;</w:t>
      </w:r>
    </w:p>
    <w:p w14:paraId="61DA6A86" w14:textId="77777777" w:rsidR="008E27E0" w:rsidRPr="0013396E" w:rsidRDefault="008E27E0" w:rsidP="008E27E0">
      <w:pPr>
        <w:spacing w:after="240"/>
        <w:ind w:left="1440" w:hanging="720"/>
      </w:pPr>
      <w:r w:rsidRPr="0013396E">
        <w:t>(n)</w:t>
      </w:r>
      <w:r w:rsidRPr="0013396E">
        <w:tab/>
        <w:t>Configuration identification for Combined Cycle Generation Resources;</w:t>
      </w:r>
    </w:p>
    <w:p w14:paraId="13357385" w14:textId="3620E32F" w:rsidR="008E27E0" w:rsidRPr="0013396E" w:rsidRDefault="008E27E0" w:rsidP="008E27E0">
      <w:pPr>
        <w:spacing w:after="240"/>
        <w:ind w:left="1440" w:hanging="720"/>
      </w:pPr>
      <w:r w:rsidRPr="0013396E">
        <w:t>(o)</w:t>
      </w:r>
      <w:r w:rsidRPr="0013396E">
        <w:tab/>
        <w:t xml:space="preserve">For Resources with capacity that is not capable of providing </w:t>
      </w:r>
      <w:r w:rsidR="00CE5534">
        <w:t>Primary Frequency Response</w:t>
      </w:r>
      <w:r w:rsidRPr="0013396E">
        <w:t>, the high and low limits in MW of the Resource’s capacity that is frequency responsive</w:t>
      </w:r>
      <w:r w:rsidRPr="0013396E">
        <w:rPr>
          <w:color w:val="000000"/>
        </w:rPr>
        <w:t xml:space="preserve"> and the current FRC of the Resource</w:t>
      </w:r>
      <w:r w:rsidRPr="0013396E">
        <w:t>;</w:t>
      </w:r>
    </w:p>
    <w:p w14:paraId="049D6AD2" w14:textId="77777777" w:rsidR="008E27E0" w:rsidRPr="0013396E" w:rsidRDefault="008E27E0" w:rsidP="008E27E0">
      <w:pPr>
        <w:spacing w:after="240"/>
        <w:ind w:left="1440" w:hanging="720"/>
      </w:pPr>
      <w:r w:rsidRPr="0013396E">
        <w:t>(p)</w:t>
      </w:r>
      <w:r w:rsidRPr="0013396E">
        <w:tab/>
        <w:t>For RRS, including any sub-categories of RRS, the physical capability (in MW) of the Resource to provide RRS;</w:t>
      </w:r>
    </w:p>
    <w:p w14:paraId="2617A1EE" w14:textId="77777777" w:rsidR="008E27E0" w:rsidRPr="0013396E" w:rsidRDefault="008E27E0" w:rsidP="008E27E0">
      <w:pPr>
        <w:spacing w:after="240"/>
        <w:ind w:left="1440" w:hanging="720"/>
      </w:pPr>
      <w:r w:rsidRPr="0013396E">
        <w:t>(q)</w:t>
      </w:r>
      <w:r w:rsidRPr="0013396E">
        <w:tab/>
        <w:t>For Ancillary Services other than RRS, a blended Normal Ramp Rate (in MW/min) that reflects the physical capability of the Resource to provide that specific type of Ancillary Service;</w:t>
      </w:r>
    </w:p>
    <w:p w14:paraId="73ABDE4E" w14:textId="77777777" w:rsidR="008E27E0" w:rsidRPr="0013396E" w:rsidRDefault="008E27E0" w:rsidP="008E27E0">
      <w:pPr>
        <w:spacing w:after="240"/>
        <w:ind w:left="1440" w:hanging="720"/>
      </w:pPr>
      <w:r w:rsidRPr="0013396E">
        <w:t>(r)</w:t>
      </w:r>
      <w:r w:rsidRPr="0013396E">
        <w:tab/>
        <w:t>Five-minute blended Normal Ramp Rates (up and down);</w:t>
      </w:r>
    </w:p>
    <w:p w14:paraId="237C550B" w14:textId="77777777" w:rsidR="008E27E0" w:rsidRPr="0013396E" w:rsidRDefault="008E27E0" w:rsidP="008E27E0">
      <w:pPr>
        <w:spacing w:after="240"/>
        <w:ind w:left="1440" w:hanging="720"/>
      </w:pPr>
      <w:r w:rsidRPr="0013396E">
        <w:t>(s)</w:t>
      </w:r>
      <w:r w:rsidRPr="0013396E">
        <w:tab/>
        <w:t>The designated Master QSE of a Generation Resource that has been split to function as two or more Split Generation Resources shall provide Real-Time telemetry for items (a), (b), (c), (d), (e), (g), and (h) above, PSS and AVR status for the total Generation Resource in addition to the Split Generation Resource the Master QSE represents; and</w:t>
      </w:r>
    </w:p>
    <w:p w14:paraId="43CFF817" w14:textId="753E8B88" w:rsidR="00C23DEE" w:rsidRPr="0013396E" w:rsidRDefault="008E27E0" w:rsidP="009942F9">
      <w:pPr>
        <w:spacing w:after="240"/>
        <w:ind w:left="1440" w:hanging="720"/>
      </w:pPr>
      <w:r w:rsidRPr="0013396E">
        <w:t>(t)</w:t>
      </w:r>
      <w:r w:rsidRPr="0013396E">
        <w:tab/>
        <w:t>The telemetered MW of power augmentation capacity that is not On-Line for Resources that have power augmentation capacity included in HSL.</w:t>
      </w:r>
      <w:r w:rsidRPr="0013396E">
        <w:rPr>
          <w:color w:val="000000"/>
        </w:rPr>
        <w:t xml:space="preserve">  When power augmentation capacity is On-Line, this value should be zero.</w:t>
      </w:r>
      <w:r w:rsidRPr="0013396E" w:rsidDel="008E27E0">
        <w:t xml:space="preserve"> </w:t>
      </w:r>
    </w:p>
    <w:p w14:paraId="60EC1AB3" w14:textId="5BA32673" w:rsidR="001F04FD" w:rsidRPr="0013396E" w:rsidRDefault="001F04FD" w:rsidP="008E27E0">
      <w:pPr>
        <w:pStyle w:val="List"/>
        <w:ind w:left="720"/>
      </w:pPr>
      <w:r w:rsidRPr="0013396E">
        <w:t>(3)</w:t>
      </w:r>
      <w:r w:rsidRPr="0013396E">
        <w:tab/>
        <w:t xml:space="preserve">For each </w:t>
      </w:r>
      <w:r w:rsidRPr="0013396E">
        <w:rPr>
          <w:iCs/>
        </w:rPr>
        <w:t>Intermittent Renewable Resource (IRR)</w:t>
      </w:r>
      <w:r w:rsidRPr="0013396E">
        <w:t>, the QSE shall set the HSL equal to the current net output capability of the facility.  The net output capability should consider the net real power of the IRR generation equipment, IRR generation equipment availability, weather conditions, and whether the IRR net output is being affected by compliance with a SCED Dispatch Instruction.</w:t>
      </w:r>
    </w:p>
    <w:p w14:paraId="1646C791" w14:textId="3301B26E" w:rsidR="008E27E0" w:rsidRPr="0013396E" w:rsidRDefault="008E27E0" w:rsidP="007A1E53">
      <w:pPr>
        <w:pStyle w:val="List"/>
        <w:ind w:left="720"/>
      </w:pPr>
      <w:r w:rsidRPr="0013396E">
        <w:t>(4)</w:t>
      </w:r>
      <w:r w:rsidRPr="0013396E">
        <w:tab/>
        <w:t xml:space="preserve">For each Resource, the QSE for the Resource shall consider the physical </w:t>
      </w:r>
      <w:r w:rsidRPr="0013396E">
        <w:rPr>
          <w:iCs/>
        </w:rPr>
        <w:t>capability</w:t>
      </w:r>
      <w:r w:rsidRPr="0013396E">
        <w:t xml:space="preserve"> to provide a specific type of Ancillary Service based on the operating conditions for that specific Ancillary Service, including equipment availability, weather conditions and ability to meet the Ancillary Service criteria specified in Section 8.1.1.3, Ancillary Service Capacity Compliance Criteria.  ERCOT may perform validation of the QSE’s submission to ensure these criteria are considered and adhered to.</w:t>
      </w:r>
    </w:p>
    <w:p w14:paraId="5CC930ED" w14:textId="5220E7A1" w:rsidR="001F04FD" w:rsidRPr="0013396E" w:rsidRDefault="001F04FD" w:rsidP="007A1E53">
      <w:pPr>
        <w:pStyle w:val="List"/>
        <w:ind w:left="720"/>
      </w:pPr>
      <w:r w:rsidRPr="0013396E">
        <w:rPr>
          <w:iCs/>
        </w:rPr>
        <w:lastRenderedPageBreak/>
        <w:t>(</w:t>
      </w:r>
      <w:r w:rsidR="008E27E0" w:rsidRPr="0013396E">
        <w:rPr>
          <w:iCs/>
        </w:rPr>
        <w:t>5</w:t>
      </w:r>
      <w:r w:rsidRPr="0013396E">
        <w:rPr>
          <w:iCs/>
        </w:rPr>
        <w:t>)</w:t>
      </w:r>
      <w:r w:rsidRPr="0013396E">
        <w:rPr>
          <w:iCs/>
        </w:rPr>
        <w:tab/>
        <w:t>For each Aggregate Generation Resource (AGR), the QSE shall telemeter the number of its generators online.</w:t>
      </w:r>
    </w:p>
    <w:p w14:paraId="7B8380AA" w14:textId="605A48AF" w:rsidR="008E27E0" w:rsidRPr="0013396E" w:rsidRDefault="008E27E0" w:rsidP="008E27E0">
      <w:pPr>
        <w:spacing w:after="240"/>
        <w:ind w:left="720" w:hanging="720"/>
      </w:pPr>
      <w:r w:rsidRPr="0013396E">
        <w:t>(6)</w:t>
      </w:r>
      <w:r w:rsidRPr="0013396E">
        <w:tab/>
        <w:t>A QSE representing a Load Resource connected to Transmission Facilities or distribution facilities shall provide the following Real-Time data to ERCOT for each Load Resource and ERCOT shall make the data available, in accordance with ERCOT Protocols, NERC standards and policies, and Governmental Authority requirements, to the Load Resource’s host TSP or DSP at the TSP’s or DSP’s expense.  The Load Resource’s net real power consumption, Low Power Consumption (LPC) and Maximum Power Consumption (MPC) shall be telemetered to ERCOT using a positive (+) sign convention:</w:t>
      </w:r>
      <w:r w:rsidRPr="0013396E">
        <w:rPr>
          <w:b/>
        </w:rPr>
        <w:t xml:space="preserve"> </w:t>
      </w:r>
    </w:p>
    <w:p w14:paraId="7EEBE6ED" w14:textId="77777777" w:rsidR="008E27E0" w:rsidRPr="0013396E" w:rsidRDefault="008E27E0" w:rsidP="008E27E0">
      <w:pPr>
        <w:spacing w:after="240"/>
        <w:ind w:left="1440" w:hanging="720"/>
      </w:pPr>
      <w:r w:rsidRPr="0013396E">
        <w:t>(a)</w:t>
      </w:r>
      <w:r w:rsidRPr="0013396E">
        <w:tab/>
        <w:t>Load Resource net real power consumption (in MW);</w:t>
      </w:r>
    </w:p>
    <w:p w14:paraId="3B0704F7" w14:textId="77777777" w:rsidR="008E27E0" w:rsidRPr="0013396E" w:rsidRDefault="008E27E0" w:rsidP="008E27E0">
      <w:pPr>
        <w:spacing w:after="240"/>
        <w:ind w:left="1440" w:hanging="720"/>
      </w:pPr>
      <w:r w:rsidRPr="0013396E">
        <w:t>(b)</w:t>
      </w:r>
      <w:r w:rsidRPr="0013396E">
        <w:tab/>
        <w:t>Any data mutually agreed to by ERCOT and the QSE to adequately manage system reliability;</w:t>
      </w:r>
    </w:p>
    <w:p w14:paraId="17563CBE" w14:textId="77777777" w:rsidR="008E27E0" w:rsidRPr="0013396E" w:rsidRDefault="008E27E0" w:rsidP="008E27E0">
      <w:pPr>
        <w:spacing w:after="240"/>
        <w:ind w:left="1440" w:hanging="720"/>
      </w:pPr>
      <w:r w:rsidRPr="0013396E">
        <w:t>(c)</w:t>
      </w:r>
      <w:r w:rsidRPr="0013396E">
        <w:tab/>
        <w:t>Load Resource breaker status, if applicable;</w:t>
      </w:r>
    </w:p>
    <w:p w14:paraId="626503A9" w14:textId="77777777" w:rsidR="008E27E0" w:rsidRPr="0013396E" w:rsidRDefault="008E27E0" w:rsidP="008E27E0">
      <w:pPr>
        <w:spacing w:after="240"/>
        <w:ind w:left="1440" w:hanging="720"/>
        <w:rPr>
          <w:lang w:val="it-IT"/>
        </w:rPr>
      </w:pPr>
      <w:r w:rsidRPr="0013396E">
        <w:rPr>
          <w:lang w:val="it-IT"/>
        </w:rPr>
        <w:t>(d)</w:t>
      </w:r>
      <w:r w:rsidRPr="0013396E">
        <w:rPr>
          <w:lang w:val="it-IT"/>
        </w:rPr>
        <w:tab/>
        <w:t>LPC (in MW);</w:t>
      </w:r>
    </w:p>
    <w:p w14:paraId="584A64E7" w14:textId="77777777" w:rsidR="008E27E0" w:rsidRPr="0013396E" w:rsidRDefault="008E27E0" w:rsidP="008E27E0">
      <w:pPr>
        <w:spacing w:after="240"/>
        <w:ind w:left="1440" w:hanging="720"/>
        <w:rPr>
          <w:lang w:val="it-IT"/>
        </w:rPr>
      </w:pPr>
      <w:r w:rsidRPr="0013396E">
        <w:rPr>
          <w:lang w:val="it-IT"/>
        </w:rPr>
        <w:t>(e)</w:t>
      </w:r>
      <w:r w:rsidRPr="0013396E">
        <w:rPr>
          <w:lang w:val="it-IT"/>
        </w:rPr>
        <w:tab/>
        <w:t>MPC (in MW);</w:t>
      </w:r>
    </w:p>
    <w:p w14:paraId="390DCB15" w14:textId="77777777" w:rsidR="008E27E0" w:rsidRPr="0013396E" w:rsidRDefault="008E27E0" w:rsidP="008E27E0">
      <w:pPr>
        <w:spacing w:after="240"/>
        <w:ind w:left="1440" w:hanging="720"/>
      </w:pPr>
      <w:r w:rsidRPr="0013396E">
        <w:t>(f)</w:t>
      </w:r>
      <w:r w:rsidRPr="0013396E">
        <w:tab/>
        <w:t>The Load Resource’s Ancillary Service self-provision (in MW) for RRS and/or ECRS provided via under-frequency relay;</w:t>
      </w:r>
    </w:p>
    <w:p w14:paraId="6134C450" w14:textId="77777777" w:rsidR="008E27E0" w:rsidRPr="0013396E" w:rsidRDefault="008E27E0" w:rsidP="008E27E0">
      <w:pPr>
        <w:spacing w:before="240" w:after="240"/>
        <w:ind w:left="1440" w:hanging="720"/>
      </w:pPr>
      <w:r w:rsidRPr="0013396E">
        <w:t>(g)</w:t>
      </w:r>
      <w:r w:rsidRPr="0013396E">
        <w:tab/>
        <w:t xml:space="preserve">The status of the high-set under-frequency relay, if required for qualification.  The under-frequency relay for a Load Resource providing Non-Spin shall be disabled and the status of that relay shall indicate it as disabled or unarmed; </w:t>
      </w:r>
    </w:p>
    <w:p w14:paraId="405C092E" w14:textId="77777777" w:rsidR="008E27E0" w:rsidRPr="0013396E" w:rsidRDefault="008E27E0" w:rsidP="008E27E0">
      <w:pPr>
        <w:spacing w:after="240"/>
        <w:ind w:left="1440" w:hanging="720"/>
      </w:pPr>
      <w:r w:rsidRPr="0013396E">
        <w:t>(h)</w:t>
      </w:r>
      <w:r w:rsidRPr="0013396E">
        <w:tab/>
        <w:t xml:space="preserve">For a Controllable Load Resource (CLR) providing Non-Spin, the Scheduled Power Consumption that represents zero Ancillary Service deployments; </w:t>
      </w:r>
    </w:p>
    <w:p w14:paraId="25D8F491" w14:textId="77777777" w:rsidR="008E27E0" w:rsidRPr="0013396E" w:rsidRDefault="008E27E0" w:rsidP="008E27E0">
      <w:pPr>
        <w:spacing w:after="240"/>
        <w:ind w:left="1440" w:hanging="720"/>
      </w:pPr>
      <w:r w:rsidRPr="0013396E">
        <w:t>(i)</w:t>
      </w:r>
      <w:r w:rsidRPr="0013396E">
        <w:tab/>
        <w:t>For a single-site CLR with registered maximum Demand response capacity of ten MW or greater, net Reactive Power (in MVAr);</w:t>
      </w:r>
    </w:p>
    <w:p w14:paraId="0F2B23C3" w14:textId="77777777" w:rsidR="008E27E0" w:rsidRPr="0013396E" w:rsidRDefault="008E27E0" w:rsidP="008E27E0">
      <w:pPr>
        <w:spacing w:after="240"/>
        <w:ind w:left="1440" w:hanging="720"/>
      </w:pPr>
      <w:r w:rsidRPr="0013396E">
        <w:t>(j)</w:t>
      </w:r>
      <w:r w:rsidRPr="0013396E">
        <w:tab/>
        <w:t xml:space="preserve">Resource Status; </w:t>
      </w:r>
    </w:p>
    <w:p w14:paraId="0507B574" w14:textId="77777777" w:rsidR="008E27E0" w:rsidRPr="0013396E" w:rsidRDefault="008E27E0" w:rsidP="008E27E0">
      <w:pPr>
        <w:spacing w:after="240"/>
        <w:ind w:left="1440" w:hanging="720"/>
      </w:pPr>
      <w:r w:rsidRPr="0013396E">
        <w:t>(k)</w:t>
      </w:r>
      <w:r w:rsidRPr="0013396E">
        <w:tab/>
        <w:t xml:space="preserve">For an Aggregate Load Resource (ALR) providing Non-Spin, the “Scheduled Power Consumption Plus Two Hours,” representing the QSE’s forecast of the CLR’s instantaneous power consumption for a point two hours in the future; </w:t>
      </w:r>
    </w:p>
    <w:p w14:paraId="13C8CCCE" w14:textId="77777777" w:rsidR="008E27E0" w:rsidRPr="0013396E" w:rsidRDefault="008E27E0" w:rsidP="008E27E0">
      <w:pPr>
        <w:spacing w:after="240"/>
        <w:ind w:left="1440" w:hanging="720"/>
      </w:pPr>
      <w:r w:rsidRPr="0013396E">
        <w:t>(l)</w:t>
      </w:r>
      <w:r w:rsidRPr="0013396E">
        <w:tab/>
        <w:t>For RRS, including any sub-categories of RRS, the current physical capability (in MW) of the Resource to provide RRS;</w:t>
      </w:r>
    </w:p>
    <w:p w14:paraId="1965AE04" w14:textId="77777777" w:rsidR="008E27E0" w:rsidRPr="0013396E" w:rsidRDefault="008E27E0" w:rsidP="008E27E0">
      <w:pPr>
        <w:spacing w:after="240"/>
        <w:ind w:left="1440" w:hanging="720"/>
      </w:pPr>
      <w:r w:rsidRPr="0013396E">
        <w:t>(m)</w:t>
      </w:r>
      <w:r w:rsidRPr="0013396E">
        <w:tab/>
        <w:t>For Ancillary Service products other than RRS, a blended Normal Ramp Rate (in MW/min) that reflects the current physical capability of the Resource’s ability to provide a particular Ancillary Service product; and</w:t>
      </w:r>
    </w:p>
    <w:p w14:paraId="6EECBD9D" w14:textId="7E4C539E" w:rsidR="00C23DEE" w:rsidRPr="0013396E" w:rsidRDefault="008E27E0" w:rsidP="001F04FD">
      <w:pPr>
        <w:pStyle w:val="List"/>
      </w:pPr>
      <w:r w:rsidRPr="0013396E">
        <w:lastRenderedPageBreak/>
        <w:t>(n)</w:t>
      </w:r>
      <w:r w:rsidRPr="0013396E">
        <w:tab/>
        <w:t>For a CLR, 5-minute blended Normal Ramp Rates (up and down).</w:t>
      </w:r>
      <w:r w:rsidRPr="0013396E" w:rsidDel="008E27E0">
        <w:t xml:space="preserve"> </w:t>
      </w:r>
    </w:p>
    <w:p w14:paraId="14B2D7B8" w14:textId="7FC2ED3F" w:rsidR="008E27E0" w:rsidRPr="0013396E" w:rsidRDefault="008E27E0" w:rsidP="008E27E0">
      <w:pPr>
        <w:spacing w:after="240"/>
        <w:ind w:left="720" w:hanging="720"/>
      </w:pPr>
      <w:r w:rsidRPr="0013396E">
        <w:t>(7)</w:t>
      </w:r>
      <w:r w:rsidRPr="0013396E">
        <w:tab/>
        <w:t>A QSE representing an ESR connected to Transmission Facilities or distribution facilities shall provide the following Real-Time telemetry data to ERCOT for each ESR.  ERCOT shall make that data available, in accordance with ERCOT Protocols, NERC Reliability Standards, and Governmental Authority requirements, to requesting TSPs and DSPs operating within ERCOT.  Such data must be provided to the requesting TSP or DSP at the requesting TSP’s or DSP’s expense, including:</w:t>
      </w:r>
    </w:p>
    <w:p w14:paraId="2C0A6CEF" w14:textId="27822C64" w:rsidR="008E27E0" w:rsidRPr="0013396E" w:rsidRDefault="008E27E0" w:rsidP="008E27E0">
      <w:pPr>
        <w:spacing w:after="240"/>
        <w:ind w:left="1440" w:hanging="720"/>
      </w:pPr>
      <w:r w:rsidRPr="0013396E">
        <w:t>(a)</w:t>
      </w:r>
      <w:r w:rsidRPr="0013396E">
        <w:tab/>
        <w:t>Net real power consumption or output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or consumption of an ESR for all real power dispatch purposes, including use in SCED, in determination of HDL, and LDL and is consistent with telemetered HSL, LSL and FRC;</w:t>
      </w:r>
    </w:p>
    <w:p w14:paraId="2701E46B" w14:textId="77777777" w:rsidR="008E27E0" w:rsidRPr="0013396E" w:rsidRDefault="008E27E0" w:rsidP="008E27E0">
      <w:pPr>
        <w:spacing w:after="240"/>
        <w:ind w:left="1440" w:hanging="720"/>
      </w:pPr>
      <w:r w:rsidRPr="0013396E">
        <w:t>(b)</w:t>
      </w:r>
      <w:r w:rsidRPr="0013396E">
        <w:tab/>
        <w:t>Gross real power consumption or output (in MW) as measured by installed power metering or as calculated in accordance with the Operating Guides based on metered real power, which may include Supervisory Control and Data Acquisition (SCADA) metering, and conversion constants determined by the Resource Entity and provided to ERCOT through the Resource Registration process;</w:t>
      </w:r>
    </w:p>
    <w:p w14:paraId="0EA49D50" w14:textId="77777777" w:rsidR="008E27E0" w:rsidRPr="0013396E" w:rsidRDefault="008E27E0" w:rsidP="008E27E0">
      <w:pPr>
        <w:spacing w:after="240"/>
        <w:ind w:left="1440" w:hanging="720"/>
      </w:pPr>
      <w:r w:rsidRPr="0013396E">
        <w:t>(c)</w:t>
      </w:r>
      <w:r w:rsidRPr="0013396E">
        <w:tab/>
        <w:t>Gross Reactive Power (in Megavolt-Amperes reactive (MVAr));</w:t>
      </w:r>
    </w:p>
    <w:p w14:paraId="5C33C1A1" w14:textId="77777777" w:rsidR="008E27E0" w:rsidRPr="0013396E" w:rsidRDefault="008E27E0" w:rsidP="008E27E0">
      <w:pPr>
        <w:spacing w:after="240"/>
        <w:ind w:left="1440" w:hanging="720"/>
      </w:pPr>
      <w:r w:rsidRPr="0013396E">
        <w:t>(d)</w:t>
      </w:r>
      <w:r w:rsidRPr="0013396E">
        <w:tab/>
        <w:t>Net Reactive Power (in MVAr);</w:t>
      </w:r>
    </w:p>
    <w:p w14:paraId="489826D6" w14:textId="77777777" w:rsidR="008E27E0" w:rsidRPr="0013396E" w:rsidRDefault="008E27E0" w:rsidP="008E27E0">
      <w:pPr>
        <w:spacing w:after="240"/>
        <w:ind w:left="1440" w:hanging="720"/>
      </w:pPr>
      <w:r w:rsidRPr="0013396E">
        <w:t>(e)</w:t>
      </w:r>
      <w:r w:rsidRPr="0013396E">
        <w:tab/>
        <w:t>Power to standby transformers serving plant auxiliary Load;</w:t>
      </w:r>
    </w:p>
    <w:p w14:paraId="1016C86C" w14:textId="77777777" w:rsidR="008E27E0" w:rsidRPr="0013396E" w:rsidRDefault="008E27E0" w:rsidP="008E27E0">
      <w:pPr>
        <w:spacing w:after="240"/>
        <w:ind w:left="1440" w:hanging="720"/>
      </w:pPr>
      <w:r w:rsidRPr="0013396E">
        <w:t>(f)</w:t>
      </w:r>
      <w:r w:rsidRPr="0013396E">
        <w:tab/>
        <w:t>Status of switching devices in the plant switchyard not monitored by the TSP or DSP affecting flows on the ERCOT Transmission Grid;</w:t>
      </w:r>
    </w:p>
    <w:p w14:paraId="55138131" w14:textId="77777777" w:rsidR="008E27E0" w:rsidRPr="0013396E" w:rsidRDefault="008E27E0" w:rsidP="008E27E0">
      <w:pPr>
        <w:spacing w:after="240"/>
        <w:ind w:left="1440" w:hanging="720"/>
      </w:pPr>
      <w:r w:rsidRPr="0013396E">
        <w:t>(g)</w:t>
      </w:r>
      <w:r w:rsidRPr="0013396E">
        <w:tab/>
        <w:t>Any data mutually agreed to by ERCOT and the QSE to adequately manage system reliability;</w:t>
      </w:r>
    </w:p>
    <w:p w14:paraId="68502A36" w14:textId="77777777" w:rsidR="008E27E0" w:rsidRPr="0013396E" w:rsidRDefault="008E27E0" w:rsidP="008E27E0">
      <w:pPr>
        <w:spacing w:after="240"/>
        <w:ind w:left="1440" w:hanging="720"/>
      </w:pPr>
      <w:r w:rsidRPr="0013396E">
        <w:t>(h)</w:t>
      </w:r>
      <w:r w:rsidRPr="0013396E">
        <w:tab/>
        <w:t>ESR breaker and switch status;</w:t>
      </w:r>
    </w:p>
    <w:p w14:paraId="66704BA8" w14:textId="77777777" w:rsidR="008E27E0" w:rsidRPr="0013396E" w:rsidRDefault="008E27E0" w:rsidP="008E27E0">
      <w:pPr>
        <w:spacing w:after="240"/>
        <w:ind w:left="1440" w:hanging="720"/>
      </w:pPr>
      <w:r w:rsidRPr="0013396E">
        <w:t>(i)</w:t>
      </w:r>
      <w:r w:rsidRPr="0013396E">
        <w:tab/>
        <w:t xml:space="preserve">HSL;  </w:t>
      </w:r>
    </w:p>
    <w:p w14:paraId="7D135766" w14:textId="7A0C7406" w:rsidR="008E27E0" w:rsidRPr="0013396E" w:rsidRDefault="008E27E0" w:rsidP="008E27E0">
      <w:pPr>
        <w:spacing w:after="240"/>
        <w:ind w:left="1440" w:hanging="720"/>
      </w:pPr>
      <w:r w:rsidRPr="0013396E">
        <w:t>(j)</w:t>
      </w:r>
      <w:r w:rsidRPr="0013396E">
        <w:tab/>
        <w:t>HEL, under Section 6.5.9.2, Failure of the SCED Process;</w:t>
      </w:r>
    </w:p>
    <w:p w14:paraId="6A0CEF6B" w14:textId="12F06162" w:rsidR="008E27E0" w:rsidRPr="0013396E" w:rsidRDefault="008E27E0" w:rsidP="008E27E0">
      <w:pPr>
        <w:spacing w:after="240"/>
        <w:ind w:left="1440" w:hanging="720"/>
      </w:pPr>
      <w:r w:rsidRPr="0013396E">
        <w:t>(k)</w:t>
      </w:r>
      <w:r w:rsidRPr="0013396E">
        <w:tab/>
        <w:t xml:space="preserve">LEL, under Section 6.5.9.2; </w:t>
      </w:r>
    </w:p>
    <w:p w14:paraId="0D49D662" w14:textId="77777777" w:rsidR="008E27E0" w:rsidRPr="0013396E" w:rsidRDefault="008E27E0" w:rsidP="008E27E0">
      <w:pPr>
        <w:spacing w:after="240"/>
        <w:ind w:left="1440" w:hanging="720"/>
      </w:pPr>
      <w:r w:rsidRPr="0013396E">
        <w:t>(l)</w:t>
      </w:r>
      <w:r w:rsidRPr="0013396E">
        <w:tab/>
        <w:t>LSL;</w:t>
      </w:r>
    </w:p>
    <w:p w14:paraId="64B22067" w14:textId="77777777" w:rsidR="008E27E0" w:rsidRPr="0013396E" w:rsidRDefault="008E27E0" w:rsidP="008E27E0">
      <w:pPr>
        <w:spacing w:after="240"/>
        <w:ind w:left="1440" w:hanging="720"/>
      </w:pPr>
      <w:r w:rsidRPr="0013396E">
        <w:t>(m)</w:t>
      </w:r>
      <w:r w:rsidRPr="0013396E">
        <w:tab/>
        <w:t>For RRS, including any sub-category of RRS, the current physical capability (in MW) of the Resource to provide RRS;</w:t>
      </w:r>
    </w:p>
    <w:p w14:paraId="2091EF1B" w14:textId="77777777" w:rsidR="008E27E0" w:rsidRPr="0013396E" w:rsidRDefault="008E27E0" w:rsidP="008E27E0">
      <w:pPr>
        <w:spacing w:after="240"/>
        <w:ind w:left="1440" w:hanging="720"/>
      </w:pPr>
      <w:r w:rsidRPr="0013396E">
        <w:lastRenderedPageBreak/>
        <w:t>(n)</w:t>
      </w:r>
      <w:r w:rsidRPr="0013396E">
        <w:tab/>
        <w:t>For Ancillary Services other than RRS, a blended ramp rate (in MW/min) that reflects the current physical capability of the Resource to provide that specific type of Ancillary Service; and</w:t>
      </w:r>
    </w:p>
    <w:p w14:paraId="22F921D9" w14:textId="198E9090" w:rsidR="0053481C" w:rsidRPr="0013396E" w:rsidRDefault="008E27E0" w:rsidP="007A1E53">
      <w:pPr>
        <w:spacing w:after="240"/>
        <w:ind w:left="1440" w:hanging="720"/>
      </w:pPr>
      <w:r w:rsidRPr="0013396E">
        <w:t>(o)</w:t>
      </w:r>
      <w:r w:rsidRPr="0013396E">
        <w:tab/>
        <w:t>Five-minute blended normal up and down ramp rates;</w:t>
      </w:r>
    </w:p>
    <w:p w14:paraId="6B7A2921" w14:textId="737B932A" w:rsidR="001F04FD" w:rsidRPr="0013396E" w:rsidRDefault="001F04FD" w:rsidP="007A1E53">
      <w:pPr>
        <w:pStyle w:val="BodyTextNumbered"/>
      </w:pPr>
      <w:r w:rsidRPr="0013396E">
        <w:t>(</w:t>
      </w:r>
      <w:r w:rsidR="008E27E0" w:rsidRPr="0013396E">
        <w:t>8</w:t>
      </w:r>
      <w:r w:rsidRPr="0013396E">
        <w:t>)</w:t>
      </w:r>
      <w:r w:rsidRPr="0013396E">
        <w:tab/>
        <w:t>A QSE with Resources used in SCED shall provide communications equipment to receive ERCOT-telemetered control deployments.</w:t>
      </w:r>
    </w:p>
    <w:p w14:paraId="4888CC1A" w14:textId="3AAAD04E" w:rsidR="001F04FD" w:rsidRPr="0013396E" w:rsidRDefault="001F04FD" w:rsidP="001F04FD">
      <w:pPr>
        <w:pStyle w:val="BodyTextNumbered"/>
      </w:pPr>
      <w:r w:rsidRPr="0013396E">
        <w:t>(</w:t>
      </w:r>
      <w:r w:rsidR="008E27E0" w:rsidRPr="0013396E">
        <w:t>9</w:t>
      </w:r>
      <w:r w:rsidRPr="0013396E">
        <w:t>)</w:t>
      </w:r>
      <w:r w:rsidRPr="0013396E">
        <w:tab/>
        <w:t>A QSE providing any Regulation Service shall provide telemetry indicating the appropriate status of Resources providing Reg-Up or Reg-Down, including status indicating whether the Resource is temporarily blocked from receiving Reg-Up and/or Reg-Down deployments from the QSE.  This temporary blocking will be indicated by the enabling of the Raise Block Status and/or Lower Block Status telemetry points.</w:t>
      </w:r>
    </w:p>
    <w:p w14:paraId="430AD7B0" w14:textId="77777777" w:rsidR="001F04FD" w:rsidRPr="0013396E" w:rsidRDefault="001F04FD" w:rsidP="001F04FD">
      <w:pPr>
        <w:pStyle w:val="BodyTextNumbered"/>
        <w:ind w:left="1440"/>
      </w:pPr>
      <w:r w:rsidRPr="0013396E">
        <w:t>(a)</w:t>
      </w:r>
      <w:r w:rsidRPr="0013396E">
        <w:tab/>
      </w:r>
      <w:r w:rsidRPr="0013396E">
        <w:rPr>
          <w:iCs/>
        </w:rPr>
        <w:t xml:space="preserve">Raise Block Status and Lower Block Status are telemetry points used in </w:t>
      </w:r>
      <w:r w:rsidRPr="0013396E">
        <w:t>transient unit conditions to communicate to ERCOT that a Resource’s ability to adjust its output has been unexpectedly impaired.</w:t>
      </w:r>
    </w:p>
    <w:p w14:paraId="12015767" w14:textId="77777777" w:rsidR="001F04FD" w:rsidRPr="0013396E" w:rsidRDefault="001F04FD" w:rsidP="001F04FD">
      <w:pPr>
        <w:pStyle w:val="BodyTextNumbered"/>
        <w:ind w:left="1440"/>
      </w:pPr>
      <w:r w:rsidRPr="0013396E">
        <w:t>(b)</w:t>
      </w:r>
      <w:r w:rsidRPr="0013396E">
        <w:tab/>
        <w:t>When one or both of the telemetry points are enabled for a Resource, ERCOT will cease using the regulation capacity assigned to that Resource for Ancillary Service deployment.</w:t>
      </w:r>
    </w:p>
    <w:p w14:paraId="5882C370" w14:textId="5AF2B9D9" w:rsidR="001F04FD" w:rsidRPr="0013396E" w:rsidRDefault="008E27E0" w:rsidP="001F04FD">
      <w:pPr>
        <w:pStyle w:val="BodyTextNumbered"/>
        <w:ind w:left="1440"/>
      </w:pPr>
      <w:r w:rsidRPr="0013396E">
        <w:t>(c)</w:t>
      </w:r>
      <w:r w:rsidRPr="0013396E">
        <w:tab/>
        <w:t>This hiatus of deployment will not excuse the Resource’s obligation to provide the Ancillary Services for which it has been awarded.</w:t>
      </w:r>
      <w:r w:rsidRPr="0013396E" w:rsidDel="008E27E0">
        <w:t xml:space="preserve"> </w:t>
      </w:r>
    </w:p>
    <w:p w14:paraId="2B90824B" w14:textId="4CEB7ABF" w:rsidR="001F04FD" w:rsidRPr="0013396E" w:rsidRDefault="001F04FD" w:rsidP="007A1E53">
      <w:pPr>
        <w:pStyle w:val="BodyTextNumbered"/>
        <w:ind w:left="1440"/>
      </w:pPr>
      <w:r w:rsidRPr="0013396E">
        <w:t>(d)</w:t>
      </w:r>
      <w:r w:rsidRPr="0013396E">
        <w:tab/>
        <w:t>These telemetry points shall only be utilized during unforeseen transient unit conditions such as plant equipment failures.  Raise Block Status and Lower Block Status shall only be enabled until the Resource operator has time to update the Resource limits and Ancillary Service telemetry to reflect the problem.</w:t>
      </w:r>
    </w:p>
    <w:p w14:paraId="61E35295" w14:textId="77777777" w:rsidR="001F04FD" w:rsidRPr="0013396E" w:rsidRDefault="001F04FD" w:rsidP="001F04FD">
      <w:pPr>
        <w:pStyle w:val="BodyTextNumbered"/>
        <w:ind w:left="1440"/>
      </w:pPr>
      <w:r w:rsidRPr="0013396E">
        <w:t>(e)</w:t>
      </w:r>
      <w:r w:rsidRPr="0013396E">
        <w:tab/>
        <w:t xml:space="preserve">The Resource limits and Ancillary Service telemetry shall be updated as soon as practicable.  </w:t>
      </w:r>
      <w:r w:rsidRPr="0013396E">
        <w:rPr>
          <w:iCs/>
        </w:rPr>
        <w:t>Raise Block Status and Lower Block Status will then be disabled.</w:t>
      </w:r>
      <w:r w:rsidRPr="0013396E">
        <w:t xml:space="preserve"> </w:t>
      </w:r>
    </w:p>
    <w:p w14:paraId="68E40813" w14:textId="37B26D88" w:rsidR="001F04FD" w:rsidRPr="0013396E" w:rsidRDefault="001F04FD" w:rsidP="001F04FD">
      <w:pPr>
        <w:pStyle w:val="BodyTextNumbered"/>
      </w:pPr>
      <w:r w:rsidRPr="0013396E">
        <w:t>(</w:t>
      </w:r>
      <w:r w:rsidR="008E27E0" w:rsidRPr="0013396E">
        <w:t>10</w:t>
      </w:r>
      <w:r w:rsidRPr="0013396E">
        <w:t>)</w:t>
      </w:r>
      <w:r w:rsidRPr="0013396E">
        <w:tab/>
        <w:t>Real-Time data for reliability purposes must be accurate to within three percent.  This telemetry may be provided from relaying accuracy instrumentation transformers.</w:t>
      </w:r>
    </w:p>
    <w:p w14:paraId="0F16BAF7" w14:textId="7429EE17" w:rsidR="001F04FD" w:rsidRPr="0013396E" w:rsidRDefault="001F04FD" w:rsidP="001F04FD">
      <w:pPr>
        <w:pStyle w:val="BodyTextNumbered"/>
      </w:pPr>
      <w:r w:rsidRPr="0013396E">
        <w:t>(</w:t>
      </w:r>
      <w:r w:rsidR="008E27E0" w:rsidRPr="0013396E">
        <w:t>11</w:t>
      </w:r>
      <w:r w:rsidRPr="0013396E">
        <w:t>)</w:t>
      </w:r>
      <w:r w:rsidRPr="0013396E">
        <w:tab/>
      </w:r>
      <w:r w:rsidR="008E27E0" w:rsidRPr="0013396E">
        <w:t xml:space="preserve">Each QSE shall report the current configuration of combined-cycle Resources that it represents to ERCOT.  </w:t>
      </w:r>
      <w:r w:rsidR="008E27E0" w:rsidRPr="0013396E">
        <w:rPr>
          <w:iCs/>
        </w:rPr>
        <w:t>The telemetered Resource Status for a Combined Cycle Generation Resource may only be assigned a Resource Status of OFF if no generation units within that Combined Cycle Generation Resource are On-Line.</w:t>
      </w:r>
    </w:p>
    <w:p w14:paraId="760F4515" w14:textId="582697FF" w:rsidR="001F04FD" w:rsidRPr="0013396E" w:rsidRDefault="001F04FD" w:rsidP="007A1E53">
      <w:pPr>
        <w:pStyle w:val="BodyTextNumbered"/>
      </w:pPr>
      <w:r w:rsidRPr="0013396E">
        <w:t>(1</w:t>
      </w:r>
      <w:r w:rsidR="008E27E0" w:rsidRPr="0013396E">
        <w:t>2</w:t>
      </w:r>
      <w:r w:rsidRPr="0013396E">
        <w:t>)</w:t>
      </w:r>
      <w:r w:rsidRPr="0013396E">
        <w:tab/>
        <w:t>A QSE representing Combined Cycle Generation Resources shall provide ERCOT with the possible operating configurations for each power block with accompanying limits.  Combined Cycle Train power augmentation methods may be included as part of one or more of the registered Combined Cycle Generation Resource configurations.  Power augmentation methods may include:</w:t>
      </w:r>
    </w:p>
    <w:p w14:paraId="42DA2F0A" w14:textId="77777777" w:rsidR="001F04FD" w:rsidRPr="0013396E" w:rsidRDefault="001F04FD" w:rsidP="001F04FD">
      <w:pPr>
        <w:pStyle w:val="List"/>
      </w:pPr>
      <w:r w:rsidRPr="0013396E">
        <w:lastRenderedPageBreak/>
        <w:t>(a)</w:t>
      </w:r>
      <w:r w:rsidRPr="0013396E">
        <w:tab/>
        <w:t>Combustion turbine inlet air cooling methods;</w:t>
      </w:r>
    </w:p>
    <w:p w14:paraId="474B6893" w14:textId="77777777" w:rsidR="001F04FD" w:rsidRPr="0013396E" w:rsidRDefault="001F04FD" w:rsidP="001F04FD">
      <w:pPr>
        <w:pStyle w:val="List"/>
      </w:pPr>
      <w:r w:rsidRPr="0013396E">
        <w:t>(b)</w:t>
      </w:r>
      <w:r w:rsidRPr="0013396E">
        <w:tab/>
        <w:t xml:space="preserve">Duct firing; </w:t>
      </w:r>
    </w:p>
    <w:p w14:paraId="32F7B65B" w14:textId="77777777" w:rsidR="001F04FD" w:rsidRPr="0013396E" w:rsidRDefault="001F04FD" w:rsidP="001F04FD">
      <w:pPr>
        <w:pStyle w:val="List"/>
      </w:pPr>
      <w:r w:rsidRPr="0013396E">
        <w:t>(c)</w:t>
      </w:r>
      <w:r w:rsidRPr="0013396E">
        <w:tab/>
        <w:t>Other ways of temporarily increasing the output of Combined Cycle Generation Resources; and</w:t>
      </w:r>
    </w:p>
    <w:p w14:paraId="641B8A90" w14:textId="77777777" w:rsidR="001F04FD" w:rsidRPr="0013396E" w:rsidRDefault="001F04FD" w:rsidP="001F04FD">
      <w:pPr>
        <w:spacing w:after="240"/>
        <w:ind w:left="1440" w:hanging="720"/>
      </w:pPr>
      <w:r w:rsidRPr="0013396E">
        <w:t>(d)</w:t>
      </w:r>
      <w:r w:rsidRPr="0013396E">
        <w:tab/>
        <w:t xml:space="preserve">For Qualifying Facilities (QFs), an LSL that represents the minimum energy available for Dispatch by SCED, in MW, from the Combined Cycle Generation Resource based on the minimum stable steam delivery to the thermal host plus a justifiable reliability margin that accounts for changes in ambient conditions.  </w:t>
      </w:r>
      <w:bookmarkStart w:id="608" w:name="_Toc73216011"/>
    </w:p>
    <w:p w14:paraId="0F9F976C" w14:textId="33BF64D5" w:rsidR="001F04FD" w:rsidRPr="0013396E" w:rsidRDefault="001F04FD" w:rsidP="001F04FD">
      <w:pPr>
        <w:spacing w:after="240"/>
        <w:ind w:left="720" w:hanging="720"/>
      </w:pPr>
      <w:r w:rsidRPr="0013396E">
        <w:t>(1</w:t>
      </w:r>
      <w:r w:rsidR="008E27E0" w:rsidRPr="0013396E">
        <w:t>3</w:t>
      </w:r>
      <w:r w:rsidRPr="0013396E">
        <w:t>)</w:t>
      </w:r>
      <w:r w:rsidRPr="0013396E">
        <w:tab/>
      </w:r>
      <w:r w:rsidR="008E27E0" w:rsidRPr="0013396E">
        <w:t>A QSE representing a Generation Resource other than a Combined Cycle Generation Resource may provide FRC telemetry for the Generation Resource only if the QSE or Resource Entity associated with that Generation Resource has first requested and obtained ERCOT’s approval.</w:t>
      </w:r>
    </w:p>
    <w:p w14:paraId="4BEF11CC" w14:textId="55C7AF75" w:rsidR="006D3418" w:rsidRPr="0013396E" w:rsidRDefault="006D3418" w:rsidP="007A1E53">
      <w:pPr>
        <w:spacing w:after="240"/>
        <w:ind w:left="720" w:hanging="720"/>
      </w:pPr>
      <w:r w:rsidRPr="0013396E">
        <w:t>(1</w:t>
      </w:r>
      <w:r w:rsidR="00974BD1" w:rsidRPr="0013396E">
        <w:t>4</w:t>
      </w:r>
      <w:r w:rsidRPr="0013396E">
        <w:t>)</w:t>
      </w:r>
      <w:r w:rsidRPr="0013396E">
        <w:tab/>
        <w:t>A QSE representing an ESR shall provide the following Real-Time telemetry data to ERCOT for each ESR:</w:t>
      </w:r>
    </w:p>
    <w:p w14:paraId="2D8A9102" w14:textId="66B26B8A" w:rsidR="006D3418" w:rsidRPr="0013396E" w:rsidRDefault="006D3418" w:rsidP="006D3418">
      <w:pPr>
        <w:spacing w:after="240"/>
        <w:ind w:left="1440" w:hanging="720"/>
      </w:pPr>
      <w:r w:rsidRPr="0013396E">
        <w:t>(a)</w:t>
      </w:r>
      <w:r w:rsidRPr="0013396E">
        <w:tab/>
        <w:t>Maximum State of Charge</w:t>
      </w:r>
      <w:r w:rsidR="00C23DEE" w:rsidRPr="0013396E">
        <w:t xml:space="preserve"> (MaxSOC)</w:t>
      </w:r>
      <w:r w:rsidRPr="0013396E">
        <w:t>, in MWh;</w:t>
      </w:r>
    </w:p>
    <w:p w14:paraId="37E9C1A9" w14:textId="6FE4A4B5" w:rsidR="006D3418" w:rsidRPr="0013396E" w:rsidRDefault="006D3418" w:rsidP="006D3418">
      <w:pPr>
        <w:spacing w:after="240"/>
        <w:ind w:left="1440" w:hanging="720"/>
      </w:pPr>
      <w:r w:rsidRPr="0013396E">
        <w:t>(b)</w:t>
      </w:r>
      <w:r w:rsidRPr="0013396E">
        <w:tab/>
        <w:t>Minimum State of Charge</w:t>
      </w:r>
      <w:r w:rsidR="00C23DEE" w:rsidRPr="0013396E">
        <w:t xml:space="preserve"> (MinSOC)</w:t>
      </w:r>
      <w:r w:rsidRPr="0013396E">
        <w:t>, in MWh;</w:t>
      </w:r>
    </w:p>
    <w:p w14:paraId="1DB73242" w14:textId="3EC4C5C4" w:rsidR="006D3418" w:rsidRPr="0013396E" w:rsidRDefault="006D3418" w:rsidP="006D3418">
      <w:pPr>
        <w:spacing w:after="240"/>
        <w:ind w:left="1440" w:hanging="720"/>
      </w:pPr>
      <w:r w:rsidRPr="0013396E">
        <w:t>(c)</w:t>
      </w:r>
      <w:r w:rsidRPr="0013396E">
        <w:tab/>
        <w:t>State of Charge</w:t>
      </w:r>
      <w:r w:rsidR="00C23DEE" w:rsidRPr="0013396E">
        <w:t xml:space="preserve"> (SOC)</w:t>
      </w:r>
      <w:r w:rsidRPr="0013396E">
        <w:t>, in MWh;</w:t>
      </w:r>
    </w:p>
    <w:p w14:paraId="180FDADB" w14:textId="187F3826" w:rsidR="006D3418" w:rsidRPr="0013396E" w:rsidRDefault="006D3418" w:rsidP="006D3418">
      <w:pPr>
        <w:spacing w:after="240"/>
        <w:ind w:left="1440" w:hanging="720"/>
      </w:pPr>
      <w:r w:rsidRPr="0013396E">
        <w:t>(d)</w:t>
      </w:r>
      <w:r w:rsidRPr="0013396E">
        <w:tab/>
        <w:t>Maximum Operating Discharge Power Limit, in MW; and</w:t>
      </w:r>
    </w:p>
    <w:p w14:paraId="15EC4923" w14:textId="77777777" w:rsidR="00C23DEE" w:rsidRPr="0013396E" w:rsidRDefault="006D3418" w:rsidP="00C23DEE">
      <w:pPr>
        <w:spacing w:after="240"/>
        <w:ind w:left="1440" w:hanging="720"/>
      </w:pPr>
      <w:r w:rsidRPr="0013396E">
        <w:t>(e)</w:t>
      </w:r>
      <w:r w:rsidRPr="0013396E">
        <w:tab/>
        <w:t>Maximum Operating Charge Power Limit, in MW.</w:t>
      </w:r>
    </w:p>
    <w:p w14:paraId="184A15EC" w14:textId="236BDC58" w:rsidR="00C23DEE" w:rsidRPr="0013396E" w:rsidRDefault="00C23DEE" w:rsidP="00C23DEE">
      <w:pPr>
        <w:spacing w:after="240"/>
        <w:ind w:left="720" w:hanging="720"/>
      </w:pPr>
      <w:r w:rsidRPr="0013396E">
        <w:t>(1</w:t>
      </w:r>
      <w:r w:rsidR="00974BD1" w:rsidRPr="0013396E">
        <w:t>5</w:t>
      </w:r>
      <w:r w:rsidRPr="0013396E">
        <w:t>)</w:t>
      </w:r>
      <w:r w:rsidRPr="0013396E">
        <w:tab/>
        <w:t>The QSE shall ensure that the SOC is greater than or equal to the MinSOC and less than or equal to the MaxSOC.</w:t>
      </w:r>
    </w:p>
    <w:p w14:paraId="2E4D43D0" w14:textId="2BB0E691" w:rsidR="006D3418" w:rsidRPr="0013396E" w:rsidRDefault="006D3418" w:rsidP="007A1E53">
      <w:pPr>
        <w:spacing w:after="240"/>
        <w:ind w:left="720" w:hanging="720"/>
      </w:pPr>
      <w:r w:rsidRPr="0013396E">
        <w:t>(1</w:t>
      </w:r>
      <w:r w:rsidR="00974BD1" w:rsidRPr="0013396E">
        <w:t>6</w:t>
      </w:r>
      <w:r w:rsidRPr="0013396E">
        <w:t>)</w:t>
      </w:r>
      <w:r w:rsidRPr="0013396E">
        <w:tab/>
        <w:t>In accordance with ERCOT Protocols, NERC Reliability Standards, and Governmental Authority requirements, ERCOT shall make the data specified in paragraph (</w:t>
      </w:r>
      <w:r w:rsidR="000D0883">
        <w:t>14</w:t>
      </w:r>
      <w:r w:rsidRPr="0013396E">
        <w:t>) available to any requesting TSP or DSP at the requesting TSP’s or DSP’s expense.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E2BE2" w:rsidRPr="0013396E" w14:paraId="30F8E82E" w14:textId="77777777" w:rsidTr="004D1724">
        <w:trPr>
          <w:trHeight w:val="566"/>
        </w:trPr>
        <w:tc>
          <w:tcPr>
            <w:tcW w:w="9350" w:type="dxa"/>
            <w:shd w:val="pct12" w:color="auto" w:fill="auto"/>
          </w:tcPr>
          <w:p w14:paraId="7880CD4B" w14:textId="0214919B" w:rsidR="008E2BE2" w:rsidRPr="0013396E" w:rsidRDefault="008E2BE2" w:rsidP="00044161">
            <w:pPr>
              <w:pStyle w:val="Instructions"/>
              <w:spacing w:before="60"/>
            </w:pPr>
            <w:bookmarkStart w:id="609" w:name="_Toc397504953"/>
            <w:bookmarkStart w:id="610" w:name="_Toc402357081"/>
            <w:bookmarkStart w:id="611" w:name="_Toc422486461"/>
            <w:bookmarkStart w:id="612" w:name="_Toc433093313"/>
            <w:bookmarkStart w:id="613" w:name="_Toc433093471"/>
            <w:bookmarkStart w:id="614" w:name="_Toc440874700"/>
            <w:bookmarkStart w:id="615" w:name="_Toc448142255"/>
            <w:bookmarkStart w:id="616" w:name="_Toc448142412"/>
            <w:bookmarkStart w:id="617" w:name="_Toc458770248"/>
            <w:bookmarkStart w:id="618" w:name="_Toc459294216"/>
            <w:bookmarkStart w:id="619" w:name="_Toc463262709"/>
            <w:bookmarkStart w:id="620" w:name="_Toc468286783"/>
            <w:bookmarkStart w:id="621" w:name="_Toc481502829"/>
            <w:r w:rsidRPr="0013396E">
              <w:t>[NPRR</w:t>
            </w:r>
            <w:r w:rsidR="004D1724" w:rsidRPr="0013396E">
              <w:t>1077</w:t>
            </w:r>
            <w:r w:rsidRPr="0013396E">
              <w:t>:  Insert paragraph</w:t>
            </w:r>
            <w:r w:rsidR="004D1724" w:rsidRPr="0013396E">
              <w:t>s</w:t>
            </w:r>
            <w:r w:rsidRPr="0013396E">
              <w:t xml:space="preserve"> (1</w:t>
            </w:r>
            <w:r w:rsidR="00974BD1" w:rsidRPr="0013396E">
              <w:t>7</w:t>
            </w:r>
            <w:r w:rsidRPr="0013396E">
              <w:t>)</w:t>
            </w:r>
            <w:r w:rsidR="004D1724" w:rsidRPr="0013396E">
              <w:t>-(1</w:t>
            </w:r>
            <w:r w:rsidR="00974BD1" w:rsidRPr="0013396E">
              <w:t>9</w:t>
            </w:r>
            <w:r w:rsidR="004D1724" w:rsidRPr="0013396E">
              <w:t>)</w:t>
            </w:r>
            <w:r w:rsidRPr="0013396E">
              <w:t xml:space="preserve"> below upon system implementation:]</w:t>
            </w:r>
          </w:p>
          <w:p w14:paraId="28CA20C2" w14:textId="3FBF3C2E" w:rsidR="004D1724" w:rsidRPr="0013396E" w:rsidRDefault="004D1724" w:rsidP="004D1724">
            <w:pPr>
              <w:spacing w:before="240" w:after="240"/>
              <w:ind w:left="720" w:hanging="720"/>
            </w:pPr>
            <w:r w:rsidRPr="0013396E">
              <w:t>(1</w:t>
            </w:r>
            <w:r w:rsidR="00974BD1" w:rsidRPr="0013396E">
              <w:t>7</w:t>
            </w:r>
            <w:r w:rsidRPr="0013396E">
              <w:t>)</w:t>
            </w:r>
            <w:r w:rsidRPr="0013396E">
              <w:tab/>
              <w:t>Except as provided in paragraph (1</w:t>
            </w:r>
            <w:r w:rsidR="00974BD1" w:rsidRPr="0013396E">
              <w:t>8</w:t>
            </w:r>
            <w:r w:rsidRPr="0013396E">
              <w:t>) below, a QSE representing a Settlement Only Generator (SOG) shall provide ERCOT the following Real-Time telemetry:</w:t>
            </w:r>
          </w:p>
          <w:p w14:paraId="6D5768F2" w14:textId="4E452B6E" w:rsidR="004D1724" w:rsidRPr="0013396E" w:rsidRDefault="004D1724" w:rsidP="004D1724">
            <w:pPr>
              <w:spacing w:after="240"/>
              <w:ind w:left="1440" w:hanging="720"/>
            </w:pPr>
            <w:r w:rsidRPr="0013396E">
              <w:t>(a)</w:t>
            </w:r>
            <w:r w:rsidRPr="0013396E">
              <w:tab/>
              <w:t>Net real power injection at the Point of Interconnection (POI) or Point of Common Coupling (POCC) for each site with one or more SOGs;</w:t>
            </w:r>
          </w:p>
          <w:p w14:paraId="4D620E24" w14:textId="4E9FEB6F" w:rsidR="004D1724" w:rsidRPr="0013396E" w:rsidRDefault="004D1724" w:rsidP="004D1724">
            <w:pPr>
              <w:spacing w:after="240"/>
              <w:ind w:left="1440" w:hanging="720"/>
            </w:pPr>
            <w:r w:rsidRPr="0013396E">
              <w:t>(b)</w:t>
            </w:r>
            <w:r w:rsidRPr="0013396E">
              <w:tab/>
              <w:t>For any site with one or more ESSs that are registered as an SOG, net real power withdrawal at the POI or POCC;</w:t>
            </w:r>
          </w:p>
          <w:p w14:paraId="45C5493A" w14:textId="77777777" w:rsidR="004D1724" w:rsidRPr="0013396E" w:rsidRDefault="004D1724" w:rsidP="004D1724">
            <w:pPr>
              <w:spacing w:after="240"/>
              <w:ind w:left="1440" w:hanging="720"/>
            </w:pPr>
            <w:r w:rsidRPr="0013396E">
              <w:lastRenderedPageBreak/>
              <w:t>(c)</w:t>
            </w:r>
            <w:r w:rsidRPr="0013396E">
              <w:tab/>
              <w:t>For each inverter at the site, gross real power output measured at the generator terminals for all SOGs that are located behind that inverter, separately aggregated by fuel type;</w:t>
            </w:r>
          </w:p>
          <w:p w14:paraId="3C972138" w14:textId="15350042" w:rsidR="004D1724" w:rsidRPr="0013396E" w:rsidRDefault="004D1724" w:rsidP="004D1724">
            <w:pPr>
              <w:spacing w:after="240"/>
              <w:ind w:left="1440" w:hanging="720"/>
            </w:pPr>
            <w:r w:rsidRPr="0013396E">
              <w:t>(d)</w:t>
            </w:r>
            <w:r w:rsidRPr="0013396E">
              <w:tab/>
              <w:t>For SOGs at the same site that are not located behind an inverter, gross real power output measured at the generator terminals for all SOGs, separately aggregated by fuel type;</w:t>
            </w:r>
          </w:p>
          <w:p w14:paraId="0CE23172" w14:textId="2D57944F" w:rsidR="004D1724" w:rsidRPr="0013396E" w:rsidRDefault="004D1724" w:rsidP="004D1724">
            <w:pPr>
              <w:spacing w:after="240"/>
              <w:ind w:left="1440" w:hanging="720"/>
            </w:pPr>
            <w:r w:rsidRPr="0013396E">
              <w:t>(e)</w:t>
            </w:r>
            <w:r w:rsidRPr="0013396E">
              <w:tab/>
              <w:t>For any site with one or more ESSs registered as an SOG, for each inverter, gross real power withdrawal by all such ESSs that are located behind that inverter, as measured at the generator terminals; and</w:t>
            </w:r>
          </w:p>
          <w:p w14:paraId="5C8F9C8F" w14:textId="13E1543F" w:rsidR="004D1724" w:rsidRPr="0013396E" w:rsidRDefault="004D1724" w:rsidP="004D1724">
            <w:pPr>
              <w:spacing w:after="240"/>
              <w:ind w:left="1440" w:hanging="720"/>
            </w:pPr>
            <w:r w:rsidRPr="0013396E">
              <w:t>(f)</w:t>
            </w:r>
            <w:r w:rsidRPr="0013396E">
              <w:tab/>
              <w:t>Generator breaker status.</w:t>
            </w:r>
          </w:p>
          <w:p w14:paraId="0C75F1FE" w14:textId="16862410" w:rsidR="004D1724" w:rsidRPr="0013396E" w:rsidRDefault="004D1724" w:rsidP="00847E53">
            <w:pPr>
              <w:spacing w:after="240"/>
              <w:ind w:left="720" w:hanging="720"/>
            </w:pPr>
            <w:r w:rsidRPr="0013396E">
              <w:t>(1</w:t>
            </w:r>
            <w:r w:rsidR="00974BD1" w:rsidRPr="0013396E">
              <w:t>8</w:t>
            </w:r>
            <w:r w:rsidRPr="0013396E">
              <w:t>)</w:t>
            </w:r>
            <w:r w:rsidRPr="0013396E">
              <w:tab/>
              <w:t>A QSE is not required to</w:t>
            </w:r>
            <w:r w:rsidR="00847E53" w:rsidRPr="0013396E">
              <w:t xml:space="preserve"> provide telemetry for a Settlement Only Distribution Generator (SODG) </w:t>
            </w:r>
            <w:r w:rsidRPr="0013396E">
              <w:t>if:</w:t>
            </w:r>
          </w:p>
          <w:p w14:paraId="23D16129" w14:textId="51346795" w:rsidR="004D1724" w:rsidRPr="0013396E" w:rsidRDefault="004D1724" w:rsidP="004D1724">
            <w:pPr>
              <w:spacing w:after="240"/>
              <w:ind w:left="1440" w:hanging="720"/>
            </w:pPr>
            <w:r w:rsidRPr="0013396E">
              <w:t>(a)</w:t>
            </w:r>
            <w:r w:rsidRPr="0013396E">
              <w:tab/>
            </w:r>
            <w:r w:rsidR="00847E53" w:rsidRPr="0013396E">
              <w:t>T</w:t>
            </w:r>
            <w:r w:rsidRPr="0013396E">
              <w:t xml:space="preserve">he site that includes the SODG has not exported more than 10 MWh in any calendar year, exclusive of any energy exported during any Settlement Interval in which an ERCOT-declared Energy Emergency Alert (EEA) is in effect; </w:t>
            </w:r>
          </w:p>
          <w:p w14:paraId="32892B1A" w14:textId="34F25F07" w:rsidR="004D1724" w:rsidRPr="0013396E" w:rsidRDefault="004D1724" w:rsidP="004D1724">
            <w:pPr>
              <w:spacing w:after="240"/>
              <w:ind w:left="1440" w:hanging="720"/>
            </w:pPr>
            <w:r w:rsidRPr="0013396E">
              <w:t>(b)</w:t>
            </w:r>
            <w:r w:rsidRPr="0013396E">
              <w:tab/>
            </w:r>
            <w:r w:rsidR="00847E53" w:rsidRPr="0013396E">
              <w:t>T</w:t>
            </w:r>
            <w:r w:rsidRPr="0013396E">
              <w:t>he QSE or Resource Entity for the SODG has submitted a written request to ERCOT seeking an exemption from the telemetry requirements under this paragraph; and</w:t>
            </w:r>
          </w:p>
          <w:p w14:paraId="534749AE" w14:textId="04C6EB29" w:rsidR="004D1724" w:rsidRPr="0013396E" w:rsidRDefault="004D1724" w:rsidP="004D1724">
            <w:pPr>
              <w:spacing w:after="240"/>
              <w:ind w:left="1440" w:hanging="720"/>
            </w:pPr>
            <w:r w:rsidRPr="0013396E">
              <w:t>(c)</w:t>
            </w:r>
            <w:r w:rsidRPr="0013396E">
              <w:tab/>
              <w:t xml:space="preserve">ERCOT has provided the QSE or Resource Entity written confirmation that the SODG is exempt from providing telemetry under this paragraph. </w:t>
            </w:r>
          </w:p>
          <w:p w14:paraId="0050A5E5" w14:textId="0AE780F5" w:rsidR="008E2BE2" w:rsidRPr="0013396E" w:rsidRDefault="004D1724" w:rsidP="00C23DEE">
            <w:pPr>
              <w:spacing w:after="240"/>
              <w:ind w:left="720" w:hanging="720"/>
            </w:pPr>
            <w:r w:rsidRPr="0013396E">
              <w:t>(1</w:t>
            </w:r>
            <w:r w:rsidR="00974BD1" w:rsidRPr="0013396E">
              <w:t>9</w:t>
            </w:r>
            <w:r w:rsidRPr="0013396E">
              <w:t>)</w:t>
            </w:r>
            <w:r w:rsidRPr="0013396E">
              <w:tab/>
              <w:t>If ERCOT determines that a site that includes an SODG has exported more than 10 MWh in a given calendar year, it shall notify the SODG’s QSE that the SODG is no longer eligible for the telemetry exemption.  Within 90 days of receiving this notification, the QSE for the SODG shall comply with the telemetry requirements of paragraph (1</w:t>
            </w:r>
            <w:r w:rsidR="00974BD1" w:rsidRPr="0013396E">
              <w:t>7</w:t>
            </w:r>
            <w:r w:rsidRPr="0013396E">
              <w:t>) above.</w:t>
            </w:r>
          </w:p>
        </w:tc>
      </w:tr>
    </w:tbl>
    <w:p w14:paraId="57F00A12" w14:textId="77777777" w:rsidR="005C6D56" w:rsidRPr="0013396E" w:rsidRDefault="005C6D56" w:rsidP="005C6D56">
      <w:pPr>
        <w:pStyle w:val="H3"/>
        <w:spacing w:before="0" w:after="0"/>
      </w:pPr>
      <w:bookmarkStart w:id="622" w:name="_Toc496079997"/>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60"/>
      </w:tblGrid>
      <w:tr w:rsidR="005C6D56" w:rsidRPr="0013396E" w14:paraId="6504A8E4" w14:textId="77777777" w:rsidTr="00847E53">
        <w:trPr>
          <w:trHeight w:val="206"/>
        </w:trPr>
        <w:tc>
          <w:tcPr>
            <w:tcW w:w="9360" w:type="dxa"/>
            <w:shd w:val="pct12" w:color="auto" w:fill="auto"/>
          </w:tcPr>
          <w:p w14:paraId="2EBF4934" w14:textId="408BFB62" w:rsidR="005C6D56" w:rsidRPr="0013396E" w:rsidRDefault="005C6D56" w:rsidP="00CE1011">
            <w:pPr>
              <w:pStyle w:val="Instructions"/>
              <w:spacing w:before="120"/>
            </w:pPr>
            <w:r w:rsidRPr="0013396E">
              <w:t>[NPRR885:  Insert paragraph (</w:t>
            </w:r>
            <w:r w:rsidR="00974BD1" w:rsidRPr="0013396E">
              <w:t>20</w:t>
            </w:r>
            <w:r w:rsidRPr="0013396E">
              <w:t>) below upon system implementation:]</w:t>
            </w:r>
          </w:p>
          <w:p w14:paraId="7B68229C" w14:textId="7E23FE1C" w:rsidR="005C6D56" w:rsidRPr="0013396E" w:rsidRDefault="005C6D56" w:rsidP="006D3418">
            <w:pPr>
              <w:spacing w:before="240" w:after="240"/>
              <w:ind w:left="720" w:hanging="720"/>
            </w:pPr>
            <w:r w:rsidRPr="0013396E">
              <w:t>(</w:t>
            </w:r>
            <w:r w:rsidR="00974BD1" w:rsidRPr="0013396E">
              <w:t>20</w:t>
            </w:r>
            <w:r w:rsidRPr="0013396E">
              <w:t>)</w:t>
            </w:r>
            <w:r w:rsidRPr="0013396E">
              <w:tab/>
              <w:t xml:space="preserve">A QSE representing </w:t>
            </w:r>
            <w:r w:rsidR="00DF66E2" w:rsidRPr="0013396E">
              <w:t xml:space="preserve">a Must-Run Alternative (MRA) </w:t>
            </w:r>
            <w:r w:rsidRPr="0013396E">
              <w:t>shall telemeter the MRA MW currently available (unloaded) and not included in the HSL.</w:t>
            </w:r>
          </w:p>
        </w:tc>
      </w:tr>
    </w:tbl>
    <w:p w14:paraId="30A9E465" w14:textId="77777777" w:rsidR="000C75ED" w:rsidRPr="0013396E" w:rsidRDefault="000C75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C75ED" w:rsidRPr="0013396E" w14:paraId="3F78EED4" w14:textId="77777777" w:rsidTr="000C75ED">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5C631850" w14:textId="3892C6AA" w:rsidR="000C75ED" w:rsidRPr="0013396E" w:rsidRDefault="000C75ED" w:rsidP="00C952ED">
            <w:pPr>
              <w:pStyle w:val="Instructions"/>
              <w:spacing w:before="120"/>
            </w:pPr>
            <w:r w:rsidRPr="0013396E">
              <w:t>[NPRR1029:  Insert paragraph (</w:t>
            </w:r>
            <w:r w:rsidR="00C23DEE" w:rsidRPr="0013396E">
              <w:t>2</w:t>
            </w:r>
            <w:r w:rsidR="00974BD1" w:rsidRPr="0013396E">
              <w:t>1</w:t>
            </w:r>
            <w:r w:rsidRPr="0013396E">
              <w:t>) below upon system implementation:]</w:t>
            </w:r>
          </w:p>
          <w:p w14:paraId="29B2A3C8" w14:textId="540A8693" w:rsidR="000C75ED" w:rsidRPr="0013396E" w:rsidRDefault="000C75ED" w:rsidP="000C75ED">
            <w:pPr>
              <w:spacing w:before="240" w:after="240"/>
              <w:ind w:left="720" w:hanging="720"/>
            </w:pPr>
            <w:r w:rsidRPr="0013396E">
              <w:t>(</w:t>
            </w:r>
            <w:r w:rsidR="00C23DEE" w:rsidRPr="0013396E">
              <w:t>2</w:t>
            </w:r>
            <w:r w:rsidR="00974BD1" w:rsidRPr="0013396E">
              <w:t>1</w:t>
            </w:r>
            <w:r w:rsidRPr="0013396E">
              <w:t>)</w:t>
            </w:r>
            <w:r w:rsidRPr="0013396E">
              <w:tab/>
              <w:t>A QSE representing a DC-Coupled Resource shall provide the following Real-Time telemetry data in addition to that required for other ESRs:</w:t>
            </w:r>
          </w:p>
          <w:p w14:paraId="45420899" w14:textId="5CE7A6B7" w:rsidR="000C75ED" w:rsidRPr="0013396E" w:rsidRDefault="000C75ED" w:rsidP="000C75ED">
            <w:pPr>
              <w:spacing w:after="240"/>
              <w:ind w:left="1440" w:hanging="720"/>
            </w:pPr>
            <w:r w:rsidRPr="0013396E">
              <w:lastRenderedPageBreak/>
              <w:t>(a)</w:t>
            </w:r>
            <w:r w:rsidRPr="0013396E">
              <w:tab/>
              <w:t>Gross AC MW production of the intermittent renewable generation component of the DC-Coupled Resource, which includes the portion of the intermittent renewable generation used to charge the ESS and/or serve auxiliary Load on the DC side of the inverter; and</w:t>
            </w:r>
          </w:p>
          <w:p w14:paraId="60A89C16" w14:textId="5D24CDE6" w:rsidR="000C75ED" w:rsidRPr="0013396E" w:rsidRDefault="000C75ED" w:rsidP="000C75ED">
            <w:pPr>
              <w:spacing w:after="240"/>
              <w:ind w:left="1440" w:hanging="720"/>
            </w:pPr>
            <w:r w:rsidRPr="0013396E">
              <w:t>(b)</w:t>
            </w:r>
            <w:r w:rsidRPr="0013396E">
              <w:tab/>
              <w:t>Gross AC MW capability of the intermittent renewable generation component of the DC-Coupled Resource, based on Real-Time conditions.</w:t>
            </w:r>
          </w:p>
        </w:tc>
      </w:tr>
    </w:tbl>
    <w:p w14:paraId="0C46DAA4" w14:textId="77777777" w:rsidR="00125072" w:rsidRPr="0013396E" w:rsidRDefault="00125072" w:rsidP="001250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25072" w:rsidRPr="0013396E" w14:paraId="2D8F80D2" w14:textId="77777777" w:rsidTr="00425355">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153E87D1" w14:textId="3BFD801B" w:rsidR="00125072" w:rsidRPr="0013396E" w:rsidRDefault="00125072" w:rsidP="00425355">
            <w:pPr>
              <w:pStyle w:val="Instructions"/>
              <w:spacing w:before="120"/>
            </w:pPr>
            <w:r w:rsidRPr="0013396E">
              <w:t>[NPRR995:  Insert paragraph (</w:t>
            </w:r>
            <w:r w:rsidR="00C23DEE" w:rsidRPr="0013396E">
              <w:t>2</w:t>
            </w:r>
            <w:r w:rsidR="00974BD1" w:rsidRPr="0013396E">
              <w:t>2</w:t>
            </w:r>
            <w:r w:rsidRPr="0013396E">
              <w:t>) below upon system implementation:]</w:t>
            </w:r>
          </w:p>
          <w:p w14:paraId="073C40D3" w14:textId="6A2B6B1E" w:rsidR="00125072" w:rsidRPr="0013396E" w:rsidRDefault="00125072" w:rsidP="00125072">
            <w:pPr>
              <w:spacing w:before="240" w:after="240"/>
              <w:ind w:left="720" w:hanging="720"/>
              <w:rPr>
                <w:iCs/>
              </w:rPr>
            </w:pPr>
            <w:r w:rsidRPr="0013396E">
              <w:t>(</w:t>
            </w:r>
            <w:r w:rsidR="00C23DEE" w:rsidRPr="0013396E">
              <w:t>2</w:t>
            </w:r>
            <w:r w:rsidR="00974BD1" w:rsidRPr="0013396E">
              <w:t>2</w:t>
            </w:r>
            <w:r w:rsidRPr="0013396E">
              <w:t>)</w:t>
            </w:r>
            <w:r w:rsidRPr="0013396E">
              <w:tab/>
              <w:t>A QSE representing a Settlement Only Energy Storage System (SOESS) that elects to include the net generation and/or net withdrawals of the SOESS in the estimate of Real-Time Liability (RTL) shall provide ERCOT Real-Time telemetry of the net generation and/or net withdrawals of the SOESS.</w:t>
            </w:r>
          </w:p>
        </w:tc>
      </w:tr>
    </w:tbl>
    <w:p w14:paraId="7ED01428" w14:textId="77777777" w:rsidR="001F04FD" w:rsidRPr="0013396E" w:rsidRDefault="001F04FD" w:rsidP="001F04FD">
      <w:pPr>
        <w:pStyle w:val="H3"/>
        <w:spacing w:before="480"/>
      </w:pPr>
      <w:bookmarkStart w:id="623" w:name="_Toc236220106"/>
      <w:r w:rsidRPr="0013396E">
        <w:t>6.5.6</w:t>
      </w:r>
      <w:r w:rsidRPr="0013396E">
        <w:tab/>
        <w:t>TSP and DSP Responsibilities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0FA240DD" w14:textId="77777777" w:rsidR="001F04FD" w:rsidRPr="0013396E" w:rsidRDefault="001F04FD" w:rsidP="001F04FD">
      <w:pPr>
        <w:pStyle w:val="BodyText"/>
        <w:ind w:left="720" w:hanging="720"/>
      </w:pPr>
      <w:bookmarkStart w:id="624" w:name="_Toc73216012"/>
      <w:r w:rsidRPr="0013396E">
        <w:t>(1)</w:t>
      </w:r>
      <w:r w:rsidRPr="0013396E">
        <w:tab/>
        <w:t>Each TSP shall notify ERCOT of any changes in status of Transmission Elements as provided in these Protocols and clarified in the ERCOT procedures.</w:t>
      </w:r>
    </w:p>
    <w:p w14:paraId="5E9F1B5A" w14:textId="77777777" w:rsidR="001F04FD" w:rsidRPr="0013396E" w:rsidRDefault="001F04FD" w:rsidP="001F04FD">
      <w:pPr>
        <w:pStyle w:val="BodyText"/>
        <w:ind w:left="720" w:hanging="720"/>
      </w:pPr>
      <w:r w:rsidRPr="0013396E">
        <w:t>(2)</w:t>
      </w:r>
      <w:r w:rsidRPr="0013396E">
        <w:tab/>
        <w:t>Each TSP shall as soon as practicable report to ERCOT any short-term inability to meet minimum TSP reactive requirements.</w:t>
      </w:r>
    </w:p>
    <w:p w14:paraId="18E926F6" w14:textId="77777777" w:rsidR="001F04FD" w:rsidRPr="0013396E" w:rsidRDefault="001F04FD" w:rsidP="001F04FD">
      <w:pPr>
        <w:pStyle w:val="BodyText"/>
        <w:ind w:left="720" w:hanging="720"/>
      </w:pPr>
      <w:r w:rsidRPr="0013396E">
        <w:t>(3)</w:t>
      </w:r>
      <w:r w:rsidRPr="0013396E">
        <w:tab/>
        <w:t>Each DSP shall as soon as practicable report to ERCOT any short-term inability to meet minimum DSP reactive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24281" w:rsidRPr="0013396E" w14:paraId="0EDDF042" w14:textId="77777777" w:rsidTr="00B37819">
        <w:trPr>
          <w:trHeight w:val="206"/>
        </w:trPr>
        <w:tc>
          <w:tcPr>
            <w:tcW w:w="9576" w:type="dxa"/>
            <w:shd w:val="pct12" w:color="auto" w:fill="auto"/>
          </w:tcPr>
          <w:p w14:paraId="3A390A5E" w14:textId="3E858A7F" w:rsidR="00524281" w:rsidRPr="0013396E" w:rsidRDefault="00524281" w:rsidP="00B37819">
            <w:pPr>
              <w:pStyle w:val="Instructions"/>
              <w:spacing w:before="120"/>
            </w:pPr>
            <w:bookmarkStart w:id="625" w:name="_Toc397504954"/>
            <w:bookmarkStart w:id="626" w:name="_Toc402357082"/>
            <w:bookmarkStart w:id="627" w:name="_Toc422486462"/>
            <w:bookmarkStart w:id="628" w:name="_Toc433093314"/>
            <w:bookmarkStart w:id="629" w:name="_Toc433093472"/>
            <w:bookmarkStart w:id="630" w:name="_Toc440874701"/>
            <w:bookmarkStart w:id="631" w:name="_Toc448142256"/>
            <w:bookmarkStart w:id="632" w:name="_Toc448142413"/>
            <w:bookmarkStart w:id="633" w:name="_Toc458770249"/>
            <w:bookmarkStart w:id="634" w:name="_Toc459294217"/>
            <w:bookmarkStart w:id="635" w:name="_Toc463262710"/>
            <w:bookmarkStart w:id="636" w:name="_Toc468286784"/>
            <w:bookmarkStart w:id="637" w:name="_Toc481502830"/>
            <w:bookmarkStart w:id="638" w:name="_Toc496079998"/>
            <w:bookmarkEnd w:id="624"/>
            <w:r w:rsidRPr="0013396E">
              <w:t xml:space="preserve">[NPRR1098:  </w:t>
            </w:r>
            <w:r w:rsidR="00135A7D" w:rsidRPr="0013396E">
              <w:t>Replace Section 6.5.6 above with the following upon system implementation and satisfying the following conditions:  (1) Southern Cross Transmission LLC (Southern Cross) provides ERCOT with funds to cover the entire estimated cost of the project; and (2) Southern Cross has signed an interconnection agreement with a Transmission Service Provider (TSP) and the TSP gives ERCOT written notice that Southern Cross has provided it with:  (a) Notice to proceed with the construction of the interconnection; and (b) The financial security required to fund the interconnection facilities</w:t>
            </w:r>
            <w:r w:rsidRPr="0013396E">
              <w:t>:]</w:t>
            </w:r>
          </w:p>
          <w:p w14:paraId="55ED5B47" w14:textId="77777777" w:rsidR="00524281" w:rsidRPr="0013396E" w:rsidRDefault="00524281" w:rsidP="00524281">
            <w:pPr>
              <w:pStyle w:val="H3"/>
              <w:spacing w:before="0"/>
            </w:pPr>
            <w:bookmarkStart w:id="639" w:name="_Toc108712443"/>
            <w:bookmarkStart w:id="640" w:name="_Toc112417563"/>
            <w:bookmarkStart w:id="641" w:name="_Toc119310232"/>
            <w:bookmarkStart w:id="642" w:name="_Toc125966166"/>
            <w:bookmarkStart w:id="643" w:name="_Toc135992264"/>
            <w:bookmarkStart w:id="644" w:name="_Toc170303460"/>
            <w:bookmarkStart w:id="645" w:name="_Toc175157364"/>
            <w:bookmarkStart w:id="646" w:name="_Toc236220107"/>
            <w:bookmarkStart w:id="647" w:name="_Toc65151690"/>
            <w:bookmarkStart w:id="648" w:name="_Toc65151658"/>
            <w:r w:rsidRPr="0013396E">
              <w:t>6.5.6</w:t>
            </w:r>
            <w:r w:rsidRPr="0013396E">
              <w:tab/>
              <w:t>TSP, TO, DCTO, and DSP Responsibilities</w:t>
            </w:r>
            <w:bookmarkEnd w:id="639"/>
            <w:bookmarkEnd w:id="640"/>
            <w:bookmarkEnd w:id="641"/>
            <w:bookmarkEnd w:id="642"/>
            <w:bookmarkEnd w:id="643"/>
            <w:bookmarkEnd w:id="644"/>
            <w:bookmarkEnd w:id="645"/>
            <w:bookmarkEnd w:id="646"/>
          </w:p>
          <w:p w14:paraId="0DD3915B" w14:textId="77777777" w:rsidR="00524281" w:rsidRPr="0013396E" w:rsidRDefault="00524281" w:rsidP="00524281">
            <w:pPr>
              <w:pStyle w:val="BodyText"/>
              <w:ind w:left="720" w:hanging="720"/>
            </w:pPr>
            <w:r w:rsidRPr="0013396E">
              <w:t>(1)</w:t>
            </w:r>
            <w:r w:rsidRPr="0013396E">
              <w:tab/>
              <w:t>Each TSP shall notify ERCOT of any changes in status of Transmission Elements as provided in these Protocols and clarified in the ERCOT procedures.</w:t>
            </w:r>
          </w:p>
          <w:p w14:paraId="087C0C61" w14:textId="77777777" w:rsidR="00524281" w:rsidRPr="0013396E" w:rsidRDefault="00524281" w:rsidP="00524281">
            <w:pPr>
              <w:pStyle w:val="BodyText"/>
              <w:ind w:left="720" w:hanging="720"/>
            </w:pPr>
            <w:r w:rsidRPr="0013396E">
              <w:t>(2)</w:t>
            </w:r>
            <w:r w:rsidRPr="0013396E">
              <w:tab/>
              <w:t>Each TSP shall as soon as practicable report to ERCOT any short-term inability to meet minimum TSP reactive requirements.</w:t>
            </w:r>
          </w:p>
          <w:p w14:paraId="19F3A12F" w14:textId="77777777" w:rsidR="00524281" w:rsidRPr="0013396E" w:rsidRDefault="00524281" w:rsidP="00524281">
            <w:pPr>
              <w:pStyle w:val="BodyText"/>
              <w:ind w:left="720" w:hanging="720"/>
            </w:pPr>
            <w:r w:rsidRPr="0013396E">
              <w:lastRenderedPageBreak/>
              <w:t>(3)</w:t>
            </w:r>
            <w:r w:rsidRPr="0013396E">
              <w:tab/>
              <w:t>Each DSP shall as soon as practicable report to ERCOT any short-term inability to meet minimum DSP reactive requirements.</w:t>
            </w:r>
          </w:p>
          <w:p w14:paraId="327B478A" w14:textId="77777777" w:rsidR="00524281" w:rsidRPr="0013396E" w:rsidRDefault="00524281" w:rsidP="00524281">
            <w:pPr>
              <w:pStyle w:val="BodyText"/>
              <w:ind w:left="720" w:hanging="720"/>
            </w:pPr>
            <w:r w:rsidRPr="0013396E">
              <w:t>(4)</w:t>
            </w:r>
            <w:r w:rsidRPr="0013396E">
              <w:tab/>
              <w:t>Each DCTO shall immediately notify its designated TO of any change that affects the reactive capability of any DC Tie Facility it operates, including any change to the operation mode of the DC Tie Facility’s voltage control system or any temporary transmission voltage limit changes.  Each TO designated by a DCTO shall immediately notify ERCOT when a DC Tie Facility experiences a change that affects its reactive capability, including any change to the operation mode of the DC Tie Facility’s voltage control system or any temporary transmission voltage limit changes.</w:t>
            </w:r>
            <w:bookmarkEnd w:id="647"/>
            <w:bookmarkEnd w:id="648"/>
          </w:p>
          <w:p w14:paraId="3E744D34" w14:textId="77777777" w:rsidR="00524281" w:rsidRPr="0013396E" w:rsidRDefault="00524281" w:rsidP="00524281">
            <w:pPr>
              <w:pStyle w:val="BodyText"/>
              <w:ind w:left="720" w:hanging="720"/>
              <w:rPr>
                <w:iCs w:val="0"/>
              </w:rPr>
            </w:pPr>
            <w:r w:rsidRPr="0013396E">
              <w:t>(5)</w:t>
            </w:r>
            <w:r w:rsidRPr="0013396E">
              <w:tab/>
              <w:t xml:space="preserve">Each TO designated by a DCTO operating a DC Tie meeting the applicability requirements of paragraph (1) of Section 3.15.4, Direct Current Tie Owner and Direct Current Tie Operator (DCTO) Responsibilities Related to Voltage Support, shall for each such DC Tie provide to ERCOT, via ICCP, the status of the DC Tie Facility’s voltage control system.  </w:t>
            </w:r>
            <w:r w:rsidRPr="0013396E">
              <w:rPr>
                <w:iCs w:val="0"/>
              </w:rPr>
              <w:t>An “On” status will indicate that the control system is on and set to regulate the voltage at the DC Tie’s POIB in automatic voltage control mode, and an “Off” status will indicate that the control system is off or in manual mode.</w:t>
            </w:r>
          </w:p>
          <w:p w14:paraId="2204026E" w14:textId="0EC29617" w:rsidR="00524281" w:rsidRPr="0013396E" w:rsidRDefault="00524281" w:rsidP="00524281">
            <w:pPr>
              <w:spacing w:after="240"/>
              <w:ind w:left="720" w:hanging="720"/>
            </w:pPr>
            <w:r w:rsidRPr="0013396E">
              <w:rPr>
                <w:iCs/>
              </w:rPr>
              <w:t>(6)</w:t>
            </w:r>
            <w:r w:rsidRPr="0013396E">
              <w:rPr>
                <w:iCs/>
              </w:rPr>
              <w:tab/>
            </w:r>
            <w:r w:rsidRPr="0013396E">
              <w:t>Each TO designated by a DCTO operating a DC Tie meeting the applicability requirements of paragraph (1) of Section 3.15.4 shall telemeter to ERCOT, via ICCP, the Real-Time target voltage at each DC Tie’s POIB.  Each TO shall modify the telemetered target voltage to match any verbal target voltage instruction issued as soon as practicable.</w:t>
            </w:r>
          </w:p>
        </w:tc>
      </w:tr>
    </w:tbl>
    <w:p w14:paraId="438867FC" w14:textId="5A657AFA" w:rsidR="001F04FD" w:rsidRPr="0013396E" w:rsidRDefault="001F04FD" w:rsidP="001F04FD">
      <w:pPr>
        <w:pStyle w:val="H3"/>
        <w:spacing w:before="480"/>
      </w:pPr>
      <w:bookmarkStart w:id="649" w:name="_Toc236220108"/>
      <w:r w:rsidRPr="0013396E">
        <w:lastRenderedPageBreak/>
        <w:t>6.5.7</w:t>
      </w:r>
      <w:r w:rsidRPr="0013396E">
        <w:tab/>
      </w:r>
      <w:r w:rsidR="00F3577E" w:rsidRPr="0013396E">
        <w:t>Real-Time Sequence Methodology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49"/>
    </w:p>
    <w:p w14:paraId="630A065C" w14:textId="540CD4B3" w:rsidR="001F04FD" w:rsidRPr="0013396E" w:rsidRDefault="001F04FD" w:rsidP="001F04FD">
      <w:pPr>
        <w:pStyle w:val="BodyText"/>
        <w:ind w:left="720" w:hanging="720"/>
      </w:pPr>
      <w:r w:rsidRPr="0013396E">
        <w:t>(1)</w:t>
      </w:r>
      <w:r w:rsidRPr="0013396E">
        <w:tab/>
      </w:r>
      <w:r w:rsidR="00F3577E" w:rsidRPr="0013396E">
        <w:t xml:space="preserve">This Section outlines the programmatic and manual processes employed by ERCOT to simultaneously achieve power balance (minimizing the use of Regulation Service), determine Ancillary Service awards, and manage congestion while operating within the constraints of the system at economically optimized cost.  The Real-Time Sequence describes the key system components and inputs that are required to support the SCED process, which produces the Locational Marginal Prices (LMPs), Base Points, Real-Time </w:t>
      </w:r>
      <w:r w:rsidR="000418E5">
        <w:t>Market Clearing Price</w:t>
      </w:r>
      <w:r w:rsidR="00057C6A">
        <w:t>s</w:t>
      </w:r>
      <w:r w:rsidR="000418E5">
        <w:t xml:space="preserve"> for Capacity (</w:t>
      </w:r>
      <w:r w:rsidR="00F3577E" w:rsidRPr="0013396E">
        <w:t>MCPCs</w:t>
      </w:r>
      <w:r w:rsidR="000418E5">
        <w:t>)</w:t>
      </w:r>
      <w:r w:rsidR="00F3577E" w:rsidRPr="0013396E">
        <w:t>, and Ancillary Service awards while meeting transmission system constraints.  Section 6.5.7.3, Security Constrained Economic Dispatch, provides further details regarding additional components and inputs and ex-ante mitigation.</w:t>
      </w:r>
    </w:p>
    <w:p w14:paraId="12A2F322" w14:textId="77777777" w:rsidR="001F04FD" w:rsidRPr="0013396E" w:rsidRDefault="001F04FD" w:rsidP="007A1E53">
      <w:pPr>
        <w:pStyle w:val="H4"/>
        <w:ind w:left="1267" w:hanging="1267"/>
      </w:pPr>
      <w:bookmarkStart w:id="650" w:name="_Toc73216016"/>
      <w:bookmarkStart w:id="651" w:name="_Toc74137334"/>
      <w:bookmarkStart w:id="652" w:name="_Toc397504955"/>
      <w:bookmarkStart w:id="653" w:name="_Toc402357083"/>
      <w:bookmarkStart w:id="654" w:name="_Toc422486463"/>
      <w:bookmarkStart w:id="655" w:name="_Toc433093315"/>
      <w:bookmarkStart w:id="656" w:name="_Toc433093473"/>
      <w:bookmarkStart w:id="657" w:name="_Toc440874702"/>
      <w:bookmarkStart w:id="658" w:name="_Toc448142257"/>
      <w:bookmarkStart w:id="659" w:name="_Toc448142414"/>
      <w:bookmarkStart w:id="660" w:name="_Toc458770250"/>
      <w:bookmarkStart w:id="661" w:name="_Toc459294218"/>
      <w:bookmarkStart w:id="662" w:name="_Toc463262711"/>
      <w:bookmarkStart w:id="663" w:name="_Toc468286785"/>
      <w:bookmarkStart w:id="664" w:name="_Toc481502831"/>
      <w:bookmarkStart w:id="665" w:name="_Toc496079999"/>
      <w:bookmarkStart w:id="666" w:name="_Toc236220109"/>
      <w:r w:rsidRPr="0013396E">
        <w:t>6.5.7.1</w:t>
      </w:r>
      <w:r w:rsidRPr="0013396E">
        <w:tab/>
        <w:t>Real-Time Sequence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10560E8F" w14:textId="77777777" w:rsidR="001F04FD" w:rsidRPr="0013396E" w:rsidRDefault="001F04FD" w:rsidP="001F04FD">
      <w:pPr>
        <w:pStyle w:val="BodyTextNumbered"/>
      </w:pPr>
      <w:r w:rsidRPr="0013396E">
        <w:t>(1)</w:t>
      </w:r>
      <w:r w:rsidRPr="0013396E">
        <w:tab/>
        <w:t>The Real-Time Sequence consists of multiple interdependent processes that are driven by telemetry data and the network topology.  This Section describes the core aspects of the Real-Time Sequence.</w:t>
      </w:r>
    </w:p>
    <w:p w14:paraId="5079480F" w14:textId="77777777" w:rsidR="001F04FD" w:rsidRPr="0013396E" w:rsidRDefault="001F04FD" w:rsidP="001F04FD">
      <w:pPr>
        <w:pStyle w:val="BodyTextNumbered"/>
      </w:pPr>
      <w:r w:rsidRPr="0013396E">
        <w:lastRenderedPageBreak/>
        <w:t>(2)</w:t>
      </w:r>
      <w:r w:rsidRPr="0013396E">
        <w:tab/>
        <w:t>The figure below highlights the key computational modules and processes that are used during the Real-Time Sequence:</w:t>
      </w:r>
    </w:p>
    <w:p w14:paraId="57CE458F" w14:textId="3275E7AC" w:rsidR="001F04FD" w:rsidRPr="0013396E" w:rsidRDefault="00A94020" w:rsidP="001F04FD">
      <w:pPr>
        <w:jc w:val="center"/>
      </w:pPr>
      <w:r w:rsidRPr="0013396E">
        <w:rPr>
          <w:noProof/>
        </w:rPr>
        <w:drawing>
          <wp:inline distT="0" distB="0" distL="0" distR="0" wp14:anchorId="69F4C069" wp14:editId="5ACE2BDF">
            <wp:extent cx="5219700" cy="3914775"/>
            <wp:effectExtent l="0" t="0" r="0" b="0"/>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9700" cy="3914775"/>
                    </a:xfrm>
                    <a:prstGeom prst="rect">
                      <a:avLst/>
                    </a:prstGeom>
                    <a:noFill/>
                    <a:ln>
                      <a:noFill/>
                    </a:ln>
                  </pic:spPr>
                </pic:pic>
              </a:graphicData>
            </a:graphic>
          </wp:inline>
        </w:drawing>
      </w:r>
    </w:p>
    <w:p w14:paraId="1F4F5E2F" w14:textId="77777777" w:rsidR="001F04FD" w:rsidRPr="0013396E" w:rsidRDefault="001F04FD" w:rsidP="001F04FD">
      <w:pPr>
        <w:pStyle w:val="H5"/>
        <w:spacing w:before="480"/>
        <w:ind w:left="1627" w:hanging="1627"/>
      </w:pPr>
      <w:bookmarkStart w:id="667" w:name="_Toc397504956"/>
      <w:bookmarkStart w:id="668" w:name="_Toc402357084"/>
      <w:bookmarkStart w:id="669" w:name="_Toc422486464"/>
      <w:bookmarkStart w:id="670" w:name="_Toc433093316"/>
      <w:bookmarkStart w:id="671" w:name="_Toc433093474"/>
      <w:bookmarkStart w:id="672" w:name="_Toc440874703"/>
      <w:bookmarkStart w:id="673" w:name="_Toc448142258"/>
      <w:bookmarkStart w:id="674" w:name="_Toc448142415"/>
      <w:bookmarkStart w:id="675" w:name="_Toc458770251"/>
      <w:bookmarkStart w:id="676" w:name="_Toc459294219"/>
      <w:bookmarkStart w:id="677" w:name="_Toc463262712"/>
      <w:bookmarkStart w:id="678" w:name="_Toc468286786"/>
      <w:bookmarkStart w:id="679" w:name="_Toc481502832"/>
      <w:bookmarkStart w:id="680" w:name="_Toc496080000"/>
      <w:bookmarkStart w:id="681" w:name="_Toc236220110"/>
      <w:r w:rsidRPr="0013396E">
        <w:t>6.5.7.1.1</w:t>
      </w:r>
      <w:r w:rsidRPr="0013396E">
        <w:tab/>
        <w:t>SCADA Telemetry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14:paraId="42DD05BE" w14:textId="77777777" w:rsidR="001F04FD" w:rsidRPr="0013396E" w:rsidRDefault="001F04FD" w:rsidP="001F04FD">
      <w:pPr>
        <w:pStyle w:val="BodyTextNumbered"/>
      </w:pPr>
      <w:r w:rsidRPr="0013396E">
        <w:t>(1)</w:t>
      </w:r>
      <w:r w:rsidRPr="0013396E">
        <w:tab/>
        <w:t>SCADA telemetry provides the actual Real-Time status and output of Resources and the status of observable Transmission Elements of the Network Operations Model.</w:t>
      </w:r>
    </w:p>
    <w:p w14:paraId="34322D9B" w14:textId="77777777" w:rsidR="001F04FD" w:rsidRPr="0013396E" w:rsidRDefault="001F04FD" w:rsidP="001F04FD">
      <w:pPr>
        <w:pStyle w:val="H5"/>
        <w:spacing w:before="480"/>
        <w:ind w:left="1627" w:hanging="1627"/>
      </w:pPr>
      <w:bookmarkStart w:id="682" w:name="_Toc74137336"/>
      <w:bookmarkStart w:id="683" w:name="_Toc397504957"/>
      <w:bookmarkStart w:id="684" w:name="_Toc402357085"/>
      <w:bookmarkStart w:id="685" w:name="_Toc422486465"/>
      <w:bookmarkStart w:id="686" w:name="_Toc433093317"/>
      <w:bookmarkStart w:id="687" w:name="_Toc433093475"/>
      <w:bookmarkStart w:id="688" w:name="_Toc440874704"/>
      <w:bookmarkStart w:id="689" w:name="_Toc448142259"/>
      <w:bookmarkStart w:id="690" w:name="_Toc448142416"/>
      <w:bookmarkStart w:id="691" w:name="_Toc458770252"/>
      <w:bookmarkStart w:id="692" w:name="_Toc459294220"/>
      <w:bookmarkStart w:id="693" w:name="_Toc463262713"/>
      <w:bookmarkStart w:id="694" w:name="_Toc468286787"/>
      <w:bookmarkStart w:id="695" w:name="_Toc481502833"/>
      <w:bookmarkStart w:id="696" w:name="_Toc496080001"/>
      <w:bookmarkStart w:id="697" w:name="_Toc236220111"/>
      <w:r w:rsidRPr="0013396E">
        <w:t>6.5.7.1.2</w:t>
      </w:r>
      <w:r w:rsidRPr="0013396E">
        <w:tab/>
        <w:t>Network Topology Builder</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14:paraId="040C5626" w14:textId="77777777" w:rsidR="001F04FD" w:rsidRPr="0013396E" w:rsidRDefault="001F04FD" w:rsidP="001F04FD">
      <w:pPr>
        <w:pStyle w:val="BodyTextNumbered"/>
      </w:pPr>
      <w:r w:rsidRPr="0013396E">
        <w:t>(1)</w:t>
      </w:r>
      <w:r w:rsidRPr="0013396E">
        <w:tab/>
        <w:t>The Network Topology Builder creates the Updated Network Model based on the observed topology of the ERCOT Transmission Grid.  The Updated Network Model is then used as the basis for the State Estimator solution.</w:t>
      </w:r>
    </w:p>
    <w:p w14:paraId="6851A42D" w14:textId="77777777" w:rsidR="001F04FD" w:rsidRPr="0013396E" w:rsidRDefault="001F04FD" w:rsidP="001F04FD">
      <w:pPr>
        <w:pStyle w:val="H5"/>
        <w:spacing w:before="480"/>
        <w:ind w:left="1627" w:hanging="1627"/>
      </w:pPr>
      <w:bookmarkStart w:id="698" w:name="_Toc397504958"/>
      <w:bookmarkStart w:id="699" w:name="_Toc402357086"/>
      <w:bookmarkStart w:id="700" w:name="_Toc422486466"/>
      <w:bookmarkStart w:id="701" w:name="_Toc433093318"/>
      <w:bookmarkStart w:id="702" w:name="_Toc433093476"/>
      <w:bookmarkStart w:id="703" w:name="_Toc440874705"/>
      <w:bookmarkStart w:id="704" w:name="_Toc448142260"/>
      <w:bookmarkStart w:id="705" w:name="_Toc448142417"/>
      <w:bookmarkStart w:id="706" w:name="_Toc458770253"/>
      <w:bookmarkStart w:id="707" w:name="_Toc459294221"/>
      <w:bookmarkStart w:id="708" w:name="_Toc463262714"/>
      <w:bookmarkStart w:id="709" w:name="_Toc468286788"/>
      <w:bookmarkStart w:id="710" w:name="_Toc481502834"/>
      <w:bookmarkStart w:id="711" w:name="_Toc496080002"/>
      <w:bookmarkStart w:id="712" w:name="_Toc236220112"/>
      <w:r w:rsidRPr="0013396E">
        <w:t>6.5.7.1.3</w:t>
      </w:r>
      <w:r w:rsidRPr="0013396E">
        <w:tab/>
        <w:t>Bus Load Forecast</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1F145147" w14:textId="77777777" w:rsidR="001F04FD" w:rsidRPr="0013396E" w:rsidRDefault="001F04FD" w:rsidP="001F04FD">
      <w:pPr>
        <w:pStyle w:val="BodyTextNumbered"/>
      </w:pPr>
      <w:r w:rsidRPr="0013396E">
        <w:t>(1)</w:t>
      </w:r>
      <w:r w:rsidRPr="0013396E">
        <w:tab/>
        <w:t>Once the Updated Network Model is created, the transmission Electrical Buses in the model will have a Bus Load Forecast applied.  The forecasted Load must be denoted with a low State Estimator measurement confidence factor.  The State Estimator must use the forecasted Load coupled with the remaining telemetry of line flows and voltages to estimate the actual Load on each Electrical Bus.</w:t>
      </w:r>
    </w:p>
    <w:p w14:paraId="697EDF17" w14:textId="77777777" w:rsidR="001F04FD" w:rsidRPr="0013396E" w:rsidRDefault="001F04FD" w:rsidP="001F04FD">
      <w:pPr>
        <w:pStyle w:val="H5"/>
        <w:spacing w:before="480"/>
        <w:ind w:left="1627" w:hanging="1627"/>
      </w:pPr>
      <w:bookmarkStart w:id="713" w:name="_Toc74137337"/>
      <w:bookmarkStart w:id="714" w:name="_Toc397504959"/>
      <w:bookmarkStart w:id="715" w:name="_Toc402357087"/>
      <w:bookmarkStart w:id="716" w:name="_Toc422486467"/>
      <w:bookmarkStart w:id="717" w:name="_Toc433093319"/>
      <w:bookmarkStart w:id="718" w:name="_Toc433093477"/>
      <w:bookmarkStart w:id="719" w:name="_Toc440874706"/>
      <w:bookmarkStart w:id="720" w:name="_Toc448142261"/>
      <w:bookmarkStart w:id="721" w:name="_Toc448142418"/>
      <w:bookmarkStart w:id="722" w:name="_Toc458770254"/>
      <w:bookmarkStart w:id="723" w:name="_Toc459294222"/>
      <w:bookmarkStart w:id="724" w:name="_Toc463262715"/>
      <w:bookmarkStart w:id="725" w:name="_Toc468286789"/>
      <w:bookmarkStart w:id="726" w:name="_Toc481502835"/>
      <w:bookmarkStart w:id="727" w:name="_Toc496080003"/>
      <w:bookmarkStart w:id="728" w:name="_Toc236220113"/>
      <w:r w:rsidRPr="0013396E">
        <w:lastRenderedPageBreak/>
        <w:t>6.5.7.1.4</w:t>
      </w:r>
      <w:r w:rsidRPr="0013396E">
        <w:tab/>
        <w:t>State Estimator</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14:paraId="43416E71" w14:textId="77777777" w:rsidR="001F04FD" w:rsidRPr="0013396E" w:rsidRDefault="001F04FD" w:rsidP="001F04FD">
      <w:pPr>
        <w:pStyle w:val="BodyTextNumbered"/>
      </w:pPr>
      <w:r w:rsidRPr="0013396E">
        <w:t>(1)</w:t>
      </w:r>
      <w:r w:rsidRPr="0013396E">
        <w:tab/>
        <w:t>The State Estimator must use the Bus Load Forecast and the remaining telemetry information of line flows and voltages to estimate all the transmission parameters needed to provide, on convergence, a mathematically consistent data set of constrained inputs to the Network Security Analysis (NSA) and the Topology Consistency Analyzer.</w:t>
      </w:r>
    </w:p>
    <w:p w14:paraId="4036ACE8" w14:textId="77777777" w:rsidR="001F04FD" w:rsidRPr="0013396E" w:rsidRDefault="001F04FD" w:rsidP="001F04FD">
      <w:pPr>
        <w:pStyle w:val="H5"/>
        <w:spacing w:before="480"/>
        <w:ind w:left="1627" w:hanging="1627"/>
      </w:pPr>
      <w:bookmarkStart w:id="729" w:name="_Toc397504960"/>
      <w:bookmarkStart w:id="730" w:name="_Toc402357088"/>
      <w:bookmarkStart w:id="731" w:name="_Toc422486468"/>
      <w:bookmarkStart w:id="732" w:name="_Toc433093320"/>
      <w:bookmarkStart w:id="733" w:name="_Toc433093478"/>
      <w:bookmarkStart w:id="734" w:name="_Toc440874707"/>
      <w:bookmarkStart w:id="735" w:name="_Toc448142262"/>
      <w:bookmarkStart w:id="736" w:name="_Toc448142419"/>
      <w:bookmarkStart w:id="737" w:name="_Toc458770255"/>
      <w:bookmarkStart w:id="738" w:name="_Toc459294223"/>
      <w:bookmarkStart w:id="739" w:name="_Toc463262716"/>
      <w:bookmarkStart w:id="740" w:name="_Toc468286790"/>
      <w:bookmarkStart w:id="741" w:name="_Toc481502836"/>
      <w:bookmarkStart w:id="742" w:name="_Toc496080004"/>
      <w:bookmarkStart w:id="743" w:name="_Toc236220114"/>
      <w:r w:rsidRPr="0013396E">
        <w:t>6.5.7.1.5</w:t>
      </w:r>
      <w:r w:rsidRPr="0013396E">
        <w:tab/>
        <w:t>Topology Consistency Analyzer</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0C94218B" w14:textId="77777777" w:rsidR="001F04FD" w:rsidRPr="0013396E" w:rsidRDefault="001F04FD" w:rsidP="001F04FD">
      <w:pPr>
        <w:pStyle w:val="BodyTextNumbered"/>
      </w:pPr>
      <w:r w:rsidRPr="0013396E">
        <w:t>(1)</w:t>
      </w:r>
      <w:r w:rsidRPr="0013396E">
        <w:tab/>
        <w:t>The Topology Consistency Analyzer identifies possibly erroneous breaker and switch status.  The Topology Consistency Analyzer must notify ERCOT of inconsistencies detected and must indicate the correct breaker and switch status(es) when the preponderance of redundant information from the telemetered database indicates true errors in status.  For example, such processing would detect flow on lines, flow on devices or network load, shown as disconnected from the transmission system and would indicate to ERCOT that there was a continuity error associated with the flow measurement or status indication.  ERCOT may override SCADA telemetry as required to correct erroneous breaker and switch status before that information is processed by the NSA for the next SCED interval.  ERCOT shall notify the TSP or QSE, who shall correct the status indications as soon as practicable.  The Topology Consistency Analyzer maintains a summary of all incorrect status indicators and provides that information to all TSPs and other Market Participants through the MIS Secure Area.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5634A" w:rsidRPr="0013396E" w14:paraId="0B89FA48" w14:textId="77777777" w:rsidTr="004510FA">
        <w:trPr>
          <w:trHeight w:val="1547"/>
        </w:trPr>
        <w:tc>
          <w:tcPr>
            <w:tcW w:w="9576" w:type="dxa"/>
            <w:shd w:val="pct12" w:color="auto" w:fill="auto"/>
          </w:tcPr>
          <w:p w14:paraId="29D77C22" w14:textId="0E6945AD" w:rsidR="00D5634A" w:rsidRPr="0013396E" w:rsidRDefault="00D5634A" w:rsidP="004510FA">
            <w:pPr>
              <w:pStyle w:val="Instructions"/>
              <w:spacing w:before="120"/>
            </w:pPr>
            <w:bookmarkStart w:id="744" w:name="_Toc397504961"/>
            <w:bookmarkStart w:id="745" w:name="_Toc402357089"/>
            <w:bookmarkStart w:id="746" w:name="_Toc422486469"/>
            <w:bookmarkStart w:id="747" w:name="_Toc433093321"/>
            <w:bookmarkStart w:id="748" w:name="_Toc433093479"/>
            <w:bookmarkStart w:id="749" w:name="_Toc440874708"/>
            <w:bookmarkStart w:id="750" w:name="_Toc448142263"/>
            <w:bookmarkStart w:id="751" w:name="_Toc448142420"/>
            <w:bookmarkStart w:id="752" w:name="_Toc458770256"/>
            <w:bookmarkStart w:id="753" w:name="_Toc459294224"/>
            <w:bookmarkStart w:id="754" w:name="_Toc463262717"/>
            <w:bookmarkStart w:id="755" w:name="_Toc468286791"/>
            <w:bookmarkStart w:id="756" w:name="_Toc481502837"/>
            <w:bookmarkStart w:id="757" w:name="_Toc496080005"/>
            <w:r w:rsidRPr="0013396E">
              <w:t>[NPRR857:  Replace paragraph (1)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4AC1E564" w14:textId="77777777" w:rsidR="00D5634A" w:rsidRPr="0013396E" w:rsidRDefault="00D5634A" w:rsidP="00D5634A">
            <w:pPr>
              <w:spacing w:after="240"/>
              <w:ind w:left="720" w:hanging="720"/>
            </w:pPr>
            <w:r w:rsidRPr="0013396E">
              <w:t>(1)</w:t>
            </w:r>
            <w:r w:rsidRPr="0013396E">
              <w:tab/>
              <w:t xml:space="preserve">The Topology Consistency Analyzer identifies possibly erroneous breaker and switch status.  The Topology Consistency Analyzer must notify ERCOT of inconsistencies detected and must indicate the correct breaker and switch status(es) when the preponderance of redundant information from the telemetered database indicates true errors in status.  For example, such processing would detect flow on lines, flow on devices or network load, shown as disconnected from the transmission system and would indicate to ERCOT that there was a continuity error associated with the flow measurement or status indication.  ERCOT may override SCADA telemetry as required to correct erroneous breaker and switch status before that information is processed by the NSA for the next SCED interval.  ERCOT shall notify the TSP, DCTO, or QSE, who shall correct the status indications as soon as practicable.  The Topology Consistency Analyzer maintains a summary of all incorrect status indicators </w:t>
            </w:r>
            <w:r w:rsidRPr="0013396E">
              <w:lastRenderedPageBreak/>
              <w:t>and provides that information to all TSPs, DCTOs, and other Market Participants through the MIS Secure Area.</w:t>
            </w:r>
          </w:p>
        </w:tc>
      </w:tr>
    </w:tbl>
    <w:p w14:paraId="47536489" w14:textId="77777777" w:rsidR="001F04FD" w:rsidRPr="0013396E" w:rsidRDefault="001F04FD" w:rsidP="001F04FD">
      <w:pPr>
        <w:pStyle w:val="H5"/>
        <w:tabs>
          <w:tab w:val="clear" w:pos="1620"/>
          <w:tab w:val="left" w:pos="1440"/>
        </w:tabs>
        <w:spacing w:before="480"/>
        <w:ind w:left="1440" w:hanging="1440"/>
      </w:pPr>
      <w:bookmarkStart w:id="758" w:name="_Toc236220115"/>
      <w:r w:rsidRPr="0013396E">
        <w:lastRenderedPageBreak/>
        <w:t>6.5.7.1.6</w:t>
      </w:r>
      <w:r w:rsidRPr="0013396E">
        <w:tab/>
        <w:t>Breakers/Switch Status Alarm Processor and Forced Outage Detection Processor</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14:paraId="6544C771" w14:textId="77777777" w:rsidR="001F04FD" w:rsidRPr="0013396E" w:rsidRDefault="001F04FD" w:rsidP="001F04FD">
      <w:pPr>
        <w:pStyle w:val="BodyTextNumbered"/>
      </w:pPr>
      <w:r w:rsidRPr="0013396E">
        <w:t>(1)</w:t>
      </w:r>
      <w:r w:rsidRPr="0013396E">
        <w:tab/>
        <w:t>The Real-Time Sequence includes processes that detect and provide alarms to the ERCOT Operator when the status of breakers and switches, Resources, transmission lines and transformers, and Load disconnected from the Updated Network Model changes.  Also, the ERCOT Operator must be able to determine if an Outage of Transmission Facilities had been scheduled in the Outage Scheduler or is a Forced Outage.</w:t>
      </w:r>
    </w:p>
    <w:p w14:paraId="1AA41491" w14:textId="77777777" w:rsidR="001F04FD" w:rsidRPr="0013396E" w:rsidRDefault="001F04FD" w:rsidP="001F04FD">
      <w:pPr>
        <w:pStyle w:val="H5"/>
        <w:spacing w:before="480"/>
        <w:ind w:left="1627" w:hanging="1627"/>
      </w:pPr>
      <w:bookmarkStart w:id="759" w:name="_Toc397504962"/>
      <w:bookmarkStart w:id="760" w:name="_Toc402357090"/>
      <w:bookmarkStart w:id="761" w:name="_Toc422486470"/>
      <w:bookmarkStart w:id="762" w:name="_Toc433093322"/>
      <w:bookmarkStart w:id="763" w:name="_Toc433093480"/>
      <w:bookmarkStart w:id="764" w:name="_Toc440874709"/>
      <w:bookmarkStart w:id="765" w:name="_Toc448142264"/>
      <w:bookmarkStart w:id="766" w:name="_Toc448142421"/>
      <w:bookmarkStart w:id="767" w:name="_Toc458770257"/>
      <w:bookmarkStart w:id="768" w:name="_Toc459294225"/>
      <w:bookmarkStart w:id="769" w:name="_Toc463262718"/>
      <w:bookmarkStart w:id="770" w:name="_Toc468286792"/>
      <w:bookmarkStart w:id="771" w:name="_Toc481502838"/>
      <w:bookmarkStart w:id="772" w:name="_Toc496080006"/>
      <w:bookmarkStart w:id="773" w:name="_Toc236220116"/>
      <w:r w:rsidRPr="0013396E">
        <w:t>6.5.7.1.7</w:t>
      </w:r>
      <w:r w:rsidRPr="0013396E">
        <w:tab/>
        <w:t>Real-Time Weather and Dynamic Rating Processor</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23B5C257" w14:textId="77777777" w:rsidR="001F04FD" w:rsidRPr="0013396E" w:rsidRDefault="001F04FD" w:rsidP="001F04FD">
      <w:pPr>
        <w:pStyle w:val="BodyTextNumbered"/>
      </w:pPr>
      <w:r w:rsidRPr="0013396E">
        <w:t>(1)</w:t>
      </w:r>
      <w:r w:rsidRPr="0013396E">
        <w:tab/>
        <w:t>The Dynamic Rating Processor provides Dynamic Ratings using the processes described in Section 3.10.8, Dynamic Ratings, for all transmission lines and transformer elements with Dynamic Ratings designated by the TSPs.  ERCOT shall obtain Real-Time weather data, where available, from multiple locations and provide it to the Dynamic Rating Processor.  Weather conditions must include ambient temperature and may include wind speed when available.  ERCOT shall post summaries of dynamically adjusted Transmission Element limits on the MIS Secure Area in a form that allows Market Participants to directly upload Real-Time data into the Common Information Model (CIM).</w:t>
      </w:r>
    </w:p>
    <w:p w14:paraId="0EED37E9" w14:textId="77777777" w:rsidR="001F04FD" w:rsidRPr="0013396E" w:rsidRDefault="001F04FD" w:rsidP="001F04FD">
      <w:pPr>
        <w:pStyle w:val="BodyTextNumbered"/>
      </w:pPr>
      <w:r w:rsidRPr="0013396E">
        <w:t>(2)</w:t>
      </w:r>
      <w:r w:rsidRPr="0013396E">
        <w:tab/>
        <w:t>On a monthly basis, ERCOT shall provide a summary report for each dynamically rated Transmission Element specifying the average change in Normal Rating in MVA that is gained on the element through use of a Dynamic Rating rather than the Normal Rating.  ERCOT shall post this report to the MIS Secure Area.</w:t>
      </w:r>
    </w:p>
    <w:p w14:paraId="3D8690E1" w14:textId="77777777" w:rsidR="001F04FD" w:rsidRPr="0013396E" w:rsidRDefault="001F04FD" w:rsidP="001F04FD">
      <w:pPr>
        <w:pStyle w:val="H5"/>
        <w:spacing w:before="480"/>
        <w:ind w:left="1627" w:hanging="1627"/>
      </w:pPr>
      <w:bookmarkStart w:id="774" w:name="_Toc397504963"/>
      <w:bookmarkStart w:id="775" w:name="_Toc402357091"/>
      <w:bookmarkStart w:id="776" w:name="_Toc422486471"/>
      <w:bookmarkStart w:id="777" w:name="_Toc433093323"/>
      <w:bookmarkStart w:id="778" w:name="_Toc433093481"/>
      <w:bookmarkStart w:id="779" w:name="_Toc440874710"/>
      <w:bookmarkStart w:id="780" w:name="_Toc448142265"/>
      <w:bookmarkStart w:id="781" w:name="_Toc448142422"/>
      <w:bookmarkStart w:id="782" w:name="_Toc458770258"/>
      <w:bookmarkStart w:id="783" w:name="_Toc459294226"/>
      <w:bookmarkStart w:id="784" w:name="_Toc463262719"/>
      <w:bookmarkStart w:id="785" w:name="_Toc468286793"/>
      <w:bookmarkStart w:id="786" w:name="_Toc481502839"/>
      <w:bookmarkStart w:id="787" w:name="_Toc496080007"/>
      <w:bookmarkStart w:id="788" w:name="_Toc236220117"/>
      <w:r w:rsidRPr="0013396E">
        <w:t>6.5.7.1.8</w:t>
      </w:r>
      <w:r w:rsidRPr="0013396E">
        <w:tab/>
        <w:t>Overload Alarm Processor</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6E70DA28" w14:textId="77777777" w:rsidR="001F04FD" w:rsidRPr="0013396E" w:rsidRDefault="001F04FD" w:rsidP="001F04FD">
      <w:pPr>
        <w:pStyle w:val="BodyTextNumbered"/>
      </w:pPr>
      <w:r w:rsidRPr="0013396E">
        <w:t>(1)</w:t>
      </w:r>
      <w:r w:rsidRPr="0013396E">
        <w:tab/>
        <w:t>Once transmission line and transformer Dynamic Ratings are retrieved, ERCOT shall compare the actual flow and state estimated flow calculation of MVA to the effective Transmission Element limit and, if an out-of-limit condition exists, ERCOT shall produce an overload notification.</w:t>
      </w:r>
    </w:p>
    <w:p w14:paraId="7A6E293D" w14:textId="77777777" w:rsidR="001F04FD" w:rsidRPr="0013396E" w:rsidRDefault="001F04FD" w:rsidP="001F04FD">
      <w:pPr>
        <w:pStyle w:val="H5"/>
        <w:spacing w:before="480"/>
        <w:ind w:left="1627" w:hanging="1627"/>
      </w:pPr>
      <w:bookmarkStart w:id="789" w:name="_Toc397504964"/>
      <w:bookmarkStart w:id="790" w:name="_Toc402357092"/>
      <w:bookmarkStart w:id="791" w:name="_Toc422486472"/>
      <w:bookmarkStart w:id="792" w:name="_Toc433093324"/>
      <w:bookmarkStart w:id="793" w:name="_Toc433093482"/>
      <w:bookmarkStart w:id="794" w:name="_Toc440874711"/>
      <w:bookmarkStart w:id="795" w:name="_Toc448142266"/>
      <w:bookmarkStart w:id="796" w:name="_Toc448142423"/>
      <w:bookmarkStart w:id="797" w:name="_Toc458770259"/>
      <w:bookmarkStart w:id="798" w:name="_Toc459294227"/>
      <w:bookmarkStart w:id="799" w:name="_Toc463262720"/>
      <w:bookmarkStart w:id="800" w:name="_Toc468286794"/>
      <w:bookmarkStart w:id="801" w:name="_Toc481502840"/>
      <w:bookmarkStart w:id="802" w:name="_Toc496080008"/>
      <w:bookmarkStart w:id="803" w:name="_Toc236220118"/>
      <w:r w:rsidRPr="0013396E">
        <w:t>6.5.7.1.9</w:t>
      </w:r>
      <w:r w:rsidRPr="0013396E">
        <w:tab/>
        <w:t>Contingency List and Contingency Screening</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sidRPr="0013396E">
        <w:t xml:space="preserve"> </w:t>
      </w:r>
    </w:p>
    <w:p w14:paraId="6F30FAF9" w14:textId="77777777" w:rsidR="001F04FD" w:rsidRPr="0013396E" w:rsidRDefault="001F04FD" w:rsidP="001F04FD">
      <w:pPr>
        <w:pStyle w:val="BodyTextNumbered"/>
      </w:pPr>
      <w:r w:rsidRPr="0013396E">
        <w:t>(1)</w:t>
      </w:r>
      <w:r w:rsidRPr="0013396E">
        <w:tab/>
        <w:t xml:space="preserve">For the Real-Time Sequence, ERCOT may select relevant contingencies from a standard contingency list previously developed by ERCOT under Section 5.5.1, Security </w:t>
      </w:r>
      <w:r w:rsidRPr="0013396E">
        <w:lastRenderedPageBreak/>
        <w:t>Sequence, that are likely to be active in Real-Time.  ERCOT may use the information provided by the hour-ahead or Day-Ahead NSA to assist in determining which contingencies are candidates for activation.</w:t>
      </w:r>
    </w:p>
    <w:p w14:paraId="45191F5D" w14:textId="77777777" w:rsidR="001F04FD" w:rsidRPr="0013396E" w:rsidRDefault="001F04FD" w:rsidP="001F04FD">
      <w:pPr>
        <w:pStyle w:val="H5"/>
        <w:spacing w:before="480"/>
        <w:ind w:left="1627" w:hanging="1627"/>
      </w:pPr>
      <w:bookmarkStart w:id="804" w:name="_Toc74137343"/>
      <w:bookmarkStart w:id="805" w:name="_Toc397504965"/>
      <w:bookmarkStart w:id="806" w:name="_Toc402357093"/>
      <w:bookmarkStart w:id="807" w:name="_Toc422486473"/>
      <w:bookmarkStart w:id="808" w:name="_Toc433093325"/>
      <w:bookmarkStart w:id="809" w:name="_Toc433093483"/>
      <w:bookmarkStart w:id="810" w:name="_Toc440874712"/>
      <w:bookmarkStart w:id="811" w:name="_Toc448142267"/>
      <w:bookmarkStart w:id="812" w:name="_Toc448142424"/>
      <w:bookmarkStart w:id="813" w:name="_Toc458770260"/>
      <w:bookmarkStart w:id="814" w:name="_Toc459294228"/>
      <w:bookmarkStart w:id="815" w:name="_Toc463262721"/>
      <w:bookmarkStart w:id="816" w:name="_Toc468286795"/>
      <w:bookmarkStart w:id="817" w:name="_Toc481502841"/>
      <w:bookmarkStart w:id="818" w:name="_Toc496080009"/>
      <w:bookmarkStart w:id="819" w:name="_Toc236220119"/>
      <w:r w:rsidRPr="0013396E">
        <w:t>6.5.7.1.10</w:t>
      </w:r>
      <w:r w:rsidRPr="0013396E">
        <w:tab/>
        <w:t>Network Security Analysis Processor</w:t>
      </w:r>
      <w:bookmarkEnd w:id="804"/>
      <w:r w:rsidRPr="0013396E">
        <w:t xml:space="preserve"> and Security Violation Alarm</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14:paraId="6FD504D4" w14:textId="77777777" w:rsidR="001F04FD" w:rsidRPr="0013396E" w:rsidRDefault="001F04FD" w:rsidP="001F04FD">
      <w:pPr>
        <w:pStyle w:val="BodyTextNumbered"/>
      </w:pPr>
      <w:r w:rsidRPr="0013396E">
        <w:t>(1)</w:t>
      </w:r>
      <w:r w:rsidRPr="0013396E">
        <w:tab/>
        <w:t xml:space="preserve">Using the input provided by the State Estimator, ERCOT shall use the NSA processor to perform analysis of all contingencies in the active list.  For each contingency, ERCOT shall use the NSA processor to monitor the elements for limit violations.  ERCOT shall use the NSA processor to verify Electrical Bus voltage limits to be within a percentage tolerance as outlined in the Operating Guides.  Contingency security violations for transmission lines and transformers occur if: </w:t>
      </w:r>
    </w:p>
    <w:p w14:paraId="5A27353F" w14:textId="77777777" w:rsidR="001F04FD" w:rsidRPr="0013396E" w:rsidRDefault="001F04FD" w:rsidP="001F04FD">
      <w:pPr>
        <w:pStyle w:val="BodyTextNumbered"/>
        <w:ind w:left="1440"/>
      </w:pPr>
      <w:r w:rsidRPr="0013396E">
        <w:t>(a)</w:t>
      </w:r>
      <w:r w:rsidRPr="0013396E">
        <w:tab/>
        <w:t xml:space="preserve">The predicted post-contingency MVA exceeds 100% of the Emergency Rating after consideration of Dynamic Ratings; and </w:t>
      </w:r>
    </w:p>
    <w:p w14:paraId="2D329205" w14:textId="77777777" w:rsidR="001F04FD" w:rsidRPr="0013396E" w:rsidRDefault="001F04FD" w:rsidP="006635FE">
      <w:pPr>
        <w:pStyle w:val="BodyTextNumbered"/>
        <w:ind w:left="1440"/>
      </w:pPr>
      <w:r w:rsidRPr="0013396E">
        <w:t>(b)</w:t>
      </w:r>
      <w:r w:rsidRPr="0013396E">
        <w:tab/>
      </w:r>
      <w:r w:rsidR="004B6E53" w:rsidRPr="0013396E">
        <w:t>A RAP, AMP or RAS is not defined allowing relief within the time allowed by the security criteria as defined in Operating Guide Section 2.2.2, Security Criteria.</w:t>
      </w:r>
      <w:r w:rsidRPr="0013396E">
        <w:t xml:space="preserve"> </w:t>
      </w:r>
    </w:p>
    <w:p w14:paraId="0818A562" w14:textId="77777777" w:rsidR="001F04FD" w:rsidRPr="0013396E" w:rsidRDefault="001F04FD" w:rsidP="006635FE">
      <w:pPr>
        <w:spacing w:after="240"/>
        <w:ind w:left="720" w:hanging="720"/>
        <w:rPr>
          <w:iCs/>
        </w:rPr>
      </w:pPr>
      <w:r w:rsidRPr="0013396E">
        <w:rPr>
          <w:iCs/>
        </w:rPr>
        <w:t>(2)</w:t>
      </w:r>
      <w:r w:rsidRPr="0013396E">
        <w:rPr>
          <w:iCs/>
        </w:rPr>
        <w:tab/>
        <w:t>When the NSA processor notifies ERCOT of a security violation, ERCOT shall immediately:</w:t>
      </w:r>
    </w:p>
    <w:p w14:paraId="348D52BB" w14:textId="77777777" w:rsidR="001F04FD" w:rsidRPr="0013396E" w:rsidRDefault="001F04FD" w:rsidP="001F04FD">
      <w:pPr>
        <w:spacing w:after="240"/>
        <w:ind w:left="1440" w:hanging="720"/>
        <w:rPr>
          <w:iCs/>
        </w:rPr>
      </w:pPr>
      <w:r w:rsidRPr="0013396E">
        <w:rPr>
          <w:iCs/>
        </w:rPr>
        <w:t>(a)</w:t>
      </w:r>
      <w:r w:rsidRPr="0013396E">
        <w:rPr>
          <w:iCs/>
        </w:rPr>
        <w:tab/>
        <w:t>Initiate the process described in Section 6.5.7.1.11, Transmission Network and Power Balance Constraint Management;</w:t>
      </w:r>
    </w:p>
    <w:p w14:paraId="2CAB9744" w14:textId="77777777" w:rsidR="001F04FD" w:rsidRPr="0013396E" w:rsidRDefault="001F04FD" w:rsidP="001F04FD">
      <w:pPr>
        <w:spacing w:after="240"/>
        <w:ind w:left="1440" w:hanging="720"/>
        <w:rPr>
          <w:iCs/>
        </w:rPr>
      </w:pPr>
      <w:r w:rsidRPr="0013396E">
        <w:rPr>
          <w:iCs/>
        </w:rPr>
        <w:t>(b)</w:t>
      </w:r>
      <w:r w:rsidRPr="0013396E">
        <w:rPr>
          <w:iCs/>
        </w:rPr>
        <w:tab/>
        <w:t>Seek to determine what unforeseen change in system condition has arisen that has resulted in the security violation, especially those that were 125% or greater of the Emergency Rating for a single SCED interval or greater than 100% of the Emergency Rating for a duration of 30 minutes or more; and</w:t>
      </w:r>
    </w:p>
    <w:p w14:paraId="4DD6E28B" w14:textId="77777777" w:rsidR="001F04FD" w:rsidRPr="0013396E" w:rsidRDefault="001F04FD" w:rsidP="001F04FD">
      <w:pPr>
        <w:pStyle w:val="BodyTextNumbered"/>
        <w:ind w:left="1440"/>
      </w:pPr>
      <w:r w:rsidRPr="0013396E">
        <w:rPr>
          <w:iCs/>
        </w:rPr>
        <w:t>(c)</w:t>
      </w:r>
      <w:r w:rsidRPr="0013396E">
        <w:rPr>
          <w:iCs/>
        </w:rPr>
        <w:tab/>
        <w:t>Where possible, seek to reverse the action (e.g. initiating a transmission clearance that the system was not properly pre-dispatched for) that has led to a security violation until further preventative action(s) can be taken.</w:t>
      </w:r>
    </w:p>
    <w:p w14:paraId="47BDDC57" w14:textId="77777777" w:rsidR="001F04FD" w:rsidRPr="0013396E" w:rsidRDefault="001F04FD" w:rsidP="001F04FD">
      <w:pPr>
        <w:pStyle w:val="BodyTextNumbered"/>
      </w:pPr>
      <w:r w:rsidRPr="0013396E">
        <w:t>(3)</w:t>
      </w:r>
      <w:r w:rsidRPr="0013396E">
        <w:tab/>
        <w:t>If SCED does not resolve a transmission security violation, ERCOT shall attempt to relieve the security violation by:</w:t>
      </w:r>
    </w:p>
    <w:p w14:paraId="59BADA62" w14:textId="77777777" w:rsidR="001F04FD" w:rsidRPr="0013396E" w:rsidRDefault="001F04FD" w:rsidP="001F04FD">
      <w:pPr>
        <w:pStyle w:val="List"/>
      </w:pPr>
      <w:r w:rsidRPr="0013396E">
        <w:t>(a)</w:t>
      </w:r>
      <w:r w:rsidRPr="0013396E">
        <w:tab/>
        <w:t>Confirming that pre-determined RAPs are properly modeled in the system;</w:t>
      </w:r>
    </w:p>
    <w:p w14:paraId="7058C734" w14:textId="77777777" w:rsidR="001F04FD" w:rsidRPr="0013396E" w:rsidRDefault="001F04FD" w:rsidP="001F04FD">
      <w:pPr>
        <w:pStyle w:val="List"/>
        <w:rPr>
          <w:szCs w:val="24"/>
        </w:rPr>
      </w:pPr>
      <w:r w:rsidRPr="0013396E">
        <w:t>(b)</w:t>
      </w:r>
      <w:r w:rsidRPr="0013396E">
        <w:rPr>
          <w:sz w:val="15"/>
          <w:szCs w:val="15"/>
        </w:rPr>
        <w:tab/>
      </w:r>
      <w:r w:rsidRPr="0013396E">
        <w:rPr>
          <w:szCs w:val="24"/>
        </w:rPr>
        <w:t xml:space="preserve">Instructing Resources to follow Base Points from SCED if those Resources are not already doing so; </w:t>
      </w:r>
    </w:p>
    <w:p w14:paraId="18DEFB6C" w14:textId="77777777" w:rsidR="001F04FD" w:rsidRPr="0013396E" w:rsidRDefault="001F04FD" w:rsidP="001F04FD">
      <w:pPr>
        <w:pStyle w:val="List"/>
      </w:pPr>
      <w:r w:rsidRPr="0013396E">
        <w:rPr>
          <w:szCs w:val="24"/>
        </w:rPr>
        <w:t>(c)</w:t>
      </w:r>
      <w:r w:rsidRPr="0013396E">
        <w:rPr>
          <w:szCs w:val="24"/>
        </w:rPr>
        <w:tab/>
      </w:r>
      <w:r w:rsidRPr="0013396E">
        <w:t xml:space="preserve">Instructing Resources to update the Resources Status in the COP from ONTEST to ON in order to provide more capacity to SCED; </w:t>
      </w:r>
    </w:p>
    <w:p w14:paraId="3D601682" w14:textId="77777777" w:rsidR="001F04FD" w:rsidRPr="0013396E" w:rsidRDefault="001F04FD" w:rsidP="001F04FD">
      <w:pPr>
        <w:pStyle w:val="List"/>
      </w:pPr>
      <w:r w:rsidRPr="0013396E">
        <w:t>(d)</w:t>
      </w:r>
      <w:r w:rsidRPr="0013396E">
        <w:tab/>
        <w:t>Deploying Resource-Specific Non-Spin;</w:t>
      </w:r>
    </w:p>
    <w:p w14:paraId="2A4C3C84" w14:textId="77777777" w:rsidR="001F04FD" w:rsidRPr="0013396E" w:rsidRDefault="001F04FD" w:rsidP="001F04FD">
      <w:pPr>
        <w:pStyle w:val="List"/>
      </w:pPr>
      <w:r w:rsidRPr="0013396E">
        <w:lastRenderedPageBreak/>
        <w:t>(e)</w:t>
      </w:r>
      <w:r w:rsidRPr="0013396E">
        <w:tab/>
        <w:t>Committing additional Generation Resources through the Reliability Unit Commitment (RUC) process;</w:t>
      </w:r>
    </w:p>
    <w:p w14:paraId="49BA4BC6" w14:textId="77777777" w:rsidR="001F04FD" w:rsidRPr="0013396E" w:rsidRDefault="001F04FD" w:rsidP="001F04FD">
      <w:pPr>
        <w:pStyle w:val="List"/>
      </w:pPr>
      <w:r w:rsidRPr="0013396E">
        <w:t>(f)</w:t>
      </w:r>
      <w:r w:rsidRPr="0013396E">
        <w:tab/>
        <w:t>Removing conflicting non-cascading constraints from the SCED process;</w:t>
      </w:r>
    </w:p>
    <w:p w14:paraId="0AF9D123" w14:textId="132473E2" w:rsidR="001F04FD" w:rsidRPr="0013396E" w:rsidRDefault="001F04FD" w:rsidP="001F04FD">
      <w:pPr>
        <w:pStyle w:val="List"/>
      </w:pPr>
      <w:r w:rsidRPr="0013396E">
        <w:t>(g)</w:t>
      </w:r>
      <w:r w:rsidRPr="0013396E">
        <w:tab/>
      </w:r>
      <w:r w:rsidR="00F3577E" w:rsidRPr="0013396E">
        <w:t>Re-Dispatching generation or, in the case of an ESR, its output or consumption, by over-riding HDLs and LDLs;</w:t>
      </w:r>
    </w:p>
    <w:p w14:paraId="2CD8D5E7" w14:textId="3D9DD529" w:rsidR="001F04FD" w:rsidRPr="0013396E" w:rsidRDefault="001F04FD" w:rsidP="007A1E53">
      <w:pPr>
        <w:pStyle w:val="List"/>
      </w:pPr>
      <w:r w:rsidRPr="0013396E">
        <w:t>(h)</w:t>
      </w:r>
      <w:r w:rsidRPr="0013396E">
        <w:tab/>
        <w:t>Instructing TSPs to utilize Reactive Power devices to manage voltage; and</w:t>
      </w:r>
    </w:p>
    <w:p w14:paraId="1592BC83" w14:textId="77777777" w:rsidR="001F04FD" w:rsidRPr="0013396E" w:rsidRDefault="001F04FD" w:rsidP="001F04FD">
      <w:pPr>
        <w:pStyle w:val="List"/>
      </w:pPr>
      <w:r w:rsidRPr="0013396E">
        <w:t>(i)</w:t>
      </w:r>
      <w:r w:rsidRPr="0013396E">
        <w:tab/>
        <w:t>If all other mechanisms have failed, ERCOT may authorize the expedited use of a Temporary Outage Action Plan (TOAP) or Mitigation Plan.</w:t>
      </w:r>
    </w:p>
    <w:p w14:paraId="3956ACE8" w14:textId="77777777" w:rsidR="001F04FD" w:rsidRPr="0013396E" w:rsidRDefault="001F04FD" w:rsidP="001F04FD">
      <w:pPr>
        <w:pStyle w:val="BodyTextNumbered"/>
      </w:pPr>
      <w:r w:rsidRPr="0013396E">
        <w:t>(4)</w:t>
      </w:r>
      <w:r w:rsidRPr="0013396E">
        <w:tab/>
      </w:r>
      <w:r w:rsidR="004B6E53" w:rsidRPr="0013396E">
        <w:t>NSA must be capable of analyzing contingencies, including the effects of RASs, AMPs and RAPs modeled in the Network Operations Model.  The NSA must fully integrate the evaluation and deployment of RASs, AMPs and RAPs and notify the ERCOT Operator of the application of these RASs, AMPs and RAPs to the solution.</w:t>
      </w:r>
    </w:p>
    <w:p w14:paraId="4D34066A" w14:textId="77777777" w:rsidR="001F04FD" w:rsidRPr="0013396E" w:rsidRDefault="001F04FD" w:rsidP="006635FE">
      <w:pPr>
        <w:pStyle w:val="BodyTextNumbered"/>
      </w:pPr>
      <w:r w:rsidRPr="0013396E">
        <w:t>(5)</w:t>
      </w:r>
      <w:r w:rsidRPr="0013396E">
        <w:tab/>
        <w:t>The Real-Time NSA may employ the use of appropriate ranking and other screening techniques to further reduce computation time by executing one or two iterations of the contingency study to gauge its impact and discard further study if the estimated result is inconsequential.</w:t>
      </w:r>
    </w:p>
    <w:p w14:paraId="5FE6EAF2" w14:textId="77777777" w:rsidR="00C57701" w:rsidRPr="0013396E" w:rsidRDefault="00C57701" w:rsidP="007E0C1D">
      <w:pPr>
        <w:pStyle w:val="BodyTextNumbered"/>
        <w:spacing w:before="240"/>
      </w:pPr>
      <w:r w:rsidRPr="0013396E">
        <w:t xml:space="preserve">(6) </w:t>
      </w:r>
      <w:r w:rsidRPr="0013396E">
        <w:tab/>
        <w:t>HDL or LDL overrides required to pre-posture for an expected Outage shall only be utilized until SCED is capable of managing the related constraint by economic dispatch.</w:t>
      </w:r>
    </w:p>
    <w:p w14:paraId="38D028F8" w14:textId="77777777" w:rsidR="001F04FD" w:rsidRPr="0013396E" w:rsidRDefault="001F04FD" w:rsidP="009E68BD">
      <w:pPr>
        <w:spacing w:after="240"/>
        <w:ind w:left="720" w:hanging="720"/>
        <w:rPr>
          <w:iCs/>
        </w:rPr>
      </w:pPr>
      <w:r w:rsidRPr="0013396E">
        <w:rPr>
          <w:iCs/>
        </w:rPr>
        <w:t>(</w:t>
      </w:r>
      <w:r w:rsidR="00C57701" w:rsidRPr="0013396E">
        <w:rPr>
          <w:iCs/>
        </w:rPr>
        <w:t>7</w:t>
      </w:r>
      <w:r w:rsidRPr="0013396E">
        <w:rPr>
          <w:iCs/>
        </w:rPr>
        <w:t>)</w:t>
      </w:r>
      <w:r w:rsidRPr="0013396E">
        <w:rPr>
          <w:iCs/>
        </w:rPr>
        <w:tab/>
        <w:t>ERCOT shall report monthly:</w:t>
      </w:r>
    </w:p>
    <w:p w14:paraId="24C090E1" w14:textId="77777777" w:rsidR="001F04FD" w:rsidRPr="0013396E" w:rsidRDefault="001F04FD" w:rsidP="001F04FD">
      <w:pPr>
        <w:spacing w:after="240"/>
        <w:ind w:left="1440" w:hanging="720"/>
      </w:pPr>
      <w:r w:rsidRPr="0013396E">
        <w:t>(a)</w:t>
      </w:r>
      <w:r w:rsidRPr="0013396E">
        <w:tab/>
        <w:t>All security violations that were 125% or greater of the Emergency Rating for a single SCED interval or greater than 100% of the Emergency Rating for a duration of 30 minutes or more during the prior reporting month and the number of occurrences and congestion cost associated with each of the constraints causing the security violations on a rolling 12 month basis.</w:t>
      </w:r>
    </w:p>
    <w:p w14:paraId="0A82D8F7" w14:textId="77777777" w:rsidR="001F04FD" w:rsidRPr="0013396E" w:rsidRDefault="001F04FD" w:rsidP="001F04FD">
      <w:pPr>
        <w:pStyle w:val="BodyTextNumbered"/>
        <w:ind w:left="1440"/>
      </w:pPr>
      <w:r w:rsidRPr="0013396E">
        <w:t>(b)</w:t>
      </w:r>
      <w:r w:rsidRPr="0013396E">
        <w:tab/>
        <w:t>Operating conditions on the ERCOT System that contributed to each transmission security violation reported in paragraph (</w:t>
      </w:r>
      <w:r w:rsidR="00B55F80" w:rsidRPr="0013396E">
        <w:t>7</w:t>
      </w:r>
      <w:r w:rsidRPr="0013396E">
        <w:t>)(a) above.  Analysis should be made to understand the root cause and what steps could be taken to avoid a recurrence in the future.</w:t>
      </w:r>
      <w:r w:rsidRPr="0013396E">
        <w:rPr>
          <w:iCs/>
        </w:rPr>
        <w:t xml:space="preserve">  </w:t>
      </w:r>
    </w:p>
    <w:p w14:paraId="58CA2B4F" w14:textId="77777777" w:rsidR="001F04FD" w:rsidRPr="0013396E" w:rsidRDefault="001F04FD" w:rsidP="001F04FD">
      <w:pPr>
        <w:pStyle w:val="H5"/>
        <w:spacing w:before="480"/>
        <w:ind w:left="1627" w:hanging="1627"/>
      </w:pPr>
      <w:bookmarkStart w:id="820" w:name="_Toc397504966"/>
      <w:bookmarkStart w:id="821" w:name="_Toc402357094"/>
      <w:bookmarkStart w:id="822" w:name="_Toc422486474"/>
      <w:bookmarkStart w:id="823" w:name="_Toc433093326"/>
      <w:bookmarkStart w:id="824" w:name="_Toc433093484"/>
      <w:bookmarkStart w:id="825" w:name="_Toc440874713"/>
      <w:bookmarkStart w:id="826" w:name="_Toc448142268"/>
      <w:bookmarkStart w:id="827" w:name="_Toc448142425"/>
      <w:bookmarkStart w:id="828" w:name="_Toc458770261"/>
      <w:bookmarkStart w:id="829" w:name="_Toc459294229"/>
      <w:bookmarkStart w:id="830" w:name="_Toc463262722"/>
      <w:bookmarkStart w:id="831" w:name="_Toc468286796"/>
      <w:bookmarkStart w:id="832" w:name="_Toc481502842"/>
      <w:bookmarkStart w:id="833" w:name="_Toc496080010"/>
      <w:bookmarkStart w:id="834" w:name="_Toc236220120"/>
      <w:r w:rsidRPr="0013396E">
        <w:t>6.5.7.1.11</w:t>
      </w:r>
      <w:r w:rsidRPr="0013396E">
        <w:tab/>
        <w:t>Transmission Network and Power Balance Constraint Management</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5EEC5CA6" w14:textId="57AFC7F0" w:rsidR="001F04FD" w:rsidRPr="0013396E" w:rsidRDefault="001F04FD" w:rsidP="001F04FD">
      <w:pPr>
        <w:pStyle w:val="BodyTextNumbered"/>
      </w:pPr>
      <w:r w:rsidRPr="0013396E">
        <w:rPr>
          <w:iCs/>
        </w:rPr>
        <w:t>(1)</w:t>
      </w:r>
      <w:r w:rsidRPr="0013396E">
        <w:rPr>
          <w:iCs/>
        </w:rPr>
        <w:tab/>
      </w:r>
      <w:r w:rsidR="00196B38" w:rsidRPr="0013396E">
        <w:rPr>
          <w:iCs/>
        </w:rPr>
        <w:t xml:space="preserve">ERCOT may not allow any constraint (contingency and limiting Transmission Element pair) identified by NSA to be activated in SCED until it has verified that the contingency definition in NSA associated with the constraint is accurate and appropriate given the current operating state of the ERCOT Transmission Grid.  ERCOT shall continuously post to the MIS Secure Area all constraint contingencies in the NSA.  ERCOT shall provide relevant constraint information, including, but not limited to, the contingency </w:t>
      </w:r>
      <w:r w:rsidR="00196B38" w:rsidRPr="0013396E">
        <w:rPr>
          <w:iCs/>
        </w:rPr>
        <w:lastRenderedPageBreak/>
        <w:t>name as provided in the standard contingency list, whether or not the constraint is active in SCED, the overloaded Transmission Element name, the Rating of the overloaded Transmission Element including Generic Transmission Limits (GTLs) expressed in MW and MVA, and pre-contingency or post-contingency flows expressed in MW and MVA.  For each Operating Day, ERCOT shall post to the MIS Secure Area within five days, a report listing all constraints with pre-contingency or post-contingency flows which exceeded the Rating of the overloaded Transmission Element for at least 15 minutes consecutively that were not activated in SCED and an explanation of why each constraint was not activated.</w:t>
      </w:r>
    </w:p>
    <w:p w14:paraId="6174FDEF" w14:textId="01E7EADD" w:rsidR="001F04FD" w:rsidRPr="0013396E" w:rsidRDefault="001F04FD" w:rsidP="00303EF0">
      <w:pPr>
        <w:pStyle w:val="BodyTextNumbered"/>
      </w:pPr>
      <w:r w:rsidRPr="0013396E">
        <w:t>(2)</w:t>
      </w:r>
      <w:r w:rsidRPr="0013396E">
        <w:tab/>
      </w:r>
      <w:r w:rsidR="005A1251" w:rsidRPr="0013396E">
        <w:t xml:space="preserve">Pursuant to </w:t>
      </w:r>
      <w:r w:rsidR="005A1251" w:rsidRPr="0013396E">
        <w:rPr>
          <w:szCs w:val="24"/>
        </w:rPr>
        <w:t xml:space="preserve">Section 22, Attachment P, Methodology for Setting Maximum Shadow Prices for Network and Power Balance Constraints, </w:t>
      </w:r>
      <w:r w:rsidRPr="0013396E">
        <w:t xml:space="preserve">ERCOT shall establish a maximum Shadow Price for each network constraint as part of the definition of contingencies.  The cost calculated by SCED to resolve an additional MW of congestion on the network constraint is limited to the maximum Shadow Price for the network constraint.  </w:t>
      </w:r>
    </w:p>
    <w:p w14:paraId="603EAC63" w14:textId="4FBC3670" w:rsidR="001F04FD" w:rsidRPr="0013396E" w:rsidRDefault="001F04FD" w:rsidP="001F04FD">
      <w:pPr>
        <w:pStyle w:val="BodyTextNumbered"/>
      </w:pPr>
      <w:r w:rsidRPr="0013396E">
        <w:t>(3)</w:t>
      </w:r>
      <w:r w:rsidRPr="0013396E">
        <w:tab/>
      </w:r>
      <w:r w:rsidR="005A1251" w:rsidRPr="0013396E">
        <w:t xml:space="preserve">Pursuant to </w:t>
      </w:r>
      <w:r w:rsidR="005A1251" w:rsidRPr="0013396E">
        <w:rPr>
          <w:szCs w:val="24"/>
        </w:rPr>
        <w:t xml:space="preserve">Section 22, Attachment P, </w:t>
      </w:r>
      <w:r w:rsidRPr="0013396E">
        <w:t xml:space="preserve">ERCOT shall establish a maximum Shadow Price for the power balance constraint.  The cost calculated by SCED to resolve either the addition or reduction of one MW of dispatched generation on the power balance constraint is limited to the maximum Shadow Price for the power balance constraint.  </w:t>
      </w:r>
    </w:p>
    <w:p w14:paraId="084050D6" w14:textId="5D11EA65" w:rsidR="001F04FD" w:rsidRPr="0013396E" w:rsidRDefault="001F04FD" w:rsidP="001F04FD">
      <w:pPr>
        <w:spacing w:after="240"/>
        <w:ind w:left="720" w:hanging="720"/>
      </w:pPr>
      <w:r w:rsidRPr="0013396E">
        <w:t>(</w:t>
      </w:r>
      <w:r w:rsidR="005A1251" w:rsidRPr="0013396E">
        <w:t>4</w:t>
      </w:r>
      <w:r w:rsidRPr="0013396E">
        <w:t>)</w:t>
      </w:r>
      <w:r w:rsidRPr="0013396E">
        <w:tab/>
        <w:t>If ERCOT determines that rating(s) in the Network Operations Model or configuration of the Transmission Facilities are not correct, then the TSP will provide the appropriate data submittals to ERCOT to correct the problem upon notification by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42463" w:rsidRPr="0013396E" w14:paraId="41FB46D1" w14:textId="77777777" w:rsidTr="004510FA">
        <w:trPr>
          <w:trHeight w:val="1547"/>
        </w:trPr>
        <w:tc>
          <w:tcPr>
            <w:tcW w:w="9576" w:type="dxa"/>
            <w:shd w:val="pct12" w:color="auto" w:fill="auto"/>
          </w:tcPr>
          <w:p w14:paraId="2669E242" w14:textId="63C7C925" w:rsidR="00142463" w:rsidRPr="0013396E" w:rsidRDefault="00142463" w:rsidP="004510FA">
            <w:pPr>
              <w:pStyle w:val="Instructions"/>
              <w:spacing w:before="120"/>
            </w:pPr>
            <w:bookmarkStart w:id="835" w:name="_Toc397504967"/>
            <w:bookmarkStart w:id="836" w:name="_Toc402357095"/>
            <w:bookmarkStart w:id="837" w:name="_Toc422486475"/>
            <w:bookmarkStart w:id="838" w:name="_Toc433093327"/>
            <w:bookmarkStart w:id="839" w:name="_Toc433093485"/>
            <w:bookmarkStart w:id="840" w:name="_Toc440874714"/>
            <w:bookmarkStart w:id="841" w:name="_Toc448142269"/>
            <w:bookmarkStart w:id="842" w:name="_Toc448142426"/>
            <w:bookmarkStart w:id="843" w:name="_Toc458770262"/>
            <w:bookmarkStart w:id="844" w:name="_Toc459294230"/>
            <w:bookmarkStart w:id="845" w:name="_Toc463262723"/>
            <w:bookmarkStart w:id="846" w:name="_Toc468286797"/>
            <w:bookmarkStart w:id="847" w:name="_Toc481502843"/>
            <w:bookmarkStart w:id="848" w:name="_Toc496080011"/>
            <w:r w:rsidRPr="0013396E">
              <w:t>[NPRR857:  Replace paragraph (</w:t>
            </w:r>
            <w:r w:rsidR="005A1251" w:rsidRPr="0013396E">
              <w:t>4</w:t>
            </w:r>
            <w:r w:rsidRPr="0013396E">
              <w:t>)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4719C083" w14:textId="49E93262" w:rsidR="00142463" w:rsidRPr="0013396E" w:rsidRDefault="00142463" w:rsidP="00142463">
            <w:pPr>
              <w:spacing w:after="240"/>
              <w:ind w:left="720" w:hanging="720"/>
            </w:pPr>
            <w:r w:rsidRPr="0013396E">
              <w:t>(</w:t>
            </w:r>
            <w:r w:rsidR="005A1251" w:rsidRPr="0013396E">
              <w:t>4</w:t>
            </w:r>
            <w:r w:rsidRPr="0013396E">
              <w:t>)</w:t>
            </w:r>
            <w:r w:rsidRPr="0013396E">
              <w:tab/>
              <w:t>If ERCOT determines that rating(s) in the Network Operations Model or configuration of the Transmission Facilities are not correct, then the TSP or DCTO will provide the appropriate data submittals to ERCOT to correct the problem upon notification by ERCOT.</w:t>
            </w:r>
          </w:p>
        </w:tc>
      </w:tr>
    </w:tbl>
    <w:p w14:paraId="5FD8A8F9" w14:textId="77777777" w:rsidR="001F04FD" w:rsidRPr="0013396E" w:rsidRDefault="001F04FD" w:rsidP="001F04FD">
      <w:pPr>
        <w:pStyle w:val="H5"/>
        <w:spacing w:before="480"/>
        <w:ind w:left="1627" w:hanging="1627"/>
      </w:pPr>
      <w:bookmarkStart w:id="849" w:name="_Toc236220121"/>
      <w:r w:rsidRPr="0013396E">
        <w:t>6.5.7.1.12</w:t>
      </w:r>
      <w:r w:rsidRPr="0013396E">
        <w:tab/>
        <w:t>Resource Limits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14:paraId="1B29889A" w14:textId="77777777" w:rsidR="00F3577E" w:rsidRPr="0013396E" w:rsidRDefault="00F3577E" w:rsidP="00F3577E">
      <w:pPr>
        <w:spacing w:after="240"/>
        <w:ind w:left="720" w:hanging="720"/>
      </w:pPr>
      <w:r w:rsidRPr="0013396E">
        <w:t>(1)</w:t>
      </w:r>
      <w:r w:rsidRPr="0013396E">
        <w:tab/>
        <w:t>The following Generation Resource or ESR limits are calculated by ERCOT and used as inputs by the SCED process:</w:t>
      </w:r>
    </w:p>
    <w:p w14:paraId="236A321F" w14:textId="77777777" w:rsidR="00F3577E" w:rsidRPr="0013396E" w:rsidRDefault="00F3577E" w:rsidP="00F3577E">
      <w:pPr>
        <w:spacing w:after="240"/>
        <w:ind w:left="1440" w:hanging="720"/>
      </w:pPr>
      <w:r w:rsidRPr="0013396E">
        <w:lastRenderedPageBreak/>
        <w:t>(a)</w:t>
      </w:r>
      <w:r w:rsidRPr="0013396E">
        <w:tab/>
        <w:t>Normal Ramp Rate based on the values telemetered by the QSE to ERCOT, which represents the current ability of the Resource to follow a Base Point instruction;</w:t>
      </w:r>
    </w:p>
    <w:p w14:paraId="3C118F40" w14:textId="77777777" w:rsidR="00F3577E" w:rsidRPr="0013396E" w:rsidRDefault="00F3577E" w:rsidP="00F3577E">
      <w:pPr>
        <w:spacing w:after="240"/>
        <w:ind w:left="1440" w:hanging="720"/>
      </w:pPr>
      <w:r w:rsidRPr="0013396E">
        <w:t>(b)</w:t>
      </w:r>
      <w:r w:rsidRPr="0013396E">
        <w:tab/>
        <w:t>Emergency Ramp Rate based on the</w:t>
      </w:r>
      <w:r w:rsidRPr="0013396E">
        <w:fldChar w:fldCharType="begin"/>
      </w:r>
      <w:r w:rsidRPr="0013396E">
        <w:fldChar w:fldCharType="end"/>
      </w:r>
      <w:r w:rsidRPr="0013396E">
        <w:t xml:space="preserve"> values telemetered by the QSE to ERCOT;</w:t>
      </w:r>
    </w:p>
    <w:p w14:paraId="08B168BD" w14:textId="77777777" w:rsidR="00F3577E" w:rsidRPr="0013396E" w:rsidRDefault="00F3577E" w:rsidP="00F3577E">
      <w:pPr>
        <w:spacing w:after="240"/>
        <w:ind w:left="1440" w:hanging="720"/>
      </w:pPr>
      <w:r w:rsidRPr="0013396E">
        <w:t>(c)</w:t>
      </w:r>
      <w:r w:rsidRPr="0013396E">
        <w:tab/>
        <w:t>HDL, which represents a dynamically calculated MW upper limit on a Resource that describes the maximum capability of the Resource’s SCED dispatch and limits the amount of Reg-Up that can be awarded to the Resource for the next five minutes (the Resource’s Real-Time generation or, in the case of an ESR, its Real-Time output or consumption, plus the product of the Normal Ramp Rate, as telemetered by the QSE, multiplied by five), restricted by HSL; and</w:t>
      </w:r>
    </w:p>
    <w:p w14:paraId="190BD003" w14:textId="77777777" w:rsidR="00F3577E" w:rsidRPr="0013396E" w:rsidRDefault="00F3577E" w:rsidP="00F3577E">
      <w:pPr>
        <w:spacing w:after="240"/>
        <w:ind w:left="1440" w:hanging="720"/>
      </w:pPr>
      <w:r w:rsidRPr="0013396E">
        <w:t>(d)</w:t>
      </w:r>
      <w:r w:rsidRPr="0013396E">
        <w:tab/>
        <w:t>LDL, which represents a dynamically calculated MW lower limit on a Resource that describes the minimum capability of the Resource’s SCED dispatch and limits the amount of Reg-Down that can be awarded to the Resource for the next five minutes (the Resource’s Real-Time generation or, in the case of an ESR, its Real-Time output or consumption, minus the product of the Normal Ramp Rate, as telemetered by the QSE, multiplied by five), restricted by LSL.</w:t>
      </w:r>
    </w:p>
    <w:p w14:paraId="7537C327" w14:textId="77777777" w:rsidR="00F3577E" w:rsidRPr="0013396E" w:rsidRDefault="00F3577E" w:rsidP="00F3577E">
      <w:pPr>
        <w:spacing w:after="240"/>
        <w:ind w:left="720" w:hanging="720"/>
      </w:pPr>
      <w:r w:rsidRPr="0013396E">
        <w:t>(2)</w:t>
      </w:r>
      <w:r w:rsidRPr="0013396E">
        <w:tab/>
        <w:t>The following Load Resource limits are calculated by ERCOT for CLRs qualified to be dispatched by SCED and used in other calculations and as information for ERCOT Operators:</w:t>
      </w:r>
    </w:p>
    <w:p w14:paraId="7746949E" w14:textId="77777777" w:rsidR="00F3577E" w:rsidRPr="0013396E" w:rsidRDefault="00F3577E" w:rsidP="00F3577E">
      <w:pPr>
        <w:spacing w:after="240"/>
        <w:ind w:left="1440" w:hanging="720"/>
      </w:pPr>
      <w:r w:rsidRPr="0013396E">
        <w:t>(a)</w:t>
      </w:r>
      <w:r w:rsidRPr="0013396E">
        <w:tab/>
        <w:t>Normal Ramp Rate based on the values telemetered by the QSE to ERCOT, which represents the current ability of the Resource to follow a SCED Base Point instruction;</w:t>
      </w:r>
    </w:p>
    <w:p w14:paraId="69C06F80" w14:textId="77777777" w:rsidR="00F3577E" w:rsidRPr="0013396E" w:rsidRDefault="00F3577E" w:rsidP="00F3577E">
      <w:pPr>
        <w:spacing w:after="240"/>
        <w:ind w:left="1440" w:hanging="720"/>
      </w:pPr>
      <w:r w:rsidRPr="0013396E">
        <w:t>(b)</w:t>
      </w:r>
      <w:r w:rsidRPr="0013396E">
        <w:tab/>
        <w:t>Emergency Ramp Rate based on the values telemetered by the QSE to ERCOT;</w:t>
      </w:r>
    </w:p>
    <w:p w14:paraId="16827651" w14:textId="77777777" w:rsidR="00F3577E" w:rsidRPr="0013396E" w:rsidRDefault="00F3577E" w:rsidP="00F3577E">
      <w:pPr>
        <w:spacing w:after="240"/>
        <w:ind w:left="1440" w:hanging="720"/>
      </w:pPr>
      <w:r w:rsidRPr="0013396E">
        <w:t>(c)</w:t>
      </w:r>
      <w:r w:rsidRPr="0013396E">
        <w:tab/>
        <w:t>HDL, which represents a dynamically calculated MW upper limit on a Resource that describes the maximum capability of the Resource SCED dispatch and limits the amount of Reg-Down that can be awarded to the Resource for the next five minutes (the Resource’s Real-Time consumption plus the product of the Normal Ramp Rate, as telemetered by the QSE, multiplied by five), restricted by HSL; and</w:t>
      </w:r>
    </w:p>
    <w:p w14:paraId="2601BBB9" w14:textId="77777777" w:rsidR="00F3577E" w:rsidRPr="0013396E" w:rsidRDefault="00F3577E" w:rsidP="00F3577E">
      <w:pPr>
        <w:spacing w:after="240"/>
        <w:ind w:left="1440" w:hanging="720"/>
      </w:pPr>
      <w:r w:rsidRPr="0013396E">
        <w:t>(d)</w:t>
      </w:r>
      <w:r w:rsidRPr="0013396E">
        <w:tab/>
        <w:t>LDL, which represents a dynamically calculated MW lower limit on a Resource that describes the minimum capability of the Resource SCED dispatch and limits the amount of Reg-Up that can be awarded to the Resource for the next five minutes (the Resource’s Real-Time consumption minus the product of the Normal Ramp Rate, as telemetered by the QSE, multiplied by five), restricted by LSL.</w:t>
      </w:r>
    </w:p>
    <w:p w14:paraId="61B7F176" w14:textId="01349F2E" w:rsidR="001F04FD" w:rsidRPr="0013396E" w:rsidRDefault="00F3577E" w:rsidP="001F04FD">
      <w:pPr>
        <w:pStyle w:val="BodyTextNumbered"/>
      </w:pPr>
      <w:r w:rsidRPr="0013396E">
        <w:t>(3)</w:t>
      </w:r>
      <w:r w:rsidRPr="0013396E">
        <w:tab/>
        <w:t>For a more detailed explanation of all the Resource limits calculated by ERCOT, please reference Section 6.5.7.2, Resource Limit Calculator.</w:t>
      </w:r>
      <w:r w:rsidRPr="0013396E" w:rsidDel="00F3577E">
        <w:t xml:space="preserve"> </w:t>
      </w:r>
    </w:p>
    <w:p w14:paraId="68B71B1A" w14:textId="77777777" w:rsidR="001F04FD" w:rsidRPr="0013396E" w:rsidRDefault="001F04FD" w:rsidP="007A1E53">
      <w:pPr>
        <w:pStyle w:val="H5"/>
        <w:ind w:left="1627" w:hanging="1627"/>
      </w:pPr>
      <w:bookmarkStart w:id="850" w:name="_Toc397504968"/>
      <w:bookmarkStart w:id="851" w:name="_Toc402357096"/>
      <w:bookmarkStart w:id="852" w:name="_Toc422486476"/>
      <w:bookmarkStart w:id="853" w:name="_Toc433093328"/>
      <w:bookmarkStart w:id="854" w:name="_Toc433093486"/>
      <w:bookmarkStart w:id="855" w:name="_Toc440874715"/>
      <w:bookmarkStart w:id="856" w:name="_Toc448142270"/>
      <w:bookmarkStart w:id="857" w:name="_Toc448142427"/>
      <w:bookmarkStart w:id="858" w:name="_Toc458770263"/>
      <w:bookmarkStart w:id="859" w:name="_Toc459294231"/>
      <w:bookmarkStart w:id="860" w:name="_Toc463262724"/>
      <w:bookmarkStart w:id="861" w:name="_Toc468286798"/>
      <w:bookmarkStart w:id="862" w:name="_Toc481502844"/>
      <w:bookmarkStart w:id="863" w:name="_Toc496080012"/>
      <w:bookmarkStart w:id="864" w:name="_Toc236220122"/>
      <w:r w:rsidRPr="0013396E">
        <w:lastRenderedPageBreak/>
        <w:t>6.5.7.1.13</w:t>
      </w:r>
      <w:r w:rsidRPr="0013396E">
        <w:tab/>
        <w:t>Data Inputs and Outputs for the Real-Time Sequence and SCED</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14:paraId="53979494" w14:textId="77777777" w:rsidR="001F04FD" w:rsidRPr="0013396E" w:rsidRDefault="001F04FD" w:rsidP="001F04FD">
      <w:pPr>
        <w:pStyle w:val="BodyTextNumbered"/>
      </w:pPr>
      <w:r w:rsidRPr="0013396E">
        <w:t>(1)</w:t>
      </w:r>
      <w:r w:rsidRPr="0013396E">
        <w:tab/>
        <w:t>Inputs:  The following information must be provided as inputs to the Real-Time Sequence and SCED.  ERCOT may require additional information as required, including:</w:t>
      </w:r>
    </w:p>
    <w:p w14:paraId="792BCD53" w14:textId="77777777" w:rsidR="001F04FD" w:rsidRPr="0013396E" w:rsidRDefault="001F04FD" w:rsidP="001F04FD">
      <w:pPr>
        <w:pStyle w:val="List"/>
      </w:pPr>
      <w:r w:rsidRPr="0013396E">
        <w:t>(a)</w:t>
      </w:r>
      <w:r w:rsidRPr="0013396E">
        <w:tab/>
        <w:t>Real-Time data from TSPs including status indication for each point if that data element is stale for more than 20 seconds;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42463" w:rsidRPr="0013396E" w14:paraId="4BB86229" w14:textId="77777777" w:rsidTr="004510FA">
        <w:trPr>
          <w:trHeight w:val="1547"/>
        </w:trPr>
        <w:tc>
          <w:tcPr>
            <w:tcW w:w="9576" w:type="dxa"/>
            <w:shd w:val="pct12" w:color="auto" w:fill="auto"/>
          </w:tcPr>
          <w:p w14:paraId="2070E802" w14:textId="0D84B4F4" w:rsidR="00142463" w:rsidRPr="0013396E" w:rsidRDefault="00142463" w:rsidP="004510FA">
            <w:pPr>
              <w:pStyle w:val="Instructions"/>
              <w:spacing w:before="120"/>
            </w:pPr>
            <w:r w:rsidRPr="0013396E">
              <w:t>[NPRR857:  Replace paragraph (a)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26815C23" w14:textId="77777777" w:rsidR="00142463" w:rsidRPr="0013396E" w:rsidRDefault="00862975" w:rsidP="00862975">
            <w:pPr>
              <w:spacing w:after="240"/>
              <w:ind w:left="1440" w:hanging="720"/>
            </w:pPr>
            <w:r w:rsidRPr="0013396E">
              <w:t>(a)</w:t>
            </w:r>
            <w:r w:rsidRPr="0013396E">
              <w:tab/>
              <w:t>Real-Time data from TSPs and DCTOs including status indication for each point if that data element is stale for more than 20 seconds;</w:t>
            </w:r>
          </w:p>
        </w:tc>
      </w:tr>
    </w:tbl>
    <w:p w14:paraId="7B9AA89D" w14:textId="77777777" w:rsidR="001F04FD" w:rsidRPr="0013396E" w:rsidRDefault="001F04FD" w:rsidP="0099247E">
      <w:pPr>
        <w:pStyle w:val="List2"/>
        <w:spacing w:before="240"/>
      </w:pPr>
      <w:r w:rsidRPr="0013396E">
        <w:t>(i)</w:t>
      </w:r>
      <w:r w:rsidRPr="0013396E">
        <w:tab/>
        <w:t>Transmission Electrical Bus voltages;</w:t>
      </w:r>
    </w:p>
    <w:p w14:paraId="77439A8C" w14:textId="77777777" w:rsidR="001F04FD" w:rsidRPr="0013396E" w:rsidRDefault="001F04FD" w:rsidP="001F04FD">
      <w:pPr>
        <w:pStyle w:val="List2"/>
      </w:pPr>
      <w:r w:rsidRPr="0013396E">
        <w:t>(ii)</w:t>
      </w:r>
      <w:r w:rsidRPr="0013396E">
        <w:tab/>
        <w:t>MW and MVAr pairs for all transmission lines, transformers, and reactors;</w:t>
      </w:r>
    </w:p>
    <w:p w14:paraId="778CF573" w14:textId="77777777" w:rsidR="001F04FD" w:rsidRPr="0013396E" w:rsidRDefault="001F04FD" w:rsidP="001F04FD">
      <w:pPr>
        <w:pStyle w:val="List2"/>
      </w:pPr>
      <w:r w:rsidRPr="0013396E">
        <w:t>(iii)</w:t>
      </w:r>
      <w:r w:rsidRPr="0013396E">
        <w:tab/>
        <w:t>Actual breaker and switch status for all modeled devices; and</w:t>
      </w:r>
    </w:p>
    <w:p w14:paraId="75B14212" w14:textId="77777777" w:rsidR="001F04FD" w:rsidRPr="0013396E" w:rsidRDefault="001F04FD" w:rsidP="001F04FD">
      <w:pPr>
        <w:pStyle w:val="List2"/>
      </w:pPr>
      <w:r w:rsidRPr="0013396E">
        <w:t>(iv)</w:t>
      </w:r>
      <w:r w:rsidRPr="0013396E">
        <w:tab/>
        <w:t>Tap position for auto-transformers;</w:t>
      </w:r>
    </w:p>
    <w:p w14:paraId="2C40B223" w14:textId="77777777" w:rsidR="001F04FD" w:rsidRPr="0013396E" w:rsidRDefault="001F04FD" w:rsidP="001F04FD">
      <w:pPr>
        <w:pStyle w:val="List"/>
      </w:pPr>
      <w:r w:rsidRPr="0013396E">
        <w:t>(b)</w:t>
      </w:r>
      <w:r w:rsidRPr="0013396E">
        <w:tab/>
        <w:t>State Estimator results (MW and MVAr pairs and calculated MVA) for all modeled Transmission Elements;</w:t>
      </w:r>
    </w:p>
    <w:p w14:paraId="48FEBD75" w14:textId="77777777" w:rsidR="001F04FD" w:rsidRPr="0013396E" w:rsidRDefault="001F04FD" w:rsidP="001F04FD">
      <w:pPr>
        <w:pStyle w:val="List"/>
      </w:pPr>
      <w:r w:rsidRPr="0013396E">
        <w:t>(c)</w:t>
      </w:r>
      <w:r w:rsidRPr="0013396E">
        <w:tab/>
        <w:t>Transmission Element ratings from TSPs;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62975" w:rsidRPr="0013396E" w14:paraId="6DEAAAA8" w14:textId="77777777" w:rsidTr="00F3577E">
        <w:trPr>
          <w:trHeight w:val="476"/>
        </w:trPr>
        <w:tc>
          <w:tcPr>
            <w:tcW w:w="9576" w:type="dxa"/>
            <w:shd w:val="pct12" w:color="auto" w:fill="auto"/>
          </w:tcPr>
          <w:p w14:paraId="6FB71C0D" w14:textId="2DE51B6B" w:rsidR="00862975" w:rsidRPr="0013396E" w:rsidRDefault="00862975" w:rsidP="004510FA">
            <w:pPr>
              <w:pStyle w:val="Instructions"/>
              <w:spacing w:before="120"/>
            </w:pPr>
            <w:r w:rsidRPr="0013396E">
              <w:t>[NPRR857:  Replace paragraph (c)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5EBC03CD" w14:textId="77777777" w:rsidR="00862975" w:rsidRPr="0013396E" w:rsidRDefault="00862975" w:rsidP="00862975">
            <w:pPr>
              <w:spacing w:after="240"/>
              <w:ind w:left="1440" w:hanging="720"/>
            </w:pPr>
            <w:r w:rsidRPr="0013396E">
              <w:t>(c)</w:t>
            </w:r>
            <w:r w:rsidRPr="0013396E">
              <w:tab/>
              <w:t>Transmission Element ratings from TSPs and DCTOs;</w:t>
            </w:r>
          </w:p>
        </w:tc>
      </w:tr>
    </w:tbl>
    <w:p w14:paraId="5EA1F168" w14:textId="77777777" w:rsidR="001F04FD" w:rsidRPr="0013396E" w:rsidRDefault="001F04FD" w:rsidP="0099247E">
      <w:pPr>
        <w:pStyle w:val="List2"/>
        <w:spacing w:before="240"/>
      </w:pPr>
      <w:r w:rsidRPr="0013396E">
        <w:t>(i)</w:t>
      </w:r>
      <w:r w:rsidRPr="0013396E">
        <w:tab/>
        <w:t>Data from the Network Operations Model:</w:t>
      </w:r>
    </w:p>
    <w:p w14:paraId="05B6FEB9" w14:textId="77777777" w:rsidR="001F04FD" w:rsidRPr="0013396E" w:rsidRDefault="001F04FD" w:rsidP="001F04FD">
      <w:pPr>
        <w:pStyle w:val="List3"/>
      </w:pPr>
      <w:r w:rsidRPr="0013396E">
        <w:lastRenderedPageBreak/>
        <w:t>(A)</w:t>
      </w:r>
      <w:r w:rsidRPr="0013396E">
        <w:tab/>
        <w:t>Transmission lines – Normal, Emergency, and 15-Minute Ratings (MVA); and</w:t>
      </w:r>
    </w:p>
    <w:p w14:paraId="5856ADD0" w14:textId="77777777" w:rsidR="001F04FD" w:rsidRPr="0013396E" w:rsidRDefault="001F04FD" w:rsidP="001F04FD">
      <w:pPr>
        <w:pStyle w:val="List3"/>
      </w:pPr>
      <w:r w:rsidRPr="0013396E">
        <w:t>(B)</w:t>
      </w:r>
      <w:r w:rsidRPr="0013396E">
        <w:tab/>
        <w:t>Transformers and Auto-transformers – Normal, Emergency, and 15-Minute Ratings (MVA) and tap position limits;</w:t>
      </w:r>
    </w:p>
    <w:p w14:paraId="1056DDA8" w14:textId="77777777" w:rsidR="001F04FD" w:rsidRPr="0013396E" w:rsidRDefault="001F04FD" w:rsidP="001F04FD">
      <w:pPr>
        <w:pStyle w:val="List2"/>
      </w:pPr>
      <w:r w:rsidRPr="0013396E">
        <w:t>(ii)</w:t>
      </w:r>
      <w:r w:rsidRPr="0013396E">
        <w:tab/>
        <w:t>Data from QSEs:</w:t>
      </w:r>
    </w:p>
    <w:p w14:paraId="6F822861" w14:textId="77777777" w:rsidR="001F04FD" w:rsidRPr="0013396E" w:rsidRDefault="001F04FD" w:rsidP="001F04FD">
      <w:pPr>
        <w:pStyle w:val="List3"/>
      </w:pPr>
      <w:r w:rsidRPr="0013396E">
        <w:t>(A)</w:t>
      </w:r>
      <w:r w:rsidRPr="0013396E">
        <w:tab/>
        <w:t>Generator Step-Up (GSU) transformers tap position;</w:t>
      </w:r>
    </w:p>
    <w:p w14:paraId="6F5413D6" w14:textId="77777777" w:rsidR="001F04FD" w:rsidRPr="0013396E" w:rsidRDefault="001F04FD" w:rsidP="001F04FD">
      <w:pPr>
        <w:pStyle w:val="List3"/>
      </w:pPr>
      <w:r w:rsidRPr="0013396E">
        <w:t>(B)</w:t>
      </w:r>
      <w:r w:rsidRPr="0013396E">
        <w:tab/>
        <w:t>Resource HSL (from telemetry); and</w:t>
      </w:r>
    </w:p>
    <w:p w14:paraId="0789E9AA" w14:textId="77777777" w:rsidR="001F04FD" w:rsidRPr="0013396E" w:rsidRDefault="001F04FD" w:rsidP="001F04FD">
      <w:pPr>
        <w:pStyle w:val="List3"/>
      </w:pPr>
      <w:r w:rsidRPr="0013396E">
        <w:t>(C)</w:t>
      </w:r>
      <w:r w:rsidRPr="0013396E">
        <w:tab/>
        <w:t>Resource LSL (from telemetry); and</w:t>
      </w:r>
    </w:p>
    <w:p w14:paraId="50D5C80B" w14:textId="77777777" w:rsidR="001F04FD" w:rsidRPr="0013396E" w:rsidRDefault="001F04FD" w:rsidP="001F04FD">
      <w:pPr>
        <w:pStyle w:val="List"/>
      </w:pPr>
      <w:r w:rsidRPr="0013396E">
        <w:t>(d)</w:t>
      </w:r>
      <w:r w:rsidRPr="0013396E">
        <w:tab/>
        <w:t xml:space="preserve">Real-Time weather, from </w:t>
      </w:r>
      <w:r w:rsidR="00B17C2D" w:rsidRPr="0013396E">
        <w:t>Wind-powered Generation Resources (</w:t>
      </w:r>
      <w:r w:rsidRPr="0013396E">
        <w:t>WGRs</w:t>
      </w:r>
      <w:r w:rsidR="00B17C2D" w:rsidRPr="0013396E">
        <w:t>)</w:t>
      </w:r>
      <w:r w:rsidRPr="0013396E">
        <w:t>, and where available from TSPs or other sources.  ERCOT may elect to obtain other sources of weather data and may utilize such information to calculate the dynamic limit of any Transmission Element.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004CF" w:rsidRPr="0013396E" w14:paraId="4D829B32" w14:textId="77777777" w:rsidTr="00F65784">
        <w:trPr>
          <w:trHeight w:val="926"/>
        </w:trPr>
        <w:tc>
          <w:tcPr>
            <w:tcW w:w="9350" w:type="dxa"/>
            <w:shd w:val="pct12" w:color="auto" w:fill="auto"/>
          </w:tcPr>
          <w:p w14:paraId="34682B0F" w14:textId="0D490FBB" w:rsidR="00A004CF" w:rsidRPr="0013396E" w:rsidRDefault="00A004CF" w:rsidP="004510FA">
            <w:pPr>
              <w:pStyle w:val="Instructions"/>
              <w:spacing w:before="120"/>
            </w:pPr>
            <w:r w:rsidRPr="0013396E">
              <w:t>[NPRR857:  Replace paragraph (d)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1B48A8DB" w14:textId="77777777" w:rsidR="00A004CF" w:rsidRPr="0013396E" w:rsidRDefault="00A004CF" w:rsidP="00B17C2D">
            <w:pPr>
              <w:spacing w:after="240"/>
              <w:ind w:left="1440" w:hanging="720"/>
            </w:pPr>
            <w:r w:rsidRPr="0013396E">
              <w:t>(d)</w:t>
            </w:r>
            <w:r w:rsidRPr="0013396E">
              <w:tab/>
              <w:t>Real-Time weather, from</w:t>
            </w:r>
            <w:r w:rsidR="00B17C2D" w:rsidRPr="0013396E">
              <w:t xml:space="preserve"> Wind-powered Generation Resources (WGRs), </w:t>
            </w:r>
            <w:r w:rsidRPr="0013396E">
              <w:t>and where available from TSPs, DCTOs, or other sources.  ERCOT may elect to obtain other sources of weather data and may utilize such information to calculate the dynamic limit of any Transmission Element.</w:t>
            </w:r>
          </w:p>
        </w:tc>
      </w:tr>
    </w:tbl>
    <w:p w14:paraId="510712C9" w14:textId="6001B6B1" w:rsidR="001F04FD" w:rsidRPr="0013396E" w:rsidRDefault="001F04FD" w:rsidP="000B1D41">
      <w:pPr>
        <w:pStyle w:val="BodyTextNumbered"/>
        <w:spacing w:before="240"/>
      </w:pPr>
      <w:r w:rsidRPr="0013396E">
        <w:t>(</w:t>
      </w:r>
      <w:r w:rsidR="00F3577E" w:rsidRPr="0013396E">
        <w:t>2</w:t>
      </w:r>
      <w:r w:rsidRPr="0013396E">
        <w:t>)</w:t>
      </w:r>
      <w:r w:rsidRPr="0013396E">
        <w:tab/>
        <w:t>Outputs for ERCOT Operator information and possible action include:</w:t>
      </w:r>
    </w:p>
    <w:p w14:paraId="176887A8" w14:textId="77777777" w:rsidR="001F04FD" w:rsidRPr="0013396E" w:rsidRDefault="001F04FD" w:rsidP="001F04FD">
      <w:pPr>
        <w:pStyle w:val="List"/>
      </w:pPr>
      <w:r w:rsidRPr="0013396E">
        <w:t>(a)</w:t>
      </w:r>
      <w:r w:rsidRPr="0013396E">
        <w:tab/>
        <w:t>Operator notification of any change in status of any breaker or switch;</w:t>
      </w:r>
    </w:p>
    <w:p w14:paraId="2028FB52" w14:textId="77777777" w:rsidR="001F04FD" w:rsidRPr="0013396E" w:rsidRDefault="001F04FD" w:rsidP="001F04FD">
      <w:pPr>
        <w:pStyle w:val="List"/>
      </w:pPr>
      <w:r w:rsidRPr="0013396E">
        <w:t>(b)</w:t>
      </w:r>
      <w:r w:rsidRPr="0013396E">
        <w:tab/>
        <w:t>Lists of all breakers and switches not in their normal position;</w:t>
      </w:r>
    </w:p>
    <w:p w14:paraId="5F3E309C" w14:textId="77777777" w:rsidR="001F04FD" w:rsidRPr="0013396E" w:rsidRDefault="001F04FD" w:rsidP="001F04FD">
      <w:pPr>
        <w:pStyle w:val="List"/>
      </w:pPr>
      <w:r w:rsidRPr="0013396E">
        <w:t>(c)</w:t>
      </w:r>
      <w:r w:rsidRPr="0013396E">
        <w:tab/>
        <w:t>Operator notification of all Transmission Element overloads detected from telemetered or State-Estimated data;</w:t>
      </w:r>
    </w:p>
    <w:p w14:paraId="6FDBB6DF" w14:textId="77777777" w:rsidR="001F04FD" w:rsidRPr="0013396E" w:rsidRDefault="001F04FD" w:rsidP="001F04FD">
      <w:pPr>
        <w:pStyle w:val="List"/>
      </w:pPr>
      <w:r w:rsidRPr="0013396E">
        <w:t>(d)</w:t>
      </w:r>
      <w:r w:rsidRPr="0013396E">
        <w:tab/>
        <w:t>Operator notification of all Transmission Element security violations; and</w:t>
      </w:r>
    </w:p>
    <w:p w14:paraId="5B037FEC" w14:textId="77777777" w:rsidR="001F04FD" w:rsidRPr="0013396E" w:rsidRDefault="001F04FD" w:rsidP="001F04FD">
      <w:pPr>
        <w:pStyle w:val="List"/>
      </w:pPr>
      <w:r w:rsidRPr="0013396E">
        <w:t>(e)</w:t>
      </w:r>
      <w:r w:rsidRPr="0013396E">
        <w:tab/>
        <w:t>Operator summary displays:</w:t>
      </w:r>
    </w:p>
    <w:p w14:paraId="304F64C4" w14:textId="77777777" w:rsidR="001F04FD" w:rsidRPr="0013396E" w:rsidRDefault="001F04FD" w:rsidP="001F04FD">
      <w:pPr>
        <w:pStyle w:val="List2"/>
      </w:pPr>
      <w:r w:rsidRPr="0013396E">
        <w:t>(i)</w:t>
      </w:r>
      <w:r w:rsidRPr="0013396E">
        <w:tab/>
        <w:t>Transmission system status changes;</w:t>
      </w:r>
    </w:p>
    <w:p w14:paraId="70D9797C" w14:textId="77777777" w:rsidR="001F04FD" w:rsidRPr="0013396E" w:rsidRDefault="001F04FD" w:rsidP="001F04FD">
      <w:pPr>
        <w:pStyle w:val="List2"/>
      </w:pPr>
      <w:r w:rsidRPr="0013396E">
        <w:lastRenderedPageBreak/>
        <w:t>(ii)</w:t>
      </w:r>
      <w:r w:rsidRPr="0013396E">
        <w:tab/>
        <w:t>Overloads;</w:t>
      </w:r>
    </w:p>
    <w:p w14:paraId="6216726C" w14:textId="77777777" w:rsidR="001F04FD" w:rsidRPr="0013396E" w:rsidRDefault="001F04FD" w:rsidP="001F04FD">
      <w:pPr>
        <w:pStyle w:val="List2"/>
      </w:pPr>
      <w:r w:rsidRPr="0013396E">
        <w:t>(iii)</w:t>
      </w:r>
      <w:r w:rsidRPr="0013396E">
        <w:tab/>
        <w:t>System security violations; and</w:t>
      </w:r>
    </w:p>
    <w:p w14:paraId="12307420" w14:textId="77777777" w:rsidR="001F04FD" w:rsidRPr="0013396E" w:rsidRDefault="001F04FD" w:rsidP="001F04FD">
      <w:pPr>
        <w:pStyle w:val="List2"/>
      </w:pPr>
      <w:r w:rsidRPr="0013396E">
        <w:t>(iv)</w:t>
      </w:r>
      <w:r w:rsidRPr="0013396E">
        <w:tab/>
        <w:t>Base Points.</w:t>
      </w:r>
    </w:p>
    <w:p w14:paraId="67E3AFC3" w14:textId="3497281C" w:rsidR="001F04FD" w:rsidRPr="0013396E" w:rsidRDefault="001F04FD" w:rsidP="001F04FD">
      <w:pPr>
        <w:pStyle w:val="BodyTextNumbered"/>
      </w:pPr>
      <w:r w:rsidRPr="0013396E">
        <w:t>(</w:t>
      </w:r>
      <w:r w:rsidR="00F3577E" w:rsidRPr="0013396E">
        <w:t>3</w:t>
      </w:r>
      <w:r w:rsidRPr="0013396E">
        <w:t>)</w:t>
      </w:r>
      <w:r w:rsidRPr="0013396E">
        <w:tab/>
        <w:t>Every hour, ERCOT shall post on the MIS Secure Area the following information:</w:t>
      </w:r>
    </w:p>
    <w:p w14:paraId="24DAB843" w14:textId="77777777" w:rsidR="001F04FD" w:rsidRPr="0013396E" w:rsidRDefault="001F04FD" w:rsidP="001F04FD">
      <w:pPr>
        <w:pStyle w:val="List"/>
      </w:pPr>
      <w:r w:rsidRPr="0013396E">
        <w:t>(a)</w:t>
      </w:r>
      <w:r w:rsidRPr="0013396E">
        <w:tab/>
        <w:t>Status of all breakers and switches used in the NSA except breakers and switches connecting Resources to the ERCOT Transmission Grid;</w:t>
      </w:r>
    </w:p>
    <w:p w14:paraId="75DBB5CF" w14:textId="77777777" w:rsidR="001F04FD" w:rsidRPr="0013396E" w:rsidRDefault="001F04FD" w:rsidP="001F04FD">
      <w:pPr>
        <w:pStyle w:val="List"/>
      </w:pPr>
      <w:r w:rsidRPr="0013396E">
        <w:t>(b)</w:t>
      </w:r>
      <w:r w:rsidRPr="0013396E">
        <w:tab/>
        <w:t>All binding transmission constraints and the contingency or overloaded element pairs that caused such constraint; and</w:t>
      </w:r>
    </w:p>
    <w:p w14:paraId="08DAAD61" w14:textId="77777777" w:rsidR="001F04FD" w:rsidRPr="0013396E" w:rsidRDefault="001F04FD" w:rsidP="001F04FD">
      <w:pPr>
        <w:pStyle w:val="List"/>
      </w:pPr>
      <w:r w:rsidRPr="0013396E">
        <w:t>(c)</w:t>
      </w:r>
      <w:r w:rsidRPr="0013396E">
        <w:tab/>
      </w:r>
      <w:r w:rsidR="00326E23" w:rsidRPr="0013396E">
        <w:t>Shift Factors, including Private Use Network Settlement Points, by Resource Node, Hub, Load Zone, and DC 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0447C" w:rsidRPr="0013396E" w14:paraId="257F0985" w14:textId="77777777" w:rsidTr="00AE5CE8">
        <w:trPr>
          <w:trHeight w:val="206"/>
        </w:trPr>
        <w:tc>
          <w:tcPr>
            <w:tcW w:w="9576" w:type="dxa"/>
            <w:shd w:val="pct12" w:color="auto" w:fill="auto"/>
          </w:tcPr>
          <w:p w14:paraId="3516E39F" w14:textId="4AB8B094" w:rsidR="0070447C" w:rsidRPr="0013396E" w:rsidRDefault="0070447C" w:rsidP="00AE5CE8">
            <w:pPr>
              <w:pStyle w:val="Instructions"/>
              <w:spacing w:before="120"/>
            </w:pPr>
            <w:r w:rsidRPr="0013396E">
              <w:t>[NPRR1239</w:t>
            </w:r>
            <w:r w:rsidR="008015A9" w:rsidRPr="0013396E">
              <w:t xml:space="preserve"> and NPRR1249</w:t>
            </w:r>
            <w:r w:rsidRPr="0013396E">
              <w:t xml:space="preserve">:  Replace </w:t>
            </w:r>
            <w:r w:rsidR="008015A9" w:rsidRPr="0013396E">
              <w:t xml:space="preserve">applicable portions of </w:t>
            </w:r>
            <w:r w:rsidRPr="0013396E">
              <w:t>paragraph (</w:t>
            </w:r>
            <w:r w:rsidR="00F3577E" w:rsidRPr="0013396E">
              <w:t>3</w:t>
            </w:r>
            <w:r w:rsidRPr="0013396E">
              <w:t>) above with the following upon system implementation:]</w:t>
            </w:r>
          </w:p>
          <w:p w14:paraId="58532DD2" w14:textId="60BE7BBE" w:rsidR="0070447C" w:rsidRPr="0013396E" w:rsidRDefault="0070447C" w:rsidP="0070447C">
            <w:pPr>
              <w:spacing w:after="240"/>
              <w:ind w:left="720" w:hanging="720"/>
            </w:pPr>
            <w:r w:rsidRPr="0013396E">
              <w:t>(</w:t>
            </w:r>
            <w:r w:rsidR="00F3577E" w:rsidRPr="0013396E">
              <w:t>3</w:t>
            </w:r>
            <w:r w:rsidRPr="0013396E">
              <w:t>)</w:t>
            </w:r>
            <w:r w:rsidRPr="0013396E">
              <w:tab/>
              <w:t>Every hour, ERCOT shall post on the MIS Secure Area, except where otherwise stated in this paragraph (</w:t>
            </w:r>
            <w:r w:rsidR="00F3577E" w:rsidRPr="0013396E">
              <w:t>3</w:t>
            </w:r>
            <w:r w:rsidRPr="0013396E">
              <w:t>), the following information:</w:t>
            </w:r>
          </w:p>
          <w:p w14:paraId="0A11AB6E" w14:textId="77777777" w:rsidR="0070447C" w:rsidRPr="0013396E" w:rsidRDefault="0070447C" w:rsidP="0070447C">
            <w:pPr>
              <w:spacing w:after="240"/>
              <w:ind w:left="1440" w:hanging="720"/>
            </w:pPr>
            <w:r w:rsidRPr="0013396E">
              <w:t>(a)</w:t>
            </w:r>
            <w:r w:rsidRPr="0013396E">
              <w:tab/>
              <w:t>Status of all breakers and switches used in the NSA except breakers and switches connecting Resources to the ERCOT Transmission Grid;</w:t>
            </w:r>
          </w:p>
          <w:p w14:paraId="62EA6224" w14:textId="77777777" w:rsidR="0070447C" w:rsidRPr="0013396E" w:rsidRDefault="0070447C" w:rsidP="0070447C">
            <w:pPr>
              <w:spacing w:after="240"/>
              <w:ind w:left="1440" w:hanging="720"/>
            </w:pPr>
            <w:r w:rsidRPr="0013396E">
              <w:t>(b)</w:t>
            </w:r>
            <w:r w:rsidRPr="0013396E">
              <w:tab/>
              <w:t>All binding transmission constraints and the contingency or overloaded element pairs that caused such constraint; and</w:t>
            </w:r>
          </w:p>
          <w:p w14:paraId="37FDFA7B" w14:textId="66405A1A" w:rsidR="0070447C" w:rsidRPr="0013396E" w:rsidRDefault="0070447C" w:rsidP="0070447C">
            <w:pPr>
              <w:spacing w:after="240"/>
              <w:ind w:left="1440" w:hanging="720"/>
            </w:pPr>
            <w:r w:rsidRPr="0013396E">
              <w:t>(c)</w:t>
            </w:r>
            <w:r w:rsidRPr="0013396E">
              <w:tab/>
              <w:t>On the ERCOT website, Shift Factors</w:t>
            </w:r>
            <w:r w:rsidR="008015A9" w:rsidRPr="0013396E">
              <w:t xml:space="preserve"> for all active transmission constraints</w:t>
            </w:r>
            <w:r w:rsidRPr="0013396E">
              <w:t>, including Private Use Network Settlement Points, by Resource Node, Hub, Load Zone, and DC Tie.</w:t>
            </w:r>
          </w:p>
        </w:tc>
      </w:tr>
    </w:tbl>
    <w:p w14:paraId="483A1A5C" w14:textId="64BA472E" w:rsidR="001F04FD" w:rsidRPr="0013396E" w:rsidRDefault="001F04FD" w:rsidP="00952F33">
      <w:pPr>
        <w:pStyle w:val="List"/>
        <w:spacing w:before="240"/>
        <w:ind w:left="720"/>
      </w:pPr>
      <w:r w:rsidRPr="0013396E">
        <w:t>(</w:t>
      </w:r>
      <w:r w:rsidR="00F3577E" w:rsidRPr="0013396E">
        <w:t>4</w:t>
      </w:r>
      <w:r w:rsidRPr="0013396E">
        <w:t>)</w:t>
      </w:r>
      <w:r w:rsidRPr="0013396E">
        <w:tab/>
        <w:t>Sixty days after the applicable Operating Day, ERCOT shall post on the MIS Secure Area, the following information:</w:t>
      </w:r>
    </w:p>
    <w:p w14:paraId="78121722" w14:textId="77777777" w:rsidR="001F04FD" w:rsidRPr="0013396E" w:rsidRDefault="001F04FD" w:rsidP="001F04FD">
      <w:pPr>
        <w:pStyle w:val="List"/>
      </w:pPr>
      <w:r w:rsidRPr="0013396E">
        <w:t>(a)</w:t>
      </w:r>
      <w:r w:rsidRPr="0013396E">
        <w:tab/>
        <w:t>Hourly transmission line flows and voltages from the State Estimator, excluding transmission line flows and voltages for Private Use Networks; and</w:t>
      </w:r>
    </w:p>
    <w:p w14:paraId="690E59C7" w14:textId="77777777" w:rsidR="001F04FD" w:rsidRPr="0013396E" w:rsidRDefault="001F04FD" w:rsidP="001F04FD">
      <w:pPr>
        <w:pStyle w:val="List"/>
      </w:pPr>
      <w:r w:rsidRPr="0013396E">
        <w:t>(b)</w:t>
      </w:r>
      <w:r w:rsidRPr="0013396E">
        <w:tab/>
        <w:t>Hourly transformer flows, voltages and tap positions from the State Estimator, excluding transformer flows, voltages, and tap positions for Private Use Networks.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C4DE5" w:rsidRPr="0013396E" w14:paraId="74A27BA5" w14:textId="77777777" w:rsidTr="00AE5CE8">
        <w:trPr>
          <w:trHeight w:val="206"/>
        </w:trPr>
        <w:tc>
          <w:tcPr>
            <w:tcW w:w="9576" w:type="dxa"/>
            <w:shd w:val="pct12" w:color="auto" w:fill="auto"/>
          </w:tcPr>
          <w:p w14:paraId="757EAE9D" w14:textId="603C059F" w:rsidR="00AC4DE5" w:rsidRPr="0013396E" w:rsidRDefault="00AC4DE5" w:rsidP="00AE5CE8">
            <w:pPr>
              <w:pStyle w:val="Instructions"/>
              <w:spacing w:before="120"/>
            </w:pPr>
            <w:r w:rsidRPr="0013396E">
              <w:t>[NPRR1239:  Replace paragraph (</w:t>
            </w:r>
            <w:r w:rsidR="00F3577E" w:rsidRPr="0013396E">
              <w:t>4</w:t>
            </w:r>
            <w:r w:rsidRPr="0013396E">
              <w:t>) above with the following upon system implementation:]</w:t>
            </w:r>
          </w:p>
          <w:p w14:paraId="35962E18" w14:textId="1F851CAC" w:rsidR="00AC4DE5" w:rsidRPr="0013396E" w:rsidRDefault="00AC4DE5" w:rsidP="00AC4DE5">
            <w:pPr>
              <w:spacing w:after="240"/>
              <w:ind w:left="720" w:hanging="720"/>
            </w:pPr>
            <w:r w:rsidRPr="0013396E">
              <w:lastRenderedPageBreak/>
              <w:t>(</w:t>
            </w:r>
            <w:r w:rsidR="00F3577E" w:rsidRPr="0013396E">
              <w:t>4</w:t>
            </w:r>
            <w:r w:rsidRPr="0013396E">
              <w:t>)</w:t>
            </w:r>
            <w:r w:rsidRPr="0013396E">
              <w:tab/>
              <w:t>Sixty days after the applicable Operating Day, ERCOT shall post on the ERCOT website, the following information:</w:t>
            </w:r>
          </w:p>
          <w:p w14:paraId="5D731693" w14:textId="77777777" w:rsidR="00AC4DE5" w:rsidRPr="0013396E" w:rsidRDefault="00AC4DE5" w:rsidP="00AC4DE5">
            <w:pPr>
              <w:spacing w:after="240"/>
              <w:ind w:left="1440" w:hanging="720"/>
            </w:pPr>
            <w:r w:rsidRPr="0013396E">
              <w:t>(a)</w:t>
            </w:r>
            <w:r w:rsidRPr="0013396E">
              <w:tab/>
              <w:t>Hourly transmission line flows and voltages from the State Estimator, excluding transmission line flows and voltages for Private Use Networks; and</w:t>
            </w:r>
          </w:p>
          <w:p w14:paraId="24DE0640" w14:textId="7FB51DE9" w:rsidR="00AC4DE5" w:rsidRPr="0013396E" w:rsidRDefault="00AC4DE5" w:rsidP="00AC4DE5">
            <w:pPr>
              <w:spacing w:after="240"/>
              <w:ind w:left="1440" w:hanging="720"/>
            </w:pPr>
            <w:r w:rsidRPr="0013396E">
              <w:t>(b)</w:t>
            </w:r>
            <w:r w:rsidRPr="0013396E">
              <w:tab/>
              <w:t>Hourly transformer flows, voltages and tap positions from the State Estimator, excluding transformer flows, voltages, and tap positions for Private Use Networks.</w:t>
            </w:r>
          </w:p>
        </w:tc>
      </w:tr>
    </w:tbl>
    <w:p w14:paraId="66970CD2" w14:textId="5B99A147" w:rsidR="001F04FD" w:rsidRPr="0013396E" w:rsidRDefault="001F04FD" w:rsidP="00952F33">
      <w:pPr>
        <w:spacing w:before="240" w:after="240"/>
        <w:ind w:left="720" w:hanging="720"/>
        <w:rPr>
          <w:iCs/>
        </w:rPr>
      </w:pPr>
      <w:r w:rsidRPr="0013396E">
        <w:rPr>
          <w:iCs/>
        </w:rPr>
        <w:lastRenderedPageBreak/>
        <w:t>(</w:t>
      </w:r>
      <w:r w:rsidR="00F3577E" w:rsidRPr="0013396E">
        <w:rPr>
          <w:iCs/>
        </w:rPr>
        <w:t>5</w:t>
      </w:r>
      <w:r w:rsidRPr="0013396E">
        <w:rPr>
          <w:iCs/>
        </w:rPr>
        <w:t>)</w:t>
      </w:r>
      <w:r w:rsidRPr="0013396E">
        <w:rPr>
          <w:iCs/>
        </w:rPr>
        <w:tab/>
        <w:t>Notwithstanding paragraph (</w:t>
      </w:r>
      <w:r w:rsidR="00F3577E" w:rsidRPr="0013396E">
        <w:rPr>
          <w:iCs/>
        </w:rPr>
        <w:t>4</w:t>
      </w:r>
      <w:r w:rsidRPr="0013396E">
        <w:rPr>
          <w:iCs/>
        </w:rPr>
        <w:t>) above, ERCOT, in its sole discretion, shall release relevant State Estimator data less than 60 days after the Operating Day if it determines the release is necessary to provide complete and timely explanation and analysis of unexpected market operations and results or system events including, but not limited to, pricing anomalies, recurring transmission congestion, and system disturbances.  ERCOT’s release of data under this paragraph shall be limited to intervals associated with the unexpected market or system event as determined by ERCOT.  The data release shall be made available simultaneously to all Market Participants.</w:t>
      </w:r>
    </w:p>
    <w:p w14:paraId="4BD3B2D9" w14:textId="6F409D89" w:rsidR="001F04FD" w:rsidRPr="0013396E" w:rsidRDefault="001F04FD" w:rsidP="001F04FD">
      <w:pPr>
        <w:pStyle w:val="List"/>
        <w:ind w:left="720"/>
        <w:rPr>
          <w:iCs/>
        </w:rPr>
      </w:pPr>
      <w:r w:rsidRPr="0013396E">
        <w:rPr>
          <w:iCs/>
        </w:rPr>
        <w:t>(</w:t>
      </w:r>
      <w:r w:rsidR="00F3577E" w:rsidRPr="0013396E">
        <w:rPr>
          <w:iCs/>
        </w:rPr>
        <w:t>6</w:t>
      </w:r>
      <w:r w:rsidRPr="0013396E">
        <w:rPr>
          <w:iCs/>
        </w:rPr>
        <w:t>)</w:t>
      </w:r>
      <w:r w:rsidRPr="0013396E">
        <w:rPr>
          <w:iCs/>
        </w:rPr>
        <w:tab/>
        <w:t xml:space="preserve">Every hour, ERCOT shall post on the </w:t>
      </w:r>
      <w:r w:rsidR="0007207E" w:rsidRPr="0013396E">
        <w:t>ERCOT website</w:t>
      </w:r>
      <w:r w:rsidRPr="0013396E">
        <w:rPr>
          <w:iCs/>
        </w:rPr>
        <w:t>, the sum of ERCOT generation, and flow on the DC Ties, all from the State Estimator.</w:t>
      </w:r>
    </w:p>
    <w:p w14:paraId="13811184" w14:textId="618AF624" w:rsidR="001F04FD" w:rsidRPr="0013396E" w:rsidRDefault="001F04FD" w:rsidP="001F04FD">
      <w:pPr>
        <w:spacing w:after="240"/>
        <w:ind w:left="720" w:hanging="720"/>
        <w:rPr>
          <w:iCs/>
        </w:rPr>
      </w:pPr>
      <w:r w:rsidRPr="0013396E">
        <w:rPr>
          <w:iCs/>
        </w:rPr>
        <w:t>(</w:t>
      </w:r>
      <w:r w:rsidR="00F3577E" w:rsidRPr="0013396E">
        <w:rPr>
          <w:iCs/>
        </w:rPr>
        <w:t>7</w:t>
      </w:r>
      <w:r w:rsidRPr="0013396E">
        <w:rPr>
          <w:iCs/>
        </w:rPr>
        <w:t>)</w:t>
      </w:r>
      <w:r w:rsidRPr="0013396E">
        <w:rPr>
          <w:iCs/>
        </w:rPr>
        <w:tab/>
      </w:r>
      <w:r w:rsidR="00F3577E" w:rsidRPr="0013396E">
        <w:rPr>
          <w:iCs/>
        </w:rPr>
        <w:t xml:space="preserve">After every SCED run, ERCOT shall post to the </w:t>
      </w:r>
      <w:r w:rsidR="00F3577E" w:rsidRPr="0013396E">
        <w:t>ERCOT website</w:t>
      </w:r>
      <w:r w:rsidR="00F3577E" w:rsidRPr="0013396E">
        <w:rPr>
          <w:iCs/>
        </w:rPr>
        <w:t xml:space="preserve"> the sum of the HDL and the sum of the LDL for all Generation Resources and ESRs On-Line and Dispatched by SCED.</w:t>
      </w:r>
      <w:r w:rsidRPr="0013396E">
        <w:rPr>
          <w:iCs/>
        </w:rPr>
        <w:t xml:space="preserve">   </w:t>
      </w:r>
    </w:p>
    <w:p w14:paraId="5989B0E5" w14:textId="16ADA3B3" w:rsidR="00C57701" w:rsidRPr="0013396E" w:rsidRDefault="00C57701" w:rsidP="007A1E53">
      <w:pPr>
        <w:spacing w:after="240"/>
        <w:ind w:left="720" w:hanging="720"/>
        <w:rPr>
          <w:iCs/>
        </w:rPr>
      </w:pPr>
      <w:r w:rsidRPr="0013396E">
        <w:rPr>
          <w:iCs/>
        </w:rPr>
        <w:t>(</w:t>
      </w:r>
      <w:r w:rsidR="00F3577E" w:rsidRPr="0013396E">
        <w:rPr>
          <w:iCs/>
        </w:rPr>
        <w:t>8</w:t>
      </w:r>
      <w:r w:rsidRPr="0013396E">
        <w:rPr>
          <w:iCs/>
        </w:rPr>
        <w:t>)</w:t>
      </w:r>
      <w:r w:rsidRPr="0013396E">
        <w:rPr>
          <w:iCs/>
        </w:rPr>
        <w:tab/>
      </w:r>
      <w:r w:rsidR="00F3577E" w:rsidRPr="0013396E">
        <w:rPr>
          <w:iCs/>
        </w:rPr>
        <w:t xml:space="preserve">Sixty days after the applicable Operating Day, ERCOT shall post to the </w:t>
      </w:r>
      <w:r w:rsidR="00F3577E" w:rsidRPr="0013396E">
        <w:t>ERCOT website</w:t>
      </w:r>
      <w:r w:rsidR="00F3577E" w:rsidRPr="0013396E">
        <w:rPr>
          <w:iCs/>
        </w:rPr>
        <w:t xml:space="preserve"> the summary LDL and HDL report from paragraph (</w:t>
      </w:r>
      <w:r w:rsidR="007A36C8">
        <w:rPr>
          <w:iCs/>
        </w:rPr>
        <w:t>7</w:t>
      </w:r>
      <w:r w:rsidR="00F3577E" w:rsidRPr="0013396E">
        <w:rPr>
          <w:iCs/>
        </w:rPr>
        <w:t>) above and include instances of manual overrides of HDL or LDL, including the name of the Generation Resource or ESR and the type of override.</w:t>
      </w:r>
    </w:p>
    <w:p w14:paraId="12542706" w14:textId="4CFD9FCE" w:rsidR="001F04FD" w:rsidRPr="0013396E" w:rsidRDefault="00C57701" w:rsidP="007A1E53">
      <w:pPr>
        <w:spacing w:after="240"/>
        <w:ind w:left="720" w:hanging="720"/>
        <w:rPr>
          <w:iCs/>
        </w:rPr>
      </w:pPr>
      <w:r w:rsidRPr="0013396E">
        <w:rPr>
          <w:iCs/>
        </w:rPr>
        <w:t>(</w:t>
      </w:r>
      <w:r w:rsidR="00F3577E" w:rsidRPr="0013396E">
        <w:rPr>
          <w:iCs/>
        </w:rPr>
        <w:t>9</w:t>
      </w:r>
      <w:r w:rsidRPr="0013396E">
        <w:rPr>
          <w:iCs/>
        </w:rPr>
        <w:t>)</w:t>
      </w:r>
      <w:r w:rsidRPr="0013396E">
        <w:rPr>
          <w:iCs/>
        </w:rPr>
        <w:tab/>
      </w:r>
      <w:r w:rsidR="00F3577E" w:rsidRPr="0013396E">
        <w:rPr>
          <w:iCs/>
        </w:rPr>
        <w:t>No sooner than sixty days after the applicable Operating Day, ERCOT shall provide to the appropriate Technical Advisory Committee (TAC) subcommittee instances of manual overrides of HDL or LDL, including the name of the Generation Resource or ESR, the reason for the override, and, as applicable, the cost as calculated in Section 6.6.3.6, Real-Time High Dispatch Limit Override Energy Payment.</w:t>
      </w:r>
    </w:p>
    <w:p w14:paraId="4169BEE3" w14:textId="1A9577D0" w:rsidR="001F04FD" w:rsidRPr="0013396E" w:rsidRDefault="001F04FD" w:rsidP="007A1E53">
      <w:pPr>
        <w:pStyle w:val="List"/>
        <w:ind w:left="720"/>
        <w:rPr>
          <w:iCs/>
        </w:rPr>
      </w:pPr>
      <w:r w:rsidRPr="0013396E">
        <w:t>(1</w:t>
      </w:r>
      <w:r w:rsidR="00F3577E" w:rsidRPr="0013396E">
        <w:t>0</w:t>
      </w:r>
      <w:r w:rsidRPr="0013396E">
        <w:t>)</w:t>
      </w:r>
      <w:r w:rsidRPr="0013396E">
        <w:tab/>
      </w:r>
      <w:r w:rsidR="00F3577E" w:rsidRPr="0013396E">
        <w:t>After every SCED run, ERCOT shall post to the MIS Certified Area, for any QSE, instances of a manual override of the HDL or LDL for a Generation Resource</w:t>
      </w:r>
      <w:r w:rsidR="00F3577E" w:rsidRPr="0013396E">
        <w:rPr>
          <w:iCs/>
        </w:rPr>
        <w:t xml:space="preserve"> or ESR</w:t>
      </w:r>
      <w:r w:rsidR="00F3577E" w:rsidRPr="0013396E">
        <w:t>, including the original and overridden HDL or LDL.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C388E" w:rsidRPr="0013396E" w14:paraId="08A8314A" w14:textId="77777777" w:rsidTr="009C388E">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23E001DB" w14:textId="621251FF" w:rsidR="009C388E" w:rsidRPr="0013396E" w:rsidRDefault="009C388E" w:rsidP="00E844EE">
            <w:pPr>
              <w:pStyle w:val="Instructions"/>
              <w:spacing w:before="120"/>
            </w:pPr>
            <w:bookmarkStart w:id="865" w:name="_Toc397504969"/>
            <w:bookmarkStart w:id="866" w:name="_Toc402357097"/>
            <w:bookmarkStart w:id="867" w:name="_Toc422486477"/>
            <w:bookmarkStart w:id="868" w:name="_Toc433093329"/>
            <w:bookmarkStart w:id="869" w:name="_Toc433093487"/>
            <w:bookmarkStart w:id="870" w:name="_Toc440874716"/>
            <w:bookmarkStart w:id="871" w:name="_Toc448142271"/>
            <w:bookmarkStart w:id="872" w:name="_Toc448142428"/>
            <w:bookmarkStart w:id="873" w:name="_Toc458770264"/>
            <w:bookmarkStart w:id="874" w:name="_Toc459294232"/>
            <w:bookmarkStart w:id="875" w:name="_Toc463262725"/>
            <w:bookmarkStart w:id="876" w:name="_Toc468286799"/>
            <w:bookmarkStart w:id="877" w:name="_Toc481502845"/>
            <w:bookmarkStart w:id="878" w:name="_Toc496080013"/>
            <w:bookmarkStart w:id="879" w:name="_Toc74137345"/>
            <w:bookmarkStart w:id="880" w:name="_Toc73216017"/>
            <w:r w:rsidRPr="0013396E">
              <w:t>[NPRR1226:  Insert paragraph (1</w:t>
            </w:r>
            <w:r w:rsidR="00F3577E" w:rsidRPr="0013396E">
              <w:t>1</w:t>
            </w:r>
            <w:r w:rsidRPr="0013396E">
              <w:t>) below upon system implementation:]</w:t>
            </w:r>
          </w:p>
          <w:p w14:paraId="63B3ED6C" w14:textId="5B63138A" w:rsidR="009C388E" w:rsidRPr="0013396E" w:rsidRDefault="009C388E" w:rsidP="009C388E">
            <w:pPr>
              <w:spacing w:after="240"/>
              <w:ind w:left="720" w:hanging="720"/>
            </w:pPr>
            <w:r w:rsidRPr="0013396E">
              <w:t>(1</w:t>
            </w:r>
            <w:r w:rsidR="00F3577E" w:rsidRPr="0013396E">
              <w:t>1</w:t>
            </w:r>
            <w:r w:rsidRPr="0013396E">
              <w:t>)</w:t>
            </w:r>
            <w:r w:rsidRPr="0013396E">
              <w:tab/>
              <w:t xml:space="preserve">After every SCED run, ERCOT shall prepare and publish estimated Demand response  data showing aggregated State Estimated Load (SEL) load points selected by ERCOT. </w:t>
            </w:r>
            <w:r w:rsidR="00A07A61" w:rsidRPr="0013396E">
              <w:t xml:space="preserve"> </w:t>
            </w:r>
            <w:r w:rsidRPr="0013396E">
              <w:lastRenderedPageBreak/>
              <w:t xml:space="preserve">The selection of Loads to be aggregated for the report will be based on periodically updated off-line analysis of the frequency and magnitude of reductions observed in historical State Estimator load data that is associated with market signals such as Locational Marginal Prices (LMPs), high levels of summer month ERCOT load, </w:t>
            </w:r>
            <w:r w:rsidRPr="0013396E">
              <w:rPr>
                <w:szCs w:val="24"/>
              </w:rPr>
              <w:t>ERCOT-wide appeal(s) through public voluntary energy appeal</w:t>
            </w:r>
            <w:r w:rsidRPr="0013396E">
              <w:t>, or other ERCOT actions.</w:t>
            </w:r>
          </w:p>
        </w:tc>
      </w:tr>
    </w:tbl>
    <w:p w14:paraId="10CCDCAA" w14:textId="77777777" w:rsidR="001F04FD" w:rsidRPr="0013396E" w:rsidRDefault="001F04FD" w:rsidP="005867E8">
      <w:pPr>
        <w:pStyle w:val="H4"/>
        <w:spacing w:before="480"/>
        <w:ind w:left="1267" w:hanging="1267"/>
      </w:pPr>
      <w:bookmarkStart w:id="881" w:name="_Toc236220123"/>
      <w:r w:rsidRPr="0013396E">
        <w:lastRenderedPageBreak/>
        <w:t>6.5.7.2</w:t>
      </w:r>
      <w:r w:rsidRPr="0013396E">
        <w:tab/>
        <w:t>Resource Limit Calculator</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81"/>
    </w:p>
    <w:p w14:paraId="7D0E7957" w14:textId="77777777" w:rsidR="005D316E" w:rsidRPr="0013396E" w:rsidRDefault="005D316E" w:rsidP="005D316E">
      <w:pPr>
        <w:spacing w:after="240"/>
        <w:ind w:left="720" w:hanging="720"/>
      </w:pPr>
      <w:r w:rsidRPr="0013396E">
        <w:t>(1)</w:t>
      </w:r>
      <w:r w:rsidRPr="0013396E">
        <w:tab/>
        <w:t>ERCOT shall calculate the HDL and LDL within four seconds after a change of the Resource-specific attributes provided as part of the QSE’s SCADA telemetry under Section 6.5.5.2, Operational Data Requirements.  The formulas described below define which Resource-specific attributes must be used to calculate each Resource limit.  The Resource limits are used as inputs into both the SCED process and the Ancillary Service Capacity Monitor as described in Section 6.5.7.6, Load Frequency Control.  These Resource limits help ensure that the deployments produced by the SCED and Load Frequency Control (LFC) processes will respect individual Resource physical limitations.</w:t>
      </w:r>
    </w:p>
    <w:p w14:paraId="2F51F4FE" w14:textId="77777777" w:rsidR="005D316E" w:rsidRPr="0013396E" w:rsidRDefault="005D316E" w:rsidP="005D316E">
      <w:pPr>
        <w:spacing w:before="240" w:after="240"/>
        <w:ind w:left="720" w:hanging="720"/>
        <w:rPr>
          <w:iCs/>
        </w:rPr>
      </w:pPr>
      <w:r w:rsidRPr="0013396E">
        <w:rPr>
          <w:iCs/>
        </w:rPr>
        <w:t>(2)</w:t>
      </w:r>
      <w:r w:rsidRPr="0013396E">
        <w:rPr>
          <w:iCs/>
        </w:rPr>
        <w:tab/>
        <w:t xml:space="preserve">For </w:t>
      </w:r>
      <w:r w:rsidRPr="0013396E">
        <w:t xml:space="preserve">SCED-dispatchable </w:t>
      </w:r>
      <w:r w:rsidRPr="0013396E">
        <w:rPr>
          <w:iCs/>
        </w:rPr>
        <w:t>Generation Resources, HDL is calculated as follows:</w:t>
      </w:r>
    </w:p>
    <w:p w14:paraId="76308DCF" w14:textId="77777777" w:rsidR="005D316E" w:rsidRPr="0013396E" w:rsidRDefault="005D316E" w:rsidP="005D316E">
      <w:pPr>
        <w:spacing w:after="240"/>
        <w:ind w:left="1440" w:hanging="720"/>
        <w:rPr>
          <w:iCs/>
        </w:rPr>
      </w:pPr>
      <w:r w:rsidRPr="0013396E">
        <w:rPr>
          <w:iCs/>
        </w:rPr>
        <w:t>(a)</w:t>
      </w:r>
      <w:r w:rsidRPr="0013396E">
        <w:rPr>
          <w:iCs/>
        </w:rPr>
        <w:tab/>
        <w:t>If the telemetered Resource Status is SHUTDOWN, then</w:t>
      </w:r>
    </w:p>
    <w:p w14:paraId="3FBD40BA" w14:textId="77777777" w:rsidR="005D316E" w:rsidRPr="0013396E" w:rsidRDefault="005D316E" w:rsidP="005D316E">
      <w:pPr>
        <w:spacing w:after="240"/>
        <w:ind w:left="1440" w:hanging="720"/>
        <w:rPr>
          <w:b/>
          <w:iCs/>
        </w:rPr>
      </w:pPr>
      <w:r w:rsidRPr="0013396E">
        <w:rPr>
          <w:b/>
          <w:iCs/>
        </w:rPr>
        <w:t>HDL</w:t>
      </w:r>
      <w:r w:rsidRPr="0013396E">
        <w:rPr>
          <w:b/>
          <w:iCs/>
        </w:rPr>
        <w:tab/>
        <w:t>=</w:t>
      </w:r>
      <w:r w:rsidRPr="0013396E">
        <w:rPr>
          <w:b/>
          <w:iCs/>
        </w:rPr>
        <w:tab/>
        <w:t>POWERTELEM – (</w:t>
      </w:r>
      <w:r w:rsidRPr="0013396E">
        <w:rPr>
          <w:b/>
          <w:bCs/>
          <w:lang w:val="de-DE"/>
        </w:rPr>
        <w:t>NORMRAMPDN</w:t>
      </w:r>
      <w:r w:rsidRPr="0013396E">
        <w:rPr>
          <w:b/>
          <w:iCs/>
        </w:rPr>
        <w:t xml:space="preserve"> * 5)</w:t>
      </w:r>
    </w:p>
    <w:p w14:paraId="5A68E33B" w14:textId="77777777" w:rsidR="005D316E" w:rsidRPr="0013396E" w:rsidRDefault="005D316E" w:rsidP="005D316E">
      <w:pPr>
        <w:spacing w:after="240"/>
        <w:ind w:left="1440" w:hanging="720"/>
        <w:rPr>
          <w:iCs/>
        </w:rPr>
      </w:pPr>
      <w:r w:rsidRPr="0013396E">
        <w:rPr>
          <w:iCs/>
        </w:rPr>
        <w:t>(b)</w:t>
      </w:r>
      <w:r w:rsidRPr="0013396E">
        <w:rPr>
          <w:iCs/>
        </w:rPr>
        <w:tab/>
        <w:t>If the telemetered Resource Status is any status code specified in item (5)(b)(i) of Section 3.9.1, Current Operating Plan (COP) Criteria, other than SHUTDOWN, then</w:t>
      </w:r>
    </w:p>
    <w:p w14:paraId="04E2291A" w14:textId="77777777" w:rsidR="005D316E" w:rsidRPr="0013396E" w:rsidRDefault="005D316E" w:rsidP="005D316E">
      <w:pPr>
        <w:spacing w:after="240"/>
        <w:ind w:left="1440" w:hanging="720"/>
        <w:rPr>
          <w:b/>
        </w:rPr>
      </w:pPr>
      <w:r w:rsidRPr="0013396E">
        <w:rPr>
          <w:b/>
        </w:rPr>
        <w:t>HDL</w:t>
      </w:r>
      <w:r w:rsidRPr="0013396E">
        <w:rPr>
          <w:b/>
        </w:rPr>
        <w:tab/>
        <w:t>=</w:t>
      </w:r>
      <w:r w:rsidRPr="0013396E">
        <w:rPr>
          <w:b/>
        </w:rPr>
        <w:tab/>
        <w:t>Min (POWERTELEM + (</w:t>
      </w:r>
      <w:r w:rsidRPr="0013396E">
        <w:rPr>
          <w:b/>
          <w:bCs/>
          <w:lang w:val="de-DE"/>
        </w:rPr>
        <w:t xml:space="preserve">NORMRAMPUP </w:t>
      </w:r>
      <w:r w:rsidRPr="0013396E">
        <w:rPr>
          <w:b/>
        </w:rPr>
        <w:t>* 5), HSLTELEM)</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657"/>
        <w:gridCol w:w="6199"/>
      </w:tblGrid>
      <w:tr w:rsidR="005D316E" w:rsidRPr="0013396E" w14:paraId="3C082733" w14:textId="77777777" w:rsidTr="005B61C1">
        <w:tc>
          <w:tcPr>
            <w:tcW w:w="1500" w:type="pct"/>
          </w:tcPr>
          <w:p w14:paraId="734F75AD" w14:textId="77777777" w:rsidR="005D316E" w:rsidRPr="0013396E" w:rsidRDefault="005D316E" w:rsidP="005B61C1">
            <w:pPr>
              <w:spacing w:after="120"/>
              <w:rPr>
                <w:b/>
                <w:iCs/>
                <w:sz w:val="20"/>
              </w:rPr>
            </w:pPr>
            <w:r w:rsidRPr="0013396E">
              <w:rPr>
                <w:b/>
                <w:iCs/>
                <w:sz w:val="20"/>
              </w:rPr>
              <w:t>Variable</w:t>
            </w:r>
          </w:p>
        </w:tc>
        <w:tc>
          <w:tcPr>
            <w:tcW w:w="3500" w:type="pct"/>
          </w:tcPr>
          <w:p w14:paraId="4A6266A2" w14:textId="77777777" w:rsidR="005D316E" w:rsidRPr="0013396E" w:rsidRDefault="005D316E" w:rsidP="005B61C1">
            <w:pPr>
              <w:spacing w:after="120"/>
              <w:rPr>
                <w:b/>
                <w:iCs/>
                <w:sz w:val="20"/>
              </w:rPr>
            </w:pPr>
            <w:r w:rsidRPr="0013396E">
              <w:rPr>
                <w:b/>
                <w:iCs/>
                <w:sz w:val="20"/>
              </w:rPr>
              <w:t>Description</w:t>
            </w:r>
          </w:p>
        </w:tc>
      </w:tr>
      <w:tr w:rsidR="005D316E" w:rsidRPr="0013396E" w14:paraId="64E418C7" w14:textId="77777777" w:rsidTr="005B61C1">
        <w:trPr>
          <w:cantSplit/>
        </w:trPr>
        <w:tc>
          <w:tcPr>
            <w:tcW w:w="1500" w:type="pct"/>
          </w:tcPr>
          <w:p w14:paraId="1FD49AE8" w14:textId="77777777" w:rsidR="005D316E" w:rsidRPr="0013396E" w:rsidRDefault="005D316E" w:rsidP="005B61C1">
            <w:pPr>
              <w:spacing w:after="60"/>
              <w:rPr>
                <w:iCs/>
                <w:sz w:val="20"/>
              </w:rPr>
            </w:pPr>
            <w:r w:rsidRPr="0013396E">
              <w:rPr>
                <w:iCs/>
                <w:sz w:val="20"/>
              </w:rPr>
              <w:t>HDL</w:t>
            </w:r>
          </w:p>
        </w:tc>
        <w:tc>
          <w:tcPr>
            <w:tcW w:w="3500" w:type="pct"/>
          </w:tcPr>
          <w:p w14:paraId="3A4785C8" w14:textId="77777777" w:rsidR="005D316E" w:rsidRPr="0013396E" w:rsidRDefault="005D316E" w:rsidP="005B61C1">
            <w:pPr>
              <w:spacing w:after="60"/>
              <w:rPr>
                <w:iCs/>
                <w:sz w:val="20"/>
              </w:rPr>
            </w:pPr>
            <w:r w:rsidRPr="0013396E">
              <w:rPr>
                <w:iCs/>
                <w:sz w:val="20"/>
              </w:rPr>
              <w:t>High Dispatch Limit.</w:t>
            </w:r>
          </w:p>
        </w:tc>
      </w:tr>
      <w:tr w:rsidR="005D316E" w:rsidRPr="0013396E" w14:paraId="68695815" w14:textId="77777777" w:rsidTr="005B61C1">
        <w:trPr>
          <w:cantSplit/>
        </w:trPr>
        <w:tc>
          <w:tcPr>
            <w:tcW w:w="1500" w:type="pct"/>
          </w:tcPr>
          <w:p w14:paraId="1D97834E" w14:textId="77777777" w:rsidR="005D316E" w:rsidRPr="0013396E" w:rsidRDefault="005D316E" w:rsidP="005B61C1">
            <w:pPr>
              <w:spacing w:after="60"/>
              <w:rPr>
                <w:iCs/>
                <w:sz w:val="20"/>
              </w:rPr>
            </w:pPr>
            <w:r w:rsidRPr="0013396E">
              <w:rPr>
                <w:iCs/>
                <w:sz w:val="20"/>
              </w:rPr>
              <w:t>POWERTELEM</w:t>
            </w:r>
          </w:p>
        </w:tc>
        <w:tc>
          <w:tcPr>
            <w:tcW w:w="3500" w:type="pct"/>
          </w:tcPr>
          <w:p w14:paraId="58950839" w14:textId="77777777" w:rsidR="005D316E" w:rsidRPr="0013396E" w:rsidRDefault="005D316E" w:rsidP="005B61C1">
            <w:pPr>
              <w:spacing w:after="60"/>
              <w:rPr>
                <w:iCs/>
                <w:sz w:val="20"/>
              </w:rPr>
            </w:pPr>
            <w:r w:rsidRPr="0013396E">
              <w:rPr>
                <w:iCs/>
                <w:sz w:val="20"/>
              </w:rPr>
              <w:t xml:space="preserve">Gross or net real power provided via telemetry. </w:t>
            </w:r>
          </w:p>
        </w:tc>
      </w:tr>
      <w:tr w:rsidR="005D316E" w:rsidRPr="0013396E" w14:paraId="4755598F" w14:textId="77777777" w:rsidTr="005B61C1">
        <w:trPr>
          <w:cantSplit/>
        </w:trPr>
        <w:tc>
          <w:tcPr>
            <w:tcW w:w="1500" w:type="pct"/>
          </w:tcPr>
          <w:p w14:paraId="2C65149E" w14:textId="77777777" w:rsidR="005D316E" w:rsidRPr="0013396E" w:rsidRDefault="005D316E" w:rsidP="005B61C1">
            <w:pPr>
              <w:spacing w:after="60"/>
              <w:rPr>
                <w:iCs/>
                <w:sz w:val="20"/>
              </w:rPr>
            </w:pPr>
            <w:r w:rsidRPr="0013396E">
              <w:rPr>
                <w:iCs/>
                <w:sz w:val="20"/>
              </w:rPr>
              <w:t>NORMRAMPDN</w:t>
            </w:r>
          </w:p>
        </w:tc>
        <w:tc>
          <w:tcPr>
            <w:tcW w:w="3500" w:type="pct"/>
          </w:tcPr>
          <w:p w14:paraId="3CD4B5F5" w14:textId="77777777" w:rsidR="005D316E" w:rsidRPr="0013396E" w:rsidRDefault="005D316E" w:rsidP="005B61C1">
            <w:pPr>
              <w:spacing w:after="60"/>
              <w:rPr>
                <w:iCs/>
                <w:sz w:val="20"/>
              </w:rPr>
            </w:pPr>
            <w:r w:rsidRPr="0013396E">
              <w:rPr>
                <w:iCs/>
                <w:sz w:val="20"/>
              </w:rPr>
              <w:t>5-minute blended Normal Ramp Rate down, as telemetered by the QSE.</w:t>
            </w:r>
          </w:p>
        </w:tc>
      </w:tr>
      <w:tr w:rsidR="005D316E" w:rsidRPr="0013396E" w14:paraId="4B84D9B4" w14:textId="77777777" w:rsidTr="005B61C1">
        <w:trPr>
          <w:cantSplit/>
        </w:trPr>
        <w:tc>
          <w:tcPr>
            <w:tcW w:w="1500" w:type="pct"/>
          </w:tcPr>
          <w:p w14:paraId="3059AFD2" w14:textId="77777777" w:rsidR="005D316E" w:rsidRPr="0013396E" w:rsidRDefault="005D316E" w:rsidP="005B61C1">
            <w:pPr>
              <w:spacing w:after="60"/>
              <w:rPr>
                <w:iCs/>
                <w:sz w:val="20"/>
              </w:rPr>
            </w:pPr>
            <w:r w:rsidRPr="0013396E">
              <w:rPr>
                <w:iCs/>
                <w:sz w:val="20"/>
              </w:rPr>
              <w:t>NORMRAMPUP</w:t>
            </w:r>
          </w:p>
        </w:tc>
        <w:tc>
          <w:tcPr>
            <w:tcW w:w="3500" w:type="pct"/>
          </w:tcPr>
          <w:p w14:paraId="7BBAE234" w14:textId="77777777" w:rsidR="005D316E" w:rsidRPr="0013396E" w:rsidRDefault="005D316E" w:rsidP="005B61C1">
            <w:pPr>
              <w:spacing w:after="60"/>
              <w:ind w:left="720" w:hanging="720"/>
              <w:rPr>
                <w:iCs/>
                <w:sz w:val="20"/>
              </w:rPr>
            </w:pPr>
            <w:r w:rsidRPr="0013396E">
              <w:rPr>
                <w:iCs/>
                <w:sz w:val="20"/>
              </w:rPr>
              <w:t>5-minute blended Normal Ramp Rate up, as telemetered by the QSE.</w:t>
            </w:r>
          </w:p>
        </w:tc>
      </w:tr>
      <w:tr w:rsidR="005D316E" w:rsidRPr="0013396E" w14:paraId="0E7F4024" w14:textId="77777777" w:rsidTr="005B61C1">
        <w:trPr>
          <w:cantSplit/>
        </w:trPr>
        <w:tc>
          <w:tcPr>
            <w:tcW w:w="1500" w:type="pct"/>
          </w:tcPr>
          <w:p w14:paraId="42A0AF20" w14:textId="77777777" w:rsidR="005D316E" w:rsidRPr="0013396E" w:rsidRDefault="005D316E" w:rsidP="005B61C1">
            <w:pPr>
              <w:spacing w:after="60"/>
              <w:rPr>
                <w:iCs/>
                <w:sz w:val="20"/>
              </w:rPr>
            </w:pPr>
            <w:r w:rsidRPr="0013396E">
              <w:rPr>
                <w:iCs/>
                <w:sz w:val="20"/>
              </w:rPr>
              <w:t>HSLTELEM</w:t>
            </w:r>
          </w:p>
        </w:tc>
        <w:tc>
          <w:tcPr>
            <w:tcW w:w="3500" w:type="pct"/>
          </w:tcPr>
          <w:p w14:paraId="296B2536" w14:textId="77777777" w:rsidR="005D316E" w:rsidRPr="0013396E" w:rsidRDefault="005D316E" w:rsidP="005B61C1">
            <w:pPr>
              <w:spacing w:after="60"/>
              <w:rPr>
                <w:iCs/>
                <w:sz w:val="20"/>
              </w:rPr>
            </w:pPr>
            <w:r w:rsidRPr="0013396E">
              <w:rPr>
                <w:iCs/>
                <w:sz w:val="20"/>
              </w:rPr>
              <w:t>For IRRs qualified to provide an Ancillary Service and telemetering a non-zero capability to provide that Ancillary Service, and all IRRs within an IRR Group where any IRR within the IRR Group is qualified to provide an Ancillary Service and telemetering a non-zero capability to provide that Ancillary Service, HSLTELEM shall be the five-minute intra-hour forecast for the Resource.  For all other Resources, HSLTELEM shall be the Resource’s HSL provided to ERCOT via telemetry, in accordance with Section 6.5.5.2.</w:t>
            </w:r>
          </w:p>
        </w:tc>
      </w:tr>
    </w:tbl>
    <w:p w14:paraId="42CC6F68" w14:textId="77777777" w:rsidR="005D316E" w:rsidRPr="0013396E" w:rsidRDefault="005D316E" w:rsidP="005D316E">
      <w:pPr>
        <w:spacing w:after="240"/>
        <w:rPr>
          <w:iCs/>
        </w:rPr>
      </w:pPr>
      <w:r w:rsidRPr="0013396E">
        <w:rPr>
          <w:iCs/>
        </w:rPr>
        <w:br/>
        <w:t>(3)</w:t>
      </w:r>
      <w:r w:rsidRPr="0013396E">
        <w:rPr>
          <w:iCs/>
        </w:rPr>
        <w:tab/>
        <w:t xml:space="preserve">For </w:t>
      </w:r>
      <w:r w:rsidRPr="0013396E">
        <w:t xml:space="preserve">SCED-dispatchable </w:t>
      </w:r>
      <w:r w:rsidRPr="0013396E">
        <w:rPr>
          <w:iCs/>
        </w:rPr>
        <w:t>Generation Resources, LDL is calculated as follows:</w:t>
      </w:r>
    </w:p>
    <w:p w14:paraId="37DAC9D0" w14:textId="77777777" w:rsidR="005D316E" w:rsidRPr="0013396E" w:rsidRDefault="005D316E" w:rsidP="005D316E">
      <w:pPr>
        <w:spacing w:after="240"/>
        <w:ind w:left="1440" w:hanging="720"/>
        <w:rPr>
          <w:iCs/>
        </w:rPr>
      </w:pPr>
      <w:r w:rsidRPr="0013396E">
        <w:rPr>
          <w:iCs/>
        </w:rPr>
        <w:lastRenderedPageBreak/>
        <w:t>(a)</w:t>
      </w:r>
      <w:r w:rsidRPr="0013396E">
        <w:rPr>
          <w:iCs/>
        </w:rPr>
        <w:tab/>
        <w:t>If the telemetered Resource Status is STARTUP, then</w:t>
      </w:r>
    </w:p>
    <w:p w14:paraId="5F7D1304" w14:textId="77777777" w:rsidR="005D316E" w:rsidRPr="0013396E" w:rsidRDefault="005D316E" w:rsidP="005D316E">
      <w:pPr>
        <w:spacing w:after="240"/>
        <w:ind w:left="1440" w:hanging="720"/>
        <w:rPr>
          <w:b/>
          <w:iCs/>
        </w:rPr>
      </w:pPr>
      <w:r w:rsidRPr="0013396E">
        <w:rPr>
          <w:b/>
          <w:iCs/>
        </w:rPr>
        <w:t>LDL</w:t>
      </w:r>
      <w:r w:rsidRPr="0013396E">
        <w:rPr>
          <w:b/>
          <w:iCs/>
        </w:rPr>
        <w:tab/>
        <w:t>=</w:t>
      </w:r>
      <w:r w:rsidRPr="0013396E">
        <w:rPr>
          <w:b/>
          <w:iCs/>
        </w:rPr>
        <w:tab/>
        <w:t>POWERTELEM + (</w:t>
      </w:r>
      <w:r w:rsidRPr="0013396E">
        <w:rPr>
          <w:b/>
          <w:bCs/>
          <w:lang w:val="de-DE"/>
        </w:rPr>
        <w:t xml:space="preserve">NORMRAMPUP </w:t>
      </w:r>
      <w:r w:rsidRPr="0013396E">
        <w:rPr>
          <w:b/>
          <w:iCs/>
        </w:rPr>
        <w:t>* 5)</w:t>
      </w:r>
    </w:p>
    <w:p w14:paraId="5C4F7437" w14:textId="77777777" w:rsidR="005D316E" w:rsidRPr="0013396E" w:rsidRDefault="005D316E" w:rsidP="005D316E">
      <w:pPr>
        <w:spacing w:after="240"/>
        <w:ind w:left="1440" w:hanging="720"/>
        <w:rPr>
          <w:iCs/>
        </w:rPr>
      </w:pPr>
      <w:r w:rsidRPr="0013396E">
        <w:rPr>
          <w:iCs/>
        </w:rPr>
        <w:t>(b)</w:t>
      </w:r>
      <w:r w:rsidRPr="0013396E">
        <w:rPr>
          <w:iCs/>
        </w:rPr>
        <w:tab/>
        <w:t>If the telemetered Resource Status is any status code specified in item (5)(b)(i) of Section 3.9.1 other than STARTUP, then</w:t>
      </w:r>
    </w:p>
    <w:p w14:paraId="6F2A542B" w14:textId="77777777" w:rsidR="005D316E" w:rsidRPr="0013396E" w:rsidRDefault="005D316E" w:rsidP="005D316E">
      <w:pPr>
        <w:ind w:left="1440" w:hanging="720"/>
        <w:rPr>
          <w:b/>
        </w:rPr>
      </w:pPr>
      <w:r w:rsidRPr="0013396E">
        <w:rPr>
          <w:b/>
        </w:rPr>
        <w:t>LDL</w:t>
      </w:r>
      <w:r w:rsidRPr="0013396E">
        <w:rPr>
          <w:b/>
        </w:rPr>
        <w:tab/>
        <w:t>=</w:t>
      </w:r>
      <w:r w:rsidRPr="0013396E">
        <w:rPr>
          <w:b/>
        </w:rPr>
        <w:tab/>
        <w:t>Max (POWERTELEM - (</w:t>
      </w:r>
      <w:r w:rsidRPr="0013396E">
        <w:rPr>
          <w:b/>
          <w:bCs/>
          <w:lang w:val="de-DE"/>
        </w:rPr>
        <w:t>NORMRAMPDN</w:t>
      </w:r>
      <w:r w:rsidRPr="0013396E" w:rsidDel="008E3707">
        <w:rPr>
          <w:b/>
        </w:rPr>
        <w:t xml:space="preserve"> </w:t>
      </w:r>
      <w:r w:rsidRPr="0013396E">
        <w:rPr>
          <w:b/>
        </w:rPr>
        <w:t>* 5), LSLTELEM)</w:t>
      </w:r>
      <w:r w:rsidRPr="0013396E">
        <w:rPr>
          <w:b/>
        </w:rPr>
        <w:br/>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657"/>
        <w:gridCol w:w="6199"/>
      </w:tblGrid>
      <w:tr w:rsidR="005D316E" w:rsidRPr="0013396E" w14:paraId="56B72878" w14:textId="77777777" w:rsidTr="005B61C1">
        <w:tc>
          <w:tcPr>
            <w:tcW w:w="1500" w:type="pct"/>
          </w:tcPr>
          <w:p w14:paraId="45EBEEEE" w14:textId="77777777" w:rsidR="005D316E" w:rsidRPr="0013396E" w:rsidRDefault="005D316E" w:rsidP="005B61C1">
            <w:pPr>
              <w:spacing w:after="120"/>
              <w:rPr>
                <w:b/>
                <w:iCs/>
                <w:sz w:val="20"/>
              </w:rPr>
            </w:pPr>
            <w:r w:rsidRPr="0013396E">
              <w:rPr>
                <w:b/>
                <w:iCs/>
                <w:sz w:val="20"/>
              </w:rPr>
              <w:t>Variable</w:t>
            </w:r>
          </w:p>
        </w:tc>
        <w:tc>
          <w:tcPr>
            <w:tcW w:w="3500" w:type="pct"/>
          </w:tcPr>
          <w:p w14:paraId="0739FD4D" w14:textId="77777777" w:rsidR="005D316E" w:rsidRPr="0013396E" w:rsidRDefault="005D316E" w:rsidP="005B61C1">
            <w:pPr>
              <w:spacing w:after="120"/>
              <w:rPr>
                <w:b/>
                <w:iCs/>
                <w:sz w:val="20"/>
              </w:rPr>
            </w:pPr>
            <w:r w:rsidRPr="0013396E">
              <w:rPr>
                <w:b/>
                <w:iCs/>
                <w:sz w:val="20"/>
              </w:rPr>
              <w:t>Description</w:t>
            </w:r>
          </w:p>
        </w:tc>
      </w:tr>
      <w:tr w:rsidR="005D316E" w:rsidRPr="0013396E" w14:paraId="0BA04953" w14:textId="77777777" w:rsidTr="005B61C1">
        <w:trPr>
          <w:cantSplit/>
        </w:trPr>
        <w:tc>
          <w:tcPr>
            <w:tcW w:w="1500" w:type="pct"/>
          </w:tcPr>
          <w:p w14:paraId="4B9877F5" w14:textId="77777777" w:rsidR="005D316E" w:rsidRPr="0013396E" w:rsidRDefault="005D316E" w:rsidP="005B61C1">
            <w:pPr>
              <w:spacing w:after="60"/>
              <w:rPr>
                <w:iCs/>
                <w:sz w:val="20"/>
              </w:rPr>
            </w:pPr>
            <w:r w:rsidRPr="0013396E">
              <w:rPr>
                <w:iCs/>
                <w:sz w:val="20"/>
              </w:rPr>
              <w:t>LDL</w:t>
            </w:r>
          </w:p>
        </w:tc>
        <w:tc>
          <w:tcPr>
            <w:tcW w:w="3500" w:type="pct"/>
          </w:tcPr>
          <w:p w14:paraId="333ECF37" w14:textId="77777777" w:rsidR="005D316E" w:rsidRPr="0013396E" w:rsidRDefault="005D316E" w:rsidP="005B61C1">
            <w:pPr>
              <w:spacing w:after="60"/>
              <w:rPr>
                <w:iCs/>
                <w:sz w:val="20"/>
              </w:rPr>
            </w:pPr>
            <w:r w:rsidRPr="0013396E">
              <w:rPr>
                <w:iCs/>
                <w:sz w:val="20"/>
              </w:rPr>
              <w:t>Low Dispatch Limit.</w:t>
            </w:r>
          </w:p>
        </w:tc>
      </w:tr>
      <w:tr w:rsidR="005D316E" w:rsidRPr="0013396E" w14:paraId="0BE27DA6" w14:textId="77777777" w:rsidTr="005B61C1">
        <w:trPr>
          <w:cantSplit/>
        </w:trPr>
        <w:tc>
          <w:tcPr>
            <w:tcW w:w="1500" w:type="pct"/>
          </w:tcPr>
          <w:p w14:paraId="1F29AE8D" w14:textId="77777777" w:rsidR="005D316E" w:rsidRPr="0013396E" w:rsidRDefault="005D316E" w:rsidP="005B61C1">
            <w:pPr>
              <w:spacing w:after="60"/>
              <w:rPr>
                <w:iCs/>
                <w:sz w:val="20"/>
              </w:rPr>
            </w:pPr>
            <w:r w:rsidRPr="0013396E">
              <w:rPr>
                <w:iCs/>
                <w:sz w:val="20"/>
              </w:rPr>
              <w:t>POWERTELEM</w:t>
            </w:r>
          </w:p>
        </w:tc>
        <w:tc>
          <w:tcPr>
            <w:tcW w:w="3500" w:type="pct"/>
          </w:tcPr>
          <w:p w14:paraId="1D1A0FF2" w14:textId="77777777" w:rsidR="005D316E" w:rsidRPr="0013396E" w:rsidRDefault="005D316E" w:rsidP="005B61C1">
            <w:pPr>
              <w:spacing w:after="60"/>
              <w:rPr>
                <w:iCs/>
                <w:sz w:val="20"/>
              </w:rPr>
            </w:pPr>
            <w:r w:rsidRPr="0013396E">
              <w:rPr>
                <w:iCs/>
                <w:sz w:val="20"/>
              </w:rPr>
              <w:t>Gross or net real power provided via telemetry.</w:t>
            </w:r>
          </w:p>
        </w:tc>
      </w:tr>
      <w:tr w:rsidR="005D316E" w:rsidRPr="0013396E" w14:paraId="24BFF3AB" w14:textId="77777777" w:rsidTr="005B61C1">
        <w:trPr>
          <w:cantSplit/>
        </w:trPr>
        <w:tc>
          <w:tcPr>
            <w:tcW w:w="1500" w:type="pct"/>
          </w:tcPr>
          <w:p w14:paraId="0AFB0EC4" w14:textId="77777777" w:rsidR="005D316E" w:rsidRPr="0013396E" w:rsidRDefault="005D316E" w:rsidP="005B61C1">
            <w:pPr>
              <w:spacing w:after="60"/>
              <w:rPr>
                <w:iCs/>
                <w:sz w:val="20"/>
              </w:rPr>
            </w:pPr>
            <w:r w:rsidRPr="0013396E">
              <w:rPr>
                <w:iCs/>
                <w:sz w:val="20"/>
              </w:rPr>
              <w:t>LSLTELEM</w:t>
            </w:r>
          </w:p>
        </w:tc>
        <w:tc>
          <w:tcPr>
            <w:tcW w:w="3500" w:type="pct"/>
          </w:tcPr>
          <w:p w14:paraId="5C72374A" w14:textId="77777777" w:rsidR="005D316E" w:rsidRPr="0013396E" w:rsidRDefault="005D316E" w:rsidP="005B61C1">
            <w:pPr>
              <w:spacing w:after="60"/>
              <w:rPr>
                <w:iCs/>
                <w:sz w:val="20"/>
              </w:rPr>
            </w:pPr>
            <w:r w:rsidRPr="0013396E">
              <w:rPr>
                <w:iCs/>
                <w:sz w:val="20"/>
              </w:rPr>
              <w:t>Low Sustained Limit (LSL) provided via telemetry.</w:t>
            </w:r>
          </w:p>
        </w:tc>
      </w:tr>
      <w:tr w:rsidR="005D316E" w:rsidRPr="0013396E" w14:paraId="512993C8" w14:textId="77777777" w:rsidTr="005B61C1">
        <w:trPr>
          <w:cantSplit/>
        </w:trPr>
        <w:tc>
          <w:tcPr>
            <w:tcW w:w="1500" w:type="pct"/>
          </w:tcPr>
          <w:p w14:paraId="72F39C2B" w14:textId="77777777" w:rsidR="005D316E" w:rsidRPr="0013396E" w:rsidRDefault="005D316E" w:rsidP="005B61C1">
            <w:pPr>
              <w:spacing w:after="60"/>
              <w:rPr>
                <w:iCs/>
                <w:sz w:val="20"/>
              </w:rPr>
            </w:pPr>
            <w:r w:rsidRPr="0013396E">
              <w:rPr>
                <w:iCs/>
                <w:sz w:val="20"/>
              </w:rPr>
              <w:t>NORMRAMPDN</w:t>
            </w:r>
          </w:p>
        </w:tc>
        <w:tc>
          <w:tcPr>
            <w:tcW w:w="3500" w:type="pct"/>
          </w:tcPr>
          <w:p w14:paraId="06BB0E8B" w14:textId="77777777" w:rsidR="005D316E" w:rsidRPr="0013396E" w:rsidRDefault="005D316E" w:rsidP="005B61C1">
            <w:pPr>
              <w:spacing w:after="60"/>
              <w:rPr>
                <w:iCs/>
                <w:sz w:val="20"/>
              </w:rPr>
            </w:pPr>
            <w:r w:rsidRPr="0013396E">
              <w:rPr>
                <w:iCs/>
                <w:sz w:val="20"/>
              </w:rPr>
              <w:t>5-minute blended Normal Ramp Rate down, as telemetered by the QSE.</w:t>
            </w:r>
          </w:p>
        </w:tc>
      </w:tr>
      <w:tr w:rsidR="005D316E" w:rsidRPr="0013396E" w14:paraId="0F183DE4" w14:textId="77777777" w:rsidTr="005B61C1">
        <w:trPr>
          <w:cantSplit/>
        </w:trPr>
        <w:tc>
          <w:tcPr>
            <w:tcW w:w="1500" w:type="pct"/>
          </w:tcPr>
          <w:p w14:paraId="43173CB8" w14:textId="77777777" w:rsidR="005D316E" w:rsidRPr="0013396E" w:rsidRDefault="005D316E" w:rsidP="005B61C1">
            <w:pPr>
              <w:spacing w:after="60"/>
              <w:rPr>
                <w:iCs/>
                <w:sz w:val="20"/>
              </w:rPr>
            </w:pPr>
            <w:r w:rsidRPr="0013396E">
              <w:rPr>
                <w:iCs/>
                <w:sz w:val="20"/>
              </w:rPr>
              <w:t>NORMRAMPUP</w:t>
            </w:r>
          </w:p>
        </w:tc>
        <w:tc>
          <w:tcPr>
            <w:tcW w:w="3500" w:type="pct"/>
          </w:tcPr>
          <w:p w14:paraId="6D81293F" w14:textId="77777777" w:rsidR="005D316E" w:rsidRPr="0013396E" w:rsidRDefault="005D316E" w:rsidP="005B61C1">
            <w:pPr>
              <w:spacing w:after="60"/>
              <w:rPr>
                <w:iCs/>
                <w:sz w:val="20"/>
              </w:rPr>
            </w:pPr>
            <w:r w:rsidRPr="0013396E">
              <w:rPr>
                <w:iCs/>
                <w:sz w:val="20"/>
              </w:rPr>
              <w:t>5-minute blended Normal Ramp Rate up, as telemetered by the QSE.</w:t>
            </w:r>
          </w:p>
        </w:tc>
      </w:tr>
    </w:tbl>
    <w:p w14:paraId="300B0BCD" w14:textId="77777777" w:rsidR="005D316E" w:rsidRPr="0013396E" w:rsidRDefault="005D316E" w:rsidP="005D316E">
      <w:pPr>
        <w:spacing w:before="240" w:after="240"/>
        <w:ind w:left="720" w:hanging="720"/>
        <w:rPr>
          <w:iCs/>
        </w:rPr>
      </w:pPr>
      <w:r w:rsidRPr="0013396E">
        <w:rPr>
          <w:iCs/>
        </w:rPr>
        <w:t>(4)</w:t>
      </w:r>
      <w:r w:rsidRPr="0013396E">
        <w:rPr>
          <w:iCs/>
        </w:rPr>
        <w:tab/>
        <w:t>For ESRs, HDL is calculated as follows:</w:t>
      </w:r>
    </w:p>
    <w:p w14:paraId="32D08540" w14:textId="77777777" w:rsidR="005D316E" w:rsidRPr="0013396E" w:rsidRDefault="005D316E" w:rsidP="005D316E">
      <w:pPr>
        <w:spacing w:after="240"/>
        <w:ind w:left="1440" w:hanging="720"/>
        <w:rPr>
          <w:iCs/>
        </w:rPr>
      </w:pPr>
      <w:r w:rsidRPr="0013396E">
        <w:rPr>
          <w:iCs/>
        </w:rPr>
        <w:t>(a)</w:t>
      </w:r>
      <w:r w:rsidRPr="0013396E">
        <w:rPr>
          <w:iCs/>
        </w:rPr>
        <w:tab/>
        <w:t>If the telemetered Resource Status is ONHOLD, then</w:t>
      </w:r>
    </w:p>
    <w:p w14:paraId="0494B08F" w14:textId="77777777" w:rsidR="005D316E" w:rsidRPr="0013396E" w:rsidRDefault="005D316E" w:rsidP="005D316E">
      <w:pPr>
        <w:spacing w:after="240"/>
        <w:ind w:left="1440" w:hanging="720"/>
        <w:rPr>
          <w:b/>
          <w:iCs/>
        </w:rPr>
      </w:pPr>
      <w:r w:rsidRPr="0013396E">
        <w:rPr>
          <w:b/>
          <w:iCs/>
        </w:rPr>
        <w:t>HDL</w:t>
      </w:r>
      <w:r w:rsidRPr="0013396E">
        <w:rPr>
          <w:b/>
          <w:iCs/>
        </w:rPr>
        <w:tab/>
        <w:t>=</w:t>
      </w:r>
      <w:r w:rsidRPr="0013396E">
        <w:rPr>
          <w:b/>
          <w:iCs/>
        </w:rPr>
        <w:tab/>
        <w:t>0</w:t>
      </w:r>
    </w:p>
    <w:p w14:paraId="57461C4A" w14:textId="77777777" w:rsidR="005D316E" w:rsidRPr="0013396E" w:rsidRDefault="005D316E" w:rsidP="005D316E">
      <w:pPr>
        <w:spacing w:after="240"/>
        <w:ind w:left="1440" w:hanging="720"/>
        <w:rPr>
          <w:iCs/>
        </w:rPr>
      </w:pPr>
      <w:r w:rsidRPr="0013396E">
        <w:rPr>
          <w:iCs/>
        </w:rPr>
        <w:t>(b)</w:t>
      </w:r>
      <w:r w:rsidRPr="0013396E">
        <w:rPr>
          <w:iCs/>
        </w:rPr>
        <w:tab/>
        <w:t>If the telemetered Resource Status is ONTEST, then</w:t>
      </w:r>
    </w:p>
    <w:p w14:paraId="37B82185" w14:textId="77777777" w:rsidR="005D316E" w:rsidRPr="0013396E" w:rsidRDefault="005D316E" w:rsidP="005D316E">
      <w:pPr>
        <w:spacing w:after="240"/>
        <w:ind w:left="1440" w:hanging="720"/>
        <w:rPr>
          <w:iCs/>
        </w:rPr>
      </w:pPr>
      <w:r w:rsidRPr="0013396E">
        <w:rPr>
          <w:b/>
          <w:iCs/>
        </w:rPr>
        <w:t>HDL</w:t>
      </w:r>
      <w:r w:rsidRPr="0013396E">
        <w:rPr>
          <w:iCs/>
        </w:rPr>
        <w:tab/>
        <w:t>=</w:t>
      </w:r>
      <w:r w:rsidRPr="0013396E">
        <w:rPr>
          <w:iCs/>
        </w:rPr>
        <w:tab/>
      </w:r>
      <w:r w:rsidRPr="0013396E">
        <w:rPr>
          <w:b/>
          <w:iCs/>
        </w:rPr>
        <w:t>Max (</w:t>
      </w:r>
      <w:r w:rsidRPr="0013396E">
        <w:rPr>
          <w:b/>
        </w:rPr>
        <w:t>Min (POWERTELEM, HSLTELEM), LSLTELEM)</w:t>
      </w:r>
    </w:p>
    <w:p w14:paraId="2DEAAE9A" w14:textId="76F7E1B1" w:rsidR="005D316E" w:rsidRPr="0013396E" w:rsidRDefault="005D316E" w:rsidP="005D316E">
      <w:pPr>
        <w:spacing w:after="240"/>
        <w:ind w:left="1440" w:hanging="720"/>
        <w:rPr>
          <w:iCs/>
        </w:rPr>
      </w:pPr>
      <w:r w:rsidRPr="0013396E">
        <w:rPr>
          <w:iCs/>
        </w:rPr>
        <w:t>(c)</w:t>
      </w:r>
      <w:r w:rsidRPr="0013396E">
        <w:rPr>
          <w:iCs/>
        </w:rPr>
        <w:tab/>
        <w:t>If the telemetered Resource Status is any status code specified in item (5)(b)(iv) of Section 3.9.1 other than OUT, EMR, EMRSWGR, ONHOLD, or ONTEST, then</w:t>
      </w:r>
    </w:p>
    <w:p w14:paraId="1F392822" w14:textId="77777777" w:rsidR="005D316E" w:rsidRPr="0013396E" w:rsidRDefault="005D316E" w:rsidP="005D316E">
      <w:pPr>
        <w:spacing w:after="240"/>
        <w:ind w:left="1440" w:hanging="720"/>
        <w:rPr>
          <w:b/>
        </w:rPr>
      </w:pPr>
      <w:r w:rsidRPr="0013396E">
        <w:rPr>
          <w:b/>
        </w:rPr>
        <w:t>HDL</w:t>
      </w:r>
      <w:r w:rsidRPr="0013396E">
        <w:rPr>
          <w:b/>
        </w:rPr>
        <w:tab/>
        <w:t>=</w:t>
      </w:r>
      <w:r w:rsidRPr="0013396E">
        <w:rPr>
          <w:b/>
        </w:rPr>
        <w:tab/>
        <w:t>Min (POWERTELEM + (</w:t>
      </w:r>
      <w:r w:rsidRPr="0013396E">
        <w:rPr>
          <w:b/>
          <w:bCs/>
          <w:lang w:val="de-DE"/>
        </w:rPr>
        <w:t>NORMRAMPUP</w:t>
      </w:r>
      <w:r w:rsidRPr="0013396E">
        <w:rPr>
          <w:b/>
        </w:rPr>
        <w:t>* 5), HSLTELEM)</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657"/>
        <w:gridCol w:w="6199"/>
      </w:tblGrid>
      <w:tr w:rsidR="005D316E" w:rsidRPr="0013396E" w14:paraId="4035225D" w14:textId="77777777" w:rsidTr="005B61C1">
        <w:tc>
          <w:tcPr>
            <w:tcW w:w="1500" w:type="pct"/>
            <w:tcBorders>
              <w:top w:val="single" w:sz="4" w:space="0" w:color="auto"/>
              <w:left w:val="single" w:sz="4" w:space="0" w:color="auto"/>
              <w:bottom w:val="single" w:sz="4" w:space="0" w:color="auto"/>
              <w:right w:val="single" w:sz="4" w:space="0" w:color="auto"/>
            </w:tcBorders>
            <w:hideMark/>
          </w:tcPr>
          <w:p w14:paraId="6EC56030" w14:textId="77777777" w:rsidR="005D316E" w:rsidRPr="0013396E" w:rsidRDefault="005D316E" w:rsidP="005B61C1">
            <w:pPr>
              <w:spacing w:after="120"/>
              <w:rPr>
                <w:b/>
                <w:iCs/>
                <w:sz w:val="20"/>
              </w:rPr>
            </w:pPr>
            <w:r w:rsidRPr="0013396E">
              <w:rPr>
                <w:b/>
                <w:iCs/>
                <w:sz w:val="20"/>
              </w:rPr>
              <w:t>Variable</w:t>
            </w:r>
          </w:p>
        </w:tc>
        <w:tc>
          <w:tcPr>
            <w:tcW w:w="3500" w:type="pct"/>
            <w:tcBorders>
              <w:top w:val="single" w:sz="4" w:space="0" w:color="auto"/>
              <w:left w:val="single" w:sz="4" w:space="0" w:color="auto"/>
              <w:bottom w:val="single" w:sz="4" w:space="0" w:color="auto"/>
              <w:right w:val="single" w:sz="4" w:space="0" w:color="auto"/>
            </w:tcBorders>
            <w:hideMark/>
          </w:tcPr>
          <w:p w14:paraId="2508085A" w14:textId="77777777" w:rsidR="005D316E" w:rsidRPr="0013396E" w:rsidRDefault="005D316E" w:rsidP="005B61C1">
            <w:pPr>
              <w:spacing w:after="120"/>
              <w:rPr>
                <w:b/>
                <w:iCs/>
                <w:sz w:val="20"/>
              </w:rPr>
            </w:pPr>
            <w:r w:rsidRPr="0013396E">
              <w:rPr>
                <w:b/>
                <w:iCs/>
                <w:sz w:val="20"/>
              </w:rPr>
              <w:t>Description</w:t>
            </w:r>
          </w:p>
        </w:tc>
      </w:tr>
      <w:tr w:rsidR="005D316E" w:rsidRPr="0013396E" w14:paraId="4EE7B009"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51741011" w14:textId="77777777" w:rsidR="005D316E" w:rsidRPr="0013396E" w:rsidRDefault="005D316E" w:rsidP="005B61C1">
            <w:pPr>
              <w:spacing w:after="60"/>
              <w:rPr>
                <w:iCs/>
                <w:sz w:val="20"/>
              </w:rPr>
            </w:pPr>
            <w:r w:rsidRPr="0013396E">
              <w:rPr>
                <w:iCs/>
                <w:sz w:val="20"/>
              </w:rPr>
              <w:t>HDL</w:t>
            </w:r>
          </w:p>
        </w:tc>
        <w:tc>
          <w:tcPr>
            <w:tcW w:w="3500" w:type="pct"/>
            <w:tcBorders>
              <w:top w:val="single" w:sz="4" w:space="0" w:color="auto"/>
              <w:left w:val="single" w:sz="4" w:space="0" w:color="auto"/>
              <w:bottom w:val="single" w:sz="4" w:space="0" w:color="auto"/>
              <w:right w:val="single" w:sz="4" w:space="0" w:color="auto"/>
            </w:tcBorders>
            <w:hideMark/>
          </w:tcPr>
          <w:p w14:paraId="6C99448C" w14:textId="77777777" w:rsidR="005D316E" w:rsidRPr="0013396E" w:rsidRDefault="005D316E" w:rsidP="005B61C1">
            <w:pPr>
              <w:spacing w:after="60"/>
              <w:rPr>
                <w:iCs/>
                <w:sz w:val="20"/>
              </w:rPr>
            </w:pPr>
            <w:r w:rsidRPr="0013396E">
              <w:rPr>
                <w:iCs/>
                <w:sz w:val="20"/>
              </w:rPr>
              <w:t>High Dispatch Limit.</w:t>
            </w:r>
          </w:p>
        </w:tc>
      </w:tr>
      <w:tr w:rsidR="005D316E" w:rsidRPr="0013396E" w14:paraId="1688398D"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295928CE" w14:textId="77777777" w:rsidR="005D316E" w:rsidRPr="0013396E" w:rsidRDefault="005D316E" w:rsidP="005B61C1">
            <w:pPr>
              <w:spacing w:after="60"/>
              <w:rPr>
                <w:iCs/>
                <w:sz w:val="20"/>
              </w:rPr>
            </w:pPr>
            <w:r w:rsidRPr="0013396E">
              <w:rPr>
                <w:iCs/>
                <w:sz w:val="20"/>
              </w:rPr>
              <w:t>POWERTELEM</w:t>
            </w:r>
          </w:p>
        </w:tc>
        <w:tc>
          <w:tcPr>
            <w:tcW w:w="3500" w:type="pct"/>
            <w:tcBorders>
              <w:top w:val="single" w:sz="4" w:space="0" w:color="auto"/>
              <w:left w:val="single" w:sz="4" w:space="0" w:color="auto"/>
              <w:bottom w:val="single" w:sz="4" w:space="0" w:color="auto"/>
              <w:right w:val="single" w:sz="4" w:space="0" w:color="auto"/>
            </w:tcBorders>
            <w:hideMark/>
          </w:tcPr>
          <w:p w14:paraId="5C7F3103" w14:textId="77777777" w:rsidR="005D316E" w:rsidRPr="0013396E" w:rsidRDefault="005D316E" w:rsidP="005B61C1">
            <w:pPr>
              <w:spacing w:after="60"/>
              <w:rPr>
                <w:iCs/>
                <w:sz w:val="20"/>
              </w:rPr>
            </w:pPr>
            <w:r w:rsidRPr="0013396E">
              <w:rPr>
                <w:iCs/>
                <w:sz w:val="20"/>
              </w:rPr>
              <w:t xml:space="preserve">Net real power provided via telemetry. </w:t>
            </w:r>
          </w:p>
        </w:tc>
      </w:tr>
      <w:tr w:rsidR="005D316E" w:rsidRPr="0013396E" w14:paraId="120DE2D2"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03149A90" w14:textId="77777777" w:rsidR="005D316E" w:rsidRPr="0013396E" w:rsidRDefault="005D316E" w:rsidP="005B61C1">
            <w:pPr>
              <w:spacing w:after="60"/>
              <w:rPr>
                <w:iCs/>
                <w:sz w:val="20"/>
              </w:rPr>
            </w:pPr>
            <w:r w:rsidRPr="0013396E">
              <w:rPr>
                <w:iCs/>
                <w:sz w:val="20"/>
              </w:rPr>
              <w:t>NORMRAMPUP</w:t>
            </w:r>
          </w:p>
        </w:tc>
        <w:tc>
          <w:tcPr>
            <w:tcW w:w="3500" w:type="pct"/>
            <w:tcBorders>
              <w:top w:val="single" w:sz="4" w:space="0" w:color="auto"/>
              <w:left w:val="single" w:sz="4" w:space="0" w:color="auto"/>
              <w:bottom w:val="single" w:sz="4" w:space="0" w:color="auto"/>
              <w:right w:val="single" w:sz="4" w:space="0" w:color="auto"/>
            </w:tcBorders>
            <w:hideMark/>
          </w:tcPr>
          <w:p w14:paraId="487A2C9A" w14:textId="77777777" w:rsidR="005D316E" w:rsidRPr="0013396E" w:rsidRDefault="005D316E" w:rsidP="005B61C1">
            <w:pPr>
              <w:spacing w:after="60"/>
              <w:ind w:left="720" w:hanging="720"/>
              <w:rPr>
                <w:iCs/>
                <w:sz w:val="20"/>
              </w:rPr>
            </w:pPr>
            <w:r w:rsidRPr="0013396E">
              <w:rPr>
                <w:iCs/>
                <w:sz w:val="20"/>
              </w:rPr>
              <w:t>5-minute blended Normal Ramp Rate up, as telemetered by the QSE.</w:t>
            </w:r>
          </w:p>
        </w:tc>
      </w:tr>
      <w:tr w:rsidR="005D316E" w:rsidRPr="0013396E" w14:paraId="377AAE1A"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39C358B9" w14:textId="77777777" w:rsidR="005D316E" w:rsidRPr="0013396E" w:rsidRDefault="005D316E" w:rsidP="005B61C1">
            <w:pPr>
              <w:spacing w:after="60"/>
              <w:rPr>
                <w:iCs/>
                <w:sz w:val="20"/>
              </w:rPr>
            </w:pPr>
            <w:r w:rsidRPr="0013396E">
              <w:rPr>
                <w:iCs/>
                <w:sz w:val="20"/>
              </w:rPr>
              <w:t>HSLTELEM</w:t>
            </w:r>
          </w:p>
        </w:tc>
        <w:tc>
          <w:tcPr>
            <w:tcW w:w="3500" w:type="pct"/>
            <w:tcBorders>
              <w:top w:val="single" w:sz="4" w:space="0" w:color="auto"/>
              <w:left w:val="single" w:sz="4" w:space="0" w:color="auto"/>
              <w:bottom w:val="single" w:sz="4" w:space="0" w:color="auto"/>
              <w:right w:val="single" w:sz="4" w:space="0" w:color="auto"/>
            </w:tcBorders>
            <w:hideMark/>
          </w:tcPr>
          <w:p w14:paraId="162F8129" w14:textId="77777777" w:rsidR="005D316E" w:rsidRPr="0013396E" w:rsidRDefault="005D316E" w:rsidP="005B61C1">
            <w:pPr>
              <w:spacing w:after="60"/>
              <w:ind w:left="720" w:hanging="720"/>
              <w:rPr>
                <w:iCs/>
                <w:sz w:val="20"/>
              </w:rPr>
            </w:pPr>
            <w:r w:rsidRPr="0013396E">
              <w:rPr>
                <w:iCs/>
                <w:sz w:val="20"/>
              </w:rPr>
              <w:t xml:space="preserve">High Sustained Limit (HSL) provided via telemetry – per Section 6.5.5.2. </w:t>
            </w:r>
          </w:p>
        </w:tc>
      </w:tr>
    </w:tbl>
    <w:p w14:paraId="7875FBBA" w14:textId="77777777" w:rsidR="005D316E" w:rsidRPr="0013396E" w:rsidRDefault="005D316E" w:rsidP="005D316E">
      <w:pPr>
        <w:spacing w:after="240"/>
        <w:rPr>
          <w:iCs/>
        </w:rPr>
      </w:pPr>
      <w:r w:rsidRPr="0013396E">
        <w:rPr>
          <w:iCs/>
        </w:rPr>
        <w:br/>
        <w:t>(5)</w:t>
      </w:r>
      <w:r w:rsidRPr="0013396E">
        <w:rPr>
          <w:iCs/>
        </w:rPr>
        <w:tab/>
        <w:t>For ESRs, LDL is calculated as follows:</w:t>
      </w:r>
    </w:p>
    <w:p w14:paraId="6146F811" w14:textId="77777777" w:rsidR="005D316E" w:rsidRPr="0013396E" w:rsidRDefault="005D316E" w:rsidP="005D316E">
      <w:pPr>
        <w:spacing w:after="240"/>
        <w:ind w:left="1440" w:hanging="720"/>
        <w:rPr>
          <w:iCs/>
        </w:rPr>
      </w:pPr>
      <w:r w:rsidRPr="0013396E">
        <w:rPr>
          <w:iCs/>
        </w:rPr>
        <w:t>(a)</w:t>
      </w:r>
      <w:r w:rsidRPr="0013396E">
        <w:rPr>
          <w:iCs/>
        </w:rPr>
        <w:tab/>
        <w:t>If the telemetered Resource Status is ONHOLD, then</w:t>
      </w:r>
    </w:p>
    <w:p w14:paraId="7AA79AC9" w14:textId="77777777" w:rsidR="005D316E" w:rsidRPr="0013396E" w:rsidRDefault="005D316E" w:rsidP="005D316E">
      <w:pPr>
        <w:spacing w:after="240"/>
        <w:ind w:left="1440" w:hanging="720"/>
        <w:rPr>
          <w:b/>
          <w:iCs/>
        </w:rPr>
      </w:pPr>
      <w:r w:rsidRPr="0013396E">
        <w:rPr>
          <w:b/>
          <w:iCs/>
        </w:rPr>
        <w:t>LDL</w:t>
      </w:r>
      <w:r w:rsidRPr="0013396E">
        <w:rPr>
          <w:b/>
          <w:iCs/>
        </w:rPr>
        <w:tab/>
        <w:t>=</w:t>
      </w:r>
      <w:r w:rsidRPr="0013396E">
        <w:rPr>
          <w:b/>
          <w:iCs/>
        </w:rPr>
        <w:tab/>
        <w:t>0</w:t>
      </w:r>
    </w:p>
    <w:p w14:paraId="0AE9FF78" w14:textId="77777777" w:rsidR="005D316E" w:rsidRPr="0013396E" w:rsidRDefault="005D316E" w:rsidP="005D316E">
      <w:pPr>
        <w:spacing w:after="240"/>
        <w:ind w:left="1440" w:hanging="720"/>
        <w:rPr>
          <w:iCs/>
        </w:rPr>
      </w:pPr>
      <w:r w:rsidRPr="0013396E">
        <w:rPr>
          <w:iCs/>
        </w:rPr>
        <w:t>(b)</w:t>
      </w:r>
      <w:r w:rsidRPr="0013396E">
        <w:rPr>
          <w:iCs/>
        </w:rPr>
        <w:tab/>
        <w:t>If the telemetered Resource Status is ONTEST, then</w:t>
      </w:r>
    </w:p>
    <w:p w14:paraId="4DFA482E" w14:textId="77777777" w:rsidR="005D316E" w:rsidRPr="0013396E" w:rsidRDefault="005D316E" w:rsidP="005D316E">
      <w:pPr>
        <w:spacing w:after="240"/>
        <w:ind w:left="1440" w:hanging="720"/>
        <w:rPr>
          <w:iCs/>
        </w:rPr>
      </w:pPr>
      <w:r w:rsidRPr="0013396E">
        <w:rPr>
          <w:b/>
          <w:iCs/>
        </w:rPr>
        <w:t>LDL</w:t>
      </w:r>
      <w:r w:rsidRPr="0013396E">
        <w:rPr>
          <w:iCs/>
        </w:rPr>
        <w:tab/>
        <w:t>=</w:t>
      </w:r>
      <w:r w:rsidRPr="0013396E">
        <w:rPr>
          <w:iCs/>
        </w:rPr>
        <w:tab/>
      </w:r>
      <w:r w:rsidRPr="0013396E">
        <w:rPr>
          <w:b/>
        </w:rPr>
        <w:t>Max (Min (POWERTELEM, HSLTELEM), LSLTELEM)</w:t>
      </w:r>
    </w:p>
    <w:p w14:paraId="15AFDF49" w14:textId="60737975" w:rsidR="005D316E" w:rsidRPr="0013396E" w:rsidRDefault="005D316E" w:rsidP="005D316E">
      <w:pPr>
        <w:spacing w:after="240"/>
        <w:ind w:left="1440" w:hanging="720"/>
        <w:rPr>
          <w:iCs/>
        </w:rPr>
      </w:pPr>
      <w:r w:rsidRPr="0013396E">
        <w:rPr>
          <w:iCs/>
        </w:rPr>
        <w:lastRenderedPageBreak/>
        <w:t>(c)</w:t>
      </w:r>
      <w:r w:rsidRPr="0013396E">
        <w:rPr>
          <w:iCs/>
        </w:rPr>
        <w:tab/>
        <w:t>If the telemetered Resource Status is any status code specified in item (5)(b)(iv) of Section 3.9.1</w:t>
      </w:r>
      <w:r w:rsidR="007A36C8">
        <w:rPr>
          <w:iCs/>
        </w:rPr>
        <w:t xml:space="preserve"> </w:t>
      </w:r>
      <w:r w:rsidRPr="0013396E">
        <w:rPr>
          <w:iCs/>
        </w:rPr>
        <w:t>other than OUT, or EMR, or EMRSWGR, or ONHOLD, or ONTEST, then</w:t>
      </w:r>
    </w:p>
    <w:p w14:paraId="1715AD71" w14:textId="77777777" w:rsidR="005D316E" w:rsidRPr="0013396E" w:rsidRDefault="005D316E" w:rsidP="005D316E">
      <w:pPr>
        <w:ind w:left="1440" w:hanging="720"/>
        <w:rPr>
          <w:b/>
        </w:rPr>
      </w:pPr>
      <w:r w:rsidRPr="0013396E">
        <w:rPr>
          <w:b/>
        </w:rPr>
        <w:t>LDL</w:t>
      </w:r>
      <w:r w:rsidRPr="0013396E">
        <w:rPr>
          <w:b/>
        </w:rPr>
        <w:tab/>
        <w:t>=</w:t>
      </w:r>
      <w:r w:rsidRPr="0013396E">
        <w:rPr>
          <w:b/>
        </w:rPr>
        <w:tab/>
        <w:t>Max (POWERTELEM - (</w:t>
      </w:r>
      <w:r w:rsidRPr="0013396E">
        <w:rPr>
          <w:b/>
          <w:bCs/>
          <w:lang w:val="de-DE"/>
        </w:rPr>
        <w:t>NORMRAMPDN</w:t>
      </w:r>
      <w:r w:rsidRPr="0013396E">
        <w:rPr>
          <w:b/>
          <w:lang w:val="de-DE"/>
        </w:rPr>
        <w:t xml:space="preserve"> </w:t>
      </w:r>
      <w:r w:rsidRPr="0013396E">
        <w:rPr>
          <w:b/>
        </w:rPr>
        <w:t>* 5), LSLTELEM)</w:t>
      </w:r>
      <w:r w:rsidRPr="0013396E">
        <w:rPr>
          <w:b/>
        </w:rPr>
        <w:br/>
      </w:r>
    </w:p>
    <w:tbl>
      <w:tblPr>
        <w:tblpPr w:leftFromText="180" w:rightFromText="180" w:bottomFromText="160" w:vertAnchor="text" w:tblpY="1"/>
        <w:tblOverlap w:val="neve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657"/>
        <w:gridCol w:w="6199"/>
      </w:tblGrid>
      <w:tr w:rsidR="005D316E" w:rsidRPr="0013396E" w14:paraId="67E0A804" w14:textId="77777777" w:rsidTr="005B61C1">
        <w:tc>
          <w:tcPr>
            <w:tcW w:w="1500" w:type="pct"/>
            <w:tcBorders>
              <w:top w:val="single" w:sz="4" w:space="0" w:color="auto"/>
              <w:left w:val="single" w:sz="4" w:space="0" w:color="auto"/>
              <w:bottom w:val="single" w:sz="4" w:space="0" w:color="auto"/>
              <w:right w:val="single" w:sz="4" w:space="0" w:color="auto"/>
            </w:tcBorders>
            <w:hideMark/>
          </w:tcPr>
          <w:p w14:paraId="35AB8B30" w14:textId="77777777" w:rsidR="005D316E" w:rsidRPr="0013396E" w:rsidRDefault="005D316E" w:rsidP="005B61C1">
            <w:pPr>
              <w:spacing w:after="120"/>
              <w:rPr>
                <w:b/>
                <w:iCs/>
                <w:sz w:val="20"/>
              </w:rPr>
            </w:pPr>
            <w:r w:rsidRPr="0013396E">
              <w:rPr>
                <w:b/>
                <w:iCs/>
                <w:sz w:val="20"/>
              </w:rPr>
              <w:t>Variable</w:t>
            </w:r>
          </w:p>
        </w:tc>
        <w:tc>
          <w:tcPr>
            <w:tcW w:w="3500" w:type="pct"/>
            <w:tcBorders>
              <w:top w:val="single" w:sz="4" w:space="0" w:color="auto"/>
              <w:left w:val="single" w:sz="4" w:space="0" w:color="auto"/>
              <w:bottom w:val="single" w:sz="4" w:space="0" w:color="auto"/>
              <w:right w:val="single" w:sz="4" w:space="0" w:color="auto"/>
            </w:tcBorders>
            <w:hideMark/>
          </w:tcPr>
          <w:p w14:paraId="110780B0" w14:textId="77777777" w:rsidR="005D316E" w:rsidRPr="0013396E" w:rsidRDefault="005D316E" w:rsidP="005B61C1">
            <w:pPr>
              <w:spacing w:after="120"/>
              <w:rPr>
                <w:b/>
                <w:iCs/>
                <w:sz w:val="20"/>
              </w:rPr>
            </w:pPr>
            <w:r w:rsidRPr="0013396E">
              <w:rPr>
                <w:b/>
                <w:iCs/>
                <w:sz w:val="20"/>
              </w:rPr>
              <w:t>Description</w:t>
            </w:r>
          </w:p>
        </w:tc>
      </w:tr>
      <w:tr w:rsidR="005D316E" w:rsidRPr="0013396E" w14:paraId="5413146E"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309A979E" w14:textId="77777777" w:rsidR="005D316E" w:rsidRPr="0013396E" w:rsidRDefault="005D316E" w:rsidP="005B61C1">
            <w:pPr>
              <w:spacing w:after="60"/>
              <w:rPr>
                <w:iCs/>
                <w:sz w:val="20"/>
              </w:rPr>
            </w:pPr>
            <w:r w:rsidRPr="0013396E">
              <w:rPr>
                <w:iCs/>
                <w:sz w:val="20"/>
              </w:rPr>
              <w:t>LDL</w:t>
            </w:r>
          </w:p>
        </w:tc>
        <w:tc>
          <w:tcPr>
            <w:tcW w:w="3500" w:type="pct"/>
            <w:tcBorders>
              <w:top w:val="single" w:sz="4" w:space="0" w:color="auto"/>
              <w:left w:val="single" w:sz="4" w:space="0" w:color="auto"/>
              <w:bottom w:val="single" w:sz="4" w:space="0" w:color="auto"/>
              <w:right w:val="single" w:sz="4" w:space="0" w:color="auto"/>
            </w:tcBorders>
            <w:hideMark/>
          </w:tcPr>
          <w:p w14:paraId="35B74D09" w14:textId="77777777" w:rsidR="005D316E" w:rsidRPr="0013396E" w:rsidRDefault="005D316E" w:rsidP="005B61C1">
            <w:pPr>
              <w:spacing w:after="60"/>
              <w:rPr>
                <w:iCs/>
                <w:sz w:val="20"/>
              </w:rPr>
            </w:pPr>
            <w:r w:rsidRPr="0013396E">
              <w:rPr>
                <w:iCs/>
                <w:sz w:val="20"/>
              </w:rPr>
              <w:t>Low Dispatch Limit.</w:t>
            </w:r>
          </w:p>
        </w:tc>
      </w:tr>
      <w:tr w:rsidR="005D316E" w:rsidRPr="0013396E" w14:paraId="0DE3F827"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7B03A8B5" w14:textId="77777777" w:rsidR="005D316E" w:rsidRPr="0013396E" w:rsidRDefault="005D316E" w:rsidP="005B61C1">
            <w:pPr>
              <w:spacing w:after="60"/>
              <w:rPr>
                <w:iCs/>
                <w:sz w:val="20"/>
              </w:rPr>
            </w:pPr>
            <w:r w:rsidRPr="0013396E">
              <w:rPr>
                <w:iCs/>
                <w:sz w:val="20"/>
              </w:rPr>
              <w:t>POWERTELEM</w:t>
            </w:r>
          </w:p>
        </w:tc>
        <w:tc>
          <w:tcPr>
            <w:tcW w:w="3500" w:type="pct"/>
            <w:tcBorders>
              <w:top w:val="single" w:sz="4" w:space="0" w:color="auto"/>
              <w:left w:val="single" w:sz="4" w:space="0" w:color="auto"/>
              <w:bottom w:val="single" w:sz="4" w:space="0" w:color="auto"/>
              <w:right w:val="single" w:sz="4" w:space="0" w:color="auto"/>
            </w:tcBorders>
            <w:hideMark/>
          </w:tcPr>
          <w:p w14:paraId="566C2568" w14:textId="77777777" w:rsidR="005D316E" w:rsidRPr="0013396E" w:rsidRDefault="005D316E" w:rsidP="005B61C1">
            <w:pPr>
              <w:spacing w:after="60"/>
              <w:rPr>
                <w:iCs/>
                <w:sz w:val="20"/>
              </w:rPr>
            </w:pPr>
            <w:r w:rsidRPr="0013396E">
              <w:rPr>
                <w:iCs/>
                <w:sz w:val="20"/>
              </w:rPr>
              <w:t>Net real power provided via telemetry.</w:t>
            </w:r>
          </w:p>
        </w:tc>
      </w:tr>
      <w:tr w:rsidR="005D316E" w:rsidRPr="0013396E" w14:paraId="45C43673"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7DB39CD2" w14:textId="77777777" w:rsidR="005D316E" w:rsidRPr="0013396E" w:rsidRDefault="005D316E" w:rsidP="005B61C1">
            <w:pPr>
              <w:spacing w:after="60"/>
              <w:rPr>
                <w:iCs/>
                <w:sz w:val="20"/>
              </w:rPr>
            </w:pPr>
            <w:r w:rsidRPr="0013396E">
              <w:rPr>
                <w:iCs/>
                <w:sz w:val="20"/>
              </w:rPr>
              <w:t>LSLTELEM</w:t>
            </w:r>
          </w:p>
        </w:tc>
        <w:tc>
          <w:tcPr>
            <w:tcW w:w="3500" w:type="pct"/>
            <w:tcBorders>
              <w:top w:val="single" w:sz="4" w:space="0" w:color="auto"/>
              <w:left w:val="single" w:sz="4" w:space="0" w:color="auto"/>
              <w:bottom w:val="single" w:sz="4" w:space="0" w:color="auto"/>
              <w:right w:val="single" w:sz="4" w:space="0" w:color="auto"/>
            </w:tcBorders>
            <w:hideMark/>
          </w:tcPr>
          <w:p w14:paraId="6E942E61" w14:textId="77777777" w:rsidR="005D316E" w:rsidRPr="0013396E" w:rsidRDefault="005D316E" w:rsidP="005B61C1">
            <w:pPr>
              <w:spacing w:after="60"/>
              <w:rPr>
                <w:iCs/>
                <w:sz w:val="20"/>
              </w:rPr>
            </w:pPr>
            <w:r w:rsidRPr="0013396E">
              <w:rPr>
                <w:iCs/>
                <w:sz w:val="20"/>
              </w:rPr>
              <w:t>Low Sustained Limit provided via telemetry.</w:t>
            </w:r>
          </w:p>
        </w:tc>
      </w:tr>
      <w:tr w:rsidR="005D316E" w:rsidRPr="0013396E" w14:paraId="7D36925D" w14:textId="77777777" w:rsidTr="005B61C1">
        <w:trPr>
          <w:cantSplit/>
        </w:trPr>
        <w:tc>
          <w:tcPr>
            <w:tcW w:w="1500" w:type="pct"/>
            <w:tcBorders>
              <w:top w:val="single" w:sz="4" w:space="0" w:color="auto"/>
              <w:left w:val="single" w:sz="4" w:space="0" w:color="auto"/>
              <w:bottom w:val="single" w:sz="4" w:space="0" w:color="auto"/>
              <w:right w:val="single" w:sz="4" w:space="0" w:color="auto"/>
            </w:tcBorders>
            <w:hideMark/>
          </w:tcPr>
          <w:p w14:paraId="1369B352" w14:textId="77777777" w:rsidR="005D316E" w:rsidRPr="0013396E" w:rsidRDefault="005D316E" w:rsidP="005B61C1">
            <w:pPr>
              <w:spacing w:after="60"/>
              <w:rPr>
                <w:iCs/>
                <w:sz w:val="20"/>
              </w:rPr>
            </w:pPr>
            <w:r w:rsidRPr="0013396E">
              <w:rPr>
                <w:iCs/>
                <w:sz w:val="20"/>
              </w:rPr>
              <w:t>NORMRAMPDN</w:t>
            </w:r>
          </w:p>
        </w:tc>
        <w:tc>
          <w:tcPr>
            <w:tcW w:w="3500" w:type="pct"/>
            <w:tcBorders>
              <w:top w:val="single" w:sz="4" w:space="0" w:color="auto"/>
              <w:left w:val="single" w:sz="4" w:space="0" w:color="auto"/>
              <w:bottom w:val="single" w:sz="4" w:space="0" w:color="auto"/>
              <w:right w:val="single" w:sz="4" w:space="0" w:color="auto"/>
            </w:tcBorders>
            <w:hideMark/>
          </w:tcPr>
          <w:p w14:paraId="59110696" w14:textId="77777777" w:rsidR="005D316E" w:rsidRPr="0013396E" w:rsidRDefault="005D316E" w:rsidP="005B61C1">
            <w:pPr>
              <w:spacing w:after="60"/>
              <w:rPr>
                <w:iCs/>
                <w:sz w:val="20"/>
              </w:rPr>
            </w:pPr>
            <w:r w:rsidRPr="0013396E">
              <w:rPr>
                <w:iCs/>
                <w:sz w:val="20"/>
              </w:rPr>
              <w:t>5-minute blended Normal Ramp Rate down, as telemetered by the QSE.</w:t>
            </w:r>
          </w:p>
        </w:tc>
      </w:tr>
    </w:tbl>
    <w:p w14:paraId="3199ECE0" w14:textId="77777777" w:rsidR="005D316E" w:rsidRPr="0013396E" w:rsidRDefault="005D316E" w:rsidP="005D316E">
      <w:pPr>
        <w:spacing w:before="240" w:after="240"/>
        <w:ind w:left="720" w:hanging="720"/>
        <w:rPr>
          <w:b/>
          <w:i/>
          <w:iCs/>
        </w:rPr>
      </w:pPr>
      <w:r w:rsidRPr="0013396E">
        <w:rPr>
          <w:iCs/>
        </w:rPr>
        <w:t>(6)</w:t>
      </w:r>
      <w:r w:rsidRPr="0013396E">
        <w:rPr>
          <w:iCs/>
        </w:rPr>
        <w:tab/>
        <w:t>For SCED-dispatchable Load Resources, HDL is calculated as follows:</w:t>
      </w:r>
    </w:p>
    <w:p w14:paraId="79212736" w14:textId="77777777" w:rsidR="005D316E" w:rsidRPr="0013396E" w:rsidRDefault="005D316E" w:rsidP="005D316E">
      <w:pPr>
        <w:spacing w:after="240"/>
        <w:ind w:left="1440" w:hanging="720"/>
        <w:rPr>
          <w:b/>
        </w:rPr>
      </w:pPr>
      <w:r w:rsidRPr="0013396E">
        <w:rPr>
          <w:b/>
        </w:rPr>
        <w:t>HDL</w:t>
      </w:r>
      <w:r w:rsidRPr="0013396E">
        <w:rPr>
          <w:b/>
        </w:rPr>
        <w:tab/>
        <w:t>=</w:t>
      </w:r>
      <w:r w:rsidRPr="0013396E">
        <w:rPr>
          <w:b/>
        </w:rPr>
        <w:tab/>
        <w:t>Min (POWERTELEM + (</w:t>
      </w:r>
      <w:r w:rsidRPr="0013396E">
        <w:rPr>
          <w:b/>
          <w:lang w:val="de-DE"/>
        </w:rPr>
        <w:t>NORMRAMPDN</w:t>
      </w:r>
      <w:r w:rsidRPr="0013396E">
        <w:rPr>
          <w:b/>
        </w:rPr>
        <w:t xml:space="preserve"> * 5), HSLTELEM)</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657"/>
        <w:gridCol w:w="6199"/>
      </w:tblGrid>
      <w:tr w:rsidR="005D316E" w:rsidRPr="0013396E" w14:paraId="00D0B76B" w14:textId="77777777" w:rsidTr="005B61C1">
        <w:tc>
          <w:tcPr>
            <w:tcW w:w="1500" w:type="pct"/>
          </w:tcPr>
          <w:p w14:paraId="07EA3AA8" w14:textId="77777777" w:rsidR="005D316E" w:rsidRPr="0013396E" w:rsidRDefault="005D316E" w:rsidP="005B61C1">
            <w:pPr>
              <w:spacing w:after="120"/>
              <w:rPr>
                <w:b/>
                <w:iCs/>
                <w:sz w:val="20"/>
              </w:rPr>
            </w:pPr>
            <w:r w:rsidRPr="0013396E">
              <w:rPr>
                <w:b/>
                <w:iCs/>
                <w:sz w:val="20"/>
              </w:rPr>
              <w:t>Variable</w:t>
            </w:r>
          </w:p>
        </w:tc>
        <w:tc>
          <w:tcPr>
            <w:tcW w:w="3500" w:type="pct"/>
          </w:tcPr>
          <w:p w14:paraId="3FD8F235" w14:textId="77777777" w:rsidR="005D316E" w:rsidRPr="0013396E" w:rsidRDefault="005D316E" w:rsidP="005B61C1">
            <w:pPr>
              <w:spacing w:after="120"/>
              <w:rPr>
                <w:b/>
                <w:iCs/>
                <w:sz w:val="20"/>
              </w:rPr>
            </w:pPr>
            <w:r w:rsidRPr="0013396E">
              <w:rPr>
                <w:b/>
                <w:iCs/>
                <w:sz w:val="20"/>
              </w:rPr>
              <w:t>Description</w:t>
            </w:r>
          </w:p>
        </w:tc>
      </w:tr>
      <w:tr w:rsidR="005D316E" w:rsidRPr="0013396E" w14:paraId="30C146D2" w14:textId="77777777" w:rsidTr="005B61C1">
        <w:trPr>
          <w:cantSplit/>
        </w:trPr>
        <w:tc>
          <w:tcPr>
            <w:tcW w:w="1500" w:type="pct"/>
          </w:tcPr>
          <w:p w14:paraId="62194761" w14:textId="77777777" w:rsidR="005D316E" w:rsidRPr="0013396E" w:rsidRDefault="005D316E" w:rsidP="005B61C1">
            <w:pPr>
              <w:spacing w:after="60"/>
              <w:rPr>
                <w:iCs/>
                <w:sz w:val="20"/>
              </w:rPr>
            </w:pPr>
            <w:r w:rsidRPr="0013396E">
              <w:rPr>
                <w:iCs/>
                <w:sz w:val="20"/>
              </w:rPr>
              <w:t>HDL</w:t>
            </w:r>
          </w:p>
        </w:tc>
        <w:tc>
          <w:tcPr>
            <w:tcW w:w="3500" w:type="pct"/>
          </w:tcPr>
          <w:p w14:paraId="7ED44753" w14:textId="77777777" w:rsidR="005D316E" w:rsidRPr="0013396E" w:rsidRDefault="005D316E" w:rsidP="005B61C1">
            <w:pPr>
              <w:spacing w:after="60"/>
              <w:rPr>
                <w:iCs/>
                <w:sz w:val="20"/>
              </w:rPr>
            </w:pPr>
            <w:r w:rsidRPr="0013396E">
              <w:rPr>
                <w:iCs/>
                <w:sz w:val="20"/>
              </w:rPr>
              <w:t>High Dispatch Limit.</w:t>
            </w:r>
          </w:p>
        </w:tc>
      </w:tr>
      <w:tr w:rsidR="005D316E" w:rsidRPr="0013396E" w14:paraId="68EF6B67" w14:textId="77777777" w:rsidTr="005B61C1">
        <w:trPr>
          <w:cantSplit/>
        </w:trPr>
        <w:tc>
          <w:tcPr>
            <w:tcW w:w="1500" w:type="pct"/>
          </w:tcPr>
          <w:p w14:paraId="01C6AFF3" w14:textId="77777777" w:rsidR="005D316E" w:rsidRPr="0013396E" w:rsidRDefault="005D316E" w:rsidP="005B61C1">
            <w:pPr>
              <w:spacing w:after="60"/>
              <w:rPr>
                <w:iCs/>
                <w:sz w:val="20"/>
              </w:rPr>
            </w:pPr>
            <w:r w:rsidRPr="0013396E">
              <w:rPr>
                <w:iCs/>
                <w:sz w:val="20"/>
              </w:rPr>
              <w:t>POWERTELEM</w:t>
            </w:r>
          </w:p>
        </w:tc>
        <w:tc>
          <w:tcPr>
            <w:tcW w:w="3500" w:type="pct"/>
          </w:tcPr>
          <w:p w14:paraId="3E589F98" w14:textId="77777777" w:rsidR="005D316E" w:rsidRPr="0013396E" w:rsidRDefault="005D316E" w:rsidP="005B61C1">
            <w:pPr>
              <w:spacing w:after="60"/>
              <w:rPr>
                <w:iCs/>
                <w:sz w:val="20"/>
              </w:rPr>
            </w:pPr>
            <w:r w:rsidRPr="0013396E">
              <w:rPr>
                <w:iCs/>
                <w:sz w:val="20"/>
              </w:rPr>
              <w:t xml:space="preserve">Net real power flow provided via telemetry. </w:t>
            </w:r>
          </w:p>
        </w:tc>
      </w:tr>
      <w:tr w:rsidR="005D316E" w:rsidRPr="0013396E" w14:paraId="170A9833" w14:textId="77777777" w:rsidTr="005B61C1">
        <w:trPr>
          <w:cantSplit/>
        </w:trPr>
        <w:tc>
          <w:tcPr>
            <w:tcW w:w="1500" w:type="pct"/>
          </w:tcPr>
          <w:p w14:paraId="43F82F73" w14:textId="77777777" w:rsidR="005D316E" w:rsidRPr="0013396E" w:rsidRDefault="005D316E" w:rsidP="005B61C1">
            <w:pPr>
              <w:spacing w:after="60"/>
              <w:rPr>
                <w:iCs/>
                <w:sz w:val="20"/>
              </w:rPr>
            </w:pPr>
            <w:r w:rsidRPr="0013396E">
              <w:rPr>
                <w:iCs/>
                <w:sz w:val="20"/>
              </w:rPr>
              <w:t>NORMRAMPDN</w:t>
            </w:r>
          </w:p>
        </w:tc>
        <w:tc>
          <w:tcPr>
            <w:tcW w:w="3500" w:type="pct"/>
          </w:tcPr>
          <w:p w14:paraId="2341313C" w14:textId="77777777" w:rsidR="005D316E" w:rsidRPr="0013396E" w:rsidRDefault="005D316E" w:rsidP="005B61C1">
            <w:pPr>
              <w:spacing w:after="60"/>
              <w:rPr>
                <w:iCs/>
                <w:sz w:val="20"/>
              </w:rPr>
            </w:pPr>
            <w:r w:rsidRPr="0013396E">
              <w:rPr>
                <w:iCs/>
                <w:sz w:val="20"/>
              </w:rPr>
              <w:t xml:space="preserve">Normal Ramp Rate down, as telemetered by the QSE. </w:t>
            </w:r>
          </w:p>
        </w:tc>
      </w:tr>
      <w:tr w:rsidR="005D316E" w:rsidRPr="0013396E" w14:paraId="4CDEC920" w14:textId="77777777" w:rsidTr="005B61C1">
        <w:trPr>
          <w:cantSplit/>
        </w:trPr>
        <w:tc>
          <w:tcPr>
            <w:tcW w:w="1500" w:type="pct"/>
          </w:tcPr>
          <w:p w14:paraId="0C7DA85C" w14:textId="77777777" w:rsidR="005D316E" w:rsidRPr="0013396E" w:rsidRDefault="005D316E" w:rsidP="005B61C1">
            <w:pPr>
              <w:spacing w:after="60"/>
              <w:rPr>
                <w:iCs/>
                <w:sz w:val="20"/>
              </w:rPr>
            </w:pPr>
            <w:r w:rsidRPr="0013396E">
              <w:rPr>
                <w:iCs/>
                <w:sz w:val="20"/>
              </w:rPr>
              <w:t>HSLTELEM</w:t>
            </w:r>
          </w:p>
        </w:tc>
        <w:tc>
          <w:tcPr>
            <w:tcW w:w="3500" w:type="pct"/>
          </w:tcPr>
          <w:p w14:paraId="4BB07E01" w14:textId="77777777" w:rsidR="005D316E" w:rsidRPr="0013396E" w:rsidRDefault="005D316E" w:rsidP="005B61C1">
            <w:pPr>
              <w:spacing w:after="60"/>
              <w:rPr>
                <w:iCs/>
                <w:sz w:val="20"/>
              </w:rPr>
            </w:pPr>
            <w:r w:rsidRPr="0013396E">
              <w:rPr>
                <w:iCs/>
                <w:sz w:val="20"/>
              </w:rPr>
              <w:t>HSL provided via telemetry.</w:t>
            </w:r>
          </w:p>
        </w:tc>
      </w:tr>
    </w:tbl>
    <w:p w14:paraId="19D6A585" w14:textId="77777777" w:rsidR="005D316E" w:rsidRPr="0013396E" w:rsidRDefault="005D316E" w:rsidP="005D316E">
      <w:pPr>
        <w:spacing w:before="240" w:after="240"/>
        <w:rPr>
          <w:b/>
          <w:i/>
          <w:iCs/>
        </w:rPr>
      </w:pPr>
      <w:r w:rsidRPr="0013396E">
        <w:rPr>
          <w:iCs/>
        </w:rPr>
        <w:t>(7)</w:t>
      </w:r>
      <w:r w:rsidRPr="0013396E">
        <w:rPr>
          <w:iCs/>
        </w:rPr>
        <w:tab/>
        <w:t>For SCED-dispatchable Load Resources, LDL is calculated as follows:</w:t>
      </w:r>
    </w:p>
    <w:p w14:paraId="5A98B170" w14:textId="77777777" w:rsidR="005D316E" w:rsidRPr="0013396E" w:rsidRDefault="005D316E" w:rsidP="005D316E">
      <w:pPr>
        <w:spacing w:after="240"/>
        <w:ind w:left="1440" w:hanging="720"/>
        <w:rPr>
          <w:b/>
        </w:rPr>
      </w:pPr>
      <w:r w:rsidRPr="0013396E">
        <w:rPr>
          <w:b/>
        </w:rPr>
        <w:t>LDL</w:t>
      </w:r>
      <w:r w:rsidRPr="0013396E">
        <w:rPr>
          <w:b/>
        </w:rPr>
        <w:tab/>
        <w:t>=</w:t>
      </w:r>
      <w:r w:rsidRPr="0013396E">
        <w:rPr>
          <w:b/>
        </w:rPr>
        <w:tab/>
        <w:t>Max (POWERTELEM - (</w:t>
      </w:r>
      <w:r w:rsidRPr="0013396E">
        <w:rPr>
          <w:b/>
          <w:lang w:val="de-DE"/>
        </w:rPr>
        <w:t>NORMRAMPUP</w:t>
      </w:r>
      <w:r w:rsidRPr="0013396E">
        <w:rPr>
          <w:b/>
        </w:rPr>
        <w:t xml:space="preserve"> * 5), LSLTELEM)</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657"/>
        <w:gridCol w:w="6199"/>
      </w:tblGrid>
      <w:tr w:rsidR="005D316E" w:rsidRPr="0013396E" w14:paraId="1413D480" w14:textId="77777777" w:rsidTr="005B61C1">
        <w:tc>
          <w:tcPr>
            <w:tcW w:w="1500" w:type="pct"/>
          </w:tcPr>
          <w:p w14:paraId="2EDBF286" w14:textId="77777777" w:rsidR="005D316E" w:rsidRPr="0013396E" w:rsidRDefault="005D316E" w:rsidP="005B61C1">
            <w:pPr>
              <w:spacing w:after="120"/>
              <w:rPr>
                <w:b/>
                <w:iCs/>
                <w:sz w:val="20"/>
              </w:rPr>
            </w:pPr>
            <w:r w:rsidRPr="0013396E">
              <w:rPr>
                <w:b/>
                <w:iCs/>
                <w:sz w:val="20"/>
              </w:rPr>
              <w:t>Variable</w:t>
            </w:r>
          </w:p>
        </w:tc>
        <w:tc>
          <w:tcPr>
            <w:tcW w:w="3500" w:type="pct"/>
          </w:tcPr>
          <w:p w14:paraId="46F3DA8B" w14:textId="77777777" w:rsidR="005D316E" w:rsidRPr="0013396E" w:rsidRDefault="005D316E" w:rsidP="005B61C1">
            <w:pPr>
              <w:spacing w:after="120"/>
              <w:rPr>
                <w:b/>
                <w:iCs/>
                <w:sz w:val="20"/>
              </w:rPr>
            </w:pPr>
            <w:r w:rsidRPr="0013396E">
              <w:rPr>
                <w:b/>
                <w:iCs/>
                <w:sz w:val="20"/>
              </w:rPr>
              <w:t>Description</w:t>
            </w:r>
          </w:p>
        </w:tc>
      </w:tr>
      <w:tr w:rsidR="005D316E" w:rsidRPr="0013396E" w14:paraId="279C4D3F" w14:textId="77777777" w:rsidTr="005B61C1">
        <w:trPr>
          <w:cantSplit/>
        </w:trPr>
        <w:tc>
          <w:tcPr>
            <w:tcW w:w="1500" w:type="pct"/>
          </w:tcPr>
          <w:p w14:paraId="57CBE959" w14:textId="77777777" w:rsidR="005D316E" w:rsidRPr="0013396E" w:rsidRDefault="005D316E" w:rsidP="005B61C1">
            <w:pPr>
              <w:spacing w:after="60"/>
              <w:rPr>
                <w:iCs/>
                <w:sz w:val="20"/>
              </w:rPr>
            </w:pPr>
            <w:r w:rsidRPr="0013396E">
              <w:rPr>
                <w:iCs/>
                <w:sz w:val="20"/>
              </w:rPr>
              <w:t>LDL</w:t>
            </w:r>
          </w:p>
        </w:tc>
        <w:tc>
          <w:tcPr>
            <w:tcW w:w="3500" w:type="pct"/>
          </w:tcPr>
          <w:p w14:paraId="44C3D3AC" w14:textId="77777777" w:rsidR="005D316E" w:rsidRPr="0013396E" w:rsidRDefault="005D316E" w:rsidP="005B61C1">
            <w:pPr>
              <w:spacing w:after="60"/>
              <w:rPr>
                <w:iCs/>
                <w:sz w:val="20"/>
              </w:rPr>
            </w:pPr>
            <w:r w:rsidRPr="0013396E">
              <w:rPr>
                <w:iCs/>
                <w:sz w:val="20"/>
              </w:rPr>
              <w:t>Low Dispatch Limit.</w:t>
            </w:r>
          </w:p>
        </w:tc>
      </w:tr>
      <w:tr w:rsidR="005D316E" w:rsidRPr="0013396E" w14:paraId="65E9383D" w14:textId="77777777" w:rsidTr="005B61C1">
        <w:trPr>
          <w:cantSplit/>
        </w:trPr>
        <w:tc>
          <w:tcPr>
            <w:tcW w:w="1500" w:type="pct"/>
          </w:tcPr>
          <w:p w14:paraId="324C229C" w14:textId="77777777" w:rsidR="005D316E" w:rsidRPr="0013396E" w:rsidRDefault="005D316E" w:rsidP="005B61C1">
            <w:pPr>
              <w:spacing w:after="60"/>
              <w:rPr>
                <w:iCs/>
                <w:sz w:val="20"/>
              </w:rPr>
            </w:pPr>
            <w:r w:rsidRPr="0013396E">
              <w:rPr>
                <w:iCs/>
                <w:sz w:val="20"/>
              </w:rPr>
              <w:t>POWERTELEM</w:t>
            </w:r>
          </w:p>
        </w:tc>
        <w:tc>
          <w:tcPr>
            <w:tcW w:w="3500" w:type="pct"/>
          </w:tcPr>
          <w:p w14:paraId="2DD88168" w14:textId="77777777" w:rsidR="005D316E" w:rsidRPr="0013396E" w:rsidRDefault="005D316E" w:rsidP="005B61C1">
            <w:pPr>
              <w:spacing w:after="60"/>
              <w:rPr>
                <w:iCs/>
                <w:sz w:val="20"/>
              </w:rPr>
            </w:pPr>
            <w:r w:rsidRPr="0013396E">
              <w:rPr>
                <w:iCs/>
                <w:sz w:val="20"/>
              </w:rPr>
              <w:t xml:space="preserve">Net real power flow provided via telemetry. </w:t>
            </w:r>
          </w:p>
        </w:tc>
      </w:tr>
      <w:tr w:rsidR="005D316E" w:rsidRPr="0013396E" w14:paraId="318FBB8E" w14:textId="77777777" w:rsidTr="005B61C1">
        <w:trPr>
          <w:cantSplit/>
        </w:trPr>
        <w:tc>
          <w:tcPr>
            <w:tcW w:w="1500" w:type="pct"/>
          </w:tcPr>
          <w:p w14:paraId="3F1F649C" w14:textId="77777777" w:rsidR="005D316E" w:rsidRPr="0013396E" w:rsidRDefault="005D316E" w:rsidP="005B61C1">
            <w:pPr>
              <w:spacing w:after="60"/>
              <w:rPr>
                <w:iCs/>
                <w:sz w:val="20"/>
              </w:rPr>
            </w:pPr>
            <w:r w:rsidRPr="0013396E">
              <w:rPr>
                <w:iCs/>
                <w:sz w:val="20"/>
              </w:rPr>
              <w:t>NORMRAMPUP</w:t>
            </w:r>
          </w:p>
        </w:tc>
        <w:tc>
          <w:tcPr>
            <w:tcW w:w="3500" w:type="pct"/>
          </w:tcPr>
          <w:p w14:paraId="32639674" w14:textId="77777777" w:rsidR="005D316E" w:rsidRPr="0013396E" w:rsidRDefault="005D316E" w:rsidP="005B61C1">
            <w:pPr>
              <w:spacing w:after="60"/>
              <w:rPr>
                <w:iCs/>
                <w:sz w:val="20"/>
              </w:rPr>
            </w:pPr>
            <w:r w:rsidRPr="0013396E">
              <w:rPr>
                <w:iCs/>
                <w:sz w:val="20"/>
              </w:rPr>
              <w:t>Normal Ramp Rate up, as telemetered by the QSE.</w:t>
            </w:r>
          </w:p>
        </w:tc>
      </w:tr>
      <w:tr w:rsidR="005D316E" w:rsidRPr="0013396E" w14:paraId="6A6B89E8" w14:textId="77777777" w:rsidTr="005B61C1">
        <w:trPr>
          <w:cantSplit/>
        </w:trPr>
        <w:tc>
          <w:tcPr>
            <w:tcW w:w="1500" w:type="pct"/>
          </w:tcPr>
          <w:p w14:paraId="721B0123" w14:textId="77777777" w:rsidR="005D316E" w:rsidRPr="0013396E" w:rsidRDefault="005D316E" w:rsidP="005B61C1">
            <w:pPr>
              <w:spacing w:after="60"/>
              <w:rPr>
                <w:iCs/>
                <w:sz w:val="20"/>
              </w:rPr>
            </w:pPr>
            <w:r w:rsidRPr="0013396E">
              <w:rPr>
                <w:iCs/>
                <w:sz w:val="20"/>
              </w:rPr>
              <w:t>LSLTELEM</w:t>
            </w:r>
          </w:p>
        </w:tc>
        <w:tc>
          <w:tcPr>
            <w:tcW w:w="3500" w:type="pct"/>
          </w:tcPr>
          <w:p w14:paraId="110791A8" w14:textId="77777777" w:rsidR="005D316E" w:rsidRPr="0013396E" w:rsidRDefault="005D316E" w:rsidP="005B61C1">
            <w:pPr>
              <w:spacing w:after="60"/>
              <w:rPr>
                <w:iCs/>
                <w:sz w:val="20"/>
              </w:rPr>
            </w:pPr>
            <w:r w:rsidRPr="0013396E">
              <w:rPr>
                <w:iCs/>
                <w:sz w:val="20"/>
              </w:rPr>
              <w:t>LSL provided via telemetry.</w:t>
            </w:r>
          </w:p>
        </w:tc>
      </w:tr>
    </w:tbl>
    <w:p w14:paraId="5B9A4C4B" w14:textId="77777777" w:rsidR="00F65784" w:rsidRPr="0013396E" w:rsidRDefault="00F65784" w:rsidP="00F65784">
      <w:pPr>
        <w:pStyle w:val="BodyText"/>
        <w:spacing w:after="0"/>
      </w:pPr>
      <w:bookmarkStart w:id="882" w:name="_Toc397504970"/>
      <w:bookmarkStart w:id="883" w:name="_Toc402357098"/>
      <w:bookmarkStart w:id="884" w:name="_Toc422486478"/>
      <w:bookmarkStart w:id="885" w:name="_Toc433093330"/>
      <w:bookmarkStart w:id="886" w:name="_Toc433093488"/>
      <w:bookmarkStart w:id="887" w:name="_Toc440874717"/>
      <w:bookmarkStart w:id="888" w:name="_Toc448142272"/>
      <w:bookmarkStart w:id="889" w:name="_Toc448142429"/>
      <w:bookmarkStart w:id="890" w:name="_Toc458770265"/>
      <w:bookmarkStart w:id="891" w:name="_Toc459294233"/>
      <w:bookmarkStart w:id="892" w:name="_Toc463262726"/>
      <w:bookmarkStart w:id="893" w:name="_Toc468286800"/>
      <w:bookmarkStart w:id="894" w:name="_Toc481502846"/>
      <w:bookmarkStart w:id="895" w:name="_Toc496080014"/>
      <w:bookmarkEnd w:id="879"/>
    </w:p>
    <w:p w14:paraId="0AD10B00" w14:textId="76FD60FA" w:rsidR="001F04FD" w:rsidRPr="0013396E" w:rsidRDefault="001F04FD" w:rsidP="007A1E53">
      <w:pPr>
        <w:pStyle w:val="H4"/>
        <w:ind w:left="1267" w:hanging="1267"/>
      </w:pPr>
      <w:bookmarkStart w:id="896" w:name="_Toc236220124"/>
      <w:bookmarkStart w:id="897" w:name="_Hlk102562855"/>
      <w:r w:rsidRPr="00657137">
        <w:t>6.5.7.3</w:t>
      </w:r>
      <w:r w:rsidRPr="00657137">
        <w:tab/>
        <w:t>Security Constrained Economic Dispatch</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5E009C96" w14:textId="45247B7C" w:rsidR="00540BAB" w:rsidRPr="0013396E" w:rsidRDefault="00540BAB" w:rsidP="00540BAB">
      <w:pPr>
        <w:spacing w:after="240"/>
        <w:ind w:left="720" w:hanging="720"/>
      </w:pPr>
      <w:r w:rsidRPr="0013396E">
        <w:rPr>
          <w:iCs/>
        </w:rPr>
        <w:t>(1)</w:t>
      </w:r>
      <w:r w:rsidRPr="0013396E">
        <w:rPr>
          <w:iCs/>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The SCED process uses a two-step methodology that applies mitigation to offers for energy prospectively to resolve Non-Competitive Constraints for the current Operating Hour.  The SCED process evaluates Energy Offer Curves, Energy Bid/Offer Curves, Ancillary Service Offers, Output Schedules, and </w:t>
      </w:r>
      <w:r w:rsidR="00890D72" w:rsidRPr="0013396E">
        <w:rPr>
          <w:iCs/>
        </w:rPr>
        <w:t xml:space="preserve">RTM </w:t>
      </w:r>
      <w:r w:rsidRPr="0013396E">
        <w:rPr>
          <w:iCs/>
        </w:rPr>
        <w:t xml:space="preserve">Energy Bids to determine Resource Dispatch Instructions and Ancillary Service awards by maximizing bid-based revenues minus offer-based costs, subject to power balance, Ancillary Service Demand Curves (ASDCs), and network </w:t>
      </w:r>
      <w:r w:rsidRPr="0013396E">
        <w:rPr>
          <w:iCs/>
        </w:rPr>
        <w:lastRenderedPageBreak/>
        <w:t xml:space="preserve">constraints.  The SCED process uses the Resource Status provided by SCADA telemetry under Section 6.5.5.2, Operational Data Requirements, and validated by the Real-Time Sequence, instead of the Resource Status provided by the COP.  </w:t>
      </w:r>
      <w:r w:rsidRPr="0013396E">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90D72" w:rsidRPr="0013396E" w14:paraId="0ED519F2" w14:textId="77777777" w:rsidTr="005B61C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5EB3B6B" w14:textId="28EBE631" w:rsidR="00890D72" w:rsidRPr="0013396E" w:rsidRDefault="00890D72" w:rsidP="005B61C1">
            <w:pPr>
              <w:spacing w:before="120" w:after="240"/>
              <w:rPr>
                <w:b/>
                <w:i/>
                <w:iCs/>
                <w:szCs w:val="24"/>
              </w:rPr>
            </w:pPr>
            <w:r w:rsidRPr="0013396E">
              <w:rPr>
                <w:b/>
                <w:i/>
                <w:iCs/>
                <w:szCs w:val="24"/>
              </w:rPr>
              <w:t>[NPRR1188</w:t>
            </w:r>
            <w:r w:rsidR="00DF5DA8">
              <w:rPr>
                <w:b/>
                <w:i/>
                <w:iCs/>
                <w:szCs w:val="24"/>
              </w:rPr>
              <w:t xml:space="preserve"> and NPRR1325</w:t>
            </w:r>
            <w:r w:rsidRPr="0013396E">
              <w:rPr>
                <w:b/>
                <w:i/>
                <w:iCs/>
                <w:szCs w:val="24"/>
              </w:rPr>
              <w:t>:  Replace</w:t>
            </w:r>
            <w:r w:rsidR="00DF5DA8">
              <w:rPr>
                <w:b/>
                <w:i/>
                <w:iCs/>
                <w:szCs w:val="24"/>
              </w:rPr>
              <w:t xml:space="preserve"> applicable portions of</w:t>
            </w:r>
            <w:r w:rsidRPr="0013396E">
              <w:rPr>
                <w:b/>
                <w:i/>
                <w:iCs/>
                <w:szCs w:val="24"/>
              </w:rPr>
              <w:t xml:space="preserve"> paragraph (1) above with the following upon system implementation</w:t>
            </w:r>
            <w:r w:rsidR="00DF5DA8">
              <w:rPr>
                <w:b/>
                <w:i/>
                <w:iCs/>
                <w:szCs w:val="24"/>
              </w:rPr>
              <w:t xml:space="preserve"> for NPRR1188 or upon system implementation of PGRR145 for NPRR1325</w:t>
            </w:r>
            <w:r w:rsidRPr="0013396E">
              <w:rPr>
                <w:b/>
                <w:i/>
                <w:iCs/>
                <w:szCs w:val="24"/>
              </w:rPr>
              <w:t>:]</w:t>
            </w:r>
          </w:p>
          <w:p w14:paraId="02F8AECD" w14:textId="77777777" w:rsidR="0002216B" w:rsidRDefault="00890D72" w:rsidP="007A1E53">
            <w:pPr>
              <w:spacing w:after="240"/>
              <w:ind w:left="720" w:hanging="720"/>
              <w:rPr>
                <w:iCs/>
              </w:rPr>
            </w:pPr>
            <w:r w:rsidRPr="0013396E">
              <w:rPr>
                <w:iCs/>
              </w:rPr>
              <w:t>(1)</w:t>
            </w:r>
            <w:r w:rsidRPr="0013396E">
              <w:rPr>
                <w:iCs/>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w:t>
            </w:r>
            <w:r w:rsidR="00DF5DA8" w:rsidRPr="00962997">
              <w:rPr>
                <w:iCs/>
              </w:rPr>
              <w:t xml:space="preserve">SCED employs a dynamic capping process for Provisional Controllable Load Resource (PCLR) energy bid curves based on two factors: a comparative list of transmission constraints at risk of being violated and each PCLR's Shift Factor relative to a threshold for resolving those constraints.  </w:t>
            </w:r>
            <w:r w:rsidRPr="0013396E">
              <w:rPr>
                <w:iCs/>
              </w:rPr>
              <w:t>The SCED process uses a two-step methodology that applies</w:t>
            </w:r>
            <w:r w:rsidR="00DF5DA8">
              <w:rPr>
                <w:iCs/>
              </w:rPr>
              <w:t xml:space="preserve">: </w:t>
            </w:r>
          </w:p>
          <w:p w14:paraId="1C7FFAA2" w14:textId="1778378C" w:rsidR="0002216B" w:rsidRDefault="0002216B" w:rsidP="0002216B">
            <w:pPr>
              <w:spacing w:after="240"/>
              <w:ind w:left="1440" w:hanging="720"/>
              <w:rPr>
                <w:iCs/>
              </w:rPr>
            </w:pPr>
            <w:r>
              <w:rPr>
                <w:iCs/>
              </w:rPr>
              <w:t>(a</w:t>
            </w:r>
            <w:r w:rsidR="00DF5DA8">
              <w:rPr>
                <w:iCs/>
              </w:rPr>
              <w:t>)</w:t>
            </w:r>
            <w:r>
              <w:rPr>
                <w:iCs/>
              </w:rPr>
              <w:tab/>
              <w:t>M</w:t>
            </w:r>
            <w:r w:rsidR="00890D72" w:rsidRPr="0013396E">
              <w:rPr>
                <w:iCs/>
              </w:rPr>
              <w:t>itigation to offers for energy prospectively to resolve Non-Competitive Constraints for the current Operating Hour</w:t>
            </w:r>
            <w:r>
              <w:rPr>
                <w:iCs/>
              </w:rPr>
              <w:t>;</w:t>
            </w:r>
            <w:r w:rsidR="00DF5DA8" w:rsidRPr="00962997">
              <w:rPr>
                <w:iCs/>
              </w:rPr>
              <w:t xml:space="preserve"> and </w:t>
            </w:r>
          </w:p>
          <w:p w14:paraId="5C09492E" w14:textId="18827CBE" w:rsidR="0002216B" w:rsidRDefault="0002216B" w:rsidP="0002216B">
            <w:pPr>
              <w:spacing w:after="240"/>
              <w:ind w:left="1440" w:hanging="720"/>
              <w:rPr>
                <w:iCs/>
              </w:rPr>
            </w:pPr>
            <w:r>
              <w:rPr>
                <w:iCs/>
              </w:rPr>
              <w:t>(b</w:t>
            </w:r>
            <w:r w:rsidR="00DF5DA8" w:rsidRPr="00962997">
              <w:rPr>
                <w:iCs/>
              </w:rPr>
              <w:t>)</w:t>
            </w:r>
            <w:r>
              <w:rPr>
                <w:iCs/>
              </w:rPr>
              <w:tab/>
              <w:t>C</w:t>
            </w:r>
            <w:r w:rsidR="00DF5DA8" w:rsidRPr="00962997">
              <w:rPr>
                <w:iCs/>
              </w:rPr>
              <w:t>apping the QSE-submitted Energy Bid Curve of a PCLR to resolve eligible transmission constraints for each SCED run that meets the criteria specified in Section 4.4.9.4.4</w:t>
            </w:r>
            <w:r w:rsidR="00DF5DA8">
              <w:rPr>
                <w:iCs/>
              </w:rPr>
              <w:t>, Adjusted Bip Caps</w:t>
            </w:r>
            <w:r w:rsidR="00890D72" w:rsidRPr="0013396E">
              <w:rPr>
                <w:iCs/>
              </w:rPr>
              <w:t xml:space="preserve">.  </w:t>
            </w:r>
          </w:p>
          <w:p w14:paraId="2C5332EB" w14:textId="2CA1F38E" w:rsidR="00890D72" w:rsidRPr="0013396E" w:rsidRDefault="00890D72" w:rsidP="00C91B01">
            <w:pPr>
              <w:spacing w:after="240"/>
              <w:ind w:left="720"/>
            </w:pPr>
            <w:r w:rsidRPr="0013396E">
              <w:rPr>
                <w:iCs/>
              </w:rPr>
              <w:t xml:space="preserve">The SCED process evaluates Energy Offer Curves, Energy Bid/Offer Curves, Ancillary Service Offers, Output Schedules, and Energy Bid Curves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13396E">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p>
        </w:tc>
      </w:tr>
    </w:tbl>
    <w:p w14:paraId="58840281" w14:textId="7B772DFA" w:rsidR="00540BAB" w:rsidRPr="0013396E" w:rsidRDefault="00540BAB" w:rsidP="007A1E53">
      <w:pPr>
        <w:spacing w:before="240" w:after="240"/>
        <w:ind w:left="720" w:hanging="720"/>
      </w:pPr>
      <w:r w:rsidRPr="0013396E">
        <w:t>(2)</w:t>
      </w:r>
      <w:r w:rsidRPr="0013396E">
        <w:tab/>
        <w:t>The SCED solution must monitor cumulative deployment of Regulation Services and ensure that Regulation Services deployment is minimized over time.</w:t>
      </w:r>
    </w:p>
    <w:p w14:paraId="5B60EACD" w14:textId="77777777" w:rsidR="00540BAB" w:rsidRPr="0013396E" w:rsidRDefault="00540BAB" w:rsidP="00540BAB">
      <w:pPr>
        <w:spacing w:before="240" w:after="240"/>
        <w:ind w:left="720" w:hanging="720"/>
      </w:pPr>
      <w:r w:rsidRPr="0013396E">
        <w:lastRenderedPageBreak/>
        <w:t>(3)</w:t>
      </w:r>
      <w:r w:rsidRPr="0013396E">
        <w:tab/>
        <w:t>In the Generation To Be Dispatched (GTBD) determined by LFC, ERCOT shall subtract the sum of the telemetered net real power consumption from all CLRs available to SCED.</w:t>
      </w:r>
    </w:p>
    <w:p w14:paraId="301C8F71" w14:textId="77777777" w:rsidR="00540BAB" w:rsidRPr="0013396E" w:rsidRDefault="00540BAB" w:rsidP="00540BAB">
      <w:pPr>
        <w:spacing w:before="240" w:after="240"/>
        <w:ind w:left="720" w:hanging="720"/>
      </w:pPr>
      <w:r w:rsidRPr="0013396E">
        <w:t>(4)</w:t>
      </w:r>
      <w:r w:rsidRPr="0013396E">
        <w:tab/>
        <w:t xml:space="preserve">For use as SCED inputs for determining energy dispatch and Ancillary Service awards, ERCOT shall use the available capacity of all committed Generation Resources by creating proxy Energy Offer Curves for certain Resources as follows: </w:t>
      </w:r>
    </w:p>
    <w:p w14:paraId="52B7BB24" w14:textId="77777777" w:rsidR="00540BAB" w:rsidRPr="0013396E" w:rsidRDefault="00540BAB" w:rsidP="00540BAB">
      <w:pPr>
        <w:spacing w:after="240"/>
        <w:ind w:left="1440" w:hanging="720"/>
      </w:pPr>
      <w:r w:rsidRPr="0013396E">
        <w:t>(a)</w:t>
      </w:r>
      <w:r w:rsidRPr="0013396E">
        <w:tab/>
        <w:t>Non-IRRs without Energy Offer Curves</w:t>
      </w:r>
    </w:p>
    <w:p w14:paraId="6D932CCA" w14:textId="77777777" w:rsidR="00540BAB" w:rsidRPr="0013396E" w:rsidRDefault="00540BAB" w:rsidP="00540BAB">
      <w:pPr>
        <w:spacing w:before="240" w:after="240"/>
        <w:ind w:left="2160" w:hanging="720"/>
      </w:pPr>
      <w:r w:rsidRPr="0013396E">
        <w:t>(i)</w:t>
      </w:r>
      <w:r w:rsidRPr="0013396E">
        <w:tab/>
        <w:t>ERCOT shall create a monotonically non-decreasing proxy Energy Offer Curve as described below for:</w:t>
      </w:r>
    </w:p>
    <w:p w14:paraId="422A43FC" w14:textId="77777777" w:rsidR="00540BAB" w:rsidRPr="0013396E" w:rsidRDefault="00540BAB" w:rsidP="00540BAB">
      <w:pPr>
        <w:spacing w:after="240"/>
        <w:ind w:left="2880" w:hanging="720"/>
      </w:pPr>
      <w:r w:rsidRPr="0013396E">
        <w:t>(A)</w:t>
      </w:r>
      <w:r w:rsidRPr="0013396E">
        <w:tab/>
        <w:t>Each non-IRR for which its QSE has submitted an Output Schedule instead of an Energy Offer Curve.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520"/>
      </w:tblGrid>
      <w:tr w:rsidR="00540BAB" w:rsidRPr="0013396E" w14:paraId="12B023E9" w14:textId="77777777" w:rsidTr="005B61C1">
        <w:trPr>
          <w:jc w:val="center"/>
        </w:trPr>
        <w:tc>
          <w:tcPr>
            <w:tcW w:w="3780" w:type="dxa"/>
          </w:tcPr>
          <w:p w14:paraId="6A7EE519" w14:textId="77777777" w:rsidR="00540BAB" w:rsidRPr="0013396E" w:rsidRDefault="00540BAB" w:rsidP="005B61C1">
            <w:pPr>
              <w:spacing w:after="120"/>
              <w:rPr>
                <w:b/>
                <w:iCs/>
                <w:sz w:val="20"/>
              </w:rPr>
            </w:pPr>
            <w:r w:rsidRPr="0013396E">
              <w:rPr>
                <w:b/>
                <w:iCs/>
                <w:sz w:val="20"/>
              </w:rPr>
              <w:t>MW</w:t>
            </w:r>
          </w:p>
        </w:tc>
        <w:tc>
          <w:tcPr>
            <w:tcW w:w="2520" w:type="dxa"/>
          </w:tcPr>
          <w:p w14:paraId="2127E605" w14:textId="77777777" w:rsidR="00540BAB" w:rsidRPr="0013396E" w:rsidRDefault="00540BAB" w:rsidP="005B61C1">
            <w:pPr>
              <w:spacing w:after="120"/>
              <w:rPr>
                <w:b/>
                <w:iCs/>
                <w:sz w:val="20"/>
              </w:rPr>
            </w:pPr>
            <w:r w:rsidRPr="0013396E">
              <w:rPr>
                <w:b/>
                <w:iCs/>
                <w:sz w:val="20"/>
              </w:rPr>
              <w:t>Price (per MWh)</w:t>
            </w:r>
          </w:p>
        </w:tc>
      </w:tr>
      <w:tr w:rsidR="00540BAB" w:rsidRPr="0013396E" w14:paraId="3D2997BE" w14:textId="77777777" w:rsidTr="005B61C1">
        <w:trPr>
          <w:jc w:val="center"/>
        </w:trPr>
        <w:tc>
          <w:tcPr>
            <w:tcW w:w="3780" w:type="dxa"/>
          </w:tcPr>
          <w:p w14:paraId="0A5E702C" w14:textId="77777777" w:rsidR="00540BAB" w:rsidRPr="0013396E" w:rsidRDefault="00540BAB" w:rsidP="005B61C1">
            <w:pPr>
              <w:spacing w:after="60"/>
              <w:rPr>
                <w:iCs/>
                <w:sz w:val="20"/>
              </w:rPr>
            </w:pPr>
            <w:r w:rsidRPr="0013396E">
              <w:rPr>
                <w:iCs/>
                <w:sz w:val="20"/>
              </w:rPr>
              <w:t>HSL</w:t>
            </w:r>
          </w:p>
        </w:tc>
        <w:tc>
          <w:tcPr>
            <w:tcW w:w="2520" w:type="dxa"/>
          </w:tcPr>
          <w:p w14:paraId="6402093F" w14:textId="77777777" w:rsidR="00540BAB" w:rsidRPr="0013396E" w:rsidRDefault="00540BAB" w:rsidP="005B61C1">
            <w:pPr>
              <w:spacing w:after="60"/>
              <w:rPr>
                <w:iCs/>
                <w:sz w:val="20"/>
              </w:rPr>
            </w:pPr>
            <w:r w:rsidRPr="0013396E">
              <w:rPr>
                <w:iCs/>
                <w:sz w:val="20"/>
              </w:rPr>
              <w:t>RTSWCAP</w:t>
            </w:r>
          </w:p>
        </w:tc>
      </w:tr>
      <w:tr w:rsidR="00540BAB" w:rsidRPr="0013396E" w14:paraId="0F79DFEF" w14:textId="77777777" w:rsidTr="005B61C1">
        <w:trPr>
          <w:jc w:val="center"/>
        </w:trPr>
        <w:tc>
          <w:tcPr>
            <w:tcW w:w="3780" w:type="dxa"/>
          </w:tcPr>
          <w:p w14:paraId="7FAF3667" w14:textId="77777777" w:rsidR="00540BAB" w:rsidRPr="0013396E" w:rsidRDefault="00540BAB" w:rsidP="005B61C1">
            <w:pPr>
              <w:spacing w:after="60"/>
              <w:rPr>
                <w:iCs/>
                <w:sz w:val="20"/>
              </w:rPr>
            </w:pPr>
            <w:r w:rsidRPr="0013396E">
              <w:rPr>
                <w:iCs/>
                <w:sz w:val="20"/>
              </w:rPr>
              <w:t>Output Schedule MW plus 1 MW</w:t>
            </w:r>
          </w:p>
        </w:tc>
        <w:tc>
          <w:tcPr>
            <w:tcW w:w="2520" w:type="dxa"/>
          </w:tcPr>
          <w:p w14:paraId="7FC6FA36" w14:textId="77777777" w:rsidR="00540BAB" w:rsidRPr="0013396E" w:rsidRDefault="00540BAB" w:rsidP="005B61C1">
            <w:pPr>
              <w:spacing w:after="60"/>
              <w:rPr>
                <w:iCs/>
                <w:sz w:val="20"/>
              </w:rPr>
            </w:pPr>
            <w:r w:rsidRPr="0013396E">
              <w:rPr>
                <w:iCs/>
                <w:sz w:val="20"/>
              </w:rPr>
              <w:t>RTSWCAP minus $0.01</w:t>
            </w:r>
          </w:p>
        </w:tc>
      </w:tr>
      <w:tr w:rsidR="00540BAB" w:rsidRPr="0013396E" w14:paraId="2D3DEBD4" w14:textId="77777777" w:rsidTr="005B61C1">
        <w:trPr>
          <w:jc w:val="center"/>
        </w:trPr>
        <w:tc>
          <w:tcPr>
            <w:tcW w:w="3780" w:type="dxa"/>
          </w:tcPr>
          <w:p w14:paraId="5190801B" w14:textId="77777777" w:rsidR="00540BAB" w:rsidRPr="0013396E" w:rsidRDefault="00540BAB" w:rsidP="005B61C1">
            <w:pPr>
              <w:spacing w:after="60"/>
              <w:rPr>
                <w:iCs/>
                <w:sz w:val="20"/>
              </w:rPr>
            </w:pPr>
            <w:r w:rsidRPr="0013396E">
              <w:rPr>
                <w:iCs/>
                <w:sz w:val="20"/>
              </w:rPr>
              <w:t>Output Schedule MW</w:t>
            </w:r>
          </w:p>
        </w:tc>
        <w:tc>
          <w:tcPr>
            <w:tcW w:w="2520" w:type="dxa"/>
          </w:tcPr>
          <w:p w14:paraId="2F8F7310" w14:textId="77777777" w:rsidR="00540BAB" w:rsidRPr="0013396E" w:rsidRDefault="00540BAB" w:rsidP="005B61C1">
            <w:pPr>
              <w:spacing w:after="60"/>
              <w:rPr>
                <w:iCs/>
                <w:sz w:val="20"/>
              </w:rPr>
            </w:pPr>
            <w:r w:rsidRPr="0013396E">
              <w:rPr>
                <w:iCs/>
                <w:sz w:val="20"/>
              </w:rPr>
              <w:t>-$249.99</w:t>
            </w:r>
          </w:p>
        </w:tc>
      </w:tr>
      <w:tr w:rsidR="00540BAB" w:rsidRPr="0013396E" w14:paraId="6082AC45" w14:textId="77777777" w:rsidTr="005B61C1">
        <w:trPr>
          <w:jc w:val="center"/>
        </w:trPr>
        <w:tc>
          <w:tcPr>
            <w:tcW w:w="3780" w:type="dxa"/>
          </w:tcPr>
          <w:p w14:paraId="3B8CF4A4" w14:textId="77777777" w:rsidR="00540BAB" w:rsidRPr="0013396E" w:rsidRDefault="00540BAB" w:rsidP="005B61C1">
            <w:pPr>
              <w:spacing w:after="60"/>
              <w:rPr>
                <w:iCs/>
                <w:sz w:val="20"/>
              </w:rPr>
            </w:pPr>
            <w:r w:rsidRPr="0013396E">
              <w:rPr>
                <w:iCs/>
                <w:sz w:val="20"/>
              </w:rPr>
              <w:t>LSL</w:t>
            </w:r>
          </w:p>
        </w:tc>
        <w:tc>
          <w:tcPr>
            <w:tcW w:w="2520" w:type="dxa"/>
          </w:tcPr>
          <w:p w14:paraId="2991FC24" w14:textId="77777777" w:rsidR="00540BAB" w:rsidRPr="0013396E" w:rsidRDefault="00540BAB" w:rsidP="005B61C1">
            <w:pPr>
              <w:spacing w:after="60"/>
              <w:rPr>
                <w:iCs/>
                <w:sz w:val="20"/>
              </w:rPr>
            </w:pPr>
            <w:r w:rsidRPr="0013396E">
              <w:rPr>
                <w:iCs/>
                <w:sz w:val="20"/>
              </w:rPr>
              <w:t>-$250.00</w:t>
            </w:r>
          </w:p>
        </w:tc>
      </w:tr>
    </w:tbl>
    <w:p w14:paraId="1017BFF1" w14:textId="77777777" w:rsidR="00540BAB" w:rsidRPr="0013396E" w:rsidRDefault="00540BAB" w:rsidP="00540BAB">
      <w:pPr>
        <w:spacing w:before="240" w:after="240"/>
        <w:ind w:left="1440" w:hanging="720"/>
      </w:pPr>
      <w:r w:rsidRPr="0013396E">
        <w:t>(b)</w:t>
      </w:r>
      <w:r w:rsidRPr="0013396E">
        <w:tab/>
        <w:t xml:space="preserve">Non-IRRs without full-range Energy Offer Curves </w:t>
      </w:r>
    </w:p>
    <w:p w14:paraId="7A2B311A" w14:textId="77777777" w:rsidR="00540BAB" w:rsidRPr="0013396E" w:rsidRDefault="00540BAB" w:rsidP="00540BAB">
      <w:pPr>
        <w:spacing w:after="240"/>
        <w:ind w:left="2160" w:hanging="720"/>
      </w:pPr>
      <w:r w:rsidRPr="0013396E">
        <w:t>(i)</w:t>
      </w:r>
      <w:r w:rsidRPr="0013396E">
        <w:tab/>
        <w:t>For each non-IRR for which its QSE has submitted an Energy Offer Curve that does not cover the full range of the Resource’s available capacity, ERCOT shall create a proxy Energy Offer Curve that extends the submitted Energy Offer Curve to use the entire available capacity of the Resource above the highest point on the Energy Offer Curve to the Resource’s HSL and the offer floor from the lowest point on the Energy Offer Curve to its LSL, using these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1"/>
        <w:gridCol w:w="2630"/>
      </w:tblGrid>
      <w:tr w:rsidR="00540BAB" w:rsidRPr="0013396E" w14:paraId="2ED25FB3" w14:textId="77777777" w:rsidTr="005B61C1">
        <w:trPr>
          <w:jc w:val="center"/>
        </w:trPr>
        <w:tc>
          <w:tcPr>
            <w:tcW w:w="3891" w:type="dxa"/>
          </w:tcPr>
          <w:p w14:paraId="6607A742" w14:textId="77777777" w:rsidR="00540BAB" w:rsidRPr="0013396E" w:rsidRDefault="00540BAB" w:rsidP="005B61C1">
            <w:pPr>
              <w:spacing w:after="120"/>
              <w:rPr>
                <w:b/>
                <w:iCs/>
                <w:sz w:val="20"/>
              </w:rPr>
            </w:pPr>
            <w:r w:rsidRPr="0013396E">
              <w:rPr>
                <w:b/>
                <w:iCs/>
                <w:sz w:val="20"/>
              </w:rPr>
              <w:t>MW</w:t>
            </w:r>
          </w:p>
        </w:tc>
        <w:tc>
          <w:tcPr>
            <w:tcW w:w="2630" w:type="dxa"/>
          </w:tcPr>
          <w:p w14:paraId="4EA86FB5" w14:textId="77777777" w:rsidR="00540BAB" w:rsidRPr="0013396E" w:rsidRDefault="00540BAB" w:rsidP="005B61C1">
            <w:pPr>
              <w:spacing w:after="120"/>
              <w:rPr>
                <w:b/>
                <w:iCs/>
                <w:sz w:val="20"/>
              </w:rPr>
            </w:pPr>
            <w:r w:rsidRPr="0013396E">
              <w:rPr>
                <w:b/>
                <w:iCs/>
                <w:sz w:val="20"/>
              </w:rPr>
              <w:t>Price (per MWh)</w:t>
            </w:r>
          </w:p>
        </w:tc>
      </w:tr>
      <w:tr w:rsidR="00540BAB" w:rsidRPr="0013396E" w14:paraId="166B5E47" w14:textId="77777777" w:rsidTr="005B61C1">
        <w:trPr>
          <w:jc w:val="center"/>
        </w:trPr>
        <w:tc>
          <w:tcPr>
            <w:tcW w:w="3891" w:type="dxa"/>
          </w:tcPr>
          <w:p w14:paraId="57AE33E9" w14:textId="77777777" w:rsidR="00540BAB" w:rsidRPr="0013396E" w:rsidRDefault="00540BAB" w:rsidP="005B61C1">
            <w:pPr>
              <w:spacing w:after="60"/>
              <w:rPr>
                <w:iCs/>
                <w:sz w:val="20"/>
              </w:rPr>
            </w:pPr>
            <w:r w:rsidRPr="0013396E">
              <w:rPr>
                <w:iCs/>
                <w:sz w:val="20"/>
              </w:rPr>
              <w:t>HSL (if more than highest MW in submitted Energy Offer Curve)</w:t>
            </w:r>
          </w:p>
        </w:tc>
        <w:tc>
          <w:tcPr>
            <w:tcW w:w="2630" w:type="dxa"/>
          </w:tcPr>
          <w:p w14:paraId="510A6256" w14:textId="77777777" w:rsidR="00540BAB" w:rsidRPr="0013396E" w:rsidRDefault="00540BAB" w:rsidP="005B61C1">
            <w:pPr>
              <w:spacing w:after="60"/>
              <w:rPr>
                <w:iCs/>
                <w:sz w:val="20"/>
              </w:rPr>
            </w:pPr>
            <w:r w:rsidRPr="0013396E">
              <w:rPr>
                <w:iCs/>
                <w:sz w:val="20"/>
              </w:rPr>
              <w:t>Price associated with highest MW in submitted Energy Offer Curve</w:t>
            </w:r>
          </w:p>
        </w:tc>
      </w:tr>
      <w:tr w:rsidR="00540BAB" w:rsidRPr="0013396E" w14:paraId="213B6A7A" w14:textId="77777777" w:rsidTr="005B61C1">
        <w:trPr>
          <w:jc w:val="center"/>
        </w:trPr>
        <w:tc>
          <w:tcPr>
            <w:tcW w:w="3891" w:type="dxa"/>
          </w:tcPr>
          <w:p w14:paraId="300C85E3" w14:textId="77777777" w:rsidR="00540BAB" w:rsidRPr="0013396E" w:rsidRDefault="00540BAB" w:rsidP="005B61C1">
            <w:pPr>
              <w:spacing w:after="60"/>
              <w:rPr>
                <w:iCs/>
                <w:sz w:val="20"/>
              </w:rPr>
            </w:pPr>
            <w:r w:rsidRPr="0013396E">
              <w:rPr>
                <w:iCs/>
                <w:sz w:val="20"/>
              </w:rPr>
              <w:t>Energy Offer Curve</w:t>
            </w:r>
          </w:p>
        </w:tc>
        <w:tc>
          <w:tcPr>
            <w:tcW w:w="2630" w:type="dxa"/>
          </w:tcPr>
          <w:p w14:paraId="6B7922DD" w14:textId="77777777" w:rsidR="00540BAB" w:rsidRPr="0013396E" w:rsidRDefault="00540BAB" w:rsidP="005B61C1">
            <w:pPr>
              <w:spacing w:after="60"/>
              <w:rPr>
                <w:iCs/>
                <w:sz w:val="20"/>
              </w:rPr>
            </w:pPr>
            <w:r w:rsidRPr="0013396E">
              <w:rPr>
                <w:iCs/>
                <w:sz w:val="20"/>
              </w:rPr>
              <w:t>Energy Offer Curve</w:t>
            </w:r>
          </w:p>
        </w:tc>
      </w:tr>
      <w:tr w:rsidR="00540BAB" w:rsidRPr="0013396E" w14:paraId="34C0A846" w14:textId="77777777" w:rsidTr="005B61C1">
        <w:trPr>
          <w:jc w:val="center"/>
        </w:trPr>
        <w:tc>
          <w:tcPr>
            <w:tcW w:w="3891" w:type="dxa"/>
          </w:tcPr>
          <w:p w14:paraId="7F709D43" w14:textId="77777777" w:rsidR="00540BAB" w:rsidRPr="0013396E" w:rsidRDefault="00540BAB" w:rsidP="005B61C1">
            <w:pPr>
              <w:spacing w:after="60"/>
              <w:rPr>
                <w:iCs/>
                <w:sz w:val="20"/>
              </w:rPr>
            </w:pPr>
            <w:r w:rsidRPr="0013396E">
              <w:rPr>
                <w:iCs/>
                <w:sz w:val="20"/>
              </w:rPr>
              <w:t>1 MW below lowest MW in Energy Offer Curve (if more than LSL)</w:t>
            </w:r>
          </w:p>
        </w:tc>
        <w:tc>
          <w:tcPr>
            <w:tcW w:w="2630" w:type="dxa"/>
          </w:tcPr>
          <w:p w14:paraId="1E4E1677" w14:textId="77777777" w:rsidR="00540BAB" w:rsidRPr="0013396E" w:rsidRDefault="00540BAB" w:rsidP="005B61C1">
            <w:pPr>
              <w:spacing w:after="60"/>
              <w:rPr>
                <w:iCs/>
                <w:sz w:val="20"/>
              </w:rPr>
            </w:pPr>
            <w:r w:rsidRPr="0013396E">
              <w:rPr>
                <w:iCs/>
                <w:sz w:val="20"/>
              </w:rPr>
              <w:t>-$249.99</w:t>
            </w:r>
          </w:p>
        </w:tc>
      </w:tr>
      <w:tr w:rsidR="00540BAB" w:rsidRPr="0013396E" w14:paraId="0FE89FFA" w14:textId="77777777" w:rsidTr="005B61C1">
        <w:trPr>
          <w:jc w:val="center"/>
        </w:trPr>
        <w:tc>
          <w:tcPr>
            <w:tcW w:w="3891" w:type="dxa"/>
          </w:tcPr>
          <w:p w14:paraId="5E04657C" w14:textId="77777777" w:rsidR="00540BAB" w:rsidRPr="0013396E" w:rsidRDefault="00540BAB" w:rsidP="005B61C1">
            <w:pPr>
              <w:spacing w:after="60"/>
              <w:rPr>
                <w:iCs/>
                <w:sz w:val="20"/>
              </w:rPr>
            </w:pPr>
            <w:r w:rsidRPr="0013396E">
              <w:rPr>
                <w:iCs/>
                <w:sz w:val="20"/>
              </w:rPr>
              <w:t>LSL (if less than lowest MW in Energy Offer Curve)</w:t>
            </w:r>
          </w:p>
        </w:tc>
        <w:tc>
          <w:tcPr>
            <w:tcW w:w="2630" w:type="dxa"/>
          </w:tcPr>
          <w:p w14:paraId="69B64101" w14:textId="77777777" w:rsidR="00540BAB" w:rsidRPr="0013396E" w:rsidRDefault="00540BAB" w:rsidP="005B61C1">
            <w:pPr>
              <w:spacing w:after="60"/>
              <w:rPr>
                <w:iCs/>
                <w:sz w:val="20"/>
              </w:rPr>
            </w:pPr>
            <w:r w:rsidRPr="0013396E">
              <w:rPr>
                <w:iCs/>
                <w:sz w:val="20"/>
              </w:rPr>
              <w:t>-$250.00</w:t>
            </w:r>
          </w:p>
        </w:tc>
      </w:tr>
    </w:tbl>
    <w:p w14:paraId="6A4E00C6" w14:textId="77777777" w:rsidR="00540BAB" w:rsidRPr="0013396E" w:rsidRDefault="00540BAB" w:rsidP="00540BAB">
      <w:pPr>
        <w:spacing w:before="240" w:after="240"/>
        <w:ind w:left="1440" w:hanging="720"/>
      </w:pPr>
      <w:r w:rsidRPr="0013396E">
        <w:t>(c)</w:t>
      </w:r>
      <w:r w:rsidRPr="0013396E">
        <w:tab/>
        <w:t>IRRs</w:t>
      </w:r>
    </w:p>
    <w:p w14:paraId="4D80ACA8" w14:textId="77777777" w:rsidR="00540BAB" w:rsidRPr="0013396E" w:rsidRDefault="00540BAB" w:rsidP="00540BAB">
      <w:pPr>
        <w:spacing w:after="240"/>
        <w:ind w:left="2160" w:hanging="720"/>
      </w:pPr>
      <w:r w:rsidRPr="0013396E">
        <w:t>(i)</w:t>
      </w:r>
      <w:r w:rsidRPr="0013396E">
        <w:tab/>
        <w:t>For each IRR that has not submitted an Energy Offer Curve,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610"/>
      </w:tblGrid>
      <w:tr w:rsidR="00540BAB" w:rsidRPr="0013396E" w14:paraId="6F4759AE" w14:textId="77777777" w:rsidTr="005B61C1">
        <w:trPr>
          <w:jc w:val="center"/>
        </w:trPr>
        <w:tc>
          <w:tcPr>
            <w:tcW w:w="3870" w:type="dxa"/>
          </w:tcPr>
          <w:p w14:paraId="5C6C851E" w14:textId="77777777" w:rsidR="00540BAB" w:rsidRPr="0013396E" w:rsidRDefault="00540BAB" w:rsidP="005B61C1">
            <w:pPr>
              <w:spacing w:after="120"/>
              <w:rPr>
                <w:b/>
                <w:iCs/>
                <w:sz w:val="20"/>
              </w:rPr>
            </w:pPr>
            <w:r w:rsidRPr="0013396E">
              <w:rPr>
                <w:b/>
                <w:iCs/>
                <w:sz w:val="20"/>
              </w:rPr>
              <w:lastRenderedPageBreak/>
              <w:t>MW</w:t>
            </w:r>
          </w:p>
        </w:tc>
        <w:tc>
          <w:tcPr>
            <w:tcW w:w="2610" w:type="dxa"/>
          </w:tcPr>
          <w:p w14:paraId="4A3BB2CE" w14:textId="77777777" w:rsidR="00540BAB" w:rsidRPr="0013396E" w:rsidRDefault="00540BAB" w:rsidP="005B61C1">
            <w:pPr>
              <w:spacing w:after="120"/>
              <w:rPr>
                <w:b/>
                <w:iCs/>
                <w:sz w:val="20"/>
              </w:rPr>
            </w:pPr>
            <w:r w:rsidRPr="0013396E">
              <w:rPr>
                <w:b/>
                <w:iCs/>
                <w:sz w:val="20"/>
              </w:rPr>
              <w:t>Price (per MWh)</w:t>
            </w:r>
          </w:p>
        </w:tc>
      </w:tr>
      <w:tr w:rsidR="00540BAB" w:rsidRPr="0013396E" w14:paraId="2C807864" w14:textId="77777777" w:rsidTr="005B61C1">
        <w:trPr>
          <w:jc w:val="center"/>
        </w:trPr>
        <w:tc>
          <w:tcPr>
            <w:tcW w:w="3870" w:type="dxa"/>
          </w:tcPr>
          <w:p w14:paraId="1F48680A" w14:textId="77777777" w:rsidR="00540BAB" w:rsidRPr="0013396E" w:rsidRDefault="00540BAB" w:rsidP="005B61C1">
            <w:pPr>
              <w:spacing w:after="60"/>
              <w:rPr>
                <w:iCs/>
                <w:sz w:val="20"/>
              </w:rPr>
            </w:pPr>
            <w:r w:rsidRPr="0013396E">
              <w:rPr>
                <w:iCs/>
                <w:sz w:val="20"/>
              </w:rPr>
              <w:t>HSL</w:t>
            </w:r>
          </w:p>
        </w:tc>
        <w:tc>
          <w:tcPr>
            <w:tcW w:w="2610" w:type="dxa"/>
          </w:tcPr>
          <w:p w14:paraId="37CC1CFA" w14:textId="77777777" w:rsidR="00540BAB" w:rsidRPr="0013396E" w:rsidRDefault="00540BAB" w:rsidP="005B61C1">
            <w:pPr>
              <w:spacing w:after="60"/>
              <w:rPr>
                <w:iCs/>
                <w:sz w:val="20"/>
              </w:rPr>
            </w:pPr>
            <w:r w:rsidRPr="0013396E">
              <w:rPr>
                <w:iCs/>
                <w:sz w:val="20"/>
              </w:rPr>
              <w:t>$1,500</w:t>
            </w:r>
          </w:p>
        </w:tc>
      </w:tr>
      <w:tr w:rsidR="00540BAB" w:rsidRPr="0013396E" w14:paraId="0560D759" w14:textId="77777777" w:rsidTr="005B61C1">
        <w:trPr>
          <w:jc w:val="center"/>
        </w:trPr>
        <w:tc>
          <w:tcPr>
            <w:tcW w:w="3870" w:type="dxa"/>
          </w:tcPr>
          <w:p w14:paraId="57975870" w14:textId="77777777" w:rsidR="00540BAB" w:rsidRPr="0013396E" w:rsidRDefault="00540BAB" w:rsidP="005B61C1">
            <w:pPr>
              <w:spacing w:after="60"/>
              <w:rPr>
                <w:iCs/>
                <w:sz w:val="20"/>
              </w:rPr>
            </w:pPr>
            <w:r w:rsidRPr="0013396E">
              <w:rPr>
                <w:iCs/>
                <w:sz w:val="20"/>
              </w:rPr>
              <w:t>HSL minus 1 MW</w:t>
            </w:r>
          </w:p>
        </w:tc>
        <w:tc>
          <w:tcPr>
            <w:tcW w:w="2610" w:type="dxa"/>
          </w:tcPr>
          <w:p w14:paraId="64289ECC" w14:textId="77777777" w:rsidR="00540BAB" w:rsidRPr="0013396E" w:rsidRDefault="00540BAB" w:rsidP="005B61C1">
            <w:pPr>
              <w:spacing w:after="60"/>
              <w:rPr>
                <w:iCs/>
                <w:sz w:val="20"/>
              </w:rPr>
            </w:pPr>
            <w:r w:rsidRPr="0013396E">
              <w:rPr>
                <w:iCs/>
                <w:sz w:val="20"/>
              </w:rPr>
              <w:t>-$249.99</w:t>
            </w:r>
          </w:p>
        </w:tc>
      </w:tr>
      <w:tr w:rsidR="00540BAB" w:rsidRPr="0013396E" w14:paraId="71D6BC05" w14:textId="77777777" w:rsidTr="005B61C1">
        <w:trPr>
          <w:jc w:val="center"/>
        </w:trPr>
        <w:tc>
          <w:tcPr>
            <w:tcW w:w="3870" w:type="dxa"/>
          </w:tcPr>
          <w:p w14:paraId="6F321FA3" w14:textId="77777777" w:rsidR="00540BAB" w:rsidRPr="0013396E" w:rsidRDefault="00540BAB" w:rsidP="005B61C1">
            <w:pPr>
              <w:spacing w:after="60"/>
              <w:rPr>
                <w:iCs/>
                <w:sz w:val="20"/>
              </w:rPr>
            </w:pPr>
            <w:r w:rsidRPr="0013396E">
              <w:rPr>
                <w:iCs/>
                <w:sz w:val="20"/>
              </w:rPr>
              <w:t>LSL</w:t>
            </w:r>
          </w:p>
        </w:tc>
        <w:tc>
          <w:tcPr>
            <w:tcW w:w="2610" w:type="dxa"/>
          </w:tcPr>
          <w:p w14:paraId="70F493CB" w14:textId="77777777" w:rsidR="00540BAB" w:rsidRPr="0013396E" w:rsidRDefault="00540BAB" w:rsidP="005B61C1">
            <w:pPr>
              <w:spacing w:after="60"/>
              <w:rPr>
                <w:iCs/>
                <w:sz w:val="20"/>
              </w:rPr>
            </w:pPr>
            <w:r w:rsidRPr="0013396E">
              <w:rPr>
                <w:iCs/>
                <w:sz w:val="20"/>
              </w:rPr>
              <w:t>-$250.00</w:t>
            </w:r>
          </w:p>
        </w:tc>
      </w:tr>
    </w:tbl>
    <w:p w14:paraId="55F7ED99" w14:textId="77777777" w:rsidR="00540BAB" w:rsidRPr="0013396E" w:rsidRDefault="00540BAB" w:rsidP="00540BAB">
      <w:pPr>
        <w:spacing w:before="240" w:after="240"/>
        <w:ind w:left="2160" w:hanging="720"/>
      </w:pPr>
      <w:r w:rsidRPr="0013396E">
        <w:t>(ii)</w:t>
      </w:r>
      <w:r w:rsidRPr="0013396E">
        <w:tab/>
        <w:t>For each IRR for which its QSE has submitted an Energy Offer Curve that does not cover the full range of the IRR’s available capacity,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45"/>
      </w:tblGrid>
      <w:tr w:rsidR="00540BAB" w:rsidRPr="0013396E" w14:paraId="24C79744" w14:textId="77777777" w:rsidTr="005B61C1">
        <w:trPr>
          <w:jc w:val="center"/>
        </w:trPr>
        <w:tc>
          <w:tcPr>
            <w:tcW w:w="3780" w:type="dxa"/>
          </w:tcPr>
          <w:p w14:paraId="2362E212" w14:textId="77777777" w:rsidR="00540BAB" w:rsidRPr="0013396E" w:rsidRDefault="00540BAB" w:rsidP="005B61C1">
            <w:pPr>
              <w:spacing w:after="120"/>
              <w:rPr>
                <w:b/>
                <w:iCs/>
                <w:sz w:val="20"/>
              </w:rPr>
            </w:pPr>
            <w:r w:rsidRPr="0013396E">
              <w:rPr>
                <w:b/>
                <w:iCs/>
                <w:sz w:val="20"/>
              </w:rPr>
              <w:t>MW</w:t>
            </w:r>
          </w:p>
        </w:tc>
        <w:tc>
          <w:tcPr>
            <w:tcW w:w="2745" w:type="dxa"/>
          </w:tcPr>
          <w:p w14:paraId="23879E10" w14:textId="77777777" w:rsidR="00540BAB" w:rsidRPr="0013396E" w:rsidRDefault="00540BAB" w:rsidP="005B61C1">
            <w:pPr>
              <w:spacing w:after="120"/>
              <w:rPr>
                <w:b/>
                <w:iCs/>
                <w:sz w:val="20"/>
              </w:rPr>
            </w:pPr>
            <w:r w:rsidRPr="0013396E">
              <w:rPr>
                <w:b/>
                <w:iCs/>
                <w:sz w:val="20"/>
              </w:rPr>
              <w:t>Price (per MWh)</w:t>
            </w:r>
          </w:p>
        </w:tc>
      </w:tr>
      <w:tr w:rsidR="00540BAB" w:rsidRPr="0013396E" w14:paraId="6AE6C8EE" w14:textId="77777777" w:rsidTr="005B61C1">
        <w:trPr>
          <w:jc w:val="center"/>
        </w:trPr>
        <w:tc>
          <w:tcPr>
            <w:tcW w:w="3780" w:type="dxa"/>
          </w:tcPr>
          <w:p w14:paraId="1802E22C" w14:textId="77777777" w:rsidR="00540BAB" w:rsidRPr="0013396E" w:rsidRDefault="00540BAB" w:rsidP="005B61C1">
            <w:pPr>
              <w:spacing w:after="60"/>
              <w:rPr>
                <w:iCs/>
                <w:sz w:val="20"/>
              </w:rPr>
            </w:pPr>
            <w:r w:rsidRPr="0013396E">
              <w:rPr>
                <w:iCs/>
                <w:sz w:val="20"/>
              </w:rPr>
              <w:t>HSL (if more than highest MW in submitted Energy Offer Curve)</w:t>
            </w:r>
          </w:p>
        </w:tc>
        <w:tc>
          <w:tcPr>
            <w:tcW w:w="2745" w:type="dxa"/>
          </w:tcPr>
          <w:p w14:paraId="41AB7CFD" w14:textId="77777777" w:rsidR="00540BAB" w:rsidRPr="0013396E" w:rsidRDefault="00540BAB" w:rsidP="005B61C1">
            <w:pPr>
              <w:spacing w:after="60"/>
              <w:rPr>
                <w:iCs/>
                <w:sz w:val="20"/>
              </w:rPr>
            </w:pPr>
            <w:r w:rsidRPr="0013396E">
              <w:rPr>
                <w:iCs/>
                <w:sz w:val="20"/>
              </w:rPr>
              <w:t>Price associated with the highest MW in submitted Energy Offer Curve</w:t>
            </w:r>
          </w:p>
        </w:tc>
      </w:tr>
      <w:tr w:rsidR="00540BAB" w:rsidRPr="0013396E" w14:paraId="4E1FA7C5" w14:textId="77777777" w:rsidTr="005B61C1">
        <w:trPr>
          <w:jc w:val="center"/>
        </w:trPr>
        <w:tc>
          <w:tcPr>
            <w:tcW w:w="3780" w:type="dxa"/>
          </w:tcPr>
          <w:p w14:paraId="32B73631" w14:textId="77777777" w:rsidR="00540BAB" w:rsidRPr="0013396E" w:rsidRDefault="00540BAB" w:rsidP="005B61C1">
            <w:pPr>
              <w:spacing w:after="60"/>
              <w:rPr>
                <w:iCs/>
                <w:sz w:val="20"/>
              </w:rPr>
            </w:pPr>
            <w:r w:rsidRPr="0013396E">
              <w:rPr>
                <w:iCs/>
                <w:sz w:val="20"/>
              </w:rPr>
              <w:t>Energy Offer Curve</w:t>
            </w:r>
          </w:p>
        </w:tc>
        <w:tc>
          <w:tcPr>
            <w:tcW w:w="2745" w:type="dxa"/>
          </w:tcPr>
          <w:p w14:paraId="39A6C6A6" w14:textId="77777777" w:rsidR="00540BAB" w:rsidRPr="0013396E" w:rsidRDefault="00540BAB" w:rsidP="005B61C1">
            <w:pPr>
              <w:spacing w:after="60"/>
              <w:rPr>
                <w:iCs/>
                <w:sz w:val="20"/>
              </w:rPr>
            </w:pPr>
            <w:r w:rsidRPr="0013396E">
              <w:rPr>
                <w:iCs/>
                <w:sz w:val="20"/>
              </w:rPr>
              <w:t>Energy Offer Curve</w:t>
            </w:r>
          </w:p>
        </w:tc>
      </w:tr>
      <w:tr w:rsidR="00540BAB" w:rsidRPr="0013396E" w14:paraId="5A29DB4F" w14:textId="77777777" w:rsidTr="005B61C1">
        <w:trPr>
          <w:jc w:val="center"/>
        </w:trPr>
        <w:tc>
          <w:tcPr>
            <w:tcW w:w="3780" w:type="dxa"/>
          </w:tcPr>
          <w:p w14:paraId="2F7405C3" w14:textId="77777777" w:rsidR="00540BAB" w:rsidRPr="0013396E" w:rsidRDefault="00540BAB" w:rsidP="005B61C1">
            <w:pPr>
              <w:spacing w:after="60"/>
              <w:rPr>
                <w:iCs/>
                <w:sz w:val="20"/>
              </w:rPr>
            </w:pPr>
            <w:r w:rsidRPr="0013396E">
              <w:rPr>
                <w:iCs/>
                <w:sz w:val="20"/>
              </w:rPr>
              <w:t>1 MW below lowest MW in Energy Offer Curve (if more than LSL)</w:t>
            </w:r>
          </w:p>
        </w:tc>
        <w:tc>
          <w:tcPr>
            <w:tcW w:w="2745" w:type="dxa"/>
          </w:tcPr>
          <w:p w14:paraId="110DD179" w14:textId="77777777" w:rsidR="00540BAB" w:rsidRPr="0013396E" w:rsidRDefault="00540BAB" w:rsidP="005B61C1">
            <w:pPr>
              <w:spacing w:after="60"/>
              <w:rPr>
                <w:iCs/>
                <w:sz w:val="20"/>
              </w:rPr>
            </w:pPr>
            <w:r w:rsidRPr="0013396E">
              <w:rPr>
                <w:iCs/>
                <w:sz w:val="20"/>
              </w:rPr>
              <w:t>-$249.99</w:t>
            </w:r>
          </w:p>
        </w:tc>
      </w:tr>
      <w:tr w:rsidR="00540BAB" w:rsidRPr="0013396E" w14:paraId="7559C315" w14:textId="77777777" w:rsidTr="005B61C1">
        <w:trPr>
          <w:jc w:val="center"/>
        </w:trPr>
        <w:tc>
          <w:tcPr>
            <w:tcW w:w="3780" w:type="dxa"/>
          </w:tcPr>
          <w:p w14:paraId="12CF4310" w14:textId="77777777" w:rsidR="00540BAB" w:rsidRPr="0013396E" w:rsidRDefault="00540BAB" w:rsidP="005B61C1">
            <w:pPr>
              <w:spacing w:after="60"/>
              <w:rPr>
                <w:iCs/>
                <w:sz w:val="20"/>
              </w:rPr>
            </w:pPr>
            <w:r w:rsidRPr="0013396E">
              <w:rPr>
                <w:iCs/>
                <w:sz w:val="20"/>
              </w:rPr>
              <w:t>LSL (if less than lowest MW in Energy Offer Curve)</w:t>
            </w:r>
          </w:p>
        </w:tc>
        <w:tc>
          <w:tcPr>
            <w:tcW w:w="2745" w:type="dxa"/>
          </w:tcPr>
          <w:p w14:paraId="344C7CBA" w14:textId="77777777" w:rsidR="00540BAB" w:rsidRPr="0013396E" w:rsidRDefault="00540BAB" w:rsidP="005B61C1">
            <w:pPr>
              <w:spacing w:after="60"/>
              <w:rPr>
                <w:iCs/>
                <w:sz w:val="20"/>
              </w:rPr>
            </w:pPr>
            <w:r w:rsidRPr="0013396E">
              <w:rPr>
                <w:iCs/>
                <w:sz w:val="20"/>
              </w:rPr>
              <w:t>-$250.00</w:t>
            </w:r>
          </w:p>
        </w:tc>
      </w:tr>
    </w:tbl>
    <w:p w14:paraId="0F9E02D4" w14:textId="77777777" w:rsidR="00540BAB" w:rsidRPr="0013396E" w:rsidRDefault="00540BAB" w:rsidP="00540BAB">
      <w:pPr>
        <w:spacing w:before="240" w:after="240"/>
        <w:ind w:left="1440" w:hanging="720"/>
      </w:pPr>
      <w:r w:rsidRPr="0013396E">
        <w:t>(d)</w:t>
      </w:r>
      <w:r w:rsidRPr="0013396E">
        <w:tab/>
        <w:t xml:space="preserve">RUC-committed Resources </w:t>
      </w:r>
    </w:p>
    <w:p w14:paraId="3BDF3EC8" w14:textId="77777777" w:rsidR="00540BAB" w:rsidRPr="0013396E" w:rsidRDefault="00540BAB" w:rsidP="00540BAB">
      <w:pPr>
        <w:spacing w:before="240" w:after="240"/>
        <w:ind w:left="2160" w:hanging="720"/>
      </w:pPr>
      <w:r w:rsidRPr="0013396E">
        <w:t>(i)        For each RUC-committed Resource that has not submitted an Energy Offer Curve, ERCOT shall create a proxy Energy Offer Curve as described below:</w:t>
      </w:r>
    </w:p>
    <w:tbl>
      <w:tblPr>
        <w:tblW w:w="6350"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810"/>
      </w:tblGrid>
      <w:tr w:rsidR="00540BAB" w:rsidRPr="0013396E" w14:paraId="03B90965" w14:textId="77777777" w:rsidTr="005B61C1">
        <w:trPr>
          <w:trHeight w:val="359"/>
        </w:trPr>
        <w:tc>
          <w:tcPr>
            <w:tcW w:w="3540" w:type="dxa"/>
          </w:tcPr>
          <w:p w14:paraId="7E78483B" w14:textId="77777777" w:rsidR="00540BAB" w:rsidRPr="0013396E" w:rsidRDefault="00540BAB" w:rsidP="005B61C1">
            <w:pPr>
              <w:spacing w:after="120"/>
              <w:rPr>
                <w:b/>
                <w:iCs/>
                <w:sz w:val="20"/>
              </w:rPr>
            </w:pPr>
            <w:r w:rsidRPr="0013396E">
              <w:rPr>
                <w:b/>
                <w:iCs/>
                <w:sz w:val="20"/>
              </w:rPr>
              <w:t>MW</w:t>
            </w:r>
          </w:p>
        </w:tc>
        <w:tc>
          <w:tcPr>
            <w:tcW w:w="2810" w:type="dxa"/>
          </w:tcPr>
          <w:p w14:paraId="67780DDF" w14:textId="77777777" w:rsidR="00540BAB" w:rsidRPr="0013396E" w:rsidRDefault="00540BAB" w:rsidP="005B61C1">
            <w:pPr>
              <w:spacing w:after="120"/>
              <w:rPr>
                <w:b/>
                <w:iCs/>
                <w:sz w:val="20"/>
              </w:rPr>
            </w:pPr>
            <w:r w:rsidRPr="0013396E">
              <w:rPr>
                <w:b/>
                <w:iCs/>
                <w:sz w:val="20"/>
              </w:rPr>
              <w:t>Price (per MWh)</w:t>
            </w:r>
          </w:p>
        </w:tc>
      </w:tr>
      <w:tr w:rsidR="00540BAB" w:rsidRPr="0013396E" w14:paraId="5DB2C028" w14:textId="77777777" w:rsidTr="005B61C1">
        <w:trPr>
          <w:trHeight w:val="364"/>
        </w:trPr>
        <w:tc>
          <w:tcPr>
            <w:tcW w:w="3540" w:type="dxa"/>
          </w:tcPr>
          <w:p w14:paraId="6CAA11F3" w14:textId="77777777" w:rsidR="00540BAB" w:rsidRPr="0013396E" w:rsidRDefault="00540BAB" w:rsidP="005B61C1">
            <w:pPr>
              <w:spacing w:after="60"/>
              <w:rPr>
                <w:iCs/>
                <w:sz w:val="20"/>
              </w:rPr>
            </w:pPr>
            <w:r w:rsidRPr="0013396E">
              <w:rPr>
                <w:iCs/>
                <w:sz w:val="20"/>
              </w:rPr>
              <w:t xml:space="preserve">HSL </w:t>
            </w:r>
          </w:p>
        </w:tc>
        <w:tc>
          <w:tcPr>
            <w:tcW w:w="2810" w:type="dxa"/>
          </w:tcPr>
          <w:p w14:paraId="537F8233" w14:textId="77777777" w:rsidR="00540BAB" w:rsidRPr="0013396E" w:rsidRDefault="00540BAB" w:rsidP="005B61C1">
            <w:pPr>
              <w:spacing w:after="60"/>
              <w:rPr>
                <w:iCs/>
                <w:sz w:val="20"/>
              </w:rPr>
            </w:pPr>
            <w:r w:rsidRPr="0013396E">
              <w:rPr>
                <w:iCs/>
                <w:sz w:val="20"/>
              </w:rPr>
              <w:t>$250</w:t>
            </w:r>
          </w:p>
        </w:tc>
      </w:tr>
      <w:tr w:rsidR="00540BAB" w:rsidRPr="0013396E" w14:paraId="7F2EDA85" w14:textId="77777777" w:rsidTr="005B61C1">
        <w:trPr>
          <w:trHeight w:val="377"/>
        </w:trPr>
        <w:tc>
          <w:tcPr>
            <w:tcW w:w="3540" w:type="dxa"/>
          </w:tcPr>
          <w:p w14:paraId="2D82B25F" w14:textId="77777777" w:rsidR="00540BAB" w:rsidRPr="0013396E" w:rsidRDefault="00540BAB" w:rsidP="005B61C1">
            <w:pPr>
              <w:spacing w:after="60"/>
              <w:rPr>
                <w:iCs/>
                <w:sz w:val="20"/>
              </w:rPr>
            </w:pPr>
            <w:r w:rsidRPr="0013396E">
              <w:rPr>
                <w:iCs/>
                <w:sz w:val="20"/>
              </w:rPr>
              <w:t>Zero</w:t>
            </w:r>
          </w:p>
        </w:tc>
        <w:tc>
          <w:tcPr>
            <w:tcW w:w="2810" w:type="dxa"/>
          </w:tcPr>
          <w:p w14:paraId="0A01B950" w14:textId="77777777" w:rsidR="00540BAB" w:rsidRPr="0013396E" w:rsidRDefault="00540BAB" w:rsidP="005B61C1">
            <w:pPr>
              <w:spacing w:after="60"/>
              <w:rPr>
                <w:iCs/>
                <w:sz w:val="20"/>
              </w:rPr>
            </w:pPr>
            <w:r w:rsidRPr="0013396E">
              <w:rPr>
                <w:iCs/>
                <w:sz w:val="20"/>
              </w:rPr>
              <w:t>$250</w:t>
            </w:r>
          </w:p>
        </w:tc>
      </w:tr>
    </w:tbl>
    <w:p w14:paraId="438223D1" w14:textId="77777777" w:rsidR="00540BAB" w:rsidRPr="0013396E" w:rsidRDefault="00540BAB" w:rsidP="00540BAB">
      <w:pPr>
        <w:spacing w:before="240" w:after="240"/>
        <w:ind w:left="2160" w:hanging="720"/>
      </w:pPr>
      <w:r w:rsidRPr="0013396E">
        <w:t>(ii)       For each RUC-committed Resource that has submitted an Energy Offer Curve, ERCOT shall create a monotonically non-decreasing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540BAB" w:rsidRPr="0013396E" w14:paraId="5A22F929" w14:textId="77777777" w:rsidTr="005B61C1">
        <w:trPr>
          <w:trHeight w:val="350"/>
        </w:trPr>
        <w:tc>
          <w:tcPr>
            <w:tcW w:w="3531" w:type="dxa"/>
          </w:tcPr>
          <w:p w14:paraId="72A4DA5F" w14:textId="77777777" w:rsidR="00540BAB" w:rsidRPr="0013396E" w:rsidRDefault="00540BAB" w:rsidP="005B61C1">
            <w:pPr>
              <w:spacing w:after="120"/>
              <w:rPr>
                <w:b/>
                <w:iCs/>
                <w:sz w:val="20"/>
              </w:rPr>
            </w:pPr>
            <w:r w:rsidRPr="0013396E">
              <w:rPr>
                <w:b/>
                <w:iCs/>
                <w:sz w:val="20"/>
              </w:rPr>
              <w:t>MW</w:t>
            </w:r>
          </w:p>
        </w:tc>
        <w:tc>
          <w:tcPr>
            <w:tcW w:w="2804" w:type="dxa"/>
          </w:tcPr>
          <w:p w14:paraId="395A595C" w14:textId="77777777" w:rsidR="00540BAB" w:rsidRPr="0013396E" w:rsidRDefault="00540BAB" w:rsidP="005B61C1">
            <w:pPr>
              <w:spacing w:after="120"/>
              <w:rPr>
                <w:b/>
                <w:iCs/>
                <w:sz w:val="20"/>
              </w:rPr>
            </w:pPr>
            <w:r w:rsidRPr="0013396E">
              <w:rPr>
                <w:b/>
                <w:iCs/>
                <w:sz w:val="20"/>
              </w:rPr>
              <w:t>Price (per MWh)</w:t>
            </w:r>
          </w:p>
        </w:tc>
      </w:tr>
      <w:tr w:rsidR="00540BAB" w:rsidRPr="0013396E" w14:paraId="559D2F57" w14:textId="77777777" w:rsidTr="005B61C1">
        <w:trPr>
          <w:trHeight w:val="345"/>
        </w:trPr>
        <w:tc>
          <w:tcPr>
            <w:tcW w:w="3531" w:type="dxa"/>
          </w:tcPr>
          <w:p w14:paraId="0ABD7277" w14:textId="77777777" w:rsidR="00540BAB" w:rsidRPr="0013396E" w:rsidRDefault="00540BAB" w:rsidP="005B61C1">
            <w:pPr>
              <w:spacing w:after="60"/>
              <w:rPr>
                <w:iCs/>
                <w:sz w:val="20"/>
              </w:rPr>
            </w:pPr>
            <w:r w:rsidRPr="0013396E">
              <w:rPr>
                <w:iCs/>
                <w:sz w:val="20"/>
              </w:rPr>
              <w:t>HSL (if more than highest MW in Energy Offer Curve)</w:t>
            </w:r>
          </w:p>
        </w:tc>
        <w:tc>
          <w:tcPr>
            <w:tcW w:w="2804" w:type="dxa"/>
          </w:tcPr>
          <w:p w14:paraId="20DCE72B" w14:textId="77777777" w:rsidR="00540BAB" w:rsidRPr="0013396E" w:rsidRDefault="00540BAB" w:rsidP="005B61C1">
            <w:pPr>
              <w:spacing w:after="60"/>
              <w:rPr>
                <w:iCs/>
                <w:sz w:val="20"/>
              </w:rPr>
            </w:pPr>
            <w:r w:rsidRPr="0013396E">
              <w:rPr>
                <w:iCs/>
                <w:sz w:val="20"/>
              </w:rPr>
              <w:t>Greater of $250 or price associated with the highest MW in QSE submitted Energy Offer Curve</w:t>
            </w:r>
          </w:p>
        </w:tc>
      </w:tr>
      <w:tr w:rsidR="00540BAB" w:rsidRPr="0013396E" w14:paraId="06BBB8A5" w14:textId="77777777" w:rsidTr="005B61C1">
        <w:trPr>
          <w:trHeight w:val="615"/>
        </w:trPr>
        <w:tc>
          <w:tcPr>
            <w:tcW w:w="3531" w:type="dxa"/>
          </w:tcPr>
          <w:p w14:paraId="0A2E0AD4" w14:textId="77777777" w:rsidR="00540BAB" w:rsidRPr="0013396E" w:rsidRDefault="00540BAB" w:rsidP="005B61C1">
            <w:pPr>
              <w:spacing w:after="60"/>
              <w:rPr>
                <w:iCs/>
                <w:sz w:val="20"/>
              </w:rPr>
            </w:pPr>
            <w:r w:rsidRPr="0013396E">
              <w:rPr>
                <w:iCs/>
                <w:sz w:val="20"/>
              </w:rPr>
              <w:t>Energy Offer Curve</w:t>
            </w:r>
          </w:p>
        </w:tc>
        <w:tc>
          <w:tcPr>
            <w:tcW w:w="2804" w:type="dxa"/>
          </w:tcPr>
          <w:p w14:paraId="236221E9" w14:textId="77777777" w:rsidR="00540BAB" w:rsidRPr="0013396E" w:rsidRDefault="00540BAB" w:rsidP="005B61C1">
            <w:pPr>
              <w:spacing w:after="60"/>
              <w:rPr>
                <w:iCs/>
                <w:sz w:val="20"/>
              </w:rPr>
            </w:pPr>
            <w:r w:rsidRPr="0013396E">
              <w:rPr>
                <w:iCs/>
                <w:sz w:val="20"/>
              </w:rPr>
              <w:t>Greater of $250 or the QSE submitted Energy Offer Curve</w:t>
            </w:r>
          </w:p>
        </w:tc>
      </w:tr>
      <w:tr w:rsidR="00540BAB" w:rsidRPr="0013396E" w14:paraId="6B07EB18" w14:textId="77777777" w:rsidTr="005B61C1">
        <w:trPr>
          <w:trHeight w:val="916"/>
        </w:trPr>
        <w:tc>
          <w:tcPr>
            <w:tcW w:w="3531" w:type="dxa"/>
          </w:tcPr>
          <w:p w14:paraId="6AA752FA" w14:textId="77777777" w:rsidR="00540BAB" w:rsidRPr="0013396E" w:rsidRDefault="00540BAB" w:rsidP="005B61C1">
            <w:pPr>
              <w:spacing w:after="60"/>
              <w:rPr>
                <w:iCs/>
                <w:sz w:val="20"/>
              </w:rPr>
            </w:pPr>
            <w:r w:rsidRPr="0013396E">
              <w:rPr>
                <w:iCs/>
                <w:sz w:val="20"/>
              </w:rPr>
              <w:t>Zero</w:t>
            </w:r>
          </w:p>
        </w:tc>
        <w:tc>
          <w:tcPr>
            <w:tcW w:w="2804" w:type="dxa"/>
          </w:tcPr>
          <w:p w14:paraId="30273423" w14:textId="77777777" w:rsidR="00540BAB" w:rsidRPr="0013396E" w:rsidRDefault="00540BAB" w:rsidP="005B61C1">
            <w:pPr>
              <w:spacing w:after="60"/>
              <w:rPr>
                <w:iCs/>
                <w:sz w:val="20"/>
              </w:rPr>
            </w:pPr>
            <w:r w:rsidRPr="0013396E">
              <w:rPr>
                <w:iCs/>
                <w:sz w:val="20"/>
              </w:rPr>
              <w:t>Greater of $250 or the first price point of the QSE submitted Energy Offer Curve</w:t>
            </w:r>
          </w:p>
        </w:tc>
      </w:tr>
    </w:tbl>
    <w:p w14:paraId="2E6CDAE5" w14:textId="77777777" w:rsidR="008C3033" w:rsidRPr="0013396E" w:rsidRDefault="008C3033"/>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8C3033" w:rsidRPr="0013396E" w14:paraId="05B23C11" w14:textId="77777777" w:rsidTr="008C3033">
        <w:tc>
          <w:tcPr>
            <w:tcW w:w="9350" w:type="dxa"/>
            <w:shd w:val="pct12" w:color="auto" w:fill="auto"/>
          </w:tcPr>
          <w:p w14:paraId="4CEECCB3" w14:textId="77777777" w:rsidR="008C3033" w:rsidRPr="0013396E" w:rsidRDefault="008C3033" w:rsidP="008C3033">
            <w:pPr>
              <w:spacing w:before="120" w:after="240"/>
              <w:rPr>
                <w:b/>
                <w:i/>
                <w:iCs/>
              </w:rPr>
            </w:pPr>
            <w:r w:rsidRPr="0013396E">
              <w:rPr>
                <w:b/>
                <w:i/>
                <w:iCs/>
              </w:rPr>
              <w:lastRenderedPageBreak/>
              <w:t>[NPRR930:  Insert paragraph (iii) below upon system implementation and renumber accordingly:]</w:t>
            </w:r>
          </w:p>
          <w:p w14:paraId="449A6AF3" w14:textId="77777777" w:rsidR="008C3033" w:rsidRPr="0013396E" w:rsidRDefault="008C3033" w:rsidP="008C3033">
            <w:pPr>
              <w:spacing w:before="240" w:after="240"/>
              <w:ind w:left="2160" w:hanging="720"/>
            </w:pPr>
            <w:r w:rsidRPr="0013396E">
              <w:t>(iii)</w:t>
            </w:r>
            <w:r w:rsidRPr="0013396E">
              <w:tab/>
              <w:t>For each RUC-committed Resource during the time period stated in the Advance Action Notice (AAN) if any Resource received an Outage Schedule Adjustment,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8C3033" w:rsidRPr="0013396E" w14:paraId="05B98FA7" w14:textId="77777777" w:rsidTr="005B61C1">
              <w:trPr>
                <w:trHeight w:val="350"/>
              </w:trPr>
              <w:tc>
                <w:tcPr>
                  <w:tcW w:w="3531" w:type="dxa"/>
                </w:tcPr>
                <w:p w14:paraId="7305D732" w14:textId="77777777" w:rsidR="008C3033" w:rsidRPr="0013396E" w:rsidRDefault="008C3033" w:rsidP="008C3033">
                  <w:pPr>
                    <w:spacing w:after="120"/>
                    <w:rPr>
                      <w:b/>
                      <w:iCs/>
                      <w:sz w:val="20"/>
                    </w:rPr>
                  </w:pPr>
                  <w:r w:rsidRPr="0013396E">
                    <w:rPr>
                      <w:b/>
                      <w:iCs/>
                      <w:sz w:val="20"/>
                    </w:rPr>
                    <w:t>MW</w:t>
                  </w:r>
                </w:p>
              </w:tc>
              <w:tc>
                <w:tcPr>
                  <w:tcW w:w="2804" w:type="dxa"/>
                </w:tcPr>
                <w:p w14:paraId="421DA116" w14:textId="77777777" w:rsidR="008C3033" w:rsidRPr="0013396E" w:rsidRDefault="008C3033" w:rsidP="008C3033">
                  <w:pPr>
                    <w:spacing w:after="120"/>
                    <w:rPr>
                      <w:b/>
                      <w:iCs/>
                      <w:sz w:val="20"/>
                    </w:rPr>
                  </w:pPr>
                  <w:r w:rsidRPr="0013396E">
                    <w:rPr>
                      <w:b/>
                      <w:iCs/>
                      <w:sz w:val="20"/>
                    </w:rPr>
                    <w:t>Price (per MWh)</w:t>
                  </w:r>
                </w:p>
              </w:tc>
            </w:tr>
            <w:tr w:rsidR="008C3033" w:rsidRPr="0013396E" w14:paraId="5F429DDA" w14:textId="77777777" w:rsidTr="005B61C1">
              <w:trPr>
                <w:trHeight w:val="345"/>
              </w:trPr>
              <w:tc>
                <w:tcPr>
                  <w:tcW w:w="3531" w:type="dxa"/>
                </w:tcPr>
                <w:p w14:paraId="3AC8B829" w14:textId="77777777" w:rsidR="008C3033" w:rsidRPr="0013396E" w:rsidRDefault="008C3033" w:rsidP="008C3033">
                  <w:pPr>
                    <w:spacing w:after="60"/>
                    <w:rPr>
                      <w:iCs/>
                      <w:sz w:val="20"/>
                    </w:rPr>
                  </w:pPr>
                  <w:r w:rsidRPr="0013396E">
                    <w:rPr>
                      <w:sz w:val="20"/>
                    </w:rPr>
                    <w:t>HSL</w:t>
                  </w:r>
                </w:p>
              </w:tc>
              <w:tc>
                <w:tcPr>
                  <w:tcW w:w="2804" w:type="dxa"/>
                </w:tcPr>
                <w:p w14:paraId="414DC31A" w14:textId="77777777" w:rsidR="008C3033" w:rsidRPr="0013396E" w:rsidRDefault="008C3033" w:rsidP="008C3033">
                  <w:pPr>
                    <w:spacing w:after="60"/>
                    <w:rPr>
                      <w:iCs/>
                      <w:sz w:val="20"/>
                    </w:rPr>
                  </w:pPr>
                  <w:r w:rsidRPr="0013396E">
                    <w:rPr>
                      <w:sz w:val="20"/>
                    </w:rPr>
                    <w:t>$4,500 or the effective Value of Lost Load (VOLL), whichever is less.</w:t>
                  </w:r>
                </w:p>
              </w:tc>
            </w:tr>
            <w:tr w:rsidR="008C3033" w:rsidRPr="0013396E" w14:paraId="4F29D781" w14:textId="77777777" w:rsidTr="005B61C1">
              <w:trPr>
                <w:trHeight w:val="332"/>
              </w:trPr>
              <w:tc>
                <w:tcPr>
                  <w:tcW w:w="3531" w:type="dxa"/>
                </w:tcPr>
                <w:p w14:paraId="19AE9322" w14:textId="77777777" w:rsidR="008C3033" w:rsidRPr="0013396E" w:rsidRDefault="008C3033" w:rsidP="008C3033">
                  <w:pPr>
                    <w:spacing w:after="60"/>
                    <w:rPr>
                      <w:iCs/>
                      <w:sz w:val="20"/>
                    </w:rPr>
                  </w:pPr>
                  <w:r w:rsidRPr="0013396E">
                    <w:rPr>
                      <w:sz w:val="20"/>
                    </w:rPr>
                    <w:t>Zero</w:t>
                  </w:r>
                </w:p>
              </w:tc>
              <w:tc>
                <w:tcPr>
                  <w:tcW w:w="2804" w:type="dxa"/>
                </w:tcPr>
                <w:p w14:paraId="594F3825" w14:textId="77777777" w:rsidR="008C3033" w:rsidRPr="0013396E" w:rsidRDefault="008C3033" w:rsidP="008C3033">
                  <w:pPr>
                    <w:spacing w:after="60"/>
                    <w:rPr>
                      <w:iCs/>
                      <w:sz w:val="20"/>
                    </w:rPr>
                  </w:pPr>
                  <w:r w:rsidRPr="0013396E">
                    <w:rPr>
                      <w:sz w:val="20"/>
                    </w:rPr>
                    <w:t>$4,500 or the effective VOLL, whichever is less.</w:t>
                  </w:r>
                </w:p>
              </w:tc>
            </w:tr>
          </w:tbl>
          <w:p w14:paraId="22006F15" w14:textId="77777777" w:rsidR="008C3033" w:rsidRPr="0013396E" w:rsidRDefault="008C3033" w:rsidP="008C3033">
            <w:pPr>
              <w:spacing w:after="240"/>
              <w:ind w:left="2160" w:hanging="720"/>
            </w:pPr>
          </w:p>
        </w:tc>
      </w:tr>
    </w:tbl>
    <w:p w14:paraId="5E5A1014" w14:textId="1EB79A0E" w:rsidR="00540BAB" w:rsidRPr="0013396E" w:rsidRDefault="00540BAB" w:rsidP="00540BAB">
      <w:pPr>
        <w:spacing w:before="240" w:after="240"/>
        <w:ind w:left="2160" w:hanging="720"/>
      </w:pPr>
      <w:r w:rsidRPr="0013396E">
        <w:t>(i</w:t>
      </w:r>
      <w:r w:rsidR="008C3033" w:rsidRPr="0013396E">
        <w:t>ii</w:t>
      </w:r>
      <w:r w:rsidRPr="0013396E">
        <w:t xml:space="preserve">) </w:t>
      </w:r>
      <w:r w:rsidRPr="0013396E">
        <w:tab/>
        <w:t>For each Combined Cycle Generation Resource that was RUC-committed from one On-Line configuration in order to transition to a different configuration with additional capacity, as instructed by ERCOT, that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540BAB" w:rsidRPr="0013396E" w14:paraId="7D39F08C"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4027BD56" w14:textId="77777777" w:rsidR="00540BAB" w:rsidRPr="0013396E" w:rsidRDefault="00540BAB" w:rsidP="005B61C1">
            <w:pPr>
              <w:spacing w:after="120"/>
              <w:rPr>
                <w:b/>
                <w:iCs/>
                <w:sz w:val="20"/>
              </w:rPr>
            </w:pPr>
            <w:r w:rsidRPr="0013396E">
              <w:rPr>
                <w:b/>
                <w:iCs/>
                <w:sz w:val="20"/>
              </w:rPr>
              <w:t>MW</w:t>
            </w:r>
          </w:p>
        </w:tc>
        <w:tc>
          <w:tcPr>
            <w:tcW w:w="3600" w:type="dxa"/>
            <w:tcBorders>
              <w:top w:val="single" w:sz="4" w:space="0" w:color="auto"/>
              <w:left w:val="single" w:sz="4" w:space="0" w:color="auto"/>
              <w:bottom w:val="single" w:sz="4" w:space="0" w:color="auto"/>
              <w:right w:val="single" w:sz="4" w:space="0" w:color="auto"/>
            </w:tcBorders>
          </w:tcPr>
          <w:p w14:paraId="4F975F90" w14:textId="77777777" w:rsidR="00540BAB" w:rsidRPr="0013396E" w:rsidRDefault="00540BAB" w:rsidP="005B61C1">
            <w:pPr>
              <w:spacing w:after="120"/>
              <w:rPr>
                <w:b/>
                <w:iCs/>
                <w:sz w:val="20"/>
              </w:rPr>
            </w:pPr>
            <w:r w:rsidRPr="0013396E">
              <w:rPr>
                <w:b/>
                <w:iCs/>
                <w:sz w:val="20"/>
              </w:rPr>
              <w:t>Price (per MWh)</w:t>
            </w:r>
          </w:p>
        </w:tc>
      </w:tr>
      <w:tr w:rsidR="00540BAB" w:rsidRPr="0013396E" w14:paraId="097DA77C"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32CE37E0" w14:textId="77777777" w:rsidR="00540BAB" w:rsidRPr="0013396E" w:rsidRDefault="00540BAB" w:rsidP="005B61C1">
            <w:pPr>
              <w:spacing w:after="120"/>
              <w:rPr>
                <w:iCs/>
                <w:sz w:val="20"/>
              </w:rPr>
            </w:pPr>
            <w:r w:rsidRPr="0013396E">
              <w:rPr>
                <w:iCs/>
                <w:sz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2C426085" w14:textId="77777777" w:rsidR="00540BAB" w:rsidRPr="0013396E" w:rsidRDefault="00540BAB" w:rsidP="005B61C1">
            <w:pPr>
              <w:spacing w:after="120"/>
              <w:rPr>
                <w:iCs/>
                <w:sz w:val="20"/>
              </w:rPr>
            </w:pPr>
            <w:r w:rsidRPr="0013396E">
              <w:rPr>
                <w:iCs/>
                <w:sz w:val="20"/>
              </w:rPr>
              <w:t>$250</w:t>
            </w:r>
          </w:p>
        </w:tc>
      </w:tr>
      <w:tr w:rsidR="00540BAB" w:rsidRPr="0013396E" w14:paraId="0C49F28F"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348EF95E" w14:textId="77777777" w:rsidR="00540BAB" w:rsidRPr="0013396E" w:rsidRDefault="00540BAB" w:rsidP="005B61C1">
            <w:pPr>
              <w:spacing w:after="120"/>
              <w:rPr>
                <w:iCs/>
                <w:sz w:val="20"/>
              </w:rPr>
            </w:pPr>
            <w:r w:rsidRPr="0013396E">
              <w:rPr>
                <w:iCs/>
                <w:sz w:val="20"/>
              </w:rPr>
              <w:t>Zero</w:t>
            </w:r>
          </w:p>
        </w:tc>
        <w:tc>
          <w:tcPr>
            <w:tcW w:w="3600" w:type="dxa"/>
            <w:tcBorders>
              <w:top w:val="single" w:sz="4" w:space="0" w:color="auto"/>
              <w:left w:val="single" w:sz="4" w:space="0" w:color="auto"/>
              <w:bottom w:val="single" w:sz="4" w:space="0" w:color="auto"/>
              <w:right w:val="single" w:sz="4" w:space="0" w:color="auto"/>
            </w:tcBorders>
          </w:tcPr>
          <w:p w14:paraId="6C016343" w14:textId="77777777" w:rsidR="00540BAB" w:rsidRPr="0013396E" w:rsidRDefault="00540BAB" w:rsidP="005B61C1">
            <w:pPr>
              <w:spacing w:after="120"/>
              <w:rPr>
                <w:iCs/>
                <w:sz w:val="20"/>
              </w:rPr>
            </w:pPr>
            <w:r w:rsidRPr="0013396E">
              <w:rPr>
                <w:iCs/>
                <w:sz w:val="20"/>
              </w:rPr>
              <w:t>$250</w:t>
            </w:r>
          </w:p>
        </w:tc>
      </w:tr>
    </w:tbl>
    <w:p w14:paraId="0BEB1D1D" w14:textId="776B06DC" w:rsidR="00540BAB" w:rsidRPr="0013396E" w:rsidRDefault="00540BAB" w:rsidP="00540BAB">
      <w:pPr>
        <w:spacing w:before="240" w:after="240"/>
        <w:ind w:left="2160" w:hanging="720"/>
      </w:pPr>
      <w:r w:rsidRPr="0013396E">
        <w:t>(</w:t>
      </w:r>
      <w:r w:rsidR="008C3033" w:rsidRPr="0013396E">
        <w:t>i</w:t>
      </w:r>
      <w:r w:rsidRPr="0013396E">
        <w:t>v)</w:t>
      </w:r>
      <w:r w:rsidRPr="0013396E">
        <w:tab/>
        <w:t>For each Combined Cycle Generation Resource that was RUC-committed from one On-Line configuration in order to transition to a different configuration with additional capacity, as instructed by ERCOT, that has submitted an Energy Offer Curve for the RUC-committed configuration, ERCOT shall create a monotonically non-decreasing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540BAB" w:rsidRPr="0013396E" w14:paraId="43E28C95" w14:textId="77777777" w:rsidTr="005B61C1">
        <w:trPr>
          <w:trHeight w:val="350"/>
        </w:trPr>
        <w:tc>
          <w:tcPr>
            <w:tcW w:w="3279" w:type="dxa"/>
          </w:tcPr>
          <w:p w14:paraId="55C887BF" w14:textId="77777777" w:rsidR="00540BAB" w:rsidRPr="0013396E" w:rsidRDefault="00540BAB" w:rsidP="005B61C1">
            <w:pPr>
              <w:spacing w:after="120"/>
              <w:rPr>
                <w:b/>
                <w:iCs/>
                <w:sz w:val="20"/>
              </w:rPr>
            </w:pPr>
            <w:r w:rsidRPr="0013396E">
              <w:rPr>
                <w:b/>
                <w:iCs/>
                <w:sz w:val="20"/>
              </w:rPr>
              <w:t>MW</w:t>
            </w:r>
          </w:p>
        </w:tc>
        <w:tc>
          <w:tcPr>
            <w:tcW w:w="3060" w:type="dxa"/>
          </w:tcPr>
          <w:p w14:paraId="090C9CA8" w14:textId="77777777" w:rsidR="00540BAB" w:rsidRPr="0013396E" w:rsidRDefault="00540BAB" w:rsidP="005B61C1">
            <w:pPr>
              <w:spacing w:after="120"/>
              <w:rPr>
                <w:b/>
                <w:iCs/>
                <w:sz w:val="20"/>
              </w:rPr>
            </w:pPr>
            <w:r w:rsidRPr="0013396E">
              <w:rPr>
                <w:b/>
                <w:iCs/>
                <w:sz w:val="20"/>
              </w:rPr>
              <w:t>Price (per MWh)</w:t>
            </w:r>
          </w:p>
        </w:tc>
      </w:tr>
      <w:tr w:rsidR="00540BAB" w:rsidRPr="0013396E" w14:paraId="11D1DA58" w14:textId="77777777" w:rsidTr="005B61C1">
        <w:trPr>
          <w:trHeight w:val="345"/>
        </w:trPr>
        <w:tc>
          <w:tcPr>
            <w:tcW w:w="3279" w:type="dxa"/>
          </w:tcPr>
          <w:p w14:paraId="653808C4" w14:textId="77777777" w:rsidR="00540BAB" w:rsidRPr="0013396E" w:rsidRDefault="00540BAB" w:rsidP="005B61C1">
            <w:pPr>
              <w:spacing w:after="60"/>
              <w:rPr>
                <w:iCs/>
                <w:sz w:val="20"/>
              </w:rPr>
            </w:pPr>
            <w:r w:rsidRPr="0013396E">
              <w:rPr>
                <w:iCs/>
                <w:sz w:val="20"/>
              </w:rPr>
              <w:t>HSL of RUC-committed configuration (if more than highest MW in Energy Offer Curve)</w:t>
            </w:r>
          </w:p>
        </w:tc>
        <w:tc>
          <w:tcPr>
            <w:tcW w:w="3060" w:type="dxa"/>
          </w:tcPr>
          <w:p w14:paraId="31B542D6" w14:textId="77777777" w:rsidR="00540BAB" w:rsidRPr="0013396E" w:rsidRDefault="00540BAB" w:rsidP="005B61C1">
            <w:pPr>
              <w:spacing w:after="60"/>
              <w:rPr>
                <w:iCs/>
                <w:sz w:val="20"/>
              </w:rPr>
            </w:pPr>
            <w:r w:rsidRPr="0013396E">
              <w:rPr>
                <w:iCs/>
                <w:sz w:val="20"/>
              </w:rPr>
              <w:t>Greater of $250 or price associated with the highest MW in QSE submitted Energy Offer Curve</w:t>
            </w:r>
          </w:p>
        </w:tc>
      </w:tr>
      <w:tr w:rsidR="00540BAB" w:rsidRPr="0013396E" w14:paraId="71BB2118" w14:textId="77777777" w:rsidTr="005B61C1">
        <w:trPr>
          <w:trHeight w:val="615"/>
        </w:trPr>
        <w:tc>
          <w:tcPr>
            <w:tcW w:w="3279" w:type="dxa"/>
          </w:tcPr>
          <w:p w14:paraId="3AB22A33" w14:textId="77777777" w:rsidR="00540BAB" w:rsidRPr="0013396E" w:rsidRDefault="00540BAB" w:rsidP="005B61C1">
            <w:pPr>
              <w:spacing w:after="60"/>
              <w:rPr>
                <w:iCs/>
                <w:sz w:val="20"/>
              </w:rPr>
            </w:pPr>
            <w:r w:rsidRPr="0013396E">
              <w:rPr>
                <w:iCs/>
                <w:sz w:val="20"/>
              </w:rPr>
              <w:t>Energy Offer Curve for MW at and above HSL of QSE-committed configuration</w:t>
            </w:r>
          </w:p>
        </w:tc>
        <w:tc>
          <w:tcPr>
            <w:tcW w:w="3060" w:type="dxa"/>
          </w:tcPr>
          <w:p w14:paraId="6009C443" w14:textId="77777777" w:rsidR="00540BAB" w:rsidRPr="0013396E" w:rsidRDefault="00540BAB" w:rsidP="005B61C1">
            <w:pPr>
              <w:spacing w:after="60"/>
              <w:rPr>
                <w:iCs/>
                <w:sz w:val="20"/>
              </w:rPr>
            </w:pPr>
            <w:r w:rsidRPr="0013396E">
              <w:rPr>
                <w:iCs/>
                <w:sz w:val="20"/>
              </w:rPr>
              <w:t>Greater of $250 or the QSE submitted Energy Offer Curve</w:t>
            </w:r>
          </w:p>
        </w:tc>
      </w:tr>
      <w:tr w:rsidR="00540BAB" w:rsidRPr="0013396E" w14:paraId="581ECC7F" w14:textId="77777777" w:rsidTr="005B61C1">
        <w:trPr>
          <w:trHeight w:val="615"/>
        </w:trPr>
        <w:tc>
          <w:tcPr>
            <w:tcW w:w="3279" w:type="dxa"/>
          </w:tcPr>
          <w:p w14:paraId="32F17EFE" w14:textId="77777777" w:rsidR="00540BAB" w:rsidRPr="0013396E" w:rsidRDefault="00540BAB" w:rsidP="005B61C1">
            <w:pPr>
              <w:spacing w:after="60"/>
              <w:rPr>
                <w:iCs/>
                <w:sz w:val="20"/>
              </w:rPr>
            </w:pPr>
            <w:r w:rsidRPr="0013396E">
              <w:rPr>
                <w:iCs/>
                <w:sz w:val="20"/>
              </w:rPr>
              <w:t>HSL of QSE-committed configuration (if more than highest MW in Energy Offer Curve and price associated with highest MW in Energy Offer Curve is less than $250)</w:t>
            </w:r>
          </w:p>
        </w:tc>
        <w:tc>
          <w:tcPr>
            <w:tcW w:w="3060" w:type="dxa"/>
          </w:tcPr>
          <w:p w14:paraId="75A1B80D" w14:textId="77777777" w:rsidR="00540BAB" w:rsidRPr="0013396E" w:rsidRDefault="00540BAB" w:rsidP="005B61C1">
            <w:pPr>
              <w:spacing w:after="60"/>
              <w:rPr>
                <w:iCs/>
                <w:sz w:val="20"/>
              </w:rPr>
            </w:pPr>
            <w:r w:rsidRPr="0013396E">
              <w:rPr>
                <w:iCs/>
                <w:sz w:val="20"/>
              </w:rPr>
              <w:t>$250</w:t>
            </w:r>
          </w:p>
        </w:tc>
      </w:tr>
      <w:tr w:rsidR="00540BAB" w:rsidRPr="0013396E" w14:paraId="3FE9EE7D" w14:textId="77777777" w:rsidTr="005B61C1">
        <w:trPr>
          <w:trHeight w:val="368"/>
        </w:trPr>
        <w:tc>
          <w:tcPr>
            <w:tcW w:w="3279" w:type="dxa"/>
          </w:tcPr>
          <w:p w14:paraId="3098150E" w14:textId="77777777" w:rsidR="00540BAB" w:rsidRPr="0013396E" w:rsidRDefault="00540BAB" w:rsidP="005B61C1">
            <w:pPr>
              <w:spacing w:after="60"/>
              <w:rPr>
                <w:iCs/>
                <w:sz w:val="20"/>
              </w:rPr>
            </w:pPr>
            <w:r w:rsidRPr="0013396E">
              <w:rPr>
                <w:iCs/>
                <w:sz w:val="20"/>
              </w:rPr>
              <w:lastRenderedPageBreak/>
              <w:t>HSL of QSE-committed configuration (if more than highest MW in Energy Offer Curve)</w:t>
            </w:r>
          </w:p>
        </w:tc>
        <w:tc>
          <w:tcPr>
            <w:tcW w:w="3060" w:type="dxa"/>
          </w:tcPr>
          <w:p w14:paraId="556C89A9" w14:textId="77777777" w:rsidR="00540BAB" w:rsidRPr="0013396E" w:rsidRDefault="00540BAB" w:rsidP="005B61C1">
            <w:pPr>
              <w:spacing w:after="60"/>
              <w:rPr>
                <w:iCs/>
                <w:sz w:val="20"/>
              </w:rPr>
            </w:pPr>
            <w:r w:rsidRPr="0013396E">
              <w:rPr>
                <w:iCs/>
                <w:sz w:val="20"/>
              </w:rPr>
              <w:t>Price associated with the highest MW in QSE submitted Energy Offer Curve</w:t>
            </w:r>
          </w:p>
        </w:tc>
      </w:tr>
      <w:tr w:rsidR="00540BAB" w:rsidRPr="0013396E" w14:paraId="2D8A2CA3" w14:textId="77777777" w:rsidTr="005B61C1">
        <w:trPr>
          <w:trHeight w:val="773"/>
        </w:trPr>
        <w:tc>
          <w:tcPr>
            <w:tcW w:w="3279" w:type="dxa"/>
          </w:tcPr>
          <w:p w14:paraId="0C6EFFF0" w14:textId="77777777" w:rsidR="00540BAB" w:rsidRPr="0013396E" w:rsidRDefault="00540BAB" w:rsidP="005B61C1">
            <w:pPr>
              <w:spacing w:after="60"/>
              <w:rPr>
                <w:iCs/>
                <w:sz w:val="20"/>
              </w:rPr>
            </w:pPr>
            <w:r w:rsidRPr="0013396E">
              <w:rPr>
                <w:iCs/>
                <w:sz w:val="20"/>
              </w:rPr>
              <w:t>Energy Offer Curve for MW at and below HSL of QSE-committed configuration</w:t>
            </w:r>
          </w:p>
        </w:tc>
        <w:tc>
          <w:tcPr>
            <w:tcW w:w="3060" w:type="dxa"/>
          </w:tcPr>
          <w:p w14:paraId="195D5B74" w14:textId="77777777" w:rsidR="00540BAB" w:rsidRPr="0013396E" w:rsidRDefault="00540BAB" w:rsidP="005B61C1">
            <w:pPr>
              <w:spacing w:after="60"/>
              <w:rPr>
                <w:iCs/>
                <w:sz w:val="20"/>
              </w:rPr>
            </w:pPr>
            <w:r w:rsidRPr="0013396E">
              <w:rPr>
                <w:iCs/>
                <w:sz w:val="20"/>
              </w:rPr>
              <w:t>The QSE submitted Energy Offer Curve</w:t>
            </w:r>
          </w:p>
        </w:tc>
      </w:tr>
      <w:tr w:rsidR="00540BAB" w:rsidRPr="0013396E" w14:paraId="1D9AE862" w14:textId="77777777" w:rsidTr="005B61C1">
        <w:trPr>
          <w:trHeight w:val="503"/>
        </w:trPr>
        <w:tc>
          <w:tcPr>
            <w:tcW w:w="3279" w:type="dxa"/>
          </w:tcPr>
          <w:p w14:paraId="28DF253C" w14:textId="77777777" w:rsidR="00540BAB" w:rsidRPr="0013396E" w:rsidRDefault="00540BAB" w:rsidP="005B61C1">
            <w:pPr>
              <w:spacing w:after="60"/>
              <w:rPr>
                <w:iCs/>
                <w:sz w:val="20"/>
              </w:rPr>
            </w:pPr>
            <w:r w:rsidRPr="0013396E">
              <w:rPr>
                <w:iCs/>
                <w:sz w:val="20"/>
              </w:rPr>
              <w:t>1 MW below lowest MW in Energy Offer Curve (if more than LSL)</w:t>
            </w:r>
          </w:p>
        </w:tc>
        <w:tc>
          <w:tcPr>
            <w:tcW w:w="3060" w:type="dxa"/>
          </w:tcPr>
          <w:p w14:paraId="13A4353C" w14:textId="77777777" w:rsidR="00540BAB" w:rsidRPr="0013396E" w:rsidRDefault="00540BAB" w:rsidP="005B61C1">
            <w:pPr>
              <w:spacing w:after="60"/>
              <w:rPr>
                <w:iCs/>
                <w:sz w:val="20"/>
              </w:rPr>
            </w:pPr>
            <w:r w:rsidRPr="0013396E">
              <w:rPr>
                <w:iCs/>
                <w:sz w:val="20"/>
              </w:rPr>
              <w:t>-$249.99</w:t>
            </w:r>
          </w:p>
        </w:tc>
      </w:tr>
      <w:tr w:rsidR="00540BAB" w:rsidRPr="0013396E" w14:paraId="3BD34C34" w14:textId="77777777" w:rsidTr="005B61C1">
        <w:trPr>
          <w:trHeight w:val="467"/>
        </w:trPr>
        <w:tc>
          <w:tcPr>
            <w:tcW w:w="3279" w:type="dxa"/>
          </w:tcPr>
          <w:p w14:paraId="5AD1CA2C" w14:textId="77777777" w:rsidR="00540BAB" w:rsidRPr="0013396E" w:rsidRDefault="00540BAB" w:rsidP="005B61C1">
            <w:pPr>
              <w:spacing w:after="60"/>
              <w:rPr>
                <w:iCs/>
                <w:sz w:val="20"/>
              </w:rPr>
            </w:pPr>
            <w:r w:rsidRPr="0013396E">
              <w:rPr>
                <w:iCs/>
                <w:sz w:val="20"/>
              </w:rPr>
              <w:t>LSL (if less than lowest MW in Energy Offer Curve)</w:t>
            </w:r>
          </w:p>
        </w:tc>
        <w:tc>
          <w:tcPr>
            <w:tcW w:w="3060" w:type="dxa"/>
          </w:tcPr>
          <w:p w14:paraId="3D45DA45" w14:textId="77777777" w:rsidR="00540BAB" w:rsidRPr="0013396E" w:rsidRDefault="00540BAB" w:rsidP="005B61C1">
            <w:pPr>
              <w:spacing w:after="60"/>
              <w:rPr>
                <w:iCs/>
                <w:sz w:val="20"/>
              </w:rPr>
            </w:pPr>
            <w:r w:rsidRPr="0013396E">
              <w:rPr>
                <w:iCs/>
                <w:sz w:val="20"/>
              </w:rPr>
              <w:t>-$250.00</w:t>
            </w:r>
          </w:p>
        </w:tc>
      </w:tr>
    </w:tbl>
    <w:p w14:paraId="2C29ACD7" w14:textId="77777777" w:rsidR="00890D72" w:rsidRPr="0013396E" w:rsidRDefault="00890D72" w:rsidP="00890D72">
      <w:pPr>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890D72" w:rsidRPr="0013396E" w14:paraId="2CF11BE1" w14:textId="77777777" w:rsidTr="005B61C1">
        <w:tc>
          <w:tcPr>
            <w:tcW w:w="9350" w:type="dxa"/>
            <w:shd w:val="pct12" w:color="auto" w:fill="auto"/>
          </w:tcPr>
          <w:p w14:paraId="372A3D95" w14:textId="77777777" w:rsidR="00890D72" w:rsidRPr="0013396E" w:rsidRDefault="00890D72" w:rsidP="00890D72">
            <w:pPr>
              <w:spacing w:before="120" w:after="240"/>
              <w:rPr>
                <w:b/>
                <w:i/>
                <w:iCs/>
              </w:rPr>
            </w:pPr>
            <w:r w:rsidRPr="0013396E">
              <w:rPr>
                <w:b/>
                <w:i/>
                <w:iCs/>
              </w:rPr>
              <w:t>[NPRR1019:  Insert paragraphs (v)-(viii) below upon system implementation:]</w:t>
            </w:r>
          </w:p>
          <w:p w14:paraId="3655DC7E" w14:textId="77777777" w:rsidR="00890D72" w:rsidRPr="0013396E" w:rsidRDefault="00890D72" w:rsidP="00890D72">
            <w:pPr>
              <w:spacing w:before="240" w:after="240"/>
              <w:ind w:left="2160" w:hanging="720"/>
            </w:pPr>
            <w:r w:rsidRPr="0013396E">
              <w:t>(v)</w:t>
            </w:r>
            <w:r w:rsidRPr="0013396E">
              <w:tab/>
              <w:t>For each RUC-committed Switchable Generation Resource (SWGR) that is not part of a Combined Cycle Train already operating in ERCOT, that has not submitted an Energy Offer Curve, and that has a COP Resource Status of EMRSWGR for the instructed Operating Hour at the time of the RUC instruction,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890D72" w:rsidRPr="0013396E" w14:paraId="4331ED3D"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16F8A6DE" w14:textId="77777777" w:rsidR="00890D72" w:rsidRPr="0013396E" w:rsidRDefault="00890D72" w:rsidP="00890D72">
                  <w:pPr>
                    <w:spacing w:after="120"/>
                    <w:rPr>
                      <w:b/>
                      <w:iCs/>
                      <w:sz w:val="20"/>
                    </w:rPr>
                  </w:pPr>
                  <w:r w:rsidRPr="0013396E">
                    <w:rPr>
                      <w:b/>
                      <w:iCs/>
                      <w:sz w:val="20"/>
                    </w:rPr>
                    <w:t>MW</w:t>
                  </w:r>
                </w:p>
              </w:tc>
              <w:tc>
                <w:tcPr>
                  <w:tcW w:w="3600" w:type="dxa"/>
                  <w:tcBorders>
                    <w:top w:val="single" w:sz="4" w:space="0" w:color="auto"/>
                    <w:left w:val="single" w:sz="4" w:space="0" w:color="auto"/>
                    <w:bottom w:val="single" w:sz="4" w:space="0" w:color="auto"/>
                    <w:right w:val="single" w:sz="4" w:space="0" w:color="auto"/>
                  </w:tcBorders>
                </w:tcPr>
                <w:p w14:paraId="5C264500" w14:textId="77777777" w:rsidR="00890D72" w:rsidRPr="0013396E" w:rsidRDefault="00890D72" w:rsidP="00890D72">
                  <w:pPr>
                    <w:spacing w:after="120"/>
                    <w:rPr>
                      <w:b/>
                      <w:iCs/>
                      <w:sz w:val="20"/>
                    </w:rPr>
                  </w:pPr>
                  <w:r w:rsidRPr="0013396E">
                    <w:rPr>
                      <w:b/>
                      <w:iCs/>
                      <w:sz w:val="20"/>
                    </w:rPr>
                    <w:t>Price (per MWh)</w:t>
                  </w:r>
                </w:p>
              </w:tc>
            </w:tr>
            <w:tr w:rsidR="00890D72" w:rsidRPr="0013396E" w14:paraId="325DD05D"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6D6707A3" w14:textId="77777777" w:rsidR="00890D72" w:rsidRPr="0013396E" w:rsidRDefault="00890D72" w:rsidP="00890D72">
                  <w:pPr>
                    <w:spacing w:after="120"/>
                    <w:rPr>
                      <w:iCs/>
                      <w:sz w:val="20"/>
                    </w:rPr>
                  </w:pPr>
                  <w:r w:rsidRPr="0013396E">
                    <w:rPr>
                      <w:iCs/>
                      <w:sz w:val="20"/>
                    </w:rPr>
                    <w:t>HSL</w:t>
                  </w:r>
                </w:p>
              </w:tc>
              <w:tc>
                <w:tcPr>
                  <w:tcW w:w="3600" w:type="dxa"/>
                  <w:tcBorders>
                    <w:top w:val="single" w:sz="4" w:space="0" w:color="auto"/>
                    <w:left w:val="single" w:sz="4" w:space="0" w:color="auto"/>
                    <w:bottom w:val="single" w:sz="4" w:space="0" w:color="auto"/>
                    <w:right w:val="single" w:sz="4" w:space="0" w:color="auto"/>
                  </w:tcBorders>
                </w:tcPr>
                <w:p w14:paraId="249CE730" w14:textId="77777777" w:rsidR="00890D72" w:rsidRPr="0013396E" w:rsidRDefault="00890D72" w:rsidP="00890D72">
                  <w:pPr>
                    <w:spacing w:after="120"/>
                    <w:rPr>
                      <w:iCs/>
                      <w:sz w:val="20"/>
                    </w:rPr>
                  </w:pPr>
                  <w:r w:rsidRPr="0013396E">
                    <w:rPr>
                      <w:iCs/>
                      <w:sz w:val="20"/>
                    </w:rPr>
                    <w:t>$4,500</w:t>
                  </w:r>
                  <w:r w:rsidRPr="0013396E">
                    <w:rPr>
                      <w:sz w:val="20"/>
                    </w:rPr>
                    <w:t xml:space="preserve"> or the effective Value of Lost Load (VOLL), whichever is less</w:t>
                  </w:r>
                </w:p>
              </w:tc>
            </w:tr>
            <w:tr w:rsidR="00890D72" w:rsidRPr="0013396E" w14:paraId="0618FC64"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540F54E7" w14:textId="77777777" w:rsidR="00890D72" w:rsidRPr="0013396E" w:rsidRDefault="00890D72" w:rsidP="00890D72">
                  <w:pPr>
                    <w:spacing w:after="120"/>
                    <w:rPr>
                      <w:iCs/>
                      <w:sz w:val="20"/>
                    </w:rPr>
                  </w:pPr>
                  <w:r w:rsidRPr="0013396E">
                    <w:rPr>
                      <w:iCs/>
                      <w:sz w:val="20"/>
                    </w:rPr>
                    <w:t>Zero</w:t>
                  </w:r>
                </w:p>
              </w:tc>
              <w:tc>
                <w:tcPr>
                  <w:tcW w:w="3600" w:type="dxa"/>
                  <w:tcBorders>
                    <w:top w:val="single" w:sz="4" w:space="0" w:color="auto"/>
                    <w:left w:val="single" w:sz="4" w:space="0" w:color="auto"/>
                    <w:bottom w:val="single" w:sz="4" w:space="0" w:color="auto"/>
                    <w:right w:val="single" w:sz="4" w:space="0" w:color="auto"/>
                  </w:tcBorders>
                </w:tcPr>
                <w:p w14:paraId="6B3908F1" w14:textId="77777777" w:rsidR="00890D72" w:rsidRPr="0013396E" w:rsidRDefault="00890D72" w:rsidP="00890D72">
                  <w:pPr>
                    <w:spacing w:after="120"/>
                    <w:rPr>
                      <w:iCs/>
                      <w:sz w:val="20"/>
                    </w:rPr>
                  </w:pPr>
                  <w:r w:rsidRPr="0013396E">
                    <w:rPr>
                      <w:iCs/>
                      <w:sz w:val="20"/>
                    </w:rPr>
                    <w:t>$4,500</w:t>
                  </w:r>
                  <w:r w:rsidRPr="0013396E">
                    <w:rPr>
                      <w:sz w:val="20"/>
                    </w:rPr>
                    <w:t xml:space="preserve"> or the effective VOLL, whichever is less</w:t>
                  </w:r>
                </w:p>
              </w:tc>
            </w:tr>
          </w:tbl>
          <w:p w14:paraId="07973F1B" w14:textId="77777777" w:rsidR="00890D72" w:rsidRPr="0013396E" w:rsidRDefault="00890D72" w:rsidP="00890D72">
            <w:pPr>
              <w:spacing w:before="240" w:after="240"/>
              <w:ind w:left="2160" w:hanging="720"/>
            </w:pPr>
            <w:r w:rsidRPr="0013396E">
              <w:t>(vi)</w:t>
            </w:r>
            <w:r w:rsidRPr="0013396E">
              <w:tab/>
              <w:t>For each RUC-committed SWGR that is not part of a Combined Cycle Train already operating in ERCOT, that has submitted an Energy Offer Curve, and that has a COP Resource Status of EMRSWGR for the instructed Operating Hour at the time of the RUC instruction,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890D72" w:rsidRPr="0013396E" w14:paraId="26C21F8C" w14:textId="77777777" w:rsidTr="005B61C1">
              <w:trPr>
                <w:trHeight w:val="350"/>
              </w:trPr>
              <w:tc>
                <w:tcPr>
                  <w:tcW w:w="3531" w:type="dxa"/>
                </w:tcPr>
                <w:p w14:paraId="505C99D1" w14:textId="77777777" w:rsidR="00890D72" w:rsidRPr="0013396E" w:rsidRDefault="00890D72" w:rsidP="00890D72">
                  <w:pPr>
                    <w:spacing w:after="120"/>
                    <w:rPr>
                      <w:b/>
                      <w:iCs/>
                      <w:sz w:val="20"/>
                    </w:rPr>
                  </w:pPr>
                  <w:r w:rsidRPr="0013396E">
                    <w:rPr>
                      <w:b/>
                      <w:iCs/>
                      <w:sz w:val="20"/>
                    </w:rPr>
                    <w:t>MW</w:t>
                  </w:r>
                </w:p>
              </w:tc>
              <w:tc>
                <w:tcPr>
                  <w:tcW w:w="2804" w:type="dxa"/>
                </w:tcPr>
                <w:p w14:paraId="0B85CACF" w14:textId="77777777" w:rsidR="00890D72" w:rsidRPr="0013396E" w:rsidRDefault="00890D72" w:rsidP="00890D72">
                  <w:pPr>
                    <w:spacing w:after="120"/>
                    <w:rPr>
                      <w:b/>
                      <w:iCs/>
                      <w:sz w:val="20"/>
                    </w:rPr>
                  </w:pPr>
                  <w:r w:rsidRPr="0013396E">
                    <w:rPr>
                      <w:b/>
                      <w:iCs/>
                      <w:sz w:val="20"/>
                    </w:rPr>
                    <w:t>Price (per MWh)</w:t>
                  </w:r>
                </w:p>
              </w:tc>
            </w:tr>
            <w:tr w:rsidR="00890D72" w:rsidRPr="0013396E" w14:paraId="2BC64629" w14:textId="77777777" w:rsidTr="005B61C1">
              <w:trPr>
                <w:trHeight w:val="345"/>
              </w:trPr>
              <w:tc>
                <w:tcPr>
                  <w:tcW w:w="3531" w:type="dxa"/>
                </w:tcPr>
                <w:p w14:paraId="0041081E" w14:textId="77777777" w:rsidR="00890D72" w:rsidRPr="0013396E" w:rsidRDefault="00890D72" w:rsidP="00890D72">
                  <w:pPr>
                    <w:spacing w:after="60"/>
                    <w:rPr>
                      <w:iCs/>
                      <w:sz w:val="20"/>
                    </w:rPr>
                  </w:pPr>
                  <w:r w:rsidRPr="0013396E">
                    <w:rPr>
                      <w:iCs/>
                      <w:sz w:val="20"/>
                    </w:rPr>
                    <w:t>HSL (if more than highest MW in Energy Offer Curve)</w:t>
                  </w:r>
                </w:p>
              </w:tc>
              <w:tc>
                <w:tcPr>
                  <w:tcW w:w="2804" w:type="dxa"/>
                </w:tcPr>
                <w:p w14:paraId="59E11A99" w14:textId="77777777" w:rsidR="00890D72" w:rsidRPr="0013396E" w:rsidRDefault="00890D72" w:rsidP="00890D72">
                  <w:pPr>
                    <w:spacing w:after="60"/>
                    <w:rPr>
                      <w:iCs/>
                      <w:sz w:val="20"/>
                    </w:rPr>
                  </w:pPr>
                  <w:r w:rsidRPr="0013396E">
                    <w:rPr>
                      <w:iCs/>
                      <w:sz w:val="20"/>
                    </w:rPr>
                    <w:t>Greater of: $4,500</w:t>
                  </w:r>
                  <w:r w:rsidRPr="0013396E">
                    <w:rPr>
                      <w:sz w:val="20"/>
                    </w:rPr>
                    <w:t xml:space="preserve"> or the effective VOLL, whichever is less; and</w:t>
                  </w:r>
                  <w:r w:rsidRPr="0013396E">
                    <w:rPr>
                      <w:iCs/>
                      <w:sz w:val="20"/>
                    </w:rPr>
                    <w:t xml:space="preserve"> the price associated with the highest MW in QSE-submitted Energy Offer Curve</w:t>
                  </w:r>
                </w:p>
              </w:tc>
            </w:tr>
            <w:tr w:rsidR="00890D72" w:rsidRPr="0013396E" w14:paraId="57696843" w14:textId="77777777" w:rsidTr="005B61C1">
              <w:trPr>
                <w:trHeight w:val="615"/>
              </w:trPr>
              <w:tc>
                <w:tcPr>
                  <w:tcW w:w="3531" w:type="dxa"/>
                </w:tcPr>
                <w:p w14:paraId="707E6E4E" w14:textId="77777777" w:rsidR="00890D72" w:rsidRPr="0013396E" w:rsidRDefault="00890D72" w:rsidP="00890D72">
                  <w:pPr>
                    <w:spacing w:after="60"/>
                    <w:rPr>
                      <w:iCs/>
                      <w:sz w:val="20"/>
                    </w:rPr>
                  </w:pPr>
                  <w:r w:rsidRPr="0013396E">
                    <w:rPr>
                      <w:iCs/>
                      <w:sz w:val="20"/>
                    </w:rPr>
                    <w:t>Energy Offer Curve</w:t>
                  </w:r>
                </w:p>
              </w:tc>
              <w:tc>
                <w:tcPr>
                  <w:tcW w:w="2804" w:type="dxa"/>
                </w:tcPr>
                <w:p w14:paraId="3D5A9741" w14:textId="77777777" w:rsidR="00890D72" w:rsidRPr="0013396E" w:rsidRDefault="00890D72" w:rsidP="00890D72">
                  <w:pPr>
                    <w:spacing w:after="60"/>
                    <w:rPr>
                      <w:iCs/>
                      <w:sz w:val="20"/>
                    </w:rPr>
                  </w:pPr>
                  <w:r w:rsidRPr="0013396E">
                    <w:rPr>
                      <w:iCs/>
                      <w:sz w:val="20"/>
                    </w:rPr>
                    <w:t>Greater of: $4,500</w:t>
                  </w:r>
                  <w:r w:rsidRPr="0013396E">
                    <w:rPr>
                      <w:sz w:val="20"/>
                    </w:rPr>
                    <w:t xml:space="preserve"> or the effective VOLL, whichever is less; and</w:t>
                  </w:r>
                  <w:r w:rsidRPr="0013396E">
                    <w:rPr>
                      <w:iCs/>
                      <w:sz w:val="20"/>
                    </w:rPr>
                    <w:t xml:space="preserve"> the QSE-submitted Energy Offer Curve</w:t>
                  </w:r>
                </w:p>
              </w:tc>
            </w:tr>
            <w:tr w:rsidR="00890D72" w:rsidRPr="0013396E" w14:paraId="71B87C4A" w14:textId="77777777" w:rsidTr="005B61C1">
              <w:trPr>
                <w:trHeight w:val="916"/>
              </w:trPr>
              <w:tc>
                <w:tcPr>
                  <w:tcW w:w="3531" w:type="dxa"/>
                </w:tcPr>
                <w:p w14:paraId="01D1AF68" w14:textId="77777777" w:rsidR="00890D72" w:rsidRPr="0013396E" w:rsidRDefault="00890D72" w:rsidP="00890D72">
                  <w:pPr>
                    <w:spacing w:after="60"/>
                    <w:rPr>
                      <w:iCs/>
                      <w:sz w:val="20"/>
                    </w:rPr>
                  </w:pPr>
                  <w:r w:rsidRPr="0013396E">
                    <w:rPr>
                      <w:iCs/>
                      <w:sz w:val="20"/>
                    </w:rPr>
                    <w:t>Zero</w:t>
                  </w:r>
                </w:p>
              </w:tc>
              <w:tc>
                <w:tcPr>
                  <w:tcW w:w="2804" w:type="dxa"/>
                </w:tcPr>
                <w:p w14:paraId="6442CCD2" w14:textId="77777777" w:rsidR="00890D72" w:rsidRPr="0013396E" w:rsidRDefault="00890D72" w:rsidP="00890D72">
                  <w:pPr>
                    <w:spacing w:after="60"/>
                    <w:rPr>
                      <w:iCs/>
                      <w:sz w:val="20"/>
                    </w:rPr>
                  </w:pPr>
                  <w:r w:rsidRPr="0013396E">
                    <w:rPr>
                      <w:iCs/>
                      <w:sz w:val="20"/>
                    </w:rPr>
                    <w:t>Greater of: $4,500</w:t>
                  </w:r>
                  <w:r w:rsidRPr="0013396E">
                    <w:rPr>
                      <w:sz w:val="20"/>
                    </w:rPr>
                    <w:t xml:space="preserve"> or the effective VOLL, whichever is less;</w:t>
                  </w:r>
                  <w:r w:rsidRPr="0013396E">
                    <w:rPr>
                      <w:iCs/>
                      <w:sz w:val="20"/>
                    </w:rPr>
                    <w:t xml:space="preserve"> and the first price point of the QSE-submitted Energy Offer Curve</w:t>
                  </w:r>
                </w:p>
              </w:tc>
            </w:tr>
          </w:tbl>
          <w:p w14:paraId="4D851838" w14:textId="77777777" w:rsidR="00890D72" w:rsidRPr="0013396E" w:rsidRDefault="00890D72" w:rsidP="00890D72">
            <w:pPr>
              <w:spacing w:before="240" w:after="240"/>
              <w:ind w:left="2160" w:hanging="720"/>
            </w:pPr>
            <w:r w:rsidRPr="0013396E">
              <w:lastRenderedPageBreak/>
              <w:t>(vii)</w:t>
            </w:r>
            <w:r w:rsidRPr="0013396E">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890D72" w:rsidRPr="0013396E" w14:paraId="4EA58169"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05FF0792" w14:textId="77777777" w:rsidR="00890D72" w:rsidRPr="0013396E" w:rsidRDefault="00890D72" w:rsidP="00890D72">
                  <w:pPr>
                    <w:spacing w:after="120"/>
                    <w:rPr>
                      <w:b/>
                      <w:iCs/>
                      <w:sz w:val="20"/>
                    </w:rPr>
                  </w:pPr>
                  <w:r w:rsidRPr="0013396E">
                    <w:rPr>
                      <w:b/>
                      <w:iCs/>
                      <w:sz w:val="20"/>
                    </w:rPr>
                    <w:t>MW</w:t>
                  </w:r>
                </w:p>
              </w:tc>
              <w:tc>
                <w:tcPr>
                  <w:tcW w:w="3600" w:type="dxa"/>
                  <w:tcBorders>
                    <w:top w:val="single" w:sz="4" w:space="0" w:color="auto"/>
                    <w:left w:val="single" w:sz="4" w:space="0" w:color="auto"/>
                    <w:bottom w:val="single" w:sz="4" w:space="0" w:color="auto"/>
                    <w:right w:val="single" w:sz="4" w:space="0" w:color="auto"/>
                  </w:tcBorders>
                </w:tcPr>
                <w:p w14:paraId="23D21CBF" w14:textId="77777777" w:rsidR="00890D72" w:rsidRPr="0013396E" w:rsidRDefault="00890D72" w:rsidP="00890D72">
                  <w:pPr>
                    <w:spacing w:after="120"/>
                    <w:rPr>
                      <w:b/>
                      <w:iCs/>
                      <w:sz w:val="20"/>
                    </w:rPr>
                  </w:pPr>
                  <w:r w:rsidRPr="0013396E">
                    <w:rPr>
                      <w:b/>
                      <w:iCs/>
                      <w:sz w:val="20"/>
                    </w:rPr>
                    <w:t>Price (per MWh)</w:t>
                  </w:r>
                </w:p>
              </w:tc>
            </w:tr>
            <w:tr w:rsidR="00890D72" w:rsidRPr="0013396E" w14:paraId="06CF04D0"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3E62718F" w14:textId="77777777" w:rsidR="00890D72" w:rsidRPr="0013396E" w:rsidRDefault="00890D72" w:rsidP="00890D72">
                  <w:pPr>
                    <w:spacing w:after="120"/>
                    <w:rPr>
                      <w:iCs/>
                      <w:sz w:val="20"/>
                    </w:rPr>
                  </w:pPr>
                  <w:r w:rsidRPr="0013396E">
                    <w:rPr>
                      <w:iCs/>
                      <w:sz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61AB61AD" w14:textId="77777777" w:rsidR="00890D72" w:rsidRPr="0013396E" w:rsidRDefault="00890D72" w:rsidP="00890D72">
                  <w:pPr>
                    <w:spacing w:after="120"/>
                    <w:rPr>
                      <w:iCs/>
                      <w:sz w:val="20"/>
                    </w:rPr>
                  </w:pPr>
                  <w:r w:rsidRPr="0013396E">
                    <w:rPr>
                      <w:iCs/>
                      <w:sz w:val="20"/>
                    </w:rPr>
                    <w:t>$4,500</w:t>
                  </w:r>
                  <w:r w:rsidRPr="0013396E">
                    <w:rPr>
                      <w:sz w:val="20"/>
                    </w:rPr>
                    <w:t xml:space="preserve"> or the effective VOLL, whichever is less</w:t>
                  </w:r>
                </w:p>
              </w:tc>
            </w:tr>
            <w:tr w:rsidR="00890D72" w:rsidRPr="0013396E" w14:paraId="2EA28115" w14:textId="77777777" w:rsidTr="005B61C1">
              <w:trPr>
                <w:trHeight w:val="377"/>
              </w:trPr>
              <w:tc>
                <w:tcPr>
                  <w:tcW w:w="2739" w:type="dxa"/>
                  <w:tcBorders>
                    <w:top w:val="single" w:sz="4" w:space="0" w:color="auto"/>
                    <w:left w:val="single" w:sz="4" w:space="0" w:color="auto"/>
                    <w:bottom w:val="single" w:sz="4" w:space="0" w:color="auto"/>
                    <w:right w:val="single" w:sz="4" w:space="0" w:color="auto"/>
                  </w:tcBorders>
                </w:tcPr>
                <w:p w14:paraId="4EF866AB" w14:textId="77777777" w:rsidR="00890D72" w:rsidRPr="0013396E" w:rsidRDefault="00890D72" w:rsidP="00890D72">
                  <w:pPr>
                    <w:spacing w:after="120"/>
                    <w:rPr>
                      <w:iCs/>
                      <w:sz w:val="20"/>
                    </w:rPr>
                  </w:pPr>
                  <w:r w:rsidRPr="0013396E">
                    <w:rPr>
                      <w:iCs/>
                      <w:sz w:val="20"/>
                    </w:rPr>
                    <w:t>Zero</w:t>
                  </w:r>
                </w:p>
              </w:tc>
              <w:tc>
                <w:tcPr>
                  <w:tcW w:w="3600" w:type="dxa"/>
                  <w:tcBorders>
                    <w:top w:val="single" w:sz="4" w:space="0" w:color="auto"/>
                    <w:left w:val="single" w:sz="4" w:space="0" w:color="auto"/>
                    <w:bottom w:val="single" w:sz="4" w:space="0" w:color="auto"/>
                    <w:right w:val="single" w:sz="4" w:space="0" w:color="auto"/>
                  </w:tcBorders>
                </w:tcPr>
                <w:p w14:paraId="2A87966C" w14:textId="77777777" w:rsidR="00890D72" w:rsidRPr="0013396E" w:rsidRDefault="00890D72" w:rsidP="00890D72">
                  <w:pPr>
                    <w:spacing w:after="120"/>
                    <w:rPr>
                      <w:iCs/>
                      <w:sz w:val="20"/>
                    </w:rPr>
                  </w:pPr>
                  <w:r w:rsidRPr="0013396E">
                    <w:rPr>
                      <w:iCs/>
                      <w:sz w:val="20"/>
                    </w:rPr>
                    <w:t>$4,500</w:t>
                  </w:r>
                  <w:r w:rsidRPr="0013396E">
                    <w:rPr>
                      <w:sz w:val="20"/>
                    </w:rPr>
                    <w:t xml:space="preserve"> or the effective VOLL, whichever is less</w:t>
                  </w:r>
                </w:p>
              </w:tc>
            </w:tr>
          </w:tbl>
          <w:p w14:paraId="2B3EBFEC" w14:textId="77777777" w:rsidR="00890D72" w:rsidRPr="0013396E" w:rsidRDefault="00890D72" w:rsidP="00890D72">
            <w:pPr>
              <w:spacing w:before="240" w:after="240"/>
              <w:ind w:left="2160" w:hanging="720"/>
            </w:pPr>
            <w:r w:rsidRPr="0013396E">
              <w:t>(viii)</w:t>
            </w:r>
            <w:r w:rsidRPr="0013396E">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890D72" w:rsidRPr="0013396E" w14:paraId="38F9ECB1" w14:textId="77777777" w:rsidTr="005B61C1">
              <w:trPr>
                <w:trHeight w:val="350"/>
              </w:trPr>
              <w:tc>
                <w:tcPr>
                  <w:tcW w:w="3279" w:type="dxa"/>
                </w:tcPr>
                <w:p w14:paraId="21558A8A" w14:textId="77777777" w:rsidR="00890D72" w:rsidRPr="0013396E" w:rsidRDefault="00890D72" w:rsidP="00890D72">
                  <w:pPr>
                    <w:spacing w:after="120"/>
                    <w:rPr>
                      <w:b/>
                      <w:iCs/>
                      <w:sz w:val="20"/>
                    </w:rPr>
                  </w:pPr>
                  <w:r w:rsidRPr="0013396E">
                    <w:rPr>
                      <w:b/>
                      <w:iCs/>
                      <w:sz w:val="20"/>
                    </w:rPr>
                    <w:t>MW</w:t>
                  </w:r>
                </w:p>
              </w:tc>
              <w:tc>
                <w:tcPr>
                  <w:tcW w:w="3060" w:type="dxa"/>
                </w:tcPr>
                <w:p w14:paraId="69B0A6BF" w14:textId="77777777" w:rsidR="00890D72" w:rsidRPr="0013396E" w:rsidRDefault="00890D72" w:rsidP="00890D72">
                  <w:pPr>
                    <w:spacing w:after="120"/>
                    <w:rPr>
                      <w:b/>
                      <w:iCs/>
                      <w:sz w:val="20"/>
                    </w:rPr>
                  </w:pPr>
                  <w:r w:rsidRPr="0013396E">
                    <w:rPr>
                      <w:b/>
                      <w:iCs/>
                      <w:sz w:val="20"/>
                    </w:rPr>
                    <w:t>Price (per MWh)</w:t>
                  </w:r>
                </w:p>
              </w:tc>
            </w:tr>
            <w:tr w:rsidR="00890D72" w:rsidRPr="0013396E" w14:paraId="748E151D" w14:textId="77777777" w:rsidTr="005B61C1">
              <w:trPr>
                <w:trHeight w:val="345"/>
              </w:trPr>
              <w:tc>
                <w:tcPr>
                  <w:tcW w:w="3279" w:type="dxa"/>
                </w:tcPr>
                <w:p w14:paraId="66FA0D14" w14:textId="77777777" w:rsidR="00890D72" w:rsidRPr="0013396E" w:rsidRDefault="00890D72" w:rsidP="00890D72">
                  <w:pPr>
                    <w:spacing w:after="60"/>
                    <w:rPr>
                      <w:iCs/>
                      <w:sz w:val="20"/>
                    </w:rPr>
                  </w:pPr>
                  <w:r w:rsidRPr="0013396E">
                    <w:rPr>
                      <w:iCs/>
                      <w:sz w:val="20"/>
                    </w:rPr>
                    <w:t>HSL of RUC-committed configuration (if more than highest MW in Energy Offer Curve)</w:t>
                  </w:r>
                </w:p>
              </w:tc>
              <w:tc>
                <w:tcPr>
                  <w:tcW w:w="3060" w:type="dxa"/>
                </w:tcPr>
                <w:p w14:paraId="21D49CBF" w14:textId="77777777" w:rsidR="00890D72" w:rsidRPr="0013396E" w:rsidRDefault="00890D72" w:rsidP="00890D72">
                  <w:pPr>
                    <w:spacing w:after="60"/>
                    <w:rPr>
                      <w:iCs/>
                      <w:sz w:val="20"/>
                    </w:rPr>
                  </w:pPr>
                  <w:r w:rsidRPr="0013396E">
                    <w:rPr>
                      <w:iCs/>
                      <w:sz w:val="20"/>
                    </w:rPr>
                    <w:t>Greater of: $4,500</w:t>
                  </w:r>
                  <w:r w:rsidRPr="0013396E">
                    <w:rPr>
                      <w:sz w:val="20"/>
                    </w:rPr>
                    <w:t xml:space="preserve"> or the effective VOLL, whichever is less; and</w:t>
                  </w:r>
                  <w:r w:rsidRPr="0013396E">
                    <w:rPr>
                      <w:iCs/>
                      <w:sz w:val="20"/>
                    </w:rPr>
                    <w:t xml:space="preserve"> the price associated with the highest MW in QSE-submitted Energy Offer Curve</w:t>
                  </w:r>
                </w:p>
              </w:tc>
            </w:tr>
            <w:tr w:rsidR="00890D72" w:rsidRPr="0013396E" w14:paraId="4BC2CA02" w14:textId="77777777" w:rsidTr="005B61C1">
              <w:trPr>
                <w:trHeight w:val="615"/>
              </w:trPr>
              <w:tc>
                <w:tcPr>
                  <w:tcW w:w="3279" w:type="dxa"/>
                </w:tcPr>
                <w:p w14:paraId="09CCEF8D" w14:textId="77777777" w:rsidR="00890D72" w:rsidRPr="0013396E" w:rsidRDefault="00890D72" w:rsidP="00890D72">
                  <w:pPr>
                    <w:spacing w:after="60"/>
                    <w:rPr>
                      <w:iCs/>
                      <w:sz w:val="20"/>
                    </w:rPr>
                  </w:pPr>
                  <w:r w:rsidRPr="0013396E">
                    <w:rPr>
                      <w:iCs/>
                      <w:sz w:val="20"/>
                    </w:rPr>
                    <w:t>Energy Offer Curve for MW at and above HSL of QSE-committed configuration</w:t>
                  </w:r>
                </w:p>
              </w:tc>
              <w:tc>
                <w:tcPr>
                  <w:tcW w:w="3060" w:type="dxa"/>
                </w:tcPr>
                <w:p w14:paraId="160EAB00" w14:textId="77777777" w:rsidR="00890D72" w:rsidRPr="0013396E" w:rsidRDefault="00890D72" w:rsidP="00890D72">
                  <w:pPr>
                    <w:spacing w:after="60"/>
                    <w:rPr>
                      <w:iCs/>
                      <w:sz w:val="20"/>
                    </w:rPr>
                  </w:pPr>
                  <w:r w:rsidRPr="0013396E">
                    <w:rPr>
                      <w:iCs/>
                      <w:sz w:val="20"/>
                    </w:rPr>
                    <w:t>Greater of: $4,500</w:t>
                  </w:r>
                  <w:r w:rsidRPr="0013396E">
                    <w:rPr>
                      <w:sz w:val="20"/>
                    </w:rPr>
                    <w:t xml:space="preserve"> or the effective VOLL, whichever is less;</w:t>
                  </w:r>
                  <w:r w:rsidRPr="0013396E">
                    <w:rPr>
                      <w:iCs/>
                      <w:sz w:val="20"/>
                    </w:rPr>
                    <w:t xml:space="preserve"> and the QSE-submitted Energy Offer Curve</w:t>
                  </w:r>
                </w:p>
              </w:tc>
            </w:tr>
            <w:tr w:rsidR="00890D72" w:rsidRPr="0013396E" w14:paraId="43494112" w14:textId="77777777" w:rsidTr="005B61C1">
              <w:trPr>
                <w:trHeight w:val="615"/>
              </w:trPr>
              <w:tc>
                <w:tcPr>
                  <w:tcW w:w="3279" w:type="dxa"/>
                </w:tcPr>
                <w:p w14:paraId="0ACC929C" w14:textId="77777777" w:rsidR="00890D72" w:rsidRPr="0013396E" w:rsidRDefault="00890D72" w:rsidP="00890D72">
                  <w:pPr>
                    <w:spacing w:after="60"/>
                    <w:rPr>
                      <w:iCs/>
                      <w:sz w:val="20"/>
                    </w:rPr>
                  </w:pPr>
                  <w:r w:rsidRPr="0013396E">
                    <w:rPr>
                      <w:iCs/>
                      <w:sz w:val="20"/>
                    </w:rPr>
                    <w:t>HSL of QSE-committed configuration (if more than highest MW in Energy Offer Curve and price associated with highest MW in Energy Offer Curve is less than $4,500)</w:t>
                  </w:r>
                </w:p>
              </w:tc>
              <w:tc>
                <w:tcPr>
                  <w:tcW w:w="3060" w:type="dxa"/>
                </w:tcPr>
                <w:p w14:paraId="65212304" w14:textId="77777777" w:rsidR="00890D72" w:rsidRPr="0013396E" w:rsidRDefault="00890D72" w:rsidP="00890D72">
                  <w:pPr>
                    <w:spacing w:after="60"/>
                    <w:rPr>
                      <w:iCs/>
                      <w:sz w:val="20"/>
                    </w:rPr>
                  </w:pPr>
                  <w:r w:rsidRPr="0013396E">
                    <w:rPr>
                      <w:iCs/>
                      <w:sz w:val="20"/>
                    </w:rPr>
                    <w:t>$4,500</w:t>
                  </w:r>
                  <w:r w:rsidRPr="0013396E">
                    <w:rPr>
                      <w:sz w:val="20"/>
                    </w:rPr>
                    <w:t xml:space="preserve"> or the effective VOLL, whichever is less</w:t>
                  </w:r>
                </w:p>
              </w:tc>
            </w:tr>
            <w:tr w:rsidR="00890D72" w:rsidRPr="0013396E" w14:paraId="1A15E4C9" w14:textId="77777777" w:rsidTr="005B61C1">
              <w:trPr>
                <w:trHeight w:val="368"/>
              </w:trPr>
              <w:tc>
                <w:tcPr>
                  <w:tcW w:w="3279" w:type="dxa"/>
                </w:tcPr>
                <w:p w14:paraId="6C52299A" w14:textId="77777777" w:rsidR="00890D72" w:rsidRPr="0013396E" w:rsidRDefault="00890D72" w:rsidP="00890D72">
                  <w:pPr>
                    <w:spacing w:after="60"/>
                    <w:rPr>
                      <w:iCs/>
                      <w:sz w:val="20"/>
                    </w:rPr>
                  </w:pPr>
                  <w:r w:rsidRPr="0013396E">
                    <w:rPr>
                      <w:iCs/>
                      <w:sz w:val="20"/>
                    </w:rPr>
                    <w:t>HSL of QSE-committed configuration (if more than highest MW in Energy Offer Curve)</w:t>
                  </w:r>
                </w:p>
              </w:tc>
              <w:tc>
                <w:tcPr>
                  <w:tcW w:w="3060" w:type="dxa"/>
                </w:tcPr>
                <w:p w14:paraId="2712DF86" w14:textId="77777777" w:rsidR="00890D72" w:rsidRPr="0013396E" w:rsidRDefault="00890D72" w:rsidP="00890D72">
                  <w:pPr>
                    <w:spacing w:after="60"/>
                    <w:rPr>
                      <w:iCs/>
                      <w:sz w:val="20"/>
                    </w:rPr>
                  </w:pPr>
                  <w:r w:rsidRPr="0013396E">
                    <w:rPr>
                      <w:iCs/>
                      <w:sz w:val="20"/>
                    </w:rPr>
                    <w:t>Price associated with the highest MW in QSE-submitted Energy Offer Curve</w:t>
                  </w:r>
                </w:p>
              </w:tc>
            </w:tr>
            <w:tr w:rsidR="00890D72" w:rsidRPr="0013396E" w14:paraId="193C98BB" w14:textId="77777777" w:rsidTr="005B61C1">
              <w:trPr>
                <w:trHeight w:val="773"/>
              </w:trPr>
              <w:tc>
                <w:tcPr>
                  <w:tcW w:w="3279" w:type="dxa"/>
                </w:tcPr>
                <w:p w14:paraId="54F6A2F9" w14:textId="77777777" w:rsidR="00890D72" w:rsidRPr="0013396E" w:rsidRDefault="00890D72" w:rsidP="00890D72">
                  <w:pPr>
                    <w:spacing w:after="60"/>
                    <w:rPr>
                      <w:iCs/>
                      <w:sz w:val="20"/>
                    </w:rPr>
                  </w:pPr>
                  <w:r w:rsidRPr="0013396E">
                    <w:rPr>
                      <w:iCs/>
                      <w:sz w:val="20"/>
                    </w:rPr>
                    <w:t>Energy Offer Curve for MW at and below HSL of QSE-committed configuration</w:t>
                  </w:r>
                </w:p>
              </w:tc>
              <w:tc>
                <w:tcPr>
                  <w:tcW w:w="3060" w:type="dxa"/>
                </w:tcPr>
                <w:p w14:paraId="14D70DE4" w14:textId="77777777" w:rsidR="00890D72" w:rsidRPr="0013396E" w:rsidRDefault="00890D72" w:rsidP="00890D72">
                  <w:pPr>
                    <w:spacing w:after="60"/>
                    <w:rPr>
                      <w:iCs/>
                      <w:sz w:val="20"/>
                    </w:rPr>
                  </w:pPr>
                  <w:r w:rsidRPr="0013396E">
                    <w:rPr>
                      <w:iCs/>
                      <w:sz w:val="20"/>
                    </w:rPr>
                    <w:t>The QSE-submitted Energy Offer Curve</w:t>
                  </w:r>
                </w:p>
              </w:tc>
            </w:tr>
            <w:tr w:rsidR="00890D72" w:rsidRPr="0013396E" w14:paraId="468513FA" w14:textId="77777777" w:rsidTr="005B61C1">
              <w:trPr>
                <w:trHeight w:val="503"/>
              </w:trPr>
              <w:tc>
                <w:tcPr>
                  <w:tcW w:w="3279" w:type="dxa"/>
                </w:tcPr>
                <w:p w14:paraId="44BBFA8D" w14:textId="77777777" w:rsidR="00890D72" w:rsidRPr="0013396E" w:rsidRDefault="00890D72" w:rsidP="00890D72">
                  <w:pPr>
                    <w:spacing w:after="60"/>
                    <w:rPr>
                      <w:iCs/>
                      <w:sz w:val="20"/>
                    </w:rPr>
                  </w:pPr>
                  <w:r w:rsidRPr="0013396E">
                    <w:rPr>
                      <w:iCs/>
                      <w:sz w:val="20"/>
                    </w:rPr>
                    <w:lastRenderedPageBreak/>
                    <w:t>1 MW below lowest MW in Energy Offer Curve (if more than LSL)</w:t>
                  </w:r>
                </w:p>
              </w:tc>
              <w:tc>
                <w:tcPr>
                  <w:tcW w:w="3060" w:type="dxa"/>
                </w:tcPr>
                <w:p w14:paraId="7A87CB09" w14:textId="77777777" w:rsidR="00890D72" w:rsidRPr="0013396E" w:rsidRDefault="00890D72" w:rsidP="00890D72">
                  <w:pPr>
                    <w:spacing w:after="60"/>
                    <w:rPr>
                      <w:iCs/>
                      <w:sz w:val="20"/>
                    </w:rPr>
                  </w:pPr>
                  <w:r w:rsidRPr="0013396E">
                    <w:rPr>
                      <w:iCs/>
                      <w:sz w:val="20"/>
                    </w:rPr>
                    <w:t>-$249.99</w:t>
                  </w:r>
                </w:p>
              </w:tc>
            </w:tr>
            <w:tr w:rsidR="00890D72" w:rsidRPr="0013396E" w14:paraId="3203DBD7" w14:textId="77777777" w:rsidTr="005B61C1">
              <w:trPr>
                <w:trHeight w:val="467"/>
              </w:trPr>
              <w:tc>
                <w:tcPr>
                  <w:tcW w:w="3279" w:type="dxa"/>
                </w:tcPr>
                <w:p w14:paraId="7A5C3376" w14:textId="77777777" w:rsidR="00890D72" w:rsidRPr="0013396E" w:rsidRDefault="00890D72" w:rsidP="00890D72">
                  <w:pPr>
                    <w:spacing w:after="60"/>
                    <w:rPr>
                      <w:iCs/>
                      <w:sz w:val="20"/>
                    </w:rPr>
                  </w:pPr>
                  <w:r w:rsidRPr="0013396E">
                    <w:rPr>
                      <w:iCs/>
                      <w:sz w:val="20"/>
                    </w:rPr>
                    <w:t>LSL (if less than lowest MW in Energy Offer Curve)</w:t>
                  </w:r>
                </w:p>
              </w:tc>
              <w:tc>
                <w:tcPr>
                  <w:tcW w:w="3060" w:type="dxa"/>
                </w:tcPr>
                <w:p w14:paraId="3E2F274F" w14:textId="77777777" w:rsidR="00890D72" w:rsidRPr="0013396E" w:rsidRDefault="00890D72" w:rsidP="00890D72">
                  <w:pPr>
                    <w:spacing w:after="60"/>
                    <w:rPr>
                      <w:iCs/>
                      <w:sz w:val="20"/>
                    </w:rPr>
                  </w:pPr>
                  <w:r w:rsidRPr="0013396E">
                    <w:rPr>
                      <w:iCs/>
                      <w:sz w:val="20"/>
                    </w:rPr>
                    <w:t>-$250.00</w:t>
                  </w:r>
                </w:p>
              </w:tc>
            </w:tr>
          </w:tbl>
          <w:p w14:paraId="090C038E" w14:textId="77777777" w:rsidR="00890D72" w:rsidRPr="0013396E" w:rsidRDefault="00890D72" w:rsidP="00890D72">
            <w:pPr>
              <w:spacing w:after="240"/>
              <w:ind w:left="2160" w:hanging="720"/>
            </w:pPr>
          </w:p>
        </w:tc>
      </w:tr>
    </w:tbl>
    <w:p w14:paraId="193716A2" w14:textId="0AA934C7" w:rsidR="00540BAB" w:rsidRPr="0013396E" w:rsidRDefault="00540BAB" w:rsidP="00540BAB">
      <w:pPr>
        <w:spacing w:before="240" w:after="240"/>
        <w:ind w:left="720" w:hanging="720"/>
      </w:pPr>
      <w:r w:rsidRPr="0013396E">
        <w:lastRenderedPageBreak/>
        <w:t>(5)</w:t>
      </w:r>
      <w:r w:rsidRPr="0013396E">
        <w:tab/>
        <w:t>For use as SCED inputs for determining energy dispatch and Ancillary Service awards, ERCOT shall use the available Ancillary Service MW capacity of all Resources by creating a proxy Ancillary Service Offer for qualified Resources as follows:</w:t>
      </w:r>
    </w:p>
    <w:p w14:paraId="716BFFBE" w14:textId="77777777" w:rsidR="00540BAB" w:rsidRPr="0013396E" w:rsidRDefault="00540BAB" w:rsidP="00540BAB">
      <w:pPr>
        <w:spacing w:after="240"/>
        <w:ind w:left="1440" w:hanging="720"/>
      </w:pPr>
      <w:r w:rsidRPr="0013396E">
        <w:t>(a)</w:t>
      </w:r>
      <w:r w:rsidRPr="0013396E">
        <w:tab/>
        <w:t>The proxy Ancillary Service Offer shall be a linked Ancillary Service Offer across all Ancillary Service products for which a Resource is qualified to provide.  For Generation Resources, the proxy Ancillary Service Offer MW shall be equal to the Resource’s telemetered HSL.  For ESRs, the proxy Ancillary Service Offer MW shall be equal to the difference between the Resource’s telemetered HSL and LSL.  For Load Resources, the proxy Ancillary Service Offer MW shall be equal to the Resource’s telemetered Maximum Power Consumption (MPC).</w:t>
      </w:r>
    </w:p>
    <w:p w14:paraId="573F1362" w14:textId="77777777" w:rsidR="00540BAB" w:rsidRPr="0013396E" w:rsidRDefault="00540BAB" w:rsidP="00540BAB">
      <w:pPr>
        <w:spacing w:after="240"/>
        <w:ind w:left="1440" w:hanging="720"/>
      </w:pPr>
      <w:r w:rsidRPr="0013396E">
        <w:t>(b)</w:t>
      </w:r>
      <w:r w:rsidRPr="0013396E">
        <w:tab/>
        <w:t>For Resources that are not RUC-committed, the price in the proxy Ancillary Service Offer shall be set to:</w:t>
      </w:r>
    </w:p>
    <w:p w14:paraId="29D77E14" w14:textId="77777777" w:rsidR="00540BAB" w:rsidRPr="0013396E" w:rsidRDefault="00540BAB" w:rsidP="00540BAB">
      <w:pPr>
        <w:spacing w:after="240"/>
        <w:ind w:left="2160" w:hanging="720"/>
      </w:pPr>
      <w:r w:rsidRPr="0013396E">
        <w:t>(i)</w:t>
      </w:r>
      <w:r w:rsidRPr="0013396E">
        <w:tab/>
        <w:t>For Reg-Up and RRS, the maximum of:</w:t>
      </w:r>
    </w:p>
    <w:p w14:paraId="4B0C992F" w14:textId="77777777" w:rsidR="00540BAB" w:rsidRPr="0013396E" w:rsidRDefault="00540BAB" w:rsidP="00540BAB">
      <w:pPr>
        <w:spacing w:after="240"/>
        <w:ind w:left="2880" w:hanging="720"/>
      </w:pPr>
      <w:r w:rsidRPr="0013396E">
        <w:t>(A)</w:t>
      </w:r>
      <w:r w:rsidRPr="0013396E">
        <w:tab/>
        <w:t>The proxy Ancillary Service Offer price floor for Reg-Up or RRS, respectively;</w:t>
      </w:r>
    </w:p>
    <w:p w14:paraId="3D5D8AB3" w14:textId="77777777" w:rsidR="00540BAB" w:rsidRPr="0013396E" w:rsidRDefault="00540BAB" w:rsidP="00540BAB">
      <w:pPr>
        <w:spacing w:after="240"/>
        <w:ind w:left="2880" w:hanging="720"/>
      </w:pPr>
      <w:r w:rsidRPr="0013396E">
        <w:t>(B)</w:t>
      </w:r>
      <w:r w:rsidRPr="0013396E">
        <w:tab/>
        <w:t>The Resource’s highest submitted Ancillary Service Offer price for Reg-Up or RRS, respectively;</w:t>
      </w:r>
    </w:p>
    <w:p w14:paraId="489EBAB6" w14:textId="77777777" w:rsidR="00540BAB" w:rsidRPr="0013396E" w:rsidRDefault="00540BAB" w:rsidP="00540BAB">
      <w:pPr>
        <w:spacing w:after="240"/>
        <w:ind w:left="2880" w:hanging="720"/>
      </w:pPr>
      <w:r w:rsidRPr="0013396E">
        <w:t>(C)</w:t>
      </w:r>
      <w:r w:rsidRPr="0013396E">
        <w:tab/>
        <w:t>The Resource’s highest Ancillary Service Offer price for ECRS (submitted or proxy); or</w:t>
      </w:r>
    </w:p>
    <w:p w14:paraId="0C6DAF1D" w14:textId="77777777" w:rsidR="00540BAB" w:rsidRPr="0013396E" w:rsidRDefault="00540BAB" w:rsidP="00540BAB">
      <w:pPr>
        <w:spacing w:after="240"/>
        <w:ind w:left="2880" w:hanging="720"/>
      </w:pPr>
      <w:r w:rsidRPr="0013396E">
        <w:t>(D)</w:t>
      </w:r>
      <w:r w:rsidRPr="0013396E">
        <w:tab/>
        <w:t>The Resource’s highest Ancillary Service Offer price for Non-Spin (submitted or proxy).</w:t>
      </w:r>
    </w:p>
    <w:p w14:paraId="66E39A97" w14:textId="77777777" w:rsidR="00540BAB" w:rsidRPr="0013396E" w:rsidRDefault="00540BAB" w:rsidP="00540BAB">
      <w:pPr>
        <w:spacing w:after="240"/>
        <w:ind w:left="2160" w:hanging="720"/>
      </w:pPr>
      <w:r w:rsidRPr="0013396E">
        <w:t>(ii)</w:t>
      </w:r>
      <w:r w:rsidRPr="0013396E">
        <w:tab/>
        <w:t xml:space="preserve">For ECRS, the maximum of: </w:t>
      </w:r>
    </w:p>
    <w:p w14:paraId="44AE6F64" w14:textId="77777777" w:rsidR="00540BAB" w:rsidRPr="0013396E" w:rsidRDefault="00540BAB" w:rsidP="00540BAB">
      <w:pPr>
        <w:spacing w:after="240"/>
        <w:ind w:left="2880" w:hanging="720"/>
      </w:pPr>
      <w:r w:rsidRPr="0013396E">
        <w:t>(A)</w:t>
      </w:r>
      <w:r w:rsidRPr="0013396E">
        <w:tab/>
        <w:t xml:space="preserve">The proxy Ancillary Service Offer price floor for ECRS; </w:t>
      </w:r>
    </w:p>
    <w:p w14:paraId="72F435AD" w14:textId="77777777" w:rsidR="00540BAB" w:rsidRPr="0013396E" w:rsidRDefault="00540BAB" w:rsidP="00540BAB">
      <w:pPr>
        <w:spacing w:after="240"/>
        <w:ind w:left="2880" w:hanging="720"/>
      </w:pPr>
      <w:r w:rsidRPr="0013396E">
        <w:t>(B)</w:t>
      </w:r>
      <w:r w:rsidRPr="0013396E">
        <w:tab/>
        <w:t>The Resource’s highest submitted Ancillary Service Offer price for ECRS; or</w:t>
      </w:r>
    </w:p>
    <w:p w14:paraId="1DBC32B3" w14:textId="77777777" w:rsidR="00540BAB" w:rsidRPr="0013396E" w:rsidRDefault="00540BAB" w:rsidP="00540BAB">
      <w:pPr>
        <w:spacing w:after="240"/>
        <w:ind w:left="2880" w:hanging="720"/>
      </w:pPr>
      <w:r w:rsidRPr="0013396E">
        <w:t>(C)</w:t>
      </w:r>
      <w:r w:rsidRPr="0013396E">
        <w:tab/>
        <w:t>The Resource’s highest Ancillary Service Offer price for Non-Spin (submitted or proxy).</w:t>
      </w:r>
    </w:p>
    <w:p w14:paraId="57F1B273" w14:textId="77777777" w:rsidR="00540BAB" w:rsidRPr="0013396E" w:rsidRDefault="00540BAB" w:rsidP="00540BAB">
      <w:pPr>
        <w:spacing w:after="240"/>
        <w:ind w:left="2160" w:hanging="720"/>
      </w:pPr>
      <w:r w:rsidRPr="0013396E">
        <w:t>(iii)</w:t>
      </w:r>
      <w:r w:rsidRPr="0013396E">
        <w:tab/>
        <w:t xml:space="preserve">For Non-Spin, the maximum of: </w:t>
      </w:r>
    </w:p>
    <w:p w14:paraId="6E57D32C" w14:textId="77777777" w:rsidR="00540BAB" w:rsidRPr="0013396E" w:rsidRDefault="00540BAB" w:rsidP="00540BAB">
      <w:pPr>
        <w:spacing w:after="240"/>
        <w:ind w:left="2880" w:hanging="720"/>
      </w:pPr>
      <w:r w:rsidRPr="0013396E">
        <w:t>(A)</w:t>
      </w:r>
      <w:r w:rsidRPr="0013396E">
        <w:tab/>
        <w:t>The proxy Ancillary Service Offer price floor for Non-Spin; or</w:t>
      </w:r>
    </w:p>
    <w:p w14:paraId="3A4D2051" w14:textId="77777777" w:rsidR="00540BAB" w:rsidRPr="0013396E" w:rsidRDefault="00540BAB" w:rsidP="00540BAB">
      <w:pPr>
        <w:spacing w:after="240"/>
        <w:ind w:left="2880" w:hanging="720"/>
      </w:pPr>
      <w:r w:rsidRPr="0013396E">
        <w:lastRenderedPageBreak/>
        <w:t>(B)</w:t>
      </w:r>
      <w:r w:rsidRPr="0013396E">
        <w:tab/>
        <w:t>The Resource’s highest submitted Ancillary Service Offer price for Non-Spin.</w:t>
      </w:r>
    </w:p>
    <w:p w14:paraId="3BDD9B78" w14:textId="77777777" w:rsidR="00540BAB" w:rsidRPr="0013396E" w:rsidRDefault="00540BAB" w:rsidP="00540BAB">
      <w:pPr>
        <w:spacing w:after="240"/>
        <w:ind w:left="2160" w:hanging="720"/>
      </w:pPr>
      <w:r w:rsidRPr="0013396E">
        <w:t>(iv)</w:t>
      </w:r>
      <w:r w:rsidRPr="0013396E">
        <w:tab/>
        <w:t>For Reg-Down, the maximum of:</w:t>
      </w:r>
    </w:p>
    <w:p w14:paraId="3FA20E7B" w14:textId="77777777" w:rsidR="00540BAB" w:rsidRPr="0013396E" w:rsidRDefault="00540BAB" w:rsidP="00540BAB">
      <w:pPr>
        <w:spacing w:after="240"/>
        <w:ind w:left="2880" w:hanging="720"/>
      </w:pPr>
      <w:r w:rsidRPr="0013396E">
        <w:t>(A)</w:t>
      </w:r>
      <w:r w:rsidRPr="0013396E">
        <w:tab/>
        <w:t>The proxy Ancillary Service Offer price floor for Reg-Down; or</w:t>
      </w:r>
    </w:p>
    <w:p w14:paraId="47124DE3" w14:textId="77777777" w:rsidR="00540BAB" w:rsidRPr="0013396E" w:rsidRDefault="00540BAB" w:rsidP="00540BAB">
      <w:pPr>
        <w:spacing w:after="240"/>
        <w:ind w:left="2880" w:hanging="720"/>
      </w:pPr>
      <w:r w:rsidRPr="0013396E">
        <w:t>(B)</w:t>
      </w:r>
      <w:r w:rsidRPr="0013396E">
        <w:tab/>
        <w:t>The Resource’s highest submitted Ancillary Service Offer price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47103" w:rsidRPr="0013396E" w14:paraId="1AF85B78" w14:textId="77777777" w:rsidTr="00A86863">
        <w:trPr>
          <w:trHeight w:val="206"/>
        </w:trPr>
        <w:tc>
          <w:tcPr>
            <w:tcW w:w="9350" w:type="dxa"/>
            <w:shd w:val="pct12" w:color="auto" w:fill="auto"/>
          </w:tcPr>
          <w:p w14:paraId="6B35F36D" w14:textId="44FE6817" w:rsidR="00847103" w:rsidRPr="0013396E" w:rsidRDefault="00847103" w:rsidP="00A86863">
            <w:pPr>
              <w:pStyle w:val="Instructions"/>
              <w:spacing w:before="120"/>
            </w:pPr>
            <w:r w:rsidRPr="0013396E">
              <w:t>[NPRR1</w:t>
            </w:r>
            <w:r>
              <w:t>309</w:t>
            </w:r>
            <w:r w:rsidRPr="0013396E">
              <w:t xml:space="preserve">:  </w:t>
            </w:r>
            <w:r>
              <w:t>Insert</w:t>
            </w:r>
            <w:r w:rsidRPr="0013396E">
              <w:t xml:space="preserve"> paragraph (</w:t>
            </w:r>
            <w:r>
              <w:t>v</w:t>
            </w:r>
            <w:r w:rsidRPr="0013396E">
              <w:t xml:space="preserve">) </w:t>
            </w:r>
            <w:r>
              <w:t>below</w:t>
            </w:r>
            <w:r w:rsidRPr="0013396E">
              <w:t xml:space="preserve"> upon system implementation:]</w:t>
            </w:r>
          </w:p>
          <w:p w14:paraId="03A891B1" w14:textId="06CFC98C" w:rsidR="00847103" w:rsidRPr="00847103" w:rsidRDefault="00847103" w:rsidP="00847103">
            <w:pPr>
              <w:spacing w:after="240"/>
              <w:ind w:left="2160" w:hanging="720"/>
              <w:rPr>
                <w:rFonts w:eastAsia="SimSun"/>
                <w:szCs w:val="24"/>
              </w:rPr>
            </w:pPr>
            <w:r w:rsidRPr="00847103">
              <w:rPr>
                <w:rFonts w:eastAsia="SimSun"/>
                <w:szCs w:val="24"/>
              </w:rPr>
              <w:t>(v)</w:t>
            </w:r>
            <w:r w:rsidRPr="00847103">
              <w:rPr>
                <w:rFonts w:eastAsia="SimSun"/>
                <w:szCs w:val="24"/>
              </w:rPr>
              <w:tab/>
              <w:t xml:space="preserve">For </w:t>
            </w:r>
            <w:r w:rsidR="001C228D">
              <w:rPr>
                <w:rFonts w:eastAsia="SimSun"/>
                <w:szCs w:val="24"/>
              </w:rPr>
              <w:t>Dispatchable Reliability Reserve Service (</w:t>
            </w:r>
            <w:r w:rsidRPr="00847103">
              <w:rPr>
                <w:rFonts w:eastAsia="SimSun"/>
                <w:szCs w:val="24"/>
              </w:rPr>
              <w:t>DRRS</w:t>
            </w:r>
            <w:r w:rsidR="001C228D">
              <w:rPr>
                <w:rFonts w:eastAsia="SimSun"/>
                <w:szCs w:val="24"/>
              </w:rPr>
              <w:t>)</w:t>
            </w:r>
            <w:r w:rsidRPr="00847103">
              <w:rPr>
                <w:rFonts w:eastAsia="SimSun"/>
                <w:szCs w:val="24"/>
              </w:rPr>
              <w:t>, the maximum of:</w:t>
            </w:r>
          </w:p>
          <w:p w14:paraId="74E9D8B0" w14:textId="77777777" w:rsidR="00847103" w:rsidRPr="00847103" w:rsidRDefault="00847103" w:rsidP="00847103">
            <w:pPr>
              <w:spacing w:after="240"/>
              <w:ind w:left="2880" w:hanging="720"/>
              <w:rPr>
                <w:rFonts w:eastAsia="SimSun"/>
                <w:szCs w:val="24"/>
              </w:rPr>
            </w:pPr>
            <w:r w:rsidRPr="00847103">
              <w:rPr>
                <w:rFonts w:eastAsia="SimSun"/>
                <w:szCs w:val="24"/>
              </w:rPr>
              <w:t>(A)</w:t>
            </w:r>
            <w:r w:rsidRPr="00847103">
              <w:rPr>
                <w:rFonts w:eastAsia="SimSun"/>
                <w:szCs w:val="24"/>
              </w:rPr>
              <w:tab/>
              <w:t>The proxy Ancillary Service Offer price floor for DRRS; or</w:t>
            </w:r>
          </w:p>
          <w:p w14:paraId="0FC88739" w14:textId="2F5C960D" w:rsidR="00847103" w:rsidRPr="00847103" w:rsidRDefault="00847103" w:rsidP="00847103">
            <w:pPr>
              <w:spacing w:after="240"/>
              <w:ind w:left="2880" w:hanging="720"/>
              <w:rPr>
                <w:rFonts w:eastAsia="SimSun"/>
                <w:szCs w:val="24"/>
              </w:rPr>
            </w:pPr>
            <w:r w:rsidRPr="00847103">
              <w:rPr>
                <w:rFonts w:eastAsia="SimSun"/>
                <w:szCs w:val="24"/>
              </w:rPr>
              <w:t>(B)</w:t>
            </w:r>
            <w:r w:rsidRPr="00847103">
              <w:rPr>
                <w:rFonts w:eastAsia="SimSun"/>
                <w:szCs w:val="24"/>
              </w:rPr>
              <w:tab/>
              <w:t>The Resource’s highest submitted Ancillary Service Offer price for DRRS.</w:t>
            </w:r>
          </w:p>
        </w:tc>
      </w:tr>
    </w:tbl>
    <w:p w14:paraId="2442E910" w14:textId="01C8F83F" w:rsidR="00540BAB" w:rsidRPr="0013396E" w:rsidRDefault="00540BAB" w:rsidP="007C3E74">
      <w:pPr>
        <w:spacing w:before="240" w:after="240"/>
        <w:ind w:left="1440" w:hanging="720"/>
      </w:pPr>
      <w:r w:rsidRPr="0013396E">
        <w:t>(c)</w:t>
      </w:r>
      <w:r w:rsidRPr="0013396E">
        <w:tab/>
        <w:t>The proxy Ancillary Service Offer price floors for each SCED-interval shall be derived from the effective ASDCs and Ancillary Service Plan using the following logic:</w:t>
      </w:r>
    </w:p>
    <w:p w14:paraId="35F3DE5C" w14:textId="77777777" w:rsidR="00540BAB" w:rsidRPr="0013396E" w:rsidRDefault="00540BAB" w:rsidP="00540BAB">
      <w:pPr>
        <w:spacing w:after="240"/>
        <w:ind w:left="2144" w:hanging="720"/>
      </w:pPr>
      <w:r w:rsidRPr="0013396E">
        <w:t>(i)        The proxy Ancillary Service Offer price floor for Reg-Up is equal to the lesser of the values below minus $0.01 per MW per hour:</w:t>
      </w:r>
    </w:p>
    <w:p w14:paraId="67A63733" w14:textId="77777777" w:rsidR="00540BAB" w:rsidRPr="0013396E" w:rsidRDefault="00540BAB" w:rsidP="00540BAB">
      <w:pPr>
        <w:spacing w:after="240"/>
        <w:ind w:left="2864" w:hanging="720"/>
      </w:pPr>
      <w:r w:rsidRPr="0013396E">
        <w:t xml:space="preserve">(A)      $2,000 per MW per hour; or  </w:t>
      </w:r>
    </w:p>
    <w:p w14:paraId="6EA0A02D" w14:textId="77777777" w:rsidR="00540BAB" w:rsidRPr="0013396E" w:rsidRDefault="00540BAB" w:rsidP="00540BAB">
      <w:pPr>
        <w:spacing w:after="240"/>
        <w:ind w:left="2864" w:hanging="720"/>
      </w:pPr>
      <w:r w:rsidRPr="0013396E">
        <w:t>(B)      The point on the ASDC for Reg-Up that intersects with a quantity that is 95% of the Ancillary Service Plan for Reg-Up.</w:t>
      </w:r>
    </w:p>
    <w:p w14:paraId="232DD9D5" w14:textId="77777777" w:rsidR="00540BAB" w:rsidRPr="0013396E" w:rsidRDefault="00540BAB" w:rsidP="00540BAB">
      <w:pPr>
        <w:spacing w:after="240"/>
        <w:ind w:left="2144" w:hanging="720"/>
      </w:pPr>
      <w:r w:rsidRPr="0013396E">
        <w:t>(ii)       The proxy Ancillary Service Offer price floor for RRS is equal to the lesser of the values below minus $0.01 per MW per hour:</w:t>
      </w:r>
    </w:p>
    <w:p w14:paraId="310A810B" w14:textId="77777777" w:rsidR="00540BAB" w:rsidRPr="0013396E" w:rsidRDefault="00540BAB" w:rsidP="00540BAB">
      <w:pPr>
        <w:spacing w:after="240"/>
        <w:ind w:left="2864" w:hanging="720"/>
      </w:pPr>
      <w:r w:rsidRPr="0013396E">
        <w:t xml:space="preserve">(A)      $2,000 per MW per hour; or  </w:t>
      </w:r>
    </w:p>
    <w:p w14:paraId="7B055377" w14:textId="77777777" w:rsidR="00540BAB" w:rsidRPr="0013396E" w:rsidRDefault="00540BAB" w:rsidP="00540BAB">
      <w:pPr>
        <w:spacing w:after="240"/>
        <w:ind w:left="2864" w:hanging="720"/>
      </w:pPr>
      <w:r w:rsidRPr="0013396E">
        <w:t>(B)      The point on the ASDC for RRS that intersects with a quantity that is 95% of the Ancillary Service Plan for RRS.</w:t>
      </w:r>
    </w:p>
    <w:p w14:paraId="165FFF95" w14:textId="77777777" w:rsidR="00540BAB" w:rsidRPr="0013396E" w:rsidRDefault="00540BAB" w:rsidP="00540BAB">
      <w:pPr>
        <w:spacing w:after="240"/>
        <w:ind w:left="2144" w:hanging="720"/>
      </w:pPr>
      <w:r w:rsidRPr="0013396E">
        <w:t>(iii)      The proxy Ancillary Service Offer price floor for ECRS is equal to the lesser of the values below minus $0.01 per MW per hour:</w:t>
      </w:r>
    </w:p>
    <w:p w14:paraId="7BDCBAA3" w14:textId="77777777" w:rsidR="00540BAB" w:rsidRPr="0013396E" w:rsidRDefault="00540BAB" w:rsidP="00540BAB">
      <w:pPr>
        <w:spacing w:after="240"/>
        <w:ind w:left="2864" w:hanging="720"/>
      </w:pPr>
      <w:r w:rsidRPr="0013396E">
        <w:t xml:space="preserve">(A)      $2,000 per MW per hour; or  </w:t>
      </w:r>
    </w:p>
    <w:p w14:paraId="5DF0F24E" w14:textId="77777777" w:rsidR="00540BAB" w:rsidRPr="0013396E" w:rsidRDefault="00540BAB" w:rsidP="00540BAB">
      <w:pPr>
        <w:spacing w:after="240"/>
        <w:ind w:left="2864" w:hanging="720"/>
      </w:pPr>
      <w:r w:rsidRPr="0013396E">
        <w:t>(B)      The point on the ASDC for ECRS that intersects with a quantity that is 95% of the Ancillary Service Plan for ECRS.</w:t>
      </w:r>
    </w:p>
    <w:p w14:paraId="7F8C742C" w14:textId="77777777" w:rsidR="00540BAB" w:rsidRPr="0013396E" w:rsidRDefault="00540BAB" w:rsidP="00540BAB">
      <w:pPr>
        <w:spacing w:after="240"/>
        <w:ind w:left="2144" w:hanging="720"/>
      </w:pPr>
      <w:r w:rsidRPr="0013396E">
        <w:lastRenderedPageBreak/>
        <w:t>(iv)      The proxy Ancillary Service Offer price floor for Non-Spin is equal to the lesser of the values below minus $0.01 per MW per hour:</w:t>
      </w:r>
    </w:p>
    <w:p w14:paraId="4A51B405" w14:textId="77777777" w:rsidR="00540BAB" w:rsidRPr="0013396E" w:rsidRDefault="00540BAB" w:rsidP="00540BAB">
      <w:pPr>
        <w:spacing w:after="240"/>
        <w:ind w:left="2864" w:hanging="720"/>
      </w:pPr>
      <w:r w:rsidRPr="0013396E">
        <w:t xml:space="preserve">(A)      $2,000 per MW per hour; or  </w:t>
      </w:r>
    </w:p>
    <w:p w14:paraId="3B73FD5B" w14:textId="77777777" w:rsidR="00540BAB" w:rsidRPr="0013396E" w:rsidRDefault="00540BAB" w:rsidP="00540BAB">
      <w:pPr>
        <w:spacing w:after="240"/>
        <w:ind w:left="2864" w:hanging="720"/>
      </w:pPr>
      <w:r w:rsidRPr="0013396E">
        <w:t>(B)      The point on the ASDC for Non-Spin that intersects with a quantity that is 95% of the Ancillary Service Plan for Non-Spin.</w:t>
      </w:r>
    </w:p>
    <w:p w14:paraId="6BCB6838" w14:textId="77777777" w:rsidR="00540BAB" w:rsidRPr="0013396E" w:rsidRDefault="00540BAB" w:rsidP="00540BAB">
      <w:pPr>
        <w:spacing w:after="240"/>
        <w:ind w:left="2144" w:hanging="720"/>
      </w:pPr>
      <w:r w:rsidRPr="0013396E">
        <w:t>(v)       The proxy Ancillary Service Offer price floor for Reg-Down is equal to the lesser of the values below minus $0.01 per MW per hour:</w:t>
      </w:r>
    </w:p>
    <w:p w14:paraId="756A1637" w14:textId="77777777" w:rsidR="00540BAB" w:rsidRPr="0013396E" w:rsidRDefault="00540BAB" w:rsidP="00540BAB">
      <w:pPr>
        <w:spacing w:after="240"/>
        <w:ind w:left="2864" w:hanging="720"/>
      </w:pPr>
      <w:r w:rsidRPr="0013396E">
        <w:t xml:space="preserve">(A)      $2,000 per MW per hour; or  </w:t>
      </w:r>
    </w:p>
    <w:p w14:paraId="01E32F26" w14:textId="77777777" w:rsidR="00540BAB" w:rsidRPr="0013396E" w:rsidRDefault="00540BAB" w:rsidP="00540BAB">
      <w:pPr>
        <w:spacing w:after="240"/>
        <w:ind w:left="2864" w:hanging="720"/>
      </w:pPr>
      <w:r w:rsidRPr="0013396E">
        <w:t>(B)      The point on the ASDC for Reg-Down that intersects with a quantity that is 95% of the Ancillary Service Plan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47103" w:rsidRPr="0013396E" w14:paraId="71E8D2AA" w14:textId="77777777" w:rsidTr="00A86863">
        <w:trPr>
          <w:trHeight w:val="206"/>
        </w:trPr>
        <w:tc>
          <w:tcPr>
            <w:tcW w:w="9350" w:type="dxa"/>
            <w:shd w:val="pct12" w:color="auto" w:fill="auto"/>
          </w:tcPr>
          <w:p w14:paraId="3974CB58" w14:textId="68CAB398" w:rsidR="00847103" w:rsidRPr="0013396E" w:rsidRDefault="00847103" w:rsidP="00A86863">
            <w:pPr>
              <w:pStyle w:val="Instructions"/>
              <w:spacing w:before="120"/>
            </w:pPr>
            <w:r w:rsidRPr="0013396E">
              <w:t>[NPRR1</w:t>
            </w:r>
            <w:r>
              <w:t>309</w:t>
            </w:r>
            <w:r w:rsidRPr="0013396E">
              <w:t xml:space="preserve">:  </w:t>
            </w:r>
            <w:r>
              <w:t>Insert</w:t>
            </w:r>
            <w:r w:rsidRPr="0013396E">
              <w:t xml:space="preserve"> paragraph (</w:t>
            </w:r>
            <w:r>
              <w:t>vi</w:t>
            </w:r>
            <w:r w:rsidRPr="0013396E">
              <w:t xml:space="preserve">) </w:t>
            </w:r>
            <w:r>
              <w:t>below</w:t>
            </w:r>
            <w:r w:rsidRPr="0013396E">
              <w:t xml:space="preserve"> upon system implementation:]</w:t>
            </w:r>
          </w:p>
          <w:p w14:paraId="1659AE09" w14:textId="77777777" w:rsidR="00847103" w:rsidRPr="00847103" w:rsidRDefault="00847103" w:rsidP="00847103">
            <w:pPr>
              <w:spacing w:after="240"/>
              <w:ind w:left="2160" w:hanging="720"/>
              <w:rPr>
                <w:rFonts w:eastAsia="SimSun"/>
                <w:szCs w:val="24"/>
              </w:rPr>
            </w:pPr>
            <w:r w:rsidRPr="00847103">
              <w:rPr>
                <w:rFonts w:eastAsia="SimSun"/>
                <w:szCs w:val="24"/>
              </w:rPr>
              <w:t>(vi)</w:t>
            </w:r>
            <w:r w:rsidRPr="00847103">
              <w:rPr>
                <w:rFonts w:eastAsia="SimSun"/>
                <w:szCs w:val="24"/>
              </w:rPr>
              <w:tab/>
              <w:t>The proxy Ancillary Service Offer price floor for DRRS is equal to the lesser of the values below minus $0.01 per MW per hour:</w:t>
            </w:r>
          </w:p>
          <w:p w14:paraId="097644EC" w14:textId="77777777" w:rsidR="00847103" w:rsidRPr="00847103" w:rsidRDefault="00847103" w:rsidP="00847103">
            <w:pPr>
              <w:spacing w:after="240"/>
              <w:ind w:left="2864" w:hanging="720"/>
              <w:rPr>
                <w:rFonts w:eastAsia="SimSun"/>
                <w:szCs w:val="24"/>
              </w:rPr>
            </w:pPr>
            <w:r w:rsidRPr="00847103">
              <w:rPr>
                <w:rFonts w:eastAsia="SimSun"/>
                <w:szCs w:val="24"/>
              </w:rPr>
              <w:t>(A)</w:t>
            </w:r>
            <w:r w:rsidRPr="00847103">
              <w:rPr>
                <w:rFonts w:eastAsia="SimSun"/>
                <w:szCs w:val="24"/>
              </w:rPr>
              <w:tab/>
              <w:t>$2,000 per MW per hour; or</w:t>
            </w:r>
          </w:p>
          <w:p w14:paraId="503A9166" w14:textId="3BD81B9C" w:rsidR="00847103" w:rsidRPr="00847103" w:rsidRDefault="00847103" w:rsidP="00847103">
            <w:pPr>
              <w:spacing w:after="240"/>
              <w:ind w:left="2864" w:hanging="720"/>
            </w:pPr>
            <w:r w:rsidRPr="00847103">
              <w:rPr>
                <w:rFonts w:eastAsia="SimSun"/>
                <w:szCs w:val="24"/>
              </w:rPr>
              <w:t>(B)</w:t>
            </w:r>
            <w:r w:rsidRPr="00847103">
              <w:rPr>
                <w:rFonts w:eastAsia="SimSun"/>
                <w:szCs w:val="24"/>
              </w:rPr>
              <w:tab/>
              <w:t>The point on the ASDC for DRRS that intersects with a quantity that is 95% of the Ancillary Service Plan for DRRS.</w:t>
            </w:r>
          </w:p>
        </w:tc>
      </w:tr>
    </w:tbl>
    <w:p w14:paraId="03947F54" w14:textId="60AFD8BF" w:rsidR="00540BAB" w:rsidRPr="0013396E" w:rsidRDefault="00540BAB" w:rsidP="007C3E74">
      <w:pPr>
        <w:spacing w:before="240" w:after="240"/>
        <w:ind w:left="1440" w:hanging="720"/>
      </w:pPr>
      <w:r w:rsidRPr="0013396E">
        <w:t>(d)</w:t>
      </w:r>
      <w:r w:rsidRPr="0013396E">
        <w:tab/>
        <w:t xml:space="preserve">ERCOT systems shall be designed to allow for proxy Ancillary Service Offer price floors to differ when the same Ancillary Service product can be provided by either On-Line or Off-Line Resources, and/or an Ancillary Service product has sub-types.  </w:t>
      </w:r>
    </w:p>
    <w:p w14:paraId="72E567AC" w14:textId="77777777" w:rsidR="00540BAB" w:rsidRPr="0013396E" w:rsidRDefault="00540BAB" w:rsidP="00540BAB">
      <w:pPr>
        <w:spacing w:after="240"/>
        <w:ind w:left="1440" w:hanging="720"/>
      </w:pPr>
      <w:r w:rsidRPr="0013396E">
        <w:t>(e)</w:t>
      </w:r>
      <w:r w:rsidRPr="0013396E">
        <w:tab/>
        <w:t>For RUC-committed Resources:</w:t>
      </w:r>
    </w:p>
    <w:p w14:paraId="65C71E1E" w14:textId="77777777" w:rsidR="00540BAB" w:rsidRPr="0013396E" w:rsidRDefault="00540BAB" w:rsidP="00540BAB">
      <w:pPr>
        <w:spacing w:after="240"/>
        <w:ind w:left="2160" w:hanging="720"/>
      </w:pPr>
      <w:r w:rsidRPr="0013396E">
        <w:t>(i)</w:t>
      </w:r>
      <w:r w:rsidRPr="0013396E">
        <w:tab/>
        <w:t>If a RUC-committed Resource does not have an Ancillary Service Offer for an Ancillary Service product that the Resource is qualified to provide, ERCOT shall create an Ancillary Service Offer for that Ancillary Service product at a value of $250 per MWh for the full operating range of the Resource up to its telemetered HSL.</w:t>
      </w:r>
    </w:p>
    <w:p w14:paraId="22DB6481" w14:textId="77777777" w:rsidR="00540BAB" w:rsidRPr="0013396E" w:rsidRDefault="00540BAB" w:rsidP="00540BAB">
      <w:pPr>
        <w:spacing w:after="240"/>
        <w:ind w:left="2160" w:hanging="720"/>
      </w:pPr>
      <w:r w:rsidRPr="0013396E">
        <w:t>(ii)</w:t>
      </w:r>
      <w:r w:rsidRPr="0013396E">
        <w:tab/>
        <w:t>For each Ancillary Service product for which a RUC-committed Resource has an Ancillary Service Offer, the Ancillary Service Offer used by SCED for that Ancillary Service product across the full operating range of the Resource</w:t>
      </w:r>
      <w:r w:rsidRPr="0013396E" w:rsidDel="00CE2E44">
        <w:t xml:space="preserve"> </w:t>
      </w:r>
      <w:r w:rsidRPr="0013396E">
        <w:t xml:space="preserve">up to its telemetered HSL shall be the maximum of: </w:t>
      </w:r>
    </w:p>
    <w:p w14:paraId="55AB6927" w14:textId="77777777" w:rsidR="00540BAB" w:rsidRPr="0013396E" w:rsidRDefault="00540BAB" w:rsidP="00540BAB">
      <w:pPr>
        <w:spacing w:after="240"/>
        <w:ind w:left="2880" w:hanging="720"/>
      </w:pPr>
      <w:r w:rsidRPr="0013396E">
        <w:t>(A)</w:t>
      </w:r>
      <w:r w:rsidRPr="0013396E">
        <w:tab/>
        <w:t xml:space="preserve">The Resource’s highest submitted Ancillary Service Offer price; or </w:t>
      </w:r>
    </w:p>
    <w:p w14:paraId="2BEDD12A" w14:textId="77777777" w:rsidR="00540BAB" w:rsidRPr="0013396E" w:rsidRDefault="00540BAB" w:rsidP="00540BAB">
      <w:pPr>
        <w:spacing w:after="240"/>
        <w:ind w:left="2880" w:hanging="720"/>
      </w:pPr>
      <w:r w:rsidRPr="0013396E">
        <w:t>(B)</w:t>
      </w:r>
      <w:r w:rsidRPr="0013396E">
        <w:tab/>
        <w:t>$250 per MWh.</w:t>
      </w:r>
    </w:p>
    <w:p w14:paraId="5D7E037C" w14:textId="77777777" w:rsidR="00540BAB" w:rsidRPr="0013396E" w:rsidRDefault="00540BAB" w:rsidP="00540BAB">
      <w:pPr>
        <w:spacing w:before="240" w:after="240"/>
        <w:ind w:left="720" w:hanging="720"/>
      </w:pPr>
      <w:r w:rsidRPr="0013396E">
        <w:lastRenderedPageBreak/>
        <w:t>(6)</w:t>
      </w:r>
      <w:r w:rsidRPr="0013396E">
        <w:tab/>
        <w:t xml:space="preserve">For use as SCED inputs for determining energy Dispatch and Ancillary Service awards, ERCOT shall use the available capacity of all On-Line ESRs by creating proxy Energy Bid/Offer Curves for certain Resources as follows: </w:t>
      </w:r>
    </w:p>
    <w:p w14:paraId="465893F9" w14:textId="77777777" w:rsidR="00540BAB" w:rsidRPr="0013396E" w:rsidRDefault="00540BAB" w:rsidP="00540BAB">
      <w:pPr>
        <w:spacing w:before="240" w:after="240"/>
        <w:ind w:left="1440" w:hanging="720"/>
      </w:pPr>
      <w:r w:rsidRPr="0013396E">
        <w:t>(a)</w:t>
      </w:r>
      <w:r w:rsidRPr="0013396E">
        <w:tab/>
        <w:t>For each ESR for which its QSE has submitted an Energy Bid/Offer Curve that does not cover the full offer range (LSL to HSL) of the Resource’s available capacity, ERCOT shall create a proxy Energy Bid/Offer Curve that extends the submitted Energy Bid/Offer Curve to use the entire available capacity of the Resource above the highest MW point on the Energy Bid/Offer Curve to the Resource’s HSL and from the lowest MW point on the Energy Bid/Offer Curve to LSL, using these prices for the corresponding MW segments: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619"/>
        <w:gridCol w:w="2620"/>
      </w:tblGrid>
      <w:tr w:rsidR="00540BAB" w:rsidRPr="0013396E" w14:paraId="00761B66" w14:textId="77777777" w:rsidTr="005B61C1">
        <w:trPr>
          <w:jc w:val="center"/>
        </w:trPr>
        <w:tc>
          <w:tcPr>
            <w:tcW w:w="3871" w:type="dxa"/>
            <w:tcBorders>
              <w:top w:val="single" w:sz="4" w:space="0" w:color="auto"/>
              <w:left w:val="single" w:sz="4" w:space="0" w:color="auto"/>
              <w:bottom w:val="single" w:sz="4" w:space="0" w:color="auto"/>
              <w:right w:val="single" w:sz="4" w:space="0" w:color="auto"/>
            </w:tcBorders>
            <w:hideMark/>
          </w:tcPr>
          <w:p w14:paraId="4F318ED3" w14:textId="77777777" w:rsidR="00540BAB" w:rsidRPr="0013396E" w:rsidRDefault="00540BAB" w:rsidP="005B61C1">
            <w:pPr>
              <w:spacing w:after="120"/>
              <w:rPr>
                <w:b/>
                <w:iCs/>
                <w:sz w:val="20"/>
              </w:rPr>
            </w:pPr>
            <w:r w:rsidRPr="0013396E">
              <w:rPr>
                <w:b/>
                <w:iCs/>
                <w:sz w:val="20"/>
              </w:rPr>
              <w:t>Scenario</w:t>
            </w:r>
          </w:p>
        </w:tc>
        <w:tc>
          <w:tcPr>
            <w:tcW w:w="2619" w:type="dxa"/>
            <w:tcBorders>
              <w:top w:val="single" w:sz="4" w:space="0" w:color="auto"/>
              <w:left w:val="single" w:sz="4" w:space="0" w:color="auto"/>
              <w:bottom w:val="single" w:sz="4" w:space="0" w:color="auto"/>
              <w:right w:val="single" w:sz="4" w:space="0" w:color="auto"/>
            </w:tcBorders>
            <w:hideMark/>
          </w:tcPr>
          <w:p w14:paraId="3B41068D" w14:textId="77777777" w:rsidR="00540BAB" w:rsidRPr="0013396E" w:rsidRDefault="00540BAB" w:rsidP="005B61C1">
            <w:pPr>
              <w:spacing w:after="120"/>
              <w:rPr>
                <w:b/>
                <w:iCs/>
                <w:sz w:val="20"/>
              </w:rPr>
            </w:pPr>
            <w:r w:rsidRPr="0013396E">
              <w:rPr>
                <w:b/>
                <w:iCs/>
                <w:sz w:val="20"/>
              </w:rPr>
              <w:t>MW Segment</w:t>
            </w:r>
          </w:p>
        </w:tc>
        <w:tc>
          <w:tcPr>
            <w:tcW w:w="2620" w:type="dxa"/>
            <w:tcBorders>
              <w:top w:val="single" w:sz="4" w:space="0" w:color="auto"/>
              <w:left w:val="single" w:sz="4" w:space="0" w:color="auto"/>
              <w:bottom w:val="single" w:sz="4" w:space="0" w:color="auto"/>
              <w:right w:val="single" w:sz="4" w:space="0" w:color="auto"/>
            </w:tcBorders>
            <w:hideMark/>
          </w:tcPr>
          <w:p w14:paraId="48A51727" w14:textId="77777777" w:rsidR="00540BAB" w:rsidRPr="0013396E" w:rsidRDefault="00540BAB" w:rsidP="005B61C1">
            <w:pPr>
              <w:spacing w:after="120"/>
              <w:rPr>
                <w:b/>
                <w:iCs/>
                <w:sz w:val="20"/>
              </w:rPr>
            </w:pPr>
            <w:r w:rsidRPr="0013396E">
              <w:rPr>
                <w:b/>
                <w:iCs/>
                <w:sz w:val="20"/>
              </w:rPr>
              <w:t>Price (per MWh)</w:t>
            </w:r>
          </w:p>
        </w:tc>
      </w:tr>
      <w:tr w:rsidR="00540BAB" w:rsidRPr="0013396E" w14:paraId="66854543" w14:textId="77777777" w:rsidTr="005B61C1">
        <w:trPr>
          <w:jc w:val="center"/>
        </w:trPr>
        <w:tc>
          <w:tcPr>
            <w:tcW w:w="3871" w:type="dxa"/>
            <w:tcBorders>
              <w:top w:val="single" w:sz="4" w:space="0" w:color="auto"/>
              <w:left w:val="single" w:sz="4" w:space="0" w:color="auto"/>
              <w:bottom w:val="single" w:sz="4" w:space="0" w:color="auto"/>
              <w:right w:val="single" w:sz="4" w:space="0" w:color="auto"/>
            </w:tcBorders>
          </w:tcPr>
          <w:p w14:paraId="4E05BE91" w14:textId="77777777" w:rsidR="00540BAB" w:rsidRPr="0013396E" w:rsidRDefault="00540BAB" w:rsidP="005B61C1">
            <w:pPr>
              <w:spacing w:after="60"/>
              <w:rPr>
                <w:iCs/>
                <w:sz w:val="20"/>
              </w:rPr>
            </w:pPr>
            <w:r w:rsidRPr="0013396E">
              <w:rPr>
                <w:iCs/>
                <w:sz w:val="20"/>
              </w:rPr>
              <w:t xml:space="preserve">HSL MW and the highest MW point on the Energy Bid/Offer are both greater than or equal to zero, </w:t>
            </w:r>
          </w:p>
          <w:p w14:paraId="4D6CA874" w14:textId="77777777" w:rsidR="00540BAB" w:rsidRPr="0013396E" w:rsidRDefault="00540BAB" w:rsidP="005B61C1">
            <w:pPr>
              <w:spacing w:after="60"/>
              <w:rPr>
                <w:iCs/>
                <w:sz w:val="20"/>
              </w:rPr>
            </w:pPr>
            <w:r w:rsidRPr="0013396E">
              <w:rPr>
                <w:iCs/>
                <w:sz w:val="20"/>
              </w:rPr>
              <w:t>and,</w:t>
            </w:r>
          </w:p>
          <w:p w14:paraId="5C873F08" w14:textId="77777777" w:rsidR="00540BAB" w:rsidRPr="0013396E" w:rsidRDefault="00540BAB" w:rsidP="005B61C1">
            <w:pPr>
              <w:spacing w:after="60"/>
              <w:rPr>
                <w:iCs/>
                <w:sz w:val="20"/>
              </w:rPr>
            </w:pPr>
            <w:r w:rsidRPr="0013396E">
              <w:rPr>
                <w:iCs/>
                <w:sz w:val="20"/>
              </w:rPr>
              <w:t>HSL is greater than the highest MW in submitted Energy Bid/Offer Curve</w:t>
            </w:r>
          </w:p>
          <w:p w14:paraId="4B8A0E64" w14:textId="77777777" w:rsidR="00540BAB" w:rsidRPr="0013396E" w:rsidRDefault="00540BAB" w:rsidP="005B61C1">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0A56EF2B" w14:textId="77777777" w:rsidR="00540BAB" w:rsidRPr="0013396E" w:rsidRDefault="00540BAB" w:rsidP="005B61C1">
            <w:pPr>
              <w:spacing w:after="60"/>
              <w:rPr>
                <w:iCs/>
                <w:sz w:val="20"/>
              </w:rPr>
            </w:pPr>
            <w:r w:rsidRPr="0013396E">
              <w:rPr>
                <w:iCs/>
                <w:sz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4421FA1F" w14:textId="77777777" w:rsidR="00540BAB" w:rsidRPr="0013396E" w:rsidRDefault="00540BAB" w:rsidP="005B61C1">
            <w:pPr>
              <w:spacing w:after="60"/>
              <w:rPr>
                <w:iCs/>
                <w:sz w:val="20"/>
              </w:rPr>
            </w:pPr>
            <w:r w:rsidRPr="0013396E">
              <w:rPr>
                <w:iCs/>
                <w:sz w:val="20"/>
              </w:rPr>
              <w:t xml:space="preserve">RTSWCAP </w:t>
            </w:r>
          </w:p>
        </w:tc>
      </w:tr>
      <w:tr w:rsidR="00540BAB" w:rsidRPr="0013396E" w14:paraId="500729FB" w14:textId="77777777" w:rsidTr="005B61C1">
        <w:trPr>
          <w:trHeight w:val="387"/>
          <w:jc w:val="center"/>
        </w:trPr>
        <w:tc>
          <w:tcPr>
            <w:tcW w:w="3871" w:type="dxa"/>
            <w:tcBorders>
              <w:top w:val="single" w:sz="4" w:space="0" w:color="auto"/>
              <w:left w:val="single" w:sz="4" w:space="0" w:color="auto"/>
              <w:bottom w:val="single" w:sz="4" w:space="0" w:color="auto"/>
              <w:right w:val="single" w:sz="4" w:space="0" w:color="auto"/>
            </w:tcBorders>
          </w:tcPr>
          <w:p w14:paraId="21BEF88E" w14:textId="77777777" w:rsidR="00540BAB" w:rsidRPr="0013396E" w:rsidRDefault="00540BAB" w:rsidP="005B61C1">
            <w:pPr>
              <w:spacing w:after="60"/>
              <w:rPr>
                <w:iCs/>
                <w:sz w:val="20"/>
              </w:rPr>
            </w:pPr>
            <w:r w:rsidRPr="0013396E">
              <w:rPr>
                <w:iCs/>
                <w:sz w:val="20"/>
              </w:rPr>
              <w:t xml:space="preserve">HSL MW is greater than or equal to zero, </w:t>
            </w:r>
          </w:p>
          <w:p w14:paraId="36521190" w14:textId="77777777" w:rsidR="00540BAB" w:rsidRPr="0013396E" w:rsidRDefault="00540BAB" w:rsidP="005B61C1">
            <w:pPr>
              <w:spacing w:after="60"/>
              <w:rPr>
                <w:iCs/>
                <w:sz w:val="20"/>
              </w:rPr>
            </w:pPr>
            <w:r w:rsidRPr="0013396E">
              <w:rPr>
                <w:iCs/>
                <w:sz w:val="20"/>
              </w:rPr>
              <w:t>and,</w:t>
            </w:r>
          </w:p>
          <w:p w14:paraId="0578A113" w14:textId="77777777" w:rsidR="00540BAB" w:rsidRPr="0013396E" w:rsidRDefault="00540BAB" w:rsidP="005B61C1">
            <w:pPr>
              <w:spacing w:after="60"/>
              <w:rPr>
                <w:iCs/>
                <w:sz w:val="20"/>
              </w:rPr>
            </w:pPr>
            <w:r w:rsidRPr="0013396E">
              <w:rPr>
                <w:iCs/>
                <w:sz w:val="20"/>
              </w:rPr>
              <w:t>the highest MW point on the Energy Bid/Offer is less than zero</w:t>
            </w:r>
          </w:p>
          <w:p w14:paraId="7FC80E9F" w14:textId="77777777" w:rsidR="00540BAB" w:rsidRPr="0013396E" w:rsidRDefault="00540BAB" w:rsidP="005B61C1">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38E5D6DC" w14:textId="77777777" w:rsidR="00540BAB" w:rsidRPr="0013396E" w:rsidRDefault="00540BAB" w:rsidP="005B61C1">
            <w:pPr>
              <w:spacing w:after="60"/>
              <w:rPr>
                <w:iCs/>
                <w:sz w:val="20"/>
              </w:rPr>
            </w:pPr>
            <w:r w:rsidRPr="0013396E">
              <w:rPr>
                <w:iCs/>
                <w:sz w:val="20"/>
              </w:rPr>
              <w:t>From highest MW point on submitted Energy Bid/Offer Curve to 0 MW</w:t>
            </w:r>
          </w:p>
          <w:p w14:paraId="64707B61" w14:textId="77777777" w:rsidR="00540BAB" w:rsidRPr="0013396E" w:rsidRDefault="00540BAB" w:rsidP="005B61C1">
            <w:pPr>
              <w:spacing w:after="60"/>
              <w:rPr>
                <w:iCs/>
                <w:sz w:val="20"/>
              </w:rPr>
            </w:pPr>
          </w:p>
          <w:p w14:paraId="4A3A20B0" w14:textId="77777777" w:rsidR="00540BAB" w:rsidRPr="0013396E" w:rsidRDefault="00540BAB" w:rsidP="005B61C1">
            <w:pPr>
              <w:spacing w:after="60"/>
              <w:rPr>
                <w:iCs/>
                <w:sz w:val="20"/>
              </w:rPr>
            </w:pPr>
            <w:r w:rsidRPr="0013396E">
              <w:rPr>
                <w:iCs/>
                <w:sz w:val="20"/>
              </w:rPr>
              <w:t>From 0 MW to HSL</w:t>
            </w:r>
          </w:p>
        </w:tc>
        <w:tc>
          <w:tcPr>
            <w:tcW w:w="2620" w:type="dxa"/>
            <w:tcBorders>
              <w:top w:val="single" w:sz="4" w:space="0" w:color="auto"/>
              <w:left w:val="single" w:sz="4" w:space="0" w:color="auto"/>
              <w:bottom w:val="single" w:sz="4" w:space="0" w:color="auto"/>
              <w:right w:val="single" w:sz="4" w:space="0" w:color="auto"/>
            </w:tcBorders>
            <w:hideMark/>
          </w:tcPr>
          <w:p w14:paraId="3304E1B8" w14:textId="77777777" w:rsidR="00540BAB" w:rsidRPr="0013396E" w:rsidRDefault="00540BAB" w:rsidP="005B61C1">
            <w:pPr>
              <w:spacing w:after="60"/>
              <w:rPr>
                <w:iCs/>
                <w:sz w:val="20"/>
              </w:rPr>
            </w:pPr>
            <w:r w:rsidRPr="0013396E">
              <w:rPr>
                <w:iCs/>
                <w:sz w:val="20"/>
              </w:rPr>
              <w:t>Price associated with the highest MW in submitted Energy Bid/Offer Curve</w:t>
            </w:r>
          </w:p>
          <w:p w14:paraId="5D542B41" w14:textId="77777777" w:rsidR="00540BAB" w:rsidRPr="0013396E" w:rsidRDefault="00540BAB" w:rsidP="005B61C1">
            <w:pPr>
              <w:spacing w:after="60"/>
              <w:rPr>
                <w:iCs/>
                <w:sz w:val="20"/>
              </w:rPr>
            </w:pPr>
          </w:p>
          <w:p w14:paraId="010C4D89" w14:textId="77777777" w:rsidR="00540BAB" w:rsidRPr="0013396E" w:rsidRDefault="00540BAB" w:rsidP="005B61C1">
            <w:pPr>
              <w:spacing w:after="60"/>
              <w:rPr>
                <w:iCs/>
                <w:sz w:val="20"/>
              </w:rPr>
            </w:pPr>
            <w:r w:rsidRPr="0013396E">
              <w:rPr>
                <w:iCs/>
                <w:sz w:val="20"/>
              </w:rPr>
              <w:t>RTSWCAP</w:t>
            </w:r>
          </w:p>
        </w:tc>
      </w:tr>
      <w:tr w:rsidR="00540BAB" w:rsidRPr="0013396E" w14:paraId="479D56DA" w14:textId="77777777" w:rsidTr="005B61C1">
        <w:trPr>
          <w:jc w:val="center"/>
        </w:trPr>
        <w:tc>
          <w:tcPr>
            <w:tcW w:w="3871" w:type="dxa"/>
            <w:tcBorders>
              <w:top w:val="single" w:sz="4" w:space="0" w:color="auto"/>
              <w:left w:val="single" w:sz="4" w:space="0" w:color="auto"/>
              <w:bottom w:val="single" w:sz="4" w:space="0" w:color="auto"/>
              <w:right w:val="single" w:sz="4" w:space="0" w:color="auto"/>
            </w:tcBorders>
            <w:hideMark/>
          </w:tcPr>
          <w:p w14:paraId="3DE25847" w14:textId="77777777" w:rsidR="00540BAB" w:rsidRPr="0013396E" w:rsidRDefault="00540BAB" w:rsidP="005B61C1">
            <w:pPr>
              <w:spacing w:after="60"/>
              <w:rPr>
                <w:iCs/>
                <w:sz w:val="20"/>
              </w:rPr>
            </w:pPr>
            <w:r w:rsidRPr="0013396E">
              <w:rPr>
                <w:iCs/>
                <w:sz w:val="20"/>
              </w:rPr>
              <w:t>HSL is less than zero and is also greater than the highest MW in submitted Energy Bid/Offer Curve</w:t>
            </w:r>
          </w:p>
        </w:tc>
        <w:tc>
          <w:tcPr>
            <w:tcW w:w="2619" w:type="dxa"/>
            <w:tcBorders>
              <w:top w:val="single" w:sz="4" w:space="0" w:color="auto"/>
              <w:left w:val="single" w:sz="4" w:space="0" w:color="auto"/>
              <w:bottom w:val="single" w:sz="4" w:space="0" w:color="auto"/>
              <w:right w:val="single" w:sz="4" w:space="0" w:color="auto"/>
            </w:tcBorders>
            <w:hideMark/>
          </w:tcPr>
          <w:p w14:paraId="2F6175C8" w14:textId="77777777" w:rsidR="00540BAB" w:rsidRPr="0013396E" w:rsidRDefault="00540BAB" w:rsidP="005B61C1">
            <w:pPr>
              <w:spacing w:after="60"/>
              <w:rPr>
                <w:iCs/>
                <w:sz w:val="20"/>
              </w:rPr>
            </w:pPr>
            <w:r w:rsidRPr="0013396E">
              <w:rPr>
                <w:iCs/>
                <w:sz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48F05944" w14:textId="77777777" w:rsidR="00540BAB" w:rsidRPr="0013396E" w:rsidRDefault="00540BAB" w:rsidP="005B61C1">
            <w:pPr>
              <w:spacing w:after="60"/>
              <w:rPr>
                <w:iCs/>
                <w:sz w:val="20"/>
              </w:rPr>
            </w:pPr>
            <w:r w:rsidRPr="0013396E">
              <w:rPr>
                <w:iCs/>
                <w:sz w:val="20"/>
              </w:rPr>
              <w:t>Price associated with the highest MW in submitted Energy Bid/Offer Curve</w:t>
            </w:r>
          </w:p>
        </w:tc>
      </w:tr>
      <w:tr w:rsidR="00540BAB" w:rsidRPr="0013396E" w14:paraId="2741853F" w14:textId="77777777" w:rsidTr="005B61C1">
        <w:trPr>
          <w:jc w:val="center"/>
        </w:trPr>
        <w:tc>
          <w:tcPr>
            <w:tcW w:w="3871" w:type="dxa"/>
            <w:tcBorders>
              <w:top w:val="single" w:sz="4" w:space="0" w:color="auto"/>
              <w:left w:val="single" w:sz="4" w:space="0" w:color="auto"/>
              <w:bottom w:val="single" w:sz="4" w:space="0" w:color="auto"/>
              <w:right w:val="single" w:sz="4" w:space="0" w:color="auto"/>
            </w:tcBorders>
            <w:hideMark/>
          </w:tcPr>
          <w:p w14:paraId="7A19B82B" w14:textId="77777777" w:rsidR="00540BAB" w:rsidRPr="0013396E" w:rsidRDefault="00540BAB" w:rsidP="005B61C1">
            <w:pPr>
              <w:spacing w:after="60"/>
              <w:rPr>
                <w:iCs/>
                <w:sz w:val="20"/>
              </w:rPr>
            </w:pPr>
            <w:r w:rsidRPr="0013396E">
              <w:rPr>
                <w:iCs/>
                <w:sz w:val="20"/>
              </w:rPr>
              <w:t>Energy Bid/Offer Curve</w:t>
            </w:r>
          </w:p>
        </w:tc>
        <w:tc>
          <w:tcPr>
            <w:tcW w:w="2619" w:type="dxa"/>
            <w:tcBorders>
              <w:top w:val="single" w:sz="4" w:space="0" w:color="auto"/>
              <w:left w:val="single" w:sz="4" w:space="0" w:color="auto"/>
              <w:bottom w:val="single" w:sz="4" w:space="0" w:color="auto"/>
              <w:right w:val="single" w:sz="4" w:space="0" w:color="auto"/>
            </w:tcBorders>
          </w:tcPr>
          <w:p w14:paraId="47BB34B2" w14:textId="77777777" w:rsidR="00540BAB" w:rsidRPr="0013396E" w:rsidRDefault="00540BAB" w:rsidP="005B61C1">
            <w:pPr>
              <w:spacing w:after="60"/>
              <w:rPr>
                <w:iCs/>
                <w:sz w:val="20"/>
              </w:rPr>
            </w:pPr>
          </w:p>
        </w:tc>
        <w:tc>
          <w:tcPr>
            <w:tcW w:w="2620" w:type="dxa"/>
            <w:tcBorders>
              <w:top w:val="single" w:sz="4" w:space="0" w:color="auto"/>
              <w:left w:val="single" w:sz="4" w:space="0" w:color="auto"/>
              <w:bottom w:val="single" w:sz="4" w:space="0" w:color="auto"/>
              <w:right w:val="single" w:sz="4" w:space="0" w:color="auto"/>
            </w:tcBorders>
            <w:hideMark/>
          </w:tcPr>
          <w:p w14:paraId="73E159DE" w14:textId="77777777" w:rsidR="00540BAB" w:rsidRPr="0013396E" w:rsidRDefault="00540BAB" w:rsidP="005B61C1">
            <w:pPr>
              <w:spacing w:after="60"/>
              <w:rPr>
                <w:iCs/>
                <w:sz w:val="20"/>
              </w:rPr>
            </w:pPr>
            <w:r w:rsidRPr="0013396E">
              <w:rPr>
                <w:iCs/>
                <w:sz w:val="20"/>
              </w:rPr>
              <w:t>Energy Bid/Offer Curve</w:t>
            </w:r>
          </w:p>
        </w:tc>
      </w:tr>
      <w:tr w:rsidR="00540BAB" w:rsidRPr="0013396E" w14:paraId="05F55070" w14:textId="77777777" w:rsidTr="005B61C1">
        <w:trPr>
          <w:jc w:val="center"/>
        </w:trPr>
        <w:tc>
          <w:tcPr>
            <w:tcW w:w="3871" w:type="dxa"/>
            <w:tcBorders>
              <w:top w:val="single" w:sz="4" w:space="0" w:color="auto"/>
              <w:left w:val="single" w:sz="4" w:space="0" w:color="auto"/>
              <w:bottom w:val="single" w:sz="4" w:space="0" w:color="auto"/>
              <w:right w:val="single" w:sz="4" w:space="0" w:color="auto"/>
            </w:tcBorders>
          </w:tcPr>
          <w:p w14:paraId="17A1956F" w14:textId="77777777" w:rsidR="00540BAB" w:rsidRPr="0013396E" w:rsidRDefault="00540BAB" w:rsidP="005B61C1">
            <w:pPr>
              <w:spacing w:after="60"/>
              <w:rPr>
                <w:iCs/>
                <w:sz w:val="20"/>
              </w:rPr>
            </w:pPr>
            <w:r w:rsidRPr="0013396E">
              <w:rPr>
                <w:iCs/>
                <w:sz w:val="20"/>
              </w:rPr>
              <w:t xml:space="preserve">LSL MW and the lowest MW point on the Energy Bid/Offer Curve are both greater than or equal to zero, </w:t>
            </w:r>
          </w:p>
          <w:p w14:paraId="2CEE8B1B" w14:textId="77777777" w:rsidR="00540BAB" w:rsidRPr="0013396E" w:rsidRDefault="00540BAB" w:rsidP="005B61C1">
            <w:pPr>
              <w:spacing w:after="60"/>
              <w:rPr>
                <w:iCs/>
                <w:sz w:val="20"/>
              </w:rPr>
            </w:pPr>
            <w:r w:rsidRPr="0013396E">
              <w:rPr>
                <w:iCs/>
                <w:sz w:val="20"/>
              </w:rPr>
              <w:t>and,</w:t>
            </w:r>
          </w:p>
          <w:p w14:paraId="565B6519" w14:textId="77777777" w:rsidR="00540BAB" w:rsidRPr="0013396E" w:rsidRDefault="00540BAB" w:rsidP="005B61C1">
            <w:pPr>
              <w:spacing w:after="60"/>
              <w:rPr>
                <w:iCs/>
                <w:sz w:val="20"/>
              </w:rPr>
            </w:pPr>
            <w:r w:rsidRPr="0013396E">
              <w:rPr>
                <w:iCs/>
                <w:sz w:val="20"/>
              </w:rPr>
              <w:t>LSL is less than the lowest MW in submitted Energy Bid/Offer Curve</w:t>
            </w:r>
          </w:p>
          <w:p w14:paraId="0B424534" w14:textId="77777777" w:rsidR="00540BAB" w:rsidRPr="0013396E" w:rsidRDefault="00540BAB" w:rsidP="005B61C1">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08659C8F" w14:textId="77777777" w:rsidR="00540BAB" w:rsidRPr="0013396E" w:rsidRDefault="00540BAB" w:rsidP="005B61C1">
            <w:pPr>
              <w:spacing w:after="60"/>
              <w:rPr>
                <w:iCs/>
                <w:sz w:val="20"/>
              </w:rPr>
            </w:pPr>
            <w:r w:rsidRPr="0013396E">
              <w:rPr>
                <w:iCs/>
                <w:sz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3D33C40F" w14:textId="77777777" w:rsidR="00540BAB" w:rsidRPr="0013396E" w:rsidRDefault="00540BAB" w:rsidP="005B61C1">
            <w:pPr>
              <w:spacing w:after="60"/>
              <w:rPr>
                <w:iCs/>
                <w:sz w:val="20"/>
              </w:rPr>
            </w:pPr>
            <w:r w:rsidRPr="0013396E">
              <w:rPr>
                <w:iCs/>
                <w:sz w:val="20"/>
              </w:rPr>
              <w:t>Price associated with the lowest MW in submitted Energy Bid/Offer Curve</w:t>
            </w:r>
          </w:p>
        </w:tc>
      </w:tr>
      <w:tr w:rsidR="00540BAB" w:rsidRPr="0013396E" w14:paraId="5EF9D672" w14:textId="77777777" w:rsidTr="005B61C1">
        <w:trPr>
          <w:trHeight w:val="304"/>
          <w:jc w:val="center"/>
        </w:trPr>
        <w:tc>
          <w:tcPr>
            <w:tcW w:w="3871" w:type="dxa"/>
            <w:tcBorders>
              <w:top w:val="single" w:sz="4" w:space="0" w:color="auto"/>
              <w:left w:val="single" w:sz="4" w:space="0" w:color="auto"/>
              <w:bottom w:val="single" w:sz="4" w:space="0" w:color="auto"/>
              <w:right w:val="single" w:sz="4" w:space="0" w:color="auto"/>
            </w:tcBorders>
            <w:hideMark/>
          </w:tcPr>
          <w:p w14:paraId="2F1B9C20" w14:textId="77777777" w:rsidR="00540BAB" w:rsidRPr="0013396E" w:rsidRDefault="00540BAB" w:rsidP="005B61C1">
            <w:pPr>
              <w:spacing w:after="60"/>
              <w:rPr>
                <w:iCs/>
                <w:sz w:val="20"/>
              </w:rPr>
            </w:pPr>
            <w:r w:rsidRPr="0013396E">
              <w:rPr>
                <w:iCs/>
                <w:sz w:val="20"/>
              </w:rPr>
              <w:t>LSL MW is less than zero,</w:t>
            </w:r>
          </w:p>
          <w:p w14:paraId="51413D62" w14:textId="77777777" w:rsidR="00540BAB" w:rsidRPr="0013396E" w:rsidRDefault="00540BAB" w:rsidP="005B61C1">
            <w:pPr>
              <w:spacing w:after="60"/>
              <w:rPr>
                <w:iCs/>
                <w:sz w:val="20"/>
              </w:rPr>
            </w:pPr>
            <w:r w:rsidRPr="0013396E">
              <w:rPr>
                <w:iCs/>
                <w:sz w:val="20"/>
              </w:rPr>
              <w:t>and,</w:t>
            </w:r>
          </w:p>
          <w:p w14:paraId="4EDCB690" w14:textId="77777777" w:rsidR="00540BAB" w:rsidRPr="0013396E" w:rsidRDefault="00540BAB" w:rsidP="005B61C1">
            <w:pPr>
              <w:spacing w:after="60"/>
              <w:rPr>
                <w:iCs/>
                <w:sz w:val="20"/>
              </w:rPr>
            </w:pPr>
            <w:r w:rsidRPr="0013396E">
              <w:rPr>
                <w:iCs/>
                <w:sz w:val="20"/>
              </w:rPr>
              <w:t>the lowest MW point on the Energy Bid/Offer Curve is greater than zero</w:t>
            </w:r>
          </w:p>
        </w:tc>
        <w:tc>
          <w:tcPr>
            <w:tcW w:w="2619" w:type="dxa"/>
            <w:tcBorders>
              <w:top w:val="single" w:sz="4" w:space="0" w:color="auto"/>
              <w:left w:val="single" w:sz="4" w:space="0" w:color="auto"/>
              <w:bottom w:val="single" w:sz="4" w:space="0" w:color="auto"/>
              <w:right w:val="single" w:sz="4" w:space="0" w:color="auto"/>
            </w:tcBorders>
            <w:hideMark/>
          </w:tcPr>
          <w:p w14:paraId="0454839D" w14:textId="77777777" w:rsidR="00540BAB" w:rsidRPr="0013396E" w:rsidRDefault="00540BAB" w:rsidP="005B61C1">
            <w:pPr>
              <w:spacing w:after="60"/>
              <w:rPr>
                <w:iCs/>
                <w:sz w:val="20"/>
              </w:rPr>
            </w:pPr>
            <w:r w:rsidRPr="0013396E">
              <w:rPr>
                <w:iCs/>
                <w:sz w:val="20"/>
              </w:rPr>
              <w:t>From LSL to 0 MW</w:t>
            </w:r>
          </w:p>
          <w:p w14:paraId="3949D495" w14:textId="77777777" w:rsidR="00540BAB" w:rsidRPr="0013396E" w:rsidRDefault="00540BAB" w:rsidP="005B61C1">
            <w:pPr>
              <w:spacing w:after="60"/>
              <w:rPr>
                <w:iCs/>
                <w:sz w:val="20"/>
              </w:rPr>
            </w:pPr>
          </w:p>
          <w:p w14:paraId="606D3AF5" w14:textId="77777777" w:rsidR="00540BAB" w:rsidRPr="0013396E" w:rsidRDefault="00540BAB" w:rsidP="005B61C1">
            <w:pPr>
              <w:spacing w:after="60"/>
              <w:rPr>
                <w:iCs/>
                <w:sz w:val="20"/>
              </w:rPr>
            </w:pPr>
            <w:r w:rsidRPr="0013396E">
              <w:rPr>
                <w:iCs/>
                <w:sz w:val="20"/>
              </w:rPr>
              <w:t>From 0 MW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597BB93F" w14:textId="77777777" w:rsidR="00540BAB" w:rsidRPr="0013396E" w:rsidRDefault="00540BAB" w:rsidP="005B61C1">
            <w:pPr>
              <w:spacing w:after="60"/>
              <w:rPr>
                <w:iCs/>
                <w:sz w:val="20"/>
              </w:rPr>
            </w:pPr>
            <w:r w:rsidRPr="0013396E">
              <w:rPr>
                <w:iCs/>
                <w:sz w:val="20"/>
              </w:rPr>
              <w:t>-$250.00</w:t>
            </w:r>
          </w:p>
          <w:p w14:paraId="7A7E8378" w14:textId="77777777" w:rsidR="00540BAB" w:rsidRPr="0013396E" w:rsidRDefault="00540BAB" w:rsidP="005B61C1">
            <w:pPr>
              <w:spacing w:after="60"/>
              <w:rPr>
                <w:iCs/>
                <w:sz w:val="20"/>
              </w:rPr>
            </w:pPr>
          </w:p>
          <w:p w14:paraId="62868DC6" w14:textId="77777777" w:rsidR="00540BAB" w:rsidRPr="0013396E" w:rsidRDefault="00540BAB" w:rsidP="005B61C1">
            <w:pPr>
              <w:spacing w:after="60"/>
              <w:rPr>
                <w:iCs/>
                <w:sz w:val="20"/>
              </w:rPr>
            </w:pPr>
            <w:r w:rsidRPr="0013396E">
              <w:rPr>
                <w:iCs/>
                <w:sz w:val="20"/>
              </w:rPr>
              <w:t>Price associated with the lowest MW in submitted Energy Bid/Offer Curve</w:t>
            </w:r>
          </w:p>
        </w:tc>
      </w:tr>
      <w:tr w:rsidR="00540BAB" w:rsidRPr="0013396E" w14:paraId="4D251244" w14:textId="77777777" w:rsidTr="005B61C1">
        <w:trPr>
          <w:jc w:val="center"/>
        </w:trPr>
        <w:tc>
          <w:tcPr>
            <w:tcW w:w="3871" w:type="dxa"/>
            <w:tcBorders>
              <w:top w:val="single" w:sz="4" w:space="0" w:color="auto"/>
              <w:left w:val="single" w:sz="4" w:space="0" w:color="auto"/>
              <w:bottom w:val="single" w:sz="4" w:space="0" w:color="auto"/>
              <w:right w:val="single" w:sz="4" w:space="0" w:color="auto"/>
            </w:tcBorders>
          </w:tcPr>
          <w:p w14:paraId="31A4B45F" w14:textId="77777777" w:rsidR="00540BAB" w:rsidRPr="0013396E" w:rsidRDefault="00540BAB" w:rsidP="005B61C1">
            <w:pPr>
              <w:spacing w:after="60"/>
              <w:rPr>
                <w:iCs/>
                <w:sz w:val="20"/>
              </w:rPr>
            </w:pPr>
            <w:r w:rsidRPr="0013396E">
              <w:rPr>
                <w:iCs/>
                <w:sz w:val="20"/>
              </w:rPr>
              <w:t>LSL and the lowest MW point on the Energy Bid/Offer Curve are both less than or equal to zero,</w:t>
            </w:r>
          </w:p>
          <w:p w14:paraId="16A87C01" w14:textId="77777777" w:rsidR="00540BAB" w:rsidRPr="0013396E" w:rsidRDefault="00540BAB" w:rsidP="005B61C1">
            <w:pPr>
              <w:spacing w:after="60"/>
              <w:rPr>
                <w:iCs/>
                <w:sz w:val="20"/>
              </w:rPr>
            </w:pPr>
            <w:r w:rsidRPr="0013396E">
              <w:rPr>
                <w:iCs/>
                <w:sz w:val="20"/>
              </w:rPr>
              <w:t>and,</w:t>
            </w:r>
          </w:p>
          <w:p w14:paraId="58A9DD85" w14:textId="77777777" w:rsidR="00540BAB" w:rsidRPr="0013396E" w:rsidRDefault="00540BAB" w:rsidP="005B61C1">
            <w:pPr>
              <w:spacing w:after="60"/>
              <w:rPr>
                <w:iCs/>
                <w:sz w:val="20"/>
              </w:rPr>
            </w:pPr>
            <w:r w:rsidRPr="0013396E">
              <w:rPr>
                <w:iCs/>
                <w:sz w:val="20"/>
              </w:rPr>
              <w:t>LSL is less than the lowest MW point on the Energy Bid/Offer Curve</w:t>
            </w:r>
          </w:p>
          <w:p w14:paraId="07A42923" w14:textId="77777777" w:rsidR="00540BAB" w:rsidRPr="0013396E" w:rsidRDefault="00540BAB" w:rsidP="005B61C1">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3FCAD3D2" w14:textId="77777777" w:rsidR="00540BAB" w:rsidRPr="0013396E" w:rsidRDefault="00540BAB" w:rsidP="005B61C1">
            <w:pPr>
              <w:spacing w:after="60"/>
              <w:rPr>
                <w:iCs/>
                <w:sz w:val="20"/>
              </w:rPr>
            </w:pPr>
            <w:r w:rsidRPr="0013396E">
              <w:rPr>
                <w:iCs/>
                <w:sz w:val="20"/>
              </w:rPr>
              <w:lastRenderedPageBreak/>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632CEA4A" w14:textId="77777777" w:rsidR="00540BAB" w:rsidRPr="0013396E" w:rsidRDefault="00540BAB" w:rsidP="005B61C1">
            <w:pPr>
              <w:spacing w:after="60"/>
              <w:rPr>
                <w:iCs/>
                <w:sz w:val="20"/>
              </w:rPr>
            </w:pPr>
            <w:r w:rsidRPr="0013396E">
              <w:rPr>
                <w:iCs/>
                <w:sz w:val="20"/>
              </w:rPr>
              <w:t>-$250.00</w:t>
            </w:r>
          </w:p>
        </w:tc>
      </w:tr>
    </w:tbl>
    <w:p w14:paraId="223A9E6F" w14:textId="77777777" w:rsidR="00540BAB" w:rsidRPr="0013396E" w:rsidRDefault="00540BAB" w:rsidP="00540BAB">
      <w:pPr>
        <w:spacing w:before="240" w:after="240"/>
        <w:ind w:left="1440" w:hanging="720"/>
      </w:pPr>
      <w:r w:rsidRPr="0013396E">
        <w:t>(b)</w:t>
      </w:r>
      <w:r w:rsidRPr="0013396E">
        <w:tab/>
        <w:t>At the time of SCED execution, if a valid Energy Bid/Offer Curve or Output Schedule does not exist for an ESR that has a status of On-Line, then ERCOT shall notify the QSE and create a proxy Energy Bid/Offer Curve priced at -$250/MWh for the MW portion of the curve less than zero MW, and priced at the RTSWCAP for the MW portion of the curve greater than zero MW.</w:t>
      </w:r>
    </w:p>
    <w:p w14:paraId="3DDCD919" w14:textId="77777777" w:rsidR="00540BAB" w:rsidRPr="0013396E" w:rsidRDefault="00540BAB" w:rsidP="00540BAB">
      <w:pPr>
        <w:spacing w:before="240" w:after="240"/>
        <w:ind w:left="1440" w:hanging="720"/>
      </w:pPr>
      <w:r w:rsidRPr="0013396E">
        <w:t>(c)</w:t>
      </w:r>
      <w:r w:rsidRPr="0013396E">
        <w:tab/>
        <w:t>At the time of SCED execution, if a QSE representing an ESR has submitted an Output Schedule instead of an Energy Bid/Offer Curve, ERCOT shall create a proxy Energy Bid/Offer Curve priced at -$250 per MWh for the MW portion of the curve from its LSL to the MW amount on the Output Schedule, and priced at the RTSWCAP for the MW portion of the curve from the MW amount on the Output Schedule to its HSL.</w:t>
      </w:r>
    </w:p>
    <w:p w14:paraId="5C816694" w14:textId="77777777" w:rsidR="00540BAB" w:rsidRPr="0013396E" w:rsidRDefault="00540BAB" w:rsidP="00540BAB">
      <w:pPr>
        <w:spacing w:before="240" w:after="240"/>
        <w:ind w:left="720" w:hanging="720"/>
      </w:pPr>
      <w:r w:rsidRPr="0013396E">
        <w:t>(7)</w:t>
      </w:r>
      <w:r w:rsidRPr="0013396E">
        <w:tab/>
        <w:t>The Entity with decision-making authority, as more fully described in Section 3.19.1, Constraint Competitiveness Test Definitions, over how a Resource or Split Generation Resource is offered or scheduled, shall be responsible for all offers associated with each Resource, including offers represented by a proxy Energy Offer Curve, proxy Energy Bid/Offer Curve, or proxy Ancillary Service Offer.</w:t>
      </w:r>
      <w:r w:rsidRPr="0013396E" w:rsidDel="00995694">
        <w:t xml:space="preserve"> </w:t>
      </w:r>
    </w:p>
    <w:p w14:paraId="6B491514" w14:textId="4AA6214F" w:rsidR="00540BAB" w:rsidRPr="0013396E" w:rsidRDefault="00540BAB" w:rsidP="00540BAB">
      <w:pPr>
        <w:spacing w:after="240"/>
        <w:ind w:left="720" w:hanging="720"/>
      </w:pPr>
      <w:r w:rsidRPr="0013396E">
        <w:t>(8)</w:t>
      </w:r>
      <w:r w:rsidRPr="0013396E">
        <w:tab/>
        <w:t>For a CLR whose QSE has submitted a</w:t>
      </w:r>
      <w:r w:rsidR="00890D72" w:rsidRPr="0013396E">
        <w:t>n RTM</w:t>
      </w:r>
      <w:r w:rsidRPr="0013396E">
        <w:t xml:space="preserve"> Energy Bid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540BAB" w:rsidRPr="0013396E" w14:paraId="03296E28" w14:textId="77777777" w:rsidTr="00890D72">
        <w:trPr>
          <w:jc w:val="center"/>
        </w:trPr>
        <w:tc>
          <w:tcPr>
            <w:tcW w:w="3596" w:type="dxa"/>
          </w:tcPr>
          <w:p w14:paraId="6DBA8DE2" w14:textId="77777777" w:rsidR="00540BAB" w:rsidRPr="0013396E" w:rsidRDefault="00540BAB" w:rsidP="005B61C1">
            <w:pPr>
              <w:spacing w:after="120"/>
              <w:rPr>
                <w:b/>
                <w:iCs/>
                <w:sz w:val="20"/>
              </w:rPr>
            </w:pPr>
            <w:r w:rsidRPr="0013396E">
              <w:rPr>
                <w:b/>
                <w:iCs/>
                <w:sz w:val="20"/>
              </w:rPr>
              <w:t>MW</w:t>
            </w:r>
          </w:p>
        </w:tc>
        <w:tc>
          <w:tcPr>
            <w:tcW w:w="2875" w:type="dxa"/>
          </w:tcPr>
          <w:p w14:paraId="28E20D6A" w14:textId="77777777" w:rsidR="00540BAB" w:rsidRPr="0013396E" w:rsidRDefault="00540BAB" w:rsidP="005B61C1">
            <w:pPr>
              <w:spacing w:after="120"/>
              <w:rPr>
                <w:b/>
                <w:iCs/>
                <w:sz w:val="20"/>
              </w:rPr>
            </w:pPr>
            <w:r w:rsidRPr="0013396E">
              <w:rPr>
                <w:b/>
                <w:iCs/>
                <w:sz w:val="20"/>
              </w:rPr>
              <w:t>Price (per MWh)</w:t>
            </w:r>
          </w:p>
        </w:tc>
      </w:tr>
      <w:tr w:rsidR="00540BAB" w:rsidRPr="0013396E" w14:paraId="716711E0" w14:textId="77777777" w:rsidTr="00890D72">
        <w:trPr>
          <w:jc w:val="center"/>
        </w:trPr>
        <w:tc>
          <w:tcPr>
            <w:tcW w:w="3596" w:type="dxa"/>
          </w:tcPr>
          <w:p w14:paraId="6773B56B" w14:textId="01099709" w:rsidR="00540BAB" w:rsidRPr="0013396E" w:rsidRDefault="00540BAB" w:rsidP="005B61C1">
            <w:pPr>
              <w:spacing w:after="60"/>
              <w:rPr>
                <w:iCs/>
                <w:sz w:val="20"/>
              </w:rPr>
            </w:pPr>
            <w:r w:rsidRPr="0013396E">
              <w:rPr>
                <w:iCs/>
                <w:sz w:val="20"/>
              </w:rPr>
              <w:t xml:space="preserve">LPC to MPC minus maximum MW of </w:t>
            </w:r>
            <w:r w:rsidR="00890D72" w:rsidRPr="0013396E">
              <w:rPr>
                <w:iCs/>
                <w:sz w:val="20"/>
              </w:rPr>
              <w:t xml:space="preserve">RTM </w:t>
            </w:r>
            <w:r w:rsidRPr="0013396E">
              <w:rPr>
                <w:iCs/>
                <w:sz w:val="20"/>
              </w:rPr>
              <w:t>Energy Bid</w:t>
            </w:r>
          </w:p>
        </w:tc>
        <w:tc>
          <w:tcPr>
            <w:tcW w:w="2875" w:type="dxa"/>
          </w:tcPr>
          <w:p w14:paraId="5D03AF40" w14:textId="1545EEFC" w:rsidR="00540BAB" w:rsidRPr="0013396E" w:rsidRDefault="00540BAB" w:rsidP="005B61C1">
            <w:pPr>
              <w:spacing w:after="60"/>
              <w:rPr>
                <w:iCs/>
                <w:sz w:val="20"/>
              </w:rPr>
            </w:pPr>
            <w:r w:rsidRPr="0013396E">
              <w:rPr>
                <w:iCs/>
                <w:sz w:val="20"/>
              </w:rPr>
              <w:t xml:space="preserve">Price associated with the lowest MW in submitted </w:t>
            </w:r>
            <w:r w:rsidR="00890D72" w:rsidRPr="0013396E">
              <w:rPr>
                <w:iCs/>
                <w:sz w:val="20"/>
              </w:rPr>
              <w:t xml:space="preserve">RTM </w:t>
            </w:r>
            <w:r w:rsidRPr="0013396E">
              <w:rPr>
                <w:iCs/>
                <w:sz w:val="20"/>
              </w:rPr>
              <w:t xml:space="preserve">Energy Bid </w:t>
            </w:r>
            <w:r w:rsidR="00890D72" w:rsidRPr="0013396E">
              <w:rPr>
                <w:iCs/>
                <w:sz w:val="20"/>
              </w:rPr>
              <w:t>c</w:t>
            </w:r>
            <w:r w:rsidRPr="0013396E">
              <w:rPr>
                <w:iCs/>
                <w:sz w:val="20"/>
              </w:rPr>
              <w:t>urve</w:t>
            </w:r>
          </w:p>
        </w:tc>
      </w:tr>
      <w:tr w:rsidR="00540BAB" w:rsidRPr="0013396E" w14:paraId="5A36AD19" w14:textId="77777777" w:rsidTr="00890D72">
        <w:trPr>
          <w:jc w:val="center"/>
        </w:trPr>
        <w:tc>
          <w:tcPr>
            <w:tcW w:w="3596" w:type="dxa"/>
          </w:tcPr>
          <w:p w14:paraId="1A25A03C" w14:textId="097F16FD" w:rsidR="00540BAB" w:rsidRPr="0013396E" w:rsidRDefault="00540BAB" w:rsidP="005B61C1">
            <w:pPr>
              <w:spacing w:after="60"/>
              <w:rPr>
                <w:iCs/>
                <w:sz w:val="20"/>
              </w:rPr>
            </w:pPr>
            <w:r w:rsidRPr="0013396E">
              <w:rPr>
                <w:iCs/>
                <w:sz w:val="20"/>
              </w:rPr>
              <w:t xml:space="preserve">MPC minus maximum MW of </w:t>
            </w:r>
            <w:r w:rsidR="00890D72" w:rsidRPr="0013396E">
              <w:rPr>
                <w:iCs/>
                <w:sz w:val="20"/>
              </w:rPr>
              <w:t xml:space="preserve">RTM </w:t>
            </w:r>
            <w:r w:rsidRPr="0013396E">
              <w:rPr>
                <w:iCs/>
                <w:sz w:val="20"/>
              </w:rPr>
              <w:t>Energy Bid to MPC</w:t>
            </w:r>
          </w:p>
        </w:tc>
        <w:tc>
          <w:tcPr>
            <w:tcW w:w="2875" w:type="dxa"/>
          </w:tcPr>
          <w:p w14:paraId="3080D9F7" w14:textId="52345B3A" w:rsidR="00540BAB" w:rsidRPr="0013396E" w:rsidRDefault="00890D72" w:rsidP="005B61C1">
            <w:pPr>
              <w:spacing w:after="60"/>
              <w:rPr>
                <w:iCs/>
                <w:sz w:val="20"/>
              </w:rPr>
            </w:pPr>
            <w:r w:rsidRPr="0013396E">
              <w:rPr>
                <w:iCs/>
                <w:sz w:val="20"/>
              </w:rPr>
              <w:t xml:space="preserve">RTM </w:t>
            </w:r>
            <w:r w:rsidR="00540BAB" w:rsidRPr="0013396E">
              <w:rPr>
                <w:iCs/>
                <w:sz w:val="20"/>
              </w:rPr>
              <w:t xml:space="preserve">Energy Bid </w:t>
            </w:r>
            <w:r w:rsidRPr="0013396E">
              <w:rPr>
                <w:iCs/>
                <w:sz w:val="20"/>
              </w:rPr>
              <w:t>c</w:t>
            </w:r>
            <w:r w:rsidR="00540BAB" w:rsidRPr="0013396E">
              <w:rPr>
                <w:iCs/>
                <w:sz w:val="20"/>
              </w:rPr>
              <w:t>urve</w:t>
            </w:r>
          </w:p>
        </w:tc>
      </w:tr>
      <w:tr w:rsidR="00540BAB" w:rsidRPr="0013396E" w14:paraId="6A53E9A6" w14:textId="77777777" w:rsidTr="00890D72">
        <w:trPr>
          <w:jc w:val="center"/>
        </w:trPr>
        <w:tc>
          <w:tcPr>
            <w:tcW w:w="3596" w:type="dxa"/>
          </w:tcPr>
          <w:p w14:paraId="7E9B8626" w14:textId="77777777" w:rsidR="00540BAB" w:rsidRPr="0013396E" w:rsidRDefault="00540BAB" w:rsidP="005B61C1">
            <w:pPr>
              <w:spacing w:after="60"/>
              <w:rPr>
                <w:iCs/>
                <w:sz w:val="20"/>
              </w:rPr>
            </w:pPr>
            <w:r w:rsidRPr="0013396E">
              <w:rPr>
                <w:iCs/>
                <w:sz w:val="20"/>
              </w:rPr>
              <w:t>MPC</w:t>
            </w:r>
          </w:p>
        </w:tc>
        <w:tc>
          <w:tcPr>
            <w:tcW w:w="2875" w:type="dxa"/>
          </w:tcPr>
          <w:p w14:paraId="2F76597D" w14:textId="5A945472" w:rsidR="00540BAB" w:rsidRPr="0013396E" w:rsidRDefault="00540BAB" w:rsidP="005B61C1">
            <w:pPr>
              <w:spacing w:after="60"/>
              <w:rPr>
                <w:iCs/>
                <w:sz w:val="20"/>
              </w:rPr>
            </w:pPr>
            <w:r w:rsidRPr="0013396E">
              <w:rPr>
                <w:iCs/>
                <w:sz w:val="20"/>
              </w:rPr>
              <w:t xml:space="preserve">Right-most point (lowest price) on </w:t>
            </w:r>
            <w:r w:rsidR="00890D72" w:rsidRPr="0013396E">
              <w:rPr>
                <w:iCs/>
                <w:sz w:val="20"/>
              </w:rPr>
              <w:t xml:space="preserve">RTM </w:t>
            </w:r>
            <w:r w:rsidRPr="0013396E">
              <w:rPr>
                <w:iCs/>
                <w:sz w:val="20"/>
              </w:rPr>
              <w:t xml:space="preserve">Energy Bid </w:t>
            </w:r>
            <w:r w:rsidR="00890D72" w:rsidRPr="0013396E">
              <w:rPr>
                <w:iCs/>
                <w:sz w:val="20"/>
              </w:rPr>
              <w:t>c</w:t>
            </w:r>
            <w:r w:rsidRPr="0013396E">
              <w:rPr>
                <w:iCs/>
                <w:sz w:val="20"/>
              </w:rPr>
              <w:t>urve</w:t>
            </w:r>
          </w:p>
        </w:tc>
      </w:tr>
    </w:tbl>
    <w:p w14:paraId="6C1A0FC9" w14:textId="77777777" w:rsidR="00890D72" w:rsidRPr="0013396E" w:rsidRDefault="00890D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90D72" w:rsidRPr="0013396E" w14:paraId="55AFDFD4" w14:textId="77777777" w:rsidTr="00890D72">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53782E12" w14:textId="482B1341" w:rsidR="00890D72" w:rsidRPr="0013396E" w:rsidRDefault="00890D72" w:rsidP="005B61C1">
            <w:pPr>
              <w:spacing w:before="120" w:after="240"/>
              <w:rPr>
                <w:b/>
                <w:i/>
                <w:iCs/>
                <w:szCs w:val="24"/>
              </w:rPr>
            </w:pPr>
            <w:r w:rsidRPr="0013396E">
              <w:rPr>
                <w:b/>
                <w:i/>
                <w:iCs/>
                <w:szCs w:val="24"/>
              </w:rPr>
              <w:t>[NPRR1188:  Replace paragraph (8) above with the following upon system implementation and renumber accordingly:]</w:t>
            </w:r>
          </w:p>
          <w:p w14:paraId="6CEDD5C8" w14:textId="77777777" w:rsidR="00890D72" w:rsidRPr="0013396E" w:rsidRDefault="00890D72" w:rsidP="00890D72">
            <w:pPr>
              <w:spacing w:after="240"/>
              <w:ind w:left="720" w:hanging="720"/>
            </w:pPr>
            <w:r w:rsidRPr="0013396E">
              <w:t>(8)</w:t>
            </w:r>
            <w:r w:rsidRPr="0013396E">
              <w:tab/>
              <w:t>For a CLR whose QSE has submitted an Energy Bid Curve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890D72" w:rsidRPr="0013396E" w14:paraId="1C0C8A41" w14:textId="77777777" w:rsidTr="005B61C1">
              <w:trPr>
                <w:jc w:val="center"/>
              </w:trPr>
              <w:tc>
                <w:tcPr>
                  <w:tcW w:w="3596" w:type="dxa"/>
                </w:tcPr>
                <w:p w14:paraId="7B2F42DA" w14:textId="77777777" w:rsidR="00890D72" w:rsidRPr="0013396E" w:rsidRDefault="00890D72" w:rsidP="00890D72">
                  <w:pPr>
                    <w:spacing w:after="120"/>
                    <w:rPr>
                      <w:b/>
                      <w:iCs/>
                      <w:sz w:val="20"/>
                    </w:rPr>
                  </w:pPr>
                  <w:r w:rsidRPr="0013396E">
                    <w:rPr>
                      <w:b/>
                      <w:iCs/>
                      <w:sz w:val="20"/>
                    </w:rPr>
                    <w:t>MW</w:t>
                  </w:r>
                </w:p>
              </w:tc>
              <w:tc>
                <w:tcPr>
                  <w:tcW w:w="2875" w:type="dxa"/>
                </w:tcPr>
                <w:p w14:paraId="5F24A64C" w14:textId="77777777" w:rsidR="00890D72" w:rsidRPr="0013396E" w:rsidRDefault="00890D72" w:rsidP="00890D72">
                  <w:pPr>
                    <w:spacing w:after="120"/>
                    <w:rPr>
                      <w:b/>
                      <w:iCs/>
                      <w:sz w:val="20"/>
                    </w:rPr>
                  </w:pPr>
                  <w:r w:rsidRPr="0013396E">
                    <w:rPr>
                      <w:b/>
                      <w:iCs/>
                      <w:sz w:val="20"/>
                    </w:rPr>
                    <w:t>Price (per MWh)</w:t>
                  </w:r>
                </w:p>
              </w:tc>
            </w:tr>
            <w:tr w:rsidR="00890D72" w:rsidRPr="0013396E" w14:paraId="4E61C99A" w14:textId="77777777" w:rsidTr="005B61C1">
              <w:trPr>
                <w:jc w:val="center"/>
              </w:trPr>
              <w:tc>
                <w:tcPr>
                  <w:tcW w:w="3596" w:type="dxa"/>
                </w:tcPr>
                <w:p w14:paraId="28208E85" w14:textId="77777777" w:rsidR="00890D72" w:rsidRPr="0013396E" w:rsidRDefault="00890D72" w:rsidP="00890D72">
                  <w:pPr>
                    <w:spacing w:after="60"/>
                    <w:rPr>
                      <w:iCs/>
                      <w:sz w:val="20"/>
                    </w:rPr>
                  </w:pPr>
                  <w:r w:rsidRPr="0013396E">
                    <w:rPr>
                      <w:iCs/>
                      <w:sz w:val="20"/>
                    </w:rPr>
                    <w:t>LPC to MPC minus maximum MW of Energy Bid Curve</w:t>
                  </w:r>
                </w:p>
              </w:tc>
              <w:tc>
                <w:tcPr>
                  <w:tcW w:w="2875" w:type="dxa"/>
                </w:tcPr>
                <w:p w14:paraId="040852EC" w14:textId="77777777" w:rsidR="00890D72" w:rsidRPr="0013396E" w:rsidRDefault="00890D72" w:rsidP="00890D72">
                  <w:pPr>
                    <w:spacing w:after="60"/>
                    <w:rPr>
                      <w:iCs/>
                      <w:sz w:val="20"/>
                    </w:rPr>
                  </w:pPr>
                  <w:r w:rsidRPr="0013396E">
                    <w:rPr>
                      <w:iCs/>
                      <w:sz w:val="20"/>
                    </w:rPr>
                    <w:t>Price associated with the lowest MW in submitted Energy Bid Curve</w:t>
                  </w:r>
                </w:p>
              </w:tc>
            </w:tr>
            <w:tr w:rsidR="00890D72" w:rsidRPr="0013396E" w14:paraId="7FCD1400" w14:textId="77777777" w:rsidTr="005B61C1">
              <w:trPr>
                <w:jc w:val="center"/>
              </w:trPr>
              <w:tc>
                <w:tcPr>
                  <w:tcW w:w="3596" w:type="dxa"/>
                </w:tcPr>
                <w:p w14:paraId="187FF6AF" w14:textId="77777777" w:rsidR="00890D72" w:rsidRPr="0013396E" w:rsidRDefault="00890D72" w:rsidP="00890D72">
                  <w:pPr>
                    <w:spacing w:after="60"/>
                    <w:rPr>
                      <w:iCs/>
                      <w:sz w:val="20"/>
                    </w:rPr>
                  </w:pPr>
                  <w:r w:rsidRPr="0013396E">
                    <w:rPr>
                      <w:iCs/>
                      <w:sz w:val="20"/>
                    </w:rPr>
                    <w:lastRenderedPageBreak/>
                    <w:t>MPC minus maximum MW of Energy Bid Curve to MPC</w:t>
                  </w:r>
                </w:p>
              </w:tc>
              <w:tc>
                <w:tcPr>
                  <w:tcW w:w="2875" w:type="dxa"/>
                </w:tcPr>
                <w:p w14:paraId="002753F8" w14:textId="77777777" w:rsidR="00890D72" w:rsidRPr="0013396E" w:rsidRDefault="00890D72" w:rsidP="00890D72">
                  <w:pPr>
                    <w:spacing w:after="60"/>
                    <w:rPr>
                      <w:iCs/>
                      <w:sz w:val="20"/>
                    </w:rPr>
                  </w:pPr>
                  <w:r w:rsidRPr="0013396E">
                    <w:rPr>
                      <w:iCs/>
                      <w:sz w:val="20"/>
                    </w:rPr>
                    <w:t>Energy Bid Curve</w:t>
                  </w:r>
                </w:p>
              </w:tc>
            </w:tr>
            <w:tr w:rsidR="00890D72" w:rsidRPr="0013396E" w14:paraId="46A6D377" w14:textId="77777777" w:rsidTr="005B61C1">
              <w:trPr>
                <w:jc w:val="center"/>
              </w:trPr>
              <w:tc>
                <w:tcPr>
                  <w:tcW w:w="3596" w:type="dxa"/>
                </w:tcPr>
                <w:p w14:paraId="79854C11" w14:textId="77777777" w:rsidR="00890D72" w:rsidRPr="0013396E" w:rsidRDefault="00890D72" w:rsidP="00890D72">
                  <w:pPr>
                    <w:spacing w:after="60"/>
                    <w:rPr>
                      <w:iCs/>
                      <w:sz w:val="20"/>
                    </w:rPr>
                  </w:pPr>
                  <w:r w:rsidRPr="0013396E">
                    <w:rPr>
                      <w:iCs/>
                      <w:sz w:val="20"/>
                    </w:rPr>
                    <w:t>MPC</w:t>
                  </w:r>
                </w:p>
              </w:tc>
              <w:tc>
                <w:tcPr>
                  <w:tcW w:w="2875" w:type="dxa"/>
                </w:tcPr>
                <w:p w14:paraId="09C43160" w14:textId="77777777" w:rsidR="00890D72" w:rsidRPr="0013396E" w:rsidRDefault="00890D72" w:rsidP="00890D72">
                  <w:pPr>
                    <w:spacing w:after="60"/>
                    <w:rPr>
                      <w:iCs/>
                      <w:sz w:val="20"/>
                    </w:rPr>
                  </w:pPr>
                  <w:r w:rsidRPr="0013396E">
                    <w:rPr>
                      <w:iCs/>
                      <w:sz w:val="20"/>
                    </w:rPr>
                    <w:t>Right-most point (lowest price) on Energy Bid Curve</w:t>
                  </w:r>
                </w:p>
              </w:tc>
            </w:tr>
          </w:tbl>
          <w:p w14:paraId="1529B548" w14:textId="77777777" w:rsidR="00890D72" w:rsidRPr="0013396E" w:rsidRDefault="00890D72" w:rsidP="00890D72">
            <w:pPr>
              <w:spacing w:before="240" w:after="240"/>
              <w:ind w:left="720" w:hanging="720"/>
            </w:pPr>
            <w:r w:rsidRPr="0013396E">
              <w:t>(9)</w:t>
            </w:r>
            <w:r w:rsidRPr="0013396E">
              <w:tab/>
              <w:t>For a CLR whose QSE has not submitted an Energy Bid Curve, consistent with the CLR’s telemetered quantities, ERCOT shall create a proxy Energy Bid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890D72" w:rsidRPr="0013396E" w14:paraId="2E5E486B" w14:textId="77777777" w:rsidTr="005B61C1">
              <w:trPr>
                <w:jc w:val="center"/>
              </w:trPr>
              <w:tc>
                <w:tcPr>
                  <w:tcW w:w="3596" w:type="dxa"/>
                </w:tcPr>
                <w:p w14:paraId="7C1C43E0" w14:textId="77777777" w:rsidR="00890D72" w:rsidRPr="0013396E" w:rsidRDefault="00890D72" w:rsidP="00890D72">
                  <w:pPr>
                    <w:spacing w:after="240"/>
                    <w:rPr>
                      <w:b/>
                      <w:iCs/>
                      <w:sz w:val="20"/>
                    </w:rPr>
                  </w:pPr>
                  <w:r w:rsidRPr="0013396E">
                    <w:rPr>
                      <w:b/>
                      <w:iCs/>
                      <w:sz w:val="20"/>
                    </w:rPr>
                    <w:t>MW</w:t>
                  </w:r>
                </w:p>
              </w:tc>
              <w:tc>
                <w:tcPr>
                  <w:tcW w:w="2875" w:type="dxa"/>
                </w:tcPr>
                <w:p w14:paraId="6364D578" w14:textId="77777777" w:rsidR="00890D72" w:rsidRPr="0013396E" w:rsidRDefault="00890D72" w:rsidP="00890D72">
                  <w:pPr>
                    <w:spacing w:after="240"/>
                    <w:rPr>
                      <w:b/>
                      <w:iCs/>
                      <w:sz w:val="20"/>
                    </w:rPr>
                  </w:pPr>
                  <w:r w:rsidRPr="0013396E">
                    <w:rPr>
                      <w:b/>
                      <w:iCs/>
                      <w:sz w:val="20"/>
                    </w:rPr>
                    <w:t>Price (per MWh)</w:t>
                  </w:r>
                </w:p>
              </w:tc>
            </w:tr>
            <w:tr w:rsidR="00890D72" w:rsidRPr="0013396E" w14:paraId="01933483" w14:textId="77777777" w:rsidTr="005B61C1">
              <w:trPr>
                <w:jc w:val="center"/>
              </w:trPr>
              <w:tc>
                <w:tcPr>
                  <w:tcW w:w="3596" w:type="dxa"/>
                </w:tcPr>
                <w:p w14:paraId="720CF2F5" w14:textId="77777777" w:rsidR="00890D72" w:rsidRPr="0013396E" w:rsidRDefault="00890D72" w:rsidP="00890D72">
                  <w:pPr>
                    <w:spacing w:after="60"/>
                    <w:rPr>
                      <w:iCs/>
                      <w:sz w:val="20"/>
                    </w:rPr>
                  </w:pPr>
                  <w:r w:rsidRPr="0013396E">
                    <w:rPr>
                      <w:iCs/>
                      <w:sz w:val="20"/>
                    </w:rPr>
                    <w:t xml:space="preserve">LPC to MPC </w:t>
                  </w:r>
                </w:p>
              </w:tc>
              <w:tc>
                <w:tcPr>
                  <w:tcW w:w="2875" w:type="dxa"/>
                </w:tcPr>
                <w:p w14:paraId="75D182C8" w14:textId="77777777" w:rsidR="00890D72" w:rsidRPr="0013396E" w:rsidRDefault="00890D72" w:rsidP="00890D72">
                  <w:pPr>
                    <w:spacing w:after="60"/>
                    <w:rPr>
                      <w:iCs/>
                      <w:sz w:val="20"/>
                    </w:rPr>
                  </w:pPr>
                  <w:r w:rsidRPr="0013396E">
                    <w:rPr>
                      <w:sz w:val="20"/>
                    </w:rPr>
                    <w:t>Effective</w:t>
                  </w:r>
                  <w:r w:rsidRPr="0013396E">
                    <w:rPr>
                      <w:iCs/>
                      <w:sz w:val="20"/>
                    </w:rPr>
                    <w:t xml:space="preserve"> Value of Lost Load (VOLL)</w:t>
                  </w:r>
                </w:p>
              </w:tc>
            </w:tr>
          </w:tbl>
          <w:p w14:paraId="448C4E97" w14:textId="4912AFC4" w:rsidR="00890D72" w:rsidRPr="0013396E" w:rsidRDefault="00890D72" w:rsidP="005B61C1">
            <w:pPr>
              <w:spacing w:after="240"/>
              <w:ind w:left="720" w:hanging="720"/>
            </w:pPr>
          </w:p>
        </w:tc>
      </w:tr>
    </w:tbl>
    <w:p w14:paraId="0B1C387F" w14:textId="028D1919" w:rsidR="00540BAB" w:rsidRPr="0013396E" w:rsidRDefault="00540BAB" w:rsidP="00540BAB">
      <w:pPr>
        <w:spacing w:before="240" w:after="240"/>
        <w:ind w:left="720" w:hanging="720"/>
      </w:pPr>
      <w:r w:rsidRPr="0013396E">
        <w:lastRenderedPageBreak/>
        <w:t>(</w:t>
      </w:r>
      <w:r w:rsidR="00890D72" w:rsidRPr="0013396E">
        <w:t>9</w:t>
      </w:r>
      <w:r w:rsidRPr="0013396E">
        <w:t>)</w:t>
      </w:r>
      <w:r w:rsidRPr="0013396E">
        <w:tab/>
        <w:t xml:space="preserve">ERCOT shall ensure that any </w:t>
      </w:r>
      <w:r w:rsidR="00890D72" w:rsidRPr="0013396E">
        <w:t xml:space="preserve">RTM </w:t>
      </w:r>
      <w:r w:rsidRPr="0013396E">
        <w:t xml:space="preserve">Energy Bid is monotonically non-increasing.  The QSE representing the CLR shall be responsible for all </w:t>
      </w:r>
      <w:r w:rsidR="00F36338" w:rsidRPr="0013396E">
        <w:t xml:space="preserve">RTM </w:t>
      </w:r>
      <w:r w:rsidRPr="0013396E">
        <w:t xml:space="preserve">Energy Bids, including </w:t>
      </w:r>
      <w:r w:rsidR="00F36338" w:rsidRPr="0013396E">
        <w:t>bids</w:t>
      </w:r>
      <w:r w:rsidRPr="0013396E">
        <w:t xml:space="preserve"> updated by ERCOT as described above.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90D72" w:rsidRPr="0013396E" w14:paraId="6F933DA7" w14:textId="77777777" w:rsidTr="005B61C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4906C0E0" w14:textId="0A9EDABA" w:rsidR="00890D72" w:rsidRPr="0013396E" w:rsidRDefault="00890D72" w:rsidP="005B61C1">
            <w:pPr>
              <w:spacing w:before="120" w:after="240"/>
              <w:rPr>
                <w:b/>
                <w:i/>
                <w:iCs/>
                <w:szCs w:val="24"/>
              </w:rPr>
            </w:pPr>
            <w:r w:rsidRPr="0013396E">
              <w:rPr>
                <w:b/>
                <w:i/>
                <w:iCs/>
                <w:szCs w:val="24"/>
              </w:rPr>
              <w:t>[NPRR1188:  Replace paragraph (9) above with the following upon system implementation:]</w:t>
            </w:r>
          </w:p>
          <w:p w14:paraId="23222286" w14:textId="306CC891" w:rsidR="00890D72" w:rsidRPr="0013396E" w:rsidRDefault="00890D72" w:rsidP="00890D72">
            <w:pPr>
              <w:spacing w:before="240" w:after="240"/>
              <w:ind w:left="720" w:hanging="720"/>
            </w:pPr>
            <w:r w:rsidRPr="0013396E">
              <w:t>(9)</w:t>
            </w:r>
            <w:r w:rsidRPr="0013396E">
              <w:tab/>
              <w:t>ERCOT shall ensure that any Energy Bid Curve is monotonically non-increasing.  The QSE representing the CLR shall be responsible for all Energy Bid Curves, including Energy Bid Curves updated by ERCOT as described above.</w:t>
            </w:r>
          </w:p>
        </w:tc>
      </w:tr>
    </w:tbl>
    <w:p w14:paraId="54B0297E" w14:textId="573A96AB" w:rsidR="00540BAB" w:rsidRPr="0013396E" w:rsidRDefault="00F36338" w:rsidP="007A1E53">
      <w:pPr>
        <w:spacing w:before="240" w:after="240"/>
        <w:ind w:left="720" w:hanging="720"/>
      </w:pPr>
      <w:r w:rsidRPr="0013396E">
        <w:t>(10)</w:t>
      </w:r>
      <w:r w:rsidRPr="0013396E">
        <w:tab/>
        <w:t>If a CLR telemeters a status of OUTL, it is not considered as dispatchable capacity by SCED.  A QSE may use this function to inform ERCOT of instances when the CLR is unable to follow SCED Dispatch Instructions.  Under all telemetered statuses, including OUTL, the remaining telemetry quantities submitted by the QSE shall represent the operating conditions of the CLR that can be verified by ERCOT.  A QSE representing a CLR with a telemetered status of OUTL is still obligated to provide any applicable Ancillary Services awarded to the Resource.  This paragraph does not apply to 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36338" w:rsidRPr="0013396E" w14:paraId="7EC87766" w14:textId="77777777" w:rsidTr="005B61C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A3372D2" w14:textId="1F53E57A" w:rsidR="00F36338" w:rsidRPr="0013396E" w:rsidRDefault="00F36338" w:rsidP="005B61C1">
            <w:pPr>
              <w:spacing w:before="120" w:after="240"/>
              <w:rPr>
                <w:b/>
                <w:i/>
                <w:iCs/>
                <w:szCs w:val="24"/>
              </w:rPr>
            </w:pPr>
            <w:r w:rsidRPr="00657137">
              <w:rPr>
                <w:b/>
                <w:i/>
                <w:iCs/>
                <w:szCs w:val="24"/>
              </w:rPr>
              <w:t>[NPRR1188:  Replace paragraph (10) above with the following upon system implementation:]</w:t>
            </w:r>
          </w:p>
          <w:p w14:paraId="52C8DCB9" w14:textId="65B3A075" w:rsidR="00F36338" w:rsidRPr="0013396E" w:rsidRDefault="00F36338" w:rsidP="00F36338">
            <w:pPr>
              <w:spacing w:after="240"/>
              <w:ind w:left="720" w:hanging="720"/>
            </w:pPr>
            <w:r w:rsidRPr="0013396E">
              <w:t>(10)</w:t>
            </w:r>
            <w:r w:rsidRPr="0013396E">
              <w:tab/>
            </w:r>
            <w:r w:rsidRPr="0013396E">
              <w:rPr>
                <w:iCs/>
              </w:rPr>
              <w:t xml:space="preserve">A CLR may consume energy only when dispatched by SCED to do so.  </w:t>
            </w:r>
            <w:r w:rsidRPr="0013396E">
              <w:t xml:space="preserve">A CLR may telemeter a status of OUTL only if the Resource is Off-Line and unavailable with its energy consumption at zero.  In instances when the CLR is unable to follow SCED Dispatch Instructions but still consumes energy, the CLR must submit a Resource Status of ONHOLD.  Under all telemetered statuses, including OUTL, the remaining telemetry quantities submitted by the QSE shall represent the operating conditions of the CLR that can be verified by ERCOT.  A QSE representing a CLR with a </w:t>
            </w:r>
            <w:r w:rsidRPr="0013396E">
              <w:lastRenderedPageBreak/>
              <w:t>telemetered status of OUTL or ONHOLD is still obligated to provide any applicable Ancillary Services awarded to the Resource.  This paragraph does not apply to ESRs.</w:t>
            </w:r>
          </w:p>
        </w:tc>
      </w:tr>
    </w:tbl>
    <w:p w14:paraId="053499F3" w14:textId="2BBC271B" w:rsidR="00540BAB" w:rsidRPr="0013396E" w:rsidRDefault="00540BAB" w:rsidP="007A1E53">
      <w:pPr>
        <w:spacing w:before="240" w:after="240"/>
        <w:ind w:left="720" w:hanging="720"/>
      </w:pPr>
      <w:r w:rsidRPr="0013396E">
        <w:lastRenderedPageBreak/>
        <w:t>(1</w:t>
      </w:r>
      <w:r w:rsidR="00B73499">
        <w:t>1</w:t>
      </w:r>
      <w:r w:rsidRPr="0013396E">
        <w:t>)</w:t>
      </w:r>
      <w:r w:rsidRPr="0013396E">
        <w:tab/>
        <w:t>Energy Offer Curves that were constructed in whole or in part with proxy Energy Offer Curves shall be so marked in all ERCOT postings or references to the energy offer.</w:t>
      </w:r>
    </w:p>
    <w:p w14:paraId="4E02A437" w14:textId="41D2EFCB" w:rsidR="00540BAB" w:rsidRPr="0013396E" w:rsidRDefault="00540BAB" w:rsidP="00540BAB">
      <w:pPr>
        <w:spacing w:before="240" w:after="240"/>
        <w:ind w:left="720" w:hanging="720"/>
      </w:pPr>
      <w:r w:rsidRPr="0013396E">
        <w:t>(1</w:t>
      </w:r>
      <w:r w:rsidR="00B73499">
        <w:t>2</w:t>
      </w:r>
      <w:r w:rsidRPr="0013396E">
        <w:t>)</w:t>
      </w:r>
      <w:r w:rsidRPr="0013396E">
        <w:tab/>
        <w:t>SCED will enforce Resource-specific Ancillary Service constraints to ensure that Ancillary Service awards are aligned with a Resource’s qualifications and telemetered Ancillary Service capabilities.</w:t>
      </w:r>
    </w:p>
    <w:p w14:paraId="5662C0E0" w14:textId="77777777" w:rsidR="00540BAB" w:rsidRPr="0013396E" w:rsidRDefault="00540BAB" w:rsidP="00540BAB">
      <w:pPr>
        <w:spacing w:after="240"/>
        <w:ind w:left="1419" w:hanging="720"/>
      </w:pPr>
      <w:r w:rsidRPr="0013396E">
        <w:t>(a)</w:t>
      </w:r>
      <w:r w:rsidRPr="0013396E">
        <w:tab/>
        <w:t>A scaling factor of 5/7 shall be used for Reg-Up award when ensuring that the SCED Base Point plus the product of this scaling factor and the Reg-Up award does not exceed HDL.</w:t>
      </w:r>
    </w:p>
    <w:p w14:paraId="258E249F" w14:textId="77777777" w:rsidR="00540BAB" w:rsidRPr="0013396E" w:rsidRDefault="00540BAB" w:rsidP="00540BAB">
      <w:pPr>
        <w:spacing w:after="240"/>
        <w:ind w:left="1419" w:hanging="720"/>
      </w:pPr>
      <w:r w:rsidRPr="0013396E">
        <w:t>(b)</w:t>
      </w:r>
      <w:r w:rsidRPr="0013396E">
        <w:tab/>
        <w:t>A scaling factor of 5/7 shall be used for Reg-Down award when ensuring that the SCED Base Point minus the product of this scaling factor and the Reg-Down award does not go below LDL.</w:t>
      </w:r>
    </w:p>
    <w:p w14:paraId="591FBA08" w14:textId="7EAB3658" w:rsidR="00540BAB" w:rsidRPr="0013396E" w:rsidRDefault="00540BAB" w:rsidP="00540BAB">
      <w:pPr>
        <w:spacing w:before="240" w:after="240"/>
        <w:ind w:left="720" w:hanging="720"/>
      </w:pPr>
      <w:r w:rsidRPr="0013396E">
        <w:t>(1</w:t>
      </w:r>
      <w:r w:rsidR="00B73499">
        <w:t>3</w:t>
      </w:r>
      <w:r w:rsidRPr="0013396E">
        <w:t>)</w:t>
      </w:r>
      <w:r w:rsidRPr="0013396E">
        <w:tab/>
        <w:t>Energy Bid/Offer Curves that were constructed in whole or in part with proxy Energy Bid/Offer Curves shall be so marked in all ERCOT postings or references to the energy bid/offer.</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47103" w:rsidRPr="0013396E" w14:paraId="600E668A" w14:textId="77777777" w:rsidTr="00A86863">
        <w:trPr>
          <w:trHeight w:val="206"/>
        </w:trPr>
        <w:tc>
          <w:tcPr>
            <w:tcW w:w="9350" w:type="dxa"/>
            <w:shd w:val="pct12" w:color="auto" w:fill="auto"/>
          </w:tcPr>
          <w:p w14:paraId="0C4FF585" w14:textId="673EA1F5" w:rsidR="00847103" w:rsidRPr="0013396E" w:rsidRDefault="00847103" w:rsidP="00A86863">
            <w:pPr>
              <w:pStyle w:val="Instructions"/>
              <w:spacing w:before="120"/>
            </w:pPr>
            <w:r w:rsidRPr="0013396E">
              <w:t>[NPRR1</w:t>
            </w:r>
            <w:r>
              <w:t>309</w:t>
            </w:r>
            <w:r w:rsidRPr="0013396E">
              <w:t xml:space="preserve">:  </w:t>
            </w:r>
            <w:r>
              <w:t>Insert</w:t>
            </w:r>
            <w:r w:rsidRPr="0013396E">
              <w:t xml:space="preserve"> paragraph</w:t>
            </w:r>
            <w:r>
              <w:t>s</w:t>
            </w:r>
            <w:r w:rsidRPr="0013396E">
              <w:t xml:space="preserve"> (</w:t>
            </w:r>
            <w:r>
              <w:t>14</w:t>
            </w:r>
            <w:r w:rsidRPr="0013396E">
              <w:t>)</w:t>
            </w:r>
            <w:r>
              <w:t xml:space="preserve"> and (15)</w:t>
            </w:r>
            <w:r w:rsidRPr="0013396E">
              <w:t xml:space="preserve"> </w:t>
            </w:r>
            <w:r>
              <w:t>below</w:t>
            </w:r>
            <w:r w:rsidRPr="0013396E">
              <w:t xml:space="preserve"> upon system implementation</w:t>
            </w:r>
            <w:r>
              <w:t xml:space="preserve"> and renumber accordingly</w:t>
            </w:r>
            <w:r w:rsidRPr="0013396E">
              <w:t>:]</w:t>
            </w:r>
          </w:p>
          <w:p w14:paraId="1723C004" w14:textId="77777777" w:rsidR="00847103" w:rsidRPr="00847103" w:rsidRDefault="00847103" w:rsidP="00847103">
            <w:pPr>
              <w:spacing w:after="240"/>
              <w:rPr>
                <w:rFonts w:eastAsia="SimSun"/>
                <w:szCs w:val="24"/>
              </w:rPr>
            </w:pPr>
            <w:r w:rsidRPr="00847103">
              <w:rPr>
                <w:rFonts w:eastAsia="SimSun"/>
                <w:szCs w:val="24"/>
              </w:rPr>
              <w:t>(14)</w:t>
            </w:r>
            <w:r w:rsidRPr="00847103">
              <w:rPr>
                <w:rFonts w:eastAsia="SimSun"/>
                <w:szCs w:val="24"/>
              </w:rPr>
              <w:tab/>
              <w:t>The following Resource-level constraints will apply to DRRS Real-Time awards:</w:t>
            </w:r>
          </w:p>
          <w:p w14:paraId="518A1ED6" w14:textId="77777777" w:rsidR="00847103" w:rsidRPr="00847103" w:rsidRDefault="00847103" w:rsidP="00847103">
            <w:pPr>
              <w:spacing w:after="240"/>
              <w:ind w:left="1440" w:hanging="720"/>
              <w:rPr>
                <w:rFonts w:eastAsia="SimSun"/>
                <w:szCs w:val="24"/>
              </w:rPr>
            </w:pPr>
            <w:r w:rsidRPr="00847103">
              <w:rPr>
                <w:rFonts w:eastAsia="SimSun"/>
                <w:szCs w:val="24"/>
              </w:rPr>
              <w:t>(a)</w:t>
            </w:r>
            <w:r w:rsidRPr="00847103">
              <w:rPr>
                <w:rFonts w:eastAsia="SimSun"/>
                <w:szCs w:val="24"/>
              </w:rPr>
              <w:tab/>
              <w:t xml:space="preserve">To be eligible for a Real-Time DRRS award, the QSE for a Resource must have submitted and maintained a Resource Status in the COP of any of the following both for DRUC and for each subsequent run of HRUC for a given Operating Hour: ON, ONOS, ONOPTOUT, ONRUC, OFFQS, ONSC, ONEMR, OFF (if eligible for Non-Spin), or DRRS.  </w:t>
            </w:r>
          </w:p>
          <w:p w14:paraId="3ACDD939" w14:textId="77777777" w:rsidR="00847103" w:rsidRPr="00847103" w:rsidRDefault="00847103" w:rsidP="00847103">
            <w:pPr>
              <w:spacing w:after="240"/>
              <w:ind w:left="1440" w:hanging="720"/>
              <w:rPr>
                <w:rFonts w:eastAsia="SimSun"/>
                <w:szCs w:val="24"/>
              </w:rPr>
            </w:pPr>
            <w:r w:rsidRPr="00847103">
              <w:rPr>
                <w:rFonts w:eastAsia="SimSun"/>
                <w:szCs w:val="24"/>
              </w:rPr>
              <w:t>(b)</w:t>
            </w:r>
            <w:r w:rsidRPr="00847103">
              <w:rPr>
                <w:rFonts w:eastAsia="SimSun"/>
                <w:szCs w:val="24"/>
              </w:rPr>
              <w:tab/>
              <w:t>Where a Resource has an OFF Resource Status and is qualified to provide Non-Spin, or a DRRS Resource Status, the DRRS capability must be less than or equal to the Off-Line Non-Spin and Off-Line DRRS qualified MW respectively.</w:t>
            </w:r>
          </w:p>
          <w:p w14:paraId="0613459D" w14:textId="77777777" w:rsidR="00847103" w:rsidRPr="00847103" w:rsidRDefault="00847103" w:rsidP="00847103">
            <w:pPr>
              <w:spacing w:after="240"/>
              <w:ind w:left="1440" w:hanging="720"/>
              <w:rPr>
                <w:szCs w:val="24"/>
              </w:rPr>
            </w:pPr>
            <w:r w:rsidRPr="00847103">
              <w:rPr>
                <w:szCs w:val="24"/>
              </w:rPr>
              <w:t>(c)</w:t>
            </w:r>
            <w:r w:rsidRPr="00847103">
              <w:rPr>
                <w:szCs w:val="24"/>
              </w:rPr>
              <w:tab/>
              <w:t>For any DRRS-eligible On-Line Generation Resource, the Resource’s HSL must be greater than or equal to the sum of the Resource-specific awards to that Resource for energy, RRS, ECRS, Reg-Up, Reg-Down, Non-Spin, and DRRS.</w:t>
            </w:r>
          </w:p>
          <w:p w14:paraId="2C624CB6" w14:textId="77777777" w:rsidR="00847103" w:rsidRPr="00847103" w:rsidRDefault="00847103" w:rsidP="00847103">
            <w:pPr>
              <w:spacing w:after="240"/>
              <w:ind w:left="1440" w:hanging="720"/>
              <w:rPr>
                <w:szCs w:val="24"/>
              </w:rPr>
            </w:pPr>
            <w:r w:rsidRPr="00847103">
              <w:rPr>
                <w:szCs w:val="24"/>
              </w:rPr>
              <w:t>(d)</w:t>
            </w:r>
            <w:r w:rsidRPr="00847103">
              <w:rPr>
                <w:szCs w:val="24"/>
              </w:rPr>
              <w:tab/>
              <w:t>For any Off-Line Generation Resource, the sum of awards to that Resource for ECRS, Non-Spin, and DRRS must be less than or equal to the Resource’s HSL.</w:t>
            </w:r>
          </w:p>
          <w:p w14:paraId="5225B031" w14:textId="77777777" w:rsidR="00847103" w:rsidRPr="00847103" w:rsidRDefault="00847103" w:rsidP="00847103">
            <w:pPr>
              <w:spacing w:after="240"/>
              <w:ind w:left="1440" w:hanging="720"/>
              <w:rPr>
                <w:szCs w:val="24"/>
              </w:rPr>
            </w:pPr>
            <w:r w:rsidRPr="00847103">
              <w:rPr>
                <w:szCs w:val="24"/>
              </w:rPr>
              <w:lastRenderedPageBreak/>
              <w:t>(e)</w:t>
            </w:r>
            <w:r w:rsidRPr="00847103">
              <w:rPr>
                <w:szCs w:val="24"/>
              </w:rPr>
              <w:tab/>
              <w:t>DRRS awards for Off-Line Generation Resources are limited by their Off-Line DRRS-qualified MW.</w:t>
            </w:r>
          </w:p>
          <w:p w14:paraId="0AE52BFC" w14:textId="77777777" w:rsidR="00847103" w:rsidRPr="00847103" w:rsidRDefault="00847103" w:rsidP="00847103">
            <w:pPr>
              <w:spacing w:after="240"/>
              <w:ind w:left="1440" w:hanging="720"/>
              <w:rPr>
                <w:szCs w:val="24"/>
              </w:rPr>
            </w:pPr>
            <w:r w:rsidRPr="00847103">
              <w:rPr>
                <w:szCs w:val="24"/>
              </w:rPr>
              <w:t>(f)</w:t>
            </w:r>
            <w:r w:rsidRPr="00847103">
              <w:rPr>
                <w:szCs w:val="24"/>
              </w:rPr>
              <w:tab/>
              <w:t>DRRS awards for On-Line Generation Resources are limited to the minimum of the difference between the HSL and LSL, and the On-Line DRRS-qualified MW.</w:t>
            </w:r>
          </w:p>
          <w:p w14:paraId="14D51068" w14:textId="77777777" w:rsidR="00847103" w:rsidRPr="00847103" w:rsidRDefault="00847103" w:rsidP="00847103">
            <w:pPr>
              <w:spacing w:after="240"/>
              <w:rPr>
                <w:rFonts w:eastAsia="SimSun"/>
                <w:szCs w:val="24"/>
              </w:rPr>
            </w:pPr>
            <w:r w:rsidRPr="00847103">
              <w:rPr>
                <w:rFonts w:eastAsia="SimSun"/>
                <w:szCs w:val="24"/>
              </w:rPr>
              <w:t>(15)</w:t>
            </w:r>
            <w:r w:rsidRPr="00847103">
              <w:rPr>
                <w:rFonts w:eastAsia="SimSun"/>
                <w:szCs w:val="24"/>
              </w:rPr>
              <w:tab/>
              <w:t>The following QSE-level constraints will apply to DRRS Real-Time awards:</w:t>
            </w:r>
          </w:p>
          <w:p w14:paraId="2F04A3D8" w14:textId="2CEC4F1D" w:rsidR="00847103" w:rsidRPr="00847103" w:rsidRDefault="00847103" w:rsidP="00847103">
            <w:pPr>
              <w:spacing w:after="240"/>
              <w:ind w:left="1440" w:hanging="720"/>
              <w:rPr>
                <w:rFonts w:eastAsia="SimSun"/>
                <w:szCs w:val="24"/>
              </w:rPr>
            </w:pPr>
            <w:r w:rsidRPr="00847103">
              <w:rPr>
                <w:rFonts w:eastAsia="SimSun"/>
                <w:szCs w:val="24"/>
              </w:rPr>
              <w:t>(a)</w:t>
            </w:r>
            <w:r w:rsidRPr="00847103">
              <w:rPr>
                <w:rFonts w:eastAsia="SimSun"/>
                <w:szCs w:val="24"/>
              </w:rPr>
              <w:tab/>
              <w:t>For a given Operating Hour, the absolute minimum validated DRRS MW capability submitted in COP as accounted for in paragraph (14)(a) above shall constitute the maximum capability for which a Resource can be considered for a Real-Time DRRS Ancillary Service award.</w:t>
            </w:r>
          </w:p>
        </w:tc>
      </w:tr>
    </w:tbl>
    <w:p w14:paraId="3130AFAE" w14:textId="3D008DD7" w:rsidR="00540BAB" w:rsidRPr="0013396E" w:rsidRDefault="00540BAB" w:rsidP="00540BAB">
      <w:pPr>
        <w:spacing w:before="240" w:after="240"/>
        <w:ind w:left="720" w:hanging="720"/>
      </w:pPr>
      <w:r w:rsidRPr="0013396E">
        <w:lastRenderedPageBreak/>
        <w:t>(1</w:t>
      </w:r>
      <w:r w:rsidR="00B73499">
        <w:t>4</w:t>
      </w:r>
      <w:r w:rsidRPr="0013396E">
        <w:t>)</w:t>
      </w:r>
      <w:r w:rsidRPr="0013396E">
        <w:tab/>
        <w:t>The two-step SCED methodology referenced in paragraph (1) above is:</w:t>
      </w:r>
    </w:p>
    <w:p w14:paraId="33D079D5" w14:textId="55685ED6" w:rsidR="00540BAB" w:rsidRPr="0013396E" w:rsidRDefault="00540BAB" w:rsidP="00540BAB">
      <w:pPr>
        <w:spacing w:after="240"/>
        <w:ind w:left="1440" w:hanging="720"/>
      </w:pPr>
      <w:r w:rsidRPr="0013396E">
        <w:t>(a)</w:t>
      </w:r>
      <w:r w:rsidRPr="0013396E">
        <w:tab/>
        <w:t xml:space="preserve">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w:t>
      </w:r>
      <w:r w:rsidR="00F36338" w:rsidRPr="0013396E">
        <w:t xml:space="preserve">RTM </w:t>
      </w:r>
      <w:r w:rsidRPr="0013396E">
        <w:t xml:space="preserve">Energy Bids from available CLRs, whether submitted by QSEs or created by ERCOT under this Section, are used in the SCED to determine “Reference LMPs.”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36338" w:rsidRPr="0013396E" w14:paraId="4BE2699E" w14:textId="77777777" w:rsidTr="005B61C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57828FA3" w14:textId="41DA7A86" w:rsidR="00F36338" w:rsidRPr="0013396E" w:rsidRDefault="00F36338" w:rsidP="005B61C1">
            <w:pPr>
              <w:spacing w:before="120" w:after="240"/>
              <w:rPr>
                <w:b/>
                <w:i/>
                <w:iCs/>
                <w:szCs w:val="24"/>
              </w:rPr>
            </w:pPr>
            <w:r w:rsidRPr="0013396E">
              <w:rPr>
                <w:b/>
                <w:i/>
                <w:iCs/>
                <w:szCs w:val="24"/>
              </w:rPr>
              <w:t>[NPRR1188:  Replace paragraph (a) above with the following upon system implementation:]</w:t>
            </w:r>
          </w:p>
          <w:p w14:paraId="46CD4525" w14:textId="313914A1" w:rsidR="00F36338" w:rsidRPr="0013396E" w:rsidRDefault="00F36338" w:rsidP="00F36338">
            <w:pPr>
              <w:spacing w:after="240"/>
              <w:ind w:left="1440" w:hanging="720"/>
            </w:pPr>
            <w:r w:rsidRPr="0013396E">
              <w:t>(a)</w:t>
            </w:r>
            <w:r w:rsidRPr="0013396E">
              <w:tab/>
              <w:t>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Energy Bid Curves from available CLRs, whether submitted by QSEs or created by ERCOT under this Section, are used in the SCED to determine “Reference LMPs.”</w:t>
            </w:r>
          </w:p>
        </w:tc>
      </w:tr>
    </w:tbl>
    <w:p w14:paraId="5FDEAF20" w14:textId="7536A13B" w:rsidR="00540BAB" w:rsidRPr="0013396E" w:rsidRDefault="00540BAB" w:rsidP="007A1E53">
      <w:pPr>
        <w:spacing w:before="240" w:after="240"/>
        <w:ind w:left="1440" w:hanging="720"/>
      </w:pPr>
      <w:r w:rsidRPr="0013396E">
        <w:t>(b)</w:t>
      </w:r>
      <w:r w:rsidRPr="0013396E">
        <w:tab/>
        <w:t>The second step is to execute the SCED process to produce Base Points, Ancillary Service awards, Shadow Prices, Real-Time MCPCs, and LMPs, subject to security constraints (including Competitive and Non-Competitive Constraints) and other Resource constraints.  The second step must:</w:t>
      </w:r>
    </w:p>
    <w:p w14:paraId="7CF15B27" w14:textId="77777777" w:rsidR="00540BAB" w:rsidRPr="0013396E" w:rsidRDefault="00540BAB" w:rsidP="00540BAB">
      <w:pPr>
        <w:spacing w:after="240"/>
        <w:ind w:left="2160" w:hanging="720"/>
      </w:pPr>
      <w:r w:rsidRPr="0013396E">
        <w:t>(i)</w:t>
      </w:r>
      <w:r w:rsidRPr="0013396E">
        <w:tab/>
        <w:t xml:space="preserve">Use Energy Offer Curves for all On-Line Generation Resources, whether submitted by QSEs or created by ERCOT.  Each Energy Offer Curve must be bounded at the lesser of the Reference LMP (from Step 1) or the </w:t>
      </w:r>
      <w:r w:rsidRPr="0013396E">
        <w:lastRenderedPageBreak/>
        <w:t xml:space="preserve">appropriate Mitigated Offer Floor.  In addition, each Energy 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Mitigated Offer Cap (MOC) curve at the LSL or the appropriate MOC; </w:t>
      </w:r>
    </w:p>
    <w:p w14:paraId="5242E306" w14:textId="77777777" w:rsidR="00540BAB" w:rsidRPr="0013396E" w:rsidRDefault="00540BAB" w:rsidP="00540BAB">
      <w:pPr>
        <w:spacing w:after="240"/>
        <w:ind w:left="2160" w:hanging="720"/>
      </w:pPr>
      <w:r w:rsidRPr="0013396E">
        <w:t>(ii)</w:t>
      </w:r>
      <w:r w:rsidRPr="0013396E">
        <w:tab/>
        <w:t xml:space="preserve">Use Energy Bid/Offer Curves for all On-Line ESRs, whether submitted by QSEs or created by ERCOT.  Each Energy Bid/Offer Curve must be bounded at the lesser of the Reference LMP (from Step 1) or the appropriate Mitigated Offer Floor.  The offer portion of each Energy Bid/Offer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MOC curve at the LSL or the appropriate MOC; </w:t>
      </w:r>
    </w:p>
    <w:p w14:paraId="6B0C40C2" w14:textId="4588BFAF" w:rsidR="00540BAB" w:rsidRPr="0013396E" w:rsidRDefault="00540BAB" w:rsidP="00540BAB">
      <w:pPr>
        <w:spacing w:after="240"/>
        <w:ind w:left="2160" w:hanging="720"/>
      </w:pPr>
      <w:r w:rsidRPr="0013396E">
        <w:t>(iii)</w:t>
      </w:r>
      <w:r w:rsidRPr="0013396E">
        <w:tab/>
        <w:t xml:space="preserve">Use </w:t>
      </w:r>
      <w:r w:rsidR="00F36338" w:rsidRPr="0013396E">
        <w:t xml:space="preserve">RTM </w:t>
      </w:r>
      <w:r w:rsidRPr="0013396E">
        <w:t xml:space="preserve">Energy Bids for all available CLRs, whether submitted by QSEs or created by ERCOT.  There is no mitigation of </w:t>
      </w:r>
      <w:r w:rsidR="00F36338" w:rsidRPr="0013396E">
        <w:t xml:space="preserve">RTM </w:t>
      </w:r>
      <w:r w:rsidRPr="0013396E">
        <w:t xml:space="preserve">Energy Bids.  </w:t>
      </w:r>
      <w:r w:rsidRPr="0013396E">
        <w:rPr>
          <w:iCs/>
        </w:rPr>
        <w:t xml:space="preserve">An </w:t>
      </w:r>
      <w:r w:rsidR="00F36338" w:rsidRPr="0013396E">
        <w:rPr>
          <w:iCs/>
        </w:rPr>
        <w:t xml:space="preserve">RTM </w:t>
      </w:r>
      <w:r w:rsidRPr="0013396E">
        <w:rPr>
          <w:iCs/>
        </w:rPr>
        <w:t>Energy Bid from a</w:t>
      </w:r>
      <w:r w:rsidR="00F36338" w:rsidRPr="0013396E">
        <w:rPr>
          <w:iCs/>
        </w:rPr>
        <w:t xml:space="preserve"> C</w:t>
      </w:r>
      <w:r w:rsidRPr="0013396E">
        <w:rPr>
          <w:iCs/>
        </w:rPr>
        <w:t xml:space="preserve">LR represents the bid for energy distributed across all nodes in the Load Zone in which the </w:t>
      </w:r>
      <w:r w:rsidR="00F36338" w:rsidRPr="0013396E">
        <w:rPr>
          <w:iCs/>
        </w:rPr>
        <w:t>CL</w:t>
      </w:r>
      <w:r w:rsidRPr="0013396E">
        <w:rPr>
          <w:iCs/>
        </w:rPr>
        <w:t xml:space="preserve">R is located.  For an ESR, an </w:t>
      </w:r>
      <w:r w:rsidR="00F36338" w:rsidRPr="0013396E">
        <w:rPr>
          <w:iCs/>
        </w:rPr>
        <w:t xml:space="preserve">RTM </w:t>
      </w:r>
      <w:r w:rsidRPr="0013396E">
        <w:rPr>
          <w:iCs/>
        </w:rPr>
        <w:t xml:space="preserve">Energy Bid represents a bid for energy at the </w:t>
      </w:r>
      <w:r w:rsidR="00F36338" w:rsidRPr="0013396E">
        <w:rPr>
          <w:iCs/>
        </w:rPr>
        <w:t>ESR’s</w:t>
      </w:r>
      <w:r w:rsidRPr="0013396E">
        <w:rPr>
          <w:iCs/>
        </w:rPr>
        <w:t xml:space="preserve"> Resource Node</w:t>
      </w:r>
      <w:r w:rsidRPr="0013396E">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36338" w:rsidRPr="0013396E" w14:paraId="239983A0" w14:textId="77777777" w:rsidTr="005B61C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6675154" w14:textId="253D7705" w:rsidR="00F36338" w:rsidRPr="0013396E" w:rsidRDefault="00F36338" w:rsidP="005B61C1">
            <w:pPr>
              <w:spacing w:before="120" w:after="240"/>
              <w:rPr>
                <w:b/>
                <w:i/>
                <w:iCs/>
                <w:szCs w:val="24"/>
              </w:rPr>
            </w:pPr>
            <w:r w:rsidRPr="0013396E">
              <w:rPr>
                <w:b/>
                <w:i/>
                <w:iCs/>
                <w:szCs w:val="24"/>
              </w:rPr>
              <w:t>[NPRR1188:  Replace paragraph (iii) above with the following upon system implementation:]</w:t>
            </w:r>
          </w:p>
          <w:p w14:paraId="34A7C767" w14:textId="2ACB276B" w:rsidR="00F36338" w:rsidRPr="0013396E" w:rsidRDefault="00F36338" w:rsidP="00F36338">
            <w:pPr>
              <w:spacing w:after="240"/>
              <w:ind w:left="2160" w:hanging="720"/>
            </w:pPr>
            <w:r w:rsidRPr="0013396E">
              <w:t>(iii)</w:t>
            </w:r>
            <w:r w:rsidRPr="0013396E">
              <w:tab/>
              <w:t xml:space="preserve">Use Energy Bid Curves for all available CLRs, whether submitted by QSEs or created by ERCOT.  There is no mitigation of Energy Bid Curves.  </w:t>
            </w:r>
            <w:r w:rsidRPr="0013396E">
              <w:rPr>
                <w:iCs/>
              </w:rPr>
              <w:t>An Energy Bid Curve from an Aggregate Load Resource (ALR) represents the bid for energy distributed across all nodes in the Load Zone in which the ALR is located.  For an ESR or a CLR that is not an ALR, an Energy Bid Curve represents a bid for energy at the applicable Resource Node</w:t>
            </w:r>
            <w:r w:rsidRPr="0013396E">
              <w:t>;</w:t>
            </w:r>
          </w:p>
        </w:tc>
      </w:tr>
    </w:tbl>
    <w:p w14:paraId="5F26AC4A" w14:textId="77777777" w:rsidR="00DF5DA8" w:rsidRDefault="00DF5DA8"/>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F5DA8" w:rsidRPr="0013396E" w14:paraId="6DB9821D" w14:textId="77777777" w:rsidTr="001A266D">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AB57E00" w14:textId="04423E51" w:rsidR="00DF5DA8" w:rsidRPr="0013396E" w:rsidRDefault="00DF5DA8" w:rsidP="001A266D">
            <w:pPr>
              <w:spacing w:before="120" w:after="240"/>
              <w:rPr>
                <w:b/>
                <w:i/>
                <w:iCs/>
                <w:szCs w:val="24"/>
              </w:rPr>
            </w:pPr>
            <w:r w:rsidRPr="0013396E">
              <w:rPr>
                <w:b/>
                <w:i/>
                <w:iCs/>
                <w:szCs w:val="24"/>
              </w:rPr>
              <w:t>[NPRR1</w:t>
            </w:r>
            <w:r>
              <w:rPr>
                <w:b/>
                <w:i/>
                <w:iCs/>
                <w:szCs w:val="24"/>
              </w:rPr>
              <w:t>325</w:t>
            </w:r>
            <w:r w:rsidRPr="0013396E">
              <w:rPr>
                <w:b/>
                <w:i/>
                <w:iCs/>
                <w:szCs w:val="24"/>
              </w:rPr>
              <w:t xml:space="preserve">:  </w:t>
            </w:r>
            <w:r>
              <w:rPr>
                <w:b/>
                <w:i/>
                <w:iCs/>
                <w:szCs w:val="24"/>
              </w:rPr>
              <w:t xml:space="preserve">Insert </w:t>
            </w:r>
            <w:r w:rsidRPr="0013396E">
              <w:rPr>
                <w:b/>
                <w:i/>
                <w:iCs/>
                <w:szCs w:val="24"/>
              </w:rPr>
              <w:t>paragraph (i</w:t>
            </w:r>
            <w:r>
              <w:rPr>
                <w:b/>
                <w:i/>
                <w:iCs/>
                <w:szCs w:val="24"/>
              </w:rPr>
              <w:t>v</w:t>
            </w:r>
            <w:r w:rsidRPr="0013396E">
              <w:rPr>
                <w:b/>
                <w:i/>
                <w:iCs/>
                <w:szCs w:val="24"/>
              </w:rPr>
              <w:t xml:space="preserve">) </w:t>
            </w:r>
            <w:r>
              <w:rPr>
                <w:b/>
                <w:i/>
                <w:iCs/>
                <w:szCs w:val="24"/>
              </w:rPr>
              <w:t>below</w:t>
            </w:r>
            <w:r w:rsidRPr="0013396E">
              <w:rPr>
                <w:b/>
                <w:i/>
                <w:iCs/>
                <w:szCs w:val="24"/>
              </w:rPr>
              <w:t xml:space="preserve"> upon system implementation</w:t>
            </w:r>
            <w:r>
              <w:rPr>
                <w:b/>
                <w:i/>
                <w:iCs/>
                <w:szCs w:val="24"/>
              </w:rPr>
              <w:t xml:space="preserve"> of PGRR145 and renumber accordingly</w:t>
            </w:r>
            <w:r w:rsidRPr="0013396E">
              <w:rPr>
                <w:b/>
                <w:i/>
                <w:iCs/>
                <w:szCs w:val="24"/>
              </w:rPr>
              <w:t>:]</w:t>
            </w:r>
          </w:p>
          <w:p w14:paraId="5FAF9379" w14:textId="34AC07A4" w:rsidR="00DF5DA8" w:rsidRPr="00DF5DA8" w:rsidRDefault="00DF5DA8" w:rsidP="00DF5DA8">
            <w:pPr>
              <w:spacing w:before="240" w:after="240"/>
              <w:ind w:left="2160" w:hanging="720"/>
              <w:rPr>
                <w:szCs w:val="24"/>
              </w:rPr>
            </w:pPr>
            <w:r w:rsidRPr="00DF5DA8">
              <w:rPr>
                <w:szCs w:val="24"/>
              </w:rPr>
              <w:t>(iv)</w:t>
            </w:r>
            <w:r w:rsidRPr="00DF5DA8">
              <w:rPr>
                <w:szCs w:val="24"/>
              </w:rPr>
              <w:tab/>
              <w:t>Use Energy Bid Curves for all available PCLRs, whether submitted by QSEs or ERCOT, including Adjusted Bid Caps as described in Section 4.4.9.4.4.</w:t>
            </w:r>
          </w:p>
        </w:tc>
      </w:tr>
    </w:tbl>
    <w:p w14:paraId="501D3BAD" w14:textId="776D807E" w:rsidR="00540BAB" w:rsidRPr="0013396E" w:rsidRDefault="00540BAB" w:rsidP="00540BAB">
      <w:pPr>
        <w:spacing w:before="240" w:after="240"/>
        <w:ind w:left="2160" w:hanging="720"/>
      </w:pPr>
      <w:r w:rsidRPr="0013396E">
        <w:lastRenderedPageBreak/>
        <w:t>(iv)</w:t>
      </w:r>
      <w:r w:rsidRPr="0013396E">
        <w:tab/>
        <w:t>Observe all Competitive and Non-Competitive Constraints; and</w:t>
      </w:r>
    </w:p>
    <w:p w14:paraId="0C873697" w14:textId="77777777" w:rsidR="00540BAB" w:rsidRPr="0013396E" w:rsidRDefault="00540BAB" w:rsidP="00540BAB">
      <w:pPr>
        <w:spacing w:after="240"/>
        <w:ind w:left="2160" w:hanging="720"/>
      </w:pPr>
      <w:r w:rsidRPr="0013396E">
        <w:t>(v)</w:t>
      </w:r>
      <w:r w:rsidRPr="0013396E">
        <w:tab/>
        <w:t>Use Ancillary Service Offers to determine Ancillary Service awards.</w:t>
      </w:r>
    </w:p>
    <w:p w14:paraId="3A45F10F" w14:textId="77777777" w:rsidR="00540BAB" w:rsidRPr="0013396E" w:rsidRDefault="00540BAB" w:rsidP="00540BAB">
      <w:pPr>
        <w:spacing w:after="240"/>
        <w:ind w:left="1440" w:hanging="720"/>
      </w:pPr>
      <w:r w:rsidRPr="0013396E">
        <w:t>(c)</w:t>
      </w:r>
      <w:r w:rsidRPr="0013396E">
        <w:tab/>
        <w:t>ERCOT shall archive information and provide monthly summaries of security violations and any binding transmission constraints identified in Step 2 of the SCED process.  The summary must describe the limiting element (or identified operator-entered constraint with operator’s comments describing the reason and the Resource-specific impacts for any manual overrides).  ERCOT shall provide the summary to Market Participants on the MIS Secure Area and to the Independent Market Monitor (IMM).</w:t>
      </w:r>
    </w:p>
    <w:p w14:paraId="1EDB0BD1" w14:textId="4B8AE758" w:rsidR="00540BAB" w:rsidRPr="0013396E" w:rsidRDefault="00540BAB" w:rsidP="00464A0C">
      <w:pPr>
        <w:spacing w:after="240"/>
        <w:ind w:left="1440" w:hanging="720"/>
      </w:pPr>
      <w:r w:rsidRPr="0013396E">
        <w:t>(d)</w:t>
      </w:r>
      <w:r w:rsidRPr="0013396E">
        <w:tab/>
      </w:r>
      <w:r w:rsidR="00691205" w:rsidRPr="0013396E">
        <w:t xml:space="preserve">Any Electrical Bus LMP above the effective </w:t>
      </w:r>
      <w:r w:rsidR="001E1A9E">
        <w:t>Value of Lost Load (</w:t>
      </w:r>
      <w:r w:rsidR="00691205" w:rsidRPr="0013396E">
        <w:t>VOLL</w:t>
      </w:r>
      <w:r w:rsidR="001E1A9E">
        <w:t>)</w:t>
      </w:r>
      <w:r w:rsidR="00691205" w:rsidRPr="0013396E">
        <w:t xml:space="preserve"> shall be set equal to the greater of the effective VOLL or the initial LMP minus the positive difference between System Lambda and the effective VOLL.  All other Electrical Bus LMPs below the effective VOLL remain unchanged.  These adjustments shall be applied to Electrical Bus LMPs prior to calculating Real-Time Settlement Point LMPs, Real-Time Settlement Point Prices, and Real-Time prices for energy metered.  The System Lambda </w:t>
      </w:r>
      <w:r w:rsidR="00691205">
        <w:t xml:space="preserve">and the Real-Time MCPCs </w:t>
      </w:r>
      <w:r w:rsidR="00691205" w:rsidRPr="0013396E">
        <w:t xml:space="preserve">from SCED Step 2 shall also be capped at the effective VOLL.  ERCOT shall post both the capped and uncapped </w:t>
      </w:r>
      <w:r w:rsidR="00691205">
        <w:t xml:space="preserve">values for </w:t>
      </w:r>
      <w:r w:rsidR="00691205" w:rsidRPr="0013396E">
        <w:t>Electrical Bus LMP</w:t>
      </w:r>
      <w:r w:rsidR="00691205">
        <w:t>s,</w:t>
      </w:r>
      <w:r w:rsidR="00691205" w:rsidRPr="0013396E">
        <w:t xml:space="preserve"> System Lambda</w:t>
      </w:r>
      <w:r w:rsidR="00691205">
        <w:t>, and Real-Time MCPCs</w:t>
      </w:r>
      <w:r w:rsidR="00691205" w:rsidRPr="0013396E">
        <w:t xml:space="preserve"> to the ERCOT website.</w:t>
      </w:r>
    </w:p>
    <w:p w14:paraId="54610BD2" w14:textId="12C2B3CB" w:rsidR="00540BAB" w:rsidRPr="0013396E" w:rsidRDefault="00540BAB" w:rsidP="00464A0C">
      <w:pPr>
        <w:spacing w:after="240"/>
        <w:ind w:left="720" w:hanging="720"/>
        <w:rPr>
          <w:iCs/>
        </w:rPr>
      </w:pPr>
      <w:r w:rsidRPr="0013396E">
        <w:rPr>
          <w:iCs/>
        </w:rPr>
        <w:t>(1</w:t>
      </w:r>
      <w:r w:rsidR="00B73499">
        <w:rPr>
          <w:iCs/>
        </w:rPr>
        <w:t>5</w:t>
      </w:r>
      <w:r w:rsidRPr="0013396E">
        <w:rPr>
          <w:iCs/>
        </w:rPr>
        <w:t>)</w:t>
      </w:r>
      <w:r w:rsidRPr="0013396E">
        <w:rPr>
          <w:iCs/>
        </w:rPr>
        <w:tab/>
        <w:t>For each SCED process, in addition to the binding Base Points, Ancillary Service awards, Real-Time MCPCs, and LMPs, ERCOT shall calculate a non-binding projection of the Base Points, Ancillary Service awards, MCPCs, Resource Node LMPs, Real-Time Reliability Deployment Price Adders, Hub LMPs, and Load Zone LMPs at a frequency of every five minutes for at least 15 minutes into the future based on the same inputs to the SCED process as described in this Section, except that the Resource’s HDL and LDL and the total generation requirement will be as estimated at future intervals.  The Resource’s HDL and LDL will be calculated for each interval of the projection based on the ramp rate capability over the study period.  ERCOT shall estimate the projected total generation requirement by calculating a Load forecast for the study period.  In lieu of the steps described in Section 6.5.7.3.1,</w:t>
      </w:r>
      <w:r w:rsidRPr="0013396E">
        <w:t xml:space="preserve"> Determination of Real-Time Reliability Deployment Price Adders</w:t>
      </w:r>
      <w:r w:rsidRPr="0013396E">
        <w:rPr>
          <w:iCs/>
        </w:rPr>
        <w:t xml:space="preserve">, the non-binding projection of Real-Time Reliability Deployment Price Adders shall be estimated based on GTBD, </w:t>
      </w:r>
      <w:r w:rsidRPr="0013396E">
        <w:t>reliability deployments MWs, and</w:t>
      </w:r>
      <w:r w:rsidRPr="0013396E">
        <w:rPr>
          <w:iCs/>
        </w:rPr>
        <w:t xml:space="preserve"> aggregated offers.  The Energy Offer Curve and Energy Bid/Offer Curves from SCED Step 2, the virtual offers for Load Resources deployed and the power balance penalty price will be compared against the updated GTBD to get an estimate of the System Lambda from paragraph (2)(m) of Section 6.5.7.3.1.</w:t>
      </w:r>
      <w:r w:rsidRPr="0013396E">
        <w:t xml:space="preserve">  </w:t>
      </w:r>
      <w:r w:rsidRPr="0013396E">
        <w:rPr>
          <w:iCs/>
        </w:rPr>
        <w:t xml:space="preserve">ERCOT shall post the projected non-binding Base Points and Ancillary Service awards for each Resource for each interval study period on the MIS Certified Area and the projected non-binding LMPs for Resource Nodes, Real-Time MCPCs, Real-Time Reliability Deployment Price Adders, Hub LMPs and Load Zone LMPs on the </w:t>
      </w:r>
      <w:r w:rsidRPr="0013396E">
        <w:t>ERCOT website</w:t>
      </w:r>
      <w:r w:rsidRPr="0013396E">
        <w:rPr>
          <w:iCs/>
        </w:rPr>
        <w:t xml:space="preserve"> pursuant to Section 6.3.2, Activities for Real-Time Operations.</w:t>
      </w:r>
    </w:p>
    <w:p w14:paraId="2A0F484A" w14:textId="12ED763E" w:rsidR="00540BAB" w:rsidRPr="0013396E" w:rsidRDefault="00540BAB" w:rsidP="00540BAB">
      <w:pPr>
        <w:spacing w:after="240"/>
        <w:ind w:left="720" w:hanging="720"/>
        <w:rPr>
          <w:iCs/>
        </w:rPr>
      </w:pPr>
      <w:r w:rsidRPr="0013396E">
        <w:rPr>
          <w:iCs/>
        </w:rPr>
        <w:lastRenderedPageBreak/>
        <w:t>(1</w:t>
      </w:r>
      <w:r w:rsidR="00B73499">
        <w:rPr>
          <w:iCs/>
        </w:rPr>
        <w:t>6</w:t>
      </w:r>
      <w:r w:rsidRPr="0013396E">
        <w:rPr>
          <w:iCs/>
        </w:rPr>
        <w:t>)</w:t>
      </w:r>
      <w:r w:rsidRPr="0013396E">
        <w:rPr>
          <w:iCs/>
        </w:rPr>
        <w:tab/>
        <w:t>ERCOT may override one or more of a CLR’s parameters in SCED if ERCOT determines that the CLR’s participation is having an adverse impact on the reliability of the ERCOT System.</w:t>
      </w:r>
    </w:p>
    <w:p w14:paraId="631199A6" w14:textId="57A4B29E" w:rsidR="002A0AD7" w:rsidRPr="0013396E" w:rsidRDefault="00540BAB" w:rsidP="007A1E53">
      <w:pPr>
        <w:pStyle w:val="List"/>
        <w:ind w:left="720"/>
      </w:pPr>
      <w:r w:rsidRPr="0013396E">
        <w:rPr>
          <w:iCs/>
        </w:rPr>
        <w:t>(1</w:t>
      </w:r>
      <w:r w:rsidR="00B73499">
        <w:rPr>
          <w:iCs/>
        </w:rPr>
        <w:t>7</w:t>
      </w:r>
      <w:r w:rsidRPr="0013396E">
        <w:rPr>
          <w:iCs/>
        </w:rPr>
        <w:t>)</w:t>
      </w:r>
      <w:r w:rsidRPr="0013396E">
        <w:rPr>
          <w:iCs/>
        </w:rPr>
        <w:tab/>
        <w:t xml:space="preserve">The QSE representing an ESR may withdraw energy from the ERCOT System only when dispatched by SCED to do so.  </w:t>
      </w:r>
      <w:r w:rsidRPr="0013396E">
        <w:t>An ESR may telemeter a status of OUT only if the ESR is in Outage status.</w:t>
      </w:r>
    </w:p>
    <w:p w14:paraId="67E5B3BB" w14:textId="45DD4208" w:rsidR="001F04FD" w:rsidRPr="0013396E" w:rsidRDefault="001F04FD" w:rsidP="00C91B01">
      <w:pPr>
        <w:pStyle w:val="H5"/>
        <w:spacing w:before="480"/>
        <w:ind w:left="1627" w:hanging="1627"/>
      </w:pPr>
      <w:bookmarkStart w:id="898" w:name="_Toc422486479"/>
      <w:bookmarkStart w:id="899" w:name="_Toc433093331"/>
      <w:bookmarkStart w:id="900" w:name="_Toc433093489"/>
      <w:bookmarkStart w:id="901" w:name="_Toc440874718"/>
      <w:bookmarkStart w:id="902" w:name="_Toc448142273"/>
      <w:bookmarkStart w:id="903" w:name="_Toc448142430"/>
      <w:bookmarkStart w:id="904" w:name="_Toc458770266"/>
      <w:bookmarkStart w:id="905" w:name="_Toc459294234"/>
      <w:bookmarkStart w:id="906" w:name="_Toc463262727"/>
      <w:bookmarkStart w:id="907" w:name="_Toc468286801"/>
      <w:bookmarkStart w:id="908" w:name="_Toc481502847"/>
      <w:bookmarkStart w:id="909" w:name="_Toc496080015"/>
      <w:bookmarkStart w:id="910" w:name="_Toc236220125"/>
      <w:bookmarkEnd w:id="897"/>
      <w:r w:rsidRPr="0013396E">
        <w:rPr>
          <w:i w:val="0"/>
          <w:iCs w:val="0"/>
          <w:snapToGrid w:val="0"/>
          <w:szCs w:val="20"/>
        </w:rPr>
        <w:t>6.5.7.3.1</w:t>
      </w:r>
      <w:r w:rsidRPr="0013396E">
        <w:tab/>
      </w:r>
      <w:r w:rsidRPr="0013396E">
        <w:rPr>
          <w:i w:val="0"/>
          <w:iCs w:val="0"/>
          <w:snapToGrid w:val="0"/>
          <w:szCs w:val="20"/>
        </w:rPr>
        <w:t>Determination of Real-Time Reliability Deployment Price Adder</w:t>
      </w:r>
      <w:bookmarkEnd w:id="898"/>
      <w:bookmarkEnd w:id="899"/>
      <w:bookmarkEnd w:id="900"/>
      <w:bookmarkEnd w:id="901"/>
      <w:bookmarkEnd w:id="902"/>
      <w:bookmarkEnd w:id="903"/>
      <w:bookmarkEnd w:id="904"/>
      <w:bookmarkEnd w:id="905"/>
      <w:bookmarkEnd w:id="906"/>
      <w:bookmarkEnd w:id="907"/>
      <w:bookmarkEnd w:id="908"/>
      <w:bookmarkEnd w:id="909"/>
      <w:r w:rsidR="0013396E" w:rsidRPr="0013396E">
        <w:rPr>
          <w:i w:val="0"/>
          <w:iCs w:val="0"/>
          <w:snapToGrid w:val="0"/>
          <w:szCs w:val="20"/>
        </w:rPr>
        <w:t>s</w:t>
      </w:r>
      <w:bookmarkEnd w:id="910"/>
    </w:p>
    <w:p w14:paraId="426C3E69" w14:textId="77777777" w:rsidR="0013396E" w:rsidRPr="0013396E" w:rsidRDefault="0013396E" w:rsidP="0013396E">
      <w:pPr>
        <w:spacing w:after="240"/>
        <w:ind w:left="720" w:hanging="720"/>
      </w:pPr>
      <w:r w:rsidRPr="0013396E">
        <w:t>(1)</w:t>
      </w:r>
      <w:r w:rsidRPr="0013396E">
        <w:tab/>
        <w:t>The following categories of reliability deployments are considered in the determination of the Real-Time Reliability Deployment Price Adder for Energy, and the Real-Time Reliability Deployment Price Adders for Ancillary Services:</w:t>
      </w:r>
    </w:p>
    <w:p w14:paraId="4DA31F6E" w14:textId="77777777" w:rsidR="0013396E" w:rsidRPr="0013396E" w:rsidRDefault="0013396E" w:rsidP="0013396E">
      <w:pPr>
        <w:spacing w:after="240"/>
        <w:ind w:left="1440" w:hanging="720"/>
      </w:pPr>
      <w:r w:rsidRPr="0013396E">
        <w:t>(a)</w:t>
      </w:r>
      <w:r w:rsidRPr="0013396E">
        <w:tab/>
        <w:t>RUC-committed Resources, except for those whose QSEs have opted out of RUC Settlement in accordance with paragraph (14) of Section 5.5.2, Reliability Unit Commitment (RUC) Process;</w:t>
      </w:r>
    </w:p>
    <w:p w14:paraId="05F99E46" w14:textId="77777777" w:rsidR="0013396E" w:rsidRPr="0013396E" w:rsidRDefault="0013396E" w:rsidP="0013396E">
      <w:pPr>
        <w:spacing w:after="240"/>
        <w:ind w:left="1440" w:hanging="720"/>
      </w:pPr>
      <w:r w:rsidRPr="0013396E">
        <w:t>(b)</w:t>
      </w:r>
      <w:r w:rsidRPr="0013396E">
        <w:tab/>
        <w:t xml:space="preserve">RMR Resources that are On-Line, including capacity secured to prevent an Emergency Condition pursuant to paragraph (4) of Section 6.5.1.1, ERCOT Control Area Authority; </w:t>
      </w:r>
    </w:p>
    <w:p w14:paraId="543998B4" w14:textId="77777777" w:rsidR="0013396E" w:rsidRPr="0013396E" w:rsidRDefault="0013396E" w:rsidP="0013396E">
      <w:pPr>
        <w:spacing w:after="240"/>
        <w:ind w:left="1440" w:hanging="720"/>
      </w:pPr>
      <w:r w:rsidRPr="0013396E">
        <w:t>(c)</w:t>
      </w:r>
      <w:r w:rsidRPr="0013396E">
        <w:tab/>
        <w:t>Deployed Load Resources other than CLRs;</w:t>
      </w:r>
    </w:p>
    <w:p w14:paraId="40A410D9" w14:textId="77777777" w:rsidR="0013396E" w:rsidRPr="0013396E" w:rsidRDefault="0013396E" w:rsidP="0013396E">
      <w:pPr>
        <w:spacing w:after="240"/>
        <w:ind w:left="1440" w:hanging="720"/>
      </w:pPr>
      <w:r w:rsidRPr="0013396E">
        <w:t>(d)</w:t>
      </w:r>
      <w:r w:rsidRPr="0013396E">
        <w:tab/>
        <w:t>Deployed ERS;</w:t>
      </w:r>
    </w:p>
    <w:p w14:paraId="3CE2FC12" w14:textId="77777777" w:rsidR="0013396E" w:rsidRPr="0013396E" w:rsidRDefault="0013396E" w:rsidP="0013396E">
      <w:pPr>
        <w:spacing w:after="240"/>
        <w:ind w:left="1440" w:hanging="720"/>
      </w:pPr>
      <w:r w:rsidRPr="0013396E">
        <w:t>(e)</w:t>
      </w:r>
      <w:r w:rsidRPr="0013396E">
        <w:tab/>
        <w:t xml:space="preserve">Real-Time DC Tie imports during an EEA where the total adjustment shall not exceed 1,250 MW in a single interval; </w:t>
      </w:r>
    </w:p>
    <w:p w14:paraId="6AED1CA6" w14:textId="77777777" w:rsidR="0013396E" w:rsidRPr="0013396E" w:rsidRDefault="0013396E" w:rsidP="0013396E">
      <w:pPr>
        <w:spacing w:after="240"/>
        <w:ind w:left="1440" w:hanging="720"/>
      </w:pPr>
      <w:r w:rsidRPr="0013396E">
        <w:t>(f)</w:t>
      </w:r>
      <w:r w:rsidRPr="0013396E">
        <w:tab/>
        <w:t xml:space="preserve">Real-Time DC Tie exports to address emergency conditions in the receiving electric grid;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3396E" w:rsidRPr="0013396E" w14:paraId="08E5804C" w14:textId="77777777" w:rsidTr="0013396E">
        <w:trPr>
          <w:trHeight w:val="206"/>
        </w:trPr>
        <w:tc>
          <w:tcPr>
            <w:tcW w:w="9350" w:type="dxa"/>
            <w:shd w:val="pct12" w:color="auto" w:fill="auto"/>
          </w:tcPr>
          <w:p w14:paraId="2570EB8A" w14:textId="77777777" w:rsidR="0013396E" w:rsidRPr="0013396E" w:rsidRDefault="0013396E" w:rsidP="0013396E">
            <w:pPr>
              <w:spacing w:before="120" w:after="240"/>
              <w:rPr>
                <w:b/>
                <w:i/>
                <w:iCs/>
                <w:szCs w:val="24"/>
              </w:rPr>
            </w:pPr>
            <w:r w:rsidRPr="0013396E">
              <w:rPr>
                <w:b/>
                <w:i/>
                <w:iCs/>
                <w:szCs w:val="24"/>
              </w:rPr>
              <w:t>[NPRR904:  Replace items (e) and (f) above with the following upon system implementation and renumber accordingly:]</w:t>
            </w:r>
          </w:p>
          <w:p w14:paraId="7808E1E0" w14:textId="77777777" w:rsidR="0013396E" w:rsidRPr="0013396E" w:rsidRDefault="0013396E" w:rsidP="0013396E">
            <w:pPr>
              <w:spacing w:after="240"/>
              <w:ind w:left="1440" w:hanging="720"/>
            </w:pPr>
            <w:r w:rsidRPr="0013396E">
              <w:t>(e)</w:t>
            </w:r>
            <w:r w:rsidRPr="0013396E">
              <w:tab/>
              <w:t xml:space="preserve">ERCOT-directed DC Tie imports during an EEA or transmission emergency where the total adjustment shall not exceed 1,250 MW in a single interval; </w:t>
            </w:r>
          </w:p>
          <w:p w14:paraId="07CE38ED" w14:textId="77777777" w:rsidR="0013396E" w:rsidRPr="0013396E" w:rsidRDefault="0013396E" w:rsidP="0013396E">
            <w:pPr>
              <w:spacing w:after="240"/>
              <w:ind w:left="1440" w:hanging="720"/>
            </w:pPr>
            <w:r w:rsidRPr="0013396E">
              <w:t>(f)</w:t>
            </w:r>
            <w:r w:rsidRPr="0013396E">
              <w:tab/>
              <w:t>ERCOT-directed curtailment of DC Tie imports below the higher of DC Tie advisory import limit as of 0600 in the Day-Ahead or subsequent advisory import limit to address local transmission system limitations where the total adjustment shall not exceed 1,250 MW in a single interval;</w:t>
            </w:r>
          </w:p>
          <w:p w14:paraId="0D6A9AF7" w14:textId="77777777" w:rsidR="0013396E" w:rsidRPr="0013396E" w:rsidRDefault="0013396E" w:rsidP="0013396E">
            <w:pPr>
              <w:spacing w:after="240"/>
              <w:ind w:left="1440" w:hanging="720"/>
            </w:pPr>
            <w:r w:rsidRPr="0013396E">
              <w:t>(g)</w:t>
            </w:r>
            <w:r w:rsidRPr="0013396E">
              <w:tab/>
              <w:t xml:space="preserve">ERCOT-directed curtailment of DC Tie imports below the higher of DC Tie advisory import limit as of 0600 in the Day-Ahead or subsequent advisory import limit due to an emergency action by a neighboring system operator </w:t>
            </w:r>
            <w:r w:rsidRPr="0013396E">
              <w:lastRenderedPageBreak/>
              <w:t>during an emergency that is accommodated by ERCOT where the total adjustment shall not exceed 1,250 MW in a single interval;</w:t>
            </w:r>
          </w:p>
          <w:p w14:paraId="4DC7B86B" w14:textId="77777777" w:rsidR="0013396E" w:rsidRPr="0013396E" w:rsidRDefault="0013396E" w:rsidP="0013396E">
            <w:pPr>
              <w:spacing w:after="240"/>
              <w:ind w:left="1440" w:hanging="720"/>
            </w:pPr>
            <w:r w:rsidRPr="0013396E">
              <w:t>(h)</w:t>
            </w:r>
            <w:r w:rsidRPr="0013396E">
              <w:tab/>
              <w:t xml:space="preserve">ERCOT-directed DC Tie exports to address emergency conditions in the receiving electric grid where the total adjustment shall not exceed 1,250 MW in a single interval; </w:t>
            </w:r>
          </w:p>
          <w:p w14:paraId="01FAADAD" w14:textId="77777777" w:rsidR="0013396E" w:rsidRPr="0013396E" w:rsidRDefault="0013396E" w:rsidP="0013396E">
            <w:pPr>
              <w:spacing w:after="240"/>
              <w:ind w:left="1440" w:hanging="720"/>
              <w:rPr>
                <w:lang w:val="x-none" w:eastAsia="x-none"/>
              </w:rPr>
            </w:pPr>
            <w:r w:rsidRPr="0013396E">
              <w:rPr>
                <w:lang w:val="x-none" w:eastAsia="x-none"/>
              </w:rPr>
              <w:t>(i)</w:t>
            </w:r>
            <w:r w:rsidRPr="0013396E">
              <w:rPr>
                <w:lang w:val="x-none" w:eastAsia="x-none"/>
              </w:rPr>
              <w:tab/>
              <w:t xml:space="preserve">ERCOT-directed curtailment of DC Tie exports below the DC Tie advisory </w:t>
            </w:r>
            <w:r w:rsidRPr="0013396E">
              <w:rPr>
                <w:lang w:eastAsia="x-none"/>
              </w:rPr>
              <w:t>export</w:t>
            </w:r>
            <w:r w:rsidRPr="0013396E">
              <w:rPr>
                <w:lang w:val="x-none" w:eastAsia="x-none"/>
              </w:rPr>
              <w:t xml:space="preserve"> limit as of </w:t>
            </w:r>
            <w:r w:rsidRPr="0013396E">
              <w:rPr>
                <w:lang w:eastAsia="x-none"/>
              </w:rPr>
              <w:t>06</w:t>
            </w:r>
            <w:r w:rsidRPr="0013396E">
              <w:rPr>
                <w:lang w:val="x-none" w:eastAsia="x-none"/>
              </w:rPr>
              <w:t xml:space="preserve">00 in the Day-Ahead </w:t>
            </w:r>
            <w:r w:rsidRPr="0013396E">
              <w:rPr>
                <w:lang w:eastAsia="x-none"/>
              </w:rPr>
              <w:t xml:space="preserve">or subsequent advisory export limit </w:t>
            </w:r>
            <w:r w:rsidRPr="0013396E">
              <w:rPr>
                <w:lang w:val="x-none" w:eastAsia="x-none"/>
              </w:rPr>
              <w:t xml:space="preserve">during EEA, a transmission emergency, or to address local transmission system limitations where the total adjustment shall not exceed 1,250 MW in a single interval; </w:t>
            </w:r>
          </w:p>
        </w:tc>
      </w:tr>
    </w:tbl>
    <w:p w14:paraId="2DB35C98" w14:textId="180D3DE0" w:rsidR="0013396E" w:rsidRPr="0013396E" w:rsidRDefault="0013396E" w:rsidP="0013396E">
      <w:pPr>
        <w:spacing w:before="240" w:after="240"/>
        <w:ind w:left="1440" w:hanging="720"/>
      </w:pPr>
      <w:r w:rsidRPr="0013396E">
        <w:lastRenderedPageBreak/>
        <w:t>(</w:t>
      </w:r>
      <w:r>
        <w:t>g</w:t>
      </w:r>
      <w:r w:rsidRPr="0013396E">
        <w:t>)</w:t>
      </w:r>
      <w:r w:rsidRPr="0013396E">
        <w:tab/>
        <w:t>Energy delivered to ERCOT through registered Block Load Transfers (BLTs) during an EEA;</w:t>
      </w:r>
    </w:p>
    <w:p w14:paraId="54F3F77B" w14:textId="5FA8282B" w:rsidR="0013396E" w:rsidRPr="0013396E" w:rsidRDefault="0013396E" w:rsidP="0013396E">
      <w:pPr>
        <w:spacing w:after="240"/>
        <w:ind w:left="1440" w:hanging="720"/>
      </w:pPr>
      <w:r w:rsidRPr="0013396E">
        <w:t>(</w:t>
      </w:r>
      <w:r>
        <w:t>h</w:t>
      </w:r>
      <w:r w:rsidRPr="0013396E">
        <w:t>)</w:t>
      </w:r>
      <w:r w:rsidRPr="0013396E">
        <w:tab/>
        <w:t>Energy delivered from ERCOT to another power pool through registered BLTs during emergency conditions in the receiving electric grid;</w:t>
      </w:r>
      <w:r w:rsidR="006049CC">
        <w:t xml:space="preserve"> and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3396E" w:rsidRPr="0013396E" w14:paraId="6E8951F1" w14:textId="77777777" w:rsidTr="00896851">
        <w:trPr>
          <w:trHeight w:val="206"/>
        </w:trPr>
        <w:tc>
          <w:tcPr>
            <w:tcW w:w="9350" w:type="dxa"/>
            <w:shd w:val="pct12" w:color="auto" w:fill="auto"/>
          </w:tcPr>
          <w:p w14:paraId="5C54CFCA" w14:textId="0AA6921F" w:rsidR="0013396E" w:rsidRPr="0013396E" w:rsidRDefault="0013396E" w:rsidP="0013396E">
            <w:pPr>
              <w:spacing w:before="120" w:after="240"/>
              <w:rPr>
                <w:b/>
                <w:i/>
                <w:iCs/>
                <w:szCs w:val="24"/>
              </w:rPr>
            </w:pPr>
            <w:r w:rsidRPr="0013396E">
              <w:rPr>
                <w:b/>
                <w:i/>
                <w:iCs/>
                <w:szCs w:val="24"/>
              </w:rPr>
              <w:t>[NPRR1006: Insert paragraph (i) below upon system implementation</w:t>
            </w:r>
            <w:r w:rsidR="00896851">
              <w:rPr>
                <w:b/>
                <w:i/>
                <w:iCs/>
                <w:szCs w:val="24"/>
              </w:rPr>
              <w:t xml:space="preserve"> and renumber accordingly</w:t>
            </w:r>
            <w:r w:rsidRPr="0013396E">
              <w:rPr>
                <w:b/>
                <w:i/>
                <w:iCs/>
                <w:szCs w:val="24"/>
              </w:rPr>
              <w:t>:]</w:t>
            </w:r>
          </w:p>
          <w:p w14:paraId="3CB45E10" w14:textId="093BE28C" w:rsidR="0013396E" w:rsidRPr="0013396E" w:rsidRDefault="0013396E" w:rsidP="0013396E">
            <w:pPr>
              <w:spacing w:after="240"/>
              <w:ind w:left="1440" w:hanging="720"/>
              <w:rPr>
                <w:iCs/>
              </w:rPr>
            </w:pPr>
            <w:r w:rsidRPr="0013396E">
              <w:rPr>
                <w:iCs/>
              </w:rPr>
              <w:t>(i)</w:t>
            </w:r>
            <w:r w:rsidRPr="0013396E">
              <w:rPr>
                <w:iCs/>
              </w:rPr>
              <w:tab/>
              <w:t>ERCOT-directed deployment of TDSP standard offer Load management programs.</w:t>
            </w:r>
          </w:p>
        </w:tc>
      </w:tr>
    </w:tbl>
    <w:p w14:paraId="32C9FC41" w14:textId="605DF2B8" w:rsidR="0013396E" w:rsidRDefault="0013396E" w:rsidP="00F24831">
      <w:pPr>
        <w:spacing w:line="256" w:lineRule="auto"/>
        <w:ind w:left="1440" w:hanging="720"/>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24831" w:rsidRPr="0013396E" w14:paraId="47DFD46A" w14:textId="77777777" w:rsidTr="00F24831">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26DA22B4" w14:textId="2F60D9DA" w:rsidR="00F24831" w:rsidRPr="0013396E" w:rsidRDefault="00F24831" w:rsidP="0099759E">
            <w:pPr>
              <w:spacing w:before="120" w:after="240"/>
              <w:rPr>
                <w:b/>
                <w:i/>
                <w:iCs/>
                <w:szCs w:val="24"/>
              </w:rPr>
            </w:pPr>
            <w:r w:rsidRPr="0013396E">
              <w:rPr>
                <w:b/>
                <w:i/>
                <w:iCs/>
                <w:szCs w:val="24"/>
              </w:rPr>
              <w:t>[NPRR1</w:t>
            </w:r>
            <w:r>
              <w:rPr>
                <w:b/>
                <w:i/>
                <w:iCs/>
                <w:szCs w:val="24"/>
              </w:rPr>
              <w:t>105</w:t>
            </w:r>
            <w:r w:rsidRPr="0013396E">
              <w:rPr>
                <w:b/>
                <w:i/>
                <w:iCs/>
                <w:szCs w:val="24"/>
              </w:rPr>
              <w:t>: Insert paragraph (</w:t>
            </w:r>
            <w:r>
              <w:rPr>
                <w:b/>
                <w:i/>
                <w:iCs/>
                <w:szCs w:val="24"/>
              </w:rPr>
              <w:t>j</w:t>
            </w:r>
            <w:r w:rsidRPr="0013396E">
              <w:rPr>
                <w:b/>
                <w:i/>
                <w:iCs/>
                <w:szCs w:val="24"/>
              </w:rPr>
              <w:t>) below upon system implementation</w:t>
            </w:r>
            <w:r>
              <w:rPr>
                <w:b/>
                <w:i/>
                <w:iCs/>
                <w:szCs w:val="24"/>
              </w:rPr>
              <w:t xml:space="preserve"> and renumber accordingly</w:t>
            </w:r>
            <w:r w:rsidRPr="0013396E">
              <w:rPr>
                <w:b/>
                <w:i/>
                <w:iCs/>
                <w:szCs w:val="24"/>
              </w:rPr>
              <w:t>:]</w:t>
            </w:r>
          </w:p>
          <w:p w14:paraId="19721016" w14:textId="2E683340" w:rsidR="00F24831" w:rsidRPr="0013396E" w:rsidRDefault="00F24831" w:rsidP="00F24831">
            <w:pPr>
              <w:spacing w:after="240"/>
              <w:ind w:left="1440" w:hanging="720"/>
              <w:rPr>
                <w:b/>
                <w:i/>
                <w:iCs/>
                <w:szCs w:val="24"/>
              </w:rPr>
            </w:pPr>
            <w:r w:rsidRPr="0013396E">
              <w:t>(</w:t>
            </w:r>
            <w:r>
              <w:t>j</w:t>
            </w:r>
            <w:r w:rsidRPr="0013396E">
              <w:t>)</w:t>
            </w:r>
            <w:r w:rsidRPr="0013396E">
              <w:tab/>
              <w:t>ERCOT-</w:t>
            </w:r>
            <w:r w:rsidRPr="00F24831">
              <w:rPr>
                <w:iCs/>
              </w:rPr>
              <w:t>directed</w:t>
            </w:r>
            <w:r w:rsidRPr="0013396E">
              <w:t xml:space="preserve"> deployment of distribution voltage reduction measures;</w:t>
            </w:r>
          </w:p>
        </w:tc>
      </w:tr>
    </w:tbl>
    <w:p w14:paraId="253E258D" w14:textId="77777777" w:rsidR="00F24831" w:rsidRDefault="00F24831"/>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96851" w:rsidRPr="0013396E" w14:paraId="68897EF2" w14:textId="77777777" w:rsidTr="00896851">
        <w:trPr>
          <w:trHeight w:val="206"/>
        </w:trPr>
        <w:tc>
          <w:tcPr>
            <w:tcW w:w="9350" w:type="dxa"/>
            <w:shd w:val="pct12" w:color="auto" w:fill="auto"/>
          </w:tcPr>
          <w:p w14:paraId="06575615" w14:textId="1994CDD7" w:rsidR="00896851" w:rsidRPr="0013396E" w:rsidRDefault="00896851" w:rsidP="0099759E">
            <w:pPr>
              <w:spacing w:before="120" w:after="240"/>
              <w:rPr>
                <w:b/>
                <w:i/>
                <w:iCs/>
                <w:szCs w:val="24"/>
              </w:rPr>
            </w:pPr>
            <w:r w:rsidRPr="0013396E">
              <w:rPr>
                <w:b/>
                <w:i/>
                <w:iCs/>
                <w:szCs w:val="24"/>
              </w:rPr>
              <w:t>[NPRR10</w:t>
            </w:r>
            <w:r>
              <w:rPr>
                <w:b/>
                <w:i/>
                <w:iCs/>
                <w:szCs w:val="24"/>
              </w:rPr>
              <w:t>91</w:t>
            </w:r>
            <w:r w:rsidRPr="0013396E">
              <w:rPr>
                <w:b/>
                <w:i/>
                <w:iCs/>
                <w:szCs w:val="24"/>
              </w:rPr>
              <w:t>: Insert paragraph (</w:t>
            </w:r>
            <w:r w:rsidR="00F24831">
              <w:rPr>
                <w:b/>
                <w:i/>
                <w:iCs/>
                <w:szCs w:val="24"/>
              </w:rPr>
              <w:t>k</w:t>
            </w:r>
            <w:r w:rsidRPr="0013396E">
              <w:rPr>
                <w:b/>
                <w:i/>
                <w:iCs/>
                <w:szCs w:val="24"/>
              </w:rPr>
              <w:t>) below upon system implementation</w:t>
            </w:r>
            <w:r>
              <w:rPr>
                <w:b/>
                <w:i/>
                <w:iCs/>
                <w:szCs w:val="24"/>
              </w:rPr>
              <w:t xml:space="preserve"> and renumber accordingly</w:t>
            </w:r>
            <w:r w:rsidRPr="0013396E">
              <w:rPr>
                <w:b/>
                <w:i/>
                <w:iCs/>
                <w:szCs w:val="24"/>
              </w:rPr>
              <w:t>:]</w:t>
            </w:r>
          </w:p>
          <w:p w14:paraId="5F8E135B" w14:textId="16113D00" w:rsidR="00896851" w:rsidRPr="0013396E" w:rsidRDefault="00896851" w:rsidP="0099759E">
            <w:pPr>
              <w:spacing w:after="240"/>
              <w:ind w:left="1440" w:hanging="720"/>
              <w:rPr>
                <w:iCs/>
              </w:rPr>
            </w:pPr>
            <w:r w:rsidRPr="0013396E">
              <w:t>(</w:t>
            </w:r>
            <w:r w:rsidR="00F24831">
              <w:t>k</w:t>
            </w:r>
            <w:r w:rsidRPr="0013396E">
              <w:t>)</w:t>
            </w:r>
            <w:r w:rsidRPr="0013396E">
              <w:tab/>
              <w:t>ERCOT-directed deployment of Off-Line Non-Spin;</w:t>
            </w:r>
          </w:p>
        </w:tc>
      </w:tr>
    </w:tbl>
    <w:p w14:paraId="4C6098DA" w14:textId="7ED73587" w:rsidR="0013396E" w:rsidRPr="0013396E" w:rsidRDefault="0013396E" w:rsidP="00896851">
      <w:pPr>
        <w:spacing w:before="240" w:after="240"/>
        <w:ind w:left="1440" w:hanging="720"/>
        <w:rPr>
          <w:iCs/>
        </w:rPr>
      </w:pPr>
      <w:r w:rsidRPr="0013396E">
        <w:rPr>
          <w:iCs/>
        </w:rPr>
        <w:t>(</w:t>
      </w:r>
      <w:r w:rsidR="00F24831">
        <w:rPr>
          <w:iCs/>
        </w:rPr>
        <w:t>i</w:t>
      </w:r>
      <w:r w:rsidRPr="0013396E">
        <w:rPr>
          <w:iCs/>
        </w:rPr>
        <w:t>)</w:t>
      </w:r>
      <w:r w:rsidRPr="0013396E">
        <w:rPr>
          <w:iCs/>
        </w:rPr>
        <w:tab/>
        <w:t xml:space="preserve">ERCOT-directed firm Load shed during EEA Level 3, as described in paragraph (3) of Section 6.5.9.4.2, EEA Levels;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E5D60" w:rsidRPr="0013396E" w14:paraId="7E634F9E" w14:textId="77777777" w:rsidTr="0099759E">
        <w:trPr>
          <w:trHeight w:val="206"/>
        </w:trPr>
        <w:tc>
          <w:tcPr>
            <w:tcW w:w="9350" w:type="dxa"/>
            <w:shd w:val="pct12" w:color="auto" w:fill="auto"/>
          </w:tcPr>
          <w:p w14:paraId="0E20C7C4" w14:textId="1CCEDBC3" w:rsidR="00AE5D60" w:rsidRPr="0013396E" w:rsidRDefault="00AE5D60" w:rsidP="0099759E">
            <w:pPr>
              <w:spacing w:before="120" w:after="240"/>
              <w:rPr>
                <w:b/>
                <w:i/>
                <w:iCs/>
                <w:szCs w:val="24"/>
              </w:rPr>
            </w:pPr>
            <w:r w:rsidRPr="0013396E">
              <w:rPr>
                <w:b/>
                <w:i/>
                <w:iCs/>
                <w:szCs w:val="24"/>
              </w:rPr>
              <w:lastRenderedPageBreak/>
              <w:t>[NPRR1</w:t>
            </w:r>
            <w:r>
              <w:rPr>
                <w:b/>
                <w:i/>
                <w:iCs/>
                <w:szCs w:val="24"/>
              </w:rPr>
              <w:t>238</w:t>
            </w:r>
            <w:r w:rsidRPr="0013396E">
              <w:rPr>
                <w:b/>
                <w:i/>
                <w:iCs/>
                <w:szCs w:val="24"/>
              </w:rPr>
              <w:t>: Insert paragraph (</w:t>
            </w:r>
            <w:r>
              <w:rPr>
                <w:b/>
                <w:i/>
                <w:iCs/>
                <w:szCs w:val="24"/>
              </w:rPr>
              <w:t>j</w:t>
            </w:r>
            <w:r w:rsidRPr="0013396E">
              <w:rPr>
                <w:b/>
                <w:i/>
                <w:iCs/>
                <w:szCs w:val="24"/>
              </w:rPr>
              <w:t>) below upon system implementation</w:t>
            </w:r>
            <w:r w:rsidR="00847103">
              <w:rPr>
                <w:b/>
                <w:i/>
                <w:iCs/>
                <w:szCs w:val="24"/>
              </w:rPr>
              <w:t xml:space="preserve"> and renumber accordingly</w:t>
            </w:r>
            <w:r w:rsidRPr="0013396E">
              <w:rPr>
                <w:b/>
                <w:i/>
                <w:iCs/>
                <w:szCs w:val="24"/>
              </w:rPr>
              <w:t>:]</w:t>
            </w:r>
          </w:p>
          <w:p w14:paraId="1A9C6F37" w14:textId="0839B7B8" w:rsidR="00AE5D60" w:rsidRPr="00AE5D60" w:rsidRDefault="00AE5D60" w:rsidP="00AE5D60">
            <w:pPr>
              <w:spacing w:after="240"/>
              <w:ind w:left="1440" w:hanging="720"/>
              <w:rPr>
                <w:szCs w:val="24"/>
              </w:rPr>
            </w:pPr>
            <w:r w:rsidRPr="0013396E">
              <w:t>(</w:t>
            </w:r>
            <w:r>
              <w:t>j</w:t>
            </w:r>
            <w:r w:rsidRPr="0013396E">
              <w:t>)</w:t>
            </w:r>
            <w:r w:rsidRPr="0013396E">
              <w:tab/>
            </w:r>
            <w:r w:rsidRPr="0013396E">
              <w:rPr>
                <w:szCs w:val="24"/>
              </w:rPr>
              <w:t xml:space="preserve">Deployed </w:t>
            </w:r>
            <w:r w:rsidRPr="0013396E">
              <w:rPr>
                <w:bCs/>
              </w:rPr>
              <w:t>Voluntary Early Curtailment Load</w:t>
            </w:r>
            <w:r w:rsidRPr="0013396E">
              <w:rPr>
                <w:szCs w:val="24"/>
              </w:rPr>
              <w:t xml:space="preserve"> (VECL) as described in Section 6.5.9.4.1, General Procedures Prior to EEA Operations</w:t>
            </w:r>
            <w:r w:rsidR="004A7B1D">
              <w:rPr>
                <w:szCs w:val="24"/>
              </w:rPr>
              <w:t>; and</w:t>
            </w:r>
          </w:p>
        </w:tc>
      </w:tr>
    </w:tbl>
    <w:p w14:paraId="287B3AFA" w14:textId="77777777" w:rsidR="00847103" w:rsidRDefault="00847103"/>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47103" w:rsidRPr="0013396E" w14:paraId="6FEE02A9" w14:textId="77777777" w:rsidTr="00A86863">
        <w:trPr>
          <w:trHeight w:val="206"/>
        </w:trPr>
        <w:tc>
          <w:tcPr>
            <w:tcW w:w="9350" w:type="dxa"/>
            <w:shd w:val="pct12" w:color="auto" w:fill="auto"/>
          </w:tcPr>
          <w:p w14:paraId="2C06AF87" w14:textId="17033C6F" w:rsidR="00847103" w:rsidRPr="0013396E" w:rsidRDefault="00847103" w:rsidP="00A86863">
            <w:pPr>
              <w:spacing w:before="120" w:after="240"/>
              <w:rPr>
                <w:b/>
                <w:i/>
                <w:iCs/>
                <w:szCs w:val="24"/>
              </w:rPr>
            </w:pPr>
            <w:r w:rsidRPr="0013396E">
              <w:rPr>
                <w:b/>
                <w:i/>
                <w:iCs/>
                <w:szCs w:val="24"/>
              </w:rPr>
              <w:t>[NPRR1</w:t>
            </w:r>
            <w:r>
              <w:rPr>
                <w:b/>
                <w:i/>
                <w:iCs/>
                <w:szCs w:val="24"/>
              </w:rPr>
              <w:t>309</w:t>
            </w:r>
            <w:r w:rsidRPr="0013396E">
              <w:rPr>
                <w:b/>
                <w:i/>
                <w:iCs/>
                <w:szCs w:val="24"/>
              </w:rPr>
              <w:t>: Insert paragraph (</w:t>
            </w:r>
            <w:r>
              <w:rPr>
                <w:b/>
                <w:i/>
                <w:iCs/>
                <w:szCs w:val="24"/>
              </w:rPr>
              <w:t>j</w:t>
            </w:r>
            <w:r w:rsidRPr="0013396E">
              <w:rPr>
                <w:b/>
                <w:i/>
                <w:iCs/>
                <w:szCs w:val="24"/>
              </w:rPr>
              <w:t>) below upon system implementation:]</w:t>
            </w:r>
          </w:p>
          <w:p w14:paraId="1788A350" w14:textId="53E51ABA" w:rsidR="00847103" w:rsidRPr="00847103" w:rsidRDefault="00847103" w:rsidP="00847103">
            <w:pPr>
              <w:spacing w:before="240" w:after="240"/>
              <w:ind w:left="1440" w:hanging="720"/>
              <w:rPr>
                <w:rFonts w:eastAsia="SimSun"/>
                <w:szCs w:val="24"/>
              </w:rPr>
            </w:pPr>
            <w:r w:rsidRPr="00847103">
              <w:rPr>
                <w:rFonts w:eastAsia="SimSun"/>
                <w:szCs w:val="24"/>
              </w:rPr>
              <w:t>(j)</w:t>
            </w:r>
            <w:r w:rsidRPr="00847103">
              <w:rPr>
                <w:rFonts w:eastAsia="SimSun"/>
                <w:szCs w:val="24"/>
              </w:rPr>
              <w:tab/>
              <w:t>ERCOT-directed deployment of Off-Line DRRS.</w:t>
            </w:r>
          </w:p>
        </w:tc>
      </w:tr>
    </w:tbl>
    <w:p w14:paraId="6DB804AE" w14:textId="0857FC45" w:rsidR="0013396E" w:rsidRPr="0013396E" w:rsidRDefault="0013396E" w:rsidP="007A1E53">
      <w:pPr>
        <w:spacing w:before="240" w:after="240"/>
        <w:ind w:left="720" w:hanging="720"/>
      </w:pPr>
      <w:r w:rsidRPr="0013396E">
        <w:t>(2)</w:t>
      </w:r>
      <w:r w:rsidRPr="0013396E">
        <w:tab/>
        <w:t>The Real-Time Reliability Deployment Price Adder for Energy, and Real-Time Reliability Deployment Price Adders for Ancillary Services are estimations of the impact to energy prices and Real-Time MCPCs due to the above categories of reliability deployments.  For intervals where there are reliability deployments as described in paragraph (1) above, the Real-Time Reliability Deployment Price Adder for Energy and Real-Time Reliability Deployment Price Adders for Ancillary Services are determined as follows:</w:t>
      </w:r>
    </w:p>
    <w:p w14:paraId="47986D0A" w14:textId="69C06CD7" w:rsidR="0013396E" w:rsidRPr="0013396E" w:rsidRDefault="0013396E" w:rsidP="0013396E">
      <w:pPr>
        <w:spacing w:after="240"/>
        <w:ind w:left="1440" w:hanging="720"/>
      </w:pPr>
      <w:r w:rsidRPr="0013396E">
        <w:t>(a)</w:t>
      </w:r>
      <w:r w:rsidRPr="0013396E">
        <w:tab/>
        <w:t>For RUC-committed Resources with a telemetered Resource Status of ONRUC and for RMR Resources that are On-Line: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96851" w:rsidRPr="0013396E" w14:paraId="39000CBA" w14:textId="77777777" w:rsidTr="0099759E">
        <w:trPr>
          <w:trHeight w:val="206"/>
        </w:trPr>
        <w:tc>
          <w:tcPr>
            <w:tcW w:w="9350" w:type="dxa"/>
            <w:shd w:val="pct12" w:color="auto" w:fill="auto"/>
          </w:tcPr>
          <w:p w14:paraId="2A9DD56F" w14:textId="540C7276" w:rsidR="00896851" w:rsidRPr="0013396E" w:rsidRDefault="00896851" w:rsidP="0099759E">
            <w:pPr>
              <w:spacing w:before="120" w:after="240"/>
              <w:rPr>
                <w:b/>
                <w:i/>
                <w:iCs/>
                <w:szCs w:val="24"/>
              </w:rPr>
            </w:pPr>
            <w:r w:rsidRPr="0013396E">
              <w:rPr>
                <w:b/>
                <w:i/>
                <w:iCs/>
                <w:szCs w:val="24"/>
              </w:rPr>
              <w:t>[NPRR10</w:t>
            </w:r>
            <w:r>
              <w:rPr>
                <w:b/>
                <w:i/>
                <w:iCs/>
                <w:szCs w:val="24"/>
              </w:rPr>
              <w:t>91</w:t>
            </w:r>
            <w:r w:rsidR="004A7B1D">
              <w:rPr>
                <w:b/>
                <w:i/>
                <w:iCs/>
                <w:szCs w:val="24"/>
              </w:rPr>
              <w:t xml:space="preserve"> and NPRR1309</w:t>
            </w:r>
            <w:r w:rsidRPr="0013396E">
              <w:rPr>
                <w:b/>
                <w:i/>
                <w:iCs/>
                <w:szCs w:val="24"/>
              </w:rPr>
              <w:t xml:space="preserve">: </w:t>
            </w:r>
            <w:r>
              <w:rPr>
                <w:b/>
                <w:i/>
                <w:iCs/>
                <w:szCs w:val="24"/>
              </w:rPr>
              <w:t>Replace</w:t>
            </w:r>
            <w:r w:rsidRPr="0013396E">
              <w:rPr>
                <w:b/>
                <w:i/>
                <w:iCs/>
                <w:szCs w:val="24"/>
              </w:rPr>
              <w:t xml:space="preserve"> </w:t>
            </w:r>
            <w:r w:rsidR="004A7B1D">
              <w:rPr>
                <w:b/>
                <w:i/>
                <w:iCs/>
                <w:szCs w:val="24"/>
              </w:rPr>
              <w:t xml:space="preserve">applicable portions of </w:t>
            </w:r>
            <w:r w:rsidRPr="0013396E">
              <w:rPr>
                <w:b/>
                <w:i/>
                <w:iCs/>
                <w:szCs w:val="24"/>
              </w:rPr>
              <w:t>paragraph (</w:t>
            </w:r>
            <w:r>
              <w:rPr>
                <w:b/>
                <w:i/>
                <w:iCs/>
                <w:szCs w:val="24"/>
              </w:rPr>
              <w:t>j</w:t>
            </w:r>
            <w:r w:rsidRPr="0013396E">
              <w:rPr>
                <w:b/>
                <w:i/>
                <w:iCs/>
                <w:szCs w:val="24"/>
              </w:rPr>
              <w:t xml:space="preserve">) </w:t>
            </w:r>
            <w:r>
              <w:rPr>
                <w:b/>
                <w:i/>
                <w:iCs/>
                <w:szCs w:val="24"/>
              </w:rPr>
              <w:t>above with the following</w:t>
            </w:r>
            <w:r w:rsidRPr="0013396E">
              <w:rPr>
                <w:b/>
                <w:i/>
                <w:iCs/>
                <w:szCs w:val="24"/>
              </w:rPr>
              <w:t xml:space="preserve"> upon system implementation:]</w:t>
            </w:r>
          </w:p>
          <w:p w14:paraId="0411C6B0" w14:textId="215B7119" w:rsidR="00896851" w:rsidRPr="00896851" w:rsidRDefault="00896851" w:rsidP="00896851">
            <w:pPr>
              <w:spacing w:after="240"/>
              <w:ind w:left="1440" w:hanging="720"/>
            </w:pPr>
            <w:r w:rsidRPr="0013396E">
              <w:t>(a)</w:t>
            </w:r>
            <w:r w:rsidRPr="0013396E">
              <w:tab/>
              <w:t xml:space="preserve">For Off-Line Non-Spin Resources that are brought On-Line by ERCOT deployment instruction, </w:t>
            </w:r>
            <w:r w:rsidR="004A7B1D" w:rsidRPr="003F34DA">
              <w:t xml:space="preserve">Off-Line Resources that are deployed for DRRS, </w:t>
            </w:r>
            <w:r w:rsidRPr="0013396E">
              <w:t>RUC-committed Resources with a telemetered Resource Status of ONRUC and for RMR Resources that are On-Line:</w:t>
            </w:r>
          </w:p>
        </w:tc>
      </w:tr>
    </w:tbl>
    <w:p w14:paraId="3D9BECC7" w14:textId="156ECC33" w:rsidR="0013396E" w:rsidRPr="0013396E" w:rsidRDefault="0013396E" w:rsidP="007A1E53">
      <w:pPr>
        <w:spacing w:before="240" w:after="240"/>
        <w:ind w:left="2160" w:hanging="720"/>
      </w:pPr>
      <w:r w:rsidRPr="0013396E">
        <w:t>(i)</w:t>
      </w:r>
      <w:r w:rsidRPr="0013396E">
        <w:tab/>
        <w:t>Set the LSL and LDL to zero;</w:t>
      </w:r>
    </w:p>
    <w:p w14:paraId="21D76776" w14:textId="77777777" w:rsidR="0013396E" w:rsidRPr="0013396E" w:rsidRDefault="0013396E" w:rsidP="0013396E">
      <w:pPr>
        <w:spacing w:after="240"/>
        <w:ind w:left="2160" w:hanging="720"/>
      </w:pPr>
      <w:r w:rsidRPr="0013396E">
        <w:t>(ii)</w:t>
      </w:r>
      <w:r w:rsidRPr="0013396E">
        <w:tab/>
        <w:t>Remove all Ancillary Service Offers; and</w:t>
      </w:r>
    </w:p>
    <w:p w14:paraId="5FA8D330" w14:textId="77777777" w:rsidR="0013396E" w:rsidRPr="0013396E" w:rsidRDefault="0013396E" w:rsidP="0013396E">
      <w:pPr>
        <w:spacing w:after="240"/>
        <w:ind w:left="2160" w:hanging="720"/>
      </w:pPr>
      <w:r w:rsidRPr="0013396E">
        <w:t>(iii)</w:t>
      </w:r>
      <w:r w:rsidRPr="0013396E">
        <w:tab/>
        <w:t>For the first step of SCED, administratively set the Energy Offer Curve for the Resource at a value equal to the power balance penalty price for all capacity between 0 MW and the HSL of the Resource.</w:t>
      </w:r>
    </w:p>
    <w:p w14:paraId="6ABAB08D" w14:textId="77777777" w:rsidR="0013396E" w:rsidRPr="0013396E" w:rsidRDefault="0013396E" w:rsidP="0013396E">
      <w:pPr>
        <w:spacing w:after="240"/>
        <w:ind w:left="1440" w:hanging="720"/>
      </w:pPr>
      <w:r w:rsidRPr="0013396E">
        <w:t>(b)</w:t>
      </w:r>
      <w:r w:rsidRPr="0013396E">
        <w:tab/>
        <w:t>Notwithstanding item (a) above, for RUC-committed Combined Cycle Generation Resources with a telemetered Resource Status of ONRUC that were instructed by ERCOT to transition to a different configuration to provide additional capacity:</w:t>
      </w:r>
    </w:p>
    <w:p w14:paraId="17140271" w14:textId="77777777" w:rsidR="0013396E" w:rsidRPr="0013396E" w:rsidRDefault="0013396E" w:rsidP="0013396E">
      <w:pPr>
        <w:spacing w:after="240"/>
        <w:ind w:left="2160" w:hanging="720"/>
      </w:pPr>
      <w:r w:rsidRPr="0013396E">
        <w:lastRenderedPageBreak/>
        <w:t>(i)</w:t>
      </w:r>
      <w:r w:rsidRPr="0013396E">
        <w:tab/>
        <w:t>Set the LSL and LDL equal to the minimum of their current value and the COP HSL of the QSE-committed configuration for the RUC hour at the snapshot time of the RUC instruction;</w:t>
      </w:r>
    </w:p>
    <w:p w14:paraId="75AE6E22" w14:textId="77777777" w:rsidR="0013396E" w:rsidRPr="0013396E" w:rsidRDefault="0013396E" w:rsidP="0013396E">
      <w:pPr>
        <w:spacing w:after="240"/>
        <w:ind w:left="2160" w:hanging="720"/>
      </w:pPr>
      <w:r w:rsidRPr="0013396E">
        <w:t>(ii)</w:t>
      </w:r>
      <w:r w:rsidRPr="0013396E">
        <w:tab/>
        <w:t>Set the maximum Ancillary Service capabilities of the Resource equal to the minimum of their current value and COP Ancillary Service capabilities of the QSE-committed configuration for the RUC hour at the snapshot time of the RUC instruction; and</w:t>
      </w:r>
    </w:p>
    <w:p w14:paraId="3FC3FA53" w14:textId="77777777" w:rsidR="0013396E" w:rsidRPr="0013396E" w:rsidRDefault="0013396E" w:rsidP="0013396E">
      <w:pPr>
        <w:spacing w:after="240"/>
        <w:ind w:left="2160" w:hanging="720"/>
      </w:pPr>
      <w:r w:rsidRPr="0013396E">
        <w:t>(iii)</w:t>
      </w:r>
      <w:r w:rsidRPr="0013396E">
        <w:tab/>
        <w:t xml:space="preserve">For the first step of SCED, administratively set the Energy Offer Curve for the Resource at a value equal to the power balance penalty price for the additional capacity of the Resource, defined as the positive difference between the Resource’s current telemetered HSL and the COP HSL of the QSE-committed configuration for the RUC hour at the snapshot time of the RUC instruction.  </w:t>
      </w:r>
    </w:p>
    <w:p w14:paraId="62A313E3" w14:textId="0FE381AE" w:rsidR="0013396E" w:rsidRPr="0013396E" w:rsidRDefault="0013396E" w:rsidP="0013396E">
      <w:pPr>
        <w:spacing w:after="240"/>
        <w:ind w:left="1440" w:hanging="720"/>
      </w:pPr>
      <w:r w:rsidRPr="0013396E">
        <w:t>(c)</w:t>
      </w:r>
      <w:r w:rsidRPr="0013396E">
        <w:tab/>
        <w:t>For all other Generation Resources excluding ones with a telemetered status of ONRUC, ONTEST, STARTUP, SHUTDOWN, and also excluding RMR Resources that are On-Line and excluding Generation Resources with a telemetered output less than 95% of LSL:</w:t>
      </w:r>
    </w:p>
    <w:p w14:paraId="253EC4A2" w14:textId="622F4982" w:rsidR="0013396E" w:rsidRPr="0013396E" w:rsidRDefault="0013396E" w:rsidP="0013396E">
      <w:pPr>
        <w:spacing w:after="240"/>
        <w:ind w:left="2160" w:hanging="720"/>
      </w:pPr>
      <w:r w:rsidRPr="0013396E">
        <w:t>(i)</w:t>
      </w:r>
      <w:r w:rsidRPr="0013396E">
        <w:tab/>
        <w:t>Set LDL to the greater of Aggregated Resource Output - (60 minutes * Normal Ramp Rate down), or LSL; and</w:t>
      </w:r>
    </w:p>
    <w:p w14:paraId="740A342B" w14:textId="6D197F60" w:rsidR="0013396E" w:rsidRPr="0013396E" w:rsidRDefault="0013396E" w:rsidP="0013396E">
      <w:pPr>
        <w:spacing w:after="240"/>
        <w:ind w:left="2160" w:hanging="720"/>
      </w:pPr>
      <w:r w:rsidRPr="0013396E">
        <w:t>(ii)       Set HDL to the lesser of Aggregated Resource Output + (60 minutes</w:t>
      </w:r>
      <w:r w:rsidR="00865280">
        <w:t xml:space="preserve"> </w:t>
      </w:r>
      <w:r w:rsidRPr="0013396E">
        <w:t>*</w:t>
      </w:r>
      <w:r w:rsidR="00865280">
        <w:t xml:space="preserve"> </w:t>
      </w:r>
      <w:r w:rsidRPr="0013396E">
        <w:t>Normal Ramp Rate up), or HSL.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3396E" w:rsidRPr="0013396E" w14:paraId="250EEB79" w14:textId="77777777" w:rsidTr="0013396E">
        <w:trPr>
          <w:trHeight w:val="206"/>
        </w:trPr>
        <w:tc>
          <w:tcPr>
            <w:tcW w:w="9350" w:type="dxa"/>
            <w:shd w:val="pct12" w:color="auto" w:fill="auto"/>
          </w:tcPr>
          <w:p w14:paraId="4680541A" w14:textId="77777777" w:rsidR="0013396E" w:rsidRPr="0013396E" w:rsidRDefault="0013396E" w:rsidP="0013396E">
            <w:pPr>
              <w:spacing w:before="120" w:after="240"/>
              <w:rPr>
                <w:b/>
                <w:i/>
                <w:iCs/>
                <w:szCs w:val="24"/>
              </w:rPr>
            </w:pPr>
            <w:r w:rsidRPr="0013396E">
              <w:rPr>
                <w:b/>
                <w:i/>
                <w:iCs/>
                <w:szCs w:val="24"/>
              </w:rPr>
              <w:t>[NPRR904:  Replace paragraph (c) above with the following upon system implementation:]</w:t>
            </w:r>
          </w:p>
          <w:p w14:paraId="4427344C" w14:textId="77777777" w:rsidR="0013396E" w:rsidRPr="0013396E" w:rsidRDefault="0013396E" w:rsidP="0013396E">
            <w:pPr>
              <w:spacing w:before="240" w:after="240"/>
              <w:ind w:left="1440" w:hanging="720"/>
              <w:rPr>
                <w:lang w:val="x-none" w:eastAsia="x-none"/>
              </w:rPr>
            </w:pPr>
            <w:r w:rsidRPr="0013396E">
              <w:rPr>
                <w:lang w:val="x-none" w:eastAsia="x-none"/>
              </w:rPr>
              <w:t>(</w:t>
            </w:r>
            <w:r w:rsidRPr="0013396E">
              <w:rPr>
                <w:lang w:eastAsia="x-none"/>
              </w:rPr>
              <w:t>c</w:t>
            </w:r>
            <w:r w:rsidRPr="0013396E">
              <w:rPr>
                <w:lang w:val="x-none" w:eastAsia="x-none"/>
              </w:rPr>
              <w:t xml:space="preserve">) </w:t>
            </w:r>
            <w:r w:rsidRPr="0013396E">
              <w:rPr>
                <w:lang w:val="x-none" w:eastAsia="x-none"/>
              </w:rPr>
              <w:tab/>
              <w:t>For all other Generation Resources excluding ones with a telemetered status of ONRUC, ONTEST, STARTUP, SHUTDOWN, and also excluding RMR Resources that are On-Line and excluding Generation Resources with a telemetered output less than 95% of LSL:</w:t>
            </w:r>
          </w:p>
          <w:p w14:paraId="2F0E330F" w14:textId="77777777" w:rsidR="0013396E" w:rsidRPr="0013396E" w:rsidRDefault="0013396E" w:rsidP="0013396E">
            <w:pPr>
              <w:spacing w:after="240"/>
              <w:ind w:left="2160" w:hanging="720"/>
            </w:pPr>
            <w:r w:rsidRPr="0013396E">
              <w:t>(i)</w:t>
            </w:r>
            <w:r w:rsidRPr="0013396E">
              <w:tab/>
              <w:t>If the Generation Resource SCED Base Point is not at LDL, set LDL to the greater of Aggregated Resource Output - (60 minutes * Normal Ramp Rate down), or LSL; and</w:t>
            </w:r>
          </w:p>
          <w:p w14:paraId="4EC98C0F" w14:textId="77777777" w:rsidR="0013396E" w:rsidRPr="0013396E" w:rsidRDefault="0013396E" w:rsidP="0013396E">
            <w:pPr>
              <w:spacing w:after="240"/>
              <w:ind w:left="2160" w:hanging="720"/>
            </w:pPr>
            <w:r w:rsidRPr="0013396E">
              <w:t xml:space="preserve">(ii) </w:t>
            </w:r>
            <w:r w:rsidRPr="0013396E">
              <w:tab/>
              <w:t>If the Generation Resource SCED Base Point is not at HDL, set HDL to the lesser of Aggregated Resource Output + (60 minutes * Normal Ramp Rate up), or HSL.</w:t>
            </w:r>
          </w:p>
        </w:tc>
      </w:tr>
    </w:tbl>
    <w:p w14:paraId="1835C1C1" w14:textId="77777777" w:rsidR="001E14CB" w:rsidRPr="0013396E" w:rsidRDefault="001E14CB" w:rsidP="00873D04">
      <w:pPr>
        <w:spacing w:before="240" w:after="240"/>
        <w:ind w:left="1440" w:hanging="720"/>
      </w:pPr>
      <w:r w:rsidRPr="0013396E">
        <w:t>(d)</w:t>
      </w:r>
      <w:r w:rsidRPr="0013396E">
        <w:tab/>
        <w:t>For all On-Line ESRs excluding those with a telemetered status of ONTEST or ONHOLD:</w:t>
      </w:r>
    </w:p>
    <w:p w14:paraId="6156D16B" w14:textId="77777777" w:rsidR="001E14CB" w:rsidRPr="0013396E" w:rsidRDefault="001E14CB" w:rsidP="00873D04">
      <w:pPr>
        <w:spacing w:after="240"/>
        <w:ind w:left="2160" w:hanging="720"/>
      </w:pPr>
      <w:r w:rsidRPr="0013396E">
        <w:lastRenderedPageBreak/>
        <w:t>(i)</w:t>
      </w:r>
      <w:r w:rsidRPr="0013396E">
        <w:tab/>
        <w:t>If the ESR SCED Base Point is not at LDL, set LDL to the greater of Aggregated Resource Output - (60 minutes * Normal Ramp Rate down), or LSL; and</w:t>
      </w:r>
    </w:p>
    <w:p w14:paraId="5AACDA93" w14:textId="77777777" w:rsidR="001E14CB" w:rsidRPr="0013396E" w:rsidRDefault="001E14CB" w:rsidP="001E14CB">
      <w:pPr>
        <w:spacing w:after="240"/>
        <w:ind w:left="2160" w:hanging="720"/>
      </w:pPr>
      <w:r w:rsidRPr="0013396E">
        <w:t>(ii)</w:t>
      </w:r>
      <w:r w:rsidRPr="0013396E">
        <w:tab/>
        <w:t>If the ESR SCED Base Point is not at HDL, set HDL to the lesser of Aggregated Resource Output + (60 minutes * Normal Ramp Rate up), or HSL.</w:t>
      </w:r>
    </w:p>
    <w:p w14:paraId="4E6774F3" w14:textId="77777777" w:rsidR="00AE5D60" w:rsidRPr="00AE5D60" w:rsidRDefault="00AE5D60" w:rsidP="003A0CA0">
      <w:pPr>
        <w:spacing w:after="240"/>
        <w:ind w:left="1440" w:hanging="720"/>
      </w:pPr>
      <w:r w:rsidRPr="00AE5D60">
        <w:t>(e)</w:t>
      </w:r>
      <w:r w:rsidRPr="00AE5D60">
        <w:tab/>
        <w:t>For all CLRs excluding ones with a telemetered status of OUTL:</w:t>
      </w:r>
    </w:p>
    <w:p w14:paraId="71FE7C45" w14:textId="421C4550" w:rsidR="00AE5D60" w:rsidRPr="00AE5D60" w:rsidRDefault="00AE5D60" w:rsidP="00AE5D60">
      <w:pPr>
        <w:spacing w:after="240"/>
        <w:ind w:left="2160" w:hanging="720"/>
      </w:pPr>
      <w:r w:rsidRPr="00AE5D60">
        <w:t>(i)</w:t>
      </w:r>
      <w:r w:rsidRPr="00AE5D60">
        <w:tab/>
      </w:r>
      <w:r w:rsidR="001E14CB">
        <w:t>Set</w:t>
      </w:r>
      <w:r w:rsidRPr="00AE5D60">
        <w:t xml:space="preserve"> LDL to the greater of Aggregated Resource Output - (60 minutes * Normal Ramp Rate), or LSL; and</w:t>
      </w:r>
    </w:p>
    <w:p w14:paraId="4AF255C8" w14:textId="212FA8A0" w:rsidR="00AE5D60" w:rsidRPr="00AE5D60" w:rsidRDefault="00AE5D60" w:rsidP="00AE5D60">
      <w:pPr>
        <w:spacing w:after="240"/>
        <w:ind w:left="2160" w:hanging="720"/>
      </w:pPr>
      <w:r w:rsidRPr="00AE5D60">
        <w:t>(ii)</w:t>
      </w:r>
      <w:r w:rsidRPr="00AE5D60">
        <w:tab/>
      </w:r>
      <w:r w:rsidR="001E14CB">
        <w:t>Set</w:t>
      </w:r>
      <w:r w:rsidRPr="00AE5D60">
        <w:t xml:space="preserve"> HDL to the lesser of Aggregated Resource Output + (60 minutes * Normal Ramp Rate), or HSL.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1126C" w:rsidRPr="0013396E" w14:paraId="242D8B13" w14:textId="77777777" w:rsidTr="0099759E">
        <w:trPr>
          <w:trHeight w:val="206"/>
        </w:trPr>
        <w:tc>
          <w:tcPr>
            <w:tcW w:w="9350" w:type="dxa"/>
            <w:shd w:val="pct12" w:color="auto" w:fill="auto"/>
          </w:tcPr>
          <w:p w14:paraId="186B6A64" w14:textId="36238149" w:rsidR="0011126C" w:rsidRPr="0013396E" w:rsidRDefault="0011126C" w:rsidP="0099759E">
            <w:pPr>
              <w:spacing w:before="120" w:after="240"/>
              <w:rPr>
                <w:b/>
                <w:i/>
                <w:iCs/>
                <w:szCs w:val="24"/>
              </w:rPr>
            </w:pPr>
            <w:r w:rsidRPr="0013396E">
              <w:rPr>
                <w:b/>
                <w:i/>
                <w:iCs/>
                <w:szCs w:val="24"/>
              </w:rPr>
              <w:t>[NPRR</w:t>
            </w:r>
            <w:r w:rsidR="001E14CB">
              <w:rPr>
                <w:b/>
                <w:i/>
                <w:iCs/>
                <w:szCs w:val="24"/>
              </w:rPr>
              <w:t xml:space="preserve">904 and </w:t>
            </w:r>
            <w:r w:rsidRPr="0013396E">
              <w:rPr>
                <w:b/>
                <w:i/>
                <w:iCs/>
                <w:szCs w:val="24"/>
              </w:rPr>
              <w:t>1</w:t>
            </w:r>
            <w:r>
              <w:rPr>
                <w:b/>
                <w:i/>
                <w:iCs/>
                <w:szCs w:val="24"/>
              </w:rPr>
              <w:t>188</w:t>
            </w:r>
            <w:r w:rsidRPr="0013396E">
              <w:rPr>
                <w:b/>
                <w:i/>
                <w:iCs/>
                <w:szCs w:val="24"/>
              </w:rPr>
              <w:t xml:space="preserve">: </w:t>
            </w:r>
            <w:r>
              <w:rPr>
                <w:b/>
                <w:i/>
                <w:iCs/>
                <w:szCs w:val="24"/>
              </w:rPr>
              <w:t>Replace</w:t>
            </w:r>
            <w:r w:rsidRPr="0013396E">
              <w:rPr>
                <w:b/>
                <w:i/>
                <w:iCs/>
                <w:szCs w:val="24"/>
              </w:rPr>
              <w:t xml:space="preserve"> </w:t>
            </w:r>
            <w:r w:rsidR="001E14CB">
              <w:rPr>
                <w:b/>
                <w:i/>
                <w:iCs/>
                <w:szCs w:val="24"/>
              </w:rPr>
              <w:t xml:space="preserve">applicable portions of </w:t>
            </w:r>
            <w:r w:rsidRPr="0013396E">
              <w:rPr>
                <w:b/>
                <w:i/>
                <w:iCs/>
                <w:szCs w:val="24"/>
              </w:rPr>
              <w:t>paragraph (</w:t>
            </w:r>
            <w:r w:rsidR="00AE5D60">
              <w:rPr>
                <w:b/>
                <w:i/>
                <w:iCs/>
                <w:szCs w:val="24"/>
              </w:rPr>
              <w:t>e</w:t>
            </w:r>
            <w:r w:rsidRPr="0013396E">
              <w:rPr>
                <w:b/>
                <w:i/>
                <w:iCs/>
                <w:szCs w:val="24"/>
              </w:rPr>
              <w:t xml:space="preserve">) </w:t>
            </w:r>
            <w:r>
              <w:rPr>
                <w:b/>
                <w:i/>
                <w:iCs/>
                <w:szCs w:val="24"/>
              </w:rPr>
              <w:t>above with the following</w:t>
            </w:r>
            <w:r w:rsidRPr="0013396E">
              <w:rPr>
                <w:b/>
                <w:i/>
                <w:iCs/>
                <w:szCs w:val="24"/>
              </w:rPr>
              <w:t xml:space="preserve"> upon system implementation:]</w:t>
            </w:r>
          </w:p>
          <w:p w14:paraId="46E62FCB" w14:textId="77777777" w:rsidR="00AE5D60" w:rsidRPr="0013396E" w:rsidRDefault="00AE5D60" w:rsidP="005A7D8E">
            <w:pPr>
              <w:spacing w:after="240"/>
              <w:ind w:left="1440" w:hanging="720"/>
            </w:pPr>
            <w:r w:rsidRPr="0013396E">
              <w:t>(e)</w:t>
            </w:r>
            <w:r w:rsidRPr="0013396E">
              <w:tab/>
              <w:t>For all CLRs excluding ones with a telemetered status of OUTL, ONTEST, or ONHOLD:</w:t>
            </w:r>
          </w:p>
          <w:p w14:paraId="07C46819" w14:textId="77777777" w:rsidR="00AE5D60" w:rsidRPr="0013396E" w:rsidRDefault="00AE5D60" w:rsidP="00AE5D60">
            <w:pPr>
              <w:spacing w:after="240"/>
              <w:ind w:left="2160" w:hanging="720"/>
            </w:pPr>
            <w:r w:rsidRPr="0013396E">
              <w:t>(i)</w:t>
            </w:r>
            <w:r w:rsidRPr="0013396E">
              <w:tab/>
              <w:t>If the CLR SCED Base Point is not at LDL, set LDL to the greater of Aggregated Resource Output - (60 minutes * Normal Ramp Rate up), or LSL; and</w:t>
            </w:r>
          </w:p>
          <w:p w14:paraId="6BDD4F06" w14:textId="477F2E5A" w:rsidR="0011126C" w:rsidRPr="00896851" w:rsidRDefault="00AE5D60" w:rsidP="005A7D8E">
            <w:pPr>
              <w:spacing w:after="240"/>
              <w:ind w:left="2160" w:hanging="720"/>
            </w:pPr>
            <w:r w:rsidRPr="0013396E">
              <w:t>(ii)</w:t>
            </w:r>
            <w:r w:rsidRPr="0013396E">
              <w:tab/>
              <w:t>If the CLR SCED Base Point is not at HDL, set HDL to the lesser of Aggregated Resource Output + (60 minutes * Normal Ramp Rate down), or HSL.</w:t>
            </w:r>
          </w:p>
        </w:tc>
      </w:tr>
    </w:tbl>
    <w:p w14:paraId="1B8A78BC" w14:textId="0C03481A" w:rsidR="0013396E" w:rsidRPr="0013396E" w:rsidRDefault="0013396E" w:rsidP="0013396E">
      <w:pPr>
        <w:spacing w:before="240" w:after="240"/>
        <w:ind w:left="1440" w:hanging="720"/>
      </w:pPr>
      <w:r w:rsidRPr="0013396E">
        <w:t>(f)</w:t>
      </w:r>
      <w:r w:rsidRPr="0013396E">
        <w:tab/>
        <w:t xml:space="preserve">Add the deployed MW from Load Resources that are not CLRs and that are providing RRS or ECRS to GTBD linearly ramped over the ten-minute ramp period and add the deployed MW from Load Resources that are not CLRs providing Non-Spin to GTBD linearly ramped over the 30-minute ramp period.  The amount of deployed MW is calculated from the Resource telemetry and from applicable deployment instructions in Extensible Markup Language (XML) messages.  ERCOT shall generate a linear bid curve defined by a price/quantity pair of $300/MWh for the first MW of Load Resources deployed and a price/quantity pair of $700/MWh for the last MW of Load Resources deployed in each SCED execution.  After recall instruction, the restoration period length and amount of MW added to GTBD during the restoration period will be determined by validated telemetry and the type of Ancillary Service deployed from the Resource.  The TAC shall review the validity of the prices for the bid curve at least annually.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E5D60" w:rsidRPr="0013396E" w14:paraId="1A45EBF2" w14:textId="77777777" w:rsidTr="0099759E">
        <w:trPr>
          <w:trHeight w:val="206"/>
        </w:trPr>
        <w:tc>
          <w:tcPr>
            <w:tcW w:w="9350" w:type="dxa"/>
            <w:shd w:val="pct12" w:color="auto" w:fill="auto"/>
          </w:tcPr>
          <w:p w14:paraId="5B650561" w14:textId="421EA5D3" w:rsidR="00AE5D60" w:rsidRPr="0013396E" w:rsidRDefault="00AE5D60" w:rsidP="0099759E">
            <w:pPr>
              <w:spacing w:before="120" w:after="240"/>
              <w:rPr>
                <w:b/>
                <w:i/>
                <w:iCs/>
                <w:szCs w:val="24"/>
              </w:rPr>
            </w:pPr>
            <w:r w:rsidRPr="0013396E">
              <w:rPr>
                <w:b/>
                <w:i/>
                <w:iCs/>
                <w:szCs w:val="24"/>
              </w:rPr>
              <w:lastRenderedPageBreak/>
              <w:t>[NPRR1</w:t>
            </w:r>
            <w:r>
              <w:rPr>
                <w:b/>
                <w:i/>
                <w:iCs/>
                <w:szCs w:val="24"/>
              </w:rPr>
              <w:t>238</w:t>
            </w:r>
            <w:r w:rsidRPr="0013396E">
              <w:rPr>
                <w:b/>
                <w:i/>
                <w:iCs/>
                <w:szCs w:val="24"/>
              </w:rPr>
              <w:t>: Insert paragraph (</w:t>
            </w:r>
            <w:r>
              <w:rPr>
                <w:b/>
                <w:i/>
                <w:iCs/>
                <w:szCs w:val="24"/>
              </w:rPr>
              <w:t>g</w:t>
            </w:r>
            <w:r w:rsidRPr="0013396E">
              <w:rPr>
                <w:b/>
                <w:i/>
                <w:iCs/>
                <w:szCs w:val="24"/>
              </w:rPr>
              <w:t>) below upon system implementation</w:t>
            </w:r>
            <w:r>
              <w:rPr>
                <w:b/>
                <w:i/>
                <w:iCs/>
                <w:szCs w:val="24"/>
              </w:rPr>
              <w:t xml:space="preserve"> and renumber accordingly</w:t>
            </w:r>
            <w:r w:rsidRPr="0013396E">
              <w:rPr>
                <w:b/>
                <w:i/>
                <w:iCs/>
                <w:szCs w:val="24"/>
              </w:rPr>
              <w:t>:]</w:t>
            </w:r>
          </w:p>
          <w:p w14:paraId="4D8C4BD4" w14:textId="1D8279AD" w:rsidR="00AE5D60" w:rsidRPr="00AE5D60" w:rsidRDefault="00AE5D60" w:rsidP="0099759E">
            <w:pPr>
              <w:spacing w:after="240"/>
              <w:ind w:left="1440" w:hanging="720"/>
              <w:rPr>
                <w:szCs w:val="24"/>
              </w:rPr>
            </w:pPr>
            <w:r w:rsidRPr="0013396E">
              <w:rPr>
                <w:szCs w:val="24"/>
              </w:rPr>
              <w:t>(g)</w:t>
            </w:r>
            <w:r w:rsidRPr="0013396E">
              <w:tab/>
            </w:r>
            <w:r w:rsidRPr="0013396E">
              <w:rPr>
                <w:szCs w:val="24"/>
              </w:rPr>
              <w:t>Add the deployed MW from VECL</w:t>
            </w:r>
            <w:r w:rsidRPr="0013396E">
              <w:rPr>
                <w:bCs/>
              </w:rPr>
              <w:t xml:space="preserve"> </w:t>
            </w:r>
            <w:r w:rsidRPr="0013396E">
              <w:rPr>
                <w:szCs w:val="24"/>
              </w:rPr>
              <w:t xml:space="preserve">to GTBD linearly ramped over a 30-minute ramp period.  The amount of deployed MW is calculated from the applicable deployment instructions in XML messages.  ERCOT shall generate a linear bid curve defined by a price/quantity pair of $300/MWh for the first MW of </w:t>
            </w:r>
            <w:r w:rsidRPr="0013396E">
              <w:rPr>
                <w:bCs/>
              </w:rPr>
              <w:t>VECL</w:t>
            </w:r>
            <w:r w:rsidRPr="0013396E">
              <w:rPr>
                <w:szCs w:val="24"/>
              </w:rPr>
              <w:t xml:space="preserve"> deployed and a price/quantity pair of $700/MWh for the last MW of </w:t>
            </w:r>
            <w:r w:rsidRPr="0013396E">
              <w:rPr>
                <w:bCs/>
              </w:rPr>
              <w:t xml:space="preserve">VECL </w:t>
            </w:r>
            <w:r w:rsidRPr="0013396E">
              <w:rPr>
                <w:szCs w:val="24"/>
              </w:rPr>
              <w:t>deployed in each SCED execution.  After recall instruction, GTBD shall be adjusted to reflect restoration on a linear curve over a one-hour restoration period.</w:t>
            </w:r>
          </w:p>
        </w:tc>
      </w:tr>
    </w:tbl>
    <w:p w14:paraId="6F53573C" w14:textId="07440A5A" w:rsidR="0013396E" w:rsidRPr="0013396E" w:rsidRDefault="0013396E" w:rsidP="005A7D8E">
      <w:pPr>
        <w:pStyle w:val="BodyTextNumbered"/>
        <w:spacing w:before="240"/>
        <w:ind w:left="1440"/>
      </w:pPr>
      <w:r w:rsidRPr="0013396E">
        <w:t>(</w:t>
      </w:r>
      <w:r w:rsidR="00AE5D60">
        <w:t>g</w:t>
      </w:r>
      <w:r w:rsidRPr="0013396E">
        <w:t>)</w:t>
      </w:r>
      <w:r w:rsidRPr="0013396E">
        <w:tab/>
        <w:t>Add the deployed MW from ERS to GTBD.  The amount of deployed MW is determined from the XML messages and ERS contracted capacities for the ERS Time Periods when ERS is deployed.  After recall, an approximation of the amount of un-restored ERS shall be used.  After ERCOT recalls each group, GTBD shall be adjusted to reflect restoration on a linear curve over the assumed restoration period (“RHours”).</w:t>
      </w:r>
    </w:p>
    <w:p w14:paraId="6B467D20" w14:textId="77777777" w:rsidR="0013396E" w:rsidRPr="0013396E" w:rsidRDefault="0013396E" w:rsidP="0013396E">
      <w:pPr>
        <w:rPr>
          <w:iCs/>
        </w:rPr>
      </w:pPr>
      <w:r w:rsidRPr="0013396E">
        <w:rPr>
          <w:iCs/>
        </w:rPr>
        <w:t>The above parameter is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8"/>
        <w:gridCol w:w="1702"/>
        <w:gridCol w:w="6120"/>
      </w:tblGrid>
      <w:tr w:rsidR="0013396E" w:rsidRPr="0013396E" w14:paraId="0C5FFC87" w14:textId="77777777" w:rsidTr="0099759E">
        <w:trPr>
          <w:trHeight w:val="351"/>
          <w:tblHeader/>
        </w:trPr>
        <w:tc>
          <w:tcPr>
            <w:tcW w:w="1448" w:type="dxa"/>
          </w:tcPr>
          <w:p w14:paraId="0A3B16DC" w14:textId="77777777" w:rsidR="0013396E" w:rsidRPr="0013396E" w:rsidRDefault="0013396E" w:rsidP="0099759E">
            <w:pPr>
              <w:pStyle w:val="TableHead"/>
            </w:pPr>
            <w:r w:rsidRPr="0013396E">
              <w:t>Parameter</w:t>
            </w:r>
          </w:p>
        </w:tc>
        <w:tc>
          <w:tcPr>
            <w:tcW w:w="1702" w:type="dxa"/>
          </w:tcPr>
          <w:p w14:paraId="17E8AE7F" w14:textId="77777777" w:rsidR="0013396E" w:rsidRPr="0013396E" w:rsidRDefault="0013396E" w:rsidP="0099759E">
            <w:pPr>
              <w:pStyle w:val="TableHead"/>
            </w:pPr>
            <w:r w:rsidRPr="0013396E">
              <w:t>Unit</w:t>
            </w:r>
          </w:p>
        </w:tc>
        <w:tc>
          <w:tcPr>
            <w:tcW w:w="6120" w:type="dxa"/>
          </w:tcPr>
          <w:p w14:paraId="547AF6EE" w14:textId="77777777" w:rsidR="0013396E" w:rsidRPr="0013396E" w:rsidRDefault="0013396E" w:rsidP="0099759E">
            <w:pPr>
              <w:pStyle w:val="TableHead"/>
            </w:pPr>
            <w:r w:rsidRPr="0013396E">
              <w:t>Current Value*</w:t>
            </w:r>
          </w:p>
        </w:tc>
      </w:tr>
      <w:tr w:rsidR="0013396E" w:rsidRPr="0013396E" w14:paraId="06AF7DDD" w14:textId="77777777" w:rsidTr="0099759E">
        <w:trPr>
          <w:trHeight w:val="519"/>
        </w:trPr>
        <w:tc>
          <w:tcPr>
            <w:tcW w:w="1448" w:type="dxa"/>
          </w:tcPr>
          <w:p w14:paraId="59678861" w14:textId="77777777" w:rsidR="0013396E" w:rsidRPr="0013396E" w:rsidRDefault="0013396E" w:rsidP="0099759E">
            <w:pPr>
              <w:pStyle w:val="TableBody"/>
            </w:pPr>
            <w:r w:rsidRPr="0013396E">
              <w:t>RHours</w:t>
            </w:r>
          </w:p>
        </w:tc>
        <w:tc>
          <w:tcPr>
            <w:tcW w:w="1702" w:type="dxa"/>
          </w:tcPr>
          <w:p w14:paraId="73E7DA0F" w14:textId="77777777" w:rsidR="0013396E" w:rsidRPr="0013396E" w:rsidRDefault="0013396E" w:rsidP="0099759E">
            <w:pPr>
              <w:pStyle w:val="TableBody"/>
            </w:pPr>
            <w:r w:rsidRPr="0013396E">
              <w:t>Hours</w:t>
            </w:r>
          </w:p>
        </w:tc>
        <w:tc>
          <w:tcPr>
            <w:tcW w:w="6120" w:type="dxa"/>
          </w:tcPr>
          <w:p w14:paraId="20A57613" w14:textId="77777777" w:rsidR="0013396E" w:rsidRPr="0013396E" w:rsidRDefault="0013396E" w:rsidP="0099759E">
            <w:pPr>
              <w:pStyle w:val="TableBody"/>
            </w:pPr>
            <w:r w:rsidRPr="0013396E">
              <w:t>4.5</w:t>
            </w:r>
          </w:p>
        </w:tc>
      </w:tr>
      <w:tr w:rsidR="0013396E" w:rsidRPr="0013396E" w14:paraId="59FB3B9B" w14:textId="77777777" w:rsidTr="0099759E">
        <w:trPr>
          <w:trHeight w:val="519"/>
        </w:trPr>
        <w:tc>
          <w:tcPr>
            <w:tcW w:w="9270" w:type="dxa"/>
            <w:gridSpan w:val="3"/>
          </w:tcPr>
          <w:p w14:paraId="157C3B4A" w14:textId="77777777" w:rsidR="0013396E" w:rsidRPr="0013396E" w:rsidRDefault="0013396E" w:rsidP="0099759E">
            <w:pPr>
              <w:pStyle w:val="TableBody"/>
            </w:pPr>
            <w:r w:rsidRPr="0013396E">
              <w:t xml:space="preserve">* Changes to the current value of the parameter(s) referenced in this table above may be recommended by TAC and the ERCOT Board and approved by the Public Utility Commission of Texas (PUCT).  ERCOT shall update parameter values on the first day of the month following PUCT approval unless otherwise directed.  ERCOT shall provide a Market Notice prior to implementation of a revised parameter value.    </w:t>
            </w:r>
          </w:p>
        </w:tc>
      </w:tr>
    </w:tbl>
    <w:p w14:paraId="0B389165" w14:textId="00BC502B" w:rsidR="0013396E" w:rsidRPr="0013396E" w:rsidRDefault="0013396E" w:rsidP="0013396E">
      <w:pPr>
        <w:spacing w:before="240" w:after="240"/>
        <w:ind w:left="1440" w:hanging="720"/>
      </w:pPr>
      <w:r w:rsidRPr="0013396E">
        <w:t>(</w:t>
      </w:r>
      <w:r w:rsidR="00AE5D60">
        <w:t>h</w:t>
      </w:r>
      <w:r w:rsidRPr="0013396E">
        <w:t>)</w:t>
      </w:r>
      <w:r w:rsidRPr="0013396E">
        <w:tab/>
        <w:t>Add the MW from Real-Time DC Tie imports during an EEA to GTBD.  The amount of MW is determined from the Dispatch Instruction and should continue over the duration of time specified by the ERCOT Operator.</w:t>
      </w:r>
    </w:p>
    <w:p w14:paraId="142E8711" w14:textId="3853C963" w:rsidR="0013396E" w:rsidRPr="0013396E" w:rsidRDefault="0013396E" w:rsidP="0013396E">
      <w:pPr>
        <w:spacing w:after="240"/>
        <w:ind w:left="1440" w:hanging="720"/>
      </w:pPr>
      <w:r w:rsidRPr="0013396E">
        <w:t>(</w:t>
      </w:r>
      <w:r w:rsidR="00AE5D60">
        <w:t>i</w:t>
      </w:r>
      <w:r w:rsidRPr="0013396E">
        <w:t>)</w:t>
      </w:r>
      <w:r w:rsidRPr="0013396E">
        <w:tab/>
        <w:t xml:space="preserve">Subtract the MW from Real-Time DC Tie exports to address emergency conditions in the receiving electric grid from GTBD.  The amount of MW is determined from the Dispatch Instruction and should continue over the duration of time specified by the receiving grid operator.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3396E" w:rsidRPr="0013396E" w14:paraId="587ECF7A" w14:textId="77777777" w:rsidTr="0099759E">
        <w:trPr>
          <w:trHeight w:val="206"/>
        </w:trPr>
        <w:tc>
          <w:tcPr>
            <w:tcW w:w="9576" w:type="dxa"/>
            <w:shd w:val="pct12" w:color="auto" w:fill="auto"/>
          </w:tcPr>
          <w:p w14:paraId="58005391" w14:textId="7D18A112" w:rsidR="0013396E" w:rsidRPr="0013396E" w:rsidRDefault="0013396E" w:rsidP="0013396E">
            <w:pPr>
              <w:spacing w:before="120" w:after="240"/>
              <w:rPr>
                <w:b/>
                <w:i/>
                <w:iCs/>
                <w:szCs w:val="24"/>
              </w:rPr>
            </w:pPr>
            <w:r w:rsidRPr="0013396E">
              <w:rPr>
                <w:b/>
                <w:i/>
                <w:iCs/>
                <w:szCs w:val="24"/>
              </w:rPr>
              <w:t>[NPRR904:  Replace paragraphs (</w:t>
            </w:r>
            <w:r w:rsidR="00AE5D60">
              <w:rPr>
                <w:b/>
                <w:i/>
                <w:iCs/>
                <w:szCs w:val="24"/>
              </w:rPr>
              <w:t>h</w:t>
            </w:r>
            <w:r w:rsidRPr="0013396E">
              <w:rPr>
                <w:b/>
                <w:i/>
                <w:iCs/>
                <w:szCs w:val="24"/>
              </w:rPr>
              <w:t>) and (</w:t>
            </w:r>
            <w:r w:rsidR="00AE5D60">
              <w:rPr>
                <w:b/>
                <w:i/>
                <w:iCs/>
                <w:szCs w:val="24"/>
              </w:rPr>
              <w:t>i</w:t>
            </w:r>
            <w:r w:rsidRPr="0013396E">
              <w:rPr>
                <w:b/>
                <w:i/>
                <w:iCs/>
                <w:szCs w:val="24"/>
              </w:rPr>
              <w:t>) above with the following upon system implementation and renumber accordingly:]</w:t>
            </w:r>
          </w:p>
          <w:p w14:paraId="1F92CAF4" w14:textId="58733797" w:rsidR="0013396E" w:rsidRPr="0013396E" w:rsidRDefault="0013396E" w:rsidP="0013396E">
            <w:pPr>
              <w:spacing w:after="240"/>
              <w:ind w:left="1440" w:hanging="720"/>
            </w:pPr>
            <w:r w:rsidRPr="0013396E">
              <w:t>(</w:t>
            </w:r>
            <w:r w:rsidR="00AE5D60">
              <w:t>h</w:t>
            </w:r>
            <w:r w:rsidRPr="0013396E">
              <w:t>)</w:t>
            </w:r>
            <w:r w:rsidRPr="0013396E">
              <w:tab/>
              <w:t xml:space="preserve">Add the MW from DC Tie imports during an EEA or transmission emergency, to address local transmission system limitations, or due to an emergency action by a neighboring system operator during an emergency that is accommodated by ERCOT to GTBD.  The amount of MW is determined from the Dispatch </w:t>
            </w:r>
            <w:r w:rsidRPr="0013396E">
              <w:lastRenderedPageBreak/>
              <w:t>Instruction and should continue over the duration of time specified by the ERCOT Operator.</w:t>
            </w:r>
          </w:p>
          <w:p w14:paraId="5D80ADFB" w14:textId="209C2D10" w:rsidR="0013396E" w:rsidRPr="0013396E" w:rsidRDefault="0013396E" w:rsidP="0013396E">
            <w:pPr>
              <w:spacing w:after="240"/>
              <w:ind w:left="1440" w:hanging="720"/>
              <w:rPr>
                <w:lang w:eastAsia="x-none"/>
              </w:rPr>
            </w:pPr>
            <w:r w:rsidRPr="0013396E">
              <w:rPr>
                <w:lang w:val="x-none" w:eastAsia="x-none"/>
              </w:rPr>
              <w:t>(</w:t>
            </w:r>
            <w:r w:rsidR="00AE5D60">
              <w:rPr>
                <w:lang w:val="x-none" w:eastAsia="x-none"/>
              </w:rPr>
              <w:t>i</w:t>
            </w:r>
            <w:r w:rsidRPr="0013396E">
              <w:rPr>
                <w:lang w:val="x-none" w:eastAsia="x-none"/>
              </w:rPr>
              <w:t>)</w:t>
            </w:r>
            <w:r w:rsidRPr="0013396E">
              <w:rPr>
                <w:lang w:val="x-none" w:eastAsia="x-none"/>
              </w:rPr>
              <w:tab/>
              <w:t>Add the MW from DC Tie export curtailments during an EEA or transmission emergency, to address local transmission system limitations, or due to an emergency action by a neighboring system operator during an emergency that is accommodated by ERCOT to GTBD.  The amount of MW is determined from the Dispatch Instruction and should continue over the duration of time specified by the ERCOT Operator.</w:t>
            </w:r>
            <w:r w:rsidRPr="0013396E">
              <w:rPr>
                <w:lang w:eastAsia="x-none"/>
              </w:rPr>
              <w:t xml:space="preserve">  The MW added to GTBD associated with any individual DC Tie shall not exceed the higher of DC Tie advisory limit for exports on that tie as of 06</w:t>
            </w:r>
            <w:r w:rsidRPr="0013396E">
              <w:rPr>
                <w:lang w:val="x-none" w:eastAsia="x-none"/>
              </w:rPr>
              <w:t>00 in the Day-Ahead</w:t>
            </w:r>
            <w:r w:rsidRPr="0013396E">
              <w:rPr>
                <w:lang w:eastAsia="x-none"/>
              </w:rPr>
              <w:t xml:space="preserve"> or subsequent advisory export limit minus the aggregate export on the DC Tie that remained scheduled following the Dispatch Instruction from the ERCOT Operator.</w:t>
            </w:r>
          </w:p>
          <w:p w14:paraId="2C9F70FE" w14:textId="565CF307" w:rsidR="0013396E" w:rsidRPr="0013396E" w:rsidRDefault="0013396E" w:rsidP="0013396E">
            <w:pPr>
              <w:spacing w:after="240"/>
              <w:ind w:left="1440" w:hanging="720"/>
            </w:pPr>
            <w:r w:rsidRPr="0013396E">
              <w:t>(</w:t>
            </w:r>
            <w:r w:rsidR="00AE5D60">
              <w:t>j</w:t>
            </w:r>
            <w:r w:rsidRPr="0013396E">
              <w:t>)</w:t>
            </w:r>
            <w:r w:rsidRPr="0013396E">
              <w:tab/>
              <w:t xml:space="preserve">Subtract the MW from DC Tie exports to address emergency conditions in the receiving electric grid from GTBD.  The amount of MW is determined from the Dispatch Instruction and should continue over the duration of time specified by the receiving grid operator.   </w:t>
            </w:r>
          </w:p>
          <w:p w14:paraId="7BBE8EF2" w14:textId="5CAFA509" w:rsidR="0013396E" w:rsidRPr="0013396E" w:rsidRDefault="0013396E" w:rsidP="0013396E">
            <w:pPr>
              <w:spacing w:after="240"/>
              <w:ind w:left="1440" w:hanging="720"/>
            </w:pPr>
            <w:r w:rsidRPr="0013396E">
              <w:t>(</w:t>
            </w:r>
            <w:r w:rsidR="00AE5D60">
              <w:t>k</w:t>
            </w:r>
            <w:r w:rsidRPr="0013396E">
              <w:t>)</w:t>
            </w:r>
            <w:r w:rsidRPr="0013396E">
              <w:tab/>
              <w:t>Subtract the MW from DC Tie import curtailments to address local transmission system limitations or emergency conditions in the receiving electric grid from GTBD.  The amount of MW is determined from the Dispatch Instruction and should continue over the duration of time specified by the receiving grid operator.  The MW subtracted from GTBD associated with any individual DC Tie shall not exceed the higher of DC Tie advisory limit for imports on that tie as of 0600 in the Day-Ahead or subsequent advisory import limit minus the aggregate import on the DC Tie that remained scheduled following the Dispatch Instruction from the ERCOT Operator.</w:t>
            </w:r>
          </w:p>
        </w:tc>
      </w:tr>
    </w:tbl>
    <w:p w14:paraId="7D99361C" w14:textId="59C65A5B" w:rsidR="0013396E" w:rsidRPr="0013396E" w:rsidRDefault="0013396E" w:rsidP="0013396E">
      <w:pPr>
        <w:spacing w:before="240" w:after="240"/>
        <w:ind w:left="1440" w:hanging="720"/>
      </w:pPr>
      <w:r w:rsidRPr="0013396E">
        <w:t>(</w:t>
      </w:r>
      <w:r w:rsidR="00AE5D60">
        <w:t>j</w:t>
      </w:r>
      <w:r w:rsidRPr="0013396E">
        <w:t>)</w:t>
      </w:r>
      <w:r w:rsidRPr="0013396E">
        <w:tab/>
        <w:t>Add the MW from energy delivered to ERCOT through registered BLTs during an EEA to GTBD.  The amount of MW is determined from the Dispatch Instruction and should continue over the duration of time specified by the ERCOT Operator.</w:t>
      </w:r>
    </w:p>
    <w:p w14:paraId="79BDBACB" w14:textId="058F6665" w:rsidR="0013396E" w:rsidRPr="0013396E" w:rsidRDefault="0013396E" w:rsidP="0013396E">
      <w:pPr>
        <w:spacing w:after="240"/>
        <w:ind w:left="1440" w:hanging="720"/>
      </w:pPr>
      <w:r w:rsidRPr="0013396E">
        <w:t>(</w:t>
      </w:r>
      <w:r w:rsidR="00AE5D60">
        <w:t>k</w:t>
      </w:r>
      <w:r w:rsidRPr="0013396E">
        <w:t>)</w:t>
      </w:r>
      <w:r w:rsidRPr="0013396E">
        <w:tab/>
        <w:t>Subtract the MW from energy delivered from ERCOT to another power pool through registered BLTs during emergency conditions in the receiving electric grid from GTBD.  The amount of MW is determined from the Dispatch Instruction and should continue over the duration of time specified by the receiving grid operator.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3396E" w:rsidRPr="0013396E" w14:paraId="5A5671B6" w14:textId="77777777" w:rsidTr="0099759E">
        <w:trPr>
          <w:trHeight w:val="206"/>
        </w:trPr>
        <w:tc>
          <w:tcPr>
            <w:tcW w:w="9576" w:type="dxa"/>
            <w:shd w:val="pct12" w:color="auto" w:fill="auto"/>
          </w:tcPr>
          <w:p w14:paraId="6B6C2CC7" w14:textId="4EA7C6B1" w:rsidR="0013396E" w:rsidRPr="0013396E" w:rsidRDefault="0013396E" w:rsidP="0013396E">
            <w:pPr>
              <w:spacing w:before="120" w:after="240"/>
              <w:rPr>
                <w:b/>
                <w:i/>
                <w:iCs/>
                <w:szCs w:val="24"/>
              </w:rPr>
            </w:pPr>
            <w:r w:rsidRPr="0013396E">
              <w:rPr>
                <w:b/>
                <w:i/>
                <w:iCs/>
                <w:szCs w:val="24"/>
              </w:rPr>
              <w:t>[NPRR1006: Insert paragraph (</w:t>
            </w:r>
            <w:r w:rsidR="00AE5D60">
              <w:rPr>
                <w:b/>
                <w:i/>
                <w:iCs/>
                <w:szCs w:val="24"/>
              </w:rPr>
              <w:t>l</w:t>
            </w:r>
            <w:r w:rsidRPr="0013396E">
              <w:rPr>
                <w:b/>
                <w:i/>
                <w:iCs/>
                <w:szCs w:val="24"/>
              </w:rPr>
              <w:t>) below upon system implementation and renumber accordingly:]</w:t>
            </w:r>
          </w:p>
          <w:p w14:paraId="2FFEBAF1" w14:textId="2027BB30" w:rsidR="0013396E" w:rsidRPr="0013396E" w:rsidRDefault="0013396E" w:rsidP="0013396E">
            <w:pPr>
              <w:spacing w:after="240"/>
              <w:ind w:left="1440" w:hanging="720"/>
              <w:rPr>
                <w:iCs/>
              </w:rPr>
            </w:pPr>
            <w:r w:rsidRPr="0013396E">
              <w:rPr>
                <w:iCs/>
              </w:rPr>
              <w:t>(</w:t>
            </w:r>
            <w:r w:rsidR="00AE5D60">
              <w:rPr>
                <w:iCs/>
              </w:rPr>
              <w:t>l</w:t>
            </w:r>
            <w:r w:rsidRPr="0013396E">
              <w:rPr>
                <w:iCs/>
              </w:rPr>
              <w:t>)</w:t>
            </w:r>
            <w:r w:rsidRPr="0013396E">
              <w:rPr>
                <w:iCs/>
              </w:rPr>
              <w:tab/>
              <w:t xml:space="preserve">Add the deployed MWs from </w:t>
            </w:r>
            <w:bookmarkStart w:id="911" w:name="_Hlk34211615"/>
            <w:r w:rsidRPr="0013396E">
              <w:rPr>
                <w:iCs/>
              </w:rPr>
              <w:t xml:space="preserve">TDSP standard offer Load management programs </w:t>
            </w:r>
            <w:bookmarkEnd w:id="911"/>
            <w:r w:rsidRPr="0013396E">
              <w:rPr>
                <w:iCs/>
              </w:rPr>
              <w:t xml:space="preserve">to GTBD, if ERCOT instructs TDSPs to deploy their standard offer Load </w:t>
            </w:r>
            <w:r w:rsidRPr="0013396E">
              <w:rPr>
                <w:iCs/>
              </w:rPr>
              <w:lastRenderedPageBreak/>
              <w:t>management programs.  The amount of deployed MW is the value ERCOT provided for all TDSP standard offer Load management programs in the most current May Report on Capacity, Demand and Reserves in the ERCOT Region, unless modified as specified in this paragraph.  If ERCOT is informed that all or a portion of a TDSP’s standard offer Load management program has been fully exhausted, or has been expanded as the result of a Public Utility Commission of Texas (PUCT) proceeding, ERCOT will remove the associated MW value of any exhausted capacity from the amount of deployed MW or, in the case of an expansion, ERCOT will request an updated MW value from the relevant TDSPs to use in place of the May Report on Capacity, Demand and Reserves in the ERCOT Region</w:t>
            </w:r>
            <w:r w:rsidR="006049CC">
              <w:rPr>
                <w:iCs/>
              </w:rPr>
              <w:t xml:space="preserve"> (CDR)</w:t>
            </w:r>
            <w:r w:rsidRPr="0013396E">
              <w:rPr>
                <w:iCs/>
              </w:rPr>
              <w:t xml:space="preserve"> value for that year.  The initial value ERCOT will use for deployed MW under this paragraph for each calendar year, as well as any subsequent changes to this value, will be communicated to Market Participants in a Market Notice.  After recall, an approximation of the amount of un-restored TDSP standard offer Load management programs shall be used.  GTBD shall be adjusted to reflect restoration on a linear curve over the assumed restoration period (“RHours”) defined by item (</w:t>
            </w:r>
            <w:r w:rsidR="006049CC">
              <w:rPr>
                <w:iCs/>
              </w:rPr>
              <w:t>g</w:t>
            </w:r>
            <w:r w:rsidRPr="0013396E">
              <w:rPr>
                <w:iCs/>
              </w:rPr>
              <w:t>) above.</w:t>
            </w:r>
          </w:p>
        </w:tc>
      </w:tr>
    </w:tbl>
    <w:p w14:paraId="571FC7AF" w14:textId="426E5AC4" w:rsidR="0013396E" w:rsidRPr="0013396E" w:rsidRDefault="0013396E" w:rsidP="0013396E">
      <w:pPr>
        <w:spacing w:before="240" w:after="240"/>
        <w:ind w:left="1440" w:hanging="720"/>
      </w:pPr>
      <w:r w:rsidRPr="0013396E">
        <w:lastRenderedPageBreak/>
        <w:t>(</w:t>
      </w:r>
      <w:r w:rsidR="00AE5D60">
        <w:t>l</w:t>
      </w:r>
      <w:r w:rsidRPr="0013396E">
        <w:t>)</w:t>
      </w:r>
      <w:r w:rsidRPr="0013396E">
        <w:tab/>
        <w:t>Perform a SCED with changes to the inputs in items (a) through (</w:t>
      </w:r>
      <w:r w:rsidR="00AE5D60">
        <w:t>k</w:t>
      </w:r>
      <w:r w:rsidRPr="0013396E">
        <w:t>) above, considering only Competitive Constraints and the non-mitigated Energy Offer Curves.</w:t>
      </w:r>
    </w:p>
    <w:p w14:paraId="793C5CE9" w14:textId="03DC06E2" w:rsidR="0013396E" w:rsidRPr="0013396E" w:rsidRDefault="0013396E" w:rsidP="0013396E">
      <w:pPr>
        <w:spacing w:after="240"/>
        <w:ind w:left="1440" w:hanging="720"/>
      </w:pPr>
      <w:r w:rsidRPr="0013396E">
        <w:t>(</w:t>
      </w:r>
      <w:r w:rsidR="00AE5D60">
        <w:t>m</w:t>
      </w:r>
      <w:r w:rsidRPr="0013396E">
        <w:t>)</w:t>
      </w:r>
      <w:r w:rsidRPr="0013396E">
        <w:tab/>
        <w:t>Perform mitigation on the submitted Energy Offer Curves using the LMPs from the previous step as the reference LMP.</w:t>
      </w:r>
    </w:p>
    <w:p w14:paraId="1BC55CC5" w14:textId="191079F5" w:rsidR="0013396E" w:rsidRPr="0013396E" w:rsidRDefault="0013396E" w:rsidP="0013396E">
      <w:pPr>
        <w:spacing w:after="240"/>
        <w:ind w:left="1440" w:hanging="720"/>
      </w:pPr>
      <w:r w:rsidRPr="0013396E">
        <w:t>(</w:t>
      </w:r>
      <w:r w:rsidR="00AE5D60">
        <w:t>n</w:t>
      </w:r>
      <w:r w:rsidRPr="0013396E">
        <w:t>)</w:t>
      </w:r>
      <w:r w:rsidRPr="0013396E">
        <w:tab/>
        <w:t>Perform a SCED with the changes to the inputs in items (a) through (</w:t>
      </w:r>
      <w:r w:rsidR="00AE5D60">
        <w:t>k</w:t>
      </w:r>
      <w:r w:rsidRPr="0013396E">
        <w:t>) above, considering both Competitive and Non-Competitive Constraints and the mitigated Energy Offer Curves.</w:t>
      </w:r>
    </w:p>
    <w:p w14:paraId="7D84AA6F" w14:textId="2510A909" w:rsidR="0013396E" w:rsidRPr="0013396E" w:rsidRDefault="0013396E" w:rsidP="0013396E">
      <w:pPr>
        <w:spacing w:before="240" w:after="240"/>
        <w:ind w:left="1440" w:hanging="720"/>
      </w:pPr>
      <w:r w:rsidRPr="0013396E">
        <w:t>(</w:t>
      </w:r>
      <w:r w:rsidR="00AE5D60">
        <w:t>o</w:t>
      </w:r>
      <w:r w:rsidRPr="0013396E">
        <w:t>)</w:t>
      </w:r>
      <w:r w:rsidRPr="0013396E">
        <w:tab/>
        <w:t>The Real-Time Reliability Deployment Price Adder for Energy is equal to the positive difference between the System Lambda from item (</w:t>
      </w:r>
      <w:r w:rsidR="00AE5D60">
        <w:t>n</w:t>
      </w:r>
      <w:r w:rsidRPr="0013396E">
        <w:t>) above and the System Lambda of the second step in the two-step SCED process described in paragraph (1</w:t>
      </w:r>
      <w:r w:rsidR="00BB04FE">
        <w:t>4</w:t>
      </w:r>
      <w:r w:rsidRPr="0013396E">
        <w:t>)(b) of Section 6.5.7.3, Security Constrained Economic Dispatch, except when ERCOT is directing firm Load shed during EEA Level 3.  When ERCOT is directing firm Load shed during EEA Level 3 to either maintain sufficient PRC or stabilize grid frequency, as described in paragraph (3) of Section 6.5.9.4.2, the Real-Time Reliability Deployment Price Adder for Energy is the VOLL used to determine the ASDCs for the RTM minus the System Lambda of the second step in the two-step SCED process described in paragraph (1</w:t>
      </w:r>
      <w:r w:rsidR="00BB04FE">
        <w:t>4</w:t>
      </w:r>
      <w:r w:rsidRPr="0013396E">
        <w:t>)(b) of Section 6.5.7.3.</w:t>
      </w:r>
    </w:p>
    <w:p w14:paraId="6CDAAEE9" w14:textId="087AA427" w:rsidR="001F04FD" w:rsidRPr="0013396E" w:rsidRDefault="0013396E" w:rsidP="005A7D8E">
      <w:pPr>
        <w:pStyle w:val="BodyTextNumbered"/>
        <w:ind w:left="1440"/>
        <w:rPr>
          <w:iCs/>
        </w:rPr>
      </w:pPr>
      <w:r w:rsidRPr="0013396E">
        <w:t>(</w:t>
      </w:r>
      <w:r w:rsidR="00AE5D60">
        <w:t>p</w:t>
      </w:r>
      <w:r w:rsidRPr="0013396E">
        <w:t>)</w:t>
      </w:r>
      <w:r w:rsidRPr="0013396E">
        <w:tab/>
        <w:t>For each individual Ancillary Service, the Real-Time Reliability Deployment Price Adder for Ancillary Service is equal to the positive difference between the MCPC for that Ancillary Service from item (</w:t>
      </w:r>
      <w:r w:rsidR="00AE5D60">
        <w:t>n</w:t>
      </w:r>
      <w:r w:rsidRPr="0013396E">
        <w:t xml:space="preserve">) above and the MCPC for that Ancillary Service, except when ERCOT is directing firm Load shed during EEA Level 3.  When ERCOT is directing firm Load shed during EEA Level 3 to either </w:t>
      </w:r>
      <w:r w:rsidRPr="0013396E">
        <w:lastRenderedPageBreak/>
        <w:t xml:space="preserve">maintain sufficient PRC or stabilize grid frequency, as described in paragraph (3) of Section 6.5.9.4.2, the Real-Time Reliability Deployment Price Adder for Ancillary Service is the </w:t>
      </w:r>
      <w:r w:rsidR="005A052E">
        <w:t>VOLL used to determine</w:t>
      </w:r>
      <w:r w:rsidRPr="0013396E">
        <w:t xml:space="preserve"> the ASDC</w:t>
      </w:r>
      <w:r w:rsidR="005A052E">
        <w:t>s</w:t>
      </w:r>
      <w:r w:rsidRPr="0013396E">
        <w:t xml:space="preserve"> minus the MCPC for that Ancillary Service.</w:t>
      </w:r>
      <w:bookmarkStart w:id="912" w:name="_Hlk214376348"/>
    </w:p>
    <w:p w14:paraId="1C75184F" w14:textId="77777777" w:rsidR="001F04FD" w:rsidRPr="0013396E" w:rsidRDefault="001F04FD" w:rsidP="00343E89">
      <w:pPr>
        <w:pStyle w:val="H4"/>
        <w:spacing w:before="480"/>
        <w:ind w:left="1267" w:hanging="1267"/>
      </w:pPr>
      <w:bookmarkStart w:id="913" w:name="_Toc397504972"/>
      <w:bookmarkStart w:id="914" w:name="_Toc402357100"/>
      <w:bookmarkStart w:id="915" w:name="_Toc422486480"/>
      <w:bookmarkStart w:id="916" w:name="_Toc433093332"/>
      <w:bookmarkStart w:id="917" w:name="_Toc433093490"/>
      <w:bookmarkStart w:id="918" w:name="_Toc440874719"/>
      <w:bookmarkStart w:id="919" w:name="_Toc448142274"/>
      <w:bookmarkStart w:id="920" w:name="_Toc448142431"/>
      <w:bookmarkStart w:id="921" w:name="_Toc458770267"/>
      <w:bookmarkStart w:id="922" w:name="_Toc459294235"/>
      <w:bookmarkStart w:id="923" w:name="_Toc463262728"/>
      <w:bookmarkStart w:id="924" w:name="_Toc468286802"/>
      <w:bookmarkStart w:id="925" w:name="_Toc481502848"/>
      <w:bookmarkStart w:id="926" w:name="_Toc496080016"/>
      <w:bookmarkStart w:id="927" w:name="_Toc236220126"/>
      <w:bookmarkEnd w:id="912"/>
      <w:r w:rsidRPr="00B874F1">
        <w:t>6.5.7.4</w:t>
      </w:r>
      <w:r w:rsidRPr="00B874F1">
        <w:tab/>
        <w:t>Base Points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14:paraId="53324552" w14:textId="1F703741" w:rsidR="001F04FD" w:rsidRPr="0013396E" w:rsidRDefault="001F04FD" w:rsidP="001F04FD">
      <w:pPr>
        <w:pStyle w:val="BodyTextNumbered"/>
      </w:pPr>
      <w:r w:rsidRPr="0013396E">
        <w:t>(1)</w:t>
      </w:r>
      <w:r w:rsidRPr="0013396E">
        <w:tab/>
      </w:r>
      <w:r w:rsidR="00AE5D60" w:rsidRPr="0013396E">
        <w:t>ERCOT shall issue a Base Point for each On-Line Generation Resource, each On-Line ESR, and each On-Line CLR on completion of each SCED execution.  The Base Point set by SCED must observe a Resource’s HDL and LDL.  Base Points are automatically superseded on receipt of a new Base Point from ERCOT regardless of the status of any current ramping activity of a Resource.  ERCOT shall provide each Base Point using Dispatch Instructions issued over Inter-Control Center Communications Protocol (ICCP) data link to the QSE representing each Resource that include the following information:</w:t>
      </w:r>
    </w:p>
    <w:p w14:paraId="4A9A4496" w14:textId="08A73DC9" w:rsidR="001F04FD" w:rsidRPr="0013396E" w:rsidRDefault="001F04FD" w:rsidP="005A7D8E">
      <w:pPr>
        <w:pStyle w:val="List"/>
      </w:pPr>
      <w:r w:rsidRPr="0013396E">
        <w:t>(a)</w:t>
      </w:r>
      <w:r w:rsidRPr="0013396E">
        <w:tab/>
        <w:t>Resource identifier that is the subject of the Dispatch Instruction;</w:t>
      </w:r>
    </w:p>
    <w:p w14:paraId="1B461A9E" w14:textId="7DF83168" w:rsidR="001F04FD" w:rsidRPr="0013396E" w:rsidRDefault="001F04FD" w:rsidP="001F04FD">
      <w:pPr>
        <w:pStyle w:val="List"/>
      </w:pPr>
      <w:r w:rsidRPr="0013396E">
        <w:t>(b)</w:t>
      </w:r>
      <w:r w:rsidRPr="0013396E">
        <w:tab/>
      </w:r>
      <w:r w:rsidR="00AE5D60" w:rsidRPr="0013396E">
        <w:t>MW output for Generation Resource, MW output or MW consumption for ESR, and MW consumption for CLR;</w:t>
      </w:r>
    </w:p>
    <w:p w14:paraId="6B77D6FE" w14:textId="2B0D766E" w:rsidR="001F04FD" w:rsidRPr="0013396E" w:rsidRDefault="001F04FD" w:rsidP="005A7D8E">
      <w:pPr>
        <w:pStyle w:val="List"/>
      </w:pPr>
      <w:r w:rsidRPr="0013396E">
        <w:t>(c)</w:t>
      </w:r>
      <w:r w:rsidRPr="0013396E">
        <w:tab/>
        <w:t xml:space="preserve">Time of the Dispatch Instruction; </w:t>
      </w:r>
    </w:p>
    <w:p w14:paraId="23BCF93A" w14:textId="01F6C36B" w:rsidR="00C4333E" w:rsidRPr="0013396E" w:rsidRDefault="001F04FD" w:rsidP="001F04FD">
      <w:pPr>
        <w:pStyle w:val="List"/>
      </w:pPr>
      <w:r w:rsidRPr="0013396E">
        <w:t>(d)</w:t>
      </w:r>
      <w:r w:rsidRPr="0013396E">
        <w:tab/>
      </w:r>
      <w:r w:rsidR="00AE5D60" w:rsidRPr="0013396E">
        <w:t>Flag indicating SCED has dispatched a Generation Resource, ESR, or CLR below HDL used by SCED or an IRR has been instructed not to exceed its Base Point;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F04FD" w:rsidRPr="0013396E" w14:paraId="39D726A1" w14:textId="77777777" w:rsidTr="00075DEB">
        <w:trPr>
          <w:trHeight w:val="206"/>
        </w:trPr>
        <w:tc>
          <w:tcPr>
            <w:tcW w:w="9350" w:type="dxa"/>
            <w:shd w:val="pct12" w:color="auto" w:fill="auto"/>
          </w:tcPr>
          <w:p w14:paraId="13D93ED0" w14:textId="1ECDCE3B" w:rsidR="001F04FD" w:rsidRPr="0013396E" w:rsidRDefault="001F04FD" w:rsidP="00AC4DEE">
            <w:pPr>
              <w:pStyle w:val="Instructions"/>
              <w:spacing w:before="120"/>
            </w:pPr>
            <w:r w:rsidRPr="0013396E">
              <w:t xml:space="preserve">[NPRR285: </w:t>
            </w:r>
            <w:r w:rsidR="00C4333E" w:rsidRPr="0013396E">
              <w:t xml:space="preserve"> </w:t>
            </w:r>
            <w:r w:rsidRPr="0013396E">
              <w:t xml:space="preserve">Insert </w:t>
            </w:r>
            <w:r w:rsidR="00B80E54" w:rsidRPr="0013396E">
              <w:t xml:space="preserve">applicable portions of </w:t>
            </w:r>
            <w:r w:rsidRPr="0013396E">
              <w:t>paragraph (e) below upon system implementation:]</w:t>
            </w:r>
          </w:p>
          <w:p w14:paraId="104B7513" w14:textId="64EB721F" w:rsidR="001F04FD" w:rsidRPr="0013396E" w:rsidRDefault="001F04FD" w:rsidP="00AC4DEE">
            <w:pPr>
              <w:pStyle w:val="List"/>
              <w:rPr>
                <w:b/>
                <w:i/>
              </w:rPr>
            </w:pPr>
            <w:r w:rsidRPr="0013396E">
              <w:t>(e)</w:t>
            </w:r>
            <w:r w:rsidRPr="0013396E">
              <w:tab/>
              <w:t xml:space="preserve">Flag indicating SCED has dispatched a Generation Resource </w:t>
            </w:r>
            <w:r w:rsidR="00B80E54" w:rsidRPr="0013396E">
              <w:t xml:space="preserve">or ESR </w:t>
            </w:r>
            <w:r w:rsidRPr="0013396E">
              <w:t>away from the Output Schedule submitted for that Resource;</w:t>
            </w:r>
          </w:p>
        </w:tc>
      </w:tr>
    </w:tbl>
    <w:p w14:paraId="0DF1C855" w14:textId="21A1C666" w:rsidR="001F04FD" w:rsidRPr="0013396E" w:rsidRDefault="001F04FD" w:rsidP="001F04FD">
      <w:pPr>
        <w:pStyle w:val="List"/>
        <w:spacing w:before="240"/>
      </w:pPr>
      <w:r w:rsidRPr="0013396E">
        <w:t>(e)</w:t>
      </w:r>
      <w:r w:rsidRPr="0013396E">
        <w:tab/>
        <w:t>Flag indicating that the Resource is identified for mitigation pursuant to paragraph (7) of Section 3.19.4, Security-Constrained Economic Dispatch Constraint Competitiveness Test, and paragraph (1</w:t>
      </w:r>
      <w:r w:rsidR="00BB04FE">
        <w:t>4</w:t>
      </w:r>
      <w:r w:rsidRPr="0013396E">
        <w:t>) of Section 6.5.7.3, Security Constrained Economic Dispatch; and</w:t>
      </w:r>
    </w:p>
    <w:p w14:paraId="0C3EB4A6" w14:textId="77777777" w:rsidR="00192EFF" w:rsidRPr="0013396E" w:rsidRDefault="001F04FD" w:rsidP="001F04FD">
      <w:pPr>
        <w:pStyle w:val="List"/>
      </w:pPr>
      <w:r w:rsidRPr="0013396E">
        <w:t>(f)</w:t>
      </w:r>
      <w:r w:rsidRPr="0013396E">
        <w:tab/>
        <w:t>Other information relevant to that Dispatch Instruction.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92EFF" w:rsidRPr="0013396E" w14:paraId="3E15217C" w14:textId="77777777" w:rsidTr="00F5593C">
        <w:trPr>
          <w:trHeight w:val="206"/>
        </w:trPr>
        <w:tc>
          <w:tcPr>
            <w:tcW w:w="9350" w:type="dxa"/>
            <w:shd w:val="pct12" w:color="auto" w:fill="auto"/>
          </w:tcPr>
          <w:p w14:paraId="5CA4F8C1" w14:textId="177C2304" w:rsidR="00192EFF" w:rsidRPr="0013396E" w:rsidRDefault="00192EFF" w:rsidP="00F5593C">
            <w:pPr>
              <w:pStyle w:val="Instructions"/>
              <w:spacing w:before="120"/>
            </w:pPr>
            <w:r w:rsidRPr="0013396E">
              <w:t>[NPRR1188:  Insert paragraph (2) below upon system implementation:]</w:t>
            </w:r>
          </w:p>
          <w:p w14:paraId="3FE7E3A6" w14:textId="3BC8E08D" w:rsidR="00192EFF" w:rsidRPr="0013396E" w:rsidRDefault="00192EFF" w:rsidP="00192EFF">
            <w:pPr>
              <w:spacing w:after="240"/>
              <w:ind w:left="720" w:hanging="720"/>
            </w:pPr>
            <w:r w:rsidRPr="0013396E">
              <w:t>(2)</w:t>
            </w:r>
            <w:r w:rsidRPr="0013396E">
              <w:tab/>
              <w:t>Each Generation Resource</w:t>
            </w:r>
            <w:r w:rsidR="00B80E54" w:rsidRPr="0013396E">
              <w:t>, ESR,</w:t>
            </w:r>
            <w:r w:rsidRPr="0013396E">
              <w:t xml:space="preserve"> and CLR shall follow ERCOT-issued Updated Desired </w:t>
            </w:r>
            <w:r w:rsidR="0013383A">
              <w:t>Set</w:t>
            </w:r>
            <w:r w:rsidR="0013383A" w:rsidRPr="0013396E">
              <w:t xml:space="preserve"> </w:t>
            </w:r>
            <w:r w:rsidRPr="0013396E">
              <w:t xml:space="preserve">Points plus any Regulation Service deployments, unless otherwise </w:t>
            </w:r>
            <w:r w:rsidRPr="0013396E">
              <w:lastRenderedPageBreak/>
              <w:t xml:space="preserve">instructed by ERCOT.  ERCOT-issued Updated Desired </w:t>
            </w:r>
            <w:r w:rsidR="0013383A">
              <w:t>Set</w:t>
            </w:r>
            <w:r w:rsidR="0013383A" w:rsidRPr="0013396E">
              <w:t xml:space="preserve"> </w:t>
            </w:r>
            <w:r w:rsidRPr="0013396E">
              <w:t>Points shall not include deployed Regulation Service or expected Primary Frequency Response.</w:t>
            </w:r>
          </w:p>
        </w:tc>
      </w:tr>
    </w:tbl>
    <w:p w14:paraId="1DEF72A2" w14:textId="77777777" w:rsidR="00AE5D60" w:rsidRPr="0013396E" w:rsidRDefault="00AE5D60" w:rsidP="00B874F1">
      <w:pPr>
        <w:pStyle w:val="H5"/>
        <w:spacing w:before="480"/>
        <w:ind w:left="1627" w:hanging="1627"/>
        <w:rPr>
          <w:snapToGrid w:val="0"/>
        </w:rPr>
      </w:pPr>
      <w:bookmarkStart w:id="928" w:name="_Toc236220127"/>
      <w:r w:rsidRPr="0013396E">
        <w:rPr>
          <w:snapToGrid w:val="0"/>
        </w:rPr>
        <w:lastRenderedPageBreak/>
        <w:t>6.5.7.4.1</w:t>
      </w:r>
      <w:r w:rsidRPr="0013396E">
        <w:rPr>
          <w:snapToGrid w:val="0"/>
        </w:rPr>
        <w:tab/>
        <w:t>Updated Desired Set Points</w:t>
      </w:r>
      <w:bookmarkEnd w:id="928"/>
    </w:p>
    <w:p w14:paraId="060D64EE" w14:textId="77777777" w:rsidR="00AE5D60" w:rsidRPr="0013396E" w:rsidRDefault="00AE5D60" w:rsidP="00AE5D60">
      <w:pPr>
        <w:spacing w:after="240"/>
        <w:ind w:left="720" w:hanging="720"/>
      </w:pPr>
      <w:r w:rsidRPr="0013396E">
        <w:t>(1)</w:t>
      </w:r>
      <w:r w:rsidRPr="0013396E">
        <w:tab/>
        <w:t>Each Resource shall follow ERCOT-issued Updated Desired Set Points (UDSPs), unless otherwise instructed by ERCOT.  ERCOT-issued UDSPs shall not include expected Primary Frequency Response.</w:t>
      </w:r>
    </w:p>
    <w:p w14:paraId="4AE5BB27" w14:textId="77777777" w:rsidR="00AE5D60" w:rsidRPr="0013396E" w:rsidRDefault="00AE5D60" w:rsidP="00AE5D60">
      <w:pPr>
        <w:spacing w:after="240"/>
        <w:ind w:left="720" w:hanging="720"/>
      </w:pPr>
      <w:r w:rsidRPr="0013396E">
        <w:t>(2)</w:t>
      </w:r>
      <w:r w:rsidRPr="0013396E">
        <w:tab/>
        <w:t xml:space="preserve">A UDSP is the sum of a calculated MW value representing the expected MW output (positive or negative) of a Resource ramping to a SCED Base Point and the Resource-specific Regulation Service instruction from ERCOT. </w:t>
      </w:r>
    </w:p>
    <w:p w14:paraId="6A49A5F3" w14:textId="77777777" w:rsidR="00AE5D60" w:rsidRPr="0013396E" w:rsidRDefault="00AE5D60" w:rsidP="00AE5D60">
      <w:pPr>
        <w:spacing w:after="240"/>
        <w:ind w:left="720" w:hanging="720"/>
      </w:pPr>
      <w:r w:rsidRPr="0013396E">
        <w:t>(3)</w:t>
      </w:r>
      <w:r w:rsidRPr="0013396E">
        <w:tab/>
        <w:t>LFC shall send Resource-specific UDSP to QSEs every four seconds.</w:t>
      </w:r>
    </w:p>
    <w:p w14:paraId="267052DD" w14:textId="77777777" w:rsidR="00AE5D60" w:rsidRPr="0013396E" w:rsidRDefault="00AE5D60" w:rsidP="00AE5D60">
      <w:pPr>
        <w:spacing w:after="240"/>
        <w:ind w:left="720" w:hanging="720"/>
      </w:pPr>
      <w:r w:rsidRPr="0013396E">
        <w:t>(4)</w:t>
      </w:r>
      <w:r w:rsidRPr="0013396E">
        <w:tab/>
        <w:t>Resources, excluding non-CLRs, that have been awarded RRS as FFR-capable Resources or are telemetering a Resource Status of ONSC, will all have manual deployment instructions and expected deployments triggered automatically by frequency deviations included in the UDSP value provided to the QSE for the Resource.  These deployment components of UDSP will reflect the latest Ancillary Service awards and are separate from the ramping component of UDSP.</w:t>
      </w:r>
    </w:p>
    <w:p w14:paraId="75F62917" w14:textId="3E27BE3A" w:rsidR="00192EFF" w:rsidRPr="0013396E" w:rsidRDefault="00AE5D60" w:rsidP="00AE5D60">
      <w:pPr>
        <w:spacing w:after="240"/>
        <w:ind w:left="720" w:hanging="720"/>
      </w:pPr>
      <w:r w:rsidRPr="0013396E">
        <w:t>(5)</w:t>
      </w:r>
      <w:r w:rsidRPr="0013396E">
        <w:tab/>
        <w:t>When ERCOT System frequency experiences a 0.05 Hz or greater deviation from scheduled frequency, and a Resource is ramping to a SCED Base Point in a manner directionally opposite to system frequency, the ramping component of the Resource’s UDSP will be temporarily held constant and flagged accordingly.</w:t>
      </w:r>
    </w:p>
    <w:p w14:paraId="643CDAD3" w14:textId="77777777" w:rsidR="001F04FD" w:rsidRPr="0013396E" w:rsidRDefault="001F04FD" w:rsidP="00C25143">
      <w:pPr>
        <w:pStyle w:val="H4"/>
        <w:spacing w:before="480"/>
        <w:ind w:left="1267" w:hanging="1267"/>
      </w:pPr>
      <w:bookmarkStart w:id="929" w:name="_Toc397504973"/>
      <w:bookmarkStart w:id="930" w:name="_Toc402357101"/>
      <w:bookmarkStart w:id="931" w:name="_Toc422486481"/>
      <w:bookmarkStart w:id="932" w:name="_Toc433093333"/>
      <w:bookmarkStart w:id="933" w:name="_Toc433093491"/>
      <w:bookmarkStart w:id="934" w:name="_Toc440874720"/>
      <w:bookmarkStart w:id="935" w:name="_Toc448142275"/>
      <w:bookmarkStart w:id="936" w:name="_Toc448142432"/>
      <w:bookmarkStart w:id="937" w:name="_Toc458770268"/>
      <w:bookmarkStart w:id="938" w:name="_Toc459294236"/>
      <w:bookmarkStart w:id="939" w:name="_Toc463262729"/>
      <w:bookmarkStart w:id="940" w:name="_Toc468286803"/>
      <w:bookmarkStart w:id="941" w:name="_Toc481502849"/>
      <w:bookmarkStart w:id="942" w:name="_Toc496080017"/>
      <w:bookmarkStart w:id="943" w:name="_Toc236220128"/>
      <w:bookmarkStart w:id="944" w:name="_Hlk135901819"/>
      <w:bookmarkStart w:id="945" w:name="_Toc74137328"/>
      <w:bookmarkEnd w:id="880"/>
      <w:r w:rsidRPr="0013396E">
        <w:t>6.5.7.5</w:t>
      </w:r>
      <w:r w:rsidRPr="0013396E">
        <w:tab/>
        <w:t>Ancillary Services Capacity Monitor</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1F2B72EA" w14:textId="77777777" w:rsidR="00422B96" w:rsidRPr="0013396E" w:rsidRDefault="00422B96" w:rsidP="00422B96">
      <w:pPr>
        <w:spacing w:after="240"/>
        <w:ind w:left="720" w:hanging="720"/>
      </w:pPr>
      <w:r w:rsidRPr="0013396E">
        <w:t>(1)</w:t>
      </w:r>
      <w:r w:rsidRPr="0013396E">
        <w:tab/>
        <w:t>Every ten seconds, ERCOT shall calculate the following and provide Real-Time summaries to ERCOT Operators and all Market Participants using ICCP and postings on the ERCOT website showing the Real-Time total system amount of:</w:t>
      </w:r>
    </w:p>
    <w:p w14:paraId="60E43F1E" w14:textId="77777777" w:rsidR="00422B96" w:rsidRPr="0013396E" w:rsidRDefault="00422B96" w:rsidP="00422B96">
      <w:pPr>
        <w:spacing w:after="240"/>
        <w:ind w:left="1440" w:hanging="720"/>
      </w:pPr>
      <w:r w:rsidRPr="0013396E">
        <w:t>(a)</w:t>
      </w:r>
      <w:r w:rsidRPr="0013396E">
        <w:tab/>
        <w:t xml:space="preserve">RRS capability from: </w:t>
      </w:r>
    </w:p>
    <w:p w14:paraId="2F564002" w14:textId="77777777" w:rsidR="00422B96" w:rsidRPr="0013396E" w:rsidRDefault="00422B96" w:rsidP="00422B96">
      <w:pPr>
        <w:spacing w:after="240"/>
        <w:ind w:left="2160" w:hanging="720"/>
      </w:pPr>
      <w:r w:rsidRPr="0013396E">
        <w:t>(i)</w:t>
      </w:r>
      <w:r w:rsidRPr="0013396E">
        <w:tab/>
        <w:t>Generation Resources and ESRs in the form of PFR that can be sustained for the SCED duration requirements of PFR;</w:t>
      </w:r>
    </w:p>
    <w:p w14:paraId="1AE26BF7" w14:textId="77777777" w:rsidR="00422B96" w:rsidRPr="0013396E" w:rsidRDefault="00422B96" w:rsidP="00422B96">
      <w:pPr>
        <w:spacing w:after="240"/>
        <w:ind w:left="2160" w:hanging="720"/>
      </w:pPr>
      <w:r w:rsidRPr="0013396E">
        <w:t>(ii)</w:t>
      </w:r>
      <w:r w:rsidRPr="0013396E">
        <w:tab/>
        <w:t>Load Resources, excluding CLRs, capable of responding via under-frequency relay;</w:t>
      </w:r>
    </w:p>
    <w:p w14:paraId="7B549108" w14:textId="77777777" w:rsidR="00422B96" w:rsidRPr="0013396E" w:rsidRDefault="00422B96" w:rsidP="00422B96">
      <w:pPr>
        <w:spacing w:after="240"/>
        <w:ind w:left="2160" w:hanging="720"/>
      </w:pPr>
      <w:r w:rsidRPr="0013396E">
        <w:t>(iii)</w:t>
      </w:r>
      <w:r w:rsidRPr="0013396E">
        <w:tab/>
        <w:t>CLRs in the form of PFR;</w:t>
      </w:r>
    </w:p>
    <w:p w14:paraId="764CE9D9" w14:textId="77777777" w:rsidR="00422B96" w:rsidRPr="0013396E" w:rsidRDefault="00422B96" w:rsidP="00422B96">
      <w:pPr>
        <w:spacing w:after="240"/>
        <w:ind w:left="2160" w:hanging="720"/>
      </w:pPr>
      <w:r w:rsidRPr="0013396E">
        <w:t>(iv)</w:t>
      </w:r>
      <w:r w:rsidRPr="0013396E">
        <w:tab/>
        <w:t>Resources, other than ESRs, capable of Fast Frequency Response (FFR); and</w:t>
      </w:r>
    </w:p>
    <w:p w14:paraId="7FB4131A" w14:textId="77777777" w:rsidR="00422B96" w:rsidRPr="0013396E" w:rsidRDefault="00422B96" w:rsidP="00422B96">
      <w:pPr>
        <w:spacing w:after="240"/>
        <w:ind w:left="2160" w:hanging="720"/>
      </w:pPr>
      <w:r w:rsidRPr="0013396E">
        <w:lastRenderedPageBreak/>
        <w:t>(v)</w:t>
      </w:r>
      <w:r w:rsidRPr="0013396E">
        <w:tab/>
        <w:t>ESRs, in the form of FFR, that can be sustained for the SCED duration requirements of FFR;</w:t>
      </w:r>
    </w:p>
    <w:p w14:paraId="3A4DD497" w14:textId="77777777" w:rsidR="00422B96" w:rsidRPr="0013396E" w:rsidRDefault="00422B96" w:rsidP="00422B96">
      <w:pPr>
        <w:spacing w:before="240" w:after="240"/>
        <w:ind w:left="1440" w:hanging="720"/>
      </w:pPr>
      <w:r w:rsidRPr="0013396E">
        <w:t>(b)</w:t>
      </w:r>
      <w:r w:rsidRPr="0013396E">
        <w:tab/>
        <w:t xml:space="preserve">Ancillary Service Resource awards for RRS to: </w:t>
      </w:r>
    </w:p>
    <w:p w14:paraId="56E18058" w14:textId="77777777" w:rsidR="00422B96" w:rsidRPr="0013396E" w:rsidRDefault="00422B96" w:rsidP="00422B96">
      <w:pPr>
        <w:spacing w:after="240"/>
        <w:ind w:left="2160" w:hanging="720"/>
      </w:pPr>
      <w:r w:rsidRPr="0013396E">
        <w:t>(i)</w:t>
      </w:r>
      <w:r w:rsidRPr="0013396E">
        <w:tab/>
        <w:t>Generation Resources and ESRs in the form of PFR;</w:t>
      </w:r>
    </w:p>
    <w:p w14:paraId="2405817E" w14:textId="77777777" w:rsidR="00422B96" w:rsidRPr="0013396E" w:rsidRDefault="00422B96" w:rsidP="00422B96">
      <w:pPr>
        <w:spacing w:after="240"/>
        <w:ind w:left="2160" w:hanging="720"/>
      </w:pPr>
      <w:r w:rsidRPr="0013396E">
        <w:t>(ii)</w:t>
      </w:r>
      <w:r w:rsidRPr="0013396E">
        <w:tab/>
        <w:t>Load Resources, excluding CLRs, capable of responding by under-frequency relay;</w:t>
      </w:r>
    </w:p>
    <w:p w14:paraId="02458A3B" w14:textId="77777777" w:rsidR="00422B96" w:rsidRPr="0013396E" w:rsidRDefault="00422B96" w:rsidP="00422B96">
      <w:pPr>
        <w:spacing w:after="240"/>
        <w:ind w:left="2160" w:hanging="720"/>
      </w:pPr>
      <w:r w:rsidRPr="0013396E">
        <w:t>(iii)</w:t>
      </w:r>
      <w:r w:rsidRPr="0013396E">
        <w:tab/>
        <w:t>CLRs in the form of PFR; and</w:t>
      </w:r>
    </w:p>
    <w:p w14:paraId="40D4A98A" w14:textId="77777777" w:rsidR="00422B96" w:rsidRPr="0013396E" w:rsidRDefault="00422B96" w:rsidP="00422B96">
      <w:pPr>
        <w:spacing w:after="240"/>
        <w:ind w:left="2160" w:hanging="720"/>
      </w:pPr>
      <w:r w:rsidRPr="0013396E">
        <w:t>(iv)</w:t>
      </w:r>
      <w:r w:rsidRPr="0013396E">
        <w:tab/>
        <w:t>Resources providing FFR;</w:t>
      </w:r>
    </w:p>
    <w:p w14:paraId="3978DE24" w14:textId="77777777" w:rsidR="00422B96" w:rsidRPr="0013396E" w:rsidRDefault="00422B96" w:rsidP="00422B96">
      <w:pPr>
        <w:spacing w:after="240"/>
        <w:ind w:left="1440" w:hanging="720"/>
      </w:pPr>
      <w:r w:rsidRPr="0013396E">
        <w:t>(c)</w:t>
      </w:r>
      <w:r w:rsidRPr="0013396E">
        <w:tab/>
        <w:t xml:space="preserve">ECRS capability from: </w:t>
      </w:r>
    </w:p>
    <w:p w14:paraId="6CEECEBC" w14:textId="77777777" w:rsidR="00422B96" w:rsidRPr="0013396E" w:rsidRDefault="00422B96" w:rsidP="00422B96">
      <w:pPr>
        <w:spacing w:after="240"/>
        <w:ind w:left="2160" w:hanging="720"/>
      </w:pPr>
      <w:r w:rsidRPr="0013396E">
        <w:t>(i)</w:t>
      </w:r>
      <w:r w:rsidRPr="0013396E">
        <w:tab/>
        <w:t>Generation Resources;</w:t>
      </w:r>
    </w:p>
    <w:p w14:paraId="207E0353" w14:textId="77777777" w:rsidR="00422B96" w:rsidRPr="0013396E" w:rsidRDefault="00422B96" w:rsidP="00422B96">
      <w:pPr>
        <w:spacing w:after="240"/>
        <w:ind w:left="2160" w:hanging="720"/>
      </w:pPr>
      <w:r w:rsidRPr="0013396E">
        <w:t>(ii)</w:t>
      </w:r>
      <w:r w:rsidRPr="0013396E">
        <w:tab/>
        <w:t xml:space="preserve">Load Resources excluding CLRs; </w:t>
      </w:r>
    </w:p>
    <w:p w14:paraId="1D5258E7" w14:textId="77777777" w:rsidR="00422B96" w:rsidRPr="0013396E" w:rsidRDefault="00422B96" w:rsidP="00422B96">
      <w:pPr>
        <w:spacing w:after="240"/>
        <w:ind w:left="2160" w:hanging="720"/>
      </w:pPr>
      <w:r w:rsidRPr="0013396E">
        <w:t>(iii)</w:t>
      </w:r>
      <w:r w:rsidRPr="0013396E">
        <w:tab/>
        <w:t>CLRs;</w:t>
      </w:r>
    </w:p>
    <w:p w14:paraId="7B294FE9" w14:textId="77777777" w:rsidR="00422B96" w:rsidRPr="0013396E" w:rsidRDefault="00422B96" w:rsidP="00422B96">
      <w:pPr>
        <w:spacing w:after="240"/>
        <w:ind w:left="2160" w:hanging="720"/>
      </w:pPr>
      <w:r w:rsidRPr="0013396E">
        <w:t>(iv)</w:t>
      </w:r>
      <w:r w:rsidRPr="0013396E">
        <w:tab/>
        <w:t>Quick Start Generation Resources (QSGRs); and</w:t>
      </w:r>
    </w:p>
    <w:p w14:paraId="7AEB8E1C" w14:textId="77777777" w:rsidR="00422B96" w:rsidRPr="0013396E" w:rsidRDefault="00422B96" w:rsidP="00422B96">
      <w:pPr>
        <w:spacing w:after="240"/>
        <w:ind w:left="2160" w:hanging="720"/>
      </w:pPr>
      <w:r w:rsidRPr="0013396E">
        <w:t xml:space="preserve">(v) </w:t>
      </w:r>
      <w:r w:rsidRPr="0013396E">
        <w:tab/>
        <w:t>ESRs that can be sustained for the SCED duration requirements of ECRS.</w:t>
      </w:r>
    </w:p>
    <w:p w14:paraId="39B7BABD" w14:textId="77777777" w:rsidR="00422B96" w:rsidRPr="0013396E" w:rsidRDefault="00422B96" w:rsidP="00422B96">
      <w:pPr>
        <w:spacing w:after="240"/>
        <w:ind w:left="1440" w:hanging="720"/>
      </w:pPr>
      <w:r w:rsidRPr="0013396E">
        <w:t>(d)</w:t>
      </w:r>
      <w:r w:rsidRPr="0013396E">
        <w:tab/>
        <w:t xml:space="preserve">Ancillary Service Resource awards for ECRS to: </w:t>
      </w:r>
    </w:p>
    <w:p w14:paraId="5883B428" w14:textId="77777777" w:rsidR="00422B96" w:rsidRPr="0013396E" w:rsidRDefault="00422B96" w:rsidP="00422B96">
      <w:pPr>
        <w:spacing w:after="240"/>
        <w:ind w:left="2160" w:hanging="720"/>
      </w:pPr>
      <w:r w:rsidRPr="0013396E">
        <w:t>(i)</w:t>
      </w:r>
      <w:r w:rsidRPr="0013396E">
        <w:tab/>
        <w:t>Generation Resources;</w:t>
      </w:r>
    </w:p>
    <w:p w14:paraId="4FA35805" w14:textId="37DD7712" w:rsidR="00422B96" w:rsidRPr="0013396E" w:rsidRDefault="00422B96" w:rsidP="00422B96">
      <w:pPr>
        <w:spacing w:after="240"/>
        <w:ind w:left="2160" w:hanging="720"/>
      </w:pPr>
      <w:r w:rsidRPr="0013396E">
        <w:t>(ii)</w:t>
      </w:r>
      <w:r w:rsidRPr="0013396E">
        <w:tab/>
        <w:t>Load Resources excluding CLRs;</w:t>
      </w:r>
    </w:p>
    <w:p w14:paraId="48748A76" w14:textId="77777777" w:rsidR="00422B96" w:rsidRPr="0013396E" w:rsidRDefault="00422B96" w:rsidP="00422B96">
      <w:pPr>
        <w:spacing w:after="240"/>
        <w:ind w:left="2160" w:hanging="720"/>
      </w:pPr>
      <w:r w:rsidRPr="0013396E">
        <w:t>(iii)</w:t>
      </w:r>
      <w:r w:rsidRPr="0013396E">
        <w:tab/>
        <w:t>CLRs;</w:t>
      </w:r>
    </w:p>
    <w:p w14:paraId="39F0B81E" w14:textId="77777777" w:rsidR="00422B96" w:rsidRPr="0013396E" w:rsidRDefault="00422B96" w:rsidP="00422B96">
      <w:pPr>
        <w:spacing w:after="240"/>
        <w:ind w:left="2160" w:hanging="720"/>
      </w:pPr>
      <w:r w:rsidRPr="0013396E">
        <w:t>(iv)</w:t>
      </w:r>
      <w:r w:rsidRPr="0013396E">
        <w:tab/>
        <w:t>QSGRs; and</w:t>
      </w:r>
    </w:p>
    <w:p w14:paraId="62D43C46" w14:textId="77777777" w:rsidR="00422B96" w:rsidRPr="0013396E" w:rsidRDefault="00422B96" w:rsidP="00422B96">
      <w:pPr>
        <w:spacing w:after="240"/>
        <w:ind w:left="2160" w:hanging="720"/>
      </w:pPr>
      <w:r w:rsidRPr="0013396E">
        <w:t xml:space="preserve">(v) </w:t>
      </w:r>
      <w:r w:rsidRPr="0013396E">
        <w:tab/>
        <w:t>ESRs.</w:t>
      </w:r>
    </w:p>
    <w:p w14:paraId="0319406B" w14:textId="77777777" w:rsidR="00422B96" w:rsidRPr="0013396E" w:rsidRDefault="00422B96" w:rsidP="00422B96">
      <w:pPr>
        <w:spacing w:before="240" w:after="240"/>
        <w:ind w:left="1440" w:hanging="720"/>
      </w:pPr>
      <w:r w:rsidRPr="0013396E">
        <w:t>(e)</w:t>
      </w:r>
      <w:r w:rsidRPr="0013396E">
        <w:tab/>
        <w:t xml:space="preserve">ECRS manually deployed by Resources with a Resource Status of ONSC; </w:t>
      </w:r>
    </w:p>
    <w:p w14:paraId="7AC90D6D" w14:textId="77777777" w:rsidR="00422B96" w:rsidRPr="0013396E" w:rsidRDefault="00422B96" w:rsidP="00422B96">
      <w:pPr>
        <w:spacing w:before="240" w:after="240"/>
        <w:ind w:left="1440" w:hanging="720"/>
      </w:pPr>
      <w:r w:rsidRPr="0013396E">
        <w:t>(f)</w:t>
      </w:r>
      <w:r w:rsidRPr="0013396E">
        <w:tab/>
        <w:t xml:space="preserve">Non-Spin available from: </w:t>
      </w:r>
    </w:p>
    <w:p w14:paraId="0E151686" w14:textId="77777777" w:rsidR="00422B96" w:rsidRPr="0013396E" w:rsidRDefault="00422B96" w:rsidP="00422B96">
      <w:pPr>
        <w:spacing w:after="240"/>
        <w:ind w:left="2160" w:hanging="720"/>
      </w:pPr>
      <w:r w:rsidRPr="0013396E">
        <w:t>(i)</w:t>
      </w:r>
      <w:r w:rsidRPr="0013396E">
        <w:tab/>
        <w:t>On-Line Generation Resources with Energy Offer Curves;</w:t>
      </w:r>
    </w:p>
    <w:p w14:paraId="5A0DC9E7" w14:textId="77777777" w:rsidR="00422B96" w:rsidRPr="0013396E" w:rsidRDefault="00422B96" w:rsidP="00422B96">
      <w:pPr>
        <w:spacing w:after="240"/>
        <w:ind w:left="2160" w:hanging="720"/>
      </w:pPr>
      <w:r w:rsidRPr="0013396E">
        <w:t>(ii)</w:t>
      </w:r>
      <w:r w:rsidRPr="0013396E">
        <w:tab/>
        <w:t xml:space="preserve">Undeployed Load Resources; </w:t>
      </w:r>
    </w:p>
    <w:p w14:paraId="5E0777BC" w14:textId="77777777" w:rsidR="00422B96" w:rsidRPr="0013396E" w:rsidRDefault="00422B96" w:rsidP="00422B96">
      <w:pPr>
        <w:spacing w:after="240"/>
        <w:ind w:left="2160" w:hanging="720"/>
      </w:pPr>
      <w:r w:rsidRPr="0013396E">
        <w:t>(iii)</w:t>
      </w:r>
      <w:r w:rsidRPr="0013396E">
        <w:tab/>
        <w:t>Off-Line Generation Resources and On-Line Generation Resources with power augmentation;</w:t>
      </w:r>
    </w:p>
    <w:p w14:paraId="5F8958D0" w14:textId="77777777" w:rsidR="00422B96" w:rsidRPr="0013396E" w:rsidRDefault="00422B96" w:rsidP="00422B96">
      <w:pPr>
        <w:spacing w:after="240"/>
        <w:ind w:left="2160" w:hanging="720"/>
      </w:pPr>
      <w:r w:rsidRPr="0013396E">
        <w:lastRenderedPageBreak/>
        <w:t>(iv)</w:t>
      </w:r>
      <w:r w:rsidRPr="0013396E">
        <w:tab/>
        <w:t>Resources with Output Schedules; and</w:t>
      </w:r>
    </w:p>
    <w:p w14:paraId="33210485" w14:textId="77777777" w:rsidR="00422B96" w:rsidRPr="0013396E" w:rsidRDefault="00422B96" w:rsidP="00422B96">
      <w:pPr>
        <w:spacing w:after="240"/>
        <w:ind w:left="2160" w:hanging="720"/>
      </w:pPr>
      <w:r w:rsidRPr="0013396E">
        <w:t xml:space="preserve">(v) </w:t>
      </w:r>
      <w:r w:rsidRPr="0013396E">
        <w:tab/>
        <w:t>ESRs that can be sustained for the SCED duration requirements of Non-Spin.</w:t>
      </w:r>
    </w:p>
    <w:p w14:paraId="14B73DCF" w14:textId="77777777" w:rsidR="00422B96" w:rsidRPr="0013396E" w:rsidRDefault="00422B96" w:rsidP="00422B96">
      <w:pPr>
        <w:spacing w:after="240"/>
        <w:ind w:left="1440" w:hanging="720"/>
      </w:pPr>
      <w:r w:rsidRPr="0013396E">
        <w:t>(g)</w:t>
      </w:r>
      <w:r w:rsidRPr="0013396E">
        <w:tab/>
        <w:t>Ancillary Service Resource awards for Non-Spin to:</w:t>
      </w:r>
    </w:p>
    <w:p w14:paraId="54CAD95B" w14:textId="77777777" w:rsidR="00422B96" w:rsidRPr="0013396E" w:rsidRDefault="00422B96" w:rsidP="00422B96">
      <w:pPr>
        <w:spacing w:after="240"/>
        <w:ind w:left="2160" w:hanging="720"/>
      </w:pPr>
      <w:r w:rsidRPr="0013396E">
        <w:t>(i)</w:t>
      </w:r>
      <w:r w:rsidRPr="0013396E">
        <w:tab/>
        <w:t>On-Line Generation Resources with Energy Offer Curves;</w:t>
      </w:r>
    </w:p>
    <w:p w14:paraId="050169E1" w14:textId="77777777" w:rsidR="00422B96" w:rsidRPr="0013396E" w:rsidRDefault="00422B96" w:rsidP="00422B96">
      <w:pPr>
        <w:spacing w:after="240"/>
        <w:ind w:left="2160" w:hanging="720"/>
      </w:pPr>
      <w:r w:rsidRPr="0013396E">
        <w:t>(ii)</w:t>
      </w:r>
      <w:r w:rsidRPr="0013396E">
        <w:tab/>
        <w:t>On-Line Generation Resources with Output Schedules;</w:t>
      </w:r>
    </w:p>
    <w:p w14:paraId="22478CD8" w14:textId="77777777" w:rsidR="00422B96" w:rsidRPr="0013396E" w:rsidRDefault="00422B96" w:rsidP="00422B96">
      <w:pPr>
        <w:spacing w:after="240"/>
        <w:ind w:left="2160" w:hanging="720"/>
      </w:pPr>
      <w:r w:rsidRPr="0013396E">
        <w:t>(iii)</w:t>
      </w:r>
      <w:r w:rsidRPr="0013396E">
        <w:tab/>
        <w:t xml:space="preserve">Load Resources; </w:t>
      </w:r>
    </w:p>
    <w:p w14:paraId="2DF30579" w14:textId="77777777" w:rsidR="00422B96" w:rsidRPr="0013396E" w:rsidRDefault="00422B96" w:rsidP="00422B96">
      <w:pPr>
        <w:spacing w:after="240"/>
        <w:ind w:left="2160" w:hanging="720"/>
      </w:pPr>
      <w:r w:rsidRPr="0013396E">
        <w:t>(iv)</w:t>
      </w:r>
      <w:r w:rsidRPr="0013396E">
        <w:tab/>
        <w:t>Off-Line Generation Resources excluding Quick Start Generation Resources (QSGRs), including Non-Spin awards on power augmentation capacity that is not active on On-Line Generation Resources;</w:t>
      </w:r>
    </w:p>
    <w:p w14:paraId="5F25C5FA" w14:textId="77777777" w:rsidR="00422B96" w:rsidRPr="0013396E" w:rsidRDefault="00422B96" w:rsidP="00422B96">
      <w:pPr>
        <w:spacing w:after="240"/>
        <w:ind w:left="2160" w:hanging="720"/>
      </w:pPr>
      <w:r w:rsidRPr="0013396E">
        <w:t>(v)</w:t>
      </w:r>
      <w:r w:rsidRPr="0013396E">
        <w:tab/>
        <w:t>QSGRs; and</w:t>
      </w:r>
    </w:p>
    <w:p w14:paraId="4728EB8D" w14:textId="77777777" w:rsidR="00422B96" w:rsidRPr="0013396E" w:rsidRDefault="00422B96" w:rsidP="00422B96">
      <w:pPr>
        <w:spacing w:after="240"/>
        <w:ind w:left="2160" w:hanging="720"/>
      </w:pPr>
      <w:r w:rsidRPr="0013396E">
        <w:t>(vi)</w:t>
      </w:r>
      <w:r w:rsidRPr="0013396E">
        <w:tab/>
        <w:t>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A7B1D" w:rsidRPr="0013396E" w14:paraId="1019B29F" w14:textId="77777777" w:rsidTr="00A86863">
        <w:trPr>
          <w:trHeight w:val="206"/>
        </w:trPr>
        <w:tc>
          <w:tcPr>
            <w:tcW w:w="9350" w:type="dxa"/>
            <w:shd w:val="pct12" w:color="auto" w:fill="auto"/>
          </w:tcPr>
          <w:p w14:paraId="7E7EFDEF" w14:textId="28A654FC" w:rsidR="004A7B1D" w:rsidRPr="0013396E" w:rsidRDefault="004A7B1D" w:rsidP="00A86863">
            <w:pPr>
              <w:spacing w:before="120" w:after="240"/>
              <w:rPr>
                <w:b/>
                <w:i/>
                <w:iCs/>
                <w:szCs w:val="24"/>
              </w:rPr>
            </w:pPr>
            <w:r w:rsidRPr="0013396E">
              <w:rPr>
                <w:b/>
                <w:i/>
                <w:iCs/>
                <w:szCs w:val="24"/>
              </w:rPr>
              <w:t>[NPRR1</w:t>
            </w:r>
            <w:r>
              <w:rPr>
                <w:b/>
                <w:i/>
                <w:iCs/>
                <w:szCs w:val="24"/>
              </w:rPr>
              <w:t>309</w:t>
            </w:r>
            <w:r w:rsidRPr="0013396E">
              <w:rPr>
                <w:b/>
                <w:i/>
                <w:iCs/>
                <w:szCs w:val="24"/>
              </w:rPr>
              <w:t>: Insert paragraph (</w:t>
            </w:r>
            <w:r>
              <w:rPr>
                <w:b/>
                <w:i/>
                <w:iCs/>
                <w:szCs w:val="24"/>
              </w:rPr>
              <w:t>h</w:t>
            </w:r>
            <w:r w:rsidRPr="0013396E">
              <w:rPr>
                <w:b/>
                <w:i/>
                <w:iCs/>
                <w:szCs w:val="24"/>
              </w:rPr>
              <w:t>) below upon system implementation</w:t>
            </w:r>
            <w:r>
              <w:rPr>
                <w:b/>
                <w:i/>
                <w:iCs/>
                <w:szCs w:val="24"/>
              </w:rPr>
              <w:t xml:space="preserve"> and renumber accordingly</w:t>
            </w:r>
            <w:r w:rsidRPr="0013396E">
              <w:rPr>
                <w:b/>
                <w:i/>
                <w:iCs/>
                <w:szCs w:val="24"/>
              </w:rPr>
              <w:t>:]</w:t>
            </w:r>
          </w:p>
          <w:p w14:paraId="4273CB72" w14:textId="77777777" w:rsidR="004A7B1D" w:rsidRPr="004A7B1D" w:rsidRDefault="004A7B1D" w:rsidP="004A7B1D">
            <w:pPr>
              <w:spacing w:after="240"/>
              <w:ind w:left="1440" w:hanging="720"/>
              <w:rPr>
                <w:rFonts w:eastAsia="SimSun"/>
                <w:szCs w:val="24"/>
              </w:rPr>
            </w:pPr>
            <w:r w:rsidRPr="004A7B1D">
              <w:rPr>
                <w:rFonts w:eastAsia="SimSun"/>
                <w:szCs w:val="24"/>
              </w:rPr>
              <w:t>(h)</w:t>
            </w:r>
            <w:r w:rsidRPr="004A7B1D">
              <w:rPr>
                <w:rFonts w:eastAsia="SimSun"/>
                <w:szCs w:val="24"/>
              </w:rPr>
              <w:tab/>
            </w:r>
            <w:r w:rsidRPr="004A7B1D">
              <w:t>Ancillary</w:t>
            </w:r>
            <w:r w:rsidRPr="004A7B1D">
              <w:rPr>
                <w:rFonts w:eastAsia="SimSun"/>
                <w:szCs w:val="24"/>
              </w:rPr>
              <w:t xml:space="preserve"> Service Resource awards for DRRS to:</w:t>
            </w:r>
          </w:p>
          <w:p w14:paraId="6F50BE23" w14:textId="77777777" w:rsidR="004A7B1D" w:rsidRPr="004A7B1D" w:rsidRDefault="004A7B1D" w:rsidP="004A7B1D">
            <w:pPr>
              <w:spacing w:after="240"/>
              <w:ind w:left="2160" w:hanging="720"/>
              <w:rPr>
                <w:rFonts w:eastAsia="SimSun"/>
                <w:szCs w:val="24"/>
              </w:rPr>
            </w:pPr>
            <w:r w:rsidRPr="004A7B1D">
              <w:rPr>
                <w:rFonts w:eastAsia="SimSun"/>
                <w:szCs w:val="24"/>
              </w:rPr>
              <w:t>(i)</w:t>
            </w:r>
            <w:r w:rsidRPr="004A7B1D">
              <w:rPr>
                <w:rFonts w:eastAsia="SimSun"/>
                <w:szCs w:val="24"/>
              </w:rPr>
              <w:tab/>
              <w:t xml:space="preserve">On-Line Generation Resources; </w:t>
            </w:r>
          </w:p>
          <w:p w14:paraId="079B29DF" w14:textId="77777777" w:rsidR="004A7B1D" w:rsidRPr="004A7B1D" w:rsidRDefault="004A7B1D" w:rsidP="004A7B1D">
            <w:pPr>
              <w:spacing w:after="240"/>
              <w:ind w:left="2160" w:hanging="720"/>
              <w:rPr>
                <w:rFonts w:eastAsia="SimSun"/>
                <w:szCs w:val="24"/>
              </w:rPr>
            </w:pPr>
            <w:r w:rsidRPr="004A7B1D">
              <w:rPr>
                <w:rFonts w:eastAsia="SimSun"/>
                <w:szCs w:val="24"/>
              </w:rPr>
              <w:t>(ii)</w:t>
            </w:r>
            <w:r w:rsidRPr="004A7B1D">
              <w:rPr>
                <w:rFonts w:eastAsia="SimSun"/>
                <w:szCs w:val="24"/>
              </w:rPr>
              <w:tab/>
              <w:t>Off-Line Generation Resources, excluding Quick Start Generation Resources (QSGRs); and</w:t>
            </w:r>
          </w:p>
          <w:p w14:paraId="68E0B8AD" w14:textId="0119A33B" w:rsidR="004A7B1D" w:rsidRPr="00847103" w:rsidRDefault="004A7B1D" w:rsidP="004A7B1D">
            <w:pPr>
              <w:spacing w:after="240"/>
              <w:ind w:left="2160" w:hanging="720"/>
              <w:rPr>
                <w:rFonts w:eastAsia="SimSun"/>
                <w:szCs w:val="24"/>
              </w:rPr>
            </w:pPr>
            <w:r w:rsidRPr="004A7B1D">
              <w:rPr>
                <w:rFonts w:eastAsia="SimSun"/>
                <w:szCs w:val="24"/>
              </w:rPr>
              <w:t>(iii)</w:t>
            </w:r>
            <w:r w:rsidRPr="004A7B1D">
              <w:rPr>
                <w:rFonts w:eastAsia="SimSun"/>
                <w:szCs w:val="24"/>
              </w:rPr>
              <w:tab/>
              <w:t>QSGRs.</w:t>
            </w:r>
          </w:p>
        </w:tc>
      </w:tr>
    </w:tbl>
    <w:p w14:paraId="07E15100" w14:textId="72C3076A" w:rsidR="00422B96" w:rsidRPr="0013396E" w:rsidRDefault="00422B96" w:rsidP="007C3E74">
      <w:pPr>
        <w:spacing w:before="240" w:after="240"/>
        <w:ind w:left="1440" w:hanging="720"/>
      </w:pPr>
      <w:r w:rsidRPr="0013396E">
        <w:t>(h)</w:t>
      </w:r>
      <w:r w:rsidRPr="0013396E">
        <w:tab/>
        <w:t>Reg-Up and Reg-Down capability (for ESRs, the SCED duration requirements of Reg-Up and Reg-Down are considered);</w:t>
      </w:r>
    </w:p>
    <w:p w14:paraId="69ED1921" w14:textId="77777777" w:rsidR="00422B96" w:rsidRPr="0013396E" w:rsidRDefault="00422B96" w:rsidP="00422B96">
      <w:pPr>
        <w:spacing w:after="240"/>
        <w:ind w:left="1440" w:hanging="720"/>
      </w:pPr>
      <w:r w:rsidRPr="0013396E">
        <w:t>(i)</w:t>
      </w:r>
      <w:r w:rsidRPr="0013396E">
        <w:tab/>
        <w:t>Undeployed Reg-Up and Reg-Down;</w:t>
      </w:r>
    </w:p>
    <w:p w14:paraId="47EA06AA" w14:textId="77777777" w:rsidR="00422B96" w:rsidRPr="0013396E" w:rsidRDefault="00422B96" w:rsidP="00422B96">
      <w:pPr>
        <w:spacing w:after="240"/>
        <w:ind w:left="1440" w:hanging="720"/>
      </w:pPr>
      <w:r w:rsidRPr="0013396E">
        <w:t>(j)</w:t>
      </w:r>
      <w:r w:rsidRPr="0013396E">
        <w:tab/>
        <w:t>Ancillary Service Resource awards for Reg-Up and Reg-Down;</w:t>
      </w:r>
    </w:p>
    <w:p w14:paraId="780E9560" w14:textId="77777777" w:rsidR="00422B96" w:rsidRPr="0013396E" w:rsidRDefault="00422B96" w:rsidP="00422B96">
      <w:pPr>
        <w:spacing w:after="240"/>
        <w:ind w:left="1440" w:hanging="720"/>
      </w:pPr>
      <w:r w:rsidRPr="0013396E">
        <w:t>(k)</w:t>
      </w:r>
      <w:r w:rsidRPr="0013396E">
        <w:tab/>
        <w:t>Deployed Reg-Up and Reg-Down;</w:t>
      </w:r>
    </w:p>
    <w:p w14:paraId="62857A1C" w14:textId="77777777" w:rsidR="00422B96" w:rsidRPr="0013396E" w:rsidRDefault="00422B96" w:rsidP="00422B96">
      <w:pPr>
        <w:spacing w:after="240"/>
        <w:ind w:left="1440" w:hanging="720"/>
      </w:pPr>
      <w:r w:rsidRPr="0013396E">
        <w:t>(l)</w:t>
      </w:r>
      <w:r w:rsidRPr="0013396E">
        <w:tab/>
        <w:t>Available capacity:</w:t>
      </w:r>
    </w:p>
    <w:p w14:paraId="35AA764A" w14:textId="77777777" w:rsidR="00422B96" w:rsidRPr="0013396E" w:rsidRDefault="00422B96" w:rsidP="00422B96">
      <w:pPr>
        <w:spacing w:after="240"/>
        <w:ind w:left="2160" w:hanging="720"/>
      </w:pPr>
      <w:r w:rsidRPr="0013396E">
        <w:t>(i)</w:t>
      </w:r>
      <w:r w:rsidRPr="0013396E">
        <w:tab/>
        <w:t>With Energy Offer Curves in the ERCOT System that can be used to increase Generation Resource Base Points in SCED;</w:t>
      </w:r>
    </w:p>
    <w:p w14:paraId="6788C0DC" w14:textId="77777777" w:rsidR="00422B96" w:rsidRPr="0013396E" w:rsidRDefault="00422B96" w:rsidP="00422B96">
      <w:pPr>
        <w:spacing w:after="240"/>
        <w:ind w:left="2160" w:hanging="720"/>
      </w:pPr>
      <w:r w:rsidRPr="0013396E">
        <w:lastRenderedPageBreak/>
        <w:t>(ii)</w:t>
      </w:r>
      <w:r w:rsidRPr="0013396E">
        <w:tab/>
        <w:t xml:space="preserve">With Energy Offer Curves in the ERCOT System that can be used to decrease Generation Resource Base Points in SCED; </w:t>
      </w:r>
    </w:p>
    <w:p w14:paraId="045B98CF" w14:textId="77777777" w:rsidR="00422B96" w:rsidRPr="0013396E" w:rsidRDefault="00422B96" w:rsidP="00422B96">
      <w:pPr>
        <w:spacing w:after="240"/>
        <w:ind w:left="2160" w:hanging="720"/>
      </w:pPr>
      <w:r w:rsidRPr="0013396E">
        <w:t>(iii)</w:t>
      </w:r>
      <w:r w:rsidRPr="0013396E">
        <w:tab/>
        <w:t xml:space="preserve">Without Energy Offer Curves in the ERCOT System that can be used to increase Generation Resource Base Points in SCED; </w:t>
      </w:r>
    </w:p>
    <w:p w14:paraId="4901EB5B" w14:textId="77777777" w:rsidR="00422B96" w:rsidRPr="0013396E" w:rsidRDefault="00422B96" w:rsidP="00422B96">
      <w:pPr>
        <w:spacing w:after="240"/>
        <w:ind w:left="2160" w:hanging="720"/>
      </w:pPr>
      <w:r w:rsidRPr="0013396E">
        <w:t>(iv)</w:t>
      </w:r>
      <w:r w:rsidRPr="0013396E">
        <w:tab/>
        <w:t xml:space="preserve">Without Energy Offer Curves in the ERCOT System that can be used to decrease Generation Resource Base Points in SCED; </w:t>
      </w:r>
    </w:p>
    <w:p w14:paraId="69AED7B3" w14:textId="6B961162" w:rsidR="00422B96" w:rsidRPr="0013396E" w:rsidRDefault="00422B96" w:rsidP="00422B96">
      <w:pPr>
        <w:spacing w:after="240"/>
        <w:ind w:left="2160" w:hanging="720"/>
      </w:pPr>
      <w:r w:rsidRPr="0013396E">
        <w:t>(v)</w:t>
      </w:r>
      <w:r w:rsidRPr="0013396E">
        <w:tab/>
        <w:t xml:space="preserve">With </w:t>
      </w:r>
      <w:r w:rsidR="00236E90">
        <w:t xml:space="preserve">RTM </w:t>
      </w:r>
      <w:r w:rsidRPr="0013396E">
        <w:t xml:space="preserve">Energy Bid </w:t>
      </w:r>
      <w:r w:rsidR="00236E90">
        <w:t>c</w:t>
      </w:r>
      <w:r w:rsidRPr="0013396E">
        <w:t>urves from available CLRs in the ERCOT System that can be used to decrease Base Points (energy consumption) in SCED;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36E90" w:rsidRPr="0013396E" w14:paraId="24BA1624" w14:textId="77777777" w:rsidTr="0099759E">
        <w:trPr>
          <w:trHeight w:val="206"/>
        </w:trPr>
        <w:tc>
          <w:tcPr>
            <w:tcW w:w="9350" w:type="dxa"/>
            <w:shd w:val="pct12" w:color="auto" w:fill="auto"/>
          </w:tcPr>
          <w:p w14:paraId="743B2EAA" w14:textId="77C45127" w:rsidR="00236E90" w:rsidRPr="0013396E" w:rsidRDefault="00236E90" w:rsidP="0099759E">
            <w:pPr>
              <w:spacing w:before="120" w:after="240"/>
              <w:rPr>
                <w:b/>
                <w:i/>
                <w:iCs/>
                <w:szCs w:val="24"/>
              </w:rPr>
            </w:pPr>
            <w:r w:rsidRPr="0013396E">
              <w:rPr>
                <w:b/>
                <w:i/>
                <w:iCs/>
                <w:szCs w:val="24"/>
              </w:rPr>
              <w:t>[NPRR1</w:t>
            </w:r>
            <w:r>
              <w:rPr>
                <w:b/>
                <w:i/>
                <w:iCs/>
                <w:szCs w:val="24"/>
              </w:rPr>
              <w:t>188</w:t>
            </w:r>
            <w:r w:rsidRPr="0013396E">
              <w:rPr>
                <w:b/>
                <w:i/>
                <w:iCs/>
                <w:szCs w:val="24"/>
              </w:rPr>
              <w:t xml:space="preserve">: </w:t>
            </w:r>
            <w:r>
              <w:rPr>
                <w:b/>
                <w:i/>
                <w:iCs/>
                <w:szCs w:val="24"/>
              </w:rPr>
              <w:t>Replace</w:t>
            </w:r>
            <w:r w:rsidRPr="0013396E">
              <w:rPr>
                <w:b/>
                <w:i/>
                <w:iCs/>
                <w:szCs w:val="24"/>
              </w:rPr>
              <w:t xml:space="preserve"> paragraph (</w:t>
            </w:r>
            <w:r>
              <w:rPr>
                <w:b/>
                <w:i/>
                <w:iCs/>
                <w:szCs w:val="24"/>
              </w:rPr>
              <w:t>v</w:t>
            </w:r>
            <w:r w:rsidRPr="0013396E">
              <w:rPr>
                <w:b/>
                <w:i/>
                <w:iCs/>
                <w:szCs w:val="24"/>
              </w:rPr>
              <w:t xml:space="preserve">) </w:t>
            </w:r>
            <w:r>
              <w:rPr>
                <w:b/>
                <w:i/>
                <w:iCs/>
                <w:szCs w:val="24"/>
              </w:rPr>
              <w:t>above with the following</w:t>
            </w:r>
            <w:r w:rsidRPr="0013396E">
              <w:rPr>
                <w:b/>
                <w:i/>
                <w:iCs/>
                <w:szCs w:val="24"/>
              </w:rPr>
              <w:t xml:space="preserve"> upon system implementation:]</w:t>
            </w:r>
          </w:p>
          <w:p w14:paraId="4571403C" w14:textId="7BAB7EBD" w:rsidR="00236E90" w:rsidRPr="00896851" w:rsidRDefault="00236E90" w:rsidP="00236E90">
            <w:pPr>
              <w:spacing w:after="240"/>
              <w:ind w:left="2160" w:hanging="720"/>
            </w:pPr>
            <w:r w:rsidRPr="0013396E">
              <w:t>(v)</w:t>
            </w:r>
            <w:r w:rsidRPr="0013396E">
              <w:tab/>
              <w:t>With Energy Bid Curves from available CLRs in the ERCOT System that can be used to decrease Base Points (energy consumption) in SCED;</w:t>
            </w:r>
          </w:p>
        </w:tc>
      </w:tr>
    </w:tbl>
    <w:p w14:paraId="7395DF77" w14:textId="4ED6F802" w:rsidR="00422B96" w:rsidRPr="0013396E" w:rsidRDefault="00422B96" w:rsidP="00236E90">
      <w:pPr>
        <w:spacing w:before="240" w:after="240"/>
        <w:ind w:left="2160" w:hanging="720"/>
      </w:pPr>
      <w:r w:rsidRPr="0013396E">
        <w:t>(vi)</w:t>
      </w:r>
      <w:r w:rsidRPr="0013396E">
        <w:tab/>
        <w:t xml:space="preserve">With </w:t>
      </w:r>
      <w:r w:rsidR="00236E90">
        <w:t xml:space="preserve">RTM </w:t>
      </w:r>
      <w:r w:rsidRPr="0013396E">
        <w:t xml:space="preserve">Energy Bid </w:t>
      </w:r>
      <w:r w:rsidR="00236E90">
        <w:t>c</w:t>
      </w:r>
      <w:r w:rsidRPr="0013396E">
        <w:t xml:space="preserve">urves from available CLRs in the ERCOT System that can be used to increase Base Points (energy consumption) in SCED;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36E90" w:rsidRPr="0013396E" w14:paraId="10EFE393" w14:textId="77777777" w:rsidTr="0099759E">
        <w:trPr>
          <w:trHeight w:val="206"/>
        </w:trPr>
        <w:tc>
          <w:tcPr>
            <w:tcW w:w="9350" w:type="dxa"/>
            <w:shd w:val="pct12" w:color="auto" w:fill="auto"/>
          </w:tcPr>
          <w:p w14:paraId="096B14EF" w14:textId="26301A1C" w:rsidR="00236E90" w:rsidRPr="0013396E" w:rsidRDefault="00236E90" w:rsidP="0099759E">
            <w:pPr>
              <w:spacing w:before="120" w:after="240"/>
              <w:rPr>
                <w:b/>
                <w:i/>
                <w:iCs/>
                <w:szCs w:val="24"/>
              </w:rPr>
            </w:pPr>
            <w:r w:rsidRPr="0013396E">
              <w:rPr>
                <w:b/>
                <w:i/>
                <w:iCs/>
                <w:szCs w:val="24"/>
              </w:rPr>
              <w:t>[NPRR1</w:t>
            </w:r>
            <w:r>
              <w:rPr>
                <w:b/>
                <w:i/>
                <w:iCs/>
                <w:szCs w:val="24"/>
              </w:rPr>
              <w:t>188</w:t>
            </w:r>
            <w:r w:rsidRPr="0013396E">
              <w:rPr>
                <w:b/>
                <w:i/>
                <w:iCs/>
                <w:szCs w:val="24"/>
              </w:rPr>
              <w:t xml:space="preserve">: </w:t>
            </w:r>
            <w:r>
              <w:rPr>
                <w:b/>
                <w:i/>
                <w:iCs/>
                <w:szCs w:val="24"/>
              </w:rPr>
              <w:t>Replace</w:t>
            </w:r>
            <w:r w:rsidRPr="0013396E">
              <w:rPr>
                <w:b/>
                <w:i/>
                <w:iCs/>
                <w:szCs w:val="24"/>
              </w:rPr>
              <w:t xml:space="preserve"> paragraph (</w:t>
            </w:r>
            <w:r>
              <w:rPr>
                <w:b/>
                <w:i/>
                <w:iCs/>
                <w:szCs w:val="24"/>
              </w:rPr>
              <w:t>vi</w:t>
            </w:r>
            <w:r w:rsidRPr="0013396E">
              <w:rPr>
                <w:b/>
                <w:i/>
                <w:iCs/>
                <w:szCs w:val="24"/>
              </w:rPr>
              <w:t xml:space="preserve">) </w:t>
            </w:r>
            <w:r>
              <w:rPr>
                <w:b/>
                <w:i/>
                <w:iCs/>
                <w:szCs w:val="24"/>
              </w:rPr>
              <w:t>above with the following</w:t>
            </w:r>
            <w:r w:rsidRPr="0013396E">
              <w:rPr>
                <w:b/>
                <w:i/>
                <w:iCs/>
                <w:szCs w:val="24"/>
              </w:rPr>
              <w:t xml:space="preserve"> upon system implementation:]</w:t>
            </w:r>
          </w:p>
          <w:p w14:paraId="6C0EDAE1" w14:textId="433E6890" w:rsidR="00236E90" w:rsidRPr="00896851" w:rsidRDefault="00236E90" w:rsidP="00236E90">
            <w:pPr>
              <w:spacing w:before="240" w:after="240"/>
              <w:ind w:left="2160" w:hanging="720"/>
            </w:pPr>
            <w:r w:rsidRPr="0013396E">
              <w:t>(vi)</w:t>
            </w:r>
            <w:r w:rsidRPr="0013396E">
              <w:tab/>
              <w:t>With Energy Bid Curves from available CLRs in the ERCOT System that can be used to increase Base Points (energy consumption) in SCED;</w:t>
            </w:r>
          </w:p>
        </w:tc>
      </w:tr>
    </w:tbl>
    <w:p w14:paraId="57AAD895" w14:textId="348F8F5D" w:rsidR="00422B96" w:rsidRPr="0013396E" w:rsidRDefault="00422B96" w:rsidP="00236E90">
      <w:pPr>
        <w:spacing w:before="240" w:after="240"/>
        <w:ind w:left="2160" w:hanging="720"/>
      </w:pPr>
      <w:r w:rsidRPr="0013396E">
        <w:t>(vii)</w:t>
      </w:r>
      <w:r w:rsidRPr="0013396E">
        <w:tab/>
        <w:t xml:space="preserve">From Resources participating in SCED plus the Reg-Up, RRS, and ECRS from Load Resources </w:t>
      </w:r>
      <w:r w:rsidRPr="0013396E">
        <w:rPr>
          <w:bCs/>
        </w:rPr>
        <w:t>and the Net Power Consumption minus the Low Power Consumption from Load Resources with a validated Real-Time RRS and ECRS awards</w:t>
      </w:r>
      <w:r w:rsidRPr="0013396E">
        <w:t>;</w:t>
      </w:r>
    </w:p>
    <w:p w14:paraId="5043ABD0" w14:textId="77777777" w:rsidR="00422B96" w:rsidRPr="0013396E" w:rsidRDefault="00422B96" w:rsidP="00422B96">
      <w:pPr>
        <w:spacing w:after="240"/>
        <w:ind w:left="2160" w:hanging="720"/>
      </w:pPr>
      <w:r w:rsidRPr="0013396E">
        <w:t>(viii)</w:t>
      </w:r>
      <w:r w:rsidRPr="0013396E">
        <w:tab/>
        <w:t>With Energy Bid/Offer Curves for ESRs in the ERCOT System that can be used to increase ESR Base Points in SCED while respecting SCED duration requirements for ESR Base Points in SCED;</w:t>
      </w:r>
    </w:p>
    <w:p w14:paraId="4F2322AD" w14:textId="77777777" w:rsidR="00422B96" w:rsidRPr="0013396E" w:rsidRDefault="00422B96" w:rsidP="00422B96">
      <w:pPr>
        <w:spacing w:after="240"/>
        <w:ind w:left="2160" w:hanging="720"/>
      </w:pPr>
      <w:r w:rsidRPr="0013396E">
        <w:t>(ix)</w:t>
      </w:r>
      <w:r w:rsidRPr="0013396E">
        <w:tab/>
        <w:t xml:space="preserve">With Energy Bid/Offer Curves for ESRs in the ERCOT System that can be used to decrease ESR Base Points in SCED while respecting SCED duration requirements for ESR Base Points in SCED; </w:t>
      </w:r>
    </w:p>
    <w:p w14:paraId="11F63811" w14:textId="77777777" w:rsidR="00422B96" w:rsidRPr="0013396E" w:rsidRDefault="00422B96" w:rsidP="00422B96">
      <w:pPr>
        <w:spacing w:after="240"/>
        <w:ind w:left="2160" w:hanging="720"/>
      </w:pPr>
      <w:r w:rsidRPr="0013396E">
        <w:t>(x)</w:t>
      </w:r>
      <w:r w:rsidRPr="0013396E">
        <w:tab/>
        <w:t xml:space="preserve">Without Energy Bid/Offer Curves for ESRs in the ERCOT System that can be used to increase ESR Base Points in SCED while respecting SCED duration requirements for ESR Base Points in SCED; </w:t>
      </w:r>
    </w:p>
    <w:p w14:paraId="2DD1A943" w14:textId="77777777" w:rsidR="00422B96" w:rsidRPr="0013396E" w:rsidRDefault="00422B96" w:rsidP="00422B96">
      <w:pPr>
        <w:spacing w:after="240"/>
        <w:ind w:left="2160" w:hanging="720"/>
      </w:pPr>
      <w:r w:rsidRPr="0013396E">
        <w:lastRenderedPageBreak/>
        <w:t>(xi)</w:t>
      </w:r>
      <w:r w:rsidRPr="0013396E">
        <w:tab/>
        <w:t xml:space="preserve">Without Energy Bid/Offer Curves for ESRs in the ERCOT System that can be used to decrease ESR Base Points in SCED while respecting SCED duration requirements for ESR Base Points in SCED; </w:t>
      </w:r>
    </w:p>
    <w:p w14:paraId="5F5734F2" w14:textId="77777777" w:rsidR="00422B96" w:rsidRPr="0013396E" w:rsidRDefault="00422B96" w:rsidP="00422B96">
      <w:pPr>
        <w:spacing w:after="240"/>
        <w:ind w:left="2160" w:hanging="720"/>
      </w:pPr>
      <w:r w:rsidRPr="0013396E">
        <w:t>(xii)</w:t>
      </w:r>
      <w:r w:rsidRPr="0013396E">
        <w:tab/>
        <w:t>From Resources included in item (vii) above plus reserves from Resources that could be made available to SCED in 30 minutes;</w:t>
      </w:r>
    </w:p>
    <w:p w14:paraId="2F971E4D" w14:textId="77777777" w:rsidR="00422B96" w:rsidRPr="0013396E" w:rsidRDefault="00422B96" w:rsidP="00422B96">
      <w:pPr>
        <w:spacing w:after="240"/>
        <w:ind w:left="2160" w:hanging="720"/>
      </w:pPr>
      <w:r w:rsidRPr="0013396E">
        <w:t xml:space="preserve">(xiii) </w:t>
      </w:r>
      <w:r w:rsidRPr="0013396E">
        <w:tab/>
        <w:t>In the ERCOT System that can be used to increase Generation Resource Base Points in the next five minutes in SCED; and</w:t>
      </w:r>
    </w:p>
    <w:p w14:paraId="53724983" w14:textId="77777777" w:rsidR="00422B96" w:rsidRPr="0013396E" w:rsidRDefault="00422B96" w:rsidP="00422B96">
      <w:pPr>
        <w:spacing w:after="240"/>
        <w:ind w:left="2160" w:hanging="720"/>
      </w:pPr>
      <w:r w:rsidRPr="0013396E">
        <w:t>(xiv)</w:t>
      </w:r>
      <w:r w:rsidRPr="0013396E">
        <w:tab/>
        <w:t>In the ERCOT System that can be used to decrease Generation Resource Base Points in the next five minutes in SCED;</w:t>
      </w:r>
    </w:p>
    <w:p w14:paraId="627B02C0" w14:textId="77777777" w:rsidR="00422B96" w:rsidRPr="0013396E" w:rsidRDefault="00422B96" w:rsidP="00422B96">
      <w:pPr>
        <w:spacing w:after="240"/>
        <w:ind w:left="2160" w:hanging="720"/>
      </w:pPr>
      <w:r w:rsidRPr="0013396E">
        <w:t>(xv)</w:t>
      </w:r>
      <w:r w:rsidRPr="0013396E">
        <w:tab/>
        <w:t>The total capability of Resources available to provide the following combinations of Ancillary Services, based on the Resource telemetry from the QSE and capped by the limits of the Resource:</w:t>
      </w:r>
    </w:p>
    <w:p w14:paraId="242569A0" w14:textId="77777777" w:rsidR="00422B96" w:rsidRPr="0013396E" w:rsidRDefault="00422B96" w:rsidP="00422B96">
      <w:pPr>
        <w:spacing w:after="240"/>
        <w:ind w:left="2880" w:hanging="720"/>
      </w:pPr>
      <w:r w:rsidRPr="0013396E">
        <w:t>(A)</w:t>
      </w:r>
      <w:r w:rsidRPr="0013396E">
        <w:tab/>
        <w:t>Capacity to provide Reg-Up, RRS, or both, irrespective of whether it is capable of providing ECRS or Non-Spin;</w:t>
      </w:r>
    </w:p>
    <w:p w14:paraId="4A51EBDA" w14:textId="77777777" w:rsidR="00422B96" w:rsidRPr="0013396E" w:rsidRDefault="00422B96" w:rsidP="00422B96">
      <w:pPr>
        <w:spacing w:after="240"/>
        <w:ind w:left="2880" w:hanging="720"/>
      </w:pPr>
      <w:r w:rsidRPr="0013396E">
        <w:t>(B)</w:t>
      </w:r>
      <w:r w:rsidRPr="0013396E">
        <w:tab/>
        <w:t>Capacity to provide Reg-Up, RRS, ECRS, or any combination, irrespective of whether it is capable of providing Non-Spin; and</w:t>
      </w:r>
    </w:p>
    <w:p w14:paraId="43D1E409" w14:textId="77777777" w:rsidR="00422B96" w:rsidRPr="0013396E" w:rsidRDefault="00422B96" w:rsidP="00422B96">
      <w:pPr>
        <w:spacing w:after="240"/>
        <w:ind w:left="2880" w:hanging="720"/>
      </w:pPr>
      <w:r w:rsidRPr="0013396E">
        <w:t>(C)</w:t>
      </w:r>
      <w:r w:rsidRPr="0013396E">
        <w:tab/>
      </w:r>
      <w:r w:rsidRPr="0013396E">
        <w:rPr>
          <w:color w:val="000000"/>
        </w:rPr>
        <w:t>Capacity to provide Reg-Up, RRS, ECRS, or Non-Spin, in any combination</w:t>
      </w:r>
      <w:r w:rsidRPr="0013396E">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A7B1D" w:rsidRPr="0013396E" w14:paraId="1BFD15D7" w14:textId="77777777" w:rsidTr="00A86863">
        <w:trPr>
          <w:trHeight w:val="206"/>
        </w:trPr>
        <w:tc>
          <w:tcPr>
            <w:tcW w:w="9350" w:type="dxa"/>
            <w:shd w:val="pct12" w:color="auto" w:fill="auto"/>
          </w:tcPr>
          <w:p w14:paraId="48B3211B" w14:textId="214266A9" w:rsidR="004A7B1D" w:rsidRPr="0013396E" w:rsidRDefault="004A7B1D" w:rsidP="00A8686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Replace</w:t>
            </w:r>
            <w:r w:rsidRPr="0013396E">
              <w:rPr>
                <w:b/>
                <w:i/>
                <w:iCs/>
                <w:szCs w:val="24"/>
              </w:rPr>
              <w:t xml:space="preserve"> paragraph (</w:t>
            </w:r>
            <w:r>
              <w:rPr>
                <w:b/>
                <w:i/>
                <w:iCs/>
                <w:szCs w:val="24"/>
              </w:rPr>
              <w:t>xv</w:t>
            </w:r>
            <w:r w:rsidRPr="0013396E">
              <w:rPr>
                <w:b/>
                <w:i/>
                <w:iCs/>
                <w:szCs w:val="24"/>
              </w:rPr>
              <w:t xml:space="preserve">) </w:t>
            </w:r>
            <w:r>
              <w:rPr>
                <w:b/>
                <w:i/>
                <w:iCs/>
                <w:szCs w:val="24"/>
              </w:rPr>
              <w:t>above with the following</w:t>
            </w:r>
            <w:r w:rsidRPr="0013396E">
              <w:rPr>
                <w:b/>
                <w:i/>
                <w:iCs/>
                <w:szCs w:val="24"/>
              </w:rPr>
              <w:t xml:space="preserve"> upon system implementation:]</w:t>
            </w:r>
          </w:p>
          <w:p w14:paraId="3DAA0662" w14:textId="77777777" w:rsidR="004A7B1D" w:rsidRPr="004A7B1D" w:rsidRDefault="004A7B1D" w:rsidP="004A7B1D">
            <w:pPr>
              <w:spacing w:after="240"/>
              <w:ind w:left="2160" w:hanging="720"/>
            </w:pPr>
            <w:r w:rsidRPr="004A7B1D">
              <w:t>(xv)</w:t>
            </w:r>
            <w:r w:rsidRPr="004A7B1D">
              <w:tab/>
              <w:t>The total capability of Resources available to provide the following combinations of Ancillary Services, based on the Resource telemetry from the QSE and capped by the limits of the Resource:</w:t>
            </w:r>
          </w:p>
          <w:p w14:paraId="3EC3A5C2" w14:textId="77777777" w:rsidR="004A7B1D" w:rsidRPr="004A7B1D" w:rsidRDefault="004A7B1D" w:rsidP="004A7B1D">
            <w:pPr>
              <w:spacing w:after="240"/>
              <w:ind w:left="2880" w:hanging="720"/>
            </w:pPr>
            <w:r w:rsidRPr="004A7B1D">
              <w:t>(A)</w:t>
            </w:r>
            <w:r w:rsidRPr="004A7B1D">
              <w:tab/>
              <w:t>Capacity to provide Reg-Up, RRS, or both, irrespective of whether it is capable of providing ECRS or Non-Spin;</w:t>
            </w:r>
          </w:p>
          <w:p w14:paraId="72BADA3E" w14:textId="77777777" w:rsidR="004A7B1D" w:rsidRPr="004A7B1D" w:rsidRDefault="004A7B1D" w:rsidP="004A7B1D">
            <w:pPr>
              <w:spacing w:after="240"/>
              <w:ind w:left="2880" w:hanging="720"/>
            </w:pPr>
            <w:r w:rsidRPr="004A7B1D">
              <w:t>(B)</w:t>
            </w:r>
            <w:r w:rsidRPr="004A7B1D">
              <w:tab/>
              <w:t>Capacity to provide Reg-Up, RRS, ECRS, or any combination</w:t>
            </w:r>
            <w:r w:rsidRPr="004A7B1D">
              <w:rPr>
                <w:rFonts w:eastAsia="SimSun"/>
                <w:szCs w:val="24"/>
              </w:rPr>
              <w:t xml:space="preserve"> or DRRS</w:t>
            </w:r>
            <w:r w:rsidRPr="004A7B1D">
              <w:t>, irrespective of whether it is capable of providing Non-Spin or DRRS;</w:t>
            </w:r>
          </w:p>
          <w:p w14:paraId="05536367" w14:textId="77777777" w:rsidR="004A7B1D" w:rsidRPr="004A7B1D" w:rsidRDefault="004A7B1D" w:rsidP="004A7B1D">
            <w:pPr>
              <w:spacing w:after="240"/>
              <w:ind w:left="2880" w:hanging="720"/>
              <w:rPr>
                <w:szCs w:val="24"/>
              </w:rPr>
            </w:pPr>
            <w:r w:rsidRPr="004A7B1D">
              <w:t>(C)</w:t>
            </w:r>
            <w:r w:rsidRPr="004A7B1D">
              <w:tab/>
            </w:r>
            <w:r w:rsidRPr="004A7B1D">
              <w:rPr>
                <w:color w:val="000000"/>
              </w:rPr>
              <w:t>Capacity to provide Reg-Up, RRS, ECRS, or Non-Spin, in any combination</w:t>
            </w:r>
            <w:r w:rsidRPr="004A7B1D">
              <w:rPr>
                <w:color w:val="000000"/>
                <w:szCs w:val="24"/>
              </w:rPr>
              <w:t xml:space="preserve"> thereof</w:t>
            </w:r>
            <w:r w:rsidRPr="004A7B1D">
              <w:rPr>
                <w:szCs w:val="24"/>
              </w:rPr>
              <w:t>, irrespective of whether it is capable of providing</w:t>
            </w:r>
            <w:r w:rsidRPr="004A7B1D">
              <w:rPr>
                <w:rFonts w:eastAsia="SimSun"/>
                <w:szCs w:val="24"/>
              </w:rPr>
              <w:t xml:space="preserve"> DRRS</w:t>
            </w:r>
            <w:r w:rsidRPr="004A7B1D">
              <w:t>;</w:t>
            </w:r>
            <w:r w:rsidRPr="004A7B1D">
              <w:rPr>
                <w:szCs w:val="24"/>
              </w:rPr>
              <w:t xml:space="preserve"> and </w:t>
            </w:r>
          </w:p>
          <w:p w14:paraId="49B0BADA" w14:textId="467553AD" w:rsidR="004A7B1D" w:rsidRPr="004A7B1D" w:rsidRDefault="004A7B1D" w:rsidP="004A7B1D">
            <w:pPr>
              <w:spacing w:after="240"/>
              <w:ind w:left="2880" w:hanging="720"/>
              <w:rPr>
                <w:szCs w:val="24"/>
              </w:rPr>
            </w:pPr>
            <w:r w:rsidRPr="004A7B1D">
              <w:rPr>
                <w:szCs w:val="24"/>
              </w:rPr>
              <w:t>(D)</w:t>
            </w:r>
            <w:r w:rsidRPr="004A7B1D">
              <w:t xml:space="preserve"> </w:t>
            </w:r>
            <w:r w:rsidRPr="004A7B1D">
              <w:tab/>
            </w:r>
            <w:r w:rsidRPr="004A7B1D">
              <w:rPr>
                <w:color w:val="000000"/>
                <w:szCs w:val="24"/>
              </w:rPr>
              <w:t>Capacity to provide Reg-Up, RRS, ECRS, Non-Spin, DRRS, or any combination thereof.</w:t>
            </w:r>
          </w:p>
        </w:tc>
      </w:tr>
    </w:tbl>
    <w:p w14:paraId="6625FEF0" w14:textId="084D252E" w:rsidR="00422B96" w:rsidRPr="0013396E" w:rsidRDefault="00422B96" w:rsidP="007C3E74">
      <w:pPr>
        <w:spacing w:before="240" w:after="240"/>
        <w:ind w:left="1440" w:hanging="720"/>
      </w:pPr>
      <w:r w:rsidRPr="0013396E">
        <w:lastRenderedPageBreak/>
        <w:t>(m)</w:t>
      </w:r>
      <w:r w:rsidRPr="0013396E">
        <w:tab/>
        <w:t>Aggregate telemetered HSL capacity for Resources with a telemetered Resource Status of EMR;</w:t>
      </w:r>
    </w:p>
    <w:p w14:paraId="5AB23CF0" w14:textId="77777777" w:rsidR="00422B96" w:rsidRPr="0013396E" w:rsidRDefault="00422B96" w:rsidP="00422B96">
      <w:pPr>
        <w:spacing w:after="240"/>
        <w:ind w:left="1440" w:hanging="720"/>
      </w:pPr>
      <w:r w:rsidRPr="0013396E">
        <w:t>(n)</w:t>
      </w:r>
      <w:r w:rsidRPr="0013396E">
        <w:tab/>
        <w:t>Aggregate telemetered HSL capacity for Resources with a telemetered Resource Status of OUT;</w:t>
      </w:r>
    </w:p>
    <w:p w14:paraId="02D8B7C8" w14:textId="77777777" w:rsidR="00422B96" w:rsidRPr="0013396E" w:rsidRDefault="00422B96" w:rsidP="00422B96">
      <w:pPr>
        <w:spacing w:after="240"/>
        <w:ind w:left="1440" w:hanging="720"/>
      </w:pPr>
      <w:r w:rsidRPr="0013396E">
        <w:t>(o)</w:t>
      </w:r>
      <w:r w:rsidRPr="0013396E">
        <w:tab/>
        <w:t>Aggregate net telemetered consumption for Resources with a telemetered Resource Status of OUTL; and</w:t>
      </w:r>
    </w:p>
    <w:p w14:paraId="4F0F190B" w14:textId="77777777" w:rsidR="00422B96" w:rsidRPr="0013396E" w:rsidRDefault="00422B96" w:rsidP="00422B96">
      <w:pPr>
        <w:spacing w:after="240"/>
        <w:ind w:left="1440" w:hanging="720"/>
      </w:pPr>
      <w:r w:rsidRPr="0013396E">
        <w:t>(p)</w:t>
      </w:r>
      <w:r w:rsidRPr="0013396E">
        <w:tab/>
        <w:t>The ERCOT-wide PRC calculated as follows:</w:t>
      </w:r>
    </w:p>
    <w:p w14:paraId="3380290F" w14:textId="77777777" w:rsidR="003B27D9" w:rsidRDefault="003B27D9" w:rsidP="00422B96">
      <w:pPr>
        <w:spacing w:after="240"/>
        <w:rPr>
          <w:b/>
          <w:position w:val="30"/>
          <w:sz w:val="20"/>
        </w:rPr>
      </w:pPr>
    </w:p>
    <w:p w14:paraId="28792171" w14:textId="3D099404" w:rsidR="00422B96" w:rsidRPr="0013396E" w:rsidRDefault="00A9698C" w:rsidP="00422B96">
      <w:pPr>
        <w:spacing w:after="240"/>
        <w:rPr>
          <w:b/>
          <w:position w:val="30"/>
          <w:sz w:val="20"/>
        </w:rPr>
      </w:pPr>
      <w:r>
        <w:rPr>
          <w:b/>
          <w:noProof/>
          <w:position w:val="30"/>
          <w:sz w:val="20"/>
        </w:rPr>
        <w:object w:dxaOrig="1440" w:dyaOrig="1440" w14:anchorId="4CED4F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554" type="#_x0000_t75" style="position:absolute;margin-left:33.75pt;margin-top:-42.55pt;width:67.75pt;height:109.9pt;z-index:251699200" fillcolor="red" strokecolor="red">
            <v:fill opacity="13107f" color2="fill darken(118)" o:opacity2="13107f" rotate="t" method="linear sigma" focus="100%" type="gradient"/>
            <v:imagedata r:id="rId15" o:title=""/>
          </v:shape>
          <o:OLEObject Type="Embed" ProgID="Equation.3" ShapeID="_x0000_s5554" DrawAspect="Content" ObjectID="_1849065931" r:id="rId16"/>
        </w:object>
      </w:r>
      <w:r w:rsidR="00422B96" w:rsidRPr="0013396E">
        <w:rPr>
          <w:b/>
          <w:position w:val="30"/>
          <w:sz w:val="20"/>
        </w:rPr>
        <w:t>PRC</w:t>
      </w:r>
      <w:r w:rsidR="00422B96" w:rsidRPr="0013396E">
        <w:rPr>
          <w:b/>
          <w:position w:val="30"/>
          <w:sz w:val="20"/>
          <w:vertAlign w:val="subscript"/>
        </w:rPr>
        <w:t>1</w:t>
      </w:r>
      <w:r w:rsidR="00422B96" w:rsidRPr="0013396E">
        <w:rPr>
          <w:b/>
          <w:position w:val="30"/>
          <w:sz w:val="20"/>
        </w:rPr>
        <w:t xml:space="preserve"> =</w:t>
      </w:r>
      <w:r w:rsidR="00422B96" w:rsidRPr="0013396E">
        <w:rPr>
          <w:b/>
          <w:position w:val="30"/>
          <w:sz w:val="20"/>
        </w:rPr>
        <w:tab/>
      </w:r>
      <w:r w:rsidR="00422B96" w:rsidRPr="0013396E">
        <w:rPr>
          <w:b/>
          <w:position w:val="30"/>
          <w:sz w:val="20"/>
        </w:rPr>
        <w:tab/>
      </w:r>
      <w:r w:rsidR="00422B96" w:rsidRPr="0013396E">
        <w:rPr>
          <w:b/>
          <w:position w:val="30"/>
          <w:sz w:val="20"/>
        </w:rPr>
        <w:tab/>
        <w:t>Min(Max((RDF*FRCHL – FRCO)</w:t>
      </w:r>
      <w:r w:rsidR="00422B96" w:rsidRPr="0013396E">
        <w:rPr>
          <w:b/>
          <w:position w:val="30"/>
          <w:sz w:val="20"/>
          <w:vertAlign w:val="subscript"/>
        </w:rPr>
        <w:t>i</w:t>
      </w:r>
      <w:r w:rsidR="00422B96" w:rsidRPr="0013396E">
        <w:rPr>
          <w:b/>
          <w:position w:val="30"/>
          <w:sz w:val="20"/>
        </w:rPr>
        <w:t xml:space="preserve"> , 0.0) , 0.2*RDF*FRCHL</w:t>
      </w:r>
      <w:r w:rsidR="00422B96" w:rsidRPr="0013396E">
        <w:rPr>
          <w:b/>
          <w:position w:val="30"/>
          <w:sz w:val="20"/>
          <w:vertAlign w:val="subscript"/>
        </w:rPr>
        <w:t>i</w:t>
      </w:r>
      <w:r w:rsidR="00422B96" w:rsidRPr="0013396E">
        <w:rPr>
          <w:b/>
          <w:position w:val="30"/>
          <w:sz w:val="20"/>
        </w:rPr>
        <w:t>),</w:t>
      </w:r>
    </w:p>
    <w:p w14:paraId="4A04C298" w14:textId="77777777" w:rsidR="00422B96" w:rsidRPr="0013396E" w:rsidRDefault="00422B96" w:rsidP="00422B96">
      <w:pPr>
        <w:ind w:right="-1080"/>
      </w:pPr>
    </w:p>
    <w:p w14:paraId="33AA1331" w14:textId="77777777" w:rsidR="00422B96" w:rsidRPr="0013396E" w:rsidRDefault="00422B96" w:rsidP="00422B96">
      <w:pPr>
        <w:ind w:right="-1080"/>
      </w:pPr>
    </w:p>
    <w:p w14:paraId="1EAF0DB4" w14:textId="77777777" w:rsidR="00422B96" w:rsidRPr="0013396E" w:rsidRDefault="00422B96" w:rsidP="00422B96">
      <w:pPr>
        <w:ind w:right="-1080"/>
      </w:pPr>
      <w:r w:rsidRPr="0013396E">
        <w:t>where the included On-Line Generation Resources do not include WGRs, nuclear Generation</w:t>
      </w:r>
    </w:p>
    <w:p w14:paraId="3CAD7022" w14:textId="77777777" w:rsidR="00422B96" w:rsidRPr="0013396E" w:rsidRDefault="00422B96" w:rsidP="00422B96">
      <w:pPr>
        <w:ind w:right="-1080"/>
      </w:pPr>
      <w:r w:rsidRPr="0013396E">
        <w:t xml:space="preserve">Resources, or Generation Resources with an output less than or equal to 95% of telemetered LSL or </w:t>
      </w:r>
    </w:p>
    <w:p w14:paraId="64B3959A" w14:textId="77777777" w:rsidR="00422B96" w:rsidRPr="0013396E" w:rsidRDefault="00422B96" w:rsidP="00422B96">
      <w:pPr>
        <w:ind w:right="-1080"/>
      </w:pPr>
      <w:r w:rsidRPr="0013396E">
        <w:t>with a telemetered status of ONTEST, ONHOLD, STARTUP, or SHUTDOWN.</w:t>
      </w:r>
    </w:p>
    <w:p w14:paraId="587F1933" w14:textId="77777777" w:rsidR="00422B96" w:rsidRPr="0013396E" w:rsidRDefault="00422B96" w:rsidP="00422B96">
      <w:pPr>
        <w:ind w:right="-1080"/>
        <w:rPr>
          <w:b/>
          <w:position w:val="30"/>
          <w:sz w:val="20"/>
        </w:rPr>
      </w:pPr>
      <w:r w:rsidRPr="0013396E">
        <w:rPr>
          <w:noProof/>
        </w:rPr>
        <mc:AlternateContent>
          <mc:Choice Requires="wpc">
            <w:drawing>
              <wp:anchor distT="0" distB="0" distL="114300" distR="114300" simplePos="0" relativeHeight="251704320" behindDoc="0" locked="0" layoutInCell="1" allowOverlap="1" wp14:anchorId="6C1CE4F3" wp14:editId="2B883CAF">
                <wp:simplePos x="0" y="0"/>
                <wp:positionH relativeFrom="column">
                  <wp:posOffset>478047</wp:posOffset>
                </wp:positionH>
                <wp:positionV relativeFrom="paragraph">
                  <wp:posOffset>-71240</wp:posOffset>
                </wp:positionV>
                <wp:extent cx="761365" cy="1394460"/>
                <wp:effectExtent l="1270" t="0" r="0" b="0"/>
                <wp:wrapNone/>
                <wp:docPr id="1702447396" name="Canvas 1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423204" name="Rectangle 107"/>
                        <wps:cNvSpPr>
                          <a:spLocks noChangeArrowheads="1"/>
                        </wps:cNvSpPr>
                        <wps:spPr bwMode="auto">
                          <a:xfrm>
                            <a:off x="142212" y="501622"/>
                            <a:ext cx="135912" cy="340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CB613" w14:textId="77777777" w:rsidR="00422B96" w:rsidRDefault="00422B96" w:rsidP="00422B96">
                              <w:r>
                                <w:rPr>
                                  <w:rFonts w:ascii="Symbol" w:hAnsi="Symbol" w:cs="Symbol"/>
                                  <w:color w:val="000000"/>
                                  <w:sz w:val="32"/>
                                  <w:szCs w:val="32"/>
                                </w:rPr>
                                <w:t></w:t>
                              </w:r>
                            </w:p>
                          </w:txbxContent>
                        </wps:txbx>
                        <wps:bodyPr rot="0" vert="horz" wrap="square" lIns="0" tIns="0" rIns="0" bIns="0" anchor="t" anchorCtr="0" upright="1">
                          <a:noAutofit/>
                        </wps:bodyPr>
                      </wps:wsp>
                      <wps:wsp>
                        <wps:cNvPr id="1034286089" name="Rectangle 108"/>
                        <wps:cNvSpPr>
                          <a:spLocks noChangeArrowheads="1"/>
                        </wps:cNvSpPr>
                        <wps:spPr bwMode="auto">
                          <a:xfrm>
                            <a:off x="90108" y="842036"/>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C1AF5" w14:textId="77777777" w:rsidR="00422B96" w:rsidRDefault="00422B96" w:rsidP="00422B96">
                              <w:r>
                                <w:rPr>
                                  <w:rFonts w:ascii="Symbol" w:hAnsi="Symbol" w:cs="Symbol"/>
                                  <w:color w:val="000000"/>
                                </w:rPr>
                                <w:t></w:t>
                              </w:r>
                            </w:p>
                          </w:txbxContent>
                        </wps:txbx>
                        <wps:bodyPr rot="0" vert="horz" wrap="none" lIns="0" tIns="0" rIns="0" bIns="0" anchor="t" anchorCtr="0" upright="1">
                          <a:spAutoFit/>
                        </wps:bodyPr>
                      </wps:wsp>
                      <wps:wsp>
                        <wps:cNvPr id="1944728209" name="Rectangle 109"/>
                        <wps:cNvSpPr>
                          <a:spLocks noChangeArrowheads="1"/>
                        </wps:cNvSpPr>
                        <wps:spPr bwMode="auto">
                          <a:xfrm>
                            <a:off x="40603" y="326414"/>
                            <a:ext cx="407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C1EE8" w14:textId="77777777" w:rsidR="00422B96" w:rsidRDefault="00422B96" w:rsidP="00422B96">
                              <w:r>
                                <w:rPr>
                                  <w:b/>
                                  <w:bCs/>
                                  <w:i/>
                                  <w:iCs/>
                                  <w:color w:val="000000"/>
                                </w:rPr>
                                <w:t>WGRs</w:t>
                              </w:r>
                            </w:p>
                          </w:txbxContent>
                        </wps:txbx>
                        <wps:bodyPr rot="0" vert="horz" wrap="none" lIns="0" tIns="0" rIns="0" bIns="0" anchor="t" anchorCtr="0" upright="1">
                          <a:spAutoFit/>
                        </wps:bodyPr>
                      </wps:wsp>
                      <wps:wsp>
                        <wps:cNvPr id="184126805" name="Rectangle 110"/>
                        <wps:cNvSpPr>
                          <a:spLocks noChangeArrowheads="1"/>
                        </wps:cNvSpPr>
                        <wps:spPr bwMode="auto">
                          <a:xfrm>
                            <a:off x="29202" y="17140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D3717" w14:textId="77777777" w:rsidR="00422B96" w:rsidRDefault="00422B96" w:rsidP="00422B96">
                              <w:r>
                                <w:rPr>
                                  <w:b/>
                                  <w:bCs/>
                                  <w:i/>
                                  <w:iCs/>
                                  <w:color w:val="000000"/>
                                </w:rPr>
                                <w:t>online</w:t>
                              </w:r>
                            </w:p>
                          </w:txbxContent>
                        </wps:txbx>
                        <wps:bodyPr rot="0" vert="horz" wrap="none" lIns="0" tIns="0" rIns="0" bIns="0" anchor="t" anchorCtr="0" upright="1">
                          <a:spAutoFit/>
                        </wps:bodyPr>
                      </wps:wsp>
                      <wps:wsp>
                        <wps:cNvPr id="890943873" name="Rectangle 111"/>
                        <wps:cNvSpPr>
                          <a:spLocks noChangeArrowheads="1"/>
                        </wps:cNvSpPr>
                        <wps:spPr bwMode="auto">
                          <a:xfrm>
                            <a:off x="74306" y="16501"/>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19525" w14:textId="77777777" w:rsidR="00422B96" w:rsidRDefault="00422B96" w:rsidP="00422B96">
                              <w:r>
                                <w:rPr>
                                  <w:b/>
                                  <w:bCs/>
                                  <w:i/>
                                  <w:iCs/>
                                  <w:color w:val="000000"/>
                                </w:rPr>
                                <w:t>All</w:t>
                              </w:r>
                            </w:p>
                          </w:txbxContent>
                        </wps:txbx>
                        <wps:bodyPr rot="0" vert="horz" wrap="none" lIns="0" tIns="0" rIns="0" bIns="0" anchor="t" anchorCtr="0" upright="1">
                          <a:spAutoFit/>
                        </wps:bodyPr>
                      </wps:wsp>
                      <wps:wsp>
                        <wps:cNvPr id="619301151" name="Rectangle 112"/>
                        <wps:cNvSpPr>
                          <a:spLocks noChangeArrowheads="1"/>
                        </wps:cNvSpPr>
                        <wps:spPr bwMode="auto">
                          <a:xfrm>
                            <a:off x="40603" y="1014744"/>
                            <a:ext cx="348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47880" w14:textId="77777777" w:rsidR="00422B96" w:rsidRDefault="00422B96" w:rsidP="00422B96">
                              <w:r>
                                <w:rPr>
                                  <w:b/>
                                  <w:bCs/>
                                  <w:i/>
                                  <w:iCs/>
                                  <w:color w:val="000000"/>
                                </w:rPr>
                                <w:t>WGR</w:t>
                              </w:r>
                            </w:p>
                          </w:txbxContent>
                        </wps:txbx>
                        <wps:bodyPr rot="0" vert="horz" wrap="none" lIns="0" tIns="0" rIns="0" bIns="0" anchor="t" anchorCtr="0" upright="1">
                          <a:spAutoFit/>
                        </wps:bodyPr>
                      </wps:wsp>
                      <wps:wsp>
                        <wps:cNvPr id="1350270204" name="Rectangle 113"/>
                        <wps:cNvSpPr>
                          <a:spLocks noChangeArrowheads="1"/>
                        </wps:cNvSpPr>
                        <wps:spPr bwMode="auto">
                          <a:xfrm>
                            <a:off x="179115" y="85983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1162E" w14:textId="77777777" w:rsidR="00422B96" w:rsidRDefault="00422B96" w:rsidP="00422B96">
                              <w:r>
                                <w:rPr>
                                  <w:b/>
                                  <w:bCs/>
                                  <w:i/>
                                  <w:iCs/>
                                  <w:color w:val="000000"/>
                                </w:rPr>
                                <w:t>online</w:t>
                              </w:r>
                            </w:p>
                          </w:txbxContent>
                        </wps:txbx>
                        <wps:bodyPr rot="0" vert="horz" wrap="none" lIns="0" tIns="0" rIns="0" bIns="0" anchor="t" anchorCtr="0" upright="1">
                          <a:spAutoFit/>
                        </wps:bodyPr>
                      </wps:wsp>
                      <wps:wsp>
                        <wps:cNvPr id="1848902331" name="Rectangle 114"/>
                        <wps:cNvSpPr>
                          <a:spLocks noChangeArrowheads="1"/>
                        </wps:cNvSpPr>
                        <wps:spPr bwMode="auto">
                          <a:xfrm>
                            <a:off x="31703" y="85983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32B20" w14:textId="77777777" w:rsidR="00422B96" w:rsidRDefault="00422B96" w:rsidP="00422B96">
                              <w:r>
                                <w:rPr>
                                  <w:b/>
                                  <w:bCs/>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C1CE4F3" id="Canvas 111" o:spid="_x0000_s1119" editas="canvas" style="position:absolute;margin-left:37.65pt;margin-top:-5.6pt;width:59.95pt;height:109.8pt;z-index:251704320" coordsize="7613,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hkZgMAAMgTAAAOAAAAZHJzL2Uyb0RvYy54bWzkmNtu4zYQQN8L9B8IvjfmTVdEWSyySFFg&#10;2y663Q+gJcoSKpEqqUROv75DynLWjbcF2oViNC82RUqjuRzOjHj9Zt936EFZ1xpdYHpFMFK6NFWr&#10;dwX+9OvddylGbpS6kp3RqsCPyuE3N99+cz0NuWKmMV2lLAIh2uXTUOBmHId8s3Flo3rprsygNCzW&#10;xvZyhEu721RWTiC97zaMkHgzGVsN1pTKOZh9Ny/imyC/rlU5/lzXTo2oKzDoNoZfG363/ndzcy3z&#10;nZVD05YHNeS/0KKXrYaXHkW9k6NE97Z9JqpvS2ucqcer0vQbU9dtqYINYA0lf7HmVuoH6YIxJXhn&#10;URBGX1Huduf11uau7Trwxgak537O/08QHwWT0wDRccMxTu6/vf9jIwcVzHJ5+dPDB4vaqsCMCcYZ&#10;ERhp2QMqv0DwpN51ClGS+EB5LeD2j8MH61V2w3tT/uaQNrcN3KfeWmumRskKtKP+fjDlswf8hYNH&#10;0Xb60VQgX96PJsRsX9veC4RooD08KxijDKPHAkeExozNkKj9iEq/zKPML5ewzgURNArvkvkiZrBu&#10;/F6ZHvlBgS2YEV4jH9670asl8+WWE8/LvNMnE3CjnwlmeM1nD4z77T74S4jFKVtTPYJh1sx4w3aE&#10;QWPsHxhNgHaB3e/30iqMuh80OMfvg2Vgl8F2GUhdwqMFHjGah7fjvF/uB9vuGpBMgznavAUH1m0w&#10;yTt31uKgL9CyEjaUcMHSmKTZOXDSxUcrgJPBDoZ0B1ykghEen3KT8pSB5z02NI3jLOQeCPHq2ARe&#10;nwL2N9hoSNlfFxo3eGjuXh6aTIiEQUDOQpOtCI0gMeEBGs5iQcOelvmSbARJCI8O1CQRi1+MmkDz&#10;a6cmFZTFKYGAPCtRNETGO2iFTMMyRuYKRRMKjJxmGp6lVFwENMey/Y8V6v+batKMZIKnCWzy59CE&#10;PmUlaBLBSRwyDY2hsTll5lCS5vL0oonmWLFfMTMxzTihNKLnmAn96ErMPFUnSqhI5pbzqTxxkcbQ&#10;/14ANceS/YqpgS8TwhJy/hOK8hWbGppkQO/cCkdZyi+1QEXHov2asUkF1CjG+dlsc/zIXKGt4RS6&#10;3S9SI1h0EV0NZOXDYcRlQhNOcOD0Jpw0HI62/HnU59fhK/3pAO7mTwAAAP//AwBQSwMEFAAGAAgA&#10;AAAhAOM+hgrhAAAACgEAAA8AAABkcnMvZG93bnJldi54bWxMj8FOwzAMhu9IvENkJG5b2sK6UepO&#10;BWkcuFE2ELesCW1F4lRN2hWenuwEN1v+9Pv78+1sNJvU4DpLCPEyAqaotrKjBmH/ultsgDkvSApt&#10;SSF8Kwfb4vIiF5m0J3pRU+UbFkLIZQKh9b7POHd1q4xwS9srCrdPOxjhwzo0XA7iFMKN5kkUpdyI&#10;jsKHVvTqsVX1VzUahPdkqtLy0Pyk6dtH+bQetXh+2CFeX83lPTCvZv8Hw1k/qEMRnI52JOmYRliv&#10;bgKJsIjjBNgZuFuF4YiQRJtb4EXO/1cofgEAAP//AwBQSwECLQAUAAYACAAAACEAtoM4kv4AAADh&#10;AQAAEwAAAAAAAAAAAAAAAAAAAAAAW0NvbnRlbnRfVHlwZXNdLnhtbFBLAQItABQABgAIAAAAIQA4&#10;/SH/1gAAAJQBAAALAAAAAAAAAAAAAAAAAC8BAABfcmVscy8ucmVsc1BLAQItABQABgAIAAAAIQBw&#10;wDhkZgMAAMgTAAAOAAAAAAAAAAAAAAAAAC4CAABkcnMvZTJvRG9jLnhtbFBLAQItABQABgAIAAAA&#10;IQDjPoYK4QAAAAoBAAAPAAAAAAAAAAAAAAAAAMAFAABkcnMvZG93bnJldi54bWxQSwUGAAAAAAQA&#10;BADzAAAAzgYAAAAA&#10;">
                <v:shape id="_x0000_s1120" type="#_x0000_t75" style="position:absolute;width:7613;height:13944;visibility:visible;mso-wrap-style:square">
                  <v:fill o:detectmouseclick="t"/>
                  <v:path o:connecttype="none"/>
                </v:shape>
                <v:rect id="Rectangle 107" o:spid="_x0000_s1121" style="position:absolute;left:1422;top:5016;width:1359;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ZuqygAAAOEAAAAPAAAAZHJzL2Rvd25yZXYueG1sRI9Pa8JA&#10;FMTvhX6H5RW81U23Ipq6imhFj/UP2N4e2dckNPs2ZFcT/fRuQfA4zMxvmMmss5U4U+NLxxre+gkI&#10;4syZknMNh/3qdQTCB2SDlWPScCEPs+nz0wRT41re0nkXchEh7FPUUIRQp1L6rCCLvu9q4uj9usZi&#10;iLLJpWmwjXBbSZUkQ2mx5LhQYE2LgrK/3clqWI/q+ffGXdu8+vxZH7+O4+V+HLTuvXTzDxCBuvAI&#10;39sbo0GpgXpXyQD+H8U3IKc3AAAA//8DAFBLAQItABQABgAIAAAAIQDb4fbL7gAAAIUBAAATAAAA&#10;AAAAAAAAAAAAAAAAAABbQ29udGVudF9UeXBlc10ueG1sUEsBAi0AFAAGAAgAAAAhAFr0LFu/AAAA&#10;FQEAAAsAAAAAAAAAAAAAAAAAHwEAAF9yZWxzLy5yZWxzUEsBAi0AFAAGAAgAAAAhABJ9m6rKAAAA&#10;4QAAAA8AAAAAAAAAAAAAAAAABwIAAGRycy9kb3ducmV2LnhtbFBLBQYAAAAAAwADALcAAAD+AgAA&#10;AAA=&#10;" filled="f" stroked="f">
                  <v:textbox inset="0,0,0,0">
                    <w:txbxContent>
                      <w:p w14:paraId="498CB613" w14:textId="77777777" w:rsidR="00422B96" w:rsidRDefault="00422B96" w:rsidP="00422B96">
                        <w:r>
                          <w:rPr>
                            <w:rFonts w:ascii="Symbol" w:hAnsi="Symbol" w:cs="Symbol"/>
                            <w:color w:val="000000"/>
                            <w:sz w:val="32"/>
                            <w:szCs w:val="32"/>
                          </w:rPr>
                          <w:t></w:t>
                        </w:r>
                      </w:p>
                    </w:txbxContent>
                  </v:textbox>
                </v:rect>
                <v:rect id="Rectangle 108" o:spid="_x0000_s1122" style="position:absolute;left:901;top:8420;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fDExQAAAOMAAAAPAAAAZHJzL2Rvd25yZXYueG1sRE/NSgMx&#10;EL4LvkMYwZtNXKVst01LKRSqeOm2DzBsZn8wmSxJ7K5vbwTB43z/s9nNzoobhTh41vC8UCCIG28G&#10;7jRcL8enEkRMyAatZ9LwTRF22/u7DVbGT3ymW506kUM4VqihT2mspIxNTw7jwo/EmWt9cJjyGTpp&#10;Ak453FlZKLWUDgfODT2OdOip+ay/nAZ5qY9TWdug/HvRfti307klr/Xjw7xfg0g0p3/xn/tk8nz1&#10;8lqUS1Wu4PenDIDc/gAAAP//AwBQSwECLQAUAAYACAAAACEA2+H2y+4AAACFAQAAEwAAAAAAAAAA&#10;AAAAAAAAAAAAW0NvbnRlbnRfVHlwZXNdLnhtbFBLAQItABQABgAIAAAAIQBa9CxbvwAAABUBAAAL&#10;AAAAAAAAAAAAAAAAAB8BAABfcmVscy8ucmVsc1BLAQItABQABgAIAAAAIQCQRfDExQAAAOMAAAAP&#10;AAAAAAAAAAAAAAAAAAcCAABkcnMvZG93bnJldi54bWxQSwUGAAAAAAMAAwC3AAAA+QIAAAAA&#10;" filled="f" stroked="f">
                  <v:textbox style="mso-fit-shape-to-text:t" inset="0,0,0,0">
                    <w:txbxContent>
                      <w:p w14:paraId="301C1AF5" w14:textId="77777777" w:rsidR="00422B96" w:rsidRDefault="00422B96" w:rsidP="00422B96">
                        <w:r>
                          <w:rPr>
                            <w:rFonts w:ascii="Symbol" w:hAnsi="Symbol" w:cs="Symbol"/>
                            <w:color w:val="000000"/>
                          </w:rPr>
                          <w:t></w:t>
                        </w:r>
                      </w:p>
                    </w:txbxContent>
                  </v:textbox>
                </v:rect>
                <v:rect id="Rectangle 109" o:spid="_x0000_s1123" style="position:absolute;left:406;top:3264;width:407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nEgxQAAAOMAAAAPAAAAZHJzL2Rvd25yZXYueG1sRE/NSgMx&#10;EL4LfYcwBW82cSm6XZuWUihU8dKtDzBsZn8wmSxJ7K5vbwTB43z/s93PzoobhTh41vC4UiCIG28G&#10;7jR8XE8PJYiYkA1az6ThmyLsd4u7LVbGT3yhW506kUM4VqihT2mspIxNTw7jyo/EmWt9cJjyGTpp&#10;Ak453FlZKPUkHQ6cG3oc6dhT81l/OQ3yWp+msrZB+beifbev50tLXuv75Xx4AZFoTv/iP/fZ5Pmb&#10;9fq5KAu1gd+fMgBy9wMAAP//AwBQSwECLQAUAAYACAAAACEA2+H2y+4AAACFAQAAEwAAAAAAAAAA&#10;AAAAAAAAAAAAW0NvbnRlbnRfVHlwZXNdLnhtbFBLAQItABQABgAIAAAAIQBa9CxbvwAAABUBAAAL&#10;AAAAAAAAAAAAAAAAAB8BAABfcmVscy8ucmVsc1BLAQItABQABgAIAAAAIQA6enEgxQAAAOMAAAAP&#10;AAAAAAAAAAAAAAAAAAcCAABkcnMvZG93bnJldi54bWxQSwUGAAAAAAMAAwC3AAAA+QIAAAAA&#10;" filled="f" stroked="f">
                  <v:textbox style="mso-fit-shape-to-text:t" inset="0,0,0,0">
                    <w:txbxContent>
                      <w:p w14:paraId="3E3C1EE8" w14:textId="77777777" w:rsidR="00422B96" w:rsidRDefault="00422B96" w:rsidP="00422B96">
                        <w:r>
                          <w:rPr>
                            <w:b/>
                            <w:bCs/>
                            <w:i/>
                            <w:iCs/>
                            <w:color w:val="000000"/>
                          </w:rPr>
                          <w:t>WGRs</w:t>
                        </w:r>
                      </w:p>
                    </w:txbxContent>
                  </v:textbox>
                </v:rect>
                <v:rect id="Rectangle 110" o:spid="_x0000_s1124" style="position:absolute;left:292;top:1714;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0h9xAAAAOIAAAAPAAAAZHJzL2Rvd25yZXYueG1sRE/dasIw&#10;FL4f7B3CGexuJhYnpRplDAQdu7H6AIfm9AeTk5Jktnv7ZTDY5cf3v93Pzoo7hTh41rBcKBDEjTcD&#10;dxqul8NLCSImZIPWM2n4pgj73ePDFivjJz7TvU6dyCEcK9TQpzRWUsamJ4dx4UfizLU+OEwZhk6a&#10;gFMOd1YWSq2lw4FzQ48jvffU3Oovp0Fe6sNU1jYo/1G0n/Z0PLfktX5+mt82IBLN6V/85z6aPL9c&#10;LYt1qV7h91LGIHc/AAAA//8DAFBLAQItABQABgAIAAAAIQDb4fbL7gAAAIUBAAATAAAAAAAAAAAA&#10;AAAAAAAAAABbQ29udGVudF9UeXBlc10ueG1sUEsBAi0AFAAGAAgAAAAhAFr0LFu/AAAAFQEAAAsA&#10;AAAAAAAAAAAAAAAAHwEAAF9yZWxzLy5yZWxzUEsBAi0AFAAGAAgAAAAhAFzTSH3EAAAA4gAAAA8A&#10;AAAAAAAAAAAAAAAABwIAAGRycy9kb3ducmV2LnhtbFBLBQYAAAAAAwADALcAAAD4AgAAAAA=&#10;" filled="f" stroked="f">
                  <v:textbox style="mso-fit-shape-to-text:t" inset="0,0,0,0">
                    <w:txbxContent>
                      <w:p w14:paraId="2D1D3717" w14:textId="77777777" w:rsidR="00422B96" w:rsidRDefault="00422B96" w:rsidP="00422B96">
                        <w:r>
                          <w:rPr>
                            <w:b/>
                            <w:bCs/>
                            <w:i/>
                            <w:iCs/>
                            <w:color w:val="000000"/>
                          </w:rPr>
                          <w:t>online</w:t>
                        </w:r>
                      </w:p>
                    </w:txbxContent>
                  </v:textbox>
                </v:rect>
                <v:rect id="Rectangle 111" o:spid="_x0000_s1125" style="position:absolute;left:743;top:165;width:186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ZNyAAAAOIAAAAPAAAAZHJzL2Rvd25yZXYueG1sRI/dSgMx&#10;FITvBd8hHME7m9iK3W6bliIUqnjTbR/gsDn7g8nJkqTd9e2NIHg5zMw3zGY3OStuFGLvWcPzTIEg&#10;rr3pudVwOR+eChAxIRu0nknDN0XYbe/vNlgaP/KJblVqRYZwLFFDl9JQShnrjhzGmR+Is9f44DBl&#10;GVppAo4Z7qycK/UqHfacFzoc6K2j+qu6Og3yXB3GorJB+Y9582nfj6eGvNaPD9N+DSLRlP7Df+2j&#10;0VCs1OplUSwX8Hsp3wG5/QEAAP//AwBQSwECLQAUAAYACAAAACEA2+H2y+4AAACFAQAAEwAAAAAA&#10;AAAAAAAAAAAAAAAAW0NvbnRlbnRfVHlwZXNdLnhtbFBLAQItABQABgAIAAAAIQBa9CxbvwAAABUB&#10;AAALAAAAAAAAAAAAAAAAAB8BAABfcmVscy8ucmVsc1BLAQItABQABgAIAAAAIQC/UvZNyAAAAOIA&#10;AAAPAAAAAAAAAAAAAAAAAAcCAABkcnMvZG93bnJldi54bWxQSwUGAAAAAAMAAwC3AAAA/AIAAAAA&#10;" filled="f" stroked="f">
                  <v:textbox style="mso-fit-shape-to-text:t" inset="0,0,0,0">
                    <w:txbxContent>
                      <w:p w14:paraId="62519525" w14:textId="77777777" w:rsidR="00422B96" w:rsidRDefault="00422B96" w:rsidP="00422B96">
                        <w:r>
                          <w:rPr>
                            <w:b/>
                            <w:bCs/>
                            <w:i/>
                            <w:iCs/>
                            <w:color w:val="000000"/>
                          </w:rPr>
                          <w:t>All</w:t>
                        </w:r>
                      </w:p>
                    </w:txbxContent>
                  </v:textbox>
                </v:rect>
                <v:rect id="Rectangle 112" o:spid="_x0000_s1126" style="position:absolute;left:406;top:10147;width:348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gbJxwAAAOIAAAAPAAAAZHJzL2Rvd25yZXYueG1sRI/dSgMx&#10;FITvBd8hHME7m6RiqdumRYRCFW+69QEOm7M/NDlZkthd394IgpfDzHzDbPezd+JKMQ2BDeiFAkHc&#10;BDtwZ+DzfHhYg0gZ2aILTAa+KcF+d3uzxcqGiU90rXMnCoRThQb6nMdKytT05DEtwkhcvDZEj7nI&#10;2EkbcSpw7+RSqZX0OHBZ6HGk156aS/3lDchzfZjWtYsqvC/bD/d2PLUUjLm/m182IDLN+T/81z5a&#10;Ayv9/Ki0ftLwe6ncAbn7AQAA//8DAFBLAQItABQABgAIAAAAIQDb4fbL7gAAAIUBAAATAAAAAAAA&#10;AAAAAAAAAAAAAABbQ29udGVudF9UeXBlc10ueG1sUEsBAi0AFAAGAAgAAAAhAFr0LFu/AAAAFQEA&#10;AAsAAAAAAAAAAAAAAAAAHwEAAF9yZWxzLy5yZWxzUEsBAi0AFAAGAAgAAAAhAGvqBsnHAAAA4gAA&#10;AA8AAAAAAAAAAAAAAAAABwIAAGRycy9kb3ducmV2LnhtbFBLBQYAAAAAAwADALcAAAD7AgAAAAA=&#10;" filled="f" stroked="f">
                  <v:textbox style="mso-fit-shape-to-text:t" inset="0,0,0,0">
                    <w:txbxContent>
                      <w:p w14:paraId="45547880" w14:textId="77777777" w:rsidR="00422B96" w:rsidRDefault="00422B96" w:rsidP="00422B96">
                        <w:r>
                          <w:rPr>
                            <w:b/>
                            <w:bCs/>
                            <w:i/>
                            <w:iCs/>
                            <w:color w:val="000000"/>
                          </w:rPr>
                          <w:t>WGR</w:t>
                        </w:r>
                      </w:p>
                    </w:txbxContent>
                  </v:textbox>
                </v:rect>
                <v:rect id="Rectangle 113" o:spid="_x0000_s1127" style="position:absolute;left:1791;top:859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f90xQAAAOMAAAAPAAAAZHJzL2Rvd25yZXYueG1sRE/NSgMx&#10;EL4LfYcwgjebuGpbtk1LEQpVvHTbBxg2sz80mSxJ7K5vbwTB43z/s9lNzoobhdh71vA0VyCIa296&#10;bjVczofHFYiYkA1az6ThmyLstrO7DZbGj3yiW5VakUM4lqihS2kopYx1Rw7j3A/EmWt8cJjyGVpp&#10;Ao453FlZKLWQDnvODR0O9NZRfa2+nAZ5rg7jqrJB+Y+i+bTvx1NDXuuH+2m/BpFoSv/iP/fR5PnP&#10;r6pYqkK9wO9PGQC5/QEAAP//AwBQSwECLQAUAAYACAAAACEA2+H2y+4AAACFAQAAEwAAAAAAAAAA&#10;AAAAAAAAAAAAW0NvbnRlbnRfVHlwZXNdLnhtbFBLAQItABQABgAIAAAAIQBa9CxbvwAAABUBAAAL&#10;AAAAAAAAAAAAAAAAAB8BAABfcmVscy8ucmVsc1BLAQItABQABgAIAAAAIQCpcf90xQAAAOMAAAAP&#10;AAAAAAAAAAAAAAAAAAcCAABkcnMvZG93bnJldi54bWxQSwUGAAAAAAMAAwC3AAAA+QIAAAAA&#10;" filled="f" stroked="f">
                  <v:textbox style="mso-fit-shape-to-text:t" inset="0,0,0,0">
                    <w:txbxContent>
                      <w:p w14:paraId="0881162E" w14:textId="77777777" w:rsidR="00422B96" w:rsidRDefault="00422B96" w:rsidP="00422B96">
                        <w:r>
                          <w:rPr>
                            <w:b/>
                            <w:bCs/>
                            <w:i/>
                            <w:iCs/>
                            <w:color w:val="000000"/>
                          </w:rPr>
                          <w:t>online</w:t>
                        </w:r>
                      </w:p>
                    </w:txbxContent>
                  </v:textbox>
                </v:rect>
                <v:rect id="Rectangle 114" o:spid="_x0000_s1128" style="position:absolute;left:317;top:859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63exQAAAOMAAAAPAAAAZHJzL2Rvd25yZXYueG1sRE/NSgMx&#10;EL4LvkMYwZtNuhXZrk2LCIUqXrrtAwyb2R9MJksSu9u3bwTB43z/s9nNzooLhTh41rBcKBDEjTcD&#10;dxrOp/1TCSImZIPWM2m4UoTd9v5ug5XxEx/pUqdO5BCOFWroUxorKWPTk8O48CNx5lofHKZ8hk6a&#10;gFMOd1YWSr1IhwPnhh5Heu+p+a5/nAZ5qvdTWdug/GfRftmPw7Elr/Xjw/z2CiLRnP7Ff+6DyfPL&#10;53KtitVqCb8/ZQDk9gYAAP//AwBQSwECLQAUAAYACAAAACEA2+H2y+4AAACFAQAAEwAAAAAAAAAA&#10;AAAAAAAAAAAAW0NvbnRlbnRfVHlwZXNdLnhtbFBLAQItABQABgAIAAAAIQBa9CxbvwAAABUBAAAL&#10;AAAAAAAAAAAAAAAAAB8BAABfcmVscy8ucmVsc1BLAQItABQABgAIAAAAIQDTY63exQAAAOMAAAAP&#10;AAAAAAAAAAAAAAAAAAcCAABkcnMvZG93bnJldi54bWxQSwUGAAAAAAMAAwC3AAAA+QIAAAAA&#10;" filled="f" stroked="f">
                  <v:textbox style="mso-fit-shape-to-text:t" inset="0,0,0,0">
                    <w:txbxContent>
                      <w:p w14:paraId="40432B20" w14:textId="77777777" w:rsidR="00422B96" w:rsidRDefault="00422B96" w:rsidP="00422B96">
                        <w:r>
                          <w:rPr>
                            <w:b/>
                            <w:bCs/>
                            <w:i/>
                            <w:iCs/>
                            <w:color w:val="000000"/>
                          </w:rPr>
                          <w:t>i</w:t>
                        </w:r>
                      </w:p>
                    </w:txbxContent>
                  </v:textbox>
                </v:rect>
              </v:group>
            </w:pict>
          </mc:Fallback>
        </mc:AlternateContent>
      </w:r>
    </w:p>
    <w:p w14:paraId="1EF694B8" w14:textId="77777777" w:rsidR="00422B96" w:rsidRPr="0013396E" w:rsidRDefault="00422B96" w:rsidP="00422B96">
      <w:pPr>
        <w:rPr>
          <w:b/>
          <w:position w:val="30"/>
          <w:sz w:val="20"/>
        </w:rPr>
      </w:pPr>
      <w:r w:rsidRPr="0013396E">
        <w:rPr>
          <w:b/>
          <w:position w:val="30"/>
          <w:sz w:val="20"/>
        </w:rPr>
        <w:t>PRC</w:t>
      </w:r>
      <w:r w:rsidRPr="0013396E">
        <w:rPr>
          <w:b/>
          <w:position w:val="30"/>
          <w:sz w:val="20"/>
          <w:vertAlign w:val="subscript"/>
        </w:rPr>
        <w:t>2</w:t>
      </w:r>
      <w:r w:rsidRPr="0013396E">
        <w:rPr>
          <w:b/>
          <w:position w:val="30"/>
          <w:sz w:val="20"/>
        </w:rPr>
        <w:t xml:space="preserve"> =</w:t>
      </w:r>
      <w:r w:rsidRPr="0013396E">
        <w:rPr>
          <w:b/>
          <w:position w:val="30"/>
          <w:sz w:val="20"/>
        </w:rPr>
        <w:tab/>
      </w:r>
      <w:r w:rsidRPr="0013396E">
        <w:rPr>
          <w:b/>
          <w:position w:val="30"/>
          <w:sz w:val="20"/>
        </w:rPr>
        <w:tab/>
      </w:r>
      <w:r w:rsidRPr="0013396E">
        <w:rPr>
          <w:b/>
          <w:position w:val="30"/>
          <w:sz w:val="20"/>
        </w:rPr>
        <w:tab/>
        <w:t>Min(Max((RDF</w:t>
      </w:r>
      <w:r w:rsidRPr="0013396E">
        <w:rPr>
          <w:b/>
          <w:position w:val="30"/>
          <w:sz w:val="20"/>
          <w:vertAlign w:val="subscript"/>
        </w:rPr>
        <w:t>W</w:t>
      </w:r>
      <w:r w:rsidRPr="0013396E">
        <w:rPr>
          <w:b/>
          <w:position w:val="30"/>
          <w:sz w:val="20"/>
        </w:rPr>
        <w:t>*HSL – Actual Net Telemetered Output)</w:t>
      </w:r>
      <w:r w:rsidRPr="0013396E">
        <w:rPr>
          <w:b/>
          <w:position w:val="30"/>
          <w:sz w:val="20"/>
          <w:vertAlign w:val="subscript"/>
        </w:rPr>
        <w:t>i</w:t>
      </w:r>
      <w:r w:rsidRPr="0013396E">
        <w:rPr>
          <w:b/>
          <w:position w:val="30"/>
          <w:sz w:val="20"/>
        </w:rPr>
        <w:t xml:space="preserve"> , 0.0) , </w:t>
      </w:r>
      <w:r w:rsidRPr="0013396E">
        <w:rPr>
          <w:b/>
          <w:position w:val="30"/>
          <w:sz w:val="20"/>
        </w:rPr>
        <w:tab/>
      </w:r>
      <w:r w:rsidRPr="0013396E">
        <w:rPr>
          <w:b/>
          <w:position w:val="30"/>
          <w:sz w:val="20"/>
        </w:rPr>
        <w:tab/>
      </w:r>
      <w:r w:rsidRPr="0013396E">
        <w:rPr>
          <w:b/>
          <w:position w:val="30"/>
          <w:sz w:val="20"/>
        </w:rPr>
        <w:tab/>
      </w:r>
      <w:r w:rsidRPr="0013396E">
        <w:rPr>
          <w:b/>
          <w:position w:val="30"/>
          <w:sz w:val="20"/>
        </w:rPr>
        <w:tab/>
      </w:r>
      <w:r w:rsidRPr="0013396E">
        <w:rPr>
          <w:b/>
          <w:position w:val="30"/>
          <w:sz w:val="20"/>
        </w:rPr>
        <w:tab/>
        <w:t>0.2*RDF</w:t>
      </w:r>
      <w:r w:rsidRPr="0013396E">
        <w:rPr>
          <w:b/>
          <w:position w:val="30"/>
          <w:sz w:val="20"/>
          <w:vertAlign w:val="subscript"/>
        </w:rPr>
        <w:t>W</w:t>
      </w:r>
      <w:r w:rsidRPr="0013396E">
        <w:rPr>
          <w:b/>
          <w:position w:val="30"/>
          <w:sz w:val="20"/>
        </w:rPr>
        <w:t>*HSL</w:t>
      </w:r>
      <w:r w:rsidRPr="0013396E">
        <w:rPr>
          <w:b/>
          <w:position w:val="30"/>
          <w:sz w:val="20"/>
          <w:vertAlign w:val="subscript"/>
        </w:rPr>
        <w:t>i</w:t>
      </w:r>
      <w:r w:rsidRPr="0013396E">
        <w:rPr>
          <w:b/>
          <w:position w:val="30"/>
          <w:sz w:val="20"/>
        </w:rPr>
        <w:t>),</w:t>
      </w:r>
    </w:p>
    <w:p w14:paraId="74B40C7D" w14:textId="77777777" w:rsidR="00422B96" w:rsidRPr="0013396E" w:rsidRDefault="00422B96" w:rsidP="00422B96">
      <w:pPr>
        <w:ind w:right="-1080" w:hanging="1080"/>
        <w:rPr>
          <w:b/>
          <w:position w:val="30"/>
        </w:rPr>
      </w:pPr>
    </w:p>
    <w:p w14:paraId="3A5019B6" w14:textId="77777777" w:rsidR="00422B96" w:rsidRPr="0013396E" w:rsidRDefault="00422B96" w:rsidP="00422B96">
      <w:pPr>
        <w:spacing w:before="120"/>
      </w:pPr>
      <w:r w:rsidRPr="0013396E">
        <w:t>where the included On-Line WGRs only include WGRs that are Primary Frequency Response-capable.</w:t>
      </w:r>
    </w:p>
    <w:p w14:paraId="2DF7302A" w14:textId="77777777" w:rsidR="00422B96" w:rsidRPr="0013396E" w:rsidRDefault="00A9698C" w:rsidP="00422B96">
      <w:pPr>
        <w:ind w:left="2160" w:hanging="2160"/>
        <w:rPr>
          <w:b/>
          <w:position w:val="30"/>
          <w:sz w:val="20"/>
        </w:rPr>
      </w:pPr>
      <w:r>
        <w:rPr>
          <w:b/>
          <w:noProof/>
          <w:position w:val="30"/>
          <w:sz w:val="20"/>
        </w:rPr>
        <w:object w:dxaOrig="1440" w:dyaOrig="1440" w14:anchorId="47056D1D">
          <v:shape id="_x0000_s5555" type="#_x0000_t75" style="position:absolute;left:0;text-align:left;margin-left:34.1pt;margin-top:-1.7pt;width:67.85pt;height:110.1pt;z-index:251700224" fillcolor="red" strokecolor="red">
            <v:fill opacity="13107f" color2="fill darken(118)" o:opacity2="13107f" rotate="t" method="linear sigma" focus="100%" type="gradient"/>
            <v:imagedata r:id="rId15" o:title=""/>
          </v:shape>
          <o:OLEObject Type="Embed" ProgID="Equation.3" ShapeID="_x0000_s5555" DrawAspect="Content" ObjectID="_1849065932" r:id="rId17"/>
        </w:object>
      </w:r>
      <w:r w:rsidR="00422B96" w:rsidRPr="0013396E">
        <w:rPr>
          <w:b/>
          <w:position w:val="30"/>
          <w:sz w:val="20"/>
        </w:rPr>
        <w:t>PRC</w:t>
      </w:r>
      <w:r w:rsidR="00422B96" w:rsidRPr="0013396E">
        <w:rPr>
          <w:b/>
          <w:position w:val="30"/>
          <w:sz w:val="20"/>
          <w:vertAlign w:val="subscript"/>
        </w:rPr>
        <w:t>3</w:t>
      </w:r>
      <w:r w:rsidR="00422B96" w:rsidRPr="0013396E">
        <w:rPr>
          <w:b/>
          <w:position w:val="30"/>
          <w:sz w:val="20"/>
        </w:rPr>
        <w:t xml:space="preserve"> =</w:t>
      </w:r>
      <w:r w:rsidR="00422B96" w:rsidRPr="0013396E">
        <w:rPr>
          <w:b/>
          <w:position w:val="30"/>
          <w:sz w:val="20"/>
        </w:rPr>
        <w:tab/>
        <w:t>((Synchronous condenser output)</w:t>
      </w:r>
      <w:r w:rsidR="00422B96" w:rsidRPr="0013396E">
        <w:rPr>
          <w:b/>
          <w:position w:val="30"/>
          <w:sz w:val="20"/>
          <w:vertAlign w:val="subscript"/>
        </w:rPr>
        <w:t>i</w:t>
      </w:r>
      <w:r w:rsidR="00422B96" w:rsidRPr="0013396E">
        <w:rPr>
          <w:b/>
          <w:position w:val="30"/>
          <w:sz w:val="20"/>
        </w:rPr>
        <w:t xml:space="preserve"> as qualified by item (8) of Operating Guide Section 2.3.1.2, Additional Operational Details for Responsive Reserve and ERCOT Contingency Reserve Service Providers))</w:t>
      </w:r>
    </w:p>
    <w:p w14:paraId="7EFF74F3" w14:textId="77777777" w:rsidR="00422B96" w:rsidRPr="0013396E" w:rsidRDefault="00422B96" w:rsidP="00422B96">
      <w:pPr>
        <w:tabs>
          <w:tab w:val="left" w:pos="2160"/>
        </w:tabs>
        <w:spacing w:before="480"/>
        <w:ind w:left="2160" w:hanging="2160"/>
        <w:rPr>
          <w:b/>
          <w:position w:val="30"/>
          <w:sz w:val="20"/>
        </w:rPr>
      </w:pPr>
    </w:p>
    <w:p w14:paraId="2936893D" w14:textId="77777777" w:rsidR="00422B96" w:rsidRPr="0013396E" w:rsidRDefault="00422B96" w:rsidP="00422B96">
      <w:pPr>
        <w:tabs>
          <w:tab w:val="left" w:pos="2160"/>
        </w:tabs>
        <w:spacing w:before="480"/>
        <w:ind w:left="2160" w:hanging="2160"/>
        <w:rPr>
          <w:b/>
          <w:position w:val="30"/>
          <w:sz w:val="20"/>
          <w:vertAlign w:val="subscript"/>
        </w:rPr>
      </w:pPr>
      <w:r w:rsidRPr="0013396E">
        <w:rPr>
          <w:noProof/>
        </w:rPr>
        <mc:AlternateContent>
          <mc:Choice Requires="wpc">
            <w:drawing>
              <wp:anchor distT="0" distB="0" distL="114300" distR="114300" simplePos="0" relativeHeight="251701248" behindDoc="0" locked="0" layoutInCell="1" allowOverlap="1" wp14:anchorId="248CC989" wp14:editId="481C5CF1">
                <wp:simplePos x="0" y="0"/>
                <wp:positionH relativeFrom="column">
                  <wp:posOffset>483870</wp:posOffset>
                </wp:positionH>
                <wp:positionV relativeFrom="paragraph">
                  <wp:posOffset>43815</wp:posOffset>
                </wp:positionV>
                <wp:extent cx="721360" cy="1369060"/>
                <wp:effectExtent l="0" t="0" r="4445" b="0"/>
                <wp:wrapNone/>
                <wp:docPr id="195174302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38480806" name="Rectangle 71"/>
                        <wps:cNvSpPr>
                          <a:spLocks noChangeArrowheads="1"/>
                        </wps:cNvSpPr>
                        <wps:spPr bwMode="auto">
                          <a:xfrm>
                            <a:off x="174615" y="60958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EED02" w14:textId="77777777" w:rsidR="00422B96" w:rsidRPr="00B074A0" w:rsidRDefault="00422B96" w:rsidP="00422B96">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402923827" name="Rectangle 72"/>
                        <wps:cNvSpPr>
                          <a:spLocks noChangeArrowheads="1"/>
                        </wps:cNvSpPr>
                        <wps:spPr bwMode="auto">
                          <a:xfrm>
                            <a:off x="101608"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C6D48" w14:textId="77777777" w:rsidR="00422B96" w:rsidRDefault="00422B96" w:rsidP="00422B96">
                              <w:r>
                                <w:rPr>
                                  <w:rFonts w:ascii="Symbol" w:hAnsi="Symbol" w:cs="Symbol"/>
                                  <w:color w:val="000000"/>
                                </w:rPr>
                                <w:t></w:t>
                              </w:r>
                            </w:p>
                          </w:txbxContent>
                        </wps:txbx>
                        <wps:bodyPr rot="0" vert="horz" wrap="none" lIns="0" tIns="0" rIns="0" bIns="0" anchor="t" anchorCtr="0" upright="1">
                          <a:spAutoFit/>
                        </wps:bodyPr>
                      </wps:wsp>
                      <wps:wsp>
                        <wps:cNvPr id="363731153" name="Rectangle 73"/>
                        <wps:cNvSpPr>
                          <a:spLocks noChangeArrowheads="1"/>
                        </wps:cNvSpPr>
                        <wps:spPr bwMode="auto">
                          <a:xfrm>
                            <a:off x="35603" y="424188"/>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2C4AE" w14:textId="77777777" w:rsidR="00422B96" w:rsidRPr="00B34B0A" w:rsidRDefault="00422B96" w:rsidP="00422B96">
                              <w:pPr>
                                <w:rPr>
                                  <w:b/>
                                </w:rPr>
                              </w:pPr>
                              <w:r w:rsidRPr="00B34B0A">
                                <w:rPr>
                                  <w:b/>
                                  <w:i/>
                                  <w:iCs/>
                                  <w:color w:val="000000"/>
                                </w:rPr>
                                <w:t>resources</w:t>
                              </w:r>
                            </w:p>
                          </w:txbxContent>
                        </wps:txbx>
                        <wps:bodyPr rot="0" vert="horz" wrap="none" lIns="0" tIns="0" rIns="0" bIns="0" anchor="t" anchorCtr="0" upright="1">
                          <a:spAutoFit/>
                        </wps:bodyPr>
                      </wps:wsp>
                      <wps:wsp>
                        <wps:cNvPr id="151755300" name="Rectangle 74"/>
                        <wps:cNvSpPr>
                          <a:spLocks noChangeArrowheads="1"/>
                        </wps:cNvSpPr>
                        <wps:spPr bwMode="auto">
                          <a:xfrm>
                            <a:off x="31703" y="290192"/>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278BF" w14:textId="77777777" w:rsidR="00422B96" w:rsidRPr="00B34B0A" w:rsidRDefault="00422B96" w:rsidP="00422B96">
                              <w:pPr>
                                <w:rPr>
                                  <w:b/>
                                </w:rPr>
                              </w:pPr>
                              <w:r w:rsidRPr="00B34B0A">
                                <w:rPr>
                                  <w:b/>
                                  <w:i/>
                                  <w:iCs/>
                                  <w:color w:val="000000"/>
                                </w:rPr>
                                <w:t>load</w:t>
                              </w:r>
                            </w:p>
                          </w:txbxContent>
                        </wps:txbx>
                        <wps:bodyPr rot="0" vert="horz" wrap="none" lIns="0" tIns="0" rIns="0" bIns="0" anchor="t" anchorCtr="0" upright="1">
                          <a:spAutoFit/>
                        </wps:bodyPr>
                      </wps:wsp>
                      <wps:wsp>
                        <wps:cNvPr id="1308623711" name="Rectangle 75"/>
                        <wps:cNvSpPr>
                          <a:spLocks noChangeArrowheads="1"/>
                        </wps:cNvSpPr>
                        <wps:spPr bwMode="auto">
                          <a:xfrm>
                            <a:off x="33703" y="15619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0F212"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1175252101" name="Rectangle 76"/>
                        <wps:cNvSpPr>
                          <a:spLocks noChangeArrowheads="1"/>
                        </wps:cNvSpPr>
                        <wps:spPr bwMode="auto">
                          <a:xfrm>
                            <a:off x="45704" y="22199"/>
                            <a:ext cx="217818" cy="17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3E16" w14:textId="77777777" w:rsidR="00422B96" w:rsidRPr="00B34B0A" w:rsidRDefault="00422B96" w:rsidP="00422B96">
                              <w:pPr>
                                <w:rPr>
                                  <w:b/>
                                </w:rPr>
                              </w:pPr>
                              <w:r w:rsidRPr="00B34B0A">
                                <w:rPr>
                                  <w:b/>
                                  <w:i/>
                                  <w:iCs/>
                                  <w:color w:val="000000"/>
                                </w:rPr>
                                <w:t>All</w:t>
                              </w:r>
                            </w:p>
                          </w:txbxContent>
                        </wps:txbx>
                        <wps:bodyPr rot="0" vert="horz" wrap="square" lIns="0" tIns="0" rIns="0" bIns="0" anchor="t" anchorCtr="0" upright="1">
                          <a:spAutoFit/>
                        </wps:bodyPr>
                      </wps:wsp>
                      <wps:wsp>
                        <wps:cNvPr id="1561473625" name="Rectangle 77"/>
                        <wps:cNvSpPr>
                          <a:spLocks noChangeArrowheads="1"/>
                        </wps:cNvSpPr>
                        <wps:spPr bwMode="auto">
                          <a:xfrm>
                            <a:off x="62905" y="1153766"/>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0CB62" w14:textId="77777777" w:rsidR="00422B96" w:rsidRPr="00B34B0A" w:rsidRDefault="00422B96" w:rsidP="00422B96">
                              <w:pPr>
                                <w:rPr>
                                  <w:b/>
                                </w:rPr>
                              </w:pPr>
                              <w:r w:rsidRPr="00B34B0A">
                                <w:rPr>
                                  <w:b/>
                                  <w:i/>
                                  <w:iCs/>
                                  <w:color w:val="000000"/>
                                </w:rPr>
                                <w:t>resource</w:t>
                              </w:r>
                            </w:p>
                          </w:txbxContent>
                        </wps:txbx>
                        <wps:bodyPr rot="0" vert="horz" wrap="none" lIns="0" tIns="0" rIns="0" bIns="0" anchor="t" anchorCtr="0" upright="1">
                          <a:spAutoFit/>
                        </wps:bodyPr>
                      </wps:wsp>
                      <wps:wsp>
                        <wps:cNvPr id="1542182213" name="Rectangle 78"/>
                        <wps:cNvSpPr>
                          <a:spLocks noChangeArrowheads="1"/>
                        </wps:cNvSpPr>
                        <wps:spPr bwMode="auto">
                          <a:xfrm>
                            <a:off x="58405" y="10197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3548D" w14:textId="77777777" w:rsidR="00422B96" w:rsidRPr="00B34B0A" w:rsidRDefault="00422B96" w:rsidP="00422B96">
                              <w:pPr>
                                <w:rPr>
                                  <w:b/>
                                </w:rPr>
                              </w:pPr>
                              <w:r w:rsidRPr="00B34B0A">
                                <w:rPr>
                                  <w:b/>
                                  <w:i/>
                                  <w:iCs/>
                                  <w:color w:val="000000"/>
                                </w:rPr>
                                <w:t>load</w:t>
                              </w:r>
                            </w:p>
                          </w:txbxContent>
                        </wps:txbx>
                        <wps:bodyPr rot="0" vert="horz" wrap="none" lIns="0" tIns="0" rIns="0" bIns="0" anchor="t" anchorCtr="0" upright="1">
                          <a:spAutoFit/>
                        </wps:bodyPr>
                      </wps:wsp>
                      <wps:wsp>
                        <wps:cNvPr id="1788771919" name="Rectangle 79"/>
                        <wps:cNvSpPr>
                          <a:spLocks noChangeArrowheads="1"/>
                        </wps:cNvSpPr>
                        <wps:spPr bwMode="auto">
                          <a:xfrm>
                            <a:off x="174615"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DCD70"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392032421" name="Rectangle 80"/>
                        <wps:cNvSpPr>
                          <a:spLocks noChangeArrowheads="1"/>
                        </wps:cNvSpPr>
                        <wps:spPr bwMode="auto">
                          <a:xfrm>
                            <a:off x="58405"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BC707" w14:textId="77777777" w:rsidR="00422B96" w:rsidRPr="00B34B0A" w:rsidRDefault="00422B96" w:rsidP="00422B96">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248CC989" id="Canvas 102" o:spid="_x0000_s1129" editas="canvas" style="position:absolute;left:0;text-align:left;margin-left:38.1pt;margin-top:3.45pt;width:56.8pt;height:107.8pt;z-index:251701248" coordsize="721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1N/pAMAAC4YAAAOAAAAZHJzL2Uyb0RvYy54bWzsmFGPnDYQgN8r5T9Yfs8tNmAbdFwUXXRV&#10;pbSNmvYHeMEsKICpzR17/fUdexf29m4forTiVtm87Bpjhpnx55lhrt9t2wY9KGNr3WWYXAUYqS7X&#10;Rd1tMvzXn3dvBUZ2kF0hG92pDD8qi9/dvPnpeuxTRXWlm0IZBEI6m459hqth6NPVyuaVaqW90r3q&#10;4GapTSsHuDSbVWHkCNLbZkWDgK1GbYre6FxZC7MfdjfxjZdflioffi9LqwbUZBh0G/yv8b9r97u6&#10;uZbpxsi+qvO9GvIbtGhl3cFLZ1Ef5CDRvalfiGrr3Giry+Eq1+1Kl2WdK28DWEOCZ9bcyu5BWm9M&#10;Dt6ZFITR/yh3vXF6d/qubhrwxgqkp27O/Y+wPwomxx52x/bzPtn/9v7PleyVN8um+W8PnwyqC4CH&#10;hSISgQgYRp1sAZY/YPtkt2kU4sTtlFMD1n/uPxmns+0/6vyLRZ2+rWCZem+MHislC1DPrwdbnjzg&#10;Liw8itbjr7oA8fJ+0H7TtqVpnUDYDrSFZ3nESIzRY4ZZkMSC7ihR2wHl7nYUR+52DvdpJBLqKVrJ&#10;dBLTGzv8rHSL3CDDBqzwr5EPH+3gXCzTacmR62XadEcTsNDNeDOc5jsPDNv11jss9oo5s9a6eATD&#10;jN7xDecRBpU2/2A0AtsZ7uDwYdT80oFr3DGYBmYarKeB7HJ4MMMDRrvh7bA7Lve9qTcVyCXeGNu/&#10;B/fd1d6ggw57bQGWpaiJAprQUFB+gprZQUtQExAWQLQDKgQnhMfH1AhQETzvoCGCseTVoAmnk3TB&#10;0IQs5CEhcXiCmdk/CzATxiwAHYCJiEZEiGNkWEDCaB9ogCfKXo2Z6AczmMSwB3EYwCF+kZ1m/yzB&#10;DOF7ZmgSkORZcqIQes6DGR//DonhMpNTGAhGQ9iTE9DMDloCmnCChsSMJM9yU5iIM4GG/Qg02NUO&#10;NKYkOAXN7KAFoIliHkQ+O1FKkuQ4OVHCBYFyxxc0PN4z9RpVMP9qZuzf99J8r3UwnOuIh4xCwfAi&#10;P80uWoAaBmkJdHB1LhRYnHliZTp9PcURhQUzN69Y1Phq69ITFGwHEXC8T1XCs4MWoCYW0UQNFDWc&#10;7zszEzXnU9b4MHjp1HAhOCcJSU7EmtlBC1DzpFMjRCy4r8MPseZs6prdl9uFUxNCpyykEG9eQiP8&#10;cXf+WQCaQ6g5xUxE47P4fmJzx/M8+zS+Tww9Yt/O3DfQXdf76bVvBh7a/Df/AgAA//8DAFBLAwQU&#10;AAYACAAAACEAORVY194AAAAIAQAADwAAAGRycy9kb3ducmV2LnhtbEyPQUvDQBSE74L/YXmCN7tx&#10;wdjGbEoR4iHEg20Rj9vkmQ1m34bsto3/3teTPQ4zzHyTr2c3iBNOofek4XGRgEBqfNtTp2G/Kx+W&#10;IEI01JrBE2r4xQDr4vYmN1nrz/SBp23sBJdQyIwGG+OYSRkai86EhR+R2Pv2kzOR5dTJdjJnLneD&#10;VEmSSmd64gVrRny12Pxsj45H3uuqlru3UJXh09abyu9V+aX1/d28eQERcY7/YbjgMzoUzHTwR2qD&#10;GDQ8p4qTGtIViIu9XPGTgwal1BPIIpfXB4o/AAAA//8DAFBLAQItABQABgAIAAAAIQC2gziS/gAA&#10;AOEBAAATAAAAAAAAAAAAAAAAAAAAAABbQ29udGVudF9UeXBlc10ueG1sUEsBAi0AFAAGAAgAAAAh&#10;ADj9If/WAAAAlAEAAAsAAAAAAAAAAAAAAAAALwEAAF9yZWxzLy5yZWxzUEsBAi0AFAAGAAgAAAAh&#10;ANxjU3+kAwAALhgAAA4AAAAAAAAAAAAAAAAALgIAAGRycy9lMm9Eb2MueG1sUEsBAi0AFAAGAAgA&#10;AAAhADkVWNfeAAAACAEAAA8AAAAAAAAAAAAAAAAA/gUAAGRycy9kb3ducmV2LnhtbFBLBQYAAAAA&#10;BAAEAPMAAAAJBwAAAAA=&#10;">
                <v:shape id="_x0000_s1130" type="#_x0000_t75" style="position:absolute;width:7213;height:13690;visibility:visible;mso-wrap-style:square">
                  <v:fill o:detectmouseclick="t"/>
                  <v:path o:connecttype="none"/>
                </v:shape>
                <v:rect id="Rectangle 71" o:spid="_x0000_s1131" style="position:absolute;left:1746;top:6095;width:1454;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rCxAAAAOMAAAAPAAAAZHJzL2Rvd25yZXYueG1sRE/NSgMx&#10;EL4LvkMYwZtNbGUJa9MiQqEVL936AMNm9geTyZLE7vr2RhA8zvc/2/3inbhSTGNgA48rBYK4DXbk&#10;3sDH5fCgQaSMbNEFJgPflGC/u73ZYm3DzGe6NrkXJYRTjQaGnKdaytQO5DGtwkRcuC5Ej7mcsZc2&#10;4lzCvZNrpSrpceTSMOBErwO1n82XNyAvzWHWjYsqvK27d3c6njsKxtzfLS/PIDIt+V/85z7aMr/a&#10;6CettKrg96cCgNz9AAAA//8DAFBLAQItABQABgAIAAAAIQDb4fbL7gAAAIUBAAATAAAAAAAAAAAA&#10;AAAAAAAAAABbQ29udGVudF9UeXBlc10ueG1sUEsBAi0AFAAGAAgAAAAhAFr0LFu/AAAAFQEAAAsA&#10;AAAAAAAAAAAAAAAAHwEAAF9yZWxzLy5yZWxzUEsBAi0AFAAGAAgAAAAhAJ+QKsLEAAAA4wAAAA8A&#10;AAAAAAAAAAAAAAAABwIAAGRycy9kb3ducmV2LnhtbFBLBQYAAAAAAwADALcAAAD4AgAAAAA=&#10;" filled="f" stroked="f">
                  <v:textbox style="mso-fit-shape-to-text:t" inset="0,0,0,0">
                    <w:txbxContent>
                      <w:p w14:paraId="2DEEED02" w14:textId="77777777" w:rsidR="00422B96" w:rsidRPr="00B074A0" w:rsidRDefault="00422B96" w:rsidP="00422B96">
                        <w:pPr>
                          <w:rPr>
                            <w:sz w:val="32"/>
                            <w:szCs w:val="32"/>
                          </w:rPr>
                        </w:pPr>
                        <w:r w:rsidRPr="00B074A0">
                          <w:rPr>
                            <w:rFonts w:ascii="Symbol" w:hAnsi="Symbol" w:cs="Symbol"/>
                            <w:color w:val="000000"/>
                            <w:sz w:val="32"/>
                            <w:szCs w:val="32"/>
                          </w:rPr>
                          <w:t></w:t>
                        </w:r>
                      </w:p>
                    </w:txbxContent>
                  </v:textbox>
                </v:rect>
                <v:rect id="Rectangle 72" o:spid="_x0000_s1132"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761xQAAAOMAAAAPAAAAZHJzL2Rvd25yZXYueG1sRE/NSgMx&#10;EL4LvkMYwZtNjGLXtWkRoVDFS7c+wLCZ/cFksiSxu769EQSP8/3PZrd4J84U0xjYwO1KgSBugx25&#10;N/Bx2t9UIFJGtugCk4FvSrDbXl5ssLZh5iOdm9yLEsKpRgNDzlMtZWoH8phWYSIuXBeix1zO2Esb&#10;cS7h3kmt1IP0OHJpGHCil4Haz+bLG5CnZj9XjYsqvOnu3b0ejh0FY66vlucnEJmW/C/+cx9smX+v&#10;9KO+q/Qafn8qAMjtDwAAAP//AwBQSwECLQAUAAYACAAAACEA2+H2y+4AAACFAQAAEwAAAAAAAAAA&#10;AAAAAAAAAAAAW0NvbnRlbnRfVHlwZXNdLnhtbFBLAQItABQABgAIAAAAIQBa9CxbvwAAABUBAAAL&#10;AAAAAAAAAAAAAAAAAB8BAABfcmVscy8ucmVsc1BLAQItABQABgAIAAAAIQBWL761xQAAAOMAAAAP&#10;AAAAAAAAAAAAAAAAAAcCAABkcnMvZG93bnJldi54bWxQSwUGAAAAAAMAAwC3AAAA+QIAAAAA&#10;" filled="f" stroked="f">
                  <v:textbox style="mso-fit-shape-to-text:t" inset="0,0,0,0">
                    <w:txbxContent>
                      <w:p w14:paraId="2B4C6D48" w14:textId="77777777" w:rsidR="00422B96" w:rsidRDefault="00422B96" w:rsidP="00422B96">
                        <w:r>
                          <w:rPr>
                            <w:rFonts w:ascii="Symbol" w:hAnsi="Symbol" w:cs="Symbol"/>
                            <w:color w:val="000000"/>
                          </w:rPr>
                          <w:t></w:t>
                        </w:r>
                      </w:p>
                    </w:txbxContent>
                  </v:textbox>
                </v:rect>
                <v:rect id="Rectangle 73" o:spid="_x0000_s1133" style="position:absolute;left:356;top:4241;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cwMyAAAAOIAAAAPAAAAZHJzL2Rvd25yZXYueG1sRI/dagIx&#10;FITvC32HcATvanZdqrI1SikIWnrj2gc4bM7+YHKyJKm7vr0pFHo5zMw3zHY/WSNu5EPvWEG+yEAQ&#10;10733Cr4vhxeNiBCRNZoHJOCOwXY756ftlhqN/KZblVsRYJwKFFBF+NQShnqjiyGhRuIk9c4bzEm&#10;6VupPY4Jbo1cZtlKWuw5LXQ40EdH9bX6sQrkpTqMm8r4zH0umy9zOp4bckrNZ9P7G4hIU/wP/7WP&#10;WkGxKtZFnr8W8Hsp3QG5ewAAAP//AwBQSwECLQAUAAYACAAAACEA2+H2y+4AAACFAQAAEwAAAAAA&#10;AAAAAAAAAAAAAAAAW0NvbnRlbnRfVHlwZXNdLnhtbFBLAQItABQABgAIAAAAIQBa9CxbvwAAABUB&#10;AAALAAAAAAAAAAAAAAAAAB8BAABfcmVscy8ucmVsc1BLAQItABQABgAIAAAAIQASecwMyAAAAOIA&#10;AAAPAAAAAAAAAAAAAAAAAAcCAABkcnMvZG93bnJldi54bWxQSwUGAAAAAAMAAwC3AAAA/AIAAAAA&#10;" filled="f" stroked="f">
                  <v:textbox style="mso-fit-shape-to-text:t" inset="0,0,0,0">
                    <w:txbxContent>
                      <w:p w14:paraId="2F42C4AE" w14:textId="77777777" w:rsidR="00422B96" w:rsidRPr="00B34B0A" w:rsidRDefault="00422B96" w:rsidP="00422B96">
                        <w:pPr>
                          <w:rPr>
                            <w:b/>
                          </w:rPr>
                        </w:pPr>
                        <w:r w:rsidRPr="00B34B0A">
                          <w:rPr>
                            <w:b/>
                            <w:i/>
                            <w:iCs/>
                            <w:color w:val="000000"/>
                          </w:rPr>
                          <w:t>resources</w:t>
                        </w:r>
                      </w:p>
                    </w:txbxContent>
                  </v:textbox>
                </v:rect>
                <v:rect id="Rectangle 74" o:spid="_x0000_s1134" style="position:absolute;left:317;top:2901;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7IyxAAAAOIAAAAPAAAAZHJzL2Rvd25yZXYueG1sRE/LagIx&#10;FN0X+g/hCu5qojJVpkYpBcGWbhz7AZfJnQfmMSSpM/69d1Ho8nDeu8PkrLhRTH3wGpYLBYJ8HUzv&#10;Ww0/l+PLFkTK6A3a4EnDnRIc9s9POyxNGP2ZblVuBYf4VKKGLuehlDLVHTlMizCQZ64J0WFmGFtp&#10;Io4c7qxcKfUqHfaeGzoc6KOj+lr9Og3yUh3HbWWjCl+r5tt+ns4NBa3ns+n9DUSmKf+L/9wnw/OL&#10;5aYo1opP8CXGIPcPAAAA//8DAFBLAQItABQABgAIAAAAIQDb4fbL7gAAAIUBAAATAAAAAAAAAAAA&#10;AAAAAAAAAABbQ29udGVudF9UeXBlc10ueG1sUEsBAi0AFAAGAAgAAAAhAFr0LFu/AAAAFQEAAAsA&#10;AAAAAAAAAAAAAAAAHwEAAF9yZWxzLy5yZWxzUEsBAi0AFAAGAAgAAAAhAH1LsjLEAAAA4gAAAA8A&#10;AAAAAAAAAAAAAAAABwIAAGRycy9kb3ducmV2LnhtbFBLBQYAAAAAAwADALcAAAD4AgAAAAA=&#10;" filled="f" stroked="f">
                  <v:textbox style="mso-fit-shape-to-text:t" inset="0,0,0,0">
                    <w:txbxContent>
                      <w:p w14:paraId="5CB278BF" w14:textId="77777777" w:rsidR="00422B96" w:rsidRPr="00B34B0A" w:rsidRDefault="00422B96" w:rsidP="00422B96">
                        <w:pPr>
                          <w:rPr>
                            <w:b/>
                          </w:rPr>
                        </w:pPr>
                        <w:r w:rsidRPr="00B34B0A">
                          <w:rPr>
                            <w:b/>
                            <w:i/>
                            <w:iCs/>
                            <w:color w:val="000000"/>
                          </w:rPr>
                          <w:t>load</w:t>
                        </w:r>
                      </w:p>
                    </w:txbxContent>
                  </v:textbox>
                </v:rect>
                <v:rect id="Rectangle 75" o:spid="_x0000_s1135" style="position:absolute;left:337;top:1561;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6ExQAAAOMAAAAPAAAAZHJzL2Rvd25yZXYueG1sRE/NSgMx&#10;EL4LvkMYwZtNdgt1WZsWEQqteOnWBxg2sz+YTJYkdrdvbwTB43z/s90vzoorhTh61lCsFAji1puR&#10;ew2fl8NTBSImZIPWM2m4UYT97v5ui7XxM5/p2qRe5BCONWoYUppqKWM7kMO48hNx5jofHKZ8hl6a&#10;gHMOd1aWSm2kw5Fzw4ATvQ3UfjXfToO8NIe5amxQ/r3sPuzpeO7Ia/34sLy+gEi0pH/xn/to8vy1&#10;qjbl+rko4PenDIDc/QAAAP//AwBQSwECLQAUAAYACAAAACEA2+H2y+4AAACFAQAAEwAAAAAAAAAA&#10;AAAAAAAAAAAAW0NvbnRlbnRfVHlwZXNdLnhtbFBLAQItABQABgAIAAAAIQBa9CxbvwAAABUBAAAL&#10;AAAAAAAAAAAAAAAAAB8BAABfcmVscy8ucmVsc1BLAQItABQABgAIAAAAIQBHAp6ExQAAAOMAAAAP&#10;AAAAAAAAAAAAAAAAAAcCAABkcnMvZG93bnJldi54bWxQSwUGAAAAAAMAAwC3AAAA+QIAAAAA&#10;" filled="f" stroked="f">
                  <v:textbox style="mso-fit-shape-to-text:t" inset="0,0,0,0">
                    <w:txbxContent>
                      <w:p w14:paraId="33A0F212" w14:textId="77777777" w:rsidR="00422B96" w:rsidRPr="00B34B0A" w:rsidRDefault="00422B96" w:rsidP="00422B96">
                        <w:pPr>
                          <w:rPr>
                            <w:b/>
                          </w:rPr>
                        </w:pPr>
                        <w:r w:rsidRPr="00B34B0A">
                          <w:rPr>
                            <w:b/>
                            <w:i/>
                            <w:iCs/>
                            <w:color w:val="000000"/>
                          </w:rPr>
                          <w:t>online</w:t>
                        </w:r>
                      </w:p>
                    </w:txbxContent>
                  </v:textbox>
                </v:rect>
                <v:rect id="Rectangle 76" o:spid="_x0000_s1136" style="position:absolute;left:457;top:221;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Zp5yQAAAOMAAAAPAAAAZHJzL2Rvd25yZXYueG1sRE/NasJA&#10;EL4X+g7LCL2UuknAalNXKYLQgyDGHtrbkJ1mU7OzIbua6NO7QsHjfP8zXw62ESfqfO1YQTpOQBCX&#10;TtdcKfjar19mIHxA1tg4JgVn8rBcPD7MMdeu5x2dilCJGMI+RwUmhDaX0peGLPqxa4kj9+s6iyGe&#10;XSV1h30Mt43MkuRVWqw5NhhsaWWoPBRHq2C9/a6JL3L3/Dbr3V+Z/RRm0yr1NBo+3kEEGsJd/O/+&#10;1HF+Op1kkyxNUrj9FAGQiysAAAD//wMAUEsBAi0AFAAGAAgAAAAhANvh9svuAAAAhQEAABMAAAAA&#10;AAAAAAAAAAAAAAAAAFtDb250ZW50X1R5cGVzXS54bWxQSwECLQAUAAYACAAAACEAWvQsW78AAAAV&#10;AQAACwAAAAAAAAAAAAAAAAAfAQAAX3JlbHMvLnJlbHNQSwECLQAUAAYACAAAACEAvN2aeckAAADj&#10;AAAADwAAAAAAAAAAAAAAAAAHAgAAZHJzL2Rvd25yZXYueG1sUEsFBgAAAAADAAMAtwAAAP0CAAAA&#10;AA==&#10;" filled="f" stroked="f">
                  <v:textbox style="mso-fit-shape-to-text:t" inset="0,0,0,0">
                    <w:txbxContent>
                      <w:p w14:paraId="281E3E16" w14:textId="77777777" w:rsidR="00422B96" w:rsidRPr="00B34B0A" w:rsidRDefault="00422B96" w:rsidP="00422B96">
                        <w:pPr>
                          <w:rPr>
                            <w:b/>
                          </w:rPr>
                        </w:pPr>
                        <w:r w:rsidRPr="00B34B0A">
                          <w:rPr>
                            <w:b/>
                            <w:i/>
                            <w:iCs/>
                            <w:color w:val="000000"/>
                          </w:rPr>
                          <w:t>All</w:t>
                        </w:r>
                      </w:p>
                    </w:txbxContent>
                  </v:textbox>
                </v:rect>
                <v:rect id="Rectangle 77" o:spid="_x0000_s1137" style="position:absolute;left:629;top:11537;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8ToxgAAAOMAAAAPAAAAZHJzL2Rvd25yZXYueG1sRE/NagIx&#10;EL4XfIcwgreadVu3shqlFARbenHtAwyb2R9MJkuSuuvbN4VCj/P9z+4wWSNu5EPvWMFqmYEgrp3u&#10;uVXwdTk+bkCEiKzROCYFdwpw2M8edlhqN/KZblVsRQrhUKKCLsahlDLUHVkMSzcQJ65x3mJMp2+l&#10;9jimcGtknmWFtNhzauhwoLeO6mv1bRXIS3UcN5XxmfvIm0/zfjo35JRazKfXLYhIU/wX/7lPOs1f&#10;F6vnl6ciX8PvTwkAuf8BAAD//wMAUEsBAi0AFAAGAAgAAAAhANvh9svuAAAAhQEAABMAAAAAAAAA&#10;AAAAAAAAAAAAAFtDb250ZW50X1R5cGVzXS54bWxQSwECLQAUAAYACAAAACEAWvQsW78AAAAVAQAA&#10;CwAAAAAAAAAAAAAAAAAfAQAAX3JlbHMvLnJlbHNQSwECLQAUAAYACAAAACEAenfE6MYAAADjAAAA&#10;DwAAAAAAAAAAAAAAAAAHAgAAZHJzL2Rvd25yZXYueG1sUEsFBgAAAAADAAMAtwAAAPoCAAAAAA==&#10;" filled="f" stroked="f">
                  <v:textbox style="mso-fit-shape-to-text:t" inset="0,0,0,0">
                    <w:txbxContent>
                      <w:p w14:paraId="66F0CB62" w14:textId="77777777" w:rsidR="00422B96" w:rsidRPr="00B34B0A" w:rsidRDefault="00422B96" w:rsidP="00422B96">
                        <w:pPr>
                          <w:rPr>
                            <w:b/>
                          </w:rPr>
                        </w:pPr>
                        <w:r w:rsidRPr="00B34B0A">
                          <w:rPr>
                            <w:b/>
                            <w:i/>
                            <w:iCs/>
                            <w:color w:val="000000"/>
                          </w:rPr>
                          <w:t>resource</w:t>
                        </w:r>
                      </w:p>
                    </w:txbxContent>
                  </v:textbox>
                </v:rect>
                <v:rect id="Rectangle 78" o:spid="_x0000_s1138" style="position:absolute;left:584;top:10197;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hL+xQAAAOMAAAAPAAAAZHJzL2Rvd25yZXYueG1sRE/NSgMx&#10;EL4LvkOYgjeb3ahlWZsWEQpVvHTrAwyb2R+aTJYkdte3N4Lgcb7/2e4XZ8WVQhw9ayjXBQji1puR&#10;ew2f58N9BSImZIPWM2n4pgj73e3NFmvjZz7RtUm9yCEca9QwpDTVUsZ2IIdx7SfizHU+OEz5DL00&#10;Aecc7qxURbGRDkfODQNO9DpQe2m+nAZ5bg5z1dhQ+HfVfdi346kjr/Xdanl5BpFoSf/iP/fR5PlP&#10;j6qslCof4PenDIDc/QAAAP//AwBQSwECLQAUAAYACAAAACEA2+H2y+4AAACFAQAAEwAAAAAAAAAA&#10;AAAAAAAAAAAAW0NvbnRlbnRfVHlwZXNdLnhtbFBLAQItABQABgAIAAAAIQBa9CxbvwAAABUBAAAL&#10;AAAAAAAAAAAAAAAAAB8BAABfcmVscy8ucmVsc1BLAQItABQABgAIAAAAIQCCuhL+xQAAAOMAAAAP&#10;AAAAAAAAAAAAAAAAAAcCAABkcnMvZG93bnJldi54bWxQSwUGAAAAAAMAAwC3AAAA+QIAAAAA&#10;" filled="f" stroked="f">
                  <v:textbox style="mso-fit-shape-to-text:t" inset="0,0,0,0">
                    <w:txbxContent>
                      <w:p w14:paraId="1A23548D" w14:textId="77777777" w:rsidR="00422B96" w:rsidRPr="00B34B0A" w:rsidRDefault="00422B96" w:rsidP="00422B96">
                        <w:pPr>
                          <w:rPr>
                            <w:b/>
                          </w:rPr>
                        </w:pPr>
                        <w:r w:rsidRPr="00B34B0A">
                          <w:rPr>
                            <w:b/>
                            <w:i/>
                            <w:iCs/>
                            <w:color w:val="000000"/>
                          </w:rPr>
                          <w:t>load</w:t>
                        </w:r>
                      </w:p>
                    </w:txbxContent>
                  </v:textbox>
                </v:rect>
                <v:rect id="Rectangle 79" o:spid="_x0000_s1139"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xbxgAAAOMAAAAPAAAAZHJzL2Rvd25yZXYueG1sRE9LasMw&#10;EN0Xegcxhewa2VnEjhslhEIgKd3E6QEGa/wh0shIauzcvioUupz3n+1+tkbcyYfBsYJ8mYEgbpwe&#10;uFPwdT2+liBCRNZoHJOCBwXY756ftlhpN/GF7nXsRArhUKGCPsaxkjI0PVkMSzcSJ6513mJMp++k&#10;9jilcGvkKsvW0uLAqaHHkd57am71t1Ugr/VxKmvjM/exaj/N+XRpySm1eJkPbyAizfFf/Oc+6TS/&#10;KMuiyDf5Bn5/SgDI3Q8AAAD//wMAUEsBAi0AFAAGAAgAAAAhANvh9svuAAAAhQEAABMAAAAAAAAA&#10;AAAAAAAAAAAAAFtDb250ZW50X1R5cGVzXS54bWxQSwECLQAUAAYACAAAACEAWvQsW78AAAAVAQAA&#10;CwAAAAAAAAAAAAAAAAAfAQAAX3JlbHMvLnJlbHNQSwECLQAUAAYACAAAACEAIXA8W8YAAADjAAAA&#10;DwAAAAAAAAAAAAAAAAAHAgAAZHJzL2Rvd25yZXYueG1sUEsFBgAAAAADAAMAtwAAAPoCAAAAAA==&#10;" filled="f" stroked="f">
                  <v:textbox style="mso-fit-shape-to-text:t" inset="0,0,0,0">
                    <w:txbxContent>
                      <w:p w14:paraId="43FDCD70" w14:textId="77777777" w:rsidR="00422B96" w:rsidRPr="00B34B0A" w:rsidRDefault="00422B96" w:rsidP="00422B96">
                        <w:pPr>
                          <w:rPr>
                            <w:b/>
                          </w:rPr>
                        </w:pPr>
                        <w:r w:rsidRPr="00B34B0A">
                          <w:rPr>
                            <w:b/>
                            <w:i/>
                            <w:iCs/>
                            <w:color w:val="000000"/>
                          </w:rPr>
                          <w:t>online</w:t>
                        </w:r>
                      </w:p>
                    </w:txbxContent>
                  </v:textbox>
                </v:rect>
                <v:rect id="Rectangle 80" o:spid="_x0000_s1140"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QWExwAAAOIAAAAPAAAAZHJzL2Rvd25yZXYueG1sRI/dSgMx&#10;FITvhb5DOAXvbNJUpK5NiwiFKt506wMcNmd/MDlZkthd394IgpfDzHzD7A6zd+JKMQ2BDaxXCgRx&#10;E+zAnYGPy/FuCyJlZIsuMBn4pgSH/eJmh5UNE5/pWudOFAinCg30OY+VlKnpyWNahZG4eG2IHnOR&#10;sZM24lTg3kmt1IP0OHBZ6HGkl56az/rLG5CX+jhtaxdVeNPtu3s9nVsKxtwu5+cnEJnm/B/+a5+s&#10;gc2jVht9r9fwe6ncAbn/AQAA//8DAFBLAQItABQABgAIAAAAIQDb4fbL7gAAAIUBAAATAAAAAAAA&#10;AAAAAAAAAAAAAABbQ29udGVudF9UeXBlc10ueG1sUEsBAi0AFAAGAAgAAAAhAFr0LFu/AAAAFQEA&#10;AAsAAAAAAAAAAAAAAAAAHwEAAF9yZWxzLy5yZWxzUEsBAi0AFAAGAAgAAAAhAKW5BYTHAAAA4gAA&#10;AA8AAAAAAAAAAAAAAAAABwIAAGRycy9kb3ducmV2LnhtbFBLBQYAAAAAAwADALcAAAD7AgAAAAA=&#10;" filled="f" stroked="f">
                  <v:textbox style="mso-fit-shape-to-text:t" inset="0,0,0,0">
                    <w:txbxContent>
                      <w:p w14:paraId="125BC707" w14:textId="77777777" w:rsidR="00422B96" w:rsidRPr="00B34B0A" w:rsidRDefault="00422B96" w:rsidP="00422B96">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4</w:t>
      </w:r>
      <w:r w:rsidRPr="0013396E">
        <w:rPr>
          <w:b/>
          <w:position w:val="30"/>
          <w:sz w:val="20"/>
        </w:rPr>
        <w:t xml:space="preserve"> =</w:t>
      </w:r>
      <w:r w:rsidRPr="0013396E">
        <w:rPr>
          <w:b/>
          <w:position w:val="30"/>
          <w:sz w:val="20"/>
        </w:rPr>
        <w:tab/>
        <w:t xml:space="preserve">(Min(Max((Actual Net Telemetered Consumption – LPC), 0.0), ECRS and RRS Ancillary Service Resource award * 1.5) from all Load Resources controlled by </w:t>
      </w:r>
      <w:r w:rsidRPr="0013396E">
        <w:rPr>
          <w:b/>
          <w:position w:val="30"/>
          <w:sz w:val="20"/>
        </w:rPr>
        <w:lastRenderedPageBreak/>
        <w:t>high-set under-frequency relays with an ECRS and/or RRS Ancillary Service Resource award)</w:t>
      </w:r>
      <w:r w:rsidRPr="0013396E">
        <w:rPr>
          <w:b/>
          <w:position w:val="30"/>
          <w:sz w:val="20"/>
          <w:vertAlign w:val="subscript"/>
        </w:rPr>
        <w:t>i</w:t>
      </w:r>
    </w:p>
    <w:p w14:paraId="2C3B9F7C" w14:textId="735DF8A6" w:rsidR="00422B96" w:rsidRPr="0013396E" w:rsidRDefault="00422B96" w:rsidP="00422B96">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702272" behindDoc="0" locked="0" layoutInCell="1" allowOverlap="1" wp14:anchorId="03267108" wp14:editId="74CAED76">
                <wp:simplePos x="0" y="0"/>
                <wp:positionH relativeFrom="column">
                  <wp:posOffset>494072</wp:posOffset>
                </wp:positionH>
                <wp:positionV relativeFrom="paragraph">
                  <wp:posOffset>31363</wp:posOffset>
                </wp:positionV>
                <wp:extent cx="737235" cy="1360805"/>
                <wp:effectExtent l="0" t="0" r="0" b="1270"/>
                <wp:wrapNone/>
                <wp:docPr id="913524605"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19178592"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71D6C" w14:textId="77777777" w:rsidR="00422B96" w:rsidRPr="00B074A0" w:rsidRDefault="00422B96" w:rsidP="00422B96">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44626886"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4066C" w14:textId="77777777" w:rsidR="00422B96" w:rsidRDefault="00422B96" w:rsidP="00422B96">
                              <w:r>
                                <w:rPr>
                                  <w:rFonts w:ascii="Symbol" w:hAnsi="Symbol" w:cs="Symbol"/>
                                  <w:color w:val="000000"/>
                                </w:rPr>
                                <w:t></w:t>
                              </w:r>
                            </w:p>
                          </w:txbxContent>
                        </wps:txbx>
                        <wps:bodyPr rot="0" vert="horz" wrap="none" lIns="0" tIns="0" rIns="0" bIns="0" anchor="t" anchorCtr="0" upright="1">
                          <a:spAutoFit/>
                        </wps:bodyPr>
                      </wps:wsp>
                      <wps:wsp>
                        <wps:cNvPr id="428656824"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4B1FD" w14:textId="77777777" w:rsidR="00422B96" w:rsidRPr="00B34B0A" w:rsidRDefault="00422B96" w:rsidP="00422B96">
                              <w:pPr>
                                <w:rPr>
                                  <w:b/>
                                </w:rPr>
                              </w:pPr>
                              <w:r w:rsidRPr="00B34B0A">
                                <w:rPr>
                                  <w:b/>
                                  <w:i/>
                                  <w:iCs/>
                                  <w:color w:val="000000"/>
                                </w:rPr>
                                <w:t>resources</w:t>
                              </w:r>
                            </w:p>
                          </w:txbxContent>
                        </wps:txbx>
                        <wps:bodyPr rot="0" vert="horz" wrap="none" lIns="0" tIns="0" rIns="0" bIns="0" anchor="t" anchorCtr="0" upright="1">
                          <a:spAutoFit/>
                        </wps:bodyPr>
                      </wps:wsp>
                      <wps:wsp>
                        <wps:cNvPr id="974015477"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31381" w14:textId="77777777" w:rsidR="00422B96" w:rsidRPr="00B34B0A" w:rsidRDefault="00422B96" w:rsidP="00422B96">
                              <w:pPr>
                                <w:rPr>
                                  <w:b/>
                                </w:rPr>
                              </w:pPr>
                              <w:r w:rsidRPr="00B34B0A">
                                <w:rPr>
                                  <w:b/>
                                  <w:i/>
                                  <w:iCs/>
                                  <w:color w:val="000000"/>
                                </w:rPr>
                                <w:t>load</w:t>
                              </w:r>
                            </w:p>
                          </w:txbxContent>
                        </wps:txbx>
                        <wps:bodyPr rot="0" vert="horz" wrap="none" lIns="0" tIns="0" rIns="0" bIns="0" anchor="t" anchorCtr="0" upright="1">
                          <a:spAutoFit/>
                        </wps:bodyPr>
                      </wps:wsp>
                      <wps:wsp>
                        <wps:cNvPr id="562542409"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CCEA7"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1941510312"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C203C" w14:textId="77777777" w:rsidR="00422B96" w:rsidRPr="00B34B0A" w:rsidRDefault="00422B96" w:rsidP="00422B96">
                              <w:pPr>
                                <w:rPr>
                                  <w:b/>
                                </w:rPr>
                              </w:pPr>
                              <w:r w:rsidRPr="00B34B0A">
                                <w:rPr>
                                  <w:b/>
                                  <w:i/>
                                  <w:iCs/>
                                  <w:color w:val="000000"/>
                                </w:rPr>
                                <w:t>All</w:t>
                              </w:r>
                            </w:p>
                          </w:txbxContent>
                        </wps:txbx>
                        <wps:bodyPr rot="0" vert="horz" wrap="square" lIns="0" tIns="0" rIns="0" bIns="0" anchor="t" anchorCtr="0" upright="1">
                          <a:spAutoFit/>
                        </wps:bodyPr>
                      </wps:wsp>
                      <wps:wsp>
                        <wps:cNvPr id="1412072242"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CAAAF" w14:textId="77777777" w:rsidR="00422B96" w:rsidRPr="00B34B0A" w:rsidRDefault="00422B96" w:rsidP="00422B96">
                              <w:pPr>
                                <w:rPr>
                                  <w:b/>
                                </w:rPr>
                              </w:pPr>
                              <w:r w:rsidRPr="00B34B0A">
                                <w:rPr>
                                  <w:b/>
                                  <w:i/>
                                  <w:iCs/>
                                  <w:color w:val="000000"/>
                                </w:rPr>
                                <w:t>resource</w:t>
                              </w:r>
                            </w:p>
                          </w:txbxContent>
                        </wps:txbx>
                        <wps:bodyPr rot="0" vert="horz" wrap="none" lIns="0" tIns="0" rIns="0" bIns="0" anchor="t" anchorCtr="0" upright="1">
                          <a:spAutoFit/>
                        </wps:bodyPr>
                      </wps:wsp>
                      <wps:wsp>
                        <wps:cNvPr id="1539749912"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F43CB" w14:textId="77777777" w:rsidR="00422B96" w:rsidRPr="00B34B0A" w:rsidRDefault="00422B96" w:rsidP="00422B96">
                              <w:pPr>
                                <w:rPr>
                                  <w:b/>
                                </w:rPr>
                              </w:pPr>
                              <w:r w:rsidRPr="00B34B0A">
                                <w:rPr>
                                  <w:b/>
                                  <w:i/>
                                  <w:iCs/>
                                  <w:color w:val="000000"/>
                                </w:rPr>
                                <w:t>load</w:t>
                              </w:r>
                            </w:p>
                          </w:txbxContent>
                        </wps:txbx>
                        <wps:bodyPr rot="0" vert="horz" wrap="none" lIns="0" tIns="0" rIns="0" bIns="0" anchor="t" anchorCtr="0" upright="1">
                          <a:spAutoFit/>
                        </wps:bodyPr>
                      </wps:wsp>
                      <wps:wsp>
                        <wps:cNvPr id="339075041"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6CFC2"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1672351106"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FD7B7" w14:textId="77777777" w:rsidR="00422B96" w:rsidRPr="00B34B0A" w:rsidRDefault="00422B96" w:rsidP="00422B96">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3267108" id="Canvas 91" o:spid="_x0000_s1141" editas="canvas" style="position:absolute;left:0;text-align:left;margin-left:38.9pt;margin-top:2.45pt;width:58.05pt;height:107.15pt;z-index:251702272"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L6oAMAACsYAAAOAAAAZHJzL2Uyb0RvYy54bWzkmG1vpDYQgL9X6n+w+N6sbYwxKOR0yilV&#10;pWvv1Gt/gBfMggqY2iRs+us79i5sXpBO6gtZ3X4BY8wwYz8zHs/1u33boAdlbK27LCBXOECqy3VR&#10;d7ss+P23ux9EgOwgu0I2ulNZ8Khs8O7m+++uxz5VVFe6KZRBIKSz6dhnQTUMfbrZ2LxSrbRXulcd&#10;vCy1aeUAj2a3KYwcQXrbbCjGfDNqU/RG58pa6P1weBncePllqfLhU1laNaAmC0C3wV+Nv27ddXNz&#10;LdOdkX1V50c15D/QopV1Bz+dRX2Qg0T3pn4lqq1zo60uh6tctxtdlnWuvA1gDcEvrLmV3YO03pgc&#10;ZmdSEFr/odztzund6bu6aWA2NiA9dX3uPsL6KOgce1gd28/rZP/d/79UslfeLJvmvzx8NqguAJ6Y&#10;JCQWUUID1MkWYPkVlk92u0YhEbqVcmrA+C/9Z+N0tv1Hnf9hUadvKxim3hujx0rJAtQjbjzY8uQD&#10;92DhU7Qdf9YFiJf3g/aLti9N6wTCcqC9V4Rh4PYxC3jIE0wPlKj9gHL3mkWMRAHK4T1lIqGeoo1M&#10;JzG9scOPSrfINbLAgBX+N/Lhox2cWjKdhjybepk23bMOGOh6vBlO88MMDPvt3k8Y94o5s7a6eATD&#10;jD7wDf4IjUqbvwI0AttZ0IHzBaj5qYOpcW4wNczU2E4N2eXwYRYMATo0b4eDu9z3pt5VIJd4Y2z/&#10;HqbvrvYGnXQ4aguwrEQNY5xyIfgCM2xNZjDhGKAAJkRMKPa8ynRiRoQCMPHIEMGBKY/nGyAz+9El&#10;I0MFj7igbIGZaEVmwohDbHHIMMroyzDDMQnZMcyQOKL8zZiZ/eiCmUlihknE4niBGb4mMyQ+MkNh&#10;Y8J+mzuFGRoT2J2OceZNmZn96IKZiTiNwLNxssBMvCYz4cQMAZVeMhMm4kyYmf3ogpkhCeSWBIdk&#10;KQkWK0LDogkaSuGg5f78JM5Ank6mfAbizIGpt0iBZz/6KjP2z3tpvtEkmDBIOWMKWcRCqElWpIbD&#10;rhT6lIaQKBTYpw4nbiAcwoBz2J9mV/oqN9/u0QlWCNKaJFmKNYcTyrPz8/934I4Em6jBJHlFzflk&#10;NbMrXTA1YZjgOMKMvA41iU9HV4KGxIwfqzRCROLlifts0prY752nCslFVmkIj2kYEYIX6jRQ71uv&#10;tncKNUvQMEjYz+H4FM+OdJ6BxheJoUDsa5nH6rkreT999pXAU43/5m8AAAD//wMAUEsDBBQABgAI&#10;AAAAIQBKjpo83gAAAAgBAAAPAAAAZHJzL2Rvd25yZXYueG1sTI/BTsMwEETvSPyDtUjcqNOAKAlx&#10;qgopHKJwoK0QRzde4oh4HcVuG/6e7Qlus5rVzJtiPbtBnHAKvScFy0UCAqn1pqdOwX5X3T2BCFGT&#10;0YMnVPCDAdbl9VWhc+PP9I6nbewEh1DItQIb45hLGVqLToeFH5HY+/KT05HPqZNm0mcOd4NMk+RR&#10;Ot0TN1g94ovF9nt7dFzy1tSN3L2GugofttnUfp9Wn0rd3sybZxAR5/j3DBd8RoeSmQ7+SCaIQcFq&#10;xeRRwUMG4mJn9ywOCtJlloIsC/l/QPkLAAD//wMAUEsBAi0AFAAGAAgAAAAhALaDOJL+AAAA4QEA&#10;ABMAAAAAAAAAAAAAAAAAAAAAAFtDb250ZW50X1R5cGVzXS54bWxQSwECLQAUAAYACAAAACEAOP0h&#10;/9YAAACUAQAACwAAAAAAAAAAAAAAAAAvAQAAX3JlbHMvLnJlbHNQSwECLQAUAAYACAAAACEAnXSy&#10;+qADAAArGAAADgAAAAAAAAAAAAAAAAAuAgAAZHJzL2Uyb0RvYy54bWxQSwECLQAUAAYACAAAACEA&#10;So6aPN4AAAAIAQAADwAAAAAAAAAAAAAAAAD6BQAAZHJzL2Rvd25yZXYueG1sUEsFBgAAAAAEAAQA&#10;8wAAAAUHAAAAAA==&#10;">
                <v:shape id="_x0000_s1142" type="#_x0000_t75" style="position:absolute;width:7372;height:13608;visibility:visible;mso-wrap-style:square">
                  <v:fill o:detectmouseclick="t"/>
                  <v:path o:connecttype="none"/>
                </v:shape>
                <v:rect id="Rectangle 83" o:spid="_x0000_s1143"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Q+6xgAAAOMAAAAPAAAAZHJzL2Rvd25yZXYueG1sRE9LasMw&#10;EN0Xegcxhe4a2YY2jhslhEAgKd3EyQEGa/yh0shIauzePioUupz3n/V2tkbcyIfBsYJ8kYEgbpwe&#10;uFNwvRxeShAhIms0jknBDwXYbh4f1lhpN/GZbnXsRArhUKGCPsaxkjI0PVkMCzcSJ6513mJMp++k&#10;9jilcGtkkWVv0uLAqaHHkfY9NV/1t1UgL/VhKmvjM/dRtJ/mdDy35JR6fpp37yAizfFf/Oc+6jR/&#10;ma/yZfm6KuD3pwSA3NwBAAD//wMAUEsBAi0AFAAGAAgAAAAhANvh9svuAAAAhQEAABMAAAAAAAAA&#10;AAAAAAAAAAAAAFtDb250ZW50X1R5cGVzXS54bWxQSwECLQAUAAYACAAAACEAWvQsW78AAAAVAQAA&#10;CwAAAAAAAAAAAAAAAAAfAQAAX3JlbHMvLnJlbHNQSwECLQAUAAYACAAAACEANB0PusYAAADjAAAA&#10;DwAAAAAAAAAAAAAAAAAHAgAAZHJzL2Rvd25yZXYueG1sUEsFBgAAAAADAAMAtwAAAPoCAAAAAA==&#10;" filled="f" stroked="f">
                  <v:textbox style="mso-fit-shape-to-text:t" inset="0,0,0,0">
                    <w:txbxContent>
                      <w:p w14:paraId="1D671D6C" w14:textId="77777777" w:rsidR="00422B96" w:rsidRPr="00B074A0" w:rsidRDefault="00422B96" w:rsidP="00422B96">
                        <w:pPr>
                          <w:rPr>
                            <w:sz w:val="32"/>
                            <w:szCs w:val="32"/>
                          </w:rPr>
                        </w:pPr>
                        <w:r w:rsidRPr="00B074A0">
                          <w:rPr>
                            <w:rFonts w:ascii="Symbol" w:hAnsi="Symbol" w:cs="Symbol"/>
                            <w:color w:val="000000"/>
                            <w:sz w:val="32"/>
                            <w:szCs w:val="32"/>
                          </w:rPr>
                          <w:t></w:t>
                        </w:r>
                      </w:p>
                    </w:txbxContent>
                  </v:textbox>
                </v:rect>
                <v:rect id="Rectangle 84" o:spid="_x0000_s1144"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t8xgAAAOEAAAAPAAAAZHJzL2Rvd25yZXYueG1sRI/NasMw&#10;EITvgb6D2EJviVwTjHGihFIIpKWXOHmAxVr/UGllJDV23j4qBHIcZuYbZrufrRFX8mFwrOB9lYEg&#10;bpweuFNwOR+WJYgQkTUax6TgRgH2u5fFFivtJj7RtY6dSBAOFSroYxwrKUPTk8WwciNx8lrnLcYk&#10;fSe1xynBrZF5lhXS4sBpoceRPntqfus/q0Ce68NU1sZn7jtvf8zX8dSSU+rtdf7YgIg0x2f40T5q&#10;Bet1kRdlWcD/o/QG5O4OAAD//wMAUEsBAi0AFAAGAAgAAAAhANvh9svuAAAAhQEAABMAAAAAAAAA&#10;AAAAAAAAAAAAAFtDb250ZW50X1R5cGVzXS54bWxQSwECLQAUAAYACAAAACEAWvQsW78AAAAVAQAA&#10;CwAAAAAAAAAAAAAAAAAfAQAAX3JlbHMvLnJlbHNQSwECLQAUAAYACAAAACEAHXYrfMYAAADhAAAA&#10;DwAAAAAAAAAAAAAAAAAHAgAAZHJzL2Rvd25yZXYueG1sUEsFBgAAAAADAAMAtwAAAPoCAAAAAA==&#10;" filled="f" stroked="f">
                  <v:textbox style="mso-fit-shape-to-text:t" inset="0,0,0,0">
                    <w:txbxContent>
                      <w:p w14:paraId="1BC4066C" w14:textId="77777777" w:rsidR="00422B96" w:rsidRDefault="00422B96" w:rsidP="00422B96">
                        <w:r>
                          <w:rPr>
                            <w:rFonts w:ascii="Symbol" w:hAnsi="Symbol" w:cs="Symbol"/>
                            <w:color w:val="000000"/>
                          </w:rPr>
                          <w:t></w:t>
                        </w:r>
                      </w:p>
                    </w:txbxContent>
                  </v:textbox>
                </v:rect>
                <v:rect id="Rectangle 85" o:spid="_x0000_s1145"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wRyAAAAOIAAAAPAAAAZHJzL2Rvd25yZXYueG1sRI/NasMw&#10;EITvhb6D2EJvjRyTGuNGCSEQSEovcfIAi7X+odLKSErsvH1VKPQ4zMw3zHo7WyPu5MPgWMFykYEg&#10;bpweuFNwvRzeShAhIms0jknBgwJsN89Pa6y0m/hM9zp2IkE4VKigj3GspAxNTxbDwo3EyWudtxiT&#10;9J3UHqcEt0bmWVZIiwOnhR5H2vfUfNc3q0Be6sNU1sZn7jNvv8zpeG7JKfX6Mu8+QESa43/4r33U&#10;ClZ5WbwXZb6C30vpDsjNDwAAAP//AwBQSwECLQAUAAYACAAAACEA2+H2y+4AAACFAQAAEwAAAAAA&#10;AAAAAAAAAAAAAAAAW0NvbnRlbnRfVHlwZXNdLnhtbFBLAQItABQABgAIAAAAIQBa9CxbvwAAABUB&#10;AAALAAAAAAAAAAAAAAAAAB8BAABfcmVscy8ucmVsc1BLAQItABQABgAIAAAAIQAnHLwRyAAAAOIA&#10;AAAPAAAAAAAAAAAAAAAAAAcCAABkcnMvZG93bnJldi54bWxQSwUGAAAAAAMAAwC3AAAA/AIAAAAA&#10;" filled="f" stroked="f">
                  <v:textbox style="mso-fit-shape-to-text:t" inset="0,0,0,0">
                    <w:txbxContent>
                      <w:p w14:paraId="4234B1FD" w14:textId="77777777" w:rsidR="00422B96" w:rsidRPr="00B34B0A" w:rsidRDefault="00422B96" w:rsidP="00422B96">
                        <w:pPr>
                          <w:rPr>
                            <w:b/>
                          </w:rPr>
                        </w:pPr>
                        <w:r w:rsidRPr="00B34B0A">
                          <w:rPr>
                            <w:b/>
                            <w:i/>
                            <w:iCs/>
                            <w:color w:val="000000"/>
                          </w:rPr>
                          <w:t>resources</w:t>
                        </w:r>
                      </w:p>
                    </w:txbxContent>
                  </v:textbox>
                </v:rect>
                <v:rect id="Rectangle 86" o:spid="_x0000_s1146"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6KnyAAAAOIAAAAPAAAAZHJzL2Rvd25yZXYueG1sRI/dSgMx&#10;FITvhb5DOAXvbNJS3bo2LUUoVPGmWx/gsDn7g8nJkqTd9e2NIHg5zMw3zHY/OStuFGLvWcNyoUAQ&#10;19703Gr4vBwfNiBiQjZoPZOGb4qw383utlgaP/KZblVqRYZwLFFDl9JQShnrjhzGhR+Is9f44DBl&#10;GVppAo4Z7qxcKfUkHfacFzoc6LWj+qu6Og3yUh3HTWWD8u+r5sO+nc4Nea3v59PhBUSiKf2H/9on&#10;o+G5WKvl47oo4PdSvgNy9wMAAP//AwBQSwECLQAUAAYACAAAACEA2+H2y+4AAACFAQAAEwAAAAAA&#10;AAAAAAAAAAAAAAAAW0NvbnRlbnRfVHlwZXNdLnhtbFBLAQItABQABgAIAAAAIQBa9CxbvwAAABUB&#10;AAALAAAAAAAAAAAAAAAAAB8BAABfcmVscy8ucmVsc1BLAQItABQABgAIAAAAIQACj6KnyAAAAOIA&#10;AAAPAAAAAAAAAAAAAAAAAAcCAABkcnMvZG93bnJldi54bWxQSwUGAAAAAAMAAwC3AAAA/AIAAAAA&#10;" filled="f" stroked="f">
                  <v:textbox style="mso-fit-shape-to-text:t" inset="0,0,0,0">
                    <w:txbxContent>
                      <w:p w14:paraId="78531381" w14:textId="77777777" w:rsidR="00422B96" w:rsidRPr="00B34B0A" w:rsidRDefault="00422B96" w:rsidP="00422B96">
                        <w:pPr>
                          <w:rPr>
                            <w:b/>
                          </w:rPr>
                        </w:pPr>
                        <w:r w:rsidRPr="00B34B0A">
                          <w:rPr>
                            <w:b/>
                            <w:i/>
                            <w:iCs/>
                            <w:color w:val="000000"/>
                          </w:rPr>
                          <w:t>load</w:t>
                        </w:r>
                      </w:p>
                    </w:txbxContent>
                  </v:textbox>
                </v:rect>
                <v:rect id="Rectangle 87" o:spid="_x0000_s1147"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4syAAAAOIAAAAPAAAAZHJzL2Rvd25yZXYueG1sRI/dagIx&#10;FITvC75DOELvatJFxW6NIoJgS29cfYDD5uwPTU6WJHW3b98UCr0cZuYbZrufnBV3CrH3rOF5oUAQ&#10;19703Gq4XU9PGxAxIRu0nknDN0XY72YPWyyNH/lC9yq1IkM4lqihS2kopYx1Rw7jwg/E2Wt8cJiy&#10;DK00AccMd1YWSq2lw57zQocDHTuqP6svp0Feq9O4qWxQ/r1oPuzb+dKQ1/pxPh1eQSSa0n/4r302&#10;GlbrYrUsluoFfi/lOyB3PwAAAP//AwBQSwECLQAUAAYACAAAACEA2+H2y+4AAACFAQAAEwAAAAAA&#10;AAAAAAAAAAAAAAAAW0NvbnRlbnRfVHlwZXNdLnhtbFBLAQItABQABgAIAAAAIQBa9CxbvwAAABUB&#10;AAALAAAAAAAAAAAAAAAAAB8BAABfcmVscy8ucmVsc1BLAQItABQABgAIAAAAIQDyZb4syAAAAOIA&#10;AAAPAAAAAAAAAAAAAAAAAAcCAABkcnMvZG93bnJldi54bWxQSwUGAAAAAAMAAwC3AAAA/AIAAAAA&#10;" filled="f" stroked="f">
                  <v:textbox style="mso-fit-shape-to-text:t" inset="0,0,0,0">
                    <w:txbxContent>
                      <w:p w14:paraId="3A7CCEA7" w14:textId="77777777" w:rsidR="00422B96" w:rsidRPr="00B34B0A" w:rsidRDefault="00422B96" w:rsidP="00422B96">
                        <w:pPr>
                          <w:rPr>
                            <w:b/>
                          </w:rPr>
                        </w:pPr>
                        <w:r w:rsidRPr="00B34B0A">
                          <w:rPr>
                            <w:b/>
                            <w:i/>
                            <w:iCs/>
                            <w:color w:val="000000"/>
                          </w:rPr>
                          <w:t>online</w:t>
                        </w:r>
                      </w:p>
                    </w:txbxContent>
                  </v:textbox>
                </v:rect>
                <v:rect id="Rectangle 88" o:spid="_x0000_s1148"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PxbyQAAAOMAAAAPAAAAZHJzL2Rvd25yZXYueG1sRE9La8JA&#10;EL4X/A/LCL2Uukn6QKOrSEHoQSimPbS3ITvNRrOzIbs1qb/eFQSP871nsRpsI47U+dqxgnSSgCAu&#10;na65UvD1uXmcgvABWWPjmBT8k4fVcnS3wFy7nnd0LEIlYgj7HBWYENpcSl8asugnriWO3K/rLIZ4&#10;dpXUHfYx3DYyS5JXabHm2GCwpTdD5aH4swo2H9818UnuHmbT3u3L7Kcw21ap+/GwnoMINISb+Op+&#10;13H+7Dl9SZOnNIPLTxEAuTwDAAD//wMAUEsBAi0AFAAGAAgAAAAhANvh9svuAAAAhQEAABMAAAAA&#10;AAAAAAAAAAAAAAAAAFtDb250ZW50X1R5cGVzXS54bWxQSwECLQAUAAYACAAAACEAWvQsW78AAAAV&#10;AQAACwAAAAAAAAAAAAAAAAAfAQAAX3JlbHMvLnJlbHNQSwECLQAUAAYACAAAACEAJBT8W8kAAADj&#10;AAAADwAAAAAAAAAAAAAAAAAHAgAAZHJzL2Rvd25yZXYueG1sUEsFBgAAAAADAAMAtwAAAP0CAAAA&#10;AA==&#10;" filled="f" stroked="f">
                  <v:textbox style="mso-fit-shape-to-text:t" inset="0,0,0,0">
                    <w:txbxContent>
                      <w:p w14:paraId="575C203C" w14:textId="77777777" w:rsidR="00422B96" w:rsidRPr="00B34B0A" w:rsidRDefault="00422B96" w:rsidP="00422B96">
                        <w:pPr>
                          <w:rPr>
                            <w:b/>
                          </w:rPr>
                        </w:pPr>
                        <w:r w:rsidRPr="00B34B0A">
                          <w:rPr>
                            <w:b/>
                            <w:i/>
                            <w:iCs/>
                            <w:color w:val="000000"/>
                          </w:rPr>
                          <w:t>All</w:t>
                        </w:r>
                      </w:p>
                    </w:txbxContent>
                  </v:textbox>
                </v:rect>
                <v:rect id="Rectangle 89" o:spid="_x0000_s1149"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kqxAAAAOMAAAAPAAAAZHJzL2Rvd25yZXYueG1sRE/NSgMx&#10;EL4LvkOYgjebNBQta9NShEIVL932AYbN7A8mkyWJ3fXtjSB4nO9/tvvZO3GjmIbABlZLBYK4CXbg&#10;zsD1cnzcgEgZ2aILTAa+KcF+d3+3xcqGic90q3MnSginCg30OY+VlKnpyWNahpG4cG2IHnM5Yydt&#10;xKmEeye1Uk/S48CloceRXntqPusvb0Be6uO0qV1U4V23H+7tdG4pGPOwmA8vIDLN+V/85z7ZMn+9&#10;0upZ67WG358KAHL3AwAA//8DAFBLAQItABQABgAIAAAAIQDb4fbL7gAAAIUBAAATAAAAAAAAAAAA&#10;AAAAAAAAAABbQ29udGVudF9UeXBlc10ueG1sUEsBAi0AFAAGAAgAAAAhAFr0LFu/AAAAFQEAAAsA&#10;AAAAAAAAAAAAAAAAHwEAAF9yZWxzLy5yZWxzUEsBAi0AFAAGAAgAAAAhAHtfOSrEAAAA4wAAAA8A&#10;AAAAAAAAAAAAAAAABwIAAGRycy9kb3ducmV2LnhtbFBLBQYAAAAAAwADALcAAAD4AgAAAAA=&#10;" filled="f" stroked="f">
                  <v:textbox style="mso-fit-shape-to-text:t" inset="0,0,0,0">
                    <w:txbxContent>
                      <w:p w14:paraId="2F0CAAAF" w14:textId="77777777" w:rsidR="00422B96" w:rsidRPr="00B34B0A" w:rsidRDefault="00422B96" w:rsidP="00422B96">
                        <w:pPr>
                          <w:rPr>
                            <w:b/>
                          </w:rPr>
                        </w:pPr>
                        <w:r w:rsidRPr="00B34B0A">
                          <w:rPr>
                            <w:b/>
                            <w:i/>
                            <w:iCs/>
                            <w:color w:val="000000"/>
                          </w:rPr>
                          <w:t>resource</w:t>
                        </w:r>
                      </w:p>
                    </w:txbxContent>
                  </v:textbox>
                </v:rect>
                <v:rect id="Rectangle 90" o:spid="_x0000_s1150"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4RDxwAAAOMAAAAPAAAAZHJzL2Rvd25yZXYueG1sRE/NSgMx&#10;EL4LfYcwBW8227Vqd21ailCo4qVbH2DYzP5gMlmStLu+fSMIHuf7n81uskZcyYfesYLlIgNBXDvd&#10;c6vg63x4WIMIEVmjcUwKfijAbju722Cp3cgnulaxFSmEQ4kKuhiHUspQd2QxLNxAnLjGeYsxnb6V&#10;2uOYwq2ReZY9S4s9p4YOB3rrqP6uLlaBPFeHcV0Zn7mPvPk078dTQ06p+/m0fwURaYr/4j/3Uaf5&#10;T4/Fy6ooljn8/pQAkNsbAAAA//8DAFBLAQItABQABgAIAAAAIQDb4fbL7gAAAIUBAAATAAAAAAAA&#10;AAAAAAAAAAAAAABbQ29udGVudF9UeXBlc10ueG1sUEsBAi0AFAAGAAgAAAAhAFr0LFu/AAAAFQEA&#10;AAsAAAAAAAAAAAAAAAAAHwEAAF9yZWxzLy5yZWxzUEsBAi0AFAAGAAgAAAAhABv3hEPHAAAA4wAA&#10;AA8AAAAAAAAAAAAAAAAABwIAAGRycy9kb3ducmV2LnhtbFBLBQYAAAAAAwADALcAAAD7AgAAAAA=&#10;" filled="f" stroked="f">
                  <v:textbox style="mso-fit-shape-to-text:t" inset="0,0,0,0">
                    <w:txbxContent>
                      <w:p w14:paraId="644F43CB" w14:textId="77777777" w:rsidR="00422B96" w:rsidRPr="00B34B0A" w:rsidRDefault="00422B96" w:rsidP="00422B96">
                        <w:pPr>
                          <w:rPr>
                            <w:b/>
                          </w:rPr>
                        </w:pPr>
                        <w:r w:rsidRPr="00B34B0A">
                          <w:rPr>
                            <w:b/>
                            <w:i/>
                            <w:iCs/>
                            <w:color w:val="000000"/>
                          </w:rPr>
                          <w:t>load</w:t>
                        </w:r>
                      </w:p>
                    </w:txbxContent>
                  </v:textbox>
                </v:rect>
                <v:rect id="Rectangle 91" o:spid="_x0000_s1151"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7yyAAAAOIAAAAPAAAAZHJzL2Rvd25yZXYueG1sRI/dagIx&#10;FITvC75DOAXvaqK21W6NIgXBlt64+gCHzdkfmpwsSequb98UCr0cZuYbZrMbnRVXCrHzrGE+UyCI&#10;K286bjRczoeHNYiYkA1az6ThRhF228ndBgvjBz7RtUyNyBCOBWpoU+oLKWPVksM48z1x9mofHKYs&#10;QyNNwCHDnZULpZ6lw47zQos9vbVUfZXfToM8l4dhXdqg/Mei/rTvx1NNXuvp/bh/BZFoTP/hv/bR&#10;aFguX9TqST3O4fdSvgNy+wMAAP//AwBQSwECLQAUAAYACAAAACEA2+H2y+4AAACFAQAAEwAAAAAA&#10;AAAAAAAAAAAAAAAAW0NvbnRlbnRfVHlwZXNdLnhtbFBLAQItABQABgAIAAAAIQBa9CxbvwAAABUB&#10;AAALAAAAAAAAAAAAAAAAAB8BAABfcmVscy8ucmVsc1BLAQItABQABgAIAAAAIQDkwr7yyAAAAOIA&#10;AAAPAAAAAAAAAAAAAAAAAAcCAABkcnMvZG93bnJldi54bWxQSwUGAAAAAAMAAwC3AAAA/AIAAAAA&#10;" filled="f" stroked="f">
                  <v:textbox style="mso-fit-shape-to-text:t" inset="0,0,0,0">
                    <w:txbxContent>
                      <w:p w14:paraId="2A86CFC2" w14:textId="77777777" w:rsidR="00422B96" w:rsidRPr="00B34B0A" w:rsidRDefault="00422B96" w:rsidP="00422B96">
                        <w:pPr>
                          <w:rPr>
                            <w:b/>
                          </w:rPr>
                        </w:pPr>
                        <w:r w:rsidRPr="00B34B0A">
                          <w:rPr>
                            <w:b/>
                            <w:i/>
                            <w:iCs/>
                            <w:color w:val="000000"/>
                          </w:rPr>
                          <w:t>online</w:t>
                        </w:r>
                      </w:p>
                    </w:txbxContent>
                  </v:textbox>
                </v:rect>
                <v:rect id="Rectangle 92" o:spid="_x0000_s1152"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rIHxQAAAOMAAAAPAAAAZHJzL2Rvd25yZXYueG1sRE/NSgMx&#10;EL4LfYcwBW822RXXsjYtIhSqeOnWBxg2sz+YTJYkdte3N4Lgcb7/2R0WZ8WVQhw9ayg2CgRx683I&#10;vYaPy/FuCyImZIPWM2n4pgiH/epmh7XxM5/p2qRe5BCONWoYUppqKWM7kMO48RNx5jofHKZ8hl6a&#10;gHMOd1aWSlXS4ci5YcCJXgZqP5svp0FemuO8bWxQ/q3s3u3r6dyR1/p2vTw/gUi0pH/xn/tk8vzq&#10;sbx/KApVwe9PGQC5/wEAAP//AwBQSwECLQAUAAYACAAAACEA2+H2y+4AAACFAQAAEwAAAAAAAAAA&#10;AAAAAAAAAAAAW0NvbnRlbnRfVHlwZXNdLnhtbFBLAQItABQABgAIAAAAIQBa9CxbvwAAABUBAAAL&#10;AAAAAAAAAAAAAAAAAB8BAABfcmVscy8ucmVsc1BLAQItABQABgAIAAAAIQBIQrIHxQAAAOMAAAAP&#10;AAAAAAAAAAAAAAAAAAcCAABkcnMvZG93bnJldi54bWxQSwUGAAAAAAMAAwC3AAAA+QIAAAAA&#10;" filled="f" stroked="f">
                  <v:textbox style="mso-fit-shape-to-text:t" inset="0,0,0,0">
                    <w:txbxContent>
                      <w:p w14:paraId="0E0FD7B7" w14:textId="77777777" w:rsidR="00422B96" w:rsidRPr="00B34B0A" w:rsidRDefault="00422B96" w:rsidP="00422B96">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5</w:t>
      </w:r>
      <w:r w:rsidRPr="0013396E">
        <w:rPr>
          <w:b/>
          <w:position w:val="30"/>
          <w:sz w:val="20"/>
        </w:rPr>
        <w:t xml:space="preserve"> =</w:t>
      </w:r>
      <w:r w:rsidRPr="0013396E">
        <w:rPr>
          <w:b/>
          <w:position w:val="30"/>
          <w:sz w:val="20"/>
        </w:rPr>
        <w:tab/>
        <w:t>Min(Max((LRDF_1*Actual Net Telemetered Consumption – LPC)</w:t>
      </w:r>
      <w:r w:rsidRPr="0013396E">
        <w:rPr>
          <w:b/>
          <w:position w:val="30"/>
          <w:sz w:val="20"/>
          <w:vertAlign w:val="subscript"/>
        </w:rPr>
        <w:t>i</w:t>
      </w:r>
      <w:r w:rsidRPr="0013396E">
        <w:rPr>
          <w:b/>
          <w:position w:val="30"/>
          <w:sz w:val="20"/>
        </w:rPr>
        <w:t>, 0.0), (0.2 * LRDF_1 * Actual Net Telemetered Consumption)) from all CLRs active in SCED with an Ancillary Service Resource award</w:t>
      </w:r>
    </w:p>
    <w:p w14:paraId="066225FA" w14:textId="77777777" w:rsidR="00422B96" w:rsidRPr="0013396E" w:rsidRDefault="00422B96" w:rsidP="00422B96">
      <w:pPr>
        <w:tabs>
          <w:tab w:val="left" w:pos="2160"/>
        </w:tabs>
        <w:ind w:left="2160" w:hanging="2160"/>
        <w:rPr>
          <w:b/>
          <w:position w:val="3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B6149" w:rsidRPr="0013396E" w14:paraId="0E7A473D" w14:textId="77777777" w:rsidTr="0099759E">
        <w:trPr>
          <w:trHeight w:val="206"/>
        </w:trPr>
        <w:tc>
          <w:tcPr>
            <w:tcW w:w="9350" w:type="dxa"/>
            <w:shd w:val="pct12" w:color="auto" w:fill="auto"/>
          </w:tcPr>
          <w:p w14:paraId="213FC59F" w14:textId="288A5F58" w:rsidR="001B6149" w:rsidRPr="0013396E" w:rsidRDefault="001B6149" w:rsidP="0099759E">
            <w:pPr>
              <w:spacing w:before="120" w:after="240"/>
              <w:rPr>
                <w:b/>
                <w:i/>
                <w:iCs/>
                <w:szCs w:val="24"/>
              </w:rPr>
            </w:pPr>
            <w:r w:rsidRPr="0013396E">
              <w:rPr>
                <w:b/>
                <w:i/>
                <w:iCs/>
                <w:szCs w:val="24"/>
              </w:rPr>
              <w:t>[NPRR</w:t>
            </w:r>
            <w:r>
              <w:rPr>
                <w:b/>
                <w:i/>
                <w:iCs/>
                <w:szCs w:val="24"/>
              </w:rPr>
              <w:t>1244</w:t>
            </w:r>
            <w:r w:rsidRPr="0013396E">
              <w:rPr>
                <w:b/>
                <w:i/>
                <w:iCs/>
                <w:szCs w:val="24"/>
              </w:rPr>
              <w:t xml:space="preserve">:  Replace </w:t>
            </w:r>
            <w:r>
              <w:rPr>
                <w:b/>
                <w:i/>
                <w:iCs/>
                <w:szCs w:val="24"/>
              </w:rPr>
              <w:t>the formula “PRC</w:t>
            </w:r>
            <w:r w:rsidRPr="001B6149">
              <w:rPr>
                <w:b/>
                <w:i/>
                <w:iCs/>
                <w:szCs w:val="24"/>
                <w:vertAlign w:val="subscript"/>
              </w:rPr>
              <w:t>5</w:t>
            </w:r>
            <w:r>
              <w:rPr>
                <w:b/>
                <w:i/>
                <w:iCs/>
                <w:szCs w:val="24"/>
              </w:rPr>
              <w:t xml:space="preserve">” </w:t>
            </w:r>
            <w:r w:rsidRPr="0013396E">
              <w:rPr>
                <w:b/>
                <w:i/>
                <w:iCs/>
                <w:szCs w:val="24"/>
              </w:rPr>
              <w:t>above with the following upon system implementation:]</w:t>
            </w:r>
          </w:p>
          <w:p w14:paraId="45386F5A" w14:textId="77777777" w:rsidR="001B6149" w:rsidRPr="0013396E" w:rsidRDefault="001B6149" w:rsidP="001B6149">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709440" behindDoc="0" locked="0" layoutInCell="1" allowOverlap="1" wp14:anchorId="2114BB38" wp14:editId="335F1FEC">
                      <wp:simplePos x="0" y="0"/>
                      <wp:positionH relativeFrom="column">
                        <wp:posOffset>494072</wp:posOffset>
                      </wp:positionH>
                      <wp:positionV relativeFrom="paragraph">
                        <wp:posOffset>31363</wp:posOffset>
                      </wp:positionV>
                      <wp:extent cx="737235" cy="1360805"/>
                      <wp:effectExtent l="0" t="0" r="0" b="1270"/>
                      <wp:wrapNone/>
                      <wp:docPr id="560736362"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42480450"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CB7E" w14:textId="77777777" w:rsidR="001B6149" w:rsidRPr="00B074A0" w:rsidRDefault="001B6149" w:rsidP="001B6149">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866256102"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4ECFA" w14:textId="77777777" w:rsidR="001B6149" w:rsidRDefault="001B6149" w:rsidP="001B6149">
                                    <w:r>
                                      <w:rPr>
                                        <w:rFonts w:ascii="Symbol" w:hAnsi="Symbol" w:cs="Symbol"/>
                                        <w:color w:val="000000"/>
                                      </w:rPr>
                                      <w:t></w:t>
                                    </w:r>
                                  </w:p>
                                </w:txbxContent>
                              </wps:txbx>
                              <wps:bodyPr rot="0" vert="horz" wrap="none" lIns="0" tIns="0" rIns="0" bIns="0" anchor="t" anchorCtr="0" upright="1">
                                <a:spAutoFit/>
                              </wps:bodyPr>
                            </wps:wsp>
                            <wps:wsp>
                              <wps:cNvPr id="1319248498"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442EE" w14:textId="77777777" w:rsidR="001B6149" w:rsidRPr="00B34B0A" w:rsidRDefault="001B6149" w:rsidP="001B6149">
                                    <w:pPr>
                                      <w:rPr>
                                        <w:b/>
                                      </w:rPr>
                                    </w:pPr>
                                    <w:r w:rsidRPr="00B34B0A">
                                      <w:rPr>
                                        <w:b/>
                                        <w:i/>
                                        <w:iCs/>
                                        <w:color w:val="000000"/>
                                      </w:rPr>
                                      <w:t>resources</w:t>
                                    </w:r>
                                  </w:p>
                                </w:txbxContent>
                              </wps:txbx>
                              <wps:bodyPr rot="0" vert="horz" wrap="none" lIns="0" tIns="0" rIns="0" bIns="0" anchor="t" anchorCtr="0" upright="1">
                                <a:spAutoFit/>
                              </wps:bodyPr>
                            </wps:wsp>
                            <wps:wsp>
                              <wps:cNvPr id="958497326"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58225" w14:textId="77777777" w:rsidR="001B6149" w:rsidRPr="00B34B0A" w:rsidRDefault="001B6149" w:rsidP="001B6149">
                                    <w:pPr>
                                      <w:rPr>
                                        <w:b/>
                                      </w:rPr>
                                    </w:pPr>
                                    <w:r w:rsidRPr="00B34B0A">
                                      <w:rPr>
                                        <w:b/>
                                        <w:i/>
                                        <w:iCs/>
                                        <w:color w:val="000000"/>
                                      </w:rPr>
                                      <w:t>load</w:t>
                                    </w:r>
                                  </w:p>
                                </w:txbxContent>
                              </wps:txbx>
                              <wps:bodyPr rot="0" vert="horz" wrap="none" lIns="0" tIns="0" rIns="0" bIns="0" anchor="t" anchorCtr="0" upright="1">
                                <a:spAutoFit/>
                              </wps:bodyPr>
                            </wps:wsp>
                            <wps:wsp>
                              <wps:cNvPr id="2045452430"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8AEAA" w14:textId="77777777" w:rsidR="001B6149" w:rsidRPr="00B34B0A" w:rsidRDefault="001B6149" w:rsidP="001B6149">
                                    <w:pPr>
                                      <w:rPr>
                                        <w:b/>
                                      </w:rPr>
                                    </w:pPr>
                                    <w:r w:rsidRPr="00B34B0A">
                                      <w:rPr>
                                        <w:b/>
                                        <w:i/>
                                        <w:iCs/>
                                        <w:color w:val="000000"/>
                                      </w:rPr>
                                      <w:t>online</w:t>
                                    </w:r>
                                  </w:p>
                                </w:txbxContent>
                              </wps:txbx>
                              <wps:bodyPr rot="0" vert="horz" wrap="none" lIns="0" tIns="0" rIns="0" bIns="0" anchor="t" anchorCtr="0" upright="1">
                                <a:spAutoFit/>
                              </wps:bodyPr>
                            </wps:wsp>
                            <wps:wsp>
                              <wps:cNvPr id="2016559631"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A138" w14:textId="77777777" w:rsidR="001B6149" w:rsidRPr="00B34B0A" w:rsidRDefault="001B6149" w:rsidP="001B6149">
                                    <w:pPr>
                                      <w:rPr>
                                        <w:b/>
                                      </w:rPr>
                                    </w:pPr>
                                    <w:r w:rsidRPr="00B34B0A">
                                      <w:rPr>
                                        <w:b/>
                                        <w:i/>
                                        <w:iCs/>
                                        <w:color w:val="000000"/>
                                      </w:rPr>
                                      <w:t>All</w:t>
                                    </w:r>
                                  </w:p>
                                </w:txbxContent>
                              </wps:txbx>
                              <wps:bodyPr rot="0" vert="horz" wrap="square" lIns="0" tIns="0" rIns="0" bIns="0" anchor="t" anchorCtr="0" upright="1">
                                <a:spAutoFit/>
                              </wps:bodyPr>
                            </wps:wsp>
                            <wps:wsp>
                              <wps:cNvPr id="2026791654"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9463F" w14:textId="77777777" w:rsidR="001B6149" w:rsidRPr="00B34B0A" w:rsidRDefault="001B6149" w:rsidP="001B6149">
                                    <w:pPr>
                                      <w:rPr>
                                        <w:b/>
                                      </w:rPr>
                                    </w:pPr>
                                    <w:r w:rsidRPr="00B34B0A">
                                      <w:rPr>
                                        <w:b/>
                                        <w:i/>
                                        <w:iCs/>
                                        <w:color w:val="000000"/>
                                      </w:rPr>
                                      <w:t>resource</w:t>
                                    </w:r>
                                  </w:p>
                                </w:txbxContent>
                              </wps:txbx>
                              <wps:bodyPr rot="0" vert="horz" wrap="none" lIns="0" tIns="0" rIns="0" bIns="0" anchor="t" anchorCtr="0" upright="1">
                                <a:spAutoFit/>
                              </wps:bodyPr>
                            </wps:wsp>
                            <wps:wsp>
                              <wps:cNvPr id="1114909253"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EA980" w14:textId="77777777" w:rsidR="001B6149" w:rsidRPr="00B34B0A" w:rsidRDefault="001B6149" w:rsidP="001B6149">
                                    <w:pPr>
                                      <w:rPr>
                                        <w:b/>
                                      </w:rPr>
                                    </w:pPr>
                                    <w:r w:rsidRPr="00B34B0A">
                                      <w:rPr>
                                        <w:b/>
                                        <w:i/>
                                        <w:iCs/>
                                        <w:color w:val="000000"/>
                                      </w:rPr>
                                      <w:t>load</w:t>
                                    </w:r>
                                  </w:p>
                                </w:txbxContent>
                              </wps:txbx>
                              <wps:bodyPr rot="0" vert="horz" wrap="none" lIns="0" tIns="0" rIns="0" bIns="0" anchor="t" anchorCtr="0" upright="1">
                                <a:spAutoFit/>
                              </wps:bodyPr>
                            </wps:wsp>
                            <wps:wsp>
                              <wps:cNvPr id="153431425"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132FC" w14:textId="77777777" w:rsidR="001B6149" w:rsidRPr="00B34B0A" w:rsidRDefault="001B6149" w:rsidP="001B6149">
                                    <w:pPr>
                                      <w:rPr>
                                        <w:b/>
                                      </w:rPr>
                                    </w:pPr>
                                    <w:r w:rsidRPr="00B34B0A">
                                      <w:rPr>
                                        <w:b/>
                                        <w:i/>
                                        <w:iCs/>
                                        <w:color w:val="000000"/>
                                      </w:rPr>
                                      <w:t>online</w:t>
                                    </w:r>
                                  </w:p>
                                </w:txbxContent>
                              </wps:txbx>
                              <wps:bodyPr rot="0" vert="horz" wrap="none" lIns="0" tIns="0" rIns="0" bIns="0" anchor="t" anchorCtr="0" upright="1">
                                <a:spAutoFit/>
                              </wps:bodyPr>
                            </wps:wsp>
                            <wps:wsp>
                              <wps:cNvPr id="349211296"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87854" w14:textId="77777777" w:rsidR="001B6149" w:rsidRPr="00B34B0A" w:rsidRDefault="001B6149" w:rsidP="001B6149">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2114BB38" id="_x0000_s1153" editas="canvas" style="position:absolute;left:0;text-align:left;margin-left:38.9pt;margin-top:2.45pt;width:58.05pt;height:107.15pt;z-index:251709440"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AQogMAAC0YAAAOAAAAZHJzL2Uyb0RvYy54bWzkmF+PmzgQwN9P6ndAfu+CjW3+aNmq2mqr&#10;Su21ansfwAET0AGmNrtk++k7dgLZ3USqdO2xUfOSGDDDjOc34/Fcvtq0jXcntalVlyF8ESBPdrkq&#10;6m6doX++3ryMkWcG0RWiUZ3M0L006NXVi78uxz6VRFWqKaT2QEhn0rHPUDUMfer7Jq9kK8yF6mUH&#10;D0ulWzHApV77hRYjSG8bnwQB90eli16rXBoDd99sH6IrJ78sZT58LEsjB6/JEOg2uF/tflf217+6&#10;FOlai76q850a4j9o0Yq6g4/Oot6IQXi3uj4Q1da5VkaVw0WuWl+VZZ1LZwNYg4Mn1lyL7k4YZ0wO&#10;qzMpCKPfKHe1tnp36qZuGlgNH6Sn9p79H8E/Em6OPXjH9LOfzK99/0sleunMMmn+990n7dVFhkhA&#10;CY0DysBPnWgBls/gPtGtG+nFofWUVQPmf+k/aauz6d+r/F/jdeq6gmnytdZqrKQoQD1s54MtD16w&#10;FwZe9VbjB1WAeHE7KOe0TalbKxDc4W3g3QjTALi9zxAPeRKQLSVyM3i5fUwZxQx5OTwHhRPiKPJF&#10;OonptRneStV6dpAhDVa4z4i792awaol0mvJo6UXadI9uwER7x5lhNd+uwLBZbdyCRU4xa9ZKFfdg&#10;mFZbviEeYVAp/R15I7CdoQ6CD3nNuw6WxobBNNDTYDUNRJfDixkakLcdXg/bcLntdb2uQC52xpj+&#10;NSzfTe0M2uuw0xZgWYiamHPCOAYnHUJDl4QmwDwAKgCKOMIkcMCKdIImDmPgxDGDQeXk2ZiZA+mM&#10;mcEhTiByaQJBfpBp2ILQhIxbcIEZSH3kaaLhAQ7pLtHgiBH+bNDMgXTG0CQMgIlCwo8ww5dkBkc7&#10;ZghsTYHb6PZ5hkQY9qddonlWZuY4OmNmoKRhlBEaHitpoiWhCSdoMOMH0IRJfCLQzIF01tBgzljC&#10;Q3wk08QLQkPZBA0hcNayX36QaHAU46migUSzTUTPUQXPcfRTZsy3W6H/0DoYqgceJUAOPUJNsiA1&#10;HLal0NU0GLMQznOPuWGUwIRT2KDmUPopN3/u6QlDtZAECWHgsaeV8PaM8ugI/f+duaG4mqgJcHJA&#10;zemUNXMonTM1LKQhpgTqzANoXD26EDQ4onzXqIljFj89c59MWRO7vXPfJDnLRk1IE4IxSY6cn5K5&#10;kbVAd2+faY4xA1CfxPEpnuPoNPOMaxNDi9h1M3f9c9v0fnjteoH7Lv/VDwAAAP//AwBQSwMEFAAG&#10;AAgAAAAhAEqOmjzeAAAACAEAAA8AAABkcnMvZG93bnJldi54bWxMj8FOwzAQRO9I/IO1SNyo04Ao&#10;CXGqCikconCgrRBHN17iiHgdxW4b/p7tCW6zmtXMm2I9u0GccAq9JwXLRQICqfWmp07BflfdPYEI&#10;UZPRgydU8IMB1uX1VaFz48/0jqdt7ASHUMi1AhvjmEsZWotOh4Ufkdj78pPTkc+pk2bSZw53g0yT&#10;5FE63RM3WD3ii8X2e3t0XPLW1I3cvYa6Ch+22dR+n1afSt3ezJtnEBHn+PcMF3xGh5KZDv5IJohB&#10;wWrF5FHBQwbiYmf3LA4K0mWWgiwL+X9A+QsAAP//AwBQSwECLQAUAAYACAAAACEAtoM4kv4AAADh&#10;AQAAEwAAAAAAAAAAAAAAAAAAAAAAW0NvbnRlbnRfVHlwZXNdLnhtbFBLAQItABQABgAIAAAAIQA4&#10;/SH/1gAAAJQBAAALAAAAAAAAAAAAAAAAAC8BAABfcmVscy8ucmVsc1BLAQItABQABgAIAAAAIQC1&#10;pzAQogMAAC0YAAAOAAAAAAAAAAAAAAAAAC4CAABkcnMvZTJvRG9jLnhtbFBLAQItABQABgAIAAAA&#10;IQBKjpo83gAAAAgBAAAPAAAAAAAAAAAAAAAAAPwFAABkcnMvZG93bnJldi54bWxQSwUGAAAAAAQA&#10;BADzAAAABwcAAAAA&#10;">
                      <v:shape id="_x0000_s1154" type="#_x0000_t75" style="position:absolute;width:7372;height:13608;visibility:visible;mso-wrap-style:square">
                        <v:fill o:detectmouseclick="t"/>
                        <v:path o:connecttype="none"/>
                      </v:shape>
                      <v:rect id="Rectangle 83" o:spid="_x0000_s1155"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ku9xwAAAOMAAAAPAAAAZHJzL2Rvd25yZXYueG1sRI/LasMw&#10;EEX3hf6DmEJ3jVTjFuNECSUQSEs3cfIBgzV+EGlkJCV2/75aFLq83Bdns1ucFXcKcfSs4XWlQBC3&#10;3ozca7icDy8ViJiQDVrPpOGHIuy2jw8brI2f+UT3JvUij3CsUcOQ0lRLGduBHMaVn4iz1/ngMGUZ&#10;emkCznncWVko9S4djpwfBpxoP1B7bW5Ogzw3h7lqbFD+q+i+7efx1JHX+vlp+ViDSLSk//Bf+2g0&#10;FKosykqVb5kiM2UekNtfAAAA//8DAFBLAQItABQABgAIAAAAIQDb4fbL7gAAAIUBAAATAAAAAAAA&#10;AAAAAAAAAAAAAABbQ29udGVudF9UeXBlc10ueG1sUEsBAi0AFAAGAAgAAAAhAFr0LFu/AAAAFQEA&#10;AAsAAAAAAAAAAAAAAAAAHwEAAF9yZWxzLy5yZWxzUEsBAi0AFAAGAAgAAAAhALNGS73HAAAA4wAA&#10;AA8AAAAAAAAAAAAAAAAABwIAAGRycy9kb3ducmV2LnhtbFBLBQYAAAAAAwADALcAAAD7AgAAAAA=&#10;" filled="f" stroked="f">
                        <v:textbox style="mso-fit-shape-to-text:t" inset="0,0,0,0">
                          <w:txbxContent>
                            <w:p w14:paraId="392BCB7E" w14:textId="77777777" w:rsidR="001B6149" w:rsidRPr="00B074A0" w:rsidRDefault="001B6149" w:rsidP="001B6149">
                              <w:pPr>
                                <w:rPr>
                                  <w:sz w:val="32"/>
                                  <w:szCs w:val="32"/>
                                </w:rPr>
                              </w:pPr>
                              <w:r w:rsidRPr="00B074A0">
                                <w:rPr>
                                  <w:rFonts w:ascii="Symbol" w:hAnsi="Symbol" w:cs="Symbol"/>
                                  <w:color w:val="000000"/>
                                  <w:sz w:val="32"/>
                                  <w:szCs w:val="32"/>
                                </w:rPr>
                                <w:t></w:t>
                              </w:r>
                            </w:p>
                          </w:txbxContent>
                        </v:textbox>
                      </v:rect>
                      <v:rect id="Rectangle 84" o:spid="_x0000_s1156"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vBgxwAAAOIAAAAPAAAAZHJzL2Rvd25yZXYueG1sRI/NasMw&#10;EITvhb6D2EBvjRRDjXGjhBIIpKGXOH2AxVr/UGllJDV23z4qFHocZuYbZrtfnBU3CnH0rGGzViCI&#10;W29G7jV8Xo/PFYiYkA1az6ThhyLsd48PW6yNn/lCtyb1IkM41qhhSGmqpYztQA7j2k/E2et8cJiy&#10;DL00AecMd1YWSpXS4ch5YcCJDgO1X8230yCvzXGuGhuUPxfdh30/XTryWj+tlrdXEImW9B/+a5+M&#10;hqosi5dyowr4vZTvgNzdAQAA//8DAFBLAQItABQABgAIAAAAIQDb4fbL7gAAAIUBAAATAAAAAAAA&#10;AAAAAAAAAAAAAABbQ29udGVudF9UeXBlc10ueG1sUEsBAi0AFAAGAAgAAAAhAFr0LFu/AAAAFQEA&#10;AAsAAAAAAAAAAAAAAAAAHwEAAF9yZWxzLy5yZWxzUEsBAi0AFAAGAAgAAAAhAIP28GDHAAAA4gAA&#10;AA8AAAAAAAAAAAAAAAAABwIAAGRycy9kb3ducmV2LnhtbFBLBQYAAAAAAwADALcAAAD7AgAAAAA=&#10;" filled="f" stroked="f">
                        <v:textbox style="mso-fit-shape-to-text:t" inset="0,0,0,0">
                          <w:txbxContent>
                            <w:p w14:paraId="55B4ECFA" w14:textId="77777777" w:rsidR="001B6149" w:rsidRDefault="001B6149" w:rsidP="001B6149">
                              <w:r>
                                <w:rPr>
                                  <w:rFonts w:ascii="Symbol" w:hAnsi="Symbol" w:cs="Symbol"/>
                                  <w:color w:val="000000"/>
                                </w:rPr>
                                <w:t></w:t>
                              </w:r>
                            </w:p>
                          </w:txbxContent>
                        </v:textbox>
                      </v:rect>
                      <v:rect id="Rectangle 85" o:spid="_x0000_s1157"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j5yQAAAOMAAAAPAAAAZHJzL2Rvd25yZXYueG1sRI/NTsMw&#10;EITvSLyDtUjcqNNQoTTUrRBSpYK4NOUBVvHmR9jryDZNeHv2gMRxd2Znvt0dFu/UlWIaAxtYrwpQ&#10;xG2wI/cGPi/HhwpUysgWXWAy8EMJDvvbmx3WNsx8pmuTeyUhnGo0MOQ81VqndiCPaRUmYtG6ED1m&#10;GWOvbcRZwr3TZVE8aY8jS8OAE70O1H41396AvjTHuWpcLMJ72X24t9O5o2DM/d3y8gwq05L/zX/X&#10;Jyv4j+ttuak2W4GWn2QBev8LAAD//wMAUEsBAi0AFAAGAAgAAAAhANvh9svuAAAAhQEAABMAAAAA&#10;AAAAAAAAAAAAAAAAAFtDb250ZW50X1R5cGVzXS54bWxQSwECLQAUAAYACAAAACEAWvQsW78AAAAV&#10;AQAACwAAAAAAAAAAAAAAAAAfAQAAX3JlbHMvLnJlbHNQSwECLQAUAAYACAAAACEADBCI+ckAAADj&#10;AAAADwAAAAAAAAAAAAAAAAAHAgAAZHJzL2Rvd25yZXYueG1sUEsFBgAAAAADAAMAtwAAAP0CAAAA&#10;AA==&#10;" filled="f" stroked="f">
                        <v:textbox style="mso-fit-shape-to-text:t" inset="0,0,0,0">
                          <w:txbxContent>
                            <w:p w14:paraId="683442EE" w14:textId="77777777" w:rsidR="001B6149" w:rsidRPr="00B34B0A" w:rsidRDefault="001B6149" w:rsidP="001B6149">
                              <w:pPr>
                                <w:rPr>
                                  <w:b/>
                                </w:rPr>
                              </w:pPr>
                              <w:r w:rsidRPr="00B34B0A">
                                <w:rPr>
                                  <w:b/>
                                  <w:i/>
                                  <w:iCs/>
                                  <w:color w:val="000000"/>
                                </w:rPr>
                                <w:t>resources</w:t>
                              </w:r>
                            </w:p>
                          </w:txbxContent>
                        </v:textbox>
                      </v:rect>
                      <v:rect id="Rectangle 86" o:spid="_x0000_s1158"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WEyQAAAOIAAAAPAAAAZHJzL2Rvd25yZXYueG1sRI/NasMw&#10;EITvhb6D2EJvjRw3TR03SgiFQFp6idMHWKz1D5FWRlJi9+2jQqHHYWa+YdbbyRpxJR96xwrmswwE&#10;ce10z62C79P+qQARIrJG45gU/FCA7eb+bo2ldiMf6VrFViQIhxIVdDEOpZSh7shimLmBOHmN8xZj&#10;kr6V2uOY4NbIPMuW0mLPaaHDgd47qs/VxSqQp2o/FpXxmfvMmy/zcTg25JR6fJh2byAiTfE//Nc+&#10;aAWrl2Kxen3Ol/B7Kd0BubkBAAD//wMAUEsBAi0AFAAGAAgAAAAhANvh9svuAAAAhQEAABMAAAAA&#10;AAAAAAAAAAAAAAAAAFtDb250ZW50X1R5cGVzXS54bWxQSwECLQAUAAYACAAAACEAWvQsW78AAAAV&#10;AQAACwAAAAAAAAAAAAAAAAAfAQAAX3JlbHMvLnJlbHNQSwECLQAUAAYACAAAACEAVKw1hMkAAADi&#10;AAAADwAAAAAAAAAAAAAAAAAHAgAAZHJzL2Rvd25yZXYueG1sUEsFBgAAAAADAAMAtwAAAP0CAAAA&#10;AA==&#10;" filled="f" stroked="f">
                        <v:textbox style="mso-fit-shape-to-text:t" inset="0,0,0,0">
                          <w:txbxContent>
                            <w:p w14:paraId="58958225" w14:textId="77777777" w:rsidR="001B6149" w:rsidRPr="00B34B0A" w:rsidRDefault="001B6149" w:rsidP="001B6149">
                              <w:pPr>
                                <w:rPr>
                                  <w:b/>
                                </w:rPr>
                              </w:pPr>
                              <w:r w:rsidRPr="00B34B0A">
                                <w:rPr>
                                  <w:b/>
                                  <w:i/>
                                  <w:iCs/>
                                  <w:color w:val="000000"/>
                                </w:rPr>
                                <w:t>load</w:t>
                              </w:r>
                            </w:p>
                          </w:txbxContent>
                        </v:textbox>
                      </v:rect>
                      <v:rect id="Rectangle 87" o:spid="_x0000_s1159"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ExdxwAAAOMAAAAPAAAAZHJzL2Rvd25yZXYueG1sRI/LasMw&#10;EEX3hf6DmEJ3jVTXCcGJEkIgkJZu4uQDBmv8oNLISGrs/n21KHR5uS/Odj87K+4U4uBZw+tCgSBu&#10;vBm403C7nl7WIGJCNmg9k4YfirDfPT5ssTJ+4gvd69SJPMKxQg19SmMlZWx6chgXfiTOXuuDw5Rl&#10;6KQJOOVxZ2Wh1Eo6HDg/9DjSsafmq/52GuS1Pk3r2gblP4r2076fLy15rZ+f5sMGRKI5/Yf/2mej&#10;oVDlslwW5VumyEyZB+TuFwAA//8DAFBLAQItABQABgAIAAAAIQDb4fbL7gAAAIUBAAATAAAAAAAA&#10;AAAAAAAAAAAAAABbQ29udGVudF9UeXBlc10ueG1sUEsBAi0AFAAGAAgAAAAhAFr0LFu/AAAAFQEA&#10;AAsAAAAAAAAAAAAAAAAAHwEAAF9yZWxzLy5yZWxzUEsBAi0AFAAGAAgAAAAhAMJgTF3HAAAA4wAA&#10;AA8AAAAAAAAAAAAAAAAABwIAAGRycy9kb3ducmV2LnhtbFBLBQYAAAAAAwADALcAAAD7AgAAAAA=&#10;" filled="f" stroked="f">
                        <v:textbox style="mso-fit-shape-to-text:t" inset="0,0,0,0">
                          <w:txbxContent>
                            <w:p w14:paraId="1988AEAA" w14:textId="77777777" w:rsidR="001B6149" w:rsidRPr="00B34B0A" w:rsidRDefault="001B6149" w:rsidP="001B6149">
                              <w:pPr>
                                <w:rPr>
                                  <w:b/>
                                </w:rPr>
                              </w:pPr>
                              <w:r w:rsidRPr="00B34B0A">
                                <w:rPr>
                                  <w:b/>
                                  <w:i/>
                                  <w:iCs/>
                                  <w:color w:val="000000"/>
                                </w:rPr>
                                <w:t>online</w:t>
                              </w:r>
                            </w:p>
                          </w:txbxContent>
                        </v:textbox>
                      </v:rect>
                      <v:rect id="Rectangle 88" o:spid="_x0000_s1160"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tg2zAAAAOMAAAAPAAAAZHJzL2Rvd25yZXYueG1sRI9Ba8JA&#10;FITvhf6H5Qm9FN0kxaDRVUpB6KFQTHvQ2yP7zEazb0N2a9L++m6h4HGYmW+Y9Xa0rbhS7xvHCtJZ&#10;AoK4crrhWsHnx266AOEDssbWMSn4Jg/bzf3dGgvtBt7TtQy1iBD2BSowIXSFlL4yZNHPXEccvZPr&#10;LYYo+1rqHocIt63MkiSXFhuOCwY7ejFUXcovq2D3fmiIf+T+cbkY3LnKjqV565R6mIzPKxCBxnAL&#10;/7dftYIsSfP5fJk/pfD3Kf4BufkFAAD//wMAUEsBAi0AFAAGAAgAAAAhANvh9svuAAAAhQEAABMA&#10;AAAAAAAAAAAAAAAAAAAAAFtDb250ZW50X1R5cGVzXS54bWxQSwECLQAUAAYACAAAACEAWvQsW78A&#10;AAAVAQAACwAAAAAAAAAAAAAAAAAfAQAAX3JlbHMvLnJlbHNQSwECLQAUAAYACAAAACEA067YNswA&#10;AADjAAAADwAAAAAAAAAAAAAAAAAHAgAAZHJzL2Rvd25yZXYueG1sUEsFBgAAAAADAAMAtwAAAAAD&#10;AAAAAA==&#10;" filled="f" stroked="f">
                        <v:textbox style="mso-fit-shape-to-text:t" inset="0,0,0,0">
                          <w:txbxContent>
                            <w:p w14:paraId="6CA4A138" w14:textId="77777777" w:rsidR="001B6149" w:rsidRPr="00B34B0A" w:rsidRDefault="001B6149" w:rsidP="001B6149">
                              <w:pPr>
                                <w:rPr>
                                  <w:b/>
                                </w:rPr>
                              </w:pPr>
                              <w:r w:rsidRPr="00B34B0A">
                                <w:rPr>
                                  <w:b/>
                                  <w:i/>
                                  <w:iCs/>
                                  <w:color w:val="000000"/>
                                </w:rPr>
                                <w:t>All</w:t>
                              </w:r>
                            </w:p>
                          </w:txbxContent>
                        </v:textbox>
                      </v:rect>
                      <v:rect id="Rectangle 89" o:spid="_x0000_s1161"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F6NyQAAAOMAAAAPAAAAZHJzL2Rvd25yZXYueG1sRI/dSgMx&#10;FITvBd8hHME7m3TRbd02LSIUqnjTrQ9w2Jz9ocnJksTu+vZGELwcZuYbZrufnRVXCnHwrGG5UCCI&#10;G28G7jR8ng8PaxAxIRu0nknDN0XY725vtlgZP/GJrnXqRIZwrFBDn9JYSRmbnhzGhR+Js9f64DBl&#10;GTppAk4Z7qwslCqlw4HzQo8jvfbUXOovp0Ge68O0rm1Q/r1oP+zb8dSS1/r+bn7ZgEg0p//wX/to&#10;NBSqKFfPy/LpEX4/5T8gdz8AAAD//wMAUEsBAi0AFAAGAAgAAAAhANvh9svuAAAAhQEAABMAAAAA&#10;AAAAAAAAAAAAAAAAAFtDb250ZW50X1R5cGVzXS54bWxQSwECLQAUAAYACAAAACEAWvQsW78AAAAV&#10;AQAACwAAAAAAAAAAAAAAAAAfAQAAX3JlbHMvLnJlbHNQSwECLQAUAAYACAAAACEAiXRejckAAADj&#10;AAAADwAAAAAAAAAAAAAAAAAHAgAAZHJzL2Rvd25yZXYueG1sUEsFBgAAAAADAAMAtwAAAP0CAAAA&#10;AA==&#10;" filled="f" stroked="f">
                        <v:textbox style="mso-fit-shape-to-text:t" inset="0,0,0,0">
                          <w:txbxContent>
                            <w:p w14:paraId="1629463F" w14:textId="77777777" w:rsidR="001B6149" w:rsidRPr="00B34B0A" w:rsidRDefault="001B6149" w:rsidP="001B6149">
                              <w:pPr>
                                <w:rPr>
                                  <w:b/>
                                </w:rPr>
                              </w:pPr>
                              <w:r w:rsidRPr="00B34B0A">
                                <w:rPr>
                                  <w:b/>
                                  <w:i/>
                                  <w:iCs/>
                                  <w:color w:val="000000"/>
                                </w:rPr>
                                <w:t>resource</w:t>
                              </w:r>
                            </w:p>
                          </w:txbxContent>
                        </v:textbox>
                      </v:rect>
                      <v:rect id="Rectangle 90" o:spid="_x0000_s1162"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cLxgAAAOMAAAAPAAAAZHJzL2Rvd25yZXYueG1sRE/NSgMx&#10;EL4LvkOYgjeb7KqlXZsWEQpVvHTrAwyb2R+aTJYkdte3N4Lgcb7/2e5nZ8WVQhw8ayiWCgRx483A&#10;nYbP8+F+DSImZIPWM2n4pgj73e3NFivjJz7RtU6dyCEcK9TQpzRWUsamJ4dx6UfizLU+OEz5DJ00&#10;Aacc7qwslVpJhwPnhh5Heu2pudRfToM814dpXdug/HvZfti346klr/XdYn55BpFoTv/iP/fR5PlF&#10;8bhRm/LpAX5/ygDI3Q8AAAD//wMAUEsBAi0AFAAGAAgAAAAhANvh9svuAAAAhQEAABMAAAAAAAAA&#10;AAAAAAAAAAAAAFtDb250ZW50X1R5cGVzXS54bWxQSwECLQAUAAYACAAAACEAWvQsW78AAAAVAQAA&#10;CwAAAAAAAAAAAAAAAAAfAQAAX3JlbHMvLnJlbHNQSwECLQAUAAYACAAAACEAXXxHC8YAAADjAAAA&#10;DwAAAAAAAAAAAAAAAAAHAgAAZHJzL2Rvd25yZXYueG1sUEsFBgAAAAADAAMAtwAAAPoCAAAAAA==&#10;" filled="f" stroked="f">
                        <v:textbox style="mso-fit-shape-to-text:t" inset="0,0,0,0">
                          <w:txbxContent>
                            <w:p w14:paraId="56BEA980" w14:textId="77777777" w:rsidR="001B6149" w:rsidRPr="00B34B0A" w:rsidRDefault="001B6149" w:rsidP="001B6149">
                              <w:pPr>
                                <w:rPr>
                                  <w:b/>
                                </w:rPr>
                              </w:pPr>
                              <w:r w:rsidRPr="00B34B0A">
                                <w:rPr>
                                  <w:b/>
                                  <w:i/>
                                  <w:iCs/>
                                  <w:color w:val="000000"/>
                                </w:rPr>
                                <w:t>load</w:t>
                              </w:r>
                            </w:p>
                          </w:txbxContent>
                        </v:textbox>
                      </v:rect>
                      <v:rect id="Rectangle 91" o:spid="_x0000_s1163"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MgxAAAAOIAAAAPAAAAZHJzL2Rvd25yZXYueG1sRE/LagIx&#10;FN0X/IdwBXc14/hApkYpBcFKN45+wGVy50GTmyGJzvTvm4LQ5eG8d4fRGvEgHzrHChbzDARx5XTH&#10;jYLb9fi6BREiskbjmBT8UIDDfvKyw0K7gS/0KGMjUgiHAhW0MfaFlKFqyWKYu544cbXzFmOCvpHa&#10;45DCrZF5lm2kxY5TQ4s9fbRUfZd3q0Bey+OwLY3P3Dmvv8zn6VKTU2o2Hd/fQEQa47/46T7pNH+9&#10;XC0Xq3wNf5cSBrn/BQAA//8DAFBLAQItABQABgAIAAAAIQDb4fbL7gAAAIUBAAATAAAAAAAAAAAA&#10;AAAAAAAAAABbQ29udGVudF9UeXBlc10ueG1sUEsBAi0AFAAGAAgAAAAhAFr0LFu/AAAAFQEAAAsA&#10;AAAAAAAAAAAAAAAAHwEAAF9yZWxzLy5yZWxzUEsBAi0AFAAGAAgAAAAhAGYfIyDEAAAA4gAAAA8A&#10;AAAAAAAAAAAAAAAABwIAAGRycy9kb3ducmV2LnhtbFBLBQYAAAAAAwADALcAAAD4AgAAAAA=&#10;" filled="f" stroked="f">
                        <v:textbox style="mso-fit-shape-to-text:t" inset="0,0,0,0">
                          <w:txbxContent>
                            <w:p w14:paraId="2C8132FC" w14:textId="77777777" w:rsidR="001B6149" w:rsidRPr="00B34B0A" w:rsidRDefault="001B6149" w:rsidP="001B6149">
                              <w:pPr>
                                <w:rPr>
                                  <w:b/>
                                </w:rPr>
                              </w:pPr>
                              <w:r w:rsidRPr="00B34B0A">
                                <w:rPr>
                                  <w:b/>
                                  <w:i/>
                                  <w:iCs/>
                                  <w:color w:val="000000"/>
                                </w:rPr>
                                <w:t>online</w:t>
                              </w:r>
                            </w:p>
                          </w:txbxContent>
                        </v:textbox>
                      </v:rect>
                      <v:rect id="Rectangle 92" o:spid="_x0000_s1164"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tnyAAAAOIAAAAPAAAAZHJzL2Rvd25yZXYueG1sRI/dagIx&#10;FITvC75DOELvana3RXQ1SikIWnrj6gMcNmd/MDlZktTdvr0pFHo5zMw3zHY/WSPu5EPvWEG+yEAQ&#10;10733Cq4Xg4vKxAhIms0jknBDwXY72ZPWyy1G/lM9yq2IkE4lKigi3EopQx1RxbDwg3EyWuctxiT&#10;9K3UHscEt0YWWbaUFntOCx0O9NFRfau+rQJ5qQ7jqjI+c59F82VOx3NDTqnn+fS+ARFpiv/hv/ZR&#10;K3h9Wxd5XqyX8Hsp3QG5ewAAAP//AwBQSwECLQAUAAYACAAAACEA2+H2y+4AAACFAQAAEwAAAAAA&#10;AAAAAAAAAAAAAAAAW0NvbnRlbnRfVHlwZXNdLnhtbFBLAQItABQABgAIAAAAIQBa9CxbvwAAABUB&#10;AAALAAAAAAAAAAAAAAAAAB8BAABfcmVscy8ucmVsc1BLAQItABQABgAIAAAAIQCzmItnyAAAAOIA&#10;AAAPAAAAAAAAAAAAAAAAAAcCAABkcnMvZG93bnJldi54bWxQSwUGAAAAAAMAAwC3AAAA/AIAAAAA&#10;" filled="f" stroked="f">
                        <v:textbox style="mso-fit-shape-to-text:t" inset="0,0,0,0">
                          <w:txbxContent>
                            <w:p w14:paraId="20A87854" w14:textId="77777777" w:rsidR="001B6149" w:rsidRPr="00B34B0A" w:rsidRDefault="001B6149" w:rsidP="001B6149">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5</w:t>
            </w:r>
            <w:r w:rsidRPr="0013396E">
              <w:rPr>
                <w:b/>
                <w:position w:val="30"/>
                <w:sz w:val="20"/>
              </w:rPr>
              <w:t xml:space="preserve"> =</w:t>
            </w:r>
            <w:r w:rsidRPr="0013396E">
              <w:rPr>
                <w:b/>
                <w:position w:val="30"/>
                <w:sz w:val="20"/>
              </w:rPr>
              <w:tab/>
              <w:t>Min(Max((LRDF_1*Actual Net Telemetered Consumption – LPC)</w:t>
            </w:r>
            <w:r w:rsidRPr="0013396E">
              <w:rPr>
                <w:b/>
                <w:position w:val="30"/>
                <w:sz w:val="20"/>
                <w:vertAlign w:val="subscript"/>
              </w:rPr>
              <w:t>i</w:t>
            </w:r>
            <w:r w:rsidRPr="0013396E">
              <w:rPr>
                <w:b/>
                <w:position w:val="30"/>
                <w:sz w:val="20"/>
              </w:rPr>
              <w:t>, 0.0), (0.2 * LRDF_1 * Actual Net Telemetered Consumption)) from all CLRs active in SCED and qualified for Regulation Service and/or RRS with an Ancillary Service Resource award</w:t>
            </w:r>
          </w:p>
          <w:p w14:paraId="268D1C10" w14:textId="25729E33" w:rsidR="001B6149" w:rsidRPr="001B6149" w:rsidRDefault="001B6149" w:rsidP="0099759E">
            <w:pPr>
              <w:tabs>
                <w:tab w:val="left" w:pos="1080"/>
              </w:tabs>
              <w:spacing w:after="60"/>
              <w:rPr>
                <w:iCs/>
                <w:sz w:val="20"/>
              </w:rPr>
            </w:pPr>
          </w:p>
        </w:tc>
      </w:tr>
    </w:tbl>
    <w:p w14:paraId="76978A48" w14:textId="77777777" w:rsidR="001B6149" w:rsidRDefault="001B6149" w:rsidP="00422B96">
      <w:pPr>
        <w:tabs>
          <w:tab w:val="left" w:pos="2160"/>
        </w:tabs>
        <w:ind w:left="2160" w:hanging="2160"/>
        <w:rPr>
          <w:b/>
          <w:position w:val="30"/>
          <w:sz w:val="20"/>
        </w:rPr>
      </w:pPr>
    </w:p>
    <w:p w14:paraId="7E5797B2" w14:textId="2B30B2C2" w:rsidR="00422B96" w:rsidRPr="0013396E" w:rsidRDefault="00422B96" w:rsidP="00422B96">
      <w:pPr>
        <w:tabs>
          <w:tab w:val="left" w:pos="2160"/>
        </w:tabs>
        <w:ind w:left="2160" w:hanging="2160"/>
        <w:rPr>
          <w:b/>
          <w:position w:val="30"/>
          <w:sz w:val="20"/>
        </w:rPr>
      </w:pPr>
      <w:r w:rsidRPr="0013396E">
        <w:rPr>
          <w:noProof/>
        </w:rPr>
        <mc:AlternateContent>
          <mc:Choice Requires="wpc">
            <w:drawing>
              <wp:anchor distT="0" distB="0" distL="114300" distR="114300" simplePos="0" relativeHeight="251703296" behindDoc="0" locked="0" layoutInCell="1" allowOverlap="1" wp14:anchorId="2804B27F" wp14:editId="57406875">
                <wp:simplePos x="0" y="0"/>
                <wp:positionH relativeFrom="column">
                  <wp:posOffset>520526</wp:posOffset>
                </wp:positionH>
                <wp:positionV relativeFrom="paragraph">
                  <wp:posOffset>-95885</wp:posOffset>
                </wp:positionV>
                <wp:extent cx="737870" cy="1338580"/>
                <wp:effectExtent l="0" t="2540" r="0" b="1905"/>
                <wp:wrapNone/>
                <wp:docPr id="1854076132"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80402722"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E10CB" w14:textId="77777777" w:rsidR="00422B96" w:rsidRPr="00B074A0" w:rsidRDefault="00422B96" w:rsidP="00422B96">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621258976"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237B7" w14:textId="77777777" w:rsidR="00422B96" w:rsidRDefault="00422B96" w:rsidP="00422B96">
                              <w:r>
                                <w:rPr>
                                  <w:rFonts w:ascii="Symbol" w:hAnsi="Symbol" w:cs="Symbol"/>
                                  <w:color w:val="000000"/>
                                </w:rPr>
                                <w:t></w:t>
                              </w:r>
                            </w:p>
                          </w:txbxContent>
                        </wps:txbx>
                        <wps:bodyPr rot="0" vert="horz" wrap="none" lIns="0" tIns="0" rIns="0" bIns="0" anchor="t" anchorCtr="0" upright="1">
                          <a:spAutoFit/>
                        </wps:bodyPr>
                      </wps:wsp>
                      <wps:wsp>
                        <wps:cNvPr id="1631298105"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CC4D1" w14:textId="77777777" w:rsidR="00422B96" w:rsidRPr="00B34B0A" w:rsidRDefault="00422B96" w:rsidP="00422B96">
                              <w:pPr>
                                <w:rPr>
                                  <w:b/>
                                </w:rPr>
                              </w:pPr>
                              <w:r w:rsidRPr="00B34B0A">
                                <w:rPr>
                                  <w:b/>
                                  <w:i/>
                                  <w:iCs/>
                                  <w:color w:val="000000"/>
                                </w:rPr>
                                <w:t>resources</w:t>
                              </w:r>
                            </w:p>
                          </w:txbxContent>
                        </wps:txbx>
                        <wps:bodyPr rot="0" vert="horz" wrap="none" lIns="0" tIns="0" rIns="0" bIns="0" anchor="t" anchorCtr="0" upright="1">
                          <a:spAutoFit/>
                        </wps:bodyPr>
                      </wps:wsp>
                      <wps:wsp>
                        <wps:cNvPr id="905548542"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D1CCD" w14:textId="77777777" w:rsidR="00422B96" w:rsidRPr="00B34B0A" w:rsidRDefault="00422B96" w:rsidP="00422B96">
                              <w:pPr>
                                <w:rPr>
                                  <w:b/>
                                </w:rPr>
                              </w:pPr>
                              <w:r w:rsidRPr="00B34B0A">
                                <w:rPr>
                                  <w:b/>
                                  <w:i/>
                                  <w:iCs/>
                                  <w:color w:val="000000"/>
                                </w:rPr>
                                <w:t>load</w:t>
                              </w:r>
                            </w:p>
                          </w:txbxContent>
                        </wps:txbx>
                        <wps:bodyPr rot="0" vert="horz" wrap="none" lIns="0" tIns="0" rIns="0" bIns="0" anchor="t" anchorCtr="0" upright="1">
                          <a:spAutoFit/>
                        </wps:bodyPr>
                      </wps:wsp>
                      <wps:wsp>
                        <wps:cNvPr id="499252107"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5D4F2"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1839487233"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BA906" w14:textId="77777777" w:rsidR="00422B96" w:rsidRPr="00B34B0A" w:rsidRDefault="00422B96" w:rsidP="00422B96">
                              <w:pPr>
                                <w:rPr>
                                  <w:b/>
                                </w:rPr>
                              </w:pPr>
                              <w:r w:rsidRPr="00B34B0A">
                                <w:rPr>
                                  <w:b/>
                                  <w:i/>
                                  <w:iCs/>
                                  <w:color w:val="000000"/>
                                </w:rPr>
                                <w:t>All</w:t>
                              </w:r>
                            </w:p>
                          </w:txbxContent>
                        </wps:txbx>
                        <wps:bodyPr rot="0" vert="horz" wrap="square" lIns="0" tIns="0" rIns="0" bIns="0" anchor="t" anchorCtr="0" upright="1">
                          <a:spAutoFit/>
                        </wps:bodyPr>
                      </wps:wsp>
                      <wps:wsp>
                        <wps:cNvPr id="1902218529"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921B2" w14:textId="77777777" w:rsidR="00422B96" w:rsidRPr="00B34B0A" w:rsidRDefault="00422B96" w:rsidP="00422B96">
                              <w:pPr>
                                <w:rPr>
                                  <w:b/>
                                </w:rPr>
                              </w:pPr>
                              <w:r w:rsidRPr="00B34B0A">
                                <w:rPr>
                                  <w:b/>
                                  <w:i/>
                                  <w:iCs/>
                                  <w:color w:val="000000"/>
                                </w:rPr>
                                <w:t>resource</w:t>
                              </w:r>
                            </w:p>
                          </w:txbxContent>
                        </wps:txbx>
                        <wps:bodyPr rot="0" vert="horz" wrap="none" lIns="0" tIns="0" rIns="0" bIns="0" anchor="t" anchorCtr="0" upright="1">
                          <a:spAutoFit/>
                        </wps:bodyPr>
                      </wps:wsp>
                      <wps:wsp>
                        <wps:cNvPr id="1001645410"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D249" w14:textId="77777777" w:rsidR="00422B96" w:rsidRPr="00B34B0A" w:rsidRDefault="00422B96" w:rsidP="00422B96">
                              <w:pPr>
                                <w:rPr>
                                  <w:b/>
                                </w:rPr>
                              </w:pPr>
                              <w:r w:rsidRPr="00B34B0A">
                                <w:rPr>
                                  <w:b/>
                                  <w:i/>
                                  <w:iCs/>
                                  <w:color w:val="000000"/>
                                </w:rPr>
                                <w:t>load</w:t>
                              </w:r>
                            </w:p>
                          </w:txbxContent>
                        </wps:txbx>
                        <wps:bodyPr rot="0" vert="horz" wrap="none" lIns="0" tIns="0" rIns="0" bIns="0" anchor="t" anchorCtr="0" upright="1">
                          <a:spAutoFit/>
                        </wps:bodyPr>
                      </wps:wsp>
                      <wps:wsp>
                        <wps:cNvPr id="676622"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4D6C3"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1065061133"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D2C4B" w14:textId="77777777" w:rsidR="00422B96" w:rsidRPr="00B34B0A" w:rsidRDefault="00422B96" w:rsidP="00422B96">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2804B27F" id="Canvas 80" o:spid="_x0000_s1165" editas="canvas" style="position:absolute;left:0;text-align:left;margin-left:41pt;margin-top:-7.55pt;width:58.1pt;height:105.4pt;z-index:251703296"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U5qAMAACsYAAAOAAAAZHJzL2Uyb0RvYy54bWzkmFGPnDYQgN8r5T8gv+ewDRiDjouiiy6q&#10;lDZR0/wAL5gFFTCxuWOvv75js7C5vZUipS23yr7sGgPDzPjzzHiu3+zaxnuQ2tSqyxC5wsiTXa6K&#10;uttm6Mufd6858swgukI0qpMZepQGvbl59cv12KeSqko1hdQeCOlMOvYZqoahT33f5JVshblSvezg&#10;Zql0Kwa41Fu/0GIE6W3jU4yZPypd9Frl0hiYfTfdRDdOflnKfPhYlkYOXpMh0G1wv9r9buyvf3Mt&#10;0q0WfVXnezXED2jRirqDjy6i3olBePe6fiaqrXOtjCqHq1y1virLOpfOBrCG4CNrbkX3IIwzJgfv&#10;zArC6D+Uu9lavTt1VzcNeMMH6amds/8jrI+EybGH1TH9sk7m333/cyV66cwyaf77wyft1QXAE3Ac&#10;YhpTirxOtADLH7B8ots20ksiu1JWDXj+c/9JW51N/0HlfxmvU7cVPCbfaq3GSooC1CP2ebDlmxfs&#10;hYFXvc34mypAvLgflFu0XalbKxCWw9vBuxwHIcDymCGGMY7dt0Uqd4OX29thFJIIeTncpyFPqKPI&#10;F+ksptdmeC9V69lBhjRY4T4jHj6Ywaol0vmRJ64XadM9mYAH7Ywzw2o+eWDYbXbOYZzOTtmo4hEM&#10;02riG/YjDCql/0beCGxnqIPNh7zm1w5cY7fBPNDzYDMPRJfDixkakDcNb4dpu9z3ut5WIJc4Y0z/&#10;Ftx3VzuDrGsnHfbaAixrUcMooRFPYnaCGjY7aA1qMKUBYAFUcKBiIvZADQ84gOKgIZyx5MWgCWaf&#10;XDQ0AaEJJxjW61moiWcHrQBNwAiAYpkJMYyOIg3DJAjhto00JI4oezFowtknFwxNgqMo5FF4Kj3x&#10;2T9rMEMDPjFDWZzE+xpmzk40JpCgzoGZJWVfMDNhktCIEhyfiDPJmsyEFDKOjTMkCBLAB8qQQ26C&#10;mTNhZknYF8wM4UES8pgGwXNoCHbb/Uld+/8VwiELICVZao6DDIm5zZ0vn5iWZP1dYMzXe6HlT1oE&#10;J1B8Eh7R5BQy7iy0EjJADCDqAg0JSHScnSB7ukD08uAsGfu74PzEZyeMCbOnWVix4zKY4OV0uUJN&#10;E9niymGTJHF0nJ/Op6ZZcvYFU8Nixk71aAhejpYrELM/D9lIw1kAfZozLWmmg/6hQXKZTRrMIswI&#10;1J6nAs1yuFwBm0OgOUVNSKOzODslS8o+zzjjmsTQIHa9zH333La8v712ncBDj//mHwAAAP//AwBQ&#10;SwMEFAAGAAgAAAAhAHLz6ErgAAAACgEAAA8AAABkcnMvZG93bnJldi54bWxMj8FqwzAQRO+F/IPY&#10;Qm+JbENax7UcQsA9GPfQJJQcFWtrmVorYymJ+/eVT+1thx1m3uTbyfTshqPrLAmIVxEwpMaqjloB&#10;p2O5TIE5L0nJ3hIK+EEH22LxkMtM2Tt94O3gWxZCyGVSgPZ+yDh3jUYj3coOSOH3ZUcjfZBjy9Uo&#10;7yHc9DyJomduZEehQcsB9xqb78PVhJL3uqr58c1VpfvU9a6yp6Q8C/H0OO1egXmc/J8ZZvyADkVg&#10;utgrKcd6AWkSpngBy3gdA5sNmzQBdpmP9QvwIuf/JxS/AAAA//8DAFBLAQItABQABgAIAAAAIQC2&#10;gziS/gAAAOEBAAATAAAAAAAAAAAAAAAAAAAAAABbQ29udGVudF9UeXBlc10ueG1sUEsBAi0AFAAG&#10;AAgAAAAhADj9If/WAAAAlAEAAAsAAAAAAAAAAAAAAAAALwEAAF9yZWxzLy5yZWxzUEsBAi0AFAAG&#10;AAgAAAAhADWAZTmoAwAAKxgAAA4AAAAAAAAAAAAAAAAALgIAAGRycy9lMm9Eb2MueG1sUEsBAi0A&#10;FAAGAAgAAAAhAHLz6ErgAAAACgEAAA8AAAAAAAAAAAAAAAAAAgYAAGRycy9kb3ducmV2LnhtbFBL&#10;BQYAAAAABAAEAPMAAAAPBwAAAAA=&#10;">
                <v:shape id="_x0000_s1166" type="#_x0000_t75" style="position:absolute;width:7378;height:13385;visibility:visible;mso-wrap-style:square">
                  <v:fill o:detectmouseclick="t"/>
                  <v:path o:connecttype="none"/>
                </v:shape>
                <v:rect id="Rectangle 95" o:spid="_x0000_s1167"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V26xAAAAOMAAAAPAAAAZHJzL2Rvd25yZXYueG1sRE/NSgMx&#10;EL4LvkOYgjebNIoua9MiQqGKl259gGEz+4PJZElid317Iwge5/uf7X7xTlwopjGwgc1agSBugx25&#10;N/BxPtxWIFJGtugCk4FvSrDfXV9tsbZh5hNdmtyLEsKpRgNDzlMtZWoH8pjWYSIuXBeix1zO2Esb&#10;cS7h3kmt1IP0OHJpGHCil4Haz+bLG5Dn5jBXjYsqvOnu3b0eTx0FY25Wy/MTiExL/hf/uY+2zL+r&#10;1L3Sj1rD708FALn7AQAA//8DAFBLAQItABQABgAIAAAAIQDb4fbL7gAAAIUBAAATAAAAAAAAAAAA&#10;AAAAAAAAAABbQ29udGVudF9UeXBlc10ueG1sUEsBAi0AFAAGAAgAAAAhAFr0LFu/AAAAFQEAAAsA&#10;AAAAAAAAAAAAAAAAHwEAAF9yZWxzLy5yZWxzUEsBAi0AFAAGAAgAAAAhALxhXbrEAAAA4wAAAA8A&#10;AAAAAAAAAAAAAAAABwIAAGRycy9kb3ducmV2LnhtbFBLBQYAAAAAAwADALcAAAD4AgAAAAA=&#10;" filled="f" stroked="f">
                  <v:textbox style="mso-fit-shape-to-text:t" inset="0,0,0,0">
                    <w:txbxContent>
                      <w:p w14:paraId="109E10CB" w14:textId="77777777" w:rsidR="00422B96" w:rsidRPr="00B074A0" w:rsidRDefault="00422B96" w:rsidP="00422B96">
                        <w:pPr>
                          <w:rPr>
                            <w:sz w:val="32"/>
                            <w:szCs w:val="32"/>
                          </w:rPr>
                        </w:pPr>
                        <w:r w:rsidRPr="00B074A0">
                          <w:rPr>
                            <w:rFonts w:ascii="Symbol" w:hAnsi="Symbol" w:cs="Symbol"/>
                            <w:color w:val="000000"/>
                            <w:sz w:val="32"/>
                            <w:szCs w:val="32"/>
                          </w:rPr>
                          <w:t></w:t>
                        </w:r>
                      </w:p>
                    </w:txbxContent>
                  </v:textbox>
                </v:rect>
                <v:rect id="Rectangle 96" o:spid="_x0000_s1168"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kBsxgAAAOMAAAAPAAAAZHJzL2Rvd25yZXYueG1sRE9LasMw&#10;EN0Xegcxhe4aOYa6rhMlhEAgKd3E6QEGa/wh0shIauzePioUupz3n/V2tkbcyIfBsYLlIgNB3Dg9&#10;cKfg63J4KUGEiKzROCYFPxRgu3l8WGOl3cRnutWxEymEQ4UK+hjHSsrQ9GQxLNxInLjWeYsxnb6T&#10;2uOUwq2ReZYV0uLAqaHHkfY9Ndf62yqQl/owlbXxmfvI209zOp5bcko9P827FYhIc/wX/7mPOs0v&#10;8mX+Wr6/FfD7UwJAbu4AAAD//wMAUEsBAi0AFAAGAAgAAAAhANvh9svuAAAAhQEAABMAAAAAAAAA&#10;AAAAAAAAAAAAAFtDb250ZW50X1R5cGVzXS54bWxQSwECLQAUAAYACAAAACEAWvQsW78AAAAVAQAA&#10;CwAAAAAAAAAAAAAAAAAfAQAAX3JlbHMvLnJlbHNQSwECLQAUAAYACAAAACEA0tZAbMYAAADjAAAA&#10;DwAAAAAAAAAAAAAAAAAHAgAAZHJzL2Rvd25yZXYueG1sUEsFBgAAAAADAAMAtwAAAPoCAAAAAA==&#10;" filled="f" stroked="f">
                  <v:textbox style="mso-fit-shape-to-text:t" inset="0,0,0,0">
                    <w:txbxContent>
                      <w:p w14:paraId="105237B7" w14:textId="77777777" w:rsidR="00422B96" w:rsidRDefault="00422B96" w:rsidP="00422B96">
                        <w:r>
                          <w:rPr>
                            <w:rFonts w:ascii="Symbol" w:hAnsi="Symbol" w:cs="Symbol"/>
                            <w:color w:val="000000"/>
                          </w:rPr>
                          <w:t></w:t>
                        </w:r>
                      </w:p>
                    </w:txbxContent>
                  </v:textbox>
                </v:rect>
                <v:rect id="Rectangle 97" o:spid="_x0000_s1169"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QlxQAAAOMAAAAPAAAAZHJzL2Rvd25yZXYueG1sRE/NSgMx&#10;EL4LvkMYwZtNdsWybpsWEQpVvHTrAwyb2R+aTJYkdte3N4Lgcb7/2e4XZ8WVQhw9ayhWCgRx683I&#10;vYbP8+GhAhETskHrmTR8U4T97vZmi7XxM5/o2qRe5BCONWoYUppqKWM7kMO48hNx5jofHKZ8hl6a&#10;gHMOd1aWSq2lw5Fzw4ATvQ7UXpovp0Gem8NcNTYo/152H/bteOrIa31/t7xsQCRa0r/4z300ef76&#10;sSifq0I9we9PGQC5+wEAAP//AwBQSwECLQAUAAYACAAAACEA2+H2y+4AAACFAQAAEwAAAAAAAAAA&#10;AAAAAAAAAAAAW0NvbnRlbnRfVHlwZXNdLnhtbFBLAQItABQABgAIAAAAIQBa9CxbvwAAABUBAAAL&#10;AAAAAAAAAAAAAAAAAB8BAABfcmVscy8ucmVsc1BLAQItABQABgAIAAAAIQDcTzQlxQAAAOMAAAAP&#10;AAAAAAAAAAAAAAAAAAcCAABkcnMvZG93bnJldi54bWxQSwUGAAAAAAMAAwC3AAAA+QIAAAAA&#10;" filled="f" stroked="f">
                  <v:textbox style="mso-fit-shape-to-text:t" inset="0,0,0,0">
                    <w:txbxContent>
                      <w:p w14:paraId="7B6CC4D1" w14:textId="77777777" w:rsidR="00422B96" w:rsidRPr="00B34B0A" w:rsidRDefault="00422B96" w:rsidP="00422B96">
                        <w:pPr>
                          <w:rPr>
                            <w:b/>
                          </w:rPr>
                        </w:pPr>
                        <w:r w:rsidRPr="00B34B0A">
                          <w:rPr>
                            <w:b/>
                            <w:i/>
                            <w:iCs/>
                            <w:color w:val="000000"/>
                          </w:rPr>
                          <w:t>resources</w:t>
                        </w:r>
                      </w:p>
                    </w:txbxContent>
                  </v:textbox>
                </v:rect>
                <v:rect id="Rectangle 98" o:spid="_x0000_s1170"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HIyAAAAOIAAAAPAAAAZHJzL2Rvd25yZXYueG1sRI/dSgMx&#10;FITvBd8hnIJ3NunSlXVtWkQoVPGmWx/gsDn7g8nJksTu+vZGELwcZuYbZndYnBVXCnH0rGGzViCI&#10;W29G7jV8XI73FYiYkA1az6ThmyIc9rc3O6yNn/lM1yb1IkM41qhhSGmqpYztQA7j2k/E2et8cJiy&#10;DL00AecMd1YWSj1IhyPnhQEnehmo/Wy+nAZ5aY5z1dig/FvRvdvX07kjr/Xdanl+ApFoSf/hv/bJ&#10;aHhUZbmtym0Bv5fyHZD7HwAAAP//AwBQSwECLQAUAAYACAAAACEA2+H2y+4AAACFAQAAEwAAAAAA&#10;AAAAAAAAAAAAAAAAW0NvbnRlbnRfVHlwZXNdLnhtbFBLAQItABQABgAIAAAAIQBa9CxbvwAAABUB&#10;AAALAAAAAAAAAAAAAAAAAB8BAABfcmVscy8ucmVsc1BLAQItABQABgAIAAAAIQCWC1HIyAAAAOIA&#10;AAAPAAAAAAAAAAAAAAAAAAcCAABkcnMvZG93bnJldi54bWxQSwUGAAAAAAMAAwC3AAAA/AIAAAAA&#10;" filled="f" stroked="f">
                  <v:textbox style="mso-fit-shape-to-text:t" inset="0,0,0,0">
                    <w:txbxContent>
                      <w:p w14:paraId="7E7D1CCD" w14:textId="77777777" w:rsidR="00422B96" w:rsidRPr="00B34B0A" w:rsidRDefault="00422B96" w:rsidP="00422B96">
                        <w:pPr>
                          <w:rPr>
                            <w:b/>
                          </w:rPr>
                        </w:pPr>
                        <w:r w:rsidRPr="00B34B0A">
                          <w:rPr>
                            <w:b/>
                            <w:i/>
                            <w:iCs/>
                            <w:color w:val="000000"/>
                          </w:rPr>
                          <w:t>load</w:t>
                        </w:r>
                      </w:p>
                    </w:txbxContent>
                  </v:textbox>
                </v:rect>
                <v:rect id="Rectangle 99" o:spid="_x0000_s1171"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kUyAAAAOIAAAAPAAAAZHJzL2Rvd25yZXYueG1sRI/dSgMx&#10;FITvBd8hHKF3NulSbbttWkQoVPGm2z7AYXP2B5OTJYnd9e2NIHg5zMw3zO4wOStuFGLvWcNirkAQ&#10;19703Gq4Xo6PaxAxIRu0nknDN0U47O/vdlgaP/KZblVqRYZwLFFDl9JQShnrjhzGuR+Is9f44DBl&#10;GVppAo4Z7qwslHqWDnvOCx0O9NpR/Vl9OQ3yUh3HdWWD8u9F82HfTueGvNazh+llCyLRlP7Df+2T&#10;0bDcbIqnYqFW8Hsp3wG5/wEAAP//AwBQSwECLQAUAAYACAAAACEA2+H2y+4AAACFAQAAEwAAAAAA&#10;AAAAAAAAAAAAAAAAW0NvbnRlbnRfVHlwZXNdLnhtbFBLAQItABQABgAIAAAAIQBa9CxbvwAAABUB&#10;AAALAAAAAAAAAAAAAAAAAB8BAABfcmVscy8ucmVsc1BLAQItABQABgAIAAAAIQC96/kUyAAAAOIA&#10;AAAPAAAAAAAAAAAAAAAAAAcCAABkcnMvZG93bnJldi54bWxQSwUGAAAAAAMAAwC3AAAA/AIAAAAA&#10;" filled="f" stroked="f">
                  <v:textbox style="mso-fit-shape-to-text:t" inset="0,0,0,0">
                    <w:txbxContent>
                      <w:p w14:paraId="0645D4F2" w14:textId="77777777" w:rsidR="00422B96" w:rsidRPr="00B34B0A" w:rsidRDefault="00422B96" w:rsidP="00422B96">
                        <w:pPr>
                          <w:rPr>
                            <w:b/>
                          </w:rPr>
                        </w:pPr>
                        <w:r w:rsidRPr="00B34B0A">
                          <w:rPr>
                            <w:b/>
                            <w:i/>
                            <w:iCs/>
                            <w:color w:val="000000"/>
                          </w:rPr>
                          <w:t>online</w:t>
                        </w:r>
                      </w:p>
                    </w:txbxContent>
                  </v:textbox>
                </v:rect>
                <v:rect id="Rectangle 100" o:spid="_x0000_s1172"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N7EyQAAAOMAAAAPAAAAZHJzL2Rvd25yZXYueG1sRE/NSsNA&#10;EL4LvsMyQi/SbkxE09htKYVCD4I0eqi3ITtmo9nZkN02qU/vCoUe5/ufxWq0rThR7xvHCh5mCQji&#10;yumGawUf79tpDsIHZI2tY1JwJg+r5e3NAgvtBt7TqQy1iCHsC1RgQugKKX1lyKKfuY44cl+utxji&#10;2ddS9zjEcNvKNEmepMWGY4PBjjaGqp/yaBVs3w4N8a/c38/zwX1X6WdpXjulJnfj+gVEoDFcxRf3&#10;Tsf5eTZ/zJ/TLIP/nyIAcvkHAAD//wMAUEsBAi0AFAAGAAgAAAAhANvh9svuAAAAhQEAABMAAAAA&#10;AAAAAAAAAAAAAAAAAFtDb250ZW50X1R5cGVzXS54bWxQSwECLQAUAAYACAAAACEAWvQsW78AAAAV&#10;AQAACwAAAAAAAAAAAAAAAAAfAQAAX3JlbHMvLnJlbHNQSwECLQAUAAYACAAAACEA8NjexMkAAADj&#10;AAAADwAAAAAAAAAAAAAAAAAHAgAAZHJzL2Rvd25yZXYueG1sUEsFBgAAAAADAAMAtwAAAP0CAAAA&#10;AA==&#10;" filled="f" stroked="f">
                  <v:textbox style="mso-fit-shape-to-text:t" inset="0,0,0,0">
                    <w:txbxContent>
                      <w:p w14:paraId="65DBA906" w14:textId="77777777" w:rsidR="00422B96" w:rsidRPr="00B34B0A" w:rsidRDefault="00422B96" w:rsidP="00422B96">
                        <w:pPr>
                          <w:rPr>
                            <w:b/>
                          </w:rPr>
                        </w:pPr>
                        <w:r w:rsidRPr="00B34B0A">
                          <w:rPr>
                            <w:b/>
                            <w:i/>
                            <w:iCs/>
                            <w:color w:val="000000"/>
                          </w:rPr>
                          <w:t>All</w:t>
                        </w:r>
                      </w:p>
                    </w:txbxContent>
                  </v:textbox>
                </v:rect>
                <v:rect id="Rectangle 101" o:spid="_x0000_s1173"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JIfxAAAAOMAAAAPAAAAZHJzL2Rvd25yZXYueG1sRE/NSgMx&#10;EL4LvkMYwZtNGlC2a9MiQqGKl277AMNm9geTyZLE7vr2RhA8zvc/2/3inbhSTGNgA+uVAkHcBjty&#10;b+ByPjxUIFJGtugCk4FvSrDf3d5ssbZh5hNdm9yLEsKpRgNDzlMtZWoH8phWYSIuXBeix1zO2Esb&#10;cS7h3kmt1JP0OHJpGHCi14Haz+bLG5Dn5jBXjYsqvOvuw70dTx0FY+7vlpdnEJmW/C/+cx9tmb9R&#10;Wq+rR72B358KAHL3AwAA//8DAFBLAQItABQABgAIAAAAIQDb4fbL7gAAAIUBAAATAAAAAAAAAAAA&#10;AAAAAAAAAABbQ29udGVudF9UeXBlc10ueG1sUEsBAi0AFAAGAAgAAAAhAFr0LFu/AAAAFQEAAAsA&#10;AAAAAAAAAAAAAAAAHwEAAF9yZWxzLy5yZWxzUEsBAi0AFAAGAAgAAAAhAKiMkh/EAAAA4wAAAA8A&#10;AAAAAAAAAAAAAAAABwIAAGRycy9kb3ducmV2LnhtbFBLBQYAAAAAAwADALcAAAD4AgAAAAA=&#10;" filled="f" stroked="f">
                  <v:textbox style="mso-fit-shape-to-text:t" inset="0,0,0,0">
                    <w:txbxContent>
                      <w:p w14:paraId="3B6921B2" w14:textId="77777777" w:rsidR="00422B96" w:rsidRPr="00B34B0A" w:rsidRDefault="00422B96" w:rsidP="00422B96">
                        <w:pPr>
                          <w:rPr>
                            <w:b/>
                          </w:rPr>
                        </w:pPr>
                        <w:r w:rsidRPr="00B34B0A">
                          <w:rPr>
                            <w:b/>
                            <w:i/>
                            <w:iCs/>
                            <w:color w:val="000000"/>
                          </w:rPr>
                          <w:t>resource</w:t>
                        </w:r>
                      </w:p>
                    </w:txbxContent>
                  </v:textbox>
                </v:rect>
                <v:rect id="Rectangle 102" o:spid="_x0000_s1174"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5tFyAAAAOMAAAAPAAAAZHJzL2Rvd25yZXYueG1sRI/NagJB&#10;EITvgbzD0EJucWbFiKyOIgHBSC6uPkCz0/uD87PMTNzN29uHQI7dXV1V33Y/OSseFFMfvIZirkCQ&#10;r4Ppfavhdj2+r0GkjN6gDZ40/FKC/e71ZYulCaO/0KPKrWATn0rU0OU8lFKmuiOHaR4G8nxrQnSY&#10;eYytNBFHNndWLpRaSYe954QOB/rsqL5XP06DvFbHcV3ZqMJ50Xzbr9OloaD122w6bEBkmvK/+O/7&#10;ZLi+UsVq+bEsmIKZeAFy9wQAAP//AwBQSwECLQAUAAYACAAAACEA2+H2y+4AAACFAQAAEwAAAAAA&#10;AAAAAAAAAAAAAAAAW0NvbnRlbnRfVHlwZXNdLnhtbFBLAQItABQABgAIAAAAIQBa9CxbvwAAABUB&#10;AAALAAAAAAAAAAAAAAAAAB8BAABfcmVscy8ucmVsc1BLAQItABQABgAIAAAAIQDCg5tFyAAAAOMA&#10;AAAPAAAAAAAAAAAAAAAAAAcCAABkcnMvZG93bnJldi54bWxQSwUGAAAAAAMAAwC3AAAA/AIAAAAA&#10;" filled="f" stroked="f">
                  <v:textbox style="mso-fit-shape-to-text:t" inset="0,0,0,0">
                    <w:txbxContent>
                      <w:p w14:paraId="3941D249" w14:textId="77777777" w:rsidR="00422B96" w:rsidRPr="00B34B0A" w:rsidRDefault="00422B96" w:rsidP="00422B96">
                        <w:pPr>
                          <w:rPr>
                            <w:b/>
                          </w:rPr>
                        </w:pPr>
                        <w:r w:rsidRPr="00B34B0A">
                          <w:rPr>
                            <w:b/>
                            <w:i/>
                            <w:iCs/>
                            <w:color w:val="000000"/>
                          </w:rPr>
                          <w:t>load</w:t>
                        </w:r>
                      </w:p>
                    </w:txbxContent>
                  </v:textbox>
                </v:rect>
                <v:rect id="Rectangle 103" o:spid="_x0000_s1175"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XexQAAAN8AAAAPAAAAZHJzL2Rvd25yZXYueG1sRI/NasMw&#10;EITvgb6D2EJvsVwfnOBGCSEQSEovcfIAi7X+odLKSGrsvH1VKOQ4zMw3zGY3WyPu5MPgWMF7loMg&#10;bpweuFNwux6XaxAhIms0jknBgwLsti+LDVbaTXyhex07kSAcKlTQxzhWUoamJ4shcyNx8lrnLcYk&#10;fSe1xynBrZFFnpfS4sBpoceRDj013/WPVSCv9XFa18bn7rNov8z5dGnJKfX2Ou8/QESa4zP83z5p&#10;BeWqLIsC/v6kLyC3vwAAAP//AwBQSwECLQAUAAYACAAAACEA2+H2y+4AAACFAQAAEwAAAAAAAAAA&#10;AAAAAAAAAAAAW0NvbnRlbnRfVHlwZXNdLnhtbFBLAQItABQABgAIAAAAIQBa9CxbvwAAABUBAAAL&#10;AAAAAAAAAAAAAAAAAB8BAABfcmVscy8ucmVsc1BLAQItABQABgAIAAAAIQB06vXexQAAAN8AAAAP&#10;AAAAAAAAAAAAAAAAAAcCAABkcnMvZG93bnJldi54bWxQSwUGAAAAAAMAAwC3AAAA+QIAAAAA&#10;" filled="f" stroked="f">
                  <v:textbox style="mso-fit-shape-to-text:t" inset="0,0,0,0">
                    <w:txbxContent>
                      <w:p w14:paraId="3364D6C3" w14:textId="77777777" w:rsidR="00422B96" w:rsidRPr="00B34B0A" w:rsidRDefault="00422B96" w:rsidP="00422B96">
                        <w:pPr>
                          <w:rPr>
                            <w:b/>
                          </w:rPr>
                        </w:pPr>
                        <w:r w:rsidRPr="00B34B0A">
                          <w:rPr>
                            <w:b/>
                            <w:i/>
                            <w:iCs/>
                            <w:color w:val="000000"/>
                          </w:rPr>
                          <w:t>online</w:t>
                        </w:r>
                      </w:p>
                    </w:txbxContent>
                  </v:textbox>
                </v:rect>
                <v:rect id="Rectangle 104" o:spid="_x0000_s1176"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bqxQAAAOMAAAAPAAAAZHJzL2Rvd25yZXYueG1sRE/NagIx&#10;EL4XfIcwQm81WaWLbI1SBMGWXlz7AMNm9ocmkyWJ7vbtm0Khx/n+Z3eYnRV3CnHwrKFYKRDEjTcD&#10;dxo+r6enLYiYkA1az6ThmyIc9ouHHVbGT3yhe506kUM4VqihT2mspIxNTw7jyo/EmWt9cJjyGTpp&#10;Ak453Fm5VqqUDgfODT2OdOyp+apvToO81qdpW9ug/Pu6/bBv50tLXuvH5fz6AiLRnP7Ff+6zyfNV&#10;+azKoths4PenDIDc/wAAAP//AwBQSwECLQAUAAYACAAAACEA2+H2y+4AAACFAQAAEwAAAAAAAAAA&#10;AAAAAAAAAAAAW0NvbnRlbnRfVHlwZXNdLnhtbFBLAQItABQABgAIAAAAIQBa9CxbvwAAABUBAAAL&#10;AAAAAAAAAAAAAAAAAB8BAABfcmVscy8ucmVsc1BLAQItABQABgAIAAAAIQAJoWbqxQAAAOMAAAAP&#10;AAAAAAAAAAAAAAAAAAcCAABkcnMvZG93bnJldi54bWxQSwUGAAAAAAMAAwC3AAAA+QIAAAAA&#10;" filled="f" stroked="f">
                  <v:textbox style="mso-fit-shape-to-text:t" inset="0,0,0,0">
                    <w:txbxContent>
                      <w:p w14:paraId="2C3D2C4B" w14:textId="77777777" w:rsidR="00422B96" w:rsidRPr="00B34B0A" w:rsidRDefault="00422B96" w:rsidP="00422B96">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6</w:t>
      </w:r>
      <w:r w:rsidRPr="0013396E">
        <w:rPr>
          <w:b/>
          <w:position w:val="30"/>
          <w:sz w:val="20"/>
        </w:rPr>
        <w:t xml:space="preserve"> =</w:t>
      </w:r>
      <w:r w:rsidRPr="0013396E">
        <w:rPr>
          <w:b/>
          <w:position w:val="30"/>
          <w:sz w:val="20"/>
        </w:rPr>
        <w:tab/>
        <w:t>Min(Max((LRDF_2 * Actual Net Telemetered Consumption – LPC)</w:t>
      </w:r>
      <w:r w:rsidRPr="0013396E">
        <w:rPr>
          <w:b/>
          <w:position w:val="30"/>
          <w:sz w:val="20"/>
          <w:vertAlign w:val="subscript"/>
        </w:rPr>
        <w:t>i</w:t>
      </w:r>
      <w:r w:rsidRPr="0013396E">
        <w:rPr>
          <w:b/>
          <w:position w:val="30"/>
          <w:sz w:val="20"/>
        </w:rPr>
        <w:t>, 0.0), (0.2 * LRDF_2 * Actual Net Telemetered Consumption)) from all CLRs active in SCED without an Ancillary Service Resource award</w:t>
      </w:r>
    </w:p>
    <w:p w14:paraId="01638A7E" w14:textId="77777777" w:rsidR="00422B96" w:rsidRPr="0013396E" w:rsidRDefault="00422B96" w:rsidP="00422B96">
      <w:pPr>
        <w:tabs>
          <w:tab w:val="left" w:pos="2160"/>
        </w:tabs>
        <w:ind w:left="2160" w:hanging="2160"/>
        <w:rPr>
          <w:b/>
          <w:position w:val="3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B6149" w:rsidRPr="0013396E" w14:paraId="6C8D6C98" w14:textId="77777777" w:rsidTr="0099759E">
        <w:trPr>
          <w:trHeight w:val="206"/>
        </w:trPr>
        <w:tc>
          <w:tcPr>
            <w:tcW w:w="9350" w:type="dxa"/>
            <w:shd w:val="pct12" w:color="auto" w:fill="auto"/>
          </w:tcPr>
          <w:p w14:paraId="6CB0F5B3" w14:textId="58BFC55F" w:rsidR="001B6149" w:rsidRPr="0013396E" w:rsidRDefault="001B6149" w:rsidP="0099759E">
            <w:pPr>
              <w:spacing w:before="120" w:after="240"/>
              <w:rPr>
                <w:b/>
                <w:i/>
                <w:iCs/>
                <w:szCs w:val="24"/>
              </w:rPr>
            </w:pPr>
            <w:r w:rsidRPr="0013396E">
              <w:rPr>
                <w:b/>
                <w:i/>
                <w:iCs/>
                <w:szCs w:val="24"/>
              </w:rPr>
              <w:t>[NPRR</w:t>
            </w:r>
            <w:r>
              <w:rPr>
                <w:b/>
                <w:i/>
                <w:iCs/>
                <w:szCs w:val="24"/>
              </w:rPr>
              <w:t>1244</w:t>
            </w:r>
            <w:r w:rsidRPr="0013396E">
              <w:rPr>
                <w:b/>
                <w:i/>
                <w:iCs/>
                <w:szCs w:val="24"/>
              </w:rPr>
              <w:t xml:space="preserve">:  Replace </w:t>
            </w:r>
            <w:r>
              <w:rPr>
                <w:b/>
                <w:i/>
                <w:iCs/>
                <w:szCs w:val="24"/>
              </w:rPr>
              <w:t>the formula “PRC</w:t>
            </w:r>
            <w:r w:rsidRPr="001B6149">
              <w:rPr>
                <w:b/>
                <w:i/>
                <w:iCs/>
                <w:szCs w:val="24"/>
                <w:vertAlign w:val="subscript"/>
              </w:rPr>
              <w:t>6</w:t>
            </w:r>
            <w:r>
              <w:rPr>
                <w:b/>
                <w:i/>
                <w:iCs/>
                <w:szCs w:val="24"/>
              </w:rPr>
              <w:t xml:space="preserve">” </w:t>
            </w:r>
            <w:r w:rsidRPr="0013396E">
              <w:rPr>
                <w:b/>
                <w:i/>
                <w:iCs/>
                <w:szCs w:val="24"/>
              </w:rPr>
              <w:t>above with the following upon system implementation:]</w:t>
            </w:r>
          </w:p>
          <w:p w14:paraId="23B186CF" w14:textId="27F4AF44" w:rsidR="001B6149" w:rsidRPr="001B6149" w:rsidRDefault="001B6149" w:rsidP="001B6149">
            <w:pPr>
              <w:tabs>
                <w:tab w:val="left" w:pos="2160"/>
              </w:tabs>
              <w:ind w:left="2160" w:hanging="2160"/>
              <w:rPr>
                <w:b/>
                <w:position w:val="30"/>
                <w:sz w:val="20"/>
              </w:rPr>
            </w:pPr>
            <w:r w:rsidRPr="0013396E">
              <w:rPr>
                <w:noProof/>
              </w:rPr>
              <mc:AlternateContent>
                <mc:Choice Requires="wpc">
                  <w:drawing>
                    <wp:anchor distT="0" distB="0" distL="114300" distR="114300" simplePos="0" relativeHeight="251711488" behindDoc="0" locked="0" layoutInCell="1" allowOverlap="1" wp14:anchorId="585B490B" wp14:editId="410DFDDE">
                      <wp:simplePos x="0" y="0"/>
                      <wp:positionH relativeFrom="column">
                        <wp:posOffset>520526</wp:posOffset>
                      </wp:positionH>
                      <wp:positionV relativeFrom="paragraph">
                        <wp:posOffset>-95885</wp:posOffset>
                      </wp:positionV>
                      <wp:extent cx="737870" cy="1338580"/>
                      <wp:effectExtent l="0" t="2540" r="0" b="1905"/>
                      <wp:wrapNone/>
                      <wp:docPr id="1207316463"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76957888"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4A3A6" w14:textId="77777777" w:rsidR="001B6149" w:rsidRPr="00B074A0" w:rsidRDefault="001B6149" w:rsidP="001B6149">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934221520"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6D13A" w14:textId="77777777" w:rsidR="001B6149" w:rsidRDefault="001B6149" w:rsidP="001B6149">
                                    <w:r>
                                      <w:rPr>
                                        <w:rFonts w:ascii="Symbol" w:hAnsi="Symbol" w:cs="Symbol"/>
                                        <w:color w:val="000000"/>
                                      </w:rPr>
                                      <w:t></w:t>
                                    </w:r>
                                  </w:p>
                                </w:txbxContent>
                              </wps:txbx>
                              <wps:bodyPr rot="0" vert="horz" wrap="none" lIns="0" tIns="0" rIns="0" bIns="0" anchor="t" anchorCtr="0" upright="1">
                                <a:spAutoFit/>
                              </wps:bodyPr>
                            </wps:wsp>
                            <wps:wsp>
                              <wps:cNvPr id="259781581"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56134" w14:textId="77777777" w:rsidR="001B6149" w:rsidRPr="00B34B0A" w:rsidRDefault="001B6149" w:rsidP="001B6149">
                                    <w:pPr>
                                      <w:rPr>
                                        <w:b/>
                                      </w:rPr>
                                    </w:pPr>
                                    <w:r w:rsidRPr="00B34B0A">
                                      <w:rPr>
                                        <w:b/>
                                        <w:i/>
                                        <w:iCs/>
                                        <w:color w:val="000000"/>
                                      </w:rPr>
                                      <w:t>resources</w:t>
                                    </w:r>
                                  </w:p>
                                </w:txbxContent>
                              </wps:txbx>
                              <wps:bodyPr rot="0" vert="horz" wrap="none" lIns="0" tIns="0" rIns="0" bIns="0" anchor="t" anchorCtr="0" upright="1">
                                <a:spAutoFit/>
                              </wps:bodyPr>
                            </wps:wsp>
                            <wps:wsp>
                              <wps:cNvPr id="719879981"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EFE82" w14:textId="77777777" w:rsidR="001B6149" w:rsidRPr="00B34B0A" w:rsidRDefault="001B6149" w:rsidP="001B6149">
                                    <w:pPr>
                                      <w:rPr>
                                        <w:b/>
                                      </w:rPr>
                                    </w:pPr>
                                    <w:r w:rsidRPr="00B34B0A">
                                      <w:rPr>
                                        <w:b/>
                                        <w:i/>
                                        <w:iCs/>
                                        <w:color w:val="000000"/>
                                      </w:rPr>
                                      <w:t>load</w:t>
                                    </w:r>
                                  </w:p>
                                </w:txbxContent>
                              </wps:txbx>
                              <wps:bodyPr rot="0" vert="horz" wrap="none" lIns="0" tIns="0" rIns="0" bIns="0" anchor="t" anchorCtr="0" upright="1">
                                <a:spAutoFit/>
                              </wps:bodyPr>
                            </wps:wsp>
                            <wps:wsp>
                              <wps:cNvPr id="1086772443"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662F2" w14:textId="77777777" w:rsidR="001B6149" w:rsidRPr="00B34B0A" w:rsidRDefault="001B6149" w:rsidP="001B6149">
                                    <w:pPr>
                                      <w:rPr>
                                        <w:b/>
                                      </w:rPr>
                                    </w:pPr>
                                    <w:r w:rsidRPr="00B34B0A">
                                      <w:rPr>
                                        <w:b/>
                                        <w:i/>
                                        <w:iCs/>
                                        <w:color w:val="000000"/>
                                      </w:rPr>
                                      <w:t>online</w:t>
                                    </w:r>
                                  </w:p>
                                </w:txbxContent>
                              </wps:txbx>
                              <wps:bodyPr rot="0" vert="horz" wrap="none" lIns="0" tIns="0" rIns="0" bIns="0" anchor="t" anchorCtr="0" upright="1">
                                <a:spAutoFit/>
                              </wps:bodyPr>
                            </wps:wsp>
                            <wps:wsp>
                              <wps:cNvPr id="1567043220"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EADB6" w14:textId="77777777" w:rsidR="001B6149" w:rsidRPr="00B34B0A" w:rsidRDefault="001B6149" w:rsidP="001B6149">
                                    <w:pPr>
                                      <w:rPr>
                                        <w:b/>
                                      </w:rPr>
                                    </w:pPr>
                                    <w:r w:rsidRPr="00B34B0A">
                                      <w:rPr>
                                        <w:b/>
                                        <w:i/>
                                        <w:iCs/>
                                        <w:color w:val="000000"/>
                                      </w:rPr>
                                      <w:t>All</w:t>
                                    </w:r>
                                  </w:p>
                                </w:txbxContent>
                              </wps:txbx>
                              <wps:bodyPr rot="0" vert="horz" wrap="square" lIns="0" tIns="0" rIns="0" bIns="0" anchor="t" anchorCtr="0" upright="1">
                                <a:spAutoFit/>
                              </wps:bodyPr>
                            </wps:wsp>
                            <wps:wsp>
                              <wps:cNvPr id="1027879790"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B211E" w14:textId="77777777" w:rsidR="001B6149" w:rsidRPr="00B34B0A" w:rsidRDefault="001B6149" w:rsidP="001B6149">
                                    <w:pPr>
                                      <w:rPr>
                                        <w:b/>
                                      </w:rPr>
                                    </w:pPr>
                                    <w:r w:rsidRPr="00B34B0A">
                                      <w:rPr>
                                        <w:b/>
                                        <w:i/>
                                        <w:iCs/>
                                        <w:color w:val="000000"/>
                                      </w:rPr>
                                      <w:t>resource</w:t>
                                    </w:r>
                                  </w:p>
                                </w:txbxContent>
                              </wps:txbx>
                              <wps:bodyPr rot="0" vert="horz" wrap="none" lIns="0" tIns="0" rIns="0" bIns="0" anchor="t" anchorCtr="0" upright="1">
                                <a:spAutoFit/>
                              </wps:bodyPr>
                            </wps:wsp>
                            <wps:wsp>
                              <wps:cNvPr id="1835690747"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25B6F" w14:textId="77777777" w:rsidR="001B6149" w:rsidRPr="00B34B0A" w:rsidRDefault="001B6149" w:rsidP="001B6149">
                                    <w:pPr>
                                      <w:rPr>
                                        <w:b/>
                                      </w:rPr>
                                    </w:pPr>
                                    <w:r w:rsidRPr="00B34B0A">
                                      <w:rPr>
                                        <w:b/>
                                        <w:i/>
                                        <w:iCs/>
                                        <w:color w:val="000000"/>
                                      </w:rPr>
                                      <w:t>load</w:t>
                                    </w:r>
                                  </w:p>
                                </w:txbxContent>
                              </wps:txbx>
                              <wps:bodyPr rot="0" vert="horz" wrap="none" lIns="0" tIns="0" rIns="0" bIns="0" anchor="t" anchorCtr="0" upright="1">
                                <a:spAutoFit/>
                              </wps:bodyPr>
                            </wps:wsp>
                            <wps:wsp>
                              <wps:cNvPr id="1814052275"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A7B81" w14:textId="77777777" w:rsidR="001B6149" w:rsidRPr="00B34B0A" w:rsidRDefault="001B6149" w:rsidP="001B6149">
                                    <w:pPr>
                                      <w:rPr>
                                        <w:b/>
                                      </w:rPr>
                                    </w:pPr>
                                    <w:r w:rsidRPr="00B34B0A">
                                      <w:rPr>
                                        <w:b/>
                                        <w:i/>
                                        <w:iCs/>
                                        <w:color w:val="000000"/>
                                      </w:rPr>
                                      <w:t>online</w:t>
                                    </w:r>
                                  </w:p>
                                </w:txbxContent>
                              </wps:txbx>
                              <wps:bodyPr rot="0" vert="horz" wrap="none" lIns="0" tIns="0" rIns="0" bIns="0" anchor="t" anchorCtr="0" upright="1">
                                <a:spAutoFit/>
                              </wps:bodyPr>
                            </wps:wsp>
                            <wps:wsp>
                              <wps:cNvPr id="72178211"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0D6F5" w14:textId="77777777" w:rsidR="001B6149" w:rsidRPr="00B34B0A" w:rsidRDefault="001B6149" w:rsidP="001B6149">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85B490B" id="_x0000_s1177" editas="canvas" style="position:absolute;left:0;text-align:left;margin-left:41pt;margin-top:-7.55pt;width:58.1pt;height:105.4pt;z-index:251711488"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eGfqAMAAC4YAAAOAAAAZHJzL2Uyb0RvYy54bWzkmN2OnDYUgO8r9R2Q77v4B7BBy0bRRltV&#10;SpuoaR7AA2ZABUxtdpnt0/fYM7C7k5EipS07ytzMGAOHc44/nx9fv9l1bfCgjG10nyNyhVGg+kKX&#10;Tb/N0ec/7n4SKLCj7EvZ6l7l6FFZ9Obmxx+upyFTVNe6LZUJQEhvs2nIUT2OQxaGtqhVJ+2VHlQP&#10;NyttOjnCpdmGpZETSO/akGKchJM25WB0oayF2Xf7m+jGy68qVYwfqsqqMWhzBLqN/tf43437DW+u&#10;ZbY1cqib4qCG/AYtOtn08NFF1Ds5yuDeNF+I6prCaKur8arQXairqimUtwGsIfjImlvZP0jrjSnA&#10;O7OCMPoP5W62Tu9e3zVtC94IQXrm5tz/BOujYHIaYHXssKyT/Xff/1TLQXmzbFb89vDRBE0J8DCe&#10;pDEXApDpZQew/A7LJ/ttq4I0divl1IDnPw0fjdPZDu918acNen1bw2PqrTF6qpUsQT3ingdbnr3g&#10;Liy8GmymX3UJ4uX9qP2i7SrTOYGwHMEO3hWYRQDLY44SjDH335aZ2o1B4W5HcURiFBRwn0YipZ6i&#10;UGazmMHY8Welu8ANcmTACv8Z+fDejk4tmc2PvHC9zNr+xQQ86Ga8GU7zvQfG3WbnHZbS2SkbXT6C&#10;YUbv+Yb9CINam79RMAHbOeph86Gg/aUH17htMA/MPNjMA9kX8GKORhTsh7fjfrvcD6bZ1iCXeGPs&#10;8Bbcd9d4g5xr9zoctAVYVqImZRGlJIZF+BKaZPbPGtBgShlQAVAIgGIP7BM0ggmnomOGiCRJX40Z&#10;NvvkgpmhccoFiQU5wQyf/bMCMywhwIlDJsIwOoozCSYsOsQZwmOavBoz0eyTC2aGk1TwND3JjJj9&#10;swYzlIk9MzThKT9UMHNuopxAejrEmVdlZknYF8wMwSLhnEYROxFo0jWhiShkHBdoCGMp8ANVyFNu&#10;gpkzgWZJ2JcMTZxwHDF6qqIh2O/3F2Xt/1cHRwmDnOSoOY4yhAt8FlFmydZfBcb+dS+N+j5rYIIp&#10;h+TE3R4/7pwI9q3QSsgAMYCoDzSEkfg4PcVQqzslfRn8qulpSdlfBef7bZ2IYDF0Ijzip7BZmssV&#10;ipo4xYdIk6Y8Ps5P51PULDn7oqkhEY4phWORE8FmaS9XoObQFLloIxIGRzVnWtY8y9oXzA2nUDVQ&#10;cqLnJnhpMFeg5inWnIImovFZ9E/P0vZ5MuPPieGM2B9nHg7Q3an382t/GPh0zH/zDwAAAP//AwBQ&#10;SwMEFAAGAAgAAAAhAHLz6ErgAAAACgEAAA8AAABkcnMvZG93bnJldi54bWxMj8FqwzAQRO+F/IPY&#10;Qm+JbENax7UcQsA9GPfQJJQcFWtrmVorYymJ+/eVT+1thx1m3uTbyfTshqPrLAmIVxEwpMaqjloB&#10;p2O5TIE5L0nJ3hIK+EEH22LxkMtM2Tt94O3gWxZCyGVSgPZ+yDh3jUYj3coOSOH3ZUcjfZBjy9Uo&#10;7yHc9DyJomduZEehQcsB9xqb78PVhJL3uqr58c1VpfvU9a6yp6Q8C/H0OO1egXmc/J8ZZvyADkVg&#10;utgrKcd6AWkSpngBy3gdA5sNmzQBdpmP9QvwIuf/JxS/AAAA//8DAFBLAQItABQABgAIAAAAIQC2&#10;gziS/gAAAOEBAAATAAAAAAAAAAAAAAAAAAAAAABbQ29udGVudF9UeXBlc10ueG1sUEsBAi0AFAAG&#10;AAgAAAAhADj9If/WAAAAlAEAAAsAAAAAAAAAAAAAAAAALwEAAF9yZWxzLy5yZWxzUEsBAi0AFAAG&#10;AAgAAAAhABlh4Z+oAwAALhgAAA4AAAAAAAAAAAAAAAAALgIAAGRycy9lMm9Eb2MueG1sUEsBAi0A&#10;FAAGAAgAAAAhAHLz6ErgAAAACgEAAA8AAAAAAAAAAAAAAAAAAgYAAGRycy9kb3ducmV2LnhtbFBL&#10;BQYAAAAABAAEAPMAAAAPBwAAAAA=&#10;">
                      <v:shape id="_x0000_s1178" type="#_x0000_t75" style="position:absolute;width:7378;height:13385;visibility:visible;mso-wrap-style:square">
                        <v:fill o:detectmouseclick="t"/>
                        <v:path o:connecttype="none"/>
                      </v:shape>
                      <v:rect id="Rectangle 95" o:spid="_x0000_s1179"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SIqygAAAOMAAAAPAAAAZHJzL2Rvd25yZXYueG1sRI/NTgMx&#10;DITvSLxDZCRuNEsR7bJtWiGkSgVx6ZYHsDbeHzVxVknoLm+PD0gc7RnPfN7uZ+/UlWIaAht4XBSg&#10;iJtgB+4MfJ0PDyWolJEtusBk4IcS7He3N1usbJj4RNc6d0pCOFVooM95rLROTU8e0yKMxKK1IXrM&#10;MsZO24iThHunl0Wx0h4HloYeR3rrqbnU396APteHqaxdLMLHsv1078dTS8GY+7v5dQMq05z/zX/X&#10;Ryv4T+vVy/O6LAVafpIF6N0vAAAA//8DAFBLAQItABQABgAIAAAAIQDb4fbL7gAAAIUBAAATAAAA&#10;AAAAAAAAAAAAAAAAAABbQ29udGVudF9UeXBlc10ueG1sUEsBAi0AFAAGAAgAAAAhAFr0LFu/AAAA&#10;FQEAAAsAAAAAAAAAAAAAAAAAHwEAAF9yZWxzLy5yZWxzUEsBAi0AFAAGAAgAAAAhAMmxIirKAAAA&#10;4wAAAA8AAAAAAAAAAAAAAAAABwIAAGRycy9kb3ducmV2LnhtbFBLBQYAAAAAAwADALcAAAD+AgAA&#10;AAA=&#10;" filled="f" stroked="f">
                        <v:textbox style="mso-fit-shape-to-text:t" inset="0,0,0,0">
                          <w:txbxContent>
                            <w:p w14:paraId="1674A3A6" w14:textId="77777777" w:rsidR="001B6149" w:rsidRPr="00B074A0" w:rsidRDefault="001B6149" w:rsidP="001B6149">
                              <w:pPr>
                                <w:rPr>
                                  <w:sz w:val="32"/>
                                  <w:szCs w:val="32"/>
                                </w:rPr>
                              </w:pPr>
                              <w:r w:rsidRPr="00B074A0">
                                <w:rPr>
                                  <w:rFonts w:ascii="Symbol" w:hAnsi="Symbol" w:cs="Symbol"/>
                                  <w:color w:val="000000"/>
                                  <w:sz w:val="32"/>
                                  <w:szCs w:val="32"/>
                                </w:rPr>
                                <w:t></w:t>
                              </w:r>
                            </w:p>
                          </w:txbxContent>
                        </v:textbox>
                      </v:rect>
                      <v:rect id="Rectangle 96" o:spid="_x0000_s1180"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PrNxwAAAOIAAAAPAAAAZHJzL2Rvd25yZXYueG1sRI/LagIx&#10;FIb3Bd8hHKG7mjFtxY5GkYJgSzeOfYDD5MwFk5Mhic707ZtFocuf/8a33U/OijuF2HvWsFwUIIhr&#10;b3puNXxfjk9rEDEhG7SeScMPRdjvZg9bLI0f+Uz3KrUij3AsUUOX0lBKGeuOHMaFH4iz1/jgMGUZ&#10;WmkCjnncWamKYiUd9pwfOhzovaP6Wt2cBnmpjuO6sqHwn6r5sh+nc0Ne68f5dNiASDSl//Bf+2Q0&#10;vD2/KLV8VRkiI2UckLtfAAAA//8DAFBLAQItABQABgAIAAAAIQDb4fbL7gAAAIUBAAATAAAAAAAA&#10;AAAAAAAAAAAAAABbQ29udGVudF9UeXBlc10ueG1sUEsBAi0AFAAGAAgAAAAhAFr0LFu/AAAAFQEA&#10;AAsAAAAAAAAAAAAAAAAAHwEAAF9yZWxzLy5yZWxzUEsBAi0AFAAGAAgAAAAhAFx4+s3HAAAA4gAA&#10;AA8AAAAAAAAAAAAAAAAABwIAAGRycy9kb3ducmV2LnhtbFBLBQYAAAAAAwADALcAAAD7AgAAAAA=&#10;" filled="f" stroked="f">
                        <v:textbox style="mso-fit-shape-to-text:t" inset="0,0,0,0">
                          <w:txbxContent>
                            <w:p w14:paraId="13B6D13A" w14:textId="77777777" w:rsidR="001B6149" w:rsidRDefault="001B6149" w:rsidP="001B6149">
                              <w:r>
                                <w:rPr>
                                  <w:rFonts w:ascii="Symbol" w:hAnsi="Symbol" w:cs="Symbol"/>
                                  <w:color w:val="000000"/>
                                </w:rPr>
                                <w:t></w:t>
                              </w:r>
                            </w:p>
                          </w:txbxContent>
                        </v:textbox>
                      </v:rect>
                      <v:rect id="Rectangle 97" o:spid="_x0000_s1181"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xgwyAAAAOIAAAAPAAAAZHJzL2Rvd25yZXYueG1sRI/NasMw&#10;EITvhbyD2EBujWxDWteNEkohkJZe4vQBFmv9Q6WVkZTYefuoUOhxmJlvmO1+tkZcyYfBsYJ8nYEg&#10;bpweuFPwfT48liBCRNZoHJOCGwXY7xYPW6y0m/hE1zp2IkE4VKigj3GspAxNTxbD2o3EyWudtxiT&#10;9J3UHqcEt0YWWfYkLQ6cFnoc6b2n5qe+WAXyXB+msjY+c59F+2U+jqeWnFKr5fz2CiLSHP/Df+2j&#10;VlBsXp7LfFPm8Hsp3QG5uwMAAP//AwBQSwECLQAUAAYACAAAACEA2+H2y+4AAACFAQAAEwAAAAAA&#10;AAAAAAAAAAAAAAAAW0NvbnRlbnRfVHlwZXNdLnhtbFBLAQItABQABgAIAAAAIQBa9CxbvwAAABUB&#10;AAALAAAAAAAAAAAAAAAAAB8BAABfcmVscy8ucmVsc1BLAQItABQABgAIAAAAIQA1WxgwyAAAAOIA&#10;AAAPAAAAAAAAAAAAAAAAAAcCAABkcnMvZG93bnJldi54bWxQSwUGAAAAAAMAAwC3AAAA/AIAAAAA&#10;" filled="f" stroked="f">
                        <v:textbox style="mso-fit-shape-to-text:t" inset="0,0,0,0">
                          <w:txbxContent>
                            <w:p w14:paraId="67856134" w14:textId="77777777" w:rsidR="001B6149" w:rsidRPr="00B34B0A" w:rsidRDefault="001B6149" w:rsidP="001B6149">
                              <w:pPr>
                                <w:rPr>
                                  <w:b/>
                                </w:rPr>
                              </w:pPr>
                              <w:r w:rsidRPr="00B34B0A">
                                <w:rPr>
                                  <w:b/>
                                  <w:i/>
                                  <w:iCs/>
                                  <w:color w:val="000000"/>
                                </w:rPr>
                                <w:t>resources</w:t>
                              </w:r>
                            </w:p>
                          </w:txbxContent>
                        </v:textbox>
                      </v:rect>
                      <v:rect id="Rectangle 98" o:spid="_x0000_s1182"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5fyAAAAOIAAAAPAAAAZHJzL2Rvd25yZXYueG1sRI/NasMw&#10;EITvgbyD2EBuiewcEtuNEkohkJZe4vQBFmv9Q6WVkdTYffuqUOhxmJlvmON5tkY8yIfBsYJ8m4Eg&#10;bpweuFPwcb9sChAhIms0jknBNwU4n5aLI1baTXyjRx07kSAcKlTQxzhWUoamJ4th60bi5LXOW4xJ&#10;+k5qj1OCWyN3WbaXFgdOCz2O9NJT81l/WQXyXl+mojY+c2+79t28Xm8tOaXWq/n5CUSkOf6H/9pX&#10;reCQl8WhLIscfi+lOyBPPwAAAP//AwBQSwECLQAUAAYACAAAACEA2+H2y+4AAACFAQAAEwAAAAAA&#10;AAAAAAAAAAAAAAAAW0NvbnRlbnRfVHlwZXNdLnhtbFBLAQItABQABgAIAAAAIQBa9CxbvwAAABUB&#10;AAALAAAAAAAAAAAAAAAAAB8BAABfcmVscy8ucmVsc1BLAQItABQABgAIAAAAIQCNj+5fyAAAAOIA&#10;AAAPAAAAAAAAAAAAAAAAAAcCAABkcnMvZG93bnJldi54bWxQSwUGAAAAAAMAAwC3AAAA/AIAAAAA&#10;" filled="f" stroked="f">
                        <v:textbox style="mso-fit-shape-to-text:t" inset="0,0,0,0">
                          <w:txbxContent>
                            <w:p w14:paraId="02EEFE82" w14:textId="77777777" w:rsidR="001B6149" w:rsidRPr="00B34B0A" w:rsidRDefault="001B6149" w:rsidP="001B6149">
                              <w:pPr>
                                <w:rPr>
                                  <w:b/>
                                </w:rPr>
                              </w:pPr>
                              <w:r w:rsidRPr="00B34B0A">
                                <w:rPr>
                                  <w:b/>
                                  <w:i/>
                                  <w:iCs/>
                                  <w:color w:val="000000"/>
                                </w:rPr>
                                <w:t>load</w:t>
                              </w:r>
                            </w:p>
                          </w:txbxContent>
                        </v:textbox>
                      </v:rect>
                      <v:rect id="Rectangle 99" o:spid="_x0000_s1183"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cryxQAAAOMAAAAPAAAAZHJzL2Rvd25yZXYueG1sRE/NSgMx&#10;EL4LvkOYgjebdC3tsjYtIhSqeOm2DzBsZn8wmSxJ7K5vbwTB43z/szvMzoobhTh41rBaKhDEjTcD&#10;dxqul+NjCSImZIPWM2n4pgiH/f3dDivjJz7TrU6dyCEcK9TQpzRWUsamJ4dx6UfizLU+OEz5DJ00&#10;Aacc7qwslNpIhwPnhh5Heu2p+ay/nAZ5qY9TWdug/HvRfti307klr/XDYn55BpFoTv/iP/fJ5Pmq&#10;3Gy3xXr9BL8/ZQDk/gcAAP//AwBQSwECLQAUAAYACAAAACEA2+H2y+4AAACFAQAAEwAAAAAAAAAA&#10;AAAAAAAAAAAAW0NvbnRlbnRfVHlwZXNdLnhtbFBLAQItABQABgAIAAAAIQBa9CxbvwAAABUBAAAL&#10;AAAAAAAAAAAAAAAAAB8BAABfcmVscy8ucmVsc1BLAQItABQABgAIAAAAIQBrhcryxQAAAOMAAAAP&#10;AAAAAAAAAAAAAAAAAAcCAABkcnMvZG93bnJldi54bWxQSwUGAAAAAAMAAwC3AAAA+QIAAAAA&#10;" filled="f" stroked="f">
                        <v:textbox style="mso-fit-shape-to-text:t" inset="0,0,0,0">
                          <w:txbxContent>
                            <w:p w14:paraId="25A662F2" w14:textId="77777777" w:rsidR="001B6149" w:rsidRPr="00B34B0A" w:rsidRDefault="001B6149" w:rsidP="001B6149">
                              <w:pPr>
                                <w:rPr>
                                  <w:b/>
                                </w:rPr>
                              </w:pPr>
                              <w:r w:rsidRPr="00B34B0A">
                                <w:rPr>
                                  <w:b/>
                                  <w:i/>
                                  <w:iCs/>
                                  <w:color w:val="000000"/>
                                </w:rPr>
                                <w:t>online</w:t>
                              </w:r>
                            </w:p>
                          </w:txbxContent>
                        </v:textbox>
                      </v:rect>
                      <v:rect id="Rectangle 100" o:spid="_x0000_s1184"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ahzQAAAOMAAAAPAAAAZHJzL2Rvd25yZXYueG1sRI9BS8NA&#10;EIXvgv9hGcGL2E2j1pp2W0QoeBBKYw/1NmTHbNrsbMiuTfTXOwfB48y8ee99y/XoW3WmPjaBDUwn&#10;GSjiKtiGawP7983tHFRMyBbbwGTgmyKsV5cXSyxsGHhH5zLVSkw4FmjApdQVWsfKkcc4CR2x3D5D&#10;7zHJ2Nfa9jiIuW91nmUz7bFhSXDY0Yuj6lR+eQOb7aEh/tG7m6f5EI5V/lG6t86Y66vxeQEq0Zj+&#10;xX/fr1bqP8wes/u7PBcKYZIF6NUvAAAA//8DAFBLAQItABQABgAIAAAAIQDb4fbL7gAAAIUBAAAT&#10;AAAAAAAAAAAAAAAAAAAAAABbQ29udGVudF9UeXBlc10ueG1sUEsBAi0AFAAGAAgAAAAhAFr0LFu/&#10;AAAAFQEAAAsAAAAAAAAAAAAAAAAAHwEAAF9yZWxzLy5yZWxzUEsBAi0AFAAGAAgAAAAhAH/bdqHN&#10;AAAA4wAAAA8AAAAAAAAAAAAAAAAABwIAAGRycy9kb3ducmV2LnhtbFBLBQYAAAAAAwADALcAAAAB&#10;AwAAAAA=&#10;" filled="f" stroked="f">
                        <v:textbox style="mso-fit-shape-to-text:t" inset="0,0,0,0">
                          <w:txbxContent>
                            <w:p w14:paraId="7B2EADB6" w14:textId="77777777" w:rsidR="001B6149" w:rsidRPr="00B34B0A" w:rsidRDefault="001B6149" w:rsidP="001B6149">
                              <w:pPr>
                                <w:rPr>
                                  <w:b/>
                                </w:rPr>
                              </w:pPr>
                              <w:r w:rsidRPr="00B34B0A">
                                <w:rPr>
                                  <w:b/>
                                  <w:i/>
                                  <w:iCs/>
                                  <w:color w:val="000000"/>
                                </w:rPr>
                                <w:t>All</w:t>
                              </w:r>
                            </w:p>
                          </w:txbxContent>
                        </v:textbox>
                      </v:rect>
                      <v:rect id="Rectangle 101" o:spid="_x0000_s1185"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g0yQAAAOMAAAAPAAAAZHJzL2Rvd25yZXYueG1sRI/NasMw&#10;EITvhb6D2EBvjRQfYseNEkohkJRe4vQBFmv9Q6WVkdTYffvqUOhxd2dn5tsfF2fFnUIcPWvYrBUI&#10;4tabkXsNn7fTcwUiJmSD1jNp+KEIx8Pjwx5r42e+0r1JvcgmHGvUMKQ01VLGdiCHce0n4nzrfHCY&#10;8hh6aQLO2dxZWSi1lQ5HzgkDTvQ2UPvVfDsN8tac5qqxQfn3ovuwl/O1I6/102p5fQGRaEn/4r/v&#10;s8n1VVFW5a7cZYrMlBcgD78AAAD//wMAUEsBAi0AFAAGAAgAAAAhANvh9svuAAAAhQEAABMAAAAA&#10;AAAAAAAAAAAAAAAAAFtDb250ZW50X1R5cGVzXS54bWxQSwECLQAUAAYACAAAACEAWvQsW78AAAAV&#10;AQAACwAAAAAAAAAAAAAAAAAfAQAAX3JlbHMvLnJlbHNQSwECLQAUAAYACAAAACEAgCooNMkAAADj&#10;AAAADwAAAAAAAAAAAAAAAAAHAgAAZHJzL2Rvd25yZXYueG1sUEsFBgAAAAADAAMAtwAAAP0CAAAA&#10;AA==&#10;" filled="f" stroked="f">
                        <v:textbox style="mso-fit-shape-to-text:t" inset="0,0,0,0">
                          <w:txbxContent>
                            <w:p w14:paraId="48CB211E" w14:textId="77777777" w:rsidR="001B6149" w:rsidRPr="00B34B0A" w:rsidRDefault="001B6149" w:rsidP="001B6149">
                              <w:pPr>
                                <w:rPr>
                                  <w:b/>
                                </w:rPr>
                              </w:pPr>
                              <w:r w:rsidRPr="00B34B0A">
                                <w:rPr>
                                  <w:b/>
                                  <w:i/>
                                  <w:iCs/>
                                  <w:color w:val="000000"/>
                                </w:rPr>
                                <w:t>resource</w:t>
                              </w:r>
                            </w:p>
                          </w:txbxContent>
                        </v:textbox>
                      </v:rect>
                      <v:rect id="Rectangle 102" o:spid="_x0000_s1186"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6VfxgAAAOMAAAAPAAAAZHJzL2Rvd25yZXYueG1sRE/NSgMx&#10;EL4LfYcwBW82sWq7rk1LEQpVvHTrAwyb2R9MJkuSdte3N4Lgcb7/2ewmZ8WVQuw9a7hfKBDEtTc9&#10;txo+z4e7AkRMyAatZ9LwTRF229nNBkvjRz7RtUqtyCEcS9TQpTSUUsa6I4dx4QfizDU+OEz5DK00&#10;Accc7qxcKrWSDnvODR0O9NpR/VVdnAZ5rg5jUdmg/Puy+bBvx1NDXuvb+bR/AZFoSv/iP/fR5PnF&#10;w9PqWa0f1/D7UwZAbn8AAAD//wMAUEsBAi0AFAAGAAgAAAAhANvh9svuAAAAhQEAABMAAAAAAAAA&#10;AAAAAAAAAAAAAFtDb250ZW50X1R5cGVzXS54bWxQSwECLQAUAAYACAAAACEAWvQsW78AAAAVAQAA&#10;CwAAAAAAAAAAAAAAAAAfAQAAX3JlbHMvLnJlbHNQSwECLQAUAAYACAAAACEASoelX8YAAADjAAAA&#10;DwAAAAAAAAAAAAAAAAAHAgAAZHJzL2Rvd25yZXYueG1sUEsFBgAAAAADAAMAtwAAAPoCAAAAAA==&#10;" filled="f" stroked="f">
                        <v:textbox style="mso-fit-shape-to-text:t" inset="0,0,0,0">
                          <w:txbxContent>
                            <w:p w14:paraId="33C25B6F" w14:textId="77777777" w:rsidR="001B6149" w:rsidRPr="00B34B0A" w:rsidRDefault="001B6149" w:rsidP="001B6149">
                              <w:pPr>
                                <w:rPr>
                                  <w:b/>
                                </w:rPr>
                              </w:pPr>
                              <w:r w:rsidRPr="00B34B0A">
                                <w:rPr>
                                  <w:b/>
                                  <w:i/>
                                  <w:iCs/>
                                  <w:color w:val="000000"/>
                                </w:rPr>
                                <w:t>load</w:t>
                              </w:r>
                            </w:p>
                          </w:txbxContent>
                        </v:textbox>
                      </v:rect>
                      <v:rect id="Rectangle 103" o:spid="_x0000_s1187"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G5xQAAAOMAAAAPAAAAZHJzL2Rvd25yZXYueG1sRE/NSgMx&#10;EL4LvkMYoTebdLG6rE2LCIVWvHTrAwyb2R9MJksSu9u3bwTB43z/s9nNzooLhTh41rBaKhDEjTcD&#10;dxq+zvvHEkRMyAatZ9JwpQi77f3dBivjJz7RpU6dyCEcK9TQpzRWUsamJ4dx6UfizLU+OEz5DJ00&#10;Aacc7qwslHqWDgfODT2O9N5T813/OA3yXO+nsrZB+Y+i/bTHw6klr/XiYX57BZFoTv/iP/fB5Pnl&#10;6kmti+JlDb8/ZQDk9gYAAP//AwBQSwECLQAUAAYACAAAACEA2+H2y+4AAACFAQAAEwAAAAAAAAAA&#10;AAAAAAAAAAAAW0NvbnRlbnRfVHlwZXNdLnhtbFBLAQItABQABgAIAAAAIQBa9CxbvwAAABUBAAAL&#10;AAAAAAAAAAAAAAAAAB8BAABfcmVscy8ucmVsc1BLAQItABQABgAIAAAAIQA3foG5xQAAAOMAAAAP&#10;AAAAAAAAAAAAAAAAAAcCAABkcnMvZG93bnJldi54bWxQSwUGAAAAAAMAAwC3AAAA+QIAAAAA&#10;" filled="f" stroked="f">
                        <v:textbox style="mso-fit-shape-to-text:t" inset="0,0,0,0">
                          <w:txbxContent>
                            <w:p w14:paraId="423A7B81" w14:textId="77777777" w:rsidR="001B6149" w:rsidRPr="00B34B0A" w:rsidRDefault="001B6149" w:rsidP="001B6149">
                              <w:pPr>
                                <w:rPr>
                                  <w:b/>
                                </w:rPr>
                              </w:pPr>
                              <w:r w:rsidRPr="00B34B0A">
                                <w:rPr>
                                  <w:b/>
                                  <w:i/>
                                  <w:iCs/>
                                  <w:color w:val="000000"/>
                                </w:rPr>
                                <w:t>online</w:t>
                              </w:r>
                            </w:p>
                          </w:txbxContent>
                        </v:textbox>
                      </v:rect>
                      <v:rect id="Rectangle 104" o:spid="_x0000_s1188"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INHxgAAAOEAAAAPAAAAZHJzL2Rvd25yZXYueG1sRI/NasMw&#10;EITvhb6D2EBvjWwfGuNECSEQSEsvcfIAi7X+IdLKSGrsvn1VCOQ4zMw3zGY3WyPu5MPgWEG+zEAQ&#10;N04P3Cm4Xo7vJYgQkTUax6TglwLstq8vG6y0m/hM9zp2IkE4VKigj3GspAxNTxbD0o3EyWudtxiT&#10;9J3UHqcEt0YWWfYhLQ6cFnoc6dBTc6t/rAJ5qY9TWRufua+i/Tafp3NLTqm3xbxfg4g0x2f40T5p&#10;BasiX5VFnsP/o/QG5PYPAAD//wMAUEsBAi0AFAAGAAgAAAAhANvh9svuAAAAhQEAABMAAAAAAAAA&#10;AAAAAAAAAAAAAFtDb250ZW50X1R5cGVzXS54bWxQSwECLQAUAAYACAAAACEAWvQsW78AAAAVAQAA&#10;CwAAAAAAAAAAAAAAAAAfAQAAX3JlbHMvLnJlbHNQSwECLQAUAAYACAAAACEA5cyDR8YAAADhAAAA&#10;DwAAAAAAAAAAAAAAAAAHAgAAZHJzL2Rvd25yZXYueG1sUEsFBgAAAAADAAMAtwAAAPoCAAAAAA==&#10;" filled="f" stroked="f">
                        <v:textbox style="mso-fit-shape-to-text:t" inset="0,0,0,0">
                          <w:txbxContent>
                            <w:p w14:paraId="58A0D6F5" w14:textId="77777777" w:rsidR="001B6149" w:rsidRPr="00B34B0A" w:rsidRDefault="001B6149" w:rsidP="001B6149">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6</w:t>
            </w:r>
            <w:r w:rsidRPr="0013396E">
              <w:rPr>
                <w:b/>
                <w:position w:val="30"/>
                <w:sz w:val="20"/>
              </w:rPr>
              <w:t xml:space="preserve"> =</w:t>
            </w:r>
            <w:r w:rsidRPr="0013396E">
              <w:rPr>
                <w:b/>
                <w:position w:val="30"/>
                <w:sz w:val="20"/>
              </w:rPr>
              <w:tab/>
              <w:t>Min(Max((LRDF_2 * Actual Net Telemetered Consumption – LPC)</w:t>
            </w:r>
            <w:r w:rsidRPr="0013396E">
              <w:rPr>
                <w:b/>
                <w:position w:val="30"/>
                <w:sz w:val="20"/>
                <w:vertAlign w:val="subscript"/>
              </w:rPr>
              <w:t>i</w:t>
            </w:r>
            <w:r w:rsidRPr="0013396E">
              <w:rPr>
                <w:b/>
                <w:position w:val="30"/>
                <w:sz w:val="20"/>
              </w:rPr>
              <w:t>, 0.0), (0.2 * LRDF_2 * Actual Net Telemetered Consumption)) from all CLRs active in SCED and qualified for Regulation Service and/or RRS without an Ancillary Service Resource award</w:t>
            </w:r>
          </w:p>
        </w:tc>
      </w:tr>
    </w:tbl>
    <w:p w14:paraId="02453B9B" w14:textId="77777777" w:rsidR="001B6149" w:rsidRPr="0013396E" w:rsidRDefault="001B6149" w:rsidP="00422B96">
      <w:pPr>
        <w:tabs>
          <w:tab w:val="left" w:pos="2160"/>
        </w:tabs>
        <w:ind w:left="2160" w:hanging="2160"/>
        <w:rPr>
          <w:b/>
          <w:position w:val="30"/>
          <w:sz w:val="20"/>
        </w:rPr>
      </w:pPr>
    </w:p>
    <w:p w14:paraId="30915A18" w14:textId="77777777" w:rsidR="00422B96" w:rsidRPr="0013396E" w:rsidRDefault="00422B96" w:rsidP="00422B96">
      <w:pPr>
        <w:tabs>
          <w:tab w:val="left" w:pos="2160"/>
        </w:tabs>
        <w:ind w:left="2160" w:hanging="2160"/>
        <w:rPr>
          <w:b/>
          <w:position w:val="30"/>
          <w:sz w:val="20"/>
          <w:vertAlign w:val="subscript"/>
        </w:rPr>
      </w:pPr>
      <w:r w:rsidRPr="0013396E">
        <w:rPr>
          <w:noProof/>
        </w:rPr>
        <w:lastRenderedPageBreak/>
        <mc:AlternateContent>
          <mc:Choice Requires="wpg">
            <w:drawing>
              <wp:anchor distT="0" distB="0" distL="114300" distR="114300" simplePos="0" relativeHeight="251705344" behindDoc="0" locked="0" layoutInCell="1" allowOverlap="1" wp14:anchorId="5CF444CB" wp14:editId="21FFF5FE">
                <wp:simplePos x="0" y="0"/>
                <wp:positionH relativeFrom="column">
                  <wp:posOffset>556895</wp:posOffset>
                </wp:positionH>
                <wp:positionV relativeFrom="paragraph">
                  <wp:posOffset>-265430</wp:posOffset>
                </wp:positionV>
                <wp:extent cx="2176193" cy="9305290"/>
                <wp:effectExtent l="0" t="0" r="0" b="0"/>
                <wp:wrapNone/>
                <wp:docPr id="1091906159" name="Group 1091906159"/>
                <wp:cNvGraphicFramePr/>
                <a:graphic xmlns:a="http://schemas.openxmlformats.org/drawingml/2006/main">
                  <a:graphicData uri="http://schemas.microsoft.com/office/word/2010/wordprocessingGroup">
                    <wpg:wgp>
                      <wpg:cNvGrpSpPr/>
                      <wpg:grpSpPr>
                        <a:xfrm>
                          <a:off x="0" y="0"/>
                          <a:ext cx="2176193" cy="9305290"/>
                          <a:chOff x="0" y="0"/>
                          <a:chExt cx="2176193" cy="9305290"/>
                        </a:xfrm>
                      </wpg:grpSpPr>
                      <wps:wsp>
                        <wps:cNvPr id="1523999613" name="Rectangle 1523999613"/>
                        <wps:cNvSpPr/>
                        <wps:spPr>
                          <a:xfrm>
                            <a:off x="1438958" y="7966710"/>
                            <a:ext cx="737235" cy="1338580"/>
                          </a:xfrm>
                          <a:prstGeom prst="rect">
                            <a:avLst/>
                          </a:prstGeom>
                          <a:noFill/>
                        </wps:spPr>
                        <wps:bodyPr/>
                      </wps:wsp>
                      <wps:wsp>
                        <wps:cNvPr id="110618679" name="Rectangle 110618679"/>
                        <wps:cNvSpPr>
                          <a:spLocks noChangeArrowheads="1"/>
                        </wps:cNvSpPr>
                        <wps:spPr bwMode="auto">
                          <a:xfrm>
                            <a:off x="139688" y="469893"/>
                            <a:ext cx="24447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98A4C" w14:textId="77777777" w:rsidR="00422B96" w:rsidRDefault="00422B96" w:rsidP="00422B96">
                              <w:r>
                                <w:rPr>
                                  <w:rFonts w:ascii="Symbol" w:hAnsi="Symbol" w:cs="Symbol"/>
                                  <w:color w:val="000000"/>
                                  <w:sz w:val="54"/>
                                  <w:szCs w:val="54"/>
                                </w:rPr>
                                <w:t></w:t>
                              </w:r>
                            </w:p>
                          </w:txbxContent>
                        </wps:txbx>
                        <wps:bodyPr rot="0" vert="horz" wrap="none" lIns="0" tIns="0" rIns="0" bIns="0" anchor="t" anchorCtr="0" upright="1">
                          <a:spAutoFit/>
                        </wps:bodyPr>
                      </wps:wsp>
                      <wps:wsp>
                        <wps:cNvPr id="199809170" name="Rectangle 199809170"/>
                        <wps:cNvSpPr>
                          <a:spLocks noChangeArrowheads="1"/>
                        </wps:cNvSpPr>
                        <wps:spPr bwMode="auto">
                          <a:xfrm>
                            <a:off x="69891" y="848987"/>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6A007" w14:textId="77777777" w:rsidR="00422B96" w:rsidRDefault="00422B96" w:rsidP="00422B96">
                              <w:r>
                                <w:rPr>
                                  <w:rFonts w:ascii="Symbol" w:hAnsi="Symbol" w:cs="Symbol"/>
                                  <w:color w:val="000000"/>
                                </w:rPr>
                                <w:t></w:t>
                              </w:r>
                            </w:p>
                          </w:txbxContent>
                        </wps:txbx>
                        <wps:bodyPr rot="0" vert="horz" wrap="none" lIns="0" tIns="0" rIns="0" bIns="0" anchor="t" anchorCtr="0" upright="1">
                          <a:spAutoFit/>
                        </wps:bodyPr>
                      </wps:wsp>
                      <wps:wsp>
                        <wps:cNvPr id="1555491498" name="Rectangle 1555491498"/>
                        <wps:cNvSpPr>
                          <a:spLocks noChangeArrowheads="1"/>
                        </wps:cNvSpPr>
                        <wps:spPr bwMode="auto">
                          <a:xfrm>
                            <a:off x="3900" y="401994"/>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CBA9A" w14:textId="77777777" w:rsidR="00422B96" w:rsidRDefault="00422B96" w:rsidP="00422B96">
                              <w:pPr>
                                <w:rPr>
                                  <w:b/>
                                </w:rPr>
                              </w:pPr>
                              <w:r>
                                <w:rPr>
                                  <w:b/>
                                  <w:i/>
                                  <w:iCs/>
                                  <w:color w:val="000000"/>
                                </w:rPr>
                                <w:t>resources</w:t>
                              </w:r>
                            </w:p>
                          </w:txbxContent>
                        </wps:txbx>
                        <wps:bodyPr rot="0" vert="horz" wrap="none" lIns="0" tIns="0" rIns="0" bIns="0" anchor="t" anchorCtr="0" upright="1">
                          <a:spAutoFit/>
                        </wps:bodyPr>
                      </wps:wsp>
                      <wps:wsp>
                        <wps:cNvPr id="451405393" name="Rectangle 451405393"/>
                        <wps:cNvSpPr>
                          <a:spLocks noChangeArrowheads="1"/>
                        </wps:cNvSpPr>
                        <wps:spPr bwMode="auto">
                          <a:xfrm>
                            <a:off x="0" y="267996"/>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0F796" w14:textId="77777777" w:rsidR="00422B96" w:rsidRDefault="00422B96" w:rsidP="00422B96">
                              <w:pPr>
                                <w:rPr>
                                  <w:b/>
                                </w:rPr>
                              </w:pPr>
                              <w:r>
                                <w:rPr>
                                  <w:b/>
                                  <w:i/>
                                  <w:iCs/>
                                  <w:color w:val="000000"/>
                                </w:rPr>
                                <w:t>FFR</w:t>
                              </w:r>
                            </w:p>
                          </w:txbxContent>
                        </wps:txbx>
                        <wps:bodyPr rot="0" vert="horz" wrap="none" lIns="0" tIns="0" rIns="0" bIns="0" anchor="t" anchorCtr="0" upright="1">
                          <a:spAutoFit/>
                        </wps:bodyPr>
                      </wps:wsp>
                      <wps:wsp>
                        <wps:cNvPr id="592910009" name="Rectangle 592910009"/>
                        <wps:cNvSpPr>
                          <a:spLocks noChangeArrowheads="1"/>
                        </wps:cNvSpPr>
                        <wps:spPr bwMode="auto">
                          <a:xfrm>
                            <a:off x="2000" y="133998"/>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62890" w14:textId="77777777" w:rsidR="00422B96" w:rsidRDefault="00422B96" w:rsidP="00422B96">
                              <w:pPr>
                                <w:rPr>
                                  <w:b/>
                                </w:rPr>
                              </w:pPr>
                              <w:r>
                                <w:rPr>
                                  <w:b/>
                                  <w:i/>
                                  <w:iCs/>
                                  <w:color w:val="000000"/>
                                </w:rPr>
                                <w:t>online</w:t>
                              </w:r>
                            </w:p>
                          </w:txbxContent>
                        </wps:txbx>
                        <wps:bodyPr rot="0" vert="horz" wrap="none" lIns="0" tIns="0" rIns="0" bIns="0" anchor="t" anchorCtr="0" upright="1">
                          <a:spAutoFit/>
                        </wps:bodyPr>
                      </wps:wsp>
                      <wps:wsp>
                        <wps:cNvPr id="1125926189" name="Rectangle 1125926189"/>
                        <wps:cNvSpPr>
                          <a:spLocks noChangeArrowheads="1"/>
                        </wps:cNvSpPr>
                        <wps:spPr bwMode="auto">
                          <a:xfrm>
                            <a:off x="14000" y="0"/>
                            <a:ext cx="217810" cy="175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C9094" w14:textId="77777777" w:rsidR="00422B96" w:rsidRDefault="00422B96" w:rsidP="00422B96">
                              <w:pPr>
                                <w:rPr>
                                  <w:b/>
                                </w:rPr>
                              </w:pPr>
                              <w:r>
                                <w:rPr>
                                  <w:b/>
                                  <w:i/>
                                  <w:iCs/>
                                  <w:color w:val="000000"/>
                                </w:rPr>
                                <w:t>All</w:t>
                              </w:r>
                            </w:p>
                          </w:txbxContent>
                        </wps:txbx>
                        <wps:bodyPr rot="0" vert="horz" wrap="square" lIns="0" tIns="0" rIns="0" bIns="0" anchor="t" anchorCtr="0" upright="1">
                          <a:spAutoFit/>
                        </wps:bodyPr>
                      </wps:wsp>
                      <wps:wsp>
                        <wps:cNvPr id="1513354785" name="Rectangle 1513354785"/>
                        <wps:cNvSpPr>
                          <a:spLocks noChangeArrowheads="1"/>
                        </wps:cNvSpPr>
                        <wps:spPr bwMode="auto">
                          <a:xfrm>
                            <a:off x="31182" y="1131583"/>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2DAD3" w14:textId="77777777" w:rsidR="00422B96" w:rsidRDefault="00422B96" w:rsidP="00422B96">
                              <w:pPr>
                                <w:rPr>
                                  <w:b/>
                                </w:rPr>
                              </w:pPr>
                              <w:r>
                                <w:rPr>
                                  <w:b/>
                                  <w:i/>
                                  <w:iCs/>
                                  <w:color w:val="000000"/>
                                </w:rPr>
                                <w:t>resource</w:t>
                              </w:r>
                            </w:p>
                          </w:txbxContent>
                        </wps:txbx>
                        <wps:bodyPr rot="0" vert="horz" wrap="none" lIns="0" tIns="0" rIns="0" bIns="0" anchor="t" anchorCtr="0" upright="1">
                          <a:spAutoFit/>
                        </wps:bodyPr>
                      </wps:wsp>
                      <wps:wsp>
                        <wps:cNvPr id="1768462538" name="Rectangle 1768462538"/>
                        <wps:cNvSpPr>
                          <a:spLocks noChangeArrowheads="1"/>
                        </wps:cNvSpPr>
                        <wps:spPr bwMode="auto">
                          <a:xfrm>
                            <a:off x="26682" y="997585"/>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57CB1" w14:textId="77777777" w:rsidR="00422B96" w:rsidRDefault="00422B96" w:rsidP="00422B96">
                              <w:pPr>
                                <w:rPr>
                                  <w:b/>
                                </w:rPr>
                              </w:pPr>
                              <w:r>
                                <w:rPr>
                                  <w:b/>
                                  <w:i/>
                                  <w:iCs/>
                                  <w:color w:val="000000"/>
                                </w:rPr>
                                <w:t>FFR</w:t>
                              </w:r>
                            </w:p>
                          </w:txbxContent>
                        </wps:txbx>
                        <wps:bodyPr rot="0" vert="horz" wrap="none" lIns="0" tIns="0" rIns="0" bIns="0" anchor="t" anchorCtr="0" upright="1">
                          <a:spAutoFit/>
                        </wps:bodyPr>
                      </wps:wsp>
                      <wps:wsp>
                        <wps:cNvPr id="890523991" name="Rectangle 890523991"/>
                        <wps:cNvSpPr>
                          <a:spLocks noChangeArrowheads="1"/>
                        </wps:cNvSpPr>
                        <wps:spPr bwMode="auto">
                          <a:xfrm>
                            <a:off x="142849" y="86358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074B6" w14:textId="77777777" w:rsidR="00422B96" w:rsidRDefault="00422B96" w:rsidP="00422B96">
                              <w:pPr>
                                <w:rPr>
                                  <w:b/>
                                </w:rPr>
                              </w:pPr>
                              <w:r>
                                <w:rPr>
                                  <w:b/>
                                  <w:i/>
                                  <w:iCs/>
                                  <w:color w:val="000000"/>
                                </w:rPr>
                                <w:t>online</w:t>
                              </w:r>
                            </w:p>
                          </w:txbxContent>
                        </wps:txbx>
                        <wps:bodyPr rot="0" vert="horz" wrap="none" lIns="0" tIns="0" rIns="0" bIns="0" anchor="t" anchorCtr="0" upright="1">
                          <a:spAutoFit/>
                        </wps:bodyPr>
                      </wps:wsp>
                      <wps:wsp>
                        <wps:cNvPr id="159795743" name="Rectangle 159795743"/>
                        <wps:cNvSpPr>
                          <a:spLocks noChangeArrowheads="1"/>
                        </wps:cNvSpPr>
                        <wps:spPr bwMode="auto">
                          <a:xfrm>
                            <a:off x="26682" y="86358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0B0E5" w14:textId="77777777" w:rsidR="00422B96" w:rsidRDefault="00422B96" w:rsidP="00422B96">
                              <w:pPr>
                                <w:rPr>
                                  <w:b/>
                                </w:rPr>
                              </w:pPr>
                              <w:r>
                                <w:rPr>
                                  <w:b/>
                                  <w:i/>
                                  <w:iCs/>
                                  <w:color w:val="000000"/>
                                </w:rPr>
                                <w:t>i</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CF444CB" id="Group 1091906159" o:spid="_x0000_s1189" style="position:absolute;left:0;text-align:left;margin-left:43.85pt;margin-top:-20.9pt;width:171.35pt;height:732.7pt;z-index:251705344" coordsize="21761,93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1hPDAQAAEsaAAAOAAAAZHJzL2Uyb0RvYy54bWzsmd2OozYUx+8r9R0Q953gT2w0mdVqtzOq&#10;tG1X3fYBHEICKmBqkyHTp++xSWDCRNqPrphoZ28ShxPM8f/8fHxsrl/tqzK4z4wtdL0M0VUUBlmd&#10;6nVRb5fhX3/e/iTCwLaqXqtS19kyfMhs+Ormxx+uuybJsM51uc5MAJ3UNumaZZi3bZMsFjbNs0rZ&#10;K91kNRg32lSqhZ9mu1gb1UHvVbnAUcQXnTbrxug0sxauvu2N4Y3vf7PJ0vb3zcZmbVAuQ/Ct9Z/G&#10;f67c5+LmWiVbo5q8SA9uqC/wolJFDQ8dunqrWhXsTPGkq6pIjbZ6016lulrozaZIMz8GGA2KJqO5&#10;M3rX+LFsk27bDDKBtBOdvrjb9Lf7O9N8aN4bUKJrtqCF/+XGst+Yyn2Dl8HeS/YwSJbt2yCFixjF&#10;HEkSBinYJIkYlgdR0xyUf3Jfmv/8kTsXxwcvTtzpGgDEjhrY/6fBh1w1mZfWJqDBexMUa+CXYSKl&#10;5AgGVKsKeP0DCFL1tsyCRzYvlb9vEM4mFjQ8oxqiREgGswD0iSXnMTroc1QwJjEmrBcQESKY8H8Y&#10;ZFBJY2x7l+kqcI1laMAlz5q6f2db8AX+evyLc6DWt0VZuutOs94t11rp9YMPs78OWrqAzyEqijgS&#10;PJZnNB1Mp5K6YdjmnU7/tkGt3+QQgey1MbrLM7WGyCM3b/0wIHYuBv1Q3FiDVferXkPk1K7VXqYJ&#10;xohILvp4UC4FsAt9qeQYDkwpjQ/hoDgi8deKhkrK+jQ8/ZVJlNr9at+zGGHn2Ri5wOg+fUG6hUau&#10;zb9h0EHqWoY15NYwKH+pQRuX5Y4Nc2ysjg1Vp3DjMmzDoG++aftsuGtMsc2hX+RFs81r0O+28HyN&#10;PhxUnxEeKUUkEUTh6YQcTPPB44BBfi4LKqSIT9kRRGBw1KVCAJ73mfArTOTPR8dDPYbtZaLDGKMS&#10;UQmT/WkyH2zzwUNkBHQAHDRCUtJTdniECD0uAzHD/PnyjvfshcNDGaIRI66ymbIzmuZDp+cGwyIq&#10;+Sk3JOJxdBncsO/rVcgkliiKojPFzmiajxvYIvXoQGUJy+UEHSnQhaQcD/ULTzkIYUAESuUz7Dyy&#10;zQcPZMADPZMtC2z6BGxj+kInZkj6OuhZCh3/5E8Cx/6zU+ZbrZIZzG9GYwELwXS5QqNtPnQIQgL7&#10;WgchgpiYbLIYxe6c4AjQcxY7Pid+EkDf8CYr5oJyzMi5Snm0zYcP5vyAj5QxA6rh0eMW/YJKHvm9&#10;5AmFhFM/qC5gXzzNPaNpPnYQxYLCEgr7LMEJm+7RycUUPf1B4EtPPUzGksX0zD4LDab54BkTzzl2&#10;KGaXUS8jfwB6uejAmaZ/Y+HPpg9vV9wrkce//VHi+A7o5j8AAAD//wMAUEsDBBQABgAIAAAAIQDc&#10;FhE44QAAAAsBAAAPAAAAZHJzL2Rvd25yZXYueG1sTI9BS8NAEIXvgv9hGcFbu0kT2xKzKaWopyLY&#10;CuJtm50modnZkN0m6b93POlxmI/3vpdvJtuKAXvfOFIQzyMQSKUzDVUKPo+vszUIHzQZ3TpCBTf0&#10;sCnu73KdGTfSBw6HUAkOIZ9pBXUIXSalL2u02s9dh8S/s+utDnz2lTS9HjnctnIRRUtpdUPcUOsO&#10;dzWWl8PVKngb9bhN4pdhfznvbt/Hp/evfYxKPT5M22cQAafwB8OvPqtDwU4ndyXjRatgvVoxqWCW&#10;xjyBgTSJUhAnJtNFsgRZ5PL/huIHAAD//wMAUEsBAi0AFAAGAAgAAAAhALaDOJL+AAAA4QEAABMA&#10;AAAAAAAAAAAAAAAAAAAAAFtDb250ZW50X1R5cGVzXS54bWxQSwECLQAUAAYACAAAACEAOP0h/9YA&#10;AACUAQAACwAAAAAAAAAAAAAAAAAvAQAAX3JlbHMvLnJlbHNQSwECLQAUAAYACAAAACEAxENYTwwE&#10;AABLGgAADgAAAAAAAAAAAAAAAAAuAgAAZHJzL2Uyb0RvYy54bWxQSwECLQAUAAYACAAAACEA3BYR&#10;OOEAAAALAQAADwAAAAAAAAAAAAAAAABmBgAAZHJzL2Rvd25yZXYueG1sUEsFBgAAAAAEAAQA8wAA&#10;AHQHAAAAAA==&#10;">
                <v:rect id="Rectangle 1523999613" o:spid="_x0000_s1190" style="position:absolute;left:14389;top:79667;width:7372;height:1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m3zyQAAAOMAAAAPAAAAZHJzL2Rvd25yZXYueG1sRE9La8JA&#10;EL4L/Q/LFHqRulGpNNFVilAMpSCNj/OQHZPQ7GzMrkn677sFocf53rPaDKYWHbWusqxgOolAEOdW&#10;V1woOB7en19BOI+ssbZMCn7IwWb9MFphom3PX9RlvhAhhF2CCkrvm0RKl5dk0E1sQxy4i20N+nC2&#10;hdQt9iHc1HIWRQtpsOLQUGJD25Ly7+xmFPT5vjsfPndyPz6nlq/pdZudPpR6ehzeliA8Df5ffHen&#10;Osx/mc3jOF5M5/D3UwBArn8BAAD//wMAUEsBAi0AFAAGAAgAAAAhANvh9svuAAAAhQEAABMAAAAA&#10;AAAAAAAAAAAAAAAAAFtDb250ZW50X1R5cGVzXS54bWxQSwECLQAUAAYACAAAACEAWvQsW78AAAAV&#10;AQAACwAAAAAAAAAAAAAAAAAfAQAAX3JlbHMvLnJlbHNQSwECLQAUAAYACAAAACEAkM5t88kAAADj&#10;AAAADwAAAAAAAAAAAAAAAAAHAgAAZHJzL2Rvd25yZXYueG1sUEsFBgAAAAADAAMAtwAAAP0CAAAA&#10;AA==&#10;" filled="f" stroked="f"/>
                <v:rect id="Rectangle 110618679" o:spid="_x0000_s1191" style="position:absolute;left:1396;top:4698;width:2445;height:42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2j/xAAAAOIAAAAPAAAAZHJzL2Rvd25yZXYueG1sRE/dSsMw&#10;FL4XfIdwBO9c0l3UWpeNIQymeLNuD3BoTn9YclKSuNa3N4Lg5cf3v9ktzoobhTh61lCsFAji1puR&#10;ew2X8+GpAhETskHrmTR8U4Td9v5ug7XxM5/o1qRe5BCONWoYUppqKWM7kMO48hNx5jofHKYMQy9N&#10;wDmHOyvXSpXS4ci5YcCJ3gZqr82X0yDPzWGuGhuU/1h3n/b9eOrIa/34sOxfQSRa0r/4z300eX6h&#10;yqIqn1/g91LGILc/AAAA//8DAFBLAQItABQABgAIAAAAIQDb4fbL7gAAAIUBAAATAAAAAAAAAAAA&#10;AAAAAAAAAABbQ29udGVudF9UeXBlc10ueG1sUEsBAi0AFAAGAAgAAAAhAFr0LFu/AAAAFQEAAAsA&#10;AAAAAAAAAAAAAAAAHwEAAF9yZWxzLy5yZWxzUEsBAi0AFAAGAAgAAAAhABJXaP/EAAAA4gAAAA8A&#10;AAAAAAAAAAAAAAAABwIAAGRycy9kb3ducmV2LnhtbFBLBQYAAAAAAwADALcAAAD4AgAAAAA=&#10;" filled="f" stroked="f">
                  <v:textbox style="mso-fit-shape-to-text:t" inset="0,0,0,0">
                    <w:txbxContent>
                      <w:p w14:paraId="3C798A4C" w14:textId="77777777" w:rsidR="00422B96" w:rsidRDefault="00422B96" w:rsidP="00422B96">
                        <w:r>
                          <w:rPr>
                            <w:rFonts w:ascii="Symbol" w:hAnsi="Symbol" w:cs="Symbol"/>
                            <w:color w:val="000000"/>
                            <w:sz w:val="54"/>
                            <w:szCs w:val="54"/>
                          </w:rPr>
                          <w:t></w:t>
                        </w:r>
                      </w:p>
                    </w:txbxContent>
                  </v:textbox>
                </v:rect>
                <v:rect id="Rectangle 199809170" o:spid="_x0000_s1192" style="position:absolute;left:698;top:8489;width:839;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BmgxAAAAOIAAAAPAAAAZHJzL2Rvd25yZXYueG1sRE/LagIx&#10;FN0X/Idwhe5qoot2ZmoUEQRbunHsB1wmdx6Yx5BEZ/r3vYtCl4fz3u5nZ8WDYhqC17BeKRDkm2AG&#10;32n4vp5eChApozdogycNP5Rgv1s8bbEyYfIXetS5ExziU4Ua+pzHSsrU9OQwrcJInrk2RIeZYeyk&#10;iThxuLNyo9SrdDh4buhxpGNPza2+Ow3yWp+morZRhc9N+2U/zpeWgtbPy/nwDiLTnP/Ff+6z4fll&#10;Wahy/cYn+BJjkLtfAAAA//8DAFBLAQItABQABgAIAAAAIQDb4fbL7gAAAIUBAAATAAAAAAAAAAAA&#10;AAAAAAAAAABbQ29udGVudF9UeXBlc10ueG1sUEsBAi0AFAAGAAgAAAAhAFr0LFu/AAAAFQEAAAsA&#10;AAAAAAAAAAAAAAAAHwEAAF9yZWxzLy5yZWxzUEsBAi0AFAAGAAgAAAAhAMRwGaDEAAAA4gAAAA8A&#10;AAAAAAAAAAAAAAAABwIAAGRycy9kb3ducmV2LnhtbFBLBQYAAAAAAwADALcAAAD4AgAAAAA=&#10;" filled="f" stroked="f">
                  <v:textbox style="mso-fit-shape-to-text:t" inset="0,0,0,0">
                    <w:txbxContent>
                      <w:p w14:paraId="39B6A007" w14:textId="77777777" w:rsidR="00422B96" w:rsidRDefault="00422B96" w:rsidP="00422B96">
                        <w:r>
                          <w:rPr>
                            <w:rFonts w:ascii="Symbol" w:hAnsi="Symbol" w:cs="Symbol"/>
                            <w:color w:val="000000"/>
                          </w:rPr>
                          <w:t></w:t>
                        </w:r>
                      </w:p>
                    </w:txbxContent>
                  </v:textbox>
                </v:rect>
                <v:rect id="Rectangle 1555491498" o:spid="_x0000_s1193" style="position:absolute;left:39;top:4019;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zZQygAAAOMAAAAPAAAAZHJzL2Rvd25yZXYueG1sRI/NagMx&#10;DITvhb6DUaG3xpuQLck2TiiFQFp6ySYPINbaH2rLi+1mt29fHQo9SjOa+bQ7zN6pG8U0BDawXBSg&#10;iJtgB+4MXC/Hpw2olJEtusBk4IcSHPb3dzusbJj4TLc6d0pCOFVooM95rLROTU8e0yKMxKK1IXrM&#10;MsZO24iThHunV0XxrD0OLA09jvTWU/NVf3sD+lIfp03tYhE+Vu2nez+dWwrGPD7Mry+gMs353/x3&#10;fbKCX5blertcbwVafpIF6P0vAAAA//8DAFBLAQItABQABgAIAAAAIQDb4fbL7gAAAIUBAAATAAAA&#10;AAAAAAAAAAAAAAAAAABbQ29udGVudF9UeXBlc10ueG1sUEsBAi0AFAAGAAgAAAAhAFr0LFu/AAAA&#10;FQEAAAsAAAAAAAAAAAAAAAAAHwEAAF9yZWxzLy5yZWxzUEsBAi0AFAAGAAgAAAAhAA8bNlDKAAAA&#10;4wAAAA8AAAAAAAAAAAAAAAAABwIAAGRycy9kb3ducmV2LnhtbFBLBQYAAAAAAwADALcAAAD+AgAA&#10;AAA=&#10;" filled="f" stroked="f">
                  <v:textbox style="mso-fit-shape-to-text:t" inset="0,0,0,0">
                    <w:txbxContent>
                      <w:p w14:paraId="000CBA9A" w14:textId="77777777" w:rsidR="00422B96" w:rsidRDefault="00422B96" w:rsidP="00422B96">
                        <w:pPr>
                          <w:rPr>
                            <w:b/>
                          </w:rPr>
                        </w:pPr>
                        <w:r>
                          <w:rPr>
                            <w:b/>
                            <w:i/>
                            <w:iCs/>
                            <w:color w:val="000000"/>
                          </w:rPr>
                          <w:t>resources</w:t>
                        </w:r>
                      </w:p>
                    </w:txbxContent>
                  </v:textbox>
                </v:rect>
                <v:rect id="Rectangle 451405393" o:spid="_x0000_s1194" style="position:absolute;top:2679;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DAyAAAAOIAAAAPAAAAZHJzL2Rvd25yZXYueG1sRI/dSgMx&#10;FITvhb5DOAXvbNJf6tq0FKFQxZtufYDD5uwPJidLknbXtzeC4OUwM98wu8PorLhTiJ1nDfOZAkFc&#10;edNxo+HzenragogJ2aD1TBq+KcJhP3nYYWH8wBe6l6kRGcKxQA1tSn0hZaxachhnvifOXu2Dw5Rl&#10;aKQJOGS4s3Kh1EY67DgvtNjTa0vVV3lzGuS1PA3b0gbl3xf1h307X2ryWj9Ox+MLiERj+g//tc9G&#10;w2o9X6n18nkJv5fyHZD7HwAAAP//AwBQSwECLQAUAAYACAAAACEA2+H2y+4AAACFAQAAEwAAAAAA&#10;AAAAAAAAAAAAAAAAW0NvbnRlbnRfVHlwZXNdLnhtbFBLAQItABQABgAIAAAAIQBa9CxbvwAAABUB&#10;AAALAAAAAAAAAAAAAAAAAB8BAABfcmVscy8ucmVsc1BLAQItABQABgAIAAAAIQDoxfDAyAAAAOIA&#10;AAAPAAAAAAAAAAAAAAAAAAcCAABkcnMvZG93bnJldi54bWxQSwUGAAAAAAMAAwC3AAAA/AIAAAAA&#10;" filled="f" stroked="f">
                  <v:textbox style="mso-fit-shape-to-text:t" inset="0,0,0,0">
                    <w:txbxContent>
                      <w:p w14:paraId="7BD0F796" w14:textId="77777777" w:rsidR="00422B96" w:rsidRDefault="00422B96" w:rsidP="00422B96">
                        <w:pPr>
                          <w:rPr>
                            <w:b/>
                          </w:rPr>
                        </w:pPr>
                        <w:r>
                          <w:rPr>
                            <w:b/>
                            <w:i/>
                            <w:iCs/>
                            <w:color w:val="000000"/>
                          </w:rPr>
                          <w:t>FFR</w:t>
                        </w:r>
                      </w:p>
                    </w:txbxContent>
                  </v:textbox>
                </v:rect>
                <v:rect id="Rectangle 592910009" o:spid="_x0000_s1195" style="position:absolute;left:20;top:1339;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oxxwAAAOIAAAAPAAAAZHJzL2Rvd25yZXYueG1sRI/NasMw&#10;EITvhb6D2EJvjRRDSuxECaUQSEovcfIAi7X+IdLKSGrsvn1VKPQ4zMw3zHY/OyvuFOLgWcNyoUAQ&#10;N94M3Gm4Xg4vaxAxIRu0nknDN0XY7x4ftlgZP/GZ7nXqRIZwrFBDn9JYSRmbnhzGhR+Js9f64DBl&#10;GTppAk4Z7qwslHqVDgfOCz2O9N5Tc6u/nAZ5qQ/TurZB+Y+i/bSn47klr/Xz0/y2AZFoTv/hv/bR&#10;aFiVRblUSpXweynfAbn7AQAA//8DAFBLAQItABQABgAIAAAAIQDb4fbL7gAAAIUBAAATAAAAAAAA&#10;AAAAAAAAAAAAAABbQ29udGVudF9UeXBlc10ueG1sUEsBAi0AFAAGAAgAAAAhAFr0LFu/AAAAFQEA&#10;AAsAAAAAAAAAAAAAAAAAHwEAAF9yZWxzLy5yZWxzUEsBAi0AFAAGAAgAAAAhAPF4SjHHAAAA4gAA&#10;AA8AAAAAAAAAAAAAAAAABwIAAGRycy9kb3ducmV2LnhtbFBLBQYAAAAAAwADALcAAAD7AgAAAAA=&#10;" filled="f" stroked="f">
                  <v:textbox style="mso-fit-shape-to-text:t" inset="0,0,0,0">
                    <w:txbxContent>
                      <w:p w14:paraId="00162890" w14:textId="77777777" w:rsidR="00422B96" w:rsidRDefault="00422B96" w:rsidP="00422B96">
                        <w:pPr>
                          <w:rPr>
                            <w:b/>
                          </w:rPr>
                        </w:pPr>
                        <w:r>
                          <w:rPr>
                            <w:b/>
                            <w:i/>
                            <w:iCs/>
                            <w:color w:val="000000"/>
                          </w:rPr>
                          <w:t>online</w:t>
                        </w:r>
                      </w:p>
                    </w:txbxContent>
                  </v:textbox>
                </v:rect>
                <v:rect id="Rectangle 1125926189" o:spid="_x0000_s1196" style="position:absolute;left:140;width:2178;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BDZyAAAAOMAAAAPAAAAZHJzL2Rvd25yZXYueG1sRE/NSsNA&#10;EL4LvsMyghexmwQsSZpNEaHgQZCmHvQ2ZKfZtNnZkF2b6NO7guBxvv+ptosdxIUm3ztWkK4SEMSt&#10;0z13Ct4Ou/schA/IGgfHpOCLPGzr66sKS+1m3tOlCZ2IIexLVGBCGEspfWvIol+5kThyRzdZDPGc&#10;OqknnGO4HWSWJGtpsefYYHCkJ0Ptufm0Cnav7z3xt9zfFfnsTm320ZiXUanbm+VxAyLQEv7Ff+5n&#10;Heen2UORrdO8gN+fIgCy/gEAAP//AwBQSwECLQAUAAYACAAAACEA2+H2y+4AAACFAQAAEwAAAAAA&#10;AAAAAAAAAAAAAAAAW0NvbnRlbnRfVHlwZXNdLnhtbFBLAQItABQABgAIAAAAIQBa9CxbvwAAABUB&#10;AAALAAAAAAAAAAAAAAAAAB8BAABfcmVscy8ucmVsc1BLAQItABQABgAIAAAAIQCZfBDZyAAAAOMA&#10;AAAPAAAAAAAAAAAAAAAAAAcCAABkcnMvZG93bnJldi54bWxQSwUGAAAAAAMAAwC3AAAA/AIAAAAA&#10;" filled="f" stroked="f">
                  <v:textbox style="mso-fit-shape-to-text:t" inset="0,0,0,0">
                    <w:txbxContent>
                      <w:p w14:paraId="544C9094" w14:textId="77777777" w:rsidR="00422B96" w:rsidRDefault="00422B96" w:rsidP="00422B96">
                        <w:pPr>
                          <w:rPr>
                            <w:b/>
                          </w:rPr>
                        </w:pPr>
                        <w:r>
                          <w:rPr>
                            <w:b/>
                            <w:i/>
                            <w:iCs/>
                            <w:color w:val="000000"/>
                          </w:rPr>
                          <w:t>All</w:t>
                        </w:r>
                      </w:p>
                    </w:txbxContent>
                  </v:textbox>
                </v:rect>
                <v:rect id="Rectangle 1513354785" o:spid="_x0000_s1197" style="position:absolute;left:311;top:11315;width:542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08xgAAAOMAAAAPAAAAZHJzL2Rvd25yZXYueG1sRE/NagIx&#10;EL4XfIcwgreaVbvtsjWKFARbenHtAwyb2R9MJkuSuuvbN4VCj/P9z3Y/WSNu5EPvWMFqmYEgrp3u&#10;uVXwdTk+FiBCRNZoHJOCOwXY72YPWyy1G/lMtyq2IoVwKFFBF+NQShnqjiyGpRuIE9c4bzGm07dS&#10;exxTuDVynWXP0mLPqaHDgd46qq/Vt1UgL9VxLCrjM/exbj7N++nckFNqMZ8OryAiTfFf/Oc+6TQ/&#10;X202+dNLkcPvTwkAufsBAAD//wMAUEsBAi0AFAAGAAgAAAAhANvh9svuAAAAhQEAABMAAAAAAAAA&#10;AAAAAAAAAAAAAFtDb250ZW50X1R5cGVzXS54bWxQSwECLQAUAAYACAAAACEAWvQsW78AAAAVAQAA&#10;CwAAAAAAAAAAAAAAAAAfAQAAX3JlbHMvLnJlbHNQSwECLQAUAAYACAAAACEA0EZNPMYAAADjAAAA&#10;DwAAAAAAAAAAAAAAAAAHAgAAZHJzL2Rvd25yZXYueG1sUEsFBgAAAAADAAMAtwAAAPoCAAAAAA==&#10;" filled="f" stroked="f">
                  <v:textbox style="mso-fit-shape-to-text:t" inset="0,0,0,0">
                    <w:txbxContent>
                      <w:p w14:paraId="5162DAD3" w14:textId="77777777" w:rsidR="00422B96" w:rsidRDefault="00422B96" w:rsidP="00422B96">
                        <w:pPr>
                          <w:rPr>
                            <w:b/>
                          </w:rPr>
                        </w:pPr>
                        <w:r>
                          <w:rPr>
                            <w:b/>
                            <w:i/>
                            <w:iCs/>
                            <w:color w:val="000000"/>
                          </w:rPr>
                          <w:t>resource</w:t>
                        </w:r>
                      </w:p>
                    </w:txbxContent>
                  </v:textbox>
                </v:rect>
                <v:rect id="Rectangle 1768462538" o:spid="_x0000_s1198" style="position:absolute;left:266;top:9975;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sLyygAAAOMAAAAPAAAAZHJzL2Rvd25yZXYueG1sRI/NasMw&#10;EITvhb6D2EJvjRy3dY0bJYRCICm9xMkDLNb6h0grIymx+/bRodDj7szOfLvazNaIG/kwOFawXGQg&#10;iBunB+4UnE+7lxJEiMgajWNS8EsBNuvHhxVW2k18pFsdO5FCOFSooI9xrKQMTU8Ww8KNxElrnbcY&#10;0+g7qT1OKdwamWdZIS0OnBp6HOmrp+ZSX60Ceap3U1kbn7nvvP0xh/2xJafU89O8/QQRaY7/5r/r&#10;vU74H0X5VuTvrwk6/ZQWINd3AAAA//8DAFBLAQItABQABgAIAAAAIQDb4fbL7gAAAIUBAAATAAAA&#10;AAAAAAAAAAAAAAAAAABbQ29udGVudF9UeXBlc10ueG1sUEsBAi0AFAAGAAgAAAAhAFr0LFu/AAAA&#10;FQEAAAsAAAAAAAAAAAAAAAAAHwEAAF9yZWxzLy5yZWxzUEsBAi0AFAAGAAgAAAAhANKuwvLKAAAA&#10;4wAAAA8AAAAAAAAAAAAAAAAABwIAAGRycy9kb3ducmV2LnhtbFBLBQYAAAAAAwADALcAAAD+AgAA&#10;AAA=&#10;" filled="f" stroked="f">
                  <v:textbox style="mso-fit-shape-to-text:t" inset="0,0,0,0">
                    <w:txbxContent>
                      <w:p w14:paraId="1B057CB1" w14:textId="77777777" w:rsidR="00422B96" w:rsidRDefault="00422B96" w:rsidP="00422B96">
                        <w:pPr>
                          <w:rPr>
                            <w:b/>
                          </w:rPr>
                        </w:pPr>
                        <w:r>
                          <w:rPr>
                            <w:b/>
                            <w:i/>
                            <w:iCs/>
                            <w:color w:val="000000"/>
                          </w:rPr>
                          <w:t>FFR</w:t>
                        </w:r>
                      </w:p>
                    </w:txbxContent>
                  </v:textbox>
                </v:rect>
                <v:rect id="Rectangle 890523991" o:spid="_x0000_s1199" style="position:absolute;left:1428;top:8635;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K0AyAAAAOIAAAAPAAAAZHJzL2Rvd25yZXYueG1sRI/dSgMx&#10;FITvBd8hnIJ3NumKsrs2LSIUqnjTrQ9w2Jz9ocnJksTu+vZGELwcZuYbZrtfnBVXCnH0rGGzViCI&#10;W29G7jV8ng/3JYiYkA1az6ThmyLsd7c3W6yNn/lE1yb1IkM41qhhSGmqpYztQA7j2k/E2et8cJiy&#10;DL00AecMd1YWSj1JhyPnhQEneh2ovTRfToM8N4e5bGxQ/r3oPuzb8dSR1/putbw8g0i0pP/wX/to&#10;NJSVeiweqmoDv5fyHZC7HwAAAP//AwBQSwECLQAUAAYACAAAACEA2+H2y+4AAACFAQAAEwAAAAAA&#10;AAAAAAAAAAAAAAAAW0NvbnRlbnRfVHlwZXNdLnhtbFBLAQItABQABgAIAAAAIQBa9CxbvwAAABUB&#10;AAALAAAAAAAAAAAAAAAAAB8BAABfcmVscy8ucmVsc1BLAQItABQABgAIAAAAIQBTIK0AyAAAAOIA&#10;AAAPAAAAAAAAAAAAAAAAAAcCAABkcnMvZG93bnJldi54bWxQSwUGAAAAAAMAAwC3AAAA/AIAAAAA&#10;" filled="f" stroked="f">
                  <v:textbox style="mso-fit-shape-to-text:t" inset="0,0,0,0">
                    <w:txbxContent>
                      <w:p w14:paraId="12C074B6" w14:textId="77777777" w:rsidR="00422B96" w:rsidRDefault="00422B96" w:rsidP="00422B96">
                        <w:pPr>
                          <w:rPr>
                            <w:b/>
                          </w:rPr>
                        </w:pPr>
                        <w:r>
                          <w:rPr>
                            <w:b/>
                            <w:i/>
                            <w:iCs/>
                            <w:color w:val="000000"/>
                          </w:rPr>
                          <w:t>online</w:t>
                        </w:r>
                      </w:p>
                    </w:txbxContent>
                  </v:textbox>
                </v:rect>
                <v:rect id="Rectangle 159795743" o:spid="_x0000_s1200" style="position:absolute;left:266;top:8635;width:42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UosxQAAAOIAAAAPAAAAZHJzL2Rvd25yZXYueG1sRE/LagIx&#10;FN0X/IdwC93VTG2tOhpFBEGLG8d+wGVy54HJzZBEZ/r3TUHo8nDeq81gjbiTD61jBW/jDARx6XTL&#10;tYLvy/51DiJEZI3GMSn4oQCb9ehphbl2PZ/pXsRapBAOOSpoYuxyKUPZkMUwdh1x4irnLcYEfS21&#10;xz6FWyMnWfYpLbacGhrsaNdQeS1uVoG8FPt+Xhifua9JdTLHw7kip9TL87Bdgog0xH/xw33Qaf50&#10;MVtMZx/v8HcpYZDrXwAAAP//AwBQSwECLQAUAAYACAAAACEA2+H2y+4AAACFAQAAEwAAAAAAAAAA&#10;AAAAAAAAAAAAW0NvbnRlbnRfVHlwZXNdLnhtbFBLAQItABQABgAIAAAAIQBa9CxbvwAAABUBAAAL&#10;AAAAAAAAAAAAAAAAAB8BAABfcmVscy8ucmVsc1BLAQItABQABgAIAAAAIQDEAUosxQAAAOIAAAAP&#10;AAAAAAAAAAAAAAAAAAcCAABkcnMvZG93bnJldi54bWxQSwUGAAAAAAMAAwC3AAAA+QIAAAAA&#10;" filled="f" stroked="f">
                  <v:textbox style="mso-fit-shape-to-text:t" inset="0,0,0,0">
                    <w:txbxContent>
                      <w:p w14:paraId="4110B0E5" w14:textId="77777777" w:rsidR="00422B96" w:rsidRDefault="00422B96" w:rsidP="00422B96">
                        <w:pPr>
                          <w:rPr>
                            <w:b/>
                          </w:rPr>
                        </w:pPr>
                        <w:r>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7</w:t>
      </w:r>
      <w:r w:rsidRPr="0013396E">
        <w:rPr>
          <w:b/>
          <w:position w:val="30"/>
          <w:sz w:val="20"/>
        </w:rPr>
        <w:t xml:space="preserve"> =</w:t>
      </w:r>
      <w:r w:rsidRPr="0013396E">
        <w:rPr>
          <w:b/>
          <w:position w:val="30"/>
          <w:sz w:val="20"/>
        </w:rPr>
        <w:tab/>
        <w:t>(Capacity from Resources capable of providing FFR)</w:t>
      </w:r>
      <w:r w:rsidRPr="0013396E">
        <w:rPr>
          <w:b/>
          <w:position w:val="30"/>
          <w:sz w:val="20"/>
          <w:vertAlign w:val="subscript"/>
        </w:rPr>
        <w:t>i</w:t>
      </w:r>
    </w:p>
    <w:p w14:paraId="533A2947" w14:textId="77777777" w:rsidR="00422B96" w:rsidRPr="0013396E" w:rsidRDefault="00422B96" w:rsidP="00422B96">
      <w:pPr>
        <w:spacing w:before="480"/>
        <w:ind w:left="720" w:hanging="720"/>
        <w:rPr>
          <w:b/>
          <w:position w:val="30"/>
          <w:sz w:val="20"/>
        </w:rPr>
      </w:pPr>
    </w:p>
    <w:p w14:paraId="794E6B78" w14:textId="77777777" w:rsidR="00422B96" w:rsidRPr="0013396E" w:rsidRDefault="00422B96" w:rsidP="00422B96">
      <w:pPr>
        <w:ind w:left="720" w:hanging="720"/>
        <w:rPr>
          <w:b/>
          <w:position w:val="30"/>
          <w:sz w:val="20"/>
        </w:rPr>
      </w:pPr>
    </w:p>
    <w:p w14:paraId="507DE343" w14:textId="77777777" w:rsidR="00422B96" w:rsidRPr="0013396E" w:rsidRDefault="00422B96" w:rsidP="00422B96">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706368" behindDoc="0" locked="0" layoutInCell="1" allowOverlap="1" wp14:anchorId="738CC75E" wp14:editId="7AC966E4">
                <wp:simplePos x="0" y="0"/>
                <wp:positionH relativeFrom="column">
                  <wp:posOffset>483870</wp:posOffset>
                </wp:positionH>
                <wp:positionV relativeFrom="paragraph">
                  <wp:posOffset>43815</wp:posOffset>
                </wp:positionV>
                <wp:extent cx="960755" cy="1369060"/>
                <wp:effectExtent l="0" t="0" r="10795" b="2540"/>
                <wp:wrapNone/>
                <wp:docPr id="1940639163"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98048388" name="Rectangle 71"/>
                        <wps:cNvSpPr>
                          <a:spLocks noChangeArrowheads="1"/>
                        </wps:cNvSpPr>
                        <wps:spPr bwMode="auto">
                          <a:xfrm>
                            <a:off x="141991" y="564542"/>
                            <a:ext cx="1778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7F7CA" w14:textId="77777777" w:rsidR="00422B96" w:rsidRPr="00B074A0" w:rsidRDefault="00422B96" w:rsidP="00422B96">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778211942"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749FB" w14:textId="77777777" w:rsidR="00422B96" w:rsidRDefault="00422B96" w:rsidP="00422B96">
                              <w:r>
                                <w:rPr>
                                  <w:rFonts w:ascii="Symbol" w:hAnsi="Symbol" w:cs="Symbol"/>
                                  <w:color w:val="000000"/>
                                </w:rPr>
                                <w:t></w:t>
                              </w:r>
                            </w:p>
                          </w:txbxContent>
                        </wps:txbx>
                        <wps:bodyPr rot="0" vert="horz" wrap="none" lIns="0" tIns="0" rIns="0" bIns="0" anchor="t" anchorCtr="0" upright="1">
                          <a:spAutoFit/>
                        </wps:bodyPr>
                      </wps:wsp>
                      <wps:wsp>
                        <wps:cNvPr id="1782246985" name="Rectangle 73"/>
                        <wps:cNvSpPr>
                          <a:spLocks noChangeArrowheads="1"/>
                        </wps:cNvSpPr>
                        <wps:spPr bwMode="auto">
                          <a:xfrm>
                            <a:off x="35602" y="372754"/>
                            <a:ext cx="925153" cy="17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8AD9C" w14:textId="77777777" w:rsidR="00422B96" w:rsidRPr="00B34B0A" w:rsidRDefault="00422B96" w:rsidP="00422B96">
                              <w:pPr>
                                <w:rPr>
                                  <w:b/>
                                </w:rPr>
                              </w:pPr>
                              <w:r>
                                <w:rPr>
                                  <w:b/>
                                  <w:i/>
                                  <w:iCs/>
                                  <w:color w:val="000000"/>
                                </w:rPr>
                                <w:t>ESR</w:t>
                              </w:r>
                            </w:p>
                          </w:txbxContent>
                        </wps:txbx>
                        <wps:bodyPr rot="0" vert="horz" wrap="square" lIns="0" tIns="0" rIns="0" bIns="0" anchor="t" anchorCtr="0" upright="1">
                          <a:spAutoFit/>
                        </wps:bodyPr>
                      </wps:wsp>
                      <wps:wsp>
                        <wps:cNvPr id="2008437581"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FBA99" w14:textId="77777777" w:rsidR="00422B96" w:rsidRPr="00B34B0A" w:rsidRDefault="00422B96" w:rsidP="00422B96">
                              <w:pPr>
                                <w:rPr>
                                  <w:b/>
                                </w:rPr>
                              </w:pPr>
                            </w:p>
                          </w:txbxContent>
                        </wps:txbx>
                        <wps:bodyPr rot="0" vert="horz" wrap="none" lIns="0" tIns="0" rIns="0" bIns="0" anchor="t" anchorCtr="0" upright="1">
                          <a:spAutoFit/>
                        </wps:bodyPr>
                      </wps:wsp>
                      <wps:wsp>
                        <wps:cNvPr id="1722027894"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BA278"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1335982124"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3E2AC" w14:textId="77777777" w:rsidR="00422B96" w:rsidRPr="00B34B0A" w:rsidRDefault="00422B96" w:rsidP="00422B96">
                              <w:pPr>
                                <w:rPr>
                                  <w:b/>
                                </w:rPr>
                              </w:pPr>
                              <w:r w:rsidRPr="00B34B0A">
                                <w:rPr>
                                  <w:b/>
                                  <w:i/>
                                  <w:iCs/>
                                  <w:color w:val="000000"/>
                                </w:rPr>
                                <w:t>All</w:t>
                              </w:r>
                            </w:p>
                          </w:txbxContent>
                        </wps:txbx>
                        <wps:bodyPr rot="0" vert="horz" wrap="square" lIns="0" tIns="0" rIns="0" bIns="0" anchor="t" anchorCtr="0" upright="1">
                          <a:spAutoFit/>
                        </wps:bodyPr>
                      </wps:wsp>
                      <wps:wsp>
                        <wps:cNvPr id="1085762482"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55560" w14:textId="77777777" w:rsidR="00422B96" w:rsidRPr="00B34B0A" w:rsidRDefault="00422B96" w:rsidP="00422B96">
                              <w:pPr>
                                <w:rPr>
                                  <w:b/>
                                </w:rPr>
                              </w:pPr>
                            </w:p>
                          </w:txbxContent>
                        </wps:txbx>
                        <wps:bodyPr rot="0" vert="horz" wrap="none" lIns="0" tIns="0" rIns="0" bIns="0" anchor="t" anchorCtr="0" upright="1">
                          <a:spAutoFit/>
                        </wps:bodyPr>
                      </wps:wsp>
                      <wps:wsp>
                        <wps:cNvPr id="1340337191"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DF4CA" w14:textId="77777777" w:rsidR="00422B96" w:rsidRPr="00B34B0A" w:rsidRDefault="00422B96" w:rsidP="00422B96">
                              <w:pPr>
                                <w:rPr>
                                  <w:b/>
                                </w:rPr>
                              </w:pPr>
                              <w:r>
                                <w:rPr>
                                  <w:b/>
                                  <w:i/>
                                  <w:iCs/>
                                  <w:color w:val="000000"/>
                                </w:rPr>
                                <w:t>ESR</w:t>
                              </w:r>
                            </w:p>
                          </w:txbxContent>
                        </wps:txbx>
                        <wps:bodyPr rot="0" vert="horz" wrap="none" lIns="0" tIns="0" rIns="0" bIns="0" anchor="t" anchorCtr="0" upright="1">
                          <a:spAutoFit/>
                        </wps:bodyPr>
                      </wps:wsp>
                      <wps:wsp>
                        <wps:cNvPr id="597245290"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B44F7" w14:textId="77777777" w:rsidR="00422B96" w:rsidRPr="00B34B0A" w:rsidRDefault="00422B96" w:rsidP="00422B96">
                              <w:pPr>
                                <w:rPr>
                                  <w:b/>
                                </w:rPr>
                              </w:pPr>
                              <w:r w:rsidRPr="00B34B0A">
                                <w:rPr>
                                  <w:b/>
                                  <w:i/>
                                  <w:iCs/>
                                  <w:color w:val="000000"/>
                                </w:rPr>
                                <w:t>online</w:t>
                              </w:r>
                            </w:p>
                          </w:txbxContent>
                        </wps:txbx>
                        <wps:bodyPr rot="0" vert="horz" wrap="none" lIns="0" tIns="0" rIns="0" bIns="0" anchor="t" anchorCtr="0" upright="1">
                          <a:spAutoFit/>
                        </wps:bodyPr>
                      </wps:wsp>
                      <wps:wsp>
                        <wps:cNvPr id="487611558"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FB7E1" w14:textId="77777777" w:rsidR="00422B96" w:rsidRPr="00B34B0A" w:rsidRDefault="00422B96" w:rsidP="00422B96">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738CC75E" id="_x0000_s1201" editas="canvas" style="position:absolute;left:0;text-align:left;margin-left:38.1pt;margin-top:3.45pt;width:75.65pt;height:107.8pt;z-index:251706368"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HWXvQMAADoYAAAOAAAAZHJzL2Uyb0RvYy54bWzsmFFv2zYQx98H9DsIem8sUqJICXGKIkWG&#10;Ad1WrNsHoGXaFiqJGqnEzj79/qQspY4NNOgGxUj6YlOUdLo7/nh3vMt3u7oK7pSxpW7mIbmIwkA1&#10;hV6WzXoe/vXnzVsRBraTzVJWulHz8F7Z8N3Vm58ut22uqN7oaqlMACGNzbftPNx0XZvPZrbYqFra&#10;C92qBjdX2tSyw6VZz5ZGbiG9rmY0itLZVptla3ShrMXsh/5meOXlr1aq6H5frazqgmoeQrfO/xr/&#10;u3C/s6tLma+NbDdlsVdDfocWtSwbfHQU9UF2Mrg15ZGouiyMtnrVXRS6nunVqiyUtwHWkOiRNdey&#10;uZPWG1PAO4OCGP2Pchdrp3ejb8qqgjdmkJ67Ofe/xfooTG5brI5tx3Wy/+37nzeyVd4smxe/3X0y&#10;QbkEPFEmokTEAsg0sgYsf2D5ZLOuVMCJWymnBp7/3H4yTmfbftTFFxs0+nqDx9R7Y/R2o+QS6vnn&#10;YctXL7gLi1eDxfZXvYR4edtpv2i7lamdQCxHsMO7CckyEgb385ClCUtoT4nadUHhbnMuIrBU4D5N&#10;REY9RTOZD2JaY7ufla4DN5iHBlb4z8i7j7ZzLpb58MiB62VeNQcTeNDNeDOc5r0Hut1i1zuMeM2c&#10;XQu9vIdlRveAY0NisNHmnzDYAu55aP++lUaFQfVLA++4nTAMzDBYDAPZFHh1HnZh0A+vu37H3Lam&#10;XG8gmXh7bPseHrwpvU0PWuwVBi8TgYP1oIRkWKdjbkYPTcFNRNIo9dwITghnh9yAbKDisSEiTbPn&#10;wyYeNtM3sWkQtF8mNATQ0CTNBDtBzeigCaiJWRqBXASTmFPOkkNoMsoIi/fUcEYzD9WzBBuv2cM2&#10;f6XBBkWHSGLOBBLEUZYaXTQFN4TvuaFZRLJHSUpQxoZgA2zS5ws2HtgnYfOSgw2lEeUiS05AMzpo&#10;AmhABUF5hWBDMp6w7DDYxJkgCeKhq2yQvp6TmvRHigpJHLMMpQ09Rc3ooAmoSRiPkINcvUtRGh9C&#10;Q5FJo/OAhj8ZmpdcDpNIMJ7iZHKqHh5dNAE2KRIT0HXBBDUMTz2yMh/OUeeTosSTuXnBKSpOojjm&#10;xB18j+qa0UETUMMEFOmpQVnD+b5HM1BDRYaC+SxylA+Er7yyYRmnCY4lWJEjakb/TEAN4UlKoASC&#10;jRBM8EfHqPOpbPpu0SunJhE8RU5gJzp9wu93558JqHmINaegSSg7j2qYjt3P82zY+J4x+sW+tblv&#10;prsO+NfXviv40PK/+hcAAP//AwBQSwMEFAAGAAgAAAAhAOEAt7HeAAAACAEAAA8AAABkcnMvZG93&#10;bnJldi54bWxMj8FOwzAQRO9I/IO1SNyog6WmEOJUFVI4ROFAWyGObrLEEfE6it02/D3bE73takYz&#10;b/L17AZxwin0njQ8LhIQSI1ve+o07HflwxOIEA21ZvCEGn4xwLq4vclN1vozfeBpGzvBIRQyo8HG&#10;OGZShsaiM2HhRyTWvv3kTOR36mQ7mTOHu0GqJEmlMz1xgzUjvlpsfrZHxyXvdVXL3VuoyvBp603l&#10;96r80vr+bt68gIg4x38zXPAZHQpmOvgjtUEMGlapYqeG9BkEy0qtliAOl0MtQRa5vB5Q/AEAAP//&#10;AwBQSwECLQAUAAYACAAAACEAtoM4kv4AAADhAQAAEwAAAAAAAAAAAAAAAAAAAAAAW0NvbnRlbnRf&#10;VHlwZXNdLnhtbFBLAQItABQABgAIAAAAIQA4/SH/1gAAAJQBAAALAAAAAAAAAAAAAAAAAC8BAABf&#10;cmVscy8ucmVsc1BLAQItABQABgAIAAAAIQD8zHWXvQMAADoYAAAOAAAAAAAAAAAAAAAAAC4CAABk&#10;cnMvZTJvRG9jLnhtbFBLAQItABQABgAIAAAAIQDhALex3gAAAAgBAAAPAAAAAAAAAAAAAAAAABcG&#10;AABkcnMvZG93bnJldi54bWxQSwUGAAAAAAQABADzAAAAIgcAAAAA&#10;">
                <v:shape id="_x0000_s1202" type="#_x0000_t75" style="position:absolute;width:9607;height:13690;visibility:visible;mso-wrap-style:square">
                  <v:fill o:detectmouseclick="t"/>
                  <v:path o:connecttype="none"/>
                </v:shape>
                <v:rect id="Rectangle 71" o:spid="_x0000_s1203" style="position:absolute;left:1419;top:5645;width:1778;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rRAywAAAOMAAAAPAAAAZHJzL2Rvd25yZXYueG1sRI9BS8Qw&#10;EIXvgv8hjOBF3MRVJFs3u4iw4EGQrR70NjRjU20mpYnb6q93DsIeZ96b975Zb+fYqwONuUvs4Gph&#10;QBE3yXfcOnh92V1aULkge+wTk4MfyrDdnJ6ssfJp4j0d6tIqCeFcoYNQylBpnZtAEfMiDcSifaQx&#10;YpFxbLUfcZLw2OulMbc6YsfSEHCgh0DNV/0dHeye3zriX72/WNkpfTbL9zo8Dc6dn833d6AKzeVo&#10;/r9+9IJvVtbc2Gsr0PKTLEBv/gAAAP//AwBQSwECLQAUAAYACAAAACEA2+H2y+4AAACFAQAAEwAA&#10;AAAAAAAAAAAAAAAAAAAAW0NvbnRlbnRfVHlwZXNdLnhtbFBLAQItABQABgAIAAAAIQBa9CxbvwAA&#10;ABUBAAALAAAAAAAAAAAAAAAAAB8BAABfcmVscy8ucmVsc1BLAQItABQABgAIAAAAIQCWbrRAywAA&#10;AOMAAAAPAAAAAAAAAAAAAAAAAAcCAABkcnMvZG93bnJldi54bWxQSwUGAAAAAAMAAwC3AAAA/wIA&#10;AAAA&#10;" filled="f" stroked="f">
                  <v:textbox style="mso-fit-shape-to-text:t" inset="0,0,0,0">
                    <w:txbxContent>
                      <w:p w14:paraId="3077F7CA" w14:textId="77777777" w:rsidR="00422B96" w:rsidRPr="00B074A0" w:rsidRDefault="00422B96" w:rsidP="00422B96">
                        <w:pPr>
                          <w:rPr>
                            <w:sz w:val="32"/>
                            <w:szCs w:val="32"/>
                          </w:rPr>
                        </w:pPr>
                        <w:r w:rsidRPr="00B074A0">
                          <w:rPr>
                            <w:rFonts w:ascii="Symbol" w:hAnsi="Symbol" w:cs="Symbol"/>
                            <w:color w:val="000000"/>
                            <w:sz w:val="32"/>
                            <w:szCs w:val="32"/>
                          </w:rPr>
                          <w:t></w:t>
                        </w:r>
                      </w:p>
                    </w:txbxContent>
                  </v:textbox>
                </v:rect>
                <v:rect id="Rectangle 72" o:spid="_x0000_s1204"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3BuyAAAAOIAAAAPAAAAZHJzL2Rvd25yZXYueG1sRI/NasMw&#10;EITvhb6D2EJvjWxTGteJEkIgkJRe4vQBFmv9Q6SVkdTYffuoUOhxmJlvmPV2tkbcyIfBsYJ8kYEg&#10;bpweuFPwdTm8lCBCRNZoHJOCHwqw3Tw+rLHSbuIz3erYiQThUKGCPsaxkjI0PVkMCzcSJ6913mJM&#10;0ndSe5wS3BpZZNmbtDhwWuhxpH1PzbX+tgrkpT5MZW185j6K9tOcjueWnFLPT/NuBSLSHP/Df+2j&#10;VrBclkWev78W8Hsp3QG5uQMAAP//AwBQSwECLQAUAAYACAAAACEA2+H2y+4AAACFAQAAEwAAAAAA&#10;AAAAAAAAAAAAAAAAW0NvbnRlbnRfVHlwZXNdLnhtbFBLAQItABQABgAIAAAAIQBa9CxbvwAAABUB&#10;AAALAAAAAAAAAAAAAAAAAB8BAABfcmVscy8ucmVsc1BLAQItABQABgAIAAAAIQBOI3BuyAAAAOIA&#10;AAAPAAAAAAAAAAAAAAAAAAcCAABkcnMvZG93bnJldi54bWxQSwUGAAAAAAMAAwC3AAAA/AIAAAAA&#10;" filled="f" stroked="f">
                  <v:textbox style="mso-fit-shape-to-text:t" inset="0,0,0,0">
                    <w:txbxContent>
                      <w:p w14:paraId="494749FB" w14:textId="77777777" w:rsidR="00422B96" w:rsidRDefault="00422B96" w:rsidP="00422B96">
                        <w:r>
                          <w:rPr>
                            <w:rFonts w:ascii="Symbol" w:hAnsi="Symbol" w:cs="Symbol"/>
                            <w:color w:val="000000"/>
                          </w:rPr>
                          <w:t></w:t>
                        </w:r>
                      </w:p>
                    </w:txbxContent>
                  </v:textbox>
                </v:rect>
                <v:rect id="Rectangle 73" o:spid="_x0000_s1205" style="position:absolute;left:356;top:3727;width:925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kARyQAAAOMAAAAPAAAAZHJzL2Rvd25yZXYueG1sRE/NasJA&#10;EL4XfIdlhF5K3RhaG1NXkYLgQSimPbS3ITvNps3OhuxqUp/eFQSP8/3PYjXYRhyp87VjBdNJAoK4&#10;dLrmSsHnx+YxA+EDssbGMSn4Jw+r5ehugbl2Pe/pWIRKxBD2OSowIbS5lL40ZNFPXEscuR/XWQzx&#10;7CqpO+xjuG1kmiQzabHm2GCwpTdD5V9xsAo271818UnuH+ZZ737L9Lswu1ap+/GwfgURaAg38dW9&#10;1XH+S5amT7N59gyXnyIAcnkGAAD//wMAUEsBAi0AFAAGAAgAAAAhANvh9svuAAAAhQEAABMAAAAA&#10;AAAAAAAAAAAAAAAAAFtDb250ZW50X1R5cGVzXS54bWxQSwECLQAUAAYACAAAACEAWvQsW78AAAAV&#10;AQAACwAAAAAAAAAAAAAAAAAfAQAAX3JlbHMvLnJlbHNQSwECLQAUAAYACAAAACEAFd5AEckAAADj&#10;AAAADwAAAAAAAAAAAAAAAAAHAgAAZHJzL2Rvd25yZXYueG1sUEsFBgAAAAADAAMAtwAAAP0CAAAA&#10;AA==&#10;" filled="f" stroked="f">
                  <v:textbox style="mso-fit-shape-to-text:t" inset="0,0,0,0">
                    <w:txbxContent>
                      <w:p w14:paraId="1CD8AD9C" w14:textId="77777777" w:rsidR="00422B96" w:rsidRPr="00B34B0A" w:rsidRDefault="00422B96" w:rsidP="00422B96">
                        <w:pPr>
                          <w:rPr>
                            <w:b/>
                          </w:rPr>
                        </w:pPr>
                        <w:r>
                          <w:rPr>
                            <w:b/>
                            <w:i/>
                            <w:iCs/>
                            <w:color w:val="000000"/>
                          </w:rPr>
                          <w:t>ESR</w:t>
                        </w:r>
                      </w:p>
                    </w:txbxContent>
                  </v:textbox>
                </v:rect>
                <v:rect id="Rectangle 74" o:spid="_x0000_s1206"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rGyAAAAOMAAAAPAAAAZHJzL2Rvd25yZXYueG1sRI/dagIx&#10;FITvC32HcITe1azW2mVrlFIQVHrj6gMcNmd/MDlZktTdvn0jCF4OM/MNs9qM1ogr+dA5VjCbZiCI&#10;K6c7bhScT9vXHESIyBqNY1LwRwE26+enFRbaDXykaxkbkSAcClTQxtgXUoaqJYth6nri5NXOW4xJ&#10;+kZqj0OCWyPnWbaUFjtOCy329N1SdSl/rQJ5KrdDXhqfucO8/jH73bEmp9TLZPz6BBFpjI/wvb3T&#10;ChIxX7x9vOczuH1Kf0Cu/wEAAP//AwBQSwECLQAUAAYACAAAACEA2+H2y+4AAACFAQAAEwAAAAAA&#10;AAAAAAAAAAAAAAAAW0NvbnRlbnRfVHlwZXNdLnhtbFBLAQItABQABgAIAAAAIQBa9CxbvwAAABUB&#10;AAALAAAAAAAAAAAAAAAAAB8BAABfcmVscy8ucmVsc1BLAQItABQABgAIAAAAIQAeZ/rGyAAAAOMA&#10;AAAPAAAAAAAAAAAAAAAAAAcCAABkcnMvZG93bnJldi54bWxQSwUGAAAAAAMAAwC3AAAA/AIAAAAA&#10;" filled="f" stroked="f">
                  <v:textbox style="mso-fit-shape-to-text:t" inset="0,0,0,0">
                    <w:txbxContent>
                      <w:p w14:paraId="05EFBA99" w14:textId="77777777" w:rsidR="00422B96" w:rsidRPr="00B34B0A" w:rsidRDefault="00422B96" w:rsidP="00422B96">
                        <w:pPr>
                          <w:rPr>
                            <w:b/>
                          </w:rPr>
                        </w:pPr>
                      </w:p>
                    </w:txbxContent>
                  </v:textbox>
                </v:rect>
                <v:rect id="Rectangle 75" o:spid="_x0000_s1207"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D4VxAAAAOMAAAAPAAAAZHJzL2Rvd25yZXYueG1sRE/NSgMx&#10;EL4LvkMYwZtNDGLXtWkRoVDFS7d9gGEz+4PJZElid317Iwge5/ufzW7xTlwopjGwgfuVAkHcBjty&#10;b+B82t9VIFJGtugCk4FvSrDbXl9tsLZh5iNdmtyLEsKpRgNDzlMtZWoH8phWYSIuXBeix1zO2Esb&#10;cS7h3kmt1KP0OHJpGHCi14Haz+bLG5CnZj9XjYsqvOvuw70djh0FY25vlpdnEJmW/C/+cx9smb/W&#10;Wul19fQAvz8VAOT2BwAA//8DAFBLAQItABQABgAIAAAAIQDb4fbL7gAAAIUBAAATAAAAAAAAAAAA&#10;AAAAAAAAAABbQ29udGVudF9UeXBlc10ueG1sUEsBAi0AFAAGAAgAAAAhAFr0LFu/AAAAFQEAAAsA&#10;AAAAAAAAAAAAAAAAHwEAAF9yZWxzLy5yZWxzUEsBAi0AFAAGAAgAAAAhAIDoPhXEAAAA4wAAAA8A&#10;AAAAAAAAAAAAAAAABwIAAGRycy9kb3ducmV2LnhtbFBLBQYAAAAAAwADALcAAAD4AgAAAAA=&#10;" filled="f" stroked="f">
                  <v:textbox style="mso-fit-shape-to-text:t" inset="0,0,0,0">
                    <w:txbxContent>
                      <w:p w14:paraId="2B8BA278" w14:textId="77777777" w:rsidR="00422B96" w:rsidRPr="00B34B0A" w:rsidRDefault="00422B96" w:rsidP="00422B96">
                        <w:pPr>
                          <w:rPr>
                            <w:b/>
                          </w:rPr>
                        </w:pPr>
                        <w:r w:rsidRPr="00B34B0A">
                          <w:rPr>
                            <w:b/>
                            <w:i/>
                            <w:iCs/>
                            <w:color w:val="000000"/>
                          </w:rPr>
                          <w:t>online</w:t>
                        </w:r>
                      </w:p>
                    </w:txbxContent>
                  </v:textbox>
                </v:rect>
                <v:rect id="Rectangle 76" o:spid="_x0000_s1208"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gMeyQAAAOMAAAAPAAAAZHJzL2Rvd25yZXYueG1sRE/NasJA&#10;EL4X+g7LFLwU3RitxOgqpSB4KIhpD+1tyI7ZtNnZkF1N7NN3C0KP8/3PejvYRlyo87VjBdNJAoK4&#10;dLrmSsH7226cgfABWWPjmBRcycN2c3+3xly7no90KUIlYgj7HBWYENpcSl8asugnriWO3Ml1FkM8&#10;u0rqDvsYbhuZJslCWqw5Nhhs6cVQ+V2crYLd4aMm/pHHx2XWu68y/SzMa6vU6GF4XoEINIR/8c29&#10;13H+bPa0zNJpOoe/nyIAcvMLAAD//wMAUEsBAi0AFAAGAAgAAAAhANvh9svuAAAAhQEAABMAAAAA&#10;AAAAAAAAAAAAAAAAAFtDb250ZW50X1R5cGVzXS54bWxQSwECLQAUAAYACAAAACEAWvQsW78AAAAV&#10;AQAACwAAAAAAAAAAAAAAAAAfAQAAX3JlbHMvLnJlbHNQSwECLQAUAAYACAAAACEAyjIDHskAAADj&#10;AAAADwAAAAAAAAAAAAAAAAAHAgAAZHJzL2Rvd25yZXYueG1sUEsFBgAAAAADAAMAtwAAAP0CAAAA&#10;AA==&#10;" filled="f" stroked="f">
                  <v:textbox style="mso-fit-shape-to-text:t" inset="0,0,0,0">
                    <w:txbxContent>
                      <w:p w14:paraId="2BC3E2AC" w14:textId="77777777" w:rsidR="00422B96" w:rsidRPr="00B34B0A" w:rsidRDefault="00422B96" w:rsidP="00422B96">
                        <w:pPr>
                          <w:rPr>
                            <w:b/>
                          </w:rPr>
                        </w:pPr>
                        <w:r w:rsidRPr="00B34B0A">
                          <w:rPr>
                            <w:b/>
                            <w:i/>
                            <w:iCs/>
                            <w:color w:val="000000"/>
                          </w:rPr>
                          <w:t>All</w:t>
                        </w:r>
                      </w:p>
                    </w:txbxContent>
                  </v:textbox>
                </v:rect>
                <v:rect id="Rectangle 77" o:spid="_x0000_s1209"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u3xQAAAOMAAAAPAAAAZHJzL2Rvd25yZXYueG1sRE/NSgMx&#10;EL4LvkMYwZtNXLRdtk1LKRSqeOm2DzBsZn8wmSxJ7K5vbwTB43z/s9nNzoobhTh41vC8UCCIG28G&#10;7jRcL8enEkRMyAatZ9LwTRF22/u7DVbGT3ymW506kUM4VqihT2mspIxNTw7jwo/EmWt9cJjyGTpp&#10;Ak453FlZKLWUDgfODT2OdOip+ay/nAZ5qY9TWdug/HvRfti307klr/Xjw7xfg0g0p3/xn/tk8nxV&#10;vq6WxUtZwO9PGQC5/QEAAP//AwBQSwECLQAUAAYACAAAACEA2+H2y+4AAACFAQAAEwAAAAAAAAAA&#10;AAAAAAAAAAAAW0NvbnRlbnRfVHlwZXNdLnhtbFBLAQItABQABgAIAAAAIQBa9CxbvwAAABUBAAAL&#10;AAAAAAAAAAAAAAAAAB8BAABfcmVscy8ucmVsc1BLAQItABQABgAIAAAAIQAMPDu3xQAAAOMAAAAP&#10;AAAAAAAAAAAAAAAAAAcCAABkcnMvZG93bnJldi54bWxQSwUGAAAAAAMAAwC3AAAA+QIAAAAA&#10;" filled="f" stroked="f">
                  <v:textbox style="mso-fit-shape-to-text:t" inset="0,0,0,0">
                    <w:txbxContent>
                      <w:p w14:paraId="4C655560" w14:textId="77777777" w:rsidR="00422B96" w:rsidRPr="00B34B0A" w:rsidRDefault="00422B96" w:rsidP="00422B96">
                        <w:pPr>
                          <w:rPr>
                            <w:b/>
                          </w:rPr>
                        </w:pPr>
                      </w:p>
                    </w:txbxContent>
                  </v:textbox>
                </v:rect>
                <v:rect id="Rectangle 78" o:spid="_x0000_s1210"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dwIxgAAAOMAAAAPAAAAZHJzL2Rvd25yZXYueG1sRE/NSgMx&#10;EL4LvkMYwZtNtiu2bpsWEQpVvHTrAwyb2R+aTJYkdte3N4Lgcb7/2e5nZ8WVQhw8aygWCgRx483A&#10;nYbP8+FhDSImZIPWM2n4pgj73e3NFivjJz7RtU6dyCEcK9TQpzRWUsamJ4dx4UfizLU+OEz5DJ00&#10;Aacc7qxcKvUkHQ6cG3oc6bWn5lJ/OQ3yXB+mdW2D8u/L9sO+HU8tea3v7+aXDYhEc/oX/7mPJs8v&#10;H1VZrornAn5/ygDI3Q8AAAD//wMAUEsBAi0AFAAGAAgAAAAhANvh9svuAAAAhQEAABMAAAAAAAAA&#10;AAAAAAAAAAAAAFtDb250ZW50X1R5cGVzXS54bWxQSwECLQAUAAYACAAAACEAWvQsW78AAAAVAQAA&#10;CwAAAAAAAAAAAAAAAAAfAQAAX3JlbHMvLnJlbHNQSwECLQAUAAYACAAAACEADCHcCMYAAADjAAAA&#10;DwAAAAAAAAAAAAAAAAAHAgAAZHJzL2Rvd25yZXYueG1sUEsFBgAAAAADAAMAtwAAAPoCAAAAAA==&#10;" filled="f" stroked="f">
                  <v:textbox style="mso-fit-shape-to-text:t" inset="0,0,0,0">
                    <w:txbxContent>
                      <w:p w14:paraId="36DDF4CA" w14:textId="77777777" w:rsidR="00422B96" w:rsidRPr="00B34B0A" w:rsidRDefault="00422B96" w:rsidP="00422B96">
                        <w:pPr>
                          <w:rPr>
                            <w:b/>
                          </w:rPr>
                        </w:pPr>
                        <w:r>
                          <w:rPr>
                            <w:b/>
                            <w:i/>
                            <w:iCs/>
                            <w:color w:val="000000"/>
                          </w:rPr>
                          <w:t>ESR</w:t>
                        </w:r>
                      </w:p>
                    </w:txbxContent>
                  </v:textbox>
                </v:rect>
                <v:rect id="Rectangle 79" o:spid="_x0000_s1211"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bSxwAAAOIAAAAPAAAAZHJzL2Rvd25yZXYueG1sRI/LagIx&#10;FIb3Qt8hnEJ3NdOhtjoapQiClm4c+wCHyZkLJidDEp3x7c1CcPnz3/hWm9EacSUfOscKPqYZCOLK&#10;6Y4bBf+n3fscRIjIGo1jUnCjAJv1y2SFhXYDH+laxkakEQ4FKmhj7AspQ9WSxTB1PXHyauctxiR9&#10;I7XHIY1bI/Ms+5IWO04PLfa0bak6lxerQJ7K3TAvjc/cb17/mcP+WJNT6u11/FmCiDTGZ/jR3msF&#10;s8V3/jnLFwkiISUckOs7AAAA//8DAFBLAQItABQABgAIAAAAIQDb4fbL7gAAAIUBAAATAAAAAAAA&#10;AAAAAAAAAAAAAABbQ29udGVudF9UeXBlc10ueG1sUEsBAi0AFAAGAAgAAAAhAFr0LFu/AAAAFQEA&#10;AAsAAAAAAAAAAAAAAAAAHwEAAF9yZWxzLy5yZWxzUEsBAi0AFAAGAAgAAAAhAEWattLHAAAA4gAA&#10;AA8AAAAAAAAAAAAAAAAABwIAAGRycy9kb3ducmV2LnhtbFBLBQYAAAAAAwADALcAAAD7AgAAAAA=&#10;" filled="f" stroked="f">
                  <v:textbox style="mso-fit-shape-to-text:t" inset="0,0,0,0">
                    <w:txbxContent>
                      <w:p w14:paraId="5C3B44F7" w14:textId="77777777" w:rsidR="00422B96" w:rsidRPr="00B34B0A" w:rsidRDefault="00422B96" w:rsidP="00422B96">
                        <w:pPr>
                          <w:rPr>
                            <w:b/>
                          </w:rPr>
                        </w:pPr>
                        <w:r w:rsidRPr="00B34B0A">
                          <w:rPr>
                            <w:b/>
                            <w:i/>
                            <w:iCs/>
                            <w:color w:val="000000"/>
                          </w:rPr>
                          <w:t>online</w:t>
                        </w:r>
                      </w:p>
                    </w:txbxContent>
                  </v:textbox>
                </v:rect>
                <v:rect id="Rectangle 80" o:spid="_x0000_s1212"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2UaxQAAAOIAAAAPAAAAZHJzL2Rvd25yZXYueG1sRE/dasIw&#10;FL4f+A7hCLubaWVqqUYZA8HJbqw+wKE5/cHkpCSZ7d5+uRB2+fH97w6TNeJBPvSOFeSLDARx7XTP&#10;rYLb9fhWgAgRWaNxTAp+KcBhP3vZYandyBd6VLEVKYRDiQq6GIdSylB3ZDEs3ECcuMZ5izFB30rt&#10;cUzh1shllq2lxZ5TQ4cDfXZU36sfq0Beq+NYVMZn7rxsvs3X6dKQU+p1Pn1sQUSa4r/46T5pBe/F&#10;Zp3nq1XanC6lOyD3fwAAAP//AwBQSwECLQAUAAYACAAAACEA2+H2y+4AAACFAQAAEwAAAAAAAAAA&#10;AAAAAAAAAAAAW0NvbnRlbnRfVHlwZXNdLnhtbFBLAQItABQABgAIAAAAIQBa9CxbvwAAABUBAAAL&#10;AAAAAAAAAAAAAAAAAB8BAABfcmVscy8ucmVsc1BLAQItABQABgAIAAAAIQAk22UaxQAAAOIAAAAP&#10;AAAAAAAAAAAAAAAAAAcCAABkcnMvZG93bnJldi54bWxQSwUGAAAAAAMAAwC3AAAA+QIAAAAA&#10;" filled="f" stroked="f">
                  <v:textbox style="mso-fit-shape-to-text:t" inset="0,0,0,0">
                    <w:txbxContent>
                      <w:p w14:paraId="4E3FB7E1" w14:textId="77777777" w:rsidR="00422B96" w:rsidRPr="00B34B0A" w:rsidRDefault="00422B96" w:rsidP="00422B96">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8</w:t>
      </w:r>
      <w:r w:rsidRPr="0013396E">
        <w:rPr>
          <w:b/>
          <w:position w:val="30"/>
          <w:sz w:val="20"/>
        </w:rPr>
        <w:t xml:space="preserve"> =</w:t>
      </w:r>
      <w:r w:rsidRPr="0013396E">
        <w:rPr>
          <w:b/>
          <w:position w:val="30"/>
          <w:sz w:val="20"/>
        </w:rPr>
        <w:tab/>
        <w:t xml:space="preserve">Min(X% of MDRR, HSL-Net MW, the capacity that can be sustained for 45 minutes per the State of Charge </w:t>
      </w:r>
    </w:p>
    <w:p w14:paraId="1C3AE229" w14:textId="77777777" w:rsidR="00236E90" w:rsidRDefault="00236E90" w:rsidP="00422B96">
      <w:pPr>
        <w:ind w:left="720" w:hanging="720"/>
        <w:rPr>
          <w:b/>
          <w:position w:val="30"/>
          <w:sz w:val="20"/>
        </w:rPr>
      </w:pPr>
    </w:p>
    <w:p w14:paraId="16654880" w14:textId="1B99CAB1" w:rsidR="00422B96" w:rsidRPr="0013396E" w:rsidRDefault="00422B96" w:rsidP="006039B1">
      <w:pPr>
        <w:ind w:left="720" w:hanging="720"/>
        <w:rPr>
          <w:b/>
          <w:position w:val="30"/>
          <w:sz w:val="20"/>
        </w:rPr>
      </w:pPr>
      <w:r w:rsidRPr="0013396E">
        <w:rPr>
          <w:b/>
          <w:position w:val="30"/>
          <w:sz w:val="20"/>
        </w:rPr>
        <w:t xml:space="preserve">Excludes ESR capacity used to provide FFR. </w:t>
      </w:r>
      <w:r w:rsidR="006039B1">
        <w:rPr>
          <w:b/>
          <w:position w:val="30"/>
          <w:sz w:val="20"/>
        </w:rPr>
        <w:tab/>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039B1" w:rsidRPr="0013396E" w14:paraId="0FFB959B" w14:textId="77777777" w:rsidTr="00E97C39">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2A372FEB" w14:textId="6AAD26C6" w:rsidR="006039B1" w:rsidRPr="0013396E" w:rsidRDefault="006039B1" w:rsidP="00E97C39">
            <w:pPr>
              <w:spacing w:before="120" w:after="240"/>
              <w:rPr>
                <w:b/>
                <w:i/>
                <w:iCs/>
                <w:szCs w:val="24"/>
              </w:rPr>
            </w:pPr>
            <w:r w:rsidRPr="0013396E">
              <w:rPr>
                <w:b/>
                <w:i/>
                <w:iCs/>
                <w:szCs w:val="24"/>
              </w:rPr>
              <w:t>[</w:t>
            </w:r>
            <w:r>
              <w:rPr>
                <w:b/>
                <w:i/>
                <w:iCs/>
                <w:szCs w:val="24"/>
              </w:rPr>
              <w:t>NPRR1029</w:t>
            </w:r>
            <w:r w:rsidRPr="0013396E">
              <w:rPr>
                <w:b/>
                <w:i/>
                <w:iCs/>
                <w:szCs w:val="24"/>
              </w:rPr>
              <w:t xml:space="preserve">:  </w:t>
            </w:r>
            <w:r>
              <w:rPr>
                <w:b/>
                <w:i/>
                <w:iCs/>
                <w:szCs w:val="24"/>
              </w:rPr>
              <w:t>Insert</w:t>
            </w:r>
            <w:r w:rsidRPr="0013396E">
              <w:rPr>
                <w:b/>
                <w:i/>
                <w:iCs/>
                <w:szCs w:val="24"/>
              </w:rPr>
              <w:t xml:space="preserve"> </w:t>
            </w:r>
            <w:r>
              <w:rPr>
                <w:b/>
                <w:i/>
                <w:iCs/>
                <w:szCs w:val="24"/>
              </w:rPr>
              <w:t>the formula “PRC</w:t>
            </w:r>
            <w:r w:rsidRPr="006039B1">
              <w:rPr>
                <w:b/>
                <w:i/>
                <w:iCs/>
                <w:szCs w:val="24"/>
                <w:vertAlign w:val="subscript"/>
              </w:rPr>
              <w:t>9</w:t>
            </w:r>
            <w:r>
              <w:rPr>
                <w:b/>
                <w:i/>
                <w:iCs/>
                <w:szCs w:val="24"/>
              </w:rPr>
              <w:t>”</w:t>
            </w:r>
            <w:r w:rsidRPr="0013396E">
              <w:rPr>
                <w:b/>
                <w:i/>
                <w:iCs/>
                <w:szCs w:val="24"/>
              </w:rPr>
              <w:t xml:space="preserve"> </w:t>
            </w:r>
            <w:r>
              <w:rPr>
                <w:b/>
                <w:i/>
                <w:iCs/>
                <w:szCs w:val="24"/>
              </w:rPr>
              <w:t>below</w:t>
            </w:r>
            <w:r w:rsidRPr="0013396E">
              <w:rPr>
                <w:b/>
                <w:i/>
                <w:iCs/>
                <w:szCs w:val="24"/>
              </w:rPr>
              <w:t xml:space="preserve"> upon system implementation:]</w:t>
            </w:r>
          </w:p>
          <w:p w14:paraId="4799479E" w14:textId="4E7A2D4E" w:rsidR="006039B1" w:rsidRDefault="006039B1" w:rsidP="006039B1">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713536" behindDoc="0" locked="0" layoutInCell="1" allowOverlap="1" wp14:anchorId="3CC1447D" wp14:editId="5D6D43B4">
                      <wp:simplePos x="0" y="0"/>
                      <wp:positionH relativeFrom="column">
                        <wp:posOffset>437183</wp:posOffset>
                      </wp:positionH>
                      <wp:positionV relativeFrom="paragraph">
                        <wp:posOffset>63389</wp:posOffset>
                      </wp:positionV>
                      <wp:extent cx="960755" cy="1369060"/>
                      <wp:effectExtent l="0" t="0" r="10795" b="2540"/>
                      <wp:wrapNone/>
                      <wp:docPr id="192098412"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16368317" name="Rectangle 71"/>
                              <wps:cNvSpPr>
                                <a:spLocks noChangeArrowheads="1"/>
                              </wps:cNvSpPr>
                              <wps:spPr bwMode="auto">
                                <a:xfrm>
                                  <a:off x="136182" y="675861"/>
                                  <a:ext cx="17843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F1AC6" w14:textId="77777777" w:rsidR="006039B1" w:rsidRPr="00B074A0" w:rsidRDefault="006039B1" w:rsidP="006039B1">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1332234520"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2ED95" w14:textId="77777777" w:rsidR="006039B1" w:rsidRDefault="006039B1" w:rsidP="006039B1">
                                    <w:r>
                                      <w:rPr>
                                        <w:rFonts w:ascii="Symbol" w:hAnsi="Symbol" w:cs="Symbol"/>
                                        <w:color w:val="000000"/>
                                      </w:rPr>
                                      <w:t></w:t>
                                    </w:r>
                                  </w:p>
                                </w:txbxContent>
                              </wps:txbx>
                              <wps:bodyPr rot="0" vert="horz" wrap="none" lIns="0" tIns="0" rIns="0" bIns="0" anchor="t" anchorCtr="0" upright="1">
                                <a:spAutoFit/>
                              </wps:bodyPr>
                            </wps:wsp>
                            <wps:wsp>
                              <wps:cNvPr id="1074912514" name="Rectangle 73"/>
                              <wps:cNvSpPr>
                                <a:spLocks noChangeArrowheads="1"/>
                              </wps:cNvSpPr>
                              <wps:spPr bwMode="auto">
                                <a:xfrm>
                                  <a:off x="35596" y="372754"/>
                                  <a:ext cx="92519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123D5" w14:textId="77777777" w:rsidR="006039B1" w:rsidRPr="00B34B0A" w:rsidRDefault="006039B1" w:rsidP="006039B1">
                                    <w:pPr>
                                      <w:rPr>
                                        <w:b/>
                                      </w:rPr>
                                    </w:pPr>
                                    <w:r>
                                      <w:rPr>
                                        <w:b/>
                                        <w:i/>
                                        <w:iCs/>
                                        <w:color w:val="000000"/>
                                      </w:rPr>
                                      <w:t>DC-Coupled Resources</w:t>
                                    </w:r>
                                  </w:p>
                                </w:txbxContent>
                              </wps:txbx>
                              <wps:bodyPr rot="0" vert="horz" wrap="square" lIns="0" tIns="0" rIns="0" bIns="0" anchor="t" anchorCtr="0" upright="1">
                                <a:spAutoFit/>
                              </wps:bodyPr>
                            </wps:wsp>
                            <wps:wsp>
                              <wps:cNvPr id="1785642166"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8466B" w14:textId="77777777" w:rsidR="006039B1" w:rsidRPr="00B34B0A" w:rsidRDefault="006039B1" w:rsidP="006039B1">
                                    <w:pPr>
                                      <w:rPr>
                                        <w:b/>
                                      </w:rPr>
                                    </w:pPr>
                                  </w:p>
                                </w:txbxContent>
                              </wps:txbx>
                              <wps:bodyPr rot="0" vert="horz" wrap="none" lIns="0" tIns="0" rIns="0" bIns="0" anchor="t" anchorCtr="0" upright="1">
                                <a:spAutoFit/>
                              </wps:bodyPr>
                            </wps:wsp>
                            <wps:wsp>
                              <wps:cNvPr id="648508052"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5EE0" w14:textId="77777777" w:rsidR="006039B1" w:rsidRPr="00B34B0A" w:rsidRDefault="006039B1" w:rsidP="006039B1">
                                    <w:pPr>
                                      <w:rPr>
                                        <w:b/>
                                      </w:rPr>
                                    </w:pPr>
                                    <w:r w:rsidRPr="00B34B0A">
                                      <w:rPr>
                                        <w:b/>
                                        <w:i/>
                                        <w:iCs/>
                                        <w:color w:val="000000"/>
                                      </w:rPr>
                                      <w:t>online</w:t>
                                    </w:r>
                                  </w:p>
                                </w:txbxContent>
                              </wps:txbx>
                              <wps:bodyPr rot="0" vert="horz" wrap="none" lIns="0" tIns="0" rIns="0" bIns="0" anchor="t" anchorCtr="0" upright="1">
                                <a:spAutoFit/>
                              </wps:bodyPr>
                            </wps:wsp>
                            <wps:wsp>
                              <wps:cNvPr id="446295736"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E6F58" w14:textId="77777777" w:rsidR="006039B1" w:rsidRPr="00B34B0A" w:rsidRDefault="006039B1" w:rsidP="006039B1">
                                    <w:pPr>
                                      <w:rPr>
                                        <w:b/>
                                      </w:rPr>
                                    </w:pPr>
                                    <w:r w:rsidRPr="00B34B0A">
                                      <w:rPr>
                                        <w:b/>
                                        <w:i/>
                                        <w:iCs/>
                                        <w:color w:val="000000"/>
                                      </w:rPr>
                                      <w:t>All</w:t>
                                    </w:r>
                                  </w:p>
                                </w:txbxContent>
                              </wps:txbx>
                              <wps:bodyPr rot="0" vert="horz" wrap="square" lIns="0" tIns="0" rIns="0" bIns="0" anchor="t" anchorCtr="0" upright="1">
                                <a:spAutoFit/>
                              </wps:bodyPr>
                            </wps:wsp>
                            <wps:wsp>
                              <wps:cNvPr id="1806846340"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2771B" w14:textId="77777777" w:rsidR="006039B1" w:rsidRPr="00B34B0A" w:rsidRDefault="006039B1" w:rsidP="006039B1">
                                    <w:pPr>
                                      <w:rPr>
                                        <w:b/>
                                      </w:rPr>
                                    </w:pPr>
                                  </w:p>
                                </w:txbxContent>
                              </wps:txbx>
                              <wps:bodyPr rot="0" vert="horz" wrap="none" lIns="0" tIns="0" rIns="0" bIns="0" anchor="t" anchorCtr="0" upright="1">
                                <a:spAutoFit/>
                              </wps:bodyPr>
                            </wps:wsp>
                            <wps:wsp>
                              <wps:cNvPr id="1068853319"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035A0" w14:textId="77777777" w:rsidR="006039B1" w:rsidRPr="00B34B0A" w:rsidRDefault="006039B1" w:rsidP="006039B1">
                                    <w:pPr>
                                      <w:rPr>
                                        <w:b/>
                                      </w:rPr>
                                    </w:pPr>
                                    <w:r>
                                      <w:rPr>
                                        <w:b/>
                                        <w:i/>
                                        <w:iCs/>
                                        <w:color w:val="000000"/>
                                      </w:rPr>
                                      <w:t>ESR</w:t>
                                    </w:r>
                                  </w:p>
                                </w:txbxContent>
                              </wps:txbx>
                              <wps:bodyPr rot="0" vert="horz" wrap="none" lIns="0" tIns="0" rIns="0" bIns="0" anchor="t" anchorCtr="0" upright="1">
                                <a:spAutoFit/>
                              </wps:bodyPr>
                            </wps:wsp>
                            <wps:wsp>
                              <wps:cNvPr id="1854430452"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62DC4" w14:textId="77777777" w:rsidR="006039B1" w:rsidRPr="00B34B0A" w:rsidRDefault="006039B1" w:rsidP="006039B1">
                                    <w:pPr>
                                      <w:rPr>
                                        <w:b/>
                                      </w:rPr>
                                    </w:pPr>
                                    <w:r w:rsidRPr="00B34B0A">
                                      <w:rPr>
                                        <w:b/>
                                        <w:i/>
                                        <w:iCs/>
                                        <w:color w:val="000000"/>
                                      </w:rPr>
                                      <w:t>online</w:t>
                                    </w:r>
                                  </w:p>
                                </w:txbxContent>
                              </wps:txbx>
                              <wps:bodyPr rot="0" vert="horz" wrap="none" lIns="0" tIns="0" rIns="0" bIns="0" anchor="t" anchorCtr="0" upright="1">
                                <a:spAutoFit/>
                              </wps:bodyPr>
                            </wps:wsp>
                            <wps:wsp>
                              <wps:cNvPr id="657501395"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68E98" w14:textId="77777777" w:rsidR="006039B1" w:rsidRPr="00B34B0A" w:rsidRDefault="006039B1" w:rsidP="006039B1">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CC1447D" id="_x0000_s1213" editas="canvas" style="position:absolute;left:0;text-align:left;margin-left:34.4pt;margin-top:5pt;width:75.65pt;height:107.8pt;z-index:251713536"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yd5uwMAADoYAAAOAAAAZHJzL2Uyb0RvYy54bWzsmF9v2zYQwN8H7DsQfF8s/qeEOEWRIsOA&#10;bivW7QPQMm0Lk0SNVGJnn35HypabxECDbpCDZC8SRVGnu+OPd0devts1NbqzPlSunWNykWFk29It&#10;q3Y9x3/8fvODxij0pl2a2rV2ju9twO+uvv/uctsVlrqNq5fWIxDShmLbzfGm77tiNgvlxjYmXLjO&#10;tvBy5Xxjenj069nSmy1Ib+oZzTI52zq/7LwrbQjQ+2F4ia+S/NXKlv2vq1WwParnGHTr09Wn6yJe&#10;Z1eXplh7022qcq+G+QYtGlO18NNR1AfTG3Trqyeimqr0LrhVf1G6ZuZWq6q0yQawhmSPrLk27Z0J&#10;yZgSvHNQEFr/odzFOurdupuqrsEbM5BexL5438L8WOjcdjA7oRvnKfy7/3/emM4ms0JR/nL3yaNq&#10;CfDkRDKpGVEYtaYBWH6D6TPturZIkThTUQ0Y/7n75KPOofvoyj8Dat31BobZ99677caaJaiXxoMt&#10;X3wQHwJ8ihbbn90SxJvb3qVJ2618EwXCdKAdfMsk0RSj+zmWSmiZZJnC7npUxtdKcyYwKuE95Tqn&#10;iaKZKQ5iOh/6H61rUGzMsQcr0m/M3cfQRxeb4jDkgetNUbcPOmBg7ElmRM0HD/S7xW5wGKUHryzc&#10;8h4s824AHBYkNDbO/43RFuCe4/DXrfEWo/qnFrwTV8Kh4Q+NxaFh2hI+neMeo6F53Q8r5rbz1XoD&#10;kkmyJ3TvwYM3VbIpenfQYq8w8DIVOIxRyriAiXgKzuiiKcDJiMxkAkcrQpQYwssBHM10VDFyQ7SU&#10;+fm4Yc/mpoWo/UqpyRTPCRWEn6BmdNAE1DAh8gEapqgS/CE0OWiY76MNE1mEfAgh00ebpNlxnb/V&#10;aKO0kJwSCXP2JE2NLpqCG6KyIUvRPCN5CnTHLKWpEIdgowSV58MmRcFnYfN6g43kWmQaVu8JZkb/&#10;TMAMQEGgIo8ZKFdc5A9jDcs14ftYA9nrnNDI/zMU5lzSXCh2KtCM/pkAGi5UxhI0lJL8ETMUyuHs&#10;ZTCjns3Mq66GdSY1l4yfqoZHF02ADcCbQW0VYw0RTEG+hMLlJSYo/WxuXm+CIgCNFoyR/ESGGh00&#10;ATVC832wIVDUKJXqliM1VOcCaplhE3XeFJUC4Ruva4gWnLMM9t4nsBkdNAE2RHFJgAuINsCxVo92&#10;US+nsmEJ6DeOjRRKZITFfe3jLZQe/TMBNcdgcwoaTsXLqIbZePr51XO+s2SodGYM58XpaHN/mB5P&#10;wL98TqeCxyP/q38AAAD//wMAUEsDBBQABgAIAAAAIQAR9NJI3gAAAAkBAAAPAAAAZHJzL2Rvd25y&#10;ZXYueG1sTI9Ba8MwDIXvg/0Ho8Fuq9PAQsnilDLIDiE7rC1lRzdW49BYDrHbZv9+6mm7SXrive8V&#10;69kN4opT6D0pWC4SEEitNz11Cva76mUFIkRNRg+eUMEPBliXjw+Fzo2/0Rdet7ETbEIh1wpsjGMu&#10;ZWgtOh0WfkRi7eQnpyOvUyfNpG9s7gaZJkkmne6JE6we8d1ie95eHId8NnUjdx+hrsLBNpva79Pq&#10;W6nnp3nzBiLiHP+e4Y7P6FAy09FfyAQxKMhWTB75nnAl1tM0WYI43ofXDGRZyP8Nyl8AAAD//wMA&#10;UEsBAi0AFAAGAAgAAAAhALaDOJL+AAAA4QEAABMAAAAAAAAAAAAAAAAAAAAAAFtDb250ZW50X1R5&#10;cGVzXS54bWxQSwECLQAUAAYACAAAACEAOP0h/9YAAACUAQAACwAAAAAAAAAAAAAAAAAvAQAAX3Jl&#10;bHMvLnJlbHNQSwECLQAUAAYACAAAACEAMcMnebsDAAA6GAAADgAAAAAAAAAAAAAAAAAuAgAAZHJz&#10;L2Uyb0RvYy54bWxQSwECLQAUAAYACAAAACEAEfTSSN4AAAAJAQAADwAAAAAAAAAAAAAAAAAVBgAA&#10;ZHJzL2Rvd25yZXYueG1sUEsFBgAAAAAEAAQA8wAAACAHAAAAAA==&#10;">
                      <v:shape id="_x0000_s1214" type="#_x0000_t75" style="position:absolute;width:9607;height:13690;visibility:visible;mso-wrap-style:square">
                        <v:fill o:detectmouseclick="t"/>
                        <v:path o:connecttype="none"/>
                      </v:shape>
                      <v:rect id="Rectangle 71" o:spid="_x0000_s1215" style="position:absolute;left:1361;top:6758;width:1785;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7+JyQAAAOMAAAAPAAAAZHJzL2Rvd25yZXYueG1sRE/NasJA&#10;EL4X+g7LFHopdROFNEZXEUHooVBMPdjbkB2z0exsyG5N2qfvFgoe5/uf5Xq0rbhS7xvHCtJJAoK4&#10;crrhWsHhY/ecg/ABWWPrmBR8k4f16v5uiYV2A+/pWoZaxBD2BSowIXSFlL4yZNFPXEccuZPrLYZ4&#10;9rXUPQ4x3LZymiSZtNhwbDDY0dZQdSm/rILd+7Eh/pH7p3k+uHM1/SzNW6fU48O4WYAINIab+N/9&#10;quP8eZrNsnyWvsDfTxEAufoFAAD//wMAUEsBAi0AFAAGAAgAAAAhANvh9svuAAAAhQEAABMAAAAA&#10;AAAAAAAAAAAAAAAAAFtDb250ZW50X1R5cGVzXS54bWxQSwECLQAUAAYACAAAACEAWvQsW78AAAAV&#10;AQAACwAAAAAAAAAAAAAAAAAfAQAAX3JlbHMvLnJlbHNQSwECLQAUAAYACAAAACEAEGe/ickAAADj&#10;AAAADwAAAAAAAAAAAAAAAAAHAgAAZHJzL2Rvd25yZXYueG1sUEsFBgAAAAADAAMAtwAAAP0CAAAA&#10;AA==&#10;" filled="f" stroked="f">
                        <v:textbox style="mso-fit-shape-to-text:t" inset="0,0,0,0">
                          <w:txbxContent>
                            <w:p w14:paraId="316F1AC6" w14:textId="77777777" w:rsidR="006039B1" w:rsidRPr="00B074A0" w:rsidRDefault="006039B1" w:rsidP="006039B1">
                              <w:pPr>
                                <w:rPr>
                                  <w:sz w:val="32"/>
                                  <w:szCs w:val="32"/>
                                </w:rPr>
                              </w:pPr>
                              <w:r w:rsidRPr="00B074A0">
                                <w:rPr>
                                  <w:rFonts w:ascii="Symbol" w:hAnsi="Symbol" w:cs="Symbol"/>
                                  <w:color w:val="000000"/>
                                  <w:sz w:val="32"/>
                                  <w:szCs w:val="32"/>
                                </w:rPr>
                                <w:t></w:t>
                              </w:r>
                            </w:p>
                          </w:txbxContent>
                        </v:textbox>
                      </v:rect>
                      <v:rect id="Rectangle 72" o:spid="_x0000_s1216"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20yQAAAOMAAAAPAAAAZHJzL2Rvd25yZXYueG1sRI/NasMw&#10;EITvhb6D2EBujRy5DcGNEkohkJZe4uQBhLX+odLKSGrsvH33UOhxd2dn5tsdZu/EDWMaAmlYrwoQ&#10;SE2wA3Uarpfj0xZEyoascYFQwx0THPaPDztT2TDRGW917gSbUKqMhj7nsZIyNT16k1ZhROJbG6I3&#10;mcfYSRvNxObeSVUUG+nNQJzQmxHfe2y+6x+vQV7q47StXSzCp2q/3Mfp3GLQermY315BZJzzv/jv&#10;+2S5flkqVT6/KKZgJl6A3P8CAAD//wMAUEsBAi0AFAAGAAgAAAAhANvh9svuAAAAhQEAABMAAAAA&#10;AAAAAAAAAAAAAAAAAFtDb250ZW50X1R5cGVzXS54bWxQSwECLQAUAAYACAAAACEAWvQsW78AAAAV&#10;AQAACwAAAAAAAAAAAAAAAAAfAQAAX3JlbHMvLnJlbHNQSwECLQAUAAYACAAAACEAKRwttMkAAADj&#10;AAAADwAAAAAAAAAAAAAAAAAHAgAAZHJzL2Rvd25yZXYueG1sUEsFBgAAAAADAAMAtwAAAP0CAAAA&#10;AA==&#10;" filled="f" stroked="f">
                        <v:textbox style="mso-fit-shape-to-text:t" inset="0,0,0,0">
                          <w:txbxContent>
                            <w:p w14:paraId="0E62ED95" w14:textId="77777777" w:rsidR="006039B1" w:rsidRDefault="006039B1" w:rsidP="006039B1">
                              <w:r>
                                <w:rPr>
                                  <w:rFonts w:ascii="Symbol" w:hAnsi="Symbol" w:cs="Symbol"/>
                                  <w:color w:val="000000"/>
                                </w:rPr>
                                <w:t></w:t>
                              </w:r>
                            </w:p>
                          </w:txbxContent>
                        </v:textbox>
                      </v:rect>
                      <v:rect id="Rectangle 73" o:spid="_x0000_s1217" style="position:absolute;left:355;top:3727;width:925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Y3OyQAAAOMAAAAPAAAAZHJzL2Rvd25yZXYueG1sRE/NasJA&#10;EL4LvsMyQi+imwRbNXUVEYQehGLaQ3sbstNs2uxsyG5N6tN3C0KP8/3PZjfYRlyo87VjBek8AUFc&#10;Ol1zpeD15ThbgfABWWPjmBT8kIfddjzaYK5dz2e6FKESMYR9jgpMCG0upS8NWfRz1xJH7sN1FkM8&#10;u0rqDvsYbhuZJcmDtFhzbDDY0sFQ+VV8WwXH57ea+CrP0/Wqd59l9l6YU6vU3WTYP4IINIR/8c39&#10;pOP8ZLlYp9l9uoC/nyIAcvsLAAD//wMAUEsBAi0AFAAGAAgAAAAhANvh9svuAAAAhQEAABMAAAAA&#10;AAAAAAAAAAAAAAAAAFtDb250ZW50X1R5cGVzXS54bWxQSwECLQAUAAYACAAAACEAWvQsW78AAAAV&#10;AQAACwAAAAAAAAAAAAAAAAAfAQAAX3JlbHMvLnJlbHNQSwECLQAUAAYACAAAACEACCmNzskAAADj&#10;AAAADwAAAAAAAAAAAAAAAAAHAgAAZHJzL2Rvd25yZXYueG1sUEsFBgAAAAADAAMAtwAAAP0CAAAA&#10;AA==&#10;" filled="f" stroked="f">
                        <v:textbox style="mso-fit-shape-to-text:t" inset="0,0,0,0">
                          <w:txbxContent>
                            <w:p w14:paraId="044123D5" w14:textId="77777777" w:rsidR="006039B1" w:rsidRPr="00B34B0A" w:rsidRDefault="006039B1" w:rsidP="006039B1">
                              <w:pPr>
                                <w:rPr>
                                  <w:b/>
                                </w:rPr>
                              </w:pPr>
                              <w:r>
                                <w:rPr>
                                  <w:b/>
                                  <w:i/>
                                  <w:iCs/>
                                  <w:color w:val="000000"/>
                                </w:rPr>
                                <w:t>DC-Coupled Resources</w:t>
                              </w:r>
                            </w:p>
                          </w:txbxContent>
                        </v:textbox>
                      </v:rect>
                      <v:rect id="Rectangle 74" o:spid="_x0000_s1218"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TorxgAAAOMAAAAPAAAAZHJzL2Rvd25yZXYueG1sRE9LasMw&#10;EN0Xcgcxge4aOaZ1jRslhEAgKd3E6QEGa/yh0shIauzePioUupz3n81utkbcyIfBsYL1KgNB3Dg9&#10;cKfg83p8KkGEiKzROCYFPxRgt108bLDSbuIL3erYiRTCoUIFfYxjJWVoerIYVm4kTlzrvMWYTt9J&#10;7XFK4dbIPMsKaXHg1NDjSIeemq/62yqQ1/o4lbXxmXvP2w9zPl1acko9Luf9G4hIc/wX/7lPOs1/&#10;LV+K53xdFPD7UwJAbu8AAAD//wMAUEsBAi0AFAAGAAgAAAAhANvh9svuAAAAhQEAABMAAAAAAAAA&#10;AAAAAAAAAAAAAFtDb250ZW50X1R5cGVzXS54bWxQSwECLQAUAAYACAAAACEAWvQsW78AAAAVAQAA&#10;CwAAAAAAAAAAAAAAAAAfAQAAX3JlbHMvLnJlbHNQSwECLQAUAAYACAAAACEAHS06K8YAAADjAAAA&#10;DwAAAAAAAAAAAAAAAAAHAgAAZHJzL2Rvd25yZXYueG1sUEsFBgAAAAADAAMAtwAAAPoCAAAAAA==&#10;" filled="f" stroked="f">
                        <v:textbox style="mso-fit-shape-to-text:t" inset="0,0,0,0">
                          <w:txbxContent>
                            <w:p w14:paraId="5208466B" w14:textId="77777777" w:rsidR="006039B1" w:rsidRPr="00B34B0A" w:rsidRDefault="006039B1" w:rsidP="006039B1">
                              <w:pPr>
                                <w:rPr>
                                  <w:b/>
                                </w:rPr>
                              </w:pPr>
                            </w:p>
                          </w:txbxContent>
                        </v:textbox>
                      </v:rect>
                      <v:rect id="Rectangle 75" o:spid="_x0000_s1219"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gkjxwAAAOIAAAAPAAAAZHJzL2Rvd25yZXYueG1sRI/NasMw&#10;EITvhb6D2EJvjVTTBONECSUQSEsvcfIAi7X+IdLKSErsvn1VKPQ4zMw3zGY3OyvuFOLgWcPrQoEg&#10;brwZuNNwOR9eShAxIRu0nknDN0XYbR8fNlgZP/GJ7nXqRIZwrFBDn9JYSRmbnhzGhR+Js9f64DBl&#10;GTppAk4Z7qwslFpJhwPnhR5H2vfUXOub0yDP9WEqaxuU/yzaL/txPLXktX5+mt/XIBLN6T/81z4a&#10;Dau3cqlKtSzg91K+A3L7AwAA//8DAFBLAQItABQABgAIAAAAIQDb4fbL7gAAAIUBAAATAAAAAAAA&#10;AAAAAAAAAAAAAABbQ29udGVudF9UeXBlc10ueG1sUEsBAi0AFAAGAAgAAAAhAFr0LFu/AAAAFQEA&#10;AAsAAAAAAAAAAAAAAAAAHwEAAF9yZWxzLy5yZWxzUEsBAi0AFAAGAAgAAAAhANFCCSPHAAAA4gAA&#10;AA8AAAAAAAAAAAAAAAAABwIAAGRycy9kb3ducmV2LnhtbFBLBQYAAAAAAwADALcAAAD7AgAAAAA=&#10;" filled="f" stroked="f">
                        <v:textbox style="mso-fit-shape-to-text:t" inset="0,0,0,0">
                          <w:txbxContent>
                            <w:p w14:paraId="22825EE0" w14:textId="77777777" w:rsidR="006039B1" w:rsidRPr="00B34B0A" w:rsidRDefault="006039B1" w:rsidP="006039B1">
                              <w:pPr>
                                <w:rPr>
                                  <w:b/>
                                </w:rPr>
                              </w:pPr>
                              <w:r w:rsidRPr="00B34B0A">
                                <w:rPr>
                                  <w:b/>
                                  <w:i/>
                                  <w:iCs/>
                                  <w:color w:val="000000"/>
                                </w:rPr>
                                <w:t>online</w:t>
                              </w:r>
                            </w:p>
                          </w:txbxContent>
                        </v:textbox>
                      </v:rect>
                      <v:rect id="Rectangle 76" o:spid="_x0000_s1220"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14/zAAAAOIAAAAPAAAAZHJzL2Rvd25yZXYueG1sRI9BS8NA&#10;FITvgv9heYIXaTfGmrZpt0UKBQ+CNPZQb4/sM5uafRuy2yb667sFweMwM98wy/VgG3GmzteOFTyO&#10;ExDEpdM1Vwr2H9vRDIQPyBobx6TghzysV7c3S8y163lH5yJUIkLY56jAhNDmUvrSkEU/di1x9L5c&#10;ZzFE2VVSd9hHuG1kmiSZtFhzXDDY0sZQ+V2crILt+6Em/pW7h/msd8cy/SzMW6vU/d3wsgARaAj/&#10;4b/2q1YwmWTp/Hn6lMH1UrwDcnUBAAD//wMAUEsBAi0AFAAGAAgAAAAhANvh9svuAAAAhQEAABMA&#10;AAAAAAAAAAAAAAAAAAAAAFtDb250ZW50X1R5cGVzXS54bWxQSwECLQAUAAYACAAAACEAWvQsW78A&#10;AAAVAQAACwAAAAAAAAAAAAAAAAAfAQAAX3JlbHMvLnJlbHNQSwECLQAUAAYACAAAACEA63deP8wA&#10;AADiAAAADwAAAAAAAAAAAAAAAAAHAgAAZHJzL2Rvd25yZXYueG1sUEsFBgAAAAADAAMAtwAAAAAD&#10;AAAAAA==&#10;" filled="f" stroked="f">
                        <v:textbox style="mso-fit-shape-to-text:t" inset="0,0,0,0">
                          <w:txbxContent>
                            <w:p w14:paraId="7E7E6F58" w14:textId="77777777" w:rsidR="006039B1" w:rsidRPr="00B34B0A" w:rsidRDefault="006039B1" w:rsidP="006039B1">
                              <w:pPr>
                                <w:rPr>
                                  <w:b/>
                                </w:rPr>
                              </w:pPr>
                              <w:r w:rsidRPr="00B34B0A">
                                <w:rPr>
                                  <w:b/>
                                  <w:i/>
                                  <w:iCs/>
                                  <w:color w:val="000000"/>
                                </w:rPr>
                                <w:t>All</w:t>
                              </w:r>
                            </w:p>
                          </w:txbxContent>
                        </v:textbox>
                      </v:rect>
                      <v:rect id="Rectangle 77" o:spid="_x0000_s1221"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NURyQAAAOMAAAAPAAAAZHJzL2Rvd25yZXYueG1sRI/NasMw&#10;EITvhb6D2EBujZQfjHGjhFIIJKWXOH2AxVr/UGllJDV23z46FHrc3dmZ+fbH2VlxpxAHzxrWKwWC&#10;uPFm4E7D1+30UoKICdmg9UwafinC8fD8tMfK+ImvdK9TJ7IJxwo19CmNlZSx6clhXPmRON9aHxym&#10;PIZOmoBTNndWbpQqpMOBc0KPI7331HzXP06DvNWnqaxtUP5j037ay/naktd6uZjfXkEkmtO/+O/7&#10;bHL9UhXlrtjuMkVmyguQhwcAAAD//wMAUEsBAi0AFAAGAAgAAAAhANvh9svuAAAAhQEAABMAAAAA&#10;AAAAAAAAAAAAAAAAAFtDb250ZW50X1R5cGVzXS54bWxQSwECLQAUAAYACAAAACEAWvQsW78AAAAV&#10;AQAACwAAAAAAAAAAAAAAAAAfAQAAX3JlbHMvLnJlbHNQSwECLQAUAAYACAAAACEAKNTVEckAAADj&#10;AAAADwAAAAAAAAAAAAAAAAAHAgAAZHJzL2Rvd25yZXYueG1sUEsFBgAAAAADAAMAtwAAAP0CAAAA&#10;AA==&#10;" filled="f" stroked="f">
                        <v:textbox style="mso-fit-shape-to-text:t" inset="0,0,0,0">
                          <w:txbxContent>
                            <w:p w14:paraId="5382771B" w14:textId="77777777" w:rsidR="006039B1" w:rsidRPr="00B34B0A" w:rsidRDefault="006039B1" w:rsidP="006039B1">
                              <w:pPr>
                                <w:rPr>
                                  <w:b/>
                                </w:rPr>
                              </w:pPr>
                            </w:p>
                          </w:txbxContent>
                        </v:textbox>
                      </v:rect>
                      <v:rect id="Rectangle 78" o:spid="_x0000_s1222"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YVxQAAAOMAAAAPAAAAZHJzL2Rvd25yZXYueG1sRE/NagIx&#10;EL4XfIcwBW81Ualst0aRgmBLL64+wLCZ/aHJZElSd337plDocb7/2e4nZ8WNQuw9a1guFAji2pue&#10;Ww3Xy/GpABETskHrmTTcKcJ+N3vYYmn8yGe6VakVOYRjiRq6lIZSylh35DAu/ECcucYHhymfoZUm&#10;4JjDnZUrpTbSYc+5ocOB3jqqv6pvp0FequNYVDYo/7FqPu376dyQ13r+OB1eQSSa0r/4z30yeb7a&#10;FMXzer18gd+fMgBy9wMAAP//AwBQSwECLQAUAAYACAAAACEA2+H2y+4AAACFAQAAEwAAAAAAAAAA&#10;AAAAAAAAAAAAW0NvbnRlbnRfVHlwZXNdLnhtbFBLAQItABQABgAIAAAAIQBa9CxbvwAAABUBAAAL&#10;AAAAAAAAAAAAAAAAAB8BAABfcmVscy8ucmVsc1BLAQItABQABgAIAAAAIQCYvZYVxQAAAOMAAAAP&#10;AAAAAAAAAAAAAAAAAAcCAABkcnMvZG93bnJldi54bWxQSwUGAAAAAAMAAwC3AAAA+QIAAAAA&#10;" filled="f" stroked="f">
                        <v:textbox style="mso-fit-shape-to-text:t" inset="0,0,0,0">
                          <w:txbxContent>
                            <w:p w14:paraId="4F2035A0" w14:textId="77777777" w:rsidR="006039B1" w:rsidRPr="00B34B0A" w:rsidRDefault="006039B1" w:rsidP="006039B1">
                              <w:pPr>
                                <w:rPr>
                                  <w:b/>
                                </w:rPr>
                              </w:pPr>
                              <w:r>
                                <w:rPr>
                                  <w:b/>
                                  <w:i/>
                                  <w:iCs/>
                                  <w:color w:val="000000"/>
                                </w:rPr>
                                <w:t>ESR</w:t>
                              </w:r>
                            </w:p>
                          </w:txbxContent>
                        </v:textbox>
                      </v:rect>
                      <v:rect id="Rectangle 79" o:spid="_x0000_s1223"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A0xQAAAOMAAAAPAAAAZHJzL2Rvd25yZXYueG1sRE/NSgMx&#10;EL4LvkOYgjebdN3KsjYtIhSqeOnWBxg2sz+YTJYkdte3N4Lgcb7/2R0WZ8WVQhw9a9isFQji1puR&#10;ew0fl+N9BSImZIPWM2n4pgiH/e3NDmvjZz7TtUm9yCEca9QwpDTVUsZ2IIdx7SfizHU+OEz5DL00&#10;Aecc7qwslHqUDkfODQNO9DJQ+9l8OQ3y0hznqrFB+beie7evp3NHXuu71fL8BCLRkv7Ff+6TyfOr&#10;bVk+qHJbwO9PGQC5/wEAAP//AwBQSwECLQAUAAYACAAAACEA2+H2y+4AAACFAQAAEwAAAAAAAAAA&#10;AAAAAAAAAAAAW0NvbnRlbnRfVHlwZXNdLnhtbFBLAQItABQABgAIAAAAIQBa9CxbvwAAABUBAAAL&#10;AAAAAAAAAAAAAAAAAB8BAABfcmVscy8ucmVsc1BLAQItABQABgAIAAAAIQAdm/A0xQAAAOMAAAAP&#10;AAAAAAAAAAAAAAAAAAcCAABkcnMvZG93bnJldi54bWxQSwUGAAAAAAMAAwC3AAAA+QIAAAAA&#10;" filled="f" stroked="f">
                        <v:textbox style="mso-fit-shape-to-text:t" inset="0,0,0,0">
                          <w:txbxContent>
                            <w:p w14:paraId="21B62DC4" w14:textId="77777777" w:rsidR="006039B1" w:rsidRPr="00B34B0A" w:rsidRDefault="006039B1" w:rsidP="006039B1">
                              <w:pPr>
                                <w:rPr>
                                  <w:b/>
                                </w:rPr>
                              </w:pPr>
                              <w:r w:rsidRPr="00B34B0A">
                                <w:rPr>
                                  <w:b/>
                                  <w:i/>
                                  <w:iCs/>
                                  <w:color w:val="000000"/>
                                </w:rPr>
                                <w:t>online</w:t>
                              </w:r>
                            </w:p>
                          </w:txbxContent>
                        </v:textbox>
                      </v:rect>
                      <v:rect id="Rectangle 80" o:spid="_x0000_s1224"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KXmyAAAAOIAAAAPAAAAZHJzL2Rvd25yZXYueG1sRI/dSgMx&#10;FITvhb5DOELvbNKWrXVtWopQqOJNtz7AYXP2B5OTJYnd9e2NIHg5zMw3zO4wOStuFGLvWcNyoUAQ&#10;19703Gr4uJ4etiBiQjZoPZOGb4pw2M/udlgaP/KFblVqRYZwLFFDl9JQShnrjhzGhR+Is9f44DBl&#10;GVppAo4Z7qxcKbWRDnvOCx0O9NJR/Vl9OQ3yWp3GbWWD8m+r5t2+ni8Nea3n99PxGUSiKf2H/9pn&#10;o2FTPBZquX4q4PdSvgNy/wMAAP//AwBQSwECLQAUAAYACAAAACEA2+H2y+4AAACFAQAAEwAAAAAA&#10;AAAAAAAAAAAAAAAAW0NvbnRlbnRfVHlwZXNdLnhtbFBLAQItABQABgAIAAAAIQBa9CxbvwAAABUB&#10;AAALAAAAAAAAAAAAAAAAAB8BAABfcmVscy8ucmVsc1BLAQItABQABgAIAAAAIQAhBKXmyAAAAOIA&#10;AAAPAAAAAAAAAAAAAAAAAAcCAABkcnMvZG93bnJldi54bWxQSwUGAAAAAAMAAwC3AAAA/AIAAAAA&#10;" filled="f" stroked="f">
                        <v:textbox style="mso-fit-shape-to-text:t" inset="0,0,0,0">
                          <w:txbxContent>
                            <w:p w14:paraId="65068E98" w14:textId="77777777" w:rsidR="006039B1" w:rsidRPr="00B34B0A" w:rsidRDefault="006039B1" w:rsidP="006039B1">
                              <w:pPr>
                                <w:rPr>
                                  <w:b/>
                                </w:rPr>
                              </w:pPr>
                              <w:r w:rsidRPr="00B34B0A">
                                <w:rPr>
                                  <w:b/>
                                  <w:i/>
                                  <w:iCs/>
                                  <w:color w:val="000000"/>
                                </w:rPr>
                                <w:t>i</w:t>
                              </w:r>
                            </w:p>
                          </w:txbxContent>
                        </v:textbox>
                      </v:rect>
                    </v:group>
                  </w:pict>
                </mc:Fallback>
              </mc:AlternateContent>
            </w:r>
            <w:r w:rsidRPr="0013396E">
              <w:rPr>
                <w:b/>
                <w:position w:val="30"/>
                <w:sz w:val="20"/>
              </w:rPr>
              <w:t>PRC</w:t>
            </w:r>
            <w:r w:rsidRPr="0013396E">
              <w:rPr>
                <w:rFonts w:ascii="Times New Roman Bold" w:hAnsi="Times New Roman Bold"/>
                <w:b/>
                <w:position w:val="30"/>
                <w:sz w:val="20"/>
                <w:vertAlign w:val="subscript"/>
              </w:rPr>
              <w:t>9</w:t>
            </w:r>
            <w:r w:rsidRPr="0013396E">
              <w:rPr>
                <w:b/>
                <w:position w:val="30"/>
                <w:sz w:val="20"/>
              </w:rPr>
              <w:t xml:space="preserve"> =</w:t>
            </w:r>
            <w:r w:rsidRPr="0013396E">
              <w:rPr>
                <w:b/>
                <w:position w:val="30"/>
                <w:sz w:val="20"/>
              </w:rPr>
              <w:tab/>
              <w:t>Min(X% of MDRR, HSL-Net MW, the sum of the MW headroom available from the intermittent renewable generation component and the MW capacity that can be sustained for 45 minutes per the ESS State of Charge</w:t>
            </w:r>
            <w:r w:rsidR="00016609">
              <w:rPr>
                <w:b/>
                <w:position w:val="30"/>
                <w:sz w:val="20"/>
              </w:rPr>
              <w:t>)</w:t>
            </w:r>
          </w:p>
          <w:p w14:paraId="3C879AA5" w14:textId="77777777" w:rsidR="006039B1" w:rsidRDefault="006039B1" w:rsidP="006039B1">
            <w:pPr>
              <w:ind w:left="720" w:hanging="720"/>
              <w:rPr>
                <w:b/>
                <w:position w:val="30"/>
                <w:sz w:val="20"/>
              </w:rPr>
            </w:pPr>
          </w:p>
          <w:p w14:paraId="22361620" w14:textId="763A7AD8" w:rsidR="006039B1" w:rsidRPr="006039B1" w:rsidRDefault="006039B1" w:rsidP="006039B1">
            <w:pPr>
              <w:ind w:left="720" w:hanging="720"/>
              <w:rPr>
                <w:b/>
                <w:position w:val="30"/>
                <w:sz w:val="20"/>
              </w:rPr>
            </w:pPr>
            <w:r w:rsidRPr="0013396E">
              <w:rPr>
                <w:b/>
                <w:position w:val="30"/>
                <w:sz w:val="20"/>
              </w:rPr>
              <w:t>Excludes DC-Coupled Resource capacity used to provide FFR.</w:t>
            </w:r>
          </w:p>
        </w:tc>
      </w:tr>
    </w:tbl>
    <w:p w14:paraId="469B13F1" w14:textId="1C2EDE01" w:rsidR="00422B96" w:rsidRPr="0013396E" w:rsidRDefault="00422B96" w:rsidP="006039B1">
      <w:pPr>
        <w:spacing w:before="240"/>
        <w:ind w:left="720" w:hanging="720"/>
        <w:rPr>
          <w:b/>
          <w:position w:val="30"/>
          <w:sz w:val="20"/>
        </w:rPr>
      </w:pPr>
      <w:r w:rsidRPr="0013396E">
        <w:rPr>
          <w:b/>
          <w:position w:val="30"/>
          <w:sz w:val="20"/>
        </w:rPr>
        <w:t>PRC =</w:t>
      </w:r>
      <w:r w:rsidRPr="0013396E">
        <w:rPr>
          <w:b/>
          <w:position w:val="30"/>
          <w:sz w:val="20"/>
        </w:rPr>
        <w:tab/>
        <w:t>PRC</w:t>
      </w:r>
      <w:r w:rsidRPr="0013396E">
        <w:rPr>
          <w:b/>
          <w:position w:val="30"/>
          <w:sz w:val="20"/>
          <w:vertAlign w:val="subscript"/>
        </w:rPr>
        <w:t>1</w:t>
      </w:r>
      <w:r w:rsidRPr="0013396E">
        <w:rPr>
          <w:b/>
          <w:position w:val="30"/>
          <w:sz w:val="20"/>
        </w:rPr>
        <w:t xml:space="preserve"> + PRC</w:t>
      </w:r>
      <w:r w:rsidRPr="0013396E">
        <w:rPr>
          <w:b/>
          <w:position w:val="30"/>
          <w:sz w:val="20"/>
          <w:vertAlign w:val="subscript"/>
        </w:rPr>
        <w:t>2</w:t>
      </w:r>
      <w:r w:rsidRPr="0013396E">
        <w:rPr>
          <w:b/>
          <w:position w:val="30"/>
          <w:sz w:val="20"/>
        </w:rPr>
        <w:t xml:space="preserve"> + PRC</w:t>
      </w:r>
      <w:r w:rsidRPr="0013396E">
        <w:rPr>
          <w:b/>
          <w:position w:val="30"/>
          <w:sz w:val="20"/>
          <w:vertAlign w:val="subscript"/>
        </w:rPr>
        <w:t>3</w:t>
      </w:r>
      <w:r w:rsidRPr="0013396E">
        <w:rPr>
          <w:b/>
          <w:position w:val="30"/>
          <w:sz w:val="20"/>
        </w:rPr>
        <w:t>+ PRC</w:t>
      </w:r>
      <w:r w:rsidRPr="0013396E">
        <w:rPr>
          <w:b/>
          <w:position w:val="30"/>
          <w:sz w:val="20"/>
          <w:vertAlign w:val="subscript"/>
        </w:rPr>
        <w:t>4</w:t>
      </w:r>
      <w:r w:rsidRPr="0013396E">
        <w:rPr>
          <w:b/>
          <w:position w:val="30"/>
          <w:sz w:val="20"/>
        </w:rPr>
        <w:t xml:space="preserve"> + PRC</w:t>
      </w:r>
      <w:r w:rsidRPr="0013396E">
        <w:rPr>
          <w:b/>
          <w:position w:val="30"/>
          <w:sz w:val="20"/>
          <w:vertAlign w:val="subscript"/>
        </w:rPr>
        <w:t>5</w:t>
      </w:r>
      <w:r w:rsidRPr="0013396E">
        <w:rPr>
          <w:b/>
          <w:position w:val="30"/>
          <w:sz w:val="20"/>
        </w:rPr>
        <w:t xml:space="preserve"> + PRC</w:t>
      </w:r>
      <w:r w:rsidRPr="0013396E">
        <w:rPr>
          <w:b/>
          <w:position w:val="30"/>
          <w:sz w:val="20"/>
          <w:vertAlign w:val="subscript"/>
        </w:rPr>
        <w:t>6</w:t>
      </w:r>
      <w:r w:rsidRPr="0013396E">
        <w:rPr>
          <w:b/>
          <w:position w:val="30"/>
          <w:sz w:val="20"/>
        </w:rPr>
        <w:t xml:space="preserve"> + PRC</w:t>
      </w:r>
      <w:r w:rsidRPr="0013396E">
        <w:rPr>
          <w:b/>
          <w:position w:val="30"/>
          <w:sz w:val="20"/>
          <w:vertAlign w:val="subscript"/>
        </w:rPr>
        <w:t>7</w:t>
      </w:r>
      <w:r w:rsidRPr="0013396E">
        <w:rPr>
          <w:b/>
          <w:position w:val="30"/>
          <w:sz w:val="20"/>
        </w:rPr>
        <w:t xml:space="preserve"> + PRC</w:t>
      </w:r>
      <w:r w:rsidRPr="0013396E">
        <w:rPr>
          <w:b/>
          <w:position w:val="30"/>
          <w:sz w:val="20"/>
          <w:vertAlign w:val="subscript"/>
        </w:rPr>
        <w:t>8</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039B1" w:rsidRPr="0013396E" w14:paraId="4E434413" w14:textId="77777777" w:rsidTr="00E97C39">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0FBEC12" w14:textId="6F62CE51" w:rsidR="006039B1" w:rsidRPr="0013396E" w:rsidRDefault="006039B1" w:rsidP="00E97C39">
            <w:pPr>
              <w:spacing w:before="120" w:after="240"/>
              <w:rPr>
                <w:b/>
                <w:i/>
                <w:iCs/>
                <w:szCs w:val="24"/>
              </w:rPr>
            </w:pPr>
            <w:r w:rsidRPr="0013396E">
              <w:rPr>
                <w:b/>
                <w:i/>
                <w:iCs/>
                <w:szCs w:val="24"/>
              </w:rPr>
              <w:t>[</w:t>
            </w:r>
            <w:r>
              <w:rPr>
                <w:b/>
                <w:i/>
                <w:iCs/>
                <w:szCs w:val="24"/>
              </w:rPr>
              <w:t>NPRR1029</w:t>
            </w:r>
            <w:r w:rsidRPr="0013396E">
              <w:rPr>
                <w:b/>
                <w:i/>
                <w:iCs/>
                <w:szCs w:val="24"/>
              </w:rPr>
              <w:t xml:space="preserve">:  Replace </w:t>
            </w:r>
            <w:r>
              <w:rPr>
                <w:b/>
                <w:i/>
                <w:iCs/>
                <w:szCs w:val="24"/>
              </w:rPr>
              <w:t>the formula “PRC”</w:t>
            </w:r>
            <w:r w:rsidRPr="0013396E">
              <w:rPr>
                <w:b/>
                <w:i/>
                <w:iCs/>
                <w:szCs w:val="24"/>
              </w:rPr>
              <w:t xml:space="preserve"> above with the following upon system implementation:]</w:t>
            </w:r>
          </w:p>
          <w:p w14:paraId="630B9440" w14:textId="46D9C47E" w:rsidR="006039B1" w:rsidRPr="006039B1" w:rsidRDefault="006039B1" w:rsidP="006039B1">
            <w:pPr>
              <w:ind w:left="720" w:hanging="720"/>
              <w:rPr>
                <w:b/>
                <w:position w:val="30"/>
                <w:sz w:val="20"/>
              </w:rPr>
            </w:pPr>
            <w:r w:rsidRPr="0013396E">
              <w:rPr>
                <w:b/>
                <w:position w:val="30"/>
                <w:sz w:val="20"/>
              </w:rPr>
              <w:t>PRC =</w:t>
            </w:r>
            <w:r w:rsidRPr="0013396E">
              <w:rPr>
                <w:b/>
                <w:position w:val="30"/>
                <w:sz w:val="20"/>
              </w:rPr>
              <w:tab/>
              <w:t>PRC</w:t>
            </w:r>
            <w:r w:rsidRPr="0013396E">
              <w:rPr>
                <w:b/>
                <w:position w:val="30"/>
                <w:sz w:val="20"/>
                <w:vertAlign w:val="subscript"/>
              </w:rPr>
              <w:t>1</w:t>
            </w:r>
            <w:r w:rsidRPr="0013396E">
              <w:rPr>
                <w:b/>
                <w:position w:val="30"/>
                <w:sz w:val="20"/>
              </w:rPr>
              <w:t xml:space="preserve"> + PRC</w:t>
            </w:r>
            <w:r w:rsidRPr="0013396E">
              <w:rPr>
                <w:b/>
                <w:position w:val="30"/>
                <w:sz w:val="20"/>
                <w:vertAlign w:val="subscript"/>
              </w:rPr>
              <w:t>2</w:t>
            </w:r>
            <w:r w:rsidRPr="0013396E">
              <w:rPr>
                <w:b/>
                <w:position w:val="30"/>
                <w:sz w:val="20"/>
              </w:rPr>
              <w:t xml:space="preserve"> + PRC</w:t>
            </w:r>
            <w:r w:rsidRPr="0013396E">
              <w:rPr>
                <w:b/>
                <w:position w:val="30"/>
                <w:sz w:val="20"/>
                <w:vertAlign w:val="subscript"/>
              </w:rPr>
              <w:t>3</w:t>
            </w:r>
            <w:r w:rsidRPr="0013396E">
              <w:rPr>
                <w:b/>
                <w:position w:val="30"/>
                <w:sz w:val="20"/>
              </w:rPr>
              <w:t>+ PRC</w:t>
            </w:r>
            <w:r w:rsidRPr="0013396E">
              <w:rPr>
                <w:b/>
                <w:position w:val="30"/>
                <w:sz w:val="20"/>
                <w:vertAlign w:val="subscript"/>
              </w:rPr>
              <w:t>4</w:t>
            </w:r>
            <w:r w:rsidRPr="0013396E">
              <w:rPr>
                <w:b/>
                <w:position w:val="30"/>
                <w:sz w:val="20"/>
              </w:rPr>
              <w:t xml:space="preserve"> + PRC</w:t>
            </w:r>
            <w:r w:rsidRPr="0013396E">
              <w:rPr>
                <w:b/>
                <w:position w:val="30"/>
                <w:sz w:val="20"/>
                <w:vertAlign w:val="subscript"/>
              </w:rPr>
              <w:t>5</w:t>
            </w:r>
            <w:r w:rsidRPr="0013396E">
              <w:rPr>
                <w:b/>
                <w:position w:val="30"/>
                <w:sz w:val="20"/>
              </w:rPr>
              <w:t xml:space="preserve"> + PRC</w:t>
            </w:r>
            <w:r w:rsidRPr="0013396E">
              <w:rPr>
                <w:b/>
                <w:position w:val="30"/>
                <w:sz w:val="20"/>
                <w:vertAlign w:val="subscript"/>
              </w:rPr>
              <w:t>6</w:t>
            </w:r>
            <w:r w:rsidRPr="0013396E">
              <w:rPr>
                <w:b/>
                <w:position w:val="30"/>
                <w:sz w:val="20"/>
              </w:rPr>
              <w:t xml:space="preserve"> + PRC</w:t>
            </w:r>
            <w:r w:rsidRPr="0013396E">
              <w:rPr>
                <w:b/>
                <w:position w:val="30"/>
                <w:sz w:val="20"/>
                <w:vertAlign w:val="subscript"/>
              </w:rPr>
              <w:t>7</w:t>
            </w:r>
            <w:r w:rsidRPr="0013396E">
              <w:rPr>
                <w:b/>
                <w:position w:val="30"/>
                <w:sz w:val="20"/>
              </w:rPr>
              <w:t xml:space="preserve"> + PRC</w:t>
            </w:r>
            <w:r w:rsidRPr="0013396E">
              <w:rPr>
                <w:b/>
                <w:position w:val="30"/>
                <w:sz w:val="20"/>
                <w:vertAlign w:val="subscript"/>
              </w:rPr>
              <w:t>8</w:t>
            </w:r>
            <w:r w:rsidRPr="0013396E">
              <w:rPr>
                <w:b/>
                <w:position w:val="30"/>
                <w:sz w:val="20"/>
              </w:rPr>
              <w:t xml:space="preserve"> + PRC</w:t>
            </w:r>
            <w:r w:rsidRPr="0013396E">
              <w:rPr>
                <w:b/>
                <w:position w:val="30"/>
                <w:sz w:val="20"/>
                <w:vertAlign w:val="subscript"/>
              </w:rPr>
              <w:t>9</w:t>
            </w:r>
          </w:p>
        </w:tc>
      </w:tr>
    </w:tbl>
    <w:p w14:paraId="4658DC4B" w14:textId="77777777" w:rsidR="00422B96" w:rsidRPr="0013396E" w:rsidRDefault="00422B96" w:rsidP="006039B1">
      <w:pPr>
        <w:spacing w:before="240"/>
      </w:pPr>
      <w:r w:rsidRPr="0013396E">
        <w:t xml:space="preserve">The above variables are defined as follows: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68"/>
        <w:gridCol w:w="1830"/>
        <w:gridCol w:w="5352"/>
      </w:tblGrid>
      <w:tr w:rsidR="00422B96" w:rsidRPr="0013396E" w14:paraId="75448C01" w14:textId="77777777" w:rsidTr="006039B1">
        <w:tc>
          <w:tcPr>
            <w:tcW w:w="2133" w:type="dxa"/>
          </w:tcPr>
          <w:p w14:paraId="5A07F79F" w14:textId="77777777" w:rsidR="00422B96" w:rsidRPr="0013396E" w:rsidRDefault="00422B96" w:rsidP="0099759E">
            <w:pPr>
              <w:spacing w:after="120"/>
              <w:rPr>
                <w:b/>
                <w:iCs/>
                <w:sz w:val="20"/>
              </w:rPr>
            </w:pPr>
            <w:r w:rsidRPr="0013396E">
              <w:rPr>
                <w:b/>
                <w:iCs/>
                <w:sz w:val="20"/>
              </w:rPr>
              <w:t>Variable</w:t>
            </w:r>
          </w:p>
        </w:tc>
        <w:tc>
          <w:tcPr>
            <w:tcW w:w="1565" w:type="dxa"/>
          </w:tcPr>
          <w:p w14:paraId="7EB36873" w14:textId="77777777" w:rsidR="00422B96" w:rsidRPr="0013396E" w:rsidRDefault="00422B96" w:rsidP="0099759E">
            <w:pPr>
              <w:spacing w:after="120"/>
              <w:rPr>
                <w:b/>
                <w:iCs/>
                <w:sz w:val="20"/>
              </w:rPr>
            </w:pPr>
            <w:r w:rsidRPr="0013396E">
              <w:rPr>
                <w:b/>
                <w:iCs/>
                <w:sz w:val="20"/>
              </w:rPr>
              <w:t>Unit</w:t>
            </w:r>
          </w:p>
        </w:tc>
        <w:tc>
          <w:tcPr>
            <w:tcW w:w="5652" w:type="dxa"/>
          </w:tcPr>
          <w:p w14:paraId="43BAEDE0" w14:textId="77777777" w:rsidR="00422B96" w:rsidRPr="0013396E" w:rsidRDefault="00422B96" w:rsidP="0099759E">
            <w:pPr>
              <w:spacing w:after="120"/>
              <w:rPr>
                <w:b/>
                <w:iCs/>
                <w:sz w:val="20"/>
              </w:rPr>
            </w:pPr>
            <w:r w:rsidRPr="0013396E">
              <w:rPr>
                <w:b/>
                <w:iCs/>
                <w:sz w:val="20"/>
              </w:rPr>
              <w:t>Description</w:t>
            </w:r>
          </w:p>
        </w:tc>
      </w:tr>
      <w:tr w:rsidR="00422B96" w:rsidRPr="0013396E" w14:paraId="46BAB2C2" w14:textId="77777777" w:rsidTr="006039B1">
        <w:tc>
          <w:tcPr>
            <w:tcW w:w="2133" w:type="dxa"/>
          </w:tcPr>
          <w:p w14:paraId="61BBF633" w14:textId="77777777" w:rsidR="00422B96" w:rsidRPr="0013396E" w:rsidRDefault="00422B96" w:rsidP="0099759E">
            <w:pPr>
              <w:spacing w:after="60"/>
              <w:rPr>
                <w:iCs/>
                <w:sz w:val="20"/>
              </w:rPr>
            </w:pPr>
            <w:r w:rsidRPr="0013396E">
              <w:rPr>
                <w:iCs/>
                <w:sz w:val="20"/>
              </w:rPr>
              <w:t>PRC</w:t>
            </w:r>
            <w:r w:rsidRPr="0013396E">
              <w:rPr>
                <w:iCs/>
                <w:sz w:val="20"/>
                <w:vertAlign w:val="subscript"/>
              </w:rPr>
              <w:t>1</w:t>
            </w:r>
          </w:p>
        </w:tc>
        <w:tc>
          <w:tcPr>
            <w:tcW w:w="1565" w:type="dxa"/>
          </w:tcPr>
          <w:p w14:paraId="02E0FBD7" w14:textId="77777777" w:rsidR="00422B96" w:rsidRPr="0013396E" w:rsidRDefault="00422B96" w:rsidP="0099759E">
            <w:pPr>
              <w:spacing w:after="60"/>
              <w:rPr>
                <w:iCs/>
                <w:sz w:val="20"/>
              </w:rPr>
            </w:pPr>
            <w:r w:rsidRPr="0013396E">
              <w:rPr>
                <w:iCs/>
                <w:sz w:val="20"/>
              </w:rPr>
              <w:t>MW</w:t>
            </w:r>
          </w:p>
        </w:tc>
        <w:tc>
          <w:tcPr>
            <w:tcW w:w="5652" w:type="dxa"/>
          </w:tcPr>
          <w:p w14:paraId="0C2A1D82" w14:textId="77777777" w:rsidR="00422B96" w:rsidRPr="0013396E" w:rsidRDefault="00422B96" w:rsidP="0099759E">
            <w:pPr>
              <w:spacing w:after="60"/>
              <w:rPr>
                <w:iCs/>
                <w:sz w:val="20"/>
              </w:rPr>
            </w:pPr>
            <w:r w:rsidRPr="0013396E">
              <w:rPr>
                <w:iCs/>
                <w:sz w:val="20"/>
              </w:rPr>
              <w:t>Generation On-Line greater than 0 MW</w:t>
            </w:r>
          </w:p>
        </w:tc>
      </w:tr>
      <w:tr w:rsidR="00422B96" w:rsidRPr="0013396E" w14:paraId="74766ACF" w14:textId="77777777" w:rsidTr="006039B1">
        <w:tc>
          <w:tcPr>
            <w:tcW w:w="2133" w:type="dxa"/>
          </w:tcPr>
          <w:p w14:paraId="0368A598" w14:textId="77777777" w:rsidR="00422B96" w:rsidRPr="0013396E" w:rsidRDefault="00422B96" w:rsidP="0099759E">
            <w:pPr>
              <w:spacing w:after="60"/>
              <w:rPr>
                <w:iCs/>
                <w:sz w:val="20"/>
              </w:rPr>
            </w:pPr>
            <w:r w:rsidRPr="0013396E">
              <w:rPr>
                <w:iCs/>
                <w:sz w:val="20"/>
              </w:rPr>
              <w:t>PRC</w:t>
            </w:r>
            <w:r w:rsidRPr="0013396E">
              <w:rPr>
                <w:iCs/>
                <w:sz w:val="20"/>
                <w:vertAlign w:val="subscript"/>
              </w:rPr>
              <w:t>2</w:t>
            </w:r>
          </w:p>
        </w:tc>
        <w:tc>
          <w:tcPr>
            <w:tcW w:w="1565" w:type="dxa"/>
          </w:tcPr>
          <w:p w14:paraId="60A57CB4" w14:textId="77777777" w:rsidR="00422B96" w:rsidRPr="0013396E" w:rsidRDefault="00422B96" w:rsidP="0099759E">
            <w:pPr>
              <w:spacing w:after="60"/>
              <w:rPr>
                <w:iCs/>
                <w:sz w:val="20"/>
              </w:rPr>
            </w:pPr>
            <w:r w:rsidRPr="0013396E">
              <w:rPr>
                <w:iCs/>
                <w:sz w:val="20"/>
              </w:rPr>
              <w:t>MW</w:t>
            </w:r>
          </w:p>
        </w:tc>
        <w:tc>
          <w:tcPr>
            <w:tcW w:w="5652" w:type="dxa"/>
          </w:tcPr>
          <w:p w14:paraId="47ADDFFB" w14:textId="77777777" w:rsidR="00422B96" w:rsidRPr="0013396E" w:rsidRDefault="00422B96" w:rsidP="0099759E">
            <w:pPr>
              <w:spacing w:after="60"/>
              <w:rPr>
                <w:iCs/>
                <w:sz w:val="20"/>
              </w:rPr>
            </w:pPr>
            <w:r w:rsidRPr="0013396E">
              <w:rPr>
                <w:iCs/>
                <w:sz w:val="20"/>
              </w:rPr>
              <w:t>WGRs On-Line greater than 0 MW</w:t>
            </w:r>
          </w:p>
        </w:tc>
      </w:tr>
      <w:tr w:rsidR="00422B96" w:rsidRPr="0013396E" w14:paraId="60A4D986" w14:textId="77777777" w:rsidTr="006039B1">
        <w:tc>
          <w:tcPr>
            <w:tcW w:w="2133" w:type="dxa"/>
          </w:tcPr>
          <w:p w14:paraId="7DEC841A" w14:textId="77777777" w:rsidR="00422B96" w:rsidRPr="0013396E" w:rsidRDefault="00422B96" w:rsidP="0099759E">
            <w:pPr>
              <w:spacing w:after="60"/>
              <w:rPr>
                <w:iCs/>
                <w:sz w:val="20"/>
              </w:rPr>
            </w:pPr>
            <w:r w:rsidRPr="0013396E">
              <w:rPr>
                <w:iCs/>
                <w:sz w:val="20"/>
              </w:rPr>
              <w:t>PRC</w:t>
            </w:r>
            <w:r w:rsidRPr="0013396E">
              <w:rPr>
                <w:iCs/>
                <w:sz w:val="20"/>
                <w:vertAlign w:val="subscript"/>
              </w:rPr>
              <w:t>3</w:t>
            </w:r>
          </w:p>
        </w:tc>
        <w:tc>
          <w:tcPr>
            <w:tcW w:w="1565" w:type="dxa"/>
          </w:tcPr>
          <w:p w14:paraId="7594D1DA" w14:textId="77777777" w:rsidR="00422B96" w:rsidRPr="0013396E" w:rsidRDefault="00422B96" w:rsidP="0099759E">
            <w:pPr>
              <w:spacing w:after="60"/>
              <w:rPr>
                <w:iCs/>
                <w:sz w:val="20"/>
              </w:rPr>
            </w:pPr>
            <w:r w:rsidRPr="0013396E">
              <w:rPr>
                <w:iCs/>
                <w:sz w:val="20"/>
              </w:rPr>
              <w:t>MW</w:t>
            </w:r>
          </w:p>
        </w:tc>
        <w:tc>
          <w:tcPr>
            <w:tcW w:w="5652" w:type="dxa"/>
          </w:tcPr>
          <w:p w14:paraId="69439480" w14:textId="77777777" w:rsidR="00422B96" w:rsidRPr="0013396E" w:rsidRDefault="00422B96" w:rsidP="0099759E">
            <w:pPr>
              <w:spacing w:after="60"/>
              <w:rPr>
                <w:iCs/>
                <w:sz w:val="20"/>
              </w:rPr>
            </w:pPr>
            <w:r w:rsidRPr="0013396E">
              <w:rPr>
                <w:iCs/>
                <w:sz w:val="20"/>
              </w:rPr>
              <w:t>Synchronous condenser output</w:t>
            </w:r>
          </w:p>
        </w:tc>
      </w:tr>
      <w:tr w:rsidR="00422B96" w:rsidRPr="0013396E" w14:paraId="420A33AB" w14:textId="77777777" w:rsidTr="006039B1">
        <w:tc>
          <w:tcPr>
            <w:tcW w:w="2133" w:type="dxa"/>
          </w:tcPr>
          <w:p w14:paraId="2F39E084" w14:textId="77777777" w:rsidR="00422B96" w:rsidRPr="0013396E" w:rsidRDefault="00422B96" w:rsidP="0099759E">
            <w:pPr>
              <w:spacing w:after="60"/>
              <w:rPr>
                <w:iCs/>
                <w:sz w:val="20"/>
              </w:rPr>
            </w:pPr>
            <w:r w:rsidRPr="0013396E">
              <w:rPr>
                <w:iCs/>
                <w:sz w:val="20"/>
              </w:rPr>
              <w:t>PRC</w:t>
            </w:r>
            <w:r w:rsidRPr="0013396E">
              <w:rPr>
                <w:iCs/>
                <w:sz w:val="20"/>
                <w:vertAlign w:val="subscript"/>
              </w:rPr>
              <w:t>4</w:t>
            </w:r>
          </w:p>
        </w:tc>
        <w:tc>
          <w:tcPr>
            <w:tcW w:w="1565" w:type="dxa"/>
          </w:tcPr>
          <w:p w14:paraId="5A6704F0" w14:textId="77777777" w:rsidR="00422B96" w:rsidRPr="0013396E" w:rsidRDefault="00422B96" w:rsidP="0099759E">
            <w:pPr>
              <w:spacing w:after="60"/>
              <w:rPr>
                <w:iCs/>
                <w:sz w:val="20"/>
              </w:rPr>
            </w:pPr>
            <w:r w:rsidRPr="0013396E">
              <w:rPr>
                <w:iCs/>
                <w:sz w:val="20"/>
              </w:rPr>
              <w:t>MW</w:t>
            </w:r>
          </w:p>
        </w:tc>
        <w:tc>
          <w:tcPr>
            <w:tcW w:w="5652" w:type="dxa"/>
          </w:tcPr>
          <w:p w14:paraId="3D3554FD" w14:textId="77777777" w:rsidR="00422B96" w:rsidRPr="0013396E" w:rsidRDefault="00422B96" w:rsidP="0099759E">
            <w:pPr>
              <w:tabs>
                <w:tab w:val="left" w:pos="1080"/>
              </w:tabs>
              <w:spacing w:after="60"/>
              <w:rPr>
                <w:iCs/>
                <w:sz w:val="20"/>
              </w:rPr>
            </w:pPr>
            <w:r w:rsidRPr="0013396E">
              <w:rPr>
                <w:sz w:val="20"/>
              </w:rPr>
              <w:t>Capacity from Load Resources with an ECRS Ancillary Service Resource award</w:t>
            </w:r>
          </w:p>
        </w:tc>
      </w:tr>
      <w:tr w:rsidR="00422B96" w:rsidRPr="0013396E" w14:paraId="1535AB8F" w14:textId="77777777" w:rsidTr="006039B1">
        <w:tc>
          <w:tcPr>
            <w:tcW w:w="2133" w:type="dxa"/>
          </w:tcPr>
          <w:p w14:paraId="1C6D0515" w14:textId="77777777" w:rsidR="00422B96" w:rsidRPr="0013396E" w:rsidRDefault="00422B96" w:rsidP="0099759E">
            <w:pPr>
              <w:spacing w:after="60"/>
              <w:rPr>
                <w:iCs/>
                <w:sz w:val="20"/>
              </w:rPr>
            </w:pPr>
            <w:r w:rsidRPr="0013396E">
              <w:rPr>
                <w:iCs/>
                <w:sz w:val="20"/>
              </w:rPr>
              <w:lastRenderedPageBreak/>
              <w:t>PRC</w:t>
            </w:r>
            <w:r w:rsidRPr="0013396E">
              <w:rPr>
                <w:iCs/>
                <w:sz w:val="20"/>
                <w:vertAlign w:val="subscript"/>
              </w:rPr>
              <w:t>5</w:t>
            </w:r>
          </w:p>
        </w:tc>
        <w:tc>
          <w:tcPr>
            <w:tcW w:w="1565" w:type="dxa"/>
          </w:tcPr>
          <w:p w14:paraId="1D68C7EE" w14:textId="77777777" w:rsidR="00422B96" w:rsidRPr="0013396E" w:rsidRDefault="00422B96" w:rsidP="0099759E">
            <w:pPr>
              <w:spacing w:after="60"/>
              <w:rPr>
                <w:iCs/>
                <w:sz w:val="20"/>
              </w:rPr>
            </w:pPr>
            <w:r w:rsidRPr="0013396E">
              <w:rPr>
                <w:iCs/>
                <w:sz w:val="20"/>
              </w:rPr>
              <w:t>MW</w:t>
            </w:r>
          </w:p>
        </w:tc>
        <w:tc>
          <w:tcPr>
            <w:tcW w:w="5652" w:type="dxa"/>
          </w:tcPr>
          <w:p w14:paraId="79CEAE4A" w14:textId="00BFAB62" w:rsidR="001B6149" w:rsidRPr="0013396E" w:rsidRDefault="00422B96" w:rsidP="0099759E">
            <w:pPr>
              <w:tabs>
                <w:tab w:val="left" w:pos="1080"/>
              </w:tabs>
              <w:spacing w:after="60"/>
              <w:rPr>
                <w:iCs/>
                <w:sz w:val="20"/>
              </w:rPr>
            </w:pPr>
            <w:r w:rsidRPr="0013396E">
              <w:rPr>
                <w:iCs/>
                <w:sz w:val="20"/>
              </w:rPr>
              <w:t>Capacity from CLRs active in SCED with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112"/>
            </w:tblGrid>
            <w:tr w:rsidR="001B6149" w:rsidRPr="0013396E" w14:paraId="0755F837" w14:textId="77777777" w:rsidTr="0099759E">
              <w:trPr>
                <w:trHeight w:val="206"/>
              </w:trPr>
              <w:tc>
                <w:tcPr>
                  <w:tcW w:w="9350" w:type="dxa"/>
                  <w:shd w:val="pct12" w:color="auto" w:fill="auto"/>
                </w:tcPr>
                <w:p w14:paraId="09013B08" w14:textId="7B98E0AA" w:rsidR="001B6149" w:rsidRPr="0013396E" w:rsidRDefault="001B6149" w:rsidP="001B6149">
                  <w:pPr>
                    <w:spacing w:before="120" w:after="240"/>
                    <w:rPr>
                      <w:b/>
                      <w:i/>
                      <w:iCs/>
                      <w:szCs w:val="24"/>
                    </w:rPr>
                  </w:pPr>
                  <w:r w:rsidRPr="0013396E">
                    <w:rPr>
                      <w:b/>
                      <w:i/>
                      <w:iCs/>
                      <w:szCs w:val="24"/>
                    </w:rPr>
                    <w:t>[NPRR</w:t>
                  </w:r>
                  <w:r>
                    <w:rPr>
                      <w:b/>
                      <w:i/>
                      <w:iCs/>
                      <w:szCs w:val="24"/>
                    </w:rPr>
                    <w:t>1244</w:t>
                  </w:r>
                  <w:r w:rsidRPr="0013396E">
                    <w:rPr>
                      <w:b/>
                      <w:i/>
                      <w:iCs/>
                      <w:szCs w:val="24"/>
                    </w:rPr>
                    <w:t xml:space="preserve">:  Replace </w:t>
                  </w:r>
                  <w:r>
                    <w:rPr>
                      <w:b/>
                      <w:i/>
                      <w:iCs/>
                      <w:szCs w:val="24"/>
                    </w:rPr>
                    <w:t>the description</w:t>
                  </w:r>
                  <w:r w:rsidRPr="0013396E">
                    <w:rPr>
                      <w:b/>
                      <w:i/>
                      <w:iCs/>
                      <w:szCs w:val="24"/>
                    </w:rPr>
                    <w:t xml:space="preserve"> above with the following upon system implementation:]</w:t>
                  </w:r>
                </w:p>
                <w:p w14:paraId="5A443FF1" w14:textId="0DE336EB" w:rsidR="001B6149" w:rsidRPr="001B6149" w:rsidRDefault="001B6149" w:rsidP="001B6149">
                  <w:pPr>
                    <w:tabs>
                      <w:tab w:val="left" w:pos="1080"/>
                    </w:tabs>
                    <w:spacing w:after="60"/>
                    <w:rPr>
                      <w:iCs/>
                      <w:sz w:val="20"/>
                    </w:rPr>
                  </w:pPr>
                  <w:r w:rsidRPr="0013396E">
                    <w:rPr>
                      <w:iCs/>
                      <w:sz w:val="20"/>
                    </w:rPr>
                    <w:t>Capacity from CLRs active in SCED and qualified for Regulation Service and/or RRS with an Ancillary Service Resource award</w:t>
                  </w:r>
                </w:p>
              </w:tc>
            </w:tr>
          </w:tbl>
          <w:p w14:paraId="57CAAC02" w14:textId="383C3BCB" w:rsidR="00422B96" w:rsidRPr="0013396E" w:rsidRDefault="00422B96" w:rsidP="0099759E">
            <w:pPr>
              <w:tabs>
                <w:tab w:val="left" w:pos="1080"/>
              </w:tabs>
              <w:spacing w:after="60"/>
              <w:rPr>
                <w:iCs/>
                <w:sz w:val="20"/>
              </w:rPr>
            </w:pPr>
          </w:p>
        </w:tc>
      </w:tr>
      <w:tr w:rsidR="00422B96" w:rsidRPr="0013396E" w14:paraId="538B525B" w14:textId="77777777" w:rsidTr="006039B1">
        <w:tc>
          <w:tcPr>
            <w:tcW w:w="2133" w:type="dxa"/>
          </w:tcPr>
          <w:p w14:paraId="470356D4" w14:textId="77777777" w:rsidR="00422B96" w:rsidRPr="0013396E" w:rsidRDefault="00422B96" w:rsidP="0099759E">
            <w:pPr>
              <w:spacing w:after="60"/>
              <w:rPr>
                <w:iCs/>
                <w:sz w:val="20"/>
              </w:rPr>
            </w:pPr>
            <w:r w:rsidRPr="0013396E">
              <w:rPr>
                <w:iCs/>
                <w:sz w:val="20"/>
              </w:rPr>
              <w:t>PRC</w:t>
            </w:r>
            <w:r w:rsidRPr="0013396E">
              <w:rPr>
                <w:iCs/>
                <w:sz w:val="20"/>
                <w:vertAlign w:val="subscript"/>
              </w:rPr>
              <w:t>6</w:t>
            </w:r>
          </w:p>
        </w:tc>
        <w:tc>
          <w:tcPr>
            <w:tcW w:w="1565" w:type="dxa"/>
          </w:tcPr>
          <w:p w14:paraId="6626E099" w14:textId="77777777" w:rsidR="00422B96" w:rsidRPr="0013396E" w:rsidRDefault="00422B96" w:rsidP="0099759E">
            <w:pPr>
              <w:spacing w:after="60"/>
              <w:rPr>
                <w:iCs/>
                <w:sz w:val="20"/>
              </w:rPr>
            </w:pPr>
            <w:r w:rsidRPr="0013396E">
              <w:rPr>
                <w:iCs/>
                <w:sz w:val="20"/>
              </w:rPr>
              <w:t>MW</w:t>
            </w:r>
          </w:p>
        </w:tc>
        <w:tc>
          <w:tcPr>
            <w:tcW w:w="5652" w:type="dxa"/>
          </w:tcPr>
          <w:p w14:paraId="1437C028" w14:textId="69A6F9A3" w:rsidR="001B6149" w:rsidRPr="0013396E" w:rsidRDefault="00422B96" w:rsidP="0099759E">
            <w:pPr>
              <w:tabs>
                <w:tab w:val="left" w:pos="1080"/>
              </w:tabs>
              <w:spacing w:after="60"/>
              <w:rPr>
                <w:iCs/>
                <w:sz w:val="20"/>
              </w:rPr>
            </w:pPr>
            <w:r w:rsidRPr="0013396E">
              <w:rPr>
                <w:iCs/>
                <w:sz w:val="20"/>
              </w:rPr>
              <w:t>Capacity from CLRs active in SCED without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112"/>
            </w:tblGrid>
            <w:tr w:rsidR="001B6149" w:rsidRPr="0013396E" w14:paraId="2020D4D6" w14:textId="77777777" w:rsidTr="0099759E">
              <w:trPr>
                <w:trHeight w:val="206"/>
              </w:trPr>
              <w:tc>
                <w:tcPr>
                  <w:tcW w:w="9350" w:type="dxa"/>
                  <w:shd w:val="pct12" w:color="auto" w:fill="auto"/>
                </w:tcPr>
                <w:p w14:paraId="39D38BC8" w14:textId="77777777" w:rsidR="001B6149" w:rsidRPr="0013396E" w:rsidRDefault="001B6149" w:rsidP="001B6149">
                  <w:pPr>
                    <w:spacing w:before="120" w:after="240"/>
                    <w:rPr>
                      <w:b/>
                      <w:i/>
                      <w:iCs/>
                      <w:szCs w:val="24"/>
                    </w:rPr>
                  </w:pPr>
                  <w:r w:rsidRPr="0013396E">
                    <w:rPr>
                      <w:b/>
                      <w:i/>
                      <w:iCs/>
                      <w:szCs w:val="24"/>
                    </w:rPr>
                    <w:t>[NPRR</w:t>
                  </w:r>
                  <w:r>
                    <w:rPr>
                      <w:b/>
                      <w:i/>
                      <w:iCs/>
                      <w:szCs w:val="24"/>
                    </w:rPr>
                    <w:t>1244</w:t>
                  </w:r>
                  <w:r w:rsidRPr="0013396E">
                    <w:rPr>
                      <w:b/>
                      <w:i/>
                      <w:iCs/>
                      <w:szCs w:val="24"/>
                    </w:rPr>
                    <w:t xml:space="preserve">:  Replace </w:t>
                  </w:r>
                  <w:r>
                    <w:rPr>
                      <w:b/>
                      <w:i/>
                      <w:iCs/>
                      <w:szCs w:val="24"/>
                    </w:rPr>
                    <w:t>the description</w:t>
                  </w:r>
                  <w:r w:rsidRPr="0013396E">
                    <w:rPr>
                      <w:b/>
                      <w:i/>
                      <w:iCs/>
                      <w:szCs w:val="24"/>
                    </w:rPr>
                    <w:t xml:space="preserve"> above with the following upon system implementation:]</w:t>
                  </w:r>
                </w:p>
                <w:p w14:paraId="03A65BEA" w14:textId="40053BF0" w:rsidR="001B6149" w:rsidRPr="001B6149" w:rsidRDefault="001B6149" w:rsidP="001B6149">
                  <w:pPr>
                    <w:tabs>
                      <w:tab w:val="left" w:pos="1080"/>
                    </w:tabs>
                    <w:spacing w:after="60"/>
                    <w:rPr>
                      <w:iCs/>
                      <w:sz w:val="20"/>
                    </w:rPr>
                  </w:pPr>
                  <w:r w:rsidRPr="0013396E">
                    <w:rPr>
                      <w:iCs/>
                      <w:sz w:val="20"/>
                    </w:rPr>
                    <w:t>Capacity from CLRs active in SCED and qualified for Regulation Service and/or RRS without an Ancillary Service Resource award</w:t>
                  </w:r>
                </w:p>
              </w:tc>
            </w:tr>
          </w:tbl>
          <w:p w14:paraId="7C8348C3" w14:textId="713EE082" w:rsidR="00422B96" w:rsidRPr="0013396E" w:rsidRDefault="00422B96" w:rsidP="0099759E">
            <w:pPr>
              <w:tabs>
                <w:tab w:val="left" w:pos="1080"/>
              </w:tabs>
              <w:spacing w:after="60"/>
              <w:rPr>
                <w:iCs/>
                <w:sz w:val="20"/>
              </w:rPr>
            </w:pPr>
          </w:p>
        </w:tc>
      </w:tr>
      <w:tr w:rsidR="00422B96" w:rsidRPr="0013396E" w14:paraId="08316190" w14:textId="77777777" w:rsidTr="006039B1">
        <w:tc>
          <w:tcPr>
            <w:tcW w:w="2133" w:type="dxa"/>
          </w:tcPr>
          <w:p w14:paraId="22E34E18" w14:textId="77777777" w:rsidR="00422B96" w:rsidRPr="0013396E" w:rsidRDefault="00422B96" w:rsidP="0099759E">
            <w:pPr>
              <w:spacing w:after="60"/>
              <w:rPr>
                <w:iCs/>
                <w:sz w:val="20"/>
              </w:rPr>
            </w:pPr>
            <w:r w:rsidRPr="0013396E">
              <w:rPr>
                <w:iCs/>
                <w:sz w:val="20"/>
              </w:rPr>
              <w:t>PRC</w:t>
            </w:r>
            <w:r w:rsidRPr="0013396E">
              <w:rPr>
                <w:iCs/>
                <w:sz w:val="20"/>
                <w:vertAlign w:val="subscript"/>
              </w:rPr>
              <w:t>7</w:t>
            </w:r>
          </w:p>
        </w:tc>
        <w:tc>
          <w:tcPr>
            <w:tcW w:w="1565" w:type="dxa"/>
          </w:tcPr>
          <w:p w14:paraId="0537AAD1" w14:textId="77777777" w:rsidR="00422B96" w:rsidRPr="0013396E" w:rsidRDefault="00422B96" w:rsidP="0099759E">
            <w:pPr>
              <w:spacing w:after="60"/>
              <w:rPr>
                <w:iCs/>
                <w:sz w:val="20"/>
              </w:rPr>
            </w:pPr>
            <w:r w:rsidRPr="0013396E">
              <w:rPr>
                <w:iCs/>
                <w:sz w:val="20"/>
              </w:rPr>
              <w:t>MW</w:t>
            </w:r>
          </w:p>
        </w:tc>
        <w:tc>
          <w:tcPr>
            <w:tcW w:w="5652" w:type="dxa"/>
          </w:tcPr>
          <w:p w14:paraId="43A0BAF7" w14:textId="77777777" w:rsidR="00422B96" w:rsidRPr="0013396E" w:rsidRDefault="00422B96" w:rsidP="0099759E">
            <w:pPr>
              <w:tabs>
                <w:tab w:val="left" w:pos="1080"/>
              </w:tabs>
              <w:spacing w:after="60"/>
              <w:rPr>
                <w:iCs/>
                <w:sz w:val="20"/>
              </w:rPr>
            </w:pPr>
            <w:r w:rsidRPr="0013396E">
              <w:rPr>
                <w:iCs/>
                <w:sz w:val="20"/>
              </w:rPr>
              <w:t>Capacity from Resources capable of providing FFR</w:t>
            </w:r>
          </w:p>
        </w:tc>
      </w:tr>
      <w:tr w:rsidR="00422B96" w:rsidRPr="0013396E" w14:paraId="4856D0E4" w14:textId="77777777" w:rsidTr="006039B1">
        <w:tc>
          <w:tcPr>
            <w:tcW w:w="2133" w:type="dxa"/>
          </w:tcPr>
          <w:p w14:paraId="69787DE5" w14:textId="77777777" w:rsidR="00422B96" w:rsidRPr="0013396E" w:rsidRDefault="00422B96" w:rsidP="0099759E">
            <w:pPr>
              <w:spacing w:after="60"/>
              <w:rPr>
                <w:iCs/>
                <w:sz w:val="20"/>
              </w:rPr>
            </w:pPr>
            <w:r w:rsidRPr="0013396E">
              <w:rPr>
                <w:sz w:val="20"/>
              </w:rPr>
              <w:t>PRC</w:t>
            </w:r>
            <w:r w:rsidRPr="0013396E">
              <w:rPr>
                <w:sz w:val="20"/>
                <w:vertAlign w:val="subscript"/>
              </w:rPr>
              <w:t>8</w:t>
            </w:r>
          </w:p>
        </w:tc>
        <w:tc>
          <w:tcPr>
            <w:tcW w:w="1565" w:type="dxa"/>
          </w:tcPr>
          <w:p w14:paraId="4E8296F4" w14:textId="77777777" w:rsidR="00422B96" w:rsidRPr="0013396E" w:rsidRDefault="00422B96" w:rsidP="0099759E">
            <w:pPr>
              <w:spacing w:after="60"/>
              <w:rPr>
                <w:iCs/>
                <w:sz w:val="20"/>
              </w:rPr>
            </w:pPr>
            <w:r w:rsidRPr="0013396E">
              <w:rPr>
                <w:sz w:val="20"/>
              </w:rPr>
              <w:t>MW</w:t>
            </w:r>
          </w:p>
        </w:tc>
        <w:tc>
          <w:tcPr>
            <w:tcW w:w="5652" w:type="dxa"/>
          </w:tcPr>
          <w:p w14:paraId="02E5E38A" w14:textId="77777777" w:rsidR="00422B96" w:rsidRPr="0013396E" w:rsidRDefault="00422B96" w:rsidP="0099759E">
            <w:pPr>
              <w:tabs>
                <w:tab w:val="left" w:pos="1080"/>
              </w:tabs>
              <w:spacing w:after="60"/>
              <w:rPr>
                <w:iCs/>
                <w:sz w:val="20"/>
              </w:rPr>
            </w:pPr>
            <w:r w:rsidRPr="0013396E">
              <w:rPr>
                <w:sz w:val="20"/>
              </w:rPr>
              <w:t>ESR capacity capable of providing Primary Frequency Response</w:t>
            </w:r>
          </w:p>
        </w:tc>
      </w:tr>
      <w:tr w:rsidR="006039B1" w:rsidRPr="0013396E" w14:paraId="789ECEE4" w14:textId="77777777" w:rsidTr="006039B1">
        <w:tc>
          <w:tcPr>
            <w:tcW w:w="9350" w:type="dxa"/>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6039B1" w:rsidRPr="0013396E" w14:paraId="28CCEC89" w14:textId="77777777" w:rsidTr="00E97C39">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F1520F3" w14:textId="0F5BDC28" w:rsidR="006039B1" w:rsidRPr="0013396E" w:rsidRDefault="006039B1" w:rsidP="006039B1">
                  <w:pPr>
                    <w:spacing w:before="120" w:after="240"/>
                    <w:rPr>
                      <w:b/>
                      <w:i/>
                      <w:iCs/>
                      <w:szCs w:val="24"/>
                    </w:rPr>
                  </w:pPr>
                  <w:r w:rsidRPr="0013396E">
                    <w:rPr>
                      <w:b/>
                      <w:i/>
                      <w:iCs/>
                      <w:szCs w:val="24"/>
                    </w:rPr>
                    <w:t>[</w:t>
                  </w:r>
                  <w:r>
                    <w:rPr>
                      <w:b/>
                      <w:i/>
                      <w:iCs/>
                      <w:szCs w:val="24"/>
                    </w:rPr>
                    <w:t>NPRR1029</w:t>
                  </w:r>
                  <w:r w:rsidRPr="0013396E">
                    <w:rPr>
                      <w:b/>
                      <w:i/>
                      <w:iCs/>
                      <w:szCs w:val="24"/>
                    </w:rPr>
                    <w:t xml:space="preserve">:  </w:t>
                  </w:r>
                  <w:r>
                    <w:rPr>
                      <w:b/>
                      <w:i/>
                      <w:iCs/>
                      <w:szCs w:val="24"/>
                    </w:rPr>
                    <w:t>Insert the variable “PRC</w:t>
                  </w:r>
                  <w:r w:rsidRPr="006039B1">
                    <w:rPr>
                      <w:b/>
                      <w:i/>
                      <w:iCs/>
                      <w:szCs w:val="24"/>
                      <w:vertAlign w:val="subscript"/>
                    </w:rPr>
                    <w:t>9</w:t>
                  </w:r>
                  <w:r>
                    <w:rPr>
                      <w:b/>
                      <w:i/>
                      <w:iCs/>
                      <w:szCs w:val="24"/>
                    </w:rPr>
                    <w:t>”</w:t>
                  </w:r>
                  <w:r w:rsidRPr="0013396E">
                    <w:rPr>
                      <w:b/>
                      <w:i/>
                      <w:iCs/>
                      <w:szCs w:val="24"/>
                    </w:rPr>
                    <w:t xml:space="preserve"> </w:t>
                  </w:r>
                  <w:r>
                    <w:rPr>
                      <w:b/>
                      <w:i/>
                      <w:iCs/>
                      <w:szCs w:val="24"/>
                    </w:rPr>
                    <w:t>below</w:t>
                  </w:r>
                  <w:r w:rsidRPr="0013396E">
                    <w:rPr>
                      <w:b/>
                      <w:i/>
                      <w:iCs/>
                      <w:szCs w:val="24"/>
                    </w:rPr>
                    <w:t xml:space="preserve">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50"/>
                    <w:gridCol w:w="1151"/>
                    <w:gridCol w:w="6004"/>
                  </w:tblGrid>
                  <w:tr w:rsidR="006039B1" w:rsidRPr="0013396E" w14:paraId="7A287B8A" w14:textId="77777777" w:rsidTr="00E97C39">
                    <w:tc>
                      <w:tcPr>
                        <w:tcW w:w="2050" w:type="dxa"/>
                      </w:tcPr>
                      <w:p w14:paraId="52D2C71E" w14:textId="77777777" w:rsidR="006039B1" w:rsidRPr="0013396E" w:rsidRDefault="006039B1" w:rsidP="006039B1">
                        <w:pPr>
                          <w:spacing w:after="60"/>
                          <w:rPr>
                            <w:iCs/>
                            <w:sz w:val="20"/>
                          </w:rPr>
                        </w:pPr>
                        <w:r w:rsidRPr="0013396E">
                          <w:rPr>
                            <w:sz w:val="20"/>
                          </w:rPr>
                          <w:t>PRC</w:t>
                        </w:r>
                        <w:r w:rsidRPr="0013396E">
                          <w:rPr>
                            <w:sz w:val="20"/>
                            <w:vertAlign w:val="subscript"/>
                          </w:rPr>
                          <w:t>9</w:t>
                        </w:r>
                      </w:p>
                    </w:tc>
                    <w:tc>
                      <w:tcPr>
                        <w:tcW w:w="1151" w:type="dxa"/>
                      </w:tcPr>
                      <w:p w14:paraId="7B2D9F8A" w14:textId="77777777" w:rsidR="006039B1" w:rsidRPr="0013396E" w:rsidRDefault="006039B1" w:rsidP="006039B1">
                        <w:pPr>
                          <w:spacing w:after="60"/>
                          <w:rPr>
                            <w:iCs/>
                            <w:sz w:val="20"/>
                          </w:rPr>
                        </w:pPr>
                        <w:r w:rsidRPr="0013396E">
                          <w:rPr>
                            <w:sz w:val="20"/>
                          </w:rPr>
                          <w:t>MW</w:t>
                        </w:r>
                      </w:p>
                    </w:tc>
                    <w:tc>
                      <w:tcPr>
                        <w:tcW w:w="6004" w:type="dxa"/>
                      </w:tcPr>
                      <w:p w14:paraId="204E6294" w14:textId="77777777" w:rsidR="006039B1" w:rsidRPr="0013396E" w:rsidRDefault="006039B1" w:rsidP="006039B1">
                        <w:pPr>
                          <w:tabs>
                            <w:tab w:val="left" w:pos="1080"/>
                          </w:tabs>
                          <w:spacing w:after="60"/>
                          <w:rPr>
                            <w:iCs/>
                            <w:sz w:val="20"/>
                          </w:rPr>
                        </w:pPr>
                        <w:r w:rsidRPr="0013396E">
                          <w:rPr>
                            <w:sz w:val="20"/>
                          </w:rPr>
                          <w:t>Capacity from DC-Coupled Resources capable of providing Primary Frequency Response</w:t>
                        </w:r>
                      </w:p>
                    </w:tc>
                  </w:tr>
                </w:tbl>
                <w:p w14:paraId="089DCCF8" w14:textId="41BAC9D3" w:rsidR="006039B1" w:rsidRPr="006039B1" w:rsidRDefault="006039B1" w:rsidP="006039B1">
                  <w:pPr>
                    <w:ind w:left="720" w:hanging="720"/>
                    <w:rPr>
                      <w:b/>
                      <w:position w:val="30"/>
                      <w:sz w:val="20"/>
                    </w:rPr>
                  </w:pPr>
                </w:p>
              </w:tc>
            </w:tr>
          </w:tbl>
          <w:p w14:paraId="29889A93" w14:textId="77777777" w:rsidR="006039B1" w:rsidRPr="0013396E" w:rsidRDefault="006039B1" w:rsidP="0099759E">
            <w:pPr>
              <w:tabs>
                <w:tab w:val="left" w:pos="1080"/>
              </w:tabs>
              <w:spacing w:after="60"/>
              <w:rPr>
                <w:iCs/>
                <w:sz w:val="20"/>
              </w:rPr>
            </w:pPr>
          </w:p>
        </w:tc>
      </w:tr>
      <w:tr w:rsidR="00422B96" w:rsidRPr="0013396E" w14:paraId="322A98C7" w14:textId="77777777" w:rsidTr="006039B1">
        <w:tc>
          <w:tcPr>
            <w:tcW w:w="2133" w:type="dxa"/>
          </w:tcPr>
          <w:p w14:paraId="463C5050" w14:textId="77777777" w:rsidR="00422B96" w:rsidRPr="0013396E" w:rsidRDefault="00422B96" w:rsidP="0099759E">
            <w:pPr>
              <w:spacing w:after="60"/>
              <w:rPr>
                <w:iCs/>
                <w:sz w:val="20"/>
              </w:rPr>
            </w:pPr>
            <w:r w:rsidRPr="0013396E">
              <w:rPr>
                <w:iCs/>
                <w:sz w:val="20"/>
              </w:rPr>
              <w:t>PRC</w:t>
            </w:r>
          </w:p>
        </w:tc>
        <w:tc>
          <w:tcPr>
            <w:tcW w:w="1565" w:type="dxa"/>
          </w:tcPr>
          <w:p w14:paraId="12E1E5DB" w14:textId="77777777" w:rsidR="00422B96" w:rsidRPr="0013396E" w:rsidRDefault="00422B96" w:rsidP="0099759E">
            <w:pPr>
              <w:spacing w:after="60"/>
              <w:rPr>
                <w:iCs/>
                <w:sz w:val="20"/>
              </w:rPr>
            </w:pPr>
            <w:r w:rsidRPr="0013396E">
              <w:rPr>
                <w:iCs/>
                <w:sz w:val="20"/>
              </w:rPr>
              <w:t>MW</w:t>
            </w:r>
          </w:p>
        </w:tc>
        <w:tc>
          <w:tcPr>
            <w:tcW w:w="5652" w:type="dxa"/>
          </w:tcPr>
          <w:p w14:paraId="7F3BBF66" w14:textId="77777777" w:rsidR="00422B96" w:rsidRPr="0013396E" w:rsidRDefault="00422B96" w:rsidP="0099759E">
            <w:pPr>
              <w:tabs>
                <w:tab w:val="left" w:pos="1080"/>
              </w:tabs>
              <w:spacing w:after="60"/>
              <w:rPr>
                <w:iCs/>
                <w:sz w:val="20"/>
              </w:rPr>
            </w:pPr>
            <w:r w:rsidRPr="0013396E">
              <w:rPr>
                <w:iCs/>
                <w:sz w:val="20"/>
              </w:rPr>
              <w:t>Physical Responsive Capability</w:t>
            </w:r>
          </w:p>
        </w:tc>
      </w:tr>
      <w:tr w:rsidR="00422B96" w:rsidRPr="0013396E" w14:paraId="61AB12D8" w14:textId="77777777" w:rsidTr="006039B1">
        <w:tc>
          <w:tcPr>
            <w:tcW w:w="2133" w:type="dxa"/>
          </w:tcPr>
          <w:p w14:paraId="2733D35A" w14:textId="77777777" w:rsidR="00422B96" w:rsidRPr="0013396E" w:rsidRDefault="00422B96" w:rsidP="0099759E">
            <w:pPr>
              <w:spacing w:after="60"/>
              <w:rPr>
                <w:iCs/>
                <w:sz w:val="20"/>
              </w:rPr>
            </w:pPr>
            <w:r w:rsidRPr="0013396E">
              <w:rPr>
                <w:sz w:val="20"/>
              </w:rPr>
              <w:t>X</w:t>
            </w:r>
          </w:p>
        </w:tc>
        <w:tc>
          <w:tcPr>
            <w:tcW w:w="1565" w:type="dxa"/>
          </w:tcPr>
          <w:p w14:paraId="0A3FDAFF" w14:textId="77777777" w:rsidR="00422B96" w:rsidRPr="0013396E" w:rsidRDefault="00422B96" w:rsidP="0099759E">
            <w:pPr>
              <w:spacing w:after="60"/>
              <w:rPr>
                <w:iCs/>
                <w:sz w:val="20"/>
              </w:rPr>
            </w:pPr>
            <w:r w:rsidRPr="0013396E">
              <w:rPr>
                <w:sz w:val="20"/>
              </w:rPr>
              <w:t>Percentage</w:t>
            </w:r>
          </w:p>
        </w:tc>
        <w:tc>
          <w:tcPr>
            <w:tcW w:w="5652" w:type="dxa"/>
          </w:tcPr>
          <w:p w14:paraId="4EC11E0F" w14:textId="77777777" w:rsidR="00422B96" w:rsidRPr="0013396E" w:rsidRDefault="00422B96" w:rsidP="0099759E">
            <w:pPr>
              <w:spacing w:after="60"/>
              <w:rPr>
                <w:iCs/>
                <w:sz w:val="20"/>
              </w:rPr>
            </w:pPr>
            <w:r w:rsidRPr="0013396E">
              <w:rPr>
                <w:sz w:val="20"/>
              </w:rPr>
              <w:t>Percent threshold based on the Governor droop setting of ESRs</w:t>
            </w:r>
          </w:p>
        </w:tc>
      </w:tr>
      <w:tr w:rsidR="00422B96" w:rsidRPr="0013396E" w14:paraId="69E6D329" w14:textId="77777777" w:rsidTr="006039B1">
        <w:tc>
          <w:tcPr>
            <w:tcW w:w="2133" w:type="dxa"/>
          </w:tcPr>
          <w:p w14:paraId="7AFEC9CC" w14:textId="77777777" w:rsidR="00422B96" w:rsidRPr="0013396E" w:rsidRDefault="00422B96" w:rsidP="0099759E">
            <w:pPr>
              <w:spacing w:after="60"/>
              <w:rPr>
                <w:iCs/>
                <w:sz w:val="20"/>
              </w:rPr>
            </w:pPr>
            <w:r w:rsidRPr="0013396E">
              <w:rPr>
                <w:iCs/>
                <w:sz w:val="20"/>
              </w:rPr>
              <w:t>RDF</w:t>
            </w:r>
          </w:p>
        </w:tc>
        <w:tc>
          <w:tcPr>
            <w:tcW w:w="1565" w:type="dxa"/>
          </w:tcPr>
          <w:p w14:paraId="1B909571" w14:textId="77777777" w:rsidR="00422B96" w:rsidRPr="0013396E" w:rsidRDefault="00422B96" w:rsidP="0099759E">
            <w:pPr>
              <w:spacing w:after="60"/>
              <w:rPr>
                <w:iCs/>
                <w:sz w:val="20"/>
              </w:rPr>
            </w:pPr>
          </w:p>
        </w:tc>
        <w:tc>
          <w:tcPr>
            <w:tcW w:w="5652" w:type="dxa"/>
          </w:tcPr>
          <w:p w14:paraId="14C1CD1F" w14:textId="77777777" w:rsidR="00422B96" w:rsidRPr="0013396E" w:rsidRDefault="00422B96" w:rsidP="0099759E">
            <w:pPr>
              <w:spacing w:after="60"/>
              <w:rPr>
                <w:iCs/>
                <w:sz w:val="20"/>
              </w:rPr>
            </w:pPr>
            <w:r w:rsidRPr="0013396E">
              <w:rPr>
                <w:iCs/>
                <w:sz w:val="20"/>
              </w:rPr>
              <w:t>The currently approved</w:t>
            </w:r>
            <w:r w:rsidRPr="0013396E">
              <w:rPr>
                <w:rFonts w:ascii="Times New Roman Bold" w:hAnsi="Times New Roman Bold"/>
                <w:iCs/>
                <w:sz w:val="20"/>
              </w:rPr>
              <w:t xml:space="preserve"> </w:t>
            </w:r>
            <w:r w:rsidRPr="0013396E">
              <w:rPr>
                <w:iCs/>
                <w:sz w:val="20"/>
              </w:rPr>
              <w:t>Reserve Discount Factor</w:t>
            </w:r>
            <w:r w:rsidRPr="0013396E">
              <w:rPr>
                <w:iCs/>
                <w:sz w:val="20"/>
              </w:rPr>
              <w:tab/>
            </w:r>
          </w:p>
        </w:tc>
      </w:tr>
      <w:tr w:rsidR="00422B96" w:rsidRPr="0013396E" w14:paraId="40389103" w14:textId="77777777" w:rsidTr="006039B1">
        <w:tc>
          <w:tcPr>
            <w:tcW w:w="2133" w:type="dxa"/>
          </w:tcPr>
          <w:p w14:paraId="573FAEE0" w14:textId="77777777" w:rsidR="00422B96" w:rsidRPr="0013396E" w:rsidRDefault="00422B96" w:rsidP="0099759E">
            <w:pPr>
              <w:spacing w:after="60"/>
              <w:rPr>
                <w:iCs/>
                <w:sz w:val="20"/>
              </w:rPr>
            </w:pPr>
            <w:r w:rsidRPr="0013396E">
              <w:rPr>
                <w:iCs/>
                <w:sz w:val="20"/>
              </w:rPr>
              <w:t>RDF</w:t>
            </w:r>
            <w:r w:rsidRPr="0013396E">
              <w:rPr>
                <w:iCs/>
                <w:sz w:val="20"/>
                <w:vertAlign w:val="subscript"/>
              </w:rPr>
              <w:t>W</w:t>
            </w:r>
          </w:p>
        </w:tc>
        <w:tc>
          <w:tcPr>
            <w:tcW w:w="1565" w:type="dxa"/>
          </w:tcPr>
          <w:p w14:paraId="41249F31" w14:textId="77777777" w:rsidR="00422B96" w:rsidRPr="0013396E" w:rsidRDefault="00422B96" w:rsidP="0099759E">
            <w:pPr>
              <w:spacing w:after="60"/>
              <w:rPr>
                <w:iCs/>
                <w:sz w:val="20"/>
              </w:rPr>
            </w:pPr>
          </w:p>
        </w:tc>
        <w:tc>
          <w:tcPr>
            <w:tcW w:w="5652" w:type="dxa"/>
          </w:tcPr>
          <w:p w14:paraId="34FBF025" w14:textId="77777777" w:rsidR="00422B96" w:rsidRPr="0013396E" w:rsidRDefault="00422B96" w:rsidP="0099759E">
            <w:pPr>
              <w:spacing w:after="60"/>
              <w:rPr>
                <w:iCs/>
                <w:sz w:val="20"/>
              </w:rPr>
            </w:pPr>
            <w:r w:rsidRPr="0013396E">
              <w:rPr>
                <w:iCs/>
                <w:sz w:val="20"/>
              </w:rPr>
              <w:t>The currently approved Reserve Discount Factor for WGRs</w:t>
            </w:r>
          </w:p>
        </w:tc>
      </w:tr>
      <w:tr w:rsidR="00422B96" w:rsidRPr="0013396E" w14:paraId="65C63272" w14:textId="77777777" w:rsidTr="006039B1">
        <w:tc>
          <w:tcPr>
            <w:tcW w:w="2133" w:type="dxa"/>
          </w:tcPr>
          <w:p w14:paraId="551FE433" w14:textId="77777777" w:rsidR="00422B96" w:rsidRPr="0013396E" w:rsidRDefault="00422B96" w:rsidP="0099759E">
            <w:pPr>
              <w:spacing w:after="60"/>
              <w:rPr>
                <w:iCs/>
                <w:sz w:val="20"/>
              </w:rPr>
            </w:pPr>
            <w:r w:rsidRPr="0013396E">
              <w:rPr>
                <w:iCs/>
                <w:sz w:val="20"/>
              </w:rPr>
              <w:t>LRDF_1</w:t>
            </w:r>
          </w:p>
        </w:tc>
        <w:tc>
          <w:tcPr>
            <w:tcW w:w="1565" w:type="dxa"/>
          </w:tcPr>
          <w:p w14:paraId="438256A3" w14:textId="77777777" w:rsidR="00422B96" w:rsidRPr="0013396E" w:rsidRDefault="00422B96" w:rsidP="0099759E">
            <w:pPr>
              <w:spacing w:after="60"/>
              <w:rPr>
                <w:iCs/>
                <w:sz w:val="20"/>
              </w:rPr>
            </w:pPr>
          </w:p>
        </w:tc>
        <w:tc>
          <w:tcPr>
            <w:tcW w:w="5652" w:type="dxa"/>
          </w:tcPr>
          <w:p w14:paraId="7A428A72" w14:textId="77777777" w:rsidR="00422B96" w:rsidRPr="0013396E" w:rsidRDefault="00422B96" w:rsidP="0099759E">
            <w:pPr>
              <w:spacing w:after="60"/>
              <w:rPr>
                <w:iCs/>
                <w:sz w:val="20"/>
              </w:rPr>
            </w:pPr>
            <w:r w:rsidRPr="0013396E">
              <w:rPr>
                <w:iCs/>
                <w:sz w:val="20"/>
              </w:rPr>
              <w:t>The currently approved Load Resource</w:t>
            </w:r>
            <w:r w:rsidRPr="0013396E">
              <w:rPr>
                <w:rFonts w:ascii="Times New Roman Bold" w:hAnsi="Times New Roman Bold"/>
                <w:iCs/>
                <w:sz w:val="20"/>
              </w:rPr>
              <w:t xml:space="preserve"> </w:t>
            </w:r>
            <w:r w:rsidRPr="0013396E">
              <w:rPr>
                <w:iCs/>
                <w:sz w:val="20"/>
              </w:rPr>
              <w:t>Reserve Discount Factor for CLRs awarded an Ancillary Service Resource award</w:t>
            </w:r>
          </w:p>
        </w:tc>
      </w:tr>
      <w:tr w:rsidR="00422B96" w:rsidRPr="0013396E" w14:paraId="478C9C73" w14:textId="77777777" w:rsidTr="006039B1">
        <w:tc>
          <w:tcPr>
            <w:tcW w:w="2133" w:type="dxa"/>
          </w:tcPr>
          <w:p w14:paraId="7F8A2324" w14:textId="77777777" w:rsidR="00422B96" w:rsidRPr="0013396E" w:rsidRDefault="00422B96" w:rsidP="0099759E">
            <w:pPr>
              <w:spacing w:after="60"/>
              <w:rPr>
                <w:iCs/>
                <w:sz w:val="20"/>
              </w:rPr>
            </w:pPr>
            <w:r w:rsidRPr="0013396E">
              <w:rPr>
                <w:iCs/>
                <w:sz w:val="20"/>
              </w:rPr>
              <w:t>LRDF_2</w:t>
            </w:r>
          </w:p>
        </w:tc>
        <w:tc>
          <w:tcPr>
            <w:tcW w:w="1565" w:type="dxa"/>
          </w:tcPr>
          <w:p w14:paraId="71731336" w14:textId="77777777" w:rsidR="00422B96" w:rsidRPr="0013396E" w:rsidRDefault="00422B96" w:rsidP="0099759E">
            <w:pPr>
              <w:spacing w:after="60"/>
              <w:rPr>
                <w:iCs/>
                <w:sz w:val="20"/>
              </w:rPr>
            </w:pPr>
          </w:p>
        </w:tc>
        <w:tc>
          <w:tcPr>
            <w:tcW w:w="5652" w:type="dxa"/>
          </w:tcPr>
          <w:p w14:paraId="66B4F7A0" w14:textId="77777777" w:rsidR="00422B96" w:rsidRPr="0013396E" w:rsidRDefault="00422B96" w:rsidP="0099759E">
            <w:pPr>
              <w:spacing w:after="60"/>
              <w:rPr>
                <w:iCs/>
                <w:sz w:val="20"/>
              </w:rPr>
            </w:pPr>
            <w:r w:rsidRPr="0013396E">
              <w:rPr>
                <w:iCs/>
                <w:sz w:val="20"/>
              </w:rPr>
              <w:t>The currently approved Load Resource</w:t>
            </w:r>
            <w:r w:rsidRPr="0013396E">
              <w:rPr>
                <w:rFonts w:ascii="Times New Roman Bold" w:hAnsi="Times New Roman Bold"/>
                <w:iCs/>
                <w:sz w:val="20"/>
              </w:rPr>
              <w:t xml:space="preserve"> </w:t>
            </w:r>
            <w:r w:rsidRPr="0013396E">
              <w:rPr>
                <w:iCs/>
                <w:sz w:val="20"/>
              </w:rPr>
              <w:t>Reserve Discount Factor for CLRs not awarded an Ancillary Service Resource award</w:t>
            </w:r>
          </w:p>
        </w:tc>
      </w:tr>
      <w:tr w:rsidR="00422B96" w:rsidRPr="0013396E" w14:paraId="4314B5A4" w14:textId="77777777" w:rsidTr="006039B1">
        <w:tc>
          <w:tcPr>
            <w:tcW w:w="2133" w:type="dxa"/>
          </w:tcPr>
          <w:p w14:paraId="785AD41F" w14:textId="77777777" w:rsidR="00422B96" w:rsidRPr="0013396E" w:rsidRDefault="00422B96" w:rsidP="0099759E">
            <w:pPr>
              <w:spacing w:after="60"/>
              <w:rPr>
                <w:iCs/>
                <w:sz w:val="20"/>
              </w:rPr>
            </w:pPr>
            <w:r w:rsidRPr="0013396E">
              <w:rPr>
                <w:iCs/>
                <w:sz w:val="20"/>
              </w:rPr>
              <w:t>FRCHL</w:t>
            </w:r>
          </w:p>
        </w:tc>
        <w:tc>
          <w:tcPr>
            <w:tcW w:w="1565" w:type="dxa"/>
          </w:tcPr>
          <w:p w14:paraId="4F889C20" w14:textId="77777777" w:rsidR="00422B96" w:rsidRPr="0013396E" w:rsidRDefault="00422B96" w:rsidP="0099759E">
            <w:pPr>
              <w:spacing w:after="60"/>
              <w:rPr>
                <w:iCs/>
                <w:sz w:val="20"/>
              </w:rPr>
            </w:pPr>
            <w:r w:rsidRPr="0013396E">
              <w:rPr>
                <w:iCs/>
                <w:sz w:val="20"/>
              </w:rPr>
              <w:t>MW</w:t>
            </w:r>
          </w:p>
        </w:tc>
        <w:tc>
          <w:tcPr>
            <w:tcW w:w="5652" w:type="dxa"/>
          </w:tcPr>
          <w:p w14:paraId="46DA62FF" w14:textId="77777777" w:rsidR="00422B96" w:rsidRPr="0013396E" w:rsidRDefault="00422B96" w:rsidP="0099759E">
            <w:pPr>
              <w:spacing w:after="60"/>
              <w:rPr>
                <w:iCs/>
                <w:sz w:val="20"/>
              </w:rPr>
            </w:pPr>
            <w:r w:rsidRPr="0013396E">
              <w:rPr>
                <w:iCs/>
                <w:sz w:val="20"/>
              </w:rPr>
              <w:t>Telemetered High limit of the FRC for the Resource</w:t>
            </w:r>
          </w:p>
        </w:tc>
      </w:tr>
      <w:tr w:rsidR="00422B96" w:rsidRPr="0013396E" w14:paraId="0CA7EC48" w14:textId="77777777" w:rsidTr="006039B1">
        <w:tc>
          <w:tcPr>
            <w:tcW w:w="2133" w:type="dxa"/>
          </w:tcPr>
          <w:p w14:paraId="0C8928BA" w14:textId="77777777" w:rsidR="00422B96" w:rsidRPr="0013396E" w:rsidDel="001616A9" w:rsidRDefault="00422B96" w:rsidP="0099759E">
            <w:pPr>
              <w:spacing w:after="60"/>
              <w:rPr>
                <w:iCs/>
                <w:sz w:val="20"/>
              </w:rPr>
            </w:pPr>
            <w:r w:rsidRPr="0013396E">
              <w:rPr>
                <w:iCs/>
                <w:sz w:val="20"/>
              </w:rPr>
              <w:t>FRCO</w:t>
            </w:r>
          </w:p>
        </w:tc>
        <w:tc>
          <w:tcPr>
            <w:tcW w:w="1565" w:type="dxa"/>
          </w:tcPr>
          <w:p w14:paraId="04EC1A60" w14:textId="77777777" w:rsidR="00422B96" w:rsidRPr="0013396E" w:rsidRDefault="00422B96" w:rsidP="0099759E">
            <w:pPr>
              <w:spacing w:after="60"/>
              <w:rPr>
                <w:iCs/>
                <w:sz w:val="20"/>
              </w:rPr>
            </w:pPr>
            <w:r w:rsidRPr="0013396E">
              <w:rPr>
                <w:iCs/>
                <w:sz w:val="20"/>
              </w:rPr>
              <w:t>MW</w:t>
            </w:r>
          </w:p>
        </w:tc>
        <w:tc>
          <w:tcPr>
            <w:tcW w:w="5652" w:type="dxa"/>
          </w:tcPr>
          <w:p w14:paraId="70BC8E31" w14:textId="77777777" w:rsidR="00422B96" w:rsidRPr="0013396E" w:rsidRDefault="00422B96" w:rsidP="0099759E">
            <w:pPr>
              <w:spacing w:after="60"/>
              <w:rPr>
                <w:iCs/>
                <w:sz w:val="20"/>
              </w:rPr>
            </w:pPr>
            <w:r w:rsidRPr="0013396E">
              <w:rPr>
                <w:iCs/>
                <w:sz w:val="20"/>
              </w:rPr>
              <w:t>Telemetered output of FRC portion of the Resource</w:t>
            </w:r>
          </w:p>
        </w:tc>
      </w:tr>
    </w:tbl>
    <w:p w14:paraId="21205103" w14:textId="77777777" w:rsidR="00422B96" w:rsidRPr="0013396E" w:rsidRDefault="00422B96" w:rsidP="00422B96">
      <w:pPr>
        <w:spacing w:before="240" w:after="240"/>
        <w:ind w:left="720" w:hanging="720"/>
      </w:pPr>
      <w:r w:rsidRPr="0013396E">
        <w:t>(2)</w:t>
      </w:r>
      <w:r w:rsidRPr="0013396E">
        <w:tab/>
        <w:t>The Load Resource</w:t>
      </w:r>
      <w:r w:rsidRPr="0013396E">
        <w:rPr>
          <w:rFonts w:ascii="Times New Roman Bold" w:hAnsi="Times New Roman Bold"/>
        </w:rPr>
        <w:t xml:space="preserve"> </w:t>
      </w:r>
      <w:r w:rsidRPr="0013396E">
        <w:t>Reserve Discount Factors (RDFs) for CLRs (LRDF_1 and LRDF_2) shall be subject to review and approval by TAC.</w:t>
      </w:r>
    </w:p>
    <w:p w14:paraId="6FD0A52C" w14:textId="77777777" w:rsidR="00422B96" w:rsidRPr="0013396E" w:rsidRDefault="00422B96" w:rsidP="00422B96">
      <w:pPr>
        <w:ind w:left="720" w:hanging="720"/>
      </w:pPr>
      <w:r w:rsidRPr="0013396E">
        <w:t xml:space="preserve">(3) </w:t>
      </w:r>
      <w:r w:rsidRPr="0013396E">
        <w:tab/>
        <w:t>The RDFs used in the PRC calculation shall be posted to the ERCOT website no later than three Business Days after approval.</w:t>
      </w:r>
    </w:p>
    <w:p w14:paraId="325D74F5" w14:textId="77777777" w:rsidR="00422B96" w:rsidRPr="0013396E" w:rsidRDefault="00422B96" w:rsidP="00422B96">
      <w:pPr>
        <w:ind w:left="720" w:hanging="720"/>
      </w:pPr>
    </w:p>
    <w:p w14:paraId="7DA6377B" w14:textId="48AB600A" w:rsidR="001F04FD" w:rsidRPr="0013396E" w:rsidRDefault="00422B96" w:rsidP="005A7D8E">
      <w:pPr>
        <w:pStyle w:val="BodyTextNumbered"/>
      </w:pPr>
      <w:r w:rsidRPr="0013396E">
        <w:t>(4)</w:t>
      </w:r>
      <w:r w:rsidRPr="0013396E">
        <w:tab/>
        <w:t>ERCOT shall display on the ERCOT website and update every ten seconds a rolling view of the ERCOT-wide PRC, as defined in paragraph (1)(p) above, for the current Operating Day.</w:t>
      </w:r>
    </w:p>
    <w:p w14:paraId="6CAB6EAE" w14:textId="77777777" w:rsidR="001F04FD" w:rsidRPr="0013396E" w:rsidRDefault="001F04FD" w:rsidP="007C3E74">
      <w:pPr>
        <w:pStyle w:val="H4"/>
        <w:spacing w:before="480"/>
        <w:ind w:left="1267" w:hanging="1267"/>
      </w:pPr>
      <w:bookmarkStart w:id="946" w:name="_Toc397504974"/>
      <w:bookmarkStart w:id="947" w:name="_Toc402357102"/>
      <w:bookmarkStart w:id="948" w:name="_Toc422486482"/>
      <w:bookmarkStart w:id="949" w:name="_Toc433093334"/>
      <w:bookmarkStart w:id="950" w:name="_Toc433093492"/>
      <w:bookmarkStart w:id="951" w:name="_Toc440874721"/>
      <w:bookmarkStart w:id="952" w:name="_Toc448142276"/>
      <w:bookmarkStart w:id="953" w:name="_Toc448142433"/>
      <w:bookmarkStart w:id="954" w:name="_Toc458770269"/>
      <w:bookmarkStart w:id="955" w:name="_Toc459294237"/>
      <w:bookmarkStart w:id="956" w:name="_Toc463262730"/>
      <w:bookmarkStart w:id="957" w:name="_Toc468286804"/>
      <w:bookmarkStart w:id="958" w:name="_Toc481502850"/>
      <w:bookmarkStart w:id="959" w:name="_Toc496080018"/>
      <w:bookmarkStart w:id="960" w:name="_Toc236220129"/>
      <w:bookmarkEnd w:id="944"/>
      <w:r w:rsidRPr="0013396E">
        <w:lastRenderedPageBreak/>
        <w:t>6.5.7.6</w:t>
      </w:r>
      <w:r w:rsidRPr="0013396E">
        <w:tab/>
        <w:t>Load Frequency Control</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14:paraId="07C1F2F0" w14:textId="37C89DE6" w:rsidR="001F04FD" w:rsidRPr="0013396E" w:rsidRDefault="001F04FD" w:rsidP="001F04FD">
      <w:pPr>
        <w:pStyle w:val="BodyTextNumbered"/>
      </w:pPr>
      <w:bookmarkStart w:id="961" w:name="_Hlk135902426"/>
      <w:r w:rsidRPr="0013396E">
        <w:t>(1)</w:t>
      </w:r>
      <w:r w:rsidRPr="0013396E">
        <w:tab/>
        <w:t>The function of LFC is to maintain system frequency without a cost optimization function.  ERCOT shall execute LFC every four seconds to reduce system frequency deviations from scheduled frequency by providing a control signal to each QSE that represents Resources providing Regulation Service</w:t>
      </w:r>
      <w:r w:rsidR="00397A7F" w:rsidRPr="0013396E">
        <w:t>,</w:t>
      </w:r>
      <w:r w:rsidRPr="0013396E">
        <w:t xml:space="preserve"> RRS</w:t>
      </w:r>
      <w:r w:rsidR="00397A7F" w:rsidRPr="0013396E">
        <w:t>, and ECRS</w:t>
      </w:r>
      <w:r w:rsidRPr="0013396E">
        <w:t>.</w:t>
      </w:r>
    </w:p>
    <w:p w14:paraId="189791BE" w14:textId="77777777" w:rsidR="001F04FD" w:rsidRPr="0013396E" w:rsidRDefault="001F04FD" w:rsidP="005A7D8E">
      <w:pPr>
        <w:pStyle w:val="H5"/>
        <w:spacing w:before="480"/>
        <w:ind w:left="1627" w:hanging="1627"/>
      </w:pPr>
      <w:bookmarkStart w:id="962" w:name="_Toc73216013"/>
      <w:bookmarkStart w:id="963" w:name="_Toc397504975"/>
      <w:bookmarkStart w:id="964" w:name="_Toc402357103"/>
      <w:bookmarkStart w:id="965" w:name="_Toc422486483"/>
      <w:bookmarkStart w:id="966" w:name="_Toc433093335"/>
      <w:bookmarkStart w:id="967" w:name="_Toc433093493"/>
      <w:bookmarkStart w:id="968" w:name="_Toc440874722"/>
      <w:bookmarkStart w:id="969" w:name="_Toc448142277"/>
      <w:bookmarkStart w:id="970" w:name="_Toc448142434"/>
      <w:bookmarkStart w:id="971" w:name="_Toc458770270"/>
      <w:bookmarkStart w:id="972" w:name="_Toc459294238"/>
      <w:bookmarkStart w:id="973" w:name="_Toc463262731"/>
      <w:bookmarkStart w:id="974" w:name="_Toc468286805"/>
      <w:bookmarkStart w:id="975" w:name="_Toc481502851"/>
      <w:bookmarkStart w:id="976" w:name="_Toc496080019"/>
      <w:bookmarkStart w:id="977" w:name="_Toc236220130"/>
      <w:bookmarkStart w:id="978" w:name="_Toc73216014"/>
      <w:bookmarkEnd w:id="961"/>
      <w:r w:rsidRPr="0013396E">
        <w:t>6.5.7.6.1</w:t>
      </w:r>
      <w:r w:rsidRPr="0013396E">
        <w:tab/>
        <w:t>LFC Process Description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14:paraId="6B3EECD4" w14:textId="77777777" w:rsidR="009C679A" w:rsidRPr="0013396E" w:rsidRDefault="009C679A" w:rsidP="009C679A">
      <w:pPr>
        <w:spacing w:after="240"/>
        <w:ind w:left="720" w:hanging="720"/>
      </w:pPr>
      <w:r w:rsidRPr="0013396E">
        <w:t>(1)</w:t>
      </w:r>
      <w:r w:rsidRPr="0013396E">
        <w:tab/>
        <w:t>The LFC system corrects system frequency based on the Area Control Error (ACE) algorithm and Good Utility Practice.</w:t>
      </w:r>
    </w:p>
    <w:p w14:paraId="68106737" w14:textId="27B8B073" w:rsidR="009C679A" w:rsidRPr="0013396E" w:rsidRDefault="009C679A" w:rsidP="009C679A">
      <w:pPr>
        <w:spacing w:after="240"/>
        <w:ind w:left="720" w:hanging="720"/>
      </w:pPr>
      <w:r w:rsidRPr="0013396E">
        <w:t>(2)</w:t>
      </w:r>
      <w:r w:rsidRPr="0013396E">
        <w:tab/>
        <w:t xml:space="preserve">The ACE algorithm subtracts the actual frequency in Hz from the scheduled system frequency (normally 60 Hz), and multiplies the result by the frequency bias constant of MW/0.1 Hz.  The ACE algorithm then takes that product and subtracts a configurable portion of the sum of the difference between the UDSP and Real-Time net MW output as appropriate.  LFC shall ensure that the total reduction will not exceed the system-wide regulation requirement.  This calculation produces an ACE value, which is a MW-equivalent correction needed to control the actual system frequency to the scheduled system frequency value.  </w:t>
      </w:r>
    </w:p>
    <w:p w14:paraId="58549FE4" w14:textId="77777777" w:rsidR="009C679A" w:rsidRPr="0013396E" w:rsidRDefault="009C679A" w:rsidP="009C679A">
      <w:pPr>
        <w:spacing w:after="240"/>
        <w:ind w:left="720" w:hanging="720"/>
      </w:pPr>
      <w:r w:rsidRPr="0013396E">
        <w:t>(3)</w:t>
      </w:r>
      <w:r w:rsidRPr="0013396E">
        <w:tab/>
        <w:t>The LFC module receives inputs from Real-Time telemetry that includes Resource output and actual system frequency.  The LFC uses actual Resource information calculated from SCADA to determine available Resource capacity providing Regulation Service, RRS, and ECRS.</w:t>
      </w:r>
    </w:p>
    <w:p w14:paraId="4186D1C8" w14:textId="77777777" w:rsidR="009C679A" w:rsidRPr="0013396E" w:rsidRDefault="009C679A" w:rsidP="009C679A">
      <w:pPr>
        <w:spacing w:after="240"/>
        <w:ind w:left="720" w:hanging="720"/>
      </w:pPr>
      <w:r w:rsidRPr="0013396E">
        <w:t>(4)</w:t>
      </w:r>
      <w:r w:rsidRPr="0013396E">
        <w:tab/>
        <w:t xml:space="preserve">Based on the ACE MW correction, the LFC issues a set of control signals every four seconds for each Resource providing Regulation and, if required, each Resource providing RRS or ECRS.  Control signals to each Resource are provided to the QSE using the ICCP data link.  QSEs shall receive a UDSP updated every four seconds by LFC.  ERCOT will provide an operations notice of any methodology change to the determination of the UDSP within 60 minutes of the change.  </w:t>
      </w:r>
    </w:p>
    <w:p w14:paraId="6C2ACB55" w14:textId="77777777" w:rsidR="009C679A" w:rsidRPr="0013396E" w:rsidRDefault="009C679A" w:rsidP="009C679A">
      <w:pPr>
        <w:spacing w:after="240"/>
        <w:ind w:left="720" w:hanging="720"/>
      </w:pPr>
      <w:r w:rsidRPr="0013396E">
        <w:t>(5)</w:t>
      </w:r>
      <w:r w:rsidRPr="0013396E">
        <w:tab/>
        <w:t>If all Reg-Up capacity has been deployed, ERCOT shall run off-cycle SCED executions or use the LFC system to deploy ECRS on Resources providing FFR or with an ONSC Resource Status.  Such ECRS deployments by ERCOT must be deployed as specified in Section 6.5.7.6.2.4, Deployment and Recall of ERCOT Contingency Reserve Service.</w:t>
      </w:r>
    </w:p>
    <w:p w14:paraId="40C76860" w14:textId="77777777" w:rsidR="009C679A" w:rsidRPr="0013396E" w:rsidRDefault="009C679A" w:rsidP="009C679A">
      <w:pPr>
        <w:spacing w:after="240"/>
        <w:ind w:left="720" w:hanging="720"/>
      </w:pPr>
      <w:r w:rsidRPr="0013396E">
        <w:t>(6)</w:t>
      </w:r>
      <w:r w:rsidRPr="0013396E">
        <w:tab/>
        <w:t>ERCOT shall settle energy that results from LFC deployment at the Settlement Point Price for the point of injection.  When a QSE deploys RRS or ECRS, the QSE shall deploy units consistent with the performance criteria in Sections 8.1.1.3.2, Responsive Reserve Capacity Monitoring Criteria, Section 8.1.1.3.4, ERCOT Contingency Reserve Service Capacity Monitoring Criteria, 8.1.1.4.2, Responsive Reserve Energy Deployment Criteria, and 8.1.1.4.4, ERCOT Contingency Reserve Service Energy Deployment Criteria.</w:t>
      </w:r>
    </w:p>
    <w:p w14:paraId="3CFC0550" w14:textId="77777777" w:rsidR="009C679A" w:rsidRPr="0013396E" w:rsidRDefault="009C679A" w:rsidP="009C679A">
      <w:pPr>
        <w:spacing w:after="240"/>
        <w:ind w:left="720" w:hanging="720"/>
      </w:pPr>
      <w:r w:rsidRPr="0013396E">
        <w:t>(7)</w:t>
      </w:r>
      <w:r w:rsidRPr="0013396E">
        <w:tab/>
        <w:t>The inputs for LFC include:</w:t>
      </w:r>
    </w:p>
    <w:p w14:paraId="2B64B11F" w14:textId="77777777" w:rsidR="009C679A" w:rsidRPr="0013396E" w:rsidRDefault="009C679A" w:rsidP="009C679A">
      <w:pPr>
        <w:spacing w:after="240"/>
        <w:ind w:left="1440" w:hanging="720"/>
      </w:pPr>
      <w:r w:rsidRPr="0013396E">
        <w:lastRenderedPageBreak/>
        <w:t>(a)</w:t>
      </w:r>
      <w:r w:rsidRPr="0013396E">
        <w:tab/>
        <w:t>Actual system frequency;</w:t>
      </w:r>
    </w:p>
    <w:p w14:paraId="50EBAAAF" w14:textId="77777777" w:rsidR="009C679A" w:rsidRPr="0013396E" w:rsidRDefault="009C679A" w:rsidP="009C679A">
      <w:pPr>
        <w:spacing w:after="240"/>
        <w:ind w:left="1440" w:hanging="720"/>
      </w:pPr>
      <w:r w:rsidRPr="0013396E">
        <w:t>(b)</w:t>
      </w:r>
      <w:r w:rsidRPr="0013396E">
        <w:tab/>
        <w:t>Scheduled system frequency;</w:t>
      </w:r>
    </w:p>
    <w:p w14:paraId="7BFFCCCB" w14:textId="77777777" w:rsidR="009C679A" w:rsidRPr="0013396E" w:rsidRDefault="009C679A" w:rsidP="009C679A">
      <w:pPr>
        <w:spacing w:after="240"/>
        <w:ind w:left="1440" w:hanging="720"/>
      </w:pPr>
      <w:r w:rsidRPr="0013396E">
        <w:t>(c)</w:t>
      </w:r>
      <w:r w:rsidRPr="0013396E">
        <w:tab/>
        <w:t>Capacity awarded for Regulation Service to Resources;</w:t>
      </w:r>
    </w:p>
    <w:p w14:paraId="1F60840E" w14:textId="77777777" w:rsidR="009C679A" w:rsidRPr="0013396E" w:rsidRDefault="009C679A" w:rsidP="009C679A">
      <w:pPr>
        <w:spacing w:after="240"/>
        <w:ind w:left="1440" w:hanging="720"/>
      </w:pPr>
      <w:r w:rsidRPr="0013396E">
        <w:t>(d)</w:t>
      </w:r>
      <w:r w:rsidRPr="0013396E">
        <w:tab/>
        <w:t>For Resources awarded Regulation Service, telemetered HSL or MPC, and LSL or LPC;</w:t>
      </w:r>
    </w:p>
    <w:p w14:paraId="54B6CDC0" w14:textId="77777777" w:rsidR="009C679A" w:rsidRPr="0013396E" w:rsidRDefault="009C679A" w:rsidP="009C679A">
      <w:pPr>
        <w:spacing w:after="240"/>
        <w:ind w:left="1440" w:hanging="720"/>
      </w:pPr>
      <w:r w:rsidRPr="0013396E">
        <w:t>(e)</w:t>
      </w:r>
      <w:r w:rsidRPr="0013396E">
        <w:tab/>
        <w:t>Resource limits calculated by ERCOT as described in Section 6.5.7.2, Resource Limit Calculator;</w:t>
      </w:r>
    </w:p>
    <w:p w14:paraId="04000F3A" w14:textId="77777777" w:rsidR="009C679A" w:rsidRPr="0013396E" w:rsidRDefault="009C679A" w:rsidP="009C679A">
      <w:pPr>
        <w:spacing w:after="240"/>
        <w:ind w:left="1440" w:hanging="720"/>
      </w:pPr>
      <w:r w:rsidRPr="0013396E">
        <w:t>(f)</w:t>
      </w:r>
      <w:r w:rsidRPr="0013396E">
        <w:tab/>
        <w:t>Capacity awarded for RRS and ECRS to Resources;</w:t>
      </w:r>
    </w:p>
    <w:p w14:paraId="1154DAB2" w14:textId="77777777" w:rsidR="009C679A" w:rsidRPr="0013396E" w:rsidRDefault="009C679A" w:rsidP="009C679A">
      <w:pPr>
        <w:spacing w:before="240" w:after="240"/>
        <w:ind w:left="1440" w:hanging="720"/>
      </w:pPr>
      <w:r w:rsidRPr="0013396E">
        <w:t>(g)</w:t>
      </w:r>
      <w:r w:rsidRPr="0013396E">
        <w:tab/>
        <w:t>ERCOT System frequency bias; and</w:t>
      </w:r>
    </w:p>
    <w:p w14:paraId="0F8B855F" w14:textId="161AC82C" w:rsidR="001F04FD" w:rsidRPr="0013396E" w:rsidRDefault="009C679A" w:rsidP="005A7D8E">
      <w:pPr>
        <w:spacing w:before="240" w:after="240"/>
        <w:ind w:left="1440" w:hanging="720"/>
      </w:pPr>
      <w:r w:rsidRPr="0013396E">
        <w:t>(h)</w:t>
      </w:r>
      <w:r w:rsidRPr="0013396E">
        <w:tab/>
        <w:t>Telemetered Resource output.</w:t>
      </w:r>
    </w:p>
    <w:p w14:paraId="76884422" w14:textId="77777777" w:rsidR="001F04FD" w:rsidRPr="0013396E" w:rsidRDefault="001F04FD" w:rsidP="005A7D8E">
      <w:pPr>
        <w:pStyle w:val="H5"/>
        <w:ind w:left="1627" w:hanging="1627"/>
      </w:pPr>
      <w:bookmarkStart w:id="979" w:name="_Toc397504976"/>
      <w:bookmarkStart w:id="980" w:name="_Toc402357104"/>
      <w:bookmarkStart w:id="981" w:name="_Toc422486484"/>
      <w:bookmarkStart w:id="982" w:name="_Toc433093336"/>
      <w:bookmarkStart w:id="983" w:name="_Toc433093494"/>
      <w:bookmarkStart w:id="984" w:name="_Toc440874723"/>
      <w:bookmarkStart w:id="985" w:name="_Toc448142278"/>
      <w:bookmarkStart w:id="986" w:name="_Toc448142435"/>
      <w:bookmarkStart w:id="987" w:name="_Toc458770271"/>
      <w:bookmarkStart w:id="988" w:name="_Toc459294239"/>
      <w:bookmarkStart w:id="989" w:name="_Toc463262732"/>
      <w:bookmarkStart w:id="990" w:name="_Toc468286806"/>
      <w:bookmarkStart w:id="991" w:name="_Toc481502852"/>
      <w:bookmarkStart w:id="992" w:name="_Toc496080020"/>
      <w:bookmarkStart w:id="993" w:name="_Toc236220131"/>
      <w:r w:rsidRPr="0013396E">
        <w:t>6.5.7.6.2</w:t>
      </w:r>
      <w:r w:rsidRPr="0013396E">
        <w:tab/>
        <w:t>LFC Deployment</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14:paraId="64AAB626" w14:textId="59BB107D" w:rsidR="001F04FD" w:rsidRDefault="001F04FD" w:rsidP="001F04FD">
      <w:pPr>
        <w:pStyle w:val="BodyTextNumbered"/>
      </w:pPr>
      <w:r w:rsidRPr="0013396E">
        <w:t>(1)</w:t>
      </w:r>
      <w:r w:rsidRPr="0013396E">
        <w:tab/>
        <w:t>ERCOT may deploy Regulation</w:t>
      </w:r>
      <w:r w:rsidR="00F47949" w:rsidRPr="0013396E">
        <w:t xml:space="preserve"> Service</w:t>
      </w:r>
      <w:r w:rsidRPr="0013396E">
        <w:t xml:space="preserve">, </w:t>
      </w:r>
      <w:r w:rsidR="005755D9" w:rsidRPr="0013396E">
        <w:t>RRS</w:t>
      </w:r>
      <w:r w:rsidRPr="0013396E">
        <w:t>,</w:t>
      </w:r>
      <w:r w:rsidR="000E20D3" w:rsidRPr="0013396E">
        <w:t xml:space="preserve"> ECRS,</w:t>
      </w:r>
      <w:r w:rsidRPr="0013396E">
        <w:t xml:space="preserve"> and Non-Spin only as prescribed by their respective specific functions to maintain frequency and system security.  ERCOT may not substitute one Ancillary Service for another.</w:t>
      </w:r>
    </w:p>
    <w:p w14:paraId="7926B557" w14:textId="5BD3730E" w:rsidR="009C679A" w:rsidRPr="0013396E" w:rsidRDefault="009C679A" w:rsidP="001F04FD">
      <w:pPr>
        <w:pStyle w:val="BodyTextNumbered"/>
      </w:pPr>
      <w:r w:rsidRPr="0013396E">
        <w:t>(2)</w:t>
      </w:r>
      <w:r w:rsidRPr="0013396E">
        <w:tab/>
        <w:t>LFC will send UDSP deployment signals for each Resource, as specified in Section 6.5.7.4.1, Updated Desired Set Points.</w:t>
      </w:r>
    </w:p>
    <w:p w14:paraId="72F6E54C" w14:textId="77777777" w:rsidR="001F04FD" w:rsidRPr="0013396E" w:rsidRDefault="001F04FD" w:rsidP="007C3E74">
      <w:pPr>
        <w:pStyle w:val="H6"/>
        <w:spacing w:before="480"/>
      </w:pPr>
      <w:r w:rsidRPr="0013396E">
        <w:t>6.5.7.6.2.1</w:t>
      </w:r>
      <w:r w:rsidRPr="0013396E">
        <w:tab/>
        <w:t>Deployment of Regulation Service</w:t>
      </w:r>
    </w:p>
    <w:p w14:paraId="04C77772" w14:textId="77777777" w:rsidR="001F04FD" w:rsidRPr="0013396E" w:rsidRDefault="001F04FD" w:rsidP="001F04FD">
      <w:pPr>
        <w:pStyle w:val="BodyTextNumbered"/>
      </w:pPr>
      <w:r w:rsidRPr="0013396E">
        <w:t>(1)</w:t>
      </w:r>
      <w:r w:rsidRPr="0013396E">
        <w:tab/>
        <w:t>ERCOT shall deploy Reg-Up and Reg-Down necessary to maintain ERCOT System frequency to meet NERC Control Area and other Control Area performance criteria as specified in these Protocols and the Operating Guides.</w:t>
      </w:r>
    </w:p>
    <w:p w14:paraId="733DF401" w14:textId="77777777" w:rsidR="001F04FD" w:rsidRPr="0013396E" w:rsidRDefault="001F04FD" w:rsidP="001F04FD">
      <w:pPr>
        <w:pStyle w:val="BodyTextNumbered"/>
      </w:pPr>
      <w:r w:rsidRPr="0013396E">
        <w:t>(2)</w:t>
      </w:r>
      <w:r w:rsidRPr="0013396E">
        <w:tab/>
        <w:t>Reg-Up is a deployment or recall of a deployment referenced to the Resource’s Base Point in response to a change (up or down) in ERCOT System frequency to maintain the target ERCOT System frequency within predetermined limits according to the Operating Guides.</w:t>
      </w:r>
    </w:p>
    <w:p w14:paraId="2AC6AEEB" w14:textId="77777777" w:rsidR="001F04FD" w:rsidRPr="0013396E" w:rsidRDefault="001F04FD" w:rsidP="001F04FD">
      <w:pPr>
        <w:pStyle w:val="BodyTextNumbered"/>
      </w:pPr>
      <w:r w:rsidRPr="0013396E">
        <w:t>(3)</w:t>
      </w:r>
      <w:r w:rsidRPr="0013396E">
        <w:tab/>
        <w:t>Reg-Down is a deployment or recall of a deployment referenced to the Resource’s Base Point in response to a change (up or down) in ERCOT System frequency to maintain the target ERCOT System frequency within predetermined limits according to the Operating Guides.</w:t>
      </w:r>
    </w:p>
    <w:p w14:paraId="23313E39" w14:textId="77777777" w:rsidR="001F04FD" w:rsidRPr="0013396E" w:rsidRDefault="001F04FD" w:rsidP="001F04FD">
      <w:pPr>
        <w:pStyle w:val="BodyTextNumbered"/>
      </w:pPr>
      <w:r w:rsidRPr="0013396E">
        <w:t>(4)</w:t>
      </w:r>
      <w:r w:rsidRPr="0013396E">
        <w:tab/>
        <w:t>These requirements also apply to the deployment or recall of a deployment of Reg-Up and Reg-Down:</w:t>
      </w:r>
    </w:p>
    <w:p w14:paraId="332CC3CF" w14:textId="77777777" w:rsidR="001F04FD" w:rsidRPr="0013396E" w:rsidRDefault="001F04FD" w:rsidP="001F04FD">
      <w:pPr>
        <w:pStyle w:val="List"/>
      </w:pPr>
      <w:r w:rsidRPr="0013396E">
        <w:t>(a)</w:t>
      </w:r>
      <w:r w:rsidRPr="0013396E">
        <w:tab/>
        <w:t>Deployment or recall of a deployment must be accomplished through use of an automatic signal from ERCOT to each QSE provider of Reg-Up and Reg-Down.</w:t>
      </w:r>
    </w:p>
    <w:p w14:paraId="5760B164" w14:textId="77777777" w:rsidR="001F04FD" w:rsidRPr="0013396E" w:rsidRDefault="001F04FD" w:rsidP="001F04FD">
      <w:pPr>
        <w:pStyle w:val="List"/>
      </w:pPr>
      <w:r w:rsidRPr="0013396E">
        <w:lastRenderedPageBreak/>
        <w:t>(b)</w:t>
      </w:r>
      <w:r w:rsidRPr="0013396E">
        <w:tab/>
        <w:t xml:space="preserve">ERCOT shall minimize Reg-Up and Reg-Down energy as much as practicable in each SCED cycle.  </w:t>
      </w:r>
    </w:p>
    <w:p w14:paraId="33823753" w14:textId="77777777" w:rsidR="001F04FD" w:rsidRPr="0013396E" w:rsidRDefault="001F04FD" w:rsidP="001F04FD">
      <w:pPr>
        <w:pStyle w:val="List"/>
      </w:pPr>
      <w:r w:rsidRPr="0013396E">
        <w:t>(c)</w:t>
      </w:r>
      <w:r w:rsidRPr="0013396E">
        <w:tab/>
        <w:t>ERCOT shall settle energy provided by Reg-Up and Reg-Down at the Resource’s Settlement Point Price.</w:t>
      </w:r>
    </w:p>
    <w:p w14:paraId="25913782" w14:textId="77777777" w:rsidR="001F04FD" w:rsidRPr="0013396E" w:rsidRDefault="001F04FD" w:rsidP="001F04FD">
      <w:pPr>
        <w:pStyle w:val="List"/>
      </w:pPr>
      <w:r w:rsidRPr="0013396E">
        <w:t>(d)</w:t>
      </w:r>
      <w:r w:rsidRPr="0013396E">
        <w:tab/>
        <w:t>ERCOT shall integrate the control signal sent to providers of Reg-Up and shall calculate the amount of energy deployed by Reg-Up in each Settlement Interval.</w:t>
      </w:r>
    </w:p>
    <w:p w14:paraId="4F0B2D39" w14:textId="77777777" w:rsidR="001F04FD" w:rsidRPr="0013396E" w:rsidRDefault="001F04FD" w:rsidP="001F04FD">
      <w:pPr>
        <w:pStyle w:val="List"/>
      </w:pPr>
      <w:r w:rsidRPr="0013396E">
        <w:t>(e)</w:t>
      </w:r>
      <w:r w:rsidRPr="0013396E">
        <w:tab/>
        <w:t>ERCOT shall integrate the control signal sent to providers of Reg-Down and shall calculate the amount of energy deployed by Reg-Down in each Settlement Interval.</w:t>
      </w:r>
    </w:p>
    <w:p w14:paraId="7AD2C9FB" w14:textId="77777777" w:rsidR="001F04FD" w:rsidRPr="0013396E" w:rsidRDefault="001F04FD" w:rsidP="001F04FD">
      <w:pPr>
        <w:pStyle w:val="List"/>
        <w:rPr>
          <w:color w:val="000000"/>
        </w:rPr>
      </w:pPr>
      <w:r w:rsidRPr="0013396E">
        <w:rPr>
          <w:color w:val="000000"/>
        </w:rPr>
        <w:t>(f)</w:t>
      </w:r>
      <w:r w:rsidRPr="0013396E">
        <w:rPr>
          <w:color w:val="000000"/>
        </w:rPr>
        <w:tab/>
        <w:t>ERCOT shall calculate for each LFC cycle the amount of regulation that each Resource is expected to provide at that instant in time.  The expected amount must be averaged over each SCED interval.  The actual generation from telemetry must also be averaged over each SCED interval.</w:t>
      </w:r>
    </w:p>
    <w:p w14:paraId="039BA011" w14:textId="77777777" w:rsidR="001F04FD" w:rsidRPr="0013396E" w:rsidRDefault="001F04FD" w:rsidP="001F04FD">
      <w:pPr>
        <w:pStyle w:val="BodyTextNumbered"/>
      </w:pPr>
      <w:r w:rsidRPr="0013396E">
        <w:t>(5)</w:t>
      </w:r>
      <w:r w:rsidRPr="0013396E">
        <w:tab/>
        <w:t>Every day, ERCOT shall post to the MIS Secure Area the total amount of deployed Reg-Up and Reg-Down energy in each Settlement Interval of the previous day.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AC4DE5" w:rsidRPr="0013396E" w14:paraId="2BEBE2A2" w14:textId="77777777" w:rsidTr="00AC4DE5">
        <w:trPr>
          <w:trHeight w:val="206"/>
        </w:trPr>
        <w:tc>
          <w:tcPr>
            <w:tcW w:w="9445" w:type="dxa"/>
            <w:shd w:val="pct12" w:color="auto" w:fill="auto"/>
          </w:tcPr>
          <w:p w14:paraId="6A808C3A" w14:textId="77777777" w:rsidR="00AC4DE5" w:rsidRPr="0013396E" w:rsidRDefault="00AC4DE5" w:rsidP="00AE5CE8">
            <w:pPr>
              <w:pStyle w:val="Instructions"/>
              <w:spacing w:before="120"/>
            </w:pPr>
            <w:r w:rsidRPr="0013396E">
              <w:t>[NPRR1239:  Replace paragraph (5) above with the following upon system implementation:]</w:t>
            </w:r>
          </w:p>
          <w:p w14:paraId="0D2DAA53" w14:textId="604AC793" w:rsidR="00AC4DE5" w:rsidRPr="0013396E" w:rsidRDefault="00AC4DE5" w:rsidP="00AC4DE5">
            <w:pPr>
              <w:spacing w:after="240"/>
              <w:ind w:left="720" w:hanging="720"/>
            </w:pPr>
            <w:r w:rsidRPr="0013396E">
              <w:t>(5)</w:t>
            </w:r>
            <w:r w:rsidRPr="0013396E">
              <w:tab/>
              <w:t>Every day, ERCOT shall post to the ERCOT website the total amount of deployed Reg-Up and Reg-Down energy in each Settlement Interval of the previous day.</w:t>
            </w:r>
          </w:p>
        </w:tc>
      </w:tr>
    </w:tbl>
    <w:p w14:paraId="045865A6" w14:textId="655A583C" w:rsidR="001F04FD" w:rsidRPr="0013396E" w:rsidRDefault="001F04FD" w:rsidP="00952F33">
      <w:pPr>
        <w:pStyle w:val="BodyTextNumbered"/>
        <w:spacing w:before="240"/>
      </w:pPr>
      <w:r w:rsidRPr="0013396E">
        <w:t>(6)</w:t>
      </w:r>
      <w:r w:rsidRPr="0013396E">
        <w:tab/>
        <w:t>For each Resource providing Reg-Up or Reg-Down, the implied ramp rate in MW per minute is the total amount of Regulation Service awarded divided by five.</w:t>
      </w:r>
    </w:p>
    <w:p w14:paraId="4E4050FE" w14:textId="77777777" w:rsidR="001F04FD" w:rsidRPr="0013396E" w:rsidRDefault="001F04FD" w:rsidP="001F04FD">
      <w:pPr>
        <w:pStyle w:val="BodyTextNumbered"/>
      </w:pPr>
      <w:r w:rsidRPr="0013396E">
        <w:t>(7)</w:t>
      </w:r>
      <w:r w:rsidRPr="0013396E">
        <w:tab/>
        <w:t>Each QSE providing Reg-Up or Reg-Down and ERCOT shall meet the deployment performance requirements specified in Section 8, Performance Monitoring.</w:t>
      </w:r>
    </w:p>
    <w:p w14:paraId="7D18A9BF" w14:textId="09E5F0B2" w:rsidR="009C679A" w:rsidRPr="0013396E" w:rsidRDefault="001F04FD" w:rsidP="009C679A">
      <w:pPr>
        <w:spacing w:after="240"/>
        <w:ind w:left="720" w:hanging="720"/>
      </w:pPr>
      <w:r w:rsidRPr="0013396E">
        <w:t>(8)</w:t>
      </w:r>
      <w:r w:rsidRPr="0013396E">
        <w:tab/>
      </w:r>
      <w:r w:rsidR="009C679A" w:rsidRPr="0013396E">
        <w:t xml:space="preserve">ERCOT shall issue Reg-Up and Reg-Down deployment Dispatch Instructions over ICCP.  Those Dispatch Instructions must contain the change in MW output requested of the Resource.  </w:t>
      </w:r>
    </w:p>
    <w:p w14:paraId="3634F60E" w14:textId="77777777" w:rsidR="009C679A" w:rsidRPr="0013396E" w:rsidRDefault="009C679A" w:rsidP="009C679A">
      <w:pPr>
        <w:spacing w:after="240"/>
        <w:ind w:left="720" w:hanging="720"/>
      </w:pPr>
      <w:r w:rsidRPr="0013396E">
        <w:t>(9)</w:t>
      </w:r>
      <w:r w:rsidRPr="0013396E">
        <w:tab/>
        <w:t xml:space="preserve">Reg-Up and Reg-Down Dispatch Instructions shall be included as a component of a Resource’s UDSP. </w:t>
      </w:r>
    </w:p>
    <w:p w14:paraId="14700940" w14:textId="0D1AD998" w:rsidR="001F04FD" w:rsidRPr="0013396E" w:rsidRDefault="009C679A" w:rsidP="009C679A">
      <w:pPr>
        <w:pStyle w:val="BodyTextNumbered"/>
      </w:pPr>
      <w:r w:rsidRPr="0013396E">
        <w:t>(10)</w:t>
      </w:r>
      <w:r w:rsidRPr="0013396E">
        <w:tab/>
        <w:t>Upon the receipt of new Base Points and Ancillary Service awards from SCED, LFC will reset Regulation Service instructions to zero</w:t>
      </w:r>
      <w:r>
        <w:t>.</w:t>
      </w:r>
    </w:p>
    <w:p w14:paraId="291FA216" w14:textId="77777777" w:rsidR="001F04FD" w:rsidRPr="0013396E" w:rsidRDefault="001F04FD" w:rsidP="007C3E74">
      <w:pPr>
        <w:pStyle w:val="H6"/>
        <w:spacing w:before="480"/>
      </w:pPr>
      <w:bookmarkStart w:id="994" w:name="_Hlk135902803"/>
      <w:r w:rsidRPr="0013396E">
        <w:t>6.5.7.6.2.2</w:t>
      </w:r>
      <w:r w:rsidRPr="0013396E">
        <w:tab/>
        <w:t xml:space="preserve">Deployment of Responsive Reserve </w:t>
      </w:r>
      <w:r w:rsidR="00A2264F" w:rsidRPr="0013396E">
        <w:t>(RRS)</w:t>
      </w:r>
    </w:p>
    <w:p w14:paraId="6B242600" w14:textId="77777777" w:rsidR="009C679A" w:rsidRPr="0013396E" w:rsidRDefault="009C679A" w:rsidP="009C679A">
      <w:pPr>
        <w:spacing w:after="240"/>
        <w:ind w:left="720" w:hanging="720"/>
      </w:pPr>
      <w:r w:rsidRPr="0013396E">
        <w:t>(1)</w:t>
      </w:r>
      <w:r w:rsidRPr="0013396E">
        <w:tab/>
        <w:t>RRS is intended to:</w:t>
      </w:r>
    </w:p>
    <w:p w14:paraId="64D2B660" w14:textId="77777777" w:rsidR="009C679A" w:rsidRPr="0013396E" w:rsidRDefault="009C679A" w:rsidP="009C679A">
      <w:pPr>
        <w:spacing w:after="240"/>
        <w:ind w:left="1440" w:hanging="720"/>
      </w:pPr>
      <w:r w:rsidRPr="0013396E">
        <w:lastRenderedPageBreak/>
        <w:t>(a)</w:t>
      </w:r>
      <w:r w:rsidRPr="0013396E">
        <w:tab/>
        <w:t>Help restore the frequency within the first few seconds of a significant frequency deviation of the interconnected transmission system; and</w:t>
      </w:r>
    </w:p>
    <w:p w14:paraId="02AB5BC4" w14:textId="77777777" w:rsidR="009C679A" w:rsidRPr="0013396E" w:rsidRDefault="009C679A" w:rsidP="009C679A">
      <w:pPr>
        <w:spacing w:after="240"/>
        <w:ind w:left="1440" w:hanging="720"/>
      </w:pPr>
      <w:r w:rsidRPr="0013396E">
        <w:t>(b)</w:t>
      </w:r>
      <w:r w:rsidRPr="0013396E">
        <w:tab/>
        <w:t>Provide energy during the implementation of an EEA.</w:t>
      </w:r>
    </w:p>
    <w:p w14:paraId="02EC2E59" w14:textId="77777777" w:rsidR="009C679A" w:rsidRPr="0013396E" w:rsidRDefault="009C679A" w:rsidP="009C679A">
      <w:pPr>
        <w:spacing w:before="240" w:after="240"/>
        <w:ind w:left="720" w:hanging="720"/>
      </w:pPr>
      <w:r w:rsidRPr="0013396E">
        <w:t>(2)</w:t>
      </w:r>
      <w:r w:rsidRPr="0013396E">
        <w:tab/>
        <w:t>ERCOT shall deploy RRS to meet NERC Control Performance Standards and other performance criteria as specified in these Protocols and the Operating Guides, by one or more of the following:</w:t>
      </w:r>
    </w:p>
    <w:p w14:paraId="39BAAC08" w14:textId="77777777" w:rsidR="009C679A" w:rsidRPr="0013396E" w:rsidRDefault="009C679A" w:rsidP="009C679A">
      <w:pPr>
        <w:spacing w:after="240"/>
        <w:ind w:left="1440" w:hanging="720"/>
      </w:pPr>
      <w:r w:rsidRPr="0013396E">
        <w:t>(a)</w:t>
      </w:r>
      <w:r w:rsidRPr="0013396E">
        <w:tab/>
        <w:t>RRS energy deployment by automatic Governor response as a result of frequency deviation;</w:t>
      </w:r>
    </w:p>
    <w:p w14:paraId="49667303" w14:textId="77777777" w:rsidR="009C679A" w:rsidRPr="0013396E" w:rsidRDefault="009C679A" w:rsidP="009C679A">
      <w:pPr>
        <w:spacing w:before="240" w:after="240"/>
        <w:ind w:left="1440" w:hanging="720"/>
      </w:pPr>
      <w:r w:rsidRPr="0013396E">
        <w:t>(b)</w:t>
      </w:r>
      <w:r w:rsidRPr="0013396E">
        <w:tab/>
        <w:t>By Dispatch Instruction for deployment of RRS energy from a Load Resource, excluding CLRs, by an electronic Messaging System;</w:t>
      </w:r>
    </w:p>
    <w:p w14:paraId="7A57108E" w14:textId="77777777" w:rsidR="009C679A" w:rsidRPr="0013396E" w:rsidRDefault="009C679A" w:rsidP="009C679A">
      <w:pPr>
        <w:spacing w:after="240"/>
        <w:ind w:left="1440" w:hanging="720"/>
      </w:pPr>
      <w:r w:rsidRPr="0013396E">
        <w:t>(c)</w:t>
      </w:r>
      <w:r w:rsidRPr="0013396E">
        <w:tab/>
        <w:t>RRS energy deployment by automatic action of high-set under-frequency relays as a result of a significant frequency deviation; and</w:t>
      </w:r>
    </w:p>
    <w:p w14:paraId="792308F3" w14:textId="77777777" w:rsidR="009C679A" w:rsidRPr="0013396E" w:rsidRDefault="009C679A" w:rsidP="009C679A">
      <w:pPr>
        <w:spacing w:after="240"/>
        <w:ind w:left="1440" w:hanging="720"/>
      </w:pPr>
      <w:r w:rsidRPr="0013396E">
        <w:t>(d)</w:t>
      </w:r>
      <w:r w:rsidRPr="0013396E">
        <w:tab/>
        <w:t>By Dispatch Instruction for deployment of RRS from Resources with a Resource Status of ONSC or Resources providing FFR.</w:t>
      </w:r>
    </w:p>
    <w:p w14:paraId="501B4BBC" w14:textId="77777777" w:rsidR="009C679A" w:rsidRPr="0013396E" w:rsidRDefault="009C679A" w:rsidP="009C679A">
      <w:pPr>
        <w:spacing w:after="240"/>
        <w:ind w:left="720" w:hanging="720"/>
      </w:pPr>
      <w:r w:rsidRPr="0013396E">
        <w:t>(3)</w:t>
      </w:r>
      <w:r w:rsidRPr="0013396E">
        <w:tab/>
        <w:t>ERCOT shall deploy RRS to respond to a frequency deviation when the power requirement to restore frequency to normal ACE in ten minutes exceeds the Reg-Up ramping capability.  Deployment of RRS on Load Resources, excluding CLRs, must be as described in Section 6.5.9.4, Energy Emergency Alert.</w:t>
      </w:r>
    </w:p>
    <w:p w14:paraId="42355612" w14:textId="77777777" w:rsidR="009C679A" w:rsidRPr="0013396E" w:rsidRDefault="009C679A" w:rsidP="009C679A">
      <w:pPr>
        <w:spacing w:after="240"/>
        <w:ind w:left="720" w:hanging="720"/>
      </w:pPr>
      <w:r w:rsidRPr="0013396E">
        <w:t>(4)</w:t>
      </w:r>
      <w:r w:rsidRPr="0013396E">
        <w:tab/>
        <w:t>Energy from RRS Resources may also be deployed by ERCOT under Section 6.5.9, Emergency Operations.</w:t>
      </w:r>
    </w:p>
    <w:p w14:paraId="1333C429" w14:textId="77777777" w:rsidR="009C679A" w:rsidRPr="0013396E" w:rsidRDefault="009C679A" w:rsidP="009C679A">
      <w:pPr>
        <w:spacing w:after="240"/>
        <w:ind w:left="720" w:hanging="720"/>
      </w:pPr>
      <w:r w:rsidRPr="0013396E">
        <w:t>(5)</w:t>
      </w:r>
      <w:r w:rsidRPr="0013396E">
        <w:tab/>
        <w:t xml:space="preserve">For Resources providing RRS with a Resource Status of ONSC, ERCOT shall deploy RRS as described in Section 6.5.9.4.2, EEA Levels, and Nodal Operating Guide Section 2.3.1.2, Additional Operational Details for Responsive Reserve Providers.  </w:t>
      </w:r>
    </w:p>
    <w:p w14:paraId="43F927A5" w14:textId="77777777" w:rsidR="009C679A" w:rsidRPr="0013396E" w:rsidRDefault="009C679A" w:rsidP="009C679A">
      <w:pPr>
        <w:spacing w:after="240"/>
        <w:ind w:left="720" w:hanging="720"/>
      </w:pPr>
      <w:r w:rsidRPr="0013396E">
        <w:t>(6)</w:t>
      </w:r>
      <w:r w:rsidRPr="0013396E">
        <w:tab/>
        <w:t>For Resources providing RRS with FFR, ERCOT may manually deploy the FFR RRS in an attempt to recover frequency to meet NERC Performance Control Standards after utilizing Reg-Up and the SCED process which includes off-cycle SCED executions.</w:t>
      </w:r>
    </w:p>
    <w:p w14:paraId="4872BB1C" w14:textId="77777777" w:rsidR="009C679A" w:rsidRPr="0013396E" w:rsidRDefault="009C679A" w:rsidP="009C679A">
      <w:pPr>
        <w:spacing w:after="240"/>
        <w:ind w:left="720" w:hanging="720"/>
      </w:pPr>
      <w:r w:rsidRPr="0013396E">
        <w:t>(7)</w:t>
      </w:r>
      <w:r w:rsidRPr="0013396E">
        <w:tab/>
        <w:t>ERCOT shall use the SCED, ECRS, and Non-Spin as soon as practicable to minimize the prolonged use of RRS energy.</w:t>
      </w:r>
    </w:p>
    <w:p w14:paraId="7480F6AA" w14:textId="77777777" w:rsidR="009C679A" w:rsidRPr="0013396E" w:rsidRDefault="009C679A" w:rsidP="009C679A">
      <w:pPr>
        <w:spacing w:after="240"/>
        <w:ind w:left="720" w:hanging="720"/>
      </w:pPr>
      <w:r w:rsidRPr="0013396E">
        <w:t>(8)</w:t>
      </w:r>
      <w:r w:rsidRPr="0013396E">
        <w:tab/>
        <w:t xml:space="preserve">Once RRS is manually deployed on Load Resources controlled by under-frequency relays or Resources telemetering a Resource Status of ONSC, the Resource’s obligation to deliver RRS remains in effect until recalled by ERCOT.  </w:t>
      </w:r>
    </w:p>
    <w:p w14:paraId="1283BB44" w14:textId="77777777" w:rsidR="009C679A" w:rsidRPr="0013396E" w:rsidRDefault="009C679A" w:rsidP="009C679A">
      <w:pPr>
        <w:spacing w:after="240"/>
        <w:ind w:left="720" w:hanging="720"/>
      </w:pPr>
      <w:r w:rsidRPr="0013396E">
        <w:t>(9)</w:t>
      </w:r>
      <w:r w:rsidRPr="0013396E">
        <w:tab/>
        <w:t>Resources providing RRS and ERCOT shall meet the deployment performance requirements specified in Section 8, Performance Monitoring.</w:t>
      </w:r>
    </w:p>
    <w:p w14:paraId="62B3DB92" w14:textId="77777777" w:rsidR="009C679A" w:rsidRPr="0013396E" w:rsidRDefault="009C679A" w:rsidP="009C679A">
      <w:pPr>
        <w:spacing w:after="240"/>
        <w:ind w:left="720" w:hanging="720"/>
      </w:pPr>
      <w:r w:rsidRPr="0013396E">
        <w:lastRenderedPageBreak/>
        <w:t>(10)</w:t>
      </w:r>
      <w:r w:rsidRPr="0013396E">
        <w:tab/>
        <w:t>ERCOT shall issue RRS deployment Dispatch Instructions over ICCP for Generation Resources awarded RRS with a Resource Status of ONSC, and SCED-dispatchable Resources providing FFR.  Dispatch Instructions must contain the MW output requested.  UDSPs for those Resources includes RRS energy deployments as well as any other energy dispatched by SCED.</w:t>
      </w:r>
    </w:p>
    <w:p w14:paraId="28FB4EE6" w14:textId="77777777" w:rsidR="009C679A" w:rsidRPr="0013396E" w:rsidRDefault="009C679A" w:rsidP="009C679A">
      <w:pPr>
        <w:spacing w:after="240"/>
        <w:ind w:left="720" w:hanging="720"/>
      </w:pPr>
      <w:r w:rsidRPr="0013396E">
        <w:t>(11)</w:t>
      </w:r>
      <w:r w:rsidRPr="0013396E">
        <w:tab/>
        <w:t>ERCOT shall issue RRS deployment Dispatch Instructions, specifying the required MW output, through Extensible Markup Language (XML) for non-CLRs.</w:t>
      </w:r>
    </w:p>
    <w:p w14:paraId="4C0EA5BF" w14:textId="77777777" w:rsidR="009C679A" w:rsidRPr="0013396E" w:rsidRDefault="009C679A" w:rsidP="009C679A">
      <w:pPr>
        <w:spacing w:before="240" w:after="240"/>
        <w:ind w:left="720" w:hanging="720"/>
      </w:pPr>
      <w:r w:rsidRPr="0013396E">
        <w:t xml:space="preserve">(12) </w:t>
      </w:r>
      <w:r w:rsidRPr="0013396E">
        <w:tab/>
        <w:t>To the extent that ERCOT deploys a Load Resource that is not a CLR and that has chosen a block deployment option, ERCOT shall either deploy the entire award or, if only partial deployment is needed, skip the Load Resource with the block deployment option and proceed to deploy the next available Resource.</w:t>
      </w:r>
    </w:p>
    <w:p w14:paraId="68F96235" w14:textId="77777777" w:rsidR="009C679A" w:rsidRPr="0013396E" w:rsidRDefault="009C679A" w:rsidP="009C679A">
      <w:pPr>
        <w:spacing w:after="240"/>
        <w:ind w:left="720" w:hanging="720"/>
      </w:pPr>
      <w:r w:rsidRPr="0013396E">
        <w:t>(13)</w:t>
      </w:r>
      <w:r w:rsidRPr="0013396E">
        <w:tab/>
        <w:t>RRS provided from a Generation Resource or ESR shall be responsive to frequency deviations as defined in Section 8.5.1.1, Governor in Service.  Generation Resources and ESRs providing RRS must have a Governor droop setting that is not greater than 5.0%.</w:t>
      </w:r>
    </w:p>
    <w:p w14:paraId="42397295" w14:textId="77777777" w:rsidR="009C679A" w:rsidRPr="0013396E" w:rsidRDefault="009C679A" w:rsidP="009C679A">
      <w:pPr>
        <w:spacing w:after="240"/>
        <w:ind w:left="720" w:hanging="720"/>
      </w:pPr>
      <w:r w:rsidRPr="0013396E">
        <w:t>(14)</w:t>
      </w:r>
      <w:r w:rsidRPr="0013396E">
        <w:tab/>
        <w:t>RRS provided from a Resource capable of FFR shall self-deploy their obligated response within 15 cycles after frequency drops below 59.85 Hz and must continue to provide a response until the frequency increases above that level.  Resources which require recharging may do so once the frequency increases above 59.990 Hz.</w:t>
      </w:r>
    </w:p>
    <w:p w14:paraId="30ED841D" w14:textId="77777777" w:rsidR="009C679A" w:rsidRPr="0013396E" w:rsidRDefault="009C679A" w:rsidP="009C679A">
      <w:pPr>
        <w:spacing w:after="240"/>
        <w:ind w:left="720" w:hanging="720"/>
      </w:pPr>
      <w:r w:rsidRPr="0013396E">
        <w:t>(15)</w:t>
      </w:r>
      <w:r w:rsidRPr="0013396E">
        <w:tab/>
        <w:t>RRS provided by interruptible Load shall have automatic under-frequency relay setting set at no lower than 59.70 Hz.</w:t>
      </w:r>
    </w:p>
    <w:p w14:paraId="22F2190A" w14:textId="77777777" w:rsidR="009C679A" w:rsidRPr="0013396E" w:rsidRDefault="009C679A" w:rsidP="009C679A">
      <w:pPr>
        <w:spacing w:after="240"/>
        <w:ind w:left="720" w:hanging="720"/>
      </w:pPr>
      <w:r w:rsidRPr="0013396E">
        <w:t xml:space="preserve">(16) </w:t>
      </w:r>
      <w:r w:rsidRPr="0013396E">
        <w:tab/>
        <w:t>ERCOT shall deploy RRS to meet NERC Control Performance Standards and other performance criteria as specified in these Protocols and the Operating Guides by one or more of the following:</w:t>
      </w:r>
    </w:p>
    <w:p w14:paraId="3CB75991" w14:textId="77777777" w:rsidR="009C679A" w:rsidRPr="0013396E" w:rsidRDefault="009C679A" w:rsidP="009C679A">
      <w:pPr>
        <w:spacing w:after="240"/>
        <w:ind w:left="1440" w:hanging="720"/>
        <w:rPr>
          <w:iCs/>
        </w:rPr>
      </w:pPr>
      <w:r w:rsidRPr="0013396E">
        <w:rPr>
          <w:iCs/>
        </w:rPr>
        <w:t>(a)</w:t>
      </w:r>
      <w:r w:rsidRPr="0013396E">
        <w:rPr>
          <w:iCs/>
        </w:rPr>
        <w:tab/>
        <w:t xml:space="preserve">RRS energy deployment during an EEA; </w:t>
      </w:r>
    </w:p>
    <w:p w14:paraId="60F3EDB6" w14:textId="77777777" w:rsidR="009C679A" w:rsidRPr="0013396E" w:rsidRDefault="009C679A" w:rsidP="009C679A">
      <w:pPr>
        <w:spacing w:after="240"/>
        <w:ind w:left="1440" w:hanging="720"/>
        <w:rPr>
          <w:iCs/>
        </w:rPr>
      </w:pPr>
      <w:r w:rsidRPr="0013396E">
        <w:rPr>
          <w:iCs/>
        </w:rPr>
        <w:t>(b)</w:t>
      </w:r>
      <w:r w:rsidRPr="0013396E">
        <w:rPr>
          <w:iCs/>
        </w:rPr>
        <w:tab/>
        <w:t>By Dispatch Instructions for deployment of RRS energy from a Load Resource, excluding CLRs, by an electronic Messaging System; and</w:t>
      </w:r>
    </w:p>
    <w:p w14:paraId="57E3BD0C" w14:textId="30EBCC37" w:rsidR="00832D19" w:rsidRPr="0013396E" w:rsidRDefault="009C679A" w:rsidP="00832D19">
      <w:pPr>
        <w:spacing w:after="240"/>
        <w:ind w:left="1440" w:hanging="720"/>
      </w:pPr>
      <w:r w:rsidRPr="0013396E">
        <w:rPr>
          <w:iCs/>
        </w:rPr>
        <w:t>(c)</w:t>
      </w:r>
      <w:r w:rsidRPr="0013396E">
        <w:rPr>
          <w:iCs/>
        </w:rPr>
        <w:tab/>
        <w:t>RRS energy deployment from Load Resources and Generation Resources operating in synchronous condenser fast-response mode by automatic action of high-set under-frequency relays as a result of a significant frequency deviation.</w:t>
      </w:r>
    </w:p>
    <w:p w14:paraId="0EE60624" w14:textId="77777777" w:rsidR="001F04FD" w:rsidRPr="0013396E" w:rsidRDefault="001F04FD" w:rsidP="007C3E74">
      <w:pPr>
        <w:pStyle w:val="H6"/>
        <w:spacing w:before="480"/>
      </w:pPr>
      <w:bookmarkStart w:id="995" w:name="_Toc85611621"/>
      <w:bookmarkStart w:id="996" w:name="_Hlk174605232"/>
      <w:bookmarkEnd w:id="994"/>
      <w:r w:rsidRPr="0013396E">
        <w:t>6.5.7.6.2.3</w:t>
      </w:r>
      <w:r w:rsidRPr="0013396E">
        <w:tab/>
        <w:t>Non-Spinning Reserve Service Deployment</w:t>
      </w:r>
      <w:bookmarkEnd w:id="995"/>
      <w:r w:rsidRPr="0013396E">
        <w:t xml:space="preserve"> </w:t>
      </w:r>
    </w:p>
    <w:p w14:paraId="32FFB702" w14:textId="77777777" w:rsidR="009C679A" w:rsidRPr="0013396E" w:rsidRDefault="009C679A" w:rsidP="009C679A">
      <w:pPr>
        <w:spacing w:after="240"/>
        <w:ind w:left="720" w:hanging="720"/>
      </w:pPr>
      <w:r w:rsidRPr="0013396E">
        <w:t>(1)</w:t>
      </w:r>
      <w:r w:rsidRPr="0013396E">
        <w:tab/>
        <w:t xml:space="preserve">ERCOT shall deploy Non-Spin Service by operator Dispatch Instruction for the portion of On-Line Generation Resources that is only available through power augmentation and participating as Off-Line Non-Spin and Off-Line Generation Resources.  ERCOT shall develop a procedure approved by TAC to deploy Resources providing Non-Spin Service.  ERCOT Operators shall implement the deployment procedure when a specified threshold(s) in MW of capability available to SCED to increase generation is reached.  </w:t>
      </w:r>
      <w:r w:rsidRPr="0013396E">
        <w:lastRenderedPageBreak/>
        <w:t>ERCOT Operators may implement the deployment procedure to recover deployed RRS, ECRS, or when other Emergency Conditions exist.  The deployment of Non-Spin must always be 100% of that awarded on an individual Resource.</w:t>
      </w:r>
    </w:p>
    <w:p w14:paraId="171C859F" w14:textId="77777777" w:rsidR="009C679A" w:rsidRPr="0013396E" w:rsidRDefault="009C679A" w:rsidP="009C679A">
      <w:pPr>
        <w:spacing w:after="240"/>
        <w:ind w:left="720" w:hanging="720"/>
      </w:pPr>
      <w:r w:rsidRPr="0013396E">
        <w:t>(2)</w:t>
      </w:r>
      <w:r w:rsidRPr="0013396E">
        <w:tab/>
        <w:t>Once Non-Spin capacity from Off-Line Generation Resources awarded Non-Spin is deployed and the Generation Resources are On-Line, ERCOT shall use SCED to determine the amount of energy to be dispatched from those Resources.</w:t>
      </w:r>
    </w:p>
    <w:p w14:paraId="3C3ED996" w14:textId="77777777" w:rsidR="009C679A" w:rsidRPr="0013396E" w:rsidRDefault="009C679A" w:rsidP="009C679A">
      <w:pPr>
        <w:spacing w:after="240"/>
        <w:ind w:left="720" w:hanging="720"/>
      </w:pPr>
      <w:r w:rsidRPr="0013396E">
        <w:t>(3)</w:t>
      </w:r>
      <w:r w:rsidRPr="0013396E">
        <w:tab/>
        <w:t xml:space="preserve">Off-Line Generation Resources offering to provide Non-Spin must provide an Energy Offer Curve for use by SCED. </w:t>
      </w:r>
    </w:p>
    <w:p w14:paraId="522E2B81" w14:textId="77777777" w:rsidR="009C679A" w:rsidRPr="0013396E" w:rsidRDefault="009C679A" w:rsidP="009C679A">
      <w:pPr>
        <w:spacing w:after="240"/>
        <w:ind w:left="720" w:hanging="720"/>
        <w:rPr>
          <w:iCs/>
        </w:rPr>
      </w:pPr>
      <w:r w:rsidRPr="0013396E">
        <w:rPr>
          <w:iCs/>
        </w:rPr>
        <w:t>(4)</w:t>
      </w:r>
      <w:r w:rsidRPr="0013396E">
        <w:rPr>
          <w:iCs/>
        </w:rPr>
        <w:tab/>
        <w:t>Non-Spin can be provided by CLRs that are SCED qualified or by Load Resources that are not CLRs but do not have an under-frequency relay or the under-frequency relay is unarmed.</w:t>
      </w:r>
    </w:p>
    <w:p w14:paraId="5047CFCD" w14:textId="461B0BFF" w:rsidR="009C679A" w:rsidRPr="0013396E" w:rsidRDefault="009C679A" w:rsidP="009C679A">
      <w:pPr>
        <w:spacing w:after="240"/>
        <w:ind w:left="1415" w:hanging="720"/>
        <w:rPr>
          <w:iCs/>
        </w:rPr>
      </w:pPr>
      <w:r w:rsidRPr="0013396E">
        <w:rPr>
          <w:iCs/>
        </w:rPr>
        <w:t>(a)</w:t>
      </w:r>
      <w:r w:rsidRPr="0013396E">
        <w:tab/>
        <w:t>CLRs</w:t>
      </w:r>
      <w:r w:rsidRPr="0013396E">
        <w:rPr>
          <w:iCs/>
        </w:rPr>
        <w:t xml:space="preserve"> awarded Non-Spin shall have an </w:t>
      </w:r>
      <w:r>
        <w:rPr>
          <w:iCs/>
        </w:rPr>
        <w:t xml:space="preserve">RTM </w:t>
      </w:r>
      <w:r w:rsidRPr="0013396E">
        <w:rPr>
          <w:iCs/>
        </w:rPr>
        <w:t>Energy Bi</w:t>
      </w:r>
      <w:r>
        <w:rPr>
          <w:iCs/>
        </w:rPr>
        <w:t>d</w:t>
      </w:r>
      <w:r w:rsidRPr="0013396E">
        <w:rPr>
          <w:iCs/>
        </w:rPr>
        <w:t xml:space="preserve"> for SCED and shall be capable of being Dispatched to its Non-Spin Ancillary Service award within 30 minutes, using the Resource’s Normal Ramp Rate curve.  An Aggregate Load Resource (ALR) must comply with all requirements in </w:t>
      </w:r>
      <w:r w:rsidRPr="0013396E">
        <w:rPr>
          <w:szCs w:val="24"/>
        </w:rPr>
        <w:t>Section 22, Attachment O,</w:t>
      </w:r>
      <w:r w:rsidRPr="0013396E">
        <w:rPr>
          <w:iCs/>
        </w:rPr>
        <w:t xml:space="preserve"> Requirements for Aggregate Load Resource Participation in the ERCOT Markets.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C679A" w:rsidRPr="0013396E" w14:paraId="5337C9CE" w14:textId="77777777" w:rsidTr="0099759E">
        <w:trPr>
          <w:trHeight w:val="206"/>
        </w:trPr>
        <w:tc>
          <w:tcPr>
            <w:tcW w:w="9350" w:type="dxa"/>
            <w:shd w:val="pct12" w:color="auto" w:fill="auto"/>
          </w:tcPr>
          <w:p w14:paraId="0CDBE62B" w14:textId="17670639" w:rsidR="009C679A" w:rsidRPr="0013396E" w:rsidRDefault="009C679A" w:rsidP="0099759E">
            <w:pPr>
              <w:spacing w:before="120" w:after="240"/>
              <w:rPr>
                <w:b/>
                <w:i/>
                <w:iCs/>
                <w:szCs w:val="24"/>
              </w:rPr>
            </w:pPr>
            <w:r w:rsidRPr="0013396E">
              <w:rPr>
                <w:b/>
                <w:i/>
                <w:iCs/>
                <w:szCs w:val="24"/>
              </w:rPr>
              <w:t>[NPRR1</w:t>
            </w:r>
            <w:r>
              <w:rPr>
                <w:b/>
                <w:i/>
                <w:iCs/>
                <w:szCs w:val="24"/>
              </w:rPr>
              <w:t>188</w:t>
            </w:r>
            <w:r w:rsidRPr="0013396E">
              <w:rPr>
                <w:b/>
                <w:i/>
                <w:iCs/>
                <w:szCs w:val="24"/>
              </w:rPr>
              <w:t xml:space="preserve">: </w:t>
            </w:r>
            <w:r>
              <w:rPr>
                <w:b/>
                <w:i/>
                <w:iCs/>
                <w:szCs w:val="24"/>
              </w:rPr>
              <w:t>Replace</w:t>
            </w:r>
            <w:r w:rsidRPr="0013396E">
              <w:rPr>
                <w:b/>
                <w:i/>
                <w:iCs/>
                <w:szCs w:val="24"/>
              </w:rPr>
              <w:t xml:space="preserve"> paragraph (</w:t>
            </w:r>
            <w:r>
              <w:rPr>
                <w:b/>
                <w:i/>
                <w:iCs/>
                <w:szCs w:val="24"/>
              </w:rPr>
              <w:t>a</w:t>
            </w:r>
            <w:r w:rsidRPr="0013396E">
              <w:rPr>
                <w:b/>
                <w:i/>
                <w:iCs/>
                <w:szCs w:val="24"/>
              </w:rPr>
              <w:t xml:space="preserve">) </w:t>
            </w:r>
            <w:r>
              <w:rPr>
                <w:b/>
                <w:i/>
                <w:iCs/>
                <w:szCs w:val="24"/>
              </w:rPr>
              <w:t>above with the following</w:t>
            </w:r>
            <w:r w:rsidRPr="0013396E">
              <w:rPr>
                <w:b/>
                <w:i/>
                <w:iCs/>
                <w:szCs w:val="24"/>
              </w:rPr>
              <w:t xml:space="preserve"> upon system implementation:]</w:t>
            </w:r>
          </w:p>
          <w:p w14:paraId="6B19AE12" w14:textId="0E254C1D" w:rsidR="009C679A" w:rsidRPr="009C679A" w:rsidRDefault="009C679A" w:rsidP="009C679A">
            <w:pPr>
              <w:spacing w:after="240"/>
              <w:ind w:left="1415" w:hanging="720"/>
              <w:rPr>
                <w:iCs/>
              </w:rPr>
            </w:pPr>
            <w:r w:rsidRPr="0013396E">
              <w:rPr>
                <w:iCs/>
              </w:rPr>
              <w:t>(a)</w:t>
            </w:r>
            <w:r w:rsidRPr="0013396E">
              <w:tab/>
              <w:t>CLRs</w:t>
            </w:r>
            <w:r w:rsidRPr="0013396E">
              <w:rPr>
                <w:iCs/>
              </w:rPr>
              <w:t xml:space="preserve"> awarded Non-Spin shall have an Energy Bid Curve for SCED and shall be capable of being Dispatched to its Non-Spin Ancillary Service award within 30 minutes, using the Resource’s Normal Ramp Rate curve.  An Aggregate Load Resource (ALR) must comply with all requirements in </w:t>
            </w:r>
            <w:r w:rsidRPr="0013396E">
              <w:rPr>
                <w:szCs w:val="24"/>
              </w:rPr>
              <w:t>Section 22, Attachment O,</w:t>
            </w:r>
            <w:r w:rsidRPr="0013396E">
              <w:rPr>
                <w:iCs/>
              </w:rPr>
              <w:t xml:space="preserve"> Requirements for Aggregate Load Resource Participation in the ERCOT Markets.</w:t>
            </w:r>
          </w:p>
        </w:tc>
      </w:tr>
    </w:tbl>
    <w:p w14:paraId="6DFBC070" w14:textId="4BECBC10" w:rsidR="009C679A" w:rsidRPr="0013396E" w:rsidRDefault="009C679A" w:rsidP="005A7D8E">
      <w:pPr>
        <w:spacing w:before="240" w:after="240"/>
        <w:ind w:left="1410" w:hanging="720"/>
        <w:rPr>
          <w:iCs/>
        </w:rPr>
      </w:pPr>
      <w:r w:rsidRPr="0013396E">
        <w:rPr>
          <w:iCs/>
        </w:rPr>
        <w:t>(b)</w:t>
      </w:r>
      <w:r w:rsidRPr="0013396E">
        <w:tab/>
      </w:r>
      <w:r w:rsidRPr="0013396E">
        <w:rPr>
          <w:iCs/>
        </w:rPr>
        <w:t>A Load Resource that is not a CLR shall be capable of being Dispatched to its Non-Spin Ancillary Service Resource Responsibility within 30 minutes of a deployment instruction for capacity.</w:t>
      </w:r>
    </w:p>
    <w:p w14:paraId="6E128823" w14:textId="77777777" w:rsidR="009C679A" w:rsidRPr="0013396E" w:rsidRDefault="009C679A" w:rsidP="009C679A">
      <w:pPr>
        <w:spacing w:after="240"/>
        <w:ind w:left="720" w:hanging="720"/>
      </w:pPr>
      <w:r w:rsidRPr="0013396E">
        <w:rPr>
          <w:iCs/>
        </w:rPr>
        <w:t>(5)</w:t>
      </w:r>
      <w:r w:rsidRPr="0013396E">
        <w:rPr>
          <w:iCs/>
        </w:rPr>
        <w:tab/>
        <w:t>Off-Line Generation Resources awarded Non-Spin, while Off-Line and before the receipt of any deployment instruction, shall be capable of being dispatched to their Non-Spin award within 30 minutes of a Dispatch Instruction.  On-Line Generation Resources awarded Non-Spin on the power augmentation capacity shall be capable of being dispatched to their Non-Spin award within 30 minutes of a Dispatch Instruction.</w:t>
      </w:r>
    </w:p>
    <w:p w14:paraId="57FDA5DE" w14:textId="77777777" w:rsidR="009C679A" w:rsidRPr="0013396E" w:rsidRDefault="009C679A" w:rsidP="009C679A">
      <w:pPr>
        <w:spacing w:after="240"/>
        <w:ind w:left="720" w:hanging="720"/>
      </w:pPr>
      <w:r w:rsidRPr="0013396E">
        <w:t>(6)</w:t>
      </w:r>
      <w:r w:rsidRPr="0013396E">
        <w:tab/>
        <w:t>ERCOT may deploy Non-Spin at any time in a Settlement Interval.</w:t>
      </w:r>
    </w:p>
    <w:p w14:paraId="38D118EE" w14:textId="77777777" w:rsidR="009C679A" w:rsidRPr="0013396E" w:rsidRDefault="009C679A" w:rsidP="009C679A">
      <w:pPr>
        <w:pStyle w:val="BodyTextNumbered"/>
      </w:pPr>
      <w:r w:rsidRPr="0013396E">
        <w:t xml:space="preserve">(7) </w:t>
      </w:r>
      <w:r w:rsidRPr="0013396E">
        <w:tab/>
        <w:t xml:space="preserve">ERCOT shall develop a process to deploy Non-Spin awarded to Off-Line Generation Resources, Load Resources that are not CLRs, and On-Line Generation Resources participating in Off-Line Non-Spin using power augmentation based on a random sampling of Resources.  ERCOT at its discretion may deploy Non-Spin partially or fully </w:t>
      </w:r>
      <w:r w:rsidRPr="0013396E">
        <w:lastRenderedPageBreak/>
        <w:t>as necessary.  If Non-Spin is deployed partially, it shall be deployed in increments of 100% of each Resource’s Non-Spin award.  ERCOT shall issue notification of the deployment on a Resource-specific basis via XML message.</w:t>
      </w:r>
    </w:p>
    <w:p w14:paraId="48B62FC9" w14:textId="77777777" w:rsidR="009C679A" w:rsidRPr="0013396E" w:rsidRDefault="009C679A" w:rsidP="009C679A">
      <w:pPr>
        <w:spacing w:after="240"/>
        <w:ind w:left="720" w:hanging="720"/>
      </w:pPr>
      <w:r w:rsidRPr="0013396E">
        <w:t>(8)</w:t>
      </w:r>
      <w:r w:rsidRPr="0013396E">
        <w:tab/>
        <w:t>ERCOT’s Non-Spin deployment Dispatch Instructions must include:</w:t>
      </w:r>
    </w:p>
    <w:p w14:paraId="10541D3F" w14:textId="77777777" w:rsidR="009C679A" w:rsidRPr="0013396E" w:rsidRDefault="009C679A" w:rsidP="009C679A">
      <w:pPr>
        <w:spacing w:after="240"/>
        <w:ind w:left="1440" w:hanging="720"/>
      </w:pPr>
      <w:r w:rsidRPr="0013396E">
        <w:t>(a)</w:t>
      </w:r>
      <w:r w:rsidRPr="0013396E">
        <w:tab/>
        <w:t>The Resource name;</w:t>
      </w:r>
    </w:p>
    <w:p w14:paraId="05F2AA98" w14:textId="77777777" w:rsidR="009C679A" w:rsidRPr="0013396E" w:rsidRDefault="009C679A" w:rsidP="009C679A">
      <w:pPr>
        <w:spacing w:after="240"/>
        <w:ind w:left="1440" w:hanging="720"/>
      </w:pPr>
      <w:r w:rsidRPr="0013396E">
        <w:t>(b)</w:t>
      </w:r>
      <w:r w:rsidRPr="0013396E">
        <w:tab/>
        <w:t>A MW level of capacity deployment for Generation Resources with Energy Offer Curve, a MW level for ESRs with Energy Bid/Offer Curve, and a MW level of energy for Generation Resources with Output Schedules and a Dispatch Instruction for Load Resources, excluding CLRs, at a minimum equal to their awarded Non-Spin Ancillary Service amount; and</w:t>
      </w:r>
    </w:p>
    <w:p w14:paraId="49873F3E" w14:textId="77777777" w:rsidR="009C679A" w:rsidRPr="0013396E" w:rsidRDefault="009C679A" w:rsidP="009C679A">
      <w:pPr>
        <w:spacing w:after="240"/>
        <w:ind w:left="1440" w:hanging="720"/>
      </w:pPr>
      <w:r w:rsidRPr="0013396E">
        <w:t>(c)</w:t>
      </w:r>
      <w:r w:rsidRPr="0013396E">
        <w:tab/>
        <w:t>The anticipated duration of deployment.</w:t>
      </w:r>
    </w:p>
    <w:p w14:paraId="649205F0" w14:textId="77777777" w:rsidR="009C679A" w:rsidRPr="0013396E" w:rsidRDefault="009C679A" w:rsidP="009C679A">
      <w:pPr>
        <w:spacing w:after="240"/>
        <w:ind w:left="720" w:hanging="720"/>
      </w:pPr>
      <w:r w:rsidRPr="0013396E">
        <w:rPr>
          <w:iCs/>
        </w:rPr>
        <w:t>(9)</w:t>
      </w:r>
      <w:r w:rsidRPr="0013396E">
        <w:rPr>
          <w:iCs/>
        </w:rPr>
        <w:tab/>
        <w:t>ERCOT shall provide a signal via ICCP to the QSE of a deployed Resource indicating that its Non-Spin capacity has been deployed.</w:t>
      </w:r>
    </w:p>
    <w:p w14:paraId="50FAAEEA" w14:textId="77777777" w:rsidR="009C679A" w:rsidRPr="0013396E" w:rsidRDefault="009C679A" w:rsidP="009C679A">
      <w:pPr>
        <w:spacing w:after="240"/>
        <w:ind w:left="720" w:hanging="720"/>
      </w:pPr>
      <w:r w:rsidRPr="0013396E">
        <w:t>(10)</w:t>
      </w:r>
      <w:r w:rsidRPr="0013396E">
        <w:tab/>
        <w:t>ERCOT shall, as part of its TAC-approved Non-Spin deployment procedure, provide for the recall of Non-Spin from On-Line Resources that were previously Off-Line Resources providing Non-Spin capacity and from On-Line Resources providing Non-Spin through power augmentation.</w:t>
      </w:r>
    </w:p>
    <w:p w14:paraId="3D98AC5C" w14:textId="791B2FC2" w:rsidR="00F61076" w:rsidRPr="0013396E" w:rsidRDefault="009C679A" w:rsidP="001F04FD">
      <w:pPr>
        <w:pStyle w:val="BodyTextNumbered"/>
        <w:rPr>
          <w:iCs/>
        </w:rPr>
      </w:pPr>
      <w:r w:rsidRPr="0013396E">
        <w:rPr>
          <w:iCs/>
        </w:rPr>
        <w:t>(11)</w:t>
      </w:r>
      <w:r w:rsidRPr="0013396E">
        <w:rPr>
          <w:iCs/>
        </w:rPr>
        <w:tab/>
        <w:t xml:space="preserve">ERCOT shall provide a notification to all QSEs via the </w:t>
      </w:r>
      <w:r w:rsidRPr="0013396E">
        <w:t>ERCOT website</w:t>
      </w:r>
      <w:r w:rsidRPr="0013396E">
        <w:rPr>
          <w:iCs/>
        </w:rPr>
        <w:t xml:space="preserve"> when any Non-Spin capacity is deployed on the ERCOT System showing the time, MW quantity and the anticipated duration of the deployment.</w:t>
      </w:r>
    </w:p>
    <w:p w14:paraId="35AC8A24" w14:textId="77777777" w:rsidR="008611B7" w:rsidRPr="0013396E" w:rsidRDefault="008611B7" w:rsidP="007C3E74">
      <w:pPr>
        <w:pStyle w:val="H6"/>
        <w:spacing w:before="480"/>
      </w:pPr>
      <w:bookmarkStart w:id="997" w:name="_Hlk135903085"/>
      <w:bookmarkEnd w:id="996"/>
      <w:r w:rsidRPr="0013396E">
        <w:t>6.5.7.6.2.4</w:t>
      </w:r>
      <w:r w:rsidRPr="0013396E">
        <w:tab/>
        <w:t>Deployment and Recall of ERCOT Contingency Reserve Service</w:t>
      </w:r>
    </w:p>
    <w:p w14:paraId="3435ECF2" w14:textId="77777777" w:rsidR="009C679A" w:rsidRPr="0013396E" w:rsidRDefault="009C679A" w:rsidP="009C679A">
      <w:pPr>
        <w:spacing w:after="240"/>
        <w:ind w:left="720" w:hanging="720"/>
      </w:pPr>
      <w:r w:rsidRPr="0013396E">
        <w:t>(1)</w:t>
      </w:r>
      <w:r w:rsidRPr="0013396E">
        <w:tab/>
        <w:t>ECRS is intended to:</w:t>
      </w:r>
    </w:p>
    <w:p w14:paraId="13CFE12D" w14:textId="77777777" w:rsidR="009C679A" w:rsidRPr="0013396E" w:rsidRDefault="009C679A" w:rsidP="009C679A">
      <w:pPr>
        <w:spacing w:after="240"/>
        <w:ind w:left="1440" w:hanging="720"/>
      </w:pPr>
      <w:r w:rsidRPr="0013396E">
        <w:t>(a)</w:t>
      </w:r>
      <w:r w:rsidRPr="0013396E">
        <w:tab/>
        <w:t>Help restore the frequency to 60 Hz within ten minutes of a significant frequency deviation;</w:t>
      </w:r>
    </w:p>
    <w:p w14:paraId="28FE25FC" w14:textId="77777777" w:rsidR="009C679A" w:rsidRPr="0013396E" w:rsidRDefault="009C679A" w:rsidP="009C679A">
      <w:pPr>
        <w:spacing w:after="240"/>
        <w:ind w:left="1440" w:hanging="720"/>
      </w:pPr>
      <w:r w:rsidRPr="0013396E">
        <w:t>(b)</w:t>
      </w:r>
      <w:r w:rsidRPr="0013396E">
        <w:tab/>
        <w:t>Provide energy to avoid, or during the implementation of, an EEA;</w:t>
      </w:r>
    </w:p>
    <w:p w14:paraId="3903F596" w14:textId="77777777" w:rsidR="009C679A" w:rsidRPr="0013396E" w:rsidRDefault="009C679A" w:rsidP="009C679A">
      <w:pPr>
        <w:spacing w:after="240"/>
        <w:ind w:left="1440" w:hanging="720"/>
      </w:pPr>
      <w:r w:rsidRPr="0013396E">
        <w:t>(c)</w:t>
      </w:r>
      <w:r w:rsidRPr="0013396E">
        <w:tab/>
        <w:t>Provide backup to Reg-Up; and</w:t>
      </w:r>
    </w:p>
    <w:p w14:paraId="67F14871" w14:textId="77777777" w:rsidR="009C679A" w:rsidRPr="0013396E" w:rsidRDefault="009C679A" w:rsidP="009C679A">
      <w:pPr>
        <w:spacing w:after="240"/>
        <w:ind w:left="1440" w:hanging="720"/>
      </w:pPr>
      <w:r w:rsidRPr="0013396E">
        <w:t>(d)</w:t>
      </w:r>
      <w:r w:rsidRPr="0013396E">
        <w:tab/>
        <w:t>Provide energy upon detection of insufficient available capacity for net load    ramps.</w:t>
      </w:r>
    </w:p>
    <w:p w14:paraId="2E7505CC" w14:textId="77777777" w:rsidR="009C679A" w:rsidRPr="0013396E" w:rsidRDefault="009C679A" w:rsidP="009C679A">
      <w:pPr>
        <w:spacing w:after="240"/>
        <w:ind w:left="720" w:hanging="720"/>
      </w:pPr>
      <w:r w:rsidRPr="0013396E">
        <w:t>(2)</w:t>
      </w:r>
      <w:r w:rsidRPr="0013396E">
        <w:tab/>
        <w:t>ERCOT shall deploy ECRS to meet NERC Standards and other performance criteria as specified in these Protocols and the Operating Guides by taking one or more of the following actions:</w:t>
      </w:r>
    </w:p>
    <w:p w14:paraId="5A6C286B" w14:textId="77777777" w:rsidR="009C679A" w:rsidRPr="0013396E" w:rsidRDefault="009C679A" w:rsidP="009C679A">
      <w:pPr>
        <w:spacing w:after="240"/>
        <w:ind w:left="1440" w:hanging="720"/>
      </w:pPr>
      <w:r w:rsidRPr="0013396E">
        <w:lastRenderedPageBreak/>
        <w:t>(a)</w:t>
      </w:r>
      <w:r w:rsidRPr="0013396E">
        <w:tab/>
        <w:t>ERCOT shall issue ECRS deployment Dispatch Instructions, specifying the required MW output, over ICCP for Resources awarded ECRS with a Resource Status of ONSC.</w:t>
      </w:r>
    </w:p>
    <w:p w14:paraId="02576B63" w14:textId="77777777" w:rsidR="009C679A" w:rsidRPr="0013396E" w:rsidRDefault="009C679A" w:rsidP="009C679A">
      <w:pPr>
        <w:spacing w:after="240"/>
        <w:ind w:left="1440" w:hanging="720"/>
      </w:pPr>
      <w:r w:rsidRPr="0013396E">
        <w:t>(b)</w:t>
      </w:r>
      <w:r w:rsidRPr="0013396E">
        <w:tab/>
        <w:t>Dispatch Instruction for deployment of energy from Load Resources via electronic Messaging System.</w:t>
      </w:r>
    </w:p>
    <w:p w14:paraId="6EBF789F" w14:textId="77777777" w:rsidR="009C679A" w:rsidRPr="0013396E" w:rsidRDefault="009C679A" w:rsidP="009C679A">
      <w:pPr>
        <w:spacing w:after="240"/>
        <w:ind w:left="720" w:hanging="720"/>
      </w:pPr>
      <w:r w:rsidRPr="0013396E">
        <w:t>(3)</w:t>
      </w:r>
      <w:r w:rsidRPr="0013396E">
        <w:tab/>
        <w:t>Energy from Resources providing ECRS may also be manually deployed by ERCOT pursuant to Section 6.5.9, Emergency Operations.</w:t>
      </w:r>
    </w:p>
    <w:p w14:paraId="42836CCA" w14:textId="77777777" w:rsidR="009C679A" w:rsidRPr="0013396E" w:rsidRDefault="009C679A" w:rsidP="009C679A">
      <w:pPr>
        <w:spacing w:after="240"/>
        <w:ind w:left="720" w:hanging="720"/>
      </w:pPr>
      <w:r w:rsidRPr="0013396E">
        <w:t>(4)</w:t>
      </w:r>
      <w:r w:rsidRPr="0013396E">
        <w:tab/>
        <w:t>ERCOT shall use SCED and Non-Spin as soon as practicable to recover ECRS reserves.</w:t>
      </w:r>
    </w:p>
    <w:p w14:paraId="46F16A0F" w14:textId="77777777" w:rsidR="009C679A" w:rsidRPr="0013396E" w:rsidRDefault="009C679A" w:rsidP="009C679A">
      <w:pPr>
        <w:spacing w:after="240"/>
        <w:ind w:left="720" w:hanging="720"/>
      </w:pPr>
      <w:r w:rsidRPr="0013396E">
        <w:t>(5)</w:t>
      </w:r>
      <w:r w:rsidRPr="0013396E">
        <w:tab/>
        <w:t>Following a manual ECRS deployment to Load Resources, excluding CLRs, or Resources telemetering a Resource Status of ONSC, the QSE’s obligation to deliver ECRS remains in effect until ERCOT issues a recall instruction</w:t>
      </w:r>
      <w:r w:rsidRPr="0013396E">
        <w:rPr>
          <w:szCs w:val="24"/>
        </w:rPr>
        <w:t>.</w:t>
      </w:r>
    </w:p>
    <w:p w14:paraId="367E91C6" w14:textId="77777777" w:rsidR="009C679A" w:rsidRPr="0013396E" w:rsidRDefault="009C679A" w:rsidP="009C679A">
      <w:pPr>
        <w:spacing w:after="240"/>
        <w:ind w:left="720" w:hanging="720"/>
      </w:pPr>
      <w:r w:rsidRPr="0013396E">
        <w:t>(6)</w:t>
      </w:r>
      <w:r w:rsidRPr="0013396E">
        <w:tab/>
        <w:t xml:space="preserve">For Generation Resources, ESRs, and CLRs providing ECRS, Base Points include ECRS energy as well as any other energy dispatched by SCED.  A Resource must be able to be fully dispatched by SCED to its ECRS Ancillary Service award within the ten-minute time frame according to its telemetered ramp rate that reflects the Resource’s capability of providing ECRS. </w:t>
      </w:r>
    </w:p>
    <w:p w14:paraId="30AB27FB" w14:textId="77777777" w:rsidR="009C679A" w:rsidRPr="0013396E" w:rsidRDefault="009C679A" w:rsidP="009C679A">
      <w:pPr>
        <w:spacing w:after="240"/>
        <w:ind w:left="720" w:hanging="720"/>
      </w:pPr>
      <w:r w:rsidRPr="0013396E">
        <w:t>(7)</w:t>
      </w:r>
      <w:r w:rsidRPr="0013396E">
        <w:tab/>
        <w:t>Each Resource providing ECRS shall meet the deployment performance requirements specified in Section 8.1.1.4.2, Responsive Reserve Energy Deployment Criteria.</w:t>
      </w:r>
    </w:p>
    <w:p w14:paraId="312993DD" w14:textId="77777777" w:rsidR="009C679A" w:rsidRPr="0013396E" w:rsidRDefault="009C679A" w:rsidP="009C679A">
      <w:pPr>
        <w:spacing w:after="240"/>
        <w:ind w:left="720" w:hanging="720"/>
      </w:pPr>
      <w:r w:rsidRPr="0013396E">
        <w:t>(8)</w:t>
      </w:r>
      <w:r w:rsidRPr="0013396E">
        <w:tab/>
        <w:t xml:space="preserve">ERCOT shall issue deployment instructions for Load Resources providing ECRS via XML.  Such instructions shall contain the MW requested.  </w:t>
      </w:r>
    </w:p>
    <w:p w14:paraId="231A4A4C" w14:textId="77777777" w:rsidR="009C679A" w:rsidRPr="0013396E" w:rsidRDefault="009C679A" w:rsidP="009C679A">
      <w:pPr>
        <w:spacing w:after="240"/>
        <w:ind w:left="720" w:hanging="720"/>
      </w:pPr>
      <w:r w:rsidRPr="0013396E">
        <w:t xml:space="preserve">(9) </w:t>
      </w:r>
      <w:r w:rsidRPr="0013396E">
        <w:tab/>
        <w:t>To the extent that ERCOT deploys a Load Resource that is not a CLR and that has chosen a block deployment option, ERCOT shall either deploy the entire Ancillary Service award or, if only partial deployment is possible, skip the Load Resource with the block deployment option and proceed to deploy the next available Resource.</w:t>
      </w:r>
    </w:p>
    <w:p w14:paraId="42A10440" w14:textId="77777777" w:rsidR="009C679A" w:rsidRPr="0013396E" w:rsidRDefault="009C679A" w:rsidP="009C679A">
      <w:pPr>
        <w:spacing w:after="240"/>
        <w:ind w:left="720" w:hanging="720"/>
      </w:pPr>
      <w:r w:rsidRPr="0013396E">
        <w:t>(10)</w:t>
      </w:r>
      <w:r w:rsidRPr="0013396E">
        <w:tab/>
        <w:t xml:space="preserve">ERCOT shall recall deployed ECRS capacity provided from Resource telemetering Resource Status of ONSC once system frequency recovers above 59.98 Hz. </w:t>
      </w:r>
    </w:p>
    <w:p w14:paraId="5F2144E8" w14:textId="2E48C34C" w:rsidR="00F61076" w:rsidRPr="0013396E" w:rsidRDefault="009C679A" w:rsidP="008611B7">
      <w:pPr>
        <w:pStyle w:val="BodyTextNumbered"/>
      </w:pPr>
      <w:r w:rsidRPr="0013396E">
        <w:t>(11)</w:t>
      </w:r>
      <w:r w:rsidRPr="0013396E">
        <w:tab/>
        <w:t>ERCOT shall recall ECRS deployment provided from a Load Resource that is not a CLR once PRC is above a pre-defined threshold, as described in the Operating Guides.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A7B1D" w:rsidRPr="0013396E" w14:paraId="067CDB44" w14:textId="77777777" w:rsidTr="00A86863">
        <w:trPr>
          <w:trHeight w:val="206"/>
        </w:trPr>
        <w:tc>
          <w:tcPr>
            <w:tcW w:w="9350" w:type="dxa"/>
            <w:shd w:val="pct12" w:color="auto" w:fill="auto"/>
          </w:tcPr>
          <w:p w14:paraId="28A89DAD" w14:textId="35BB9CE8" w:rsidR="004A7B1D" w:rsidRPr="0013396E" w:rsidRDefault="004A7B1D" w:rsidP="007C3E74">
            <w:pPr>
              <w:spacing w:before="120" w:after="240"/>
              <w:rPr>
                <w:b/>
                <w:i/>
                <w:iCs/>
                <w:szCs w:val="24"/>
              </w:rPr>
            </w:pPr>
            <w:bookmarkStart w:id="998" w:name="_Toc397504977"/>
            <w:bookmarkStart w:id="999" w:name="_Toc402357105"/>
            <w:bookmarkStart w:id="1000" w:name="_Toc422486485"/>
            <w:bookmarkStart w:id="1001" w:name="_Toc433093337"/>
            <w:bookmarkStart w:id="1002" w:name="_Toc433093495"/>
            <w:bookmarkStart w:id="1003" w:name="_Toc440874724"/>
            <w:bookmarkStart w:id="1004" w:name="_Toc448142279"/>
            <w:bookmarkStart w:id="1005" w:name="_Toc448142436"/>
            <w:bookmarkStart w:id="1006" w:name="_Toc458770272"/>
            <w:bookmarkStart w:id="1007" w:name="_Toc459294240"/>
            <w:bookmarkStart w:id="1008" w:name="_Toc463262733"/>
            <w:bookmarkStart w:id="1009" w:name="_Toc468286807"/>
            <w:bookmarkStart w:id="1010" w:name="_Toc481502853"/>
            <w:bookmarkStart w:id="1011" w:name="_Toc496080021"/>
            <w:bookmarkEnd w:id="997"/>
            <w:r w:rsidRPr="0013396E">
              <w:rPr>
                <w:b/>
                <w:i/>
                <w:iCs/>
                <w:szCs w:val="24"/>
              </w:rPr>
              <w:t>[NPRR1</w:t>
            </w:r>
            <w:r>
              <w:rPr>
                <w:b/>
                <w:i/>
                <w:iCs/>
                <w:szCs w:val="24"/>
              </w:rPr>
              <w:t>309</w:t>
            </w:r>
            <w:r w:rsidRPr="0013396E">
              <w:rPr>
                <w:b/>
                <w:i/>
                <w:iCs/>
                <w:szCs w:val="24"/>
              </w:rPr>
              <w:t xml:space="preserve">: </w:t>
            </w:r>
            <w:r>
              <w:rPr>
                <w:b/>
                <w:i/>
                <w:iCs/>
                <w:szCs w:val="24"/>
              </w:rPr>
              <w:t>Insert Section 6.5.7.6.2.5 below</w:t>
            </w:r>
            <w:r w:rsidRPr="0013396E">
              <w:rPr>
                <w:b/>
                <w:i/>
                <w:iCs/>
                <w:szCs w:val="24"/>
              </w:rPr>
              <w:t xml:space="preserve"> upon system implementation:]</w:t>
            </w:r>
          </w:p>
          <w:p w14:paraId="307DB1E2" w14:textId="77777777" w:rsidR="004A7B1D" w:rsidRPr="004A7B1D" w:rsidRDefault="004A7B1D" w:rsidP="004A7B1D">
            <w:pPr>
              <w:keepNext/>
              <w:tabs>
                <w:tab w:val="left" w:pos="1800"/>
              </w:tabs>
              <w:spacing w:after="240"/>
              <w:ind w:left="1800" w:hanging="1800"/>
              <w:outlineLvl w:val="5"/>
              <w:rPr>
                <w:rFonts w:eastAsia="SimSun"/>
                <w:b/>
                <w:bCs/>
                <w:szCs w:val="24"/>
              </w:rPr>
            </w:pPr>
            <w:r w:rsidRPr="004A7B1D">
              <w:rPr>
                <w:rFonts w:eastAsia="SimSun"/>
                <w:b/>
                <w:bCs/>
                <w:szCs w:val="24"/>
              </w:rPr>
              <w:t>6.5.7.6.2.5</w:t>
            </w:r>
            <w:r w:rsidRPr="004A7B1D">
              <w:rPr>
                <w:rFonts w:eastAsia="SimSun"/>
                <w:szCs w:val="24"/>
              </w:rPr>
              <w:tab/>
            </w:r>
            <w:r w:rsidRPr="004A7B1D">
              <w:rPr>
                <w:rFonts w:eastAsia="SimSun"/>
                <w:b/>
                <w:bCs/>
                <w:szCs w:val="24"/>
              </w:rPr>
              <w:t>Deployment of Dispatchable Reliability Reserve Service (DRRS)</w:t>
            </w:r>
          </w:p>
          <w:p w14:paraId="611DECE3" w14:textId="77777777" w:rsidR="004A7B1D" w:rsidRPr="004A7B1D" w:rsidRDefault="004A7B1D" w:rsidP="004A7B1D">
            <w:pPr>
              <w:spacing w:before="240" w:after="240"/>
              <w:ind w:left="720" w:hanging="720"/>
              <w:rPr>
                <w:rFonts w:eastAsia="SimSun"/>
                <w:szCs w:val="24"/>
              </w:rPr>
            </w:pPr>
            <w:r w:rsidRPr="004A7B1D">
              <w:rPr>
                <w:rFonts w:eastAsia="SimSun"/>
                <w:szCs w:val="24"/>
              </w:rPr>
              <w:t>(1)</w:t>
            </w:r>
            <w:r w:rsidRPr="004A7B1D">
              <w:rPr>
                <w:rFonts w:eastAsia="SimSun"/>
                <w:szCs w:val="24"/>
              </w:rPr>
              <w:tab/>
              <w:t xml:space="preserve">DRRS is intended as a market mechanism to reduce RUC Commitments and manage uncertainty on the ERCOT System.  As outlined in paragraph (17) of Section 5.5.2, </w:t>
            </w:r>
            <w:r w:rsidRPr="004A7B1D">
              <w:rPr>
                <w:rFonts w:eastAsia="SimSun"/>
                <w:szCs w:val="24"/>
              </w:rPr>
              <w:lastRenderedPageBreak/>
              <w:t>Reliability Unit Commitment (RUC) Process, the RUC process will be relied upon to identify the need for deploying Off-Line DRRS.</w:t>
            </w:r>
          </w:p>
          <w:p w14:paraId="5415ACBC" w14:textId="77777777" w:rsidR="004A7B1D" w:rsidRPr="004A7B1D" w:rsidRDefault="004A7B1D" w:rsidP="004A7B1D">
            <w:pPr>
              <w:spacing w:after="240"/>
              <w:ind w:left="720" w:hanging="720"/>
              <w:rPr>
                <w:rFonts w:eastAsia="SimSun"/>
                <w:szCs w:val="24"/>
              </w:rPr>
            </w:pPr>
            <w:r w:rsidRPr="004A7B1D">
              <w:rPr>
                <w:rFonts w:eastAsia="SimSun"/>
                <w:szCs w:val="24"/>
              </w:rPr>
              <w:t>(2)</w:t>
            </w:r>
            <w:r w:rsidRPr="004A7B1D">
              <w:rPr>
                <w:rFonts w:eastAsia="SimSun"/>
                <w:szCs w:val="24"/>
              </w:rPr>
              <w:tab/>
              <w:t>ERCOT shall deploy Off-Line DRRS by operator Dispatch Instruction.  The deployment of DRRS must always be 100% of the Ancillary Service capability for DRRS on an individual Resource.</w:t>
            </w:r>
          </w:p>
          <w:p w14:paraId="5E909431" w14:textId="77777777" w:rsidR="004A7B1D" w:rsidRPr="004A7B1D" w:rsidRDefault="004A7B1D" w:rsidP="004A7B1D">
            <w:pPr>
              <w:spacing w:after="240"/>
              <w:ind w:left="720" w:hanging="720"/>
              <w:rPr>
                <w:rFonts w:eastAsia="SimSun"/>
                <w:szCs w:val="24"/>
              </w:rPr>
            </w:pPr>
            <w:r w:rsidRPr="004A7B1D">
              <w:rPr>
                <w:rFonts w:eastAsia="SimSun"/>
                <w:szCs w:val="24"/>
              </w:rPr>
              <w:t>(3)</w:t>
            </w:r>
            <w:r w:rsidRPr="004A7B1D">
              <w:rPr>
                <w:rFonts w:eastAsia="SimSun"/>
                <w:szCs w:val="24"/>
              </w:rPr>
              <w:tab/>
              <w:t xml:space="preserve">Resources providing DRRS must provide an Energy Offer Curve for use by SCED. </w:t>
            </w:r>
          </w:p>
          <w:p w14:paraId="1E4CE1BD" w14:textId="3FB25E9B" w:rsidR="004A7B1D" w:rsidRPr="004A7B1D" w:rsidRDefault="004A7B1D" w:rsidP="004A7B1D">
            <w:pPr>
              <w:spacing w:after="240"/>
              <w:ind w:left="720" w:hanging="720"/>
              <w:rPr>
                <w:rFonts w:eastAsia="SimSun"/>
                <w:iCs/>
                <w:szCs w:val="24"/>
              </w:rPr>
            </w:pPr>
            <w:r w:rsidRPr="004A7B1D">
              <w:rPr>
                <w:rFonts w:eastAsia="SimSun"/>
                <w:iCs/>
                <w:szCs w:val="24"/>
              </w:rPr>
              <w:t>(4)</w:t>
            </w:r>
            <w:r w:rsidRPr="004A7B1D">
              <w:rPr>
                <w:rFonts w:eastAsia="SimSun"/>
                <w:iCs/>
                <w:szCs w:val="24"/>
              </w:rPr>
              <w:tab/>
              <w:t>Off-Line</w:t>
            </w:r>
            <w:r w:rsidRPr="004A7B1D">
              <w:rPr>
                <w:rFonts w:eastAsia="SimSun"/>
                <w:szCs w:val="24"/>
              </w:rPr>
              <w:t xml:space="preserve"> Generation</w:t>
            </w:r>
            <w:r w:rsidRPr="004A7B1D">
              <w:rPr>
                <w:rFonts w:eastAsia="SimSun"/>
                <w:iCs/>
                <w:szCs w:val="24"/>
              </w:rPr>
              <w:t xml:space="preserve"> Resources providing DRRS must be capable of being dispatched to their DRRS award within two hours of receiving a Dispatch Instruction from ERCOT.</w:t>
            </w:r>
          </w:p>
        </w:tc>
      </w:tr>
    </w:tbl>
    <w:p w14:paraId="3F0C299C" w14:textId="77777777" w:rsidR="001F04FD" w:rsidRPr="0013396E" w:rsidRDefault="001F04FD" w:rsidP="007C3E74">
      <w:pPr>
        <w:pStyle w:val="H4"/>
        <w:spacing w:before="480"/>
        <w:ind w:left="1267" w:hanging="1267"/>
      </w:pPr>
      <w:bookmarkStart w:id="1012" w:name="_Toc236220132"/>
      <w:r w:rsidRPr="0013396E">
        <w:lastRenderedPageBreak/>
        <w:t>6.5.7.7</w:t>
      </w:r>
      <w:r w:rsidRPr="0013396E">
        <w:tab/>
        <w:t>Voltage Support Service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50A50E20" w14:textId="77777777" w:rsidR="00A02B41" w:rsidRPr="0013396E" w:rsidRDefault="00A02B41" w:rsidP="00A02B41">
      <w:pPr>
        <w:pStyle w:val="BodyTextNumbered"/>
      </w:pPr>
      <w:r w:rsidRPr="0013396E">
        <w:t>(1)</w:t>
      </w:r>
      <w:r w:rsidRPr="0013396E">
        <w:tab/>
        <w:t>ERCOT shall coordinate with TSPs the creation and maintenance of Voltage Profiles as described in Section 3.15, Voltage Support.</w:t>
      </w:r>
    </w:p>
    <w:p w14:paraId="671BD443" w14:textId="710CA58B" w:rsidR="00A02B41" w:rsidRPr="0013396E" w:rsidRDefault="00A02B41" w:rsidP="00A02B41">
      <w:pPr>
        <w:pStyle w:val="BodyTextNumbered"/>
      </w:pPr>
      <w:r w:rsidRPr="0013396E">
        <w:t>(2)</w:t>
      </w:r>
      <w:r w:rsidRPr="0013396E">
        <w:tab/>
      </w:r>
      <w:r w:rsidR="008D0217" w:rsidRPr="0013396E">
        <w:t xml:space="preserve">ERCOT shall instruct </w:t>
      </w:r>
      <w:r w:rsidR="008D0217" w:rsidRPr="0013396E">
        <w:rPr>
          <w:color w:val="000000"/>
        </w:rPr>
        <w:t>the interconnecting TSP, or the TSP’s agent,</w:t>
      </w:r>
      <w:r w:rsidR="008D0217" w:rsidRPr="0013396E">
        <w:t xml:space="preserve"> to make Voltage Set Point adjustments, as necessary, within the Generation Resource’s or ESR’s Corrected Unit Reactive Limit (CURL) provided to ERCOT.  </w:t>
      </w:r>
      <w:r w:rsidR="008D0217" w:rsidRPr="0013396E">
        <w:rPr>
          <w:color w:val="000000"/>
        </w:rPr>
        <w:t xml:space="preserve">The interconnecting TSP, or the TSP’s agent, shall instruct any QSE or Resource Entity representing a Generation Resource </w:t>
      </w:r>
      <w:r w:rsidR="008D0217" w:rsidRPr="0013396E">
        <w:t>or ESR</w:t>
      </w:r>
      <w:r w:rsidR="008D0217" w:rsidRPr="0013396E">
        <w:rPr>
          <w:color w:val="000000"/>
        </w:rPr>
        <w:t xml:space="preserve"> to make the Voltage Set Point adjustments instructed by ERCOT, or as the TSP determines to be necessary.  </w:t>
      </w:r>
      <w:r w:rsidR="008D0217" w:rsidRPr="0013396E">
        <w:t>If ERCOT determines that a Generation Resource or ESR should be instructed to provide additional MVAr beyond its URL or that a Generation Resource’s or ESR’s real power output should be decreased to allow the Generation Resource or ESR to provide additional Reactive Power beyond the URL, ERCOT shall issue a Resource-specific Dispatch Instruction requiring any change in Reactive Power and/or real power output, except that ERCOT may not require a Generation Resource or ESR to exceed its operational limits.</w:t>
      </w:r>
    </w:p>
    <w:p w14:paraId="31AB0B19" w14:textId="083FED90" w:rsidR="00A02B41" w:rsidRPr="0013396E" w:rsidRDefault="00A02B41" w:rsidP="001E4447">
      <w:pPr>
        <w:pStyle w:val="BodyTextNumbered"/>
      </w:pPr>
      <w:r w:rsidRPr="0013396E">
        <w:t>(3)</w:t>
      </w:r>
      <w:r w:rsidRPr="0013396E">
        <w:tab/>
      </w:r>
      <w:r w:rsidR="008D0217" w:rsidRPr="0013396E">
        <w:t>ERCOT and TSPs shall develop procedures for the operation of transmission-controlled reactive equipment in order to minimize the dependence on Reactive Power supplied by Generation Resources and ESRs.  For Generation Resources and ESRs required to provide Voltage Support Service (VSS), GSU transformer tap settings must be managed to maximize the use of the ERCOT System for all Market Participants while maintaining adequate reliability.</w:t>
      </w:r>
    </w:p>
    <w:p w14:paraId="09D5821F" w14:textId="3D75DF54" w:rsidR="00A02B41" w:rsidRPr="0013396E" w:rsidRDefault="00A02B41" w:rsidP="001E4447">
      <w:pPr>
        <w:pStyle w:val="BodyTextNumbered"/>
      </w:pPr>
      <w:r w:rsidRPr="0013396E">
        <w:t>(4)</w:t>
      </w:r>
      <w:r w:rsidRPr="0013396E">
        <w:tab/>
      </w:r>
      <w:r w:rsidR="008D0217" w:rsidRPr="0013396E">
        <w:t>Each TSP, under ERCOT’s direction, is responsible for monitoring and ensuring that all Generation Resources and ESRs required to provide VSS have their dynamic reactive capability deployed in approximate proportion to their respective capability requirements.</w:t>
      </w:r>
    </w:p>
    <w:p w14:paraId="5EED900A" w14:textId="1FDA41A6" w:rsidR="001F04FD" w:rsidRPr="0013396E" w:rsidRDefault="00A02B41" w:rsidP="001E4447">
      <w:pPr>
        <w:pStyle w:val="BodyTextNumbered"/>
      </w:pPr>
      <w:r w:rsidRPr="0013396E">
        <w:t>(5)</w:t>
      </w:r>
      <w:r w:rsidRPr="0013396E">
        <w:tab/>
      </w:r>
      <w:r w:rsidR="008D0217" w:rsidRPr="0013396E">
        <w:t>Each Generation Resource and ESR required to provide VSS shall follow its Voltage Set Point as directed by ERCOT,</w:t>
      </w:r>
      <w:r w:rsidR="008D0217" w:rsidRPr="0013396E">
        <w:rPr>
          <w:iCs/>
        </w:rPr>
        <w:t xml:space="preserve"> the interconnecting TSP, or the TSP’s agent</w:t>
      </w:r>
      <w:r w:rsidR="008D0217" w:rsidRPr="0013396E">
        <w:t>, within the operating Reactive Power capability of the Generation Resource or ESR.</w:t>
      </w:r>
    </w:p>
    <w:p w14:paraId="5ABBB2FD" w14:textId="25D6D0FB" w:rsidR="00DE310B" w:rsidRPr="0013396E" w:rsidRDefault="00DE310B" w:rsidP="001E4447">
      <w:pPr>
        <w:pStyle w:val="BodyTextNumbered"/>
      </w:pPr>
      <w:r w:rsidRPr="0013396E">
        <w:rPr>
          <w:color w:val="000000"/>
        </w:rPr>
        <w:lastRenderedPageBreak/>
        <w:t>(6)</w:t>
      </w:r>
      <w:r w:rsidRPr="0013396E">
        <w:tab/>
      </w:r>
      <w:r w:rsidR="008D0217" w:rsidRPr="0013396E">
        <w:rPr>
          <w:color w:val="000000"/>
        </w:rPr>
        <w:t xml:space="preserve">Each interconnecting TSP, or the TSP’s agent, shall telemeter via ICCP the Real-Time Voltage Set Point to ERCOT at the Point of Interconnection Bus (POIB) for each Generation Resource </w:t>
      </w:r>
      <w:r w:rsidR="008D0217" w:rsidRPr="0013396E">
        <w:t>and ESRs</w:t>
      </w:r>
      <w:r w:rsidR="008D0217" w:rsidRPr="0013396E">
        <w:rPr>
          <w:color w:val="000000"/>
        </w:rPr>
        <w:t xml:space="preserve"> interconnected to the TSP’s system required to provide VSS.  Each interconnecting TSP, or the TSP’s agent shall modify the telemetered Voltage Set Point to match any verbal Voltage Set Point instructions as soon as practicable.  ERCOT shall telemeter the Real-Time desired Voltage Set Point and the TSP-designated POIB kV measurement via ICCP to each QSE representing a Generation Resource</w:t>
      </w:r>
      <w:r w:rsidR="008D0217" w:rsidRPr="0013396E">
        <w:t xml:space="preserve"> or an ESR</w:t>
      </w:r>
      <w:r w:rsidR="008D0217" w:rsidRPr="0013396E">
        <w:rPr>
          <w:color w:val="000000"/>
        </w:rPr>
        <w:t xml:space="preserve">.  Each QSE representing a Generation Resource </w:t>
      </w:r>
      <w:r w:rsidR="008D0217" w:rsidRPr="0013396E">
        <w:t xml:space="preserve">or an ESR </w:t>
      </w:r>
      <w:r w:rsidR="008D0217" w:rsidRPr="0013396E">
        <w:rPr>
          <w:color w:val="000000"/>
        </w:rPr>
        <w:t xml:space="preserve">shall provide in Real-Time the desired Voltage Set Point and the associated POIB kV measurement provided by ERCOT to the Resource Entity for that Generation Resource </w:t>
      </w:r>
      <w:r w:rsidR="008D0217" w:rsidRPr="0013396E">
        <w:t>or ESR</w:t>
      </w:r>
      <w:r w:rsidR="008D0217" w:rsidRPr="0013396E">
        <w:rPr>
          <w:color w:val="000000"/>
        </w:rPr>
        <w:t>.</w:t>
      </w:r>
    </w:p>
    <w:p w14:paraId="6DCE6834" w14:textId="77777777" w:rsidR="001F04FD" w:rsidRPr="0013396E" w:rsidRDefault="001F04FD" w:rsidP="001E4447">
      <w:pPr>
        <w:pStyle w:val="H4"/>
        <w:ind w:left="1267" w:hanging="1267"/>
      </w:pPr>
      <w:bookmarkStart w:id="1013" w:name="_Toc73216018"/>
      <w:bookmarkStart w:id="1014" w:name="_Toc397504978"/>
      <w:bookmarkStart w:id="1015" w:name="_Toc402357106"/>
      <w:bookmarkStart w:id="1016" w:name="_Toc422486486"/>
      <w:bookmarkStart w:id="1017" w:name="_Toc433093338"/>
      <w:bookmarkStart w:id="1018" w:name="_Toc433093496"/>
      <w:bookmarkStart w:id="1019" w:name="_Toc440874725"/>
      <w:bookmarkStart w:id="1020" w:name="_Toc448142280"/>
      <w:bookmarkStart w:id="1021" w:name="_Toc448142437"/>
      <w:bookmarkStart w:id="1022" w:name="_Toc458770274"/>
      <w:bookmarkStart w:id="1023" w:name="_Toc459294242"/>
      <w:bookmarkStart w:id="1024" w:name="_Toc463262735"/>
      <w:bookmarkStart w:id="1025" w:name="_Toc468286808"/>
      <w:bookmarkStart w:id="1026" w:name="_Toc481502854"/>
      <w:bookmarkStart w:id="1027" w:name="_Toc496080022"/>
      <w:bookmarkStart w:id="1028" w:name="_Toc236220133"/>
      <w:r w:rsidRPr="0013396E">
        <w:t>6.5.7.8</w:t>
      </w:r>
      <w:r w:rsidRPr="0013396E">
        <w:tab/>
        <w:t>Dispatch Procedures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14:paraId="228079FE" w14:textId="457D0F14" w:rsidR="001F04FD" w:rsidRPr="0013396E" w:rsidRDefault="001F04FD" w:rsidP="001F04FD">
      <w:pPr>
        <w:pStyle w:val="BodyTextNumbered"/>
        <w:rPr>
          <w:iCs/>
        </w:rPr>
      </w:pPr>
      <w:r w:rsidRPr="0013396E">
        <w:rPr>
          <w:iCs/>
        </w:rPr>
        <w:t>(1)</w:t>
      </w:r>
      <w:r w:rsidRPr="0013396E">
        <w:rPr>
          <w:iCs/>
        </w:rPr>
        <w:tab/>
      </w:r>
      <w:r w:rsidR="009C679A" w:rsidRPr="0013396E">
        <w:rPr>
          <w:iCs/>
        </w:rPr>
        <w:t xml:space="preserve">ERCOT shall issue all Resource Dispatch Instructions to the QSE that represents the affected Resource.  ERCOT and QSEs are responsible for complying with Dispatch Instructions as prescribed in the Nodal Operating Guides.  </w:t>
      </w:r>
      <w:r w:rsidR="009C679A" w:rsidRPr="0013396E">
        <w:t xml:space="preserve">A QSE may provide a Resource Status of ONTEST for a Generation Resource or ESR not providing Ancillary Services to indicate that the Resource is currently undergoing unit testing and is blocked from SCED Dispatch.  A QSE may provide a Resource Status of STARTUP for a Generation Resource or ESR not providing Ancillary Services to indicate that the Resource is currently undergoing a start-up sequence which requires manual control below or above its telemetered LSL to stabilize the Resource prior to its availability for SCED Dispatch.  Generation Resources and ESRs with a Resource Status of ONTEST will be provided a Base Point equal to the net real power telemetry at the time of the SCED execution.  </w:t>
      </w:r>
      <w:r w:rsidR="009C679A" w:rsidRPr="0013396E">
        <w:rPr>
          <w:iCs/>
        </w:rPr>
        <w:t xml:space="preserve">ERCOT may not issue Dispatch Instructions to the QSE for Generation Resources </w:t>
      </w:r>
      <w:r w:rsidR="009C679A" w:rsidRPr="0013396E">
        <w:t>or ESRs</w:t>
      </w:r>
      <w:r w:rsidR="009C679A" w:rsidRPr="0013396E">
        <w:rPr>
          <w:iCs/>
        </w:rPr>
        <w:t xml:space="preserve"> with a Resource Status of ONTEST except:</w:t>
      </w:r>
    </w:p>
    <w:p w14:paraId="35D4DCB7" w14:textId="650695FC" w:rsidR="001F04FD" w:rsidRPr="0013396E" w:rsidRDefault="001F04FD" w:rsidP="005A7D8E">
      <w:pPr>
        <w:pStyle w:val="List"/>
      </w:pPr>
      <w:r w:rsidRPr="0013396E">
        <w:t>(a)</w:t>
      </w:r>
      <w:r w:rsidRPr="0013396E">
        <w:tab/>
        <w:t>For Dispatch Instructions that are a part of testing; or</w:t>
      </w:r>
    </w:p>
    <w:p w14:paraId="42243158" w14:textId="77777777" w:rsidR="001F04FD" w:rsidRPr="0013396E" w:rsidRDefault="001F04FD" w:rsidP="001F04FD">
      <w:pPr>
        <w:pStyle w:val="List"/>
      </w:pPr>
      <w:r w:rsidRPr="0013396E">
        <w:t>(b)</w:t>
      </w:r>
      <w:r w:rsidRPr="0013396E">
        <w:tab/>
        <w:t>During conditions when the Resource is the only alternative for solving a transmission constraint; or</w:t>
      </w:r>
    </w:p>
    <w:p w14:paraId="0185E725" w14:textId="77777777" w:rsidR="001F04FD" w:rsidRPr="0013396E" w:rsidRDefault="001F04FD" w:rsidP="001F04FD">
      <w:pPr>
        <w:pStyle w:val="List"/>
      </w:pPr>
      <w:r w:rsidRPr="0013396E">
        <w:t>(c)</w:t>
      </w:r>
      <w:r w:rsidRPr="0013396E">
        <w:tab/>
        <w:t>During Force Majeure Events that threaten the reliability of the ERCOT System.</w:t>
      </w:r>
    </w:p>
    <w:p w14:paraId="090138AF" w14:textId="77777777" w:rsidR="001F04FD" w:rsidRPr="0013396E" w:rsidRDefault="001F04FD" w:rsidP="001F04FD">
      <w:pPr>
        <w:pStyle w:val="BodyTextNumbered"/>
      </w:pPr>
      <w:r w:rsidRPr="0013396E">
        <w:t>(2)</w:t>
      </w:r>
      <w:r w:rsidRPr="0013396E">
        <w:tab/>
        <w:t>Each QSE shall immediately forward any valid Dispatch Instruction to the appropriate Resource or group of Resources or identify a reason for non-compliance with the Dispatch Instruction to ERCOT in accordance with Section 6.5.7.9, Compliance with Dispatch Instructions.</w:t>
      </w:r>
    </w:p>
    <w:p w14:paraId="0EE83492" w14:textId="77777777" w:rsidR="001F04FD" w:rsidRPr="0013396E" w:rsidRDefault="001F04FD" w:rsidP="001F04FD">
      <w:pPr>
        <w:pStyle w:val="BodyTextNumbered"/>
      </w:pPr>
      <w:r w:rsidRPr="0013396E">
        <w:t>(3)</w:t>
      </w:r>
      <w:r w:rsidRPr="0013396E">
        <w:tab/>
        <w:t>If ERCOT believes that a Resource has inadequately responded to a Dispatch Instruction, ERCOT shall notify the QSE representing the Resource as soon as practicable.</w:t>
      </w:r>
    </w:p>
    <w:p w14:paraId="7D357D58" w14:textId="77777777" w:rsidR="001F04FD" w:rsidRPr="0013396E" w:rsidRDefault="001F04FD" w:rsidP="001F04FD">
      <w:pPr>
        <w:pStyle w:val="BodyTextNumbered"/>
      </w:pPr>
      <w:r w:rsidRPr="0013396E">
        <w:t>(4)</w:t>
      </w:r>
      <w:r w:rsidRPr="0013396E">
        <w:tab/>
        <w:t>ERCOT shall record all voice conversations that occur in the communication of Verbal Dispatch Instructions (VDIs).</w:t>
      </w:r>
    </w:p>
    <w:p w14:paraId="0816994A" w14:textId="14C844B6" w:rsidR="001F04FD" w:rsidRPr="0013396E" w:rsidRDefault="001F04FD" w:rsidP="001F04FD">
      <w:pPr>
        <w:pStyle w:val="BodyTextNumbered"/>
      </w:pPr>
      <w:r w:rsidRPr="0013396E">
        <w:t>(5)</w:t>
      </w:r>
      <w:r w:rsidRPr="0013396E">
        <w:tab/>
        <w:t xml:space="preserve">By mutual agreement of the TSP and ERCOT, Dispatch Instructions to the TSP may be provided to the TSP’s </w:t>
      </w:r>
      <w:r w:rsidR="00E4388D" w:rsidRPr="0013396E">
        <w:t>TO</w:t>
      </w:r>
      <w:r w:rsidRPr="0013396E">
        <w:t xml:space="preserve">.  In that case, issuance of the Dispatch Instruction to the </w:t>
      </w:r>
      <w:r w:rsidR="00E4388D" w:rsidRPr="0013396E">
        <w:t>TO</w:t>
      </w:r>
      <w:r w:rsidRPr="0013396E">
        <w:t xml:space="preserve"> is </w:t>
      </w:r>
      <w:r w:rsidRPr="0013396E">
        <w:lastRenderedPageBreak/>
        <w:t xml:space="preserve">considered issuance to the TSP, and the TSP must comply with the Dispatch Instruction exactly as if it had been issued directly to the TSP, whether or not the </w:t>
      </w:r>
      <w:r w:rsidR="00E4388D" w:rsidRPr="0013396E">
        <w:t>TO</w:t>
      </w:r>
      <w:r w:rsidRPr="0013396E">
        <w:t xml:space="preserve"> accurately conveys the Dispatch Instruction to the TSP.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94CCC" w:rsidRPr="0013396E" w14:paraId="5FE8B099" w14:textId="77777777" w:rsidTr="004510FA">
        <w:trPr>
          <w:trHeight w:val="926"/>
        </w:trPr>
        <w:tc>
          <w:tcPr>
            <w:tcW w:w="9576" w:type="dxa"/>
            <w:shd w:val="pct12" w:color="auto" w:fill="auto"/>
          </w:tcPr>
          <w:p w14:paraId="66034E93" w14:textId="11CDE0D7" w:rsidR="00094CCC" w:rsidRPr="0013396E" w:rsidRDefault="00094CCC" w:rsidP="004510FA">
            <w:pPr>
              <w:pStyle w:val="Instructions"/>
              <w:spacing w:before="120"/>
            </w:pPr>
            <w:r w:rsidRPr="0013396E">
              <w:t>[NPRR857:  Replace paragraph (5)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27EA3B11" w14:textId="5A2F0BF2" w:rsidR="00094CCC" w:rsidRPr="0013396E" w:rsidRDefault="00094CCC" w:rsidP="00E4388D">
            <w:pPr>
              <w:spacing w:after="240"/>
              <w:ind w:left="720" w:hanging="720"/>
            </w:pPr>
            <w:r w:rsidRPr="0013396E">
              <w:t>(5)</w:t>
            </w:r>
            <w:r w:rsidRPr="0013396E">
              <w:tab/>
              <w:t xml:space="preserve">By mutual agreement of the TSP, DCTO, and ERCOT, Dispatch Instructions to the TSP or DCTO may be provided to the TSP’s or DCTO’s </w:t>
            </w:r>
            <w:r w:rsidR="00E4388D" w:rsidRPr="0013396E">
              <w:t>Transmission Operator (TO)</w:t>
            </w:r>
            <w:r w:rsidRPr="0013396E">
              <w:t xml:space="preserve">.  In that case, issuance of the Dispatch Instruction to the </w:t>
            </w:r>
            <w:r w:rsidR="00E4388D" w:rsidRPr="0013396E">
              <w:t>TO</w:t>
            </w:r>
            <w:r w:rsidRPr="0013396E">
              <w:t xml:space="preserve"> is considered issuance to the TSP or DCTO, and the TSP or DCTO must comply with the Dispatch Instruction exactly as if it had been issued directly to the TSP or DCTO, whether or not the </w:t>
            </w:r>
            <w:r w:rsidR="00E4388D" w:rsidRPr="0013396E">
              <w:t>TO</w:t>
            </w:r>
            <w:r w:rsidRPr="0013396E">
              <w:t xml:space="preserve"> accurately conveys the Dispatch Instruction to the TSP or DCTO.</w:t>
            </w:r>
          </w:p>
        </w:tc>
      </w:tr>
    </w:tbl>
    <w:p w14:paraId="7CCBCAF9" w14:textId="77777777" w:rsidR="001F04FD" w:rsidRPr="0013396E" w:rsidRDefault="001F04FD" w:rsidP="0099247E">
      <w:pPr>
        <w:pStyle w:val="BodyTextNumbered"/>
        <w:spacing w:before="240"/>
      </w:pPr>
      <w:r w:rsidRPr="0013396E">
        <w:rPr>
          <w:iCs/>
        </w:rPr>
        <w:t>(6)</w:t>
      </w:r>
      <w:r w:rsidRPr="0013396E">
        <w:rPr>
          <w:iCs/>
        </w:rPr>
        <w:tab/>
        <w:t>ERCOT shall direct VDIs to the Master QSE of a Generation Resource that has been split to function as two or more Split Generation Resources as deemed necessary by ERCOT to effectuate actions for the total Generation Resource for instances in which electronic instructions are not feasible.</w:t>
      </w:r>
    </w:p>
    <w:p w14:paraId="3136BA27" w14:textId="77777777" w:rsidR="001F04FD" w:rsidRPr="0013396E" w:rsidRDefault="001F04FD" w:rsidP="001F04FD">
      <w:pPr>
        <w:pStyle w:val="H4"/>
        <w:spacing w:before="480"/>
        <w:ind w:left="1267" w:hanging="1267"/>
      </w:pPr>
      <w:bookmarkStart w:id="1029" w:name="_Toc73216019"/>
      <w:bookmarkStart w:id="1030" w:name="_Toc397504979"/>
      <w:bookmarkStart w:id="1031" w:name="_Toc402357107"/>
      <w:bookmarkStart w:id="1032" w:name="_Toc422486487"/>
      <w:bookmarkStart w:id="1033" w:name="_Toc433093339"/>
      <w:bookmarkStart w:id="1034" w:name="_Toc433093497"/>
      <w:bookmarkStart w:id="1035" w:name="_Toc440874726"/>
      <w:bookmarkStart w:id="1036" w:name="_Toc448142281"/>
      <w:bookmarkStart w:id="1037" w:name="_Toc448142438"/>
      <w:bookmarkStart w:id="1038" w:name="_Toc458770275"/>
      <w:bookmarkStart w:id="1039" w:name="_Toc459294243"/>
      <w:bookmarkStart w:id="1040" w:name="_Toc463262736"/>
      <w:bookmarkStart w:id="1041" w:name="_Toc468286809"/>
      <w:bookmarkStart w:id="1042" w:name="_Toc481502855"/>
      <w:bookmarkStart w:id="1043" w:name="_Toc496080023"/>
      <w:bookmarkStart w:id="1044" w:name="_Toc236220134"/>
      <w:r w:rsidRPr="0013396E">
        <w:t>6.5.7.9</w:t>
      </w:r>
      <w:r w:rsidRPr="0013396E">
        <w:tab/>
        <w:t>Compliance with Dispatch Instructions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14:paraId="1B904236" w14:textId="77777777" w:rsidR="001F04FD" w:rsidRPr="0013396E" w:rsidRDefault="001F04FD" w:rsidP="001F04FD">
      <w:pPr>
        <w:pStyle w:val="BodyTextNumbered"/>
      </w:pPr>
      <w:r w:rsidRPr="0013396E">
        <w:t>(1)</w:t>
      </w:r>
      <w:r w:rsidRPr="0013396E">
        <w:tab/>
        <w:t>Except as otherwise specified in this Section, each TSP and each QSE shall comply fully and promptly with a Dispatch Instruction issued to it, unless in the sole and reasonable judgment of the TSP or QSE, such compliance would create an undue threat to safety, undue risk of bodily harm or undue damage to equipment, or the Dispatch Instruction is otherwise not in compliance with these Protocols.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94CCC" w:rsidRPr="0013396E" w14:paraId="6B9E9AC5" w14:textId="77777777" w:rsidTr="004510FA">
        <w:trPr>
          <w:trHeight w:val="926"/>
        </w:trPr>
        <w:tc>
          <w:tcPr>
            <w:tcW w:w="9576" w:type="dxa"/>
            <w:shd w:val="pct12" w:color="auto" w:fill="auto"/>
          </w:tcPr>
          <w:p w14:paraId="0848D582" w14:textId="18B28DEA" w:rsidR="00094CCC" w:rsidRPr="0013396E" w:rsidRDefault="00094CCC" w:rsidP="004510FA">
            <w:pPr>
              <w:pStyle w:val="Instructions"/>
              <w:spacing w:before="120"/>
            </w:pPr>
            <w:r w:rsidRPr="0013396E">
              <w:t>[NPRR857:  Replace paragraph (1)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6D337F11" w14:textId="77777777" w:rsidR="00094CCC" w:rsidRPr="0013396E" w:rsidRDefault="00094CCC" w:rsidP="00094CCC">
            <w:pPr>
              <w:spacing w:after="240"/>
              <w:ind w:left="720" w:hanging="720"/>
            </w:pPr>
            <w:r w:rsidRPr="0013396E">
              <w:t>(1)</w:t>
            </w:r>
            <w:r w:rsidRPr="0013396E">
              <w:tab/>
              <w:t xml:space="preserve">Except as otherwise specified in this Section, each TSP, DCTO, and QSE shall comply fully and promptly with a Dispatch Instruction issued to it, unless in the sole and reasonable judgment of the TSP, DCTO, or QSE, such compliance would create an </w:t>
            </w:r>
            <w:r w:rsidRPr="0013396E">
              <w:lastRenderedPageBreak/>
              <w:t>undue threat to safety, undue risk of bodily harm or undue damage to equipment, or the Dispatch Instruction is otherwise not in compliance with these Protocols.</w:t>
            </w:r>
          </w:p>
        </w:tc>
      </w:tr>
    </w:tbl>
    <w:p w14:paraId="3EA4717A" w14:textId="77777777" w:rsidR="001F04FD" w:rsidRPr="0013396E" w:rsidRDefault="001F04FD" w:rsidP="0099247E">
      <w:pPr>
        <w:pStyle w:val="BodyTextNumbered"/>
        <w:spacing w:before="240"/>
      </w:pPr>
      <w:r w:rsidRPr="0013396E">
        <w:lastRenderedPageBreak/>
        <w:t>(2)</w:t>
      </w:r>
      <w:r w:rsidRPr="0013396E">
        <w:tab/>
        <w:t>If the recipient of a Dispatch Instruction does not comply because in the sole and reasonable judgment of the TSP or QSE, such compliance would create an undue threat to safety, undue risk of bodily harm, or undue damage to equipment, then the TSP or QSE must immediately notify ERCOT and provide the reason for non-compliance.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94CCC" w:rsidRPr="0013396E" w14:paraId="5990934E" w14:textId="77777777" w:rsidTr="004510FA">
        <w:trPr>
          <w:trHeight w:val="926"/>
        </w:trPr>
        <w:tc>
          <w:tcPr>
            <w:tcW w:w="9576" w:type="dxa"/>
            <w:shd w:val="pct12" w:color="auto" w:fill="auto"/>
          </w:tcPr>
          <w:p w14:paraId="45A21D2D" w14:textId="7D20211A" w:rsidR="00094CCC" w:rsidRPr="0013396E" w:rsidRDefault="00094CCC" w:rsidP="004510FA">
            <w:pPr>
              <w:pStyle w:val="Instructions"/>
              <w:spacing w:before="120"/>
            </w:pPr>
            <w:r w:rsidRPr="0013396E">
              <w:t>[NPRR857:  Replace paragraph (2)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7746289A" w14:textId="77777777" w:rsidR="00094CCC" w:rsidRPr="0013396E" w:rsidRDefault="00094CCC" w:rsidP="00094CCC">
            <w:pPr>
              <w:spacing w:after="240"/>
              <w:ind w:left="720" w:hanging="720"/>
            </w:pPr>
            <w:r w:rsidRPr="0013396E">
              <w:t>(2)</w:t>
            </w:r>
            <w:r w:rsidRPr="0013396E">
              <w:tab/>
              <w:t>If the recipient of a Dispatch Instruction does not comply because in the sole and reasonable judgment of the TSP, DCTO, or QSE, such compliance would create an undue threat to safety, undue risk of bodily harm, or undue damage to equipment, then the TSP, DCTO, or QSE must immediately notify ERCOT and provide the reason for non-compliance.</w:t>
            </w:r>
          </w:p>
        </w:tc>
      </w:tr>
    </w:tbl>
    <w:p w14:paraId="1A6FFED1" w14:textId="77777777" w:rsidR="001F04FD" w:rsidRPr="0013396E" w:rsidRDefault="001F04FD" w:rsidP="0099247E">
      <w:pPr>
        <w:pStyle w:val="BodyTextNumbered"/>
        <w:spacing w:before="240"/>
      </w:pPr>
      <w:r w:rsidRPr="0013396E">
        <w:t>(3)</w:t>
      </w:r>
      <w:r w:rsidRPr="0013396E">
        <w:tab/>
        <w:t>If the recipient of a Dispatch Instruction recognizes that the Dispatch Instruction conflicts with other valid instructions or is invalid, the recipient shall immediately notify ERCOT of the conflict and request resolution.  ERCOT shall resolve the conflict by issuing another Dispatch Instruction.</w:t>
      </w:r>
    </w:p>
    <w:p w14:paraId="558F457B" w14:textId="77777777" w:rsidR="001F04FD" w:rsidRPr="0013396E" w:rsidRDefault="001F04FD" w:rsidP="001F04FD">
      <w:pPr>
        <w:pStyle w:val="BodyTextNumbered"/>
      </w:pPr>
      <w:r w:rsidRPr="0013396E">
        <w:t>(4)</w:t>
      </w:r>
      <w:r w:rsidRPr="0013396E">
        <w:tab/>
        <w:t>ERCOT’s final Dispatch Instruction to a QSE in effect applies for all Protocol-related processes.  If the QSE does not comply after receiving the final Dispatch Instruction, the QSE remains liable for failure to meet its obligations under the Protocols and remains liable for any charges resulting from such failure.</w:t>
      </w:r>
    </w:p>
    <w:p w14:paraId="74696A4E" w14:textId="77777777" w:rsidR="001F04FD" w:rsidRPr="0013396E" w:rsidRDefault="001F04FD" w:rsidP="001F04FD">
      <w:pPr>
        <w:pStyle w:val="BodyTextNumbered"/>
      </w:pPr>
      <w:r w:rsidRPr="0013396E">
        <w:t>(5)</w:t>
      </w:r>
      <w:r w:rsidRPr="0013396E">
        <w:tab/>
        <w:t>ERCOT’s final Dispatch Instruction to a TSP in effect applies for all Protocol-related processes.  If the TSP does not comply after receiving the final Dispatch Instruction, the TSP remains liable for such failure under these Protocols under the TSP’s Agreement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94CCC" w:rsidRPr="0013396E" w14:paraId="5E6A9860" w14:textId="77777777" w:rsidTr="004510FA">
        <w:trPr>
          <w:trHeight w:val="926"/>
        </w:trPr>
        <w:tc>
          <w:tcPr>
            <w:tcW w:w="9576" w:type="dxa"/>
            <w:shd w:val="pct12" w:color="auto" w:fill="auto"/>
          </w:tcPr>
          <w:p w14:paraId="0B201E63" w14:textId="07007617" w:rsidR="00094CCC" w:rsidRPr="0013396E" w:rsidRDefault="00094CCC" w:rsidP="004510FA">
            <w:pPr>
              <w:pStyle w:val="Instructions"/>
              <w:spacing w:before="120"/>
            </w:pPr>
            <w:r w:rsidRPr="0013396E">
              <w:t>[NPRR857:  Replace paragraph (5) above with the following upon system implementation</w:t>
            </w:r>
            <w:r w:rsidR="004A5B0B" w:rsidRPr="0013396E">
              <w:t xml:space="preserve"> </w:t>
            </w:r>
            <w:r w:rsidR="004A5B0B" w:rsidRPr="0013396E">
              <w:rPr>
                <w:bCs/>
                <w:iCs w:val="0"/>
              </w:rPr>
              <w:t xml:space="preserve">and </w:t>
            </w:r>
            <w:r w:rsidR="004A5B0B" w:rsidRPr="0013396E">
              <w:t xml:space="preserve">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w:t>
            </w:r>
            <w:r w:rsidR="004A5B0B" w:rsidRPr="0013396E">
              <w:lastRenderedPageBreak/>
              <w:t>interconnection; and (b) The financial security required to fund the interconnection facilities</w:t>
            </w:r>
            <w:r w:rsidRPr="0013396E">
              <w:t>:]</w:t>
            </w:r>
          </w:p>
          <w:p w14:paraId="6A3A6CBE" w14:textId="77777777" w:rsidR="00094CCC" w:rsidRPr="0013396E" w:rsidRDefault="00094CCC" w:rsidP="00094CCC">
            <w:pPr>
              <w:spacing w:after="240"/>
              <w:ind w:left="720" w:hanging="720"/>
            </w:pPr>
            <w:r w:rsidRPr="0013396E">
              <w:t>(5)</w:t>
            </w:r>
            <w:r w:rsidRPr="0013396E">
              <w:tab/>
              <w:t>ERCOT’s final Dispatch Instruction to a TSP or DCTO in effect applies for all Protocol-related processes.  If the TSP or DCTO does not comply after receiving the final Dispatch Instruction, the TSP or DCTO remains liable for such failure under these Protocols under the TSP’s or DCTO’s Agreement with ERCOT.</w:t>
            </w:r>
          </w:p>
        </w:tc>
      </w:tr>
    </w:tbl>
    <w:p w14:paraId="3A649589" w14:textId="2ACCF0A2" w:rsidR="001F04FD" w:rsidRPr="0013396E" w:rsidRDefault="001F04FD" w:rsidP="0099247E">
      <w:pPr>
        <w:pStyle w:val="BodyTextNumbered"/>
        <w:spacing w:before="240"/>
      </w:pPr>
      <w:r w:rsidRPr="0013396E">
        <w:lastRenderedPageBreak/>
        <w:t>(6)</w:t>
      </w:r>
      <w:r w:rsidRPr="0013396E">
        <w:tab/>
        <w:t>In all cases in which compliance with a Dispatch Instruction is disputed, both ERCOT and the QSE or TSP shall document their communications, agreements, disagreements, and reasons for their actions, to enable resolution of the dispute through the Alternative Dispute Resolution (ADR) process in Section 20, Alternative Dispute Resolution Procedure</w:t>
      </w:r>
      <w:r w:rsidR="00992E7F" w:rsidRPr="0013396E">
        <w:t xml:space="preserve"> and Procedure for Return of Settlement Funds</w:t>
      </w:r>
      <w:r w:rsidRPr="0013396E">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94CCC" w:rsidRPr="0013396E" w14:paraId="60B8B3FC" w14:textId="77777777" w:rsidTr="00094CCC">
        <w:trPr>
          <w:trHeight w:val="206"/>
        </w:trPr>
        <w:tc>
          <w:tcPr>
            <w:tcW w:w="9576" w:type="dxa"/>
            <w:shd w:val="pct12" w:color="auto" w:fill="auto"/>
          </w:tcPr>
          <w:p w14:paraId="3FC96982" w14:textId="33D80D03" w:rsidR="00094CCC" w:rsidRPr="0013396E" w:rsidRDefault="00094CCC" w:rsidP="004510FA">
            <w:pPr>
              <w:pStyle w:val="Instructions"/>
              <w:spacing w:before="120"/>
            </w:pPr>
            <w:r w:rsidRPr="0013396E">
              <w:t>[NPRR857:  Replace paragraph (6)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2CE177AB" w14:textId="3CFF64C9" w:rsidR="00094CCC" w:rsidRPr="0013396E" w:rsidRDefault="00094CCC" w:rsidP="00B17C2D">
            <w:pPr>
              <w:spacing w:after="240"/>
              <w:ind w:left="720" w:hanging="720"/>
            </w:pPr>
            <w:r w:rsidRPr="0013396E">
              <w:t>(6)</w:t>
            </w:r>
            <w:r w:rsidRPr="0013396E">
              <w:tab/>
              <w:t>In all cases in which compliance with a Dispatch Instruction is disputed, both ERCOT and the QSE, TSP, or DCTO shall document their communications, agreements, disagreements, and reasons for their actions, to enable resolution of the dispute through the Alternative Dispute Resolution (ADR) process in Section 20, Alternative Dispute Resolution Procedure</w:t>
            </w:r>
            <w:r w:rsidR="00992E7F" w:rsidRPr="0013396E">
              <w:t xml:space="preserve"> and Procedure for Return of Settlement Funds</w:t>
            </w:r>
            <w:r w:rsidRPr="0013396E">
              <w:t>.</w:t>
            </w:r>
          </w:p>
        </w:tc>
      </w:tr>
    </w:tbl>
    <w:p w14:paraId="28DDB4B9" w14:textId="0CA841F0" w:rsidR="001F04FD" w:rsidRPr="0013396E" w:rsidRDefault="001F04FD" w:rsidP="0099247E">
      <w:pPr>
        <w:pStyle w:val="BodyTextNumbered"/>
        <w:spacing w:before="240"/>
      </w:pPr>
      <w:r w:rsidRPr="0013396E">
        <w:rPr>
          <w:iCs/>
        </w:rPr>
        <w:t>(7)</w:t>
      </w:r>
      <w:r w:rsidRPr="0013396E">
        <w:rPr>
          <w:iCs/>
        </w:rPr>
        <w:tab/>
        <w:t>An Intermittent Renewable Resource (IRR) must comply with Dispatch Instructions when receiving a flag signifying that the IRR has received a Base Point below the HDL used by SCED</w:t>
      </w:r>
      <w:r w:rsidR="0030702F" w:rsidRPr="0013396E">
        <w:t xml:space="preserve"> or the IRR has been instructed not to exceed its Base Point</w:t>
      </w:r>
      <w:r w:rsidRPr="0013396E">
        <w:rPr>
          <w:iCs/>
        </w:rPr>
        <w:t>.</w:t>
      </w:r>
    </w:p>
    <w:p w14:paraId="5C6ADF71" w14:textId="77777777" w:rsidR="001F04FD" w:rsidRPr="0013396E" w:rsidRDefault="001F04FD" w:rsidP="005A7D8E">
      <w:pPr>
        <w:pStyle w:val="H4"/>
        <w:spacing w:before="480"/>
        <w:ind w:left="1267" w:hanging="1267"/>
        <w:rPr>
          <w:bCs w:val="0"/>
        </w:rPr>
      </w:pPr>
      <w:bookmarkStart w:id="1045" w:name="_Toc397504980"/>
      <w:bookmarkStart w:id="1046" w:name="_Toc402357108"/>
      <w:bookmarkStart w:id="1047" w:name="_Toc422486488"/>
      <w:bookmarkStart w:id="1048" w:name="_Toc433093340"/>
      <w:bookmarkStart w:id="1049" w:name="_Toc433093498"/>
      <w:bookmarkStart w:id="1050" w:name="_Toc440874727"/>
      <w:bookmarkStart w:id="1051" w:name="_Toc448142282"/>
      <w:bookmarkStart w:id="1052" w:name="_Toc448142439"/>
      <w:bookmarkStart w:id="1053" w:name="_Toc458770276"/>
      <w:bookmarkStart w:id="1054" w:name="_Toc459294244"/>
      <w:bookmarkStart w:id="1055" w:name="_Toc463262737"/>
      <w:bookmarkStart w:id="1056" w:name="_Toc468286810"/>
      <w:bookmarkStart w:id="1057" w:name="_Toc481502856"/>
      <w:bookmarkStart w:id="1058" w:name="_Toc496080024"/>
      <w:bookmarkStart w:id="1059" w:name="_Toc236220135"/>
      <w:r w:rsidRPr="0013396E">
        <w:rPr>
          <w:bCs w:val="0"/>
        </w:rPr>
        <w:t>6.5.7.10</w:t>
      </w:r>
      <w:r w:rsidRPr="0013396E">
        <w:rPr>
          <w:bCs w:val="0"/>
        </w:rPr>
        <w:tab/>
        <w:t>IRR Ramp Rate Limitations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14:paraId="0B0AE1C6" w14:textId="77777777" w:rsidR="001F04FD" w:rsidRPr="0013396E" w:rsidRDefault="001F04FD" w:rsidP="001F04FD">
      <w:pPr>
        <w:spacing w:after="240"/>
        <w:ind w:left="720" w:hanging="720"/>
        <w:rPr>
          <w:iCs/>
        </w:rPr>
      </w:pPr>
      <w:r w:rsidRPr="0013396E">
        <w:rPr>
          <w:iCs/>
        </w:rPr>
        <w:t>(1)</w:t>
      </w:r>
      <w:r w:rsidRPr="0013396E">
        <w:rPr>
          <w:iCs/>
        </w:rPr>
        <w:tab/>
        <w:t xml:space="preserve">Each IRR that is part of a Standard Generation Interconnection Agreement (SGIA) signed on or after January 1, 2009 shall limit its ramp rate to 20% per minute of its nameplate rating (MWs) as registered with ERCOT when responding to or released from an ERCOT deployment.  </w:t>
      </w:r>
    </w:p>
    <w:p w14:paraId="3B8415BD" w14:textId="77777777" w:rsidR="001F04FD" w:rsidRPr="0013396E" w:rsidRDefault="001F04FD" w:rsidP="001F04FD">
      <w:pPr>
        <w:spacing w:after="240"/>
        <w:ind w:left="720" w:hanging="720"/>
        <w:rPr>
          <w:iCs/>
        </w:rPr>
      </w:pPr>
      <w:r w:rsidRPr="0013396E">
        <w:rPr>
          <w:iCs/>
        </w:rPr>
        <w:t>(2)</w:t>
      </w:r>
      <w:r w:rsidRPr="0013396E">
        <w:rPr>
          <w:iCs/>
        </w:rPr>
        <w:tab/>
        <w:t>The requirement of paragraph (1) above does not apply during a Force Majeure Event or during intervals in which a decremental deployment instruction coincides with a demonstrated decrease in the available IRR.</w:t>
      </w:r>
    </w:p>
    <w:p w14:paraId="5542BEF6" w14:textId="77777777" w:rsidR="001F04FD" w:rsidRPr="0013396E" w:rsidRDefault="001F04FD" w:rsidP="001F04FD">
      <w:pPr>
        <w:spacing w:after="240"/>
        <w:ind w:left="720" w:hanging="720"/>
        <w:rPr>
          <w:iCs/>
        </w:rPr>
      </w:pPr>
      <w:r w:rsidRPr="0013396E">
        <w:rPr>
          <w:iCs/>
        </w:rPr>
        <w:lastRenderedPageBreak/>
        <w:t>(3)</w:t>
      </w:r>
      <w:r w:rsidRPr="0013396E">
        <w:rPr>
          <w:iCs/>
        </w:rPr>
        <w:tab/>
        <w:t>Each IRR that is part of an SGIA signed on or before December 31, 2008 and that controls power output by means other than turbine stoppage shall limit its ramp rate to 20% per minute of its nameplate rating (MWs) as registered with ERCOT when responding to or released from an ERCOT deployment.</w:t>
      </w:r>
    </w:p>
    <w:p w14:paraId="7CA4D242" w14:textId="77777777" w:rsidR="001F04FD" w:rsidRPr="0013396E" w:rsidRDefault="001F04FD" w:rsidP="001F04FD">
      <w:pPr>
        <w:spacing w:after="240"/>
        <w:ind w:left="720" w:hanging="720"/>
        <w:rPr>
          <w:iCs/>
        </w:rPr>
      </w:pPr>
      <w:r w:rsidRPr="0013396E">
        <w:rPr>
          <w:iCs/>
        </w:rPr>
        <w:t>(4)</w:t>
      </w:r>
      <w:r w:rsidRPr="0013396E">
        <w:rPr>
          <w:iCs/>
        </w:rPr>
        <w:tab/>
        <w:t>The requirement of paragraph (3) above does not apply during a Force Majeure Event, during intervals in which a decremental deployment instruction coincides with a demonstrated decrease in the available IRR, or during unit start up and shut down mode.</w:t>
      </w:r>
    </w:p>
    <w:p w14:paraId="5A232795" w14:textId="77777777" w:rsidR="001F04FD" w:rsidRPr="0013396E" w:rsidRDefault="001F04FD" w:rsidP="001F04FD">
      <w:pPr>
        <w:spacing w:after="240"/>
        <w:ind w:left="720" w:hanging="720"/>
        <w:rPr>
          <w:iCs/>
        </w:rPr>
      </w:pPr>
      <w:r w:rsidRPr="0013396E">
        <w:rPr>
          <w:iCs/>
        </w:rPr>
        <w:t>(5)</w:t>
      </w:r>
      <w:r w:rsidRPr="0013396E">
        <w:rPr>
          <w:iCs/>
        </w:rPr>
        <w:tab/>
        <w:t>The ramp rate requirement of paragraph (3) above shall not apply to an IRR during a limited compliance transition period if the IRR:</w:t>
      </w:r>
    </w:p>
    <w:p w14:paraId="11B277D7" w14:textId="77777777" w:rsidR="001F04FD" w:rsidRPr="0013396E" w:rsidRDefault="001F04FD" w:rsidP="001F04FD">
      <w:pPr>
        <w:pStyle w:val="List"/>
        <w:rPr>
          <w:iCs/>
        </w:rPr>
      </w:pPr>
      <w:r w:rsidRPr="0013396E">
        <w:rPr>
          <w:iCs/>
        </w:rPr>
        <w:t>(a)</w:t>
      </w:r>
      <w:r w:rsidRPr="0013396E">
        <w:rPr>
          <w:iCs/>
        </w:rPr>
        <w:tab/>
        <w:t>Meets the technical specifications of paragraph (3) above but does not comply with the ramp rate requirement; and</w:t>
      </w:r>
    </w:p>
    <w:p w14:paraId="06AC3E7D" w14:textId="77777777" w:rsidR="001F04FD" w:rsidRPr="0013396E" w:rsidRDefault="001F04FD" w:rsidP="001F04FD">
      <w:pPr>
        <w:pStyle w:val="List"/>
        <w:rPr>
          <w:iCs/>
        </w:rPr>
      </w:pPr>
      <w:r w:rsidRPr="0013396E">
        <w:rPr>
          <w:iCs/>
        </w:rPr>
        <w:t>(b)</w:t>
      </w:r>
      <w:r w:rsidRPr="0013396E">
        <w:rPr>
          <w:iCs/>
        </w:rPr>
        <w:tab/>
        <w:t>Submitted a compliance plan to ERCOT on or before June 1, 2009 that details the technical limitations leading to non-compliance, a work plan to achieve compliance by a reasonable date, and a ramp rate mitigation plan describing the IRR’s best efforts to adhere to the IRR ramp rate limitation during the applicable compliance transition period.</w:t>
      </w:r>
    </w:p>
    <w:p w14:paraId="18E5EA8C" w14:textId="77777777" w:rsidR="001F04FD" w:rsidRPr="0013396E" w:rsidRDefault="001F04FD" w:rsidP="001F04FD">
      <w:pPr>
        <w:spacing w:after="240"/>
        <w:ind w:left="720" w:hanging="720"/>
        <w:rPr>
          <w:iCs/>
        </w:rPr>
      </w:pPr>
      <w:r w:rsidRPr="0013396E">
        <w:rPr>
          <w:iCs/>
        </w:rPr>
        <w:t>(6)</w:t>
      </w:r>
      <w:r w:rsidRPr="0013396E">
        <w:rPr>
          <w:iCs/>
        </w:rPr>
        <w:tab/>
        <w:t>The ramp rate requirement of paragraph (3) above shall not apply to an IRR that:</w:t>
      </w:r>
    </w:p>
    <w:p w14:paraId="4763CBFC" w14:textId="77777777" w:rsidR="001F04FD" w:rsidRPr="0013396E" w:rsidRDefault="001F04FD" w:rsidP="001F04FD">
      <w:pPr>
        <w:pStyle w:val="List"/>
        <w:rPr>
          <w:iCs/>
        </w:rPr>
      </w:pPr>
      <w:r w:rsidRPr="0013396E">
        <w:rPr>
          <w:iCs/>
        </w:rPr>
        <w:t>(a)</w:t>
      </w:r>
      <w:r w:rsidRPr="0013396E">
        <w:rPr>
          <w:iCs/>
        </w:rPr>
        <w:tab/>
        <w:t>Does not meet the technical specifications of paragraph (3) above; and</w:t>
      </w:r>
    </w:p>
    <w:p w14:paraId="5A955531" w14:textId="77777777" w:rsidR="001F04FD" w:rsidRPr="0013396E" w:rsidRDefault="001F04FD" w:rsidP="001F04FD">
      <w:pPr>
        <w:pStyle w:val="List"/>
        <w:rPr>
          <w:iCs/>
        </w:rPr>
      </w:pPr>
      <w:r w:rsidRPr="0013396E">
        <w:rPr>
          <w:iCs/>
        </w:rPr>
        <w:t>(b)</w:t>
      </w:r>
      <w:r w:rsidRPr="0013396E">
        <w:rPr>
          <w:iCs/>
        </w:rPr>
        <w:tab/>
        <w:t>Submitted an operations plan to ERCOT on or before June 1, 2009 describing the IRR’s best efforts to adhere to the IRR ramp rate limitation.</w:t>
      </w:r>
    </w:p>
    <w:p w14:paraId="2DF2200E" w14:textId="77777777" w:rsidR="001F04FD" w:rsidRPr="0013396E" w:rsidRDefault="001F04FD" w:rsidP="001F04FD">
      <w:pPr>
        <w:spacing w:after="240"/>
        <w:ind w:left="720" w:hanging="720"/>
        <w:rPr>
          <w:iCs/>
        </w:rPr>
      </w:pPr>
      <w:r w:rsidRPr="0013396E">
        <w:rPr>
          <w:iCs/>
        </w:rPr>
        <w:t>(7)</w:t>
      </w:r>
      <w:r w:rsidRPr="0013396E">
        <w:rPr>
          <w:iCs/>
        </w:rPr>
        <w:tab/>
        <w:t>IRRs subject to the ramp rate limitations of paragraphs (1) and (3) above are exempt from the requirements of the applicable paragraph upon receipt of a valid Dispatch Instruction from ERCOT to exceed the applicable ramp rate limitation when necessary to protect ERCOT System reliability.</w:t>
      </w:r>
    </w:p>
    <w:p w14:paraId="3CC4781A" w14:textId="77777777" w:rsidR="001F04FD" w:rsidRPr="0013396E" w:rsidRDefault="001F04FD" w:rsidP="001F04FD">
      <w:pPr>
        <w:spacing w:after="240"/>
        <w:ind w:left="720" w:hanging="720"/>
        <w:rPr>
          <w:iCs/>
        </w:rPr>
      </w:pPr>
      <w:r w:rsidRPr="0013396E">
        <w:rPr>
          <w:iCs/>
        </w:rPr>
        <w:t>(8)</w:t>
      </w:r>
      <w:r w:rsidRPr="0013396E">
        <w:rPr>
          <w:iCs/>
        </w:rPr>
        <w:tab/>
      </w:r>
      <w:r w:rsidR="004B6E53" w:rsidRPr="0013396E">
        <w:rPr>
          <w:iCs/>
        </w:rPr>
        <w:t>IRRs that operate under a RAS are exempt from the ramp rate limitations of paragraphs (1) and (3) above when decreasing unit output to avoid RAS activation.</w:t>
      </w:r>
    </w:p>
    <w:p w14:paraId="43E9C655" w14:textId="77777777" w:rsidR="00DF5DA8" w:rsidRPr="0013396E" w:rsidRDefault="001F04FD" w:rsidP="006635FE">
      <w:pPr>
        <w:pStyle w:val="BodyTextNumbered"/>
      </w:pPr>
      <w:r w:rsidRPr="0013396E">
        <w:rPr>
          <w:iCs/>
        </w:rPr>
        <w:t>(9)</w:t>
      </w:r>
      <w:r w:rsidRPr="0013396E">
        <w:rPr>
          <w:iCs/>
        </w:rPr>
        <w:tab/>
        <w:t xml:space="preserve">IRRs that meet the requirements of paragraphs (1) and (3) above are compliant with the ramp rate limitation requirements when the number of eligible one-minute intervals with an average ramp rate of 25% or less of nameplate capacity is equal to or greater than 90% of the eligible one-minute intervals in any one of three consecutive months.  Intervals where paragraphs (2), (4), (7) or (8) above apply shall be excluded as eligible intervals for this performance metric.  ERCOT shall initiate a review process with the IRR where the IRR’s score is less than 90%.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F5DA8" w:rsidRPr="0013396E" w14:paraId="0786BEBF" w14:textId="77777777" w:rsidTr="00DF5DA8">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7A6A811E" w14:textId="6390AACA" w:rsidR="00DF5DA8" w:rsidRPr="00DF5DA8" w:rsidRDefault="00DF5DA8" w:rsidP="00C91B01">
            <w:pPr>
              <w:pStyle w:val="Instructions"/>
              <w:spacing w:before="120" w:after="480"/>
            </w:pPr>
            <w:r w:rsidRPr="0013396E">
              <w:lastRenderedPageBreak/>
              <w:t>[NPRR1</w:t>
            </w:r>
            <w:r w:rsidRPr="00DF5DA8">
              <w:t>325</w:t>
            </w:r>
            <w:r w:rsidRPr="0013396E">
              <w:t xml:space="preserve">:  </w:t>
            </w:r>
            <w:r w:rsidRPr="00DF5DA8">
              <w:t xml:space="preserve">Insert </w:t>
            </w:r>
            <w:r>
              <w:t>Section 6.5.7.11</w:t>
            </w:r>
            <w:r w:rsidRPr="0013396E">
              <w:t xml:space="preserve"> </w:t>
            </w:r>
            <w:r w:rsidRPr="00DF5DA8">
              <w:t>below</w:t>
            </w:r>
            <w:r w:rsidRPr="0013396E">
              <w:t xml:space="preserve"> upon system implementation</w:t>
            </w:r>
            <w:r w:rsidRPr="00DF5DA8">
              <w:t xml:space="preserve"> of PGRR145 and renumber accordingly</w:t>
            </w:r>
            <w:r w:rsidRPr="0013396E">
              <w:t>:]</w:t>
            </w:r>
          </w:p>
          <w:p w14:paraId="0F3AF790" w14:textId="77777777" w:rsidR="00A20DD0" w:rsidRPr="00A20DD0" w:rsidRDefault="00A20DD0" w:rsidP="00A20DD0">
            <w:pPr>
              <w:keepNext/>
              <w:widowControl w:val="0"/>
              <w:tabs>
                <w:tab w:val="left" w:pos="1260"/>
              </w:tabs>
              <w:spacing w:before="240" w:after="240"/>
              <w:ind w:left="1267" w:hanging="1267"/>
              <w:outlineLvl w:val="3"/>
              <w:rPr>
                <w:b/>
                <w:bCs/>
                <w:iCs/>
                <w:snapToGrid w:val="0"/>
              </w:rPr>
            </w:pPr>
            <w:bookmarkStart w:id="1060" w:name="_Toc236220136"/>
            <w:r w:rsidRPr="00A20DD0">
              <w:rPr>
                <w:b/>
                <w:bCs/>
                <w:iCs/>
                <w:snapToGrid w:val="0"/>
              </w:rPr>
              <w:t>6.5.7.11</w:t>
            </w:r>
            <w:r w:rsidRPr="00A20DD0">
              <w:rPr>
                <w:b/>
                <w:bCs/>
                <w:iCs/>
                <w:snapToGrid w:val="0"/>
              </w:rPr>
              <w:tab/>
              <w:t>Provisional Controllable Load Resource (PCLR) Ramp Rate Requirements</w:t>
            </w:r>
            <w:bookmarkEnd w:id="1060"/>
          </w:p>
          <w:p w14:paraId="64381538" w14:textId="31F89EFF" w:rsidR="00A20DD0" w:rsidRPr="00A20DD0" w:rsidRDefault="00A20DD0" w:rsidP="00A20DD0">
            <w:pPr>
              <w:spacing w:after="240"/>
              <w:ind w:left="720" w:hanging="720"/>
            </w:pPr>
            <w:r w:rsidRPr="00A20DD0">
              <w:t>(1)</w:t>
            </w:r>
            <w:r w:rsidRPr="00A20DD0">
              <w:tab/>
              <w:t>Each PCLR shall provide a down ramp rate that is limited to at least 10% per minute and no greater than 20% per minute of the difference between its MPC and its LPC at all times when consuming energy.</w:t>
            </w:r>
          </w:p>
          <w:p w14:paraId="5692F13D" w14:textId="77777777" w:rsidR="00A20DD0" w:rsidRPr="00A20DD0" w:rsidRDefault="00A20DD0" w:rsidP="00A20DD0">
            <w:pPr>
              <w:spacing w:after="240"/>
              <w:ind w:left="720" w:hanging="720"/>
            </w:pPr>
            <w:r w:rsidRPr="00A20DD0">
              <w:t>(2)</w:t>
            </w:r>
            <w:r w:rsidRPr="00A20DD0">
              <w:tab/>
              <w:t>Each PCLR shall provide an up ramp rate that is limited to less than or equal to 20% per minute of the difference between its MPC and its LPC at all times when consuming energy.</w:t>
            </w:r>
          </w:p>
          <w:p w14:paraId="5E3DA094" w14:textId="77777777" w:rsidR="00A20DD0" w:rsidRPr="00A20DD0" w:rsidRDefault="00A20DD0" w:rsidP="00A20DD0">
            <w:pPr>
              <w:spacing w:after="240"/>
              <w:ind w:left="720" w:hanging="720"/>
              <w:rPr>
                <w:iCs/>
                <w:szCs w:val="24"/>
              </w:rPr>
            </w:pPr>
            <w:r w:rsidRPr="00A20DD0">
              <w:rPr>
                <w:iCs/>
                <w:szCs w:val="24"/>
              </w:rPr>
              <w:t>(3)</w:t>
            </w:r>
            <w:r w:rsidRPr="00A20DD0">
              <w:rPr>
                <w:iCs/>
                <w:szCs w:val="24"/>
              </w:rPr>
              <w:tab/>
              <w:t>PCLRs are exempt from the requirements of paragraphs (1) and (2) above upon receipt of a valid Dispatch Instruction from ERCOT to deviate from the applicable ramp rate limitation when necessary to protect ERCOT System reliability.</w:t>
            </w:r>
          </w:p>
          <w:p w14:paraId="62E85EB9" w14:textId="7D462B6C" w:rsidR="00DF5DA8" w:rsidRPr="00DF5DA8" w:rsidRDefault="00A20DD0" w:rsidP="00A20DD0">
            <w:pPr>
              <w:spacing w:after="240"/>
              <w:ind w:left="720" w:hanging="720"/>
              <w:rPr>
                <w:szCs w:val="24"/>
              </w:rPr>
            </w:pPr>
            <w:r w:rsidRPr="00A20DD0">
              <w:t>(4)</w:t>
            </w:r>
            <w:r w:rsidRPr="00A20DD0">
              <w:tab/>
              <w:t xml:space="preserve">ERCOT shall calculate monthly the number of eligible one-minute intervals where the average up and down ramp rates telemetered by the PCLR met the requirements of paragraphs (1) and (2) above.  PCLRs are compliant with the ramp rate requirements of this Section when the number of eligible one-minute intervals calculated by ERCOT is equal to or greater than 90% of the </w:t>
            </w:r>
            <w:r w:rsidRPr="00A20DD0">
              <w:rPr>
                <w:iCs/>
                <w:szCs w:val="24"/>
              </w:rPr>
              <w:t>eligible</w:t>
            </w:r>
            <w:r w:rsidRPr="00A20DD0">
              <w:t xml:space="preserve"> one-minute intervals in the calendar month.  Intervals where paragraph (3) above applies shall be excluded as eligible intervals for this performance metric.  ERCOT shall initiate a review process with the QSE and Resource Entity for the PCLR in cases where the PCLR’s monthly score is less than 90%.  ERCOT may revoke a PCLR’s qualification in the event of multiple instances of noncompliance.  </w:t>
            </w:r>
          </w:p>
        </w:tc>
      </w:tr>
    </w:tbl>
    <w:p w14:paraId="668A83AA" w14:textId="77777777" w:rsidR="00DF5DA8" w:rsidRDefault="00DF5DA8"/>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C952ED" w:rsidRPr="0013396E" w14:paraId="0008010D" w14:textId="77777777" w:rsidTr="00C952ED">
        <w:trPr>
          <w:trHeight w:val="206"/>
        </w:trPr>
        <w:tc>
          <w:tcPr>
            <w:tcW w:w="9350" w:type="dxa"/>
            <w:shd w:val="pct12" w:color="auto" w:fill="auto"/>
          </w:tcPr>
          <w:p w14:paraId="65AD4502" w14:textId="33A5E408" w:rsidR="00C952ED" w:rsidRPr="0013396E" w:rsidRDefault="00C952ED" w:rsidP="00C952ED">
            <w:pPr>
              <w:pStyle w:val="Instructions"/>
              <w:spacing w:before="120"/>
            </w:pPr>
            <w:bookmarkStart w:id="1061" w:name="_Toc73216020"/>
            <w:bookmarkStart w:id="1062" w:name="_Toc397504982"/>
            <w:bookmarkStart w:id="1063" w:name="_Toc402357110"/>
            <w:bookmarkStart w:id="1064" w:name="_Toc422486490"/>
            <w:bookmarkStart w:id="1065" w:name="_Toc433093342"/>
            <w:bookmarkStart w:id="1066" w:name="_Toc433093500"/>
            <w:bookmarkStart w:id="1067" w:name="_Toc440874728"/>
            <w:bookmarkStart w:id="1068" w:name="_Toc448142283"/>
            <w:bookmarkStart w:id="1069" w:name="_Toc448142440"/>
            <w:bookmarkStart w:id="1070" w:name="_Toc458770277"/>
            <w:bookmarkStart w:id="1071" w:name="_Toc459294245"/>
            <w:bookmarkStart w:id="1072" w:name="_Toc463262738"/>
            <w:bookmarkStart w:id="1073" w:name="_Toc468286811"/>
            <w:bookmarkStart w:id="1074" w:name="_Toc481502857"/>
            <w:bookmarkStart w:id="1075" w:name="_Toc496080025"/>
            <w:r w:rsidRPr="0013396E">
              <w:t>[NPRR1029:  Insert Section 6.5.7.11 below upon system implementation:]</w:t>
            </w:r>
          </w:p>
          <w:p w14:paraId="7E0F1510" w14:textId="77777777" w:rsidR="00C952ED" w:rsidRPr="0013396E" w:rsidRDefault="00C952ED" w:rsidP="00C952ED">
            <w:pPr>
              <w:keepNext/>
              <w:widowControl w:val="0"/>
              <w:tabs>
                <w:tab w:val="left" w:pos="1260"/>
              </w:tabs>
              <w:spacing w:before="240" w:after="240"/>
              <w:ind w:left="1267" w:hanging="1267"/>
              <w:outlineLvl w:val="3"/>
              <w:rPr>
                <w:b/>
                <w:snapToGrid w:val="0"/>
              </w:rPr>
            </w:pPr>
            <w:bookmarkStart w:id="1076" w:name="_Toc236220137"/>
            <w:r w:rsidRPr="0013396E">
              <w:rPr>
                <w:b/>
                <w:snapToGrid w:val="0"/>
              </w:rPr>
              <w:t>6.5.7.11</w:t>
            </w:r>
            <w:r w:rsidRPr="0013396E">
              <w:rPr>
                <w:b/>
                <w:snapToGrid w:val="0"/>
              </w:rPr>
              <w:tab/>
              <w:t>DC-Coupled Resource Ramp Rate Limitations</w:t>
            </w:r>
            <w:bookmarkEnd w:id="1076"/>
          </w:p>
          <w:p w14:paraId="0911842A" w14:textId="7D815475" w:rsidR="00C952ED" w:rsidRPr="0013396E" w:rsidRDefault="00C952ED" w:rsidP="00C952ED">
            <w:pPr>
              <w:spacing w:after="240"/>
              <w:ind w:left="720" w:hanging="720"/>
              <w:rPr>
                <w:snapToGrid w:val="0"/>
              </w:rPr>
            </w:pPr>
            <w:r w:rsidRPr="0013396E">
              <w:rPr>
                <w:iCs/>
              </w:rPr>
              <w:t>(1)</w:t>
            </w:r>
            <w:r w:rsidRPr="0013396E">
              <w:rPr>
                <w:iCs/>
              </w:rPr>
              <w:tab/>
              <w:t>A DC-Coupled Resource that does not meet any of the conditions in paragraph (1) of Section 3.8.7, DC-Coupled Resources,</w:t>
            </w:r>
            <w:r w:rsidRPr="0013396E">
              <w:rPr>
                <w:snapToGrid w:val="0"/>
              </w:rPr>
              <w:t xml:space="preserve"> shall adhere to the ramp rate restrictions established in Section 6.5.7.10, IRR Ramp Rate Limitations.</w:t>
            </w:r>
          </w:p>
        </w:tc>
      </w:tr>
    </w:tbl>
    <w:p w14:paraId="35FFCD19" w14:textId="77777777" w:rsidR="001F04FD" w:rsidRPr="0013396E" w:rsidRDefault="001F04FD" w:rsidP="001F04FD">
      <w:pPr>
        <w:pStyle w:val="H3"/>
        <w:spacing w:before="480"/>
      </w:pPr>
      <w:bookmarkStart w:id="1077" w:name="_Toc236220138"/>
      <w:r w:rsidRPr="0013396E">
        <w:t>6.5.8</w:t>
      </w:r>
      <w:r w:rsidRPr="0013396E">
        <w:tab/>
      </w:r>
      <w:bookmarkEnd w:id="1061"/>
      <w:r w:rsidRPr="0013396E">
        <w:t>Verbal Dispatch Instruction</w:t>
      </w:r>
      <w:bookmarkEnd w:id="1062"/>
      <w:bookmarkEnd w:id="1063"/>
      <w:bookmarkEnd w:id="1064"/>
      <w:bookmarkEnd w:id="1065"/>
      <w:bookmarkEnd w:id="1066"/>
      <w:bookmarkEnd w:id="1067"/>
      <w:bookmarkEnd w:id="1068"/>
      <w:bookmarkEnd w:id="1069"/>
      <w:r w:rsidRPr="0013396E">
        <w:t xml:space="preserve"> Confirmation</w:t>
      </w:r>
      <w:bookmarkEnd w:id="1070"/>
      <w:bookmarkEnd w:id="1071"/>
      <w:bookmarkEnd w:id="1072"/>
      <w:bookmarkEnd w:id="1073"/>
      <w:bookmarkEnd w:id="1074"/>
      <w:bookmarkEnd w:id="1075"/>
      <w:bookmarkEnd w:id="1077"/>
    </w:p>
    <w:p w14:paraId="316C19A4" w14:textId="4642F51D" w:rsidR="001F04FD" w:rsidRPr="0013396E" w:rsidRDefault="001F04FD" w:rsidP="001F04FD">
      <w:pPr>
        <w:spacing w:after="240"/>
        <w:ind w:left="720" w:hanging="720"/>
      </w:pPr>
      <w:r w:rsidRPr="0013396E">
        <w:t>(1)</w:t>
      </w:r>
      <w:r w:rsidRPr="0013396E">
        <w:tab/>
      </w:r>
      <w:r w:rsidR="009C679A" w:rsidRPr="0013396E">
        <w:t>Following the issuance of a VDI by ERCOT to a QSE for a Generation Resource or ESR, ERCOT will provide the QSE with an electronic confirmation of the VDI for Settlement purposes.</w:t>
      </w:r>
    </w:p>
    <w:p w14:paraId="1B206F17" w14:textId="280FA71D" w:rsidR="001F04FD" w:rsidRPr="0013396E" w:rsidRDefault="001F04FD" w:rsidP="005A7D8E">
      <w:pPr>
        <w:pStyle w:val="BodyText"/>
      </w:pPr>
      <w:r w:rsidRPr="0013396E">
        <w:lastRenderedPageBreak/>
        <w:t>(2)</w:t>
      </w:r>
      <w:r w:rsidRPr="0013396E">
        <w:tab/>
        <w:t>A VDI confirmation shall contain the following information:</w:t>
      </w:r>
    </w:p>
    <w:p w14:paraId="465275E9" w14:textId="77777777" w:rsidR="001F04FD" w:rsidRPr="0013396E" w:rsidRDefault="001F04FD" w:rsidP="001F04FD">
      <w:pPr>
        <w:tabs>
          <w:tab w:val="left" w:pos="720"/>
        </w:tabs>
        <w:spacing w:after="240"/>
        <w:ind w:left="1440" w:hanging="720"/>
      </w:pPr>
      <w:r w:rsidRPr="0013396E">
        <w:t>(a)</w:t>
      </w:r>
      <w:r w:rsidRPr="0013396E">
        <w:tab/>
        <w:t>Operating Day and time ERCOT issued the VDI;</w:t>
      </w:r>
    </w:p>
    <w:p w14:paraId="64823A18" w14:textId="77777777" w:rsidR="001F04FD" w:rsidRPr="0013396E" w:rsidRDefault="001F04FD" w:rsidP="001F04FD">
      <w:pPr>
        <w:pStyle w:val="List"/>
        <w:tabs>
          <w:tab w:val="left" w:pos="720"/>
        </w:tabs>
      </w:pPr>
      <w:r w:rsidRPr="0013396E">
        <w:t>(b)</w:t>
      </w:r>
      <w:r w:rsidRPr="0013396E">
        <w:tab/>
        <w:t xml:space="preserve">Identification of the QSE for the Resource(s) subject to the VDI, and instructing authority (including the names of the ERCOT Operator and individual that received the VDI); </w:t>
      </w:r>
    </w:p>
    <w:p w14:paraId="72FB8B60" w14:textId="77777777" w:rsidR="001F04FD" w:rsidRPr="0013396E" w:rsidRDefault="001F04FD" w:rsidP="001F04FD">
      <w:pPr>
        <w:pStyle w:val="List"/>
        <w:tabs>
          <w:tab w:val="left" w:pos="720"/>
        </w:tabs>
      </w:pPr>
      <w:r w:rsidRPr="0013396E">
        <w:t>(c)</w:t>
      </w:r>
      <w:r w:rsidRPr="0013396E">
        <w:tab/>
        <w:t>Identification of the specific Resource(s) subject to the VDI;</w:t>
      </w:r>
    </w:p>
    <w:p w14:paraId="371EC7DA" w14:textId="77777777" w:rsidR="001F04FD" w:rsidRPr="0013396E" w:rsidRDefault="001F04FD" w:rsidP="001F04FD">
      <w:pPr>
        <w:pStyle w:val="List"/>
        <w:tabs>
          <w:tab w:val="left" w:pos="720"/>
        </w:tabs>
      </w:pPr>
      <w:r w:rsidRPr="0013396E">
        <w:t>(d)</w:t>
      </w:r>
      <w:r w:rsidRPr="0013396E">
        <w:tab/>
        <w:t>Specific actions required of the Resource(s);</w:t>
      </w:r>
    </w:p>
    <w:p w14:paraId="32E5D847" w14:textId="77777777" w:rsidR="001F04FD" w:rsidRPr="0013396E" w:rsidRDefault="001F04FD" w:rsidP="001F04FD">
      <w:pPr>
        <w:pStyle w:val="List"/>
        <w:tabs>
          <w:tab w:val="left" w:pos="720"/>
        </w:tabs>
      </w:pPr>
      <w:r w:rsidRPr="0013396E">
        <w:t>(e)</w:t>
      </w:r>
      <w:r w:rsidRPr="0013396E">
        <w:tab/>
        <w:t>Beginning operating level or state of the Resource(s);</w:t>
      </w:r>
    </w:p>
    <w:p w14:paraId="36A6ECB7" w14:textId="77777777" w:rsidR="001F04FD" w:rsidRPr="0013396E" w:rsidRDefault="001F04FD" w:rsidP="001F04FD">
      <w:pPr>
        <w:pStyle w:val="List"/>
        <w:tabs>
          <w:tab w:val="left" w:pos="720"/>
        </w:tabs>
      </w:pPr>
      <w:r w:rsidRPr="0013396E">
        <w:t>(f)</w:t>
      </w:r>
      <w:r w:rsidRPr="0013396E">
        <w:tab/>
        <w:t>Instructed operating level or state of the Resource(s);</w:t>
      </w:r>
    </w:p>
    <w:p w14:paraId="3CD408EA" w14:textId="77777777" w:rsidR="001F04FD" w:rsidRPr="0013396E" w:rsidRDefault="001F04FD" w:rsidP="001F04FD">
      <w:pPr>
        <w:pStyle w:val="List"/>
        <w:tabs>
          <w:tab w:val="left" w:pos="720"/>
        </w:tabs>
      </w:pPr>
      <w:r w:rsidRPr="0013396E">
        <w:t>(g)</w:t>
      </w:r>
      <w:r w:rsidRPr="0013396E">
        <w:tab/>
        <w:t>Time at which the Resource(s) was required to initiate actions;</w:t>
      </w:r>
    </w:p>
    <w:p w14:paraId="2D66CA15" w14:textId="77777777" w:rsidR="001F04FD" w:rsidRPr="0013396E" w:rsidRDefault="001F04FD" w:rsidP="001F04FD">
      <w:pPr>
        <w:pStyle w:val="List"/>
        <w:tabs>
          <w:tab w:val="left" w:pos="720"/>
        </w:tabs>
      </w:pPr>
      <w:r w:rsidRPr="0013396E">
        <w:t>(h)</w:t>
      </w:r>
      <w:r w:rsidRPr="0013396E">
        <w:tab/>
        <w:t>Time by which the Resource(s) was required to complete actions; and</w:t>
      </w:r>
    </w:p>
    <w:p w14:paraId="5B634FA2" w14:textId="77777777" w:rsidR="001F04FD" w:rsidRPr="0013396E" w:rsidRDefault="001F04FD" w:rsidP="001F04FD">
      <w:pPr>
        <w:pStyle w:val="List"/>
        <w:tabs>
          <w:tab w:val="left" w:pos="720"/>
        </w:tabs>
      </w:pPr>
      <w:r w:rsidRPr="0013396E">
        <w:t>(i)</w:t>
      </w:r>
      <w:r w:rsidRPr="0013396E">
        <w:tab/>
        <w:t>Other information relevant to that Dispatch Instruction.</w:t>
      </w:r>
    </w:p>
    <w:p w14:paraId="0BF2E90C" w14:textId="77777777" w:rsidR="001F04FD" w:rsidRPr="0013396E" w:rsidRDefault="001F04FD" w:rsidP="001F04FD">
      <w:pPr>
        <w:spacing w:after="240"/>
        <w:ind w:left="720" w:hanging="720"/>
        <w:rPr>
          <w:b/>
          <w:bCs/>
          <w:i/>
        </w:rPr>
      </w:pPr>
      <w:bookmarkStart w:id="1078" w:name="_Toc73216023"/>
      <w:bookmarkStart w:id="1079" w:name="_Toc397504983"/>
      <w:bookmarkStart w:id="1080" w:name="_Toc402357111"/>
      <w:bookmarkStart w:id="1081" w:name="_Toc422486491"/>
      <w:bookmarkStart w:id="1082" w:name="_Toc433093343"/>
      <w:bookmarkStart w:id="1083" w:name="_Toc433093501"/>
      <w:bookmarkStart w:id="1084" w:name="_Toc440874729"/>
      <w:bookmarkStart w:id="1085" w:name="_Toc448142284"/>
      <w:bookmarkStart w:id="1086" w:name="_Toc448142441"/>
      <w:r w:rsidRPr="0013396E">
        <w:t>(3)</w:t>
      </w:r>
      <w:r w:rsidRPr="0013396E">
        <w:tab/>
        <w:t>Following receipt by the QSE of the VDI confirmation issued by ERCOT, the QSE shall provide ERCOT with electronic acknowledgement of the VDI confirmation.</w:t>
      </w:r>
    </w:p>
    <w:p w14:paraId="00E33A1E" w14:textId="77777777" w:rsidR="001F04FD" w:rsidRPr="0013396E" w:rsidRDefault="001F04FD" w:rsidP="001F04FD">
      <w:pPr>
        <w:pStyle w:val="H3"/>
        <w:spacing w:before="480"/>
      </w:pPr>
      <w:bookmarkStart w:id="1087" w:name="_Toc458770278"/>
      <w:bookmarkStart w:id="1088" w:name="_Toc459294246"/>
      <w:bookmarkStart w:id="1089" w:name="_Toc463262739"/>
      <w:bookmarkStart w:id="1090" w:name="_Toc468286812"/>
      <w:bookmarkStart w:id="1091" w:name="_Toc481502858"/>
      <w:bookmarkStart w:id="1092" w:name="_Toc496080026"/>
      <w:bookmarkStart w:id="1093" w:name="_Toc236220139"/>
      <w:r w:rsidRPr="0013396E">
        <w:t>6.5.9</w:t>
      </w:r>
      <w:r w:rsidRPr="0013396E">
        <w:tab/>
        <w:t>Emergency Operations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14:paraId="283952B0" w14:textId="77777777" w:rsidR="001F04FD" w:rsidRPr="0013396E" w:rsidRDefault="001F04FD" w:rsidP="001F04FD">
      <w:pPr>
        <w:pStyle w:val="BodyTextNumbered"/>
      </w:pPr>
      <w:r w:rsidRPr="0013396E">
        <w:t>(1)</w:t>
      </w:r>
      <w:r w:rsidRPr="0013396E">
        <w:tab/>
        <w:t xml:space="preserve">ERCOT, based on ERCOT System reliability needs, may issue a Dispatch Instruction requiring a Resource to move to a specific output level (“Emergency Base Point”).  </w:t>
      </w:r>
    </w:p>
    <w:p w14:paraId="3A25EFD9" w14:textId="77777777" w:rsidR="001F04FD" w:rsidRPr="0013396E" w:rsidRDefault="001F04FD" w:rsidP="001F04FD">
      <w:pPr>
        <w:pStyle w:val="BodyTextNumbered"/>
      </w:pPr>
      <w:r w:rsidRPr="0013396E">
        <w:t>(2)</w:t>
      </w:r>
      <w:r w:rsidRPr="0013396E">
        <w:tab/>
        <w:t>A QF may only be ordered Off-Line in the case of an ERCOT-declared Emergency Condition with imminent threat to the reliability of the ERCOT System.  ERCOT may only Dispatch a QF below its LSL when ERCOT has declared an Emergency Condition and the QF is the only Resource that can provide the necessary relief.</w:t>
      </w:r>
    </w:p>
    <w:p w14:paraId="5C6F28DE" w14:textId="77777777" w:rsidR="001F04FD" w:rsidRPr="0013396E" w:rsidRDefault="001F04FD" w:rsidP="001F04FD">
      <w:pPr>
        <w:pStyle w:val="BodyTextNumbered"/>
      </w:pPr>
      <w:r w:rsidRPr="0013396E">
        <w:t>(3)</w:t>
      </w:r>
      <w:r w:rsidRPr="0013396E">
        <w:tab/>
        <w:t xml:space="preserve">ERCOT shall honor all Resource operating parameters in Dispatch Instructions under normal conditions and Emergency Conditions.  During Emergency Conditions, ERCOT may verbally request QSEs to operate its Resources outside normal operating parameters.  If such request is received by a QSE, the QSE shall discuss the request with ERCOT in good faith and may choose to comply with the request.  </w:t>
      </w:r>
    </w:p>
    <w:p w14:paraId="2F7FA451" w14:textId="77777777" w:rsidR="001F04FD" w:rsidRPr="0013396E" w:rsidRDefault="001F04FD" w:rsidP="001F04FD">
      <w:pPr>
        <w:pStyle w:val="BodyTextNumbered"/>
      </w:pPr>
      <w:r w:rsidRPr="0013396E">
        <w:t>(4)</w:t>
      </w:r>
      <w:r w:rsidRPr="0013396E">
        <w:tab/>
        <w:t>A QSE may not self-arrange for Ancillary Services procured in response to Emergency Conditions.</w:t>
      </w:r>
    </w:p>
    <w:p w14:paraId="4ECF7ED5" w14:textId="77777777" w:rsidR="001F04FD" w:rsidRPr="0013396E" w:rsidRDefault="001F04FD" w:rsidP="001F04FD">
      <w:pPr>
        <w:pStyle w:val="H4"/>
        <w:spacing w:before="480"/>
        <w:ind w:left="1267" w:hanging="1267"/>
      </w:pPr>
      <w:bookmarkStart w:id="1094" w:name="_Toc73216024"/>
      <w:bookmarkStart w:id="1095" w:name="_Toc397504984"/>
      <w:bookmarkStart w:id="1096" w:name="_Toc402357112"/>
      <w:bookmarkStart w:id="1097" w:name="_Toc422486492"/>
      <w:bookmarkStart w:id="1098" w:name="_Toc433093344"/>
      <w:bookmarkStart w:id="1099" w:name="_Toc433093502"/>
      <w:bookmarkStart w:id="1100" w:name="_Toc440874730"/>
      <w:bookmarkStart w:id="1101" w:name="_Toc448142285"/>
      <w:bookmarkStart w:id="1102" w:name="_Toc448142442"/>
      <w:bookmarkStart w:id="1103" w:name="_Toc458770279"/>
      <w:bookmarkStart w:id="1104" w:name="_Toc459294247"/>
      <w:bookmarkStart w:id="1105" w:name="_Toc463262740"/>
      <w:bookmarkStart w:id="1106" w:name="_Toc468286813"/>
      <w:bookmarkStart w:id="1107" w:name="_Toc481502859"/>
      <w:bookmarkStart w:id="1108" w:name="_Toc496080027"/>
      <w:bookmarkStart w:id="1109" w:name="_Toc236220140"/>
      <w:r w:rsidRPr="0013396E">
        <w:lastRenderedPageBreak/>
        <w:t>6.5.9.1</w:t>
      </w:r>
      <w:r w:rsidRPr="0013396E">
        <w:tab/>
        <w:t>Emergency and Short Supply Operation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09418F31" w14:textId="42256625" w:rsidR="001F04FD" w:rsidRPr="0013396E" w:rsidRDefault="001F04FD" w:rsidP="001F04FD">
      <w:pPr>
        <w:pStyle w:val="BodyTextNumbered"/>
      </w:pPr>
      <w:r w:rsidRPr="0013396E">
        <w:t>(1)</w:t>
      </w:r>
      <w:r w:rsidRPr="0013396E">
        <w:tab/>
        <w:t>ERCOT is responsible for maintaining reliability in normal and Emergency Conditions.  The Operating Guides are intended to ensure that minimum standards for reliability are maintained.  Minimum standards for reliability are defined by the Operating Guides and the NERC Reliability Standards and include, but are not limited to:</w:t>
      </w:r>
    </w:p>
    <w:p w14:paraId="331F0E2A" w14:textId="77777777" w:rsidR="001F04FD" w:rsidRPr="0013396E" w:rsidRDefault="001F04FD" w:rsidP="001F04FD">
      <w:pPr>
        <w:pStyle w:val="List"/>
      </w:pPr>
      <w:r w:rsidRPr="0013396E">
        <w:t>(a)</w:t>
      </w:r>
      <w:r w:rsidRPr="0013396E">
        <w:tab/>
        <w:t>Minimum operating reserve levels;</w:t>
      </w:r>
    </w:p>
    <w:p w14:paraId="496F200C" w14:textId="77777777" w:rsidR="001F04FD" w:rsidRPr="0013396E" w:rsidRDefault="001F04FD" w:rsidP="001F04FD">
      <w:pPr>
        <w:pStyle w:val="List"/>
      </w:pPr>
      <w:r w:rsidRPr="0013396E">
        <w:t>(b)</w:t>
      </w:r>
      <w:r w:rsidRPr="0013396E">
        <w:tab/>
        <w:t>Criteria for determining acceptable operation of the frequency control system;</w:t>
      </w:r>
    </w:p>
    <w:p w14:paraId="472D4E71" w14:textId="77777777" w:rsidR="001F04FD" w:rsidRPr="0013396E" w:rsidRDefault="001F04FD" w:rsidP="001F04FD">
      <w:pPr>
        <w:pStyle w:val="List"/>
      </w:pPr>
      <w:r w:rsidRPr="0013396E">
        <w:t>(c)</w:t>
      </w:r>
      <w:r w:rsidRPr="0013396E">
        <w:tab/>
        <w:t>Criteria for determining and maintaining system voltages within acceptable limits;</w:t>
      </w:r>
    </w:p>
    <w:p w14:paraId="302715FA" w14:textId="77777777" w:rsidR="001F04FD" w:rsidRPr="0013396E" w:rsidRDefault="001F04FD" w:rsidP="001F04FD">
      <w:pPr>
        <w:pStyle w:val="List"/>
      </w:pPr>
      <w:r w:rsidRPr="0013396E">
        <w:t>(d)</w:t>
      </w:r>
      <w:r w:rsidRPr="0013396E">
        <w:tab/>
        <w:t>Criteria for maximum acceptable transmission equipment loading levels; and</w:t>
      </w:r>
    </w:p>
    <w:p w14:paraId="6682D1E3" w14:textId="77777777" w:rsidR="001F04FD" w:rsidRPr="0013396E" w:rsidRDefault="001F04FD" w:rsidP="001F04FD">
      <w:pPr>
        <w:pStyle w:val="List"/>
      </w:pPr>
      <w:r w:rsidRPr="0013396E">
        <w:t>(e)</w:t>
      </w:r>
      <w:r w:rsidRPr="0013396E">
        <w:tab/>
        <w:t>Criteria for determining when ERCOT is subject to unacceptable risk of widespread cascading Outages.</w:t>
      </w:r>
    </w:p>
    <w:p w14:paraId="43BAE8E7" w14:textId="77777777" w:rsidR="001F04FD" w:rsidRPr="0013396E" w:rsidRDefault="001F04FD" w:rsidP="001F04FD">
      <w:pPr>
        <w:pStyle w:val="BodyTextNumbered"/>
      </w:pPr>
      <w:r w:rsidRPr="0013396E">
        <w:t>(2)</w:t>
      </w:r>
      <w:r w:rsidRPr="0013396E">
        <w:tab/>
        <w:t>ERCOT shall, to the fullest extent practicable, utilize the Day-Ahead process, the Adjustment Period process, and the Real-Time process before ordering Resources to specific output levels with Emergency Base Point instructions.  It is anticipated that, with effective and timely communication, the market-based tools available to ERCOT will avert most threats to the reliability of the ERCOT System.  However, these Protocols do not preclude ERCOT from taking any action to preserve the integrity of the ERCOT System.</w:t>
      </w:r>
    </w:p>
    <w:p w14:paraId="7485ADEC" w14:textId="77777777" w:rsidR="001F04FD" w:rsidRPr="0013396E" w:rsidRDefault="001F04FD" w:rsidP="001F04FD">
      <w:pPr>
        <w:pStyle w:val="H4"/>
        <w:spacing w:before="480"/>
        <w:ind w:left="1267" w:hanging="1267"/>
      </w:pPr>
      <w:bookmarkStart w:id="1110" w:name="_Toc73216025"/>
      <w:bookmarkStart w:id="1111" w:name="_Toc397504985"/>
      <w:bookmarkStart w:id="1112" w:name="_Toc402357113"/>
      <w:bookmarkStart w:id="1113" w:name="_Toc422486493"/>
      <w:bookmarkStart w:id="1114" w:name="_Toc433093345"/>
      <w:bookmarkStart w:id="1115" w:name="_Toc433093503"/>
      <w:bookmarkStart w:id="1116" w:name="_Toc440874731"/>
      <w:bookmarkStart w:id="1117" w:name="_Toc448142286"/>
      <w:bookmarkStart w:id="1118" w:name="_Toc448142443"/>
      <w:bookmarkStart w:id="1119" w:name="_Toc458770280"/>
      <w:bookmarkStart w:id="1120" w:name="_Toc459294248"/>
      <w:bookmarkStart w:id="1121" w:name="_Toc463262741"/>
      <w:bookmarkStart w:id="1122" w:name="_Toc468286814"/>
      <w:bookmarkStart w:id="1123" w:name="_Toc481502860"/>
      <w:bookmarkStart w:id="1124" w:name="_Toc496080028"/>
      <w:bookmarkStart w:id="1125" w:name="_Toc236220141"/>
      <w:r w:rsidRPr="0013396E">
        <w:t>6.5.9.2</w:t>
      </w:r>
      <w:r w:rsidRPr="0013396E">
        <w:tab/>
        <w:t>Failure of the SCED Process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14:paraId="476E25EE" w14:textId="77777777" w:rsidR="001F04FD" w:rsidRPr="0013396E" w:rsidRDefault="001F04FD" w:rsidP="001F04FD">
      <w:pPr>
        <w:pStyle w:val="BodyTextNumbered"/>
      </w:pPr>
      <w:r w:rsidRPr="0013396E">
        <w:t>(1)</w:t>
      </w:r>
      <w:r w:rsidRPr="0013396E">
        <w:tab/>
        <w:t>When the SCED process is not able to reach a solution, ERCOT shall issue a Watch.</w:t>
      </w:r>
    </w:p>
    <w:p w14:paraId="67B1E437" w14:textId="596B9DAB" w:rsidR="001F04FD" w:rsidRPr="0013396E" w:rsidRDefault="001F04FD" w:rsidP="001F04FD">
      <w:pPr>
        <w:pStyle w:val="BodyTextNumbered"/>
      </w:pPr>
      <w:r w:rsidRPr="0013396E">
        <w:t>(2)</w:t>
      </w:r>
      <w:r w:rsidRPr="0013396E">
        <w:tab/>
      </w:r>
      <w:r w:rsidR="009C679A" w:rsidRPr="0013396E">
        <w:t>For intervals that the SCED process fails to reach a solution, then the LMPs, Real-Time MCPCs, Real-Time Reliability Deployment Price Adders for Energy, and Real-Time Reliability Deployment Price Adders for Ancillary Service for the interval for which no solution was reached are equal to the LMPs, Real-Time MCPCs, Real-Time Reliability Deployment Price Adders for Energy, and Real-Time Reliability Deployment Price Adders for Ancillary Service</w:t>
      </w:r>
      <w:r w:rsidR="009C679A" w:rsidRPr="0013396E" w:rsidDel="00235893">
        <w:t xml:space="preserve"> </w:t>
      </w:r>
      <w:r w:rsidR="009C679A" w:rsidRPr="0013396E">
        <w:t>in the most recently solved interval.  For Settlement Intervals that the Real-Time Settlement Point Prices are identified as erroneous, and ERCOT sets the SCED intervals as failed in accordance with Section 6.3, Adjustment Period and Real-Time Operations Timeline, then the LMPs, Real-Time MCPCs, Real-Time Reliability Deployment Price Adders for Energy, and Real-Time Reliability Deployment Price Adders</w:t>
      </w:r>
      <w:r w:rsidR="009C679A" w:rsidRPr="0013396E" w:rsidDel="00235893">
        <w:t xml:space="preserve"> </w:t>
      </w:r>
      <w:r w:rsidR="009C679A" w:rsidRPr="0013396E">
        <w:t>for Ancillary Service,</w:t>
      </w:r>
      <w:r w:rsidR="009C679A" w:rsidRPr="0013396E" w:rsidDel="00235893">
        <w:t xml:space="preserve"> </w:t>
      </w:r>
      <w:r w:rsidR="009C679A" w:rsidRPr="0013396E">
        <w:t xml:space="preserve">for the failed SCED intervals are equal to the LMPs, Real-Time MCPCs, Real-Time Reliability Deployment Price Adders for Energy, and Real-Time Reliability Deployment Price Adders for Ancillary Service, in the most recently solved SCED interval that is not set as failed.  ERCOT shall notify the market of the failure by posting on the ERCOT website.  For intervals covering the first 15 minutes of SCED process execution following a failure, ERCOT shall set the LMPs, Real-Time MCPCs, Real-Time Reliability Deployment Price Adders for Energy, and </w:t>
      </w:r>
      <w:r w:rsidR="009C679A" w:rsidRPr="0013396E">
        <w:lastRenderedPageBreak/>
        <w:t>Real-Time Reliability Deployment Price Adders for Ancillary Service, equal to the LMPs, Real-Time MCPCs, Real-Time Reliability Deployment Price Adders for Energy, and Real-Time Reliability Deployment Price Adders for Ancillary Service, in the most recently solved SCED interval prior to the SCED process failure.  ERCOT shall notify the market of this price correction by posting on the ERCOT website.</w:t>
      </w:r>
    </w:p>
    <w:p w14:paraId="2E8CFA22" w14:textId="02A356E1" w:rsidR="00882A2C" w:rsidRPr="0013396E" w:rsidRDefault="00882A2C" w:rsidP="005A7D8E">
      <w:pPr>
        <w:spacing w:after="240"/>
        <w:ind w:left="720" w:hanging="720"/>
      </w:pPr>
      <w:r w:rsidRPr="0013396E">
        <w:t>(3)</w:t>
      </w:r>
      <w:r w:rsidRPr="0013396E">
        <w:tab/>
        <w:t>In the event that a Market Suspension is declared in accordance with Section 25, Market Suspension and Restart, upon the effective date and time of the Market Suspension, the Market Suspension Settlement methodology set forth in Section 25.5, Market Suspension and Market Restart Settlement, will supersede the provisions set forth in paragraph (2) above.</w:t>
      </w:r>
    </w:p>
    <w:p w14:paraId="7164B042" w14:textId="77777777" w:rsidR="001F04FD" w:rsidRPr="0013396E" w:rsidRDefault="001F04FD" w:rsidP="00882A2C">
      <w:pPr>
        <w:pStyle w:val="BodyTextNumbered"/>
      </w:pPr>
      <w:r w:rsidRPr="0013396E">
        <w:t>(</w:t>
      </w:r>
      <w:r w:rsidR="00882A2C" w:rsidRPr="0013396E">
        <w:t>4</w:t>
      </w:r>
      <w:r w:rsidRPr="0013396E">
        <w:t>)</w:t>
      </w:r>
      <w:r w:rsidRPr="0013396E">
        <w:tab/>
        <w:t>Once ERCOT issues a Watch for a SCED process failure, ERCOT may use any of the following measures:</w:t>
      </w:r>
    </w:p>
    <w:p w14:paraId="3ECABFE0" w14:textId="12D7EB41" w:rsidR="001F04FD" w:rsidRPr="0013396E" w:rsidRDefault="001F04FD" w:rsidP="001F04FD">
      <w:pPr>
        <w:pStyle w:val="List"/>
      </w:pPr>
      <w:r w:rsidRPr="0013396E">
        <w:t>(a)</w:t>
      </w:r>
      <w:r w:rsidRPr="0013396E">
        <w:tab/>
      </w:r>
      <w:r w:rsidR="009C679A" w:rsidRPr="0013396E">
        <w:t>ERCOT may direct the SCED process to relax the active transmission constraints;</w:t>
      </w:r>
    </w:p>
    <w:p w14:paraId="032FBD6F" w14:textId="6BF5DA7C" w:rsidR="001F04FD" w:rsidRPr="0013396E" w:rsidRDefault="001F04FD" w:rsidP="005A7D8E">
      <w:pPr>
        <w:pStyle w:val="List"/>
      </w:pPr>
      <w:r w:rsidRPr="0013396E">
        <w:t>(b)</w:t>
      </w:r>
      <w:r w:rsidRPr="0013396E">
        <w:tab/>
        <w:t>ERCOT may issue Emergency Base Points for Resources;</w:t>
      </w:r>
    </w:p>
    <w:p w14:paraId="5983029F" w14:textId="77777777" w:rsidR="001F04FD" w:rsidRPr="0013396E" w:rsidRDefault="001F04FD" w:rsidP="001F04FD">
      <w:pPr>
        <w:pStyle w:val="List"/>
      </w:pPr>
      <w:r w:rsidRPr="0013396E">
        <w:t>(c)</w:t>
      </w:r>
      <w:r w:rsidRPr="0013396E">
        <w:tab/>
        <w:t>ERCOT may manually issue Emergency Base Points for a Resource and must communicate the Resource name, MW output requested, and start time and duration of the Dispatch Instruction to the QSE representing the Resource;</w:t>
      </w:r>
    </w:p>
    <w:p w14:paraId="1208698E" w14:textId="77777777" w:rsidR="001F04FD" w:rsidRPr="0013396E" w:rsidRDefault="001F04FD" w:rsidP="001F04FD">
      <w:pPr>
        <w:pStyle w:val="List"/>
      </w:pPr>
      <w:r w:rsidRPr="0013396E">
        <w:t>(d)</w:t>
      </w:r>
      <w:r w:rsidRPr="0013396E">
        <w:tab/>
        <w:t>ERCOT may issue an instruction to hold the previous interval; and</w:t>
      </w:r>
    </w:p>
    <w:p w14:paraId="67C62441" w14:textId="77777777" w:rsidR="001F04FD" w:rsidRPr="0013396E" w:rsidRDefault="001F04FD" w:rsidP="001F04FD">
      <w:pPr>
        <w:pStyle w:val="List"/>
      </w:pPr>
      <w:r w:rsidRPr="0013396E">
        <w:t>(e)</w:t>
      </w:r>
      <w:r w:rsidRPr="0013396E">
        <w:tab/>
        <w:t>A QF, a hydro Generation Resource, or a nuclear-powered Resource may be instructed by ERCOT to operate below its LSL only after all other Resource options have been exhausted.</w:t>
      </w:r>
    </w:p>
    <w:p w14:paraId="3769D03E" w14:textId="77777777" w:rsidR="001F04FD" w:rsidRPr="0013396E" w:rsidRDefault="001F04FD" w:rsidP="001F04FD">
      <w:pPr>
        <w:pStyle w:val="BodyTextNumbered"/>
      </w:pPr>
      <w:r w:rsidRPr="0013396E">
        <w:t>(</w:t>
      </w:r>
      <w:r w:rsidR="00882A2C" w:rsidRPr="0013396E">
        <w:t>5</w:t>
      </w:r>
      <w:r w:rsidRPr="0013396E">
        <w:t>)</w:t>
      </w:r>
      <w:r w:rsidRPr="0013396E">
        <w:tab/>
        <w:t>The Watch continues until the SCED process can reach a solution without using the measures in paragraph (</w:t>
      </w:r>
      <w:r w:rsidR="00882A2C" w:rsidRPr="0013396E">
        <w:t>4</w:t>
      </w:r>
      <w:r w:rsidRPr="0013396E">
        <w:t>) above.</w:t>
      </w:r>
    </w:p>
    <w:p w14:paraId="7166B350" w14:textId="6A11BE2D" w:rsidR="001F04FD" w:rsidRPr="0013396E" w:rsidRDefault="001F04FD" w:rsidP="001F04FD">
      <w:pPr>
        <w:pStyle w:val="H4"/>
        <w:spacing w:before="480"/>
        <w:ind w:left="1267" w:hanging="1267"/>
      </w:pPr>
      <w:bookmarkStart w:id="1126" w:name="_Toc73216029"/>
      <w:bookmarkStart w:id="1127" w:name="_Toc397504986"/>
      <w:bookmarkStart w:id="1128" w:name="_Toc402357114"/>
      <w:bookmarkStart w:id="1129" w:name="_Toc422486494"/>
      <w:bookmarkStart w:id="1130" w:name="_Toc433093346"/>
      <w:bookmarkStart w:id="1131" w:name="_Toc433093504"/>
      <w:bookmarkStart w:id="1132" w:name="_Toc440874732"/>
      <w:bookmarkStart w:id="1133" w:name="_Toc448142287"/>
      <w:bookmarkStart w:id="1134" w:name="_Toc448142444"/>
      <w:bookmarkStart w:id="1135" w:name="_Toc458770281"/>
      <w:bookmarkStart w:id="1136" w:name="_Toc459294249"/>
      <w:bookmarkStart w:id="1137" w:name="_Toc463262742"/>
      <w:bookmarkStart w:id="1138" w:name="_Toc468286815"/>
      <w:bookmarkStart w:id="1139" w:name="_Toc481502861"/>
      <w:bookmarkStart w:id="1140" w:name="_Toc496080029"/>
      <w:bookmarkStart w:id="1141" w:name="_Toc236220142"/>
      <w:r w:rsidRPr="0013396E">
        <w:t>6.5.9.3</w:t>
      </w:r>
      <w:r w:rsidRPr="0013396E">
        <w:tab/>
        <w:t xml:space="preserve">Communication </w:t>
      </w:r>
      <w:r w:rsidR="002D28ED" w:rsidRPr="0013396E">
        <w:t>Prior to and During</w:t>
      </w:r>
      <w:r w:rsidRPr="0013396E">
        <w:t xml:space="preserve"> Emergency Conditions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14:paraId="0BF9E745" w14:textId="77777777" w:rsidR="001F04FD" w:rsidRPr="0013396E" w:rsidRDefault="001F04FD" w:rsidP="001F04FD">
      <w:pPr>
        <w:pStyle w:val="BodyTextNumbered"/>
      </w:pPr>
      <w:r w:rsidRPr="0013396E">
        <w:t>(1)</w:t>
      </w:r>
      <w:r w:rsidRPr="0013396E">
        <w:tab/>
        <w:t>Effective, accurate, and timely communication between ERCOT, TSPs, and QSEs is essential.  Each QSE must be provided adequate information to make informed decisions and must receive the information with sufficient advance notice to facilitate Resource and Load responses.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94CCC" w:rsidRPr="0013396E" w14:paraId="1D133276" w14:textId="77777777" w:rsidTr="004510FA">
        <w:trPr>
          <w:trHeight w:val="206"/>
        </w:trPr>
        <w:tc>
          <w:tcPr>
            <w:tcW w:w="9576" w:type="dxa"/>
            <w:shd w:val="pct12" w:color="auto" w:fill="auto"/>
          </w:tcPr>
          <w:p w14:paraId="0D2A086D" w14:textId="4FED3FA0" w:rsidR="00094CCC" w:rsidRPr="0013396E" w:rsidRDefault="00094CCC" w:rsidP="004510FA">
            <w:pPr>
              <w:pStyle w:val="Instructions"/>
              <w:spacing w:before="120"/>
            </w:pPr>
            <w:r w:rsidRPr="0013396E">
              <w:t>[NPRR857:  Replace paragraph (1) above with the following upon system implementation</w:t>
            </w:r>
            <w:r w:rsidR="004A5B0B" w:rsidRPr="0013396E">
              <w:t xml:space="preserve"> </w:t>
            </w:r>
            <w:r w:rsidR="004A5B0B" w:rsidRPr="0013396E">
              <w:rPr>
                <w:bCs/>
                <w:iCs w:val="0"/>
              </w:rPr>
              <w:t xml:space="preserve">and </w:t>
            </w:r>
            <w:r w:rsidR="004A5B0B" w:rsidRPr="0013396E">
              <w:t xml:space="preserve">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w:t>
            </w:r>
            <w:r w:rsidR="004A5B0B" w:rsidRPr="0013396E">
              <w:lastRenderedPageBreak/>
              <w:t>interconnection; and (b) The financial security required to fund the interconnection facilities</w:t>
            </w:r>
            <w:r w:rsidRPr="0013396E">
              <w:t>:]</w:t>
            </w:r>
          </w:p>
          <w:p w14:paraId="20920694" w14:textId="77777777" w:rsidR="00094CCC" w:rsidRPr="0013396E" w:rsidRDefault="00094CCC" w:rsidP="00094CCC">
            <w:pPr>
              <w:spacing w:after="240"/>
              <w:ind w:left="720" w:hanging="720"/>
            </w:pPr>
            <w:r w:rsidRPr="0013396E">
              <w:t>(1)</w:t>
            </w:r>
            <w:r w:rsidRPr="0013396E">
              <w:tab/>
              <w:t>Effective, accurate, and timely communication between ERCOT, TSPs, DCTOs, and QSEs is essential.  Each QSE must be provided adequate information to make informed decisions and must receive the information with sufficient advance notice to facilitate Resource and Load responses.</w:t>
            </w:r>
          </w:p>
        </w:tc>
      </w:tr>
    </w:tbl>
    <w:p w14:paraId="0483926B" w14:textId="77777777" w:rsidR="001F04FD" w:rsidRPr="0013396E" w:rsidRDefault="001F04FD" w:rsidP="0099247E">
      <w:pPr>
        <w:pStyle w:val="BodyTextNumbered"/>
        <w:spacing w:before="240"/>
      </w:pPr>
      <w:r w:rsidRPr="0013396E">
        <w:lastRenderedPageBreak/>
        <w:t>(2)</w:t>
      </w:r>
      <w:r w:rsidRPr="0013396E">
        <w:tab/>
        <w:t>The type of communication ERCOT issues is determined primarily on the basis of the time available for the market to respond before an Emergency Condition occurs.  The timing of these communications could range from days in advance to immediate.  If there is insufficient time to allow the market to react, ERCOT may bypass one or more of the communication steps.</w:t>
      </w:r>
    </w:p>
    <w:p w14:paraId="4694B32A" w14:textId="45B9B185" w:rsidR="001F04FD" w:rsidRPr="0013396E" w:rsidRDefault="001F04FD" w:rsidP="001F04FD">
      <w:pPr>
        <w:pStyle w:val="BodyTextNumbered"/>
      </w:pPr>
      <w:r w:rsidRPr="0013396E">
        <w:t>(3)</w:t>
      </w:r>
      <w:r w:rsidRPr="0013396E">
        <w:tab/>
        <w:t xml:space="preserve">ERCOT shall consider the severity of the potential Emergency Condition as it determines which of the communications </w:t>
      </w:r>
      <w:r w:rsidR="002D28ED" w:rsidRPr="0013396E">
        <w:t xml:space="preserve">to use as </w:t>
      </w:r>
      <w:r w:rsidRPr="0013396E">
        <w:t xml:space="preserve">set forth in </w:t>
      </w:r>
      <w:r w:rsidR="002D28ED" w:rsidRPr="0013396E">
        <w:t>the following subsections</w:t>
      </w:r>
      <w:r w:rsidRPr="0013396E">
        <w:t xml:space="preserve">.  The severity of the Emergency Condition could be limited to an isolated local area, or the condition might cover large areas affecting several </w:t>
      </w:r>
      <w:r w:rsidRPr="0013396E">
        <w:rPr>
          <w:iCs/>
        </w:rPr>
        <w:t>entities</w:t>
      </w:r>
      <w:r w:rsidRPr="0013396E">
        <w:t>, or the condition might be an ERCOT-wide condition potentially affecting the entire ERCOT System.</w:t>
      </w:r>
    </w:p>
    <w:p w14:paraId="51AA371C" w14:textId="77777777" w:rsidR="001F04FD" w:rsidRPr="0013396E" w:rsidRDefault="001F04FD" w:rsidP="001F04FD">
      <w:pPr>
        <w:pStyle w:val="BodyTextNumbered"/>
      </w:pPr>
      <w:r w:rsidRPr="0013396E">
        <w:t>(4)</w:t>
      </w:r>
      <w:r w:rsidRPr="0013396E">
        <w:tab/>
        <w:t>The following Sections describe the types of communications that will be issued by ERCOT to inform all QSEs and TSPs of the operating situation.  These communications may relate to transmission, distribution, or Generation or Load Resources.  The communications must specify the severity of the situation, the area affected, the areas potentially affected, and the anticipated duration of the Emergency Condition.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8659C" w:rsidRPr="0013396E" w14:paraId="4A60ADE5" w14:textId="77777777" w:rsidTr="0098659C">
        <w:trPr>
          <w:trHeight w:val="296"/>
        </w:trPr>
        <w:tc>
          <w:tcPr>
            <w:tcW w:w="9576" w:type="dxa"/>
            <w:shd w:val="pct12" w:color="auto" w:fill="auto"/>
          </w:tcPr>
          <w:p w14:paraId="0A1119BF" w14:textId="5AB09341" w:rsidR="0098659C" w:rsidRPr="0013396E" w:rsidRDefault="0098659C" w:rsidP="004510FA">
            <w:pPr>
              <w:pStyle w:val="Instructions"/>
              <w:spacing w:before="120"/>
            </w:pPr>
            <w:bookmarkStart w:id="1142" w:name="_Toc482720113"/>
            <w:bookmarkStart w:id="1143" w:name="_Toc74137360"/>
            <w:bookmarkStart w:id="1144" w:name="_Toc397504987"/>
            <w:bookmarkStart w:id="1145" w:name="_Toc402357115"/>
            <w:bookmarkStart w:id="1146" w:name="_Toc422486495"/>
            <w:bookmarkStart w:id="1147" w:name="_Toc433093347"/>
            <w:bookmarkStart w:id="1148" w:name="_Toc433093505"/>
            <w:bookmarkStart w:id="1149" w:name="_Toc440874733"/>
            <w:bookmarkStart w:id="1150" w:name="_Toc448142288"/>
            <w:bookmarkStart w:id="1151" w:name="_Toc448142445"/>
            <w:bookmarkStart w:id="1152" w:name="_Toc458770282"/>
            <w:bookmarkStart w:id="1153" w:name="_Toc459294250"/>
            <w:bookmarkStart w:id="1154" w:name="_Toc463262743"/>
            <w:bookmarkStart w:id="1155" w:name="_Toc468286816"/>
            <w:bookmarkStart w:id="1156" w:name="_Toc481502862"/>
            <w:bookmarkStart w:id="1157" w:name="_Toc496080030"/>
            <w:r w:rsidRPr="0013396E">
              <w:t>[NPRR857:  Replace paragraph (4)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4D156F6E" w14:textId="77777777" w:rsidR="0098659C" w:rsidRPr="0013396E" w:rsidRDefault="0098659C" w:rsidP="0098659C">
            <w:pPr>
              <w:spacing w:after="240"/>
              <w:ind w:left="720" w:hanging="720"/>
            </w:pPr>
            <w:r w:rsidRPr="0013396E">
              <w:t>(4)</w:t>
            </w:r>
            <w:r w:rsidRPr="0013396E">
              <w:tab/>
              <w:t>The following Sections describe the types of communications that will be issued by ERCOT to inform all QSEs, TSPs, and DCTOs of the operating situation.  These communications may relate to transmission, distribution, or Generation or Load Resources.  The communications must specify the severity of the situation, the area affected, the areas potentially affected, and the anticipated duration of the Emergency Condition.</w:t>
            </w:r>
          </w:p>
        </w:tc>
      </w:tr>
    </w:tbl>
    <w:p w14:paraId="79FC0959" w14:textId="77777777" w:rsidR="001F04FD" w:rsidRPr="0013396E" w:rsidRDefault="001F04FD" w:rsidP="001F04FD">
      <w:pPr>
        <w:pStyle w:val="H5"/>
        <w:spacing w:before="480"/>
        <w:ind w:left="1627" w:hanging="1627"/>
      </w:pPr>
      <w:bookmarkStart w:id="1158" w:name="_Toc236220143"/>
      <w:r w:rsidRPr="0013396E">
        <w:lastRenderedPageBreak/>
        <w:t>6.5.9.3.1</w:t>
      </w:r>
      <w:r w:rsidRPr="0013396E">
        <w:tab/>
      </w:r>
      <w:bookmarkEnd w:id="1142"/>
      <w:bookmarkEnd w:id="1143"/>
      <w:r w:rsidRPr="0013396E">
        <w:t>Operating Condition Notice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14:paraId="54FF8F65" w14:textId="6F833910" w:rsidR="001F04FD" w:rsidRPr="0013396E" w:rsidRDefault="001F04FD" w:rsidP="001F04FD">
      <w:pPr>
        <w:pStyle w:val="BodyTextNumbered"/>
      </w:pPr>
      <w:r w:rsidRPr="0013396E">
        <w:t>(1)</w:t>
      </w:r>
      <w:r w:rsidRPr="0013396E">
        <w:tab/>
        <w:t xml:space="preserve">ERCOT will issue an Operating Condition Notice (OCN) to inform </w:t>
      </w:r>
      <w:r w:rsidR="001C0FEC" w:rsidRPr="0013396E">
        <w:t>Market Participants</w:t>
      </w:r>
      <w:r w:rsidRPr="0013396E">
        <w:t xml:space="preserve"> of a possible future need for more Resources due to conditions that could affect ERCOT System reliability.  OCNs are for informational purposes only, and ERCOT exercises no additional operational authority with the issuance of this type of notice, but may solicit additional information from QSEs in order to determine whether the issuance of an Advisory, Watch, or Emergency Notice is warranted.  The OCN is the first of </w:t>
      </w:r>
      <w:r w:rsidR="002D28ED" w:rsidRPr="0013396E">
        <w:t>three</w:t>
      </w:r>
      <w:r w:rsidRPr="0013396E">
        <w:t xml:space="preserve"> levels of communication issued by ERCOT in anticipation of a possible Emergency Condition. </w:t>
      </w:r>
    </w:p>
    <w:p w14:paraId="6B2CFD77" w14:textId="18310703" w:rsidR="001F04FD" w:rsidRPr="0013396E" w:rsidRDefault="001F04FD" w:rsidP="001F04FD">
      <w:pPr>
        <w:pStyle w:val="BodyTextNumbered"/>
      </w:pPr>
      <w:r w:rsidRPr="0013396E">
        <w:t>(2)</w:t>
      </w:r>
      <w:r w:rsidRPr="0013396E">
        <w:tab/>
        <w:t xml:space="preserve">When time permits, ERCOT will issue an OCN before issuing an Advisory, Watch, or Emergency Notice.  However, issuance of an OCN may not require action on the part of any Market Participant, but rather serves as a </w:t>
      </w:r>
      <w:r w:rsidR="001C0FEC" w:rsidRPr="0013396E">
        <w:t>notice to Market Participants</w:t>
      </w:r>
      <w:r w:rsidRPr="0013396E">
        <w:t xml:space="preserve"> that some attention to the changing conditions may be warranted.  OCNs serve to communicate to QSEs the need to take extra precautions to be prepared to serve the Load during times when contingencies are most likely to arise.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8659C" w:rsidRPr="0013396E" w14:paraId="3BBA6EF9" w14:textId="77777777" w:rsidTr="004510FA">
        <w:trPr>
          <w:trHeight w:val="296"/>
        </w:trPr>
        <w:tc>
          <w:tcPr>
            <w:tcW w:w="9576" w:type="dxa"/>
            <w:shd w:val="pct12" w:color="auto" w:fill="auto"/>
          </w:tcPr>
          <w:p w14:paraId="3804AE06" w14:textId="0DE9D728" w:rsidR="0098659C" w:rsidRPr="0013396E" w:rsidRDefault="0098659C" w:rsidP="004510FA">
            <w:pPr>
              <w:pStyle w:val="Instructions"/>
              <w:spacing w:before="120"/>
            </w:pPr>
            <w:r w:rsidRPr="0013396E">
              <w:t>[NPRR857:  Replace paragraph (2)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2694F652" w14:textId="4DE04635" w:rsidR="0098659C" w:rsidRPr="0013396E" w:rsidRDefault="0098659C" w:rsidP="0098659C">
            <w:pPr>
              <w:spacing w:after="240"/>
              <w:ind w:left="720" w:hanging="720"/>
            </w:pPr>
            <w:r w:rsidRPr="0013396E">
              <w:t>(2)</w:t>
            </w:r>
            <w:r w:rsidRPr="0013396E">
              <w:tab/>
              <w:t xml:space="preserve">When time permits, ERCOT will issue an OCN before issuing an Advisory, Watch, or Emergency Notice.  However, issuance of an OCN may not require action on the part of any Market Participant, but rather serves as </w:t>
            </w:r>
            <w:r w:rsidR="001C0FEC" w:rsidRPr="0013396E">
              <w:t>notice to Market Participants</w:t>
            </w:r>
            <w:r w:rsidRPr="0013396E">
              <w:t xml:space="preserve"> that some attention to the changing conditions may be warranted.  OCNs serve to communicate to QSEs the need to take extra precautions to be prepared to serve the Load during times when contingencies are most likely to arise.</w:t>
            </w:r>
          </w:p>
        </w:tc>
      </w:tr>
    </w:tbl>
    <w:p w14:paraId="7A400F5C" w14:textId="12921AA9" w:rsidR="001F04FD" w:rsidRPr="0013396E" w:rsidRDefault="001F04FD" w:rsidP="0099247E">
      <w:pPr>
        <w:pStyle w:val="BodyTextNumbered"/>
        <w:spacing w:before="240"/>
      </w:pPr>
      <w:r w:rsidRPr="0013396E">
        <w:t>(3)</w:t>
      </w:r>
      <w:r w:rsidRPr="0013396E">
        <w:tab/>
        <w:t xml:space="preserve">Reasons for OCNs include, but are not limited to, unplanned transmission Outages, </w:t>
      </w:r>
      <w:r w:rsidR="002D28ED" w:rsidRPr="0013396E">
        <w:t xml:space="preserve">insufficient Resources to meet forecasted conditions, </w:t>
      </w:r>
      <w:r w:rsidRPr="0013396E">
        <w:t>and weather-related concerns such as anticipated freezing temperatures, hurricanes, wet weather, and ice storms.</w:t>
      </w:r>
    </w:p>
    <w:p w14:paraId="069A3283" w14:textId="77777777" w:rsidR="001F04FD" w:rsidRPr="0013396E" w:rsidRDefault="001F04FD" w:rsidP="001F04FD">
      <w:pPr>
        <w:pStyle w:val="BodyTextNumbered"/>
      </w:pPr>
      <w:r w:rsidRPr="0013396E">
        <w:t>(4)</w:t>
      </w:r>
      <w:r w:rsidRPr="0013396E">
        <w:tab/>
        <w:t xml:space="preserve">ERCOT will monitor actual and forecasted weather for the ERCOT Region and adjacent NERC regions.  When adverse weather conditions are expected, ERCOT may confer with TSPs and QSEs regarding the potential for adverse reliability impacts and contingency preparedness.  Based on its assessment of the potential for adverse conditions, ERCOT may require information from QSEs representing Resources regarding the Resources’ fuel capabilities.  Requests for this type of information shall be for a time period of no more than seven days from the date of the request.  The specific information that may be requested shall be defined in the Operating Guides.  QSEs representing Resources shall </w:t>
      </w:r>
      <w:r w:rsidRPr="0013396E">
        <w:lastRenderedPageBreak/>
        <w:t>provide the requested information in a timely manner, as defined by ERCOT at the time of the request.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8659C" w:rsidRPr="0013396E" w14:paraId="312F1F5A" w14:textId="77777777" w:rsidTr="004510FA">
        <w:trPr>
          <w:trHeight w:val="296"/>
        </w:trPr>
        <w:tc>
          <w:tcPr>
            <w:tcW w:w="9576" w:type="dxa"/>
            <w:shd w:val="pct12" w:color="auto" w:fill="auto"/>
          </w:tcPr>
          <w:p w14:paraId="64908941" w14:textId="31BDCA35" w:rsidR="0098659C" w:rsidRPr="0013396E" w:rsidRDefault="0098659C" w:rsidP="004510FA">
            <w:pPr>
              <w:pStyle w:val="Instructions"/>
              <w:spacing w:before="120"/>
            </w:pPr>
            <w:r w:rsidRPr="0013396E">
              <w:t>[NPRR857:  Replace paragraph (4)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17EE6F43" w14:textId="77777777" w:rsidR="0098659C" w:rsidRPr="0013396E" w:rsidRDefault="0098659C" w:rsidP="0098659C">
            <w:pPr>
              <w:spacing w:after="240"/>
              <w:ind w:left="720" w:hanging="720"/>
            </w:pPr>
            <w:r w:rsidRPr="0013396E">
              <w:t>(4)</w:t>
            </w:r>
            <w:r w:rsidRPr="0013396E">
              <w:tab/>
              <w:t>ERCOT will monitor actual and forecasted weather for the ERCOT Region and adjacent NERC regions.  When adverse weather conditions are expected, ERCOT may confer with TSPs, DCTOs, and QSEs regarding the potential for adverse reliability impacts and contingency preparedness.  Based on its assessment of the potential for adverse conditions, ERCOT may require information from QSEs representing Resources regarding the Resources’ fuel capabilities.  Requests for this type of information shall be for a time period of no more than seven days from the date of the request.  The specific information that may be requested shall be defined in the Operating Guides.  QSEs representing Resources shall provide the requested information in a timely manner, as defined by ERCOT at the time of the request.</w:t>
            </w:r>
          </w:p>
        </w:tc>
      </w:tr>
    </w:tbl>
    <w:p w14:paraId="77D29A81" w14:textId="77777777" w:rsidR="001F04FD" w:rsidRPr="0013396E" w:rsidRDefault="001F04FD" w:rsidP="0099247E">
      <w:pPr>
        <w:pStyle w:val="BodyTextNumbered"/>
        <w:spacing w:before="240"/>
      </w:pPr>
      <w:r w:rsidRPr="0013396E">
        <w:t>(5)</w:t>
      </w:r>
      <w:r w:rsidRPr="0013396E">
        <w:tab/>
        <w:t>QSEs and TSPs are expected to establish and maintain internal procedures for monitoring actual and forecasted weather and for implementing appropriate measures when the potential for adverse weather or other conditions (which could threaten ERCOT System reliability) arise.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8659C" w:rsidRPr="0013396E" w14:paraId="580B35C8" w14:textId="77777777" w:rsidTr="00FB1DA3">
        <w:trPr>
          <w:trHeight w:val="296"/>
        </w:trPr>
        <w:tc>
          <w:tcPr>
            <w:tcW w:w="9350" w:type="dxa"/>
            <w:shd w:val="pct12" w:color="auto" w:fill="auto"/>
          </w:tcPr>
          <w:p w14:paraId="657E4CC2" w14:textId="6A13C152" w:rsidR="0098659C" w:rsidRPr="0013396E" w:rsidRDefault="0098659C" w:rsidP="004510FA">
            <w:pPr>
              <w:pStyle w:val="Instructions"/>
              <w:spacing w:before="120"/>
            </w:pPr>
            <w:bookmarkStart w:id="1159" w:name="_Toc397504988"/>
            <w:bookmarkStart w:id="1160" w:name="_Toc402357116"/>
            <w:bookmarkStart w:id="1161" w:name="_Toc422486496"/>
            <w:bookmarkStart w:id="1162" w:name="_Toc433093348"/>
            <w:bookmarkStart w:id="1163" w:name="_Toc433093506"/>
            <w:bookmarkStart w:id="1164" w:name="_Toc440874734"/>
            <w:bookmarkStart w:id="1165" w:name="_Toc448142289"/>
            <w:bookmarkStart w:id="1166" w:name="_Toc448142446"/>
            <w:bookmarkStart w:id="1167" w:name="_Toc458770283"/>
            <w:bookmarkStart w:id="1168" w:name="_Toc459294251"/>
            <w:bookmarkStart w:id="1169" w:name="_Toc463262744"/>
            <w:bookmarkStart w:id="1170" w:name="_Toc468286817"/>
            <w:bookmarkStart w:id="1171" w:name="_Toc481502863"/>
            <w:bookmarkStart w:id="1172" w:name="_Toc496080031"/>
            <w:r w:rsidRPr="0013396E">
              <w:t>[NPRR857:  Replace paragraph (5)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39539F18" w14:textId="77777777" w:rsidR="0098659C" w:rsidRPr="0013396E" w:rsidRDefault="0098659C" w:rsidP="0098659C">
            <w:pPr>
              <w:spacing w:after="240"/>
              <w:ind w:left="720" w:hanging="720"/>
            </w:pPr>
            <w:r w:rsidRPr="0013396E">
              <w:t>(5)</w:t>
            </w:r>
            <w:r w:rsidRPr="0013396E">
              <w:tab/>
              <w:t>QSEs, TSPs, and DCTOs are expected to establish and maintain internal procedures for monitoring actual and forecasted weather and for implementing appropriate measures when the potential for adverse weather or other conditions (which could threaten ERCOT System reliability) arise.</w:t>
            </w:r>
          </w:p>
        </w:tc>
      </w:tr>
    </w:tbl>
    <w:p w14:paraId="0E8BB6CB" w14:textId="77777777" w:rsidR="00FB1DA3" w:rsidRPr="0013396E" w:rsidRDefault="00FB1DA3" w:rsidP="00FB1DA3">
      <w:pPr>
        <w:pStyle w:val="H4"/>
        <w:tabs>
          <w:tab w:val="clear" w:pos="1260"/>
          <w:tab w:val="left" w:pos="1620"/>
        </w:tabs>
        <w:spacing w:before="480"/>
        <w:ind w:left="1627" w:hanging="1627"/>
        <w:outlineLvl w:val="4"/>
        <w:rPr>
          <w:b w:val="0"/>
          <w:bCs w:val="0"/>
          <w:iCs/>
        </w:rPr>
      </w:pPr>
      <w:bookmarkStart w:id="1173" w:name="_Toc236220144"/>
      <w:r w:rsidRPr="0013396E">
        <w:rPr>
          <w:iCs/>
        </w:rPr>
        <w:lastRenderedPageBreak/>
        <w:t>6.5.9.3.1.1</w:t>
      </w:r>
      <w:r w:rsidRPr="0013396E">
        <w:rPr>
          <w:iCs/>
        </w:rPr>
        <w:tab/>
        <w:t>Advance Action Notice</w:t>
      </w:r>
      <w:bookmarkEnd w:id="1173"/>
    </w:p>
    <w:p w14:paraId="20F04EFB" w14:textId="77777777" w:rsidR="00FB1DA3" w:rsidRPr="0013396E" w:rsidRDefault="00FB1DA3" w:rsidP="00FB1DA3">
      <w:pPr>
        <w:pStyle w:val="BodyTextNumbered"/>
      </w:pPr>
      <w:r w:rsidRPr="0013396E">
        <w:t xml:space="preserve">(1) </w:t>
      </w:r>
      <w:r w:rsidRPr="0013396E">
        <w:tab/>
        <w:t>ERCOT may issue an AAN in anticipation of a possible Emergency Condition.  Any AAN will identify actions ERCOT expects to take to address the possible Emergency Condition unless the need for ERCOT action is alleviated by QSE and/or TSP actions taken, or by other system developments that occur, before a time stated in the AAN.</w:t>
      </w:r>
    </w:p>
    <w:p w14:paraId="3E12C6BB" w14:textId="77777777" w:rsidR="00FB1DA3" w:rsidRPr="0013396E" w:rsidRDefault="00FB1DA3" w:rsidP="00FB1DA3">
      <w:pPr>
        <w:pStyle w:val="BodyTextNumbered"/>
      </w:pPr>
      <w:r w:rsidRPr="0013396E">
        <w:t>(2)</w:t>
      </w:r>
      <w:r w:rsidRPr="0013396E">
        <w:tab/>
        <w:t xml:space="preserve">An AAN may not require action on the part of any Market Participant but may include additional information so that Market Participants can modify their plans in such a way that mitigates the need for ERCOT to take additional actions.  </w:t>
      </w:r>
    </w:p>
    <w:p w14:paraId="411B203C" w14:textId="715EBBB6" w:rsidR="009676E9" w:rsidRPr="0013396E" w:rsidRDefault="00FB1DA3" w:rsidP="00FB1DA3">
      <w:pPr>
        <w:pStyle w:val="BodyTextNumbered"/>
      </w:pPr>
      <w:r w:rsidRPr="0013396E">
        <w:t xml:space="preserve">(3) </w:t>
      </w:r>
      <w:r w:rsidRPr="0013396E">
        <w:tab/>
        <w:t>An AAN will be canceled if ERCOT determines that the possible Emergency Condition has been alleviated by QSE or TSP action, by ERCOT action, or by other system developments.</w:t>
      </w:r>
    </w:p>
    <w:p w14:paraId="695C36A4" w14:textId="77777777" w:rsidR="001F04FD" w:rsidRPr="0013396E" w:rsidRDefault="001F04FD" w:rsidP="001B11AD">
      <w:pPr>
        <w:pStyle w:val="H5"/>
        <w:ind w:left="1627" w:hanging="1627"/>
      </w:pPr>
      <w:bookmarkStart w:id="1174" w:name="_Toc236220145"/>
      <w:r w:rsidRPr="0013396E">
        <w:t>6.5.9.3.2</w:t>
      </w:r>
      <w:r w:rsidRPr="0013396E">
        <w:tab/>
        <w:t>Advisory</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4"/>
    </w:p>
    <w:p w14:paraId="11A91922" w14:textId="3721E85A" w:rsidR="001F04FD" w:rsidRPr="0013396E" w:rsidRDefault="001F04FD" w:rsidP="001F04FD">
      <w:pPr>
        <w:pStyle w:val="BodyTextNumbered"/>
      </w:pPr>
      <w:r w:rsidRPr="0013396E">
        <w:t>(1)</w:t>
      </w:r>
      <w:r w:rsidRPr="0013396E">
        <w:tab/>
        <w:t xml:space="preserve">An Advisory is the second of </w:t>
      </w:r>
      <w:r w:rsidR="002D28ED" w:rsidRPr="0013396E">
        <w:t>three</w:t>
      </w:r>
      <w:r w:rsidRPr="0013396E">
        <w:t xml:space="preserve"> levels of communication issued by ERCOT in anticipation of a possible Emergency Condition. </w:t>
      </w:r>
    </w:p>
    <w:p w14:paraId="1F35E1E1" w14:textId="77777777" w:rsidR="001F04FD" w:rsidRPr="0013396E" w:rsidRDefault="001F04FD" w:rsidP="001F04FD">
      <w:pPr>
        <w:pStyle w:val="BodyTextNumbered"/>
      </w:pPr>
      <w:r w:rsidRPr="0013396E">
        <w:t>(2)</w:t>
      </w:r>
      <w:r w:rsidRPr="0013396E">
        <w:tab/>
        <w:t>ERCOT shall issue an Advisory for reasons such as, but not limited to, the following:</w:t>
      </w:r>
    </w:p>
    <w:p w14:paraId="712734E0" w14:textId="77777777" w:rsidR="001F04FD" w:rsidRPr="0013396E" w:rsidRDefault="001F04FD" w:rsidP="001F04FD">
      <w:pPr>
        <w:pStyle w:val="List"/>
      </w:pPr>
      <w:r w:rsidRPr="0013396E">
        <w:t>(a)</w:t>
      </w:r>
      <w:r w:rsidRPr="0013396E">
        <w:tab/>
        <w:t>When it recognizes that conditions are developing or have changed and more Ancillary Services will be needed to maintain current or near-term operating reliability;</w:t>
      </w:r>
    </w:p>
    <w:p w14:paraId="082461CD" w14:textId="77777777" w:rsidR="001F04FD" w:rsidRPr="0013396E" w:rsidRDefault="001F04FD" w:rsidP="001F04FD">
      <w:pPr>
        <w:pStyle w:val="List"/>
      </w:pPr>
      <w:r w:rsidRPr="0013396E">
        <w:t>(b)</w:t>
      </w:r>
      <w:r w:rsidRPr="0013396E">
        <w:tab/>
        <w:t>When weather or ERCOT System conditions require more lead-time than the normal DAM allows;</w:t>
      </w:r>
    </w:p>
    <w:p w14:paraId="76C8A2A7" w14:textId="77777777" w:rsidR="001F04FD" w:rsidRPr="0013396E" w:rsidRDefault="001F04FD" w:rsidP="001F04FD">
      <w:pPr>
        <w:pStyle w:val="List"/>
      </w:pPr>
      <w:r w:rsidRPr="0013396E">
        <w:t>(c)</w:t>
      </w:r>
      <w:r w:rsidRPr="0013396E">
        <w:tab/>
        <w:t>When communications or other controls are significantly limited; or</w:t>
      </w:r>
    </w:p>
    <w:p w14:paraId="0A14CED1" w14:textId="77777777" w:rsidR="001F04FD" w:rsidRPr="0013396E" w:rsidRDefault="001F04FD" w:rsidP="001F04FD">
      <w:pPr>
        <w:pStyle w:val="List"/>
      </w:pPr>
      <w:r w:rsidRPr="0013396E">
        <w:t>(d)</w:t>
      </w:r>
      <w:r w:rsidRPr="0013396E">
        <w:tab/>
        <w:t>When ERCOT Transmission Grid conditions are such that operations within security criteria as defined in the Operating Guides are not likely or possible because of Forced Outages or other conditions unless a Constraint Management Plan (CMP) exists.</w:t>
      </w:r>
    </w:p>
    <w:p w14:paraId="5B4EDC00" w14:textId="77777777" w:rsidR="001F04FD" w:rsidRPr="0013396E" w:rsidRDefault="001F04FD" w:rsidP="001F04FD">
      <w:pPr>
        <w:pStyle w:val="BodyTextNumbered"/>
      </w:pPr>
      <w:r w:rsidRPr="0013396E">
        <w:t>(3)</w:t>
      </w:r>
      <w:r w:rsidRPr="0013396E">
        <w:tab/>
        <w:t>The Advisory must communicate existing constraints.  ERCOT shall notify TSPs and QSEs of the Advisory, and QSEs shall notify appropriate Resources and Load Serving Entities (LSEs).  ERCOT shall communicate with TSPs as needed to confirm their understanding of the condition and to determine the availability of Transmission Facilities.  For the purposes of verifying submitted information, ERCOT may communicate with QSEs.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34C84" w:rsidRPr="0013396E" w14:paraId="7E677E4E" w14:textId="77777777" w:rsidTr="004510FA">
        <w:trPr>
          <w:trHeight w:val="296"/>
        </w:trPr>
        <w:tc>
          <w:tcPr>
            <w:tcW w:w="9576" w:type="dxa"/>
            <w:shd w:val="pct12" w:color="auto" w:fill="auto"/>
          </w:tcPr>
          <w:p w14:paraId="7B5ACF0D" w14:textId="0E04E051" w:rsidR="00634C84" w:rsidRPr="0013396E" w:rsidRDefault="00634C84" w:rsidP="004510FA">
            <w:pPr>
              <w:pStyle w:val="Instructions"/>
              <w:spacing w:before="120"/>
            </w:pPr>
            <w:r w:rsidRPr="0013396E">
              <w:t>[NPRR857:  Replace paragraph (3) above with the following upon system implementation</w:t>
            </w:r>
            <w:r w:rsidR="004A5B0B" w:rsidRPr="0013396E">
              <w:t xml:space="preserve"> </w:t>
            </w:r>
            <w:r w:rsidR="004A5B0B" w:rsidRPr="0013396E">
              <w:rPr>
                <w:bCs/>
                <w:iCs w:val="0"/>
              </w:rPr>
              <w:t xml:space="preserve">and </w:t>
            </w:r>
            <w:r w:rsidR="004A5B0B" w:rsidRPr="0013396E">
              <w:t xml:space="preserve">satisfying the following conditions: (1) Southern Cross provides ERCOT with funds to cover the entire estimated cost of the project; and (2) Southern Cross has signed an interconnection agreement with a TSP and the TSP gives ERCOT written notice that </w:t>
            </w:r>
            <w:r w:rsidR="004A5B0B" w:rsidRPr="0013396E">
              <w:lastRenderedPageBreak/>
              <w:t>Southern Cross has provided it with:  (a) Notice to proceed with the construction of the interconnection; and (b) The financial security required to fund the interconnection facilities</w:t>
            </w:r>
            <w:r w:rsidRPr="0013396E">
              <w:t>:]</w:t>
            </w:r>
          </w:p>
          <w:p w14:paraId="65C62ADE" w14:textId="77777777" w:rsidR="00634C84" w:rsidRPr="0013396E" w:rsidRDefault="00634C84" w:rsidP="00634C84">
            <w:pPr>
              <w:spacing w:after="240"/>
              <w:ind w:left="720" w:hanging="720"/>
            </w:pPr>
            <w:r w:rsidRPr="0013396E">
              <w:t>(3)</w:t>
            </w:r>
            <w:r w:rsidRPr="0013396E">
              <w:tab/>
              <w:t>The Advisory must communicate existing constraints.  ERCOT shall notify TSPs, DCTOs, and QSEs of the Advisory, and QSEs shall notify appropriate Resources and Load Serving Entities (LSEs).  ERCOT shall communicate with TSPs and DCTOs as needed to confirm their understanding of the condition and to determine the availability of Transmission Facilities.  For the purposes of verifying submitted information, ERCOT may communicate with QSEs.</w:t>
            </w:r>
          </w:p>
        </w:tc>
      </w:tr>
    </w:tbl>
    <w:p w14:paraId="6365799C" w14:textId="77777777" w:rsidR="001F04FD" w:rsidRPr="0013396E" w:rsidRDefault="001F04FD" w:rsidP="0099247E">
      <w:pPr>
        <w:pStyle w:val="BodyTextNumbered"/>
        <w:spacing w:before="240"/>
      </w:pPr>
      <w:r w:rsidRPr="0013396E">
        <w:lastRenderedPageBreak/>
        <w:t>(4)</w:t>
      </w:r>
      <w:r w:rsidRPr="0013396E">
        <w:tab/>
        <w:t>Although an Advisory is for information purposes, ERCOT may exercise its authority, in such circumstances, to increase Ancillary Service requirements above the quantities originally specified in the Day-Ahead in accordance with procedures.  ERCOT may require information from QSEs representing Resources regarding the Resources’ fuel capabilities.  Requests for this type of information shall be for a time period of no more than seven days from the date of the request.  The specific information that may be requested shall be defined in the Operating Guide.  QSEs representing Resources shall provide the requested information in a timely manner, as defined by ERCOT at the time of the request.</w:t>
      </w:r>
    </w:p>
    <w:p w14:paraId="084B6BC5" w14:textId="77777777" w:rsidR="001F04FD" w:rsidRPr="0013396E" w:rsidRDefault="001F04FD" w:rsidP="001F04FD">
      <w:pPr>
        <w:pStyle w:val="H5"/>
        <w:spacing w:before="480"/>
        <w:ind w:left="1627" w:hanging="1627"/>
      </w:pPr>
      <w:bookmarkStart w:id="1175" w:name="_Toc397504989"/>
      <w:bookmarkStart w:id="1176" w:name="_Toc402357117"/>
      <w:bookmarkStart w:id="1177" w:name="_Toc422486497"/>
      <w:bookmarkStart w:id="1178" w:name="_Toc433093349"/>
      <w:bookmarkStart w:id="1179" w:name="_Toc433093507"/>
      <w:bookmarkStart w:id="1180" w:name="_Toc440874735"/>
      <w:bookmarkStart w:id="1181" w:name="_Toc448142290"/>
      <w:bookmarkStart w:id="1182" w:name="_Toc448142447"/>
      <w:bookmarkStart w:id="1183" w:name="_Toc458770284"/>
      <w:bookmarkStart w:id="1184" w:name="_Toc459294252"/>
      <w:bookmarkStart w:id="1185" w:name="_Toc463262745"/>
      <w:bookmarkStart w:id="1186" w:name="_Toc468286818"/>
      <w:bookmarkStart w:id="1187" w:name="_Toc481502864"/>
      <w:bookmarkStart w:id="1188" w:name="_Toc496080032"/>
      <w:bookmarkStart w:id="1189" w:name="_Toc236220146"/>
      <w:r w:rsidRPr="0013396E">
        <w:t>6.5.9.3.3</w:t>
      </w:r>
      <w:r w:rsidRPr="0013396E">
        <w:tab/>
        <w:t>Watch</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507214BF" w14:textId="2ADBA6EE" w:rsidR="001F04FD" w:rsidRPr="0013396E" w:rsidRDefault="001F04FD" w:rsidP="001F04FD">
      <w:pPr>
        <w:pStyle w:val="BodyTextNumbered"/>
      </w:pPr>
      <w:r w:rsidRPr="0013396E">
        <w:t>(1)</w:t>
      </w:r>
      <w:r w:rsidRPr="0013396E">
        <w:tab/>
        <w:t xml:space="preserve">A Watch is the third of </w:t>
      </w:r>
      <w:r w:rsidR="002D28ED" w:rsidRPr="0013396E">
        <w:t>three</w:t>
      </w:r>
      <w:r w:rsidRPr="0013396E">
        <w:t xml:space="preserve"> levels of communication issued by ERCOT in anticipation of a possible Emergency Condition. </w:t>
      </w:r>
    </w:p>
    <w:p w14:paraId="4392B55C" w14:textId="77777777" w:rsidR="001F04FD" w:rsidRPr="0013396E" w:rsidRDefault="001F04FD" w:rsidP="001F04FD">
      <w:pPr>
        <w:pStyle w:val="BodyTextNumbered"/>
      </w:pPr>
      <w:r w:rsidRPr="0013396E">
        <w:t>(2)</w:t>
      </w:r>
      <w:r w:rsidRPr="0013396E">
        <w:tab/>
        <w:t>ERCOT shall issue a Watch when ERCOT determines that:</w:t>
      </w:r>
    </w:p>
    <w:p w14:paraId="20615872" w14:textId="232911C6" w:rsidR="001F04FD" w:rsidRPr="0013396E" w:rsidRDefault="001F04FD" w:rsidP="005A7D8E">
      <w:pPr>
        <w:pStyle w:val="List"/>
      </w:pPr>
      <w:r w:rsidRPr="0013396E">
        <w:t>(</w:t>
      </w:r>
      <w:r w:rsidR="009C679A">
        <w:t>a</w:t>
      </w:r>
      <w:r w:rsidRPr="0013396E">
        <w:t>)</w:t>
      </w:r>
      <w:r w:rsidRPr="0013396E">
        <w:tab/>
        <w:t>Market-based congestion management techniques embedded in SCED as specified in these Protocols will not be adequate to resolve transmission security violations;</w:t>
      </w:r>
    </w:p>
    <w:p w14:paraId="518ACB4E" w14:textId="1A7C8271" w:rsidR="001F04FD" w:rsidRPr="0013396E" w:rsidRDefault="001F04FD" w:rsidP="001F04FD">
      <w:pPr>
        <w:pStyle w:val="List"/>
      </w:pPr>
      <w:r w:rsidRPr="0013396E">
        <w:t>(</w:t>
      </w:r>
      <w:r w:rsidR="009C679A">
        <w:t>b</w:t>
      </w:r>
      <w:r w:rsidRPr="0013396E">
        <w:t>)</w:t>
      </w:r>
      <w:r w:rsidRPr="0013396E">
        <w:tab/>
        <w:t>Forced Outages or other abnormal operating conditions have occurred, or may occur that require operations with active violations of security criteria as defined in the Operating Guides unless a CMP exists;</w:t>
      </w:r>
    </w:p>
    <w:p w14:paraId="54A64A86" w14:textId="540F16A9" w:rsidR="001F04FD" w:rsidRPr="0013396E" w:rsidRDefault="001F04FD" w:rsidP="001F04FD">
      <w:pPr>
        <w:spacing w:after="240"/>
        <w:ind w:left="1440" w:hanging="720"/>
      </w:pPr>
      <w:r w:rsidRPr="0013396E">
        <w:t>(</w:t>
      </w:r>
      <w:r w:rsidR="009C679A">
        <w:t>c</w:t>
      </w:r>
      <w:r w:rsidRPr="0013396E">
        <w:t>)</w:t>
      </w:r>
      <w:r w:rsidRPr="0013396E">
        <w:tab/>
        <w:t>ERCOT varies from timing requirements or omits one or more Day-Ahead or Adjustment Period and Real-Time procedures;</w:t>
      </w:r>
    </w:p>
    <w:p w14:paraId="0A85D2B2" w14:textId="7ED96F43" w:rsidR="001F04FD" w:rsidRPr="0013396E" w:rsidRDefault="001F04FD" w:rsidP="001F04FD">
      <w:pPr>
        <w:spacing w:after="240"/>
        <w:ind w:left="1440" w:hanging="720"/>
      </w:pPr>
      <w:r w:rsidRPr="0013396E">
        <w:t>(</w:t>
      </w:r>
      <w:r w:rsidR="009C679A">
        <w:t>d</w:t>
      </w:r>
      <w:r w:rsidRPr="0013396E">
        <w:t>)</w:t>
      </w:r>
      <w:r w:rsidRPr="0013396E">
        <w:tab/>
        <w:t>ERCOT varies from timing requirements or omits one or more scheduling procedures in the Real-Time process; or</w:t>
      </w:r>
    </w:p>
    <w:p w14:paraId="4AF0AC3D" w14:textId="4FDFF160" w:rsidR="001F04FD" w:rsidRPr="0013396E" w:rsidRDefault="001F04FD" w:rsidP="001F04FD">
      <w:pPr>
        <w:pStyle w:val="List"/>
      </w:pPr>
      <w:r w:rsidRPr="0013396E">
        <w:t>(</w:t>
      </w:r>
      <w:r w:rsidR="009C679A">
        <w:t>e</w:t>
      </w:r>
      <w:r w:rsidRPr="0013396E">
        <w:t>)</w:t>
      </w:r>
      <w:r w:rsidRPr="0013396E">
        <w:tab/>
        <w:t>The SCED process fails to reach a solution, whether or not ERCOT is using one of the measures specified in paragraph (</w:t>
      </w:r>
      <w:r w:rsidR="00882A2C" w:rsidRPr="0013396E">
        <w:t>4</w:t>
      </w:r>
      <w:r w:rsidRPr="0013396E">
        <w:t>) of Section 6.5.9.2, Failure of the SCED Process.</w:t>
      </w:r>
    </w:p>
    <w:p w14:paraId="4EBABCE5" w14:textId="3257A328" w:rsidR="001F04FD" w:rsidRPr="0013396E" w:rsidRDefault="00F97FFD" w:rsidP="005A7D8E">
      <w:pPr>
        <w:pStyle w:val="BodyTextNumbered"/>
      </w:pPr>
      <w:r w:rsidRPr="0013396E">
        <w:lastRenderedPageBreak/>
        <w:t>(</w:t>
      </w:r>
      <w:r w:rsidR="009C679A">
        <w:t>3</w:t>
      </w:r>
      <w:r w:rsidRPr="0013396E">
        <w:t>)</w:t>
      </w:r>
      <w:r w:rsidRPr="0013396E">
        <w:tab/>
      </w:r>
      <w:r w:rsidR="001F04FD" w:rsidRPr="0013396E">
        <w:t xml:space="preserve">ERCOT shall post the Watch message electronically to the </w:t>
      </w:r>
      <w:r w:rsidR="0007207E" w:rsidRPr="0013396E">
        <w:t>ERCOT website</w:t>
      </w:r>
      <w:r w:rsidR="001F04FD" w:rsidRPr="0013396E">
        <w:t xml:space="preserve"> and shall provide verbal notice via the </w:t>
      </w:r>
      <w:r w:rsidR="001C0FEC" w:rsidRPr="0013396E">
        <w:t xml:space="preserve">TO </w:t>
      </w:r>
      <w:r w:rsidR="001F04FD" w:rsidRPr="0013396E">
        <w:t>Hotline</w:t>
      </w:r>
      <w:r w:rsidR="001C0FEC" w:rsidRPr="0013396E">
        <w:t xml:space="preserve"> and the QSE Hotline</w:t>
      </w:r>
      <w:r w:rsidR="001F04FD" w:rsidRPr="0013396E">
        <w:t>.  Corrective actions identified by ERCOT must be communicated through Dispatch Instructions to all TSPs, DSPs and QSEs required to implement the corrective action.  Each QSE shall immediately notify the Market Participants that it represents of the Watch.  To minimize the effects on the ERCOT System, each TSP or DSP shall identify and prepare to implement actions, including restoration of transmission lines as appropriate and preparing for Load shedding.  ERCOT may instruct TSPs or DSPs to reconfigure ERCOT System elements as necessary to improve the reliability of the ERCOT System.  On notice of a Watch, each QSE, TSP, and DSP shall prepare for an Emergency Condition in case conditions worsen.  ERCOT may require information from QSEs representing Resources regarding the Resources’ fuel capabilities.  Requests for this type of information shall be for a time period of no more than seven days from the date of the request.  The specific information that may be requested shall be defined in the Operating Guides.  QSEs representing Resources shall provide the requested information in a timely manner, as defined by ERCOT at the time of the request.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3302D0" w:rsidRPr="0013396E" w14:paraId="00EAF84E" w14:textId="77777777" w:rsidTr="004510FA">
        <w:trPr>
          <w:trHeight w:val="296"/>
        </w:trPr>
        <w:tc>
          <w:tcPr>
            <w:tcW w:w="9576" w:type="dxa"/>
            <w:shd w:val="pct12" w:color="auto" w:fill="auto"/>
          </w:tcPr>
          <w:p w14:paraId="6CED6D70" w14:textId="3E97BD95" w:rsidR="003302D0" w:rsidRPr="0013396E" w:rsidRDefault="003302D0" w:rsidP="004510FA">
            <w:pPr>
              <w:pStyle w:val="Instructions"/>
              <w:spacing w:before="120"/>
            </w:pPr>
            <w:bookmarkStart w:id="1190" w:name="_Toc397504990"/>
            <w:bookmarkStart w:id="1191" w:name="_Toc402357118"/>
            <w:bookmarkStart w:id="1192" w:name="_Toc422486498"/>
            <w:bookmarkStart w:id="1193" w:name="_Toc433093350"/>
            <w:bookmarkStart w:id="1194" w:name="_Toc433093508"/>
            <w:bookmarkStart w:id="1195" w:name="_Toc440874736"/>
            <w:bookmarkStart w:id="1196" w:name="_Toc448142291"/>
            <w:bookmarkStart w:id="1197" w:name="_Toc448142448"/>
            <w:bookmarkStart w:id="1198" w:name="_Toc458770285"/>
            <w:bookmarkStart w:id="1199" w:name="_Toc459294253"/>
            <w:bookmarkStart w:id="1200" w:name="_Toc463262746"/>
            <w:bookmarkStart w:id="1201" w:name="_Toc468286819"/>
            <w:bookmarkStart w:id="1202" w:name="_Toc481502865"/>
            <w:bookmarkStart w:id="1203" w:name="_Toc496080033"/>
            <w:r w:rsidRPr="0013396E">
              <w:t>[NPRR857:  Replace paragraph (</w:t>
            </w:r>
            <w:r w:rsidR="009C679A">
              <w:t>3</w:t>
            </w:r>
            <w:r w:rsidRPr="0013396E">
              <w:t>) above with the following upon system implementation</w:t>
            </w:r>
            <w:r w:rsidR="004A5B0B" w:rsidRPr="0013396E">
              <w:t xml:space="preserve"> </w:t>
            </w:r>
            <w:r w:rsidR="004A5B0B" w:rsidRPr="0013396E">
              <w:rPr>
                <w:bCs/>
                <w:iCs w:val="0"/>
              </w:rPr>
              <w:t xml:space="preserve">and </w:t>
            </w:r>
            <w:r w:rsidR="004A5B0B" w:rsidRPr="0013396E">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6B8C5021" w14:textId="3EB7BCA2" w:rsidR="003302D0" w:rsidRPr="0013396E" w:rsidRDefault="003302D0" w:rsidP="0007207E">
            <w:pPr>
              <w:spacing w:before="240" w:after="240"/>
              <w:ind w:left="720" w:hanging="720"/>
            </w:pPr>
            <w:r w:rsidRPr="0013396E">
              <w:t>(</w:t>
            </w:r>
            <w:r w:rsidR="009C679A">
              <w:t>3</w:t>
            </w:r>
            <w:r w:rsidRPr="0013396E">
              <w:t>)</w:t>
            </w:r>
            <w:r w:rsidRPr="0013396E">
              <w:tab/>
              <w:t xml:space="preserve">ERCOT shall post the Watch message electronically to the </w:t>
            </w:r>
            <w:r w:rsidR="0007207E" w:rsidRPr="0013396E">
              <w:t>ERCOT website</w:t>
            </w:r>
            <w:r w:rsidRPr="0013396E">
              <w:t xml:space="preserve"> and shall provide verbal notice via the </w:t>
            </w:r>
            <w:r w:rsidR="001C0FEC" w:rsidRPr="0013396E">
              <w:t xml:space="preserve">TO </w:t>
            </w:r>
            <w:r w:rsidRPr="0013396E">
              <w:t>Hotline</w:t>
            </w:r>
            <w:r w:rsidR="001C0FEC" w:rsidRPr="0013396E">
              <w:t xml:space="preserve"> and the QSE Hotline</w:t>
            </w:r>
            <w:r w:rsidRPr="0013396E">
              <w:t>.  Corrective actions identified by ERCOT must be communicated through Dispatch Instructions to all TSPs, DCTOs, DSPs and QSEs required to implement the corrective action.  Each QSE shall immediately notify the Market Participants that it represents of the Watch.  To minimize the effects on the ERCOT System, each TSP or DSP shall identify and prepare to implement actions, including restoration of transmission lines as appropriate and preparing for Load shedding.  ERCOT may instruct DCTOs, TSPs or DSPs to reconfigure ERCOT System elements as necessary to improve the reliability of the ERCOT System.  On notice of a Watch, each QSE, DCTO, TSP, and DSP shall prepare for an Emergency Condition in case conditions worsen.  ERCOT may require information from QSEs representing Resources regarding the Resources’ fuel capabilities.  Requests for this type of information shall be for a time period of no more than seven days from the date of the request.  The specific information that may be requested shall be defined in the Operating Guides.  QSEs representing Resources shall provide the requested information in a timely manner, as defined by ERCOT at the time of the request.</w:t>
            </w:r>
          </w:p>
        </w:tc>
      </w:tr>
    </w:tbl>
    <w:p w14:paraId="5144749E" w14:textId="77777777" w:rsidR="001F04FD" w:rsidRPr="0013396E" w:rsidRDefault="001F04FD" w:rsidP="001F04FD">
      <w:pPr>
        <w:pStyle w:val="H5"/>
        <w:spacing w:before="480"/>
        <w:ind w:left="1627" w:hanging="1627"/>
      </w:pPr>
      <w:bookmarkStart w:id="1204" w:name="_Toc236220147"/>
      <w:r w:rsidRPr="0013396E">
        <w:lastRenderedPageBreak/>
        <w:t>6.5.9.3.4</w:t>
      </w:r>
      <w:r w:rsidRPr="0013396E">
        <w:tab/>
        <w:t>Emergency Notice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14:paraId="4A3AB8A7" w14:textId="48A072FC" w:rsidR="001F04FD" w:rsidRPr="0013396E" w:rsidRDefault="001F04FD" w:rsidP="001F04FD">
      <w:pPr>
        <w:pStyle w:val="BodyTextNumbered"/>
      </w:pPr>
      <w:bookmarkStart w:id="1205" w:name="_Toc73216031"/>
      <w:r w:rsidRPr="0013396E">
        <w:t>(1)</w:t>
      </w:r>
      <w:r w:rsidRPr="0013396E">
        <w:tab/>
        <w:t>Emergency Notice is the communication issued by ERCOT when operating in an Emergency Condition.</w:t>
      </w:r>
    </w:p>
    <w:p w14:paraId="49CAA925" w14:textId="77777777" w:rsidR="001F04FD" w:rsidRPr="0013396E" w:rsidRDefault="001F04FD" w:rsidP="001F04FD">
      <w:pPr>
        <w:pStyle w:val="BodyTextNumbered"/>
      </w:pPr>
      <w:r w:rsidRPr="0013396E">
        <w:t>(2)</w:t>
      </w:r>
      <w:r w:rsidRPr="0013396E">
        <w:tab/>
        <w:t>ERCOT shall issue an Emergency Notice for one or both of the following reasons:</w:t>
      </w:r>
    </w:p>
    <w:p w14:paraId="7EC7DF68" w14:textId="77777777" w:rsidR="001F04FD" w:rsidRPr="0013396E" w:rsidRDefault="001F04FD" w:rsidP="001F04FD">
      <w:pPr>
        <w:pStyle w:val="List"/>
      </w:pPr>
      <w:r w:rsidRPr="0013396E">
        <w:t>(a)</w:t>
      </w:r>
      <w:r w:rsidRPr="0013396E">
        <w:tab/>
        <w:t>ERCOT cannot maintain minimum reliability standards (for reasons including fuel shortages) during the Operating Period using every Resource practicably obtainable from the market; or</w:t>
      </w:r>
    </w:p>
    <w:p w14:paraId="54D2995B" w14:textId="77777777" w:rsidR="001F04FD" w:rsidRPr="0013396E" w:rsidRDefault="001F04FD" w:rsidP="001F04FD">
      <w:pPr>
        <w:pStyle w:val="List"/>
      </w:pPr>
      <w:r w:rsidRPr="0013396E">
        <w:t>(b)</w:t>
      </w:r>
      <w:r w:rsidRPr="0013396E">
        <w:tab/>
        <w:t>Immediate action cannot be taken to avoid or relieve a Transmission Element operating above its Emergency Rating.</w:t>
      </w:r>
    </w:p>
    <w:p w14:paraId="2E522C93" w14:textId="77777777" w:rsidR="001F04FD" w:rsidRPr="0013396E" w:rsidRDefault="001F04FD" w:rsidP="001F04FD">
      <w:pPr>
        <w:pStyle w:val="BodyTextNumbered"/>
      </w:pPr>
      <w:r w:rsidRPr="0013396E">
        <w:t>(3)</w:t>
      </w:r>
      <w:r w:rsidRPr="0013396E">
        <w:tab/>
        <w:t>The actions ERCOT takes during an Emergency Condition depend on the nature and severity of the situation.</w:t>
      </w:r>
    </w:p>
    <w:p w14:paraId="2184C830" w14:textId="77777777" w:rsidR="001F04FD" w:rsidRPr="0013396E" w:rsidRDefault="001F04FD" w:rsidP="001F04FD">
      <w:pPr>
        <w:pStyle w:val="BodyTextNumbered"/>
      </w:pPr>
      <w:r w:rsidRPr="0013396E">
        <w:t>(4)</w:t>
      </w:r>
      <w:r w:rsidRPr="0013396E">
        <w:tab/>
        <w:t>ERCOT is considered to be in an Emergency Condition whenever ERCOT Transmission Grid status is such that a violation of security criteria, as defined in the Operating Guides, presents the threat of uncontrolled separation or cascading Outages and/or large-scale service disruption to Load (other than Load being served from a radial transmission line) and/or overload of a Transmission Element, and no timely solution is obtainable through SCED or CMPs.</w:t>
      </w:r>
    </w:p>
    <w:p w14:paraId="7E00A988" w14:textId="28DE8F45" w:rsidR="001F04FD" w:rsidRPr="0013396E" w:rsidRDefault="001F04FD" w:rsidP="001F04FD">
      <w:pPr>
        <w:pStyle w:val="BodyTextNumbered"/>
      </w:pPr>
      <w:r w:rsidRPr="0013396E">
        <w:t>(5)</w:t>
      </w:r>
      <w:r w:rsidRPr="0013396E">
        <w:tab/>
      </w:r>
      <w:r w:rsidR="00C43DEB" w:rsidRPr="0013396E">
        <w:t xml:space="preserve">If the Emergency Condition is the result of a transmission problem, ERCOT shall act immediately to return the ERCOT System to a reliable condition, including instructing </w:t>
      </w:r>
      <w:r w:rsidR="00C52BB8" w:rsidRPr="0013396E">
        <w:t xml:space="preserve">any QSE representing a </w:t>
      </w:r>
      <w:r w:rsidR="00C43DEB" w:rsidRPr="0013396E">
        <w:t xml:space="preserve">Resource to change </w:t>
      </w:r>
      <w:r w:rsidR="00C52BB8" w:rsidRPr="0013396E">
        <w:t xml:space="preserve">the Resource’s </w:t>
      </w:r>
      <w:r w:rsidR="00C43DEB" w:rsidRPr="0013396E">
        <w:t>output, curtailing any remaining DC Tie Load, and instructing TSPs or DSPs to drop Load.</w:t>
      </w:r>
      <w:r w:rsidR="00C52BB8" w:rsidRPr="0013396E">
        <w:t xml:space="preserve">  In addition, ERCOT may instruct any QSE representing an ESR to suspend ESR charging if ERCOT determines that a Load reduction by the ESR is capable of mitigating the transmission problem.  An ESR co-located behind a Point of Interconnection (POI) with onsite generation that is incapable of exporting additional power to the ERCOT System may continue to charge as long as maximum output to the ERCOT System is maintained.</w:t>
      </w:r>
    </w:p>
    <w:p w14:paraId="7145225C" w14:textId="720C962E" w:rsidR="00EE372C" w:rsidRPr="0013396E" w:rsidRDefault="00F22728" w:rsidP="008658D0">
      <w:pPr>
        <w:pStyle w:val="BodyTextNumbered"/>
      </w:pPr>
      <w:r w:rsidRPr="0013396E">
        <w:t>(6)</w:t>
      </w:r>
      <w:r w:rsidRPr="0013396E">
        <w:tab/>
        <w:t>In the event that Load is curtailed or Load Resource(s) or ERS Resource(s) are deployed due to a transmission problem as described in paragraph (5) above, ERCOT shall post within one day an operations message to the ERCOT website listing the event’s date, start and end time, MW quantity of Load curtailment or deployment instruction, and the substation(s) or geographic area in which the event occurred.</w:t>
      </w:r>
    </w:p>
    <w:p w14:paraId="6DF3F4D5" w14:textId="77777777" w:rsidR="001F04FD" w:rsidRPr="0013396E" w:rsidRDefault="001F04FD" w:rsidP="005A7D8E">
      <w:pPr>
        <w:pStyle w:val="H4"/>
        <w:ind w:left="1267" w:hanging="1267"/>
      </w:pPr>
      <w:bookmarkStart w:id="1206" w:name="_Toc397504991"/>
      <w:bookmarkStart w:id="1207" w:name="_Toc402357119"/>
      <w:bookmarkStart w:id="1208" w:name="_Toc422486499"/>
      <w:bookmarkStart w:id="1209" w:name="_Toc433093351"/>
      <w:bookmarkStart w:id="1210" w:name="_Toc433093509"/>
      <w:bookmarkStart w:id="1211" w:name="_Toc440874737"/>
      <w:bookmarkStart w:id="1212" w:name="_Toc448142292"/>
      <w:bookmarkStart w:id="1213" w:name="_Toc448142449"/>
      <w:bookmarkStart w:id="1214" w:name="_Toc458770286"/>
      <w:bookmarkStart w:id="1215" w:name="_Toc459294254"/>
      <w:bookmarkStart w:id="1216" w:name="_Toc463262747"/>
      <w:bookmarkStart w:id="1217" w:name="_Toc468286820"/>
      <w:bookmarkStart w:id="1218" w:name="_Toc481502866"/>
      <w:bookmarkStart w:id="1219" w:name="_Toc496080034"/>
      <w:bookmarkStart w:id="1220" w:name="_Toc236220148"/>
      <w:r w:rsidRPr="0013396E">
        <w:t>6.5.9.4</w:t>
      </w:r>
      <w:r w:rsidRPr="0013396E">
        <w:tab/>
        <w:t>Energy Emergency Alert</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14:paraId="430479B4" w14:textId="77777777" w:rsidR="001F04FD" w:rsidRPr="0013396E" w:rsidRDefault="001F04FD" w:rsidP="001F04FD">
      <w:pPr>
        <w:pStyle w:val="BodyTextNumbered"/>
      </w:pPr>
      <w:r w:rsidRPr="0013396E">
        <w:t>(1)</w:t>
      </w:r>
      <w:r w:rsidRPr="0013396E">
        <w:tab/>
        <w:t xml:space="preserve">At times it may be necessary to reduce ERCOT System Demand because of a temporary decrease in available electricity supply.  To provide orderly, predetermined procedures for curtailing Demand during such emergencies, ERCOT shall initiate and coordinate the implementation of the EEA following the steps set forth below in Section 6.5.9.4.2, EEA Levels.   </w:t>
      </w:r>
    </w:p>
    <w:p w14:paraId="1DBDBEA4" w14:textId="77777777" w:rsidR="001F04FD" w:rsidRPr="0013396E" w:rsidRDefault="001F04FD" w:rsidP="001F04FD">
      <w:pPr>
        <w:pStyle w:val="BodyTextNumbered"/>
      </w:pPr>
      <w:r w:rsidRPr="0013396E">
        <w:lastRenderedPageBreak/>
        <w:t>(2)</w:t>
      </w:r>
      <w:r w:rsidRPr="0013396E">
        <w:tab/>
        <w:t>The goal of the EEA is to provide for maximum possible continuity of service while maintaining the integrity of the ERCOT System to reduce the chance of cascading Outages.</w:t>
      </w:r>
    </w:p>
    <w:p w14:paraId="134761AA" w14:textId="77777777" w:rsidR="001F04FD" w:rsidRPr="0013396E" w:rsidRDefault="001F04FD" w:rsidP="001F04FD">
      <w:pPr>
        <w:pStyle w:val="BodyTextNumbered"/>
      </w:pPr>
      <w:r w:rsidRPr="0013396E">
        <w:t>(3)</w:t>
      </w:r>
      <w:r w:rsidRPr="0013396E">
        <w:tab/>
        <w:t xml:space="preserve">ERCOT’s operating procedures must meet the following goals: </w:t>
      </w:r>
    </w:p>
    <w:p w14:paraId="347A6032" w14:textId="77777777" w:rsidR="001F04FD" w:rsidRPr="0013396E" w:rsidRDefault="001F04FD" w:rsidP="001F04FD">
      <w:pPr>
        <w:pStyle w:val="List"/>
      </w:pPr>
      <w:r w:rsidRPr="0013396E">
        <w:t>(a)</w:t>
      </w:r>
      <w:r w:rsidRPr="0013396E">
        <w:tab/>
        <w:t>Use of market processes to the fullest extent practicable without jeopardizing the reliability of the ERCOT System;</w:t>
      </w:r>
    </w:p>
    <w:p w14:paraId="55C922CC" w14:textId="0F94CA77" w:rsidR="001F04FD" w:rsidRPr="0013396E" w:rsidRDefault="001F04FD" w:rsidP="001F04FD">
      <w:pPr>
        <w:pStyle w:val="List"/>
      </w:pPr>
      <w:r w:rsidRPr="0013396E">
        <w:t>(b)</w:t>
      </w:r>
      <w:r w:rsidRPr="0013396E">
        <w:tab/>
        <w:t xml:space="preserve">Use of RRS, </w:t>
      </w:r>
      <w:r w:rsidR="008611B7" w:rsidRPr="0013396E">
        <w:t xml:space="preserve">ECRS, </w:t>
      </w:r>
      <w:r w:rsidRPr="0013396E">
        <w:t>other Ancillary Services, and ERS to the extent permitted by ERCOT System conditions;</w:t>
      </w:r>
    </w:p>
    <w:p w14:paraId="63F55916" w14:textId="77777777" w:rsidR="001F04FD" w:rsidRPr="0013396E" w:rsidRDefault="001F04FD" w:rsidP="00F969DB">
      <w:pPr>
        <w:pStyle w:val="List"/>
      </w:pPr>
      <w:r w:rsidRPr="0013396E">
        <w:t>(c)</w:t>
      </w:r>
      <w:r w:rsidRPr="0013396E">
        <w:tab/>
        <w:t>Maximum use of ERCOT System capability;</w:t>
      </w:r>
    </w:p>
    <w:p w14:paraId="56679368" w14:textId="77777777" w:rsidR="001F04FD" w:rsidRPr="0013396E" w:rsidRDefault="001F04FD" w:rsidP="001F04FD">
      <w:pPr>
        <w:pStyle w:val="List"/>
      </w:pPr>
      <w:r w:rsidRPr="0013396E">
        <w:t>(d)</w:t>
      </w:r>
      <w:r w:rsidRPr="0013396E">
        <w:tab/>
        <w:t>Maintenance of station service for nuclear-powered Generation Resources;</w:t>
      </w:r>
    </w:p>
    <w:p w14:paraId="5E8EE4A1" w14:textId="77777777" w:rsidR="001F04FD" w:rsidRPr="0013396E" w:rsidRDefault="001F04FD" w:rsidP="001F04FD">
      <w:pPr>
        <w:pStyle w:val="List"/>
      </w:pPr>
      <w:r w:rsidRPr="0013396E">
        <w:t>(e)</w:t>
      </w:r>
      <w:r w:rsidRPr="0013396E">
        <w:tab/>
        <w:t>Securing startup power for Generation Resources;</w:t>
      </w:r>
    </w:p>
    <w:p w14:paraId="2AE5EB40" w14:textId="374B43C2" w:rsidR="001F04FD" w:rsidRPr="0013396E" w:rsidRDefault="001F04FD" w:rsidP="001F04FD">
      <w:pPr>
        <w:pStyle w:val="List"/>
      </w:pPr>
      <w:r w:rsidRPr="0013396E">
        <w:t>(f)</w:t>
      </w:r>
      <w:r w:rsidRPr="0013396E">
        <w:tab/>
      </w:r>
      <w:r w:rsidR="00636C61" w:rsidRPr="0013396E">
        <w:t>Operation of Generation Resources and ESRs during loss of communication with ERCOT;</w:t>
      </w:r>
    </w:p>
    <w:p w14:paraId="517ECC44" w14:textId="14C53AF7" w:rsidR="001F04FD" w:rsidRPr="0013396E" w:rsidRDefault="001F04FD" w:rsidP="005A7D8E">
      <w:pPr>
        <w:pStyle w:val="List"/>
      </w:pPr>
      <w:r w:rsidRPr="0013396E">
        <w:t>(g)</w:t>
      </w:r>
      <w:r w:rsidRPr="0013396E">
        <w:tab/>
        <w:t>Restoration of service to Loads in the manner defined in the Operating Guides; and</w:t>
      </w:r>
    </w:p>
    <w:p w14:paraId="086F3AA0" w14:textId="77777777" w:rsidR="001F04FD" w:rsidRPr="0013396E" w:rsidRDefault="001F04FD" w:rsidP="001F04FD">
      <w:pPr>
        <w:pStyle w:val="List"/>
      </w:pPr>
      <w:r w:rsidRPr="0013396E">
        <w:t>(h)</w:t>
      </w:r>
      <w:r w:rsidRPr="0013396E">
        <w:tab/>
        <w:t>Management of Interconnection Reliability Operating Limits (IROLs) shall not change.</w:t>
      </w:r>
    </w:p>
    <w:p w14:paraId="2E28D183" w14:textId="30B91FB0" w:rsidR="001F04FD" w:rsidRPr="0013396E" w:rsidRDefault="001F04FD" w:rsidP="001F04FD">
      <w:pPr>
        <w:pStyle w:val="BodyTextNumbered"/>
      </w:pPr>
      <w:r w:rsidRPr="0013396E">
        <w:t>(4)</w:t>
      </w:r>
      <w:r w:rsidRPr="0013396E">
        <w:tab/>
        <w:t xml:space="preserve">ERCOT is responsible for coordinating with QSEs, TSPs, and DSPs to monitor ERCOT System conditions, initiating the EEA levels, notifying </w:t>
      </w:r>
      <w:r w:rsidR="001C0FEC" w:rsidRPr="0013396E">
        <w:t>Market Participants</w:t>
      </w:r>
      <w:r w:rsidRPr="0013396E">
        <w:t>, and coordinating the implementation of the EEA levels while maintaining transmission security limits.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31A31" w:rsidRPr="0013396E" w14:paraId="4AD62A12" w14:textId="77777777" w:rsidTr="00D326C6">
        <w:trPr>
          <w:trHeight w:val="296"/>
        </w:trPr>
        <w:tc>
          <w:tcPr>
            <w:tcW w:w="9350" w:type="dxa"/>
            <w:shd w:val="pct12" w:color="auto" w:fill="auto"/>
          </w:tcPr>
          <w:p w14:paraId="6EFA49B5" w14:textId="0A04EE96" w:rsidR="00D31A31" w:rsidRPr="0013396E" w:rsidRDefault="00D31A31" w:rsidP="004510FA">
            <w:pPr>
              <w:pStyle w:val="Instructions"/>
              <w:spacing w:before="120"/>
            </w:pPr>
            <w:r w:rsidRPr="0013396E">
              <w:t>[NPRR857:  Replace paragraph (4) above with the following upon system implementation</w:t>
            </w:r>
            <w:r w:rsidR="004A5B0B" w:rsidRPr="0013396E">
              <w:t xml:space="preserve"> </w:t>
            </w:r>
            <w:r w:rsidR="004A5B0B" w:rsidRPr="0013396E">
              <w:rPr>
                <w:bCs/>
                <w:iCs w:val="0"/>
              </w:rPr>
              <w:t xml:space="preserve">and </w:t>
            </w:r>
            <w:r w:rsidR="004A5B0B" w:rsidRPr="0013396E">
              <w:t xml:space="preserve">satisfying the following conditions: </w:t>
            </w:r>
            <w:r w:rsidR="00874902" w:rsidRPr="0013396E">
              <w:t xml:space="preserve"> </w:t>
            </w:r>
            <w:r w:rsidR="004A5B0B" w:rsidRPr="0013396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13396E">
              <w:t>:]</w:t>
            </w:r>
          </w:p>
          <w:p w14:paraId="12EA8AA9" w14:textId="49018279" w:rsidR="00D31A31" w:rsidRPr="0013396E" w:rsidRDefault="00D31A31" w:rsidP="00D31A31">
            <w:pPr>
              <w:spacing w:after="240"/>
              <w:ind w:left="720" w:hanging="720"/>
            </w:pPr>
            <w:r w:rsidRPr="0013396E">
              <w:t>(4)</w:t>
            </w:r>
            <w:r w:rsidRPr="0013396E">
              <w:tab/>
              <w:t xml:space="preserve">ERCOT is responsible for coordinating with QSEs, DCTOs, TSPs, and DSPs to monitor ERCOT System conditions, initiating the EEA levels, notifying </w:t>
            </w:r>
            <w:r w:rsidR="001C0FEC" w:rsidRPr="0013396E">
              <w:t>Market Participants</w:t>
            </w:r>
            <w:r w:rsidRPr="0013396E">
              <w:t>, and coordinating the implementation of the EEA levels while maintaining transmission security limits.</w:t>
            </w:r>
          </w:p>
        </w:tc>
      </w:tr>
    </w:tbl>
    <w:p w14:paraId="1518C29E" w14:textId="77777777" w:rsidR="001F04FD" w:rsidRPr="0013396E" w:rsidRDefault="001F04FD" w:rsidP="0099247E">
      <w:pPr>
        <w:pStyle w:val="BodyTextNumbered"/>
        <w:spacing w:before="240"/>
      </w:pPr>
      <w:r w:rsidRPr="0013396E">
        <w:lastRenderedPageBreak/>
        <w:t>(5)</w:t>
      </w:r>
      <w:r w:rsidRPr="0013396E">
        <w:tab/>
        <w:t>ERCOT, at management’s discretion, may at any time issue an ERCOT-wide appeal through the public news media for voluntary energy conservation.</w:t>
      </w:r>
    </w:p>
    <w:p w14:paraId="71EEE536" w14:textId="43576EAB" w:rsidR="001F04FD" w:rsidRPr="0013396E" w:rsidRDefault="001F04FD" w:rsidP="001F04FD">
      <w:pPr>
        <w:pStyle w:val="BodyTextNumbered"/>
      </w:pPr>
      <w:r w:rsidRPr="0013396E">
        <w:t>(6)</w:t>
      </w:r>
      <w:r w:rsidRPr="0013396E">
        <w:tab/>
        <w:t xml:space="preserve">During the EEA, ERCOT has the authority to obtain energy from non-ERCOT Control Areas using the DC Ties or by using BLTs to move load to non-ERCOT Control Areas.  ERCOT maintains the authority to curtail energy schedules flowing into or out of the ERCOT System across the DC Ties in accordance with NERC scheduling guidelines.   </w:t>
      </w:r>
    </w:p>
    <w:p w14:paraId="74DC4332" w14:textId="23F57E49" w:rsidR="001F04FD" w:rsidRPr="0013396E" w:rsidRDefault="001F04FD" w:rsidP="001F04FD">
      <w:pPr>
        <w:pStyle w:val="BodyTextNumbered"/>
      </w:pPr>
      <w:r w:rsidRPr="0013396E">
        <w:t>(7)</w:t>
      </w:r>
      <w:r w:rsidRPr="0013396E">
        <w:tab/>
      </w:r>
      <w:r w:rsidR="00636C61" w:rsidRPr="0013396E">
        <w:t>Some of the EEA steps are not applicable if transmission security violations exist.  There may be insufficient time to implement all EEA levels in sequence, however, to the extent practicable, ERCOT shall use Ancillary Service capabilities of Resources in the market to maintain or restore reliability.</w:t>
      </w:r>
    </w:p>
    <w:p w14:paraId="410ADBA9" w14:textId="75BECB4A" w:rsidR="001F04FD" w:rsidRPr="0013396E" w:rsidRDefault="001F04FD" w:rsidP="005A7D8E">
      <w:pPr>
        <w:pStyle w:val="BodyTextNumbered"/>
      </w:pPr>
      <w:r w:rsidRPr="0013396E">
        <w:t>(8)</w:t>
      </w:r>
      <w:r w:rsidRPr="0013396E">
        <w:tab/>
      </w:r>
      <w:r w:rsidR="008C7E79" w:rsidRPr="0013396E">
        <w:t xml:space="preserve">ERCOT may immediately implement EEA Level 2 when clock-minute average system frequency falls below 59.91 Hz for 15 consecutive minutes.  </w:t>
      </w:r>
      <w:r w:rsidRPr="0013396E">
        <w:t xml:space="preserve">ERCOT may immediately implement EEA Level 3 any time the </w:t>
      </w:r>
      <w:r w:rsidR="00D67C9C" w:rsidRPr="0013396E">
        <w:rPr>
          <w:iCs/>
        </w:rPr>
        <w:t>clock-minute average</w:t>
      </w:r>
      <w:r w:rsidRPr="0013396E">
        <w:t xml:space="preserve"> system frequency </w:t>
      </w:r>
      <w:r w:rsidR="00D67C9C" w:rsidRPr="0013396E">
        <w:t>falls</w:t>
      </w:r>
      <w:r w:rsidRPr="0013396E">
        <w:t xml:space="preserve"> below 59.</w:t>
      </w:r>
      <w:r w:rsidR="00D67C9C" w:rsidRPr="0013396E">
        <w:t>91</w:t>
      </w:r>
      <w:r w:rsidRPr="0013396E">
        <w:t xml:space="preserve"> Hz </w:t>
      </w:r>
      <w:r w:rsidR="00D67C9C" w:rsidRPr="0013396E">
        <w:t xml:space="preserve">for 20 consecutive minutes </w:t>
      </w:r>
      <w:r w:rsidR="008C7E79" w:rsidRPr="0013396E">
        <w:t>or when steady-state frequency falls below 59.8 Hz for any duration of time.</w:t>
      </w:r>
      <w:r w:rsidRPr="0013396E">
        <w:t xml:space="preserve"> </w:t>
      </w:r>
      <w:r w:rsidR="008C7E79" w:rsidRPr="0013396E">
        <w:t xml:space="preserve"> ERCOT </w:t>
      </w:r>
      <w:r w:rsidRPr="0013396E">
        <w:t>shall immediately implement EEA Level 3 any time the steady-state frequency is below 59.5 Hz</w:t>
      </w:r>
      <w:r w:rsidR="00D67C9C" w:rsidRPr="0013396E">
        <w:t xml:space="preserve"> for any duration</w:t>
      </w:r>
      <w:r w:rsidRPr="0013396E">
        <w:t>.</w:t>
      </w:r>
    </w:p>
    <w:p w14:paraId="5899BE08" w14:textId="77777777" w:rsidR="001F04FD" w:rsidRPr="0013396E" w:rsidRDefault="001F04FD" w:rsidP="001F04FD">
      <w:pPr>
        <w:pStyle w:val="BodyTextNumbered"/>
      </w:pPr>
      <w:r w:rsidRPr="0013396E">
        <w:t>(9)</w:t>
      </w:r>
      <w:r w:rsidRPr="0013396E">
        <w:tab/>
        <w:t>Percentages for EEA Level 3 Load shedding will be based on the previous year’s TSP peak Loads, as reported to ERCOT, and must be reviewed by ERCOT and modified annually as required.</w:t>
      </w:r>
    </w:p>
    <w:p w14:paraId="1D1C185E" w14:textId="20DFC645" w:rsidR="001F04FD" w:rsidRPr="0013396E" w:rsidRDefault="001F04FD" w:rsidP="001F04FD">
      <w:pPr>
        <w:spacing w:after="240"/>
        <w:ind w:left="720" w:hanging="720"/>
      </w:pPr>
      <w:r w:rsidRPr="0013396E">
        <w:t>(10)</w:t>
      </w:r>
      <w:r w:rsidRPr="0013396E">
        <w:tab/>
        <w:t>During EEA Level 2 or 3, for those constraints that meet the criteria identified in paragraph (</w:t>
      </w:r>
      <w:r w:rsidR="008C7E79" w:rsidRPr="0013396E">
        <w:t>3</w:t>
      </w:r>
      <w:r w:rsidRPr="0013396E">
        <w:t>)(a) of Section 6.5.9.</w:t>
      </w:r>
      <w:r w:rsidR="008C7E79" w:rsidRPr="0013396E">
        <w:t>4</w:t>
      </w:r>
      <w:r w:rsidRPr="0013396E">
        <w:t>.</w:t>
      </w:r>
      <w:r w:rsidR="008C7E79" w:rsidRPr="0013396E">
        <w:t>1</w:t>
      </w:r>
      <w:r w:rsidRPr="0013396E">
        <w:t xml:space="preserve">, </w:t>
      </w:r>
      <w:r w:rsidR="008C7E79" w:rsidRPr="0013396E">
        <w:t>General Procedures Prior to EEA Operations</w:t>
      </w:r>
      <w:r w:rsidRPr="0013396E">
        <w:t xml:space="preserve">, ERCOT may control the post-contingency flow to within the 15-Minute Rating in SCED.   After PRC is restored to at least 3,000 MW or the </w:t>
      </w:r>
      <w:r w:rsidR="002D28ED" w:rsidRPr="0013396E">
        <w:t>E</w:t>
      </w:r>
      <w:r w:rsidRPr="0013396E">
        <w:t xml:space="preserve">mergency </w:t>
      </w:r>
      <w:r w:rsidR="002D28ED" w:rsidRPr="0013396E">
        <w:t>C</w:t>
      </w:r>
      <w:r w:rsidRPr="0013396E">
        <w:t xml:space="preserve">ondition has ended, whichever is later, and ERCOT has determined that system conditions have improved such that the chance of re-entering into an EEA Level 2 or 3 is low, ERCOT shall restore control to the post-contingency flow to within the Emergency Rating for these constraints that utilized the 15-Minute Rating in SCED.  </w:t>
      </w:r>
    </w:p>
    <w:p w14:paraId="59DF915C" w14:textId="79A312B2" w:rsidR="001F04FD" w:rsidRPr="0013396E" w:rsidRDefault="001F04FD" w:rsidP="001F04FD">
      <w:pPr>
        <w:spacing w:after="240"/>
        <w:ind w:left="720" w:hanging="720"/>
      </w:pPr>
      <w:r w:rsidRPr="0013396E">
        <w:t>(11)</w:t>
      </w:r>
      <w:r w:rsidRPr="0013396E">
        <w:tab/>
        <w:t>During EEA Level 2 or 3, for those constraints that meet the criteria identified in paragraph (</w:t>
      </w:r>
      <w:r w:rsidR="008C7E79" w:rsidRPr="0013396E">
        <w:t>3</w:t>
      </w:r>
      <w:r w:rsidRPr="0013396E">
        <w:t>)(b) of Section 6.5.9.</w:t>
      </w:r>
      <w:r w:rsidR="008C7E79" w:rsidRPr="0013396E">
        <w:t>4</w:t>
      </w:r>
      <w:r w:rsidRPr="0013396E">
        <w:t>.</w:t>
      </w:r>
      <w:r w:rsidR="008C7E79" w:rsidRPr="0013396E">
        <w:t>1</w:t>
      </w:r>
      <w:r w:rsidRPr="0013396E">
        <w:t>, ERCOT shall continue to enforce constraints associated with double-circuit contingencies throughout an EEA if the double-circuit failures are determined to be at high risk of occurring, due to system conditions.  For all other double-circuit contingencies identified in paragraph (</w:t>
      </w:r>
      <w:r w:rsidR="008C7E79" w:rsidRPr="0013396E">
        <w:t>3</w:t>
      </w:r>
      <w:r w:rsidRPr="0013396E">
        <w:t>)(b) of Section 6.5.9.</w:t>
      </w:r>
      <w:r w:rsidR="008C7E79" w:rsidRPr="0013396E">
        <w:t>4</w:t>
      </w:r>
      <w:r w:rsidRPr="0013396E">
        <w:t>.</w:t>
      </w:r>
      <w:r w:rsidR="008C7E79" w:rsidRPr="0013396E">
        <w:t>1</w:t>
      </w:r>
      <w:r w:rsidRPr="0013396E">
        <w:t>, ERCOT will enforce only the associated single-circuit contingencies during EEA Level 2 or 3.  ERCOT shall resume enforcing such constraints as a double-circuit contingency after PRC is restored to at least 3,000 MW or the Emergency Condition has ended, whichever is later, and ERCOT has determined that system conditions have improved such that the chance of re-entering into an EEA Level 2 or 3 is low.  For constraints related to stability limits that are not IROLs, ERCOT may elect not to enforce double-circuit contingencies during EEA Level 3 only.</w:t>
      </w:r>
    </w:p>
    <w:p w14:paraId="70D84DA3" w14:textId="77777777" w:rsidR="001F04FD" w:rsidRPr="0013396E" w:rsidRDefault="001F04FD" w:rsidP="001F04FD">
      <w:pPr>
        <w:pStyle w:val="H5"/>
        <w:spacing w:before="480"/>
        <w:ind w:left="1627" w:hanging="1627"/>
      </w:pPr>
      <w:bookmarkStart w:id="1221" w:name="_Toc397504992"/>
      <w:bookmarkStart w:id="1222" w:name="_Toc402357120"/>
      <w:bookmarkStart w:id="1223" w:name="_Toc422486500"/>
      <w:bookmarkStart w:id="1224" w:name="_Toc433093352"/>
      <w:bookmarkStart w:id="1225" w:name="_Toc433093510"/>
      <w:bookmarkStart w:id="1226" w:name="_Toc440874738"/>
      <w:bookmarkStart w:id="1227" w:name="_Toc448142293"/>
      <w:bookmarkStart w:id="1228" w:name="_Toc448142450"/>
      <w:bookmarkStart w:id="1229" w:name="_Toc458770287"/>
      <w:bookmarkStart w:id="1230" w:name="_Toc459294255"/>
      <w:bookmarkStart w:id="1231" w:name="_Toc463262748"/>
      <w:bookmarkStart w:id="1232" w:name="_Toc468286821"/>
      <w:bookmarkStart w:id="1233" w:name="_Toc481502867"/>
      <w:bookmarkStart w:id="1234" w:name="_Toc496080035"/>
      <w:bookmarkStart w:id="1235" w:name="_Toc236220149"/>
      <w:bookmarkStart w:id="1236" w:name="_Toc87951781"/>
      <w:bookmarkEnd w:id="462"/>
      <w:r w:rsidRPr="0013396E">
        <w:lastRenderedPageBreak/>
        <w:t>6.5.9.4.1</w:t>
      </w:r>
      <w:r w:rsidRPr="0013396E">
        <w:tab/>
        <w:t>General Procedures Prior to EEA Operations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sidRPr="0013396E">
        <w:t xml:space="preserve"> </w:t>
      </w:r>
    </w:p>
    <w:p w14:paraId="3527508A" w14:textId="77777777" w:rsidR="001F04FD" w:rsidRPr="0013396E" w:rsidRDefault="001F04FD" w:rsidP="001F04FD">
      <w:pPr>
        <w:pStyle w:val="BodyTextNumbered"/>
      </w:pPr>
      <w:r w:rsidRPr="0013396E">
        <w:t>(1)</w:t>
      </w:r>
      <w:r w:rsidRPr="0013396E">
        <w:tab/>
        <w:t>Prior to declaring EEA Level 1 detailed in Section 6.5.9.4.2, EEA Levels, ERCOT may perform the following operations consistent with Good Utility Practice:</w:t>
      </w:r>
    </w:p>
    <w:p w14:paraId="40498E62" w14:textId="09B1A78F" w:rsidR="001F04FD" w:rsidRPr="0013396E" w:rsidRDefault="001F04FD" w:rsidP="001F04FD">
      <w:pPr>
        <w:pStyle w:val="List"/>
      </w:pPr>
      <w:r w:rsidRPr="0013396E">
        <w:t>(a)</w:t>
      </w:r>
      <w:r w:rsidRPr="0013396E">
        <w:tab/>
      </w:r>
      <w:r w:rsidR="00832D19" w:rsidRPr="0013396E">
        <w:t>Provide Dispatch Instructions to QSEs for specific Resources to operate at an Emergency Base Point to maximize Resource deployment so as to increase PRC levels on other Resources</w:t>
      </w:r>
      <w:r w:rsidRPr="0013396E">
        <w:t>;</w:t>
      </w:r>
    </w:p>
    <w:p w14:paraId="3BC2E0C1" w14:textId="77777777" w:rsidR="001F04FD" w:rsidRPr="0013396E" w:rsidRDefault="001F04FD" w:rsidP="00BA3F0D">
      <w:pPr>
        <w:pStyle w:val="List"/>
      </w:pPr>
      <w:r w:rsidRPr="0013396E">
        <w:t>(b)</w:t>
      </w:r>
      <w:r w:rsidRPr="0013396E">
        <w:tab/>
        <w:t>Commit specific available Resources as necessary that can respond in the timeframe of the emergency.  Such commitments will be settled using the HRUC process;</w:t>
      </w:r>
    </w:p>
    <w:p w14:paraId="3E350E80" w14:textId="77777777" w:rsidR="001F04FD" w:rsidRPr="0013396E" w:rsidRDefault="001F04FD" w:rsidP="001F04FD">
      <w:pPr>
        <w:pStyle w:val="List"/>
      </w:pPr>
      <w:r w:rsidRPr="0013396E">
        <w:t>(c)</w:t>
      </w:r>
      <w:r w:rsidRPr="0013396E">
        <w:tab/>
        <w:t>Start RMR Units available in the time frame of the emergency.  RMR Units should be loaded to full capability;</w:t>
      </w:r>
    </w:p>
    <w:p w14:paraId="147A1BCB" w14:textId="5CDD946E" w:rsidR="001F04FD" w:rsidRPr="0013396E" w:rsidRDefault="001F04FD" w:rsidP="001F04FD">
      <w:pPr>
        <w:pStyle w:val="List"/>
      </w:pPr>
      <w:r w:rsidRPr="0013396E">
        <w:t>(d)</w:t>
      </w:r>
      <w:r w:rsidRPr="0013396E">
        <w:tab/>
        <w:t xml:space="preserve">Utilize available Resources providing </w:t>
      </w:r>
      <w:r w:rsidR="00832D19" w:rsidRPr="0013396E">
        <w:t>RRS</w:t>
      </w:r>
      <w:r w:rsidR="008611B7" w:rsidRPr="0013396E">
        <w:t>, ECRS,</w:t>
      </w:r>
      <w:r w:rsidR="00832D19" w:rsidRPr="0013396E">
        <w:t xml:space="preserve"> and </w:t>
      </w:r>
      <w:r w:rsidRPr="0013396E">
        <w:t>Non-Spin services as required;</w:t>
      </w:r>
    </w:p>
    <w:p w14:paraId="189AB732" w14:textId="77777777" w:rsidR="0064112F" w:rsidRPr="0013396E" w:rsidRDefault="0064112F" w:rsidP="00F969DB">
      <w:pPr>
        <w:pStyle w:val="List"/>
      </w:pPr>
      <w:r w:rsidRPr="0013396E">
        <w:t>(e)</w:t>
      </w:r>
      <w:r w:rsidRPr="0013396E">
        <w:tab/>
        <w:t xml:space="preserve">Instruct TSPs and DSPs or their agents to reduce Customer Load by using existing, in-service distribution voltage reduction measures if ERCOT determines that the implementation of these measures could help avoid entering into EEA and ERCOT does not expect to need to use these measures to reduce the amount of Load shedding that may be needed in EEA Level 3.  A TSP, DSP, or their agent shall implement these instructions if distribution voltage reduction measures are available and already installed.  If the TSP, DSP, or their agent determines in their sole discretion that the distribution voltage reduction would adversely affect reliability, the voltage reduction measure may be reduced, modified, or otherwise changed from maximum performance to a level of exercise that has no negative impact to reliability; and </w:t>
      </w:r>
    </w:p>
    <w:p w14:paraId="444F9F7E" w14:textId="46CEEC61" w:rsidR="00A3515A" w:rsidRPr="0013396E" w:rsidRDefault="001F04FD" w:rsidP="00A3515A">
      <w:pPr>
        <w:pStyle w:val="List"/>
        <w:spacing w:before="240"/>
      </w:pPr>
      <w:r w:rsidRPr="0013396E">
        <w:t>(</w:t>
      </w:r>
      <w:r w:rsidR="0064112F" w:rsidRPr="0013396E">
        <w:t>f</w:t>
      </w:r>
      <w:r w:rsidRPr="0013396E">
        <w:t>)</w:t>
      </w:r>
      <w:r w:rsidRPr="0013396E">
        <w:tab/>
        <w:t xml:space="preserve">ERCOT shall use the PRC </w:t>
      </w:r>
      <w:r w:rsidR="00D67C9C" w:rsidRPr="0013396E">
        <w:t xml:space="preserve">and system frequency </w:t>
      </w:r>
      <w:r w:rsidRPr="0013396E">
        <w:t xml:space="preserve">to determine the appropriate Emergency Notice and EEA levels.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F63FE" w:rsidRPr="0013396E" w:rsidDel="00004772" w14:paraId="5A33444F" w14:textId="77777777" w:rsidTr="00E844EE">
        <w:trPr>
          <w:trHeight w:val="296"/>
        </w:trPr>
        <w:tc>
          <w:tcPr>
            <w:tcW w:w="9576" w:type="dxa"/>
            <w:shd w:val="pct12" w:color="auto" w:fill="auto"/>
          </w:tcPr>
          <w:p w14:paraId="04F99F79" w14:textId="14A48E49" w:rsidR="005F63FE" w:rsidRPr="0013396E" w:rsidDel="00004772" w:rsidRDefault="005F63FE" w:rsidP="00E844EE">
            <w:pPr>
              <w:pStyle w:val="Instructions"/>
              <w:spacing w:before="120"/>
            </w:pPr>
            <w:r w:rsidRPr="0013396E" w:rsidDel="00004772">
              <w:t>[NPRR</w:t>
            </w:r>
            <w:r w:rsidR="00687F9C" w:rsidRPr="0013396E">
              <w:t>1238</w:t>
            </w:r>
            <w:r w:rsidRPr="0013396E" w:rsidDel="00004772">
              <w:t xml:space="preserve">:  </w:t>
            </w:r>
            <w:r w:rsidRPr="0013396E">
              <w:t>Insert</w:t>
            </w:r>
            <w:r w:rsidRPr="0013396E" w:rsidDel="00004772">
              <w:t xml:space="preserve"> paragraph (</w:t>
            </w:r>
            <w:r w:rsidRPr="0013396E">
              <w:t>2</w:t>
            </w:r>
            <w:r w:rsidRPr="0013396E" w:rsidDel="00004772">
              <w:t xml:space="preserve">) </w:t>
            </w:r>
            <w:r w:rsidRPr="0013396E">
              <w:t>below</w:t>
            </w:r>
            <w:r w:rsidRPr="0013396E" w:rsidDel="00004772">
              <w:t xml:space="preserve"> upon system implementation</w:t>
            </w:r>
            <w:r w:rsidRPr="0013396E">
              <w:t xml:space="preserve"> and renumber accordingly</w:t>
            </w:r>
            <w:r w:rsidRPr="0013396E" w:rsidDel="00004772">
              <w:t>:]</w:t>
            </w:r>
          </w:p>
          <w:p w14:paraId="56648632" w14:textId="5D3CCD04" w:rsidR="005F63FE" w:rsidRPr="0013396E" w:rsidRDefault="005F63FE" w:rsidP="005F63FE">
            <w:pPr>
              <w:spacing w:before="240" w:after="240"/>
              <w:ind w:left="720" w:hanging="720"/>
            </w:pPr>
            <w:r w:rsidRPr="0013396E">
              <w:t>(2)</w:t>
            </w:r>
            <w:r w:rsidRPr="0013396E">
              <w:tab/>
              <w:t xml:space="preserve">When PRC falls below 3,100 MW and is not projected to be recovered above 3,100 MW within 30 minutes following the deployment of Non-Spin, ERCOT may deploy some or all Voluntary Early Curtailment Loads (VECLs) via an Extensible Markup Language (XML) message, as described in Nodal Operating Guide Section 4.5.3.4, Qualified Scheduling Entity VECL Load </w:t>
            </w:r>
            <w:r w:rsidR="00C74DE0" w:rsidRPr="0013396E">
              <w:t>R</w:t>
            </w:r>
            <w:r w:rsidRPr="0013396E">
              <w:t xml:space="preserve">eduction Obligation, in order to maintain or restore 3,100 MW of PRC to the greatest extent possible.  </w:t>
            </w:r>
          </w:p>
          <w:p w14:paraId="697D0088" w14:textId="77777777" w:rsidR="005F63FE" w:rsidRPr="0013396E" w:rsidRDefault="005F63FE" w:rsidP="005F63FE">
            <w:pPr>
              <w:spacing w:before="240" w:after="240"/>
              <w:ind w:left="1440" w:hanging="720"/>
            </w:pPr>
            <w:r w:rsidRPr="0013396E">
              <w:t>(a)</w:t>
            </w:r>
            <w:r w:rsidRPr="0013396E">
              <w:tab/>
              <w:t>VECLs may be deployed at any time in a Settlement Interval at the discretion of ERCOT operators.</w:t>
            </w:r>
          </w:p>
          <w:p w14:paraId="7B8A4F79" w14:textId="77777777" w:rsidR="005F63FE" w:rsidRPr="0013396E" w:rsidRDefault="005F63FE" w:rsidP="005F63FE">
            <w:pPr>
              <w:spacing w:before="240" w:after="240"/>
              <w:ind w:left="1440" w:hanging="720"/>
            </w:pPr>
            <w:r w:rsidRPr="0013396E">
              <w:lastRenderedPageBreak/>
              <w:t>(b)</w:t>
            </w:r>
            <w:r w:rsidRPr="0013396E">
              <w:tab/>
              <w:t>Upon deployment of any amount of VECLs, ERCOT shall notify all Market Participants via an operations message that such deployment has been made and shall specify the MW capacity of VECL deployed.</w:t>
            </w:r>
          </w:p>
          <w:p w14:paraId="0417CEA5" w14:textId="77777777" w:rsidR="005F63FE" w:rsidRPr="0013396E" w:rsidRDefault="005F63FE" w:rsidP="005F63FE">
            <w:pPr>
              <w:spacing w:before="240" w:after="240"/>
              <w:ind w:left="1440" w:hanging="720"/>
            </w:pPr>
            <w:r w:rsidRPr="0013396E">
              <w:t>(c)</w:t>
            </w:r>
            <w:r w:rsidRPr="0013396E">
              <w:tab/>
              <w:t>ERCOT shall notify QSEs of the VECLs deployment via an XML message.  The deployment time within the ERCOT XML deployment message shall initiate the VECL deployment and the VECL ramp period.</w:t>
            </w:r>
          </w:p>
          <w:p w14:paraId="205F42D2" w14:textId="77777777" w:rsidR="005F63FE" w:rsidRPr="0013396E" w:rsidRDefault="005F63FE" w:rsidP="005F63FE">
            <w:pPr>
              <w:spacing w:before="240" w:after="240"/>
              <w:ind w:left="1440" w:hanging="720"/>
            </w:pPr>
            <w:r w:rsidRPr="0013396E">
              <w:t>(d)</w:t>
            </w:r>
            <w:r w:rsidRPr="0013396E">
              <w:tab/>
              <w:t xml:space="preserve">Upon receipt of a VECL deployment, QSEs shall instruct their VECLs to reduce consumption without delay in a time period not to exceed 30 minutes from the start of the VECL ramp period, and the deployed VECLs shall comply with those instructions.  </w:t>
            </w:r>
          </w:p>
          <w:p w14:paraId="01933295" w14:textId="77777777" w:rsidR="005F63FE" w:rsidRPr="0013396E" w:rsidRDefault="005F63FE" w:rsidP="005F63FE">
            <w:pPr>
              <w:spacing w:before="240" w:after="240"/>
              <w:ind w:left="1440" w:hanging="720"/>
            </w:pPr>
            <w:r w:rsidRPr="0013396E">
              <w:t>(e)</w:t>
            </w:r>
            <w:r w:rsidRPr="0013396E">
              <w:tab/>
              <w:t>If a VECL fails to comply with a deployment instruction, ERCOT may instruct the applicable TO to remotely disconnect the VECL.  If a VECL that fails to comply with a deployment instruction is co-located with an ERCOT Resource, ERCOT may instruct the Customer’s QSE to remotely disconnect the VECL, in which case the QSE shall ensure that the VECL is promptly disconnected from the ERCOT System.</w:t>
            </w:r>
            <w:r w:rsidRPr="0013396E" w:rsidDel="00585907">
              <w:t xml:space="preserve"> </w:t>
            </w:r>
          </w:p>
          <w:p w14:paraId="07082BC4" w14:textId="77777777" w:rsidR="005F63FE" w:rsidRPr="0013396E" w:rsidRDefault="005F63FE" w:rsidP="005F63FE">
            <w:pPr>
              <w:spacing w:before="240" w:after="240"/>
              <w:ind w:left="1440" w:hanging="720"/>
            </w:pPr>
            <w:r w:rsidRPr="0013396E">
              <w:t>(f)</w:t>
            </w:r>
            <w:r w:rsidRPr="0013396E">
              <w:tab/>
              <w:t>ERCOT shall notify QSEs of the termination of the VECLs deployment via an XML recall message.  The ERCOT XML recall message shall represent the official notice of the VECLs recall.</w:t>
            </w:r>
          </w:p>
          <w:p w14:paraId="5F83A311" w14:textId="77777777" w:rsidR="005F63FE" w:rsidRPr="0013396E" w:rsidRDefault="005F63FE" w:rsidP="005F63FE">
            <w:pPr>
              <w:spacing w:before="240" w:after="240"/>
              <w:ind w:left="2160" w:hanging="720"/>
            </w:pPr>
            <w:r w:rsidRPr="0013396E">
              <w:t>(i)</w:t>
            </w:r>
            <w:r w:rsidRPr="0013396E">
              <w:tab/>
              <w:t>If ERCOT has instructed the interconnecting TO to disconnect a VECL for failure to comply with a deployment instruction, ERCOT will also notify the TO once the VECL deployment has been terminated, so that the VECL can be reconnected.</w:t>
            </w:r>
          </w:p>
          <w:p w14:paraId="5813B69A" w14:textId="77777777" w:rsidR="005F63FE" w:rsidRPr="0013396E" w:rsidRDefault="005F63FE" w:rsidP="005F63FE">
            <w:pPr>
              <w:spacing w:before="240" w:after="240"/>
              <w:ind w:left="1440" w:hanging="720"/>
            </w:pPr>
            <w:r w:rsidRPr="0013396E">
              <w:t>(g)</w:t>
            </w:r>
            <w:r w:rsidRPr="0013396E">
              <w:tab/>
              <w:t>Upon termination of the VECLs deployment, any VECL shall not increase consumption at a rate exceeding 20% per minute.</w:t>
            </w:r>
          </w:p>
          <w:p w14:paraId="77678A58" w14:textId="35CE990E" w:rsidR="005F63FE" w:rsidRPr="0013396E" w:rsidDel="00004772" w:rsidRDefault="005F63FE" w:rsidP="005F63FE">
            <w:pPr>
              <w:spacing w:before="240" w:after="240"/>
              <w:ind w:left="1440" w:hanging="720"/>
            </w:pPr>
            <w:r w:rsidRPr="0013396E">
              <w:t>(h)</w:t>
            </w:r>
            <w:r w:rsidRPr="0013396E">
              <w:tab/>
              <w:t>Upon termination of VECLs deployment, ERCOT shall notify all Market Participants via an operations message that such deployment has been terminated and shall specify the MW capacity of VECLs recalled.</w:t>
            </w:r>
          </w:p>
        </w:tc>
      </w:tr>
    </w:tbl>
    <w:p w14:paraId="0080865D" w14:textId="26A311E1" w:rsidR="00A3515A" w:rsidRPr="0013396E" w:rsidRDefault="00A3515A" w:rsidP="00A3515A">
      <w:pPr>
        <w:spacing w:before="240" w:after="240"/>
        <w:ind w:left="720" w:hanging="720"/>
      </w:pPr>
      <w:r w:rsidRPr="0013396E">
        <w:t>(2)</w:t>
      </w:r>
      <w:r w:rsidRPr="0013396E">
        <w:tab/>
        <w:t xml:space="preserve">When PRC falls below 3,000 MW and is not projected to be recovered above 3,000 MW within 30 minutes following the deployment of Non-Spin, ERCOT may deploy available contracted ERS-10 and ERS-30 via an XML message.  </w:t>
      </w:r>
      <w:r w:rsidR="0050458F" w:rsidRPr="0013396E">
        <w:t>The deployment time within the ERCOT XML deployment message shall represent t</w:t>
      </w:r>
      <w:r w:rsidRPr="0013396E">
        <w:t xml:space="preserve">he </w:t>
      </w:r>
      <w:r w:rsidR="0050458F" w:rsidRPr="0013396E">
        <w:t xml:space="preserve">beginning of the </w:t>
      </w:r>
      <w:r w:rsidRPr="0013396E">
        <w:t>ERS-10 and ERS-30 ramp periods.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87F9C" w:rsidRPr="0013396E" w:rsidDel="00004772" w14:paraId="1BF74CA4" w14:textId="77777777" w:rsidTr="00E844EE">
        <w:trPr>
          <w:trHeight w:val="296"/>
        </w:trPr>
        <w:tc>
          <w:tcPr>
            <w:tcW w:w="9576" w:type="dxa"/>
            <w:shd w:val="pct12" w:color="auto" w:fill="auto"/>
          </w:tcPr>
          <w:p w14:paraId="38BB5F69" w14:textId="2068BF9A" w:rsidR="00687F9C" w:rsidRPr="0013396E" w:rsidDel="00004772" w:rsidRDefault="00687F9C" w:rsidP="00E844EE">
            <w:pPr>
              <w:pStyle w:val="Instructions"/>
              <w:spacing w:before="120"/>
            </w:pPr>
            <w:r w:rsidRPr="0013396E" w:rsidDel="00004772">
              <w:t>[NPRR</w:t>
            </w:r>
            <w:r w:rsidRPr="0013396E">
              <w:t>1238</w:t>
            </w:r>
            <w:r w:rsidRPr="0013396E" w:rsidDel="00004772">
              <w:t xml:space="preserve">:  </w:t>
            </w:r>
            <w:r w:rsidRPr="0013396E">
              <w:t>Replace</w:t>
            </w:r>
            <w:r w:rsidRPr="0013396E" w:rsidDel="00004772">
              <w:t xml:space="preserve"> paragraph (</w:t>
            </w:r>
            <w:r w:rsidRPr="0013396E">
              <w:t>2</w:t>
            </w:r>
            <w:r w:rsidRPr="0013396E" w:rsidDel="00004772">
              <w:t xml:space="preserve">) </w:t>
            </w:r>
            <w:r w:rsidRPr="0013396E">
              <w:t>above with the following</w:t>
            </w:r>
            <w:r w:rsidRPr="0013396E" w:rsidDel="00004772">
              <w:t xml:space="preserve"> upon system implementation:]</w:t>
            </w:r>
          </w:p>
          <w:p w14:paraId="05189ACD" w14:textId="41ED176D" w:rsidR="00687F9C" w:rsidRPr="0013396E" w:rsidDel="00004772" w:rsidRDefault="00687F9C" w:rsidP="00687F9C">
            <w:pPr>
              <w:spacing w:before="240" w:after="240"/>
              <w:ind w:left="720" w:hanging="720"/>
              <w:rPr>
                <w:szCs w:val="24"/>
              </w:rPr>
            </w:pPr>
            <w:r w:rsidRPr="0013396E">
              <w:rPr>
                <w:szCs w:val="24"/>
              </w:rPr>
              <w:lastRenderedPageBreak/>
              <w:t>(3)</w:t>
            </w:r>
            <w:r w:rsidRPr="0013396E">
              <w:rPr>
                <w:szCs w:val="24"/>
              </w:rPr>
              <w:tab/>
              <w:t xml:space="preserve">When PRC falls below 3,000 MW and is not projected to be recovered above 3,000 MW within 30 minutes following the deployment of Non-Spin and all </w:t>
            </w:r>
            <w:r w:rsidRPr="0013396E">
              <w:rPr>
                <w:bCs/>
              </w:rPr>
              <w:t>VECL</w:t>
            </w:r>
            <w:r w:rsidRPr="0013396E">
              <w:rPr>
                <w:szCs w:val="24"/>
              </w:rPr>
              <w:t>, ERCOT may deploy available contracted ERS-10 and ERS-30 via an XML message.  The deployment time within the ERCOT XML deployment message shall represent the beginning of the ERS-10 and ERS-30 ramp periods.</w:t>
            </w:r>
          </w:p>
        </w:tc>
      </w:tr>
    </w:tbl>
    <w:p w14:paraId="5DAF438C" w14:textId="698B1E64" w:rsidR="00A3515A" w:rsidRPr="0013396E" w:rsidRDefault="00A3515A" w:rsidP="00A3515A">
      <w:pPr>
        <w:spacing w:before="240" w:after="240"/>
        <w:ind w:left="1440" w:hanging="720"/>
      </w:pPr>
      <w:r w:rsidRPr="0013396E">
        <w:lastRenderedPageBreak/>
        <w:t>(a)</w:t>
      </w:r>
      <w:r w:rsidRPr="0013396E">
        <w:tab/>
        <w:t>ERS-10 and ERS-30 may be deployed at any time in a Settlement Interval.  ERS-10 and ERS-30 may be deployed either simultaneously or separately, and in any order, at the discretion of ERCOT operators.</w:t>
      </w:r>
    </w:p>
    <w:p w14:paraId="27BF40AE" w14:textId="0BFC044A" w:rsidR="00A3515A" w:rsidRPr="0013396E" w:rsidRDefault="00A3515A" w:rsidP="00A3515A">
      <w:pPr>
        <w:spacing w:before="240" w:after="240"/>
        <w:ind w:left="1440" w:hanging="720"/>
      </w:pPr>
      <w:r w:rsidRPr="0013396E">
        <w:t>(b)</w:t>
      </w:r>
      <w:r w:rsidRPr="0013396E">
        <w:tab/>
        <w:t>Upon deployment, QSEs shall instruct their ERS Resources in ERS-10 and ERS-30 to perform at contracted levels consistent with the criteria described in Section 8.1.3.1.4, Event Performance Criteria for Emergency Response Service Resources, until either ERCOT releases the ERS-10 and ERS-30 deployment or the ERS-10 and ERS-30 Resources have reached their maximum deployment time.</w:t>
      </w:r>
    </w:p>
    <w:p w14:paraId="6F212AF3" w14:textId="0CDD11DC" w:rsidR="00A3515A" w:rsidRPr="0013396E" w:rsidRDefault="00A3515A" w:rsidP="00A3515A">
      <w:pPr>
        <w:spacing w:before="240" w:after="240"/>
        <w:ind w:left="1440" w:hanging="720"/>
      </w:pPr>
      <w:r w:rsidRPr="0013396E">
        <w:t>(c)</w:t>
      </w:r>
      <w:r w:rsidRPr="0013396E">
        <w:tab/>
        <w:t xml:space="preserve">ERCOT shall notify QSEs of the </w:t>
      </w:r>
      <w:r w:rsidR="0050458F" w:rsidRPr="0013396E">
        <w:t>recall</w:t>
      </w:r>
      <w:r w:rsidRPr="0013396E">
        <w:t xml:space="preserve"> of ERS-10 and ERS-30 via an XML message.  The </w:t>
      </w:r>
      <w:r w:rsidR="0050458F" w:rsidRPr="0013396E">
        <w:t>recall time within the ERCOT XML message</w:t>
      </w:r>
      <w:r w:rsidRPr="0013396E">
        <w:t xml:space="preserve"> shall represent the official notice of ERS-10 and ERS-30 </w:t>
      </w:r>
      <w:r w:rsidR="0050458F" w:rsidRPr="0013396E">
        <w:t>recall</w:t>
      </w:r>
      <w:r w:rsidRPr="0013396E">
        <w:t>.</w:t>
      </w:r>
    </w:p>
    <w:p w14:paraId="373F7A2E" w14:textId="6679A103" w:rsidR="001F04FD" w:rsidRPr="0013396E" w:rsidRDefault="00A3515A" w:rsidP="00A3515A">
      <w:pPr>
        <w:pStyle w:val="List"/>
        <w:spacing w:before="240"/>
      </w:pPr>
      <w:r w:rsidRPr="0013396E">
        <w:t>(d)</w:t>
      </w:r>
      <w:r w:rsidRPr="0013396E">
        <w:tab/>
        <w:t>Upon release, an ERS Resource shall return to a condition such that it is capable of meeting its ERS performance requirements as soon as practical, but no later than ten hours following the release.</w:t>
      </w:r>
    </w:p>
    <w:p w14:paraId="1D3D2DED" w14:textId="77777777" w:rsidR="008C7E79" w:rsidRPr="0013396E" w:rsidDel="00004772" w:rsidRDefault="008C7E79" w:rsidP="008C7E79">
      <w:pPr>
        <w:pStyle w:val="BodyTextNumbered"/>
        <w:shd w:val="clear" w:color="auto" w:fill="FFFFFF"/>
      </w:pPr>
      <w:bookmarkStart w:id="1237" w:name="_Toc397504993"/>
      <w:bookmarkStart w:id="1238" w:name="_Toc402357121"/>
      <w:bookmarkStart w:id="1239" w:name="_Toc422486501"/>
      <w:bookmarkStart w:id="1240" w:name="_Toc433093353"/>
      <w:bookmarkStart w:id="1241" w:name="_Toc433093511"/>
      <w:bookmarkStart w:id="1242" w:name="_Toc440874739"/>
      <w:bookmarkStart w:id="1243" w:name="_Toc448142294"/>
      <w:bookmarkStart w:id="1244" w:name="_Toc448142451"/>
      <w:bookmarkStart w:id="1245" w:name="_Toc458770288"/>
      <w:bookmarkStart w:id="1246" w:name="_Toc459294256"/>
      <w:bookmarkStart w:id="1247" w:name="_Toc463262749"/>
      <w:bookmarkStart w:id="1248" w:name="_Toc468286822"/>
      <w:bookmarkStart w:id="1249" w:name="_Toc481502868"/>
      <w:bookmarkStart w:id="1250" w:name="_Toc496080036"/>
      <w:r w:rsidRPr="0013396E" w:rsidDel="00004772">
        <w:t>(</w:t>
      </w:r>
      <w:r w:rsidRPr="0013396E">
        <w:t>3</w:t>
      </w:r>
      <w:r w:rsidRPr="0013396E" w:rsidDel="00004772">
        <w:t>)</w:t>
      </w:r>
      <w:r w:rsidRPr="0013396E" w:rsidDel="00004772">
        <w:tab/>
        <w:t xml:space="preserve">When </w:t>
      </w:r>
      <w:r w:rsidRPr="0013396E">
        <w:t>a Watch</w:t>
      </w:r>
      <w:r w:rsidRPr="0013396E" w:rsidDel="00004772">
        <w:t xml:space="preserve"> is issued for PRC below 3,000 MW and ERCOT expects system conditions to deteriorate to the extent that an EEA Level 2 or 3 may be experienced, ERCOT shall evaluate constraints active in SCED and determine which constraints have the potential to limit generation output.  </w:t>
      </w:r>
    </w:p>
    <w:p w14:paraId="4F1799B7" w14:textId="77777777" w:rsidR="008C7E79" w:rsidRPr="0013396E" w:rsidDel="00004772" w:rsidRDefault="008C7E79" w:rsidP="008C7E79">
      <w:pPr>
        <w:pStyle w:val="BodyTextNumbered"/>
        <w:ind w:left="1440"/>
      </w:pPr>
      <w:r w:rsidRPr="0013396E" w:rsidDel="00004772">
        <w:t>(a)</w:t>
      </w:r>
      <w:r w:rsidRPr="0013396E" w:rsidDel="00004772">
        <w:tab/>
        <w:t>Upon identification of such constraints, ERCOT shall coordinate with the TSPs that own or operate the overloaded Transmission Facilities associated with those constraints, as well as the Resource Entities whose generation output may be limited, to determine whether: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C7E79" w:rsidRPr="0013396E" w:rsidDel="00004772" w14:paraId="6A1D1F35" w14:textId="77777777" w:rsidTr="0061655D">
        <w:trPr>
          <w:trHeight w:val="296"/>
        </w:trPr>
        <w:tc>
          <w:tcPr>
            <w:tcW w:w="9576" w:type="dxa"/>
            <w:shd w:val="pct12" w:color="auto" w:fill="auto"/>
          </w:tcPr>
          <w:p w14:paraId="5770D94C" w14:textId="63C16B65" w:rsidR="008C7E79" w:rsidRPr="0013396E" w:rsidDel="00004772" w:rsidRDefault="008C7E79" w:rsidP="0061655D">
            <w:pPr>
              <w:pStyle w:val="Instructions"/>
              <w:spacing w:before="120"/>
            </w:pPr>
            <w:r w:rsidRPr="0013396E" w:rsidDel="00004772">
              <w:t xml:space="preserve">[NPRR857:  Replace paragraph (a) above with the following upon system implementation </w:t>
            </w:r>
            <w:r w:rsidRPr="0013396E" w:rsidDel="00004772">
              <w:rPr>
                <w:bCs/>
                <w:iCs w:val="0"/>
              </w:rPr>
              <w:t xml:space="preserve">and </w:t>
            </w:r>
            <w:r w:rsidRPr="0013396E" w:rsidDel="00004772">
              <w:t xml:space="preserve">satisfying the following conditions: </w:t>
            </w:r>
            <w:r w:rsidR="00186863" w:rsidRPr="0013396E">
              <w:t xml:space="preserve"> </w:t>
            </w:r>
            <w:r w:rsidRPr="0013396E" w:rsidDel="00004772">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1F4D0DF4" w14:textId="77777777" w:rsidR="008C7E79" w:rsidRPr="0013396E" w:rsidDel="00004772" w:rsidRDefault="008C7E79" w:rsidP="0061655D">
            <w:pPr>
              <w:pStyle w:val="BodyTextNumbered"/>
              <w:ind w:left="1440"/>
            </w:pPr>
            <w:r w:rsidRPr="0013396E" w:rsidDel="00004772">
              <w:t>(a)</w:t>
            </w:r>
            <w:r w:rsidRPr="0013396E" w:rsidDel="00004772">
              <w:tab/>
              <w:t xml:space="preserve">Upon identification of such constraints, ERCOT shall coordinate with the TSPs and DCTOs that own or operate the overloaded Transmission Facilities </w:t>
            </w:r>
            <w:r w:rsidRPr="0013396E" w:rsidDel="00004772">
              <w:lastRenderedPageBreak/>
              <w:t>associated with those constraints, as well as the Resource Entities whose generation output may be limited, to determine whether:</w:t>
            </w:r>
          </w:p>
        </w:tc>
      </w:tr>
    </w:tbl>
    <w:p w14:paraId="7A431EB9" w14:textId="77777777" w:rsidR="008C7E79" w:rsidRPr="0013396E" w:rsidDel="00004772" w:rsidRDefault="008C7E79" w:rsidP="008C7E79">
      <w:pPr>
        <w:pStyle w:val="BodyTextNumbered"/>
        <w:shd w:val="clear" w:color="auto" w:fill="FFFFFF"/>
        <w:spacing w:before="240"/>
        <w:ind w:left="2160"/>
      </w:pPr>
      <w:r w:rsidRPr="0013396E" w:rsidDel="00004772">
        <w:lastRenderedPageBreak/>
        <w:t>(i)</w:t>
      </w:r>
      <w:r w:rsidRPr="0013396E" w:rsidDel="00004772">
        <w:tab/>
        <w:t xml:space="preserve">A 15-Minute Rating is available to allow for additional transmission capacity for use in congestion management, if an EEA Level 2 or 3 is declared, and post-contingency actions can be taken within 15 minutes to return the flow to within the Emergency Rating.  Such actions may include, but are not limited to, reducing the generation that increased output as a result of enforcing the 15-Minute Rating rather than the Emergency Rating; </w:t>
      </w:r>
    </w:p>
    <w:p w14:paraId="7BFEA3AD" w14:textId="77777777" w:rsidR="008C7E79" w:rsidRPr="0013396E" w:rsidDel="00004772" w:rsidRDefault="008C7E79" w:rsidP="008C7E79">
      <w:pPr>
        <w:pStyle w:val="BodyTextNumbered"/>
        <w:shd w:val="clear" w:color="auto" w:fill="FFFFFF"/>
        <w:ind w:left="2160"/>
      </w:pPr>
      <w:r w:rsidRPr="0013396E" w:rsidDel="00004772">
        <w:t>(ii)</w:t>
      </w:r>
      <w:r w:rsidRPr="0013396E" w:rsidDel="00004772">
        <w:tab/>
        <w:t xml:space="preserve">Post-contingency loading of the Transmission Facilities is expected to be at or below Normal Rating within two hours; or </w:t>
      </w:r>
    </w:p>
    <w:p w14:paraId="72DA2971" w14:textId="77777777" w:rsidR="008C7E79" w:rsidRPr="0013396E" w:rsidDel="00004772" w:rsidRDefault="008C7E79" w:rsidP="008C7E79">
      <w:pPr>
        <w:pStyle w:val="BodyTextNumbered"/>
        <w:shd w:val="clear" w:color="auto" w:fill="FFFFFF"/>
        <w:ind w:left="2160"/>
      </w:pPr>
      <w:r w:rsidRPr="0013396E" w:rsidDel="00004772">
        <w:t>(iii)</w:t>
      </w:r>
      <w:r w:rsidRPr="0013396E" w:rsidDel="00004772">
        <w:tab/>
        <w:t xml:space="preserve">Additional transmission capacity could allow for additional output from a limited Generation Resource by taking one of the following actions: </w:t>
      </w:r>
    </w:p>
    <w:p w14:paraId="3674CF29" w14:textId="77777777" w:rsidR="008C7E79" w:rsidRPr="0013396E" w:rsidDel="00004772" w:rsidRDefault="008C7E79" w:rsidP="008C7E79">
      <w:pPr>
        <w:pStyle w:val="BodyTextNumbered"/>
        <w:shd w:val="clear" w:color="auto" w:fill="FFFFFF"/>
        <w:ind w:left="2880"/>
      </w:pPr>
      <w:r w:rsidRPr="0013396E" w:rsidDel="00004772">
        <w:t>(A)</w:t>
      </w:r>
      <w:r w:rsidRPr="0013396E" w:rsidDel="00004772">
        <w:tab/>
        <w:t xml:space="preserve">Restoring Transmission Elements that are out of service; </w:t>
      </w:r>
    </w:p>
    <w:p w14:paraId="3A3C1C28" w14:textId="5F93E87C" w:rsidR="008C7E79" w:rsidRPr="0013396E" w:rsidDel="00004772" w:rsidRDefault="008C7E79" w:rsidP="008C7E79">
      <w:pPr>
        <w:pStyle w:val="BodyTextNumbered"/>
        <w:shd w:val="clear" w:color="auto" w:fill="FFFFFF"/>
        <w:ind w:left="2880"/>
      </w:pPr>
      <w:r w:rsidRPr="0013396E" w:rsidDel="00004772">
        <w:t>(B)</w:t>
      </w:r>
      <w:r w:rsidRPr="0013396E" w:rsidDel="00004772">
        <w:tab/>
        <w:t>Reconfiguring the transmission system; or</w:t>
      </w:r>
    </w:p>
    <w:p w14:paraId="2F10F037" w14:textId="77777777" w:rsidR="008C7E79" w:rsidRPr="0013396E" w:rsidDel="00004772" w:rsidRDefault="008C7E79" w:rsidP="008C7E79">
      <w:pPr>
        <w:pStyle w:val="BodyTextNumbered"/>
        <w:shd w:val="clear" w:color="auto" w:fill="FFFFFF"/>
        <w:ind w:left="2880"/>
      </w:pPr>
      <w:r w:rsidRPr="0013396E" w:rsidDel="00004772">
        <w:t>(C)</w:t>
      </w:r>
      <w:r w:rsidRPr="0013396E" w:rsidDel="00004772">
        <w:tab/>
        <w:t>Making adjustments to phase angle regulator tap positions.</w:t>
      </w:r>
    </w:p>
    <w:p w14:paraId="37DC44F9" w14:textId="69B06A01" w:rsidR="008C7E79" w:rsidRPr="0013396E" w:rsidDel="00004772" w:rsidRDefault="008C7E79" w:rsidP="008C7E79">
      <w:pPr>
        <w:pStyle w:val="BodyTextNumbered"/>
        <w:shd w:val="clear" w:color="auto" w:fill="FFFFFF"/>
        <w:ind w:left="1440" w:firstLine="0"/>
      </w:pPr>
      <w:r w:rsidRPr="0013396E" w:rsidDel="00004772">
        <w:t xml:space="preserve">If ERCOT determines that one of the above-mentioned actions allows for additional output from a limited Generation Resource, ERCOT may instruct the TSPs to take the action(s) during the </w:t>
      </w:r>
      <w:r w:rsidR="0050458F" w:rsidRPr="0013396E">
        <w:t>Watch</w:t>
      </w:r>
      <w:r w:rsidRPr="0013396E" w:rsidDel="00004772">
        <w:t xml:space="preserve"> to allow for additional output from the limited Generation Resource.</w:t>
      </w:r>
    </w:p>
    <w:p w14:paraId="184ED9E1" w14:textId="31542F19" w:rsidR="008C7E79" w:rsidRPr="0013396E" w:rsidDel="00004772" w:rsidRDefault="008C7E79" w:rsidP="008C7E79">
      <w:pPr>
        <w:pStyle w:val="BodyTextNumbered"/>
        <w:ind w:left="1440"/>
      </w:pPr>
      <w:r w:rsidRPr="0013396E" w:rsidDel="00004772">
        <w:t>(b)</w:t>
      </w:r>
      <w:r w:rsidRPr="0013396E" w:rsidDel="00004772">
        <w:tab/>
        <w:t xml:space="preserve">ERCOT shall also coordinate with TSPs who own and operate the Transmission Facilities associated with the double-circuit contingencies for the constraints identified above to determine whether the double-circuit failures are at a high risk of occurring due to system conditions, which may include: </w:t>
      </w:r>
      <w:r w:rsidR="00186863" w:rsidRPr="0013396E">
        <w:t xml:space="preserve"> </w:t>
      </w:r>
      <w:r w:rsidRPr="0013396E" w:rsidDel="00004772">
        <w:t xml:space="preserve">severe weather conditions forecasted by ERCOT in the vicinity of the double circuit, weather conditions that indicate a high risk of insulator flashover on the double circuit, repeated Forced Outages of the individual circuits that are part of the double circuit in the preceding 48 hours, or fire in progress in the right of way of the double circuit. </w:t>
      </w:r>
    </w:p>
    <w:p w14:paraId="240942EA" w14:textId="77777777" w:rsidR="008C7E79" w:rsidRPr="0013396E" w:rsidDel="00004772" w:rsidRDefault="008C7E79" w:rsidP="008C7E79">
      <w:pPr>
        <w:pStyle w:val="BodyTextNumbered"/>
        <w:spacing w:before="240"/>
        <w:ind w:left="1440"/>
      </w:pPr>
      <w:r w:rsidRPr="0013396E" w:rsidDel="00004772">
        <w:t>(c)</w:t>
      </w:r>
      <w:r w:rsidRPr="0013396E" w:rsidDel="00004772">
        <w:tab/>
        <w:t>The actions detailed in this Section shall be supplemental to the development and maintenance of CMPs as otherwise directed by the Protocols or Operating Guides.</w:t>
      </w:r>
    </w:p>
    <w:p w14:paraId="1258CB00" w14:textId="395F360A" w:rsidR="008C7E79" w:rsidRPr="0013396E" w:rsidRDefault="008C7E79" w:rsidP="008C7E79">
      <w:pPr>
        <w:spacing w:before="240" w:after="240"/>
        <w:ind w:left="720" w:hanging="720"/>
      </w:pPr>
      <w:r w:rsidRPr="0013396E">
        <w:t>(4)</w:t>
      </w:r>
      <w:r w:rsidRPr="0013396E">
        <w:tab/>
        <w:t>When a Watch is issued for PRC below 3,000 MW, QSEs shall suspend any ongoing ERCOT-required Resource performance testing.</w:t>
      </w:r>
    </w:p>
    <w:p w14:paraId="193F0CBB" w14:textId="77777777" w:rsidR="001F04FD" w:rsidRPr="0013396E" w:rsidRDefault="001F04FD" w:rsidP="001F04FD">
      <w:pPr>
        <w:pStyle w:val="H5"/>
        <w:spacing w:before="480"/>
        <w:ind w:left="1627" w:hanging="1627"/>
      </w:pPr>
      <w:bookmarkStart w:id="1251" w:name="_Toc236220150"/>
      <w:bookmarkStart w:id="1252" w:name="_Hlk214433010"/>
      <w:r w:rsidRPr="0013396E">
        <w:lastRenderedPageBreak/>
        <w:t>6.5.9.4.2</w:t>
      </w:r>
      <w:r w:rsidRPr="0013396E">
        <w:tab/>
        <w:t>EEA Levels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14:paraId="22D8297E" w14:textId="551D1D6E" w:rsidR="001F04FD" w:rsidRPr="0013396E" w:rsidRDefault="001F04FD" w:rsidP="001F04FD">
      <w:pPr>
        <w:pStyle w:val="BodyTextNumbered"/>
      </w:pPr>
      <w:r w:rsidRPr="0013396E">
        <w:t>(1)</w:t>
      </w:r>
      <w:r w:rsidRPr="0013396E">
        <w:tab/>
        <w:t>ERCOT will declare an EEA Level 1 when PRC falls below 2,</w:t>
      </w:r>
      <w:r w:rsidR="008C7E79" w:rsidRPr="0013396E">
        <w:t>5</w:t>
      </w:r>
      <w:r w:rsidRPr="0013396E">
        <w:t>00 MW and is not projected to be recovered above 2,</w:t>
      </w:r>
      <w:r w:rsidR="008C7E79" w:rsidRPr="0013396E">
        <w:t>5</w:t>
      </w:r>
      <w:r w:rsidRPr="0013396E">
        <w:t xml:space="preserve">00 MW within 30 minutes without the use of the following actions that are prescribed for EEA Level 1: </w:t>
      </w:r>
    </w:p>
    <w:p w14:paraId="59BC8C28" w14:textId="44FEC5E5" w:rsidR="001F04FD" w:rsidRPr="0013396E" w:rsidRDefault="001F04FD" w:rsidP="001F04FD">
      <w:pPr>
        <w:pStyle w:val="List"/>
      </w:pPr>
      <w:r w:rsidRPr="0013396E">
        <w:t>(a)</w:t>
      </w:r>
      <w:r w:rsidRPr="0013396E">
        <w:tab/>
        <w:t xml:space="preserve">ERCOT shall take the following steps to maintain steady state system frequency near 60 Hz and maintain PRC above </w:t>
      </w:r>
      <w:r w:rsidR="008C7E79" w:rsidRPr="0013396E">
        <w:t>2</w:t>
      </w:r>
      <w:r w:rsidRPr="0013396E">
        <w:t>,</w:t>
      </w:r>
      <w:r w:rsidR="008C7E79" w:rsidRPr="0013396E">
        <w:t>00</w:t>
      </w:r>
      <w:r w:rsidRPr="0013396E">
        <w:t>0 MW:</w:t>
      </w:r>
    </w:p>
    <w:p w14:paraId="3159BC04" w14:textId="78D223C5" w:rsidR="001F04FD" w:rsidRPr="0013396E" w:rsidRDefault="001F04FD" w:rsidP="001F04FD">
      <w:pPr>
        <w:pStyle w:val="List2"/>
      </w:pPr>
      <w:r w:rsidRPr="0013396E">
        <w:t>(i)</w:t>
      </w:r>
      <w:r w:rsidRPr="0013396E">
        <w:tab/>
      </w:r>
      <w:r w:rsidR="00636C61" w:rsidRPr="0013396E">
        <w:t>Request available Generation Resources that can perform within the expected timeframe of the emergency to come On-Line by initiating manual HRUC or through Dispatch Instructions, and request available ESRs that can perform within the expected timeframe of the emergency to come On-Line through Dispatch Instructions;</w:t>
      </w:r>
    </w:p>
    <w:p w14:paraId="5A8EA4FE" w14:textId="4923F7CB" w:rsidR="001F04FD" w:rsidRPr="0013396E" w:rsidRDefault="001F04FD" w:rsidP="005A7D8E">
      <w:pPr>
        <w:pStyle w:val="List2"/>
      </w:pPr>
      <w:r w:rsidRPr="0013396E">
        <w:t>(ii)</w:t>
      </w:r>
      <w:r w:rsidRPr="0013396E">
        <w:tab/>
        <w:t xml:space="preserve">Use available DC Tie import capacity that is not already being used; </w:t>
      </w:r>
    </w:p>
    <w:p w14:paraId="2D5C7F50" w14:textId="5886A1E6" w:rsidR="001F04FD" w:rsidRPr="0013396E" w:rsidRDefault="001F04FD" w:rsidP="001F04FD">
      <w:pPr>
        <w:pStyle w:val="List2"/>
      </w:pPr>
      <w:r w:rsidRPr="0013396E">
        <w:t>(iii)</w:t>
      </w:r>
      <w:r w:rsidRPr="0013396E">
        <w:tab/>
        <w:t>Issue a Dispatch Instruction for Resources to remain On-Line which, before start of emergency, were scheduled to come Off-Line;</w:t>
      </w:r>
    </w:p>
    <w:p w14:paraId="7032B171" w14:textId="60E06A94" w:rsidR="001F04FD" w:rsidRDefault="001F04FD" w:rsidP="000D6728">
      <w:pPr>
        <w:pStyle w:val="List2"/>
      </w:pPr>
      <w:r w:rsidRPr="0013396E">
        <w:t>(iv)</w:t>
      </w:r>
      <w:r w:rsidRPr="0013396E">
        <w:tab/>
      </w:r>
      <w:r w:rsidR="00A3515A" w:rsidRPr="0013396E">
        <w:t xml:space="preserve">Instruct QSEs to </w:t>
      </w:r>
      <w:r w:rsidRPr="0013396E">
        <w:t xml:space="preserve">deploy </w:t>
      </w:r>
      <w:r w:rsidR="00A3515A" w:rsidRPr="0013396E">
        <w:t>undeployed</w:t>
      </w:r>
      <w:r w:rsidRPr="0013396E">
        <w:t xml:space="preserve"> </w:t>
      </w:r>
      <w:r w:rsidR="00A3515A" w:rsidRPr="0013396E">
        <w:t xml:space="preserve">ERS-10 and </w:t>
      </w:r>
      <w:r w:rsidRPr="0013396E">
        <w:t>ERS-30</w:t>
      </w:r>
      <w:r w:rsidR="00636C61">
        <w:t>; and</w:t>
      </w:r>
    </w:p>
    <w:p w14:paraId="1198931F" w14:textId="7343B546" w:rsidR="00636C61" w:rsidRPr="0013396E" w:rsidRDefault="00636C61" w:rsidP="000D6728">
      <w:pPr>
        <w:pStyle w:val="List2"/>
      </w:pPr>
      <w:r w:rsidRPr="0013396E">
        <w:t>(v)</w:t>
      </w:r>
      <w:r w:rsidRPr="0013396E">
        <w:tab/>
        <w:t xml:space="preserve">At ERCOT’s discretion, manually deploy, </w:t>
      </w:r>
      <w:r w:rsidRPr="0013396E">
        <w:rPr>
          <w:iCs/>
        </w:rPr>
        <w:t xml:space="preserve">through ICCP, </w:t>
      </w:r>
      <w:r w:rsidRPr="0013396E">
        <w:t xml:space="preserve">available RRS and ECRS </w:t>
      </w:r>
      <w:r w:rsidRPr="0013396E">
        <w:rPr>
          <w:iCs/>
        </w:rPr>
        <w:t xml:space="preserve">capacity from </w:t>
      </w:r>
      <w:r w:rsidRPr="0013396E">
        <w:t>Generation Resources having a Resource Status of ONSC and awarded RRS or ECRS.</w:t>
      </w:r>
    </w:p>
    <w:p w14:paraId="63CE39A1" w14:textId="3DA19F0B" w:rsidR="001F04FD" w:rsidRPr="0013396E" w:rsidRDefault="001F04FD" w:rsidP="005A7D8E">
      <w:pPr>
        <w:pStyle w:val="List"/>
      </w:pPr>
      <w:r w:rsidRPr="0013396E">
        <w:t>(b)</w:t>
      </w:r>
      <w:r w:rsidRPr="0013396E">
        <w:tab/>
        <w:t>QSEs shall:</w:t>
      </w:r>
    </w:p>
    <w:p w14:paraId="7985BFCF" w14:textId="1022B21C" w:rsidR="001F04FD" w:rsidRPr="0013396E" w:rsidRDefault="001F04FD" w:rsidP="001F04FD">
      <w:pPr>
        <w:pStyle w:val="List"/>
        <w:ind w:left="2160"/>
      </w:pPr>
      <w:r w:rsidRPr="0013396E">
        <w:t>(i)</w:t>
      </w:r>
      <w:r w:rsidRPr="0013396E">
        <w:tab/>
      </w:r>
      <w:r w:rsidR="00636C61" w:rsidRPr="0013396E">
        <w:t>Ensure COPs, telemetered status, telemetered HSLs, Normal Ramp Rates, Emergency Ramp Rates, and Ancillary Service capabilities are updated and reflect all Resource delays and limitations; and</w:t>
      </w:r>
    </w:p>
    <w:p w14:paraId="79F9FED1" w14:textId="02D5A821" w:rsidR="00C52BB8" w:rsidRPr="0013396E" w:rsidRDefault="00C52BB8" w:rsidP="005A7D8E">
      <w:pPr>
        <w:pStyle w:val="List"/>
        <w:ind w:left="2160"/>
      </w:pPr>
      <w:r w:rsidRPr="0013396E">
        <w:t>(ii)</w:t>
      </w:r>
      <w:r w:rsidRPr="0013396E">
        <w:tab/>
        <w:t>Ensure that each of its ESRs suspends charging until the EEA is recalled, except under the following circumstances:</w:t>
      </w:r>
    </w:p>
    <w:p w14:paraId="06B18A6C" w14:textId="1E5C3C21" w:rsidR="00C52BB8" w:rsidRPr="0013396E" w:rsidRDefault="00C52BB8" w:rsidP="00C52BB8">
      <w:pPr>
        <w:pStyle w:val="List"/>
        <w:ind w:left="2880"/>
      </w:pPr>
      <w:r w:rsidRPr="0013396E">
        <w:t>(A)</w:t>
      </w:r>
      <w:r w:rsidRPr="0013396E">
        <w:tab/>
        <w:t xml:space="preserve">The ESR has a current SCED Base Point Instruction, </w:t>
      </w:r>
      <w:r w:rsidR="00283DFC" w:rsidRPr="0013396E">
        <w:t xml:space="preserve">LFC </w:t>
      </w:r>
      <w:r w:rsidRPr="0013396E">
        <w:t xml:space="preserve">Dispatch Instruction, or manual Dispatch Instruction to charge the ESR; </w:t>
      </w:r>
    </w:p>
    <w:p w14:paraId="6417F353" w14:textId="77777777" w:rsidR="00C52BB8" w:rsidRPr="0013396E" w:rsidRDefault="00C52BB8" w:rsidP="00C52BB8">
      <w:pPr>
        <w:pStyle w:val="List"/>
        <w:ind w:left="2880"/>
      </w:pPr>
      <w:r w:rsidRPr="0013396E">
        <w:t>(B)</w:t>
      </w:r>
      <w:r w:rsidRPr="0013396E">
        <w:tab/>
        <w:t xml:space="preserve">The ESR is actively providing Primary Frequency Response; or </w:t>
      </w:r>
    </w:p>
    <w:p w14:paraId="1B1C5EBD" w14:textId="41AB74AE" w:rsidR="001F04FD" w:rsidRPr="0013396E" w:rsidRDefault="00C52BB8" w:rsidP="00C52BB8">
      <w:pPr>
        <w:pStyle w:val="List"/>
        <w:ind w:left="2880"/>
      </w:pPr>
      <w:r w:rsidRPr="0013396E">
        <w:t>(C)</w:t>
      </w:r>
      <w:r w:rsidRPr="0013396E">
        <w:tab/>
        <w:t>The ESR is co-located behind a POI with onsite generation that is incapable of exporting additional power to the ERCOT System, in which case the ESR may continue to charge as long as maximum output to the ERCOT System is maintained</w:t>
      </w:r>
      <w:r w:rsidR="001F04FD" w:rsidRPr="0013396E">
        <w:t xml:space="preserve">. </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7A07FE" w:rsidRPr="0013396E" w14:paraId="13128767" w14:textId="77777777" w:rsidTr="005C5A9B">
        <w:trPr>
          <w:trHeight w:val="206"/>
        </w:trPr>
        <w:tc>
          <w:tcPr>
            <w:tcW w:w="9576" w:type="dxa"/>
            <w:shd w:val="pct12" w:color="auto" w:fill="auto"/>
          </w:tcPr>
          <w:p w14:paraId="5E3D7AC0" w14:textId="3CA964E8" w:rsidR="007A07FE" w:rsidRPr="0013396E" w:rsidRDefault="007A07FE" w:rsidP="005C5A9B">
            <w:pPr>
              <w:pStyle w:val="Instructions"/>
              <w:spacing w:before="120"/>
            </w:pPr>
            <w:r w:rsidRPr="0013396E">
              <w:lastRenderedPageBreak/>
              <w:t>[</w:t>
            </w:r>
            <w:r w:rsidR="002F1AE6" w:rsidRPr="0013396E">
              <w:t>NPRR995</w:t>
            </w:r>
            <w:r w:rsidRPr="0013396E">
              <w:t xml:space="preserve">:  </w:t>
            </w:r>
            <w:r w:rsidR="00C52BB8" w:rsidRPr="0013396E">
              <w:t>Replace</w:t>
            </w:r>
            <w:r w:rsidR="002F1AE6" w:rsidRPr="0013396E">
              <w:t xml:space="preserve"> </w:t>
            </w:r>
            <w:r w:rsidRPr="0013396E">
              <w:t xml:space="preserve">paragraph (ii) </w:t>
            </w:r>
            <w:r w:rsidR="00C52BB8" w:rsidRPr="0013396E">
              <w:t>above with the following</w:t>
            </w:r>
            <w:r w:rsidRPr="0013396E">
              <w:t xml:space="preserve"> upon system implementation:]</w:t>
            </w:r>
          </w:p>
          <w:p w14:paraId="2F5994B8" w14:textId="5BD57A3E" w:rsidR="007A07FE" w:rsidRPr="0013396E" w:rsidRDefault="007A07FE" w:rsidP="007A07FE">
            <w:pPr>
              <w:pStyle w:val="List"/>
              <w:ind w:left="2160"/>
            </w:pPr>
            <w:r w:rsidRPr="0013396E">
              <w:t>(ii)</w:t>
            </w:r>
            <w:r w:rsidRPr="0013396E">
              <w:tab/>
              <w:t>Ensure that each of its ESRs</w:t>
            </w:r>
            <w:r w:rsidR="002F1AE6" w:rsidRPr="0013396E">
              <w:t xml:space="preserve"> and SOESSs</w:t>
            </w:r>
            <w:r w:rsidRPr="0013396E">
              <w:t xml:space="preserve"> suspends charging until the EEA is recalled, except under the following circumstances:</w:t>
            </w:r>
          </w:p>
          <w:p w14:paraId="1AAB1436" w14:textId="099DB1B0" w:rsidR="007A07FE" w:rsidRPr="0013396E" w:rsidRDefault="007A07FE" w:rsidP="007A07FE">
            <w:pPr>
              <w:pStyle w:val="List"/>
              <w:ind w:left="2880"/>
            </w:pPr>
            <w:r w:rsidRPr="0013396E">
              <w:t>(A)</w:t>
            </w:r>
            <w:r w:rsidRPr="0013396E">
              <w:tab/>
              <w:t xml:space="preserve">The ESR has a current SCED Base Point Instruction, </w:t>
            </w:r>
            <w:r w:rsidR="00283DFC" w:rsidRPr="0013396E">
              <w:t>LFC</w:t>
            </w:r>
            <w:r w:rsidRPr="0013396E">
              <w:t xml:space="preserve"> Dispatch Instruction, or manual Dispatch Instruction to charge the ESR; </w:t>
            </w:r>
          </w:p>
          <w:p w14:paraId="30332C64" w14:textId="753DE1B6" w:rsidR="007A07FE" w:rsidRPr="0013396E" w:rsidRDefault="007A07FE" w:rsidP="007A07FE">
            <w:pPr>
              <w:pStyle w:val="List"/>
              <w:ind w:left="2880"/>
            </w:pPr>
            <w:r w:rsidRPr="0013396E">
              <w:t>(B)</w:t>
            </w:r>
            <w:r w:rsidRPr="0013396E">
              <w:tab/>
              <w:t xml:space="preserve">The ESR </w:t>
            </w:r>
            <w:r w:rsidR="002F1AE6" w:rsidRPr="0013396E">
              <w:t xml:space="preserve">or SOESS </w:t>
            </w:r>
            <w:r w:rsidRPr="0013396E">
              <w:t xml:space="preserve">is actively providing Primary Frequency Response; or </w:t>
            </w:r>
          </w:p>
          <w:p w14:paraId="779B121B" w14:textId="7CDF7C1F" w:rsidR="007A07FE" w:rsidRPr="0013396E" w:rsidRDefault="007A07FE" w:rsidP="00B84F08">
            <w:pPr>
              <w:pStyle w:val="List"/>
              <w:ind w:left="2880"/>
            </w:pPr>
            <w:r w:rsidRPr="0013396E">
              <w:t>(C)</w:t>
            </w:r>
            <w:r w:rsidRPr="0013396E">
              <w:tab/>
              <w:t>The ESR</w:t>
            </w:r>
            <w:r w:rsidR="002F1AE6" w:rsidRPr="0013396E">
              <w:t xml:space="preserve"> or SOESS</w:t>
            </w:r>
            <w:r w:rsidRPr="0013396E">
              <w:t xml:space="preserve"> is co-located behind a POI with onsite generation that is incapable of exporting additional power to the ERCOT System, in which case the ESR may continue to charge as long as maximum output to the ERCOT System is maintained.</w:t>
            </w:r>
          </w:p>
        </w:tc>
      </w:tr>
    </w:tbl>
    <w:p w14:paraId="2A6B39ED" w14:textId="7A540301" w:rsidR="001F04FD" w:rsidRPr="0013396E" w:rsidRDefault="001F04FD" w:rsidP="003A5AC3">
      <w:pPr>
        <w:pStyle w:val="BodyTextNumbered"/>
        <w:spacing w:before="240"/>
      </w:pPr>
      <w:r w:rsidRPr="0013396E">
        <w:t>(2)</w:t>
      </w:r>
      <w:r w:rsidRPr="0013396E">
        <w:tab/>
        <w:t xml:space="preserve">ERCOT </w:t>
      </w:r>
      <w:r w:rsidR="00D67C9C" w:rsidRPr="0013396E">
        <w:t>may</w:t>
      </w:r>
      <w:r w:rsidRPr="0013396E">
        <w:t xml:space="preserve"> declare an EEA Level 2 when </w:t>
      </w:r>
      <w:r w:rsidR="00D67C9C" w:rsidRPr="0013396E">
        <w:t xml:space="preserve">the </w:t>
      </w:r>
      <w:r w:rsidR="00D67C9C" w:rsidRPr="0013396E">
        <w:rPr>
          <w:iCs/>
        </w:rPr>
        <w:t>clock-minute average</w:t>
      </w:r>
      <w:r w:rsidRPr="0013396E">
        <w:t xml:space="preserve"> system frequency </w:t>
      </w:r>
      <w:r w:rsidR="00D67C9C" w:rsidRPr="0013396E">
        <w:t>falls below</w:t>
      </w:r>
      <w:r w:rsidRPr="0013396E">
        <w:t xml:space="preserve"> 59.91 Hz </w:t>
      </w:r>
      <w:r w:rsidR="00D67C9C" w:rsidRPr="0013396E">
        <w:t>for 15 consecutive minutes.  ERCOT will declare an EEA Level 2</w:t>
      </w:r>
      <w:r w:rsidRPr="0013396E">
        <w:t xml:space="preserve"> when PRC falls below </w:t>
      </w:r>
      <w:r w:rsidR="008C7E79" w:rsidRPr="0013396E">
        <w:t>2</w:t>
      </w:r>
      <w:r w:rsidRPr="0013396E">
        <w:t>,</w:t>
      </w:r>
      <w:r w:rsidR="008C7E79" w:rsidRPr="0013396E">
        <w:t>00</w:t>
      </w:r>
      <w:r w:rsidRPr="0013396E">
        <w:t xml:space="preserve">0 MW and is not projected to be recovered above </w:t>
      </w:r>
      <w:r w:rsidR="008C7E79" w:rsidRPr="0013396E">
        <w:t>2</w:t>
      </w:r>
      <w:r w:rsidRPr="0013396E">
        <w:t>,</w:t>
      </w:r>
      <w:r w:rsidR="008C7E79" w:rsidRPr="0013396E">
        <w:t>00</w:t>
      </w:r>
      <w:r w:rsidRPr="0013396E">
        <w:t xml:space="preserve">0 MW within 30 minutes without the use of the following actions that are prescribed for EEA Level 2: </w:t>
      </w:r>
    </w:p>
    <w:p w14:paraId="6E99F497" w14:textId="009DD984" w:rsidR="001F04FD" w:rsidRPr="0013396E" w:rsidRDefault="001F04FD" w:rsidP="001F04FD">
      <w:pPr>
        <w:pStyle w:val="List"/>
      </w:pPr>
      <w:r w:rsidRPr="0013396E">
        <w:t>(a)</w:t>
      </w:r>
      <w:r w:rsidRPr="0013396E">
        <w:tab/>
        <w:t xml:space="preserve">In addition to the measures associated with EEA Level 1, ERCOT shall take the following steps to maintain steady state system frequency at a minimum of 59.91 Hz and maintain PRC above </w:t>
      </w:r>
      <w:r w:rsidR="00947C1C" w:rsidRPr="0013396E">
        <w:t>1,</w:t>
      </w:r>
      <w:r w:rsidR="008C7E79" w:rsidRPr="0013396E">
        <w:t>50</w:t>
      </w:r>
      <w:r w:rsidR="00947C1C" w:rsidRPr="0013396E">
        <w:t>0</w:t>
      </w:r>
      <w:r w:rsidRPr="0013396E">
        <w:t xml:space="preserve"> MW:</w:t>
      </w:r>
    </w:p>
    <w:p w14:paraId="2349273D" w14:textId="3F88A9DB" w:rsidR="001F04FD" w:rsidRPr="0013396E" w:rsidRDefault="001F04FD" w:rsidP="001F04FD">
      <w:pPr>
        <w:pStyle w:val="List2"/>
      </w:pPr>
      <w:r w:rsidRPr="0013396E">
        <w:t>(i)</w:t>
      </w:r>
      <w:r w:rsidRPr="0013396E">
        <w:tab/>
        <w:t xml:space="preserve">Instruct TSPs and DSPs or their agents to reduce Customer Load by using </w:t>
      </w:r>
      <w:r w:rsidR="0064112F" w:rsidRPr="0013396E">
        <w:t xml:space="preserve">existing, in-service </w:t>
      </w:r>
      <w:r w:rsidRPr="0013396E">
        <w:t>distribution voltage reduction measures</w:t>
      </w:r>
      <w:r w:rsidR="0064112F" w:rsidRPr="0013396E">
        <w:t xml:space="preserve"> that have not already been implemented.  A</w:t>
      </w:r>
      <w:r w:rsidRPr="0013396E">
        <w:t xml:space="preserve"> TSP, DSP, or their agent</w:t>
      </w:r>
      <w:r w:rsidR="0064112F" w:rsidRPr="0013396E">
        <w:t xml:space="preserve"> shall implement these instructions if distribution voltage reduction measures are available and already installed.  If the TSP, DSP, or their agent determines in their sole discretion that the distribution voltage reduction would adversely affect reliability, the voltage reduction measure may be reduced, modified, or otherwise changed from maximum performance to a level of exercise that has no negative impact to reliability</w:t>
      </w:r>
      <w:r w:rsidRPr="0013396E">
        <w:t>.</w:t>
      </w:r>
    </w:p>
    <w:p w14:paraId="487315AB" w14:textId="77777777" w:rsidR="001F04FD" w:rsidRPr="0013396E" w:rsidRDefault="001F04FD" w:rsidP="001F04FD">
      <w:pPr>
        <w:pStyle w:val="List2"/>
      </w:pPr>
      <w:r w:rsidRPr="0013396E">
        <w:t>(ii)</w:t>
      </w:r>
      <w:r w:rsidRPr="0013396E">
        <w:tab/>
        <w:t>Instruct TSPs and DSPs to implement any available Load management plans to reduce Customer Load.</w:t>
      </w:r>
    </w:p>
    <w:p w14:paraId="0213180B" w14:textId="2BCF2CB2" w:rsidR="001F04FD" w:rsidRPr="0013396E" w:rsidRDefault="001F04FD" w:rsidP="001F04FD">
      <w:pPr>
        <w:pStyle w:val="List2"/>
      </w:pPr>
      <w:bookmarkStart w:id="1253" w:name="_Hlk135903532"/>
      <w:r w:rsidRPr="0013396E">
        <w:t>(iii)</w:t>
      </w:r>
      <w:r w:rsidRPr="0013396E">
        <w:tab/>
      </w:r>
      <w:r w:rsidR="00636C61" w:rsidRPr="0013396E">
        <w:t>Instruct QSEs to deploy ECRS or RRS (controlled by high-set under-frequency relays) supplied from Load Resources.  ERCOT may deploy ECRS or RRS from Load Resources simultaneously or separately.  ERCOT shall issue such Dispatch Instructions in accordance with the deployment methodologies described in paragraph (iv) below.</w:t>
      </w:r>
    </w:p>
    <w:p w14:paraId="3FAE6AB5" w14:textId="77777777" w:rsidR="00636C61" w:rsidRPr="0013396E" w:rsidRDefault="00636C61" w:rsidP="00636C61">
      <w:pPr>
        <w:spacing w:after="240"/>
        <w:ind w:left="2160" w:hanging="720"/>
      </w:pPr>
      <w:bookmarkStart w:id="1254" w:name="_Hlk135903540"/>
      <w:bookmarkEnd w:id="1253"/>
      <w:r w:rsidRPr="0013396E">
        <w:lastRenderedPageBreak/>
        <w:t>(iv)</w:t>
      </w:r>
      <w:r w:rsidRPr="0013396E">
        <w:tab/>
        <w:t>Load Resources providing ECRS that are not controlled by high-set under-frequency relays shall be deployed prior to deployment of those that have armed under-frequency relays.  ERCOT shall deploy ECRS and RRS capacity supplied by Load Resources (controlled by high-set under-frequency relays) in accordance with the following:</w:t>
      </w:r>
    </w:p>
    <w:p w14:paraId="214068CA" w14:textId="77777777" w:rsidR="00636C61" w:rsidRPr="0013396E" w:rsidRDefault="00636C61" w:rsidP="00636C61">
      <w:pPr>
        <w:pStyle w:val="List3"/>
        <w:rPr>
          <w:sz w:val="20"/>
        </w:rPr>
      </w:pPr>
      <w:r w:rsidRPr="0013396E">
        <w:t>(A)</w:t>
      </w:r>
      <w:r w:rsidRPr="0013396E">
        <w:tab/>
        <w:t xml:space="preserve">Instruct QSEs to deploy ECRS that is supplied from Load Resources (controlled by high-set under-frequency relays) that are only providing ECRS and then instruct QSEs to deploy Load Resources (controlled by high-set under-frequency relays) providing ECRS and RRS.  </w:t>
      </w:r>
      <w:r w:rsidRPr="0013396E">
        <w:rPr>
          <w:szCs w:val="24"/>
        </w:rPr>
        <w:t xml:space="preserve">QSEs will be given some discretion to deploy additional Load Resources </w:t>
      </w:r>
      <w:r w:rsidRPr="0013396E">
        <w:t>not designated for deployment</w:t>
      </w:r>
      <w:r w:rsidRPr="0013396E">
        <w:rPr>
          <w:szCs w:val="24"/>
        </w:rPr>
        <w:t xml:space="preserve"> if Load Resource operational considerations require such.  ERCOT shall issue notification of the deployment via XML message.  The deployment time within the ERCOT XML deployment message shall initiate the ten-minute deployment period;  </w:t>
      </w:r>
    </w:p>
    <w:p w14:paraId="3F00C85A" w14:textId="77777777" w:rsidR="00636C61" w:rsidRPr="0013396E" w:rsidRDefault="00636C61" w:rsidP="00636C61">
      <w:pPr>
        <w:pStyle w:val="List3"/>
      </w:pPr>
      <w:r w:rsidRPr="0013396E">
        <w:t>(B)</w:t>
      </w:r>
      <w:r w:rsidRPr="0013396E">
        <w:tab/>
        <w:t>At the discretion of the ERCOT Operator, instruct QSEs to deploy RRS that is supplied from Load Resources (controlled by high-set under-frequency relays) by instructing the QSE representing the specific Load Resource to interrupt additional Load Resources that are only providing RRS.  ERCOT shall issue notification of the deployment via XML message.  The deployment time within the ERCOT XML deployment message shall initiate the ten-minute deployment period;</w:t>
      </w:r>
      <w:r w:rsidRPr="0013396E" w:rsidDel="001A290D">
        <w:t xml:space="preserve"> </w:t>
      </w:r>
      <w:r w:rsidRPr="0013396E">
        <w:t xml:space="preserve">   </w:t>
      </w:r>
    </w:p>
    <w:p w14:paraId="1C12FCAA" w14:textId="77777777" w:rsidR="00636C61" w:rsidRPr="0013396E" w:rsidRDefault="00636C61" w:rsidP="00636C61">
      <w:pPr>
        <w:spacing w:before="240" w:after="240"/>
        <w:ind w:left="2880" w:hanging="720"/>
      </w:pPr>
      <w:r w:rsidRPr="0013396E">
        <w:t>(C)</w:t>
      </w:r>
      <w:r w:rsidRPr="0013396E">
        <w:tab/>
        <w:t xml:space="preserve">The ERCOT Operator may deploy all Load Resources providing RRS and ECRS at the same time.  </w:t>
      </w:r>
      <w:r w:rsidRPr="0013396E">
        <w:rPr>
          <w:szCs w:val="24"/>
        </w:rPr>
        <w:t>ERCOT shall issue notification of the deployment via XML message.  The deployment time within the ERCOT XML deployment message shall initiate the ten-minute deployment period</w:t>
      </w:r>
      <w:r w:rsidRPr="0013396E">
        <w:t>; and</w:t>
      </w:r>
    </w:p>
    <w:p w14:paraId="54342714" w14:textId="66D1A6AD" w:rsidR="001F04FD" w:rsidRPr="0013396E" w:rsidRDefault="00636C61" w:rsidP="00F969DB">
      <w:pPr>
        <w:pStyle w:val="List3"/>
      </w:pPr>
      <w:r w:rsidRPr="0013396E">
        <w:t>(D)</w:t>
      </w:r>
      <w:r w:rsidRPr="0013396E">
        <w:tab/>
        <w:t>ERCOT shall develop a Real-Time process for deploying Load Resources based on a random sampling of individual Load Resources.  At ERCOT’s discretion, ERCOT may deploy all Load Resources at any given time during EEA Level 2.</w:t>
      </w:r>
      <w:bookmarkEnd w:id="1254"/>
    </w:p>
    <w:p w14:paraId="7E24B6FB" w14:textId="0CB5E5EF" w:rsidR="001F04FD" w:rsidRPr="0013396E" w:rsidRDefault="001F04FD" w:rsidP="005A7D8E">
      <w:pPr>
        <w:spacing w:after="240"/>
        <w:ind w:left="2160" w:hanging="720"/>
      </w:pPr>
      <w:r w:rsidRPr="0013396E">
        <w:t>(v)</w:t>
      </w:r>
      <w:r w:rsidRPr="0013396E">
        <w:tab/>
        <w:t>Unless a media appeal is already in effect, ERCOT shall issue an appeal through the public news media for voluntary energy conservation; and</w:t>
      </w:r>
    </w:p>
    <w:p w14:paraId="618CC649" w14:textId="3942B24E" w:rsidR="001F04FD" w:rsidRPr="0013396E" w:rsidRDefault="001F04FD" w:rsidP="001F04FD">
      <w:pPr>
        <w:pStyle w:val="List3"/>
        <w:ind w:left="2160"/>
      </w:pPr>
      <w:r w:rsidRPr="0013396E">
        <w:t>(vi)</w:t>
      </w:r>
      <w:r w:rsidRPr="0013396E">
        <w:tab/>
        <w:t xml:space="preserve">With the approval of the affected non-ERCOT Control Area, TSPs, DSPs, or their agents may implement </w:t>
      </w:r>
      <w:r w:rsidR="00517106" w:rsidRPr="0013396E">
        <w:t xml:space="preserve">transmission voltage level </w:t>
      </w:r>
      <w:r w:rsidRPr="0013396E">
        <w:t>BLTs, which transfer Load from the ERCOT Control Area to non-ERCOT Control Areas in accordance with BLTs as defined in the Operating Guides.</w:t>
      </w:r>
    </w:p>
    <w:p w14:paraId="709FD3EE" w14:textId="77777777" w:rsidR="001F04FD" w:rsidRPr="0013396E" w:rsidRDefault="001F04FD" w:rsidP="001F04FD">
      <w:pPr>
        <w:pStyle w:val="List"/>
      </w:pPr>
      <w:r w:rsidRPr="0013396E">
        <w:t>(b)</w:t>
      </w:r>
      <w:r w:rsidRPr="0013396E">
        <w:tab/>
        <w:t>Confidentiality requirements regarding transmission operations and system capacity information will be lifted, as needed to restore reliability.</w:t>
      </w:r>
    </w:p>
    <w:p w14:paraId="3E924381" w14:textId="63BEB546" w:rsidR="00D67C9C" w:rsidRPr="0013396E" w:rsidRDefault="001F04FD" w:rsidP="001F04FD">
      <w:pPr>
        <w:pStyle w:val="BodyTextNumbered"/>
      </w:pPr>
      <w:r w:rsidRPr="0013396E">
        <w:lastRenderedPageBreak/>
        <w:t>(3)</w:t>
      </w:r>
      <w:r w:rsidRPr="0013396E">
        <w:tab/>
      </w:r>
      <w:r w:rsidR="00D67C9C" w:rsidRPr="0013396E">
        <w:t xml:space="preserve">ERCOT may declare an EEA Level 3 when the </w:t>
      </w:r>
      <w:r w:rsidR="00D67C9C" w:rsidRPr="0013396E">
        <w:rPr>
          <w:iCs/>
        </w:rPr>
        <w:t>clock-minute average</w:t>
      </w:r>
      <w:r w:rsidR="00D67C9C" w:rsidRPr="0013396E">
        <w:t xml:space="preserve"> system frequency falls below 59.91 Hz for 20 consecutive minutes</w:t>
      </w:r>
      <w:r w:rsidR="008C7E79" w:rsidRPr="0013396E">
        <w:t xml:space="preserve"> or when steady-state frequency falls below 59.8 Hz</w:t>
      </w:r>
      <w:r w:rsidR="00D67C9C" w:rsidRPr="0013396E">
        <w:t xml:space="preserve">.  </w:t>
      </w:r>
      <w:r w:rsidRPr="0013396E">
        <w:t xml:space="preserve">ERCOT will declare an EEA Level 3 when </w:t>
      </w:r>
      <w:r w:rsidR="00D67C9C" w:rsidRPr="0013396E">
        <w:t xml:space="preserve">PRC cannot be maintained above </w:t>
      </w:r>
      <w:r w:rsidR="00947C1C" w:rsidRPr="0013396E">
        <w:t>1,</w:t>
      </w:r>
      <w:r w:rsidR="008C7E79" w:rsidRPr="0013396E">
        <w:t>50</w:t>
      </w:r>
      <w:r w:rsidR="00947C1C" w:rsidRPr="0013396E">
        <w:t>0</w:t>
      </w:r>
      <w:r w:rsidR="00D67C9C" w:rsidRPr="0013396E">
        <w:t xml:space="preserve"> MW or when the </w:t>
      </w:r>
      <w:r w:rsidR="00D67C9C" w:rsidRPr="0013396E">
        <w:rPr>
          <w:iCs/>
        </w:rPr>
        <w:t>clock-minute average</w:t>
      </w:r>
      <w:r w:rsidRPr="0013396E">
        <w:t xml:space="preserve"> system frequency </w:t>
      </w:r>
      <w:r w:rsidR="00D67C9C" w:rsidRPr="0013396E">
        <w:t>falls below</w:t>
      </w:r>
      <w:r w:rsidRPr="0013396E">
        <w:t xml:space="preserve"> 59.</w:t>
      </w:r>
      <w:r w:rsidR="00D67C9C" w:rsidRPr="0013396E">
        <w:t>91</w:t>
      </w:r>
      <w:r w:rsidRPr="0013396E">
        <w:t xml:space="preserve"> Hz </w:t>
      </w:r>
      <w:r w:rsidR="00D67C9C" w:rsidRPr="0013396E">
        <w:t xml:space="preserve">for 25 consecutive minutes.  Upon declaration of an EEA Level 3, </w:t>
      </w:r>
      <w:r w:rsidR="008C7E79" w:rsidRPr="0013396E">
        <w:t>ERCOT shall take any of the following measures as necessary to recover frequency or PRC to the minimum required levels:</w:t>
      </w:r>
    </w:p>
    <w:p w14:paraId="2FB36F21" w14:textId="77F2587F" w:rsidR="00C52BB8" w:rsidRPr="0013396E" w:rsidRDefault="00C52BB8" w:rsidP="00C52BB8">
      <w:pPr>
        <w:spacing w:after="240"/>
        <w:ind w:left="1440" w:hanging="720"/>
      </w:pPr>
      <w:bookmarkStart w:id="1255" w:name="_Hlk116467776"/>
      <w:r w:rsidRPr="0013396E">
        <w:t>(a)</w:t>
      </w:r>
      <w:r w:rsidRPr="0013396E">
        <w:tab/>
      </w:r>
      <w:r w:rsidR="008C7E79" w:rsidRPr="0013396E">
        <w:t>I</w:t>
      </w:r>
      <w:r w:rsidRPr="0013396E">
        <w:t>nstruct ESRs to suspend charging</w:t>
      </w:r>
      <w:r w:rsidR="00A43298" w:rsidRPr="0013396E">
        <w:t>.  For ESRs, ERCOT shall issue the suspension instruction</w:t>
      </w:r>
      <w:r w:rsidRPr="0013396E">
        <w:t xml:space="preserve"> via a SCED Base Point instruction, or, if otherwise necessary, via a manual Dispatch </w:t>
      </w:r>
      <w:r w:rsidR="00283DFC" w:rsidRPr="0013396E">
        <w:t>I</w:t>
      </w:r>
      <w:r w:rsidRPr="0013396E">
        <w:t xml:space="preserve">nstruction.  An ESR shall suspend charging unless </w:t>
      </w:r>
      <w:r w:rsidR="00A43298" w:rsidRPr="0013396E">
        <w:t xml:space="preserve">it is </w:t>
      </w:r>
      <w:r w:rsidRPr="0013396E">
        <w:t>providing Primary Frequency Response</w:t>
      </w:r>
      <w:r w:rsidR="00A43298" w:rsidRPr="0013396E">
        <w:t>,</w:t>
      </w:r>
      <w:r w:rsidRPr="0013396E">
        <w:t xml:space="preserve"> </w:t>
      </w:r>
      <w:r w:rsidR="00A43298" w:rsidRPr="0013396E">
        <w:t>has received a charging instruction via SCED Base Point, or is carrying Reg-Down and has received</w:t>
      </w:r>
      <w:r w:rsidRPr="0013396E">
        <w:t xml:space="preserve"> a charging instruction </w:t>
      </w:r>
      <w:r w:rsidR="00A43298" w:rsidRPr="0013396E">
        <w:t>from LFC</w:t>
      </w:r>
      <w:r w:rsidRPr="0013396E">
        <w:t>.  However, an ESR co-located behind a POI with onsite generation that is incapable of exporting additional power to the ERCOT System may continue to charge as long as maximum output to the ERCOT System is maintained.</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7A07FE" w:rsidRPr="0013396E" w14:paraId="7DAB8EB7" w14:textId="77777777" w:rsidTr="005C5A9B">
        <w:trPr>
          <w:trHeight w:val="206"/>
        </w:trPr>
        <w:tc>
          <w:tcPr>
            <w:tcW w:w="9576" w:type="dxa"/>
            <w:shd w:val="pct12" w:color="auto" w:fill="auto"/>
          </w:tcPr>
          <w:bookmarkEnd w:id="1255"/>
          <w:p w14:paraId="4412504F" w14:textId="60187A21" w:rsidR="007A07FE" w:rsidRPr="0013396E" w:rsidRDefault="007A07FE" w:rsidP="005C5A9B">
            <w:pPr>
              <w:pStyle w:val="Instructions"/>
              <w:spacing w:before="120"/>
            </w:pPr>
            <w:r w:rsidRPr="0013396E">
              <w:t>[</w:t>
            </w:r>
            <w:r w:rsidR="00B44DD8" w:rsidRPr="0013396E">
              <w:t>NPRR995</w:t>
            </w:r>
            <w:r w:rsidRPr="0013396E">
              <w:t xml:space="preserve">:  </w:t>
            </w:r>
            <w:r w:rsidR="00C52BB8" w:rsidRPr="0013396E">
              <w:t>Replace</w:t>
            </w:r>
            <w:r w:rsidR="00B44DD8" w:rsidRPr="0013396E">
              <w:t xml:space="preserve"> </w:t>
            </w:r>
            <w:r w:rsidRPr="0013396E">
              <w:t xml:space="preserve">paragraph (a) </w:t>
            </w:r>
            <w:r w:rsidR="00C52BB8" w:rsidRPr="0013396E">
              <w:t>above with the following</w:t>
            </w:r>
            <w:r w:rsidRPr="0013396E">
              <w:t xml:space="preserve"> upon system implementation:]</w:t>
            </w:r>
          </w:p>
          <w:p w14:paraId="6E5994BA" w14:textId="0108B7FA" w:rsidR="007A07FE" w:rsidRPr="0013396E" w:rsidRDefault="007A07FE" w:rsidP="001F3516">
            <w:pPr>
              <w:spacing w:after="240"/>
              <w:ind w:left="1440" w:hanging="720"/>
            </w:pPr>
            <w:r w:rsidRPr="0013396E">
              <w:t>(a)</w:t>
            </w:r>
            <w:r w:rsidRPr="0013396E">
              <w:tab/>
            </w:r>
            <w:r w:rsidR="008C7E79" w:rsidRPr="0013396E">
              <w:t>I</w:t>
            </w:r>
            <w:r w:rsidR="002F1AE6" w:rsidRPr="0013396E">
              <w:t>nstruct</w:t>
            </w:r>
            <w:r w:rsidRPr="0013396E">
              <w:t xml:space="preserve"> </w:t>
            </w:r>
            <w:r w:rsidR="00A43298" w:rsidRPr="0013396E">
              <w:t xml:space="preserve">ESRs to suspend charging.  For ESRs, the suspension instruction </w:t>
            </w:r>
            <w:r w:rsidR="008C7E79" w:rsidRPr="0013396E">
              <w:t xml:space="preserve">shall be issued </w:t>
            </w:r>
            <w:r w:rsidRPr="0013396E">
              <w:t xml:space="preserve">via a SCED Base Point, or, if otherwise necessary, via a manual Dispatch </w:t>
            </w:r>
            <w:r w:rsidR="00283DFC" w:rsidRPr="0013396E">
              <w:t>I</w:t>
            </w:r>
            <w:r w:rsidRPr="0013396E">
              <w:t xml:space="preserve">nstruction.  An ESR shall suspend charging unless </w:t>
            </w:r>
            <w:r w:rsidR="00A43298" w:rsidRPr="0013396E">
              <w:t xml:space="preserve">it is </w:t>
            </w:r>
            <w:r w:rsidRPr="0013396E">
              <w:t>providing Primary Frequency Response</w:t>
            </w:r>
            <w:r w:rsidR="00347D2D" w:rsidRPr="0013396E">
              <w:t>,</w:t>
            </w:r>
            <w:r w:rsidRPr="0013396E">
              <w:t xml:space="preserve"> </w:t>
            </w:r>
            <w:r w:rsidR="00347D2D" w:rsidRPr="0013396E">
              <w:t>has received a charging instruction via SCED Base Point, or is carrying Reg-Down and has received a charging instruction from</w:t>
            </w:r>
            <w:r w:rsidRPr="0013396E">
              <w:t xml:space="preserve"> LFC.  </w:t>
            </w:r>
            <w:r w:rsidR="00347D2D" w:rsidRPr="0013396E">
              <w:t xml:space="preserve">An SOESS shall suspend charging unless it is providing Primary Frequency Response.  </w:t>
            </w:r>
            <w:r w:rsidRPr="0013396E">
              <w:t xml:space="preserve">However, an ESR </w:t>
            </w:r>
            <w:r w:rsidR="00B44DD8" w:rsidRPr="0013396E">
              <w:t xml:space="preserve">or SOESS </w:t>
            </w:r>
            <w:r w:rsidRPr="0013396E">
              <w:t>co-located behind a POI with onsite generation that is incapable of exporting additional power to the ERCOT System may continue to charge as long as maximum output to the ERCOT System is maintained.</w:t>
            </w:r>
          </w:p>
        </w:tc>
      </w:tr>
    </w:tbl>
    <w:p w14:paraId="0C347107" w14:textId="23E410E6" w:rsidR="001F04FD" w:rsidRPr="0013396E" w:rsidRDefault="00D67C9C" w:rsidP="003A5AC3">
      <w:pPr>
        <w:pStyle w:val="List"/>
        <w:spacing w:before="240"/>
      </w:pPr>
      <w:r w:rsidRPr="0013396E">
        <w:t>(</w:t>
      </w:r>
      <w:r w:rsidR="00DB1DD2" w:rsidRPr="0013396E">
        <w:t>b</w:t>
      </w:r>
      <w:r w:rsidRPr="0013396E">
        <w:t>)</w:t>
      </w:r>
      <w:r w:rsidRPr="0013396E">
        <w:tab/>
      </w:r>
      <w:r w:rsidR="003B64E5" w:rsidRPr="0013396E">
        <w:t>D</w:t>
      </w:r>
      <w:r w:rsidR="001F04FD" w:rsidRPr="0013396E">
        <w:t xml:space="preserve">irect all </w:t>
      </w:r>
      <w:r w:rsidR="008530F9" w:rsidRPr="0013396E">
        <w:t>TOs</w:t>
      </w:r>
      <w:r w:rsidR="001F04FD" w:rsidRPr="0013396E">
        <w:t xml:space="preserve"> to shed firm Load, in 100 MW blocks, distributed as documented in the Operating Guides in order to maintain a steady state system frequency at a minimum of 59.</w:t>
      </w:r>
      <w:r w:rsidR="004E0395" w:rsidRPr="0013396E">
        <w:t>91</w:t>
      </w:r>
      <w:r w:rsidR="001F04FD" w:rsidRPr="0013396E">
        <w:t xml:space="preserve"> Hz and to recover 1,</w:t>
      </w:r>
      <w:r w:rsidR="003B64E5" w:rsidRPr="0013396E">
        <w:t>5</w:t>
      </w:r>
      <w:r w:rsidR="001F04FD" w:rsidRPr="0013396E">
        <w:t xml:space="preserve">00 MW of PRC within 30 minutes. </w:t>
      </w:r>
    </w:p>
    <w:p w14:paraId="2BEAF21F" w14:textId="77777777" w:rsidR="00F03916" w:rsidRPr="0013396E" w:rsidRDefault="001F04FD" w:rsidP="003B64E5">
      <w:pPr>
        <w:pStyle w:val="List"/>
        <w:ind w:left="2160"/>
      </w:pPr>
      <w:r w:rsidRPr="0013396E">
        <w:t>(</w:t>
      </w:r>
      <w:r w:rsidR="003B64E5" w:rsidRPr="0013396E">
        <w:t>i</w:t>
      </w:r>
      <w:r w:rsidRPr="0013396E">
        <w:t>)</w:t>
      </w:r>
      <w:r w:rsidRPr="0013396E">
        <w:tab/>
      </w:r>
      <w:r w:rsidR="008530F9" w:rsidRPr="0013396E">
        <w:t>TOs and TDSPs may</w:t>
      </w:r>
      <w:r w:rsidR="00F03916" w:rsidRPr="0013396E">
        <w:t>:</w:t>
      </w:r>
    </w:p>
    <w:p w14:paraId="52E0BFC1" w14:textId="10D1CFDB" w:rsidR="001F04FD" w:rsidRPr="0013396E" w:rsidRDefault="00F03916" w:rsidP="00F03916">
      <w:pPr>
        <w:pStyle w:val="List3"/>
      </w:pPr>
      <w:r w:rsidRPr="0013396E">
        <w:t>(A)</w:t>
      </w:r>
      <w:r w:rsidRPr="0013396E">
        <w:tab/>
        <w:t>Manually</w:t>
      </w:r>
      <w:r w:rsidR="008530F9" w:rsidRPr="0013396E">
        <w:t xml:space="preserve"> shed Load connected to under-frequency relays </w:t>
      </w:r>
      <w:r w:rsidRPr="0013396E">
        <w:t xml:space="preserve">and/or under-voltage relays </w:t>
      </w:r>
      <w:r w:rsidR="008530F9" w:rsidRPr="0013396E">
        <w:t>pursuant to an ERCOT Load shed directive issued during EEA Level 3 so long as</w:t>
      </w:r>
      <w:r w:rsidRPr="0013396E">
        <w:t xml:space="preserve"> the TO has determined that system conditions warrant utilizing Load connected to under-frequency and/or under-voltage relays and</w:t>
      </w:r>
      <w:r w:rsidR="008530F9" w:rsidRPr="0013396E">
        <w:t xml:space="preserve"> each affected TO continues to comply with its Under-Frequency Load Shed (UFLS) obligation as described in Nodal Operating Guide Section 2.6.1, Automatic Firm Load Shedding, and its Load shed obligation as </w:t>
      </w:r>
      <w:r w:rsidR="008530F9" w:rsidRPr="0013396E">
        <w:lastRenderedPageBreak/>
        <w:t>described in Nodal Operating Guide Section 4.5.3.4, Load Shed Obligation</w:t>
      </w:r>
      <w:r w:rsidR="001F04FD" w:rsidRPr="0013396E">
        <w:t>.</w:t>
      </w:r>
    </w:p>
    <w:p w14:paraId="03A9524B" w14:textId="7677765F" w:rsidR="00F03916" w:rsidRPr="0013396E" w:rsidRDefault="00F03916" w:rsidP="00F03916">
      <w:pPr>
        <w:pStyle w:val="List"/>
        <w:ind w:left="2880"/>
      </w:pPr>
      <w:r w:rsidRPr="0013396E">
        <w:t>(B)</w:t>
      </w:r>
      <w:r w:rsidRPr="0013396E">
        <w:tab/>
      </w:r>
      <w:bookmarkStart w:id="1256" w:name="_Hlk158609489"/>
      <w:r w:rsidRPr="0013396E">
        <w:t>Manually shed Load that is armed to deploy as part of the 58.5 Hz, 58.7 Hz, and anti-stall UFLS stages, such that the UFLS Load falls below the TO’s 25% Load relief obligation, as described in Nodal Operating Guide Section 2.6.1, in order to meet ERCOT operating instructions for manual Load shed if all Load identified for manual Load shed and the Load identified in paragraph (A) above has been shed.</w:t>
      </w:r>
      <w:bookmarkEnd w:id="1256"/>
    </w:p>
    <w:p w14:paraId="6CEC2D70" w14:textId="77777777" w:rsidR="003B64E5" w:rsidRPr="0013396E" w:rsidRDefault="003B64E5" w:rsidP="003B64E5">
      <w:pPr>
        <w:spacing w:after="240"/>
        <w:ind w:left="1440" w:hanging="720"/>
      </w:pPr>
      <w:r w:rsidRPr="0013396E">
        <w:t>(c)</w:t>
      </w:r>
      <w:r w:rsidRPr="0013396E">
        <w:tab/>
        <w:t>Implement any appropriate measures associated with EEA Levels 1 and 2 that have not already been implemented.</w:t>
      </w:r>
    </w:p>
    <w:p w14:paraId="13294162" w14:textId="77777777" w:rsidR="001F04FD" w:rsidRPr="0013396E" w:rsidRDefault="001F04FD" w:rsidP="001F04FD">
      <w:pPr>
        <w:pStyle w:val="H5"/>
        <w:spacing w:before="480"/>
        <w:ind w:left="1627" w:hanging="1627"/>
      </w:pPr>
      <w:bookmarkStart w:id="1257" w:name="_Toc397504994"/>
      <w:bookmarkStart w:id="1258" w:name="_Toc402357122"/>
      <w:bookmarkStart w:id="1259" w:name="_Toc422486502"/>
      <w:bookmarkStart w:id="1260" w:name="_Toc433093354"/>
      <w:bookmarkStart w:id="1261" w:name="_Toc433093512"/>
      <w:bookmarkStart w:id="1262" w:name="_Toc440874740"/>
      <w:bookmarkStart w:id="1263" w:name="_Toc448142295"/>
      <w:bookmarkStart w:id="1264" w:name="_Toc448142452"/>
      <w:bookmarkStart w:id="1265" w:name="_Toc458770289"/>
      <w:bookmarkStart w:id="1266" w:name="_Toc459294257"/>
      <w:bookmarkStart w:id="1267" w:name="_Toc463262750"/>
      <w:bookmarkStart w:id="1268" w:name="_Toc468286823"/>
      <w:bookmarkStart w:id="1269" w:name="_Toc481502869"/>
      <w:bookmarkStart w:id="1270" w:name="_Toc496080037"/>
      <w:bookmarkStart w:id="1271" w:name="_Toc236220151"/>
      <w:bookmarkEnd w:id="1252"/>
      <w:r w:rsidRPr="0013396E">
        <w:t>6.5.9.4.3</w:t>
      </w:r>
      <w:r w:rsidRPr="0013396E">
        <w:tab/>
        <w:t>Restoration of Market Operations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14:paraId="30BE0027" w14:textId="1C3A4F28" w:rsidR="001F04FD" w:rsidRPr="0013396E" w:rsidRDefault="001F04FD" w:rsidP="001F04FD">
      <w:pPr>
        <w:pStyle w:val="BodyTextNumbered"/>
      </w:pPr>
      <w:r w:rsidRPr="0013396E">
        <w:t>(1)</w:t>
      </w:r>
      <w:r w:rsidRPr="0013396E">
        <w:tab/>
        <w:t>ERCOT shall continue the EEA until sufficient offers are received and deployed by ERCOT to eliminate the conditions requiring the EEA and normal SCED operations are restored.  After restoring RRS, ERCOT shall restore curtailed DC Tie Load.  Intermittent solutions of SCED do not set new LMPs until ERCOT declares that the EEA is no longer needed.</w:t>
      </w:r>
    </w:p>
    <w:p w14:paraId="0418B0D0" w14:textId="77777777" w:rsidR="001F04FD" w:rsidRPr="0013396E" w:rsidRDefault="001F04FD" w:rsidP="001F04FD">
      <w:pPr>
        <w:pStyle w:val="H4"/>
        <w:spacing w:before="480"/>
        <w:ind w:left="1267" w:hanging="1267"/>
      </w:pPr>
      <w:bookmarkStart w:id="1272" w:name="_Toc73216032"/>
      <w:bookmarkStart w:id="1273" w:name="_Toc397504995"/>
      <w:bookmarkStart w:id="1274" w:name="_Toc402357123"/>
      <w:bookmarkStart w:id="1275" w:name="_Toc422486503"/>
      <w:bookmarkStart w:id="1276" w:name="_Toc433093355"/>
      <w:bookmarkStart w:id="1277" w:name="_Toc433093513"/>
      <w:bookmarkStart w:id="1278" w:name="_Toc440874741"/>
      <w:bookmarkStart w:id="1279" w:name="_Toc448142296"/>
      <w:bookmarkStart w:id="1280" w:name="_Toc448142453"/>
      <w:bookmarkStart w:id="1281" w:name="_Toc458770290"/>
      <w:bookmarkStart w:id="1282" w:name="_Toc459294258"/>
      <w:bookmarkStart w:id="1283" w:name="_Toc463262751"/>
      <w:bookmarkStart w:id="1284" w:name="_Toc468286824"/>
      <w:bookmarkStart w:id="1285" w:name="_Toc481502870"/>
      <w:bookmarkStart w:id="1286" w:name="_Toc496080038"/>
      <w:bookmarkStart w:id="1287" w:name="_Toc236220152"/>
      <w:r w:rsidRPr="0013396E">
        <w:t>6.5.9.5</w:t>
      </w:r>
      <w:r w:rsidRPr="0013396E">
        <w:tab/>
        <w:t>Block Load Transfers between ERCOT and Non-ERCOT Control Areas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14:paraId="4243CA78" w14:textId="77777777" w:rsidR="001F04FD" w:rsidRPr="0013396E" w:rsidRDefault="001F04FD" w:rsidP="001F04FD">
      <w:pPr>
        <w:pStyle w:val="BodyTextNumbered"/>
      </w:pPr>
      <w:r w:rsidRPr="0013396E">
        <w:t>(1)</w:t>
      </w:r>
      <w:r w:rsidRPr="0013396E">
        <w:tab/>
        <w:t>BLTs are procedures that transfer Loads normally located in the ERCOT Control Area to a non-ERCOT Control Area.  Similarly, when a non-ERCOT Control Area experiences certain transmission contingencies or short-supply conditions, ERCOT may agree to the implementation of BLT procedures that transfer Loads normally located in a non-ERCOT Control Area to the ERCOT Control Area.  BLTs are restricted to the following conditions:</w:t>
      </w:r>
    </w:p>
    <w:p w14:paraId="3DBB2C32" w14:textId="19D1C0E1" w:rsidR="001F04FD" w:rsidRPr="0013396E" w:rsidRDefault="001F04FD" w:rsidP="001F04FD">
      <w:pPr>
        <w:pStyle w:val="List"/>
      </w:pPr>
      <w:r w:rsidRPr="0013396E">
        <w:t>(a)</w:t>
      </w:r>
      <w:r w:rsidRPr="0013396E">
        <w:tab/>
      </w:r>
      <w:r w:rsidR="00C830CE" w:rsidRPr="0013396E">
        <w:t xml:space="preserve">All modeled </w:t>
      </w:r>
      <w:r w:rsidRPr="0013396E">
        <w:t xml:space="preserve">BLTs shall </w:t>
      </w:r>
      <w:r w:rsidR="00C830CE" w:rsidRPr="0013396E">
        <w:t>be implemented</w:t>
      </w:r>
      <w:r w:rsidRPr="0013396E">
        <w:t xml:space="preserve"> only with approval from ERCOT, unless a governmental order is issued requiring the </w:t>
      </w:r>
      <w:r w:rsidR="00C830CE" w:rsidRPr="0013396E">
        <w:t xml:space="preserve">use of the </w:t>
      </w:r>
      <w:r w:rsidRPr="0013396E">
        <w:t xml:space="preserve">BLT.  </w:t>
      </w:r>
    </w:p>
    <w:p w14:paraId="509B4265" w14:textId="77777777" w:rsidR="001F04FD" w:rsidRPr="0013396E" w:rsidRDefault="001F04FD" w:rsidP="009A754D">
      <w:pPr>
        <w:pStyle w:val="List"/>
        <w:ind w:left="2160"/>
      </w:pPr>
      <w:r w:rsidRPr="0013396E">
        <w:t>(i)</w:t>
      </w:r>
      <w:r w:rsidRPr="0013396E">
        <w:tab/>
        <w:t>BLTs shall be registered with ERCOT.  Such registration shall be subject to ERCOT approval.</w:t>
      </w:r>
    </w:p>
    <w:p w14:paraId="6F4EFA6D" w14:textId="77777777" w:rsidR="001F04FD" w:rsidRPr="0013396E" w:rsidRDefault="001F04FD" w:rsidP="001F04FD">
      <w:pPr>
        <w:pStyle w:val="List"/>
        <w:ind w:left="2160"/>
      </w:pPr>
      <w:r w:rsidRPr="0013396E">
        <w:t>(ii)</w:t>
      </w:r>
      <w:r w:rsidRPr="0013396E">
        <w:tab/>
        <w:t>For all BLTs, the TSP in the ERCOT Control Area responsible for implementing the BLT shall coordinate with ERCOT in the implementation and execution of BLTs to ensure the reliability of the ERCOT System is not jeopardized and to ensure sufficient generation capacity is available prior to serving additional Load.</w:t>
      </w:r>
    </w:p>
    <w:p w14:paraId="43EA0A5A" w14:textId="77777777" w:rsidR="001F04FD" w:rsidRPr="0013396E" w:rsidRDefault="001F04FD" w:rsidP="001F04FD">
      <w:pPr>
        <w:pStyle w:val="List"/>
      </w:pPr>
      <w:r w:rsidRPr="0013396E">
        <w:t>(b)</w:t>
      </w:r>
      <w:r w:rsidRPr="0013396E">
        <w:tab/>
        <w:t xml:space="preserve">BLTs that are comprised of looped systems may be tied to the non-ERCOT Control Area’s electrical system(s) through multiple interconnection points at the same time.  Transfers of looped configurations are permitted only if all </w:t>
      </w:r>
      <w:r w:rsidRPr="0013396E">
        <w:lastRenderedPageBreak/>
        <w:t>interconnection points are registered and netted under a single Electric Service Identifier (ESI ID) and represented by a singled TSP or DSP or netted behind the Non-Opt-In Entity (NOIE) metering points.</w:t>
      </w:r>
    </w:p>
    <w:p w14:paraId="049C0820" w14:textId="77777777" w:rsidR="001F04FD" w:rsidRPr="0013396E" w:rsidRDefault="001F04FD" w:rsidP="001F04FD">
      <w:pPr>
        <w:pStyle w:val="List"/>
      </w:pPr>
      <w:r w:rsidRPr="0013396E">
        <w:t>(c)</w:t>
      </w:r>
      <w:r w:rsidRPr="0013396E">
        <w:tab/>
        <w:t xml:space="preserve">BLTs of Load to the ERCOT Control Area are: </w:t>
      </w:r>
    </w:p>
    <w:p w14:paraId="70F0568A" w14:textId="77777777" w:rsidR="001F04FD" w:rsidRPr="0013396E" w:rsidRDefault="001F04FD" w:rsidP="001F04FD">
      <w:pPr>
        <w:pStyle w:val="List"/>
        <w:ind w:left="2160"/>
      </w:pPr>
      <w:r w:rsidRPr="0013396E">
        <w:t>(i)</w:t>
      </w:r>
      <w:r w:rsidRPr="0013396E">
        <w:tab/>
        <w:t xml:space="preserve">Treated as non-competitive wholesale Load in the Load Zone containing the ERCOT breaker or switch that initiated the BLT; </w:t>
      </w:r>
    </w:p>
    <w:p w14:paraId="4F34DEB3" w14:textId="77777777" w:rsidR="001F04FD" w:rsidRPr="0013396E" w:rsidRDefault="001F04FD" w:rsidP="001F04FD">
      <w:pPr>
        <w:pStyle w:val="List"/>
        <w:ind w:left="2160"/>
      </w:pPr>
      <w:r w:rsidRPr="0013396E">
        <w:t>(ii)</w:t>
      </w:r>
      <w:r w:rsidRPr="0013396E">
        <w:tab/>
        <w:t xml:space="preserve">Registered in accordance with Section 6.5.9.5.1, Registration and Posting of BLT Points, by the TSP in the ERCOT Control Area responsible for implementing the BLT;  </w:t>
      </w:r>
    </w:p>
    <w:p w14:paraId="3A504887" w14:textId="77777777" w:rsidR="001F04FD" w:rsidRPr="0013396E" w:rsidRDefault="001F04FD" w:rsidP="001F04FD">
      <w:pPr>
        <w:pStyle w:val="List"/>
        <w:ind w:left="2160"/>
      </w:pPr>
      <w:r w:rsidRPr="0013396E">
        <w:t>(iii)</w:t>
      </w:r>
      <w:r w:rsidRPr="0013396E">
        <w:tab/>
        <w:t xml:space="preserve">Responsible for Unaccounted For Energy (UFE) allocations and Transmission Losses consistent with similarly situated NOIE metering points; and </w:t>
      </w:r>
    </w:p>
    <w:p w14:paraId="34FB322B" w14:textId="77777777" w:rsidR="001F04FD" w:rsidRPr="0013396E" w:rsidRDefault="001F04FD" w:rsidP="001F04FD">
      <w:pPr>
        <w:pStyle w:val="List"/>
        <w:ind w:left="2160"/>
      </w:pPr>
      <w:r w:rsidRPr="0013396E">
        <w:t>(iv)</w:t>
      </w:r>
      <w:r w:rsidRPr="0013396E">
        <w:tab/>
        <w:t>Permitted only if the BLT will not jeopardize the reliability of the ERCOT System.  Under an Emergency Notice, BLTs that have been implemented may be curtailed or terminated by ERCOT to maintain the reliability of the ERCOT System.</w:t>
      </w:r>
    </w:p>
    <w:p w14:paraId="23C06E45" w14:textId="77777777" w:rsidR="001F04FD" w:rsidRPr="0013396E" w:rsidRDefault="001F04FD" w:rsidP="001F04FD">
      <w:pPr>
        <w:pStyle w:val="List"/>
      </w:pPr>
      <w:r w:rsidRPr="0013396E">
        <w:t>(d)</w:t>
      </w:r>
      <w:r w:rsidRPr="0013396E">
        <w:tab/>
        <w:t>BLTs of Load from the ERCOT Control Area are:</w:t>
      </w:r>
    </w:p>
    <w:p w14:paraId="28530DF5" w14:textId="68639971" w:rsidR="001F04FD" w:rsidRPr="0013396E" w:rsidRDefault="001F04FD" w:rsidP="001F04FD">
      <w:pPr>
        <w:pStyle w:val="List"/>
        <w:ind w:left="2160"/>
      </w:pPr>
      <w:r w:rsidRPr="0013396E">
        <w:t>(i)</w:t>
      </w:r>
      <w:r w:rsidRPr="0013396E">
        <w:tab/>
        <w:t xml:space="preserve">Treated as </w:t>
      </w:r>
      <w:r w:rsidR="00C830CE" w:rsidRPr="0013396E">
        <w:t>generation</w:t>
      </w:r>
      <w:r w:rsidRPr="0013396E">
        <w:t xml:space="preserve"> </w:t>
      </w:r>
      <w:r w:rsidR="00C830CE" w:rsidRPr="0013396E">
        <w:t xml:space="preserve">and Load </w:t>
      </w:r>
      <w:r w:rsidRPr="0013396E">
        <w:t xml:space="preserve">in the ERCOT Settlement system </w:t>
      </w:r>
      <w:r w:rsidR="00C830CE" w:rsidRPr="0013396E">
        <w:t>unless the Load is in a NOIE territory and the NOIE has opted for the Load transfer to be treated as a NOIE Load reduction by not submitting a Settlement Block Load Transfer Registration Form.  BLTs</w:t>
      </w:r>
      <w:r w:rsidRPr="0013396E">
        <w:t xml:space="preserve"> may only be instructed with the permission of the affected non-ERCOT Control Area.  Under an </w:t>
      </w:r>
      <w:r w:rsidR="00C830CE" w:rsidRPr="0013396E">
        <w:t>e</w:t>
      </w:r>
      <w:r w:rsidRPr="0013396E">
        <w:t xml:space="preserve">mergency </w:t>
      </w:r>
      <w:r w:rsidR="00C830CE" w:rsidRPr="0013396E">
        <w:t>c</w:t>
      </w:r>
      <w:r w:rsidRPr="0013396E">
        <w:t>ondition</w:t>
      </w:r>
      <w:r w:rsidR="00C830CE" w:rsidRPr="0013396E">
        <w:t xml:space="preserve"> in a non-ERCOT Control Area</w:t>
      </w:r>
      <w:r w:rsidRPr="0013396E">
        <w:t>, BLTs that have been implemented may be curtailed or terminated by the non-ERCOT Control Area to maintain the reliability of the non-ERCOT system;</w:t>
      </w:r>
    </w:p>
    <w:p w14:paraId="154B2F06" w14:textId="77777777" w:rsidR="001F04FD" w:rsidRPr="0013396E" w:rsidRDefault="001F04FD" w:rsidP="001F04FD">
      <w:pPr>
        <w:pStyle w:val="List"/>
        <w:ind w:left="2160"/>
      </w:pPr>
      <w:r w:rsidRPr="0013396E">
        <w:t>(ii)</w:t>
      </w:r>
      <w:r w:rsidRPr="0013396E">
        <w:tab/>
        <w:t>Registered in accordance with Section 6.5.9.5.1 by the TSP in the ERCOT Control Area responsible for implementing the BLT; and</w:t>
      </w:r>
    </w:p>
    <w:p w14:paraId="0057A372" w14:textId="77777777" w:rsidR="001F04FD" w:rsidRPr="0013396E" w:rsidRDefault="001F04FD" w:rsidP="001F04FD">
      <w:pPr>
        <w:pStyle w:val="List"/>
        <w:ind w:left="2160"/>
      </w:pPr>
      <w:r w:rsidRPr="0013396E">
        <w:t>(iii)</w:t>
      </w:r>
      <w:r w:rsidRPr="0013396E">
        <w:tab/>
        <w:t>Permitted only if the BLT will not jeopardize the reliability of the ERCOT System.</w:t>
      </w:r>
    </w:p>
    <w:p w14:paraId="3D25EA9C" w14:textId="77777777" w:rsidR="001F04FD" w:rsidRPr="0013396E" w:rsidRDefault="001F04FD" w:rsidP="001F04FD">
      <w:pPr>
        <w:pStyle w:val="List"/>
      </w:pPr>
      <w:r w:rsidRPr="0013396E">
        <w:t>(e)</w:t>
      </w:r>
      <w:r w:rsidRPr="0013396E">
        <w:tab/>
        <w:t>BLTs specifically exclude transfers of Load between ERCOT and non-ERCOT Control Areas that occur behind a retail Settlement Meter.</w:t>
      </w:r>
    </w:p>
    <w:p w14:paraId="72A6443A" w14:textId="77777777" w:rsidR="001F04FD" w:rsidRPr="0013396E" w:rsidRDefault="001F04FD" w:rsidP="001F04FD">
      <w:pPr>
        <w:pStyle w:val="List"/>
      </w:pPr>
      <w:r w:rsidRPr="0013396E">
        <w:t>(f)</w:t>
      </w:r>
      <w:r w:rsidRPr="0013396E">
        <w:tab/>
        <w:t>BLTs may be used in the restoration of service to Customers if the transfers will not jeopardize the reliability of the ERCOT System.</w:t>
      </w:r>
    </w:p>
    <w:p w14:paraId="6F946053" w14:textId="58CBE2CE" w:rsidR="001F04FD" w:rsidRPr="0013396E" w:rsidRDefault="001F04FD" w:rsidP="001F04FD">
      <w:pPr>
        <w:pStyle w:val="List"/>
      </w:pPr>
      <w:r w:rsidRPr="0013396E">
        <w:t>(g)</w:t>
      </w:r>
      <w:r w:rsidRPr="0013396E">
        <w:tab/>
      </w:r>
      <w:r w:rsidR="00C830CE" w:rsidRPr="0013396E">
        <w:t xml:space="preserve">For any BLT established in a TDSP area that is open to Customer Choice, the TDSP must register the BLT metering point for Settlement.  For any BLT </w:t>
      </w:r>
      <w:r w:rsidR="00C830CE" w:rsidRPr="0013396E">
        <w:lastRenderedPageBreak/>
        <w:t xml:space="preserve">established in a NOIE territory, the NOIE may either register the BLT for Settlement or may forgo registration and have the Load transfer settled as a Load increase or reduction.  As a condition for Settlement, a BLT must be registered using the Settlement Block Load Transfer Registration Form found on the ERCOT website, and each BLT metering point must use revenue quality, 15-minute Interval Data Recorder (IDR) Meters.  </w:t>
      </w:r>
      <w:r w:rsidRPr="0013396E">
        <w:t xml:space="preserve">  ERCOT may impose additional metering requirements it considers necessary to ensure ERCOT System reliability and integrity.</w:t>
      </w:r>
    </w:p>
    <w:p w14:paraId="2A4048B7" w14:textId="77777777" w:rsidR="001F04FD" w:rsidRPr="0013396E" w:rsidRDefault="001F04FD" w:rsidP="001F04FD">
      <w:pPr>
        <w:pStyle w:val="List"/>
        <w:spacing w:after="480"/>
      </w:pPr>
      <w:r w:rsidRPr="0013396E">
        <w:t>(h)</w:t>
      </w:r>
      <w:r w:rsidRPr="0013396E">
        <w:tab/>
        <w:t>SCADA telemetry on switching devices at BLT points that are deemed necessary by ERCOT to be modeled in the Network Operations Model must be provided by the TSP registering the BLT.</w:t>
      </w:r>
    </w:p>
    <w:p w14:paraId="7F3251FE" w14:textId="77777777" w:rsidR="001F04FD" w:rsidRPr="0013396E" w:rsidRDefault="001F04FD" w:rsidP="001F04FD">
      <w:pPr>
        <w:pStyle w:val="H5"/>
      </w:pPr>
      <w:bookmarkStart w:id="1288" w:name="_Toc74137369"/>
      <w:bookmarkStart w:id="1289" w:name="_Toc397504996"/>
      <w:bookmarkStart w:id="1290" w:name="_Toc402357124"/>
      <w:bookmarkStart w:id="1291" w:name="_Toc422486504"/>
      <w:bookmarkStart w:id="1292" w:name="_Toc433093356"/>
      <w:bookmarkStart w:id="1293" w:name="_Toc433093514"/>
      <w:bookmarkStart w:id="1294" w:name="_Toc440874742"/>
      <w:bookmarkStart w:id="1295" w:name="_Toc448142297"/>
      <w:bookmarkStart w:id="1296" w:name="_Toc448142454"/>
      <w:bookmarkStart w:id="1297" w:name="_Toc458770291"/>
      <w:bookmarkStart w:id="1298" w:name="_Toc459294259"/>
      <w:bookmarkStart w:id="1299" w:name="_Toc463262752"/>
      <w:bookmarkStart w:id="1300" w:name="_Toc468286825"/>
      <w:bookmarkStart w:id="1301" w:name="_Toc481502871"/>
      <w:bookmarkStart w:id="1302" w:name="_Toc496080039"/>
      <w:bookmarkStart w:id="1303" w:name="_Toc236220153"/>
      <w:r w:rsidRPr="0013396E">
        <w:t>6.5.9.5.1</w:t>
      </w:r>
      <w:r w:rsidRPr="0013396E">
        <w:tab/>
        <w:t>Registration and Posting of BLT Points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14:paraId="48808259" w14:textId="77777777" w:rsidR="001F04FD" w:rsidRPr="0013396E" w:rsidRDefault="001F04FD" w:rsidP="001F04FD">
      <w:pPr>
        <w:pStyle w:val="BodyTextNumbered"/>
      </w:pPr>
      <w:r w:rsidRPr="0013396E">
        <w:t>(1)</w:t>
      </w:r>
      <w:r w:rsidRPr="0013396E">
        <w:tab/>
        <w:t>The necessary Market Participant registration, agreements, metering, and ERCOT Settlement systems, as applicable, must be in place before implementation of any BLT.  At its sole discretion, ERCOT may exclude a BLT of ten MW or less from the Network Operations Model and associated telemetry requirements.</w:t>
      </w:r>
    </w:p>
    <w:p w14:paraId="05155A97" w14:textId="77777777" w:rsidR="001F04FD" w:rsidRPr="0013396E" w:rsidRDefault="001F04FD" w:rsidP="001F04FD">
      <w:pPr>
        <w:pStyle w:val="BodyTextNumbered"/>
      </w:pPr>
      <w:r w:rsidRPr="0013396E">
        <w:t>(2)</w:t>
      </w:r>
      <w:r w:rsidRPr="0013396E">
        <w:tab/>
        <w:t>ERCOT may require any size of BLT that has been deployed in accordance with Section 6.5.9.5.2, Scheduling and Operation of BLTs, to be in the Network Operations Model with required telemetry if ERCOT determines it is warranted due to the length of time deployed.</w:t>
      </w:r>
    </w:p>
    <w:p w14:paraId="1F41068F" w14:textId="5F3AECF5" w:rsidR="001F04FD" w:rsidRPr="0013396E" w:rsidRDefault="001F04FD" w:rsidP="001F04FD">
      <w:pPr>
        <w:pStyle w:val="BodyTextNumbered"/>
      </w:pPr>
      <w:r w:rsidRPr="0013396E">
        <w:t>(3)</w:t>
      </w:r>
      <w:r w:rsidRPr="0013396E">
        <w:tab/>
        <w:t xml:space="preserve">BLTs that transfer Load from the ERCOT Control Area to a non-ERCOT Control Area are treated as </w:t>
      </w:r>
      <w:r w:rsidR="00C830CE" w:rsidRPr="0013396E">
        <w:t>generation</w:t>
      </w:r>
      <w:r w:rsidRPr="0013396E">
        <w:t xml:space="preserve"> </w:t>
      </w:r>
      <w:r w:rsidR="00C830CE" w:rsidRPr="0013396E">
        <w:t xml:space="preserve">and Load </w:t>
      </w:r>
      <w:r w:rsidRPr="0013396E">
        <w:t xml:space="preserve">by ERCOT and assigned a Resource ID </w:t>
      </w:r>
      <w:r w:rsidR="00C830CE" w:rsidRPr="0013396E">
        <w:t xml:space="preserve">and, if in a NOIE territory, an ESI ID </w:t>
      </w:r>
      <w:r w:rsidRPr="0013396E">
        <w:t xml:space="preserve">unless </w:t>
      </w:r>
      <w:r w:rsidR="00C830CE" w:rsidRPr="0013396E">
        <w:t>the Load is in a NOIE territory and the NOIE has not registered the BLT for Settlement pursuant to paragraph (1)(g) of Section 6.5.9.5, Block Load Transfers between ERCOT and Non-ERCOT Control Areas</w:t>
      </w:r>
      <w:r w:rsidRPr="0013396E">
        <w:t xml:space="preserve">.  The ERCOT Control Area TSP or DSP associated with the BLT Point has the responsibility for registering the BLT and the creation and maintenance of BLT Resource IDs for Settlement purposes.  For </w:t>
      </w:r>
      <w:r w:rsidR="00C830CE" w:rsidRPr="0013396E">
        <w:t xml:space="preserve">any </w:t>
      </w:r>
      <w:r w:rsidRPr="0013396E">
        <w:t xml:space="preserve">BLT </w:t>
      </w:r>
      <w:r w:rsidR="00C830CE" w:rsidRPr="0013396E">
        <w:t xml:space="preserve">that a </w:t>
      </w:r>
      <w:r w:rsidRPr="0013396E">
        <w:t xml:space="preserve">NOIE </w:t>
      </w:r>
      <w:r w:rsidR="00C830CE" w:rsidRPr="0013396E">
        <w:t>has registered for Settlement</w:t>
      </w:r>
      <w:r w:rsidRPr="0013396E">
        <w:t xml:space="preserve">, the NOIE </w:t>
      </w:r>
      <w:r w:rsidR="00C830CE" w:rsidRPr="0013396E">
        <w:t>shall</w:t>
      </w:r>
      <w:r w:rsidRPr="0013396E">
        <w:t xml:space="preserve"> designate NOIE metering point(s), a Resource Entity, and a QSE for Settlement purposes.  For BLTs occurring on TSP or DSP systems open to Customer Choice, the non-ERCOT Control Area Entity receiving the transferred Load shall designate a registered Resource Entity and acknowledge a QSE for Settlement purposes in accordance with Section 16.5, Registration of a Resource Entity.  The ERCOT Control Area TSP or DSP must complete the applicable BLT registration form.  This BLT registration form along with the metering design and data documentation is the basis for establishing the ERCOT data model of the BLT and associated metering points for Settlement as applicable.</w:t>
      </w:r>
    </w:p>
    <w:p w14:paraId="1CA55C2A" w14:textId="319D365C" w:rsidR="001F04FD" w:rsidRPr="0013396E" w:rsidRDefault="001F04FD" w:rsidP="001F04FD">
      <w:pPr>
        <w:pStyle w:val="BodyTextNumbered"/>
      </w:pPr>
      <w:r w:rsidRPr="0013396E">
        <w:t>(4)</w:t>
      </w:r>
      <w:r w:rsidRPr="0013396E">
        <w:tab/>
        <w:t xml:space="preserve">BLTs that transfer Load from a non-ERCOT Control Area to the ERCOT Control Area are treated as a non-competitive wholesale Load by ERCOT and assigned an ESI ID </w:t>
      </w:r>
      <w:r w:rsidR="00C830CE" w:rsidRPr="0013396E">
        <w:t>unless the BLT is in a NOIE territory and the NOIE has not registered the BLT for Settlement</w:t>
      </w:r>
      <w:r w:rsidRPr="0013396E">
        <w:t xml:space="preserve">.  The ERCOT Control Area TSP or DSP associated with the BLT Point has </w:t>
      </w:r>
      <w:r w:rsidRPr="0013396E">
        <w:lastRenderedPageBreak/>
        <w:t>the responsibility for registering the BLT and the creation and maintenance of BLT ESI IDs.  Customers connected to the ERCOT System do not require an ESI ID separate from the assigned BLT ESI ID.  The TSP or DSP that registers the BLT Point shall provide the ESI ID associated with the BLT to ERCOT.  For BLTs occurring on NOIE TSP or DSP systems, the NOIE may designate NOIE metering point(s), an LSE, and a QSE for Settlement purposes.  Load associated with NOIE BLTs that do not have an LSE or QSE for Settlement purposes will be reflected in the NOIE’s 4-Coincident Peak (4-CP) calculation.  For BLTs occurring on TSP or DSP systems open to Customer Choice, the non-ERCOT Control Area Entity shall designate a registered ERCOT LSE and acknowledge a QSE for Settlement purposes in accordance with Section 16.3, Registration of Load Serving Entities.</w:t>
      </w:r>
    </w:p>
    <w:p w14:paraId="0ECD844A" w14:textId="77777777" w:rsidR="001F04FD" w:rsidRPr="0013396E" w:rsidRDefault="001F04FD" w:rsidP="001F04FD">
      <w:pPr>
        <w:pStyle w:val="BodyTextNumbered"/>
      </w:pPr>
      <w:r w:rsidRPr="0013396E">
        <w:t>(5)</w:t>
      </w:r>
      <w:r w:rsidRPr="0013396E">
        <w:tab/>
        <w:t>A “BLT Point” is the metering point for a BLT Resource ID or for a BLT ESI ID.</w:t>
      </w:r>
    </w:p>
    <w:p w14:paraId="7D58B3DD" w14:textId="77777777" w:rsidR="001F04FD" w:rsidRPr="0013396E" w:rsidRDefault="001F04FD" w:rsidP="00AC4DE5">
      <w:pPr>
        <w:pStyle w:val="BodyTextNumbered"/>
      </w:pPr>
      <w:r w:rsidRPr="0013396E">
        <w:t>(6)</w:t>
      </w:r>
      <w:r w:rsidRPr="0013396E">
        <w:tab/>
        <w:t>ERCOT shall post the registration details of all registered BLTs to the MIS Secure Area.</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AC4DE5" w:rsidRPr="0013396E" w14:paraId="505F752E" w14:textId="77777777" w:rsidTr="00AE5CE8">
        <w:trPr>
          <w:trHeight w:val="206"/>
        </w:trPr>
        <w:tc>
          <w:tcPr>
            <w:tcW w:w="9445" w:type="dxa"/>
            <w:shd w:val="pct12" w:color="auto" w:fill="auto"/>
          </w:tcPr>
          <w:p w14:paraId="12BA5EB5" w14:textId="62608F6B" w:rsidR="00AC4DE5" w:rsidRPr="0013396E" w:rsidRDefault="00AC4DE5" w:rsidP="00AE5CE8">
            <w:pPr>
              <w:pStyle w:val="Instructions"/>
              <w:spacing w:before="120"/>
            </w:pPr>
            <w:bookmarkStart w:id="1304" w:name="_Toc397504997"/>
            <w:bookmarkStart w:id="1305" w:name="_Toc402357125"/>
            <w:bookmarkStart w:id="1306" w:name="_Toc422486505"/>
            <w:bookmarkStart w:id="1307" w:name="_Toc433093357"/>
            <w:bookmarkStart w:id="1308" w:name="_Toc433093515"/>
            <w:bookmarkStart w:id="1309" w:name="_Toc440874743"/>
            <w:bookmarkStart w:id="1310" w:name="_Toc448142298"/>
            <w:bookmarkStart w:id="1311" w:name="_Toc448142455"/>
            <w:bookmarkStart w:id="1312" w:name="_Toc458770292"/>
            <w:bookmarkStart w:id="1313" w:name="_Toc459294260"/>
            <w:bookmarkStart w:id="1314" w:name="_Toc463262753"/>
            <w:bookmarkStart w:id="1315" w:name="_Toc468286826"/>
            <w:bookmarkStart w:id="1316" w:name="_Toc481502872"/>
            <w:bookmarkStart w:id="1317" w:name="_Toc496080040"/>
            <w:r w:rsidRPr="0013396E">
              <w:t>[NPRR1239:  Replace paragraph (6) above with the following upon system implementation:]</w:t>
            </w:r>
          </w:p>
          <w:p w14:paraId="12CFFE67" w14:textId="05726D43" w:rsidR="00AC4DE5" w:rsidRPr="0013396E" w:rsidRDefault="00AC4DE5" w:rsidP="00AC4DE5">
            <w:pPr>
              <w:pStyle w:val="BodyTextNumbered"/>
              <w:rPr>
                <w:iCs/>
              </w:rPr>
            </w:pPr>
            <w:r w:rsidRPr="0013396E">
              <w:t>(6)</w:t>
            </w:r>
            <w:r w:rsidRPr="0013396E">
              <w:tab/>
              <w:t>ERCOT shall post the registration details of all registered BLTs to the ERCOT website.</w:t>
            </w:r>
          </w:p>
        </w:tc>
      </w:tr>
    </w:tbl>
    <w:p w14:paraId="4EF93333" w14:textId="77777777" w:rsidR="001F04FD" w:rsidRPr="0013396E" w:rsidRDefault="001F04FD" w:rsidP="00952F33">
      <w:pPr>
        <w:pStyle w:val="H5"/>
        <w:spacing w:before="480"/>
      </w:pPr>
      <w:bookmarkStart w:id="1318" w:name="_Toc236220154"/>
      <w:r w:rsidRPr="0013396E">
        <w:t>6.5.9.5.2</w:t>
      </w:r>
      <w:r w:rsidRPr="0013396E">
        <w:tab/>
        <w:t>Scheduling and Operation of BLTs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14:paraId="492E0691" w14:textId="5694FF4E" w:rsidR="001F04FD" w:rsidRPr="0013396E" w:rsidRDefault="001F04FD" w:rsidP="001F04FD">
      <w:pPr>
        <w:pStyle w:val="BodyTextNumbered"/>
      </w:pPr>
      <w:r w:rsidRPr="0013396E">
        <w:t>(1)</w:t>
      </w:r>
      <w:r w:rsidRPr="0013396E">
        <w:tab/>
        <w:t>For BLTs that are deployed in an emergency and are not modeled in the Network Operations Model, the responsible TSP shall notify ERCOT as soon as practicable after deployment.</w:t>
      </w:r>
    </w:p>
    <w:p w14:paraId="5608960D" w14:textId="77777777" w:rsidR="00C830CE" w:rsidRPr="0013396E" w:rsidRDefault="00C830CE" w:rsidP="00C830CE">
      <w:pPr>
        <w:pStyle w:val="BodyTextNumbered"/>
      </w:pPr>
      <w:r w:rsidRPr="0013396E">
        <w:t>(2)</w:t>
      </w:r>
      <w:r w:rsidRPr="0013396E">
        <w:tab/>
        <w:t>For BLTs that transfer Load to a non-ERCOT Control Area, ERCOT shall confirm the BLT’s availability with the non-ERCOT Control Area before implementation.</w:t>
      </w:r>
    </w:p>
    <w:p w14:paraId="05BEB6C1" w14:textId="2D13477A" w:rsidR="001F04FD" w:rsidRPr="0013396E" w:rsidRDefault="001F04FD" w:rsidP="00C830CE">
      <w:pPr>
        <w:pStyle w:val="BodyTextNumbered"/>
      </w:pPr>
      <w:r w:rsidRPr="0013396E">
        <w:t>(</w:t>
      </w:r>
      <w:r w:rsidR="00C830CE" w:rsidRPr="0013396E">
        <w:t>3</w:t>
      </w:r>
      <w:r w:rsidRPr="0013396E">
        <w:t>)</w:t>
      </w:r>
      <w:r w:rsidRPr="0013396E">
        <w:tab/>
        <w:t>Any energy associated with the non-ERCOT Control Area Load BLT Point is treated as a Load obligation of the QSE representing the LSE with the BLT ESI ID as registered for Settlement purposes in accordance with Section 6.5.9.5.1</w:t>
      </w:r>
      <w:r w:rsidR="005755D9" w:rsidRPr="0013396E">
        <w:t>, Registration and Posting of BLT Points</w:t>
      </w:r>
      <w:r w:rsidRPr="0013396E">
        <w:t>.</w:t>
      </w:r>
    </w:p>
    <w:p w14:paraId="4183C9AE" w14:textId="77777777" w:rsidR="001F04FD" w:rsidRPr="0013396E" w:rsidRDefault="001F04FD" w:rsidP="001F04FD">
      <w:pPr>
        <w:pStyle w:val="H4"/>
      </w:pPr>
      <w:bookmarkStart w:id="1319" w:name="_Toc397504998"/>
      <w:bookmarkStart w:id="1320" w:name="_Toc402357126"/>
      <w:bookmarkStart w:id="1321" w:name="_Toc422486506"/>
      <w:bookmarkStart w:id="1322" w:name="_Toc433093358"/>
      <w:bookmarkStart w:id="1323" w:name="_Toc433093516"/>
      <w:bookmarkStart w:id="1324" w:name="_Toc440874744"/>
      <w:bookmarkStart w:id="1325" w:name="_Toc448142299"/>
      <w:bookmarkStart w:id="1326" w:name="_Toc448142456"/>
      <w:bookmarkStart w:id="1327" w:name="_Toc458770293"/>
      <w:bookmarkStart w:id="1328" w:name="_Toc459294261"/>
      <w:bookmarkStart w:id="1329" w:name="_Toc463262754"/>
      <w:bookmarkStart w:id="1330" w:name="_Toc468286827"/>
      <w:bookmarkStart w:id="1331" w:name="_Toc481502873"/>
      <w:bookmarkStart w:id="1332" w:name="_Toc496080041"/>
      <w:bookmarkStart w:id="1333" w:name="_Toc236220155"/>
      <w:bookmarkStart w:id="1334" w:name="_Toc73216033"/>
      <w:r w:rsidRPr="0013396E">
        <w:t>6.5.9.6</w:t>
      </w:r>
      <w:r w:rsidRPr="0013396E">
        <w:tab/>
        <w:t>Black Start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14:paraId="77DCF858" w14:textId="77777777" w:rsidR="001F04FD" w:rsidRPr="0013396E" w:rsidRDefault="001F04FD" w:rsidP="001F04FD">
      <w:pPr>
        <w:pStyle w:val="BodyTextNumbered"/>
      </w:pPr>
      <w:r w:rsidRPr="0013396E">
        <w:t>(1)</w:t>
      </w:r>
      <w:r w:rsidRPr="0013396E">
        <w:tab/>
        <w:t>Black Start Service (BSS) is obtained by ERCOT through Black Start Agreements with QSEs for Generation Resources capable of self-starting or Generation Resources within close proximity of a non-ERCOT Control Area that are capable of starting from that non-ERCOT Control Area under a firm standby power supply contract, without support from the ERCOT System, or transmission equipment in the ERCOT System.  Generation Resources that can be started with a minimum of pre-coordinated switching operations using ERCOT transmission equipment within the ERCOT System may be considered for BSS only where switching may be accomplished within one hour or less.</w:t>
      </w:r>
    </w:p>
    <w:p w14:paraId="73302EFE" w14:textId="77777777" w:rsidR="001F04FD" w:rsidRPr="0013396E" w:rsidRDefault="001F04FD" w:rsidP="001F04FD">
      <w:pPr>
        <w:pStyle w:val="BodyTextNumbered"/>
        <w:spacing w:after="480"/>
      </w:pPr>
      <w:r w:rsidRPr="0013396E">
        <w:lastRenderedPageBreak/>
        <w:t>(2)</w:t>
      </w:r>
      <w:r w:rsidRPr="0013396E">
        <w:tab/>
        <w:t xml:space="preserve">ERCOT may Dispatch BSS pursuant to an emergency restoration plan to begin restoration of the ERCOT System to a secure operating state after a Blackout.  General restoration actions for all Market Participants are described in the Operating Guides.  </w:t>
      </w:r>
    </w:p>
    <w:p w14:paraId="1A87BD30" w14:textId="77777777" w:rsidR="001F04FD" w:rsidRPr="0013396E" w:rsidRDefault="001F04FD" w:rsidP="001F04FD">
      <w:pPr>
        <w:pStyle w:val="H2"/>
        <w:spacing w:after="480"/>
        <w:ind w:left="907" w:hanging="907"/>
      </w:pPr>
      <w:bookmarkStart w:id="1335" w:name="_Toc397504999"/>
      <w:bookmarkStart w:id="1336" w:name="_Toc402357127"/>
      <w:bookmarkStart w:id="1337" w:name="_Toc422486507"/>
      <w:bookmarkStart w:id="1338" w:name="_Toc433093359"/>
      <w:bookmarkStart w:id="1339" w:name="_Toc433093517"/>
      <w:bookmarkStart w:id="1340" w:name="_Toc440874745"/>
      <w:bookmarkStart w:id="1341" w:name="_Toc448142300"/>
      <w:bookmarkStart w:id="1342" w:name="_Toc448142457"/>
      <w:bookmarkStart w:id="1343" w:name="_Toc458770294"/>
      <w:bookmarkStart w:id="1344" w:name="_Toc459294262"/>
      <w:bookmarkStart w:id="1345" w:name="_Toc463262755"/>
      <w:bookmarkStart w:id="1346" w:name="_Toc468286828"/>
      <w:bookmarkStart w:id="1347" w:name="_Toc481502874"/>
      <w:bookmarkStart w:id="1348" w:name="_Toc496080042"/>
      <w:bookmarkStart w:id="1349" w:name="_Toc236220156"/>
      <w:bookmarkEnd w:id="1334"/>
      <w:r w:rsidRPr="0013396E">
        <w:t>6.6</w:t>
      </w:r>
      <w:r w:rsidRPr="0013396E">
        <w:tab/>
        <w:t>Settlement Calculations for the Real-Time Energy Operations</w:t>
      </w:r>
      <w:bookmarkEnd w:id="1236"/>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14:paraId="6471981A" w14:textId="77777777" w:rsidR="001F04FD" w:rsidRPr="0013396E" w:rsidRDefault="001F04FD" w:rsidP="001F04FD">
      <w:pPr>
        <w:spacing w:before="240" w:after="240"/>
        <w:outlineLvl w:val="2"/>
      </w:pPr>
      <w:bookmarkStart w:id="1350" w:name="_Toc397505000"/>
      <w:bookmarkStart w:id="1351" w:name="_Toc402357128"/>
      <w:bookmarkStart w:id="1352" w:name="_Toc422486508"/>
      <w:bookmarkStart w:id="1353" w:name="_Toc433093360"/>
      <w:bookmarkStart w:id="1354" w:name="_Toc433093518"/>
      <w:bookmarkStart w:id="1355" w:name="_Toc440874746"/>
      <w:bookmarkStart w:id="1356" w:name="_Toc448142301"/>
      <w:bookmarkStart w:id="1357" w:name="_Toc448142458"/>
      <w:bookmarkStart w:id="1358" w:name="_Toc458770295"/>
      <w:bookmarkStart w:id="1359" w:name="_Toc459294263"/>
      <w:bookmarkStart w:id="1360" w:name="_Toc463262756"/>
      <w:bookmarkStart w:id="1361" w:name="_Toc468286829"/>
      <w:bookmarkStart w:id="1362" w:name="_Toc481502875"/>
      <w:bookmarkStart w:id="1363" w:name="_Toc496080043"/>
      <w:bookmarkStart w:id="1364" w:name="_Toc236220157"/>
      <w:bookmarkStart w:id="1365" w:name="_Toc87951783"/>
      <w:bookmarkStart w:id="1366" w:name="_Toc109009380"/>
      <w:r w:rsidRPr="0013396E">
        <w:rPr>
          <w:b/>
          <w:i/>
        </w:rPr>
        <w:t>6.6.1</w:t>
      </w:r>
      <w:r w:rsidRPr="0013396E">
        <w:rPr>
          <w:b/>
          <w:i/>
        </w:rPr>
        <w:tab/>
        <w:t>Real-Time Settlement Point Prices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bookmarkEnd w:id="1365"/>
    <w:bookmarkEnd w:id="1366"/>
    <w:p w14:paraId="74E50A17" w14:textId="1BFEC50E" w:rsidR="001F04FD" w:rsidRPr="0013396E" w:rsidRDefault="001F04FD" w:rsidP="001F04FD">
      <w:pPr>
        <w:spacing w:after="240"/>
        <w:ind w:left="720" w:hanging="720"/>
      </w:pPr>
      <w:r w:rsidRPr="0013396E">
        <w:t>(1)</w:t>
      </w:r>
      <w:r w:rsidRPr="0013396E">
        <w:tab/>
      </w:r>
      <w:r w:rsidR="00636C61" w:rsidRPr="0013396E">
        <w:t>Real-Time energy Settlements use Real-Time Settlement Point Prices that are calculated for Resource Nodes, Load Zones, and Hubs.  For each Security-Constrained Economic Dispatch (SCED) Locational Marginal Price (LMP) calculated at each Settlement Point in the SCED process, an administrative price floor of -$251/MWh will be applied to Real-Time Settlement Point Prices after adding the Real-Time Reliability Deployment Price Adders for Energy.  ERCOT shall assign an LMP to de-energized Electrical Buses for use in the calculation of the Real-Time Settlement Point Prices by using heuristic rules applied in the following order:</w:t>
      </w:r>
    </w:p>
    <w:p w14:paraId="11C0FCBC" w14:textId="3D0EEFFC" w:rsidR="001F04FD" w:rsidRPr="0013396E" w:rsidRDefault="001F04FD" w:rsidP="005A7D8E">
      <w:pPr>
        <w:pStyle w:val="BodyTextNumbered"/>
        <w:ind w:left="1440"/>
      </w:pPr>
      <w:r w:rsidRPr="0013396E">
        <w:t>(a)</w:t>
      </w:r>
      <w:r w:rsidRPr="0013396E">
        <w:tab/>
        <w:t>Use an appropriate LMP predetermined by ERCOT as applicable to a specific Electrical Bus; or if not so specified</w:t>
      </w:r>
    </w:p>
    <w:p w14:paraId="33AC6CD3" w14:textId="77777777" w:rsidR="001F04FD" w:rsidRPr="0013396E" w:rsidRDefault="001F04FD" w:rsidP="001F04FD">
      <w:pPr>
        <w:pStyle w:val="BodyTextNumbered"/>
        <w:ind w:left="1440"/>
      </w:pPr>
      <w:r w:rsidRPr="0013396E">
        <w:t>(b)</w:t>
      </w:r>
      <w:r w:rsidRPr="0013396E">
        <w:tab/>
        <w:t>Use the following rules in order:</w:t>
      </w:r>
    </w:p>
    <w:p w14:paraId="78D79ACA" w14:textId="77777777" w:rsidR="001F04FD" w:rsidRPr="0013396E" w:rsidRDefault="001F04FD" w:rsidP="001F04FD">
      <w:pPr>
        <w:pStyle w:val="List"/>
        <w:ind w:left="2160"/>
      </w:pPr>
      <w:r w:rsidRPr="0013396E">
        <w:t>(i)</w:t>
      </w:r>
      <w:r w:rsidRPr="0013396E">
        <w:tab/>
        <w:t>Use average LMP for Electrical Buses within the same station having the same voltage level as the de-energized Electrical Bus, if any exist.</w:t>
      </w:r>
    </w:p>
    <w:p w14:paraId="025A23CF" w14:textId="77777777" w:rsidR="001F04FD" w:rsidRPr="0013396E" w:rsidRDefault="001F04FD" w:rsidP="001F04FD">
      <w:pPr>
        <w:pStyle w:val="BodyText"/>
        <w:ind w:left="2160" w:hanging="720"/>
      </w:pPr>
      <w:r w:rsidRPr="0013396E">
        <w:t>(ii)</w:t>
      </w:r>
      <w:r w:rsidRPr="0013396E">
        <w:tab/>
        <w:t>Use average LMP for all Electrical Buses within the same station, if any exist.</w:t>
      </w:r>
    </w:p>
    <w:p w14:paraId="571C6961" w14:textId="77777777" w:rsidR="001F04FD" w:rsidRPr="0013396E" w:rsidRDefault="001F04FD" w:rsidP="001F04FD">
      <w:pPr>
        <w:pStyle w:val="BodyText"/>
        <w:ind w:left="1440"/>
      </w:pPr>
      <w:r w:rsidRPr="0013396E">
        <w:t>(iii)</w:t>
      </w:r>
      <w:r w:rsidRPr="0013396E">
        <w:tab/>
        <w:t>Use System Lambda.</w:t>
      </w:r>
    </w:p>
    <w:p w14:paraId="78039C62" w14:textId="77777777" w:rsidR="001F04FD" w:rsidRPr="0013396E" w:rsidRDefault="001F04FD" w:rsidP="001F04FD">
      <w:pPr>
        <w:pStyle w:val="H4"/>
        <w:ind w:left="1267" w:hanging="1267"/>
      </w:pPr>
      <w:bookmarkStart w:id="1367" w:name="_Toc103653332"/>
      <w:bookmarkStart w:id="1368" w:name="_Toc109009381"/>
      <w:bookmarkStart w:id="1369" w:name="_Toc397505002"/>
      <w:bookmarkStart w:id="1370" w:name="_Toc402357130"/>
      <w:bookmarkStart w:id="1371" w:name="_Toc422486509"/>
      <w:bookmarkStart w:id="1372" w:name="_Toc433093361"/>
      <w:bookmarkStart w:id="1373" w:name="_Toc433093519"/>
      <w:bookmarkStart w:id="1374" w:name="_Toc440874747"/>
      <w:bookmarkStart w:id="1375" w:name="_Toc448142302"/>
      <w:bookmarkStart w:id="1376" w:name="_Toc448142459"/>
      <w:bookmarkStart w:id="1377" w:name="_Toc458770296"/>
      <w:bookmarkStart w:id="1378" w:name="_Toc459294264"/>
      <w:bookmarkStart w:id="1379" w:name="_Toc463262757"/>
      <w:bookmarkStart w:id="1380" w:name="_Toc468286830"/>
      <w:bookmarkStart w:id="1381" w:name="_Toc481502876"/>
      <w:bookmarkStart w:id="1382" w:name="_Toc496080044"/>
      <w:bookmarkStart w:id="1383" w:name="_Toc236220158"/>
      <w:r w:rsidRPr="0013396E">
        <w:t>6.6.1.1</w:t>
      </w:r>
      <w:r w:rsidRPr="0013396E">
        <w:tab/>
        <w:t>Real-Time Settlement Point Price for a Resource Node</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14:paraId="6CCD76DB" w14:textId="77777777" w:rsidR="00636C61" w:rsidRPr="0013396E" w:rsidRDefault="00636C61" w:rsidP="00636C61">
      <w:pPr>
        <w:spacing w:after="240"/>
        <w:ind w:left="720" w:hanging="720"/>
        <w:rPr>
          <w:b/>
          <w:i/>
          <w:iCs/>
        </w:rPr>
      </w:pPr>
      <w:r w:rsidRPr="0013396E">
        <w:t>(1)</w:t>
      </w:r>
      <w:r w:rsidRPr="0013396E">
        <w:tab/>
        <w:t>The Real-Time Settlement Point Price for a Resource Node Settlement Point is the time-weighted average of the sum of the Real-Time LMPs and the Real-Time Reliability Deployment Price Adder for Energy.  The Real-Time Settlement Point Price for a 15-minute Settlement Interval is calculated as follows:</w:t>
      </w:r>
    </w:p>
    <w:p w14:paraId="2155AE31" w14:textId="77777777" w:rsidR="00636C61" w:rsidRPr="0013396E" w:rsidRDefault="00636C61" w:rsidP="00636C61">
      <w:pPr>
        <w:tabs>
          <w:tab w:val="left" w:pos="2250"/>
          <w:tab w:val="left" w:pos="3150"/>
          <w:tab w:val="left" w:pos="3960"/>
        </w:tabs>
        <w:spacing w:after="240"/>
        <w:ind w:left="3960" w:hanging="3240"/>
        <w:rPr>
          <w:b/>
          <w:bCs/>
        </w:rPr>
      </w:pPr>
      <w:r w:rsidRPr="0013396E">
        <w:rPr>
          <w:b/>
          <w:bCs/>
        </w:rPr>
        <w:t>RTSPP</w:t>
      </w:r>
      <w:r w:rsidRPr="0013396E">
        <w:rPr>
          <w:b/>
          <w:bCs/>
        </w:rPr>
        <w:tab/>
        <w:t>=</w:t>
      </w:r>
      <w:r w:rsidRPr="0013396E">
        <w:rPr>
          <w:b/>
          <w:bCs/>
        </w:rPr>
        <w:tab/>
        <w:t>Max (-$251, (</w:t>
      </w:r>
      <w:r w:rsidRPr="0013396E">
        <w:rPr>
          <w:b/>
          <w:bCs/>
          <w:position w:val="-22"/>
        </w:rPr>
        <w:object w:dxaOrig="225" w:dyaOrig="465" w14:anchorId="78BB1221">
          <v:shape id="_x0000_i1027" type="#_x0000_t75" style="width:24pt;height:18.6pt" o:ole="">
            <v:imagedata r:id="rId18" o:title=""/>
          </v:shape>
          <o:OLEObject Type="Embed" ProgID="Equation.3" ShapeID="_x0000_i1027" DrawAspect="Content" ObjectID="_1849065658" r:id="rId19"/>
        </w:object>
      </w:r>
      <w:r w:rsidRPr="0013396E">
        <w:rPr>
          <w:b/>
          <w:bCs/>
        </w:rPr>
        <w:t xml:space="preserve">(RNWF </w:t>
      </w:r>
      <w:r w:rsidRPr="0013396E">
        <w:rPr>
          <w:b/>
          <w:bCs/>
          <w:i/>
          <w:vertAlign w:val="subscript"/>
        </w:rPr>
        <w:t>y</w:t>
      </w:r>
      <w:r w:rsidRPr="0013396E">
        <w:rPr>
          <w:b/>
          <w:bCs/>
        </w:rPr>
        <w:t xml:space="preserve"> * (RTLMP </w:t>
      </w:r>
      <w:r w:rsidRPr="0013396E">
        <w:rPr>
          <w:b/>
          <w:bCs/>
          <w:i/>
          <w:vertAlign w:val="subscript"/>
        </w:rPr>
        <w:t xml:space="preserve">y </w:t>
      </w:r>
      <w:r w:rsidRPr="0013396E">
        <w:rPr>
          <w:b/>
          <w:bCs/>
        </w:rPr>
        <w:t>+ RTRDPA</w:t>
      </w:r>
      <w:r w:rsidRPr="0013396E">
        <w:rPr>
          <w:b/>
          <w:bCs/>
          <w:i/>
          <w:vertAlign w:val="subscript"/>
        </w:rPr>
        <w:t xml:space="preserve"> y</w:t>
      </w:r>
      <w:r w:rsidRPr="0013396E">
        <w:rPr>
          <w:b/>
          <w:bCs/>
        </w:rPr>
        <w:t>))))</w:t>
      </w:r>
    </w:p>
    <w:p w14:paraId="6F084060" w14:textId="77777777" w:rsidR="00636C61" w:rsidRPr="0013396E" w:rsidRDefault="00636C61" w:rsidP="00636C61">
      <w:pPr>
        <w:spacing w:after="240"/>
        <w:ind w:firstLine="720"/>
        <w:rPr>
          <w:iCs/>
        </w:rPr>
      </w:pPr>
      <w:r w:rsidRPr="0013396E">
        <w:rPr>
          <w:iCs/>
        </w:rPr>
        <w:t>Where the Resource Node weighting factor is:</w:t>
      </w:r>
    </w:p>
    <w:p w14:paraId="2A9A9405" w14:textId="77777777" w:rsidR="00636C61" w:rsidRPr="0013396E" w:rsidRDefault="00636C61" w:rsidP="00636C61">
      <w:pPr>
        <w:tabs>
          <w:tab w:val="left" w:pos="2160"/>
          <w:tab w:val="left" w:pos="2880"/>
        </w:tabs>
        <w:spacing w:after="240"/>
        <w:ind w:leftChars="300" w:left="2888" w:hangingChars="900" w:hanging="2168"/>
        <w:rPr>
          <w:b/>
          <w:bCs/>
        </w:rPr>
      </w:pPr>
      <w:r w:rsidRPr="0013396E">
        <w:rPr>
          <w:b/>
          <w:bCs/>
        </w:rPr>
        <w:t xml:space="preserve">RNWF </w:t>
      </w:r>
      <w:r w:rsidRPr="0013396E">
        <w:rPr>
          <w:b/>
          <w:bCs/>
          <w:i/>
          <w:vertAlign w:val="subscript"/>
        </w:rPr>
        <w:t>y</w:t>
      </w:r>
      <w:r w:rsidRPr="0013396E">
        <w:rPr>
          <w:b/>
          <w:bCs/>
          <w:vertAlign w:val="subscript"/>
        </w:rPr>
        <w:tab/>
      </w:r>
      <w:r w:rsidRPr="0013396E">
        <w:rPr>
          <w:b/>
          <w:bCs/>
        </w:rPr>
        <w:t>=</w:t>
      </w:r>
      <w:r w:rsidRPr="0013396E">
        <w:rPr>
          <w:b/>
          <w:bCs/>
        </w:rPr>
        <w:tab/>
        <w:t xml:space="preserve">TLMP </w:t>
      </w:r>
      <w:r w:rsidRPr="0013396E">
        <w:rPr>
          <w:b/>
          <w:bCs/>
          <w:i/>
          <w:vertAlign w:val="subscript"/>
        </w:rPr>
        <w:t>y</w:t>
      </w:r>
      <w:r w:rsidRPr="0013396E">
        <w:rPr>
          <w:b/>
          <w:bCs/>
        </w:rPr>
        <w:t xml:space="preserve"> </w:t>
      </w:r>
      <w:r w:rsidRPr="0013396E">
        <w:rPr>
          <w:b/>
          <w:bCs/>
          <w:color w:val="000000"/>
          <w:sz w:val="32"/>
          <w:szCs w:val="32"/>
        </w:rPr>
        <w:t>/</w:t>
      </w:r>
      <w:r w:rsidRPr="0013396E">
        <w:rPr>
          <w:b/>
          <w:bCs/>
          <w:color w:val="000000"/>
        </w:rPr>
        <w:t xml:space="preserve"> </w:t>
      </w:r>
      <w:r w:rsidRPr="0013396E">
        <w:rPr>
          <w:b/>
          <w:bCs/>
          <w:position w:val="-22"/>
        </w:rPr>
        <w:object w:dxaOrig="225" w:dyaOrig="465" w14:anchorId="3BB368EF">
          <v:shape id="_x0000_i1028" type="#_x0000_t75" style="width:24pt;height:18.6pt" o:ole="">
            <v:imagedata r:id="rId20" o:title=""/>
          </v:shape>
          <o:OLEObject Type="Embed" ProgID="Equation.3" ShapeID="_x0000_i1028" DrawAspect="Content" ObjectID="_1849065659" r:id="rId21"/>
        </w:object>
      </w:r>
      <w:r w:rsidRPr="0013396E">
        <w:rPr>
          <w:b/>
          <w:bCs/>
        </w:rPr>
        <w:t xml:space="preserve">TLMP </w:t>
      </w:r>
      <w:r w:rsidRPr="0013396E">
        <w:rPr>
          <w:b/>
          <w:bCs/>
          <w:i/>
          <w:vertAlign w:val="subscript"/>
        </w:rPr>
        <w:t>y</w:t>
      </w:r>
    </w:p>
    <w:p w14:paraId="072D4216" w14:textId="77777777" w:rsidR="00636C61" w:rsidRPr="0013396E" w:rsidRDefault="00636C61" w:rsidP="00636C61">
      <w:r w:rsidRPr="0013396E">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284"/>
        <w:gridCol w:w="900"/>
        <w:gridCol w:w="7166"/>
      </w:tblGrid>
      <w:tr w:rsidR="00636C61" w:rsidRPr="0013396E" w14:paraId="7ED9A4EE" w14:textId="77777777" w:rsidTr="0099759E">
        <w:tc>
          <w:tcPr>
            <w:tcW w:w="1284" w:type="dxa"/>
          </w:tcPr>
          <w:p w14:paraId="6E4CF74B" w14:textId="77777777" w:rsidR="00636C61" w:rsidRPr="0013396E" w:rsidRDefault="00636C61" w:rsidP="0099759E">
            <w:pPr>
              <w:spacing w:after="120"/>
              <w:rPr>
                <w:b/>
                <w:iCs/>
                <w:sz w:val="20"/>
              </w:rPr>
            </w:pPr>
            <w:r w:rsidRPr="0013396E">
              <w:rPr>
                <w:b/>
                <w:iCs/>
                <w:sz w:val="20"/>
              </w:rPr>
              <w:t>Variable</w:t>
            </w:r>
          </w:p>
        </w:tc>
        <w:tc>
          <w:tcPr>
            <w:tcW w:w="900" w:type="dxa"/>
          </w:tcPr>
          <w:p w14:paraId="19B7E605" w14:textId="77777777" w:rsidR="00636C61" w:rsidRPr="0013396E" w:rsidRDefault="00636C61" w:rsidP="0099759E">
            <w:pPr>
              <w:spacing w:after="120"/>
              <w:rPr>
                <w:b/>
                <w:iCs/>
                <w:sz w:val="20"/>
              </w:rPr>
            </w:pPr>
            <w:r w:rsidRPr="0013396E">
              <w:rPr>
                <w:b/>
                <w:iCs/>
                <w:sz w:val="20"/>
              </w:rPr>
              <w:t>Unit</w:t>
            </w:r>
          </w:p>
        </w:tc>
        <w:tc>
          <w:tcPr>
            <w:tcW w:w="7166" w:type="dxa"/>
          </w:tcPr>
          <w:p w14:paraId="3F000557" w14:textId="77777777" w:rsidR="00636C61" w:rsidRPr="0013396E" w:rsidRDefault="00636C61" w:rsidP="0099759E">
            <w:pPr>
              <w:spacing w:after="120"/>
              <w:rPr>
                <w:b/>
                <w:iCs/>
                <w:sz w:val="20"/>
              </w:rPr>
            </w:pPr>
            <w:r w:rsidRPr="0013396E">
              <w:rPr>
                <w:b/>
                <w:iCs/>
                <w:sz w:val="20"/>
              </w:rPr>
              <w:t>Description</w:t>
            </w:r>
          </w:p>
        </w:tc>
      </w:tr>
      <w:tr w:rsidR="00636C61" w:rsidRPr="0013396E" w14:paraId="5125A226" w14:textId="77777777" w:rsidTr="0099759E">
        <w:tc>
          <w:tcPr>
            <w:tcW w:w="1284" w:type="dxa"/>
          </w:tcPr>
          <w:p w14:paraId="7E9945DA" w14:textId="77777777" w:rsidR="00636C61" w:rsidRPr="0013396E" w:rsidRDefault="00636C61" w:rsidP="0099759E">
            <w:pPr>
              <w:spacing w:after="60"/>
              <w:rPr>
                <w:iCs/>
                <w:sz w:val="20"/>
              </w:rPr>
            </w:pPr>
            <w:r w:rsidRPr="0013396E">
              <w:rPr>
                <w:iCs/>
                <w:sz w:val="20"/>
              </w:rPr>
              <w:lastRenderedPageBreak/>
              <w:t>RTSPP</w:t>
            </w:r>
          </w:p>
        </w:tc>
        <w:tc>
          <w:tcPr>
            <w:tcW w:w="900" w:type="dxa"/>
          </w:tcPr>
          <w:p w14:paraId="5919C517" w14:textId="77777777" w:rsidR="00636C61" w:rsidRPr="0013396E" w:rsidRDefault="00636C61" w:rsidP="0099759E">
            <w:pPr>
              <w:spacing w:after="60"/>
              <w:rPr>
                <w:iCs/>
                <w:sz w:val="20"/>
              </w:rPr>
            </w:pPr>
            <w:r w:rsidRPr="0013396E">
              <w:rPr>
                <w:iCs/>
                <w:sz w:val="20"/>
              </w:rPr>
              <w:t>$/MWh</w:t>
            </w:r>
          </w:p>
        </w:tc>
        <w:tc>
          <w:tcPr>
            <w:tcW w:w="7166" w:type="dxa"/>
          </w:tcPr>
          <w:p w14:paraId="4CAAD7CD" w14:textId="77777777" w:rsidR="00636C61" w:rsidRPr="0013396E" w:rsidRDefault="00636C61" w:rsidP="0099759E">
            <w:pPr>
              <w:spacing w:after="60"/>
              <w:rPr>
                <w:iCs/>
                <w:sz w:val="20"/>
              </w:rPr>
            </w:pPr>
            <w:r w:rsidRPr="0013396E">
              <w:rPr>
                <w:i/>
                <w:iCs/>
                <w:sz w:val="20"/>
              </w:rPr>
              <w:t>Real-Time Settlement Point Price</w:t>
            </w:r>
            <w:r w:rsidRPr="0013396E">
              <w:rPr>
                <w:iCs/>
                <w:sz w:val="20"/>
              </w:rPr>
              <w:sym w:font="Symbol" w:char="F0BE"/>
            </w:r>
            <w:r w:rsidRPr="0013396E">
              <w:rPr>
                <w:iCs/>
                <w:sz w:val="20"/>
              </w:rPr>
              <w:t>The Real-Time Settlement Point Price at the Settlement Point for the 15-minute Settlement Interval.</w:t>
            </w:r>
          </w:p>
        </w:tc>
      </w:tr>
      <w:tr w:rsidR="00636C61" w:rsidRPr="0013396E" w14:paraId="7F34A307" w14:textId="77777777" w:rsidTr="0099759E">
        <w:tc>
          <w:tcPr>
            <w:tcW w:w="1284" w:type="dxa"/>
          </w:tcPr>
          <w:p w14:paraId="2BCA5B01" w14:textId="77777777" w:rsidR="00636C61" w:rsidRPr="0013396E" w:rsidRDefault="00636C61" w:rsidP="0099759E">
            <w:pPr>
              <w:spacing w:after="60"/>
              <w:rPr>
                <w:iCs/>
                <w:sz w:val="20"/>
              </w:rPr>
            </w:pPr>
            <w:r w:rsidRPr="0013396E">
              <w:rPr>
                <w:iCs/>
                <w:sz w:val="20"/>
              </w:rPr>
              <w:t xml:space="preserve">RTLMP </w:t>
            </w:r>
            <w:r w:rsidRPr="0013396E">
              <w:rPr>
                <w:i/>
                <w:iCs/>
                <w:sz w:val="20"/>
                <w:vertAlign w:val="subscript"/>
              </w:rPr>
              <w:t>y</w:t>
            </w:r>
          </w:p>
        </w:tc>
        <w:tc>
          <w:tcPr>
            <w:tcW w:w="900" w:type="dxa"/>
          </w:tcPr>
          <w:p w14:paraId="0D120EFB" w14:textId="77777777" w:rsidR="00636C61" w:rsidRPr="0013396E" w:rsidRDefault="00636C61" w:rsidP="0099759E">
            <w:pPr>
              <w:spacing w:after="60"/>
              <w:rPr>
                <w:iCs/>
                <w:sz w:val="20"/>
              </w:rPr>
            </w:pPr>
            <w:r w:rsidRPr="0013396E">
              <w:rPr>
                <w:iCs/>
                <w:sz w:val="20"/>
              </w:rPr>
              <w:t>$/MWh</w:t>
            </w:r>
          </w:p>
        </w:tc>
        <w:tc>
          <w:tcPr>
            <w:tcW w:w="7166" w:type="dxa"/>
          </w:tcPr>
          <w:p w14:paraId="08D56FF4" w14:textId="77777777" w:rsidR="00636C61" w:rsidRPr="0013396E" w:rsidRDefault="00636C61" w:rsidP="0099759E">
            <w:pPr>
              <w:spacing w:after="60"/>
              <w:rPr>
                <w:iCs/>
                <w:sz w:val="20"/>
              </w:rPr>
            </w:pPr>
            <w:r w:rsidRPr="0013396E">
              <w:rPr>
                <w:i/>
                <w:iCs/>
                <w:sz w:val="20"/>
              </w:rPr>
              <w:t>Real-Time Locational Marginal Price per interval</w:t>
            </w:r>
            <w:r w:rsidRPr="0013396E">
              <w:rPr>
                <w:iCs/>
                <w:sz w:val="20"/>
              </w:rPr>
              <w:sym w:font="Symbol" w:char="F0BE"/>
            </w:r>
            <w:r w:rsidRPr="0013396E">
              <w:rPr>
                <w:iCs/>
                <w:sz w:val="20"/>
              </w:rPr>
              <w:t xml:space="preserve">The Real-Time LMP at the Settlement Point for the SCED interval </w:t>
            </w:r>
            <w:r w:rsidRPr="0013396E">
              <w:rPr>
                <w:i/>
                <w:iCs/>
                <w:sz w:val="20"/>
              </w:rPr>
              <w:t>y</w:t>
            </w:r>
            <w:r w:rsidRPr="0013396E">
              <w:rPr>
                <w:iCs/>
                <w:sz w:val="20"/>
              </w:rPr>
              <w:t>.</w:t>
            </w:r>
          </w:p>
        </w:tc>
      </w:tr>
      <w:tr w:rsidR="00636C61" w:rsidRPr="0013396E" w14:paraId="71FCEDC0" w14:textId="77777777" w:rsidTr="0099759E">
        <w:tc>
          <w:tcPr>
            <w:tcW w:w="1284" w:type="dxa"/>
          </w:tcPr>
          <w:p w14:paraId="215F3702" w14:textId="77777777" w:rsidR="00636C61" w:rsidRPr="0013396E" w:rsidRDefault="00636C61" w:rsidP="0099759E">
            <w:pPr>
              <w:spacing w:after="60"/>
              <w:rPr>
                <w:iCs/>
                <w:sz w:val="20"/>
              </w:rPr>
            </w:pPr>
            <w:r w:rsidRPr="0013396E">
              <w:rPr>
                <w:iCs/>
                <w:sz w:val="20"/>
              </w:rPr>
              <w:t>RTRDPA</w:t>
            </w:r>
            <w:r w:rsidRPr="0013396E">
              <w:rPr>
                <w:iCs/>
                <w:sz w:val="20"/>
                <w:vertAlign w:val="subscript"/>
              </w:rPr>
              <w:t xml:space="preserve"> </w:t>
            </w:r>
            <w:r w:rsidRPr="0013396E">
              <w:rPr>
                <w:i/>
                <w:iCs/>
                <w:sz w:val="20"/>
                <w:vertAlign w:val="subscript"/>
              </w:rPr>
              <w:t>y</w:t>
            </w:r>
          </w:p>
        </w:tc>
        <w:tc>
          <w:tcPr>
            <w:tcW w:w="900" w:type="dxa"/>
          </w:tcPr>
          <w:p w14:paraId="5CCE1E1E" w14:textId="77777777" w:rsidR="00636C61" w:rsidRPr="0013396E" w:rsidRDefault="00636C61" w:rsidP="0099759E">
            <w:pPr>
              <w:spacing w:after="60"/>
              <w:rPr>
                <w:iCs/>
                <w:sz w:val="20"/>
              </w:rPr>
            </w:pPr>
            <w:r w:rsidRPr="0013396E">
              <w:rPr>
                <w:iCs/>
                <w:sz w:val="20"/>
              </w:rPr>
              <w:t>$/MWh</w:t>
            </w:r>
          </w:p>
        </w:tc>
        <w:tc>
          <w:tcPr>
            <w:tcW w:w="7166" w:type="dxa"/>
          </w:tcPr>
          <w:p w14:paraId="6A664F4B" w14:textId="77777777" w:rsidR="00636C61" w:rsidRPr="0013396E" w:rsidRDefault="00636C61" w:rsidP="0099759E">
            <w:pPr>
              <w:spacing w:after="60"/>
              <w:rPr>
                <w:i/>
                <w:iCs/>
                <w:sz w:val="20"/>
              </w:rPr>
            </w:pPr>
            <w:r w:rsidRPr="0013396E">
              <w:rPr>
                <w:i/>
                <w:iCs/>
                <w:sz w:val="20"/>
              </w:rPr>
              <w:t>Real-Time Reliability Deployment Price Adder for Energy</w:t>
            </w:r>
            <w:r w:rsidRPr="0013396E">
              <w:rPr>
                <w:iCs/>
                <w:sz w:val="20"/>
              </w:rPr>
              <w:sym w:font="Symbol" w:char="F0BE"/>
            </w:r>
            <w:r w:rsidRPr="0013396E">
              <w:rPr>
                <w:iCs/>
                <w:sz w:val="20"/>
              </w:rPr>
              <w:t xml:space="preserve">The Real-Time price adder that captures the impact of reliability deployments on energy prices for the SCED interval </w:t>
            </w:r>
            <w:r w:rsidRPr="0013396E">
              <w:rPr>
                <w:i/>
                <w:iCs/>
                <w:sz w:val="20"/>
              </w:rPr>
              <w:t>y</w:t>
            </w:r>
            <w:r w:rsidRPr="0013396E">
              <w:rPr>
                <w:iCs/>
                <w:sz w:val="20"/>
              </w:rPr>
              <w:t>.</w:t>
            </w:r>
          </w:p>
        </w:tc>
      </w:tr>
      <w:tr w:rsidR="00636C61" w:rsidRPr="0013396E" w14:paraId="72616C14" w14:textId="77777777" w:rsidTr="0099759E">
        <w:tc>
          <w:tcPr>
            <w:tcW w:w="1284" w:type="dxa"/>
          </w:tcPr>
          <w:p w14:paraId="0F39C21C" w14:textId="77777777" w:rsidR="00636C61" w:rsidRPr="0013396E" w:rsidRDefault="00636C61" w:rsidP="0099759E">
            <w:pPr>
              <w:spacing w:after="60"/>
              <w:rPr>
                <w:iCs/>
                <w:sz w:val="20"/>
              </w:rPr>
            </w:pPr>
            <w:r w:rsidRPr="0013396E">
              <w:rPr>
                <w:iCs/>
                <w:sz w:val="20"/>
              </w:rPr>
              <w:t xml:space="preserve">RNWF </w:t>
            </w:r>
            <w:r w:rsidRPr="0013396E">
              <w:rPr>
                <w:i/>
                <w:iCs/>
                <w:sz w:val="20"/>
                <w:vertAlign w:val="subscript"/>
              </w:rPr>
              <w:t>y</w:t>
            </w:r>
          </w:p>
        </w:tc>
        <w:tc>
          <w:tcPr>
            <w:tcW w:w="900" w:type="dxa"/>
          </w:tcPr>
          <w:p w14:paraId="35D85A41" w14:textId="77777777" w:rsidR="00636C61" w:rsidRPr="0013396E" w:rsidRDefault="00636C61" w:rsidP="0099759E">
            <w:pPr>
              <w:spacing w:after="60"/>
              <w:rPr>
                <w:iCs/>
                <w:sz w:val="20"/>
              </w:rPr>
            </w:pPr>
            <w:r w:rsidRPr="0013396E">
              <w:rPr>
                <w:iCs/>
                <w:sz w:val="20"/>
              </w:rPr>
              <w:t>none</w:t>
            </w:r>
          </w:p>
        </w:tc>
        <w:tc>
          <w:tcPr>
            <w:tcW w:w="7166" w:type="dxa"/>
          </w:tcPr>
          <w:p w14:paraId="480B3E4A" w14:textId="77777777" w:rsidR="00636C61" w:rsidRPr="0013396E" w:rsidRDefault="00636C61" w:rsidP="0099759E">
            <w:pPr>
              <w:spacing w:after="60"/>
              <w:rPr>
                <w:iCs/>
                <w:sz w:val="20"/>
              </w:rPr>
            </w:pPr>
            <w:r w:rsidRPr="0013396E">
              <w:rPr>
                <w:i/>
                <w:iCs/>
                <w:sz w:val="20"/>
              </w:rPr>
              <w:t>Resource Node Weighting Factor per interval</w:t>
            </w:r>
            <w:r w:rsidRPr="0013396E">
              <w:rPr>
                <w:iCs/>
                <w:sz w:val="20"/>
              </w:rPr>
              <w:sym w:font="Symbol" w:char="F0BE"/>
            </w:r>
            <w:r w:rsidRPr="0013396E">
              <w:rPr>
                <w:iCs/>
                <w:sz w:val="20"/>
              </w:rPr>
              <w:t xml:space="preserve">The weight used in the Resource Node Settlement Point Price calculation for the portion of the SCED interval </w:t>
            </w:r>
            <w:r w:rsidRPr="0013396E">
              <w:rPr>
                <w:i/>
                <w:iCs/>
                <w:sz w:val="20"/>
              </w:rPr>
              <w:t>y</w:t>
            </w:r>
            <w:r w:rsidRPr="0013396E">
              <w:rPr>
                <w:iCs/>
                <w:sz w:val="20"/>
              </w:rPr>
              <w:t xml:space="preserve"> within the Settlement Interval.</w:t>
            </w:r>
          </w:p>
        </w:tc>
      </w:tr>
      <w:tr w:rsidR="00636C61" w:rsidRPr="0013396E" w14:paraId="17133457" w14:textId="77777777" w:rsidTr="0099759E">
        <w:tc>
          <w:tcPr>
            <w:tcW w:w="1284" w:type="dxa"/>
          </w:tcPr>
          <w:p w14:paraId="1E7C3B3F" w14:textId="77777777" w:rsidR="00636C61" w:rsidRPr="0013396E" w:rsidRDefault="00636C61" w:rsidP="0099759E">
            <w:pPr>
              <w:spacing w:after="60"/>
              <w:rPr>
                <w:iCs/>
                <w:sz w:val="20"/>
              </w:rPr>
            </w:pPr>
            <w:r w:rsidRPr="0013396E">
              <w:rPr>
                <w:iCs/>
                <w:sz w:val="20"/>
              </w:rPr>
              <w:t xml:space="preserve">TLMP </w:t>
            </w:r>
            <w:r w:rsidRPr="0013396E">
              <w:rPr>
                <w:i/>
                <w:iCs/>
                <w:sz w:val="20"/>
                <w:vertAlign w:val="subscript"/>
              </w:rPr>
              <w:t>y</w:t>
            </w:r>
          </w:p>
        </w:tc>
        <w:tc>
          <w:tcPr>
            <w:tcW w:w="900" w:type="dxa"/>
          </w:tcPr>
          <w:p w14:paraId="1EF99CA8" w14:textId="77777777" w:rsidR="00636C61" w:rsidRPr="0013396E" w:rsidRDefault="00636C61" w:rsidP="0099759E">
            <w:pPr>
              <w:spacing w:after="60"/>
              <w:rPr>
                <w:sz w:val="20"/>
              </w:rPr>
            </w:pPr>
            <w:r w:rsidRPr="0013396E">
              <w:rPr>
                <w:iCs/>
                <w:sz w:val="20"/>
              </w:rPr>
              <w:t>second</w:t>
            </w:r>
          </w:p>
        </w:tc>
        <w:tc>
          <w:tcPr>
            <w:tcW w:w="7166" w:type="dxa"/>
          </w:tcPr>
          <w:p w14:paraId="68FB986B" w14:textId="77777777" w:rsidR="00636C61" w:rsidRPr="0013396E" w:rsidRDefault="00636C61" w:rsidP="0099759E">
            <w:pPr>
              <w:spacing w:after="60"/>
              <w:rPr>
                <w:iCs/>
                <w:sz w:val="20"/>
              </w:rPr>
            </w:pPr>
            <w:r w:rsidRPr="0013396E">
              <w:rPr>
                <w:i/>
                <w:sz w:val="20"/>
              </w:rPr>
              <w:t>Duration of SCED interval per interval</w:t>
            </w:r>
            <w:r w:rsidRPr="0013396E">
              <w:rPr>
                <w:iCs/>
                <w:sz w:val="20"/>
              </w:rPr>
              <w:sym w:font="Symbol" w:char="F0BE"/>
            </w:r>
            <w:r w:rsidRPr="0013396E">
              <w:rPr>
                <w:iCs/>
                <w:sz w:val="20"/>
              </w:rPr>
              <w:t xml:space="preserve">The duration of the portion of the SCED interval </w:t>
            </w:r>
            <w:r w:rsidRPr="0013396E">
              <w:rPr>
                <w:i/>
                <w:sz w:val="20"/>
              </w:rPr>
              <w:t>y</w:t>
            </w:r>
            <w:r w:rsidRPr="0013396E">
              <w:rPr>
                <w:sz w:val="20"/>
              </w:rPr>
              <w:t xml:space="preserve"> within the Settlement Interval</w:t>
            </w:r>
            <w:r w:rsidRPr="0013396E">
              <w:rPr>
                <w:iCs/>
                <w:sz w:val="20"/>
              </w:rPr>
              <w:t>.</w:t>
            </w:r>
          </w:p>
        </w:tc>
      </w:tr>
      <w:tr w:rsidR="00636C61" w:rsidRPr="0013396E" w14:paraId="434C0F7B" w14:textId="77777777" w:rsidTr="0099759E">
        <w:tc>
          <w:tcPr>
            <w:tcW w:w="1284" w:type="dxa"/>
          </w:tcPr>
          <w:p w14:paraId="56CB9D8F" w14:textId="77777777" w:rsidR="00636C61" w:rsidRPr="0013396E" w:rsidRDefault="00636C61" w:rsidP="0099759E">
            <w:pPr>
              <w:spacing w:after="60"/>
              <w:rPr>
                <w:i/>
                <w:iCs/>
                <w:sz w:val="20"/>
              </w:rPr>
            </w:pPr>
            <w:r w:rsidRPr="0013396E">
              <w:rPr>
                <w:i/>
                <w:iCs/>
                <w:sz w:val="20"/>
              </w:rPr>
              <w:t>y</w:t>
            </w:r>
          </w:p>
        </w:tc>
        <w:tc>
          <w:tcPr>
            <w:tcW w:w="900" w:type="dxa"/>
          </w:tcPr>
          <w:p w14:paraId="5C685A61" w14:textId="77777777" w:rsidR="00636C61" w:rsidRPr="0013396E" w:rsidRDefault="00636C61" w:rsidP="0099759E">
            <w:pPr>
              <w:spacing w:after="60"/>
              <w:rPr>
                <w:iCs/>
                <w:sz w:val="20"/>
              </w:rPr>
            </w:pPr>
            <w:r w:rsidRPr="0013396E">
              <w:rPr>
                <w:iCs/>
                <w:sz w:val="20"/>
              </w:rPr>
              <w:t>none</w:t>
            </w:r>
          </w:p>
        </w:tc>
        <w:tc>
          <w:tcPr>
            <w:tcW w:w="7166" w:type="dxa"/>
          </w:tcPr>
          <w:p w14:paraId="2A601681" w14:textId="77777777" w:rsidR="00636C61" w:rsidRPr="0013396E" w:rsidRDefault="00636C61" w:rsidP="0099759E">
            <w:pPr>
              <w:spacing w:after="60"/>
              <w:rPr>
                <w:iCs/>
                <w:sz w:val="20"/>
              </w:rPr>
            </w:pPr>
            <w:r w:rsidRPr="0013396E">
              <w:rPr>
                <w:iCs/>
                <w:sz w:val="20"/>
              </w:rPr>
              <w:t xml:space="preserve">A SCED interval in the 15-minute Settlement Interval.  The summation is over the total number of SCED runs that cover the 15-minute Settlement Interval.  </w:t>
            </w:r>
          </w:p>
        </w:tc>
      </w:tr>
    </w:tbl>
    <w:p w14:paraId="2A4909DF" w14:textId="151ED645" w:rsidR="00142F7A" w:rsidRPr="0013396E" w:rsidRDefault="00142F7A" w:rsidP="00142F7A">
      <w:pPr>
        <w:spacing w:before="240" w:after="240"/>
        <w:ind w:left="720" w:hanging="720"/>
      </w:pPr>
      <w:r w:rsidRPr="0013396E">
        <w:rPr>
          <w:iCs/>
        </w:rPr>
        <w:t>(2)</w:t>
      </w:r>
      <w:r w:rsidRPr="0013396E">
        <w:rPr>
          <w:iCs/>
        </w:rPr>
        <w:tab/>
        <w:t>The Real-Time Settlement Point Price at the logical Resource Node for a Combined Cycle Train shall be determined in accordance with paragraph (1) above using a Real-Time LMP calculated for the logical Resource Node in each SCED Interval as follows:</w:t>
      </w:r>
    </w:p>
    <w:p w14:paraId="4F0C7C23" w14:textId="77777777" w:rsidR="00142F7A" w:rsidRPr="0013396E" w:rsidRDefault="00142F7A" w:rsidP="00142F7A">
      <w:pPr>
        <w:spacing w:after="240"/>
        <w:ind w:left="1440" w:hanging="720"/>
        <w:rPr>
          <w:iCs/>
          <w:szCs w:val="24"/>
        </w:rPr>
      </w:pPr>
      <w:r w:rsidRPr="0013396E">
        <w:rPr>
          <w:iCs/>
          <w:szCs w:val="24"/>
        </w:rPr>
        <w:t>(a)</w:t>
      </w:r>
      <w:r w:rsidRPr="0013396E">
        <w:rPr>
          <w:iCs/>
          <w:szCs w:val="24"/>
        </w:rPr>
        <w:tab/>
      </w:r>
      <w:r w:rsidRPr="0013396E">
        <w:rPr>
          <w:szCs w:val="24"/>
        </w:rPr>
        <w:t>The</w:t>
      </w:r>
      <w:r w:rsidRPr="0013396E">
        <w:rPr>
          <w:iCs/>
          <w:szCs w:val="24"/>
        </w:rPr>
        <w:t xml:space="preserve"> Real-Time LMP for the logical Resource Node of a Combined Cycle Train for each SCED interval is calculated as follows:</w:t>
      </w:r>
    </w:p>
    <w:p w14:paraId="2D033989" w14:textId="77777777" w:rsidR="00142F7A" w:rsidRPr="0013396E" w:rsidRDefault="00142F7A" w:rsidP="00142F7A">
      <w:pPr>
        <w:spacing w:after="240"/>
        <w:ind w:left="1440"/>
        <w:rPr>
          <w:iCs/>
          <w:szCs w:val="24"/>
        </w:rPr>
      </w:pPr>
      <w:r w:rsidRPr="0013396E">
        <w:rPr>
          <w:iCs/>
          <w:szCs w:val="24"/>
        </w:rPr>
        <w:t>For a Combined Cycle Train that is On-Line in the SCED interval:</w:t>
      </w:r>
    </w:p>
    <w:p w14:paraId="6FC3090B" w14:textId="77777777" w:rsidR="00142F7A" w:rsidRPr="0013396E" w:rsidRDefault="00142F7A" w:rsidP="00142F7A">
      <w:pPr>
        <w:spacing w:after="240"/>
        <w:ind w:left="720" w:firstLine="720"/>
        <w:rPr>
          <w:iCs/>
        </w:rPr>
      </w:pPr>
      <w:r w:rsidRPr="0013396E">
        <w:rPr>
          <w:b/>
        </w:rPr>
        <w:t xml:space="preserve">RTLMP </w:t>
      </w:r>
      <w:r w:rsidRPr="0013396E">
        <w:rPr>
          <w:b/>
          <w:i/>
          <w:vertAlign w:val="subscript"/>
        </w:rPr>
        <w:t>y</w:t>
      </w:r>
      <w:r w:rsidRPr="0013396E">
        <w:rPr>
          <w:b/>
        </w:rPr>
        <w:t xml:space="preserve"> =</w:t>
      </w:r>
      <w:r w:rsidRPr="0013396E">
        <w:t xml:space="preserve"> </w:t>
      </w:r>
      <w:r w:rsidRPr="0013396E">
        <w:rPr>
          <w:b/>
        </w:rPr>
        <w:t>∑</w:t>
      </w:r>
      <w:r w:rsidRPr="0013396E">
        <w:rPr>
          <w:b/>
          <w:i/>
          <w:vertAlign w:val="subscript"/>
        </w:rPr>
        <w:t>CCGR_PhyR</w:t>
      </w:r>
      <w:r w:rsidRPr="0013396E">
        <w:rPr>
          <w:b/>
        </w:rPr>
        <w:t xml:space="preserve"> RTLMP </w:t>
      </w:r>
      <w:r w:rsidRPr="0013396E">
        <w:rPr>
          <w:b/>
          <w:i/>
          <w:vertAlign w:val="subscript"/>
        </w:rPr>
        <w:t>CCGR_PhyR, y</w:t>
      </w:r>
      <w:r w:rsidRPr="0013396E">
        <w:rPr>
          <w:b/>
        </w:rPr>
        <w:t xml:space="preserve"> * RTONCCGRWF </w:t>
      </w:r>
      <w:r w:rsidRPr="0013396E">
        <w:rPr>
          <w:b/>
          <w:i/>
          <w:vertAlign w:val="subscript"/>
        </w:rPr>
        <w:t>CCGR_PhyR</w:t>
      </w:r>
    </w:p>
    <w:p w14:paraId="283EE7C1" w14:textId="77777777" w:rsidR="00142F7A" w:rsidRPr="0013396E" w:rsidRDefault="00142F7A" w:rsidP="00142F7A">
      <w:pPr>
        <w:spacing w:after="240"/>
        <w:ind w:left="1440"/>
        <w:rPr>
          <w:iCs/>
          <w:szCs w:val="24"/>
        </w:rPr>
      </w:pPr>
      <w:r w:rsidRPr="0013396E">
        <w:rPr>
          <w:iCs/>
          <w:szCs w:val="24"/>
        </w:rPr>
        <w:t xml:space="preserve">For a Combined Cycle Train that is Off-Line in the SCED interval: </w:t>
      </w:r>
    </w:p>
    <w:p w14:paraId="104D9B3A" w14:textId="77777777" w:rsidR="00142F7A" w:rsidRPr="0013396E" w:rsidRDefault="00142F7A" w:rsidP="00142F7A">
      <w:pPr>
        <w:spacing w:after="240"/>
        <w:ind w:left="720" w:firstLine="720"/>
        <w:rPr>
          <w:iCs/>
        </w:rPr>
      </w:pPr>
      <w:r w:rsidRPr="0013396E">
        <w:rPr>
          <w:b/>
        </w:rPr>
        <w:t xml:space="preserve">RTLMP </w:t>
      </w:r>
      <w:r w:rsidRPr="0013396E">
        <w:rPr>
          <w:b/>
          <w:i/>
          <w:vertAlign w:val="subscript"/>
        </w:rPr>
        <w:t>y</w:t>
      </w:r>
      <w:r w:rsidRPr="0013396E">
        <w:rPr>
          <w:b/>
        </w:rPr>
        <w:t xml:space="preserve"> =</w:t>
      </w:r>
      <w:r w:rsidRPr="0013396E">
        <w:t xml:space="preserve"> </w:t>
      </w:r>
      <w:r w:rsidRPr="0013396E">
        <w:rPr>
          <w:b/>
        </w:rPr>
        <w:t>∑</w:t>
      </w:r>
      <w:r w:rsidRPr="0013396E">
        <w:rPr>
          <w:b/>
          <w:i/>
          <w:vertAlign w:val="subscript"/>
        </w:rPr>
        <w:t>CCT_PhyR</w:t>
      </w:r>
      <w:r w:rsidRPr="0013396E">
        <w:rPr>
          <w:b/>
        </w:rPr>
        <w:t xml:space="preserve"> RTLMP </w:t>
      </w:r>
      <w:r w:rsidRPr="0013396E">
        <w:rPr>
          <w:b/>
          <w:i/>
          <w:vertAlign w:val="subscript"/>
        </w:rPr>
        <w:t>CCT_PhyR, y</w:t>
      </w:r>
      <w:r w:rsidRPr="0013396E">
        <w:rPr>
          <w:b/>
        </w:rPr>
        <w:t xml:space="preserve"> * RTOFFCCGRWF </w:t>
      </w:r>
      <w:r w:rsidRPr="0013396E">
        <w:rPr>
          <w:b/>
          <w:i/>
          <w:vertAlign w:val="subscript"/>
        </w:rPr>
        <w:t>CCT_PhyR</w:t>
      </w:r>
    </w:p>
    <w:p w14:paraId="0C48B7D2" w14:textId="77777777" w:rsidR="00142F7A" w:rsidRPr="0013396E" w:rsidRDefault="00142F7A" w:rsidP="00142F7A">
      <w:pPr>
        <w:rPr>
          <w:b/>
          <w:szCs w:val="24"/>
        </w:rPr>
      </w:pPr>
      <w:r w:rsidRPr="0013396E">
        <w:rPr>
          <w:szCs w:val="24"/>
        </w:rPr>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1"/>
        <w:gridCol w:w="839"/>
        <w:gridCol w:w="6010"/>
      </w:tblGrid>
      <w:tr w:rsidR="00142F7A" w:rsidRPr="0013396E" w14:paraId="393C2C07" w14:textId="77777777" w:rsidTr="00F12CF4">
        <w:tc>
          <w:tcPr>
            <w:tcW w:w="2535" w:type="dxa"/>
          </w:tcPr>
          <w:p w14:paraId="5CC0AC29" w14:textId="77777777" w:rsidR="00142F7A" w:rsidRPr="0013396E" w:rsidRDefault="00142F7A" w:rsidP="00F12CF4">
            <w:pPr>
              <w:spacing w:after="120"/>
              <w:rPr>
                <w:b/>
              </w:rPr>
            </w:pPr>
            <w:r w:rsidRPr="0013396E">
              <w:rPr>
                <w:b/>
                <w:iCs/>
                <w:sz w:val="20"/>
              </w:rPr>
              <w:t>Variable</w:t>
            </w:r>
          </w:p>
        </w:tc>
        <w:tc>
          <w:tcPr>
            <w:tcW w:w="839" w:type="dxa"/>
          </w:tcPr>
          <w:p w14:paraId="66997590" w14:textId="77777777" w:rsidR="00142F7A" w:rsidRPr="0013396E" w:rsidRDefault="00142F7A" w:rsidP="00F12CF4">
            <w:pPr>
              <w:spacing w:after="120"/>
              <w:rPr>
                <w:b/>
              </w:rPr>
            </w:pPr>
            <w:r w:rsidRPr="0013396E">
              <w:rPr>
                <w:b/>
                <w:iCs/>
                <w:sz w:val="20"/>
              </w:rPr>
              <w:t>Unit</w:t>
            </w:r>
          </w:p>
        </w:tc>
        <w:tc>
          <w:tcPr>
            <w:tcW w:w="6202" w:type="dxa"/>
          </w:tcPr>
          <w:p w14:paraId="283FF8E5" w14:textId="77777777" w:rsidR="00142F7A" w:rsidRPr="0013396E" w:rsidRDefault="00142F7A" w:rsidP="00F12CF4">
            <w:pPr>
              <w:spacing w:after="120"/>
              <w:rPr>
                <w:b/>
              </w:rPr>
            </w:pPr>
            <w:r w:rsidRPr="0013396E">
              <w:rPr>
                <w:b/>
                <w:iCs/>
                <w:sz w:val="20"/>
              </w:rPr>
              <w:t>Definition</w:t>
            </w:r>
          </w:p>
        </w:tc>
      </w:tr>
      <w:tr w:rsidR="00142F7A" w:rsidRPr="0013396E" w14:paraId="4B9CF9F2" w14:textId="77777777" w:rsidTr="00F12CF4">
        <w:tc>
          <w:tcPr>
            <w:tcW w:w="2535" w:type="dxa"/>
          </w:tcPr>
          <w:p w14:paraId="5471E348" w14:textId="77777777" w:rsidR="00142F7A" w:rsidRPr="0013396E" w:rsidRDefault="00142F7A" w:rsidP="00F12CF4">
            <w:pPr>
              <w:rPr>
                <w:sz w:val="20"/>
              </w:rPr>
            </w:pPr>
            <w:r w:rsidRPr="0013396E">
              <w:rPr>
                <w:sz w:val="20"/>
              </w:rPr>
              <w:t xml:space="preserve">RTLMP </w:t>
            </w:r>
            <w:r w:rsidRPr="0013396E">
              <w:rPr>
                <w:i/>
                <w:sz w:val="20"/>
                <w:vertAlign w:val="subscript"/>
              </w:rPr>
              <w:t>y</w:t>
            </w:r>
          </w:p>
        </w:tc>
        <w:tc>
          <w:tcPr>
            <w:tcW w:w="839" w:type="dxa"/>
          </w:tcPr>
          <w:p w14:paraId="302919B9" w14:textId="77777777" w:rsidR="00142F7A" w:rsidRPr="0013396E" w:rsidRDefault="00142F7A" w:rsidP="00F12CF4">
            <w:pPr>
              <w:rPr>
                <w:sz w:val="20"/>
              </w:rPr>
            </w:pPr>
            <w:r w:rsidRPr="0013396E">
              <w:rPr>
                <w:sz w:val="20"/>
              </w:rPr>
              <w:t>$/MWh</w:t>
            </w:r>
          </w:p>
        </w:tc>
        <w:tc>
          <w:tcPr>
            <w:tcW w:w="6202" w:type="dxa"/>
          </w:tcPr>
          <w:p w14:paraId="33CC9C82" w14:textId="77777777" w:rsidR="00142F7A" w:rsidRPr="0013396E" w:rsidRDefault="00142F7A" w:rsidP="00C43DB8">
            <w:pPr>
              <w:spacing w:after="60"/>
              <w:rPr>
                <w:sz w:val="20"/>
              </w:rPr>
            </w:pPr>
            <w:r w:rsidRPr="0013396E">
              <w:rPr>
                <w:i/>
                <w:sz w:val="20"/>
              </w:rPr>
              <w:t>Real-Time Locational Marginal Price at a logical Resource Node for a Combined Cycle Train</w:t>
            </w:r>
            <w:r w:rsidRPr="0013396E">
              <w:rPr>
                <w:iCs/>
                <w:sz w:val="20"/>
              </w:rPr>
              <w:sym w:font="Symbol" w:char="F0BE"/>
            </w:r>
            <w:r w:rsidRPr="0013396E">
              <w:rPr>
                <w:sz w:val="20"/>
              </w:rPr>
              <w:t xml:space="preserve">The Real-Time LMP at the Combined Cycle Generation Resource logical Resource Node for a SCED interval </w:t>
            </w:r>
            <w:r w:rsidRPr="0013396E">
              <w:rPr>
                <w:i/>
                <w:sz w:val="20"/>
              </w:rPr>
              <w:t>y</w:t>
            </w:r>
            <w:r w:rsidRPr="0013396E">
              <w:rPr>
                <w:sz w:val="20"/>
              </w:rPr>
              <w:t>.</w:t>
            </w:r>
          </w:p>
        </w:tc>
      </w:tr>
      <w:tr w:rsidR="00142F7A" w:rsidRPr="0013396E" w:rsidDel="008E5215" w14:paraId="53E01885" w14:textId="77777777" w:rsidTr="00F12CF4">
        <w:tc>
          <w:tcPr>
            <w:tcW w:w="2535" w:type="dxa"/>
          </w:tcPr>
          <w:p w14:paraId="602DA722" w14:textId="77777777" w:rsidR="00142F7A" w:rsidRPr="0013396E" w:rsidDel="008E5215" w:rsidRDefault="00142F7A" w:rsidP="00F12CF4">
            <w:pPr>
              <w:rPr>
                <w:sz w:val="20"/>
              </w:rPr>
            </w:pPr>
            <w:r w:rsidRPr="0013396E">
              <w:rPr>
                <w:sz w:val="20"/>
              </w:rPr>
              <w:t xml:space="preserve">RTLMP </w:t>
            </w:r>
            <w:r w:rsidRPr="0013396E">
              <w:rPr>
                <w:i/>
                <w:sz w:val="20"/>
                <w:vertAlign w:val="subscript"/>
              </w:rPr>
              <w:t>CCGR_PhyR, y</w:t>
            </w:r>
          </w:p>
        </w:tc>
        <w:tc>
          <w:tcPr>
            <w:tcW w:w="839" w:type="dxa"/>
          </w:tcPr>
          <w:p w14:paraId="5271A49C" w14:textId="77777777" w:rsidR="00142F7A" w:rsidRPr="0013396E" w:rsidDel="008E5215" w:rsidRDefault="00142F7A" w:rsidP="00F12CF4">
            <w:pPr>
              <w:rPr>
                <w:sz w:val="20"/>
              </w:rPr>
            </w:pPr>
            <w:r w:rsidRPr="0013396E">
              <w:rPr>
                <w:sz w:val="20"/>
              </w:rPr>
              <w:t>$/MWh</w:t>
            </w:r>
          </w:p>
        </w:tc>
        <w:tc>
          <w:tcPr>
            <w:tcW w:w="6202" w:type="dxa"/>
          </w:tcPr>
          <w:p w14:paraId="6CC4C5AB" w14:textId="77777777" w:rsidR="00142F7A" w:rsidRPr="0013396E" w:rsidDel="008E5215" w:rsidRDefault="00142F7A" w:rsidP="00C43DB8">
            <w:pPr>
              <w:spacing w:after="60"/>
              <w:rPr>
                <w:i/>
                <w:sz w:val="20"/>
              </w:rPr>
            </w:pPr>
            <w:r w:rsidRPr="0013396E">
              <w:rPr>
                <w:i/>
                <w:sz w:val="20"/>
              </w:rPr>
              <w:t>Real-Time Locational Marginal Price at a generation unit Resource Node designated in a Combined Cycle Train registration for the On-Line Combined Cycle Generation Resource</w:t>
            </w:r>
            <w:r w:rsidRPr="0013396E">
              <w:rPr>
                <w:iCs/>
                <w:sz w:val="20"/>
              </w:rPr>
              <w:sym w:font="Symbol" w:char="F0BE"/>
            </w:r>
            <w:r w:rsidRPr="0013396E">
              <w:rPr>
                <w:sz w:val="20"/>
              </w:rPr>
              <w:t>The Real-Time LMP at the Resource Node of a generation unit designated in a Combined Cycle Train registration for the On-Line Combined Cycle Generation Resource for the SCED interval</w:t>
            </w:r>
            <w:r w:rsidRPr="0013396E">
              <w:rPr>
                <w:i/>
                <w:sz w:val="20"/>
              </w:rPr>
              <w:t xml:space="preserve"> y</w:t>
            </w:r>
            <w:r w:rsidRPr="0013396E">
              <w:rPr>
                <w:sz w:val="20"/>
              </w:rPr>
              <w:t>.</w:t>
            </w:r>
          </w:p>
        </w:tc>
      </w:tr>
      <w:tr w:rsidR="00142F7A" w:rsidRPr="0013396E" w14:paraId="581E8152" w14:textId="77777777" w:rsidTr="00F12CF4">
        <w:tc>
          <w:tcPr>
            <w:tcW w:w="2535" w:type="dxa"/>
          </w:tcPr>
          <w:p w14:paraId="571999A1" w14:textId="77777777" w:rsidR="00142F7A" w:rsidRPr="0013396E" w:rsidRDefault="00142F7A" w:rsidP="00F12CF4">
            <w:pPr>
              <w:rPr>
                <w:i/>
                <w:sz w:val="20"/>
                <w:vertAlign w:val="subscript"/>
              </w:rPr>
            </w:pPr>
            <w:r w:rsidRPr="0013396E">
              <w:rPr>
                <w:sz w:val="20"/>
              </w:rPr>
              <w:t xml:space="preserve">RTLMP </w:t>
            </w:r>
            <w:r w:rsidRPr="0013396E">
              <w:rPr>
                <w:i/>
                <w:sz w:val="20"/>
                <w:vertAlign w:val="subscript"/>
              </w:rPr>
              <w:t>CCT_PhyR, y</w:t>
            </w:r>
          </w:p>
        </w:tc>
        <w:tc>
          <w:tcPr>
            <w:tcW w:w="839" w:type="dxa"/>
          </w:tcPr>
          <w:p w14:paraId="0C27A43C" w14:textId="77777777" w:rsidR="00142F7A" w:rsidRPr="0013396E" w:rsidRDefault="00142F7A" w:rsidP="00F12CF4">
            <w:pPr>
              <w:rPr>
                <w:sz w:val="20"/>
              </w:rPr>
            </w:pPr>
            <w:r w:rsidRPr="0013396E">
              <w:rPr>
                <w:sz w:val="20"/>
              </w:rPr>
              <w:t>$/MWh</w:t>
            </w:r>
          </w:p>
        </w:tc>
        <w:tc>
          <w:tcPr>
            <w:tcW w:w="6202" w:type="dxa"/>
          </w:tcPr>
          <w:p w14:paraId="67D4571A" w14:textId="77777777" w:rsidR="00142F7A" w:rsidRPr="0013396E" w:rsidRDefault="00142F7A" w:rsidP="00C43DB8">
            <w:pPr>
              <w:spacing w:after="60"/>
              <w:rPr>
                <w:sz w:val="20"/>
              </w:rPr>
            </w:pPr>
            <w:r w:rsidRPr="0013396E">
              <w:rPr>
                <w:i/>
                <w:sz w:val="20"/>
              </w:rPr>
              <w:t>Real-Time Locational Marginal Price at a generation unit Resource Node registered to the Combined Cycle Train</w:t>
            </w:r>
            <w:r w:rsidRPr="0013396E">
              <w:rPr>
                <w:iCs/>
                <w:sz w:val="20"/>
              </w:rPr>
              <w:sym w:font="Symbol" w:char="F0BE"/>
            </w:r>
            <w:r w:rsidRPr="0013396E">
              <w:rPr>
                <w:sz w:val="20"/>
              </w:rPr>
              <w:t>The Real-Time LMP at the Resource Node of a generation unit designated in a Combined Cycle Train registration for the SCED interval</w:t>
            </w:r>
            <w:r w:rsidRPr="0013396E">
              <w:rPr>
                <w:i/>
                <w:sz w:val="20"/>
              </w:rPr>
              <w:t xml:space="preserve"> y</w:t>
            </w:r>
            <w:r w:rsidRPr="0013396E">
              <w:rPr>
                <w:sz w:val="20"/>
              </w:rPr>
              <w:t>.</w:t>
            </w:r>
          </w:p>
        </w:tc>
      </w:tr>
      <w:tr w:rsidR="00142F7A" w:rsidRPr="0013396E" w14:paraId="0A65B28C" w14:textId="77777777" w:rsidTr="00F12CF4">
        <w:tc>
          <w:tcPr>
            <w:tcW w:w="2535" w:type="dxa"/>
          </w:tcPr>
          <w:p w14:paraId="255410D1" w14:textId="77777777" w:rsidR="00142F7A" w:rsidRPr="0013396E" w:rsidRDefault="00142F7A" w:rsidP="00F12CF4">
            <w:pPr>
              <w:rPr>
                <w:i/>
                <w:sz w:val="20"/>
                <w:vertAlign w:val="subscript"/>
              </w:rPr>
            </w:pPr>
            <w:r w:rsidRPr="0013396E">
              <w:rPr>
                <w:sz w:val="20"/>
              </w:rPr>
              <w:t xml:space="preserve">RTONCCGRWF </w:t>
            </w:r>
            <w:r w:rsidRPr="0013396E">
              <w:rPr>
                <w:i/>
                <w:sz w:val="20"/>
                <w:vertAlign w:val="subscript"/>
              </w:rPr>
              <w:t>CCGR_PhyR, y</w:t>
            </w:r>
          </w:p>
        </w:tc>
        <w:tc>
          <w:tcPr>
            <w:tcW w:w="839" w:type="dxa"/>
          </w:tcPr>
          <w:p w14:paraId="2515D63A" w14:textId="77777777" w:rsidR="00142F7A" w:rsidRPr="0013396E" w:rsidRDefault="00142F7A" w:rsidP="00F12CF4">
            <w:pPr>
              <w:rPr>
                <w:sz w:val="20"/>
              </w:rPr>
            </w:pPr>
            <w:r w:rsidRPr="0013396E">
              <w:rPr>
                <w:sz w:val="20"/>
              </w:rPr>
              <w:t>none</w:t>
            </w:r>
          </w:p>
        </w:tc>
        <w:tc>
          <w:tcPr>
            <w:tcW w:w="6202" w:type="dxa"/>
          </w:tcPr>
          <w:p w14:paraId="51C840AB" w14:textId="77777777" w:rsidR="00142F7A" w:rsidRPr="0013396E" w:rsidRDefault="00142F7A" w:rsidP="00C43DB8">
            <w:pPr>
              <w:spacing w:after="60"/>
              <w:rPr>
                <w:sz w:val="20"/>
              </w:rPr>
            </w:pPr>
            <w:r w:rsidRPr="0013396E">
              <w:rPr>
                <w:i/>
                <w:sz w:val="20"/>
              </w:rPr>
              <w:t>Real-Time On-Line Combined Cycle Generation Resource Weighting Factor</w:t>
            </w:r>
            <w:r w:rsidRPr="0013396E">
              <w:rPr>
                <w:iCs/>
                <w:sz w:val="20"/>
              </w:rPr>
              <w:sym w:font="Symbol" w:char="F0BE"/>
            </w:r>
            <w:r w:rsidRPr="0013396E">
              <w:rPr>
                <w:sz w:val="20"/>
              </w:rPr>
              <w:t xml:space="preserve">The Real Time Combined Cycle Generation Resource weighting factor for a generation unit designated in a Combined Cycle </w:t>
            </w:r>
            <w:r w:rsidRPr="0013396E">
              <w:rPr>
                <w:sz w:val="20"/>
              </w:rPr>
              <w:lastRenderedPageBreak/>
              <w:t xml:space="preserve">Train registration for the On-Line Combined Cycle Generation Resource for the SCED interval </w:t>
            </w:r>
            <w:r w:rsidRPr="0013396E">
              <w:rPr>
                <w:i/>
                <w:sz w:val="20"/>
              </w:rPr>
              <w:t>y</w:t>
            </w:r>
            <w:r w:rsidRPr="0013396E">
              <w:rPr>
                <w:sz w:val="20"/>
              </w:rPr>
              <w:t>.</w:t>
            </w:r>
          </w:p>
        </w:tc>
      </w:tr>
      <w:tr w:rsidR="00142F7A" w:rsidRPr="0013396E" w14:paraId="44C590BF" w14:textId="77777777" w:rsidTr="00F12CF4">
        <w:tc>
          <w:tcPr>
            <w:tcW w:w="2535" w:type="dxa"/>
          </w:tcPr>
          <w:p w14:paraId="7A7F50D7" w14:textId="77777777" w:rsidR="00142F7A" w:rsidRPr="0013396E" w:rsidRDefault="00142F7A" w:rsidP="00F12CF4">
            <w:pPr>
              <w:rPr>
                <w:sz w:val="20"/>
              </w:rPr>
            </w:pPr>
            <w:r w:rsidRPr="0013396E">
              <w:rPr>
                <w:sz w:val="20"/>
              </w:rPr>
              <w:lastRenderedPageBreak/>
              <w:t xml:space="preserve">RTOFFCCGRWF </w:t>
            </w:r>
            <w:r w:rsidRPr="0013396E">
              <w:rPr>
                <w:i/>
                <w:sz w:val="20"/>
                <w:vertAlign w:val="subscript"/>
              </w:rPr>
              <w:t>CCT_PhyR, y</w:t>
            </w:r>
          </w:p>
        </w:tc>
        <w:tc>
          <w:tcPr>
            <w:tcW w:w="839" w:type="dxa"/>
          </w:tcPr>
          <w:p w14:paraId="014D39DA" w14:textId="77777777" w:rsidR="00142F7A" w:rsidRPr="0013396E" w:rsidRDefault="00142F7A" w:rsidP="00F12CF4">
            <w:pPr>
              <w:rPr>
                <w:sz w:val="20"/>
              </w:rPr>
            </w:pPr>
            <w:r w:rsidRPr="0013396E">
              <w:rPr>
                <w:sz w:val="20"/>
              </w:rPr>
              <w:t>none</w:t>
            </w:r>
          </w:p>
        </w:tc>
        <w:tc>
          <w:tcPr>
            <w:tcW w:w="6202" w:type="dxa"/>
          </w:tcPr>
          <w:p w14:paraId="0AB1097C" w14:textId="77777777" w:rsidR="00142F7A" w:rsidRPr="0013396E" w:rsidRDefault="00142F7A" w:rsidP="00C43DB8">
            <w:pPr>
              <w:spacing w:after="60"/>
              <w:rPr>
                <w:i/>
                <w:sz w:val="20"/>
              </w:rPr>
            </w:pPr>
            <w:r w:rsidRPr="0013396E">
              <w:rPr>
                <w:i/>
                <w:sz w:val="20"/>
              </w:rPr>
              <w:t>Real-Time Off-Line Combined Cycle Generation Resource Weighting Factor</w:t>
            </w:r>
            <w:r w:rsidRPr="0013396E">
              <w:rPr>
                <w:iCs/>
                <w:sz w:val="20"/>
              </w:rPr>
              <w:sym w:font="Symbol" w:char="F0BE"/>
            </w:r>
            <w:r w:rsidRPr="0013396E">
              <w:rPr>
                <w:sz w:val="20"/>
              </w:rPr>
              <w:t>The Real-Time Combined Cycle Generation Resource weighting factor for a generation unit designated in a Combined Cycle Train registration when the whole Combined Cycle Train is Off-Line for the SCED interval</w:t>
            </w:r>
            <w:r w:rsidRPr="0013396E">
              <w:rPr>
                <w:i/>
                <w:sz w:val="20"/>
              </w:rPr>
              <w:t xml:space="preserve"> y</w:t>
            </w:r>
            <w:r w:rsidRPr="0013396E">
              <w:rPr>
                <w:sz w:val="20"/>
              </w:rPr>
              <w:t>.</w:t>
            </w:r>
          </w:p>
        </w:tc>
      </w:tr>
      <w:tr w:rsidR="00142F7A" w:rsidRPr="0013396E" w14:paraId="53B73C1B" w14:textId="77777777" w:rsidTr="00F12CF4">
        <w:tc>
          <w:tcPr>
            <w:tcW w:w="2535" w:type="dxa"/>
          </w:tcPr>
          <w:p w14:paraId="6A4EC54A" w14:textId="77777777" w:rsidR="00142F7A" w:rsidRPr="0013396E" w:rsidRDefault="00142F7A" w:rsidP="00F12CF4">
            <w:pPr>
              <w:rPr>
                <w:sz w:val="20"/>
              </w:rPr>
            </w:pPr>
            <w:r w:rsidRPr="0013396E">
              <w:rPr>
                <w:i/>
                <w:sz w:val="20"/>
              </w:rPr>
              <w:t>CCGR_PhyR</w:t>
            </w:r>
          </w:p>
        </w:tc>
        <w:tc>
          <w:tcPr>
            <w:tcW w:w="839" w:type="dxa"/>
          </w:tcPr>
          <w:p w14:paraId="6AF39E91" w14:textId="77777777" w:rsidR="00142F7A" w:rsidRPr="0013396E" w:rsidRDefault="00142F7A" w:rsidP="00F12CF4">
            <w:pPr>
              <w:rPr>
                <w:sz w:val="20"/>
              </w:rPr>
            </w:pPr>
            <w:r w:rsidRPr="0013396E">
              <w:rPr>
                <w:sz w:val="20"/>
              </w:rPr>
              <w:t>none</w:t>
            </w:r>
          </w:p>
        </w:tc>
        <w:tc>
          <w:tcPr>
            <w:tcW w:w="6202" w:type="dxa"/>
          </w:tcPr>
          <w:p w14:paraId="1F171617" w14:textId="77777777" w:rsidR="00142F7A" w:rsidRPr="0013396E" w:rsidRDefault="00142F7A" w:rsidP="00C43DB8">
            <w:pPr>
              <w:spacing w:after="60"/>
              <w:rPr>
                <w:sz w:val="20"/>
              </w:rPr>
            </w:pPr>
            <w:r w:rsidRPr="0013396E">
              <w:rPr>
                <w:sz w:val="20"/>
              </w:rPr>
              <w:t>A generation unit designated in a Combine Cycle Train registration for the On-Line Combined Cycle Generation Resource.</w:t>
            </w:r>
          </w:p>
        </w:tc>
      </w:tr>
      <w:tr w:rsidR="00142F7A" w:rsidRPr="0013396E" w14:paraId="68F3D625" w14:textId="77777777" w:rsidTr="00F12CF4">
        <w:tc>
          <w:tcPr>
            <w:tcW w:w="2535" w:type="dxa"/>
          </w:tcPr>
          <w:p w14:paraId="3789CA26" w14:textId="77777777" w:rsidR="00142F7A" w:rsidRPr="0013396E" w:rsidRDefault="00142F7A" w:rsidP="00F12CF4">
            <w:pPr>
              <w:rPr>
                <w:i/>
                <w:sz w:val="20"/>
              </w:rPr>
            </w:pPr>
            <w:r w:rsidRPr="0013396E">
              <w:rPr>
                <w:i/>
                <w:sz w:val="20"/>
              </w:rPr>
              <w:t>CCT_PhyR</w:t>
            </w:r>
          </w:p>
        </w:tc>
        <w:tc>
          <w:tcPr>
            <w:tcW w:w="839" w:type="dxa"/>
          </w:tcPr>
          <w:p w14:paraId="3C1CF4B0" w14:textId="77777777" w:rsidR="00142F7A" w:rsidRPr="0013396E" w:rsidRDefault="00142F7A" w:rsidP="00F12CF4">
            <w:pPr>
              <w:rPr>
                <w:sz w:val="20"/>
              </w:rPr>
            </w:pPr>
            <w:r w:rsidRPr="0013396E">
              <w:rPr>
                <w:sz w:val="20"/>
              </w:rPr>
              <w:t>none</w:t>
            </w:r>
          </w:p>
        </w:tc>
        <w:tc>
          <w:tcPr>
            <w:tcW w:w="6202" w:type="dxa"/>
          </w:tcPr>
          <w:p w14:paraId="3DE3D875" w14:textId="77777777" w:rsidR="00142F7A" w:rsidRPr="0013396E" w:rsidRDefault="00142F7A" w:rsidP="00C43DB8">
            <w:pPr>
              <w:spacing w:after="60"/>
              <w:rPr>
                <w:sz w:val="20"/>
              </w:rPr>
            </w:pPr>
            <w:r w:rsidRPr="0013396E">
              <w:rPr>
                <w:sz w:val="20"/>
              </w:rPr>
              <w:t xml:space="preserve">A generation unit designated in a Combine Cycle Train registration </w:t>
            </w:r>
          </w:p>
        </w:tc>
      </w:tr>
      <w:tr w:rsidR="00142F7A" w:rsidRPr="0013396E" w14:paraId="3016BBC0" w14:textId="77777777" w:rsidTr="00F12CF4">
        <w:tc>
          <w:tcPr>
            <w:tcW w:w="2535" w:type="dxa"/>
          </w:tcPr>
          <w:p w14:paraId="6D6B3AE1" w14:textId="77777777" w:rsidR="00142F7A" w:rsidRPr="0013396E" w:rsidRDefault="00142F7A" w:rsidP="00F12CF4">
            <w:pPr>
              <w:rPr>
                <w:i/>
                <w:sz w:val="20"/>
              </w:rPr>
            </w:pPr>
            <w:r w:rsidRPr="0013396E">
              <w:rPr>
                <w:i/>
                <w:sz w:val="20"/>
              </w:rPr>
              <w:t>c</w:t>
            </w:r>
          </w:p>
        </w:tc>
        <w:tc>
          <w:tcPr>
            <w:tcW w:w="839" w:type="dxa"/>
          </w:tcPr>
          <w:p w14:paraId="45BECA17" w14:textId="77777777" w:rsidR="00142F7A" w:rsidRPr="0013396E" w:rsidRDefault="00142F7A" w:rsidP="00F12CF4">
            <w:pPr>
              <w:rPr>
                <w:sz w:val="20"/>
              </w:rPr>
            </w:pPr>
            <w:r w:rsidRPr="0013396E">
              <w:rPr>
                <w:sz w:val="20"/>
              </w:rPr>
              <w:t>none</w:t>
            </w:r>
          </w:p>
        </w:tc>
        <w:tc>
          <w:tcPr>
            <w:tcW w:w="6202" w:type="dxa"/>
          </w:tcPr>
          <w:p w14:paraId="435BB40A" w14:textId="77777777" w:rsidR="00142F7A" w:rsidRPr="0013396E" w:rsidRDefault="00142F7A" w:rsidP="00C43DB8">
            <w:pPr>
              <w:spacing w:after="60"/>
              <w:rPr>
                <w:sz w:val="20"/>
              </w:rPr>
            </w:pPr>
            <w:r w:rsidRPr="0013396E">
              <w:rPr>
                <w:sz w:val="20"/>
              </w:rPr>
              <w:t xml:space="preserve">A binding transmission constraint for the SCED interval </w:t>
            </w:r>
            <w:r w:rsidRPr="0013396E">
              <w:rPr>
                <w:i/>
                <w:sz w:val="20"/>
              </w:rPr>
              <w:t>y</w:t>
            </w:r>
            <w:r w:rsidRPr="0013396E">
              <w:rPr>
                <w:sz w:val="20"/>
              </w:rPr>
              <w:t>.</w:t>
            </w:r>
          </w:p>
        </w:tc>
      </w:tr>
      <w:tr w:rsidR="00142F7A" w:rsidRPr="0013396E" w14:paraId="345313BD" w14:textId="77777777" w:rsidTr="00F12CF4">
        <w:tc>
          <w:tcPr>
            <w:tcW w:w="2535" w:type="dxa"/>
          </w:tcPr>
          <w:p w14:paraId="732D7F9A" w14:textId="77777777" w:rsidR="00142F7A" w:rsidRPr="0013396E" w:rsidRDefault="00142F7A" w:rsidP="00F12CF4">
            <w:pPr>
              <w:rPr>
                <w:i/>
                <w:sz w:val="20"/>
              </w:rPr>
            </w:pPr>
            <w:r w:rsidRPr="0013396E">
              <w:rPr>
                <w:i/>
                <w:sz w:val="20"/>
              </w:rPr>
              <w:t>y</w:t>
            </w:r>
          </w:p>
        </w:tc>
        <w:tc>
          <w:tcPr>
            <w:tcW w:w="839" w:type="dxa"/>
          </w:tcPr>
          <w:p w14:paraId="33852265" w14:textId="77777777" w:rsidR="00142F7A" w:rsidRPr="0013396E" w:rsidRDefault="00142F7A" w:rsidP="00F12CF4">
            <w:pPr>
              <w:rPr>
                <w:sz w:val="20"/>
              </w:rPr>
            </w:pPr>
            <w:r w:rsidRPr="0013396E">
              <w:rPr>
                <w:sz w:val="20"/>
              </w:rPr>
              <w:t>none</w:t>
            </w:r>
          </w:p>
        </w:tc>
        <w:tc>
          <w:tcPr>
            <w:tcW w:w="6202" w:type="dxa"/>
          </w:tcPr>
          <w:p w14:paraId="15854274" w14:textId="77777777" w:rsidR="00142F7A" w:rsidRPr="0013396E" w:rsidRDefault="00142F7A" w:rsidP="00C43DB8">
            <w:pPr>
              <w:spacing w:after="60"/>
              <w:rPr>
                <w:sz w:val="20"/>
              </w:rPr>
            </w:pPr>
            <w:r w:rsidRPr="0013396E">
              <w:rPr>
                <w:sz w:val="20"/>
              </w:rPr>
              <w:t xml:space="preserve">A SCED interval in the 15-minute Settlement Interval.  </w:t>
            </w:r>
          </w:p>
        </w:tc>
      </w:tr>
    </w:tbl>
    <w:p w14:paraId="72290AF4" w14:textId="77777777" w:rsidR="00142F7A" w:rsidRPr="0013396E" w:rsidRDefault="00142F7A" w:rsidP="00142F7A">
      <w:pPr>
        <w:pStyle w:val="List"/>
        <w:spacing w:before="240"/>
        <w:rPr>
          <w:iCs/>
        </w:rPr>
      </w:pPr>
      <w:r w:rsidRPr="0013396E">
        <w:rPr>
          <w:iCs/>
        </w:rPr>
        <w:t>(b)</w:t>
      </w:r>
      <w:r w:rsidRPr="0013396E">
        <w:rPr>
          <w:iCs/>
        </w:rPr>
        <w:tab/>
        <w:t>For an On-Line Combined Cycle Train, the weight factor for each generation unit registered in an On-Line Combined Cycle Generation Resource shall be the Real-Time power output telemetry in each SCED interval for each generation unit registered in the Combined Cycle Generation Resource divided by the total Real-Time power output telemetry for all of the generation units registered in the Combined Cycle Generation Resource.  For an Off-Line Combined Cycle Train, the weight factor for each generation unit designated in a Combined Cycle Train registration shall be its High Reasonability Limit (HRL) divided by the total sum of the HRL for all generation units registered in the Combined Cycle Train.</w:t>
      </w:r>
    </w:p>
    <w:p w14:paraId="2B9635EB" w14:textId="77777777" w:rsidR="00142F7A" w:rsidRPr="0013396E" w:rsidRDefault="00142F7A" w:rsidP="00142F7A">
      <w:pPr>
        <w:pStyle w:val="BodyText"/>
        <w:ind w:left="1440"/>
      </w:pPr>
      <w:r w:rsidRPr="0013396E">
        <w:rPr>
          <w:iCs w:val="0"/>
        </w:rPr>
        <w:t>Where:</w:t>
      </w:r>
    </w:p>
    <w:p w14:paraId="3C9F34D7" w14:textId="77777777" w:rsidR="00142F7A" w:rsidRPr="0013396E" w:rsidRDefault="00142F7A" w:rsidP="00142F7A">
      <w:pPr>
        <w:spacing w:after="240"/>
        <w:ind w:left="720" w:firstLine="720"/>
        <w:rPr>
          <w:b/>
        </w:rPr>
      </w:pPr>
      <w:r w:rsidRPr="0013396E">
        <w:rPr>
          <w:b/>
        </w:rPr>
        <w:t xml:space="preserve">RTONCCGRWF </w:t>
      </w:r>
      <w:r w:rsidRPr="0013396E">
        <w:rPr>
          <w:b/>
          <w:i/>
          <w:vertAlign w:val="subscript"/>
        </w:rPr>
        <w:t>CCGR_PhyR, y</w:t>
      </w:r>
      <w:r w:rsidRPr="0013396E">
        <w:rPr>
          <w:b/>
        </w:rPr>
        <w:t xml:space="preserve"> = TG </w:t>
      </w:r>
      <w:r w:rsidRPr="0013396E">
        <w:rPr>
          <w:b/>
          <w:i/>
          <w:vertAlign w:val="subscript"/>
        </w:rPr>
        <w:t>CCGR_PhyR</w:t>
      </w:r>
      <w:r w:rsidRPr="0013396E">
        <w:rPr>
          <w:b/>
        </w:rPr>
        <w:t xml:space="preserve"> / ∑</w:t>
      </w:r>
      <w:r w:rsidRPr="0013396E">
        <w:rPr>
          <w:b/>
          <w:i/>
          <w:vertAlign w:val="subscript"/>
        </w:rPr>
        <w:t>CCGR_PhyR</w:t>
      </w:r>
      <w:r w:rsidRPr="0013396E">
        <w:rPr>
          <w:b/>
        </w:rPr>
        <w:t xml:space="preserve"> TG </w:t>
      </w:r>
      <w:r w:rsidRPr="0013396E">
        <w:rPr>
          <w:b/>
          <w:i/>
          <w:vertAlign w:val="subscript"/>
        </w:rPr>
        <w:t>CCGR_PhyR</w:t>
      </w:r>
    </w:p>
    <w:p w14:paraId="42BAE5FC" w14:textId="77777777" w:rsidR="00142F7A" w:rsidRPr="0013396E" w:rsidRDefault="00142F7A" w:rsidP="00142F7A">
      <w:pPr>
        <w:spacing w:after="240"/>
        <w:ind w:left="720" w:firstLine="720"/>
        <w:rPr>
          <w:b/>
        </w:rPr>
      </w:pPr>
      <w:r w:rsidRPr="0013396E">
        <w:rPr>
          <w:b/>
        </w:rPr>
        <w:t xml:space="preserve">RTOFFCCGRWF </w:t>
      </w:r>
      <w:r w:rsidRPr="0013396E">
        <w:rPr>
          <w:b/>
          <w:i/>
          <w:vertAlign w:val="subscript"/>
        </w:rPr>
        <w:t>CCT_PhyR, y</w:t>
      </w:r>
      <w:r w:rsidRPr="0013396E">
        <w:rPr>
          <w:b/>
        </w:rPr>
        <w:t xml:space="preserve"> = HRL </w:t>
      </w:r>
      <w:r w:rsidRPr="0013396E">
        <w:rPr>
          <w:b/>
          <w:i/>
          <w:vertAlign w:val="subscript"/>
        </w:rPr>
        <w:t>CCT_PhyR</w:t>
      </w:r>
      <w:r w:rsidRPr="0013396E">
        <w:rPr>
          <w:b/>
        </w:rPr>
        <w:t xml:space="preserve"> / ∑</w:t>
      </w:r>
      <w:r w:rsidRPr="0013396E">
        <w:rPr>
          <w:b/>
          <w:i/>
          <w:vertAlign w:val="subscript"/>
        </w:rPr>
        <w:t>CCT_PhyR</w:t>
      </w:r>
      <w:r w:rsidRPr="0013396E">
        <w:rPr>
          <w:b/>
        </w:rPr>
        <w:t xml:space="preserve"> HRL </w:t>
      </w:r>
      <w:r w:rsidRPr="0013396E">
        <w:rPr>
          <w:b/>
          <w:i/>
          <w:vertAlign w:val="subscript"/>
        </w:rPr>
        <w:t>CCT_PhyR</w:t>
      </w:r>
    </w:p>
    <w:p w14:paraId="1715D223" w14:textId="77777777" w:rsidR="00142F7A" w:rsidRPr="0013396E" w:rsidRDefault="00142F7A" w:rsidP="00142F7A">
      <w:pPr>
        <w:rPr>
          <w:b/>
        </w:rPr>
      </w:pPr>
      <w:r w:rsidRPr="0013396E">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5"/>
        <w:gridCol w:w="820"/>
        <w:gridCol w:w="6025"/>
      </w:tblGrid>
      <w:tr w:rsidR="00142F7A" w:rsidRPr="0013396E" w14:paraId="5075B2F9" w14:textId="77777777" w:rsidTr="00142F7A">
        <w:tc>
          <w:tcPr>
            <w:tcW w:w="2505" w:type="dxa"/>
          </w:tcPr>
          <w:p w14:paraId="3B2B372C" w14:textId="77777777" w:rsidR="00142F7A" w:rsidRPr="0013396E" w:rsidRDefault="00142F7A" w:rsidP="00F12CF4">
            <w:pPr>
              <w:spacing w:after="120"/>
              <w:rPr>
                <w:b/>
              </w:rPr>
            </w:pPr>
            <w:r w:rsidRPr="0013396E">
              <w:rPr>
                <w:b/>
                <w:iCs/>
                <w:sz w:val="20"/>
              </w:rPr>
              <w:t>Variable</w:t>
            </w:r>
          </w:p>
        </w:tc>
        <w:tc>
          <w:tcPr>
            <w:tcW w:w="820" w:type="dxa"/>
          </w:tcPr>
          <w:p w14:paraId="03F05E24" w14:textId="77777777" w:rsidR="00142F7A" w:rsidRPr="0013396E" w:rsidRDefault="00142F7A" w:rsidP="00F12CF4">
            <w:pPr>
              <w:spacing w:after="120"/>
              <w:rPr>
                <w:b/>
              </w:rPr>
            </w:pPr>
            <w:r w:rsidRPr="0013396E">
              <w:rPr>
                <w:b/>
                <w:iCs/>
                <w:sz w:val="20"/>
              </w:rPr>
              <w:t>Unit</w:t>
            </w:r>
          </w:p>
        </w:tc>
        <w:tc>
          <w:tcPr>
            <w:tcW w:w="6025" w:type="dxa"/>
          </w:tcPr>
          <w:p w14:paraId="375845AC" w14:textId="77777777" w:rsidR="00142F7A" w:rsidRPr="0013396E" w:rsidRDefault="00142F7A" w:rsidP="00F12CF4">
            <w:pPr>
              <w:spacing w:after="120"/>
              <w:rPr>
                <w:b/>
              </w:rPr>
            </w:pPr>
            <w:r w:rsidRPr="0013396E">
              <w:rPr>
                <w:b/>
                <w:iCs/>
                <w:sz w:val="20"/>
              </w:rPr>
              <w:t>Definition</w:t>
            </w:r>
          </w:p>
        </w:tc>
      </w:tr>
      <w:tr w:rsidR="00142F7A" w:rsidRPr="0013396E" w14:paraId="5874FA94" w14:textId="77777777" w:rsidTr="00142F7A">
        <w:tc>
          <w:tcPr>
            <w:tcW w:w="2505" w:type="dxa"/>
            <w:tcBorders>
              <w:bottom w:val="single" w:sz="4" w:space="0" w:color="auto"/>
            </w:tcBorders>
          </w:tcPr>
          <w:p w14:paraId="4E5FCBFA" w14:textId="77777777" w:rsidR="00142F7A" w:rsidRPr="0013396E" w:rsidRDefault="00142F7A" w:rsidP="00F12CF4">
            <w:pPr>
              <w:rPr>
                <w:i/>
                <w:sz w:val="20"/>
                <w:vertAlign w:val="subscript"/>
              </w:rPr>
            </w:pPr>
            <w:r w:rsidRPr="0013396E">
              <w:rPr>
                <w:sz w:val="20"/>
              </w:rPr>
              <w:t xml:space="preserve">RTONCCGRWF </w:t>
            </w:r>
            <w:r w:rsidRPr="0013396E">
              <w:rPr>
                <w:i/>
                <w:sz w:val="20"/>
                <w:vertAlign w:val="subscript"/>
              </w:rPr>
              <w:t>CCGR_PhyR, y</w:t>
            </w:r>
          </w:p>
        </w:tc>
        <w:tc>
          <w:tcPr>
            <w:tcW w:w="820" w:type="dxa"/>
            <w:tcBorders>
              <w:bottom w:val="single" w:sz="4" w:space="0" w:color="auto"/>
            </w:tcBorders>
          </w:tcPr>
          <w:p w14:paraId="4C2127A3" w14:textId="77777777" w:rsidR="00142F7A" w:rsidRPr="0013396E" w:rsidRDefault="00142F7A" w:rsidP="00F12CF4">
            <w:pPr>
              <w:rPr>
                <w:sz w:val="20"/>
              </w:rPr>
            </w:pPr>
            <w:r w:rsidRPr="0013396E">
              <w:rPr>
                <w:sz w:val="20"/>
              </w:rPr>
              <w:t>none</w:t>
            </w:r>
          </w:p>
        </w:tc>
        <w:tc>
          <w:tcPr>
            <w:tcW w:w="6025" w:type="dxa"/>
            <w:tcBorders>
              <w:bottom w:val="single" w:sz="4" w:space="0" w:color="auto"/>
            </w:tcBorders>
          </w:tcPr>
          <w:p w14:paraId="2EFA6EAF" w14:textId="77777777" w:rsidR="00142F7A" w:rsidRPr="0013396E" w:rsidRDefault="00142F7A" w:rsidP="00C43DB8">
            <w:pPr>
              <w:spacing w:after="60"/>
              <w:rPr>
                <w:sz w:val="20"/>
              </w:rPr>
            </w:pPr>
            <w:r w:rsidRPr="0013396E">
              <w:rPr>
                <w:i/>
                <w:sz w:val="20"/>
              </w:rPr>
              <w:t>Real-Time On-Line Combined Cycle Generation Resource Weighting Factor</w:t>
            </w:r>
            <w:r w:rsidRPr="0013396E">
              <w:rPr>
                <w:iCs/>
                <w:sz w:val="20"/>
              </w:rPr>
              <w:sym w:font="Symbol" w:char="F0BE"/>
            </w:r>
            <w:r w:rsidRPr="0013396E">
              <w:rPr>
                <w:sz w:val="20"/>
              </w:rPr>
              <w:t>The Real Time Combined Cycle Generation Resource weighting factor for a generation unit designated in a Combined Cycle Train registration for the On-Line Combined Cycle Generation Resource for the SCED interval</w:t>
            </w:r>
            <w:r w:rsidRPr="0013396E">
              <w:rPr>
                <w:i/>
                <w:sz w:val="20"/>
              </w:rPr>
              <w:t xml:space="preserve"> y</w:t>
            </w:r>
            <w:r w:rsidRPr="0013396E">
              <w:rPr>
                <w:sz w:val="20"/>
              </w:rPr>
              <w:t>.</w:t>
            </w:r>
          </w:p>
        </w:tc>
      </w:tr>
      <w:tr w:rsidR="00142F7A" w:rsidRPr="0013396E" w14:paraId="20841154" w14:textId="77777777" w:rsidTr="00142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1ABDD2CA" w14:textId="77777777" w:rsidR="00142F7A" w:rsidRPr="0013396E" w:rsidRDefault="00142F7A" w:rsidP="00F12CF4">
            <w:pPr>
              <w:rPr>
                <w:i/>
                <w:sz w:val="20"/>
                <w:vertAlign w:val="subscript"/>
              </w:rPr>
            </w:pPr>
            <w:r w:rsidRPr="0013396E">
              <w:rPr>
                <w:sz w:val="20"/>
              </w:rPr>
              <w:t xml:space="preserve">TG </w:t>
            </w:r>
            <w:r w:rsidRPr="0013396E">
              <w:rPr>
                <w:i/>
                <w:sz w:val="20"/>
                <w:vertAlign w:val="subscript"/>
              </w:rPr>
              <w:t>CCGR_PhyR, y</w:t>
            </w:r>
          </w:p>
        </w:tc>
        <w:tc>
          <w:tcPr>
            <w:tcW w:w="820" w:type="dxa"/>
            <w:tcBorders>
              <w:top w:val="single" w:sz="4" w:space="0" w:color="auto"/>
              <w:left w:val="single" w:sz="4" w:space="0" w:color="auto"/>
              <w:bottom w:val="single" w:sz="4" w:space="0" w:color="auto"/>
              <w:right w:val="single" w:sz="4" w:space="0" w:color="auto"/>
            </w:tcBorders>
          </w:tcPr>
          <w:p w14:paraId="7F4C4CBF" w14:textId="77777777" w:rsidR="00142F7A" w:rsidRPr="0013396E" w:rsidRDefault="00142F7A" w:rsidP="00F12CF4">
            <w:pPr>
              <w:rPr>
                <w:sz w:val="20"/>
              </w:rPr>
            </w:pPr>
            <w:r w:rsidRPr="0013396E">
              <w:rPr>
                <w:sz w:val="20"/>
              </w:rPr>
              <w:t>MW</w:t>
            </w:r>
          </w:p>
        </w:tc>
        <w:tc>
          <w:tcPr>
            <w:tcW w:w="6025" w:type="dxa"/>
            <w:tcBorders>
              <w:top w:val="single" w:sz="4" w:space="0" w:color="auto"/>
              <w:left w:val="single" w:sz="4" w:space="0" w:color="auto"/>
              <w:bottom w:val="single" w:sz="4" w:space="0" w:color="auto"/>
              <w:right w:val="single" w:sz="4" w:space="0" w:color="auto"/>
            </w:tcBorders>
          </w:tcPr>
          <w:p w14:paraId="2D293286" w14:textId="77777777" w:rsidR="00142F7A" w:rsidRPr="0013396E" w:rsidRDefault="00142F7A" w:rsidP="00C43DB8">
            <w:pPr>
              <w:spacing w:after="60"/>
              <w:rPr>
                <w:sz w:val="20"/>
              </w:rPr>
            </w:pPr>
            <w:r w:rsidRPr="0013396E">
              <w:rPr>
                <w:i/>
                <w:sz w:val="20"/>
              </w:rPr>
              <w:t>Telemetered Generation for a Combined Cycle Generation Resource generation unit</w:t>
            </w:r>
            <w:r w:rsidRPr="0013396E">
              <w:rPr>
                <w:iCs/>
                <w:sz w:val="20"/>
              </w:rPr>
              <w:sym w:font="Symbol" w:char="F0BE"/>
            </w:r>
            <w:r w:rsidRPr="0013396E">
              <w:rPr>
                <w:sz w:val="20"/>
              </w:rPr>
              <w:t>The telemetered Real-Time power generation for a generation unit designated in a Combined Cycle Train registration for the On-Line Combined Cycle Generation Resource at the time of State Estimator execution for the SCED interval</w:t>
            </w:r>
            <w:r w:rsidRPr="0013396E">
              <w:rPr>
                <w:i/>
                <w:sz w:val="20"/>
              </w:rPr>
              <w:t xml:space="preserve"> y</w:t>
            </w:r>
            <w:r w:rsidRPr="0013396E">
              <w:rPr>
                <w:sz w:val="20"/>
              </w:rPr>
              <w:t>.</w:t>
            </w:r>
          </w:p>
        </w:tc>
      </w:tr>
      <w:tr w:rsidR="00142F7A" w:rsidRPr="0013396E" w14:paraId="20D912DC" w14:textId="77777777" w:rsidTr="00142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05998468" w14:textId="467DEAD3" w:rsidR="00142F7A" w:rsidRPr="0013396E" w:rsidRDefault="00142F7A" w:rsidP="00F12CF4">
            <w:pPr>
              <w:rPr>
                <w:sz w:val="20"/>
              </w:rPr>
            </w:pPr>
            <w:r w:rsidRPr="0013396E">
              <w:rPr>
                <w:sz w:val="20"/>
              </w:rPr>
              <w:t xml:space="preserve">RTOFFCCGRWF </w:t>
            </w:r>
            <w:r w:rsidRPr="0013396E">
              <w:rPr>
                <w:i/>
                <w:sz w:val="20"/>
                <w:vertAlign w:val="subscript"/>
              </w:rPr>
              <w:t>CCT_PhyR, y</w:t>
            </w:r>
          </w:p>
        </w:tc>
        <w:tc>
          <w:tcPr>
            <w:tcW w:w="820" w:type="dxa"/>
            <w:tcBorders>
              <w:top w:val="single" w:sz="4" w:space="0" w:color="auto"/>
              <w:left w:val="single" w:sz="4" w:space="0" w:color="auto"/>
              <w:bottom w:val="single" w:sz="4" w:space="0" w:color="auto"/>
              <w:right w:val="single" w:sz="4" w:space="0" w:color="auto"/>
            </w:tcBorders>
          </w:tcPr>
          <w:p w14:paraId="6D7948CB" w14:textId="77777777" w:rsidR="00142F7A" w:rsidRPr="0013396E" w:rsidRDefault="00142F7A" w:rsidP="00F12CF4">
            <w:pPr>
              <w:rPr>
                <w:sz w:val="20"/>
              </w:rPr>
            </w:pPr>
            <w:r w:rsidRPr="0013396E">
              <w:rPr>
                <w:sz w:val="20"/>
              </w:rPr>
              <w:t>none</w:t>
            </w:r>
          </w:p>
        </w:tc>
        <w:tc>
          <w:tcPr>
            <w:tcW w:w="6025" w:type="dxa"/>
            <w:tcBorders>
              <w:top w:val="single" w:sz="4" w:space="0" w:color="auto"/>
              <w:left w:val="single" w:sz="4" w:space="0" w:color="auto"/>
              <w:bottom w:val="single" w:sz="4" w:space="0" w:color="auto"/>
              <w:right w:val="single" w:sz="4" w:space="0" w:color="auto"/>
            </w:tcBorders>
          </w:tcPr>
          <w:p w14:paraId="60EA8ABB" w14:textId="77777777" w:rsidR="00142F7A" w:rsidRPr="0013396E" w:rsidRDefault="00142F7A" w:rsidP="00C43DB8">
            <w:pPr>
              <w:spacing w:after="60"/>
              <w:rPr>
                <w:i/>
                <w:sz w:val="20"/>
              </w:rPr>
            </w:pPr>
            <w:r w:rsidRPr="0013396E">
              <w:rPr>
                <w:i/>
                <w:sz w:val="20"/>
              </w:rPr>
              <w:t>Real-Time Off-Line Combined Cycle Generation Resource Weighting Factor</w:t>
            </w:r>
            <w:r w:rsidRPr="0013396E">
              <w:rPr>
                <w:iCs/>
                <w:sz w:val="20"/>
              </w:rPr>
              <w:sym w:font="Symbol" w:char="F0BE"/>
            </w:r>
            <w:r w:rsidRPr="0013396E">
              <w:rPr>
                <w:sz w:val="20"/>
              </w:rPr>
              <w:t>The Real Time Combined Cycle Generation Resource weighting factor for a generation unit designated in a Combined Cycle Train registration when the whole Combined Cycle Train is Off-Line for the SCED interval</w:t>
            </w:r>
            <w:r w:rsidRPr="0013396E">
              <w:rPr>
                <w:i/>
                <w:sz w:val="20"/>
              </w:rPr>
              <w:t xml:space="preserve"> y</w:t>
            </w:r>
            <w:r w:rsidRPr="0013396E">
              <w:rPr>
                <w:sz w:val="20"/>
              </w:rPr>
              <w:t>.</w:t>
            </w:r>
          </w:p>
        </w:tc>
      </w:tr>
      <w:tr w:rsidR="00142F7A" w:rsidRPr="0013396E" w14:paraId="54353B7A" w14:textId="77777777" w:rsidTr="00142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42B53D1E" w14:textId="77777777" w:rsidR="00142F7A" w:rsidRPr="0013396E" w:rsidRDefault="00142F7A" w:rsidP="00F12CF4">
            <w:pPr>
              <w:rPr>
                <w:sz w:val="20"/>
              </w:rPr>
            </w:pPr>
            <w:r w:rsidRPr="0013396E">
              <w:rPr>
                <w:sz w:val="20"/>
              </w:rPr>
              <w:t xml:space="preserve">HRL </w:t>
            </w:r>
            <w:r w:rsidRPr="0013396E">
              <w:rPr>
                <w:i/>
                <w:sz w:val="20"/>
                <w:vertAlign w:val="subscript"/>
              </w:rPr>
              <w:t>CCT_PhyR</w:t>
            </w:r>
          </w:p>
        </w:tc>
        <w:tc>
          <w:tcPr>
            <w:tcW w:w="820" w:type="dxa"/>
            <w:tcBorders>
              <w:top w:val="single" w:sz="4" w:space="0" w:color="auto"/>
              <w:left w:val="single" w:sz="4" w:space="0" w:color="auto"/>
              <w:bottom w:val="single" w:sz="4" w:space="0" w:color="auto"/>
              <w:right w:val="single" w:sz="4" w:space="0" w:color="auto"/>
            </w:tcBorders>
          </w:tcPr>
          <w:p w14:paraId="3DF66E68" w14:textId="77777777" w:rsidR="00142F7A" w:rsidRPr="0013396E" w:rsidRDefault="00142F7A" w:rsidP="00F12CF4">
            <w:pPr>
              <w:rPr>
                <w:sz w:val="20"/>
              </w:rPr>
            </w:pPr>
            <w:r w:rsidRPr="0013396E">
              <w:rPr>
                <w:sz w:val="20"/>
              </w:rPr>
              <w:t>MW</w:t>
            </w:r>
          </w:p>
        </w:tc>
        <w:tc>
          <w:tcPr>
            <w:tcW w:w="6025" w:type="dxa"/>
            <w:tcBorders>
              <w:top w:val="single" w:sz="4" w:space="0" w:color="auto"/>
              <w:left w:val="single" w:sz="4" w:space="0" w:color="auto"/>
              <w:bottom w:val="single" w:sz="4" w:space="0" w:color="auto"/>
              <w:right w:val="single" w:sz="4" w:space="0" w:color="auto"/>
            </w:tcBorders>
          </w:tcPr>
          <w:p w14:paraId="31F662B3" w14:textId="77777777" w:rsidR="00142F7A" w:rsidRPr="0013396E" w:rsidRDefault="00142F7A" w:rsidP="00C43DB8">
            <w:pPr>
              <w:spacing w:after="60"/>
              <w:rPr>
                <w:i/>
                <w:sz w:val="20"/>
              </w:rPr>
            </w:pPr>
            <w:r w:rsidRPr="0013396E">
              <w:rPr>
                <w:i/>
                <w:sz w:val="20"/>
              </w:rPr>
              <w:t>High Reasonability Limit</w:t>
            </w:r>
            <w:r w:rsidRPr="0013396E">
              <w:rPr>
                <w:sz w:val="20"/>
              </w:rPr>
              <w:t>—The HRL as specified in the ERCOT-approved Resource Registration data for a generation unit designated in a Combined Cycle Train registration.</w:t>
            </w:r>
          </w:p>
        </w:tc>
      </w:tr>
      <w:tr w:rsidR="00142F7A" w:rsidRPr="0013396E" w14:paraId="7A969BD9" w14:textId="77777777" w:rsidTr="00142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193797FB" w14:textId="77777777" w:rsidR="00142F7A" w:rsidRPr="0013396E" w:rsidRDefault="00142F7A" w:rsidP="00F12CF4">
            <w:pPr>
              <w:rPr>
                <w:sz w:val="20"/>
              </w:rPr>
            </w:pPr>
            <w:r w:rsidRPr="0013396E">
              <w:rPr>
                <w:i/>
                <w:sz w:val="20"/>
              </w:rPr>
              <w:lastRenderedPageBreak/>
              <w:t>CCGR_PhyR</w:t>
            </w:r>
          </w:p>
        </w:tc>
        <w:tc>
          <w:tcPr>
            <w:tcW w:w="820" w:type="dxa"/>
            <w:tcBorders>
              <w:top w:val="single" w:sz="4" w:space="0" w:color="auto"/>
              <w:left w:val="single" w:sz="4" w:space="0" w:color="auto"/>
              <w:bottom w:val="single" w:sz="4" w:space="0" w:color="auto"/>
              <w:right w:val="single" w:sz="4" w:space="0" w:color="auto"/>
            </w:tcBorders>
          </w:tcPr>
          <w:p w14:paraId="04CE37CD" w14:textId="77777777" w:rsidR="00142F7A" w:rsidRPr="0013396E" w:rsidRDefault="00142F7A" w:rsidP="00F12CF4">
            <w:pPr>
              <w:rPr>
                <w:sz w:val="20"/>
              </w:rPr>
            </w:pPr>
            <w:r w:rsidRPr="0013396E">
              <w:rPr>
                <w:sz w:val="20"/>
              </w:rPr>
              <w:t>none</w:t>
            </w:r>
          </w:p>
        </w:tc>
        <w:tc>
          <w:tcPr>
            <w:tcW w:w="6025" w:type="dxa"/>
            <w:tcBorders>
              <w:top w:val="single" w:sz="4" w:space="0" w:color="auto"/>
              <w:left w:val="single" w:sz="4" w:space="0" w:color="auto"/>
              <w:bottom w:val="single" w:sz="4" w:space="0" w:color="auto"/>
              <w:right w:val="single" w:sz="4" w:space="0" w:color="auto"/>
            </w:tcBorders>
          </w:tcPr>
          <w:p w14:paraId="763F6F1D" w14:textId="77777777" w:rsidR="00142F7A" w:rsidRPr="0013396E" w:rsidRDefault="00142F7A" w:rsidP="00C43DB8">
            <w:pPr>
              <w:spacing w:after="60"/>
              <w:rPr>
                <w:sz w:val="20"/>
              </w:rPr>
            </w:pPr>
            <w:r w:rsidRPr="0013396E">
              <w:rPr>
                <w:sz w:val="20"/>
              </w:rPr>
              <w:t>A generation unit designated in a Combine Cycle Train registration for the On-Line Combined Cycle Generation Resource.</w:t>
            </w:r>
          </w:p>
        </w:tc>
      </w:tr>
      <w:tr w:rsidR="00142F7A" w:rsidRPr="0013396E" w14:paraId="56F2CEBC" w14:textId="77777777" w:rsidTr="00142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7EE5DED2" w14:textId="77777777" w:rsidR="00142F7A" w:rsidRPr="0013396E" w:rsidRDefault="00142F7A" w:rsidP="00F12CF4">
            <w:pPr>
              <w:rPr>
                <w:i/>
                <w:sz w:val="20"/>
              </w:rPr>
            </w:pPr>
            <w:r w:rsidRPr="0013396E">
              <w:rPr>
                <w:i/>
                <w:sz w:val="20"/>
              </w:rPr>
              <w:t>CCT_PhyR</w:t>
            </w:r>
          </w:p>
        </w:tc>
        <w:tc>
          <w:tcPr>
            <w:tcW w:w="820" w:type="dxa"/>
            <w:tcBorders>
              <w:top w:val="single" w:sz="4" w:space="0" w:color="auto"/>
              <w:left w:val="single" w:sz="4" w:space="0" w:color="auto"/>
              <w:bottom w:val="single" w:sz="4" w:space="0" w:color="auto"/>
              <w:right w:val="single" w:sz="4" w:space="0" w:color="auto"/>
            </w:tcBorders>
          </w:tcPr>
          <w:p w14:paraId="53A21C64" w14:textId="77777777" w:rsidR="00142F7A" w:rsidRPr="0013396E" w:rsidRDefault="00142F7A" w:rsidP="00F12CF4">
            <w:pPr>
              <w:rPr>
                <w:sz w:val="20"/>
              </w:rPr>
            </w:pPr>
            <w:r w:rsidRPr="0013396E">
              <w:rPr>
                <w:sz w:val="20"/>
              </w:rPr>
              <w:t>none</w:t>
            </w:r>
          </w:p>
        </w:tc>
        <w:tc>
          <w:tcPr>
            <w:tcW w:w="6025" w:type="dxa"/>
            <w:tcBorders>
              <w:top w:val="single" w:sz="4" w:space="0" w:color="auto"/>
              <w:left w:val="single" w:sz="4" w:space="0" w:color="auto"/>
              <w:bottom w:val="single" w:sz="4" w:space="0" w:color="auto"/>
              <w:right w:val="single" w:sz="4" w:space="0" w:color="auto"/>
            </w:tcBorders>
          </w:tcPr>
          <w:p w14:paraId="0D281D25" w14:textId="77777777" w:rsidR="00142F7A" w:rsidRPr="0013396E" w:rsidRDefault="00142F7A" w:rsidP="00C43DB8">
            <w:pPr>
              <w:spacing w:after="60"/>
              <w:rPr>
                <w:sz w:val="20"/>
              </w:rPr>
            </w:pPr>
            <w:r w:rsidRPr="0013396E">
              <w:rPr>
                <w:sz w:val="20"/>
              </w:rPr>
              <w:t xml:space="preserve">A generation unit designated in a Combine Cycle Train registration. </w:t>
            </w:r>
          </w:p>
        </w:tc>
      </w:tr>
      <w:tr w:rsidR="00142F7A" w:rsidRPr="0013396E" w14:paraId="2105A122" w14:textId="77777777" w:rsidTr="00142F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3BF1E846" w14:textId="77777777" w:rsidR="00142F7A" w:rsidRPr="0013396E" w:rsidRDefault="00142F7A" w:rsidP="00F12CF4">
            <w:pPr>
              <w:rPr>
                <w:i/>
                <w:sz w:val="20"/>
              </w:rPr>
            </w:pPr>
            <w:r w:rsidRPr="0013396E">
              <w:rPr>
                <w:i/>
                <w:sz w:val="20"/>
              </w:rPr>
              <w:t>y</w:t>
            </w:r>
          </w:p>
        </w:tc>
        <w:tc>
          <w:tcPr>
            <w:tcW w:w="820" w:type="dxa"/>
            <w:tcBorders>
              <w:top w:val="single" w:sz="4" w:space="0" w:color="auto"/>
              <w:left w:val="single" w:sz="4" w:space="0" w:color="auto"/>
              <w:bottom w:val="single" w:sz="4" w:space="0" w:color="auto"/>
              <w:right w:val="single" w:sz="4" w:space="0" w:color="auto"/>
            </w:tcBorders>
          </w:tcPr>
          <w:p w14:paraId="4A68A770" w14:textId="77777777" w:rsidR="00142F7A" w:rsidRPr="0013396E" w:rsidRDefault="00142F7A" w:rsidP="00F12CF4">
            <w:pPr>
              <w:rPr>
                <w:sz w:val="20"/>
              </w:rPr>
            </w:pPr>
            <w:r w:rsidRPr="0013396E">
              <w:rPr>
                <w:sz w:val="20"/>
              </w:rPr>
              <w:t>none</w:t>
            </w:r>
          </w:p>
        </w:tc>
        <w:tc>
          <w:tcPr>
            <w:tcW w:w="6025" w:type="dxa"/>
            <w:tcBorders>
              <w:top w:val="single" w:sz="4" w:space="0" w:color="auto"/>
              <w:left w:val="single" w:sz="4" w:space="0" w:color="auto"/>
              <w:bottom w:val="single" w:sz="4" w:space="0" w:color="auto"/>
              <w:right w:val="single" w:sz="4" w:space="0" w:color="auto"/>
            </w:tcBorders>
          </w:tcPr>
          <w:p w14:paraId="2BEC3DA5" w14:textId="77777777" w:rsidR="00142F7A" w:rsidRPr="0013396E" w:rsidRDefault="00142F7A" w:rsidP="00C43DB8">
            <w:pPr>
              <w:spacing w:after="60"/>
              <w:rPr>
                <w:sz w:val="20"/>
              </w:rPr>
            </w:pPr>
            <w:r w:rsidRPr="0013396E">
              <w:rPr>
                <w:sz w:val="20"/>
              </w:rPr>
              <w:t xml:space="preserve">A SCED interval in the 15-minute Settlement Interval. </w:t>
            </w:r>
          </w:p>
        </w:tc>
      </w:tr>
    </w:tbl>
    <w:p w14:paraId="7149AC09" w14:textId="77777777" w:rsidR="001F04FD" w:rsidRPr="0013396E" w:rsidRDefault="001F04FD" w:rsidP="001F04FD">
      <w:pPr>
        <w:pStyle w:val="H4"/>
        <w:spacing w:before="480"/>
        <w:ind w:left="1267" w:hanging="1267"/>
      </w:pPr>
      <w:bookmarkStart w:id="1384" w:name="_Toc397505003"/>
      <w:bookmarkStart w:id="1385" w:name="_Toc402357131"/>
      <w:bookmarkStart w:id="1386" w:name="_Toc422486510"/>
      <w:bookmarkStart w:id="1387" w:name="_Toc433093362"/>
      <w:bookmarkStart w:id="1388" w:name="_Toc433093520"/>
      <w:bookmarkStart w:id="1389" w:name="_Toc440874748"/>
      <w:bookmarkStart w:id="1390" w:name="_Toc448142303"/>
      <w:bookmarkStart w:id="1391" w:name="_Toc448142460"/>
      <w:bookmarkStart w:id="1392" w:name="_Toc458770297"/>
      <w:bookmarkStart w:id="1393" w:name="_Toc459294265"/>
      <w:bookmarkStart w:id="1394" w:name="_Toc463262758"/>
      <w:bookmarkStart w:id="1395" w:name="_Toc468286831"/>
      <w:bookmarkStart w:id="1396" w:name="_Toc481502877"/>
      <w:bookmarkStart w:id="1397" w:name="_Toc496080045"/>
      <w:bookmarkStart w:id="1398" w:name="_Toc236220159"/>
      <w:bookmarkStart w:id="1399" w:name="_Toc103653333"/>
      <w:bookmarkStart w:id="1400" w:name="_Toc109009382"/>
      <w:r w:rsidRPr="0013396E">
        <w:t>6.6.1.2</w:t>
      </w:r>
      <w:r w:rsidRPr="0013396E">
        <w:tab/>
        <w:t>Real-Time Settlement Point Price for a Load Zone</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14:paraId="4BC6BF5A" w14:textId="77777777" w:rsidR="00636C61" w:rsidRPr="0013396E" w:rsidRDefault="00636C61" w:rsidP="00636C61">
      <w:pPr>
        <w:spacing w:after="240"/>
        <w:ind w:left="720" w:hanging="720"/>
        <w:rPr>
          <w:iCs/>
        </w:rPr>
      </w:pPr>
      <w:r w:rsidRPr="0013396E">
        <w:rPr>
          <w:iCs/>
        </w:rPr>
        <w:t>(1)</w:t>
      </w:r>
      <w:r w:rsidRPr="0013396E">
        <w:rPr>
          <w:iCs/>
        </w:rPr>
        <w:tab/>
        <w:t>The Real-Time Settlement Point Price for a Load Zone Settlement Point is based on the state-estimated Load in MW and the time-weighted average Real-Time LMPs at Electrical Buses that are included in the Load Zone.  The Real-Time Settlement Point Price for a Load Zone Settlement Point for a 15-minute Settlement Interval is calculated as follows:</w:t>
      </w:r>
    </w:p>
    <w:p w14:paraId="22A7B052" w14:textId="77777777" w:rsidR="00636C61" w:rsidRPr="0013396E" w:rsidRDefault="00636C61" w:rsidP="00636C61">
      <w:pPr>
        <w:tabs>
          <w:tab w:val="left" w:pos="2250"/>
          <w:tab w:val="left" w:pos="3150"/>
          <w:tab w:val="left" w:pos="3960"/>
        </w:tabs>
        <w:spacing w:after="240"/>
        <w:ind w:left="3960" w:hanging="3240"/>
        <w:rPr>
          <w:b/>
          <w:bCs/>
          <w:lang w:val="es-MX"/>
        </w:rPr>
      </w:pPr>
      <w:r w:rsidRPr="0013396E">
        <w:rPr>
          <w:b/>
          <w:bCs/>
          <w:lang w:val="es-MX"/>
        </w:rPr>
        <w:t>RTSPP</w:t>
      </w:r>
      <w:r w:rsidRPr="0013396E">
        <w:rPr>
          <w:b/>
          <w:bCs/>
          <w:lang w:val="es-MX"/>
        </w:rPr>
        <w:tab/>
        <w:t>=</w:t>
      </w:r>
      <w:r w:rsidRPr="0013396E">
        <w:rPr>
          <w:b/>
          <w:bCs/>
          <w:lang w:val="es-MX"/>
        </w:rPr>
        <w:tab/>
      </w:r>
      <w:r w:rsidRPr="0013396E">
        <w:rPr>
          <w:b/>
          <w:bCs/>
        </w:rPr>
        <w:t>Max (-$251, (</w:t>
      </w:r>
      <w:r w:rsidRPr="0013396E">
        <w:rPr>
          <w:b/>
          <w:bCs/>
          <w:lang w:val="es-MX"/>
        </w:rPr>
        <w:t>(</w:t>
      </w:r>
      <w:r w:rsidRPr="0013396E">
        <w:rPr>
          <w:b/>
          <w:bCs/>
          <w:position w:val="-22"/>
        </w:rPr>
        <w:object w:dxaOrig="225" w:dyaOrig="450" w14:anchorId="21BAF281">
          <v:shape id="_x0000_i1029" type="#_x0000_t75" style="width:12pt;height:24pt" o:ole="">
            <v:imagedata r:id="rId22" o:title=""/>
          </v:shape>
          <o:OLEObject Type="Embed" ProgID="Equation.3" ShapeID="_x0000_i1029" DrawAspect="Content" ObjectID="_1849065660" r:id="rId23"/>
        </w:object>
      </w:r>
      <w:r w:rsidRPr="0013396E">
        <w:rPr>
          <w:b/>
          <w:bCs/>
          <w:lang w:val="es-MX"/>
        </w:rPr>
        <w:t xml:space="preserve">TLMP </w:t>
      </w:r>
      <w:r w:rsidRPr="0013396E">
        <w:rPr>
          <w:b/>
          <w:bCs/>
          <w:i/>
          <w:vertAlign w:val="subscript"/>
          <w:lang w:val="es-MX"/>
        </w:rPr>
        <w:t>y</w:t>
      </w:r>
      <w:r w:rsidRPr="0013396E">
        <w:rPr>
          <w:b/>
          <w:bCs/>
          <w:lang w:val="es-MX"/>
        </w:rPr>
        <w:t xml:space="preserve"> * LZLMP </w:t>
      </w:r>
      <w:r w:rsidRPr="0013396E">
        <w:rPr>
          <w:b/>
          <w:bCs/>
          <w:i/>
          <w:vertAlign w:val="subscript"/>
          <w:lang w:val="es-MX"/>
        </w:rPr>
        <w:t>y</w:t>
      </w:r>
      <w:r w:rsidRPr="0013396E">
        <w:rPr>
          <w:b/>
          <w:bCs/>
          <w:lang w:val="es-MX"/>
        </w:rPr>
        <w:t xml:space="preserve">) / </w:t>
      </w:r>
      <w:r w:rsidRPr="0013396E">
        <w:rPr>
          <w:b/>
          <w:bCs/>
          <w:position w:val="-22"/>
        </w:rPr>
        <w:object w:dxaOrig="225" w:dyaOrig="450" w14:anchorId="1BF5FABC">
          <v:shape id="_x0000_i1030" type="#_x0000_t75" style="width:12pt;height:24pt" o:ole="">
            <v:imagedata r:id="rId24" o:title=""/>
          </v:shape>
          <o:OLEObject Type="Embed" ProgID="Equation.3" ShapeID="_x0000_i1030" DrawAspect="Content" ObjectID="_1849065661" r:id="rId25"/>
        </w:object>
      </w:r>
      <w:r w:rsidRPr="0013396E">
        <w:rPr>
          <w:b/>
          <w:bCs/>
          <w:lang w:val="es-MX"/>
        </w:rPr>
        <w:t>TLMP</w:t>
      </w:r>
      <w:r w:rsidRPr="0013396E">
        <w:rPr>
          <w:b/>
          <w:bCs/>
          <w:vertAlign w:val="subscript"/>
          <w:lang w:val="es-MX"/>
        </w:rPr>
        <w:t xml:space="preserve"> </w:t>
      </w:r>
      <w:r w:rsidRPr="0013396E">
        <w:rPr>
          <w:b/>
          <w:bCs/>
          <w:i/>
          <w:vertAlign w:val="subscript"/>
          <w:lang w:val="es-MX"/>
        </w:rPr>
        <w:t>y</w:t>
      </w:r>
      <w:r w:rsidRPr="0013396E">
        <w:rPr>
          <w:b/>
          <w:bCs/>
        </w:rPr>
        <w:t>) + RTRDP)</w:t>
      </w:r>
      <w:r w:rsidRPr="0013396E">
        <w:rPr>
          <w:b/>
          <w:bCs/>
          <w:lang w:val="es-MX"/>
        </w:rPr>
        <w:t xml:space="preserve"> </w:t>
      </w:r>
    </w:p>
    <w:p w14:paraId="1623FE5A" w14:textId="77777777" w:rsidR="00636C61" w:rsidRPr="0013396E" w:rsidRDefault="00636C61" w:rsidP="00636C61">
      <w:pPr>
        <w:spacing w:after="240"/>
        <w:ind w:left="720" w:hanging="720"/>
        <w:rPr>
          <w:iCs/>
        </w:rPr>
      </w:pPr>
      <w:r w:rsidRPr="0013396E">
        <w:rPr>
          <w:iCs/>
        </w:rPr>
        <w:t xml:space="preserve">For all Load Zones except Direct Current Tie (DC Tie) Load Zones: </w:t>
      </w:r>
    </w:p>
    <w:p w14:paraId="7DE17DE3" w14:textId="77777777" w:rsidR="00636C61" w:rsidRPr="0013396E" w:rsidRDefault="00636C61" w:rsidP="00636C61">
      <w:pPr>
        <w:tabs>
          <w:tab w:val="left" w:pos="2160"/>
          <w:tab w:val="left" w:pos="2880"/>
        </w:tabs>
        <w:spacing w:after="240"/>
        <w:ind w:leftChars="300" w:left="2880" w:hangingChars="900" w:hanging="2160"/>
        <w:rPr>
          <w:bCs/>
          <w:lang w:val="es-MX"/>
        </w:rPr>
      </w:pPr>
      <w:r w:rsidRPr="0013396E">
        <w:rPr>
          <w:bCs/>
          <w:lang w:val="es-MX"/>
        </w:rPr>
        <w:t xml:space="preserve">LZLMP </w:t>
      </w:r>
      <w:r w:rsidRPr="0013396E">
        <w:rPr>
          <w:bCs/>
          <w:i/>
          <w:vertAlign w:val="subscript"/>
          <w:lang w:val="es-MX"/>
        </w:rPr>
        <w:t>y</w:t>
      </w:r>
      <w:r w:rsidRPr="0013396E">
        <w:rPr>
          <w:bCs/>
          <w:lang w:val="es-MX"/>
        </w:rPr>
        <w:tab/>
        <w:t>=</w:t>
      </w:r>
      <w:r w:rsidRPr="0013396E">
        <w:rPr>
          <w:bCs/>
          <w:lang w:val="es-MX"/>
        </w:rPr>
        <w:tab/>
      </w:r>
      <w:r w:rsidRPr="0013396E">
        <w:rPr>
          <w:bCs/>
          <w:position w:val="-20"/>
        </w:rPr>
        <w:object w:dxaOrig="225" w:dyaOrig="420" w14:anchorId="46A0CDCC">
          <v:shape id="_x0000_i1031" type="#_x0000_t75" style="width:12pt;height:29.4pt" o:ole="">
            <v:imagedata r:id="rId26" o:title=""/>
          </v:shape>
          <o:OLEObject Type="Embed" ProgID="Equation.3" ShapeID="_x0000_i1031" DrawAspect="Content" ObjectID="_1849065662" r:id="rId27"/>
        </w:object>
      </w:r>
      <w:r w:rsidRPr="0013396E">
        <w:rPr>
          <w:bCs/>
          <w:lang w:val="es-MX"/>
        </w:rPr>
        <w:t xml:space="preserve"> (RTLMP </w:t>
      </w:r>
      <w:r w:rsidRPr="0013396E">
        <w:rPr>
          <w:bCs/>
          <w:i/>
          <w:vertAlign w:val="subscript"/>
          <w:lang w:val="es-MX"/>
        </w:rPr>
        <w:t>b, y</w:t>
      </w:r>
      <w:r w:rsidRPr="0013396E">
        <w:rPr>
          <w:bCs/>
          <w:lang w:val="es-MX"/>
        </w:rPr>
        <w:t xml:space="preserve"> * SEL</w:t>
      </w:r>
      <w:r w:rsidRPr="0013396E">
        <w:rPr>
          <w:bCs/>
          <w:i/>
          <w:vertAlign w:val="subscript"/>
          <w:lang w:val="es-MX"/>
        </w:rPr>
        <w:t xml:space="preserve"> b, y</w:t>
      </w:r>
      <w:r w:rsidRPr="0013396E">
        <w:rPr>
          <w:bCs/>
          <w:lang w:val="es-MX"/>
        </w:rPr>
        <w:t xml:space="preserve">) / </w:t>
      </w:r>
      <w:r w:rsidRPr="0013396E">
        <w:rPr>
          <w:bCs/>
          <w:position w:val="-20"/>
        </w:rPr>
        <w:object w:dxaOrig="225" w:dyaOrig="420" w14:anchorId="2203DA3C">
          <v:shape id="_x0000_i1032" type="#_x0000_t75" style="width:12pt;height:29.4pt" o:ole="">
            <v:imagedata r:id="rId28" o:title=""/>
          </v:shape>
          <o:OLEObject Type="Embed" ProgID="Equation.3" ShapeID="_x0000_i1032" DrawAspect="Content" ObjectID="_1849065663" r:id="rId29"/>
        </w:object>
      </w:r>
      <w:r w:rsidRPr="0013396E">
        <w:rPr>
          <w:bCs/>
          <w:lang w:val="es-MX"/>
        </w:rPr>
        <w:t>SEL</w:t>
      </w:r>
      <w:r w:rsidRPr="0013396E">
        <w:rPr>
          <w:bCs/>
          <w:vertAlign w:val="subscript"/>
          <w:lang w:val="es-MX"/>
        </w:rPr>
        <w:t xml:space="preserve"> </w:t>
      </w:r>
      <w:r w:rsidRPr="0013396E">
        <w:rPr>
          <w:bCs/>
          <w:i/>
          <w:vertAlign w:val="subscript"/>
          <w:lang w:val="es-MX"/>
        </w:rPr>
        <w:t>b, y</w:t>
      </w:r>
    </w:p>
    <w:p w14:paraId="4EA75A56" w14:textId="77777777" w:rsidR="00636C61" w:rsidRPr="0013396E" w:rsidRDefault="00636C61" w:rsidP="00636C61">
      <w:pPr>
        <w:spacing w:after="240"/>
        <w:rPr>
          <w:iCs/>
        </w:rPr>
      </w:pPr>
      <w:r w:rsidRPr="0013396E">
        <w:rPr>
          <w:iCs/>
        </w:rPr>
        <w:t xml:space="preserve">For a DC Tie Load Zone: </w:t>
      </w:r>
    </w:p>
    <w:p w14:paraId="05416C3D" w14:textId="77777777" w:rsidR="00636C61" w:rsidRPr="0013396E" w:rsidRDefault="00636C61" w:rsidP="00636C61">
      <w:pPr>
        <w:tabs>
          <w:tab w:val="left" w:pos="2160"/>
          <w:tab w:val="left" w:pos="2880"/>
        </w:tabs>
        <w:spacing w:after="240"/>
        <w:ind w:leftChars="300" w:left="2880" w:hangingChars="900" w:hanging="2160"/>
        <w:rPr>
          <w:bCs/>
          <w:lang w:val="es-MX"/>
        </w:rPr>
      </w:pPr>
      <w:r w:rsidRPr="0013396E">
        <w:rPr>
          <w:bCs/>
          <w:lang w:val="es-MX"/>
        </w:rPr>
        <w:t xml:space="preserve">LZLMP </w:t>
      </w:r>
      <w:r w:rsidRPr="0013396E">
        <w:rPr>
          <w:bCs/>
          <w:i/>
          <w:vertAlign w:val="subscript"/>
          <w:lang w:val="es-MX"/>
        </w:rPr>
        <w:t>y</w:t>
      </w:r>
      <w:r w:rsidRPr="0013396E">
        <w:rPr>
          <w:bCs/>
          <w:lang w:val="es-MX"/>
        </w:rPr>
        <w:tab/>
        <w:t>=</w:t>
      </w:r>
      <w:r w:rsidRPr="0013396E">
        <w:rPr>
          <w:bCs/>
          <w:lang w:val="es-MX"/>
        </w:rPr>
        <w:tab/>
        <w:t>RTLMP</w:t>
      </w:r>
      <w:r w:rsidRPr="0013396E">
        <w:rPr>
          <w:bCs/>
          <w:i/>
          <w:vertAlign w:val="subscript"/>
          <w:lang w:val="es-MX"/>
        </w:rPr>
        <w:t xml:space="preserve"> b, y</w:t>
      </w:r>
      <w:r w:rsidRPr="0013396E">
        <w:rPr>
          <w:bCs/>
          <w:lang w:val="es-MX"/>
        </w:rPr>
        <w:t xml:space="preserve"> </w:t>
      </w:r>
    </w:p>
    <w:p w14:paraId="39E20F37" w14:textId="77777777" w:rsidR="00636C61" w:rsidRPr="0013396E" w:rsidRDefault="00636C61" w:rsidP="00636C61">
      <w:pPr>
        <w:spacing w:after="240"/>
        <w:rPr>
          <w:iCs/>
        </w:rPr>
      </w:pPr>
      <w:r w:rsidRPr="0013396E">
        <w:rPr>
          <w:iCs/>
        </w:rPr>
        <w:t>Where:</w:t>
      </w:r>
    </w:p>
    <w:p w14:paraId="306E8D85" w14:textId="77777777" w:rsidR="00636C61" w:rsidRPr="0013396E" w:rsidRDefault="00636C61" w:rsidP="00636C61">
      <w:pPr>
        <w:spacing w:after="240"/>
        <w:ind w:left="720"/>
      </w:pPr>
      <w:r w:rsidRPr="0013396E">
        <w:t>RTRDP =</w:t>
      </w:r>
      <w:r w:rsidRPr="0013396E">
        <w:tab/>
      </w:r>
      <w:r w:rsidRPr="0013396E">
        <w:rPr>
          <w:position w:val="-22"/>
        </w:rPr>
        <w:object w:dxaOrig="225" w:dyaOrig="465" w14:anchorId="08D80272">
          <v:shape id="_x0000_i1033" type="#_x0000_t75" style="width:24pt;height:18.6pt" o:ole="">
            <v:imagedata r:id="rId20" o:title=""/>
          </v:shape>
          <o:OLEObject Type="Embed" ProgID="Equation.3" ShapeID="_x0000_i1033" DrawAspect="Content" ObjectID="_1849065664" r:id="rId30"/>
        </w:object>
      </w:r>
      <w:r w:rsidRPr="0013396E">
        <w:t xml:space="preserve">(RNWF </w:t>
      </w:r>
      <w:r w:rsidRPr="0013396E">
        <w:rPr>
          <w:i/>
          <w:iCs/>
          <w:vertAlign w:val="subscript"/>
        </w:rPr>
        <w:t xml:space="preserve">y </w:t>
      </w:r>
      <w:r w:rsidRPr="0013396E">
        <w:t>* RTRDPA</w:t>
      </w:r>
      <w:r w:rsidRPr="0013396E">
        <w:rPr>
          <w:i/>
          <w:iCs/>
          <w:vertAlign w:val="subscript"/>
        </w:rPr>
        <w:t xml:space="preserve"> y</w:t>
      </w:r>
      <w:r w:rsidRPr="0013396E">
        <w:t>)</w:t>
      </w:r>
    </w:p>
    <w:p w14:paraId="4723F9EF" w14:textId="42BB6F1F" w:rsidR="001F04FD" w:rsidRPr="0013396E" w:rsidRDefault="00636C61" w:rsidP="001F04FD">
      <w:pPr>
        <w:pStyle w:val="Formula"/>
        <w:ind w:left="2880" w:hanging="2160"/>
        <w:rPr>
          <w:lang w:val="es-MX"/>
        </w:rPr>
      </w:pPr>
      <w:r w:rsidRPr="0013396E">
        <w:t xml:space="preserve">RNWF </w:t>
      </w:r>
      <w:r w:rsidRPr="0013396E">
        <w:rPr>
          <w:i/>
          <w:vertAlign w:val="subscript"/>
        </w:rPr>
        <w:t>y</w:t>
      </w:r>
      <w:r w:rsidRPr="0013396E">
        <w:t>=</w:t>
      </w:r>
      <w:r w:rsidRPr="0013396E">
        <w:tab/>
      </w:r>
      <w:r w:rsidRPr="0013396E">
        <w:tab/>
        <w:t xml:space="preserve">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iCs/>
          <w:position w:val="-22"/>
        </w:rPr>
        <w:object w:dxaOrig="225" w:dyaOrig="465" w14:anchorId="61E2904D">
          <v:shape id="_x0000_i1034" type="#_x0000_t75" style="width:24pt;height:18.6pt" o:ole="">
            <v:imagedata r:id="rId20" o:title=""/>
          </v:shape>
          <o:OLEObject Type="Embed" ProgID="Equation.3" ShapeID="_x0000_i1034" DrawAspect="Content" ObjectID="_1849065665" r:id="rId31"/>
        </w:object>
      </w:r>
      <w:r w:rsidRPr="0013396E">
        <w:t xml:space="preserve">TLMP </w:t>
      </w:r>
      <w:r w:rsidRPr="0013396E">
        <w:rPr>
          <w:i/>
          <w:vertAlign w:val="subscript"/>
        </w:rPr>
        <w:t>y</w:t>
      </w:r>
    </w:p>
    <w:p w14:paraId="2C604D4D" w14:textId="77777777" w:rsidR="00636C61" w:rsidRPr="0013396E" w:rsidRDefault="00636C61" w:rsidP="00636C61">
      <w:pPr>
        <w:spacing w:after="240"/>
        <w:ind w:left="720" w:hanging="720"/>
        <w:rPr>
          <w:iCs/>
        </w:rPr>
      </w:pPr>
      <w:r w:rsidRPr="0013396E">
        <w:rPr>
          <w:iCs/>
        </w:rPr>
        <w:t>(2)</w:t>
      </w:r>
      <w:r w:rsidRPr="0013396E">
        <w:rPr>
          <w:iCs/>
        </w:rPr>
        <w:tab/>
        <w:t xml:space="preserve">For all Settlement calculations in which a 15-minute Real-Time Settlement Point Price for a Load Zone is required in order to perform Settlement for a 15-minute quantity that is represented as one value (the integrated value for the 15-minute interval) but varies with each SCED interval within the 15-minute Settlement Interval, an energy-weighted Real-Time Settlement Point Price shall be used and is calculated as follows: </w:t>
      </w:r>
    </w:p>
    <w:p w14:paraId="0582431D" w14:textId="77777777" w:rsidR="00636C61" w:rsidRPr="0013396E" w:rsidRDefault="00636C61" w:rsidP="00636C61">
      <w:pPr>
        <w:spacing w:after="240"/>
        <w:ind w:left="3960" w:hanging="3240"/>
        <w:rPr>
          <w:b/>
          <w:iCs/>
          <w:lang w:val="es-MX"/>
        </w:rPr>
      </w:pPr>
      <w:r w:rsidRPr="0013396E">
        <w:rPr>
          <w:b/>
          <w:iCs/>
          <w:lang w:val="es-MX"/>
        </w:rPr>
        <w:t>RTSPPEW              =</w:t>
      </w:r>
      <w:r w:rsidRPr="0013396E">
        <w:rPr>
          <w:b/>
          <w:iCs/>
          <w:lang w:val="es-MX"/>
        </w:rPr>
        <w:tab/>
      </w:r>
      <w:r w:rsidRPr="0013396E">
        <w:rPr>
          <w:b/>
          <w:iCs/>
        </w:rPr>
        <w:t>Max [-$251, (</w:t>
      </w:r>
      <w:r w:rsidRPr="0013396E">
        <w:rPr>
          <w:b/>
          <w:iCs/>
          <w:position w:val="-22"/>
        </w:rPr>
        <w:object w:dxaOrig="225" w:dyaOrig="450" w14:anchorId="3E69B4E7">
          <v:shape id="_x0000_i1035" type="#_x0000_t75" style="width:12pt;height:29.4pt" o:ole="">
            <v:imagedata r:id="rId22" o:title=""/>
          </v:shape>
          <o:OLEObject Type="Embed" ProgID="Equation.3" ShapeID="_x0000_i1035" DrawAspect="Content" ObjectID="_1849065666" r:id="rId32"/>
        </w:object>
      </w:r>
      <w:r w:rsidRPr="0013396E">
        <w:rPr>
          <w:b/>
          <w:iCs/>
          <w:position w:val="-20"/>
        </w:rPr>
        <w:object w:dxaOrig="225" w:dyaOrig="420" w14:anchorId="784DD2FD">
          <v:shape id="_x0000_i1036" type="#_x0000_t75" style="width:12pt;height:29.4pt" o:ole="">
            <v:imagedata r:id="rId33" o:title=""/>
          </v:shape>
          <o:OLEObject Type="Embed" ProgID="Equation.3" ShapeID="_x0000_i1036" DrawAspect="Content" ObjectID="_1849065667" r:id="rId34"/>
        </w:object>
      </w:r>
      <w:r w:rsidRPr="0013396E">
        <w:rPr>
          <w:b/>
          <w:iCs/>
          <w:lang w:val="es-MX"/>
        </w:rPr>
        <w:t>(RTLMP</w:t>
      </w:r>
      <w:r w:rsidRPr="0013396E">
        <w:rPr>
          <w:b/>
          <w:iCs/>
          <w:vertAlign w:val="subscript"/>
          <w:lang w:val="es-MX"/>
        </w:rPr>
        <w:t xml:space="preserve"> </w:t>
      </w:r>
      <w:r w:rsidRPr="0013396E">
        <w:rPr>
          <w:b/>
          <w:i/>
          <w:iCs/>
          <w:vertAlign w:val="subscript"/>
          <w:lang w:val="es-MX"/>
        </w:rPr>
        <w:t>b, y</w:t>
      </w:r>
      <w:r w:rsidRPr="0013396E">
        <w:rPr>
          <w:b/>
          <w:iCs/>
          <w:lang w:val="es-MX"/>
        </w:rPr>
        <w:t xml:space="preserve"> * LZWF</w:t>
      </w:r>
      <w:r w:rsidRPr="0013396E">
        <w:rPr>
          <w:b/>
          <w:i/>
          <w:iCs/>
          <w:vertAlign w:val="subscript"/>
          <w:lang w:val="es-MX"/>
        </w:rPr>
        <w:t xml:space="preserve"> b, y</w:t>
      </w:r>
      <w:r w:rsidRPr="0013396E">
        <w:rPr>
          <w:b/>
          <w:iCs/>
          <w:lang w:val="es-MX"/>
        </w:rPr>
        <w:t xml:space="preserve">) </w:t>
      </w:r>
      <w:r w:rsidRPr="0013396E">
        <w:rPr>
          <w:b/>
          <w:iCs/>
        </w:rPr>
        <w:t>+ RTRDP)]</w:t>
      </w:r>
    </w:p>
    <w:p w14:paraId="71557597" w14:textId="77777777" w:rsidR="00636C61" w:rsidRPr="0013396E" w:rsidRDefault="00636C61" w:rsidP="00636C61">
      <w:pPr>
        <w:spacing w:after="240"/>
        <w:rPr>
          <w:iCs/>
        </w:rPr>
      </w:pPr>
      <w:r w:rsidRPr="0013396E">
        <w:rPr>
          <w:iCs/>
        </w:rPr>
        <w:t>For all Load Zones except DC Tie Load Zones:</w:t>
      </w:r>
    </w:p>
    <w:p w14:paraId="768D1BB0" w14:textId="77777777" w:rsidR="00636C61" w:rsidRPr="0013396E" w:rsidRDefault="00636C61" w:rsidP="00636C61">
      <w:pPr>
        <w:tabs>
          <w:tab w:val="left" w:pos="2160"/>
          <w:tab w:val="left" w:pos="2880"/>
        </w:tabs>
        <w:spacing w:after="240"/>
        <w:ind w:leftChars="300" w:left="2880" w:hangingChars="900" w:hanging="2160"/>
        <w:rPr>
          <w:bCs/>
          <w:lang w:val="es-MX"/>
        </w:rPr>
      </w:pPr>
      <w:r w:rsidRPr="0013396E">
        <w:rPr>
          <w:bCs/>
          <w:lang w:val="es-MX"/>
        </w:rPr>
        <w:t>LZWF</w:t>
      </w:r>
      <w:r w:rsidRPr="0013396E">
        <w:rPr>
          <w:bCs/>
          <w:i/>
          <w:vertAlign w:val="subscript"/>
          <w:lang w:val="es-MX"/>
        </w:rPr>
        <w:t xml:space="preserve"> b, y</w:t>
      </w:r>
      <w:r w:rsidRPr="0013396E">
        <w:rPr>
          <w:bCs/>
          <w:lang w:val="es-MX"/>
        </w:rPr>
        <w:t xml:space="preserve"> </w:t>
      </w:r>
      <w:r w:rsidRPr="0013396E">
        <w:rPr>
          <w:bCs/>
          <w:lang w:val="es-MX"/>
        </w:rPr>
        <w:tab/>
        <w:t>=</w:t>
      </w:r>
      <w:r w:rsidRPr="0013396E">
        <w:rPr>
          <w:bCs/>
          <w:lang w:val="es-MX"/>
        </w:rPr>
        <w:tab/>
        <w:t>(SEL</w:t>
      </w:r>
      <w:r w:rsidRPr="0013396E">
        <w:rPr>
          <w:bCs/>
          <w:vertAlign w:val="subscript"/>
          <w:lang w:val="es-MX"/>
        </w:rPr>
        <w:t xml:space="preserve"> </w:t>
      </w:r>
      <w:r w:rsidRPr="0013396E">
        <w:rPr>
          <w:bCs/>
          <w:i/>
          <w:vertAlign w:val="subscript"/>
          <w:lang w:val="es-MX"/>
        </w:rPr>
        <w:t>b, y</w:t>
      </w:r>
      <w:r w:rsidRPr="0013396E">
        <w:rPr>
          <w:bCs/>
          <w:lang w:val="es-MX"/>
        </w:rPr>
        <w:t xml:space="preserve"> * TLMP </w:t>
      </w:r>
      <w:r w:rsidRPr="0013396E">
        <w:rPr>
          <w:bCs/>
          <w:i/>
          <w:vertAlign w:val="subscript"/>
          <w:lang w:val="es-MX"/>
        </w:rPr>
        <w:t>y</w:t>
      </w:r>
      <w:r w:rsidRPr="0013396E">
        <w:rPr>
          <w:bCs/>
          <w:lang w:val="es-MX"/>
        </w:rPr>
        <w:t xml:space="preserve">) </w:t>
      </w:r>
      <w:r w:rsidRPr="0013396E">
        <w:rPr>
          <w:b/>
          <w:bCs/>
          <w:sz w:val="32"/>
          <w:szCs w:val="32"/>
          <w:lang w:val="es-MX"/>
        </w:rPr>
        <w:t>/</w:t>
      </w:r>
      <w:r w:rsidRPr="0013396E">
        <w:rPr>
          <w:bCs/>
          <w:lang w:val="es-MX"/>
        </w:rPr>
        <w:t xml:space="preserve"> [</w:t>
      </w:r>
      <w:r w:rsidRPr="0013396E">
        <w:rPr>
          <w:bCs/>
          <w:position w:val="-22"/>
        </w:rPr>
        <w:object w:dxaOrig="225" w:dyaOrig="450" w14:anchorId="5CA42247">
          <v:shape id="_x0000_i1037" type="#_x0000_t75" style="width:12pt;height:24pt" o:ole="">
            <v:imagedata r:id="rId24" o:title=""/>
          </v:shape>
          <o:OLEObject Type="Embed" ProgID="Equation.3" ShapeID="_x0000_i1037" DrawAspect="Content" ObjectID="_1849065668" r:id="rId35"/>
        </w:object>
      </w:r>
      <w:r w:rsidRPr="0013396E">
        <w:rPr>
          <w:bCs/>
          <w:position w:val="-20"/>
        </w:rPr>
        <w:object w:dxaOrig="225" w:dyaOrig="420" w14:anchorId="1FC3ED10">
          <v:shape id="_x0000_i1038" type="#_x0000_t75" style="width:12pt;height:29.4pt" o:ole="">
            <v:imagedata r:id="rId28" o:title=""/>
          </v:shape>
          <o:OLEObject Type="Embed" ProgID="Equation.3" ShapeID="_x0000_i1038" DrawAspect="Content" ObjectID="_1849065669" r:id="rId36"/>
        </w:object>
      </w:r>
      <w:r w:rsidRPr="0013396E">
        <w:rPr>
          <w:bCs/>
          <w:lang w:val="es-MX"/>
        </w:rPr>
        <w:t>(SEL</w:t>
      </w:r>
      <w:r w:rsidRPr="0013396E">
        <w:rPr>
          <w:bCs/>
          <w:vertAlign w:val="subscript"/>
          <w:lang w:val="es-MX"/>
        </w:rPr>
        <w:t xml:space="preserve"> </w:t>
      </w:r>
      <w:r w:rsidRPr="0013396E">
        <w:rPr>
          <w:bCs/>
          <w:i/>
          <w:vertAlign w:val="subscript"/>
          <w:lang w:val="es-MX"/>
        </w:rPr>
        <w:t>b, y</w:t>
      </w:r>
      <w:r w:rsidRPr="0013396E">
        <w:rPr>
          <w:bCs/>
          <w:lang w:val="es-MX"/>
        </w:rPr>
        <w:t xml:space="preserve"> * TLMP</w:t>
      </w:r>
      <w:r w:rsidRPr="0013396E">
        <w:rPr>
          <w:bCs/>
          <w:vertAlign w:val="subscript"/>
          <w:lang w:val="es-MX"/>
        </w:rPr>
        <w:t xml:space="preserve"> </w:t>
      </w:r>
      <w:r w:rsidRPr="0013396E">
        <w:rPr>
          <w:bCs/>
          <w:i/>
          <w:vertAlign w:val="subscript"/>
          <w:lang w:val="es-MX"/>
        </w:rPr>
        <w:t>y</w:t>
      </w:r>
      <w:r w:rsidRPr="0013396E">
        <w:rPr>
          <w:bCs/>
          <w:lang w:val="es-MX"/>
        </w:rPr>
        <w:t>)]</w:t>
      </w:r>
    </w:p>
    <w:p w14:paraId="1E6C1644" w14:textId="77777777" w:rsidR="00636C61" w:rsidRPr="0013396E" w:rsidRDefault="00636C61" w:rsidP="00636C61">
      <w:pPr>
        <w:spacing w:after="240"/>
        <w:rPr>
          <w:iCs/>
        </w:rPr>
      </w:pPr>
      <w:r w:rsidRPr="0013396E">
        <w:rPr>
          <w:iCs/>
        </w:rPr>
        <w:lastRenderedPageBreak/>
        <w:t xml:space="preserve">For a DC Tie Load Zone: </w:t>
      </w:r>
    </w:p>
    <w:p w14:paraId="339EF4C3" w14:textId="77777777" w:rsidR="00636C61" w:rsidRPr="0013396E" w:rsidRDefault="00636C61" w:rsidP="00636C61">
      <w:pPr>
        <w:tabs>
          <w:tab w:val="left" w:pos="2160"/>
          <w:tab w:val="left" w:pos="2880"/>
        </w:tabs>
        <w:spacing w:after="240"/>
        <w:ind w:leftChars="300" w:left="2880" w:hangingChars="900" w:hanging="2160"/>
        <w:rPr>
          <w:bCs/>
          <w:lang w:val="es-MX"/>
        </w:rPr>
      </w:pPr>
      <w:r w:rsidRPr="0013396E">
        <w:rPr>
          <w:bCs/>
          <w:lang w:val="es-MX"/>
        </w:rPr>
        <w:t>LZWF</w:t>
      </w:r>
      <w:r w:rsidRPr="0013396E">
        <w:rPr>
          <w:bCs/>
          <w:i/>
          <w:vertAlign w:val="subscript"/>
          <w:lang w:val="es-MX"/>
        </w:rPr>
        <w:t xml:space="preserve"> b, y</w:t>
      </w:r>
      <w:r w:rsidRPr="0013396E">
        <w:rPr>
          <w:bCs/>
          <w:lang w:val="es-MX"/>
        </w:rPr>
        <w:t xml:space="preserve"> </w:t>
      </w:r>
      <w:r w:rsidRPr="0013396E">
        <w:rPr>
          <w:bCs/>
          <w:lang w:val="es-MX"/>
        </w:rPr>
        <w:tab/>
        <w:t>=</w:t>
      </w:r>
      <w:r w:rsidRPr="0013396E">
        <w:rPr>
          <w:bCs/>
          <w:lang w:val="es-MX"/>
        </w:rPr>
        <w:tab/>
        <w:t>(SEL</w:t>
      </w:r>
      <w:r w:rsidRPr="0013396E">
        <w:rPr>
          <w:bCs/>
          <w:vertAlign w:val="subscript"/>
          <w:lang w:val="es-MX"/>
        </w:rPr>
        <w:t xml:space="preserve"> </w:t>
      </w:r>
      <w:r w:rsidRPr="0013396E">
        <w:rPr>
          <w:bCs/>
          <w:i/>
          <w:vertAlign w:val="subscript"/>
          <w:lang w:val="es-MX"/>
        </w:rPr>
        <w:t>b, y</w:t>
      </w:r>
      <w:r w:rsidRPr="0013396E">
        <w:rPr>
          <w:bCs/>
          <w:lang w:val="es-MX"/>
        </w:rPr>
        <w:t xml:space="preserve"> * TLMP </w:t>
      </w:r>
      <w:r w:rsidRPr="0013396E">
        <w:rPr>
          <w:bCs/>
          <w:i/>
          <w:vertAlign w:val="subscript"/>
          <w:lang w:val="es-MX"/>
        </w:rPr>
        <w:t>y</w:t>
      </w:r>
      <w:r w:rsidRPr="0013396E">
        <w:rPr>
          <w:bCs/>
          <w:lang w:val="es-MX"/>
        </w:rPr>
        <w:t xml:space="preserve">) </w:t>
      </w:r>
      <w:r w:rsidRPr="0013396E">
        <w:rPr>
          <w:b/>
          <w:bCs/>
          <w:sz w:val="32"/>
          <w:szCs w:val="32"/>
          <w:lang w:val="es-MX"/>
        </w:rPr>
        <w:t>/</w:t>
      </w:r>
      <w:r w:rsidRPr="0013396E">
        <w:rPr>
          <w:bCs/>
          <w:lang w:val="es-MX"/>
        </w:rPr>
        <w:t xml:space="preserve"> [</w:t>
      </w:r>
      <w:r w:rsidRPr="0013396E">
        <w:rPr>
          <w:bCs/>
          <w:position w:val="-22"/>
        </w:rPr>
        <w:object w:dxaOrig="225" w:dyaOrig="450" w14:anchorId="3A6A4E89">
          <v:shape id="_x0000_i1039" type="#_x0000_t75" style="width:24pt;height:29.4pt" o:ole="">
            <v:imagedata r:id="rId24" o:title=""/>
          </v:shape>
          <o:OLEObject Type="Embed" ProgID="Equation.3" ShapeID="_x0000_i1039" DrawAspect="Content" ObjectID="_1849065670" r:id="rId37"/>
        </w:object>
      </w:r>
      <w:r w:rsidRPr="0013396E">
        <w:rPr>
          <w:bCs/>
          <w:position w:val="-20"/>
        </w:rPr>
        <w:object w:dxaOrig="225" w:dyaOrig="420" w14:anchorId="1B53C1CD">
          <v:shape id="_x0000_i1040" type="#_x0000_t75" style="width:12pt;height:29.4pt" o:ole="">
            <v:imagedata r:id="rId28" o:title=""/>
          </v:shape>
          <o:OLEObject Type="Embed" ProgID="Equation.3" ShapeID="_x0000_i1040" DrawAspect="Content" ObjectID="_1849065671" r:id="rId38"/>
        </w:object>
      </w:r>
      <w:r w:rsidRPr="0013396E">
        <w:rPr>
          <w:bCs/>
          <w:lang w:val="es-MX"/>
        </w:rPr>
        <w:t>(SEL</w:t>
      </w:r>
      <w:r w:rsidRPr="0013396E">
        <w:rPr>
          <w:bCs/>
          <w:vertAlign w:val="subscript"/>
          <w:lang w:val="es-MX"/>
        </w:rPr>
        <w:t xml:space="preserve"> </w:t>
      </w:r>
      <w:r w:rsidRPr="0013396E">
        <w:rPr>
          <w:bCs/>
          <w:i/>
          <w:vertAlign w:val="subscript"/>
          <w:lang w:val="es-MX"/>
        </w:rPr>
        <w:t>b, y</w:t>
      </w:r>
      <w:r w:rsidRPr="0013396E">
        <w:rPr>
          <w:bCs/>
          <w:lang w:val="es-MX"/>
        </w:rPr>
        <w:t xml:space="preserve"> * TLMP</w:t>
      </w:r>
      <w:r w:rsidRPr="0013396E">
        <w:rPr>
          <w:bCs/>
          <w:vertAlign w:val="subscript"/>
          <w:lang w:val="es-MX"/>
        </w:rPr>
        <w:t xml:space="preserve"> </w:t>
      </w:r>
      <w:r w:rsidRPr="0013396E">
        <w:rPr>
          <w:bCs/>
          <w:i/>
          <w:vertAlign w:val="subscript"/>
          <w:lang w:val="es-MX"/>
        </w:rPr>
        <w:t>y</w:t>
      </w:r>
      <w:r w:rsidRPr="0013396E">
        <w:rPr>
          <w:bCs/>
          <w:lang w:val="es-MX"/>
        </w:rPr>
        <w:t>)]</w:t>
      </w:r>
    </w:p>
    <w:p w14:paraId="7420B04F" w14:textId="77777777" w:rsidR="00636C61" w:rsidRPr="0013396E" w:rsidRDefault="00636C61" w:rsidP="00636C61">
      <w:pPr>
        <w:tabs>
          <w:tab w:val="left" w:pos="2160"/>
          <w:tab w:val="left" w:pos="2880"/>
        </w:tabs>
        <w:spacing w:after="240"/>
        <w:ind w:leftChars="300" w:left="2880" w:hangingChars="900" w:hanging="2160"/>
        <w:rPr>
          <w:bCs/>
          <w:lang w:val="es-MX"/>
        </w:rPr>
      </w:pPr>
      <w:r w:rsidRPr="0013396E">
        <w:rPr>
          <w:bCs/>
          <w:lang w:val="es-MX"/>
        </w:rPr>
        <w:t>SEL</w:t>
      </w:r>
      <w:r w:rsidRPr="0013396E">
        <w:rPr>
          <w:bCs/>
          <w:vertAlign w:val="subscript"/>
          <w:lang w:val="es-MX"/>
        </w:rPr>
        <w:t xml:space="preserve"> </w:t>
      </w:r>
      <w:r w:rsidRPr="0013396E">
        <w:rPr>
          <w:bCs/>
          <w:i/>
          <w:vertAlign w:val="subscript"/>
          <w:lang w:val="es-MX"/>
        </w:rPr>
        <w:t>b, y</w:t>
      </w:r>
      <w:r w:rsidRPr="0013396E">
        <w:rPr>
          <w:bCs/>
          <w:i/>
          <w:vertAlign w:val="subscript"/>
          <w:lang w:val="es-MX"/>
        </w:rPr>
        <w:tab/>
      </w:r>
      <w:r w:rsidRPr="0013396E">
        <w:rPr>
          <w:bCs/>
          <w:lang w:val="es-MX"/>
        </w:rPr>
        <w:t>=</w:t>
      </w:r>
      <w:r w:rsidRPr="0013396E">
        <w:rPr>
          <w:bCs/>
          <w:lang w:val="es-MX"/>
        </w:rPr>
        <w:tab/>
        <w:t>1</w:t>
      </w:r>
    </w:p>
    <w:p w14:paraId="2518ADE1" w14:textId="77777777" w:rsidR="00636C61" w:rsidRPr="0013396E" w:rsidRDefault="00636C61" w:rsidP="00636C61">
      <w:pPr>
        <w:tabs>
          <w:tab w:val="left" w:pos="2160"/>
          <w:tab w:val="left" w:pos="2880"/>
        </w:tabs>
        <w:spacing w:after="240"/>
        <w:ind w:leftChars="31" w:left="374" w:hangingChars="125" w:hanging="300"/>
        <w:rPr>
          <w:bCs/>
        </w:rPr>
      </w:pPr>
      <w:r w:rsidRPr="0013396E">
        <w:rPr>
          <w:bCs/>
        </w:rPr>
        <w:t>Where:</w:t>
      </w:r>
    </w:p>
    <w:p w14:paraId="3ED348DC" w14:textId="77777777" w:rsidR="00636C61" w:rsidRPr="0013396E" w:rsidRDefault="00636C61" w:rsidP="00636C61">
      <w:pPr>
        <w:tabs>
          <w:tab w:val="left" w:pos="2160"/>
          <w:tab w:val="left" w:pos="2880"/>
        </w:tabs>
        <w:spacing w:after="240"/>
        <w:ind w:leftChars="300" w:left="2880" w:hangingChars="900" w:hanging="2160"/>
        <w:rPr>
          <w:bCs/>
        </w:rPr>
      </w:pPr>
      <w:r w:rsidRPr="0013396E">
        <w:rPr>
          <w:bCs/>
        </w:rPr>
        <w:t>RTRDP =</w:t>
      </w:r>
      <w:r w:rsidRPr="0013396E">
        <w:rPr>
          <w:bCs/>
        </w:rPr>
        <w:tab/>
      </w:r>
      <w:r w:rsidRPr="0013396E">
        <w:rPr>
          <w:bCs/>
          <w:position w:val="-22"/>
        </w:rPr>
        <w:object w:dxaOrig="225" w:dyaOrig="465" w14:anchorId="773E9BC1">
          <v:shape id="_x0000_i1041" type="#_x0000_t75" style="width:12pt;height:12pt" o:ole="">
            <v:imagedata r:id="rId20" o:title=""/>
          </v:shape>
          <o:OLEObject Type="Embed" ProgID="Equation.3" ShapeID="_x0000_i1041" DrawAspect="Content" ObjectID="_1849065672" r:id="rId39"/>
        </w:object>
      </w:r>
      <w:r w:rsidRPr="0013396E">
        <w:rPr>
          <w:bCs/>
        </w:rPr>
        <w:t xml:space="preserve">(RNWF </w:t>
      </w:r>
      <w:r w:rsidRPr="0013396E">
        <w:rPr>
          <w:bCs/>
          <w:i/>
          <w:iCs/>
          <w:vertAlign w:val="subscript"/>
        </w:rPr>
        <w:t xml:space="preserve">y </w:t>
      </w:r>
      <w:r w:rsidRPr="0013396E">
        <w:rPr>
          <w:bCs/>
        </w:rPr>
        <w:t>* RTRDPA</w:t>
      </w:r>
      <w:r w:rsidRPr="0013396E">
        <w:rPr>
          <w:bCs/>
          <w:i/>
          <w:iCs/>
          <w:vertAlign w:val="subscript"/>
        </w:rPr>
        <w:t xml:space="preserve"> y</w:t>
      </w:r>
      <w:r w:rsidRPr="0013396E">
        <w:rPr>
          <w:bCs/>
        </w:rPr>
        <w:t xml:space="preserve">) </w:t>
      </w:r>
    </w:p>
    <w:p w14:paraId="4A9EFBA2" w14:textId="77777777" w:rsidR="00636C61" w:rsidRPr="0013396E" w:rsidRDefault="00636C61" w:rsidP="00636C61">
      <w:pPr>
        <w:spacing w:after="240"/>
        <w:ind w:left="720"/>
      </w:pPr>
      <w:r w:rsidRPr="0013396E">
        <w:t>RNWF</w:t>
      </w:r>
      <w:r w:rsidRPr="0013396E">
        <w:rPr>
          <w:i/>
          <w:vertAlign w:val="subscript"/>
        </w:rPr>
        <w:t xml:space="preserve"> y</w:t>
      </w:r>
      <w:r w:rsidRPr="0013396E">
        <w:rPr>
          <w:i/>
          <w:vertAlign w:val="subscript"/>
        </w:rPr>
        <w:tab/>
      </w:r>
      <w:r w:rsidRPr="0013396E">
        <w:t>=</w:t>
      </w:r>
      <w:r w:rsidRPr="0013396E">
        <w:tab/>
        <w:t xml:space="preserve">TLMP </w:t>
      </w:r>
      <w:r w:rsidRPr="0013396E">
        <w:rPr>
          <w:i/>
          <w:vertAlign w:val="subscript"/>
        </w:rPr>
        <w:t>y</w:t>
      </w:r>
      <w:r w:rsidRPr="0013396E">
        <w:t xml:space="preserve"> </w:t>
      </w:r>
      <w:r w:rsidRPr="0013396E">
        <w:rPr>
          <w:color w:val="000000"/>
          <w:sz w:val="32"/>
          <w:szCs w:val="32"/>
        </w:rPr>
        <w:t>/</w:t>
      </w:r>
      <w:r w:rsidRPr="0013396E">
        <w:rPr>
          <w:position w:val="-22"/>
        </w:rPr>
        <w:object w:dxaOrig="225" w:dyaOrig="465" w14:anchorId="37EA237D">
          <v:shape id="_x0000_i1042" type="#_x0000_t75" style="width:29.4pt;height:29.4pt" o:ole="">
            <v:imagedata r:id="rId20" o:title=""/>
          </v:shape>
          <o:OLEObject Type="Embed" ProgID="Equation.3" ShapeID="_x0000_i1042" DrawAspect="Content" ObjectID="_1849065673" r:id="rId40"/>
        </w:object>
      </w:r>
      <w:r w:rsidRPr="0013396E">
        <w:t xml:space="preserve">TLMP </w:t>
      </w:r>
      <w:r w:rsidRPr="0013396E">
        <w:rPr>
          <w:i/>
          <w:vertAlign w:val="subscript"/>
        </w:rPr>
        <w:t>y</w:t>
      </w:r>
    </w:p>
    <w:p w14:paraId="50285C47" w14:textId="77777777" w:rsidR="00636C61" w:rsidRPr="0013396E" w:rsidRDefault="00636C61" w:rsidP="00636C61">
      <w:r w:rsidRPr="0013396E">
        <w:t>The above variables are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264"/>
        <w:gridCol w:w="899"/>
        <w:gridCol w:w="7107"/>
      </w:tblGrid>
      <w:tr w:rsidR="00636C61" w:rsidRPr="0013396E" w14:paraId="097AEB32" w14:textId="77777777" w:rsidTr="0099759E">
        <w:tc>
          <w:tcPr>
            <w:tcW w:w="1264" w:type="dxa"/>
          </w:tcPr>
          <w:p w14:paraId="3768F53F" w14:textId="77777777" w:rsidR="00636C61" w:rsidRPr="0013396E" w:rsidRDefault="00636C61" w:rsidP="0099759E">
            <w:pPr>
              <w:spacing w:after="120"/>
              <w:rPr>
                <w:b/>
                <w:iCs/>
                <w:sz w:val="20"/>
              </w:rPr>
            </w:pPr>
            <w:r w:rsidRPr="0013396E">
              <w:rPr>
                <w:b/>
                <w:iCs/>
                <w:sz w:val="20"/>
              </w:rPr>
              <w:t>Variable</w:t>
            </w:r>
          </w:p>
        </w:tc>
        <w:tc>
          <w:tcPr>
            <w:tcW w:w="899" w:type="dxa"/>
          </w:tcPr>
          <w:p w14:paraId="5095497A" w14:textId="77777777" w:rsidR="00636C61" w:rsidRPr="0013396E" w:rsidRDefault="00636C61" w:rsidP="0099759E">
            <w:pPr>
              <w:spacing w:after="120"/>
              <w:rPr>
                <w:b/>
                <w:iCs/>
                <w:sz w:val="20"/>
              </w:rPr>
            </w:pPr>
            <w:r w:rsidRPr="0013396E">
              <w:rPr>
                <w:b/>
                <w:iCs/>
                <w:sz w:val="20"/>
              </w:rPr>
              <w:t>Unit</w:t>
            </w:r>
          </w:p>
        </w:tc>
        <w:tc>
          <w:tcPr>
            <w:tcW w:w="7107" w:type="dxa"/>
          </w:tcPr>
          <w:p w14:paraId="0A30B420" w14:textId="77777777" w:rsidR="00636C61" w:rsidRPr="0013396E" w:rsidRDefault="00636C61" w:rsidP="0099759E">
            <w:pPr>
              <w:spacing w:after="120"/>
              <w:rPr>
                <w:b/>
                <w:iCs/>
                <w:sz w:val="20"/>
              </w:rPr>
            </w:pPr>
            <w:r w:rsidRPr="0013396E">
              <w:rPr>
                <w:b/>
                <w:iCs/>
                <w:sz w:val="20"/>
              </w:rPr>
              <w:t>Description</w:t>
            </w:r>
          </w:p>
        </w:tc>
      </w:tr>
      <w:tr w:rsidR="00636C61" w:rsidRPr="0013396E" w14:paraId="7B2208C6" w14:textId="77777777" w:rsidTr="0099759E">
        <w:tc>
          <w:tcPr>
            <w:tcW w:w="1264" w:type="dxa"/>
          </w:tcPr>
          <w:p w14:paraId="4B9DA026" w14:textId="77777777" w:rsidR="00636C61" w:rsidRPr="0013396E" w:rsidRDefault="00636C61" w:rsidP="0099759E">
            <w:pPr>
              <w:spacing w:after="60"/>
              <w:rPr>
                <w:iCs/>
                <w:sz w:val="20"/>
              </w:rPr>
            </w:pPr>
            <w:r w:rsidRPr="0013396E">
              <w:rPr>
                <w:iCs/>
                <w:sz w:val="20"/>
              </w:rPr>
              <w:t>RTSPP</w:t>
            </w:r>
          </w:p>
        </w:tc>
        <w:tc>
          <w:tcPr>
            <w:tcW w:w="899" w:type="dxa"/>
          </w:tcPr>
          <w:p w14:paraId="7915BA7A" w14:textId="77777777" w:rsidR="00636C61" w:rsidRPr="0013396E" w:rsidRDefault="00636C61" w:rsidP="0099759E">
            <w:pPr>
              <w:spacing w:after="60"/>
              <w:rPr>
                <w:i/>
                <w:iCs/>
                <w:sz w:val="20"/>
              </w:rPr>
            </w:pPr>
            <w:r w:rsidRPr="0013396E">
              <w:rPr>
                <w:iCs/>
                <w:sz w:val="20"/>
              </w:rPr>
              <w:t>$/MWh</w:t>
            </w:r>
          </w:p>
        </w:tc>
        <w:tc>
          <w:tcPr>
            <w:tcW w:w="7107" w:type="dxa"/>
          </w:tcPr>
          <w:p w14:paraId="519FD102" w14:textId="77777777" w:rsidR="00636C61" w:rsidRPr="0013396E" w:rsidRDefault="00636C61" w:rsidP="0099759E">
            <w:pPr>
              <w:spacing w:after="60"/>
              <w:rPr>
                <w:iCs/>
                <w:sz w:val="20"/>
              </w:rPr>
            </w:pPr>
            <w:r w:rsidRPr="0013396E">
              <w:rPr>
                <w:i/>
                <w:iCs/>
                <w:sz w:val="20"/>
              </w:rPr>
              <w:t>Real-Time Settlement Point Price</w:t>
            </w:r>
            <w:r w:rsidRPr="0013396E">
              <w:rPr>
                <w:iCs/>
                <w:sz w:val="20"/>
              </w:rPr>
              <w:sym w:font="Symbol" w:char="F0BE"/>
            </w:r>
            <w:r w:rsidRPr="0013396E">
              <w:rPr>
                <w:iCs/>
                <w:sz w:val="20"/>
              </w:rPr>
              <w:t>The Real-Time Settlement Point Price at the Settlement Point, for the 15-minute Settlement Interval.</w:t>
            </w:r>
          </w:p>
        </w:tc>
      </w:tr>
      <w:tr w:rsidR="00636C61" w:rsidRPr="0013396E" w14:paraId="51B94DB9" w14:textId="77777777" w:rsidTr="0099759E">
        <w:tc>
          <w:tcPr>
            <w:tcW w:w="1264" w:type="dxa"/>
          </w:tcPr>
          <w:p w14:paraId="63B785F8" w14:textId="77777777" w:rsidR="00636C61" w:rsidRPr="0013396E" w:rsidRDefault="00636C61" w:rsidP="0099759E">
            <w:pPr>
              <w:spacing w:after="60"/>
              <w:rPr>
                <w:iCs/>
                <w:sz w:val="20"/>
              </w:rPr>
            </w:pPr>
            <w:r w:rsidRPr="0013396E">
              <w:rPr>
                <w:iCs/>
                <w:sz w:val="20"/>
              </w:rPr>
              <w:t>RTSPPEW</w:t>
            </w:r>
          </w:p>
        </w:tc>
        <w:tc>
          <w:tcPr>
            <w:tcW w:w="899" w:type="dxa"/>
          </w:tcPr>
          <w:p w14:paraId="129B669E" w14:textId="77777777" w:rsidR="00636C61" w:rsidRPr="0013396E" w:rsidRDefault="00636C61" w:rsidP="0099759E">
            <w:pPr>
              <w:spacing w:after="60"/>
              <w:rPr>
                <w:iCs/>
                <w:sz w:val="20"/>
              </w:rPr>
            </w:pPr>
            <w:r w:rsidRPr="0013396E">
              <w:rPr>
                <w:iCs/>
                <w:sz w:val="20"/>
              </w:rPr>
              <w:t>$/MWh</w:t>
            </w:r>
          </w:p>
        </w:tc>
        <w:tc>
          <w:tcPr>
            <w:tcW w:w="7107" w:type="dxa"/>
          </w:tcPr>
          <w:p w14:paraId="6EBC87F9" w14:textId="77777777" w:rsidR="00636C61" w:rsidRPr="0013396E" w:rsidRDefault="00636C61" w:rsidP="0099759E">
            <w:pPr>
              <w:spacing w:after="60"/>
              <w:rPr>
                <w:i/>
                <w:iCs/>
                <w:sz w:val="20"/>
              </w:rPr>
            </w:pPr>
            <w:r w:rsidRPr="0013396E">
              <w:rPr>
                <w:i/>
                <w:iCs/>
                <w:sz w:val="20"/>
              </w:rPr>
              <w:t>Real-Time Settlement Point Price Energy-Weighted</w:t>
            </w:r>
            <w:r w:rsidRPr="0013396E">
              <w:rPr>
                <w:iCs/>
                <w:sz w:val="20"/>
              </w:rPr>
              <w:sym w:font="Symbol" w:char="F0BE"/>
            </w:r>
            <w:r w:rsidRPr="0013396E">
              <w:rPr>
                <w:iCs/>
                <w:sz w:val="20"/>
              </w:rPr>
              <w:t xml:space="preserve">The Real-Time Settlement Point Price at the Settlement Point </w:t>
            </w:r>
            <w:r w:rsidRPr="0013396E">
              <w:rPr>
                <w:i/>
                <w:iCs/>
                <w:sz w:val="20"/>
              </w:rPr>
              <w:t>p</w:t>
            </w:r>
            <w:r w:rsidRPr="0013396E">
              <w:rPr>
                <w:iCs/>
                <w:sz w:val="20"/>
              </w:rPr>
              <w:t>, for the 15-minute Settlement Interval that is weighted by the state-estimated Load of the Load Zone of each SCED interval within the 15-minute Settlement Interval.</w:t>
            </w:r>
          </w:p>
        </w:tc>
      </w:tr>
      <w:tr w:rsidR="00636C61" w:rsidRPr="0013396E" w14:paraId="4098F83E" w14:textId="77777777" w:rsidTr="0099759E">
        <w:tc>
          <w:tcPr>
            <w:tcW w:w="1264" w:type="dxa"/>
          </w:tcPr>
          <w:p w14:paraId="4CE78C32" w14:textId="77777777" w:rsidR="00636C61" w:rsidRPr="0013396E" w:rsidRDefault="00636C61" w:rsidP="0099759E">
            <w:pPr>
              <w:spacing w:after="60"/>
              <w:rPr>
                <w:iCs/>
                <w:sz w:val="20"/>
              </w:rPr>
            </w:pPr>
            <w:r w:rsidRPr="0013396E">
              <w:rPr>
                <w:iCs/>
                <w:sz w:val="20"/>
              </w:rPr>
              <w:t xml:space="preserve">RTLMP </w:t>
            </w:r>
            <w:r w:rsidRPr="0013396E">
              <w:rPr>
                <w:i/>
                <w:iCs/>
                <w:sz w:val="20"/>
                <w:vertAlign w:val="subscript"/>
              </w:rPr>
              <w:t>b, y</w:t>
            </w:r>
          </w:p>
        </w:tc>
        <w:tc>
          <w:tcPr>
            <w:tcW w:w="899" w:type="dxa"/>
          </w:tcPr>
          <w:p w14:paraId="69FA39C5" w14:textId="77777777" w:rsidR="00636C61" w:rsidRPr="0013396E" w:rsidRDefault="00636C61" w:rsidP="0099759E">
            <w:pPr>
              <w:spacing w:after="60"/>
              <w:rPr>
                <w:iCs/>
                <w:sz w:val="20"/>
              </w:rPr>
            </w:pPr>
            <w:r w:rsidRPr="0013396E">
              <w:rPr>
                <w:iCs/>
                <w:sz w:val="20"/>
              </w:rPr>
              <w:t>$/MWh</w:t>
            </w:r>
          </w:p>
        </w:tc>
        <w:tc>
          <w:tcPr>
            <w:tcW w:w="7107" w:type="dxa"/>
          </w:tcPr>
          <w:p w14:paraId="3F873214" w14:textId="77777777" w:rsidR="00636C61" w:rsidRPr="0013396E" w:rsidRDefault="00636C61" w:rsidP="0099759E">
            <w:pPr>
              <w:spacing w:after="60"/>
              <w:rPr>
                <w:iCs/>
                <w:sz w:val="20"/>
              </w:rPr>
            </w:pPr>
            <w:r w:rsidRPr="0013396E">
              <w:rPr>
                <w:i/>
                <w:iCs/>
                <w:sz w:val="20"/>
              </w:rPr>
              <w:t>Real-Time Locational Marginal Price at bus per interval</w:t>
            </w:r>
            <w:r w:rsidRPr="0013396E">
              <w:rPr>
                <w:iCs/>
                <w:sz w:val="20"/>
              </w:rPr>
              <w:sym w:font="Symbol" w:char="F0BE"/>
            </w:r>
            <w:r w:rsidRPr="0013396E">
              <w:rPr>
                <w:iCs/>
                <w:sz w:val="20"/>
              </w:rPr>
              <w:t xml:space="preserve">The Real-Time LMP at Electrical Bus </w:t>
            </w:r>
            <w:r w:rsidRPr="0013396E">
              <w:rPr>
                <w:i/>
                <w:iCs/>
                <w:sz w:val="20"/>
              </w:rPr>
              <w:t>b</w:t>
            </w:r>
            <w:r w:rsidRPr="0013396E">
              <w:rPr>
                <w:iCs/>
                <w:sz w:val="20"/>
              </w:rPr>
              <w:t xml:space="preserve"> in the Load Zone, for the SCED interval </w:t>
            </w:r>
            <w:r w:rsidRPr="0013396E">
              <w:rPr>
                <w:i/>
                <w:iCs/>
                <w:sz w:val="20"/>
              </w:rPr>
              <w:t>y</w:t>
            </w:r>
            <w:r w:rsidRPr="0013396E">
              <w:rPr>
                <w:iCs/>
                <w:sz w:val="20"/>
              </w:rPr>
              <w:t>.</w:t>
            </w:r>
          </w:p>
        </w:tc>
      </w:tr>
      <w:tr w:rsidR="00636C61" w:rsidRPr="0013396E" w14:paraId="2545B83D" w14:textId="77777777" w:rsidTr="0099759E">
        <w:tc>
          <w:tcPr>
            <w:tcW w:w="1264" w:type="dxa"/>
          </w:tcPr>
          <w:p w14:paraId="4778273C" w14:textId="77777777" w:rsidR="00636C61" w:rsidRPr="0013396E" w:rsidRDefault="00636C61" w:rsidP="0099759E">
            <w:pPr>
              <w:spacing w:after="60"/>
              <w:rPr>
                <w:iCs/>
                <w:sz w:val="20"/>
              </w:rPr>
            </w:pPr>
            <w:r w:rsidRPr="0013396E">
              <w:rPr>
                <w:iCs/>
                <w:sz w:val="20"/>
              </w:rPr>
              <w:t>RTRDP</w:t>
            </w:r>
          </w:p>
        </w:tc>
        <w:tc>
          <w:tcPr>
            <w:tcW w:w="899" w:type="dxa"/>
          </w:tcPr>
          <w:p w14:paraId="6785F1ED" w14:textId="77777777" w:rsidR="00636C61" w:rsidRPr="0013396E" w:rsidRDefault="00636C61" w:rsidP="0099759E">
            <w:pPr>
              <w:spacing w:after="60"/>
              <w:rPr>
                <w:iCs/>
                <w:sz w:val="20"/>
              </w:rPr>
            </w:pPr>
            <w:r w:rsidRPr="0013396E">
              <w:rPr>
                <w:iCs/>
                <w:sz w:val="20"/>
              </w:rPr>
              <w:t>$/MWh</w:t>
            </w:r>
          </w:p>
        </w:tc>
        <w:tc>
          <w:tcPr>
            <w:tcW w:w="7107" w:type="dxa"/>
          </w:tcPr>
          <w:p w14:paraId="189EF5BB" w14:textId="77777777" w:rsidR="00636C61" w:rsidRPr="0013396E" w:rsidRDefault="00636C61" w:rsidP="0099759E">
            <w:pPr>
              <w:spacing w:after="60"/>
              <w:rPr>
                <w:i/>
                <w:iCs/>
                <w:sz w:val="20"/>
              </w:rPr>
            </w:pPr>
            <w:r w:rsidRPr="0013396E">
              <w:rPr>
                <w:i/>
                <w:iCs/>
                <w:sz w:val="20"/>
              </w:rPr>
              <w:t>Real-Time Reliability Deployment Price for Energy</w:t>
            </w:r>
            <w:r w:rsidRPr="0013396E">
              <w:rPr>
                <w:iCs/>
                <w:sz w:val="20"/>
              </w:rPr>
              <w:sym w:font="Symbol" w:char="F0BE"/>
            </w:r>
            <w:r w:rsidRPr="0013396E">
              <w:rPr>
                <w:iCs/>
                <w:sz w:val="20"/>
              </w:rPr>
              <w:t xml:space="preserve">The Real-Time price for the 15-minute Settlement Interval, reflecting the impact of reliability deployments on energy prices that is calculated </w:t>
            </w:r>
            <w:r w:rsidRPr="0013396E">
              <w:rPr>
                <w:bCs/>
                <w:iCs/>
                <w:sz w:val="20"/>
              </w:rPr>
              <w:t>from the Real-Time Reliability Deployment Price Adder for Energy</w:t>
            </w:r>
            <w:r w:rsidRPr="0013396E">
              <w:rPr>
                <w:iCs/>
                <w:sz w:val="20"/>
              </w:rPr>
              <w:t>.</w:t>
            </w:r>
          </w:p>
        </w:tc>
      </w:tr>
      <w:tr w:rsidR="00636C61" w:rsidRPr="0013396E" w14:paraId="35A957B8" w14:textId="77777777" w:rsidTr="0099759E">
        <w:tc>
          <w:tcPr>
            <w:tcW w:w="1264" w:type="dxa"/>
          </w:tcPr>
          <w:p w14:paraId="7EB9C390" w14:textId="77777777" w:rsidR="00636C61" w:rsidRPr="0013396E" w:rsidRDefault="00636C61" w:rsidP="0099759E">
            <w:pPr>
              <w:spacing w:after="60"/>
              <w:rPr>
                <w:iCs/>
                <w:sz w:val="20"/>
              </w:rPr>
            </w:pPr>
            <w:r w:rsidRPr="0013396E">
              <w:rPr>
                <w:iCs/>
                <w:sz w:val="20"/>
              </w:rPr>
              <w:t>RTRDPA</w:t>
            </w:r>
            <w:r w:rsidRPr="0013396E">
              <w:rPr>
                <w:iCs/>
                <w:sz w:val="20"/>
                <w:vertAlign w:val="subscript"/>
              </w:rPr>
              <w:t xml:space="preserve"> </w:t>
            </w:r>
            <w:r w:rsidRPr="0013396E">
              <w:rPr>
                <w:i/>
                <w:iCs/>
                <w:sz w:val="20"/>
                <w:vertAlign w:val="subscript"/>
              </w:rPr>
              <w:t>y</w:t>
            </w:r>
          </w:p>
        </w:tc>
        <w:tc>
          <w:tcPr>
            <w:tcW w:w="899" w:type="dxa"/>
          </w:tcPr>
          <w:p w14:paraId="37906F7D" w14:textId="77777777" w:rsidR="00636C61" w:rsidRPr="0013396E" w:rsidRDefault="00636C61" w:rsidP="0099759E">
            <w:pPr>
              <w:spacing w:after="60"/>
              <w:rPr>
                <w:iCs/>
                <w:sz w:val="20"/>
              </w:rPr>
            </w:pPr>
            <w:r w:rsidRPr="0013396E">
              <w:rPr>
                <w:iCs/>
                <w:sz w:val="20"/>
              </w:rPr>
              <w:t>$/MWh</w:t>
            </w:r>
          </w:p>
        </w:tc>
        <w:tc>
          <w:tcPr>
            <w:tcW w:w="7107" w:type="dxa"/>
          </w:tcPr>
          <w:p w14:paraId="3B11D1C5" w14:textId="77777777" w:rsidR="00636C61" w:rsidRPr="0013396E" w:rsidRDefault="00636C61" w:rsidP="0099759E">
            <w:pPr>
              <w:spacing w:after="60"/>
              <w:rPr>
                <w:i/>
                <w:iCs/>
                <w:sz w:val="20"/>
              </w:rPr>
            </w:pPr>
            <w:r w:rsidRPr="0013396E">
              <w:rPr>
                <w:i/>
                <w:iCs/>
                <w:sz w:val="20"/>
              </w:rPr>
              <w:t>Real-Time Reliability Deployment Price Adder for Energy</w:t>
            </w:r>
            <w:r w:rsidRPr="0013396E">
              <w:rPr>
                <w:iCs/>
                <w:sz w:val="20"/>
              </w:rPr>
              <w:sym w:font="Symbol" w:char="F0BE"/>
            </w:r>
            <w:r w:rsidRPr="0013396E">
              <w:rPr>
                <w:iCs/>
                <w:sz w:val="20"/>
              </w:rPr>
              <w:t xml:space="preserve">The Real-Time price adder that captures the impact of reliability deployments on energy prices for the SCED interval </w:t>
            </w:r>
            <w:r w:rsidRPr="0013396E">
              <w:rPr>
                <w:i/>
                <w:iCs/>
                <w:sz w:val="20"/>
              </w:rPr>
              <w:t>y</w:t>
            </w:r>
            <w:r w:rsidRPr="0013396E">
              <w:rPr>
                <w:iCs/>
                <w:sz w:val="20"/>
              </w:rPr>
              <w:t>.</w:t>
            </w:r>
          </w:p>
        </w:tc>
      </w:tr>
      <w:tr w:rsidR="00636C61" w:rsidRPr="0013396E" w14:paraId="77289052" w14:textId="77777777" w:rsidTr="0099759E">
        <w:tc>
          <w:tcPr>
            <w:tcW w:w="1264" w:type="dxa"/>
          </w:tcPr>
          <w:p w14:paraId="3C970FED" w14:textId="77777777" w:rsidR="00636C61" w:rsidRPr="0013396E" w:rsidRDefault="00636C61" w:rsidP="0099759E">
            <w:pPr>
              <w:spacing w:after="60"/>
              <w:rPr>
                <w:iCs/>
                <w:sz w:val="20"/>
              </w:rPr>
            </w:pPr>
            <w:r w:rsidRPr="0013396E">
              <w:rPr>
                <w:iCs/>
                <w:sz w:val="20"/>
              </w:rPr>
              <w:t xml:space="preserve">RNWF </w:t>
            </w:r>
            <w:r w:rsidRPr="0013396E">
              <w:rPr>
                <w:i/>
                <w:iCs/>
                <w:sz w:val="20"/>
                <w:vertAlign w:val="subscript"/>
              </w:rPr>
              <w:t>y</w:t>
            </w:r>
          </w:p>
        </w:tc>
        <w:tc>
          <w:tcPr>
            <w:tcW w:w="899" w:type="dxa"/>
          </w:tcPr>
          <w:p w14:paraId="0A4AC806" w14:textId="77777777" w:rsidR="00636C61" w:rsidRPr="0013396E" w:rsidRDefault="00636C61" w:rsidP="0099759E">
            <w:pPr>
              <w:spacing w:after="60"/>
              <w:rPr>
                <w:iCs/>
                <w:sz w:val="20"/>
              </w:rPr>
            </w:pPr>
            <w:r w:rsidRPr="0013396E">
              <w:rPr>
                <w:iCs/>
                <w:sz w:val="20"/>
              </w:rPr>
              <w:t>none</w:t>
            </w:r>
          </w:p>
        </w:tc>
        <w:tc>
          <w:tcPr>
            <w:tcW w:w="7107" w:type="dxa"/>
          </w:tcPr>
          <w:p w14:paraId="71E8483F" w14:textId="77777777" w:rsidR="00636C61" w:rsidRPr="0013396E" w:rsidRDefault="00636C61" w:rsidP="0099759E">
            <w:pPr>
              <w:spacing w:after="60"/>
              <w:rPr>
                <w:i/>
                <w:iCs/>
                <w:sz w:val="20"/>
              </w:rPr>
            </w:pPr>
            <w:r w:rsidRPr="0013396E">
              <w:rPr>
                <w:i/>
                <w:iCs/>
                <w:sz w:val="20"/>
              </w:rPr>
              <w:t>Resource Node Weighting Factor per interval</w:t>
            </w:r>
            <w:r w:rsidRPr="0013396E">
              <w:rPr>
                <w:iCs/>
                <w:sz w:val="20"/>
              </w:rPr>
              <w:sym w:font="Symbol" w:char="F0BE"/>
            </w:r>
            <w:r w:rsidRPr="0013396E">
              <w:rPr>
                <w:iCs/>
                <w:sz w:val="20"/>
              </w:rPr>
              <w:t xml:space="preserve">The weight used in the Resource Node Settlement Point Price calculation for the portion of the SCED interval </w:t>
            </w:r>
            <w:r w:rsidRPr="0013396E">
              <w:rPr>
                <w:i/>
                <w:iCs/>
                <w:sz w:val="20"/>
              </w:rPr>
              <w:t>y</w:t>
            </w:r>
            <w:r w:rsidRPr="0013396E">
              <w:rPr>
                <w:iCs/>
                <w:sz w:val="20"/>
              </w:rPr>
              <w:t xml:space="preserve"> within the Settlement Interval.</w:t>
            </w:r>
          </w:p>
        </w:tc>
      </w:tr>
      <w:tr w:rsidR="00636C61" w:rsidRPr="0013396E" w14:paraId="01CE279A" w14:textId="77777777" w:rsidTr="0099759E">
        <w:tc>
          <w:tcPr>
            <w:tcW w:w="1264" w:type="dxa"/>
          </w:tcPr>
          <w:p w14:paraId="6A35884E" w14:textId="77777777" w:rsidR="00636C61" w:rsidRPr="0013396E" w:rsidRDefault="00636C61" w:rsidP="0099759E">
            <w:pPr>
              <w:spacing w:after="60"/>
              <w:rPr>
                <w:iCs/>
                <w:sz w:val="20"/>
              </w:rPr>
            </w:pPr>
            <w:r w:rsidRPr="0013396E">
              <w:rPr>
                <w:iCs/>
                <w:sz w:val="20"/>
              </w:rPr>
              <w:t>LZWF</w:t>
            </w:r>
            <w:r w:rsidRPr="0013396E">
              <w:rPr>
                <w:i/>
                <w:iCs/>
                <w:sz w:val="20"/>
                <w:vertAlign w:val="subscript"/>
              </w:rPr>
              <w:t xml:space="preserve"> b, y</w:t>
            </w:r>
          </w:p>
        </w:tc>
        <w:tc>
          <w:tcPr>
            <w:tcW w:w="899" w:type="dxa"/>
          </w:tcPr>
          <w:p w14:paraId="22BB158B" w14:textId="77777777" w:rsidR="00636C61" w:rsidRPr="0013396E" w:rsidRDefault="00636C61" w:rsidP="0099759E">
            <w:pPr>
              <w:spacing w:after="60"/>
              <w:rPr>
                <w:iCs/>
                <w:sz w:val="20"/>
              </w:rPr>
            </w:pPr>
            <w:r w:rsidRPr="0013396E">
              <w:rPr>
                <w:iCs/>
                <w:sz w:val="20"/>
              </w:rPr>
              <w:t>none</w:t>
            </w:r>
          </w:p>
        </w:tc>
        <w:tc>
          <w:tcPr>
            <w:tcW w:w="7107" w:type="dxa"/>
          </w:tcPr>
          <w:p w14:paraId="7E363CF9" w14:textId="77777777" w:rsidR="00636C61" w:rsidRPr="0013396E" w:rsidRDefault="00636C61" w:rsidP="0099759E">
            <w:pPr>
              <w:spacing w:after="60"/>
              <w:rPr>
                <w:i/>
                <w:iCs/>
                <w:sz w:val="20"/>
              </w:rPr>
            </w:pPr>
            <w:r w:rsidRPr="0013396E">
              <w:rPr>
                <w:i/>
                <w:iCs/>
                <w:sz w:val="20"/>
              </w:rPr>
              <w:t>Load Zone Weighting Factor per bus per interval</w:t>
            </w:r>
            <w:r w:rsidRPr="0013396E">
              <w:rPr>
                <w:iCs/>
                <w:sz w:val="20"/>
              </w:rPr>
              <w:sym w:font="Symbol" w:char="F0BE"/>
            </w:r>
            <w:r w:rsidRPr="0013396E">
              <w:rPr>
                <w:iCs/>
                <w:sz w:val="20"/>
              </w:rPr>
              <w:t xml:space="preserve">The weight used in the Load Zone Settlement Point Price calculation for Electrical Bus </w:t>
            </w:r>
            <w:r w:rsidRPr="0013396E">
              <w:rPr>
                <w:i/>
                <w:iCs/>
                <w:sz w:val="20"/>
              </w:rPr>
              <w:t>b</w:t>
            </w:r>
            <w:r w:rsidRPr="0013396E">
              <w:rPr>
                <w:iCs/>
                <w:sz w:val="20"/>
              </w:rPr>
              <w:t xml:space="preserve">, for the portion of the SCED interval </w:t>
            </w:r>
            <w:r w:rsidRPr="0013396E">
              <w:rPr>
                <w:i/>
                <w:iCs/>
                <w:sz w:val="20"/>
              </w:rPr>
              <w:t>y</w:t>
            </w:r>
            <w:r w:rsidRPr="0013396E">
              <w:rPr>
                <w:iCs/>
                <w:sz w:val="20"/>
              </w:rPr>
              <w:t xml:space="preserve"> within the 15-minute Settlement Interval.</w:t>
            </w:r>
          </w:p>
        </w:tc>
      </w:tr>
      <w:tr w:rsidR="00636C61" w:rsidRPr="0013396E" w14:paraId="173B5032" w14:textId="77777777" w:rsidTr="0099759E">
        <w:tc>
          <w:tcPr>
            <w:tcW w:w="1264" w:type="dxa"/>
          </w:tcPr>
          <w:p w14:paraId="5CD1FE42" w14:textId="77777777" w:rsidR="00636C61" w:rsidRPr="0013396E" w:rsidRDefault="00636C61" w:rsidP="0099759E">
            <w:pPr>
              <w:spacing w:after="60"/>
              <w:rPr>
                <w:iCs/>
                <w:sz w:val="20"/>
              </w:rPr>
            </w:pPr>
            <w:r w:rsidRPr="0013396E">
              <w:rPr>
                <w:iCs/>
                <w:sz w:val="20"/>
              </w:rPr>
              <w:t>LZLMP</w:t>
            </w:r>
            <w:r w:rsidRPr="0013396E">
              <w:rPr>
                <w:i/>
                <w:iCs/>
                <w:sz w:val="20"/>
                <w:vertAlign w:val="subscript"/>
                <w:lang w:val="es-MX"/>
              </w:rPr>
              <w:t xml:space="preserve"> y</w:t>
            </w:r>
          </w:p>
        </w:tc>
        <w:tc>
          <w:tcPr>
            <w:tcW w:w="899" w:type="dxa"/>
          </w:tcPr>
          <w:p w14:paraId="7F141679" w14:textId="77777777" w:rsidR="00636C61" w:rsidRPr="0013396E" w:rsidRDefault="00636C61" w:rsidP="0099759E">
            <w:pPr>
              <w:spacing w:after="60"/>
              <w:rPr>
                <w:iCs/>
                <w:sz w:val="20"/>
              </w:rPr>
            </w:pPr>
            <w:r w:rsidRPr="0013396E">
              <w:rPr>
                <w:iCs/>
                <w:sz w:val="20"/>
              </w:rPr>
              <w:t>$/MWh</w:t>
            </w:r>
          </w:p>
        </w:tc>
        <w:tc>
          <w:tcPr>
            <w:tcW w:w="7107" w:type="dxa"/>
          </w:tcPr>
          <w:p w14:paraId="40AF1166" w14:textId="77777777" w:rsidR="00636C61" w:rsidRPr="0013396E" w:rsidRDefault="00636C61" w:rsidP="0099759E">
            <w:pPr>
              <w:spacing w:after="60"/>
              <w:rPr>
                <w:i/>
                <w:iCs/>
                <w:sz w:val="20"/>
              </w:rPr>
            </w:pPr>
            <w:r w:rsidRPr="0013396E">
              <w:rPr>
                <w:i/>
                <w:iCs/>
                <w:sz w:val="20"/>
              </w:rPr>
              <w:t>Load Zone Locational Marginal Price</w:t>
            </w:r>
            <w:r w:rsidRPr="0013396E">
              <w:rPr>
                <w:iCs/>
                <w:sz w:val="20"/>
              </w:rPr>
              <w:sym w:font="Symbol" w:char="F0BE"/>
            </w:r>
            <w:r w:rsidRPr="0013396E">
              <w:rPr>
                <w:iCs/>
                <w:sz w:val="20"/>
              </w:rPr>
              <w:t xml:space="preserve">The Load Zone LMP for the Load Zone for the SCED interval </w:t>
            </w:r>
            <w:r w:rsidRPr="0013396E">
              <w:rPr>
                <w:i/>
                <w:iCs/>
                <w:sz w:val="20"/>
              </w:rPr>
              <w:t>y</w:t>
            </w:r>
            <w:r w:rsidRPr="0013396E">
              <w:rPr>
                <w:iCs/>
                <w:sz w:val="20"/>
              </w:rPr>
              <w:t>.</w:t>
            </w:r>
          </w:p>
        </w:tc>
      </w:tr>
      <w:tr w:rsidR="00636C61" w:rsidRPr="0013396E" w14:paraId="76890921" w14:textId="77777777" w:rsidTr="0099759E">
        <w:tc>
          <w:tcPr>
            <w:tcW w:w="1264" w:type="dxa"/>
          </w:tcPr>
          <w:p w14:paraId="59805558" w14:textId="77777777" w:rsidR="00636C61" w:rsidRPr="0013396E" w:rsidRDefault="00636C61" w:rsidP="0099759E">
            <w:pPr>
              <w:spacing w:after="60"/>
              <w:rPr>
                <w:iCs/>
                <w:sz w:val="20"/>
              </w:rPr>
            </w:pPr>
            <w:r w:rsidRPr="0013396E">
              <w:rPr>
                <w:iCs/>
                <w:sz w:val="20"/>
              </w:rPr>
              <w:t xml:space="preserve">SEL </w:t>
            </w:r>
            <w:r w:rsidRPr="0013396E">
              <w:rPr>
                <w:i/>
                <w:iCs/>
                <w:sz w:val="20"/>
                <w:vertAlign w:val="subscript"/>
              </w:rPr>
              <w:t>b, y</w:t>
            </w:r>
          </w:p>
        </w:tc>
        <w:tc>
          <w:tcPr>
            <w:tcW w:w="899" w:type="dxa"/>
          </w:tcPr>
          <w:p w14:paraId="2B57003D" w14:textId="77777777" w:rsidR="00636C61" w:rsidRPr="0013396E" w:rsidRDefault="00636C61" w:rsidP="0099759E">
            <w:pPr>
              <w:spacing w:after="60"/>
              <w:rPr>
                <w:iCs/>
                <w:sz w:val="20"/>
              </w:rPr>
            </w:pPr>
            <w:r w:rsidRPr="0013396E">
              <w:rPr>
                <w:iCs/>
                <w:sz w:val="20"/>
              </w:rPr>
              <w:t>MW</w:t>
            </w:r>
          </w:p>
        </w:tc>
        <w:tc>
          <w:tcPr>
            <w:tcW w:w="7107" w:type="dxa"/>
          </w:tcPr>
          <w:p w14:paraId="25EEF8F1" w14:textId="49EB3FEA" w:rsidR="00636C61" w:rsidRPr="0013396E" w:rsidRDefault="00636C61" w:rsidP="0099759E">
            <w:pPr>
              <w:spacing w:after="60"/>
              <w:rPr>
                <w:iCs/>
                <w:sz w:val="20"/>
              </w:rPr>
            </w:pPr>
            <w:r w:rsidRPr="0013396E">
              <w:rPr>
                <w:i/>
                <w:sz w:val="20"/>
                <w:szCs w:val="24"/>
              </w:rPr>
              <w:t>State Estimator Load at bus per interval</w:t>
            </w:r>
            <w:r w:rsidRPr="0013396E">
              <w:rPr>
                <w:sz w:val="20"/>
                <w:szCs w:val="24"/>
              </w:rPr>
              <w:sym w:font="Symbol" w:char="F0BE"/>
            </w:r>
            <w:r w:rsidRPr="0013396E">
              <w:rPr>
                <w:sz w:val="20"/>
                <w:szCs w:val="24"/>
              </w:rPr>
              <w:t>The Load value from State Estimator, including a calculated net Load value at each Private Use Network and adjustments to account for Distribution Generation Resource (DGR) and Distribution Energy Storage Resource (DESR) injections and withdrawals that are settled at a Resource Node, excluding</w:t>
            </w:r>
            <w:r w:rsidRPr="0013396E">
              <w:rPr>
                <w:iCs/>
                <w:sz w:val="20"/>
              </w:rPr>
              <w:t xml:space="preserve"> </w:t>
            </w:r>
            <w:r w:rsidRPr="0013396E">
              <w:rPr>
                <w:sz w:val="20"/>
                <w:szCs w:val="24"/>
              </w:rPr>
              <w:t xml:space="preserve">Wholesale Storage Load (WSL) </w:t>
            </w:r>
            <w:r w:rsidRPr="0013396E">
              <w:rPr>
                <w:sz w:val="20"/>
              </w:rPr>
              <w:t xml:space="preserve">and Non-WSL Energy Storage Resource (ESR) Charging Load, </w:t>
            </w:r>
            <w:r w:rsidRPr="0013396E">
              <w:rPr>
                <w:sz w:val="20"/>
                <w:szCs w:val="24"/>
              </w:rPr>
              <w:t xml:space="preserve">for Electrical Bus </w:t>
            </w:r>
            <w:r w:rsidRPr="0013396E">
              <w:rPr>
                <w:i/>
                <w:sz w:val="20"/>
                <w:szCs w:val="24"/>
              </w:rPr>
              <w:t>b</w:t>
            </w:r>
            <w:r w:rsidRPr="0013396E">
              <w:rPr>
                <w:sz w:val="20"/>
                <w:szCs w:val="24"/>
              </w:rPr>
              <w:t xml:space="preserve"> in the Load Zone, for the SCED interval </w:t>
            </w:r>
            <w:r w:rsidRPr="0013396E">
              <w:rPr>
                <w:i/>
                <w:sz w:val="20"/>
                <w:szCs w:val="24"/>
              </w:rPr>
              <w:t>y</w:t>
            </w:r>
            <w:r w:rsidRPr="0013396E">
              <w:rPr>
                <w:sz w:val="2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867"/>
            </w:tblGrid>
            <w:tr w:rsidR="00636C61" w:rsidRPr="0013396E" w14:paraId="745C5BAD" w14:textId="77777777" w:rsidTr="0099759E">
              <w:trPr>
                <w:trHeight w:val="206"/>
              </w:trPr>
              <w:tc>
                <w:tcPr>
                  <w:tcW w:w="9350" w:type="dxa"/>
                  <w:shd w:val="pct12" w:color="auto" w:fill="auto"/>
                </w:tcPr>
                <w:p w14:paraId="5BD0FF6E" w14:textId="6DB9284C" w:rsidR="00636C61" w:rsidRPr="0013396E" w:rsidRDefault="00636C61" w:rsidP="00636C61">
                  <w:pPr>
                    <w:spacing w:before="120" w:after="240"/>
                    <w:rPr>
                      <w:b/>
                      <w:i/>
                      <w:iCs/>
                      <w:szCs w:val="24"/>
                    </w:rPr>
                  </w:pPr>
                  <w:r w:rsidRPr="0013396E">
                    <w:rPr>
                      <w:b/>
                      <w:i/>
                      <w:iCs/>
                      <w:szCs w:val="24"/>
                    </w:rPr>
                    <w:lastRenderedPageBreak/>
                    <w:t>[NPRR1</w:t>
                  </w:r>
                  <w:r>
                    <w:rPr>
                      <w:b/>
                      <w:i/>
                      <w:iCs/>
                      <w:szCs w:val="24"/>
                    </w:rPr>
                    <w:t>188</w:t>
                  </w:r>
                  <w:r w:rsidRPr="0013396E">
                    <w:rPr>
                      <w:b/>
                      <w:i/>
                      <w:iCs/>
                      <w:szCs w:val="24"/>
                    </w:rPr>
                    <w:t xml:space="preserve">: </w:t>
                  </w:r>
                  <w:r>
                    <w:rPr>
                      <w:b/>
                      <w:i/>
                      <w:iCs/>
                      <w:szCs w:val="24"/>
                    </w:rPr>
                    <w:t>Replace</w:t>
                  </w:r>
                  <w:r w:rsidRPr="0013396E">
                    <w:rPr>
                      <w:b/>
                      <w:i/>
                      <w:iCs/>
                      <w:szCs w:val="24"/>
                    </w:rPr>
                    <w:t xml:space="preserve"> </w:t>
                  </w:r>
                  <w:r>
                    <w:rPr>
                      <w:b/>
                      <w:i/>
                      <w:iCs/>
                      <w:szCs w:val="24"/>
                    </w:rPr>
                    <w:t>the description</w:t>
                  </w:r>
                  <w:r w:rsidRPr="0013396E">
                    <w:rPr>
                      <w:b/>
                      <w:i/>
                      <w:iCs/>
                      <w:szCs w:val="24"/>
                    </w:rPr>
                    <w:t xml:space="preserve"> </w:t>
                  </w:r>
                  <w:r>
                    <w:rPr>
                      <w:b/>
                      <w:i/>
                      <w:iCs/>
                      <w:szCs w:val="24"/>
                    </w:rPr>
                    <w:t>above with the following</w:t>
                  </w:r>
                  <w:r w:rsidRPr="0013396E">
                    <w:rPr>
                      <w:b/>
                      <w:i/>
                      <w:iCs/>
                      <w:szCs w:val="24"/>
                    </w:rPr>
                    <w:t xml:space="preserve"> upon system implementation:]</w:t>
                  </w:r>
                </w:p>
                <w:p w14:paraId="7BE3FC8B" w14:textId="77756D7C" w:rsidR="00636C61" w:rsidRPr="00636C61" w:rsidRDefault="00636C61" w:rsidP="00636C61">
                  <w:pPr>
                    <w:spacing w:after="60"/>
                    <w:rPr>
                      <w:iCs/>
                      <w:sz w:val="20"/>
                    </w:rPr>
                  </w:pPr>
                  <w:r w:rsidRPr="0013396E">
                    <w:rPr>
                      <w:i/>
                      <w:sz w:val="20"/>
                      <w:szCs w:val="24"/>
                    </w:rPr>
                    <w:t>State Estimator Load at bus per interval</w:t>
                  </w:r>
                  <w:r w:rsidRPr="0013396E">
                    <w:rPr>
                      <w:sz w:val="20"/>
                      <w:szCs w:val="24"/>
                    </w:rPr>
                    <w:sym w:font="Symbol" w:char="F0BE"/>
                  </w:r>
                  <w:r w:rsidRPr="0013396E">
                    <w:rPr>
                      <w:sz w:val="20"/>
                      <w:szCs w:val="24"/>
                    </w:rPr>
                    <w:t>The Load value from State Estimator, including a calculated net Load value at each Private Use Network and adjustments to account for Distribution Generation Resource (DGR) and Distribution Energy Storage Resource (DESR) injections and withdrawals that are settled at a Resource Node, excluding</w:t>
                  </w:r>
                  <w:r w:rsidRPr="0013396E">
                    <w:rPr>
                      <w:iCs/>
                      <w:sz w:val="20"/>
                    </w:rPr>
                    <w:t xml:space="preserve"> Controllable Load Resource (CLR) Load that is not an Aggregate Load Resource (ALR),</w:t>
                  </w:r>
                  <w:r w:rsidRPr="0013396E">
                    <w:rPr>
                      <w:sz w:val="20"/>
                      <w:szCs w:val="24"/>
                    </w:rPr>
                    <w:t xml:space="preserve"> Wholesale Storage Load (WSL) </w:t>
                  </w:r>
                  <w:r w:rsidRPr="0013396E">
                    <w:rPr>
                      <w:sz w:val="20"/>
                    </w:rPr>
                    <w:t xml:space="preserve">and Non-WSL Energy Storage Resource (ESR) Charging Load, </w:t>
                  </w:r>
                  <w:r w:rsidRPr="0013396E">
                    <w:rPr>
                      <w:sz w:val="20"/>
                      <w:szCs w:val="24"/>
                    </w:rPr>
                    <w:t xml:space="preserve">for Electrical Bus </w:t>
                  </w:r>
                  <w:r w:rsidRPr="0013396E">
                    <w:rPr>
                      <w:i/>
                      <w:sz w:val="20"/>
                      <w:szCs w:val="24"/>
                    </w:rPr>
                    <w:t>b</w:t>
                  </w:r>
                  <w:r w:rsidRPr="0013396E">
                    <w:rPr>
                      <w:sz w:val="20"/>
                      <w:szCs w:val="24"/>
                    </w:rPr>
                    <w:t xml:space="preserve"> in the Load Zone, for the SCED interval </w:t>
                  </w:r>
                  <w:r w:rsidRPr="0013396E">
                    <w:rPr>
                      <w:i/>
                      <w:sz w:val="20"/>
                      <w:szCs w:val="24"/>
                    </w:rPr>
                    <w:t>y</w:t>
                  </w:r>
                  <w:r w:rsidRPr="0013396E">
                    <w:rPr>
                      <w:sz w:val="20"/>
                      <w:szCs w:val="24"/>
                    </w:rPr>
                    <w:t>.</w:t>
                  </w:r>
                </w:p>
              </w:tc>
            </w:tr>
          </w:tbl>
          <w:p w14:paraId="43B0F3E2" w14:textId="1A1154CD" w:rsidR="00636C61" w:rsidRPr="0013396E" w:rsidRDefault="00636C61" w:rsidP="0099759E">
            <w:pPr>
              <w:spacing w:after="60"/>
              <w:rPr>
                <w:iCs/>
                <w:sz w:val="20"/>
              </w:rPr>
            </w:pPr>
          </w:p>
        </w:tc>
      </w:tr>
      <w:tr w:rsidR="00636C61" w:rsidRPr="0013396E" w14:paraId="555EBD69" w14:textId="77777777" w:rsidTr="0099759E">
        <w:tc>
          <w:tcPr>
            <w:tcW w:w="1264" w:type="dxa"/>
          </w:tcPr>
          <w:p w14:paraId="023023A3" w14:textId="77777777" w:rsidR="00636C61" w:rsidRPr="0013396E" w:rsidRDefault="00636C61" w:rsidP="0099759E">
            <w:pPr>
              <w:spacing w:after="60"/>
              <w:rPr>
                <w:iCs/>
                <w:sz w:val="20"/>
              </w:rPr>
            </w:pPr>
            <w:r w:rsidRPr="0013396E">
              <w:rPr>
                <w:iCs/>
                <w:sz w:val="20"/>
              </w:rPr>
              <w:lastRenderedPageBreak/>
              <w:t xml:space="preserve">TLMP </w:t>
            </w:r>
            <w:r w:rsidRPr="0013396E">
              <w:rPr>
                <w:i/>
                <w:iCs/>
                <w:sz w:val="20"/>
                <w:vertAlign w:val="subscript"/>
              </w:rPr>
              <w:t>y</w:t>
            </w:r>
          </w:p>
        </w:tc>
        <w:tc>
          <w:tcPr>
            <w:tcW w:w="899" w:type="dxa"/>
          </w:tcPr>
          <w:p w14:paraId="0BD3E661" w14:textId="77777777" w:rsidR="00636C61" w:rsidRPr="0013396E" w:rsidRDefault="00636C61" w:rsidP="0099759E">
            <w:pPr>
              <w:spacing w:after="60"/>
              <w:rPr>
                <w:sz w:val="20"/>
              </w:rPr>
            </w:pPr>
            <w:r w:rsidRPr="0013396E">
              <w:rPr>
                <w:iCs/>
                <w:sz w:val="20"/>
              </w:rPr>
              <w:t>second</w:t>
            </w:r>
          </w:p>
        </w:tc>
        <w:tc>
          <w:tcPr>
            <w:tcW w:w="7107" w:type="dxa"/>
          </w:tcPr>
          <w:p w14:paraId="5B39D9A0" w14:textId="77777777" w:rsidR="00636C61" w:rsidRPr="0013396E" w:rsidRDefault="00636C61" w:rsidP="0099759E">
            <w:pPr>
              <w:spacing w:after="60"/>
              <w:rPr>
                <w:iCs/>
                <w:sz w:val="20"/>
              </w:rPr>
            </w:pPr>
            <w:r w:rsidRPr="0013396E">
              <w:rPr>
                <w:i/>
                <w:sz w:val="20"/>
              </w:rPr>
              <w:t xml:space="preserve">Duration of </w:t>
            </w:r>
            <w:r w:rsidRPr="0013396E">
              <w:rPr>
                <w:i/>
                <w:iCs/>
                <w:sz w:val="20"/>
              </w:rPr>
              <w:t>SCED</w:t>
            </w:r>
            <w:r w:rsidRPr="0013396E">
              <w:rPr>
                <w:i/>
                <w:sz w:val="20"/>
              </w:rPr>
              <w:t xml:space="preserve"> interval per interval</w:t>
            </w:r>
            <w:r w:rsidRPr="0013396E">
              <w:rPr>
                <w:iCs/>
                <w:sz w:val="20"/>
              </w:rPr>
              <w:sym w:font="Symbol" w:char="F0BE"/>
            </w:r>
            <w:r w:rsidRPr="0013396E">
              <w:rPr>
                <w:iCs/>
                <w:sz w:val="20"/>
              </w:rPr>
              <w:t xml:space="preserve">The duration of the portion of the SCED interval </w:t>
            </w:r>
            <w:r w:rsidRPr="0013396E">
              <w:rPr>
                <w:i/>
                <w:sz w:val="20"/>
              </w:rPr>
              <w:t>y</w:t>
            </w:r>
            <w:r w:rsidRPr="0013396E">
              <w:rPr>
                <w:iCs/>
                <w:sz w:val="20"/>
              </w:rPr>
              <w:t xml:space="preserve"> within the Settlement Interval.</w:t>
            </w:r>
          </w:p>
        </w:tc>
      </w:tr>
      <w:tr w:rsidR="00636C61" w:rsidRPr="0013396E" w14:paraId="6A6C9416" w14:textId="77777777" w:rsidTr="0099759E">
        <w:tc>
          <w:tcPr>
            <w:tcW w:w="1264" w:type="dxa"/>
          </w:tcPr>
          <w:p w14:paraId="2E953E16" w14:textId="77777777" w:rsidR="00636C61" w:rsidRPr="0013396E" w:rsidRDefault="00636C61" w:rsidP="0099759E">
            <w:pPr>
              <w:spacing w:after="60"/>
              <w:rPr>
                <w:i/>
                <w:iCs/>
                <w:sz w:val="20"/>
              </w:rPr>
            </w:pPr>
            <w:r w:rsidRPr="0013396E">
              <w:rPr>
                <w:i/>
                <w:iCs/>
                <w:sz w:val="20"/>
              </w:rPr>
              <w:t>y</w:t>
            </w:r>
          </w:p>
        </w:tc>
        <w:tc>
          <w:tcPr>
            <w:tcW w:w="899" w:type="dxa"/>
          </w:tcPr>
          <w:p w14:paraId="2E7B9CC6" w14:textId="77777777" w:rsidR="00636C61" w:rsidRPr="0013396E" w:rsidRDefault="00636C61" w:rsidP="0099759E">
            <w:pPr>
              <w:spacing w:after="60"/>
              <w:rPr>
                <w:iCs/>
                <w:sz w:val="20"/>
              </w:rPr>
            </w:pPr>
            <w:r w:rsidRPr="0013396E">
              <w:rPr>
                <w:iCs/>
                <w:sz w:val="20"/>
              </w:rPr>
              <w:t>none</w:t>
            </w:r>
          </w:p>
        </w:tc>
        <w:tc>
          <w:tcPr>
            <w:tcW w:w="7107" w:type="dxa"/>
          </w:tcPr>
          <w:p w14:paraId="573A160B" w14:textId="77777777" w:rsidR="00636C61" w:rsidRPr="0013396E" w:rsidRDefault="00636C61" w:rsidP="0099759E">
            <w:pPr>
              <w:spacing w:after="60"/>
              <w:rPr>
                <w:iCs/>
                <w:sz w:val="20"/>
              </w:rPr>
            </w:pPr>
            <w:r w:rsidRPr="0013396E">
              <w:rPr>
                <w:iCs/>
                <w:sz w:val="20"/>
              </w:rPr>
              <w:t>A SCED interval in the 15-minute Settlement Interval.  The summation is over the total number of SCED runs that cover the 15-minute Settlement Interval.</w:t>
            </w:r>
          </w:p>
        </w:tc>
      </w:tr>
      <w:tr w:rsidR="00636C61" w:rsidRPr="0013396E" w14:paraId="0FE20114" w14:textId="77777777" w:rsidTr="0099759E">
        <w:tc>
          <w:tcPr>
            <w:tcW w:w="1264" w:type="dxa"/>
          </w:tcPr>
          <w:p w14:paraId="627A0601" w14:textId="77777777" w:rsidR="00636C61" w:rsidRPr="0013396E" w:rsidRDefault="00636C61" w:rsidP="0099759E">
            <w:pPr>
              <w:spacing w:after="60"/>
              <w:rPr>
                <w:i/>
                <w:iCs/>
                <w:sz w:val="20"/>
              </w:rPr>
            </w:pPr>
            <w:r w:rsidRPr="0013396E">
              <w:rPr>
                <w:i/>
                <w:iCs/>
                <w:sz w:val="20"/>
              </w:rPr>
              <w:t>b</w:t>
            </w:r>
          </w:p>
        </w:tc>
        <w:tc>
          <w:tcPr>
            <w:tcW w:w="899" w:type="dxa"/>
          </w:tcPr>
          <w:p w14:paraId="7E45316C" w14:textId="77777777" w:rsidR="00636C61" w:rsidRPr="0013396E" w:rsidRDefault="00636C61" w:rsidP="0099759E">
            <w:pPr>
              <w:spacing w:after="60"/>
              <w:rPr>
                <w:iCs/>
                <w:sz w:val="20"/>
              </w:rPr>
            </w:pPr>
            <w:r w:rsidRPr="0013396E">
              <w:rPr>
                <w:iCs/>
                <w:sz w:val="20"/>
              </w:rPr>
              <w:t>none</w:t>
            </w:r>
          </w:p>
        </w:tc>
        <w:tc>
          <w:tcPr>
            <w:tcW w:w="7107" w:type="dxa"/>
          </w:tcPr>
          <w:p w14:paraId="3F85ED00" w14:textId="77777777" w:rsidR="00636C61" w:rsidRPr="0013396E" w:rsidRDefault="00636C61" w:rsidP="0099759E">
            <w:pPr>
              <w:spacing w:after="60"/>
              <w:rPr>
                <w:iCs/>
                <w:sz w:val="20"/>
              </w:rPr>
            </w:pPr>
            <w:r w:rsidRPr="0013396E">
              <w:rPr>
                <w:iCs/>
                <w:sz w:val="20"/>
              </w:rPr>
              <w:t>An Electrical Bus in the Load Zone.  The summation is over all of the Electrical Buses in the Load Zone.</w:t>
            </w:r>
          </w:p>
        </w:tc>
      </w:tr>
    </w:tbl>
    <w:p w14:paraId="7719E89F" w14:textId="6C703255" w:rsidR="001F04FD" w:rsidRPr="0013396E" w:rsidRDefault="001F04FD" w:rsidP="001F04FD">
      <w:pPr>
        <w:pStyle w:val="H4"/>
        <w:spacing w:before="480"/>
        <w:ind w:left="1267" w:hanging="1267"/>
      </w:pPr>
      <w:bookmarkStart w:id="1401" w:name="_Toc109009383"/>
      <w:bookmarkStart w:id="1402" w:name="_Toc397505005"/>
      <w:bookmarkStart w:id="1403" w:name="_Toc402357133"/>
      <w:bookmarkStart w:id="1404" w:name="_Toc422486511"/>
      <w:bookmarkStart w:id="1405" w:name="_Toc433093363"/>
      <w:bookmarkStart w:id="1406" w:name="_Toc433093521"/>
      <w:bookmarkStart w:id="1407" w:name="_Toc440874749"/>
      <w:bookmarkStart w:id="1408" w:name="_Toc448142304"/>
      <w:bookmarkStart w:id="1409" w:name="_Toc448142461"/>
      <w:bookmarkStart w:id="1410" w:name="_Toc458770298"/>
      <w:bookmarkStart w:id="1411" w:name="_Toc459294266"/>
      <w:bookmarkStart w:id="1412" w:name="_Toc463262759"/>
      <w:bookmarkStart w:id="1413" w:name="_Toc468286832"/>
      <w:bookmarkStart w:id="1414" w:name="_Toc481502878"/>
      <w:bookmarkStart w:id="1415" w:name="_Toc496080046"/>
      <w:bookmarkStart w:id="1416" w:name="_Toc236220160"/>
      <w:bookmarkStart w:id="1417" w:name="_Toc87951784"/>
      <w:bookmarkEnd w:id="1399"/>
      <w:bookmarkEnd w:id="1400"/>
      <w:r w:rsidRPr="0013396E">
        <w:t>6.6.1.3</w:t>
      </w:r>
      <w:r w:rsidRPr="0013396E">
        <w:tab/>
        <w:t>Real-Time Settlement Point Price for a Hub</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14:paraId="37FE2601" w14:textId="71B27BC6" w:rsidR="001F04FD" w:rsidRPr="0013396E" w:rsidRDefault="001F04FD" w:rsidP="001F04FD">
      <w:pPr>
        <w:pStyle w:val="BodyText"/>
        <w:ind w:left="720" w:hanging="720"/>
      </w:pPr>
      <w:r w:rsidRPr="0013396E">
        <w:t>(1)</w:t>
      </w:r>
      <w:r w:rsidRPr="0013396E">
        <w:tab/>
        <w:t>The Real-Time S</w:t>
      </w:r>
      <w:r w:rsidR="00082248" w:rsidRPr="0013396E">
        <w:t xml:space="preserve">ettlement </w:t>
      </w:r>
      <w:r w:rsidRPr="0013396E">
        <w:t>P</w:t>
      </w:r>
      <w:r w:rsidR="00082248" w:rsidRPr="0013396E">
        <w:t xml:space="preserve">oint </w:t>
      </w:r>
      <w:r w:rsidRPr="0013396E">
        <w:t>P</w:t>
      </w:r>
      <w:r w:rsidR="00082248" w:rsidRPr="0013396E">
        <w:t>rice</w:t>
      </w:r>
      <w:r w:rsidRPr="0013396E">
        <w:t xml:space="preserve"> at a Hub is determined according to the methodology included in the definition of that Hub in Section 3.5.2, Hub Definitions.</w:t>
      </w:r>
    </w:p>
    <w:p w14:paraId="2C04D326" w14:textId="77777777" w:rsidR="001F04FD" w:rsidRPr="0013396E" w:rsidRDefault="001F04FD" w:rsidP="005A7D8E">
      <w:pPr>
        <w:pStyle w:val="H4"/>
        <w:spacing w:before="480"/>
        <w:ind w:left="1267" w:hanging="1267"/>
      </w:pPr>
      <w:bookmarkStart w:id="1418" w:name="_Toc397505006"/>
      <w:bookmarkStart w:id="1419" w:name="_Toc402357134"/>
      <w:bookmarkStart w:id="1420" w:name="_Toc422486512"/>
      <w:bookmarkStart w:id="1421" w:name="_Toc433093364"/>
      <w:bookmarkStart w:id="1422" w:name="_Toc433093522"/>
      <w:bookmarkStart w:id="1423" w:name="_Toc440874750"/>
      <w:bookmarkStart w:id="1424" w:name="_Toc448142305"/>
      <w:bookmarkStart w:id="1425" w:name="_Toc448142462"/>
      <w:bookmarkStart w:id="1426" w:name="_Toc458770299"/>
      <w:bookmarkStart w:id="1427" w:name="_Toc459294267"/>
      <w:bookmarkStart w:id="1428" w:name="_Toc463262760"/>
      <w:bookmarkStart w:id="1429" w:name="_Toc468286833"/>
      <w:bookmarkStart w:id="1430" w:name="_Toc481502879"/>
      <w:bookmarkStart w:id="1431" w:name="_Toc496080047"/>
      <w:bookmarkStart w:id="1432" w:name="_Toc236220161"/>
      <w:r w:rsidRPr="0013396E">
        <w:t>6.6.1.4</w:t>
      </w:r>
      <w:r w:rsidRPr="0013396E">
        <w:tab/>
        <w:t>Load Zone LMPs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14:paraId="50252A07" w14:textId="389A3A01" w:rsidR="001F04FD" w:rsidRPr="0013396E" w:rsidRDefault="001F04FD" w:rsidP="001F04FD">
      <w:pPr>
        <w:pStyle w:val="BodyText"/>
        <w:ind w:left="720" w:hanging="720"/>
      </w:pPr>
      <w:r w:rsidRPr="0013396E">
        <w:t>(1)</w:t>
      </w:r>
      <w:r w:rsidRPr="0013396E">
        <w:tab/>
        <w:t xml:space="preserve">The Load Zone LMPs shall be posted on the </w:t>
      </w:r>
      <w:r w:rsidR="0007207E" w:rsidRPr="0013396E">
        <w:t>ERCOT website</w:t>
      </w:r>
      <w:r w:rsidRPr="0013396E">
        <w:t xml:space="preserve">.  The Load Zone LMP is based on the state-estimated Loads in MW and the Real-Time LMPs at the Electrical Buses included in the Load Zone.  The Load Zone LMP for a Load Zone for a SCED </w:t>
      </w:r>
      <w:r w:rsidR="00235D03" w:rsidRPr="0013396E">
        <w:t>i</w:t>
      </w:r>
      <w:r w:rsidRPr="0013396E">
        <w:t>nterval is calculated as follows:</w:t>
      </w:r>
    </w:p>
    <w:p w14:paraId="3CCA247C" w14:textId="77777777" w:rsidR="001F04FD" w:rsidRPr="0013396E" w:rsidRDefault="001F04FD" w:rsidP="001F04FD">
      <w:pPr>
        <w:pStyle w:val="FormulaBold"/>
        <w:rPr>
          <w:lang w:val="es-MX"/>
        </w:rPr>
      </w:pPr>
      <w:r w:rsidRPr="0013396E">
        <w:rPr>
          <w:lang w:val="es-MX"/>
        </w:rPr>
        <w:t>LZLMP</w:t>
      </w:r>
      <w:r w:rsidRPr="0013396E">
        <w:rPr>
          <w:i/>
          <w:vertAlign w:val="subscript"/>
          <w:lang w:val="es-MX"/>
        </w:rPr>
        <w:t xml:space="preserve"> y</w:t>
      </w:r>
      <w:r w:rsidRPr="0013396E">
        <w:rPr>
          <w:lang w:val="es-MX"/>
        </w:rPr>
        <w:tab/>
        <w:t>=</w:t>
      </w:r>
      <w:r w:rsidRPr="0013396E">
        <w:rPr>
          <w:lang w:val="es-MX"/>
        </w:rPr>
        <w:tab/>
      </w:r>
      <w:r w:rsidRPr="0013396E">
        <w:rPr>
          <w:position w:val="-20"/>
        </w:rPr>
        <w:object w:dxaOrig="225" w:dyaOrig="435" w14:anchorId="3C7B9194">
          <v:shape id="_x0000_i1043" type="#_x0000_t75" style="width:12pt;height:18pt" o:ole="">
            <v:imagedata r:id="rId33" o:title=""/>
          </v:shape>
          <o:OLEObject Type="Embed" ProgID="Equation.3" ShapeID="_x0000_i1043" DrawAspect="Content" ObjectID="_1849065674" r:id="rId41"/>
        </w:object>
      </w:r>
      <w:r w:rsidRPr="0013396E">
        <w:rPr>
          <w:lang w:val="es-MX"/>
        </w:rPr>
        <w:t xml:space="preserve"> (RTLMP</w:t>
      </w:r>
      <w:r w:rsidRPr="0013396E">
        <w:rPr>
          <w:vertAlign w:val="subscript"/>
          <w:lang w:val="es-MX"/>
        </w:rPr>
        <w:t xml:space="preserve"> </w:t>
      </w:r>
      <w:r w:rsidRPr="0013396E">
        <w:rPr>
          <w:i/>
          <w:vertAlign w:val="subscript"/>
          <w:lang w:val="es-MX"/>
        </w:rPr>
        <w:t>b, y</w:t>
      </w:r>
      <w:r w:rsidRPr="0013396E">
        <w:rPr>
          <w:lang w:val="es-MX"/>
        </w:rPr>
        <w:t xml:space="preserve"> * LZWF</w:t>
      </w:r>
      <w:r w:rsidRPr="0013396E">
        <w:rPr>
          <w:i/>
          <w:vertAlign w:val="subscript"/>
          <w:lang w:val="es-MX"/>
        </w:rPr>
        <w:t xml:space="preserve"> b, y</w:t>
      </w:r>
      <w:r w:rsidRPr="0013396E">
        <w:rPr>
          <w:lang w:val="es-MX"/>
        </w:rPr>
        <w:t>)</w:t>
      </w:r>
    </w:p>
    <w:p w14:paraId="31E69000" w14:textId="77777777" w:rsidR="001F04FD" w:rsidRPr="0013396E" w:rsidRDefault="001F04FD" w:rsidP="001F04FD">
      <w:pPr>
        <w:pStyle w:val="BodyText"/>
      </w:pPr>
      <w:r w:rsidRPr="0013396E">
        <w:t xml:space="preserve">For all Load Zones except DC Tie Load Zones: </w:t>
      </w:r>
    </w:p>
    <w:p w14:paraId="752F1980" w14:textId="77777777" w:rsidR="001F04FD" w:rsidRPr="0013396E" w:rsidRDefault="001F04FD" w:rsidP="001F04FD">
      <w:pPr>
        <w:pStyle w:val="FormulaBold"/>
        <w:rPr>
          <w:lang w:val="es-MX"/>
        </w:rPr>
      </w:pPr>
      <w:r w:rsidRPr="0013396E">
        <w:rPr>
          <w:lang w:val="es-MX"/>
        </w:rPr>
        <w:t>LZWF</w:t>
      </w:r>
      <w:r w:rsidRPr="0013396E">
        <w:rPr>
          <w:i/>
          <w:vertAlign w:val="subscript"/>
          <w:lang w:val="es-MX"/>
        </w:rPr>
        <w:t xml:space="preserve"> b, y</w:t>
      </w:r>
      <w:r w:rsidRPr="0013396E">
        <w:rPr>
          <w:lang w:val="es-MX"/>
        </w:rPr>
        <w:t xml:space="preserve"> </w:t>
      </w:r>
      <w:r w:rsidRPr="0013396E">
        <w:rPr>
          <w:lang w:val="es-MX"/>
        </w:rPr>
        <w:tab/>
        <w:t>=</w:t>
      </w:r>
      <w:r w:rsidRPr="0013396E">
        <w:rPr>
          <w:lang w:val="es-MX"/>
        </w:rPr>
        <w:tab/>
        <w:t>SEL</w:t>
      </w:r>
      <w:r w:rsidRPr="0013396E">
        <w:rPr>
          <w:vertAlign w:val="subscript"/>
          <w:lang w:val="es-MX"/>
        </w:rPr>
        <w:t xml:space="preserve"> </w:t>
      </w:r>
      <w:r w:rsidRPr="0013396E">
        <w:rPr>
          <w:i/>
          <w:vertAlign w:val="subscript"/>
          <w:lang w:val="es-MX"/>
        </w:rPr>
        <w:t>b, y</w:t>
      </w:r>
      <w:r w:rsidRPr="0013396E">
        <w:rPr>
          <w:lang w:val="es-MX"/>
        </w:rPr>
        <w:t xml:space="preserve"> </w:t>
      </w:r>
      <w:r w:rsidRPr="0013396E">
        <w:rPr>
          <w:b w:val="0"/>
          <w:sz w:val="32"/>
          <w:szCs w:val="32"/>
          <w:lang w:val="es-MX"/>
        </w:rPr>
        <w:t>/</w:t>
      </w:r>
      <w:r w:rsidRPr="0013396E">
        <w:rPr>
          <w:lang w:val="es-MX"/>
        </w:rPr>
        <w:t xml:space="preserve"> (</w:t>
      </w:r>
      <w:r w:rsidRPr="0013396E">
        <w:rPr>
          <w:position w:val="-20"/>
        </w:rPr>
        <w:object w:dxaOrig="225" w:dyaOrig="435" w14:anchorId="6B8CB4C1">
          <v:shape id="_x0000_i1044" type="#_x0000_t75" style="width:12pt;height:18pt" o:ole="">
            <v:imagedata r:id="rId28" o:title=""/>
          </v:shape>
          <o:OLEObject Type="Embed" ProgID="Equation.3" ShapeID="_x0000_i1044" DrawAspect="Content" ObjectID="_1849065675" r:id="rId42"/>
        </w:object>
      </w:r>
      <w:r w:rsidRPr="0013396E">
        <w:rPr>
          <w:lang w:val="es-MX"/>
        </w:rPr>
        <w:t>SEL</w:t>
      </w:r>
      <w:r w:rsidRPr="0013396E">
        <w:rPr>
          <w:vertAlign w:val="subscript"/>
          <w:lang w:val="es-MX"/>
        </w:rPr>
        <w:t xml:space="preserve"> </w:t>
      </w:r>
      <w:r w:rsidRPr="0013396E">
        <w:rPr>
          <w:i/>
          <w:vertAlign w:val="subscript"/>
          <w:lang w:val="es-MX"/>
        </w:rPr>
        <w:t>b, y</w:t>
      </w:r>
      <w:r w:rsidRPr="0013396E">
        <w:rPr>
          <w:lang w:val="es-MX"/>
        </w:rPr>
        <w:t>)</w:t>
      </w:r>
    </w:p>
    <w:p w14:paraId="2AF24AF9" w14:textId="77777777" w:rsidR="001F04FD" w:rsidRPr="0013396E" w:rsidRDefault="001F04FD" w:rsidP="001F04FD">
      <w:pPr>
        <w:pStyle w:val="BodyText"/>
      </w:pPr>
      <w:r w:rsidRPr="0013396E">
        <w:t>For a DC Tie Load Zone:</w:t>
      </w:r>
    </w:p>
    <w:p w14:paraId="2C32F585" w14:textId="77777777" w:rsidR="001F04FD" w:rsidRPr="0013396E" w:rsidRDefault="001F04FD" w:rsidP="001F04FD">
      <w:pPr>
        <w:pStyle w:val="FormulaBold"/>
        <w:rPr>
          <w:lang w:val="es-MX"/>
        </w:rPr>
      </w:pPr>
      <w:r w:rsidRPr="0013396E">
        <w:rPr>
          <w:lang w:val="es-MX"/>
        </w:rPr>
        <w:t>LZWF</w:t>
      </w:r>
      <w:r w:rsidRPr="0013396E">
        <w:rPr>
          <w:i/>
          <w:vertAlign w:val="subscript"/>
          <w:lang w:val="es-MX"/>
        </w:rPr>
        <w:t xml:space="preserve"> b, y</w:t>
      </w:r>
      <w:r w:rsidRPr="0013396E">
        <w:rPr>
          <w:lang w:val="es-MX"/>
        </w:rPr>
        <w:t xml:space="preserve"> </w:t>
      </w:r>
      <w:r w:rsidRPr="0013396E">
        <w:rPr>
          <w:lang w:val="es-MX"/>
        </w:rPr>
        <w:tab/>
        <w:t>=</w:t>
      </w:r>
      <w:r w:rsidRPr="0013396E">
        <w:rPr>
          <w:lang w:val="es-MX"/>
        </w:rPr>
        <w:tab/>
        <w:t>[Max (0.001, SEL</w:t>
      </w:r>
      <w:r w:rsidRPr="0013396E">
        <w:rPr>
          <w:vertAlign w:val="subscript"/>
          <w:lang w:val="es-MX"/>
        </w:rPr>
        <w:t xml:space="preserve"> b, y</w:t>
      </w:r>
      <w:r w:rsidRPr="0013396E">
        <w:rPr>
          <w:lang w:val="es-MX"/>
        </w:rPr>
        <w:t xml:space="preserve">)]  </w:t>
      </w:r>
      <w:r w:rsidRPr="0013396E">
        <w:rPr>
          <w:sz w:val="32"/>
          <w:szCs w:val="32"/>
          <w:lang w:val="es-MX"/>
        </w:rPr>
        <w:t>/</w:t>
      </w:r>
      <w:r w:rsidRPr="0013396E">
        <w:rPr>
          <w:lang w:val="es-MX"/>
        </w:rPr>
        <w:t xml:space="preserve">  [Max (0.001, SEL</w:t>
      </w:r>
      <w:r w:rsidRPr="0013396E">
        <w:rPr>
          <w:vertAlign w:val="subscript"/>
          <w:lang w:val="es-MX"/>
        </w:rPr>
        <w:t xml:space="preserve"> b, y</w:t>
      </w:r>
      <w:r w:rsidRPr="0013396E">
        <w:rPr>
          <w:lang w:val="es-MX"/>
        </w:rPr>
        <w:t>)]</w:t>
      </w:r>
    </w:p>
    <w:p w14:paraId="3A01B899" w14:textId="77777777" w:rsidR="001F04FD" w:rsidRPr="0013396E" w:rsidRDefault="001F04FD" w:rsidP="001F04FD">
      <w:r w:rsidRPr="0013396E">
        <w:t>The above variables are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95"/>
        <w:gridCol w:w="900"/>
        <w:gridCol w:w="7175"/>
      </w:tblGrid>
      <w:tr w:rsidR="001F04FD" w:rsidRPr="0013396E" w14:paraId="73DEB3CE" w14:textId="77777777" w:rsidTr="00AC4DEE">
        <w:tc>
          <w:tcPr>
            <w:tcW w:w="1195" w:type="dxa"/>
          </w:tcPr>
          <w:p w14:paraId="6F1391C8" w14:textId="77777777" w:rsidR="001F04FD" w:rsidRPr="0013396E" w:rsidRDefault="001F04FD" w:rsidP="00AC4DEE">
            <w:pPr>
              <w:pStyle w:val="TableHead"/>
            </w:pPr>
            <w:r w:rsidRPr="0013396E">
              <w:t>Variable</w:t>
            </w:r>
          </w:p>
        </w:tc>
        <w:tc>
          <w:tcPr>
            <w:tcW w:w="900" w:type="dxa"/>
          </w:tcPr>
          <w:p w14:paraId="5CCC9B71" w14:textId="77777777" w:rsidR="001F04FD" w:rsidRPr="0013396E" w:rsidRDefault="001F04FD" w:rsidP="00AC4DEE">
            <w:pPr>
              <w:pStyle w:val="TableHead"/>
            </w:pPr>
            <w:r w:rsidRPr="0013396E">
              <w:t>Unit</w:t>
            </w:r>
          </w:p>
        </w:tc>
        <w:tc>
          <w:tcPr>
            <w:tcW w:w="7175" w:type="dxa"/>
          </w:tcPr>
          <w:p w14:paraId="30742C92" w14:textId="77777777" w:rsidR="001F04FD" w:rsidRPr="0013396E" w:rsidRDefault="001F04FD" w:rsidP="00AC4DEE">
            <w:pPr>
              <w:pStyle w:val="TableHead"/>
            </w:pPr>
            <w:r w:rsidRPr="0013396E">
              <w:t>Description</w:t>
            </w:r>
          </w:p>
        </w:tc>
      </w:tr>
      <w:tr w:rsidR="001F04FD" w:rsidRPr="0013396E" w14:paraId="17E00F27" w14:textId="77777777" w:rsidTr="00AC4DEE">
        <w:tc>
          <w:tcPr>
            <w:tcW w:w="1195" w:type="dxa"/>
          </w:tcPr>
          <w:p w14:paraId="41A4CCB6" w14:textId="77777777" w:rsidR="001F04FD" w:rsidRPr="0013396E" w:rsidRDefault="001F04FD" w:rsidP="00AC4DEE">
            <w:pPr>
              <w:pStyle w:val="TableBody"/>
            </w:pPr>
            <w:r w:rsidRPr="0013396E">
              <w:t>LZLMP</w:t>
            </w:r>
            <w:r w:rsidRPr="0013396E">
              <w:rPr>
                <w:i/>
                <w:vertAlign w:val="subscript"/>
                <w:lang w:val="es-MX"/>
              </w:rPr>
              <w:t xml:space="preserve"> y</w:t>
            </w:r>
          </w:p>
        </w:tc>
        <w:tc>
          <w:tcPr>
            <w:tcW w:w="900" w:type="dxa"/>
          </w:tcPr>
          <w:p w14:paraId="6A4E4B17" w14:textId="77777777" w:rsidR="001F04FD" w:rsidRPr="0013396E" w:rsidRDefault="001F04FD" w:rsidP="00AC4DEE">
            <w:pPr>
              <w:pStyle w:val="TableBody"/>
              <w:rPr>
                <w:i/>
              </w:rPr>
            </w:pPr>
            <w:r w:rsidRPr="0013396E">
              <w:t>$/MWh</w:t>
            </w:r>
          </w:p>
        </w:tc>
        <w:tc>
          <w:tcPr>
            <w:tcW w:w="7175" w:type="dxa"/>
          </w:tcPr>
          <w:p w14:paraId="58A39D8D" w14:textId="0FAFFC07" w:rsidR="001F04FD" w:rsidRPr="0013396E" w:rsidRDefault="001F04FD" w:rsidP="00AC4DEE">
            <w:pPr>
              <w:pStyle w:val="TableBody"/>
            </w:pPr>
            <w:r w:rsidRPr="0013396E">
              <w:rPr>
                <w:i/>
              </w:rPr>
              <w:t>Load Zone Locational Marginal Price</w:t>
            </w:r>
            <w:r w:rsidRPr="0013396E">
              <w:sym w:font="Symbol" w:char="F0BE"/>
            </w:r>
            <w:r w:rsidRPr="0013396E">
              <w:t xml:space="preserve">The Load Zone LMP for the Load Zone for the SCED </w:t>
            </w:r>
            <w:r w:rsidR="00235D03" w:rsidRPr="0013396E">
              <w:t>i</w:t>
            </w:r>
            <w:r w:rsidRPr="0013396E">
              <w:t xml:space="preserve">nterval </w:t>
            </w:r>
            <w:r w:rsidRPr="0013396E">
              <w:rPr>
                <w:i/>
              </w:rPr>
              <w:t>y</w:t>
            </w:r>
            <w:r w:rsidRPr="0013396E">
              <w:t>.</w:t>
            </w:r>
          </w:p>
        </w:tc>
      </w:tr>
      <w:tr w:rsidR="001F04FD" w:rsidRPr="0013396E" w14:paraId="1ED69260" w14:textId="77777777" w:rsidTr="00AC4DEE">
        <w:tc>
          <w:tcPr>
            <w:tcW w:w="1195" w:type="dxa"/>
          </w:tcPr>
          <w:p w14:paraId="09B21859" w14:textId="77777777" w:rsidR="001F04FD" w:rsidRPr="0013396E" w:rsidRDefault="001F04FD" w:rsidP="00AC4DEE">
            <w:pPr>
              <w:pStyle w:val="TableBody"/>
            </w:pPr>
            <w:r w:rsidRPr="0013396E">
              <w:lastRenderedPageBreak/>
              <w:t xml:space="preserve">RTLMP </w:t>
            </w:r>
            <w:r w:rsidRPr="0013396E">
              <w:rPr>
                <w:i/>
                <w:vertAlign w:val="subscript"/>
              </w:rPr>
              <w:t>b, y</w:t>
            </w:r>
          </w:p>
        </w:tc>
        <w:tc>
          <w:tcPr>
            <w:tcW w:w="900" w:type="dxa"/>
          </w:tcPr>
          <w:p w14:paraId="105CC542" w14:textId="77777777" w:rsidR="001F04FD" w:rsidRPr="0013396E" w:rsidRDefault="001F04FD" w:rsidP="00AC4DEE">
            <w:pPr>
              <w:pStyle w:val="TableBody"/>
            </w:pPr>
            <w:r w:rsidRPr="0013396E">
              <w:t>$/MWh</w:t>
            </w:r>
          </w:p>
        </w:tc>
        <w:tc>
          <w:tcPr>
            <w:tcW w:w="7175" w:type="dxa"/>
          </w:tcPr>
          <w:p w14:paraId="52082DEC" w14:textId="168B8C9C" w:rsidR="001F04FD" w:rsidRPr="0013396E" w:rsidRDefault="001F04FD" w:rsidP="00AC4DEE">
            <w:pPr>
              <w:pStyle w:val="TableBody"/>
            </w:pPr>
            <w:r w:rsidRPr="0013396E">
              <w:rPr>
                <w:i/>
              </w:rPr>
              <w:t>Real-Time Locational Marginal Price at bus per SCED interval</w:t>
            </w:r>
            <w:r w:rsidRPr="0013396E">
              <w:sym w:font="Symbol" w:char="F0BE"/>
            </w:r>
            <w:r w:rsidRPr="0013396E">
              <w:t xml:space="preserve">The Real-Time LMP at Electrical Bus </w:t>
            </w:r>
            <w:r w:rsidRPr="0013396E">
              <w:rPr>
                <w:i/>
              </w:rPr>
              <w:t>b</w:t>
            </w:r>
            <w:r w:rsidRPr="0013396E">
              <w:t xml:space="preserve"> in the Load Zone, for the SCED interval </w:t>
            </w:r>
            <w:r w:rsidRPr="0013396E">
              <w:rPr>
                <w:i/>
              </w:rPr>
              <w:t>y</w:t>
            </w:r>
            <w:r w:rsidRPr="0013396E">
              <w:t>.</w:t>
            </w:r>
          </w:p>
        </w:tc>
      </w:tr>
      <w:tr w:rsidR="001F04FD" w:rsidRPr="0013396E" w14:paraId="649FAC90" w14:textId="77777777" w:rsidTr="00AC4DEE">
        <w:tc>
          <w:tcPr>
            <w:tcW w:w="1195" w:type="dxa"/>
          </w:tcPr>
          <w:p w14:paraId="28BA25F9" w14:textId="77777777" w:rsidR="001F04FD" w:rsidRPr="0013396E" w:rsidRDefault="001F04FD" w:rsidP="00AC4DEE">
            <w:pPr>
              <w:pStyle w:val="TableBody"/>
            </w:pPr>
            <w:r w:rsidRPr="0013396E">
              <w:t>LZWF</w:t>
            </w:r>
            <w:r w:rsidRPr="0013396E">
              <w:rPr>
                <w:i/>
                <w:vertAlign w:val="subscript"/>
              </w:rPr>
              <w:t xml:space="preserve"> b, y</w:t>
            </w:r>
          </w:p>
        </w:tc>
        <w:tc>
          <w:tcPr>
            <w:tcW w:w="900" w:type="dxa"/>
          </w:tcPr>
          <w:p w14:paraId="084F84AC" w14:textId="77777777" w:rsidR="001F04FD" w:rsidRPr="0013396E" w:rsidRDefault="001F04FD" w:rsidP="00AC4DEE">
            <w:pPr>
              <w:pStyle w:val="TableBody"/>
            </w:pPr>
            <w:r w:rsidRPr="0013396E">
              <w:t>None</w:t>
            </w:r>
          </w:p>
        </w:tc>
        <w:tc>
          <w:tcPr>
            <w:tcW w:w="7175" w:type="dxa"/>
          </w:tcPr>
          <w:p w14:paraId="6DA16B56" w14:textId="77777777" w:rsidR="001F04FD" w:rsidRPr="0013396E" w:rsidRDefault="001F04FD" w:rsidP="00AC4DEE">
            <w:pPr>
              <w:pStyle w:val="TableBody"/>
              <w:rPr>
                <w:i/>
              </w:rPr>
            </w:pPr>
            <w:r w:rsidRPr="0013396E">
              <w:rPr>
                <w:i/>
              </w:rPr>
              <w:t>Load Zone State Estimator Load Weighting Factor per bus per SCED interval</w:t>
            </w:r>
            <w:r w:rsidRPr="0013396E">
              <w:sym w:font="Symbol" w:char="F0BE"/>
            </w:r>
            <w:r w:rsidRPr="0013396E">
              <w:t xml:space="preserve">The weight used in the Load Zone LMP calculation for Electrical Bus </w:t>
            </w:r>
            <w:r w:rsidRPr="0013396E">
              <w:rPr>
                <w:i/>
              </w:rPr>
              <w:t>b</w:t>
            </w:r>
            <w:r w:rsidRPr="0013396E">
              <w:t xml:space="preserve"> for the SCED interval </w:t>
            </w:r>
            <w:r w:rsidRPr="0013396E">
              <w:rPr>
                <w:i/>
              </w:rPr>
              <w:t>y</w:t>
            </w:r>
            <w:r w:rsidRPr="0013396E">
              <w:t>.</w:t>
            </w:r>
          </w:p>
        </w:tc>
      </w:tr>
      <w:tr w:rsidR="001F04FD" w:rsidRPr="0013396E" w14:paraId="3914943A" w14:textId="77777777" w:rsidTr="00AC4DEE">
        <w:tc>
          <w:tcPr>
            <w:tcW w:w="1195" w:type="dxa"/>
          </w:tcPr>
          <w:p w14:paraId="5CAC06EC" w14:textId="77777777" w:rsidR="001F04FD" w:rsidRPr="0013396E" w:rsidRDefault="001F04FD" w:rsidP="00AC4DEE">
            <w:pPr>
              <w:pStyle w:val="TableBody"/>
            </w:pPr>
            <w:r w:rsidRPr="0013396E">
              <w:t xml:space="preserve">SEL </w:t>
            </w:r>
            <w:r w:rsidRPr="0013396E">
              <w:rPr>
                <w:i/>
                <w:vertAlign w:val="subscript"/>
              </w:rPr>
              <w:t>b, y</w:t>
            </w:r>
          </w:p>
        </w:tc>
        <w:tc>
          <w:tcPr>
            <w:tcW w:w="900" w:type="dxa"/>
          </w:tcPr>
          <w:p w14:paraId="4E927A2E" w14:textId="77777777" w:rsidR="001F04FD" w:rsidRPr="0013396E" w:rsidRDefault="001F04FD" w:rsidP="00AC4DEE">
            <w:pPr>
              <w:pStyle w:val="TableBody"/>
            </w:pPr>
            <w:r w:rsidRPr="0013396E">
              <w:t>MW</w:t>
            </w:r>
          </w:p>
        </w:tc>
        <w:tc>
          <w:tcPr>
            <w:tcW w:w="7175" w:type="dxa"/>
          </w:tcPr>
          <w:p w14:paraId="332170DE" w14:textId="23809DF4" w:rsidR="005C5A9B" w:rsidRPr="0013396E" w:rsidRDefault="001F04FD" w:rsidP="00AC4DEE">
            <w:pPr>
              <w:pStyle w:val="TableBody"/>
            </w:pPr>
            <w:r w:rsidRPr="0013396E">
              <w:rPr>
                <w:i/>
              </w:rPr>
              <w:t>State Estimator Load at bus per SCED interval</w:t>
            </w:r>
            <w:r w:rsidRPr="0013396E">
              <w:sym w:font="Symbol" w:char="F0BE"/>
            </w:r>
            <w:r w:rsidRPr="0013396E">
              <w:t>The Load from the State Estimator</w:t>
            </w:r>
            <w:r w:rsidR="002A0AD7" w:rsidRPr="0013396E">
              <w:t>, including a calculated net Load value at each Private Use Network</w:t>
            </w:r>
            <w:r w:rsidR="004D1724" w:rsidRPr="0013396E">
              <w:t xml:space="preserve"> and adjustments to account for DGR and DESR injections and withdrawals that are settled at a Resource Node, excluding WSL and Non-WSL ESR Charging Load for Electrical Bus </w:t>
            </w:r>
            <w:r w:rsidR="004D1724" w:rsidRPr="0013396E">
              <w:rPr>
                <w:i/>
              </w:rPr>
              <w:t>b</w:t>
            </w:r>
            <w:r w:rsidR="004D1724" w:rsidRPr="0013396E">
              <w:t xml:space="preserve"> in the Load Zone, for the SCED interval </w:t>
            </w:r>
            <w:r w:rsidR="004D1724" w:rsidRPr="0013396E">
              <w:rPr>
                <w:i/>
              </w:rPr>
              <w:t>y</w:t>
            </w:r>
            <w:r w:rsidR="004D1724" w:rsidRPr="0013396E">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6826"/>
            </w:tblGrid>
            <w:tr w:rsidR="009F7A6D" w:rsidRPr="0013396E" w14:paraId="3ABB7EEB" w14:textId="77777777" w:rsidTr="00F5593C">
              <w:trPr>
                <w:trHeight w:val="206"/>
              </w:trPr>
              <w:tc>
                <w:tcPr>
                  <w:tcW w:w="6826" w:type="dxa"/>
                  <w:shd w:val="pct12" w:color="auto" w:fill="auto"/>
                </w:tcPr>
                <w:p w14:paraId="2912DAA0" w14:textId="43E477F5" w:rsidR="009F7A6D" w:rsidRPr="0013396E" w:rsidRDefault="009F7A6D" w:rsidP="009F7A6D">
                  <w:pPr>
                    <w:pStyle w:val="Instructions"/>
                    <w:spacing w:before="120"/>
                  </w:pPr>
                  <w:r w:rsidRPr="0013396E">
                    <w:t>[NPRR1188:  Replace the description above with the following upon system implementation:]</w:t>
                  </w:r>
                </w:p>
                <w:p w14:paraId="5359E538" w14:textId="4E52C81E" w:rsidR="009F7A6D" w:rsidRPr="0013396E" w:rsidRDefault="009F7A6D" w:rsidP="009F7A6D">
                  <w:pPr>
                    <w:pStyle w:val="TableBody"/>
                  </w:pPr>
                  <w:r w:rsidRPr="0013396E">
                    <w:rPr>
                      <w:i/>
                    </w:rPr>
                    <w:t>State Estimator Load at bus per SCED interval</w:t>
                  </w:r>
                  <w:r w:rsidRPr="0013396E">
                    <w:sym w:font="Symbol" w:char="F0BE"/>
                  </w:r>
                  <w:r w:rsidRPr="0013396E">
                    <w:t xml:space="preserve">The Load from the State Estimator, including a calculated net Load value at each Private Use Network and adjustments to account for DGR and DESR injections and withdrawals that are settled at a Resource Node, excluding CLR Load that is not an ALR, WSL and Non-WSL ESR Charging Load for Electrical Bus </w:t>
                  </w:r>
                  <w:r w:rsidRPr="0013396E">
                    <w:rPr>
                      <w:i/>
                    </w:rPr>
                    <w:t>b</w:t>
                  </w:r>
                  <w:r w:rsidRPr="0013396E">
                    <w:t xml:space="preserve"> in the Load Zone, for the SCED interval </w:t>
                  </w:r>
                  <w:r w:rsidRPr="0013396E">
                    <w:rPr>
                      <w:i/>
                    </w:rPr>
                    <w:t>y</w:t>
                  </w:r>
                  <w:r w:rsidRPr="0013396E">
                    <w:t>.</w:t>
                  </w:r>
                </w:p>
              </w:tc>
            </w:tr>
          </w:tbl>
          <w:p w14:paraId="64660682" w14:textId="5157DF61" w:rsidR="001F04FD" w:rsidRPr="0013396E" w:rsidRDefault="001F04FD" w:rsidP="00AC4DEE">
            <w:pPr>
              <w:pStyle w:val="TableBody"/>
            </w:pPr>
          </w:p>
        </w:tc>
      </w:tr>
      <w:tr w:rsidR="001F04FD" w:rsidRPr="0013396E" w14:paraId="6B4FCE13" w14:textId="77777777" w:rsidTr="00AC4DEE">
        <w:tc>
          <w:tcPr>
            <w:tcW w:w="1195" w:type="dxa"/>
          </w:tcPr>
          <w:p w14:paraId="6587373B" w14:textId="77777777" w:rsidR="001F04FD" w:rsidRPr="0013396E" w:rsidRDefault="001F04FD" w:rsidP="00AC4DEE">
            <w:pPr>
              <w:pStyle w:val="TableBody"/>
              <w:rPr>
                <w:i/>
              </w:rPr>
            </w:pPr>
            <w:r w:rsidRPr="0013396E">
              <w:rPr>
                <w:i/>
              </w:rPr>
              <w:t xml:space="preserve">y </w:t>
            </w:r>
          </w:p>
        </w:tc>
        <w:tc>
          <w:tcPr>
            <w:tcW w:w="900" w:type="dxa"/>
          </w:tcPr>
          <w:p w14:paraId="0F5EBB30" w14:textId="77777777" w:rsidR="001F04FD" w:rsidRPr="0013396E" w:rsidRDefault="001F04FD" w:rsidP="00AC4DEE">
            <w:pPr>
              <w:pStyle w:val="TableBody"/>
            </w:pPr>
            <w:r w:rsidRPr="0013396E">
              <w:t>None</w:t>
            </w:r>
          </w:p>
        </w:tc>
        <w:tc>
          <w:tcPr>
            <w:tcW w:w="7175" w:type="dxa"/>
          </w:tcPr>
          <w:p w14:paraId="403FD15E" w14:textId="77777777" w:rsidR="001F04FD" w:rsidRPr="0013396E" w:rsidRDefault="001F04FD" w:rsidP="00AC4DEE">
            <w:pPr>
              <w:pStyle w:val="TableBody"/>
            </w:pPr>
            <w:r w:rsidRPr="0013396E">
              <w:t>A SCED interval.</w:t>
            </w:r>
          </w:p>
        </w:tc>
      </w:tr>
      <w:tr w:rsidR="001F04FD" w:rsidRPr="0013396E" w14:paraId="7BD36394" w14:textId="77777777" w:rsidTr="00AC4DEE">
        <w:tc>
          <w:tcPr>
            <w:tcW w:w="1195" w:type="dxa"/>
          </w:tcPr>
          <w:p w14:paraId="6FA1A151" w14:textId="77777777" w:rsidR="001F04FD" w:rsidRPr="0013396E" w:rsidRDefault="001F04FD" w:rsidP="00AC4DEE">
            <w:pPr>
              <w:pStyle w:val="TableBody"/>
              <w:rPr>
                <w:i/>
              </w:rPr>
            </w:pPr>
            <w:r w:rsidRPr="0013396E">
              <w:rPr>
                <w:i/>
              </w:rPr>
              <w:t>b</w:t>
            </w:r>
          </w:p>
        </w:tc>
        <w:tc>
          <w:tcPr>
            <w:tcW w:w="900" w:type="dxa"/>
          </w:tcPr>
          <w:p w14:paraId="26B6885A" w14:textId="77777777" w:rsidR="001F04FD" w:rsidRPr="0013396E" w:rsidRDefault="001F04FD" w:rsidP="00AC4DEE">
            <w:pPr>
              <w:pStyle w:val="TableBody"/>
            </w:pPr>
            <w:r w:rsidRPr="0013396E">
              <w:t>None</w:t>
            </w:r>
          </w:p>
        </w:tc>
        <w:tc>
          <w:tcPr>
            <w:tcW w:w="7175" w:type="dxa"/>
          </w:tcPr>
          <w:p w14:paraId="4399BC23" w14:textId="77777777" w:rsidR="001F04FD" w:rsidRPr="0013396E" w:rsidRDefault="001F04FD" w:rsidP="00AC4DEE">
            <w:pPr>
              <w:pStyle w:val="TableBody"/>
            </w:pPr>
            <w:r w:rsidRPr="0013396E">
              <w:t>An Electrical Bus in the Load Zone.  The summation is over all of the Electrical Buses in the Load Zone.</w:t>
            </w:r>
          </w:p>
        </w:tc>
      </w:tr>
    </w:tbl>
    <w:p w14:paraId="77A00EF0" w14:textId="77777777" w:rsidR="001F04FD" w:rsidRPr="0013396E" w:rsidRDefault="001F04FD" w:rsidP="001F04FD">
      <w:pPr>
        <w:pStyle w:val="H4"/>
        <w:tabs>
          <w:tab w:val="clear" w:pos="1260"/>
        </w:tabs>
        <w:spacing w:before="480"/>
        <w:ind w:left="0" w:firstLine="0"/>
      </w:pPr>
      <w:bookmarkStart w:id="1433" w:name="_Toc397505007"/>
      <w:bookmarkStart w:id="1434" w:name="_Toc402357135"/>
      <w:bookmarkStart w:id="1435" w:name="_Toc422486513"/>
      <w:bookmarkStart w:id="1436" w:name="_Toc433093365"/>
      <w:bookmarkStart w:id="1437" w:name="_Toc433093523"/>
      <w:bookmarkStart w:id="1438" w:name="_Toc440874751"/>
      <w:bookmarkStart w:id="1439" w:name="_Toc448142306"/>
      <w:bookmarkStart w:id="1440" w:name="_Toc448142463"/>
      <w:bookmarkStart w:id="1441" w:name="_Toc458770300"/>
      <w:bookmarkStart w:id="1442" w:name="_Toc459294268"/>
      <w:bookmarkStart w:id="1443" w:name="_Toc463262761"/>
      <w:bookmarkStart w:id="1444" w:name="_Toc468286834"/>
      <w:bookmarkStart w:id="1445" w:name="_Toc481502880"/>
      <w:bookmarkStart w:id="1446" w:name="_Toc496080048"/>
      <w:bookmarkStart w:id="1447" w:name="_Toc236220162"/>
      <w:r w:rsidRPr="0013396E">
        <w:t>6.6.1.5</w:t>
      </w:r>
      <w:r w:rsidRPr="0013396E">
        <w:tab/>
      </w:r>
      <w:r w:rsidRPr="0013396E">
        <w:tab/>
        <w:t>Hub LMPs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14:paraId="5269F5DD" w14:textId="464495A3" w:rsidR="001F04FD" w:rsidRPr="0013396E" w:rsidRDefault="000468AC" w:rsidP="001F04FD">
      <w:pPr>
        <w:pStyle w:val="BodyText"/>
      </w:pPr>
      <w:r w:rsidRPr="0013396E">
        <w:t>(1)</w:t>
      </w:r>
      <w:r w:rsidRPr="0013396E">
        <w:tab/>
      </w:r>
      <w:r w:rsidR="001F04FD" w:rsidRPr="0013396E">
        <w:t xml:space="preserve">The Hub LMPs shall be posted on the </w:t>
      </w:r>
      <w:r w:rsidR="0007207E" w:rsidRPr="0013396E">
        <w:t>ERCOT website</w:t>
      </w:r>
      <w:r w:rsidR="001F04FD" w:rsidRPr="0013396E">
        <w:t>.</w:t>
      </w:r>
    </w:p>
    <w:p w14:paraId="4609EFAF" w14:textId="77777777" w:rsidR="001F04FD" w:rsidRPr="0013396E" w:rsidRDefault="000468AC" w:rsidP="008E724B">
      <w:pPr>
        <w:pStyle w:val="BodyText"/>
        <w:ind w:left="720" w:hanging="720"/>
      </w:pPr>
      <w:r w:rsidRPr="0013396E">
        <w:t>(2)</w:t>
      </w:r>
      <w:r w:rsidRPr="0013396E">
        <w:tab/>
      </w:r>
      <w:r w:rsidR="001F04FD" w:rsidRPr="0013396E">
        <w:t>For each defined Hub except for the ERCOT Hub Average 345 kV Hub, the Hub LMP is the arithmetic average of the Real-Time LMPs of the Hub Buses included in the Hub.  The Hub LMP for a SCED Interval is calculated as follows:</w:t>
      </w:r>
    </w:p>
    <w:p w14:paraId="063CE299" w14:textId="77777777" w:rsidR="001F04FD" w:rsidRPr="0013396E" w:rsidRDefault="001F04FD" w:rsidP="001F04FD">
      <w:pPr>
        <w:pStyle w:val="FormulaBold"/>
        <w:rPr>
          <w:b w:val="0"/>
          <w:i/>
        </w:rPr>
      </w:pPr>
      <w:r w:rsidRPr="0013396E">
        <w:t>HUBLMP</w:t>
      </w:r>
      <w:r w:rsidRPr="0013396E">
        <w:rPr>
          <w:b w:val="0"/>
          <w:i/>
          <w:vertAlign w:val="subscript"/>
        </w:rPr>
        <w:t xml:space="preserve"> Hub, y</w:t>
      </w:r>
      <w:r w:rsidRPr="0013396E">
        <w:tab/>
      </w:r>
      <w:r w:rsidRPr="0013396E">
        <w:tab/>
        <w:t>=</w:t>
      </w:r>
      <w:r w:rsidRPr="0013396E">
        <w:tab/>
      </w:r>
      <w:r w:rsidRPr="0013396E">
        <w:rPr>
          <w:position w:val="-20"/>
        </w:rPr>
        <w:object w:dxaOrig="225" w:dyaOrig="435" w14:anchorId="0FFF2FBA">
          <v:shape id="_x0000_i1045" type="#_x0000_t75" style="width:12pt;height:18pt" o:ole="">
            <v:imagedata r:id="rId43" o:title=""/>
          </v:shape>
          <o:OLEObject Type="Embed" ProgID="Equation.3" ShapeID="_x0000_i1045" DrawAspect="Content" ObjectID="_1849065676" r:id="rId44"/>
        </w:object>
      </w:r>
      <w:r w:rsidRPr="0013396E">
        <w:t xml:space="preserve">(HUBDF </w:t>
      </w:r>
      <w:r w:rsidRPr="0013396E">
        <w:rPr>
          <w:b w:val="0"/>
          <w:i/>
          <w:vertAlign w:val="subscript"/>
        </w:rPr>
        <w:t>hb, Hub</w:t>
      </w:r>
      <w:r w:rsidRPr="0013396E">
        <w:rPr>
          <w:b w:val="0"/>
        </w:rPr>
        <w:t xml:space="preserve"> </w:t>
      </w:r>
      <w:r w:rsidRPr="0013396E">
        <w:t xml:space="preserve">* RTHBP </w:t>
      </w:r>
      <w:r w:rsidRPr="0013396E">
        <w:rPr>
          <w:b w:val="0"/>
          <w:i/>
          <w:vertAlign w:val="subscript"/>
        </w:rPr>
        <w:t>hb, Hub, y</w:t>
      </w:r>
      <w:r w:rsidRPr="0013396E">
        <w:t>), if HB</w:t>
      </w:r>
      <w:r w:rsidRPr="0013396E">
        <w:rPr>
          <w:vertAlign w:val="subscript"/>
        </w:rPr>
        <w:t xml:space="preserve"> </w:t>
      </w:r>
      <w:r w:rsidRPr="0013396E">
        <w:rPr>
          <w:b w:val="0"/>
          <w:i/>
          <w:vertAlign w:val="subscript"/>
        </w:rPr>
        <w:t>Hub</w:t>
      </w:r>
      <w:r w:rsidRPr="0013396E">
        <w:t xml:space="preserve"> ≠ 0</w:t>
      </w:r>
    </w:p>
    <w:p w14:paraId="68CDA8C6" w14:textId="77777777" w:rsidR="001F04FD" w:rsidRPr="0013396E" w:rsidRDefault="001F04FD" w:rsidP="001F04FD">
      <w:pPr>
        <w:pStyle w:val="FormulaBold"/>
      </w:pPr>
      <w:r w:rsidRPr="0013396E">
        <w:t xml:space="preserve">HUBLMP </w:t>
      </w:r>
      <w:r w:rsidRPr="0013396E">
        <w:rPr>
          <w:b w:val="0"/>
          <w:i/>
          <w:vertAlign w:val="subscript"/>
        </w:rPr>
        <w:t>Hub, y</w:t>
      </w:r>
      <w:r w:rsidRPr="0013396E">
        <w:tab/>
        <w:t>=</w:t>
      </w:r>
      <w:r w:rsidRPr="0013396E">
        <w:tab/>
        <w:t>HUBLMP</w:t>
      </w:r>
      <w:r w:rsidRPr="0013396E">
        <w:rPr>
          <w:b w:val="0"/>
          <w:i/>
          <w:vertAlign w:val="subscript"/>
        </w:rPr>
        <w:t>ERCOT345Bus</w:t>
      </w:r>
      <w:r w:rsidRPr="0013396E">
        <w:t>, if HB</w:t>
      </w:r>
      <w:r w:rsidRPr="0013396E">
        <w:rPr>
          <w:vertAlign w:val="subscript"/>
        </w:rPr>
        <w:t xml:space="preserve"> </w:t>
      </w:r>
      <w:r w:rsidRPr="0013396E">
        <w:rPr>
          <w:b w:val="0"/>
          <w:i/>
          <w:vertAlign w:val="subscript"/>
        </w:rPr>
        <w:t>Hub</w:t>
      </w:r>
      <w:r w:rsidRPr="0013396E">
        <w:t xml:space="preserve"> = 0</w:t>
      </w:r>
    </w:p>
    <w:p w14:paraId="34D09FAD" w14:textId="77777777" w:rsidR="001F04FD" w:rsidRPr="0013396E" w:rsidRDefault="001F04FD" w:rsidP="000468AC">
      <w:pPr>
        <w:pStyle w:val="BodyText"/>
      </w:pPr>
      <w:r w:rsidRPr="0013396E">
        <w:t>Where:</w:t>
      </w:r>
    </w:p>
    <w:p w14:paraId="428A9154" w14:textId="77777777" w:rsidR="001F04FD" w:rsidRPr="0013396E" w:rsidRDefault="001F04FD" w:rsidP="001F04FD">
      <w:pPr>
        <w:pStyle w:val="Formula"/>
        <w:ind w:left="2880" w:hanging="2160"/>
      </w:pPr>
      <w:r w:rsidRPr="0013396E">
        <w:t xml:space="preserve">RTHBP </w:t>
      </w:r>
      <w:r w:rsidRPr="0013396E">
        <w:rPr>
          <w:i/>
          <w:vertAlign w:val="subscript"/>
        </w:rPr>
        <w:t>hb, Hub, y</w:t>
      </w:r>
      <w:r w:rsidRPr="0013396E">
        <w:tab/>
        <w:t>=</w:t>
      </w:r>
      <w:r w:rsidRPr="0013396E">
        <w:tab/>
      </w:r>
      <w:r w:rsidRPr="0013396E">
        <w:rPr>
          <w:position w:val="-20"/>
        </w:rPr>
        <w:object w:dxaOrig="225" w:dyaOrig="435" w14:anchorId="4BD69D5B">
          <v:shape id="_x0000_i1046" type="#_x0000_t75" style="width:12pt;height:18pt" o:ole="">
            <v:imagedata r:id="rId45" o:title=""/>
          </v:shape>
          <o:OLEObject Type="Embed" ProgID="Equation.3" ShapeID="_x0000_i1046" DrawAspect="Content" ObjectID="_1849065677" r:id="rId46"/>
        </w:object>
      </w:r>
      <w:r w:rsidRPr="0013396E">
        <w:t xml:space="preserve">(HBDF </w:t>
      </w:r>
      <w:r w:rsidRPr="0013396E">
        <w:rPr>
          <w:i/>
          <w:vertAlign w:val="subscript"/>
        </w:rPr>
        <w:t>b, hb, Hub</w:t>
      </w:r>
      <w:r w:rsidRPr="0013396E">
        <w:t xml:space="preserve"> * RTLMP </w:t>
      </w:r>
      <w:r w:rsidRPr="0013396E">
        <w:rPr>
          <w:i/>
          <w:vertAlign w:val="subscript"/>
        </w:rPr>
        <w:t>b, hb, Hub, y</w:t>
      </w:r>
      <w:r w:rsidRPr="0013396E">
        <w:t>)</w:t>
      </w:r>
    </w:p>
    <w:p w14:paraId="58F6296B" w14:textId="77777777" w:rsidR="001F04FD" w:rsidRPr="0013396E" w:rsidRDefault="001F04FD" w:rsidP="001F04FD">
      <w:pPr>
        <w:pStyle w:val="Formula"/>
        <w:ind w:left="2880" w:hanging="2160"/>
      </w:pPr>
      <w:r w:rsidRPr="0013396E">
        <w:t>HUBDF</w:t>
      </w:r>
      <w:r w:rsidRPr="0013396E">
        <w:rPr>
          <w:i/>
        </w:rPr>
        <w:t xml:space="preserve"> </w:t>
      </w:r>
      <w:r w:rsidRPr="0013396E">
        <w:rPr>
          <w:i/>
          <w:vertAlign w:val="subscript"/>
        </w:rPr>
        <w:t>hb, Hub</w:t>
      </w:r>
      <w:r w:rsidRPr="0013396E">
        <w:tab/>
      </w:r>
      <w:r w:rsidRPr="0013396E">
        <w:tab/>
        <w:t>=</w:t>
      </w:r>
      <w:r w:rsidRPr="0013396E">
        <w:tab/>
        <w:t xml:space="preserve"> 1 </w:t>
      </w:r>
      <w:r w:rsidRPr="0013396E">
        <w:rPr>
          <w:b/>
          <w:sz w:val="32"/>
          <w:szCs w:val="32"/>
        </w:rPr>
        <w:t>/</w:t>
      </w:r>
      <w:r w:rsidRPr="0013396E">
        <w:rPr>
          <w:b/>
        </w:rPr>
        <w:t xml:space="preserve"> </w:t>
      </w:r>
      <w:r w:rsidRPr="0013396E">
        <w:t xml:space="preserve">HB </w:t>
      </w:r>
      <w:r w:rsidRPr="0013396E">
        <w:rPr>
          <w:i/>
          <w:vertAlign w:val="subscript"/>
        </w:rPr>
        <w:t>Hub</w:t>
      </w:r>
      <w:r w:rsidRPr="0013396E">
        <w:t>, if HB</w:t>
      </w:r>
      <w:r w:rsidRPr="0013396E">
        <w:rPr>
          <w:vertAlign w:val="subscript"/>
        </w:rPr>
        <w:t xml:space="preserve"> </w:t>
      </w:r>
      <w:r w:rsidRPr="0013396E">
        <w:rPr>
          <w:i/>
          <w:vertAlign w:val="subscript"/>
        </w:rPr>
        <w:t>Hub</w:t>
      </w:r>
      <w:r w:rsidRPr="0013396E">
        <w:t xml:space="preserve"> ≠ 0</w:t>
      </w:r>
    </w:p>
    <w:p w14:paraId="769FC8E8" w14:textId="77777777" w:rsidR="001F04FD" w:rsidRPr="0013396E" w:rsidRDefault="001F04FD" w:rsidP="001F04FD">
      <w:pPr>
        <w:pStyle w:val="Formula"/>
        <w:ind w:left="2880" w:hanging="2160"/>
      </w:pPr>
      <w:r w:rsidRPr="0013396E">
        <w:t>HUBDF</w:t>
      </w:r>
      <w:r w:rsidRPr="0013396E">
        <w:rPr>
          <w:i/>
        </w:rPr>
        <w:t xml:space="preserve"> </w:t>
      </w:r>
      <w:r w:rsidRPr="0013396E">
        <w:rPr>
          <w:i/>
          <w:vertAlign w:val="subscript"/>
        </w:rPr>
        <w:t>hb, Hub</w:t>
      </w:r>
      <w:r w:rsidRPr="0013396E">
        <w:rPr>
          <w:i/>
          <w:vertAlign w:val="subscript"/>
        </w:rPr>
        <w:tab/>
      </w:r>
      <w:r w:rsidRPr="0013396E">
        <w:tab/>
        <w:t>=</w:t>
      </w:r>
      <w:r w:rsidRPr="0013396E">
        <w:tab/>
        <w:t xml:space="preserve"> 0, if HB</w:t>
      </w:r>
      <w:r w:rsidRPr="0013396E">
        <w:rPr>
          <w:vertAlign w:val="subscript"/>
        </w:rPr>
        <w:t xml:space="preserve"> </w:t>
      </w:r>
      <w:r w:rsidRPr="0013396E">
        <w:rPr>
          <w:i/>
          <w:vertAlign w:val="subscript"/>
        </w:rPr>
        <w:t>Hub</w:t>
      </w:r>
      <w:r w:rsidRPr="0013396E">
        <w:t xml:space="preserve"> = 0</w:t>
      </w:r>
    </w:p>
    <w:p w14:paraId="6AEB60B8" w14:textId="77777777" w:rsidR="001F04FD" w:rsidRPr="0013396E" w:rsidRDefault="001F04FD" w:rsidP="001F04FD">
      <w:pPr>
        <w:pStyle w:val="Formula"/>
        <w:ind w:left="2880" w:hanging="2160"/>
      </w:pPr>
      <w:r w:rsidRPr="0013396E">
        <w:t xml:space="preserve">HBDF </w:t>
      </w:r>
      <w:r w:rsidRPr="0013396E">
        <w:rPr>
          <w:i/>
          <w:vertAlign w:val="subscript"/>
        </w:rPr>
        <w:t>b, hb, Hub</w:t>
      </w:r>
      <w:r w:rsidRPr="0013396E">
        <w:rPr>
          <w:i/>
          <w:vertAlign w:val="subscript"/>
        </w:rPr>
        <w:tab/>
      </w:r>
      <w:r w:rsidRPr="0013396E">
        <w:tab/>
        <w:t>=</w:t>
      </w:r>
      <w:r w:rsidRPr="0013396E">
        <w:tab/>
        <w:t xml:space="preserve">1 </w:t>
      </w:r>
      <w:r w:rsidRPr="0013396E">
        <w:rPr>
          <w:b/>
          <w:sz w:val="32"/>
          <w:szCs w:val="32"/>
        </w:rPr>
        <w:t>/</w:t>
      </w:r>
      <w:r w:rsidRPr="0013396E">
        <w:t xml:space="preserve"> B</w:t>
      </w:r>
      <w:r w:rsidRPr="0013396E">
        <w:rPr>
          <w:i/>
        </w:rPr>
        <w:t xml:space="preserve"> </w:t>
      </w:r>
      <w:r w:rsidRPr="0013396E">
        <w:rPr>
          <w:i/>
          <w:vertAlign w:val="subscript"/>
        </w:rPr>
        <w:t>hb, Hub</w:t>
      </w:r>
      <w:r w:rsidRPr="0013396E">
        <w:t>, if B</w:t>
      </w:r>
      <w:r w:rsidRPr="0013396E">
        <w:rPr>
          <w:i/>
          <w:vertAlign w:val="subscript"/>
        </w:rPr>
        <w:t xml:space="preserve"> hb, Hub</w:t>
      </w:r>
      <w:r w:rsidRPr="0013396E">
        <w:t xml:space="preserve"> ≠ 0</w:t>
      </w:r>
    </w:p>
    <w:p w14:paraId="62EA572C" w14:textId="77777777" w:rsidR="001F04FD" w:rsidRPr="0013396E" w:rsidRDefault="001F04FD" w:rsidP="001F04FD">
      <w:pPr>
        <w:pStyle w:val="BodyText"/>
        <w:ind w:firstLine="720"/>
      </w:pPr>
      <w:r w:rsidRPr="0013396E">
        <w:t xml:space="preserve">HBDF </w:t>
      </w:r>
      <w:r w:rsidRPr="0013396E">
        <w:rPr>
          <w:i/>
          <w:vertAlign w:val="subscript"/>
        </w:rPr>
        <w:t>b, hb, Hub</w:t>
      </w:r>
      <w:r w:rsidRPr="0013396E">
        <w:rPr>
          <w:i/>
          <w:vertAlign w:val="subscript"/>
        </w:rPr>
        <w:tab/>
      </w:r>
      <w:r w:rsidRPr="0013396E">
        <w:tab/>
        <w:t>=</w:t>
      </w:r>
      <w:r w:rsidRPr="0013396E">
        <w:tab/>
        <w:t>0, if B</w:t>
      </w:r>
      <w:r w:rsidRPr="0013396E">
        <w:rPr>
          <w:i/>
          <w:vertAlign w:val="subscript"/>
        </w:rPr>
        <w:t xml:space="preserve"> hb, Hub</w:t>
      </w:r>
      <w:r w:rsidRPr="0013396E">
        <w:t xml:space="preserve"> = 0</w:t>
      </w:r>
    </w:p>
    <w:p w14:paraId="531F1537" w14:textId="77777777" w:rsidR="001F04FD" w:rsidRPr="0013396E" w:rsidRDefault="001F04FD" w:rsidP="001F04FD">
      <w:r w:rsidRPr="0013396E">
        <w:lastRenderedPageBreak/>
        <w:t>The above variables are defined as follows:</w:t>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33"/>
        <w:gridCol w:w="937"/>
        <w:gridCol w:w="6668"/>
      </w:tblGrid>
      <w:tr w:rsidR="001F04FD" w:rsidRPr="0013396E" w14:paraId="2D14E54A" w14:textId="77777777" w:rsidTr="00AC4DEE">
        <w:tc>
          <w:tcPr>
            <w:tcW w:w="884" w:type="pct"/>
          </w:tcPr>
          <w:p w14:paraId="6A7DBDD6" w14:textId="77777777" w:rsidR="001F04FD" w:rsidRPr="0013396E" w:rsidRDefault="001F04FD" w:rsidP="00AC4DEE">
            <w:pPr>
              <w:pStyle w:val="TableHead"/>
            </w:pPr>
            <w:r w:rsidRPr="0013396E">
              <w:t>Variable</w:t>
            </w:r>
          </w:p>
        </w:tc>
        <w:tc>
          <w:tcPr>
            <w:tcW w:w="507" w:type="pct"/>
          </w:tcPr>
          <w:p w14:paraId="74E8B94B" w14:textId="77777777" w:rsidR="001F04FD" w:rsidRPr="0013396E" w:rsidRDefault="001F04FD" w:rsidP="00AC4DEE">
            <w:pPr>
              <w:pStyle w:val="TableHead"/>
            </w:pPr>
            <w:r w:rsidRPr="0013396E">
              <w:t>Unit</w:t>
            </w:r>
          </w:p>
        </w:tc>
        <w:tc>
          <w:tcPr>
            <w:tcW w:w="3609" w:type="pct"/>
          </w:tcPr>
          <w:p w14:paraId="1F196A6F" w14:textId="77777777" w:rsidR="001F04FD" w:rsidRPr="0013396E" w:rsidRDefault="001F04FD" w:rsidP="00AC4DEE">
            <w:pPr>
              <w:pStyle w:val="TableHead"/>
            </w:pPr>
            <w:r w:rsidRPr="0013396E">
              <w:t>Description</w:t>
            </w:r>
          </w:p>
        </w:tc>
      </w:tr>
      <w:tr w:rsidR="001F04FD" w:rsidRPr="0013396E" w14:paraId="1263667C" w14:textId="77777777" w:rsidTr="00AC4DEE">
        <w:tc>
          <w:tcPr>
            <w:tcW w:w="884" w:type="pct"/>
          </w:tcPr>
          <w:p w14:paraId="15AD0DDE" w14:textId="77777777" w:rsidR="001F04FD" w:rsidRPr="0013396E" w:rsidRDefault="001F04FD" w:rsidP="00AC4DEE">
            <w:pPr>
              <w:pStyle w:val="TableBody"/>
            </w:pPr>
            <w:r w:rsidRPr="0013396E">
              <w:t>HUBLMP</w:t>
            </w:r>
            <w:r w:rsidRPr="0013396E">
              <w:rPr>
                <w:b/>
                <w:vertAlign w:val="subscript"/>
              </w:rPr>
              <w:t xml:space="preserve"> </w:t>
            </w:r>
            <w:r w:rsidRPr="0013396E">
              <w:rPr>
                <w:i/>
                <w:vertAlign w:val="subscript"/>
              </w:rPr>
              <w:t>Hub, y</w:t>
            </w:r>
          </w:p>
        </w:tc>
        <w:tc>
          <w:tcPr>
            <w:tcW w:w="507" w:type="pct"/>
          </w:tcPr>
          <w:p w14:paraId="2AF9CA27" w14:textId="77777777" w:rsidR="001F04FD" w:rsidRPr="0013396E" w:rsidRDefault="001F04FD" w:rsidP="00AC4DEE">
            <w:pPr>
              <w:pStyle w:val="TableBody"/>
            </w:pPr>
            <w:r w:rsidRPr="0013396E">
              <w:t>$/MWh</w:t>
            </w:r>
          </w:p>
        </w:tc>
        <w:tc>
          <w:tcPr>
            <w:tcW w:w="3609" w:type="pct"/>
          </w:tcPr>
          <w:p w14:paraId="4BCCFF1A" w14:textId="77777777" w:rsidR="001F04FD" w:rsidRPr="0013396E" w:rsidRDefault="001F04FD" w:rsidP="00AC4DEE">
            <w:pPr>
              <w:pStyle w:val="TableBody"/>
            </w:pPr>
            <w:r w:rsidRPr="0013396E">
              <w:rPr>
                <w:i/>
              </w:rPr>
              <w:t>Hub Locational Marginal Price</w:t>
            </w:r>
            <w:r w:rsidRPr="0013396E">
              <w:sym w:font="Symbol" w:char="F0BE"/>
            </w:r>
            <w:r w:rsidRPr="0013396E">
              <w:t xml:space="preserve">The Hub LMP for the Hub for the SCED Interval </w:t>
            </w:r>
            <w:r w:rsidRPr="0013396E">
              <w:rPr>
                <w:i/>
              </w:rPr>
              <w:t>y</w:t>
            </w:r>
            <w:r w:rsidRPr="0013396E">
              <w:t>.</w:t>
            </w:r>
          </w:p>
        </w:tc>
      </w:tr>
      <w:tr w:rsidR="001F04FD" w:rsidRPr="0013396E" w14:paraId="58D207F5" w14:textId="77777777" w:rsidTr="00AC4DEE">
        <w:tc>
          <w:tcPr>
            <w:tcW w:w="884" w:type="pct"/>
          </w:tcPr>
          <w:p w14:paraId="0A5F54F4" w14:textId="77777777" w:rsidR="001F04FD" w:rsidRPr="0013396E" w:rsidRDefault="001F04FD" w:rsidP="00AC4DEE">
            <w:pPr>
              <w:pStyle w:val="TableBody"/>
            </w:pPr>
            <w:r w:rsidRPr="0013396E">
              <w:t xml:space="preserve">RTHBP </w:t>
            </w:r>
            <w:r w:rsidRPr="0013396E">
              <w:rPr>
                <w:i/>
                <w:vertAlign w:val="subscript"/>
              </w:rPr>
              <w:t>hb, Hub, y</w:t>
            </w:r>
          </w:p>
        </w:tc>
        <w:tc>
          <w:tcPr>
            <w:tcW w:w="507" w:type="pct"/>
          </w:tcPr>
          <w:p w14:paraId="064AC712" w14:textId="77777777" w:rsidR="001F04FD" w:rsidRPr="0013396E" w:rsidRDefault="001F04FD" w:rsidP="00AC4DEE">
            <w:pPr>
              <w:pStyle w:val="TableBody"/>
            </w:pPr>
            <w:r w:rsidRPr="0013396E">
              <w:t>$/MWh</w:t>
            </w:r>
          </w:p>
        </w:tc>
        <w:tc>
          <w:tcPr>
            <w:tcW w:w="3609" w:type="pct"/>
          </w:tcPr>
          <w:p w14:paraId="7DC3BA61" w14:textId="77777777" w:rsidR="001F04FD" w:rsidRPr="0013396E" w:rsidRDefault="001F04FD" w:rsidP="00AC4DEE">
            <w:pPr>
              <w:pStyle w:val="TableBody"/>
            </w:pPr>
            <w:r w:rsidRPr="0013396E">
              <w:rPr>
                <w:i/>
              </w:rPr>
              <w:t>Real-Time Hub Bus Price at Hub Bus per SCED interval</w:t>
            </w:r>
            <w:r w:rsidRPr="0013396E">
              <w:sym w:font="Symbol" w:char="F0BE"/>
            </w:r>
            <w:r w:rsidRPr="0013396E">
              <w:t xml:space="preserve">The Real-Time energy price at Hub Bus </w:t>
            </w:r>
            <w:r w:rsidRPr="0013396E">
              <w:rPr>
                <w:i/>
              </w:rPr>
              <w:t>hb</w:t>
            </w:r>
            <w:r w:rsidRPr="0013396E">
              <w:t xml:space="preserve"> for the SCED interval </w:t>
            </w:r>
            <w:r w:rsidRPr="0013396E">
              <w:rPr>
                <w:i/>
              </w:rPr>
              <w:t>y</w:t>
            </w:r>
            <w:r w:rsidRPr="0013396E">
              <w:t>.</w:t>
            </w:r>
          </w:p>
        </w:tc>
      </w:tr>
      <w:tr w:rsidR="001F04FD" w:rsidRPr="0013396E" w14:paraId="3378C137" w14:textId="77777777" w:rsidTr="00AC4DEE">
        <w:tc>
          <w:tcPr>
            <w:tcW w:w="884" w:type="pct"/>
          </w:tcPr>
          <w:p w14:paraId="0C88316D" w14:textId="77777777" w:rsidR="001F04FD" w:rsidRPr="0013396E" w:rsidRDefault="001F04FD" w:rsidP="00AC4DEE">
            <w:pPr>
              <w:pStyle w:val="TableBody"/>
              <w:rPr>
                <w:lang w:val="fr-FR"/>
              </w:rPr>
            </w:pPr>
            <w:r w:rsidRPr="0013396E">
              <w:rPr>
                <w:lang w:val="fr-FR"/>
              </w:rPr>
              <w:t xml:space="preserve">RTLMP </w:t>
            </w:r>
            <w:r w:rsidRPr="0013396E">
              <w:rPr>
                <w:i/>
                <w:vertAlign w:val="subscript"/>
                <w:lang w:val="fr-FR"/>
              </w:rPr>
              <w:t>b, hb, Hub, y</w:t>
            </w:r>
          </w:p>
        </w:tc>
        <w:tc>
          <w:tcPr>
            <w:tcW w:w="507" w:type="pct"/>
          </w:tcPr>
          <w:p w14:paraId="5FDCD9E5" w14:textId="77777777" w:rsidR="001F04FD" w:rsidRPr="0013396E" w:rsidRDefault="001F04FD" w:rsidP="00AC4DEE">
            <w:pPr>
              <w:pStyle w:val="TableBody"/>
            </w:pPr>
            <w:r w:rsidRPr="0013396E">
              <w:t>$/MWh</w:t>
            </w:r>
          </w:p>
        </w:tc>
        <w:tc>
          <w:tcPr>
            <w:tcW w:w="3609" w:type="pct"/>
          </w:tcPr>
          <w:p w14:paraId="36A001FB" w14:textId="77777777" w:rsidR="001F04FD" w:rsidRPr="0013396E" w:rsidRDefault="001F04FD" w:rsidP="00AC4DEE">
            <w:pPr>
              <w:pStyle w:val="TableBody"/>
            </w:pPr>
            <w:r w:rsidRPr="0013396E">
              <w:rPr>
                <w:i/>
              </w:rPr>
              <w:t>Real-Time Locational Marginal Price at Electrical Bus of Hub Bus per interval</w:t>
            </w:r>
            <w:r w:rsidRPr="0013396E">
              <w:sym w:font="Symbol" w:char="F0BE"/>
            </w:r>
            <w:r w:rsidRPr="0013396E">
              <w:t xml:space="preserve">The Real-Time LMP at Electrical Bus </w:t>
            </w:r>
            <w:r w:rsidRPr="0013396E">
              <w:rPr>
                <w:i/>
              </w:rPr>
              <w:t>b</w:t>
            </w:r>
            <w:r w:rsidRPr="0013396E">
              <w:t xml:space="preserve"> that is a component of Hub Bus </w:t>
            </w:r>
            <w:r w:rsidRPr="0013396E">
              <w:rPr>
                <w:i/>
              </w:rPr>
              <w:t>hb</w:t>
            </w:r>
            <w:r w:rsidRPr="0013396E">
              <w:t xml:space="preserve">, for the SCED interval </w:t>
            </w:r>
            <w:r w:rsidRPr="0013396E">
              <w:rPr>
                <w:i/>
              </w:rPr>
              <w:t>y</w:t>
            </w:r>
            <w:r w:rsidRPr="0013396E">
              <w:t>.</w:t>
            </w:r>
          </w:p>
        </w:tc>
      </w:tr>
      <w:tr w:rsidR="001F04FD" w:rsidRPr="0013396E" w14:paraId="5754A7FA" w14:textId="77777777" w:rsidTr="00AC4DEE">
        <w:tc>
          <w:tcPr>
            <w:tcW w:w="884" w:type="pct"/>
          </w:tcPr>
          <w:p w14:paraId="3A993C50" w14:textId="77777777" w:rsidR="001F04FD" w:rsidRPr="0013396E" w:rsidRDefault="001F04FD" w:rsidP="00AC4DEE">
            <w:pPr>
              <w:pStyle w:val="TableBody"/>
            </w:pPr>
            <w:r w:rsidRPr="0013396E">
              <w:t xml:space="preserve">HUBDF </w:t>
            </w:r>
            <w:r w:rsidRPr="0013396E">
              <w:rPr>
                <w:i/>
                <w:vertAlign w:val="subscript"/>
              </w:rPr>
              <w:t>hb, Hub</w:t>
            </w:r>
          </w:p>
        </w:tc>
        <w:tc>
          <w:tcPr>
            <w:tcW w:w="507" w:type="pct"/>
          </w:tcPr>
          <w:p w14:paraId="23ABA108" w14:textId="77777777" w:rsidR="001F04FD" w:rsidRPr="0013396E" w:rsidRDefault="001F04FD" w:rsidP="00AC4DEE">
            <w:pPr>
              <w:pStyle w:val="TableBody"/>
            </w:pPr>
            <w:r w:rsidRPr="0013396E">
              <w:t>none</w:t>
            </w:r>
          </w:p>
        </w:tc>
        <w:tc>
          <w:tcPr>
            <w:tcW w:w="3609" w:type="pct"/>
          </w:tcPr>
          <w:p w14:paraId="0A4D6CD4" w14:textId="77777777" w:rsidR="001F04FD" w:rsidRPr="0013396E" w:rsidRDefault="001F04FD" w:rsidP="00AC4DEE">
            <w:pPr>
              <w:pStyle w:val="TableBody"/>
              <w:rPr>
                <w:iCs w:val="0"/>
              </w:rPr>
            </w:pPr>
            <w:r w:rsidRPr="0013396E">
              <w:rPr>
                <w:i/>
              </w:rPr>
              <w:t>Hub Distribution Factor per Hub Bus</w:t>
            </w:r>
            <w:r w:rsidRPr="0013396E">
              <w:sym w:font="Symbol" w:char="F0BE"/>
            </w:r>
            <w:r w:rsidRPr="0013396E">
              <w:t xml:space="preserve">The distribution factor of Hub Bus </w:t>
            </w:r>
            <w:r w:rsidRPr="0013396E">
              <w:rPr>
                <w:i/>
              </w:rPr>
              <w:t>hb</w:t>
            </w:r>
            <w:r w:rsidRPr="0013396E">
              <w:t xml:space="preserve">.  </w:t>
            </w:r>
          </w:p>
        </w:tc>
      </w:tr>
      <w:tr w:rsidR="001F04FD" w:rsidRPr="0013396E" w14:paraId="4CEDDCF1" w14:textId="77777777" w:rsidTr="00AC4DEE">
        <w:tc>
          <w:tcPr>
            <w:tcW w:w="884" w:type="pct"/>
          </w:tcPr>
          <w:p w14:paraId="65BD0D0A" w14:textId="77777777" w:rsidR="001F04FD" w:rsidRPr="0013396E" w:rsidRDefault="001F04FD" w:rsidP="00AC4DEE">
            <w:pPr>
              <w:pStyle w:val="TableBody"/>
            </w:pPr>
            <w:r w:rsidRPr="0013396E">
              <w:t xml:space="preserve">HBDF </w:t>
            </w:r>
            <w:r w:rsidRPr="0013396E">
              <w:rPr>
                <w:i/>
                <w:vertAlign w:val="subscript"/>
              </w:rPr>
              <w:t>b, hb, Hub</w:t>
            </w:r>
          </w:p>
        </w:tc>
        <w:tc>
          <w:tcPr>
            <w:tcW w:w="507" w:type="pct"/>
          </w:tcPr>
          <w:p w14:paraId="20AA3611" w14:textId="77777777" w:rsidR="001F04FD" w:rsidRPr="0013396E" w:rsidRDefault="001F04FD" w:rsidP="00AC4DEE">
            <w:pPr>
              <w:pStyle w:val="TableBody"/>
            </w:pPr>
            <w:r w:rsidRPr="0013396E">
              <w:t>none</w:t>
            </w:r>
          </w:p>
        </w:tc>
        <w:tc>
          <w:tcPr>
            <w:tcW w:w="3609" w:type="pct"/>
          </w:tcPr>
          <w:p w14:paraId="3CE8E033" w14:textId="77777777" w:rsidR="001F04FD" w:rsidRPr="0013396E" w:rsidRDefault="001F04FD" w:rsidP="00AC4DEE">
            <w:pPr>
              <w:pStyle w:val="TableBody"/>
            </w:pPr>
            <w:r w:rsidRPr="0013396E">
              <w:rPr>
                <w:i/>
              </w:rPr>
              <w:t>Hub Bus Distribution Factor per Electrical Bus of Hub Bus</w:t>
            </w:r>
            <w:r w:rsidRPr="0013396E">
              <w:sym w:font="Symbol" w:char="F0BE"/>
            </w:r>
            <w:r w:rsidRPr="0013396E">
              <w:t xml:space="preserve">The distribution factor of Electrical Bus </w:t>
            </w:r>
            <w:r w:rsidRPr="0013396E">
              <w:rPr>
                <w:i/>
              </w:rPr>
              <w:t>b</w:t>
            </w:r>
            <w:r w:rsidRPr="0013396E">
              <w:t xml:space="preserve"> that is a component of Hub Bus</w:t>
            </w:r>
            <w:r w:rsidRPr="0013396E">
              <w:rPr>
                <w:i/>
              </w:rPr>
              <w:t xml:space="preserve"> hb</w:t>
            </w:r>
            <w:r w:rsidRPr="0013396E">
              <w:t xml:space="preserve">.  </w:t>
            </w:r>
          </w:p>
        </w:tc>
      </w:tr>
      <w:tr w:rsidR="001F04FD" w:rsidRPr="0013396E" w14:paraId="6FCEAF6D" w14:textId="77777777" w:rsidTr="00AC4DEE">
        <w:tc>
          <w:tcPr>
            <w:tcW w:w="884" w:type="pct"/>
          </w:tcPr>
          <w:p w14:paraId="5C41F047" w14:textId="77777777" w:rsidR="001F04FD" w:rsidRPr="0013396E" w:rsidRDefault="001F04FD" w:rsidP="00AC4DEE">
            <w:pPr>
              <w:pStyle w:val="TableBody"/>
            </w:pPr>
            <w:r w:rsidRPr="0013396E">
              <w:t xml:space="preserve">B </w:t>
            </w:r>
            <w:r w:rsidRPr="0013396E">
              <w:rPr>
                <w:i/>
                <w:vertAlign w:val="subscript"/>
              </w:rPr>
              <w:t>hb, Hub</w:t>
            </w:r>
          </w:p>
        </w:tc>
        <w:tc>
          <w:tcPr>
            <w:tcW w:w="507" w:type="pct"/>
          </w:tcPr>
          <w:p w14:paraId="68ABAEC1" w14:textId="77777777" w:rsidR="001F04FD" w:rsidRPr="0013396E" w:rsidRDefault="001F04FD" w:rsidP="00AC4DEE">
            <w:pPr>
              <w:pStyle w:val="TableBody"/>
            </w:pPr>
            <w:r w:rsidRPr="0013396E">
              <w:t>none</w:t>
            </w:r>
          </w:p>
        </w:tc>
        <w:tc>
          <w:tcPr>
            <w:tcW w:w="3609" w:type="pct"/>
          </w:tcPr>
          <w:p w14:paraId="1D5C0F96" w14:textId="77777777" w:rsidR="001F04FD" w:rsidRPr="0013396E" w:rsidRDefault="001F04FD" w:rsidP="00AC4DEE">
            <w:pPr>
              <w:pStyle w:val="TableBody"/>
            </w:pPr>
            <w:r w:rsidRPr="0013396E">
              <w:t xml:space="preserve">The total number of energized Electrical Buses in Hub Bus </w:t>
            </w:r>
            <w:r w:rsidRPr="0013396E">
              <w:rPr>
                <w:i/>
              </w:rPr>
              <w:t>hb</w:t>
            </w:r>
            <w:r w:rsidRPr="0013396E">
              <w:t>.</w:t>
            </w:r>
          </w:p>
        </w:tc>
      </w:tr>
      <w:tr w:rsidR="001F04FD" w:rsidRPr="0013396E" w14:paraId="53524946" w14:textId="77777777" w:rsidTr="00AC4DEE">
        <w:tc>
          <w:tcPr>
            <w:tcW w:w="884" w:type="pct"/>
          </w:tcPr>
          <w:p w14:paraId="672CE2CE" w14:textId="77777777" w:rsidR="001F04FD" w:rsidRPr="0013396E" w:rsidRDefault="001F04FD" w:rsidP="00AC4DEE">
            <w:pPr>
              <w:pStyle w:val="TableBody"/>
            </w:pPr>
            <w:r w:rsidRPr="0013396E">
              <w:t>HB</w:t>
            </w:r>
            <w:r w:rsidRPr="0013396E">
              <w:rPr>
                <w:vertAlign w:val="subscript"/>
              </w:rPr>
              <w:t xml:space="preserve"> </w:t>
            </w:r>
            <w:r w:rsidRPr="0013396E">
              <w:rPr>
                <w:i/>
                <w:vertAlign w:val="subscript"/>
              </w:rPr>
              <w:t>Hub</w:t>
            </w:r>
          </w:p>
        </w:tc>
        <w:tc>
          <w:tcPr>
            <w:tcW w:w="507" w:type="pct"/>
          </w:tcPr>
          <w:p w14:paraId="4005DC91" w14:textId="77777777" w:rsidR="001F04FD" w:rsidRPr="0013396E" w:rsidRDefault="001F04FD" w:rsidP="00AC4DEE">
            <w:pPr>
              <w:pStyle w:val="TableBody"/>
            </w:pPr>
            <w:r w:rsidRPr="0013396E">
              <w:t>none</w:t>
            </w:r>
          </w:p>
        </w:tc>
        <w:tc>
          <w:tcPr>
            <w:tcW w:w="3609" w:type="pct"/>
          </w:tcPr>
          <w:p w14:paraId="3BEB7773" w14:textId="77777777" w:rsidR="001F04FD" w:rsidRPr="0013396E" w:rsidRDefault="001F04FD" w:rsidP="00AC4DEE">
            <w:pPr>
              <w:pStyle w:val="TableBody"/>
            </w:pPr>
            <w:r w:rsidRPr="0013396E">
              <w:t>The total number of Hub Buses in the Hub with at least one energized component in each Hub Bus.</w:t>
            </w:r>
          </w:p>
        </w:tc>
      </w:tr>
      <w:tr w:rsidR="001F04FD" w:rsidRPr="0013396E" w14:paraId="6E253F87" w14:textId="77777777" w:rsidTr="00AC4DEE">
        <w:tc>
          <w:tcPr>
            <w:tcW w:w="884" w:type="pct"/>
          </w:tcPr>
          <w:p w14:paraId="16D1DBBF" w14:textId="77777777" w:rsidR="001F04FD" w:rsidRPr="0013396E" w:rsidRDefault="001F04FD" w:rsidP="00AC4DEE">
            <w:pPr>
              <w:pStyle w:val="TableBody"/>
              <w:rPr>
                <w:i/>
              </w:rPr>
            </w:pPr>
            <w:r w:rsidRPr="0013396E">
              <w:rPr>
                <w:i/>
              </w:rPr>
              <w:t>Hub</w:t>
            </w:r>
          </w:p>
        </w:tc>
        <w:tc>
          <w:tcPr>
            <w:tcW w:w="507" w:type="pct"/>
          </w:tcPr>
          <w:p w14:paraId="0BE7F5A6" w14:textId="77777777" w:rsidR="001F04FD" w:rsidRPr="0013396E" w:rsidRDefault="001F04FD" w:rsidP="00AC4DEE">
            <w:pPr>
              <w:pStyle w:val="TableBody"/>
            </w:pPr>
            <w:r w:rsidRPr="0013396E">
              <w:t>none</w:t>
            </w:r>
          </w:p>
        </w:tc>
        <w:tc>
          <w:tcPr>
            <w:tcW w:w="3609" w:type="pct"/>
          </w:tcPr>
          <w:p w14:paraId="5CC78AD0" w14:textId="77777777" w:rsidR="001F04FD" w:rsidRPr="0013396E" w:rsidRDefault="001F04FD" w:rsidP="00AC4DEE">
            <w:pPr>
              <w:pStyle w:val="TableBody"/>
            </w:pPr>
            <w:r w:rsidRPr="0013396E">
              <w:t>One of the following Hubs: ERCOT Bus Average 345 kV Hub, North 345 kV Hub, South 345 kV Hub, Houston 345 kV Hub, or the West 345 kV Hub</w:t>
            </w:r>
          </w:p>
        </w:tc>
      </w:tr>
      <w:tr w:rsidR="001F04FD" w:rsidRPr="0013396E" w14:paraId="1E32CF9B" w14:textId="77777777" w:rsidTr="00AC4DEE">
        <w:tc>
          <w:tcPr>
            <w:tcW w:w="884" w:type="pct"/>
          </w:tcPr>
          <w:p w14:paraId="26030273" w14:textId="77777777" w:rsidR="001F04FD" w:rsidRPr="0013396E" w:rsidRDefault="001F04FD" w:rsidP="00AC4DEE">
            <w:pPr>
              <w:pStyle w:val="TableBody"/>
              <w:rPr>
                <w:i/>
              </w:rPr>
            </w:pPr>
            <w:r w:rsidRPr="0013396E">
              <w:rPr>
                <w:i/>
              </w:rPr>
              <w:t>hb</w:t>
            </w:r>
          </w:p>
        </w:tc>
        <w:tc>
          <w:tcPr>
            <w:tcW w:w="507" w:type="pct"/>
          </w:tcPr>
          <w:p w14:paraId="5C81B889" w14:textId="77777777" w:rsidR="001F04FD" w:rsidRPr="0013396E" w:rsidRDefault="001F04FD" w:rsidP="00AC4DEE">
            <w:pPr>
              <w:pStyle w:val="TableBody"/>
            </w:pPr>
            <w:r w:rsidRPr="0013396E">
              <w:t>none</w:t>
            </w:r>
          </w:p>
        </w:tc>
        <w:tc>
          <w:tcPr>
            <w:tcW w:w="3609" w:type="pct"/>
          </w:tcPr>
          <w:p w14:paraId="779159E6" w14:textId="77777777" w:rsidR="001F04FD" w:rsidRPr="0013396E" w:rsidRDefault="001F04FD" w:rsidP="00AC4DEE">
            <w:pPr>
              <w:pStyle w:val="TableBody"/>
            </w:pPr>
            <w:r w:rsidRPr="0013396E">
              <w:t>A Hub Bus that is a component of the Hub.</w:t>
            </w:r>
          </w:p>
        </w:tc>
      </w:tr>
      <w:tr w:rsidR="001F04FD" w:rsidRPr="0013396E" w14:paraId="609BCF61" w14:textId="77777777" w:rsidTr="00AC4DEE">
        <w:tc>
          <w:tcPr>
            <w:tcW w:w="884" w:type="pct"/>
          </w:tcPr>
          <w:p w14:paraId="1E533B50" w14:textId="77777777" w:rsidR="001F04FD" w:rsidRPr="0013396E" w:rsidRDefault="001F04FD" w:rsidP="00AC4DEE">
            <w:pPr>
              <w:pStyle w:val="TableBody"/>
              <w:rPr>
                <w:i/>
              </w:rPr>
            </w:pPr>
            <w:r w:rsidRPr="0013396E">
              <w:rPr>
                <w:i/>
              </w:rPr>
              <w:t>y</w:t>
            </w:r>
          </w:p>
        </w:tc>
        <w:tc>
          <w:tcPr>
            <w:tcW w:w="507" w:type="pct"/>
          </w:tcPr>
          <w:p w14:paraId="7A1722E8" w14:textId="77777777" w:rsidR="001F04FD" w:rsidRPr="0013396E" w:rsidRDefault="001F04FD" w:rsidP="00AC4DEE">
            <w:pPr>
              <w:pStyle w:val="TableBody"/>
            </w:pPr>
            <w:r w:rsidRPr="0013396E">
              <w:t>none</w:t>
            </w:r>
          </w:p>
        </w:tc>
        <w:tc>
          <w:tcPr>
            <w:tcW w:w="3609" w:type="pct"/>
          </w:tcPr>
          <w:p w14:paraId="64A31CFC" w14:textId="77777777" w:rsidR="001F04FD" w:rsidRPr="0013396E" w:rsidRDefault="001F04FD" w:rsidP="00AC4DEE">
            <w:pPr>
              <w:pStyle w:val="TableBody"/>
            </w:pPr>
            <w:r w:rsidRPr="0013396E">
              <w:t>A SCED interval.</w:t>
            </w:r>
          </w:p>
        </w:tc>
      </w:tr>
      <w:tr w:rsidR="001F04FD" w:rsidRPr="0013396E" w14:paraId="65ADDB0A" w14:textId="77777777" w:rsidTr="00AC4DEE">
        <w:tc>
          <w:tcPr>
            <w:tcW w:w="884" w:type="pct"/>
          </w:tcPr>
          <w:p w14:paraId="546FA24A" w14:textId="77777777" w:rsidR="001F04FD" w:rsidRPr="0013396E" w:rsidRDefault="001F04FD" w:rsidP="00AC4DEE">
            <w:pPr>
              <w:pStyle w:val="TableBody"/>
              <w:rPr>
                <w:i/>
              </w:rPr>
            </w:pPr>
            <w:r w:rsidRPr="0013396E">
              <w:rPr>
                <w:i/>
              </w:rPr>
              <w:t>b</w:t>
            </w:r>
          </w:p>
        </w:tc>
        <w:tc>
          <w:tcPr>
            <w:tcW w:w="507" w:type="pct"/>
          </w:tcPr>
          <w:p w14:paraId="59B1D9DB" w14:textId="77777777" w:rsidR="001F04FD" w:rsidRPr="0013396E" w:rsidRDefault="001F04FD" w:rsidP="00AC4DEE">
            <w:pPr>
              <w:pStyle w:val="TableBody"/>
            </w:pPr>
            <w:r w:rsidRPr="0013396E">
              <w:t>none</w:t>
            </w:r>
          </w:p>
        </w:tc>
        <w:tc>
          <w:tcPr>
            <w:tcW w:w="3609" w:type="pct"/>
          </w:tcPr>
          <w:p w14:paraId="16FF92C2" w14:textId="77777777" w:rsidR="001F04FD" w:rsidRPr="0013396E" w:rsidRDefault="001F04FD" w:rsidP="00AC4DEE">
            <w:pPr>
              <w:pStyle w:val="TableBody"/>
            </w:pPr>
            <w:r w:rsidRPr="0013396E">
              <w:t>An energized Electrical Bus that is a component of a Hub Bus.</w:t>
            </w:r>
          </w:p>
        </w:tc>
      </w:tr>
    </w:tbl>
    <w:p w14:paraId="59B9022C" w14:textId="77777777" w:rsidR="001F04FD" w:rsidRPr="0013396E" w:rsidRDefault="001F04FD" w:rsidP="001F04FD">
      <w:pPr>
        <w:pStyle w:val="BodyText"/>
        <w:spacing w:after="0"/>
      </w:pPr>
    </w:p>
    <w:p w14:paraId="29952F46" w14:textId="77777777" w:rsidR="001F04FD" w:rsidRPr="0013396E" w:rsidRDefault="000468AC" w:rsidP="008E724B">
      <w:pPr>
        <w:pStyle w:val="BodyText"/>
        <w:ind w:left="720" w:hanging="720"/>
      </w:pPr>
      <w:r w:rsidRPr="0013396E">
        <w:t>(3)</w:t>
      </w:r>
      <w:r w:rsidRPr="0013396E">
        <w:tab/>
      </w:r>
      <w:r w:rsidR="001F04FD" w:rsidRPr="0013396E">
        <w:t xml:space="preserve">The Hub LMP for the ERCOT Hub Average 345 kV Hub (ERCOT 345) for a SCED Interval is calculated as follows: </w:t>
      </w:r>
    </w:p>
    <w:p w14:paraId="5B434960" w14:textId="77777777" w:rsidR="001F04FD" w:rsidRPr="0013396E" w:rsidRDefault="001F04FD" w:rsidP="001F04FD">
      <w:pPr>
        <w:pStyle w:val="FormulaBold"/>
        <w:rPr>
          <w:lang w:val="es-MX"/>
        </w:rPr>
      </w:pPr>
      <w:r w:rsidRPr="0013396E">
        <w:rPr>
          <w:lang w:val="es-MX"/>
        </w:rPr>
        <w:t>HUBLMP</w:t>
      </w:r>
      <w:r w:rsidRPr="0013396E">
        <w:rPr>
          <w:i/>
          <w:vertAlign w:val="subscript"/>
          <w:lang w:val="es-MX"/>
        </w:rPr>
        <w:t xml:space="preserve"> ERCOT345</w:t>
      </w:r>
      <w:r w:rsidRPr="0013396E">
        <w:rPr>
          <w:i/>
          <w:vertAlign w:val="subscript"/>
        </w:rPr>
        <w:t>, y</w:t>
      </w:r>
      <w:r w:rsidRPr="0013396E">
        <w:rPr>
          <w:lang w:val="es-MX"/>
        </w:rPr>
        <w:tab/>
        <w:t>=</w:t>
      </w:r>
      <w:r w:rsidRPr="0013396E">
        <w:rPr>
          <w:lang w:val="es-MX"/>
        </w:rPr>
        <w:tab/>
        <w:t>(HUBLMP</w:t>
      </w:r>
      <w:r w:rsidRPr="0013396E">
        <w:rPr>
          <w:i/>
          <w:vertAlign w:val="subscript"/>
          <w:lang w:val="es-MX"/>
        </w:rPr>
        <w:t>NORTH345</w:t>
      </w:r>
      <w:r w:rsidRPr="0013396E">
        <w:rPr>
          <w:i/>
          <w:vertAlign w:val="subscript"/>
        </w:rPr>
        <w:t>, y</w:t>
      </w:r>
      <w:r w:rsidRPr="0013396E">
        <w:rPr>
          <w:lang w:val="es-MX"/>
        </w:rPr>
        <w:t xml:space="preserve"> + HUBLMP</w:t>
      </w:r>
      <w:r w:rsidRPr="0013396E">
        <w:rPr>
          <w:i/>
          <w:vertAlign w:val="subscript"/>
          <w:lang w:val="es-MX"/>
        </w:rPr>
        <w:t>SOUTH345</w:t>
      </w:r>
      <w:r w:rsidRPr="0013396E">
        <w:rPr>
          <w:i/>
          <w:vertAlign w:val="subscript"/>
        </w:rPr>
        <w:t>, y</w:t>
      </w:r>
      <w:r w:rsidRPr="0013396E">
        <w:rPr>
          <w:i/>
          <w:vertAlign w:val="subscript"/>
          <w:lang w:val="es-MX"/>
        </w:rPr>
        <w:t xml:space="preserve"> </w:t>
      </w:r>
      <w:r w:rsidRPr="0013396E">
        <w:rPr>
          <w:i/>
          <w:lang w:val="es-MX"/>
        </w:rPr>
        <w:t xml:space="preserve">+ </w:t>
      </w:r>
      <w:r w:rsidRPr="0013396E">
        <w:rPr>
          <w:lang w:val="es-MX"/>
        </w:rPr>
        <w:t>HUBLMP</w:t>
      </w:r>
      <w:r w:rsidRPr="0013396E">
        <w:rPr>
          <w:i/>
          <w:vertAlign w:val="subscript"/>
          <w:lang w:val="es-MX"/>
        </w:rPr>
        <w:t>HOUSTON345</w:t>
      </w:r>
      <w:r w:rsidRPr="0013396E">
        <w:rPr>
          <w:i/>
          <w:vertAlign w:val="subscript"/>
        </w:rPr>
        <w:t>, y</w:t>
      </w:r>
      <w:r w:rsidRPr="0013396E">
        <w:rPr>
          <w:i/>
          <w:vertAlign w:val="subscript"/>
          <w:lang w:val="es-MX"/>
        </w:rPr>
        <w:t xml:space="preserve">  </w:t>
      </w:r>
      <w:r w:rsidRPr="0013396E">
        <w:rPr>
          <w:i/>
          <w:lang w:val="es-MX"/>
        </w:rPr>
        <w:t>+</w:t>
      </w:r>
      <w:r w:rsidRPr="0013396E">
        <w:rPr>
          <w:lang w:val="es-MX"/>
        </w:rPr>
        <w:t xml:space="preserve"> HUBLMP</w:t>
      </w:r>
      <w:r w:rsidRPr="0013396E">
        <w:rPr>
          <w:i/>
          <w:vertAlign w:val="subscript"/>
          <w:lang w:val="es-MX"/>
        </w:rPr>
        <w:t>WEST345</w:t>
      </w:r>
      <w:r w:rsidRPr="0013396E">
        <w:rPr>
          <w:i/>
          <w:vertAlign w:val="subscript"/>
        </w:rPr>
        <w:t>, y</w:t>
      </w:r>
      <w:r w:rsidRPr="0013396E">
        <w:rPr>
          <w:lang w:val="es-MX"/>
        </w:rPr>
        <w:t>) / 4</w:t>
      </w:r>
    </w:p>
    <w:p w14:paraId="3F62C383" w14:textId="77777777" w:rsidR="001F04FD" w:rsidRPr="0013396E" w:rsidRDefault="001F04FD" w:rsidP="001F04FD">
      <w:r w:rsidRPr="0013396E">
        <w:t>The above variables are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35"/>
        <w:gridCol w:w="1080"/>
        <w:gridCol w:w="6155"/>
      </w:tblGrid>
      <w:tr w:rsidR="001F04FD" w:rsidRPr="0013396E" w14:paraId="755946F4" w14:textId="77777777" w:rsidTr="00AC4DEE">
        <w:tc>
          <w:tcPr>
            <w:tcW w:w="2035" w:type="dxa"/>
          </w:tcPr>
          <w:p w14:paraId="4AF3580C" w14:textId="77777777" w:rsidR="001F04FD" w:rsidRPr="0013396E" w:rsidRDefault="001F04FD" w:rsidP="00AC4DEE">
            <w:pPr>
              <w:pStyle w:val="TableHead"/>
            </w:pPr>
            <w:r w:rsidRPr="0013396E">
              <w:t>Variable</w:t>
            </w:r>
          </w:p>
        </w:tc>
        <w:tc>
          <w:tcPr>
            <w:tcW w:w="1080" w:type="dxa"/>
          </w:tcPr>
          <w:p w14:paraId="7485ADEE" w14:textId="77777777" w:rsidR="001F04FD" w:rsidRPr="0013396E" w:rsidRDefault="001F04FD" w:rsidP="00AC4DEE">
            <w:pPr>
              <w:pStyle w:val="TableHead"/>
            </w:pPr>
            <w:r w:rsidRPr="0013396E">
              <w:t>Unit</w:t>
            </w:r>
          </w:p>
        </w:tc>
        <w:tc>
          <w:tcPr>
            <w:tcW w:w="6155" w:type="dxa"/>
          </w:tcPr>
          <w:p w14:paraId="476E810A" w14:textId="77777777" w:rsidR="001F04FD" w:rsidRPr="0013396E" w:rsidRDefault="001F04FD" w:rsidP="00AC4DEE">
            <w:pPr>
              <w:pStyle w:val="TableHead"/>
            </w:pPr>
            <w:r w:rsidRPr="0013396E">
              <w:t>Description</w:t>
            </w:r>
          </w:p>
        </w:tc>
      </w:tr>
      <w:tr w:rsidR="001F04FD" w:rsidRPr="0013396E" w14:paraId="457D3F50" w14:textId="77777777" w:rsidTr="00AC4DEE">
        <w:tc>
          <w:tcPr>
            <w:tcW w:w="2035" w:type="dxa"/>
          </w:tcPr>
          <w:p w14:paraId="7D03F52C" w14:textId="77777777" w:rsidR="001F04FD" w:rsidRPr="0013396E" w:rsidRDefault="001F04FD" w:rsidP="00AC4DEE">
            <w:pPr>
              <w:pStyle w:val="TableBody"/>
            </w:pPr>
            <w:r w:rsidRPr="0013396E">
              <w:t>HUBLMP</w:t>
            </w:r>
            <w:r w:rsidRPr="0013396E">
              <w:rPr>
                <w:i/>
                <w:vertAlign w:val="subscript"/>
              </w:rPr>
              <w:t>ERCOT345, y</w:t>
            </w:r>
          </w:p>
        </w:tc>
        <w:tc>
          <w:tcPr>
            <w:tcW w:w="1080" w:type="dxa"/>
          </w:tcPr>
          <w:p w14:paraId="1BE1A6FA" w14:textId="77777777" w:rsidR="001F04FD" w:rsidRPr="0013396E" w:rsidRDefault="001F04FD" w:rsidP="00AC4DEE">
            <w:pPr>
              <w:pStyle w:val="TableBody"/>
            </w:pPr>
            <w:r w:rsidRPr="0013396E">
              <w:t>$/MWh</w:t>
            </w:r>
          </w:p>
        </w:tc>
        <w:tc>
          <w:tcPr>
            <w:tcW w:w="6155" w:type="dxa"/>
          </w:tcPr>
          <w:p w14:paraId="3ACF8064" w14:textId="77777777" w:rsidR="001F04FD" w:rsidRPr="0013396E" w:rsidRDefault="001F04FD" w:rsidP="00AC4DEE">
            <w:pPr>
              <w:pStyle w:val="TableBody"/>
            </w:pPr>
            <w:r w:rsidRPr="0013396E">
              <w:rPr>
                <w:i/>
              </w:rPr>
              <w:t>Hub Locational Marginal Price for the ERCOT345</w:t>
            </w:r>
            <w:r w:rsidRPr="0013396E">
              <w:sym w:font="Symbol" w:char="F0BE"/>
            </w:r>
            <w:r w:rsidRPr="0013396E">
              <w:t xml:space="preserve">The Hub LMP for the ERCOT Hub Average 345 kV Hub (ERCOT 345), for the SCED Interval </w:t>
            </w:r>
            <w:r w:rsidRPr="0013396E">
              <w:rPr>
                <w:i/>
              </w:rPr>
              <w:t>y</w:t>
            </w:r>
            <w:r w:rsidRPr="0013396E">
              <w:t>.</w:t>
            </w:r>
          </w:p>
        </w:tc>
      </w:tr>
      <w:tr w:rsidR="001F04FD" w:rsidRPr="0013396E" w14:paraId="46925D42" w14:textId="77777777" w:rsidTr="00AC4DEE">
        <w:tc>
          <w:tcPr>
            <w:tcW w:w="2035" w:type="dxa"/>
          </w:tcPr>
          <w:p w14:paraId="70F2C8BC" w14:textId="77777777" w:rsidR="001F04FD" w:rsidRPr="0013396E" w:rsidRDefault="001F04FD" w:rsidP="00AC4DEE">
            <w:pPr>
              <w:pStyle w:val="TableBody"/>
            </w:pPr>
            <w:r w:rsidRPr="0013396E">
              <w:t>HUBLMP</w:t>
            </w:r>
            <w:r w:rsidRPr="0013396E">
              <w:rPr>
                <w:i/>
                <w:vertAlign w:val="subscript"/>
              </w:rPr>
              <w:t>NORTH345, y</w:t>
            </w:r>
          </w:p>
        </w:tc>
        <w:tc>
          <w:tcPr>
            <w:tcW w:w="1080" w:type="dxa"/>
          </w:tcPr>
          <w:p w14:paraId="2D0BCAFC" w14:textId="77777777" w:rsidR="001F04FD" w:rsidRPr="0013396E" w:rsidRDefault="001F04FD" w:rsidP="00AC4DEE">
            <w:pPr>
              <w:pStyle w:val="TableBody"/>
            </w:pPr>
            <w:r w:rsidRPr="0013396E">
              <w:t>$/MWh</w:t>
            </w:r>
          </w:p>
        </w:tc>
        <w:tc>
          <w:tcPr>
            <w:tcW w:w="6155" w:type="dxa"/>
          </w:tcPr>
          <w:p w14:paraId="3876F499" w14:textId="77777777" w:rsidR="001F04FD" w:rsidRPr="0013396E" w:rsidRDefault="001F04FD" w:rsidP="00AC4DEE">
            <w:pPr>
              <w:pStyle w:val="TableBody"/>
            </w:pPr>
            <w:r w:rsidRPr="0013396E">
              <w:rPr>
                <w:i/>
              </w:rPr>
              <w:t>Hub Locational Marginal Price for the NORTH345</w:t>
            </w:r>
            <w:r w:rsidRPr="0013396E">
              <w:sym w:font="Symbol" w:char="F0BE"/>
            </w:r>
            <w:r w:rsidRPr="0013396E">
              <w:t xml:space="preserve">The Hub LMP for the North 345 kV Hub (NORTH 345), for the SCED Interval </w:t>
            </w:r>
            <w:r w:rsidRPr="0013396E">
              <w:rPr>
                <w:i/>
              </w:rPr>
              <w:t>y</w:t>
            </w:r>
            <w:r w:rsidRPr="0013396E">
              <w:t>.</w:t>
            </w:r>
          </w:p>
        </w:tc>
      </w:tr>
      <w:tr w:rsidR="001F04FD" w:rsidRPr="0013396E" w14:paraId="05D77522" w14:textId="77777777" w:rsidTr="00AC4DEE">
        <w:tc>
          <w:tcPr>
            <w:tcW w:w="2035" w:type="dxa"/>
          </w:tcPr>
          <w:p w14:paraId="78109859" w14:textId="77777777" w:rsidR="001F04FD" w:rsidRPr="0013396E" w:rsidRDefault="001F04FD" w:rsidP="00AC4DEE">
            <w:pPr>
              <w:pStyle w:val="TableBody"/>
            </w:pPr>
            <w:r w:rsidRPr="0013396E">
              <w:t>HUBLMP</w:t>
            </w:r>
            <w:r w:rsidRPr="0013396E">
              <w:rPr>
                <w:i/>
                <w:vertAlign w:val="subscript"/>
              </w:rPr>
              <w:t>SOUTH345, y</w:t>
            </w:r>
          </w:p>
        </w:tc>
        <w:tc>
          <w:tcPr>
            <w:tcW w:w="1080" w:type="dxa"/>
          </w:tcPr>
          <w:p w14:paraId="2FB17356" w14:textId="77777777" w:rsidR="001F04FD" w:rsidRPr="0013396E" w:rsidRDefault="001F04FD" w:rsidP="00AC4DEE">
            <w:pPr>
              <w:pStyle w:val="TableBody"/>
            </w:pPr>
            <w:r w:rsidRPr="0013396E">
              <w:t>$/MWh</w:t>
            </w:r>
          </w:p>
        </w:tc>
        <w:tc>
          <w:tcPr>
            <w:tcW w:w="6155" w:type="dxa"/>
          </w:tcPr>
          <w:p w14:paraId="45A27E63" w14:textId="77777777" w:rsidR="001F04FD" w:rsidRPr="0013396E" w:rsidRDefault="001F04FD" w:rsidP="00AC4DEE">
            <w:pPr>
              <w:pStyle w:val="TableBody"/>
            </w:pPr>
            <w:r w:rsidRPr="0013396E">
              <w:rPr>
                <w:i/>
              </w:rPr>
              <w:t>Hub Locational Marginal Price for the SOUTH345</w:t>
            </w:r>
            <w:r w:rsidRPr="0013396E">
              <w:sym w:font="Symbol" w:char="F0BE"/>
            </w:r>
            <w:r w:rsidRPr="0013396E">
              <w:t xml:space="preserve">The Hub LMP for the South 345 kV Hub (SOUTH 345), for the SCED Interval </w:t>
            </w:r>
            <w:r w:rsidRPr="0013396E">
              <w:rPr>
                <w:i/>
              </w:rPr>
              <w:t>y</w:t>
            </w:r>
            <w:r w:rsidRPr="0013396E">
              <w:t>.</w:t>
            </w:r>
          </w:p>
        </w:tc>
      </w:tr>
      <w:tr w:rsidR="001F04FD" w:rsidRPr="0013396E" w14:paraId="4AB9CB8E" w14:textId="77777777" w:rsidTr="00AC4DEE">
        <w:tc>
          <w:tcPr>
            <w:tcW w:w="2035" w:type="dxa"/>
          </w:tcPr>
          <w:p w14:paraId="35B552AC" w14:textId="77777777" w:rsidR="001F04FD" w:rsidRPr="0013396E" w:rsidRDefault="001F04FD" w:rsidP="00AC4DEE">
            <w:pPr>
              <w:pStyle w:val="TableBody"/>
            </w:pPr>
            <w:r w:rsidRPr="0013396E">
              <w:t>HUBLMP</w:t>
            </w:r>
            <w:r w:rsidRPr="0013396E">
              <w:rPr>
                <w:i/>
                <w:vertAlign w:val="subscript"/>
              </w:rPr>
              <w:t>HOUSTON345, y</w:t>
            </w:r>
          </w:p>
        </w:tc>
        <w:tc>
          <w:tcPr>
            <w:tcW w:w="1080" w:type="dxa"/>
          </w:tcPr>
          <w:p w14:paraId="0831689B" w14:textId="77777777" w:rsidR="001F04FD" w:rsidRPr="0013396E" w:rsidRDefault="001F04FD" w:rsidP="00AC4DEE">
            <w:pPr>
              <w:pStyle w:val="TableBody"/>
            </w:pPr>
            <w:r w:rsidRPr="0013396E">
              <w:t>$/MWh</w:t>
            </w:r>
          </w:p>
        </w:tc>
        <w:tc>
          <w:tcPr>
            <w:tcW w:w="6155" w:type="dxa"/>
          </w:tcPr>
          <w:p w14:paraId="6A86A6CC" w14:textId="77777777" w:rsidR="001F04FD" w:rsidRPr="0013396E" w:rsidRDefault="001F04FD" w:rsidP="00AC4DEE">
            <w:pPr>
              <w:pStyle w:val="TableBody"/>
            </w:pPr>
            <w:r w:rsidRPr="0013396E">
              <w:rPr>
                <w:i/>
              </w:rPr>
              <w:t>Hub Locational Marginal Price for the HOUSTON345</w:t>
            </w:r>
            <w:r w:rsidRPr="0013396E">
              <w:sym w:font="Symbol" w:char="F0BE"/>
            </w:r>
            <w:r w:rsidRPr="0013396E">
              <w:t xml:space="preserve">The Hub LMP for the Houston 345 kV Hub (HOUSTON 345), for the SCED Interval </w:t>
            </w:r>
            <w:r w:rsidRPr="0013396E">
              <w:rPr>
                <w:i/>
              </w:rPr>
              <w:t>y</w:t>
            </w:r>
            <w:r w:rsidRPr="0013396E">
              <w:t>.</w:t>
            </w:r>
          </w:p>
        </w:tc>
      </w:tr>
      <w:tr w:rsidR="001F04FD" w:rsidRPr="0013396E" w14:paraId="714B96CC" w14:textId="77777777" w:rsidTr="00AC4DEE">
        <w:tc>
          <w:tcPr>
            <w:tcW w:w="2035" w:type="dxa"/>
          </w:tcPr>
          <w:p w14:paraId="54C2F28F" w14:textId="77777777" w:rsidR="001F04FD" w:rsidRPr="0013396E" w:rsidRDefault="001F04FD" w:rsidP="00AC4DEE">
            <w:pPr>
              <w:pStyle w:val="TableBody"/>
            </w:pPr>
            <w:r w:rsidRPr="0013396E">
              <w:t>HUBLMP</w:t>
            </w:r>
            <w:r w:rsidRPr="0013396E">
              <w:rPr>
                <w:i/>
                <w:vertAlign w:val="subscript"/>
              </w:rPr>
              <w:t>WEST345, y</w:t>
            </w:r>
          </w:p>
        </w:tc>
        <w:tc>
          <w:tcPr>
            <w:tcW w:w="1080" w:type="dxa"/>
          </w:tcPr>
          <w:p w14:paraId="55E027F9" w14:textId="77777777" w:rsidR="001F04FD" w:rsidRPr="0013396E" w:rsidRDefault="001F04FD" w:rsidP="00AC4DEE">
            <w:pPr>
              <w:pStyle w:val="TableBody"/>
            </w:pPr>
            <w:r w:rsidRPr="0013396E">
              <w:t>$/MWh</w:t>
            </w:r>
          </w:p>
        </w:tc>
        <w:tc>
          <w:tcPr>
            <w:tcW w:w="6155" w:type="dxa"/>
          </w:tcPr>
          <w:p w14:paraId="136A5500" w14:textId="77777777" w:rsidR="001F04FD" w:rsidRPr="0013396E" w:rsidRDefault="001F04FD" w:rsidP="00AC4DEE">
            <w:pPr>
              <w:pStyle w:val="TableBody"/>
            </w:pPr>
            <w:r w:rsidRPr="0013396E">
              <w:rPr>
                <w:i/>
              </w:rPr>
              <w:t>Hub Locational Marginal Price for the WEST345</w:t>
            </w:r>
            <w:r w:rsidRPr="0013396E">
              <w:sym w:font="Symbol" w:char="F0BE"/>
            </w:r>
            <w:r w:rsidRPr="0013396E">
              <w:t xml:space="preserve">The Hub LMP for the West 345 kV Hub (WEST 345), for the SCED Interval </w:t>
            </w:r>
            <w:r w:rsidRPr="0013396E">
              <w:rPr>
                <w:i/>
              </w:rPr>
              <w:t>y</w:t>
            </w:r>
            <w:r w:rsidRPr="0013396E">
              <w:t>.</w:t>
            </w:r>
          </w:p>
        </w:tc>
      </w:tr>
    </w:tbl>
    <w:p w14:paraId="4A01922B" w14:textId="77777777" w:rsidR="003F739B" w:rsidRPr="0013396E" w:rsidRDefault="003F739B" w:rsidP="003F739B">
      <w:pPr>
        <w:pStyle w:val="BodyText"/>
        <w:spacing w:after="0"/>
      </w:pPr>
      <w:bookmarkStart w:id="1448" w:name="_Toc109009384"/>
      <w:bookmarkStart w:id="1449" w:name="_Toc397505008"/>
      <w:bookmarkStart w:id="1450" w:name="_Toc402357136"/>
      <w:bookmarkStart w:id="1451" w:name="_Toc422486514"/>
      <w:bookmarkStart w:id="1452" w:name="_Toc433093366"/>
      <w:bookmarkStart w:id="1453" w:name="_Toc433093524"/>
      <w:bookmarkStart w:id="1454" w:name="_Toc440874752"/>
      <w:bookmarkStart w:id="1455" w:name="_Toc448142307"/>
      <w:bookmarkStart w:id="1456" w:name="_Toc448142464"/>
      <w:bookmarkStart w:id="1457" w:name="_Toc458770301"/>
      <w:bookmarkStart w:id="1458" w:name="_Toc459294269"/>
      <w:bookmarkStart w:id="1459" w:name="_Toc463262762"/>
      <w:bookmarkStart w:id="1460" w:name="_Toc468286835"/>
      <w:bookmarkStart w:id="1461" w:name="_Toc481502881"/>
      <w:bookmarkStart w:id="1462" w:name="_Toc496080049"/>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776199" w:rsidRPr="0013396E" w14:paraId="3EB1795C" w14:textId="77777777" w:rsidTr="00776199">
        <w:trPr>
          <w:trHeight w:val="8540"/>
        </w:trPr>
        <w:tc>
          <w:tcPr>
            <w:tcW w:w="9540" w:type="dxa"/>
            <w:tcBorders>
              <w:top w:val="single" w:sz="4" w:space="0" w:color="auto"/>
              <w:left w:val="single" w:sz="4" w:space="0" w:color="auto"/>
              <w:bottom w:val="single" w:sz="4" w:space="0" w:color="auto"/>
              <w:right w:val="single" w:sz="4" w:space="0" w:color="auto"/>
            </w:tcBorders>
            <w:shd w:val="clear" w:color="auto" w:fill="D9D9D9"/>
          </w:tcPr>
          <w:p w14:paraId="352ADF61" w14:textId="5E253879" w:rsidR="00776199" w:rsidRPr="0013396E" w:rsidRDefault="00776199" w:rsidP="00776199">
            <w:pPr>
              <w:spacing w:before="120" w:after="240"/>
              <w:rPr>
                <w:b/>
                <w:i/>
              </w:rPr>
            </w:pPr>
            <w:r w:rsidRPr="0013396E">
              <w:rPr>
                <w:b/>
                <w:i/>
              </w:rPr>
              <w:lastRenderedPageBreak/>
              <w:t xml:space="preserve">[NPRR1057:  Replace </w:t>
            </w:r>
            <w:r w:rsidR="002B516C" w:rsidRPr="0013396E">
              <w:rPr>
                <w:b/>
                <w:i/>
              </w:rPr>
              <w:t xml:space="preserve">applicable portions of </w:t>
            </w:r>
            <w:r w:rsidRPr="0013396E">
              <w:rPr>
                <w:b/>
                <w:i/>
              </w:rPr>
              <w:t xml:space="preserve">Section 6.6.1.5 above </w:t>
            </w:r>
            <w:r w:rsidR="00E75154" w:rsidRPr="0013396E">
              <w:rPr>
                <w:b/>
                <w:i/>
              </w:rPr>
              <w:t xml:space="preserve">with the following </w:t>
            </w:r>
            <w:r w:rsidRPr="0013396E">
              <w:rPr>
                <w:b/>
                <w:i/>
              </w:rPr>
              <w:t>upon system implementation of NPRR941</w:t>
            </w:r>
            <w:r w:rsidR="002B516C" w:rsidRPr="0013396E">
              <w:rPr>
                <w:b/>
                <w:i/>
              </w:rPr>
              <w:t xml:space="preserve"> or NPRR1057</w:t>
            </w:r>
            <w:r w:rsidRPr="0013396E">
              <w:rPr>
                <w:b/>
                <w:i/>
              </w:rPr>
              <w:t>:]</w:t>
            </w:r>
          </w:p>
          <w:p w14:paraId="48C86806" w14:textId="77777777" w:rsidR="00776199" w:rsidRPr="0013396E" w:rsidRDefault="00776199" w:rsidP="002B516C">
            <w:pPr>
              <w:pStyle w:val="H4"/>
              <w:tabs>
                <w:tab w:val="clear" w:pos="1260"/>
              </w:tabs>
              <w:ind w:left="0" w:firstLine="0"/>
            </w:pPr>
            <w:bookmarkStart w:id="1463" w:name="_Toc80174746"/>
            <w:bookmarkStart w:id="1464" w:name="_Toc108712505"/>
            <w:bookmarkStart w:id="1465" w:name="_Toc112417625"/>
            <w:bookmarkStart w:id="1466" w:name="_Toc119310294"/>
            <w:bookmarkStart w:id="1467" w:name="_Toc125966228"/>
            <w:bookmarkStart w:id="1468" w:name="_Toc135992326"/>
            <w:bookmarkStart w:id="1469" w:name="_Toc170303522"/>
            <w:bookmarkStart w:id="1470" w:name="_Toc175157426"/>
            <w:bookmarkStart w:id="1471" w:name="_Toc236220163"/>
            <w:r w:rsidRPr="0013396E">
              <w:t>6.6.1.5</w:t>
            </w:r>
            <w:r w:rsidRPr="0013396E">
              <w:tab/>
            </w:r>
            <w:r w:rsidRPr="0013396E">
              <w:tab/>
              <w:t>Hub LMPs</w:t>
            </w:r>
            <w:bookmarkEnd w:id="1463"/>
            <w:bookmarkEnd w:id="1464"/>
            <w:bookmarkEnd w:id="1465"/>
            <w:bookmarkEnd w:id="1466"/>
            <w:bookmarkEnd w:id="1467"/>
            <w:bookmarkEnd w:id="1468"/>
            <w:bookmarkEnd w:id="1469"/>
            <w:bookmarkEnd w:id="1470"/>
            <w:bookmarkEnd w:id="1471"/>
          </w:p>
          <w:p w14:paraId="4B4B9B93" w14:textId="77777777" w:rsidR="00776199" w:rsidRPr="0013396E" w:rsidRDefault="00776199" w:rsidP="00776199">
            <w:pPr>
              <w:pStyle w:val="BodyText"/>
            </w:pPr>
            <w:r w:rsidRPr="0013396E">
              <w:t>(1)</w:t>
            </w:r>
            <w:r w:rsidRPr="0013396E">
              <w:tab/>
              <w:t>The Hub LMPs shall be posted on the ERCOT website.</w:t>
            </w:r>
          </w:p>
          <w:p w14:paraId="2E9C37BC" w14:textId="77777777" w:rsidR="00776199" w:rsidRPr="0013396E" w:rsidRDefault="00776199" w:rsidP="00776199">
            <w:pPr>
              <w:pStyle w:val="BodyText"/>
              <w:ind w:left="720" w:hanging="720"/>
            </w:pPr>
            <w:r w:rsidRPr="0013396E">
              <w:t>(2)</w:t>
            </w:r>
            <w:r w:rsidRPr="0013396E">
              <w:tab/>
              <w:t>For each defined Hub except for the ERCOT Hub Average 345 kV Hub and the ERCOT Bus Average 345 kV Hub, the Hub LMP is the arithmetic average of the Real-Time LMPs of the Hub Buses included in the Hub.  The Hub LMP for a SCED Interval is calculated as follows:</w:t>
            </w:r>
          </w:p>
          <w:p w14:paraId="3A12FF43" w14:textId="77777777" w:rsidR="00776199" w:rsidRPr="0013396E" w:rsidRDefault="00776199" w:rsidP="00776199">
            <w:pPr>
              <w:pStyle w:val="FormulaBold"/>
              <w:rPr>
                <w:b w:val="0"/>
                <w:i/>
              </w:rPr>
            </w:pPr>
            <w:r w:rsidRPr="0013396E">
              <w:t>HUBLMP</w:t>
            </w:r>
            <w:r w:rsidRPr="0013396E">
              <w:rPr>
                <w:b w:val="0"/>
                <w:i/>
                <w:vertAlign w:val="subscript"/>
              </w:rPr>
              <w:t xml:space="preserve"> Hub, y</w:t>
            </w:r>
            <w:r w:rsidRPr="0013396E">
              <w:tab/>
            </w:r>
            <w:r w:rsidRPr="0013396E">
              <w:tab/>
              <w:t>=</w:t>
            </w:r>
            <w:r w:rsidRPr="0013396E">
              <w:tab/>
            </w:r>
            <w:r w:rsidRPr="0013396E">
              <w:rPr>
                <w:position w:val="-20"/>
              </w:rPr>
              <w:object w:dxaOrig="225" w:dyaOrig="435" w14:anchorId="166A0FCE">
                <v:shape id="_x0000_i1047" type="#_x0000_t75" style="width:12pt;height:18pt" o:ole="">
                  <v:imagedata r:id="rId43" o:title=""/>
                </v:shape>
                <o:OLEObject Type="Embed" ProgID="Equation.3" ShapeID="_x0000_i1047" DrawAspect="Content" ObjectID="_1849065678" r:id="rId47"/>
              </w:object>
            </w:r>
            <w:r w:rsidRPr="0013396E">
              <w:t xml:space="preserve">(HUBDF </w:t>
            </w:r>
            <w:r w:rsidRPr="0013396E">
              <w:rPr>
                <w:b w:val="0"/>
                <w:i/>
                <w:vertAlign w:val="subscript"/>
              </w:rPr>
              <w:t>hb, Hub</w:t>
            </w:r>
            <w:r w:rsidRPr="0013396E">
              <w:rPr>
                <w:b w:val="0"/>
              </w:rPr>
              <w:t xml:space="preserve"> </w:t>
            </w:r>
            <w:r w:rsidRPr="0013396E">
              <w:t xml:space="preserve">* RTHBP </w:t>
            </w:r>
            <w:r w:rsidRPr="0013396E">
              <w:rPr>
                <w:b w:val="0"/>
                <w:i/>
                <w:vertAlign w:val="subscript"/>
              </w:rPr>
              <w:t>hb, Hub, y</w:t>
            </w:r>
            <w:r w:rsidRPr="0013396E">
              <w:t>), if HB</w:t>
            </w:r>
            <w:r w:rsidRPr="0013396E">
              <w:rPr>
                <w:vertAlign w:val="subscript"/>
              </w:rPr>
              <w:t xml:space="preserve"> </w:t>
            </w:r>
            <w:r w:rsidRPr="0013396E">
              <w:rPr>
                <w:b w:val="0"/>
                <w:i/>
                <w:vertAlign w:val="subscript"/>
              </w:rPr>
              <w:t>Hub</w:t>
            </w:r>
            <w:r w:rsidRPr="0013396E">
              <w:t xml:space="preserve"> ≠ 0</w:t>
            </w:r>
          </w:p>
          <w:p w14:paraId="05D790A0" w14:textId="77777777" w:rsidR="00776199" w:rsidRPr="0013396E" w:rsidRDefault="00776199" w:rsidP="00776199">
            <w:pPr>
              <w:pStyle w:val="FormulaBold"/>
            </w:pPr>
            <w:r w:rsidRPr="0013396E">
              <w:t xml:space="preserve">HUBLMP </w:t>
            </w:r>
            <w:r w:rsidRPr="0013396E">
              <w:rPr>
                <w:b w:val="0"/>
                <w:i/>
                <w:vertAlign w:val="subscript"/>
              </w:rPr>
              <w:t>Hub, y</w:t>
            </w:r>
            <w:r w:rsidRPr="0013396E">
              <w:tab/>
              <w:t>=</w:t>
            </w:r>
            <w:r w:rsidRPr="0013396E">
              <w:tab/>
              <w:t>HUBLMP</w:t>
            </w:r>
            <w:r w:rsidRPr="0013396E">
              <w:rPr>
                <w:b w:val="0"/>
                <w:i/>
                <w:vertAlign w:val="subscript"/>
              </w:rPr>
              <w:t>ERCOT345Bus,y</w:t>
            </w:r>
            <w:r w:rsidRPr="0013396E">
              <w:t>, if HB</w:t>
            </w:r>
            <w:r w:rsidRPr="0013396E">
              <w:rPr>
                <w:vertAlign w:val="subscript"/>
              </w:rPr>
              <w:t xml:space="preserve"> </w:t>
            </w:r>
            <w:r w:rsidRPr="0013396E">
              <w:rPr>
                <w:b w:val="0"/>
                <w:i/>
                <w:vertAlign w:val="subscript"/>
              </w:rPr>
              <w:t>Hub</w:t>
            </w:r>
            <w:r w:rsidRPr="0013396E">
              <w:t xml:space="preserve"> = 0</w:t>
            </w:r>
          </w:p>
          <w:p w14:paraId="39D3F117" w14:textId="77777777" w:rsidR="00776199" w:rsidRPr="0013396E" w:rsidRDefault="00776199" w:rsidP="00776199">
            <w:pPr>
              <w:pStyle w:val="BodyText"/>
            </w:pPr>
            <w:r w:rsidRPr="0013396E">
              <w:t>Where:</w:t>
            </w:r>
          </w:p>
          <w:p w14:paraId="12D4C438" w14:textId="77777777" w:rsidR="00776199" w:rsidRPr="0013396E" w:rsidRDefault="00776199" w:rsidP="00776199">
            <w:pPr>
              <w:pStyle w:val="Formula"/>
              <w:ind w:left="2880" w:hanging="2160"/>
            </w:pPr>
            <w:r w:rsidRPr="0013396E">
              <w:t xml:space="preserve">RTHBP </w:t>
            </w:r>
            <w:r w:rsidRPr="0013396E">
              <w:rPr>
                <w:i/>
                <w:vertAlign w:val="subscript"/>
              </w:rPr>
              <w:t>hb, Hub, y</w:t>
            </w:r>
            <w:r w:rsidRPr="0013396E">
              <w:tab/>
              <w:t>=</w:t>
            </w:r>
            <w:r w:rsidRPr="0013396E">
              <w:tab/>
            </w:r>
            <w:r w:rsidRPr="0013396E">
              <w:rPr>
                <w:position w:val="-20"/>
              </w:rPr>
              <w:object w:dxaOrig="225" w:dyaOrig="435" w14:anchorId="7DED0EAD">
                <v:shape id="_x0000_i1048" type="#_x0000_t75" style="width:12pt;height:18pt" o:ole="">
                  <v:imagedata r:id="rId45" o:title=""/>
                </v:shape>
                <o:OLEObject Type="Embed" ProgID="Equation.3" ShapeID="_x0000_i1048" DrawAspect="Content" ObjectID="_1849065679" r:id="rId48"/>
              </w:object>
            </w:r>
            <w:r w:rsidRPr="0013396E">
              <w:t xml:space="preserve">(HBDF </w:t>
            </w:r>
            <w:r w:rsidRPr="0013396E">
              <w:rPr>
                <w:i/>
                <w:vertAlign w:val="subscript"/>
              </w:rPr>
              <w:t>b, hb, Hub</w:t>
            </w:r>
            <w:r w:rsidRPr="0013396E">
              <w:t xml:space="preserve"> * RTLMP </w:t>
            </w:r>
            <w:r w:rsidRPr="0013396E">
              <w:rPr>
                <w:i/>
                <w:vertAlign w:val="subscript"/>
              </w:rPr>
              <w:t>b, hb, Hub, y</w:t>
            </w:r>
            <w:r w:rsidRPr="0013396E">
              <w:t>)</w:t>
            </w:r>
          </w:p>
          <w:p w14:paraId="0778490D" w14:textId="77777777" w:rsidR="00776199" w:rsidRPr="0013396E" w:rsidRDefault="00776199" w:rsidP="00776199">
            <w:pPr>
              <w:pStyle w:val="Formula"/>
              <w:ind w:left="2880" w:hanging="2160"/>
            </w:pPr>
            <w:r w:rsidRPr="0013396E">
              <w:t>HUBDF</w:t>
            </w:r>
            <w:r w:rsidRPr="0013396E">
              <w:rPr>
                <w:i/>
              </w:rPr>
              <w:t xml:space="preserve"> </w:t>
            </w:r>
            <w:r w:rsidRPr="0013396E">
              <w:rPr>
                <w:i/>
                <w:vertAlign w:val="subscript"/>
              </w:rPr>
              <w:t>hb, Hub</w:t>
            </w:r>
            <w:r w:rsidRPr="0013396E">
              <w:tab/>
            </w:r>
            <w:r w:rsidRPr="0013396E">
              <w:tab/>
              <w:t>=</w:t>
            </w:r>
            <w:r w:rsidRPr="0013396E">
              <w:tab/>
              <w:t xml:space="preserve"> 1 </w:t>
            </w:r>
            <w:r w:rsidRPr="0013396E">
              <w:rPr>
                <w:b/>
                <w:sz w:val="32"/>
                <w:szCs w:val="32"/>
              </w:rPr>
              <w:t>/</w:t>
            </w:r>
            <w:r w:rsidRPr="0013396E">
              <w:rPr>
                <w:b/>
              </w:rPr>
              <w:t xml:space="preserve"> </w:t>
            </w:r>
            <w:r w:rsidRPr="0013396E">
              <w:t xml:space="preserve">HB </w:t>
            </w:r>
            <w:r w:rsidRPr="0013396E">
              <w:rPr>
                <w:i/>
                <w:vertAlign w:val="subscript"/>
              </w:rPr>
              <w:t>Hub</w:t>
            </w:r>
            <w:r w:rsidRPr="0013396E">
              <w:t>, if HB</w:t>
            </w:r>
            <w:r w:rsidRPr="0013396E">
              <w:rPr>
                <w:vertAlign w:val="subscript"/>
              </w:rPr>
              <w:t xml:space="preserve"> </w:t>
            </w:r>
            <w:r w:rsidRPr="0013396E">
              <w:rPr>
                <w:i/>
                <w:vertAlign w:val="subscript"/>
              </w:rPr>
              <w:t>Hub</w:t>
            </w:r>
            <w:r w:rsidRPr="0013396E">
              <w:t xml:space="preserve"> ≠ 0</w:t>
            </w:r>
          </w:p>
          <w:p w14:paraId="2C972DBF" w14:textId="77777777" w:rsidR="00776199" w:rsidRPr="0013396E" w:rsidRDefault="00776199" w:rsidP="00776199">
            <w:pPr>
              <w:pStyle w:val="Formula"/>
              <w:ind w:left="2880" w:hanging="2160"/>
            </w:pPr>
            <w:r w:rsidRPr="0013396E">
              <w:t>HUBDF</w:t>
            </w:r>
            <w:r w:rsidRPr="0013396E">
              <w:rPr>
                <w:i/>
              </w:rPr>
              <w:t xml:space="preserve"> </w:t>
            </w:r>
            <w:r w:rsidRPr="0013396E">
              <w:rPr>
                <w:i/>
                <w:vertAlign w:val="subscript"/>
              </w:rPr>
              <w:t>hb, Hub</w:t>
            </w:r>
            <w:r w:rsidRPr="0013396E">
              <w:rPr>
                <w:i/>
                <w:vertAlign w:val="subscript"/>
              </w:rPr>
              <w:tab/>
            </w:r>
            <w:r w:rsidRPr="0013396E">
              <w:tab/>
              <w:t>=</w:t>
            </w:r>
            <w:r w:rsidRPr="0013396E">
              <w:tab/>
              <w:t xml:space="preserve"> 0, if HB</w:t>
            </w:r>
            <w:r w:rsidRPr="0013396E">
              <w:rPr>
                <w:vertAlign w:val="subscript"/>
              </w:rPr>
              <w:t xml:space="preserve"> </w:t>
            </w:r>
            <w:r w:rsidRPr="0013396E">
              <w:rPr>
                <w:i/>
                <w:vertAlign w:val="subscript"/>
              </w:rPr>
              <w:t>Hub</w:t>
            </w:r>
            <w:r w:rsidRPr="0013396E">
              <w:t xml:space="preserve"> = 0</w:t>
            </w:r>
          </w:p>
          <w:p w14:paraId="3EC2D0CD" w14:textId="77777777" w:rsidR="00776199" w:rsidRPr="0013396E" w:rsidRDefault="00776199" w:rsidP="00776199">
            <w:pPr>
              <w:pStyle w:val="Formula"/>
              <w:ind w:left="2880" w:hanging="2160"/>
            </w:pPr>
            <w:r w:rsidRPr="0013396E">
              <w:t xml:space="preserve">HBDF </w:t>
            </w:r>
            <w:r w:rsidRPr="0013396E">
              <w:rPr>
                <w:i/>
                <w:vertAlign w:val="subscript"/>
              </w:rPr>
              <w:t>b, hb, Hub</w:t>
            </w:r>
            <w:r w:rsidRPr="0013396E">
              <w:rPr>
                <w:i/>
                <w:vertAlign w:val="subscript"/>
              </w:rPr>
              <w:tab/>
            </w:r>
            <w:r w:rsidRPr="0013396E">
              <w:tab/>
              <w:t>=</w:t>
            </w:r>
            <w:r w:rsidRPr="0013396E">
              <w:tab/>
              <w:t xml:space="preserve">1 </w:t>
            </w:r>
            <w:r w:rsidRPr="0013396E">
              <w:rPr>
                <w:b/>
                <w:sz w:val="32"/>
                <w:szCs w:val="32"/>
              </w:rPr>
              <w:t>/</w:t>
            </w:r>
            <w:r w:rsidRPr="0013396E">
              <w:t xml:space="preserve"> B</w:t>
            </w:r>
            <w:r w:rsidRPr="0013396E">
              <w:rPr>
                <w:i/>
              </w:rPr>
              <w:t xml:space="preserve"> </w:t>
            </w:r>
            <w:r w:rsidRPr="0013396E">
              <w:rPr>
                <w:i/>
                <w:vertAlign w:val="subscript"/>
              </w:rPr>
              <w:t>hb, Hub</w:t>
            </w:r>
            <w:r w:rsidRPr="0013396E">
              <w:t>, if B</w:t>
            </w:r>
            <w:r w:rsidRPr="0013396E">
              <w:rPr>
                <w:i/>
                <w:vertAlign w:val="subscript"/>
              </w:rPr>
              <w:t xml:space="preserve"> hb, Hub</w:t>
            </w:r>
            <w:r w:rsidRPr="0013396E">
              <w:t xml:space="preserve"> ≠ 0</w:t>
            </w:r>
          </w:p>
          <w:p w14:paraId="52D12F33" w14:textId="77777777" w:rsidR="00776199" w:rsidRPr="0013396E" w:rsidRDefault="00776199" w:rsidP="00776199">
            <w:pPr>
              <w:pStyle w:val="BodyText"/>
              <w:ind w:firstLine="720"/>
            </w:pPr>
            <w:r w:rsidRPr="0013396E">
              <w:t xml:space="preserve">HBDF </w:t>
            </w:r>
            <w:r w:rsidRPr="0013396E">
              <w:rPr>
                <w:i/>
                <w:vertAlign w:val="subscript"/>
              </w:rPr>
              <w:t>b, hb, Hub</w:t>
            </w:r>
            <w:r w:rsidRPr="0013396E">
              <w:rPr>
                <w:i/>
                <w:vertAlign w:val="subscript"/>
              </w:rPr>
              <w:tab/>
            </w:r>
            <w:r w:rsidRPr="0013396E">
              <w:tab/>
              <w:t>=</w:t>
            </w:r>
            <w:r w:rsidRPr="0013396E">
              <w:tab/>
              <w:t>0, if B</w:t>
            </w:r>
            <w:r w:rsidRPr="0013396E">
              <w:rPr>
                <w:i/>
                <w:vertAlign w:val="subscript"/>
              </w:rPr>
              <w:t xml:space="preserve"> hb, Hub</w:t>
            </w:r>
            <w:r w:rsidRPr="0013396E">
              <w:t xml:space="preserve"> = 0</w:t>
            </w:r>
          </w:p>
          <w:p w14:paraId="3E0C927E" w14:textId="77777777" w:rsidR="00776199" w:rsidRPr="0013396E" w:rsidRDefault="00776199" w:rsidP="00776199">
            <w:r w:rsidRPr="0013396E">
              <w:t>The above variables are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35"/>
              <w:gridCol w:w="1080"/>
              <w:gridCol w:w="6155"/>
            </w:tblGrid>
            <w:tr w:rsidR="00B311BB" w:rsidRPr="0013396E" w14:paraId="2D500E69" w14:textId="77777777" w:rsidTr="00745852">
              <w:tc>
                <w:tcPr>
                  <w:tcW w:w="2035" w:type="dxa"/>
                </w:tcPr>
                <w:p w14:paraId="32FB88FC" w14:textId="77777777" w:rsidR="00B311BB" w:rsidRPr="0013396E" w:rsidRDefault="00B311BB" w:rsidP="00B311BB">
                  <w:pPr>
                    <w:pStyle w:val="TableHead"/>
                  </w:pPr>
                  <w:r w:rsidRPr="0013396E">
                    <w:t>Variable</w:t>
                  </w:r>
                </w:p>
              </w:tc>
              <w:tc>
                <w:tcPr>
                  <w:tcW w:w="1080" w:type="dxa"/>
                </w:tcPr>
                <w:p w14:paraId="76C2FEB7" w14:textId="77777777" w:rsidR="00B311BB" w:rsidRPr="0013396E" w:rsidRDefault="00B311BB" w:rsidP="00B311BB">
                  <w:pPr>
                    <w:pStyle w:val="TableHead"/>
                  </w:pPr>
                  <w:r w:rsidRPr="0013396E">
                    <w:t>Unit</w:t>
                  </w:r>
                </w:p>
              </w:tc>
              <w:tc>
                <w:tcPr>
                  <w:tcW w:w="6155" w:type="dxa"/>
                </w:tcPr>
                <w:p w14:paraId="31B2A426" w14:textId="77777777" w:rsidR="00B311BB" w:rsidRPr="0013396E" w:rsidRDefault="00B311BB" w:rsidP="00B311BB">
                  <w:pPr>
                    <w:pStyle w:val="TableHead"/>
                  </w:pPr>
                  <w:r w:rsidRPr="0013396E">
                    <w:t>Description</w:t>
                  </w:r>
                </w:p>
              </w:tc>
            </w:tr>
            <w:tr w:rsidR="00B311BB" w:rsidRPr="0013396E" w14:paraId="261AE869" w14:textId="77777777" w:rsidTr="00745852">
              <w:tc>
                <w:tcPr>
                  <w:tcW w:w="2035" w:type="dxa"/>
                </w:tcPr>
                <w:p w14:paraId="7345AC5B" w14:textId="28B725CB" w:rsidR="00B311BB" w:rsidRPr="0013396E" w:rsidRDefault="00B311BB" w:rsidP="00B311BB">
                  <w:pPr>
                    <w:pStyle w:val="TableBody"/>
                  </w:pPr>
                  <w:r w:rsidRPr="0013396E">
                    <w:t>HUBLMP</w:t>
                  </w:r>
                  <w:r w:rsidRPr="0013396E">
                    <w:rPr>
                      <w:b/>
                      <w:vertAlign w:val="subscript"/>
                    </w:rPr>
                    <w:t xml:space="preserve"> </w:t>
                  </w:r>
                  <w:r w:rsidRPr="0013396E">
                    <w:rPr>
                      <w:i/>
                      <w:vertAlign w:val="subscript"/>
                    </w:rPr>
                    <w:t>Hub, y</w:t>
                  </w:r>
                </w:p>
              </w:tc>
              <w:tc>
                <w:tcPr>
                  <w:tcW w:w="1080" w:type="dxa"/>
                </w:tcPr>
                <w:p w14:paraId="52F21392" w14:textId="1531997A" w:rsidR="00B311BB" w:rsidRPr="0013396E" w:rsidRDefault="00B311BB" w:rsidP="00B311BB">
                  <w:pPr>
                    <w:pStyle w:val="TableBody"/>
                  </w:pPr>
                  <w:r w:rsidRPr="0013396E">
                    <w:t>$/MWh</w:t>
                  </w:r>
                </w:p>
              </w:tc>
              <w:tc>
                <w:tcPr>
                  <w:tcW w:w="6155" w:type="dxa"/>
                </w:tcPr>
                <w:p w14:paraId="2BE5B343" w14:textId="2AD9AC69" w:rsidR="00B311BB" w:rsidRPr="0013396E" w:rsidRDefault="00B311BB" w:rsidP="00B311BB">
                  <w:pPr>
                    <w:pStyle w:val="TableBody"/>
                  </w:pPr>
                  <w:r w:rsidRPr="0013396E">
                    <w:rPr>
                      <w:i/>
                    </w:rPr>
                    <w:t>Hub Locational Marginal Price</w:t>
                  </w:r>
                  <w:r w:rsidRPr="0013396E">
                    <w:sym w:font="Symbol" w:char="F0BE"/>
                  </w:r>
                  <w:r w:rsidRPr="0013396E">
                    <w:t xml:space="preserve">The Hub LMP for the Hub for the SCED Interval </w:t>
                  </w:r>
                  <w:r w:rsidRPr="0013396E">
                    <w:rPr>
                      <w:i/>
                    </w:rPr>
                    <w:t>y</w:t>
                  </w:r>
                  <w:r w:rsidRPr="0013396E">
                    <w:t>.</w:t>
                  </w:r>
                </w:p>
              </w:tc>
            </w:tr>
            <w:tr w:rsidR="00B311BB" w:rsidRPr="0013396E" w14:paraId="686EB099" w14:textId="77777777" w:rsidTr="00745852">
              <w:tc>
                <w:tcPr>
                  <w:tcW w:w="2035" w:type="dxa"/>
                </w:tcPr>
                <w:p w14:paraId="7152BA2A" w14:textId="7BB7F41F" w:rsidR="00B311BB" w:rsidRPr="0013396E" w:rsidRDefault="00B311BB" w:rsidP="00B311BB">
                  <w:pPr>
                    <w:pStyle w:val="TableBody"/>
                  </w:pPr>
                  <w:r w:rsidRPr="0013396E">
                    <w:t xml:space="preserve">RTHBP </w:t>
                  </w:r>
                  <w:r w:rsidRPr="0013396E">
                    <w:rPr>
                      <w:i/>
                      <w:vertAlign w:val="subscript"/>
                    </w:rPr>
                    <w:t>hb, Hub, y</w:t>
                  </w:r>
                </w:p>
              </w:tc>
              <w:tc>
                <w:tcPr>
                  <w:tcW w:w="1080" w:type="dxa"/>
                </w:tcPr>
                <w:p w14:paraId="0DBCDC0A" w14:textId="5B1D45C1" w:rsidR="00B311BB" w:rsidRPr="0013396E" w:rsidRDefault="00B311BB" w:rsidP="00B311BB">
                  <w:pPr>
                    <w:pStyle w:val="TableBody"/>
                  </w:pPr>
                  <w:r w:rsidRPr="0013396E">
                    <w:t>$/MWh</w:t>
                  </w:r>
                </w:p>
              </w:tc>
              <w:tc>
                <w:tcPr>
                  <w:tcW w:w="6155" w:type="dxa"/>
                </w:tcPr>
                <w:p w14:paraId="21522C00" w14:textId="0D09E258" w:rsidR="00B311BB" w:rsidRPr="0013396E" w:rsidRDefault="00B311BB" w:rsidP="00B311BB">
                  <w:pPr>
                    <w:pStyle w:val="TableBody"/>
                  </w:pPr>
                  <w:r w:rsidRPr="0013396E">
                    <w:rPr>
                      <w:i/>
                    </w:rPr>
                    <w:t>Real-Time Hub Bus Price at Hub Bus per SCED interval</w:t>
                  </w:r>
                  <w:r w:rsidRPr="0013396E">
                    <w:sym w:font="Symbol" w:char="F0BE"/>
                  </w:r>
                  <w:r w:rsidRPr="0013396E">
                    <w:t xml:space="preserve">The Real-Time energy price at Hub Bus </w:t>
                  </w:r>
                  <w:r w:rsidRPr="0013396E">
                    <w:rPr>
                      <w:i/>
                    </w:rPr>
                    <w:t>hb</w:t>
                  </w:r>
                  <w:r w:rsidRPr="0013396E">
                    <w:t xml:space="preserve"> for the SCED interval </w:t>
                  </w:r>
                  <w:r w:rsidRPr="0013396E">
                    <w:rPr>
                      <w:i/>
                    </w:rPr>
                    <w:t>y</w:t>
                  </w:r>
                  <w:r w:rsidRPr="0013396E">
                    <w:t>.</w:t>
                  </w:r>
                </w:p>
              </w:tc>
            </w:tr>
            <w:tr w:rsidR="00B311BB" w:rsidRPr="0013396E" w14:paraId="4A00A443" w14:textId="77777777" w:rsidTr="00745852">
              <w:tc>
                <w:tcPr>
                  <w:tcW w:w="2035" w:type="dxa"/>
                </w:tcPr>
                <w:p w14:paraId="7F7F6048" w14:textId="4F3D0CA8" w:rsidR="00B311BB" w:rsidRPr="0013396E" w:rsidRDefault="00B311BB" w:rsidP="00B311BB">
                  <w:pPr>
                    <w:pStyle w:val="TableBody"/>
                  </w:pPr>
                  <w:r w:rsidRPr="0013396E">
                    <w:t>HUBLMP</w:t>
                  </w:r>
                  <w:r w:rsidRPr="0013396E">
                    <w:rPr>
                      <w:i/>
                      <w:vertAlign w:val="subscript"/>
                    </w:rPr>
                    <w:t xml:space="preserve"> ERCOT345Bus,y</w:t>
                  </w:r>
                </w:p>
              </w:tc>
              <w:tc>
                <w:tcPr>
                  <w:tcW w:w="1080" w:type="dxa"/>
                </w:tcPr>
                <w:p w14:paraId="549DB1B3" w14:textId="741B55D4" w:rsidR="00B311BB" w:rsidRPr="0013396E" w:rsidRDefault="00B311BB" w:rsidP="00B311BB">
                  <w:pPr>
                    <w:pStyle w:val="TableBody"/>
                  </w:pPr>
                  <w:r w:rsidRPr="0013396E">
                    <w:t>$/MWh</w:t>
                  </w:r>
                </w:p>
              </w:tc>
              <w:tc>
                <w:tcPr>
                  <w:tcW w:w="6155" w:type="dxa"/>
                </w:tcPr>
                <w:p w14:paraId="40B7107F" w14:textId="57B8AD2F" w:rsidR="00B311BB" w:rsidRPr="0013396E" w:rsidRDefault="00B311BB" w:rsidP="00B311BB">
                  <w:pPr>
                    <w:pStyle w:val="TableBody"/>
                  </w:pPr>
                  <w:r w:rsidRPr="0013396E">
                    <w:rPr>
                      <w:i/>
                    </w:rPr>
                    <w:t>Hub Locational Marginal Price for the ERCOT345Bus</w:t>
                  </w:r>
                  <w:r w:rsidRPr="0013396E">
                    <w:sym w:font="Symbol" w:char="F0BE"/>
                  </w:r>
                  <w:r w:rsidRPr="0013396E">
                    <w:t xml:space="preserve">The Hub LMP for the ERCOT Bus Average 345 kV Hub (ERCOT 345 Bus), for the SCED Interval </w:t>
                  </w:r>
                  <w:r w:rsidRPr="0013396E">
                    <w:rPr>
                      <w:i/>
                    </w:rPr>
                    <w:t>y</w:t>
                  </w:r>
                  <w:r w:rsidRPr="0013396E">
                    <w:t>.</w:t>
                  </w:r>
                </w:p>
              </w:tc>
            </w:tr>
            <w:tr w:rsidR="00B311BB" w:rsidRPr="0013396E" w14:paraId="14A02917" w14:textId="77777777" w:rsidTr="00745852">
              <w:tc>
                <w:tcPr>
                  <w:tcW w:w="2035" w:type="dxa"/>
                </w:tcPr>
                <w:p w14:paraId="4DF3AA97" w14:textId="62D8D7FD" w:rsidR="00B311BB" w:rsidRPr="0013396E" w:rsidRDefault="00B311BB" w:rsidP="00B311BB">
                  <w:pPr>
                    <w:pStyle w:val="TableBody"/>
                  </w:pPr>
                  <w:r w:rsidRPr="0013396E">
                    <w:rPr>
                      <w:lang w:val="fr-FR"/>
                    </w:rPr>
                    <w:t xml:space="preserve">RTLMP </w:t>
                  </w:r>
                  <w:r w:rsidRPr="0013396E">
                    <w:rPr>
                      <w:i/>
                      <w:vertAlign w:val="subscript"/>
                      <w:lang w:val="fr-FR"/>
                    </w:rPr>
                    <w:t>b, hb, Hub, y</w:t>
                  </w:r>
                </w:p>
              </w:tc>
              <w:tc>
                <w:tcPr>
                  <w:tcW w:w="1080" w:type="dxa"/>
                </w:tcPr>
                <w:p w14:paraId="17E441DE" w14:textId="33E2DEAD" w:rsidR="00B311BB" w:rsidRPr="0013396E" w:rsidRDefault="00B311BB" w:rsidP="00B311BB">
                  <w:pPr>
                    <w:pStyle w:val="TableBody"/>
                  </w:pPr>
                  <w:r w:rsidRPr="0013396E">
                    <w:t>$/MWh</w:t>
                  </w:r>
                </w:p>
              </w:tc>
              <w:tc>
                <w:tcPr>
                  <w:tcW w:w="6155" w:type="dxa"/>
                </w:tcPr>
                <w:p w14:paraId="2ABFA16A" w14:textId="21855D8E" w:rsidR="00B311BB" w:rsidRPr="0013396E" w:rsidRDefault="00B311BB" w:rsidP="00B311BB">
                  <w:pPr>
                    <w:pStyle w:val="TableBody"/>
                  </w:pPr>
                  <w:r w:rsidRPr="0013396E">
                    <w:rPr>
                      <w:i/>
                    </w:rPr>
                    <w:t>Real-Time Locational Marginal Price at Electrical Bus of Hub Bus per interval</w:t>
                  </w:r>
                  <w:r w:rsidRPr="0013396E">
                    <w:sym w:font="Symbol" w:char="F0BE"/>
                  </w:r>
                  <w:r w:rsidRPr="0013396E">
                    <w:t xml:space="preserve">The Real-Time LMP at Electrical Bus </w:t>
                  </w:r>
                  <w:r w:rsidRPr="0013396E">
                    <w:rPr>
                      <w:i/>
                    </w:rPr>
                    <w:t>b</w:t>
                  </w:r>
                  <w:r w:rsidRPr="0013396E">
                    <w:t xml:space="preserve"> that is a component of Hub Bus </w:t>
                  </w:r>
                  <w:r w:rsidRPr="0013396E">
                    <w:rPr>
                      <w:i/>
                    </w:rPr>
                    <w:t>hb</w:t>
                  </w:r>
                  <w:r w:rsidRPr="0013396E">
                    <w:t xml:space="preserve">, for the SCED interval </w:t>
                  </w:r>
                  <w:r w:rsidRPr="0013396E">
                    <w:rPr>
                      <w:i/>
                    </w:rPr>
                    <w:t>y</w:t>
                  </w:r>
                  <w:r w:rsidRPr="0013396E">
                    <w:t>.</w:t>
                  </w:r>
                </w:p>
              </w:tc>
            </w:tr>
            <w:tr w:rsidR="00B311BB" w:rsidRPr="0013396E" w14:paraId="46C05FEB" w14:textId="77777777" w:rsidTr="00745852">
              <w:tc>
                <w:tcPr>
                  <w:tcW w:w="2035" w:type="dxa"/>
                </w:tcPr>
                <w:p w14:paraId="37A78A76" w14:textId="1462C7BC" w:rsidR="00B311BB" w:rsidRPr="0013396E" w:rsidRDefault="00B311BB" w:rsidP="00B311BB">
                  <w:pPr>
                    <w:pStyle w:val="TableBody"/>
                  </w:pPr>
                  <w:r w:rsidRPr="0013396E">
                    <w:t xml:space="preserve">HUBDF </w:t>
                  </w:r>
                  <w:r w:rsidRPr="0013396E">
                    <w:rPr>
                      <w:i/>
                      <w:vertAlign w:val="subscript"/>
                    </w:rPr>
                    <w:t>hb, Hub</w:t>
                  </w:r>
                </w:p>
              </w:tc>
              <w:tc>
                <w:tcPr>
                  <w:tcW w:w="1080" w:type="dxa"/>
                </w:tcPr>
                <w:p w14:paraId="31779E6B" w14:textId="2C954526" w:rsidR="00B311BB" w:rsidRPr="0013396E" w:rsidRDefault="00B311BB" w:rsidP="00B311BB">
                  <w:pPr>
                    <w:pStyle w:val="TableBody"/>
                  </w:pPr>
                  <w:r w:rsidRPr="0013396E">
                    <w:t>none</w:t>
                  </w:r>
                </w:p>
              </w:tc>
              <w:tc>
                <w:tcPr>
                  <w:tcW w:w="6155" w:type="dxa"/>
                </w:tcPr>
                <w:p w14:paraId="550548A2" w14:textId="758A9213" w:rsidR="00B311BB" w:rsidRPr="0013396E" w:rsidRDefault="00B311BB" w:rsidP="00B311BB">
                  <w:pPr>
                    <w:pStyle w:val="TableBody"/>
                  </w:pPr>
                  <w:r w:rsidRPr="0013396E">
                    <w:rPr>
                      <w:i/>
                    </w:rPr>
                    <w:t>Hub Distribution Factor per Hub Bus</w:t>
                  </w:r>
                  <w:r w:rsidRPr="0013396E">
                    <w:sym w:font="Symbol" w:char="F0BE"/>
                  </w:r>
                  <w:r w:rsidRPr="0013396E">
                    <w:t xml:space="preserve">The distribution factor of Hub Bus </w:t>
                  </w:r>
                  <w:r w:rsidRPr="0013396E">
                    <w:rPr>
                      <w:i/>
                    </w:rPr>
                    <w:t>hb</w:t>
                  </w:r>
                  <w:r w:rsidRPr="0013396E">
                    <w:t xml:space="preserve">.  </w:t>
                  </w:r>
                </w:p>
              </w:tc>
            </w:tr>
            <w:tr w:rsidR="00B311BB" w:rsidRPr="0013396E" w14:paraId="29AAC628" w14:textId="77777777" w:rsidTr="00745852">
              <w:tc>
                <w:tcPr>
                  <w:tcW w:w="2035" w:type="dxa"/>
                </w:tcPr>
                <w:p w14:paraId="13AC939A" w14:textId="6012E9D9" w:rsidR="00B311BB" w:rsidRPr="0013396E" w:rsidRDefault="00B311BB" w:rsidP="00B311BB">
                  <w:pPr>
                    <w:pStyle w:val="TableBody"/>
                  </w:pPr>
                  <w:r w:rsidRPr="0013396E">
                    <w:t xml:space="preserve">HBDF </w:t>
                  </w:r>
                  <w:r w:rsidRPr="0013396E">
                    <w:rPr>
                      <w:i/>
                      <w:vertAlign w:val="subscript"/>
                    </w:rPr>
                    <w:t>b, hb, Hub</w:t>
                  </w:r>
                </w:p>
              </w:tc>
              <w:tc>
                <w:tcPr>
                  <w:tcW w:w="1080" w:type="dxa"/>
                </w:tcPr>
                <w:p w14:paraId="5EA72B59" w14:textId="50A208EA" w:rsidR="00B311BB" w:rsidRPr="0013396E" w:rsidRDefault="00B311BB" w:rsidP="00B311BB">
                  <w:pPr>
                    <w:pStyle w:val="TableBody"/>
                  </w:pPr>
                  <w:r w:rsidRPr="0013396E">
                    <w:t>none</w:t>
                  </w:r>
                </w:p>
              </w:tc>
              <w:tc>
                <w:tcPr>
                  <w:tcW w:w="6155" w:type="dxa"/>
                </w:tcPr>
                <w:p w14:paraId="4E36DC35" w14:textId="733CE61A" w:rsidR="00B311BB" w:rsidRPr="0013396E" w:rsidRDefault="00B311BB" w:rsidP="00B311BB">
                  <w:pPr>
                    <w:pStyle w:val="TableBody"/>
                  </w:pPr>
                  <w:r w:rsidRPr="0013396E">
                    <w:rPr>
                      <w:i/>
                    </w:rPr>
                    <w:t>Hub Bus Distribution Factor per Electrical Bus of Hub Bus</w:t>
                  </w:r>
                  <w:r w:rsidRPr="0013396E">
                    <w:sym w:font="Symbol" w:char="F0BE"/>
                  </w:r>
                  <w:r w:rsidRPr="0013396E">
                    <w:t xml:space="preserve">The distribution factor of Electrical Bus </w:t>
                  </w:r>
                  <w:r w:rsidRPr="0013396E">
                    <w:rPr>
                      <w:i/>
                    </w:rPr>
                    <w:t>b</w:t>
                  </w:r>
                  <w:r w:rsidRPr="0013396E">
                    <w:t xml:space="preserve"> that is a component of Hub Bus</w:t>
                  </w:r>
                  <w:r w:rsidRPr="0013396E">
                    <w:rPr>
                      <w:i/>
                    </w:rPr>
                    <w:t xml:space="preserve"> hb</w:t>
                  </w:r>
                  <w:r w:rsidRPr="0013396E">
                    <w:t xml:space="preserve">.  </w:t>
                  </w:r>
                </w:p>
              </w:tc>
            </w:tr>
            <w:tr w:rsidR="00B311BB" w:rsidRPr="0013396E" w14:paraId="69C15A76" w14:textId="77777777" w:rsidTr="00745852">
              <w:tc>
                <w:tcPr>
                  <w:tcW w:w="2035" w:type="dxa"/>
                </w:tcPr>
                <w:p w14:paraId="55F11E31" w14:textId="02545F45" w:rsidR="00B311BB" w:rsidRPr="0013396E" w:rsidRDefault="00B311BB" w:rsidP="00B311BB">
                  <w:pPr>
                    <w:pStyle w:val="TableBody"/>
                  </w:pPr>
                  <w:r w:rsidRPr="0013396E">
                    <w:t xml:space="preserve">B </w:t>
                  </w:r>
                  <w:r w:rsidRPr="0013396E">
                    <w:rPr>
                      <w:i/>
                      <w:vertAlign w:val="subscript"/>
                    </w:rPr>
                    <w:t>hb, Hub</w:t>
                  </w:r>
                </w:p>
              </w:tc>
              <w:tc>
                <w:tcPr>
                  <w:tcW w:w="1080" w:type="dxa"/>
                </w:tcPr>
                <w:p w14:paraId="1E202C53" w14:textId="79D79C3A" w:rsidR="00B311BB" w:rsidRPr="0013396E" w:rsidRDefault="00B311BB" w:rsidP="00B311BB">
                  <w:pPr>
                    <w:pStyle w:val="TableBody"/>
                  </w:pPr>
                  <w:r w:rsidRPr="0013396E">
                    <w:t>none</w:t>
                  </w:r>
                </w:p>
              </w:tc>
              <w:tc>
                <w:tcPr>
                  <w:tcW w:w="6155" w:type="dxa"/>
                </w:tcPr>
                <w:p w14:paraId="53511C8E" w14:textId="5F9145D2" w:rsidR="00B311BB" w:rsidRPr="0013396E" w:rsidRDefault="00B311BB" w:rsidP="00B311BB">
                  <w:pPr>
                    <w:pStyle w:val="TableBody"/>
                  </w:pPr>
                  <w:r w:rsidRPr="0013396E">
                    <w:t xml:space="preserve">The total number of energized Electrical Buses in Hub Bus </w:t>
                  </w:r>
                  <w:r w:rsidRPr="0013396E">
                    <w:rPr>
                      <w:i/>
                    </w:rPr>
                    <w:t>hb</w:t>
                  </w:r>
                  <w:r w:rsidRPr="0013396E">
                    <w:t>.</w:t>
                  </w:r>
                </w:p>
              </w:tc>
            </w:tr>
            <w:tr w:rsidR="00B311BB" w:rsidRPr="0013396E" w14:paraId="308E11B9" w14:textId="77777777" w:rsidTr="00745852">
              <w:tc>
                <w:tcPr>
                  <w:tcW w:w="2035" w:type="dxa"/>
                </w:tcPr>
                <w:p w14:paraId="4A275DA6" w14:textId="633077A8" w:rsidR="00B311BB" w:rsidRPr="0013396E" w:rsidRDefault="00B311BB" w:rsidP="00B311BB">
                  <w:pPr>
                    <w:pStyle w:val="TableBody"/>
                  </w:pPr>
                  <w:r w:rsidRPr="0013396E">
                    <w:lastRenderedPageBreak/>
                    <w:t>HB</w:t>
                  </w:r>
                  <w:r w:rsidRPr="0013396E">
                    <w:rPr>
                      <w:vertAlign w:val="subscript"/>
                    </w:rPr>
                    <w:t xml:space="preserve"> </w:t>
                  </w:r>
                  <w:r w:rsidRPr="0013396E">
                    <w:rPr>
                      <w:i/>
                      <w:vertAlign w:val="subscript"/>
                    </w:rPr>
                    <w:t>Hub</w:t>
                  </w:r>
                </w:p>
              </w:tc>
              <w:tc>
                <w:tcPr>
                  <w:tcW w:w="1080" w:type="dxa"/>
                </w:tcPr>
                <w:p w14:paraId="634080BF" w14:textId="556B5739" w:rsidR="00B311BB" w:rsidRPr="0013396E" w:rsidRDefault="00B311BB" w:rsidP="00B311BB">
                  <w:pPr>
                    <w:pStyle w:val="TableBody"/>
                  </w:pPr>
                  <w:r w:rsidRPr="0013396E">
                    <w:t>none</w:t>
                  </w:r>
                </w:p>
              </w:tc>
              <w:tc>
                <w:tcPr>
                  <w:tcW w:w="6155" w:type="dxa"/>
                </w:tcPr>
                <w:p w14:paraId="3C980F41" w14:textId="11FE14D4" w:rsidR="00B311BB" w:rsidRPr="0013396E" w:rsidRDefault="00B311BB" w:rsidP="00B311BB">
                  <w:pPr>
                    <w:pStyle w:val="TableBody"/>
                  </w:pPr>
                  <w:r w:rsidRPr="0013396E">
                    <w:t>The total number of Hub Buses in the Hub with at least one energized component in each Hub Bus.</w:t>
                  </w:r>
                </w:p>
              </w:tc>
            </w:tr>
            <w:tr w:rsidR="00B311BB" w:rsidRPr="0013396E" w14:paraId="7C7CC138" w14:textId="77777777" w:rsidTr="00745852">
              <w:tc>
                <w:tcPr>
                  <w:tcW w:w="2035" w:type="dxa"/>
                </w:tcPr>
                <w:p w14:paraId="65006CCD" w14:textId="5B71CACD" w:rsidR="00B311BB" w:rsidRPr="0013396E" w:rsidRDefault="00B311BB" w:rsidP="00B311BB">
                  <w:pPr>
                    <w:pStyle w:val="TableBody"/>
                  </w:pPr>
                  <w:r w:rsidRPr="0013396E">
                    <w:rPr>
                      <w:i/>
                    </w:rPr>
                    <w:t>Hub</w:t>
                  </w:r>
                </w:p>
              </w:tc>
              <w:tc>
                <w:tcPr>
                  <w:tcW w:w="1080" w:type="dxa"/>
                </w:tcPr>
                <w:p w14:paraId="5C5AD6DA" w14:textId="377E06BF" w:rsidR="00B311BB" w:rsidRPr="0013396E" w:rsidRDefault="00B311BB" w:rsidP="00B311BB">
                  <w:pPr>
                    <w:pStyle w:val="TableBody"/>
                  </w:pPr>
                  <w:r w:rsidRPr="0013396E">
                    <w:t>none</w:t>
                  </w:r>
                </w:p>
              </w:tc>
              <w:tc>
                <w:tcPr>
                  <w:tcW w:w="6155" w:type="dxa"/>
                </w:tcPr>
                <w:p w14:paraId="23F155FE" w14:textId="78D592EB" w:rsidR="00B311BB" w:rsidRPr="0013396E" w:rsidRDefault="00B311BB" w:rsidP="00B311BB">
                  <w:pPr>
                    <w:pStyle w:val="TableBody"/>
                  </w:pPr>
                  <w:r w:rsidRPr="0013396E">
                    <w:t>One of the following Hubs: North 345 kV Hub, South 345 kV Hub, Houston 345 kV Hub, West 345 kV Hub, the Panhandle 345 kV Hub, or the Lower Rio Grande Valley 138/345 kV Hub.</w:t>
                  </w:r>
                </w:p>
              </w:tc>
            </w:tr>
            <w:tr w:rsidR="00B311BB" w:rsidRPr="0013396E" w14:paraId="6AF845D5" w14:textId="77777777" w:rsidTr="00745852">
              <w:tc>
                <w:tcPr>
                  <w:tcW w:w="2035" w:type="dxa"/>
                </w:tcPr>
                <w:p w14:paraId="7979CB0D" w14:textId="347230CA" w:rsidR="00B311BB" w:rsidRPr="0013396E" w:rsidRDefault="00B311BB" w:rsidP="00B311BB">
                  <w:pPr>
                    <w:pStyle w:val="TableBody"/>
                  </w:pPr>
                  <w:r w:rsidRPr="0013396E">
                    <w:rPr>
                      <w:i/>
                    </w:rPr>
                    <w:t>hb</w:t>
                  </w:r>
                </w:p>
              </w:tc>
              <w:tc>
                <w:tcPr>
                  <w:tcW w:w="1080" w:type="dxa"/>
                </w:tcPr>
                <w:p w14:paraId="506F9A06" w14:textId="1BC6931F" w:rsidR="00B311BB" w:rsidRPr="0013396E" w:rsidRDefault="00B311BB" w:rsidP="00B311BB">
                  <w:pPr>
                    <w:pStyle w:val="TableBody"/>
                  </w:pPr>
                  <w:r w:rsidRPr="0013396E">
                    <w:t>none</w:t>
                  </w:r>
                </w:p>
              </w:tc>
              <w:tc>
                <w:tcPr>
                  <w:tcW w:w="6155" w:type="dxa"/>
                </w:tcPr>
                <w:p w14:paraId="6474AC06" w14:textId="2C06C8A8" w:rsidR="00B311BB" w:rsidRPr="0013396E" w:rsidRDefault="00B311BB" w:rsidP="00B311BB">
                  <w:pPr>
                    <w:pStyle w:val="TableBody"/>
                  </w:pPr>
                  <w:r w:rsidRPr="0013396E">
                    <w:t>A Hub Bus that is a component of the Hub with at least one energized component.</w:t>
                  </w:r>
                </w:p>
              </w:tc>
            </w:tr>
            <w:tr w:rsidR="00B311BB" w:rsidRPr="0013396E" w14:paraId="22D7F103" w14:textId="77777777" w:rsidTr="00745852">
              <w:tc>
                <w:tcPr>
                  <w:tcW w:w="2035" w:type="dxa"/>
                </w:tcPr>
                <w:p w14:paraId="519BEC8C" w14:textId="1B4C97F2" w:rsidR="00B311BB" w:rsidRPr="0013396E" w:rsidRDefault="00B311BB" w:rsidP="00B311BB">
                  <w:pPr>
                    <w:pStyle w:val="TableBody"/>
                  </w:pPr>
                  <w:r w:rsidRPr="0013396E">
                    <w:rPr>
                      <w:i/>
                    </w:rPr>
                    <w:t>y</w:t>
                  </w:r>
                </w:p>
              </w:tc>
              <w:tc>
                <w:tcPr>
                  <w:tcW w:w="1080" w:type="dxa"/>
                </w:tcPr>
                <w:p w14:paraId="65CE8D8D" w14:textId="646DDA41" w:rsidR="00B311BB" w:rsidRPr="0013396E" w:rsidRDefault="00B311BB" w:rsidP="00B311BB">
                  <w:pPr>
                    <w:pStyle w:val="TableBody"/>
                  </w:pPr>
                  <w:r w:rsidRPr="0013396E">
                    <w:t>none</w:t>
                  </w:r>
                </w:p>
              </w:tc>
              <w:tc>
                <w:tcPr>
                  <w:tcW w:w="6155" w:type="dxa"/>
                </w:tcPr>
                <w:p w14:paraId="40193A22" w14:textId="655AEA6B" w:rsidR="00B311BB" w:rsidRPr="0013396E" w:rsidRDefault="00B311BB" w:rsidP="00B311BB">
                  <w:pPr>
                    <w:pStyle w:val="TableBody"/>
                  </w:pPr>
                  <w:r w:rsidRPr="0013396E">
                    <w:t>A SCED interval.</w:t>
                  </w:r>
                </w:p>
              </w:tc>
            </w:tr>
            <w:tr w:rsidR="00B311BB" w:rsidRPr="0013396E" w14:paraId="1228133E" w14:textId="77777777" w:rsidTr="00745852">
              <w:tc>
                <w:tcPr>
                  <w:tcW w:w="2035" w:type="dxa"/>
                </w:tcPr>
                <w:p w14:paraId="5145BE94" w14:textId="6BDFFFE8" w:rsidR="00B311BB" w:rsidRPr="0013396E" w:rsidRDefault="00B311BB" w:rsidP="00B311BB">
                  <w:pPr>
                    <w:pStyle w:val="TableBody"/>
                  </w:pPr>
                  <w:r w:rsidRPr="0013396E">
                    <w:rPr>
                      <w:i/>
                    </w:rPr>
                    <w:t>b</w:t>
                  </w:r>
                </w:p>
              </w:tc>
              <w:tc>
                <w:tcPr>
                  <w:tcW w:w="1080" w:type="dxa"/>
                </w:tcPr>
                <w:p w14:paraId="7BAD2055" w14:textId="0B695CD9" w:rsidR="00B311BB" w:rsidRPr="0013396E" w:rsidRDefault="00B311BB" w:rsidP="00B311BB">
                  <w:pPr>
                    <w:pStyle w:val="TableBody"/>
                  </w:pPr>
                  <w:r w:rsidRPr="0013396E">
                    <w:t>none</w:t>
                  </w:r>
                </w:p>
              </w:tc>
              <w:tc>
                <w:tcPr>
                  <w:tcW w:w="6155" w:type="dxa"/>
                </w:tcPr>
                <w:p w14:paraId="3BBE64A6" w14:textId="641BA428" w:rsidR="00B311BB" w:rsidRPr="0013396E" w:rsidRDefault="00B311BB" w:rsidP="00B311BB">
                  <w:pPr>
                    <w:pStyle w:val="TableBody"/>
                  </w:pPr>
                  <w:r w:rsidRPr="0013396E">
                    <w:t>An energized Electrical Bus that is a component of a Hub Bus.</w:t>
                  </w:r>
                </w:p>
              </w:tc>
            </w:tr>
          </w:tbl>
          <w:p w14:paraId="134AC816" w14:textId="77777777" w:rsidR="00776199" w:rsidRPr="0013396E" w:rsidRDefault="00776199" w:rsidP="00776199">
            <w:pPr>
              <w:pStyle w:val="BodyText"/>
              <w:spacing w:before="240"/>
              <w:ind w:left="720" w:hanging="720"/>
            </w:pPr>
            <w:r w:rsidRPr="0013396E">
              <w:t>(3)</w:t>
            </w:r>
            <w:r w:rsidRPr="0013396E">
              <w:tab/>
              <w:t xml:space="preserve">The Hub LMP for the ERCOT Hub Average 345 kV Hub (ERCOT 345) for a SCED Interval is calculated as follows: </w:t>
            </w:r>
          </w:p>
          <w:p w14:paraId="36EA9EC7" w14:textId="77777777" w:rsidR="00776199" w:rsidRPr="0013396E" w:rsidRDefault="00776199" w:rsidP="00776199">
            <w:pPr>
              <w:pStyle w:val="FormulaBold"/>
              <w:rPr>
                <w:lang w:val="es-MX"/>
              </w:rPr>
            </w:pPr>
            <w:r w:rsidRPr="0013396E">
              <w:rPr>
                <w:lang w:val="es-MX"/>
              </w:rPr>
              <w:t>HUBLMP</w:t>
            </w:r>
            <w:r w:rsidRPr="0013396E">
              <w:rPr>
                <w:i/>
                <w:vertAlign w:val="subscript"/>
                <w:lang w:val="es-MX"/>
              </w:rPr>
              <w:t xml:space="preserve"> ERCOT345</w:t>
            </w:r>
            <w:r w:rsidRPr="0013396E">
              <w:rPr>
                <w:i/>
                <w:vertAlign w:val="subscript"/>
              </w:rPr>
              <w:t>, y</w:t>
            </w:r>
            <w:r w:rsidRPr="0013396E">
              <w:rPr>
                <w:lang w:val="es-MX"/>
              </w:rPr>
              <w:tab/>
              <w:t>=</w:t>
            </w:r>
            <w:r w:rsidRPr="0013396E">
              <w:rPr>
                <w:lang w:val="es-MX"/>
              </w:rPr>
              <w:tab/>
              <w:t>(HUBLMP</w:t>
            </w:r>
            <w:r w:rsidRPr="0013396E">
              <w:rPr>
                <w:i/>
                <w:vertAlign w:val="subscript"/>
                <w:lang w:val="es-MX"/>
              </w:rPr>
              <w:t>NORTH345</w:t>
            </w:r>
            <w:r w:rsidRPr="0013396E">
              <w:rPr>
                <w:i/>
                <w:vertAlign w:val="subscript"/>
              </w:rPr>
              <w:t>, y</w:t>
            </w:r>
            <w:r w:rsidRPr="0013396E">
              <w:rPr>
                <w:lang w:val="es-MX"/>
              </w:rPr>
              <w:t xml:space="preserve"> + HUBLMP</w:t>
            </w:r>
            <w:r w:rsidRPr="0013396E">
              <w:rPr>
                <w:i/>
                <w:vertAlign w:val="subscript"/>
                <w:lang w:val="es-MX"/>
              </w:rPr>
              <w:t>SOUTH345</w:t>
            </w:r>
            <w:r w:rsidRPr="0013396E">
              <w:rPr>
                <w:i/>
                <w:vertAlign w:val="subscript"/>
              </w:rPr>
              <w:t>, y</w:t>
            </w:r>
            <w:r w:rsidRPr="0013396E">
              <w:rPr>
                <w:i/>
                <w:vertAlign w:val="subscript"/>
                <w:lang w:val="es-MX"/>
              </w:rPr>
              <w:t xml:space="preserve"> </w:t>
            </w:r>
            <w:r w:rsidRPr="0013396E">
              <w:rPr>
                <w:i/>
                <w:lang w:val="es-MX"/>
              </w:rPr>
              <w:t xml:space="preserve">+ </w:t>
            </w:r>
            <w:r w:rsidRPr="0013396E">
              <w:rPr>
                <w:lang w:val="es-MX"/>
              </w:rPr>
              <w:t>HUBLMP</w:t>
            </w:r>
            <w:r w:rsidRPr="0013396E">
              <w:rPr>
                <w:i/>
                <w:vertAlign w:val="subscript"/>
                <w:lang w:val="es-MX"/>
              </w:rPr>
              <w:t>HOUSTON345</w:t>
            </w:r>
            <w:r w:rsidRPr="0013396E">
              <w:rPr>
                <w:i/>
                <w:vertAlign w:val="subscript"/>
              </w:rPr>
              <w:t>, y</w:t>
            </w:r>
            <w:r w:rsidRPr="0013396E">
              <w:rPr>
                <w:i/>
                <w:vertAlign w:val="subscript"/>
                <w:lang w:val="es-MX"/>
              </w:rPr>
              <w:t xml:space="preserve">  </w:t>
            </w:r>
            <w:r w:rsidRPr="0013396E">
              <w:rPr>
                <w:i/>
                <w:lang w:val="es-MX"/>
              </w:rPr>
              <w:t>+</w:t>
            </w:r>
            <w:r w:rsidRPr="0013396E">
              <w:rPr>
                <w:lang w:val="es-MX"/>
              </w:rPr>
              <w:t xml:space="preserve"> HUBLMP</w:t>
            </w:r>
            <w:r w:rsidRPr="0013396E">
              <w:rPr>
                <w:i/>
                <w:vertAlign w:val="subscript"/>
                <w:lang w:val="es-MX"/>
              </w:rPr>
              <w:t>WEST345</w:t>
            </w:r>
            <w:r w:rsidRPr="0013396E">
              <w:rPr>
                <w:i/>
                <w:vertAlign w:val="subscript"/>
              </w:rPr>
              <w:t>, y</w:t>
            </w:r>
            <w:r w:rsidRPr="0013396E">
              <w:rPr>
                <w:lang w:val="es-MX"/>
              </w:rPr>
              <w:t>) / 4</w:t>
            </w:r>
          </w:p>
          <w:p w14:paraId="61DA0744" w14:textId="77777777" w:rsidR="00776199" w:rsidRPr="0013396E" w:rsidRDefault="00776199" w:rsidP="00776199">
            <w:r w:rsidRPr="0013396E">
              <w:t>The above variables are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35"/>
              <w:gridCol w:w="1080"/>
              <w:gridCol w:w="6155"/>
            </w:tblGrid>
            <w:tr w:rsidR="002B516C" w:rsidRPr="0013396E" w14:paraId="03D17CED" w14:textId="77777777" w:rsidTr="00745852">
              <w:tc>
                <w:tcPr>
                  <w:tcW w:w="2035" w:type="dxa"/>
                </w:tcPr>
                <w:p w14:paraId="27F63A70" w14:textId="77777777" w:rsidR="002B516C" w:rsidRPr="0013396E" w:rsidRDefault="002B516C" w:rsidP="002B516C">
                  <w:pPr>
                    <w:pStyle w:val="TableHead"/>
                  </w:pPr>
                  <w:r w:rsidRPr="0013396E">
                    <w:t>Variable</w:t>
                  </w:r>
                </w:p>
              </w:tc>
              <w:tc>
                <w:tcPr>
                  <w:tcW w:w="1080" w:type="dxa"/>
                </w:tcPr>
                <w:p w14:paraId="2C2C9F40" w14:textId="77777777" w:rsidR="002B516C" w:rsidRPr="0013396E" w:rsidRDefault="002B516C" w:rsidP="002B516C">
                  <w:pPr>
                    <w:pStyle w:val="TableHead"/>
                  </w:pPr>
                  <w:r w:rsidRPr="0013396E">
                    <w:t>Unit</w:t>
                  </w:r>
                </w:p>
              </w:tc>
              <w:tc>
                <w:tcPr>
                  <w:tcW w:w="6155" w:type="dxa"/>
                </w:tcPr>
                <w:p w14:paraId="46E61571" w14:textId="77777777" w:rsidR="002B516C" w:rsidRPr="0013396E" w:rsidRDefault="002B516C" w:rsidP="002B516C">
                  <w:pPr>
                    <w:pStyle w:val="TableHead"/>
                  </w:pPr>
                  <w:r w:rsidRPr="0013396E">
                    <w:t>Description</w:t>
                  </w:r>
                </w:p>
              </w:tc>
            </w:tr>
            <w:tr w:rsidR="002B516C" w:rsidRPr="0013396E" w14:paraId="21FC2D91" w14:textId="77777777" w:rsidTr="00745852">
              <w:tc>
                <w:tcPr>
                  <w:tcW w:w="2035" w:type="dxa"/>
                </w:tcPr>
                <w:p w14:paraId="16B240A7" w14:textId="59948D3F" w:rsidR="002B516C" w:rsidRPr="0013396E" w:rsidRDefault="002B516C" w:rsidP="002B516C">
                  <w:pPr>
                    <w:pStyle w:val="TableBody"/>
                  </w:pPr>
                  <w:r w:rsidRPr="0013396E">
                    <w:t>HUBLMP</w:t>
                  </w:r>
                  <w:r w:rsidRPr="0013396E">
                    <w:rPr>
                      <w:i/>
                      <w:vertAlign w:val="subscript"/>
                    </w:rPr>
                    <w:t>ERCOT345, y</w:t>
                  </w:r>
                </w:p>
              </w:tc>
              <w:tc>
                <w:tcPr>
                  <w:tcW w:w="1080" w:type="dxa"/>
                </w:tcPr>
                <w:p w14:paraId="4F67151E" w14:textId="32FB7D6F" w:rsidR="002B516C" w:rsidRPr="0013396E" w:rsidRDefault="002B516C" w:rsidP="002B516C">
                  <w:pPr>
                    <w:pStyle w:val="TableBody"/>
                  </w:pPr>
                  <w:r w:rsidRPr="0013396E">
                    <w:t>$/MWh</w:t>
                  </w:r>
                </w:p>
              </w:tc>
              <w:tc>
                <w:tcPr>
                  <w:tcW w:w="6155" w:type="dxa"/>
                </w:tcPr>
                <w:p w14:paraId="40A2008E" w14:textId="7507D31A" w:rsidR="002B516C" w:rsidRPr="0013396E" w:rsidRDefault="002B516C" w:rsidP="002B516C">
                  <w:pPr>
                    <w:pStyle w:val="TableBody"/>
                  </w:pPr>
                  <w:r w:rsidRPr="0013396E">
                    <w:rPr>
                      <w:i/>
                    </w:rPr>
                    <w:t>Hub Locational Marginal Price for the ERCOT345</w:t>
                  </w:r>
                  <w:r w:rsidRPr="0013396E">
                    <w:sym w:font="Symbol" w:char="F0BE"/>
                  </w:r>
                  <w:r w:rsidRPr="0013396E">
                    <w:t xml:space="preserve">The Hub LMP for the ERCOT Hub Average 345 kV Hub (ERCOT 345), for the SCED Interval </w:t>
                  </w:r>
                  <w:r w:rsidRPr="0013396E">
                    <w:rPr>
                      <w:i/>
                    </w:rPr>
                    <w:t>y</w:t>
                  </w:r>
                  <w:r w:rsidRPr="0013396E">
                    <w:t>.</w:t>
                  </w:r>
                </w:p>
              </w:tc>
            </w:tr>
            <w:tr w:rsidR="002B516C" w:rsidRPr="0013396E" w14:paraId="1E86BD77" w14:textId="77777777" w:rsidTr="00745852">
              <w:tc>
                <w:tcPr>
                  <w:tcW w:w="2035" w:type="dxa"/>
                </w:tcPr>
                <w:p w14:paraId="626CCF51" w14:textId="483A8D19" w:rsidR="002B516C" w:rsidRPr="0013396E" w:rsidRDefault="002B516C" w:rsidP="002B516C">
                  <w:pPr>
                    <w:pStyle w:val="TableBody"/>
                  </w:pPr>
                  <w:r w:rsidRPr="0013396E">
                    <w:t>HUBLMP</w:t>
                  </w:r>
                  <w:r w:rsidRPr="0013396E">
                    <w:rPr>
                      <w:i/>
                      <w:vertAlign w:val="subscript"/>
                    </w:rPr>
                    <w:t>NORTH345, y</w:t>
                  </w:r>
                </w:p>
              </w:tc>
              <w:tc>
                <w:tcPr>
                  <w:tcW w:w="1080" w:type="dxa"/>
                </w:tcPr>
                <w:p w14:paraId="035A46BF" w14:textId="0943CD47" w:rsidR="002B516C" w:rsidRPr="0013396E" w:rsidRDefault="002B516C" w:rsidP="002B516C">
                  <w:pPr>
                    <w:pStyle w:val="TableBody"/>
                  </w:pPr>
                  <w:r w:rsidRPr="0013396E">
                    <w:t>$/MWh</w:t>
                  </w:r>
                </w:p>
              </w:tc>
              <w:tc>
                <w:tcPr>
                  <w:tcW w:w="6155" w:type="dxa"/>
                </w:tcPr>
                <w:p w14:paraId="3958CB94" w14:textId="0926E46E" w:rsidR="002B516C" w:rsidRPr="0013396E" w:rsidRDefault="002B516C" w:rsidP="002B516C">
                  <w:pPr>
                    <w:pStyle w:val="TableBody"/>
                  </w:pPr>
                  <w:r w:rsidRPr="0013396E">
                    <w:rPr>
                      <w:i/>
                    </w:rPr>
                    <w:t>Hub Locational Marginal Price for the NORTH345</w:t>
                  </w:r>
                  <w:r w:rsidRPr="0013396E">
                    <w:sym w:font="Symbol" w:char="F0BE"/>
                  </w:r>
                  <w:r w:rsidRPr="0013396E">
                    <w:t xml:space="preserve">The Hub LMP for the North 345 kV Hub (NORTH 345), for the SCED Interval </w:t>
                  </w:r>
                  <w:r w:rsidRPr="0013396E">
                    <w:rPr>
                      <w:i/>
                    </w:rPr>
                    <w:t>y</w:t>
                  </w:r>
                  <w:r w:rsidRPr="0013396E">
                    <w:t>.</w:t>
                  </w:r>
                </w:p>
              </w:tc>
            </w:tr>
            <w:tr w:rsidR="002B516C" w:rsidRPr="0013396E" w14:paraId="467E2D60" w14:textId="77777777" w:rsidTr="00745852">
              <w:tc>
                <w:tcPr>
                  <w:tcW w:w="2035" w:type="dxa"/>
                </w:tcPr>
                <w:p w14:paraId="321F49C2" w14:textId="3415F5F3" w:rsidR="002B516C" w:rsidRPr="0013396E" w:rsidRDefault="002B516C" w:rsidP="002B516C">
                  <w:pPr>
                    <w:pStyle w:val="TableBody"/>
                  </w:pPr>
                  <w:r w:rsidRPr="0013396E">
                    <w:t>HUBLMP</w:t>
                  </w:r>
                  <w:r w:rsidRPr="0013396E">
                    <w:rPr>
                      <w:i/>
                      <w:vertAlign w:val="subscript"/>
                    </w:rPr>
                    <w:t>SOUTH345, y</w:t>
                  </w:r>
                </w:p>
              </w:tc>
              <w:tc>
                <w:tcPr>
                  <w:tcW w:w="1080" w:type="dxa"/>
                </w:tcPr>
                <w:p w14:paraId="755D74E9" w14:textId="498948A3" w:rsidR="002B516C" w:rsidRPr="0013396E" w:rsidRDefault="002B516C" w:rsidP="002B516C">
                  <w:pPr>
                    <w:pStyle w:val="TableBody"/>
                  </w:pPr>
                  <w:r w:rsidRPr="0013396E">
                    <w:t>$/MWh</w:t>
                  </w:r>
                </w:p>
              </w:tc>
              <w:tc>
                <w:tcPr>
                  <w:tcW w:w="6155" w:type="dxa"/>
                </w:tcPr>
                <w:p w14:paraId="1D5AFBE4" w14:textId="32B47B7E" w:rsidR="002B516C" w:rsidRPr="0013396E" w:rsidRDefault="002B516C" w:rsidP="002B516C">
                  <w:pPr>
                    <w:pStyle w:val="TableBody"/>
                  </w:pPr>
                  <w:r w:rsidRPr="0013396E">
                    <w:rPr>
                      <w:i/>
                    </w:rPr>
                    <w:t>Hub Locational Marginal Price for the SOUTH345</w:t>
                  </w:r>
                  <w:r w:rsidRPr="0013396E">
                    <w:sym w:font="Symbol" w:char="F0BE"/>
                  </w:r>
                  <w:r w:rsidRPr="0013396E">
                    <w:t xml:space="preserve">The Hub LMP for the South 345 kV Hub (SOUTH 345), for the SCED Interval </w:t>
                  </w:r>
                  <w:r w:rsidRPr="0013396E">
                    <w:rPr>
                      <w:i/>
                    </w:rPr>
                    <w:t>y</w:t>
                  </w:r>
                  <w:r w:rsidRPr="0013396E">
                    <w:t>.</w:t>
                  </w:r>
                </w:p>
              </w:tc>
            </w:tr>
            <w:tr w:rsidR="002B516C" w:rsidRPr="0013396E" w14:paraId="1A427F2E" w14:textId="77777777" w:rsidTr="00745852">
              <w:tc>
                <w:tcPr>
                  <w:tcW w:w="2035" w:type="dxa"/>
                </w:tcPr>
                <w:p w14:paraId="719F83A7" w14:textId="50F2684A" w:rsidR="002B516C" w:rsidRPr="0013396E" w:rsidRDefault="002B516C" w:rsidP="002B516C">
                  <w:pPr>
                    <w:pStyle w:val="TableBody"/>
                  </w:pPr>
                  <w:r w:rsidRPr="0013396E">
                    <w:t>HUBLMP</w:t>
                  </w:r>
                  <w:r w:rsidRPr="0013396E">
                    <w:rPr>
                      <w:i/>
                      <w:vertAlign w:val="subscript"/>
                    </w:rPr>
                    <w:t>HOUSTON345, y</w:t>
                  </w:r>
                </w:p>
              </w:tc>
              <w:tc>
                <w:tcPr>
                  <w:tcW w:w="1080" w:type="dxa"/>
                </w:tcPr>
                <w:p w14:paraId="0F8A9E53" w14:textId="7E97BEB6" w:rsidR="002B516C" w:rsidRPr="0013396E" w:rsidRDefault="002B516C" w:rsidP="002B516C">
                  <w:pPr>
                    <w:pStyle w:val="TableBody"/>
                  </w:pPr>
                  <w:r w:rsidRPr="0013396E">
                    <w:t>$/MWh</w:t>
                  </w:r>
                </w:p>
              </w:tc>
              <w:tc>
                <w:tcPr>
                  <w:tcW w:w="6155" w:type="dxa"/>
                </w:tcPr>
                <w:p w14:paraId="53E884FB" w14:textId="1E7C5889" w:rsidR="002B516C" w:rsidRPr="0013396E" w:rsidRDefault="002B516C" w:rsidP="002B516C">
                  <w:pPr>
                    <w:pStyle w:val="TableBody"/>
                  </w:pPr>
                  <w:r w:rsidRPr="0013396E">
                    <w:rPr>
                      <w:i/>
                    </w:rPr>
                    <w:t>Hub Locational Marginal Price for the HOUSTON345</w:t>
                  </w:r>
                  <w:r w:rsidRPr="0013396E">
                    <w:sym w:font="Symbol" w:char="F0BE"/>
                  </w:r>
                  <w:r w:rsidRPr="0013396E">
                    <w:t xml:space="preserve">The Hub LMP for the Houston 345 kV Hub (HOUSTON 345), for the SCED Interval </w:t>
                  </w:r>
                  <w:r w:rsidRPr="0013396E">
                    <w:rPr>
                      <w:i/>
                    </w:rPr>
                    <w:t>y</w:t>
                  </w:r>
                  <w:r w:rsidRPr="0013396E">
                    <w:t>.</w:t>
                  </w:r>
                </w:p>
              </w:tc>
            </w:tr>
            <w:tr w:rsidR="002B516C" w:rsidRPr="0013396E" w14:paraId="345F66DB" w14:textId="77777777" w:rsidTr="00745852">
              <w:tc>
                <w:tcPr>
                  <w:tcW w:w="2035" w:type="dxa"/>
                </w:tcPr>
                <w:p w14:paraId="0415D411" w14:textId="235D4288" w:rsidR="002B516C" w:rsidRPr="0013396E" w:rsidRDefault="002B516C" w:rsidP="002B516C">
                  <w:pPr>
                    <w:pStyle w:val="TableBody"/>
                  </w:pPr>
                  <w:r w:rsidRPr="0013396E">
                    <w:t>HUBLMP</w:t>
                  </w:r>
                  <w:r w:rsidRPr="0013396E">
                    <w:rPr>
                      <w:i/>
                      <w:vertAlign w:val="subscript"/>
                    </w:rPr>
                    <w:t>WEST345, y</w:t>
                  </w:r>
                </w:p>
              </w:tc>
              <w:tc>
                <w:tcPr>
                  <w:tcW w:w="1080" w:type="dxa"/>
                </w:tcPr>
                <w:p w14:paraId="5475472C" w14:textId="4BCE2F2D" w:rsidR="002B516C" w:rsidRPr="0013396E" w:rsidRDefault="002B516C" w:rsidP="002B516C">
                  <w:pPr>
                    <w:pStyle w:val="TableBody"/>
                  </w:pPr>
                  <w:r w:rsidRPr="0013396E">
                    <w:t>$/MWh</w:t>
                  </w:r>
                </w:p>
              </w:tc>
              <w:tc>
                <w:tcPr>
                  <w:tcW w:w="6155" w:type="dxa"/>
                </w:tcPr>
                <w:p w14:paraId="32384943" w14:textId="3FF4AE09" w:rsidR="002B516C" w:rsidRPr="0013396E" w:rsidRDefault="002B516C" w:rsidP="002B516C">
                  <w:pPr>
                    <w:pStyle w:val="TableBody"/>
                  </w:pPr>
                  <w:r w:rsidRPr="0013396E">
                    <w:rPr>
                      <w:i/>
                    </w:rPr>
                    <w:t>Hub Locational Marginal Price for the WEST345</w:t>
                  </w:r>
                  <w:r w:rsidRPr="0013396E">
                    <w:sym w:font="Symbol" w:char="F0BE"/>
                  </w:r>
                  <w:r w:rsidRPr="0013396E">
                    <w:t xml:space="preserve">The Hub LMP for the West 345 kV Hub (WEST 345), for the SCED Interval </w:t>
                  </w:r>
                  <w:r w:rsidRPr="0013396E">
                    <w:rPr>
                      <w:i/>
                    </w:rPr>
                    <w:t>y</w:t>
                  </w:r>
                  <w:r w:rsidRPr="0013396E">
                    <w:t>.</w:t>
                  </w:r>
                </w:p>
              </w:tc>
            </w:tr>
          </w:tbl>
          <w:p w14:paraId="41D97CEB" w14:textId="77777777" w:rsidR="00776199" w:rsidRPr="0013396E" w:rsidRDefault="00776199" w:rsidP="00776199">
            <w:pPr>
              <w:pStyle w:val="BodyText"/>
              <w:spacing w:before="240"/>
              <w:ind w:left="720" w:hanging="720"/>
            </w:pPr>
            <w:r w:rsidRPr="0013396E">
              <w:t>(4)</w:t>
            </w:r>
            <w:r w:rsidRPr="0013396E">
              <w:tab/>
              <w:t xml:space="preserve">The Hub LMP for the ERCOT Bus Average 345 kV Hub (ERCOT 345 Bus) for a SCED Interval is calculated as follows: </w:t>
            </w:r>
          </w:p>
          <w:p w14:paraId="4F9A14D1" w14:textId="77777777" w:rsidR="00776199" w:rsidRPr="0013396E" w:rsidRDefault="00776199" w:rsidP="00776199">
            <w:pPr>
              <w:pStyle w:val="FormulaBold"/>
              <w:rPr>
                <w:b w:val="0"/>
                <w:i/>
              </w:rPr>
            </w:pPr>
            <w:r w:rsidRPr="0013396E">
              <w:t>HUBLMP</w:t>
            </w:r>
            <w:r w:rsidRPr="0013396E">
              <w:rPr>
                <w:b w:val="0"/>
                <w:i/>
                <w:vertAlign w:val="subscript"/>
              </w:rPr>
              <w:t xml:space="preserve"> ERCOT345Bus, y</w:t>
            </w:r>
            <w:r w:rsidRPr="0013396E">
              <w:tab/>
            </w:r>
            <w:r w:rsidRPr="0013396E">
              <w:tab/>
              <w:t>=</w:t>
            </w:r>
            <w:r w:rsidRPr="0013396E">
              <w:rPr>
                <w:position w:val="-20"/>
              </w:rPr>
              <w:object w:dxaOrig="225" w:dyaOrig="435" w14:anchorId="0A58EF92">
                <v:shape id="_x0000_i1049" type="#_x0000_t75" style="width:12pt;height:24pt" o:ole="">
                  <v:imagedata r:id="rId43" o:title=""/>
                </v:shape>
                <o:OLEObject Type="Embed" ProgID="Equation.3" ShapeID="_x0000_i1049" DrawAspect="Content" ObjectID="_1849065680" r:id="rId49"/>
              </w:object>
            </w:r>
            <w:r w:rsidRPr="0013396E">
              <w:t xml:space="preserve">(HUBDF </w:t>
            </w:r>
            <w:r w:rsidRPr="0013396E">
              <w:rPr>
                <w:b w:val="0"/>
                <w:i/>
                <w:vertAlign w:val="subscript"/>
              </w:rPr>
              <w:t>hb,ERCOT345Bus</w:t>
            </w:r>
            <w:r w:rsidRPr="0013396E">
              <w:rPr>
                <w:b w:val="0"/>
              </w:rPr>
              <w:t xml:space="preserve"> </w:t>
            </w:r>
            <w:r w:rsidRPr="0013396E">
              <w:t xml:space="preserve">* RTHBP </w:t>
            </w:r>
            <w:r w:rsidRPr="0013396E">
              <w:rPr>
                <w:b w:val="0"/>
                <w:i/>
                <w:vertAlign w:val="subscript"/>
              </w:rPr>
              <w:t>hb, ERCOT345Bus, y</w:t>
            </w:r>
            <w:r w:rsidRPr="0013396E">
              <w:t>), if HB</w:t>
            </w:r>
            <w:r w:rsidRPr="0013396E">
              <w:rPr>
                <w:vertAlign w:val="subscript"/>
              </w:rPr>
              <w:t xml:space="preserve"> </w:t>
            </w:r>
            <w:r w:rsidRPr="0013396E">
              <w:rPr>
                <w:b w:val="0"/>
                <w:i/>
                <w:vertAlign w:val="subscript"/>
              </w:rPr>
              <w:t>ERCOT345Bus</w:t>
            </w:r>
            <w:r w:rsidRPr="0013396E">
              <w:t xml:space="preserve"> ≠ 0</w:t>
            </w:r>
          </w:p>
          <w:p w14:paraId="651D80C6" w14:textId="77777777" w:rsidR="00776199" w:rsidRPr="0013396E" w:rsidRDefault="00776199" w:rsidP="00776199">
            <w:pPr>
              <w:pStyle w:val="FormulaBold"/>
            </w:pPr>
            <w:r w:rsidRPr="0013396E">
              <w:t xml:space="preserve">HUBLMP </w:t>
            </w:r>
            <w:r w:rsidRPr="0013396E">
              <w:rPr>
                <w:b w:val="0"/>
                <w:i/>
                <w:vertAlign w:val="subscript"/>
              </w:rPr>
              <w:t>ERCOT345Bus, y</w:t>
            </w:r>
            <w:r w:rsidRPr="0013396E">
              <w:tab/>
              <w:t>=</w:t>
            </w:r>
            <w:r w:rsidRPr="0013396E">
              <w:tab/>
              <w:t>0, if HB</w:t>
            </w:r>
            <w:r w:rsidRPr="0013396E">
              <w:rPr>
                <w:vertAlign w:val="subscript"/>
              </w:rPr>
              <w:t xml:space="preserve"> </w:t>
            </w:r>
            <w:r w:rsidRPr="0013396E">
              <w:rPr>
                <w:b w:val="0"/>
                <w:i/>
                <w:vertAlign w:val="subscript"/>
              </w:rPr>
              <w:t>ERCOT345Bus</w:t>
            </w:r>
            <w:r w:rsidRPr="0013396E">
              <w:t xml:space="preserve"> = 0</w:t>
            </w:r>
          </w:p>
          <w:p w14:paraId="37E20685" w14:textId="77777777" w:rsidR="00776199" w:rsidRPr="0013396E" w:rsidRDefault="00776199" w:rsidP="00776199">
            <w:pPr>
              <w:pStyle w:val="BodyText"/>
            </w:pPr>
            <w:r w:rsidRPr="0013396E">
              <w:t>Where:</w:t>
            </w:r>
          </w:p>
          <w:p w14:paraId="7520E6F1" w14:textId="77777777" w:rsidR="00776199" w:rsidRPr="0013396E" w:rsidRDefault="00776199" w:rsidP="00776199">
            <w:pPr>
              <w:pStyle w:val="Formula"/>
              <w:ind w:left="2880" w:hanging="2160"/>
            </w:pPr>
            <w:r w:rsidRPr="0013396E">
              <w:t xml:space="preserve">RTHBP </w:t>
            </w:r>
            <w:r w:rsidRPr="0013396E">
              <w:rPr>
                <w:i/>
                <w:vertAlign w:val="subscript"/>
              </w:rPr>
              <w:t>hb, ERCOT345Bus, y</w:t>
            </w:r>
            <w:r w:rsidRPr="0013396E">
              <w:tab/>
              <w:t>=</w:t>
            </w:r>
            <w:r w:rsidRPr="0013396E">
              <w:tab/>
            </w:r>
            <w:r w:rsidRPr="0013396E">
              <w:rPr>
                <w:position w:val="-20"/>
              </w:rPr>
              <w:object w:dxaOrig="225" w:dyaOrig="420" w14:anchorId="10EB7D19">
                <v:shape id="_x0000_i1050" type="#_x0000_t75" style="width:12pt;height:24pt" o:ole="">
                  <v:imagedata r:id="rId45" o:title=""/>
                </v:shape>
                <o:OLEObject Type="Embed" ProgID="Equation.3" ShapeID="_x0000_i1050" DrawAspect="Content" ObjectID="_1849065681" r:id="rId50"/>
              </w:object>
            </w:r>
            <w:r w:rsidRPr="0013396E">
              <w:t xml:space="preserve">(HBDF </w:t>
            </w:r>
            <w:r w:rsidRPr="0013396E">
              <w:rPr>
                <w:i/>
                <w:vertAlign w:val="subscript"/>
              </w:rPr>
              <w:t>b, hb, ERCOT345Bus</w:t>
            </w:r>
            <w:r w:rsidRPr="0013396E">
              <w:t xml:space="preserve"> * RTLMP </w:t>
            </w:r>
            <w:r w:rsidRPr="0013396E">
              <w:rPr>
                <w:i/>
                <w:vertAlign w:val="subscript"/>
              </w:rPr>
              <w:t>b, hb, ERCOT345Bus, y</w:t>
            </w:r>
            <w:r w:rsidRPr="0013396E">
              <w:t>)</w:t>
            </w:r>
          </w:p>
          <w:p w14:paraId="0A48A876" w14:textId="77777777" w:rsidR="00776199" w:rsidRPr="0013396E" w:rsidRDefault="00776199" w:rsidP="00776199">
            <w:pPr>
              <w:tabs>
                <w:tab w:val="left" w:pos="2340"/>
                <w:tab w:val="left" w:pos="3420"/>
              </w:tabs>
              <w:spacing w:after="240"/>
              <w:ind w:left="4147" w:hanging="3427"/>
              <w:rPr>
                <w:bCs/>
                <w:i/>
              </w:rPr>
            </w:pPr>
            <w:r w:rsidRPr="0013396E">
              <w:rPr>
                <w:bCs/>
              </w:rPr>
              <w:t>HUBDF</w:t>
            </w:r>
            <w:r w:rsidRPr="0013396E">
              <w:rPr>
                <w:bCs/>
                <w:i/>
              </w:rPr>
              <w:t xml:space="preserve"> </w:t>
            </w:r>
            <w:r w:rsidRPr="0013396E">
              <w:rPr>
                <w:bCs/>
                <w:i/>
                <w:vertAlign w:val="subscript"/>
              </w:rPr>
              <w:t>hb, ERCOT345Busc</w:t>
            </w:r>
            <w:r w:rsidRPr="0013396E">
              <w:rPr>
                <w:bCs/>
                <w:i/>
              </w:rPr>
              <w:tab/>
              <w:t>=</w:t>
            </w:r>
            <w:r w:rsidRPr="0013396E">
              <w:rPr>
                <w:bCs/>
                <w:i/>
                <w:color w:val="000000"/>
              </w:rPr>
              <w:tab/>
            </w:r>
            <w:r w:rsidRPr="0013396E">
              <w:rPr>
                <w:bCs/>
                <w:color w:val="000000"/>
              </w:rPr>
              <w:t>IF(HB</w:t>
            </w:r>
            <w:r w:rsidRPr="0013396E">
              <w:rPr>
                <w:bCs/>
                <w:vertAlign w:val="subscript"/>
              </w:rPr>
              <w:t xml:space="preserve"> </w:t>
            </w:r>
            <w:r w:rsidRPr="0013396E">
              <w:rPr>
                <w:bCs/>
                <w:i/>
                <w:vertAlign w:val="subscript"/>
              </w:rPr>
              <w:t xml:space="preserve">ERCOT345Bus </w:t>
            </w:r>
            <w:r w:rsidRPr="0013396E">
              <w:rPr>
                <w:bCs/>
                <w:color w:val="000000"/>
              </w:rPr>
              <w:t xml:space="preserve">=0, 0, 1 </w:t>
            </w:r>
            <w:r w:rsidRPr="0013396E">
              <w:rPr>
                <w:b/>
                <w:bCs/>
                <w:color w:val="000000"/>
                <w:sz w:val="32"/>
                <w:szCs w:val="32"/>
              </w:rPr>
              <w:t>/</w:t>
            </w:r>
            <w:r w:rsidRPr="0013396E">
              <w:rPr>
                <w:bCs/>
                <w:color w:val="000000"/>
              </w:rPr>
              <w:t xml:space="preserve"> HB</w:t>
            </w:r>
            <w:r w:rsidRPr="0013396E">
              <w:rPr>
                <w:bCs/>
              </w:rPr>
              <w:t xml:space="preserve"> </w:t>
            </w:r>
            <w:r w:rsidRPr="0013396E">
              <w:rPr>
                <w:bCs/>
                <w:i/>
                <w:vertAlign w:val="subscript"/>
              </w:rPr>
              <w:t>ERCOT345Bus</w:t>
            </w:r>
            <w:r w:rsidRPr="0013396E">
              <w:rPr>
                <w:bCs/>
              </w:rPr>
              <w:t>)</w:t>
            </w:r>
          </w:p>
          <w:p w14:paraId="2073628D" w14:textId="77777777" w:rsidR="00776199" w:rsidRPr="0013396E" w:rsidRDefault="00776199" w:rsidP="00776199">
            <w:pPr>
              <w:tabs>
                <w:tab w:val="left" w:pos="2340"/>
                <w:tab w:val="left" w:pos="3420"/>
              </w:tabs>
              <w:spacing w:after="240"/>
              <w:ind w:left="4147" w:hanging="3427"/>
              <w:rPr>
                <w:bCs/>
                <w:i/>
              </w:rPr>
            </w:pPr>
            <w:r w:rsidRPr="0013396E">
              <w:rPr>
                <w:bCs/>
              </w:rPr>
              <w:lastRenderedPageBreak/>
              <w:t>HBDF</w:t>
            </w:r>
            <w:r w:rsidRPr="0013396E">
              <w:rPr>
                <w:bCs/>
                <w:i/>
              </w:rPr>
              <w:t xml:space="preserve"> </w:t>
            </w:r>
            <w:r w:rsidRPr="0013396E">
              <w:rPr>
                <w:bCs/>
                <w:i/>
                <w:vertAlign w:val="subscript"/>
              </w:rPr>
              <w:t>b, hb, ERCOT345Bus</w:t>
            </w:r>
            <w:r w:rsidRPr="0013396E">
              <w:rPr>
                <w:bCs/>
                <w:i/>
              </w:rPr>
              <w:tab/>
              <w:t>=</w:t>
            </w:r>
            <w:r w:rsidRPr="0013396E">
              <w:rPr>
                <w:bCs/>
                <w:i/>
              </w:rPr>
              <w:tab/>
            </w:r>
            <w:r w:rsidRPr="0013396E">
              <w:rPr>
                <w:bCs/>
              </w:rPr>
              <w:t>IF(B</w:t>
            </w:r>
            <w:r w:rsidRPr="0013396E">
              <w:rPr>
                <w:bCs/>
                <w:vertAlign w:val="subscript"/>
              </w:rPr>
              <w:t xml:space="preserve"> </w:t>
            </w:r>
            <w:r w:rsidRPr="0013396E">
              <w:rPr>
                <w:bCs/>
                <w:i/>
                <w:vertAlign w:val="subscript"/>
              </w:rPr>
              <w:t xml:space="preserve">hb, ERCOT345Bus </w:t>
            </w:r>
            <w:r w:rsidRPr="0013396E">
              <w:rPr>
                <w:bCs/>
              </w:rPr>
              <w:t xml:space="preserve">=0, 0, 1 </w:t>
            </w:r>
            <w:r w:rsidRPr="0013396E">
              <w:rPr>
                <w:b/>
                <w:bCs/>
                <w:sz w:val="32"/>
                <w:szCs w:val="32"/>
              </w:rPr>
              <w:t xml:space="preserve">/ </w:t>
            </w:r>
            <w:r w:rsidRPr="0013396E">
              <w:rPr>
                <w:bCs/>
              </w:rPr>
              <w:t xml:space="preserve">B </w:t>
            </w:r>
            <w:r w:rsidRPr="0013396E">
              <w:rPr>
                <w:bCs/>
                <w:i/>
                <w:vertAlign w:val="subscript"/>
              </w:rPr>
              <w:t>hb, ERCOT345Bus</w:t>
            </w:r>
            <w:r w:rsidRPr="0013396E">
              <w:rPr>
                <w:bCs/>
              </w:rPr>
              <w:t>)</w:t>
            </w:r>
          </w:p>
          <w:p w14:paraId="05989118" w14:textId="77777777" w:rsidR="00776199" w:rsidRPr="0013396E" w:rsidRDefault="00776199" w:rsidP="00776199"/>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35"/>
              <w:gridCol w:w="1080"/>
              <w:gridCol w:w="6155"/>
            </w:tblGrid>
            <w:tr w:rsidR="002B516C" w:rsidRPr="0013396E" w14:paraId="5A83384A" w14:textId="77777777" w:rsidTr="00745852">
              <w:tc>
                <w:tcPr>
                  <w:tcW w:w="2035" w:type="dxa"/>
                </w:tcPr>
                <w:p w14:paraId="36C7B7DF" w14:textId="77777777" w:rsidR="002B516C" w:rsidRPr="0013396E" w:rsidRDefault="002B516C" w:rsidP="002B516C">
                  <w:pPr>
                    <w:pStyle w:val="TableHead"/>
                  </w:pPr>
                  <w:r w:rsidRPr="0013396E">
                    <w:t>Variable</w:t>
                  </w:r>
                </w:p>
              </w:tc>
              <w:tc>
                <w:tcPr>
                  <w:tcW w:w="1080" w:type="dxa"/>
                </w:tcPr>
                <w:p w14:paraId="26E5C5D9" w14:textId="77777777" w:rsidR="002B516C" w:rsidRPr="0013396E" w:rsidRDefault="002B516C" w:rsidP="002B516C">
                  <w:pPr>
                    <w:pStyle w:val="TableHead"/>
                  </w:pPr>
                  <w:r w:rsidRPr="0013396E">
                    <w:t>Unit</w:t>
                  </w:r>
                </w:p>
              </w:tc>
              <w:tc>
                <w:tcPr>
                  <w:tcW w:w="6155" w:type="dxa"/>
                </w:tcPr>
                <w:p w14:paraId="57E3D585" w14:textId="77777777" w:rsidR="002B516C" w:rsidRPr="0013396E" w:rsidRDefault="002B516C" w:rsidP="002B516C">
                  <w:pPr>
                    <w:pStyle w:val="TableHead"/>
                  </w:pPr>
                  <w:r w:rsidRPr="0013396E">
                    <w:t>Description</w:t>
                  </w:r>
                </w:p>
              </w:tc>
            </w:tr>
            <w:tr w:rsidR="002B516C" w:rsidRPr="0013396E" w14:paraId="7EE4D0C2" w14:textId="77777777" w:rsidTr="00745852">
              <w:tc>
                <w:tcPr>
                  <w:tcW w:w="2035" w:type="dxa"/>
                </w:tcPr>
                <w:p w14:paraId="77135B14" w14:textId="74920B09" w:rsidR="002B516C" w:rsidRPr="0013396E" w:rsidRDefault="002B516C" w:rsidP="002B516C">
                  <w:pPr>
                    <w:pStyle w:val="TableBody"/>
                  </w:pPr>
                  <w:r w:rsidRPr="0013396E">
                    <w:t>HUBLMP</w:t>
                  </w:r>
                  <w:r w:rsidRPr="0013396E">
                    <w:rPr>
                      <w:i/>
                      <w:vertAlign w:val="subscript"/>
                    </w:rPr>
                    <w:t xml:space="preserve"> ERCOT345Bus, y</w:t>
                  </w:r>
                </w:p>
              </w:tc>
              <w:tc>
                <w:tcPr>
                  <w:tcW w:w="1080" w:type="dxa"/>
                </w:tcPr>
                <w:p w14:paraId="3C99F332" w14:textId="21BE540E" w:rsidR="002B516C" w:rsidRPr="0013396E" w:rsidRDefault="002B516C" w:rsidP="002B516C">
                  <w:pPr>
                    <w:pStyle w:val="TableBody"/>
                  </w:pPr>
                  <w:r w:rsidRPr="0013396E">
                    <w:t>$/MWh</w:t>
                  </w:r>
                </w:p>
              </w:tc>
              <w:tc>
                <w:tcPr>
                  <w:tcW w:w="6155" w:type="dxa"/>
                </w:tcPr>
                <w:p w14:paraId="79139269" w14:textId="1DAB5343" w:rsidR="002B516C" w:rsidRPr="0013396E" w:rsidRDefault="002B516C" w:rsidP="002B516C">
                  <w:pPr>
                    <w:pStyle w:val="TableBody"/>
                  </w:pPr>
                  <w:r w:rsidRPr="0013396E">
                    <w:rPr>
                      <w:i/>
                    </w:rPr>
                    <w:t>Hub Locational Marginal Price for the ERCOT345Bus</w:t>
                  </w:r>
                  <w:r w:rsidRPr="0013396E">
                    <w:sym w:font="Symbol" w:char="F0BE"/>
                  </w:r>
                  <w:r w:rsidRPr="0013396E">
                    <w:t xml:space="preserve">The Hub LMP for the ERCOT Bus Average 345 kV Hub (ERCOT 345 Bus), for the SCED Interval </w:t>
                  </w:r>
                  <w:r w:rsidRPr="0013396E">
                    <w:rPr>
                      <w:i/>
                    </w:rPr>
                    <w:t>y</w:t>
                  </w:r>
                  <w:r w:rsidRPr="0013396E">
                    <w:t>.</w:t>
                  </w:r>
                </w:p>
              </w:tc>
            </w:tr>
            <w:tr w:rsidR="002B516C" w:rsidRPr="0013396E" w14:paraId="22BC0719" w14:textId="77777777" w:rsidTr="00745852">
              <w:tc>
                <w:tcPr>
                  <w:tcW w:w="2035" w:type="dxa"/>
                </w:tcPr>
                <w:p w14:paraId="2B29A42E" w14:textId="50A5F154" w:rsidR="002B516C" w:rsidRPr="0013396E" w:rsidRDefault="002B516C" w:rsidP="002B516C">
                  <w:pPr>
                    <w:pStyle w:val="TableBody"/>
                  </w:pPr>
                  <w:r w:rsidRPr="0013396E">
                    <w:t xml:space="preserve">RTHBP </w:t>
                  </w:r>
                  <w:r w:rsidRPr="0013396E">
                    <w:rPr>
                      <w:i/>
                      <w:vertAlign w:val="subscript"/>
                    </w:rPr>
                    <w:t>hb, ERCOT345Bus, y</w:t>
                  </w:r>
                </w:p>
              </w:tc>
              <w:tc>
                <w:tcPr>
                  <w:tcW w:w="1080" w:type="dxa"/>
                </w:tcPr>
                <w:p w14:paraId="778C3C5E" w14:textId="09280201" w:rsidR="002B516C" w:rsidRPr="0013396E" w:rsidRDefault="002B516C" w:rsidP="002B516C">
                  <w:pPr>
                    <w:pStyle w:val="TableBody"/>
                  </w:pPr>
                  <w:r w:rsidRPr="0013396E">
                    <w:t>$/MWh</w:t>
                  </w:r>
                </w:p>
              </w:tc>
              <w:tc>
                <w:tcPr>
                  <w:tcW w:w="6155" w:type="dxa"/>
                </w:tcPr>
                <w:p w14:paraId="59F4E32C" w14:textId="5EE195B6" w:rsidR="002B516C" w:rsidRPr="0013396E" w:rsidRDefault="002B516C" w:rsidP="002B516C">
                  <w:pPr>
                    <w:pStyle w:val="TableBody"/>
                  </w:pPr>
                  <w:r w:rsidRPr="0013396E">
                    <w:rPr>
                      <w:i/>
                    </w:rPr>
                    <w:t>Real-Time Hub Bus Price at Hub Bus per SCED interval</w:t>
                  </w:r>
                  <w:r w:rsidRPr="0013396E">
                    <w:sym w:font="Symbol" w:char="F0BE"/>
                  </w:r>
                  <w:r w:rsidRPr="0013396E">
                    <w:t xml:space="preserve">The Real-Time energy price at Hub Bus </w:t>
                  </w:r>
                  <w:r w:rsidRPr="0013396E">
                    <w:rPr>
                      <w:i/>
                    </w:rPr>
                    <w:t>hb</w:t>
                  </w:r>
                  <w:r w:rsidRPr="0013396E">
                    <w:t xml:space="preserve"> in ERCOT 345 Bus, for the SCED interval </w:t>
                  </w:r>
                  <w:r w:rsidRPr="0013396E">
                    <w:rPr>
                      <w:i/>
                    </w:rPr>
                    <w:t>y</w:t>
                  </w:r>
                  <w:r w:rsidRPr="0013396E">
                    <w:t>.</w:t>
                  </w:r>
                </w:p>
              </w:tc>
            </w:tr>
            <w:tr w:rsidR="002B516C" w:rsidRPr="0013396E" w14:paraId="581E2908" w14:textId="77777777" w:rsidTr="00745852">
              <w:tc>
                <w:tcPr>
                  <w:tcW w:w="2035" w:type="dxa"/>
                </w:tcPr>
                <w:p w14:paraId="22690414" w14:textId="0F394D8C" w:rsidR="002B516C" w:rsidRPr="0013396E" w:rsidRDefault="002B516C" w:rsidP="002B516C">
                  <w:pPr>
                    <w:pStyle w:val="TableBody"/>
                  </w:pPr>
                  <w:r w:rsidRPr="0013396E">
                    <w:t xml:space="preserve">RTLMP </w:t>
                  </w:r>
                  <w:r w:rsidRPr="0013396E">
                    <w:rPr>
                      <w:i/>
                      <w:vertAlign w:val="subscript"/>
                    </w:rPr>
                    <w:t>b, hb, ERCOT345Bus, y</w:t>
                  </w:r>
                </w:p>
              </w:tc>
              <w:tc>
                <w:tcPr>
                  <w:tcW w:w="1080" w:type="dxa"/>
                </w:tcPr>
                <w:p w14:paraId="31CE3D5F" w14:textId="2460B2F3" w:rsidR="002B516C" w:rsidRPr="0013396E" w:rsidRDefault="002B516C" w:rsidP="002B516C">
                  <w:pPr>
                    <w:pStyle w:val="TableBody"/>
                  </w:pPr>
                  <w:r w:rsidRPr="0013396E">
                    <w:t>$/MWh</w:t>
                  </w:r>
                </w:p>
              </w:tc>
              <w:tc>
                <w:tcPr>
                  <w:tcW w:w="6155" w:type="dxa"/>
                </w:tcPr>
                <w:p w14:paraId="501531A3" w14:textId="2CBDEBDF" w:rsidR="002B516C" w:rsidRPr="0013396E" w:rsidRDefault="002B516C" w:rsidP="002B516C">
                  <w:pPr>
                    <w:pStyle w:val="TableBody"/>
                  </w:pPr>
                  <w:r w:rsidRPr="0013396E">
                    <w:rPr>
                      <w:i/>
                    </w:rPr>
                    <w:t>Real-Time Locational Marginal Price at Electrical Bus of Hub Bus per interval</w:t>
                  </w:r>
                  <w:r w:rsidRPr="0013396E">
                    <w:sym w:font="Symbol" w:char="F0BE"/>
                  </w:r>
                  <w:r w:rsidRPr="0013396E">
                    <w:t xml:space="preserve">The Real-Time LMP at Electrical Bus </w:t>
                  </w:r>
                  <w:r w:rsidRPr="0013396E">
                    <w:rPr>
                      <w:i/>
                    </w:rPr>
                    <w:t>b</w:t>
                  </w:r>
                  <w:r w:rsidRPr="0013396E">
                    <w:t xml:space="preserve"> that is a component of Hub Bus </w:t>
                  </w:r>
                  <w:r w:rsidRPr="0013396E">
                    <w:rPr>
                      <w:i/>
                    </w:rPr>
                    <w:t>hb</w:t>
                  </w:r>
                  <w:r w:rsidRPr="0013396E">
                    <w:t xml:space="preserve"> in ERCOT 345 Bus, for the SCED interval </w:t>
                  </w:r>
                  <w:r w:rsidRPr="0013396E">
                    <w:rPr>
                      <w:i/>
                    </w:rPr>
                    <w:t>y</w:t>
                  </w:r>
                  <w:r w:rsidRPr="0013396E">
                    <w:t>.</w:t>
                  </w:r>
                </w:p>
              </w:tc>
            </w:tr>
            <w:tr w:rsidR="002B516C" w:rsidRPr="0013396E" w14:paraId="439FDF72" w14:textId="77777777" w:rsidTr="00745852">
              <w:tc>
                <w:tcPr>
                  <w:tcW w:w="2035" w:type="dxa"/>
                </w:tcPr>
                <w:p w14:paraId="18190A8D" w14:textId="0D0E8A74" w:rsidR="002B516C" w:rsidRPr="0013396E" w:rsidRDefault="002B516C" w:rsidP="002B516C">
                  <w:pPr>
                    <w:pStyle w:val="TableBody"/>
                  </w:pPr>
                  <w:r w:rsidRPr="0013396E">
                    <w:t xml:space="preserve">HUBDF </w:t>
                  </w:r>
                  <w:r w:rsidRPr="0013396E">
                    <w:rPr>
                      <w:i/>
                      <w:vertAlign w:val="subscript"/>
                    </w:rPr>
                    <w:t>hb, ERCOT345Bus</w:t>
                  </w:r>
                </w:p>
              </w:tc>
              <w:tc>
                <w:tcPr>
                  <w:tcW w:w="1080" w:type="dxa"/>
                </w:tcPr>
                <w:p w14:paraId="13B67341" w14:textId="01E23FB6" w:rsidR="002B516C" w:rsidRPr="0013396E" w:rsidRDefault="002B516C" w:rsidP="002B516C">
                  <w:pPr>
                    <w:pStyle w:val="TableBody"/>
                  </w:pPr>
                  <w:r w:rsidRPr="0013396E">
                    <w:t>none</w:t>
                  </w:r>
                </w:p>
              </w:tc>
              <w:tc>
                <w:tcPr>
                  <w:tcW w:w="6155" w:type="dxa"/>
                </w:tcPr>
                <w:p w14:paraId="597048A6" w14:textId="5FB2EC1A" w:rsidR="002B516C" w:rsidRPr="0013396E" w:rsidRDefault="002B516C" w:rsidP="002B516C">
                  <w:pPr>
                    <w:pStyle w:val="TableBody"/>
                  </w:pPr>
                  <w:r w:rsidRPr="0013396E">
                    <w:rPr>
                      <w:i/>
                    </w:rPr>
                    <w:t>Hub Distribution Factor per Hub Bus</w:t>
                  </w:r>
                  <w:r w:rsidRPr="0013396E">
                    <w:sym w:font="Symbol" w:char="F0BE"/>
                  </w:r>
                  <w:r w:rsidRPr="0013396E">
                    <w:t xml:space="preserve">The distribution factor of Hub Bus </w:t>
                  </w:r>
                  <w:r w:rsidRPr="0013396E">
                    <w:rPr>
                      <w:i/>
                    </w:rPr>
                    <w:t>hb</w:t>
                  </w:r>
                  <w:r w:rsidRPr="0013396E">
                    <w:t xml:space="preserve">.  </w:t>
                  </w:r>
                </w:p>
              </w:tc>
            </w:tr>
            <w:tr w:rsidR="002B516C" w:rsidRPr="0013396E" w14:paraId="0A5A88A0" w14:textId="77777777" w:rsidTr="00745852">
              <w:tc>
                <w:tcPr>
                  <w:tcW w:w="2035" w:type="dxa"/>
                </w:tcPr>
                <w:p w14:paraId="674BFBC4" w14:textId="6E188A1F" w:rsidR="002B516C" w:rsidRPr="0013396E" w:rsidRDefault="002B516C" w:rsidP="002B516C">
                  <w:pPr>
                    <w:pStyle w:val="TableBody"/>
                  </w:pPr>
                  <w:r w:rsidRPr="0013396E">
                    <w:t xml:space="preserve">HBDF </w:t>
                  </w:r>
                  <w:r w:rsidRPr="0013396E">
                    <w:rPr>
                      <w:i/>
                      <w:vertAlign w:val="subscript"/>
                    </w:rPr>
                    <w:t>b, hb, ERCOT345Bus</w:t>
                  </w:r>
                </w:p>
              </w:tc>
              <w:tc>
                <w:tcPr>
                  <w:tcW w:w="1080" w:type="dxa"/>
                </w:tcPr>
                <w:p w14:paraId="690688DC" w14:textId="3E77AE97" w:rsidR="002B516C" w:rsidRPr="0013396E" w:rsidRDefault="002B516C" w:rsidP="002B516C">
                  <w:pPr>
                    <w:pStyle w:val="TableBody"/>
                  </w:pPr>
                  <w:r w:rsidRPr="0013396E">
                    <w:t>none</w:t>
                  </w:r>
                </w:p>
              </w:tc>
              <w:tc>
                <w:tcPr>
                  <w:tcW w:w="6155" w:type="dxa"/>
                </w:tcPr>
                <w:p w14:paraId="3ABD4706" w14:textId="10719CEB" w:rsidR="002B516C" w:rsidRPr="0013396E" w:rsidRDefault="002B516C" w:rsidP="002B516C">
                  <w:pPr>
                    <w:pStyle w:val="TableBody"/>
                  </w:pPr>
                  <w:r w:rsidRPr="0013396E">
                    <w:rPr>
                      <w:i/>
                    </w:rPr>
                    <w:t>Hub Bus Distribution Factor per Electrical Bus of Hub Bus</w:t>
                  </w:r>
                  <w:r w:rsidRPr="0013396E">
                    <w:sym w:font="Symbol" w:char="F0BE"/>
                  </w:r>
                  <w:r w:rsidRPr="0013396E">
                    <w:t xml:space="preserve">The distribution factor of Electrical Bus </w:t>
                  </w:r>
                  <w:r w:rsidRPr="0013396E">
                    <w:rPr>
                      <w:i/>
                    </w:rPr>
                    <w:t>b</w:t>
                  </w:r>
                  <w:r w:rsidRPr="0013396E">
                    <w:t xml:space="preserve"> that is a component of Hub Bus </w:t>
                  </w:r>
                  <w:r w:rsidRPr="0013396E">
                    <w:rPr>
                      <w:i/>
                    </w:rPr>
                    <w:t>hb</w:t>
                  </w:r>
                  <w:r w:rsidRPr="0013396E">
                    <w:t xml:space="preserve">.  </w:t>
                  </w:r>
                </w:p>
              </w:tc>
            </w:tr>
            <w:tr w:rsidR="002B516C" w:rsidRPr="0013396E" w14:paraId="0933E4FA" w14:textId="77777777" w:rsidTr="00745852">
              <w:tc>
                <w:tcPr>
                  <w:tcW w:w="2035" w:type="dxa"/>
                </w:tcPr>
                <w:p w14:paraId="4E3814A0" w14:textId="719D907A" w:rsidR="002B516C" w:rsidRPr="0013396E" w:rsidRDefault="002B516C" w:rsidP="002B516C">
                  <w:pPr>
                    <w:pStyle w:val="TableBody"/>
                  </w:pPr>
                  <w:r w:rsidRPr="0013396E">
                    <w:t>HB</w:t>
                  </w:r>
                  <w:r w:rsidRPr="0013396E">
                    <w:rPr>
                      <w:vertAlign w:val="subscript"/>
                    </w:rPr>
                    <w:t xml:space="preserve"> </w:t>
                  </w:r>
                  <w:r w:rsidRPr="0013396E">
                    <w:rPr>
                      <w:i/>
                      <w:vertAlign w:val="subscript"/>
                    </w:rPr>
                    <w:t>ERCOT345Bus</w:t>
                  </w:r>
                </w:p>
              </w:tc>
              <w:tc>
                <w:tcPr>
                  <w:tcW w:w="1080" w:type="dxa"/>
                </w:tcPr>
                <w:p w14:paraId="587C284C" w14:textId="44BC7F7F" w:rsidR="002B516C" w:rsidRPr="0013396E" w:rsidRDefault="002B516C" w:rsidP="002B516C">
                  <w:pPr>
                    <w:pStyle w:val="TableBody"/>
                  </w:pPr>
                  <w:r w:rsidRPr="0013396E">
                    <w:t>none</w:t>
                  </w:r>
                </w:p>
              </w:tc>
              <w:tc>
                <w:tcPr>
                  <w:tcW w:w="6155" w:type="dxa"/>
                </w:tcPr>
                <w:p w14:paraId="2E22D436" w14:textId="0E7409A0" w:rsidR="002B516C" w:rsidRPr="0013396E" w:rsidRDefault="002B516C" w:rsidP="002B516C">
                  <w:pPr>
                    <w:pStyle w:val="TableBody"/>
                  </w:pPr>
                  <w:r w:rsidRPr="0013396E">
                    <w:t>The total number of Hub Buses in the ERCOT Bus Average 345 kV Hub (ERCOT 345 Bus) with at least one energized component in each Hub Bus . The Hub “ERCOT 345 Bus” includes any Hub Bus defined in the Hub “North 345”, “South 345”, “Houston 345” and “West 345”.</w:t>
                  </w:r>
                </w:p>
              </w:tc>
            </w:tr>
            <w:tr w:rsidR="002B516C" w:rsidRPr="0013396E" w14:paraId="3A68B10A" w14:textId="77777777" w:rsidTr="00745852">
              <w:tc>
                <w:tcPr>
                  <w:tcW w:w="2035" w:type="dxa"/>
                </w:tcPr>
                <w:p w14:paraId="26E3F7A1" w14:textId="14A1F47A" w:rsidR="002B516C" w:rsidRPr="0013396E" w:rsidRDefault="002B516C" w:rsidP="002B516C">
                  <w:pPr>
                    <w:pStyle w:val="TableBody"/>
                  </w:pPr>
                  <w:r w:rsidRPr="0013396E">
                    <w:t xml:space="preserve">B </w:t>
                  </w:r>
                  <w:r w:rsidRPr="0013396E">
                    <w:rPr>
                      <w:i/>
                      <w:vertAlign w:val="subscript"/>
                    </w:rPr>
                    <w:t>hb, ERCOT345Bus</w:t>
                  </w:r>
                </w:p>
              </w:tc>
              <w:tc>
                <w:tcPr>
                  <w:tcW w:w="1080" w:type="dxa"/>
                </w:tcPr>
                <w:p w14:paraId="129FA6CB" w14:textId="242CAC63" w:rsidR="002B516C" w:rsidRPr="0013396E" w:rsidRDefault="002B516C" w:rsidP="002B516C">
                  <w:pPr>
                    <w:pStyle w:val="TableBody"/>
                  </w:pPr>
                  <w:r w:rsidRPr="0013396E">
                    <w:t>none</w:t>
                  </w:r>
                </w:p>
              </w:tc>
              <w:tc>
                <w:tcPr>
                  <w:tcW w:w="6155" w:type="dxa"/>
                </w:tcPr>
                <w:p w14:paraId="11CE8248" w14:textId="60DE110E" w:rsidR="002B516C" w:rsidRPr="0013396E" w:rsidRDefault="002B516C" w:rsidP="002B516C">
                  <w:pPr>
                    <w:pStyle w:val="TableBody"/>
                  </w:pPr>
                  <w:r w:rsidRPr="0013396E">
                    <w:t xml:space="preserve">The total number of energized Electrical Buses in Hub Bus </w:t>
                  </w:r>
                  <w:r w:rsidRPr="0013396E">
                    <w:rPr>
                      <w:i/>
                    </w:rPr>
                    <w:t>hb</w:t>
                  </w:r>
                  <w:r w:rsidRPr="0013396E">
                    <w:t xml:space="preserve"> that is a component of “ERCOT 345 Bus”.</w:t>
                  </w:r>
                </w:p>
              </w:tc>
            </w:tr>
            <w:tr w:rsidR="002B516C" w:rsidRPr="0013396E" w14:paraId="1FAA5F7C" w14:textId="77777777" w:rsidTr="00745852">
              <w:tc>
                <w:tcPr>
                  <w:tcW w:w="2035" w:type="dxa"/>
                </w:tcPr>
                <w:p w14:paraId="5D5C9EE7" w14:textId="42411DAD" w:rsidR="002B516C" w:rsidRPr="0013396E" w:rsidRDefault="002B516C" w:rsidP="002B516C">
                  <w:pPr>
                    <w:pStyle w:val="TableBody"/>
                  </w:pPr>
                  <w:r w:rsidRPr="0013396E">
                    <w:rPr>
                      <w:i/>
                    </w:rPr>
                    <w:t>hb</w:t>
                  </w:r>
                </w:p>
              </w:tc>
              <w:tc>
                <w:tcPr>
                  <w:tcW w:w="1080" w:type="dxa"/>
                </w:tcPr>
                <w:p w14:paraId="4548EEB1" w14:textId="571C5CA6" w:rsidR="002B516C" w:rsidRPr="0013396E" w:rsidRDefault="002B516C" w:rsidP="002B516C">
                  <w:pPr>
                    <w:pStyle w:val="TableBody"/>
                  </w:pPr>
                  <w:r w:rsidRPr="0013396E">
                    <w:t>none</w:t>
                  </w:r>
                </w:p>
              </w:tc>
              <w:tc>
                <w:tcPr>
                  <w:tcW w:w="6155" w:type="dxa"/>
                </w:tcPr>
                <w:p w14:paraId="19F9CFEC" w14:textId="761B2E3C" w:rsidR="002B516C" w:rsidRPr="0013396E" w:rsidRDefault="002B516C" w:rsidP="002B516C">
                  <w:pPr>
                    <w:pStyle w:val="TableBody"/>
                  </w:pPr>
                  <w:r w:rsidRPr="0013396E">
                    <w:t>A Hub Bus that is a component of the ERCOT Bus Average 345 kV Hub (ERCOT 345 Bus) with at least one energized component. The Hub “ERCOT 345 Bus” includes any Hub Bus defined in the Hub “North 345”, “South 345”, “Houston 345” and “West 345”.</w:t>
                  </w:r>
                </w:p>
              </w:tc>
            </w:tr>
            <w:tr w:rsidR="002B516C" w:rsidRPr="0013396E" w14:paraId="1A39F31A" w14:textId="77777777" w:rsidTr="00745852">
              <w:tc>
                <w:tcPr>
                  <w:tcW w:w="2035" w:type="dxa"/>
                </w:tcPr>
                <w:p w14:paraId="661DEE36" w14:textId="0BC99D26" w:rsidR="002B516C" w:rsidRPr="0013396E" w:rsidRDefault="002B516C" w:rsidP="002B516C">
                  <w:pPr>
                    <w:pStyle w:val="TableBody"/>
                  </w:pPr>
                  <w:r w:rsidRPr="0013396E">
                    <w:rPr>
                      <w:i/>
                    </w:rPr>
                    <w:t>y</w:t>
                  </w:r>
                </w:p>
              </w:tc>
              <w:tc>
                <w:tcPr>
                  <w:tcW w:w="1080" w:type="dxa"/>
                </w:tcPr>
                <w:p w14:paraId="2548897A" w14:textId="509E7D44" w:rsidR="002B516C" w:rsidRPr="0013396E" w:rsidRDefault="002B516C" w:rsidP="002B516C">
                  <w:pPr>
                    <w:pStyle w:val="TableBody"/>
                  </w:pPr>
                  <w:r w:rsidRPr="0013396E">
                    <w:t>none</w:t>
                  </w:r>
                </w:p>
              </w:tc>
              <w:tc>
                <w:tcPr>
                  <w:tcW w:w="6155" w:type="dxa"/>
                </w:tcPr>
                <w:p w14:paraId="6ACECA76" w14:textId="6B3877F6" w:rsidR="002B516C" w:rsidRPr="0013396E" w:rsidRDefault="002B516C" w:rsidP="002B516C">
                  <w:pPr>
                    <w:pStyle w:val="TableBody"/>
                  </w:pPr>
                  <w:r w:rsidRPr="0013396E">
                    <w:t>A SCED interval in the 15-minute Settlement Interval.  The summation is over the total number of SCED runs that cover the 15-minute Settlement Interval.</w:t>
                  </w:r>
                </w:p>
              </w:tc>
            </w:tr>
            <w:tr w:rsidR="002B516C" w:rsidRPr="0013396E" w14:paraId="69D648FF" w14:textId="77777777" w:rsidTr="00745852">
              <w:tc>
                <w:tcPr>
                  <w:tcW w:w="2035" w:type="dxa"/>
                </w:tcPr>
                <w:p w14:paraId="3C2FE504" w14:textId="705F0589" w:rsidR="002B516C" w:rsidRPr="0013396E" w:rsidRDefault="002B516C" w:rsidP="002B516C">
                  <w:pPr>
                    <w:pStyle w:val="TableBody"/>
                  </w:pPr>
                  <w:r w:rsidRPr="0013396E">
                    <w:rPr>
                      <w:i/>
                    </w:rPr>
                    <w:t>b</w:t>
                  </w:r>
                </w:p>
              </w:tc>
              <w:tc>
                <w:tcPr>
                  <w:tcW w:w="1080" w:type="dxa"/>
                </w:tcPr>
                <w:p w14:paraId="1471A99D" w14:textId="08644BA3" w:rsidR="002B516C" w:rsidRPr="0013396E" w:rsidRDefault="002B516C" w:rsidP="002B516C">
                  <w:pPr>
                    <w:pStyle w:val="TableBody"/>
                  </w:pPr>
                  <w:r w:rsidRPr="0013396E">
                    <w:t>none</w:t>
                  </w:r>
                </w:p>
              </w:tc>
              <w:tc>
                <w:tcPr>
                  <w:tcW w:w="6155" w:type="dxa"/>
                </w:tcPr>
                <w:p w14:paraId="6784B9BC" w14:textId="0AB6713A" w:rsidR="002B516C" w:rsidRPr="0013396E" w:rsidRDefault="002B516C" w:rsidP="002B516C">
                  <w:pPr>
                    <w:pStyle w:val="TableBody"/>
                  </w:pPr>
                  <w:r w:rsidRPr="0013396E">
                    <w:t>An energized Electrical Bus that is a component of a Hub Bus.</w:t>
                  </w:r>
                </w:p>
              </w:tc>
            </w:tr>
          </w:tbl>
          <w:p w14:paraId="72659928" w14:textId="77777777" w:rsidR="00776199" w:rsidRPr="0013396E" w:rsidRDefault="00776199" w:rsidP="00776199">
            <w:pPr>
              <w:pStyle w:val="BodyTextNumbered"/>
              <w:ind w:left="0" w:firstLine="0"/>
            </w:pPr>
          </w:p>
        </w:tc>
      </w:tr>
    </w:tbl>
    <w:p w14:paraId="549442F9" w14:textId="77777777" w:rsidR="009658B2" w:rsidRPr="0013396E" w:rsidRDefault="009658B2" w:rsidP="005A7D8E">
      <w:pPr>
        <w:keepNext/>
        <w:widowControl w:val="0"/>
        <w:spacing w:before="480" w:after="240"/>
        <w:outlineLvl w:val="3"/>
        <w:rPr>
          <w:b/>
          <w:bCs/>
          <w:snapToGrid w:val="0"/>
        </w:rPr>
      </w:pPr>
      <w:bookmarkStart w:id="1472" w:name="_Toc236220164"/>
      <w:r w:rsidRPr="0013396E">
        <w:rPr>
          <w:b/>
          <w:bCs/>
          <w:snapToGrid w:val="0"/>
        </w:rPr>
        <w:lastRenderedPageBreak/>
        <w:t>6.6.1.6</w:t>
      </w:r>
      <w:r w:rsidRPr="0013396E">
        <w:rPr>
          <w:b/>
          <w:bCs/>
          <w:snapToGrid w:val="0"/>
        </w:rPr>
        <w:tab/>
      </w:r>
      <w:r w:rsidRPr="0013396E">
        <w:rPr>
          <w:b/>
          <w:bCs/>
          <w:snapToGrid w:val="0"/>
        </w:rPr>
        <w:tab/>
        <w:t>Real-Time Market Clearing Prices for Ancillary Services</w:t>
      </w:r>
      <w:bookmarkEnd w:id="1472"/>
    </w:p>
    <w:p w14:paraId="56DA3A19" w14:textId="6F9AD296" w:rsidR="009658B2" w:rsidRPr="0013396E" w:rsidRDefault="009658B2" w:rsidP="009658B2">
      <w:pPr>
        <w:spacing w:after="240"/>
        <w:ind w:left="720" w:hanging="720"/>
      </w:pPr>
      <w:r w:rsidRPr="0013396E">
        <w:t>(1)</w:t>
      </w:r>
      <w:r w:rsidRPr="0013396E">
        <w:tab/>
        <w:t>The Real-Time Market Clearing Price for Capacity (MCPC) for Reg-Up is the time-weighted average of the sum of the Real-Time MCPCs for Reg-Up and Real-Time Reliability Deployment Price Adder for Ancillary Service for Reg-Up of each SCED interval in the 15-minute Settlement Interval.  The Real-Time MCPC for Reg-Up for a 15-minute Settlement Interval is calculated as follows:</w:t>
      </w:r>
    </w:p>
    <w:p w14:paraId="0CF3C3A7" w14:textId="77777777" w:rsidR="009658B2" w:rsidRPr="0013396E" w:rsidRDefault="009658B2" w:rsidP="009658B2">
      <w:pPr>
        <w:pStyle w:val="FormulaBold"/>
        <w:rPr>
          <w:i/>
          <w:vertAlign w:val="subscript"/>
        </w:rPr>
      </w:pPr>
      <w:r w:rsidRPr="0013396E">
        <w:t xml:space="preserve">RTMCPCRU  =   </w:t>
      </w:r>
      <w:r w:rsidRPr="0013396E">
        <w:rPr>
          <w:position w:val="-22"/>
        </w:rPr>
        <w:object w:dxaOrig="225" w:dyaOrig="465" w14:anchorId="651170B4">
          <v:shape id="_x0000_i1051" type="#_x0000_t75" style="width:24pt;height:18.6pt" o:ole="">
            <v:imagedata r:id="rId20" o:title=""/>
          </v:shape>
          <o:OLEObject Type="Embed" ProgID="Equation.3" ShapeID="_x0000_i1051" DrawAspect="Content" ObjectID="_1849065682" r:id="rId51"/>
        </w:object>
      </w:r>
      <w:r w:rsidRPr="0013396E">
        <w:t xml:space="preserve"> (RNWF </w:t>
      </w:r>
      <w:r w:rsidRPr="0013396E">
        <w:rPr>
          <w:i/>
          <w:vertAlign w:val="subscript"/>
        </w:rPr>
        <w:t>y</w:t>
      </w:r>
      <w:r w:rsidRPr="0013396E">
        <w:t xml:space="preserve"> * (RTMCPCRUS </w:t>
      </w:r>
      <w:r w:rsidRPr="0013396E">
        <w:rPr>
          <w:i/>
          <w:vertAlign w:val="subscript"/>
        </w:rPr>
        <w:t>y</w:t>
      </w:r>
      <w:r w:rsidRPr="0013396E">
        <w:t xml:space="preserve"> + RTRDPARUS </w:t>
      </w:r>
      <w:r w:rsidRPr="0013396E">
        <w:rPr>
          <w:i/>
          <w:iCs/>
          <w:vertAlign w:val="subscript"/>
        </w:rPr>
        <w:t>y</w:t>
      </w:r>
      <w:r w:rsidRPr="0013396E">
        <w:t>))</w:t>
      </w:r>
    </w:p>
    <w:p w14:paraId="7EA586BA" w14:textId="77777777" w:rsidR="009658B2" w:rsidRPr="0013396E" w:rsidRDefault="009658B2" w:rsidP="009658B2">
      <w:pPr>
        <w:pStyle w:val="BodyTextNumbered"/>
        <w:ind w:left="0" w:firstLine="0"/>
      </w:pPr>
      <w:r w:rsidRPr="0013396E">
        <w:t>Where:</w:t>
      </w:r>
    </w:p>
    <w:p w14:paraId="2F2E7C17"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691D89F9">
          <v:shape id="_x0000_i1052" type="#_x0000_t75" style="width:24pt;height:18.6pt" o:ole="">
            <v:imagedata r:id="rId20" o:title=""/>
          </v:shape>
          <o:OLEObject Type="Embed" ProgID="Equation.3" ShapeID="_x0000_i1052" DrawAspect="Content" ObjectID="_1849065683" r:id="rId52"/>
        </w:object>
      </w:r>
      <w:r w:rsidRPr="0013396E">
        <w:t xml:space="preserve">TLMP </w:t>
      </w:r>
      <w:r w:rsidRPr="0013396E">
        <w:rPr>
          <w:i/>
          <w:vertAlign w:val="subscript"/>
        </w:rPr>
        <w:t>y</w:t>
      </w:r>
    </w:p>
    <w:p w14:paraId="255B5533" w14:textId="77777777" w:rsidR="009658B2" w:rsidRPr="0013396E" w:rsidRDefault="009658B2" w:rsidP="009658B2">
      <w:pPr>
        <w:pStyle w:val="Instructions"/>
        <w:spacing w:after="0"/>
        <w:ind w:left="720" w:hanging="720"/>
        <w:rPr>
          <w:b w:val="0"/>
          <w:i w:val="0"/>
        </w:rPr>
      </w:pPr>
      <w:r w:rsidRPr="0013396E">
        <w:rPr>
          <w:b w:val="0"/>
          <w:i w:val="0"/>
        </w:rPr>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2681C6C3"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3BE04D02"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26F72A82"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73267C77" w14:textId="77777777" w:rsidR="009658B2" w:rsidRPr="0013396E" w:rsidRDefault="009658B2" w:rsidP="0099759E">
            <w:pPr>
              <w:pStyle w:val="TableHead"/>
            </w:pPr>
            <w:r w:rsidRPr="0013396E">
              <w:t>Description</w:t>
            </w:r>
          </w:p>
        </w:tc>
      </w:tr>
      <w:tr w:rsidR="009658B2" w:rsidRPr="0013396E" w14:paraId="6B11D43B"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5BB2DF1C" w14:textId="77777777" w:rsidR="009658B2" w:rsidRPr="0013396E" w:rsidRDefault="009658B2" w:rsidP="0099759E">
            <w:pPr>
              <w:pStyle w:val="tablebody0"/>
            </w:pPr>
            <w:r w:rsidRPr="0013396E">
              <w:t xml:space="preserve">RTMCPCRU </w:t>
            </w:r>
          </w:p>
        </w:tc>
        <w:tc>
          <w:tcPr>
            <w:tcW w:w="631" w:type="pct"/>
            <w:tcBorders>
              <w:top w:val="single" w:sz="4" w:space="0" w:color="auto"/>
              <w:left w:val="single" w:sz="4" w:space="0" w:color="auto"/>
              <w:bottom w:val="single" w:sz="4" w:space="0" w:color="auto"/>
              <w:right w:val="single" w:sz="4" w:space="0" w:color="auto"/>
            </w:tcBorders>
            <w:hideMark/>
          </w:tcPr>
          <w:p w14:paraId="78261ED1"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69793C79" w14:textId="77777777" w:rsidR="009658B2" w:rsidRPr="0013396E" w:rsidRDefault="009658B2" w:rsidP="0099759E">
            <w:pPr>
              <w:pStyle w:val="tablebody0"/>
              <w:rPr>
                <w:i/>
              </w:rPr>
            </w:pPr>
            <w:r w:rsidRPr="0013396E">
              <w:rPr>
                <w:i/>
                <w:szCs w:val="18"/>
              </w:rPr>
              <w:t>Real-Time Market Clearing Price for Capacity for Reg-Up -</w:t>
            </w:r>
            <w:r w:rsidRPr="0013396E">
              <w:t xml:space="preserve"> The Real-Time MCPC for Reg-Up for the 15-minute Settlement Interval.</w:t>
            </w:r>
          </w:p>
        </w:tc>
      </w:tr>
      <w:tr w:rsidR="009658B2" w:rsidRPr="0013396E" w14:paraId="7D07277F"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2607D951" w14:textId="77777777" w:rsidR="009658B2" w:rsidRPr="0013396E" w:rsidRDefault="009658B2" w:rsidP="0099759E">
            <w:pPr>
              <w:pStyle w:val="tablebody0"/>
            </w:pPr>
            <w:r w:rsidRPr="0013396E">
              <w:t>RTMCPCRUS</w:t>
            </w:r>
            <w:r w:rsidRPr="0013396E">
              <w:rPr>
                <w:i/>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1628B1E6"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323D843F" w14:textId="77777777" w:rsidR="009658B2" w:rsidRPr="0013396E" w:rsidRDefault="009658B2" w:rsidP="0099759E">
            <w:pPr>
              <w:pStyle w:val="tablebody0"/>
              <w:rPr>
                <w:i/>
                <w:szCs w:val="18"/>
              </w:rPr>
            </w:pPr>
            <w:r w:rsidRPr="0013396E">
              <w:rPr>
                <w:i/>
                <w:szCs w:val="18"/>
              </w:rPr>
              <w:t xml:space="preserve">Real-Time Market Clearing Price for Capacity for Reg-Up </w:t>
            </w:r>
            <w:r w:rsidRPr="0013396E">
              <w:rPr>
                <w:i/>
              </w:rPr>
              <w:t xml:space="preserve">per SCED interval </w:t>
            </w:r>
            <w:r w:rsidRPr="0013396E">
              <w:rPr>
                <w:i/>
                <w:szCs w:val="18"/>
              </w:rPr>
              <w:t>-</w:t>
            </w:r>
            <w:r w:rsidRPr="0013396E">
              <w:t xml:space="preserve"> The Real-Time MCPC for Reg-Up for the SCED interval </w:t>
            </w:r>
            <w:r w:rsidRPr="0013396E">
              <w:rPr>
                <w:i/>
              </w:rPr>
              <w:t>y.</w:t>
            </w:r>
          </w:p>
        </w:tc>
      </w:tr>
      <w:tr w:rsidR="009658B2" w:rsidRPr="0013396E" w14:paraId="3AF68E29" w14:textId="77777777" w:rsidTr="0099759E">
        <w:trPr>
          <w:cantSplit/>
        </w:trPr>
        <w:tc>
          <w:tcPr>
            <w:tcW w:w="1295" w:type="pct"/>
          </w:tcPr>
          <w:p w14:paraId="16831F56" w14:textId="77777777" w:rsidR="009658B2" w:rsidRPr="0013396E" w:rsidRDefault="009658B2" w:rsidP="0099759E">
            <w:pPr>
              <w:pStyle w:val="tablebody0"/>
              <w:rPr>
                <w:i/>
              </w:rPr>
            </w:pPr>
            <w:r w:rsidRPr="0013396E">
              <w:t>RTRDPARUS</w:t>
            </w:r>
            <w:r w:rsidRPr="0013396E">
              <w:rPr>
                <w:rFonts w:ascii="Segoe UI" w:hAnsi="Segoe UI" w:cs="Segoe UI"/>
                <w:color w:val="000000"/>
              </w:rPr>
              <w:t xml:space="preserve"> </w:t>
            </w:r>
            <w:r w:rsidRPr="0013396E">
              <w:rPr>
                <w:i/>
                <w:vertAlign w:val="subscript"/>
              </w:rPr>
              <w:t>y</w:t>
            </w:r>
          </w:p>
        </w:tc>
        <w:tc>
          <w:tcPr>
            <w:tcW w:w="631" w:type="pct"/>
          </w:tcPr>
          <w:p w14:paraId="3F55E4CF" w14:textId="77777777" w:rsidR="009658B2" w:rsidRPr="0013396E" w:rsidRDefault="009658B2" w:rsidP="0099759E">
            <w:pPr>
              <w:pStyle w:val="tablebody0"/>
            </w:pPr>
            <w:r w:rsidRPr="0013396E">
              <w:t>$/MW</w:t>
            </w:r>
          </w:p>
        </w:tc>
        <w:tc>
          <w:tcPr>
            <w:tcW w:w="3074" w:type="pct"/>
          </w:tcPr>
          <w:p w14:paraId="5D37A660" w14:textId="77777777" w:rsidR="009658B2" w:rsidRPr="0013396E" w:rsidRDefault="009658B2" w:rsidP="0099759E">
            <w:pPr>
              <w:pStyle w:val="tablebody0"/>
            </w:pPr>
            <w:r w:rsidRPr="0013396E">
              <w:rPr>
                <w:i/>
                <w:szCs w:val="18"/>
              </w:rPr>
              <w:t xml:space="preserve">Real-Time </w:t>
            </w:r>
            <w:r w:rsidRPr="0013396E">
              <w:rPr>
                <w:i/>
              </w:rPr>
              <w:t xml:space="preserve">Reliability Deployment Price Adder for Ancillary Service </w:t>
            </w:r>
            <w:r w:rsidRPr="0013396E">
              <w:rPr>
                <w:i/>
                <w:szCs w:val="18"/>
              </w:rPr>
              <w:t xml:space="preserve">for Reg-Up </w:t>
            </w:r>
            <w:r w:rsidRPr="0013396E">
              <w:rPr>
                <w:i/>
              </w:rPr>
              <w:t>per SCED interval</w:t>
            </w:r>
            <w:r w:rsidRPr="0013396E">
              <w:t xml:space="preserve"> - The Real-Time price adder for Reg-Up that captures the impact of reliability deployments on Reg-Up prices for the SCED interval y.</w:t>
            </w:r>
          </w:p>
        </w:tc>
      </w:tr>
      <w:tr w:rsidR="009658B2" w:rsidRPr="0013396E" w14:paraId="00B1E214" w14:textId="77777777" w:rsidTr="0099759E">
        <w:trPr>
          <w:cantSplit/>
        </w:trPr>
        <w:tc>
          <w:tcPr>
            <w:tcW w:w="1295" w:type="pct"/>
          </w:tcPr>
          <w:p w14:paraId="1FB89A35"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08009888" w14:textId="77777777" w:rsidR="009658B2" w:rsidRPr="0013396E" w:rsidRDefault="009658B2" w:rsidP="0099759E">
            <w:pPr>
              <w:pStyle w:val="tablebody0"/>
            </w:pPr>
            <w:r w:rsidRPr="0013396E">
              <w:rPr>
                <w:iCs/>
              </w:rPr>
              <w:t>none</w:t>
            </w:r>
          </w:p>
        </w:tc>
        <w:tc>
          <w:tcPr>
            <w:tcW w:w="3074" w:type="pct"/>
          </w:tcPr>
          <w:p w14:paraId="19E85281" w14:textId="77777777" w:rsidR="009658B2" w:rsidRPr="0013396E" w:rsidRDefault="009658B2" w:rsidP="0099759E">
            <w:pPr>
              <w:pStyle w:val="tablebody0"/>
              <w:rPr>
                <w:i/>
                <w:szCs w:val="18"/>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4D2A806D" w14:textId="77777777" w:rsidTr="0099759E">
        <w:trPr>
          <w:cantSplit/>
        </w:trPr>
        <w:tc>
          <w:tcPr>
            <w:tcW w:w="1295" w:type="pct"/>
          </w:tcPr>
          <w:p w14:paraId="433ACA1E"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4168CB39" w14:textId="77777777" w:rsidR="009658B2" w:rsidRPr="0013396E" w:rsidRDefault="009658B2" w:rsidP="0099759E">
            <w:pPr>
              <w:pStyle w:val="tablebody0"/>
            </w:pPr>
            <w:r w:rsidRPr="0013396E">
              <w:rPr>
                <w:iCs/>
              </w:rPr>
              <w:t>second</w:t>
            </w:r>
          </w:p>
        </w:tc>
        <w:tc>
          <w:tcPr>
            <w:tcW w:w="3074" w:type="pct"/>
          </w:tcPr>
          <w:p w14:paraId="6C492558" w14:textId="77777777" w:rsidR="009658B2" w:rsidRPr="0013396E" w:rsidRDefault="009658B2" w:rsidP="0099759E">
            <w:pPr>
              <w:pStyle w:val="tablebody0"/>
              <w:rPr>
                <w:i/>
                <w:szCs w:val="18"/>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58895384" w14:textId="77777777" w:rsidTr="0099759E">
        <w:trPr>
          <w:cantSplit/>
        </w:trPr>
        <w:tc>
          <w:tcPr>
            <w:tcW w:w="1295" w:type="pct"/>
          </w:tcPr>
          <w:p w14:paraId="728DBF52" w14:textId="77777777" w:rsidR="009658B2" w:rsidRPr="0013396E" w:rsidRDefault="009658B2" w:rsidP="0099759E">
            <w:pPr>
              <w:pStyle w:val="tablebody0"/>
              <w:rPr>
                <w:i/>
              </w:rPr>
            </w:pPr>
            <w:r w:rsidRPr="0013396E">
              <w:rPr>
                <w:i/>
              </w:rPr>
              <w:t>y</w:t>
            </w:r>
          </w:p>
        </w:tc>
        <w:tc>
          <w:tcPr>
            <w:tcW w:w="631" w:type="pct"/>
          </w:tcPr>
          <w:p w14:paraId="42F191F1" w14:textId="77777777" w:rsidR="009658B2" w:rsidRPr="0013396E" w:rsidRDefault="009658B2" w:rsidP="0099759E">
            <w:pPr>
              <w:pStyle w:val="tablebody0"/>
            </w:pPr>
            <w:r w:rsidRPr="0013396E">
              <w:t>none</w:t>
            </w:r>
          </w:p>
        </w:tc>
        <w:tc>
          <w:tcPr>
            <w:tcW w:w="3074" w:type="pct"/>
          </w:tcPr>
          <w:p w14:paraId="4878ACC8" w14:textId="77777777" w:rsidR="009658B2" w:rsidRPr="0013396E" w:rsidRDefault="009658B2" w:rsidP="0099759E">
            <w:pPr>
              <w:pStyle w:val="tablebody0"/>
            </w:pPr>
            <w:r w:rsidRPr="0013396E">
              <w:t>A SCED interval in the 15-minute Settlement Interval.</w:t>
            </w:r>
          </w:p>
        </w:tc>
      </w:tr>
    </w:tbl>
    <w:p w14:paraId="2755C725" w14:textId="77777777" w:rsidR="009658B2" w:rsidRPr="0013396E" w:rsidRDefault="009658B2" w:rsidP="009658B2">
      <w:pPr>
        <w:spacing w:before="240" w:after="240"/>
        <w:ind w:left="720" w:hanging="720"/>
      </w:pPr>
      <w:r w:rsidRPr="0013396E">
        <w:rPr>
          <w:bCs/>
          <w:snapToGrid w:val="0"/>
        </w:rPr>
        <w:t>(2)</w:t>
      </w:r>
      <w:r w:rsidRPr="0013396E">
        <w:t xml:space="preserve"> </w:t>
      </w:r>
      <w:r w:rsidRPr="0013396E">
        <w:tab/>
        <w:t>The Real-Time MCPC for Reg-Down is the time-weighted average of the sum of the Real-Time MCPCs for Reg-Down and Real-Time Reliability Deployment Price Adder for Ancillary Service for Reg-Down of each SCED interval in the 15-minute Settlement Interval.  The Real-Time MCPC for Reg-Down for a 15-minute Settlement Interval is calculated as follows:</w:t>
      </w:r>
    </w:p>
    <w:p w14:paraId="20C5A844" w14:textId="77777777" w:rsidR="009658B2" w:rsidRPr="0013396E" w:rsidRDefault="009658B2" w:rsidP="009658B2">
      <w:pPr>
        <w:pStyle w:val="FormulaBold"/>
        <w:rPr>
          <w:i/>
          <w:vertAlign w:val="subscript"/>
        </w:rPr>
      </w:pPr>
      <w:r w:rsidRPr="0013396E">
        <w:t xml:space="preserve">RTMCPCRD  =   </w:t>
      </w:r>
      <w:r w:rsidRPr="0013396E">
        <w:rPr>
          <w:position w:val="-22"/>
        </w:rPr>
        <w:object w:dxaOrig="225" w:dyaOrig="465" w14:anchorId="2D42F478">
          <v:shape id="_x0000_i1053" type="#_x0000_t75" style="width:24pt;height:18.6pt" o:ole="">
            <v:imagedata r:id="rId20" o:title=""/>
          </v:shape>
          <o:OLEObject Type="Embed" ProgID="Equation.3" ShapeID="_x0000_i1053" DrawAspect="Content" ObjectID="_1849065684" r:id="rId53"/>
        </w:object>
      </w:r>
      <w:r w:rsidRPr="0013396E">
        <w:t xml:space="preserve"> (RNWF </w:t>
      </w:r>
      <w:r w:rsidRPr="0013396E">
        <w:rPr>
          <w:i/>
          <w:vertAlign w:val="subscript"/>
        </w:rPr>
        <w:t>y</w:t>
      </w:r>
      <w:r w:rsidRPr="0013396E">
        <w:t xml:space="preserve"> * (RTMCPCRDS </w:t>
      </w:r>
      <w:r w:rsidRPr="0013396E">
        <w:rPr>
          <w:i/>
          <w:vertAlign w:val="subscript"/>
        </w:rPr>
        <w:t>y</w:t>
      </w:r>
      <w:r w:rsidRPr="0013396E">
        <w:t xml:space="preserve">+ RTRDPARDS </w:t>
      </w:r>
      <w:r w:rsidRPr="0013396E">
        <w:rPr>
          <w:i/>
          <w:vertAlign w:val="subscript"/>
        </w:rPr>
        <w:t>y</w:t>
      </w:r>
      <w:r w:rsidRPr="0013396E">
        <w:t>))</w:t>
      </w:r>
    </w:p>
    <w:p w14:paraId="59D4F9AA" w14:textId="77777777" w:rsidR="009658B2" w:rsidRPr="0013396E" w:rsidRDefault="009658B2" w:rsidP="009658B2">
      <w:pPr>
        <w:pStyle w:val="BodyTextNumbered"/>
        <w:ind w:left="0" w:firstLine="0"/>
      </w:pPr>
      <w:r w:rsidRPr="0013396E">
        <w:t>Where:</w:t>
      </w:r>
    </w:p>
    <w:p w14:paraId="5A7ADB1A"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7CA95F5B">
          <v:shape id="_x0000_i1054" type="#_x0000_t75" style="width:24pt;height:18.6pt" o:ole="">
            <v:imagedata r:id="rId20" o:title=""/>
          </v:shape>
          <o:OLEObject Type="Embed" ProgID="Equation.3" ShapeID="_x0000_i1054" DrawAspect="Content" ObjectID="_1849065685" r:id="rId54"/>
        </w:object>
      </w:r>
      <w:r w:rsidRPr="0013396E">
        <w:t xml:space="preserve">TLMP </w:t>
      </w:r>
      <w:r w:rsidRPr="0013396E">
        <w:rPr>
          <w:i/>
          <w:vertAlign w:val="subscript"/>
        </w:rPr>
        <w:t>y</w:t>
      </w:r>
    </w:p>
    <w:p w14:paraId="36346750"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5800948A"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136C2D00"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380710AC"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02176EC1" w14:textId="77777777" w:rsidR="009658B2" w:rsidRPr="0013396E" w:rsidRDefault="009658B2" w:rsidP="0099759E">
            <w:pPr>
              <w:pStyle w:val="TableHead"/>
            </w:pPr>
            <w:r w:rsidRPr="0013396E">
              <w:t>Description</w:t>
            </w:r>
          </w:p>
        </w:tc>
      </w:tr>
      <w:tr w:rsidR="009658B2" w:rsidRPr="0013396E" w14:paraId="3D03653E"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294F5558" w14:textId="77777777" w:rsidR="009658B2" w:rsidRPr="0013396E" w:rsidRDefault="009658B2" w:rsidP="0099759E">
            <w:pPr>
              <w:pStyle w:val="tablebody0"/>
            </w:pPr>
            <w:r w:rsidRPr="0013396E">
              <w:t xml:space="preserve">RTMCPCRD </w:t>
            </w:r>
          </w:p>
        </w:tc>
        <w:tc>
          <w:tcPr>
            <w:tcW w:w="631" w:type="pct"/>
            <w:tcBorders>
              <w:top w:val="single" w:sz="4" w:space="0" w:color="auto"/>
              <w:left w:val="single" w:sz="4" w:space="0" w:color="auto"/>
              <w:bottom w:val="single" w:sz="4" w:space="0" w:color="auto"/>
              <w:right w:val="single" w:sz="4" w:space="0" w:color="auto"/>
            </w:tcBorders>
            <w:hideMark/>
          </w:tcPr>
          <w:p w14:paraId="6389C7F7"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37C93502" w14:textId="77777777" w:rsidR="009658B2" w:rsidRPr="0013396E" w:rsidRDefault="009658B2" w:rsidP="0099759E">
            <w:pPr>
              <w:pStyle w:val="tablebody0"/>
              <w:rPr>
                <w:i/>
              </w:rPr>
            </w:pPr>
            <w:r w:rsidRPr="0013396E">
              <w:rPr>
                <w:i/>
                <w:szCs w:val="18"/>
              </w:rPr>
              <w:t>Real-Time Market Clearing Price for Capacity for Reg-Down -</w:t>
            </w:r>
            <w:r w:rsidRPr="0013396E">
              <w:t xml:space="preserve"> The Real-Time MCPC for Reg-Down for the 15-minute Settlement Interval.</w:t>
            </w:r>
          </w:p>
        </w:tc>
      </w:tr>
      <w:tr w:rsidR="009658B2" w:rsidRPr="0013396E" w14:paraId="53ED1EA3"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464FDB5B" w14:textId="77777777" w:rsidR="009658B2" w:rsidRPr="0013396E" w:rsidRDefault="009658B2" w:rsidP="0099759E">
            <w:pPr>
              <w:pStyle w:val="tablebody0"/>
            </w:pPr>
            <w:r w:rsidRPr="0013396E">
              <w:t>RTMCPCRDS</w:t>
            </w:r>
            <w:r w:rsidRPr="0013396E">
              <w:rPr>
                <w:i/>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009F181D"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726CD325" w14:textId="77777777" w:rsidR="009658B2" w:rsidRPr="0013396E" w:rsidRDefault="009658B2" w:rsidP="0099759E">
            <w:pPr>
              <w:pStyle w:val="tablebody0"/>
              <w:rPr>
                <w:i/>
                <w:szCs w:val="18"/>
              </w:rPr>
            </w:pPr>
            <w:r w:rsidRPr="0013396E">
              <w:rPr>
                <w:i/>
                <w:szCs w:val="18"/>
              </w:rPr>
              <w:t xml:space="preserve">Real-Time Market Clearing Price for Capacity for Reg-Down </w:t>
            </w:r>
            <w:r w:rsidRPr="0013396E">
              <w:rPr>
                <w:i/>
              </w:rPr>
              <w:t xml:space="preserve">per SCED interval </w:t>
            </w:r>
            <w:r w:rsidRPr="0013396E">
              <w:rPr>
                <w:i/>
                <w:szCs w:val="18"/>
              </w:rPr>
              <w:t>-</w:t>
            </w:r>
            <w:r w:rsidRPr="0013396E">
              <w:t xml:space="preserve"> The Real-Time MCPC for Reg-Down for the SCED interval </w:t>
            </w:r>
            <w:r w:rsidRPr="0013396E">
              <w:rPr>
                <w:i/>
              </w:rPr>
              <w:t>y.</w:t>
            </w:r>
          </w:p>
        </w:tc>
      </w:tr>
      <w:tr w:rsidR="009658B2" w:rsidRPr="0013396E" w14:paraId="45A2AA1C" w14:textId="77777777" w:rsidTr="0099759E">
        <w:trPr>
          <w:cantSplit/>
        </w:trPr>
        <w:tc>
          <w:tcPr>
            <w:tcW w:w="1295" w:type="pct"/>
          </w:tcPr>
          <w:p w14:paraId="4ABD43AF" w14:textId="77777777" w:rsidR="009658B2" w:rsidRPr="0013396E" w:rsidRDefault="009658B2" w:rsidP="0099759E">
            <w:pPr>
              <w:pStyle w:val="tablebody0"/>
              <w:rPr>
                <w:i/>
              </w:rPr>
            </w:pPr>
            <w:r w:rsidRPr="0013396E">
              <w:t xml:space="preserve">RTRDPARDS </w:t>
            </w:r>
            <w:r w:rsidRPr="0013396E">
              <w:rPr>
                <w:i/>
              </w:rPr>
              <w:t>y</w:t>
            </w:r>
          </w:p>
        </w:tc>
        <w:tc>
          <w:tcPr>
            <w:tcW w:w="631" w:type="pct"/>
          </w:tcPr>
          <w:p w14:paraId="59DA5CB3" w14:textId="77777777" w:rsidR="009658B2" w:rsidRPr="0013396E" w:rsidRDefault="009658B2" w:rsidP="0099759E">
            <w:pPr>
              <w:pStyle w:val="tablebody0"/>
            </w:pPr>
            <w:r w:rsidRPr="0013396E">
              <w:t>$/MW</w:t>
            </w:r>
          </w:p>
        </w:tc>
        <w:tc>
          <w:tcPr>
            <w:tcW w:w="3074" w:type="pct"/>
          </w:tcPr>
          <w:p w14:paraId="29232DD9" w14:textId="77777777" w:rsidR="009658B2" w:rsidRPr="0013396E" w:rsidRDefault="009658B2" w:rsidP="0099759E">
            <w:pPr>
              <w:pStyle w:val="tablebody0"/>
            </w:pPr>
            <w:r w:rsidRPr="0013396E">
              <w:rPr>
                <w:i/>
                <w:szCs w:val="18"/>
              </w:rPr>
              <w:t xml:space="preserve">Real-Time </w:t>
            </w:r>
            <w:r w:rsidRPr="0013396E">
              <w:rPr>
                <w:i/>
              </w:rPr>
              <w:t xml:space="preserve">Reliability Deployment Price Adder for Ancillary Service </w:t>
            </w:r>
            <w:r w:rsidRPr="0013396E">
              <w:rPr>
                <w:i/>
                <w:szCs w:val="18"/>
              </w:rPr>
              <w:t xml:space="preserve">for Reg-Down </w:t>
            </w:r>
            <w:r w:rsidRPr="0013396E">
              <w:rPr>
                <w:i/>
              </w:rPr>
              <w:t xml:space="preserve">per SCED interval </w:t>
            </w:r>
            <w:r w:rsidRPr="0013396E">
              <w:t xml:space="preserve">- The Real-Time price adder for Reg-Down that captures the impact of reliability deployments on Reg-Down prices for the SCED interval </w:t>
            </w:r>
            <w:r w:rsidRPr="0013396E">
              <w:rPr>
                <w:i/>
              </w:rPr>
              <w:t>y</w:t>
            </w:r>
            <w:r w:rsidRPr="0013396E">
              <w:t>.</w:t>
            </w:r>
          </w:p>
        </w:tc>
      </w:tr>
      <w:tr w:rsidR="009658B2" w:rsidRPr="0013396E" w14:paraId="2DDA3055" w14:textId="77777777" w:rsidTr="0099759E">
        <w:trPr>
          <w:cantSplit/>
        </w:trPr>
        <w:tc>
          <w:tcPr>
            <w:tcW w:w="1295" w:type="pct"/>
          </w:tcPr>
          <w:p w14:paraId="0C64CA91"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11BBE0B7" w14:textId="77777777" w:rsidR="009658B2" w:rsidRPr="0013396E" w:rsidRDefault="009658B2" w:rsidP="0099759E">
            <w:pPr>
              <w:pStyle w:val="tablebody0"/>
            </w:pPr>
            <w:r w:rsidRPr="0013396E">
              <w:rPr>
                <w:iCs/>
              </w:rPr>
              <w:t>none</w:t>
            </w:r>
          </w:p>
        </w:tc>
        <w:tc>
          <w:tcPr>
            <w:tcW w:w="3074" w:type="pct"/>
          </w:tcPr>
          <w:p w14:paraId="6FA87D42" w14:textId="77777777" w:rsidR="009658B2" w:rsidRPr="0013396E" w:rsidRDefault="009658B2" w:rsidP="0099759E">
            <w:pPr>
              <w:pStyle w:val="tablebody0"/>
              <w:rPr>
                <w:i/>
                <w:szCs w:val="18"/>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000F8E99" w14:textId="77777777" w:rsidTr="0099759E">
        <w:trPr>
          <w:cantSplit/>
        </w:trPr>
        <w:tc>
          <w:tcPr>
            <w:tcW w:w="1295" w:type="pct"/>
          </w:tcPr>
          <w:p w14:paraId="267D0153"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24A89BD4" w14:textId="77777777" w:rsidR="009658B2" w:rsidRPr="0013396E" w:rsidRDefault="009658B2" w:rsidP="0099759E">
            <w:pPr>
              <w:pStyle w:val="tablebody0"/>
            </w:pPr>
            <w:r w:rsidRPr="0013396E">
              <w:rPr>
                <w:iCs/>
              </w:rPr>
              <w:t>second</w:t>
            </w:r>
          </w:p>
        </w:tc>
        <w:tc>
          <w:tcPr>
            <w:tcW w:w="3074" w:type="pct"/>
          </w:tcPr>
          <w:p w14:paraId="736EE336" w14:textId="77777777" w:rsidR="009658B2" w:rsidRPr="0013396E" w:rsidRDefault="009658B2" w:rsidP="0099759E">
            <w:pPr>
              <w:pStyle w:val="tablebody0"/>
              <w:rPr>
                <w:i/>
                <w:szCs w:val="18"/>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50ECC83D" w14:textId="77777777" w:rsidTr="0099759E">
        <w:trPr>
          <w:cantSplit/>
        </w:trPr>
        <w:tc>
          <w:tcPr>
            <w:tcW w:w="1295" w:type="pct"/>
          </w:tcPr>
          <w:p w14:paraId="6FDE4059" w14:textId="77777777" w:rsidR="009658B2" w:rsidRPr="0013396E" w:rsidRDefault="009658B2" w:rsidP="0099759E">
            <w:pPr>
              <w:pStyle w:val="tablebody0"/>
              <w:rPr>
                <w:i/>
              </w:rPr>
            </w:pPr>
            <w:r w:rsidRPr="0013396E">
              <w:rPr>
                <w:i/>
              </w:rPr>
              <w:lastRenderedPageBreak/>
              <w:t>y</w:t>
            </w:r>
          </w:p>
        </w:tc>
        <w:tc>
          <w:tcPr>
            <w:tcW w:w="631" w:type="pct"/>
          </w:tcPr>
          <w:p w14:paraId="3C577C16" w14:textId="77777777" w:rsidR="009658B2" w:rsidRPr="0013396E" w:rsidRDefault="009658B2" w:rsidP="0099759E">
            <w:pPr>
              <w:pStyle w:val="tablebody0"/>
            </w:pPr>
            <w:r w:rsidRPr="0013396E">
              <w:t>none</w:t>
            </w:r>
          </w:p>
        </w:tc>
        <w:tc>
          <w:tcPr>
            <w:tcW w:w="3074" w:type="pct"/>
          </w:tcPr>
          <w:p w14:paraId="034032E2" w14:textId="77777777" w:rsidR="009658B2" w:rsidRPr="0013396E" w:rsidRDefault="009658B2" w:rsidP="0099759E">
            <w:pPr>
              <w:pStyle w:val="tablebody0"/>
            </w:pPr>
            <w:r w:rsidRPr="0013396E">
              <w:t>A SCED interval in the 15-minute Settlement Interval.</w:t>
            </w:r>
          </w:p>
        </w:tc>
      </w:tr>
    </w:tbl>
    <w:p w14:paraId="26CAB896" w14:textId="77777777" w:rsidR="009658B2" w:rsidRPr="0013396E" w:rsidRDefault="009658B2" w:rsidP="009658B2">
      <w:pPr>
        <w:spacing w:before="240" w:after="240"/>
        <w:ind w:left="720" w:hanging="720"/>
      </w:pPr>
      <w:r w:rsidRPr="0013396E">
        <w:rPr>
          <w:bCs/>
          <w:snapToGrid w:val="0"/>
        </w:rPr>
        <w:t>(3)</w:t>
      </w:r>
      <w:r w:rsidRPr="0013396E">
        <w:t xml:space="preserve"> </w:t>
      </w:r>
      <w:r w:rsidRPr="0013396E">
        <w:tab/>
        <w:t>The Real-Time MCPC for RRS is the time-weighted average of the sum of the Real-Time MCPCs for RRS and Real-Time Reliability Deployment Price Adder for Ancillary Service for RRS of each SCED interval in the 15-minute Settlement Interval.  The Real-Time MCPC for RRS for a 15-minute Settlement Interval is calculated as follows:</w:t>
      </w:r>
    </w:p>
    <w:p w14:paraId="4A18169A" w14:textId="77777777" w:rsidR="009658B2" w:rsidRPr="0013396E" w:rsidRDefault="009658B2" w:rsidP="009658B2">
      <w:pPr>
        <w:pStyle w:val="FormulaBold"/>
        <w:rPr>
          <w:i/>
          <w:vertAlign w:val="subscript"/>
        </w:rPr>
      </w:pPr>
      <w:r w:rsidRPr="0013396E">
        <w:t xml:space="preserve">RTMCPCRR  =   </w:t>
      </w:r>
      <w:r w:rsidRPr="0013396E">
        <w:rPr>
          <w:position w:val="-22"/>
        </w:rPr>
        <w:object w:dxaOrig="225" w:dyaOrig="465" w14:anchorId="08BC1601">
          <v:shape id="_x0000_i1055" type="#_x0000_t75" style="width:24pt;height:18.6pt" o:ole="">
            <v:imagedata r:id="rId20" o:title=""/>
          </v:shape>
          <o:OLEObject Type="Embed" ProgID="Equation.3" ShapeID="_x0000_i1055" DrawAspect="Content" ObjectID="_1849065686" r:id="rId55"/>
        </w:object>
      </w:r>
      <w:r w:rsidRPr="0013396E">
        <w:t xml:space="preserve"> (RNWF </w:t>
      </w:r>
      <w:r w:rsidRPr="0013396E">
        <w:rPr>
          <w:i/>
          <w:vertAlign w:val="subscript"/>
        </w:rPr>
        <w:t>y</w:t>
      </w:r>
      <w:r w:rsidRPr="0013396E">
        <w:t xml:space="preserve"> * (RTMCPCRRS </w:t>
      </w:r>
      <w:r w:rsidRPr="0013396E">
        <w:rPr>
          <w:i/>
          <w:vertAlign w:val="subscript"/>
        </w:rPr>
        <w:t>y</w:t>
      </w:r>
      <w:r w:rsidRPr="0013396E">
        <w:t xml:space="preserve"> + RTRDPARRS </w:t>
      </w:r>
      <w:r w:rsidRPr="0013396E">
        <w:rPr>
          <w:i/>
          <w:vertAlign w:val="subscript"/>
        </w:rPr>
        <w:t>y</w:t>
      </w:r>
      <w:r w:rsidRPr="0013396E">
        <w:t>))</w:t>
      </w:r>
    </w:p>
    <w:p w14:paraId="1927F00F" w14:textId="77777777" w:rsidR="009658B2" w:rsidRPr="0013396E" w:rsidRDefault="009658B2" w:rsidP="009658B2">
      <w:pPr>
        <w:pStyle w:val="BodyTextNumbered"/>
        <w:ind w:left="0" w:firstLine="0"/>
      </w:pPr>
      <w:r w:rsidRPr="0013396E">
        <w:t>Where:</w:t>
      </w:r>
    </w:p>
    <w:p w14:paraId="2C312852"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32A4E63A">
          <v:shape id="_x0000_i1056" type="#_x0000_t75" style="width:12pt;height:12pt" o:ole="">
            <v:imagedata r:id="rId20" o:title=""/>
          </v:shape>
          <o:OLEObject Type="Embed" ProgID="Equation.3" ShapeID="_x0000_i1056" DrawAspect="Content" ObjectID="_1849065687" r:id="rId56"/>
        </w:object>
      </w:r>
      <w:r w:rsidRPr="0013396E">
        <w:t xml:space="preserve">TLMP </w:t>
      </w:r>
      <w:r w:rsidRPr="0013396E">
        <w:rPr>
          <w:i/>
          <w:vertAlign w:val="subscript"/>
        </w:rPr>
        <w:t>y</w:t>
      </w:r>
    </w:p>
    <w:p w14:paraId="74E4A675"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119EA893"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02D2BA16"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6939A0E7"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62DE9FA0" w14:textId="77777777" w:rsidR="009658B2" w:rsidRPr="0013396E" w:rsidRDefault="009658B2" w:rsidP="0099759E">
            <w:pPr>
              <w:pStyle w:val="TableHead"/>
            </w:pPr>
            <w:r w:rsidRPr="0013396E">
              <w:t>Description</w:t>
            </w:r>
          </w:p>
        </w:tc>
      </w:tr>
      <w:tr w:rsidR="009658B2" w:rsidRPr="0013396E" w14:paraId="6990A323"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0EB5D504" w14:textId="77777777" w:rsidR="009658B2" w:rsidRPr="0013396E" w:rsidRDefault="009658B2" w:rsidP="0099759E">
            <w:pPr>
              <w:pStyle w:val="tablebody0"/>
            </w:pPr>
            <w:r w:rsidRPr="0013396E">
              <w:t xml:space="preserve">RTMCPCRR </w:t>
            </w:r>
          </w:p>
        </w:tc>
        <w:tc>
          <w:tcPr>
            <w:tcW w:w="631" w:type="pct"/>
            <w:tcBorders>
              <w:top w:val="single" w:sz="4" w:space="0" w:color="auto"/>
              <w:left w:val="single" w:sz="4" w:space="0" w:color="auto"/>
              <w:bottom w:val="single" w:sz="4" w:space="0" w:color="auto"/>
              <w:right w:val="single" w:sz="4" w:space="0" w:color="auto"/>
            </w:tcBorders>
            <w:hideMark/>
          </w:tcPr>
          <w:p w14:paraId="70B9A41C"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1CD9C614" w14:textId="77777777" w:rsidR="009658B2" w:rsidRPr="0013396E" w:rsidRDefault="009658B2" w:rsidP="0099759E">
            <w:pPr>
              <w:pStyle w:val="tablebody0"/>
              <w:rPr>
                <w:i/>
              </w:rPr>
            </w:pPr>
            <w:r w:rsidRPr="0013396E">
              <w:rPr>
                <w:i/>
                <w:szCs w:val="18"/>
              </w:rPr>
              <w:t>Real-Time Market Clearing Price for Capacity for Responsive Reserve -</w:t>
            </w:r>
            <w:r w:rsidRPr="0013396E">
              <w:t xml:space="preserve"> The Real-Time MCPC for RRS for the 15-minute Settlement Interval.</w:t>
            </w:r>
          </w:p>
        </w:tc>
      </w:tr>
      <w:tr w:rsidR="009658B2" w:rsidRPr="0013396E" w14:paraId="1AF1C792"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6CCF668E" w14:textId="77777777" w:rsidR="009658B2" w:rsidRPr="0013396E" w:rsidRDefault="009658B2" w:rsidP="0099759E">
            <w:pPr>
              <w:pStyle w:val="tablebody0"/>
            </w:pPr>
            <w:r w:rsidRPr="0013396E">
              <w:t>RTMCPCRRS</w:t>
            </w:r>
            <w:r w:rsidRPr="0013396E">
              <w:rPr>
                <w:i/>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6B9E448D"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31B8D5E0" w14:textId="77777777" w:rsidR="009658B2" w:rsidRPr="0013396E" w:rsidRDefault="009658B2" w:rsidP="0099759E">
            <w:pPr>
              <w:pStyle w:val="tablebody0"/>
              <w:rPr>
                <w:i/>
                <w:szCs w:val="18"/>
              </w:rPr>
            </w:pPr>
            <w:r w:rsidRPr="0013396E">
              <w:rPr>
                <w:i/>
                <w:szCs w:val="18"/>
              </w:rPr>
              <w:t xml:space="preserve">Real-Time Market Clearing Price for Capacity for Responsive Reserve </w:t>
            </w:r>
            <w:r w:rsidRPr="0013396E">
              <w:rPr>
                <w:i/>
              </w:rPr>
              <w:t xml:space="preserve">per SCED interval </w:t>
            </w:r>
            <w:r w:rsidRPr="0013396E">
              <w:rPr>
                <w:i/>
                <w:szCs w:val="18"/>
              </w:rPr>
              <w:t>-</w:t>
            </w:r>
            <w:r w:rsidRPr="0013396E">
              <w:t xml:space="preserve"> The Real-Time MCPC for RRS for the SCED interval </w:t>
            </w:r>
            <w:r w:rsidRPr="0013396E">
              <w:rPr>
                <w:i/>
              </w:rPr>
              <w:t>y.</w:t>
            </w:r>
          </w:p>
        </w:tc>
      </w:tr>
      <w:tr w:rsidR="009658B2" w:rsidRPr="0013396E" w14:paraId="1851FFBA" w14:textId="77777777" w:rsidTr="0099759E">
        <w:trPr>
          <w:cantSplit/>
        </w:trPr>
        <w:tc>
          <w:tcPr>
            <w:tcW w:w="1295" w:type="pct"/>
          </w:tcPr>
          <w:p w14:paraId="4881F3AC" w14:textId="77777777" w:rsidR="009658B2" w:rsidRPr="0013396E" w:rsidRDefault="009658B2" w:rsidP="0099759E">
            <w:pPr>
              <w:pStyle w:val="tablebody0"/>
              <w:rPr>
                <w:i/>
              </w:rPr>
            </w:pPr>
            <w:r w:rsidRPr="0013396E">
              <w:t xml:space="preserve">RTRDPARRS </w:t>
            </w:r>
            <w:r w:rsidRPr="0013396E">
              <w:rPr>
                <w:i/>
              </w:rPr>
              <w:t>y</w:t>
            </w:r>
          </w:p>
        </w:tc>
        <w:tc>
          <w:tcPr>
            <w:tcW w:w="631" w:type="pct"/>
          </w:tcPr>
          <w:p w14:paraId="3C6DD9D6" w14:textId="77777777" w:rsidR="009658B2" w:rsidRPr="0013396E" w:rsidRDefault="009658B2" w:rsidP="0099759E">
            <w:pPr>
              <w:pStyle w:val="tablebody0"/>
            </w:pPr>
            <w:r w:rsidRPr="0013396E">
              <w:t>$/MW</w:t>
            </w:r>
          </w:p>
        </w:tc>
        <w:tc>
          <w:tcPr>
            <w:tcW w:w="3074" w:type="pct"/>
          </w:tcPr>
          <w:p w14:paraId="5D4AC41A" w14:textId="77777777" w:rsidR="009658B2" w:rsidRPr="0013396E" w:rsidRDefault="009658B2" w:rsidP="0099759E">
            <w:pPr>
              <w:pStyle w:val="tablebody0"/>
            </w:pPr>
            <w:r w:rsidRPr="0013396E">
              <w:rPr>
                <w:i/>
              </w:rPr>
              <w:t>Real-Time Reliability Deployment Price Adder for Ancillary Service for Responsive Reserve per SCED interval</w:t>
            </w:r>
            <w:r w:rsidRPr="0013396E">
              <w:t xml:space="preserve"> - The Real-Time price adder for RRS that captures the impact of reliability deployments on RRS prices for the SCED interval y. </w:t>
            </w:r>
          </w:p>
        </w:tc>
      </w:tr>
      <w:tr w:rsidR="009658B2" w:rsidRPr="0013396E" w14:paraId="2609F38D" w14:textId="77777777" w:rsidTr="0099759E">
        <w:trPr>
          <w:cantSplit/>
        </w:trPr>
        <w:tc>
          <w:tcPr>
            <w:tcW w:w="1295" w:type="pct"/>
          </w:tcPr>
          <w:p w14:paraId="1CCC33BA"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60E9200A" w14:textId="77777777" w:rsidR="009658B2" w:rsidRPr="0013396E" w:rsidRDefault="009658B2" w:rsidP="0099759E">
            <w:pPr>
              <w:pStyle w:val="tablebody0"/>
            </w:pPr>
            <w:r w:rsidRPr="0013396E">
              <w:rPr>
                <w:iCs/>
              </w:rPr>
              <w:t>none</w:t>
            </w:r>
          </w:p>
        </w:tc>
        <w:tc>
          <w:tcPr>
            <w:tcW w:w="3074" w:type="pct"/>
          </w:tcPr>
          <w:p w14:paraId="6A7F05AF" w14:textId="77777777" w:rsidR="009658B2" w:rsidRPr="0013396E" w:rsidRDefault="009658B2" w:rsidP="0099759E">
            <w:pPr>
              <w:pStyle w:val="tablebody0"/>
              <w:rPr>
                <w:i/>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16785FC7" w14:textId="77777777" w:rsidTr="0099759E">
        <w:trPr>
          <w:cantSplit/>
        </w:trPr>
        <w:tc>
          <w:tcPr>
            <w:tcW w:w="1295" w:type="pct"/>
          </w:tcPr>
          <w:p w14:paraId="66D12E0E"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01E0B405" w14:textId="77777777" w:rsidR="009658B2" w:rsidRPr="0013396E" w:rsidRDefault="009658B2" w:rsidP="0099759E">
            <w:pPr>
              <w:pStyle w:val="tablebody0"/>
            </w:pPr>
            <w:r w:rsidRPr="0013396E">
              <w:rPr>
                <w:iCs/>
              </w:rPr>
              <w:t>second</w:t>
            </w:r>
          </w:p>
        </w:tc>
        <w:tc>
          <w:tcPr>
            <w:tcW w:w="3074" w:type="pct"/>
          </w:tcPr>
          <w:p w14:paraId="2466CAA2" w14:textId="77777777" w:rsidR="009658B2" w:rsidRPr="0013396E" w:rsidRDefault="009658B2" w:rsidP="0099759E">
            <w:pPr>
              <w:pStyle w:val="tablebody0"/>
              <w:rPr>
                <w:i/>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1FA85C80" w14:textId="77777777" w:rsidTr="0099759E">
        <w:trPr>
          <w:cantSplit/>
        </w:trPr>
        <w:tc>
          <w:tcPr>
            <w:tcW w:w="1295" w:type="pct"/>
          </w:tcPr>
          <w:p w14:paraId="22FF253E" w14:textId="77777777" w:rsidR="009658B2" w:rsidRPr="0013396E" w:rsidRDefault="009658B2" w:rsidP="0099759E">
            <w:pPr>
              <w:pStyle w:val="tablebody0"/>
              <w:rPr>
                <w:i/>
              </w:rPr>
            </w:pPr>
            <w:r w:rsidRPr="0013396E">
              <w:rPr>
                <w:i/>
              </w:rPr>
              <w:t>y</w:t>
            </w:r>
          </w:p>
        </w:tc>
        <w:tc>
          <w:tcPr>
            <w:tcW w:w="631" w:type="pct"/>
          </w:tcPr>
          <w:p w14:paraId="31448E18" w14:textId="77777777" w:rsidR="009658B2" w:rsidRPr="0013396E" w:rsidRDefault="009658B2" w:rsidP="0099759E">
            <w:pPr>
              <w:pStyle w:val="tablebody0"/>
            </w:pPr>
            <w:r w:rsidRPr="0013396E">
              <w:t>none</w:t>
            </w:r>
          </w:p>
        </w:tc>
        <w:tc>
          <w:tcPr>
            <w:tcW w:w="3074" w:type="pct"/>
          </w:tcPr>
          <w:p w14:paraId="2E0C0F01" w14:textId="77777777" w:rsidR="009658B2" w:rsidRPr="0013396E" w:rsidRDefault="009658B2" w:rsidP="0099759E">
            <w:pPr>
              <w:pStyle w:val="tablebody0"/>
            </w:pPr>
            <w:r w:rsidRPr="0013396E">
              <w:t>A SCED interval in the 15-minute Settlement Interval.</w:t>
            </w:r>
          </w:p>
        </w:tc>
      </w:tr>
    </w:tbl>
    <w:p w14:paraId="18F16AC0" w14:textId="77777777" w:rsidR="009658B2" w:rsidRPr="0013396E" w:rsidRDefault="009658B2" w:rsidP="009658B2">
      <w:pPr>
        <w:spacing w:before="240" w:after="240"/>
        <w:ind w:left="720" w:hanging="720"/>
      </w:pPr>
      <w:r w:rsidRPr="0013396E">
        <w:rPr>
          <w:bCs/>
          <w:snapToGrid w:val="0"/>
        </w:rPr>
        <w:t>(4)</w:t>
      </w:r>
      <w:r w:rsidRPr="0013396E">
        <w:t xml:space="preserve"> </w:t>
      </w:r>
      <w:r w:rsidRPr="0013396E">
        <w:tab/>
        <w:t>The Real-Time MCPC for ECRS is the time-weighted average of the sum of the Real-Time MCPC for ECRS and Real-Time Reliability Deployment Price Adder for Ancillary Service for ECRS of each SCED interval in the 15-minute Settlement Interval.  The Real-Time MCPC for ECRS for a 15-minute Settlement Interval is calculated as follows:</w:t>
      </w:r>
    </w:p>
    <w:p w14:paraId="00990FD6" w14:textId="77777777" w:rsidR="009658B2" w:rsidRPr="0013396E" w:rsidRDefault="009658B2" w:rsidP="009658B2">
      <w:pPr>
        <w:pStyle w:val="FormulaBold"/>
        <w:rPr>
          <w:i/>
          <w:vertAlign w:val="subscript"/>
        </w:rPr>
      </w:pPr>
      <w:r w:rsidRPr="0013396E">
        <w:t xml:space="preserve">RTMCPCECR  =   </w:t>
      </w:r>
      <w:r w:rsidRPr="0013396E">
        <w:rPr>
          <w:position w:val="-22"/>
        </w:rPr>
        <w:object w:dxaOrig="225" w:dyaOrig="465" w14:anchorId="7B210BF2">
          <v:shape id="_x0000_i1057" type="#_x0000_t75" style="width:24pt;height:18.6pt" o:ole="">
            <v:imagedata r:id="rId20" o:title=""/>
          </v:shape>
          <o:OLEObject Type="Embed" ProgID="Equation.3" ShapeID="_x0000_i1057" DrawAspect="Content" ObjectID="_1849065688" r:id="rId57"/>
        </w:object>
      </w:r>
      <w:r w:rsidRPr="0013396E">
        <w:t xml:space="preserve"> (RNWF </w:t>
      </w:r>
      <w:r w:rsidRPr="0013396E">
        <w:rPr>
          <w:i/>
          <w:vertAlign w:val="subscript"/>
        </w:rPr>
        <w:t>y</w:t>
      </w:r>
      <w:r w:rsidRPr="0013396E">
        <w:t xml:space="preserve"> * (RTMCPCECRS </w:t>
      </w:r>
      <w:r w:rsidRPr="0013396E">
        <w:rPr>
          <w:i/>
          <w:vertAlign w:val="subscript"/>
        </w:rPr>
        <w:t>y</w:t>
      </w:r>
      <w:r w:rsidRPr="0013396E">
        <w:t xml:space="preserve">+ RTRDPAECRS </w:t>
      </w:r>
      <w:r w:rsidRPr="0013396E">
        <w:rPr>
          <w:i/>
          <w:vertAlign w:val="subscript"/>
        </w:rPr>
        <w:t>y</w:t>
      </w:r>
      <w:r w:rsidRPr="0013396E">
        <w:t>))</w:t>
      </w:r>
    </w:p>
    <w:p w14:paraId="0B012E2E" w14:textId="77777777" w:rsidR="009658B2" w:rsidRPr="0013396E" w:rsidRDefault="009658B2" w:rsidP="009658B2">
      <w:pPr>
        <w:pStyle w:val="BodyTextNumbered"/>
        <w:ind w:left="0" w:firstLine="0"/>
      </w:pPr>
      <w:r w:rsidRPr="0013396E">
        <w:t>Where:</w:t>
      </w:r>
    </w:p>
    <w:p w14:paraId="47555F59"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3DD42AB1">
          <v:shape id="_x0000_i1058" type="#_x0000_t75" style="width:24pt;height:18.6pt" o:ole="">
            <v:imagedata r:id="rId20" o:title=""/>
          </v:shape>
          <o:OLEObject Type="Embed" ProgID="Equation.3" ShapeID="_x0000_i1058" DrawAspect="Content" ObjectID="_1849065689" r:id="rId58"/>
        </w:object>
      </w:r>
      <w:r w:rsidRPr="0013396E">
        <w:t xml:space="preserve">TLMP </w:t>
      </w:r>
      <w:r w:rsidRPr="0013396E">
        <w:rPr>
          <w:i/>
          <w:vertAlign w:val="subscript"/>
        </w:rPr>
        <w:t>y</w:t>
      </w:r>
    </w:p>
    <w:p w14:paraId="3137A6FF"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5FF1BC42"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3F0E55B6" w14:textId="77777777" w:rsidR="009658B2" w:rsidRPr="0013396E" w:rsidRDefault="009658B2" w:rsidP="0099759E">
            <w:pPr>
              <w:pStyle w:val="TableHead"/>
            </w:pPr>
            <w:r w:rsidRPr="0013396E">
              <w:lastRenderedPageBreak/>
              <w:t>Variable</w:t>
            </w:r>
          </w:p>
        </w:tc>
        <w:tc>
          <w:tcPr>
            <w:tcW w:w="631" w:type="pct"/>
            <w:tcBorders>
              <w:top w:val="single" w:sz="4" w:space="0" w:color="auto"/>
              <w:left w:val="single" w:sz="4" w:space="0" w:color="auto"/>
              <w:bottom w:val="single" w:sz="4" w:space="0" w:color="auto"/>
              <w:right w:val="single" w:sz="4" w:space="0" w:color="auto"/>
            </w:tcBorders>
            <w:hideMark/>
          </w:tcPr>
          <w:p w14:paraId="23FAEF20"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6CB46774" w14:textId="77777777" w:rsidR="009658B2" w:rsidRPr="0013396E" w:rsidRDefault="009658B2" w:rsidP="0099759E">
            <w:pPr>
              <w:pStyle w:val="TableHead"/>
            </w:pPr>
            <w:r w:rsidRPr="0013396E">
              <w:t>Description</w:t>
            </w:r>
          </w:p>
        </w:tc>
      </w:tr>
      <w:tr w:rsidR="009658B2" w:rsidRPr="0013396E" w14:paraId="7167DB9C"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57D01833" w14:textId="77777777" w:rsidR="009658B2" w:rsidRPr="0013396E" w:rsidRDefault="009658B2" w:rsidP="0099759E">
            <w:pPr>
              <w:pStyle w:val="tablebody0"/>
            </w:pPr>
            <w:r w:rsidRPr="0013396E">
              <w:t xml:space="preserve">RTMCPCECR </w:t>
            </w:r>
          </w:p>
        </w:tc>
        <w:tc>
          <w:tcPr>
            <w:tcW w:w="631" w:type="pct"/>
            <w:tcBorders>
              <w:top w:val="single" w:sz="4" w:space="0" w:color="auto"/>
              <w:left w:val="single" w:sz="4" w:space="0" w:color="auto"/>
              <w:bottom w:val="single" w:sz="4" w:space="0" w:color="auto"/>
              <w:right w:val="single" w:sz="4" w:space="0" w:color="auto"/>
            </w:tcBorders>
            <w:hideMark/>
          </w:tcPr>
          <w:p w14:paraId="653D4FC4"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7C29F9FA" w14:textId="77777777" w:rsidR="009658B2" w:rsidRPr="0013396E" w:rsidRDefault="009658B2" w:rsidP="0099759E">
            <w:pPr>
              <w:pStyle w:val="tablebody0"/>
              <w:rPr>
                <w:i/>
              </w:rPr>
            </w:pPr>
            <w:r w:rsidRPr="0013396E">
              <w:rPr>
                <w:i/>
                <w:szCs w:val="18"/>
              </w:rPr>
              <w:t xml:space="preserve">Real-Time Market Clearing Price for Capacity for </w:t>
            </w:r>
            <w:r w:rsidRPr="0013396E">
              <w:rPr>
                <w:i/>
              </w:rPr>
              <w:t>ERCOT Contingency Reserve</w:t>
            </w:r>
            <w:r w:rsidRPr="0013396E">
              <w:t xml:space="preserve"> </w:t>
            </w:r>
            <w:r w:rsidRPr="0013396E">
              <w:rPr>
                <w:i/>
                <w:szCs w:val="18"/>
              </w:rPr>
              <w:t>-</w:t>
            </w:r>
            <w:r w:rsidRPr="0013396E">
              <w:t xml:space="preserve"> The Real-Time MCPC for ECRS for the 15-minute Settlement Interval.</w:t>
            </w:r>
          </w:p>
        </w:tc>
      </w:tr>
      <w:tr w:rsidR="009658B2" w:rsidRPr="0013396E" w14:paraId="5C9095D3"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3860F02D" w14:textId="77777777" w:rsidR="009658B2" w:rsidRPr="0013396E" w:rsidRDefault="009658B2" w:rsidP="0099759E">
            <w:pPr>
              <w:pStyle w:val="tablebody0"/>
            </w:pPr>
            <w:r w:rsidRPr="0013396E">
              <w:t>RTMCPCECRS</w:t>
            </w:r>
            <w:r w:rsidRPr="0013396E">
              <w:rPr>
                <w:i/>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79EAB59A"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3C45CB2F" w14:textId="77777777" w:rsidR="009658B2" w:rsidRPr="0013396E" w:rsidRDefault="009658B2" w:rsidP="0099759E">
            <w:pPr>
              <w:pStyle w:val="tablebody0"/>
              <w:rPr>
                <w:i/>
                <w:szCs w:val="18"/>
              </w:rPr>
            </w:pPr>
            <w:r w:rsidRPr="0013396E">
              <w:rPr>
                <w:i/>
                <w:szCs w:val="18"/>
              </w:rPr>
              <w:t xml:space="preserve">Real-Time Market Clearing Price for Capacity for </w:t>
            </w:r>
            <w:r w:rsidRPr="0013396E">
              <w:rPr>
                <w:i/>
              </w:rPr>
              <w:t>ERCOT Contingency Reserve</w:t>
            </w:r>
            <w:r w:rsidRPr="0013396E">
              <w:t xml:space="preserve"> </w:t>
            </w:r>
            <w:r w:rsidRPr="0013396E">
              <w:rPr>
                <w:i/>
              </w:rPr>
              <w:t xml:space="preserve">per SCED interval </w:t>
            </w:r>
            <w:r w:rsidRPr="0013396E">
              <w:rPr>
                <w:i/>
                <w:szCs w:val="18"/>
              </w:rPr>
              <w:t>-</w:t>
            </w:r>
            <w:r w:rsidRPr="0013396E">
              <w:t xml:space="preserve"> The Real-Time MCPC for ECRS for the SCED interval </w:t>
            </w:r>
            <w:r w:rsidRPr="0013396E">
              <w:rPr>
                <w:i/>
              </w:rPr>
              <w:t>y.</w:t>
            </w:r>
          </w:p>
        </w:tc>
      </w:tr>
      <w:tr w:rsidR="009658B2" w:rsidRPr="0013396E" w14:paraId="687F1D5D" w14:textId="77777777" w:rsidTr="0099759E">
        <w:trPr>
          <w:cantSplit/>
        </w:trPr>
        <w:tc>
          <w:tcPr>
            <w:tcW w:w="1295" w:type="pct"/>
          </w:tcPr>
          <w:p w14:paraId="31D0B1FE" w14:textId="77777777" w:rsidR="009658B2" w:rsidRPr="0013396E" w:rsidRDefault="009658B2" w:rsidP="0099759E">
            <w:pPr>
              <w:pStyle w:val="tablebody0"/>
              <w:rPr>
                <w:i/>
              </w:rPr>
            </w:pPr>
            <w:r w:rsidRPr="0013396E">
              <w:t xml:space="preserve">RTRDPAECRS </w:t>
            </w:r>
            <w:r w:rsidRPr="0013396E">
              <w:rPr>
                <w:i/>
              </w:rPr>
              <w:t>y</w:t>
            </w:r>
          </w:p>
        </w:tc>
        <w:tc>
          <w:tcPr>
            <w:tcW w:w="631" w:type="pct"/>
          </w:tcPr>
          <w:p w14:paraId="2E493E28" w14:textId="77777777" w:rsidR="009658B2" w:rsidRPr="0013396E" w:rsidRDefault="009658B2" w:rsidP="0099759E">
            <w:pPr>
              <w:pStyle w:val="tablebody0"/>
            </w:pPr>
            <w:r w:rsidRPr="0013396E">
              <w:t>$/MW</w:t>
            </w:r>
          </w:p>
        </w:tc>
        <w:tc>
          <w:tcPr>
            <w:tcW w:w="3074" w:type="pct"/>
          </w:tcPr>
          <w:p w14:paraId="4AE2590D" w14:textId="77777777" w:rsidR="009658B2" w:rsidRPr="0013396E" w:rsidRDefault="009658B2" w:rsidP="0099759E">
            <w:pPr>
              <w:pStyle w:val="tablebody0"/>
            </w:pPr>
            <w:r w:rsidRPr="0013396E">
              <w:rPr>
                <w:i/>
              </w:rPr>
              <w:t>Real-Time Reliability Deployment Price Adder for Ancillary Service for ECRS per SCED interval</w:t>
            </w:r>
            <w:r w:rsidRPr="0013396E">
              <w:t xml:space="preserve"> - The Real-Time price adder for ECRS that captures the impact of reliability deployments on ECRS</w:t>
            </w:r>
            <w:r w:rsidRPr="0013396E" w:rsidDel="00DA63CB">
              <w:t xml:space="preserve"> </w:t>
            </w:r>
            <w:r w:rsidRPr="0013396E">
              <w:t xml:space="preserve">prices for the SCED interval y. </w:t>
            </w:r>
          </w:p>
        </w:tc>
      </w:tr>
      <w:tr w:rsidR="009658B2" w:rsidRPr="0013396E" w14:paraId="1D73688B" w14:textId="77777777" w:rsidTr="0099759E">
        <w:trPr>
          <w:cantSplit/>
        </w:trPr>
        <w:tc>
          <w:tcPr>
            <w:tcW w:w="1295" w:type="pct"/>
          </w:tcPr>
          <w:p w14:paraId="6F966A39"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78760D0E" w14:textId="77777777" w:rsidR="009658B2" w:rsidRPr="0013396E" w:rsidRDefault="009658B2" w:rsidP="0099759E">
            <w:pPr>
              <w:pStyle w:val="tablebody0"/>
            </w:pPr>
            <w:r w:rsidRPr="0013396E">
              <w:rPr>
                <w:iCs/>
              </w:rPr>
              <w:t>none</w:t>
            </w:r>
          </w:p>
        </w:tc>
        <w:tc>
          <w:tcPr>
            <w:tcW w:w="3074" w:type="pct"/>
          </w:tcPr>
          <w:p w14:paraId="63DFD821" w14:textId="77777777" w:rsidR="009658B2" w:rsidRPr="0013396E" w:rsidRDefault="009658B2" w:rsidP="0099759E">
            <w:pPr>
              <w:pStyle w:val="tablebody0"/>
              <w:rPr>
                <w:i/>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00181575" w14:textId="77777777" w:rsidTr="0099759E">
        <w:trPr>
          <w:cantSplit/>
        </w:trPr>
        <w:tc>
          <w:tcPr>
            <w:tcW w:w="1295" w:type="pct"/>
          </w:tcPr>
          <w:p w14:paraId="6F7E6E51"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605B00C0" w14:textId="77777777" w:rsidR="009658B2" w:rsidRPr="0013396E" w:rsidRDefault="009658B2" w:rsidP="0099759E">
            <w:pPr>
              <w:pStyle w:val="tablebody0"/>
            </w:pPr>
            <w:r w:rsidRPr="0013396E">
              <w:rPr>
                <w:iCs/>
              </w:rPr>
              <w:t>second</w:t>
            </w:r>
          </w:p>
        </w:tc>
        <w:tc>
          <w:tcPr>
            <w:tcW w:w="3074" w:type="pct"/>
          </w:tcPr>
          <w:p w14:paraId="1E38B22C" w14:textId="77777777" w:rsidR="009658B2" w:rsidRPr="0013396E" w:rsidRDefault="009658B2" w:rsidP="0099759E">
            <w:pPr>
              <w:pStyle w:val="tablebody0"/>
              <w:rPr>
                <w:i/>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61B89121" w14:textId="77777777" w:rsidTr="0099759E">
        <w:trPr>
          <w:cantSplit/>
        </w:trPr>
        <w:tc>
          <w:tcPr>
            <w:tcW w:w="1295" w:type="pct"/>
          </w:tcPr>
          <w:p w14:paraId="36FBEA51" w14:textId="77777777" w:rsidR="009658B2" w:rsidRPr="0013396E" w:rsidRDefault="009658B2" w:rsidP="0099759E">
            <w:pPr>
              <w:pStyle w:val="tablebody0"/>
              <w:rPr>
                <w:i/>
              </w:rPr>
            </w:pPr>
            <w:r w:rsidRPr="0013396E">
              <w:rPr>
                <w:i/>
              </w:rPr>
              <w:t>y</w:t>
            </w:r>
          </w:p>
        </w:tc>
        <w:tc>
          <w:tcPr>
            <w:tcW w:w="631" w:type="pct"/>
          </w:tcPr>
          <w:p w14:paraId="795903D5" w14:textId="77777777" w:rsidR="009658B2" w:rsidRPr="0013396E" w:rsidRDefault="009658B2" w:rsidP="0099759E">
            <w:pPr>
              <w:pStyle w:val="tablebody0"/>
            </w:pPr>
            <w:r w:rsidRPr="0013396E">
              <w:t>none</w:t>
            </w:r>
          </w:p>
        </w:tc>
        <w:tc>
          <w:tcPr>
            <w:tcW w:w="3074" w:type="pct"/>
          </w:tcPr>
          <w:p w14:paraId="66F50B1F" w14:textId="77777777" w:rsidR="009658B2" w:rsidRPr="0013396E" w:rsidRDefault="009658B2" w:rsidP="0099759E">
            <w:pPr>
              <w:pStyle w:val="tablebody0"/>
            </w:pPr>
            <w:r w:rsidRPr="0013396E">
              <w:t>A SCED interval in the 15-minute Settlement Interval.</w:t>
            </w:r>
          </w:p>
        </w:tc>
      </w:tr>
    </w:tbl>
    <w:p w14:paraId="00A49C46" w14:textId="77777777" w:rsidR="009658B2" w:rsidRPr="0013396E" w:rsidRDefault="009658B2" w:rsidP="009658B2">
      <w:pPr>
        <w:spacing w:before="240" w:after="240"/>
        <w:ind w:left="720" w:hanging="720"/>
      </w:pPr>
      <w:r w:rsidRPr="0013396E">
        <w:rPr>
          <w:bCs/>
          <w:snapToGrid w:val="0"/>
        </w:rPr>
        <w:t>(5)</w:t>
      </w:r>
      <w:r w:rsidRPr="0013396E">
        <w:t xml:space="preserve"> </w:t>
      </w:r>
      <w:r w:rsidRPr="0013396E">
        <w:tab/>
        <w:t>The Real-Time MCPC for Non-Spin is the time-weighted average of the sum of the Real-Time MCPC for Non-Spin and Real-Time Reliability Deployment Price Adders for Ancillary Service for Non-Spin of each SCED interval in the 15-minute Settlement Interval.  The Real-Time MCPC for Non-Spin for a 15-minute Settlement Interval is calculated as follows:</w:t>
      </w:r>
    </w:p>
    <w:p w14:paraId="460BD184" w14:textId="77777777" w:rsidR="009658B2" w:rsidRPr="0013396E" w:rsidRDefault="009658B2" w:rsidP="009658B2">
      <w:pPr>
        <w:pStyle w:val="FormulaBold"/>
        <w:rPr>
          <w:i/>
          <w:vertAlign w:val="subscript"/>
        </w:rPr>
      </w:pPr>
      <w:r w:rsidRPr="0013396E">
        <w:t xml:space="preserve">RTMCPCNS  =   </w:t>
      </w:r>
      <w:r w:rsidRPr="0013396E">
        <w:rPr>
          <w:position w:val="-22"/>
        </w:rPr>
        <w:object w:dxaOrig="225" w:dyaOrig="465" w14:anchorId="0F7691CF">
          <v:shape id="_x0000_i1059" type="#_x0000_t75" style="width:24pt;height:18.6pt" o:ole="">
            <v:imagedata r:id="rId20" o:title=""/>
          </v:shape>
          <o:OLEObject Type="Embed" ProgID="Equation.3" ShapeID="_x0000_i1059" DrawAspect="Content" ObjectID="_1849065690" r:id="rId59"/>
        </w:object>
      </w:r>
      <w:r w:rsidRPr="0013396E">
        <w:t xml:space="preserve"> (RNWF </w:t>
      </w:r>
      <w:r w:rsidRPr="0013396E">
        <w:rPr>
          <w:i/>
          <w:vertAlign w:val="subscript"/>
        </w:rPr>
        <w:t>y</w:t>
      </w:r>
      <w:r w:rsidRPr="0013396E">
        <w:t xml:space="preserve"> * (RTMCPCNSS </w:t>
      </w:r>
      <w:r w:rsidRPr="0013396E">
        <w:rPr>
          <w:i/>
          <w:vertAlign w:val="subscript"/>
        </w:rPr>
        <w:t>y</w:t>
      </w:r>
      <w:r w:rsidRPr="0013396E">
        <w:t xml:space="preserve">+ RTRDPANSS </w:t>
      </w:r>
      <w:r w:rsidRPr="0013396E">
        <w:rPr>
          <w:i/>
          <w:vertAlign w:val="subscript"/>
        </w:rPr>
        <w:t>y</w:t>
      </w:r>
      <w:r w:rsidRPr="0013396E">
        <w:t>))</w:t>
      </w:r>
    </w:p>
    <w:p w14:paraId="4E71959C" w14:textId="77777777" w:rsidR="009658B2" w:rsidRPr="0013396E" w:rsidRDefault="009658B2" w:rsidP="009658B2">
      <w:pPr>
        <w:pStyle w:val="BodyTextNumbered"/>
        <w:ind w:left="0" w:firstLine="0"/>
      </w:pPr>
      <w:r w:rsidRPr="0013396E">
        <w:t>Where:</w:t>
      </w:r>
    </w:p>
    <w:p w14:paraId="7685731C"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52C46CF1">
          <v:shape id="_x0000_i1060" type="#_x0000_t75" style="width:24pt;height:18.6pt" o:ole="">
            <v:imagedata r:id="rId20" o:title=""/>
          </v:shape>
          <o:OLEObject Type="Embed" ProgID="Equation.3" ShapeID="_x0000_i1060" DrawAspect="Content" ObjectID="_1849065691" r:id="rId60"/>
        </w:object>
      </w:r>
      <w:r w:rsidRPr="0013396E">
        <w:t xml:space="preserve">TLMP </w:t>
      </w:r>
      <w:r w:rsidRPr="0013396E">
        <w:rPr>
          <w:i/>
          <w:vertAlign w:val="subscript"/>
        </w:rPr>
        <w:t>y</w:t>
      </w:r>
    </w:p>
    <w:p w14:paraId="789DF985"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0376EEE9"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5F7A695D"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7628ECF9"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1B1804A5" w14:textId="77777777" w:rsidR="009658B2" w:rsidRPr="0013396E" w:rsidRDefault="009658B2" w:rsidP="0099759E">
            <w:pPr>
              <w:pStyle w:val="TableHead"/>
            </w:pPr>
            <w:r w:rsidRPr="0013396E">
              <w:t>Description</w:t>
            </w:r>
          </w:p>
        </w:tc>
      </w:tr>
      <w:tr w:rsidR="009658B2" w:rsidRPr="0013396E" w14:paraId="5D0BD279"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04B80045" w14:textId="77777777" w:rsidR="009658B2" w:rsidRPr="0013396E" w:rsidRDefault="009658B2" w:rsidP="0099759E">
            <w:pPr>
              <w:pStyle w:val="tablebody0"/>
            </w:pPr>
            <w:r w:rsidRPr="0013396E">
              <w:t xml:space="preserve">RTMCPCNS </w:t>
            </w:r>
          </w:p>
        </w:tc>
        <w:tc>
          <w:tcPr>
            <w:tcW w:w="631" w:type="pct"/>
            <w:tcBorders>
              <w:top w:val="single" w:sz="4" w:space="0" w:color="auto"/>
              <w:left w:val="single" w:sz="4" w:space="0" w:color="auto"/>
              <w:bottom w:val="single" w:sz="4" w:space="0" w:color="auto"/>
              <w:right w:val="single" w:sz="4" w:space="0" w:color="auto"/>
            </w:tcBorders>
            <w:hideMark/>
          </w:tcPr>
          <w:p w14:paraId="21EEFD35"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68749F30" w14:textId="77777777" w:rsidR="009658B2" w:rsidRPr="0013396E" w:rsidRDefault="009658B2" w:rsidP="0099759E">
            <w:pPr>
              <w:pStyle w:val="tablebody0"/>
              <w:rPr>
                <w:i/>
              </w:rPr>
            </w:pPr>
            <w:r w:rsidRPr="0013396E">
              <w:rPr>
                <w:i/>
                <w:szCs w:val="18"/>
              </w:rPr>
              <w:t xml:space="preserve">Real-Time Market Clearing Price for Capacity for </w:t>
            </w:r>
            <w:r w:rsidRPr="0013396E">
              <w:rPr>
                <w:i/>
              </w:rPr>
              <w:t>Non-Spin</w:t>
            </w:r>
            <w:r w:rsidRPr="0013396E">
              <w:t xml:space="preserve"> </w:t>
            </w:r>
            <w:r w:rsidRPr="0013396E">
              <w:rPr>
                <w:i/>
                <w:szCs w:val="18"/>
              </w:rPr>
              <w:t>-</w:t>
            </w:r>
            <w:r w:rsidRPr="0013396E">
              <w:t xml:space="preserve"> The Real-Time MCPC for Non-Spin for the 15-minute Settlement Interval.</w:t>
            </w:r>
          </w:p>
        </w:tc>
      </w:tr>
      <w:tr w:rsidR="009658B2" w:rsidRPr="0013396E" w14:paraId="5E856453"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29964439" w14:textId="77777777" w:rsidR="009658B2" w:rsidRPr="0013396E" w:rsidRDefault="009658B2" w:rsidP="0099759E">
            <w:pPr>
              <w:pStyle w:val="tablebody0"/>
            </w:pPr>
            <w:r w:rsidRPr="0013396E">
              <w:t>RTMCPCNSS</w:t>
            </w:r>
            <w:r w:rsidRPr="0013396E">
              <w:rPr>
                <w:i/>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04C41780"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71C64657" w14:textId="77777777" w:rsidR="009658B2" w:rsidRPr="0013396E" w:rsidRDefault="009658B2" w:rsidP="0099759E">
            <w:pPr>
              <w:pStyle w:val="tablebody0"/>
              <w:rPr>
                <w:i/>
                <w:szCs w:val="18"/>
              </w:rPr>
            </w:pPr>
            <w:r w:rsidRPr="0013396E">
              <w:rPr>
                <w:i/>
                <w:szCs w:val="18"/>
              </w:rPr>
              <w:t xml:space="preserve">Real-Time Market Clearing Price for Capacity for </w:t>
            </w:r>
            <w:r w:rsidRPr="0013396E">
              <w:rPr>
                <w:i/>
              </w:rPr>
              <w:t>Non-Spin</w:t>
            </w:r>
            <w:r w:rsidRPr="0013396E">
              <w:t xml:space="preserve"> </w:t>
            </w:r>
            <w:r w:rsidRPr="0013396E">
              <w:rPr>
                <w:i/>
              </w:rPr>
              <w:t xml:space="preserve">per SCED interval </w:t>
            </w:r>
            <w:r w:rsidRPr="0013396E">
              <w:rPr>
                <w:i/>
                <w:szCs w:val="18"/>
              </w:rPr>
              <w:t>-</w:t>
            </w:r>
            <w:r w:rsidRPr="0013396E">
              <w:t xml:space="preserve"> The Real-Time MCPC for Non-Spin for the SCED interval </w:t>
            </w:r>
            <w:r w:rsidRPr="0013396E">
              <w:rPr>
                <w:i/>
              </w:rPr>
              <w:t>y.</w:t>
            </w:r>
          </w:p>
        </w:tc>
      </w:tr>
      <w:tr w:rsidR="009658B2" w:rsidRPr="0013396E" w14:paraId="0FD0FBF6" w14:textId="77777777" w:rsidTr="0099759E">
        <w:trPr>
          <w:cantSplit/>
        </w:trPr>
        <w:tc>
          <w:tcPr>
            <w:tcW w:w="1295" w:type="pct"/>
          </w:tcPr>
          <w:p w14:paraId="3E66B392" w14:textId="77777777" w:rsidR="009658B2" w:rsidRPr="0013396E" w:rsidRDefault="009658B2" w:rsidP="0099759E">
            <w:pPr>
              <w:pStyle w:val="tablebody0"/>
              <w:rPr>
                <w:i/>
              </w:rPr>
            </w:pPr>
            <w:r w:rsidRPr="0013396E">
              <w:t xml:space="preserve">RTRDPANSS </w:t>
            </w:r>
            <w:r w:rsidRPr="0013396E">
              <w:rPr>
                <w:i/>
              </w:rPr>
              <w:t>y</w:t>
            </w:r>
          </w:p>
        </w:tc>
        <w:tc>
          <w:tcPr>
            <w:tcW w:w="631" w:type="pct"/>
          </w:tcPr>
          <w:p w14:paraId="0503C5B4" w14:textId="77777777" w:rsidR="009658B2" w:rsidRPr="0013396E" w:rsidRDefault="009658B2" w:rsidP="0099759E">
            <w:pPr>
              <w:pStyle w:val="tablebody0"/>
            </w:pPr>
            <w:r w:rsidRPr="0013396E">
              <w:t>$/MW</w:t>
            </w:r>
          </w:p>
        </w:tc>
        <w:tc>
          <w:tcPr>
            <w:tcW w:w="3074" w:type="pct"/>
          </w:tcPr>
          <w:p w14:paraId="7CC43FD0" w14:textId="77777777" w:rsidR="009658B2" w:rsidRPr="0013396E" w:rsidRDefault="009658B2" w:rsidP="0099759E">
            <w:pPr>
              <w:pStyle w:val="tablebody0"/>
            </w:pPr>
            <w:r w:rsidRPr="0013396E">
              <w:rPr>
                <w:i/>
              </w:rPr>
              <w:t>Real-Time Reliability Deployment Price Adder for Ancillary Service for Non-Spin per SCED interval</w:t>
            </w:r>
            <w:r w:rsidRPr="0013396E">
              <w:t xml:space="preserve"> - The Real-Time price adder for Non-Spin that captures the impact of reliability deployments on Non-Spin prices for the SCED interval y. </w:t>
            </w:r>
          </w:p>
        </w:tc>
      </w:tr>
      <w:tr w:rsidR="009658B2" w:rsidRPr="0013396E" w14:paraId="41BF0F19" w14:textId="77777777" w:rsidTr="0099759E">
        <w:trPr>
          <w:cantSplit/>
        </w:trPr>
        <w:tc>
          <w:tcPr>
            <w:tcW w:w="1295" w:type="pct"/>
          </w:tcPr>
          <w:p w14:paraId="5F5EC756"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52120635" w14:textId="77777777" w:rsidR="009658B2" w:rsidRPr="0013396E" w:rsidRDefault="009658B2" w:rsidP="0099759E">
            <w:pPr>
              <w:pStyle w:val="tablebody0"/>
            </w:pPr>
            <w:r w:rsidRPr="0013396E">
              <w:rPr>
                <w:iCs/>
              </w:rPr>
              <w:t>none</w:t>
            </w:r>
          </w:p>
        </w:tc>
        <w:tc>
          <w:tcPr>
            <w:tcW w:w="3074" w:type="pct"/>
          </w:tcPr>
          <w:p w14:paraId="18850289" w14:textId="77777777" w:rsidR="009658B2" w:rsidRPr="0013396E" w:rsidRDefault="009658B2" w:rsidP="0099759E">
            <w:pPr>
              <w:pStyle w:val="tablebody0"/>
              <w:rPr>
                <w:i/>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40091E6F" w14:textId="77777777" w:rsidTr="0099759E">
        <w:trPr>
          <w:cantSplit/>
        </w:trPr>
        <w:tc>
          <w:tcPr>
            <w:tcW w:w="1295" w:type="pct"/>
          </w:tcPr>
          <w:p w14:paraId="59B2F6F1"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41B8529E" w14:textId="77777777" w:rsidR="009658B2" w:rsidRPr="0013396E" w:rsidRDefault="009658B2" w:rsidP="0099759E">
            <w:pPr>
              <w:pStyle w:val="tablebody0"/>
            </w:pPr>
            <w:r w:rsidRPr="0013396E">
              <w:rPr>
                <w:iCs/>
              </w:rPr>
              <w:t>second</w:t>
            </w:r>
          </w:p>
        </w:tc>
        <w:tc>
          <w:tcPr>
            <w:tcW w:w="3074" w:type="pct"/>
          </w:tcPr>
          <w:p w14:paraId="574653C9" w14:textId="77777777" w:rsidR="009658B2" w:rsidRPr="0013396E" w:rsidRDefault="009658B2" w:rsidP="0099759E">
            <w:pPr>
              <w:pStyle w:val="tablebody0"/>
              <w:rPr>
                <w:i/>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1F28D94C" w14:textId="77777777" w:rsidTr="0099759E">
        <w:trPr>
          <w:cantSplit/>
        </w:trPr>
        <w:tc>
          <w:tcPr>
            <w:tcW w:w="1295" w:type="pct"/>
          </w:tcPr>
          <w:p w14:paraId="38E16F0D" w14:textId="26A8FB08" w:rsidR="009658B2" w:rsidRPr="0013396E" w:rsidRDefault="004A7B1D" w:rsidP="0099759E">
            <w:pPr>
              <w:pStyle w:val="tablebody0"/>
              <w:rPr>
                <w:i/>
              </w:rPr>
            </w:pPr>
            <w:r>
              <w:rPr>
                <w:i/>
              </w:rPr>
              <w:lastRenderedPageBreak/>
              <w:t>y</w:t>
            </w:r>
          </w:p>
        </w:tc>
        <w:tc>
          <w:tcPr>
            <w:tcW w:w="631" w:type="pct"/>
          </w:tcPr>
          <w:p w14:paraId="3B6E20B0" w14:textId="77777777" w:rsidR="009658B2" w:rsidRPr="0013396E" w:rsidRDefault="009658B2" w:rsidP="0099759E">
            <w:pPr>
              <w:pStyle w:val="tablebody0"/>
            </w:pPr>
            <w:r w:rsidRPr="0013396E">
              <w:t>none</w:t>
            </w:r>
          </w:p>
        </w:tc>
        <w:tc>
          <w:tcPr>
            <w:tcW w:w="3074" w:type="pct"/>
          </w:tcPr>
          <w:p w14:paraId="0AE8C70C" w14:textId="77777777" w:rsidR="009658B2" w:rsidRPr="0013396E" w:rsidRDefault="009658B2" w:rsidP="0099759E">
            <w:pPr>
              <w:pStyle w:val="tablebody0"/>
            </w:pPr>
            <w:r w:rsidRPr="0013396E">
              <w:t>A SCED interval in the 15-minute Settlement Interval.</w:t>
            </w:r>
          </w:p>
        </w:tc>
      </w:tr>
    </w:tbl>
    <w:p w14:paraId="192E43D1" w14:textId="319E869B" w:rsidR="004A7B1D" w:rsidRDefault="004A7B1D" w:rsidP="004A7B1D">
      <w:pPr>
        <w:keepNext/>
        <w:widowControl w:val="0"/>
        <w:outlineLvl w:val="3"/>
        <w:rPr>
          <w:b/>
          <w:bCs/>
          <w:snapToGrid w:val="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A7B1D" w:rsidRPr="0013396E" w14:paraId="2E98A6E1" w14:textId="77777777" w:rsidTr="00A86863">
        <w:trPr>
          <w:trHeight w:val="206"/>
        </w:trPr>
        <w:tc>
          <w:tcPr>
            <w:tcW w:w="9350" w:type="dxa"/>
            <w:shd w:val="pct12" w:color="auto" w:fill="auto"/>
          </w:tcPr>
          <w:p w14:paraId="6651B43A" w14:textId="1E18067E" w:rsidR="004A7B1D" w:rsidRPr="0013396E" w:rsidRDefault="004A7B1D" w:rsidP="00A8686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paragraph (6) below</w:t>
            </w:r>
            <w:r w:rsidRPr="0013396E">
              <w:rPr>
                <w:b/>
                <w:i/>
                <w:iCs/>
                <w:szCs w:val="24"/>
              </w:rPr>
              <w:t xml:space="preserve"> upon system implementation:]</w:t>
            </w:r>
          </w:p>
          <w:p w14:paraId="6A69BA37" w14:textId="1235AEA8" w:rsidR="004A7B1D" w:rsidRPr="004A7B1D" w:rsidRDefault="004A7B1D" w:rsidP="004A7B1D">
            <w:pPr>
              <w:spacing w:before="240" w:after="240"/>
              <w:ind w:left="720" w:hanging="720"/>
            </w:pPr>
            <w:r w:rsidRPr="004A7B1D">
              <w:rPr>
                <w:bCs/>
                <w:snapToGrid w:val="0"/>
              </w:rPr>
              <w:t>(6)</w:t>
            </w:r>
            <w:r w:rsidRPr="004A7B1D">
              <w:t xml:space="preserve"> </w:t>
            </w:r>
            <w:r w:rsidRPr="004A7B1D">
              <w:tab/>
              <w:t xml:space="preserve">The Real-Time MCPC for DRRS is the time-weighted average of the sum of the Real-Time MCPC for </w:t>
            </w:r>
            <w:r w:rsidR="007D1C69">
              <w:t>Dispatchable Reliability Reserve Service (</w:t>
            </w:r>
            <w:r w:rsidRPr="004A7B1D">
              <w:t>DRRS</w:t>
            </w:r>
            <w:r w:rsidR="007D1C69">
              <w:t>)</w:t>
            </w:r>
            <w:r w:rsidRPr="004A7B1D">
              <w:t xml:space="preserve"> and Real-Time Reliability Deployment Price Adders for Ancillary Service for DRRS of each SCED interval in the 15-minute Settlement Interval.  The Real-Time MCPC for DRRS for a 15-minute Settlement Interval is calculated as follows:</w:t>
            </w:r>
          </w:p>
          <w:p w14:paraId="7519B296" w14:textId="77777777" w:rsidR="004A7B1D" w:rsidRPr="004A7B1D" w:rsidRDefault="004A7B1D" w:rsidP="004A7B1D">
            <w:pPr>
              <w:tabs>
                <w:tab w:val="left" w:pos="2250"/>
                <w:tab w:val="left" w:pos="3150"/>
                <w:tab w:val="left" w:pos="3960"/>
              </w:tabs>
              <w:spacing w:after="240"/>
              <w:ind w:left="3960" w:hanging="3240"/>
              <w:rPr>
                <w:b/>
                <w:bCs/>
                <w:i/>
                <w:iCs/>
                <w:szCs w:val="24"/>
                <w:vertAlign w:val="subscript"/>
              </w:rPr>
            </w:pPr>
            <w:r w:rsidRPr="004A7B1D">
              <w:rPr>
                <w:b/>
                <w:bCs/>
                <w:szCs w:val="24"/>
              </w:rPr>
              <w:t xml:space="preserve">RTMCPCDRR  =   </w:t>
            </w:r>
            <w:r w:rsidRPr="004A7B1D">
              <w:rPr>
                <w:b/>
                <w:bCs/>
                <w:position w:val="-22"/>
                <w:szCs w:val="24"/>
              </w:rPr>
              <w:object w:dxaOrig="225" w:dyaOrig="465" w14:anchorId="65EAEFBF">
                <v:shape id="_x0000_i1061" type="#_x0000_t75" style="width:22.8pt;height:28.8pt" o:ole="">
                  <v:imagedata r:id="rId20" o:title=""/>
                </v:shape>
                <o:OLEObject Type="Embed" ProgID="Equation.3" ShapeID="_x0000_i1061" DrawAspect="Content" ObjectID="_1849065692" r:id="rId61"/>
              </w:object>
            </w:r>
            <w:r w:rsidRPr="004A7B1D">
              <w:rPr>
                <w:b/>
                <w:bCs/>
                <w:szCs w:val="24"/>
              </w:rPr>
              <w:t xml:space="preserve">(RNWF </w:t>
            </w:r>
            <w:r w:rsidRPr="004A7B1D">
              <w:rPr>
                <w:b/>
                <w:bCs/>
                <w:i/>
                <w:iCs/>
                <w:szCs w:val="24"/>
                <w:vertAlign w:val="subscript"/>
              </w:rPr>
              <w:t>y</w:t>
            </w:r>
            <w:r w:rsidRPr="004A7B1D">
              <w:rPr>
                <w:b/>
                <w:bCs/>
                <w:szCs w:val="24"/>
              </w:rPr>
              <w:t xml:space="preserve"> * (RTMCPCDRRS </w:t>
            </w:r>
            <w:r w:rsidRPr="004A7B1D">
              <w:rPr>
                <w:b/>
                <w:bCs/>
                <w:i/>
                <w:iCs/>
                <w:szCs w:val="24"/>
                <w:vertAlign w:val="subscript"/>
              </w:rPr>
              <w:t>y</w:t>
            </w:r>
            <w:r w:rsidRPr="004A7B1D">
              <w:rPr>
                <w:b/>
                <w:bCs/>
                <w:szCs w:val="24"/>
              </w:rPr>
              <w:t xml:space="preserve"> + RTRDPADRRS </w:t>
            </w:r>
            <w:r w:rsidRPr="004A7B1D">
              <w:rPr>
                <w:b/>
                <w:bCs/>
                <w:i/>
                <w:iCs/>
                <w:szCs w:val="24"/>
                <w:vertAlign w:val="subscript"/>
              </w:rPr>
              <w:t>y</w:t>
            </w:r>
            <w:r w:rsidRPr="004A7B1D">
              <w:rPr>
                <w:b/>
                <w:bCs/>
                <w:szCs w:val="24"/>
              </w:rPr>
              <w:t>))</w:t>
            </w:r>
          </w:p>
          <w:p w14:paraId="75E50B4A" w14:textId="77777777" w:rsidR="004A7B1D" w:rsidRPr="004A7B1D" w:rsidRDefault="004A7B1D" w:rsidP="004A7B1D">
            <w:pPr>
              <w:spacing w:after="240"/>
            </w:pPr>
            <w:r w:rsidRPr="004A7B1D">
              <w:t>Where:</w:t>
            </w:r>
          </w:p>
          <w:p w14:paraId="6EEF1E2D" w14:textId="77777777" w:rsidR="004A7B1D" w:rsidRPr="004A7B1D" w:rsidRDefault="004A7B1D" w:rsidP="004A7B1D">
            <w:pPr>
              <w:spacing w:after="240"/>
              <w:ind w:firstLine="720"/>
              <w:rPr>
                <w:i/>
                <w:iCs/>
                <w:szCs w:val="24"/>
                <w:vertAlign w:val="subscript"/>
              </w:rPr>
            </w:pPr>
            <w:r w:rsidRPr="004A7B1D">
              <w:rPr>
                <w:szCs w:val="24"/>
              </w:rPr>
              <w:t xml:space="preserve">RNWF </w:t>
            </w:r>
            <w:r w:rsidRPr="004A7B1D">
              <w:rPr>
                <w:i/>
                <w:iCs/>
                <w:szCs w:val="24"/>
                <w:vertAlign w:val="subscript"/>
              </w:rPr>
              <w:t xml:space="preserve">y   </w:t>
            </w:r>
            <w:r w:rsidRPr="004A7B1D">
              <w:rPr>
                <w:szCs w:val="24"/>
              </w:rPr>
              <w:t xml:space="preserve">=  TLMP </w:t>
            </w:r>
            <w:r w:rsidRPr="004A7B1D">
              <w:rPr>
                <w:i/>
                <w:iCs/>
                <w:szCs w:val="24"/>
                <w:vertAlign w:val="subscript"/>
              </w:rPr>
              <w:t>y</w:t>
            </w:r>
            <w:r w:rsidRPr="004A7B1D">
              <w:rPr>
                <w:szCs w:val="24"/>
              </w:rPr>
              <w:t xml:space="preserve"> </w:t>
            </w:r>
            <w:r w:rsidRPr="004A7B1D">
              <w:rPr>
                <w:color w:val="000000"/>
                <w:sz w:val="32"/>
                <w:szCs w:val="32"/>
              </w:rPr>
              <w:t>/</w:t>
            </w:r>
            <w:r w:rsidRPr="004A7B1D">
              <w:rPr>
                <w:color w:val="000000"/>
                <w:szCs w:val="24"/>
              </w:rPr>
              <w:t xml:space="preserve"> </w:t>
            </w:r>
            <w:r w:rsidRPr="004A7B1D">
              <w:rPr>
                <w:b/>
                <w:bCs/>
                <w:position w:val="-22"/>
                <w:szCs w:val="24"/>
              </w:rPr>
              <w:object w:dxaOrig="225" w:dyaOrig="465" w14:anchorId="00FC4EDA">
                <v:shape id="_x0000_i1062" type="#_x0000_t75" style="width:22.8pt;height:28.8pt" o:ole="">
                  <v:imagedata r:id="rId20" o:title=""/>
                </v:shape>
                <o:OLEObject Type="Embed" ProgID="Equation.3" ShapeID="_x0000_i1062" DrawAspect="Content" ObjectID="_1849065693" r:id="rId62"/>
              </w:object>
            </w:r>
            <w:r w:rsidRPr="004A7B1D">
              <w:rPr>
                <w:szCs w:val="24"/>
              </w:rPr>
              <w:t xml:space="preserve">TLMP </w:t>
            </w:r>
            <w:r w:rsidRPr="004A7B1D">
              <w:rPr>
                <w:i/>
                <w:iCs/>
                <w:szCs w:val="24"/>
                <w:vertAlign w:val="subscript"/>
              </w:rPr>
              <w:t>y</w:t>
            </w:r>
          </w:p>
          <w:p w14:paraId="66658DC5" w14:textId="77777777" w:rsidR="004A7B1D" w:rsidRPr="004A7B1D" w:rsidRDefault="004A7B1D" w:rsidP="004A7B1D">
            <w:pPr>
              <w:ind w:left="720" w:hanging="720"/>
              <w:rPr>
                <w:iCs/>
                <w:szCs w:val="24"/>
              </w:rPr>
            </w:pPr>
            <w:r w:rsidRPr="004A7B1D">
              <w:rPr>
                <w:iCs/>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9"/>
              <w:gridCol w:w="1150"/>
              <w:gridCol w:w="5601"/>
            </w:tblGrid>
            <w:tr w:rsidR="004A7B1D" w:rsidRPr="004A7B1D" w14:paraId="52F0F0D7" w14:textId="77777777" w:rsidTr="00A86863">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60FCAE48" w14:textId="77777777" w:rsidR="004A7B1D" w:rsidRPr="004A7B1D" w:rsidRDefault="004A7B1D" w:rsidP="004A7B1D">
                  <w:pPr>
                    <w:spacing w:after="120"/>
                    <w:rPr>
                      <w:b/>
                      <w:iCs/>
                      <w:sz w:val="20"/>
                    </w:rPr>
                  </w:pPr>
                  <w:r w:rsidRPr="004A7B1D">
                    <w:rPr>
                      <w:b/>
                      <w:iCs/>
                      <w:sz w:val="20"/>
                    </w:rPr>
                    <w:t>Variable</w:t>
                  </w:r>
                </w:p>
              </w:tc>
              <w:tc>
                <w:tcPr>
                  <w:tcW w:w="631" w:type="pct"/>
                  <w:tcBorders>
                    <w:top w:val="single" w:sz="4" w:space="0" w:color="auto"/>
                    <w:left w:val="single" w:sz="4" w:space="0" w:color="auto"/>
                    <w:bottom w:val="single" w:sz="4" w:space="0" w:color="auto"/>
                    <w:right w:val="single" w:sz="4" w:space="0" w:color="auto"/>
                  </w:tcBorders>
                  <w:hideMark/>
                </w:tcPr>
                <w:p w14:paraId="58B6F9B0" w14:textId="77777777" w:rsidR="004A7B1D" w:rsidRPr="004A7B1D" w:rsidRDefault="004A7B1D" w:rsidP="004A7B1D">
                  <w:pPr>
                    <w:spacing w:after="120"/>
                    <w:rPr>
                      <w:b/>
                      <w:iCs/>
                      <w:sz w:val="20"/>
                    </w:rPr>
                  </w:pPr>
                  <w:r w:rsidRPr="004A7B1D">
                    <w:rPr>
                      <w:b/>
                      <w:iCs/>
                      <w:sz w:val="20"/>
                    </w:rPr>
                    <w:t>Unit</w:t>
                  </w:r>
                </w:p>
              </w:tc>
              <w:tc>
                <w:tcPr>
                  <w:tcW w:w="3074" w:type="pct"/>
                  <w:tcBorders>
                    <w:top w:val="single" w:sz="4" w:space="0" w:color="auto"/>
                    <w:left w:val="single" w:sz="4" w:space="0" w:color="auto"/>
                    <w:bottom w:val="single" w:sz="4" w:space="0" w:color="auto"/>
                    <w:right w:val="single" w:sz="4" w:space="0" w:color="auto"/>
                  </w:tcBorders>
                  <w:hideMark/>
                </w:tcPr>
                <w:p w14:paraId="7E95C69A" w14:textId="77777777" w:rsidR="004A7B1D" w:rsidRPr="004A7B1D" w:rsidRDefault="004A7B1D" w:rsidP="004A7B1D">
                  <w:pPr>
                    <w:spacing w:after="120"/>
                    <w:rPr>
                      <w:b/>
                      <w:iCs/>
                      <w:sz w:val="20"/>
                    </w:rPr>
                  </w:pPr>
                  <w:r w:rsidRPr="004A7B1D">
                    <w:rPr>
                      <w:b/>
                      <w:iCs/>
                      <w:sz w:val="20"/>
                    </w:rPr>
                    <w:t>Description</w:t>
                  </w:r>
                </w:p>
              </w:tc>
            </w:tr>
            <w:tr w:rsidR="004A7B1D" w:rsidRPr="004A7B1D" w14:paraId="3B9211DF" w14:textId="77777777" w:rsidTr="00A86863">
              <w:trPr>
                <w:cantSplit/>
              </w:trPr>
              <w:tc>
                <w:tcPr>
                  <w:tcW w:w="1295" w:type="pct"/>
                  <w:tcBorders>
                    <w:top w:val="single" w:sz="4" w:space="0" w:color="auto"/>
                    <w:left w:val="single" w:sz="4" w:space="0" w:color="auto"/>
                    <w:bottom w:val="single" w:sz="4" w:space="0" w:color="auto"/>
                    <w:right w:val="single" w:sz="4" w:space="0" w:color="auto"/>
                  </w:tcBorders>
                  <w:hideMark/>
                </w:tcPr>
                <w:p w14:paraId="00543B5B" w14:textId="77777777" w:rsidR="004A7B1D" w:rsidRPr="004A7B1D" w:rsidRDefault="004A7B1D" w:rsidP="004A7B1D">
                  <w:pPr>
                    <w:spacing w:after="60"/>
                    <w:rPr>
                      <w:sz w:val="20"/>
                    </w:rPr>
                  </w:pPr>
                  <w:r w:rsidRPr="004A7B1D">
                    <w:rPr>
                      <w:sz w:val="20"/>
                    </w:rPr>
                    <w:t xml:space="preserve">RTMCPCDRR </w:t>
                  </w:r>
                </w:p>
              </w:tc>
              <w:tc>
                <w:tcPr>
                  <w:tcW w:w="631" w:type="pct"/>
                  <w:tcBorders>
                    <w:top w:val="single" w:sz="4" w:space="0" w:color="auto"/>
                    <w:left w:val="single" w:sz="4" w:space="0" w:color="auto"/>
                    <w:bottom w:val="single" w:sz="4" w:space="0" w:color="auto"/>
                    <w:right w:val="single" w:sz="4" w:space="0" w:color="auto"/>
                  </w:tcBorders>
                  <w:hideMark/>
                </w:tcPr>
                <w:p w14:paraId="3A75BDF8" w14:textId="77777777" w:rsidR="004A7B1D" w:rsidRPr="004A7B1D" w:rsidRDefault="004A7B1D" w:rsidP="004A7B1D">
                  <w:pPr>
                    <w:spacing w:after="60"/>
                    <w:rPr>
                      <w:sz w:val="20"/>
                    </w:rPr>
                  </w:pPr>
                  <w:r w:rsidRPr="004A7B1D">
                    <w:rPr>
                      <w:sz w:val="20"/>
                    </w:rPr>
                    <w:t>$/MW</w:t>
                  </w:r>
                </w:p>
              </w:tc>
              <w:tc>
                <w:tcPr>
                  <w:tcW w:w="3074" w:type="pct"/>
                  <w:tcBorders>
                    <w:top w:val="single" w:sz="4" w:space="0" w:color="auto"/>
                    <w:left w:val="single" w:sz="4" w:space="0" w:color="auto"/>
                    <w:bottom w:val="single" w:sz="4" w:space="0" w:color="auto"/>
                    <w:right w:val="single" w:sz="4" w:space="0" w:color="auto"/>
                  </w:tcBorders>
                  <w:hideMark/>
                </w:tcPr>
                <w:p w14:paraId="52059781" w14:textId="77777777" w:rsidR="004A7B1D" w:rsidRPr="004A7B1D" w:rsidRDefault="004A7B1D" w:rsidP="004A7B1D">
                  <w:pPr>
                    <w:spacing w:after="60"/>
                    <w:rPr>
                      <w:i/>
                      <w:sz w:val="20"/>
                    </w:rPr>
                  </w:pPr>
                  <w:r w:rsidRPr="004A7B1D">
                    <w:rPr>
                      <w:i/>
                      <w:sz w:val="20"/>
                      <w:szCs w:val="18"/>
                    </w:rPr>
                    <w:t xml:space="preserve">Real-Time Market Clearing Price for Capacity for </w:t>
                  </w:r>
                  <w:r w:rsidRPr="004A7B1D">
                    <w:rPr>
                      <w:i/>
                      <w:sz w:val="20"/>
                    </w:rPr>
                    <w:t>Dispatchable Reliability Reserve Service</w:t>
                  </w:r>
                  <w:r w:rsidRPr="004A7B1D">
                    <w:rPr>
                      <w:sz w:val="20"/>
                    </w:rPr>
                    <w:t xml:space="preserve"> </w:t>
                  </w:r>
                  <w:r w:rsidRPr="004A7B1D">
                    <w:rPr>
                      <w:i/>
                      <w:sz w:val="20"/>
                      <w:szCs w:val="18"/>
                    </w:rPr>
                    <w:t>-</w:t>
                  </w:r>
                  <w:r w:rsidRPr="004A7B1D">
                    <w:rPr>
                      <w:sz w:val="20"/>
                    </w:rPr>
                    <w:t xml:space="preserve"> The Real-Time MCPC for DRRS for the 15-minute Settlement Interval.</w:t>
                  </w:r>
                </w:p>
              </w:tc>
            </w:tr>
            <w:tr w:rsidR="004A7B1D" w:rsidRPr="004A7B1D" w14:paraId="4777199D" w14:textId="77777777" w:rsidTr="00A86863">
              <w:trPr>
                <w:cantSplit/>
              </w:trPr>
              <w:tc>
                <w:tcPr>
                  <w:tcW w:w="1295" w:type="pct"/>
                  <w:tcBorders>
                    <w:top w:val="single" w:sz="4" w:space="0" w:color="auto"/>
                    <w:left w:val="single" w:sz="4" w:space="0" w:color="auto"/>
                    <w:bottom w:val="single" w:sz="4" w:space="0" w:color="auto"/>
                    <w:right w:val="single" w:sz="4" w:space="0" w:color="auto"/>
                  </w:tcBorders>
                  <w:hideMark/>
                </w:tcPr>
                <w:p w14:paraId="6DC461F7" w14:textId="77777777" w:rsidR="004A7B1D" w:rsidRPr="004A7B1D" w:rsidRDefault="004A7B1D" w:rsidP="004A7B1D">
                  <w:pPr>
                    <w:spacing w:after="60"/>
                    <w:rPr>
                      <w:sz w:val="20"/>
                    </w:rPr>
                  </w:pPr>
                  <w:r w:rsidRPr="004A7B1D">
                    <w:rPr>
                      <w:sz w:val="20"/>
                    </w:rPr>
                    <w:t>RTMCPCDRRS</w:t>
                  </w:r>
                  <w:r w:rsidRPr="004A7B1D">
                    <w:rPr>
                      <w:i/>
                      <w:sz w:val="20"/>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21EF2549" w14:textId="77777777" w:rsidR="004A7B1D" w:rsidRPr="004A7B1D" w:rsidRDefault="004A7B1D" w:rsidP="004A7B1D">
                  <w:pPr>
                    <w:spacing w:after="60"/>
                    <w:rPr>
                      <w:sz w:val="20"/>
                    </w:rPr>
                  </w:pPr>
                  <w:r w:rsidRPr="004A7B1D">
                    <w:rPr>
                      <w:sz w:val="20"/>
                    </w:rPr>
                    <w:t>$/MW</w:t>
                  </w:r>
                </w:p>
              </w:tc>
              <w:tc>
                <w:tcPr>
                  <w:tcW w:w="3074" w:type="pct"/>
                  <w:tcBorders>
                    <w:top w:val="single" w:sz="4" w:space="0" w:color="auto"/>
                    <w:left w:val="single" w:sz="4" w:space="0" w:color="auto"/>
                    <w:bottom w:val="single" w:sz="4" w:space="0" w:color="auto"/>
                    <w:right w:val="single" w:sz="4" w:space="0" w:color="auto"/>
                  </w:tcBorders>
                  <w:hideMark/>
                </w:tcPr>
                <w:p w14:paraId="6E76325D" w14:textId="77777777" w:rsidR="004A7B1D" w:rsidRPr="004A7B1D" w:rsidRDefault="004A7B1D" w:rsidP="004A7B1D">
                  <w:pPr>
                    <w:spacing w:after="60"/>
                    <w:rPr>
                      <w:i/>
                      <w:sz w:val="20"/>
                      <w:szCs w:val="18"/>
                    </w:rPr>
                  </w:pPr>
                  <w:r w:rsidRPr="004A7B1D">
                    <w:rPr>
                      <w:i/>
                      <w:sz w:val="20"/>
                      <w:szCs w:val="18"/>
                    </w:rPr>
                    <w:t xml:space="preserve">Real-Time Market Clearing Price for Capacity for </w:t>
                  </w:r>
                  <w:r w:rsidRPr="004A7B1D">
                    <w:rPr>
                      <w:i/>
                      <w:sz w:val="20"/>
                    </w:rPr>
                    <w:t>Dispatchable Reliability Reserve Service</w:t>
                  </w:r>
                  <w:r w:rsidRPr="004A7B1D">
                    <w:rPr>
                      <w:sz w:val="20"/>
                    </w:rPr>
                    <w:t xml:space="preserve"> </w:t>
                  </w:r>
                  <w:r w:rsidRPr="004A7B1D">
                    <w:rPr>
                      <w:i/>
                      <w:sz w:val="20"/>
                    </w:rPr>
                    <w:t xml:space="preserve">per SCED interval </w:t>
                  </w:r>
                  <w:r w:rsidRPr="004A7B1D">
                    <w:rPr>
                      <w:i/>
                      <w:sz w:val="20"/>
                      <w:szCs w:val="18"/>
                    </w:rPr>
                    <w:t>-</w:t>
                  </w:r>
                  <w:r w:rsidRPr="004A7B1D">
                    <w:rPr>
                      <w:sz w:val="20"/>
                    </w:rPr>
                    <w:t xml:space="preserve"> The Real-Time MCPC for DRRS for the SCED interval </w:t>
                  </w:r>
                  <w:r w:rsidRPr="004A7B1D">
                    <w:rPr>
                      <w:i/>
                      <w:sz w:val="20"/>
                    </w:rPr>
                    <w:t>y.</w:t>
                  </w:r>
                </w:p>
              </w:tc>
            </w:tr>
            <w:tr w:rsidR="004A7B1D" w:rsidRPr="004A7B1D" w14:paraId="3F99BCCF" w14:textId="77777777" w:rsidTr="00A86863">
              <w:trPr>
                <w:cantSplit/>
              </w:trPr>
              <w:tc>
                <w:tcPr>
                  <w:tcW w:w="1295" w:type="pct"/>
                </w:tcPr>
                <w:p w14:paraId="3F1E7161" w14:textId="77777777" w:rsidR="004A7B1D" w:rsidRPr="004A7B1D" w:rsidRDefault="004A7B1D" w:rsidP="004A7B1D">
                  <w:pPr>
                    <w:spacing w:after="60"/>
                    <w:rPr>
                      <w:i/>
                      <w:sz w:val="20"/>
                    </w:rPr>
                  </w:pPr>
                  <w:r w:rsidRPr="004A7B1D">
                    <w:rPr>
                      <w:sz w:val="20"/>
                    </w:rPr>
                    <w:t xml:space="preserve">RTRDPADRRS </w:t>
                  </w:r>
                  <w:r w:rsidRPr="004A7B1D">
                    <w:rPr>
                      <w:i/>
                      <w:sz w:val="20"/>
                    </w:rPr>
                    <w:t>y</w:t>
                  </w:r>
                </w:p>
              </w:tc>
              <w:tc>
                <w:tcPr>
                  <w:tcW w:w="631" w:type="pct"/>
                </w:tcPr>
                <w:p w14:paraId="0DF06BCF" w14:textId="77777777" w:rsidR="004A7B1D" w:rsidRPr="004A7B1D" w:rsidRDefault="004A7B1D" w:rsidP="004A7B1D">
                  <w:pPr>
                    <w:spacing w:after="60"/>
                    <w:rPr>
                      <w:sz w:val="20"/>
                    </w:rPr>
                  </w:pPr>
                  <w:r w:rsidRPr="004A7B1D">
                    <w:rPr>
                      <w:sz w:val="20"/>
                    </w:rPr>
                    <w:t>$/MW</w:t>
                  </w:r>
                </w:p>
              </w:tc>
              <w:tc>
                <w:tcPr>
                  <w:tcW w:w="3074" w:type="pct"/>
                </w:tcPr>
                <w:p w14:paraId="5B64A84F" w14:textId="77777777" w:rsidR="004A7B1D" w:rsidRPr="004A7B1D" w:rsidRDefault="004A7B1D" w:rsidP="004A7B1D">
                  <w:pPr>
                    <w:spacing w:after="60"/>
                    <w:rPr>
                      <w:sz w:val="20"/>
                    </w:rPr>
                  </w:pPr>
                  <w:r w:rsidRPr="004A7B1D">
                    <w:rPr>
                      <w:i/>
                      <w:sz w:val="20"/>
                    </w:rPr>
                    <w:t>Real-Time Reliability Deployment Price Adder for Ancillary Service for Dispatchable Reliability Reserve Service</w:t>
                  </w:r>
                  <w:r w:rsidRPr="004A7B1D">
                    <w:rPr>
                      <w:sz w:val="20"/>
                    </w:rPr>
                    <w:t xml:space="preserve"> </w:t>
                  </w:r>
                  <w:r w:rsidRPr="004A7B1D">
                    <w:rPr>
                      <w:i/>
                      <w:sz w:val="20"/>
                    </w:rPr>
                    <w:t>per SCED interval</w:t>
                  </w:r>
                  <w:r w:rsidRPr="004A7B1D">
                    <w:rPr>
                      <w:sz w:val="20"/>
                    </w:rPr>
                    <w:t xml:space="preserve"> - The Real-Time price adder for DRRS that captures the impact of reliability deployments on DRRS prices for the SCED interval y. </w:t>
                  </w:r>
                </w:p>
              </w:tc>
            </w:tr>
            <w:tr w:rsidR="004A7B1D" w:rsidRPr="004A7B1D" w14:paraId="26237166" w14:textId="77777777" w:rsidTr="00A86863">
              <w:trPr>
                <w:cantSplit/>
              </w:trPr>
              <w:tc>
                <w:tcPr>
                  <w:tcW w:w="1295" w:type="pct"/>
                </w:tcPr>
                <w:p w14:paraId="07ED3070" w14:textId="77777777" w:rsidR="004A7B1D" w:rsidRPr="004A7B1D" w:rsidRDefault="004A7B1D" w:rsidP="004A7B1D">
                  <w:pPr>
                    <w:spacing w:after="60"/>
                    <w:rPr>
                      <w:sz w:val="20"/>
                    </w:rPr>
                  </w:pPr>
                  <w:r w:rsidRPr="004A7B1D">
                    <w:rPr>
                      <w:iCs/>
                      <w:sz w:val="20"/>
                    </w:rPr>
                    <w:t xml:space="preserve">RNWF </w:t>
                  </w:r>
                  <w:r w:rsidRPr="004A7B1D">
                    <w:rPr>
                      <w:i/>
                      <w:iCs/>
                      <w:sz w:val="20"/>
                      <w:vertAlign w:val="subscript"/>
                    </w:rPr>
                    <w:t>y</w:t>
                  </w:r>
                </w:p>
              </w:tc>
              <w:tc>
                <w:tcPr>
                  <w:tcW w:w="631" w:type="pct"/>
                </w:tcPr>
                <w:p w14:paraId="3167E6FF" w14:textId="77777777" w:rsidR="004A7B1D" w:rsidRPr="004A7B1D" w:rsidRDefault="004A7B1D" w:rsidP="004A7B1D">
                  <w:pPr>
                    <w:spacing w:after="60"/>
                    <w:rPr>
                      <w:sz w:val="20"/>
                    </w:rPr>
                  </w:pPr>
                  <w:r w:rsidRPr="004A7B1D">
                    <w:rPr>
                      <w:iCs/>
                      <w:sz w:val="20"/>
                    </w:rPr>
                    <w:t>none</w:t>
                  </w:r>
                </w:p>
              </w:tc>
              <w:tc>
                <w:tcPr>
                  <w:tcW w:w="3074" w:type="pct"/>
                </w:tcPr>
                <w:p w14:paraId="7A1581DA" w14:textId="77777777" w:rsidR="004A7B1D" w:rsidRPr="004A7B1D" w:rsidRDefault="004A7B1D" w:rsidP="004A7B1D">
                  <w:pPr>
                    <w:spacing w:after="60"/>
                    <w:rPr>
                      <w:i/>
                      <w:sz w:val="20"/>
                    </w:rPr>
                  </w:pPr>
                  <w:r w:rsidRPr="004A7B1D">
                    <w:rPr>
                      <w:i/>
                      <w:iCs/>
                      <w:sz w:val="20"/>
                    </w:rPr>
                    <w:t>Resource Node Weighting Factor per interval</w:t>
                  </w:r>
                  <w:r w:rsidRPr="004A7B1D">
                    <w:rPr>
                      <w:rFonts w:ascii="Symbol" w:eastAsia="Symbol" w:hAnsi="Symbol" w:cs="Symbol"/>
                      <w:sz w:val="20"/>
                    </w:rPr>
                    <w:t>¾</w:t>
                  </w:r>
                  <w:r w:rsidRPr="004A7B1D">
                    <w:rPr>
                      <w:iCs/>
                      <w:sz w:val="20"/>
                    </w:rPr>
                    <w:t xml:space="preserve">The weight used in the Ancillary Service Price calculation for the portion of the SCED interval </w:t>
                  </w:r>
                  <w:r w:rsidRPr="004A7B1D">
                    <w:rPr>
                      <w:i/>
                      <w:iCs/>
                      <w:sz w:val="20"/>
                    </w:rPr>
                    <w:t>y</w:t>
                  </w:r>
                  <w:r w:rsidRPr="004A7B1D">
                    <w:rPr>
                      <w:iCs/>
                      <w:sz w:val="20"/>
                    </w:rPr>
                    <w:t xml:space="preserve"> within the Settlement Interval.</w:t>
                  </w:r>
                </w:p>
              </w:tc>
            </w:tr>
            <w:tr w:rsidR="004A7B1D" w:rsidRPr="004A7B1D" w14:paraId="6C156DB0" w14:textId="77777777" w:rsidTr="00A86863">
              <w:trPr>
                <w:cantSplit/>
              </w:trPr>
              <w:tc>
                <w:tcPr>
                  <w:tcW w:w="1295" w:type="pct"/>
                </w:tcPr>
                <w:p w14:paraId="38C20A6E" w14:textId="77777777" w:rsidR="004A7B1D" w:rsidRPr="004A7B1D" w:rsidRDefault="004A7B1D" w:rsidP="004A7B1D">
                  <w:pPr>
                    <w:spacing w:after="60"/>
                    <w:rPr>
                      <w:sz w:val="20"/>
                    </w:rPr>
                  </w:pPr>
                  <w:r w:rsidRPr="004A7B1D">
                    <w:rPr>
                      <w:iCs/>
                      <w:sz w:val="20"/>
                    </w:rPr>
                    <w:t xml:space="preserve">TLMP </w:t>
                  </w:r>
                  <w:r w:rsidRPr="004A7B1D">
                    <w:rPr>
                      <w:i/>
                      <w:iCs/>
                      <w:sz w:val="20"/>
                      <w:vertAlign w:val="subscript"/>
                    </w:rPr>
                    <w:t>y</w:t>
                  </w:r>
                </w:p>
              </w:tc>
              <w:tc>
                <w:tcPr>
                  <w:tcW w:w="631" w:type="pct"/>
                </w:tcPr>
                <w:p w14:paraId="0716F688" w14:textId="77777777" w:rsidR="004A7B1D" w:rsidRPr="004A7B1D" w:rsidRDefault="004A7B1D" w:rsidP="004A7B1D">
                  <w:pPr>
                    <w:spacing w:after="60"/>
                    <w:rPr>
                      <w:sz w:val="20"/>
                    </w:rPr>
                  </w:pPr>
                  <w:r w:rsidRPr="004A7B1D">
                    <w:rPr>
                      <w:iCs/>
                      <w:sz w:val="20"/>
                    </w:rPr>
                    <w:t>second</w:t>
                  </w:r>
                </w:p>
              </w:tc>
              <w:tc>
                <w:tcPr>
                  <w:tcW w:w="3074" w:type="pct"/>
                </w:tcPr>
                <w:p w14:paraId="16FC6759" w14:textId="77777777" w:rsidR="004A7B1D" w:rsidRPr="004A7B1D" w:rsidRDefault="004A7B1D" w:rsidP="004A7B1D">
                  <w:pPr>
                    <w:spacing w:after="60"/>
                    <w:rPr>
                      <w:i/>
                      <w:sz w:val="20"/>
                    </w:rPr>
                  </w:pPr>
                  <w:r w:rsidRPr="004A7B1D">
                    <w:rPr>
                      <w:i/>
                      <w:sz w:val="20"/>
                    </w:rPr>
                    <w:t>Duration of SCED interval per interval</w:t>
                  </w:r>
                  <w:r w:rsidRPr="004A7B1D">
                    <w:rPr>
                      <w:rFonts w:ascii="Symbol" w:eastAsia="Symbol" w:hAnsi="Symbol" w:cs="Symbol"/>
                      <w:sz w:val="20"/>
                    </w:rPr>
                    <w:t>¾</w:t>
                  </w:r>
                  <w:r w:rsidRPr="004A7B1D">
                    <w:rPr>
                      <w:iCs/>
                      <w:sz w:val="20"/>
                    </w:rPr>
                    <w:t xml:space="preserve">The duration of the portion of the SCED interval </w:t>
                  </w:r>
                  <w:r w:rsidRPr="004A7B1D">
                    <w:rPr>
                      <w:i/>
                      <w:sz w:val="20"/>
                    </w:rPr>
                    <w:t>y</w:t>
                  </w:r>
                  <w:r w:rsidRPr="004A7B1D">
                    <w:rPr>
                      <w:sz w:val="20"/>
                    </w:rPr>
                    <w:t xml:space="preserve"> within the Settlement Interval</w:t>
                  </w:r>
                  <w:r w:rsidRPr="004A7B1D">
                    <w:rPr>
                      <w:iCs/>
                      <w:sz w:val="20"/>
                    </w:rPr>
                    <w:t>.</w:t>
                  </w:r>
                </w:p>
              </w:tc>
            </w:tr>
            <w:tr w:rsidR="004A7B1D" w:rsidRPr="004A7B1D" w14:paraId="61CE7287" w14:textId="77777777" w:rsidTr="00A86863">
              <w:trPr>
                <w:cantSplit/>
              </w:trPr>
              <w:tc>
                <w:tcPr>
                  <w:tcW w:w="1295" w:type="pct"/>
                </w:tcPr>
                <w:p w14:paraId="0D1DE729" w14:textId="77777777" w:rsidR="004A7B1D" w:rsidRPr="004A7B1D" w:rsidRDefault="004A7B1D" w:rsidP="004A7B1D">
                  <w:pPr>
                    <w:spacing w:after="60"/>
                    <w:rPr>
                      <w:i/>
                      <w:sz w:val="20"/>
                    </w:rPr>
                  </w:pPr>
                  <w:r w:rsidRPr="004A7B1D">
                    <w:rPr>
                      <w:i/>
                      <w:sz w:val="20"/>
                    </w:rPr>
                    <w:t>y</w:t>
                  </w:r>
                </w:p>
              </w:tc>
              <w:tc>
                <w:tcPr>
                  <w:tcW w:w="631" w:type="pct"/>
                </w:tcPr>
                <w:p w14:paraId="4F39CADD" w14:textId="77777777" w:rsidR="004A7B1D" w:rsidRPr="004A7B1D" w:rsidRDefault="004A7B1D" w:rsidP="004A7B1D">
                  <w:pPr>
                    <w:spacing w:after="60"/>
                    <w:rPr>
                      <w:sz w:val="20"/>
                    </w:rPr>
                  </w:pPr>
                  <w:r w:rsidRPr="004A7B1D">
                    <w:rPr>
                      <w:sz w:val="20"/>
                    </w:rPr>
                    <w:t>none</w:t>
                  </w:r>
                </w:p>
              </w:tc>
              <w:tc>
                <w:tcPr>
                  <w:tcW w:w="3074" w:type="pct"/>
                </w:tcPr>
                <w:p w14:paraId="7728583F" w14:textId="77777777" w:rsidR="004A7B1D" w:rsidRPr="004A7B1D" w:rsidRDefault="004A7B1D" w:rsidP="004A7B1D">
                  <w:pPr>
                    <w:spacing w:after="60"/>
                    <w:rPr>
                      <w:sz w:val="20"/>
                    </w:rPr>
                  </w:pPr>
                  <w:r w:rsidRPr="004A7B1D">
                    <w:rPr>
                      <w:sz w:val="20"/>
                    </w:rPr>
                    <w:t>A SCED interval in the 15-minute Settlement Interval.</w:t>
                  </w:r>
                </w:p>
              </w:tc>
            </w:tr>
          </w:tbl>
          <w:p w14:paraId="20747426" w14:textId="1FF3C575" w:rsidR="004A7B1D" w:rsidRPr="004A7B1D" w:rsidRDefault="004A7B1D" w:rsidP="00A86863">
            <w:pPr>
              <w:spacing w:after="240"/>
              <w:ind w:left="720" w:hanging="720"/>
              <w:rPr>
                <w:rFonts w:eastAsia="SimSun"/>
                <w:iCs/>
                <w:szCs w:val="24"/>
              </w:rPr>
            </w:pPr>
          </w:p>
        </w:tc>
      </w:tr>
    </w:tbl>
    <w:p w14:paraId="3E7C5477" w14:textId="592081B4" w:rsidR="009658B2" w:rsidRPr="0013396E" w:rsidRDefault="009658B2" w:rsidP="005A7D8E">
      <w:pPr>
        <w:keepNext/>
        <w:widowControl w:val="0"/>
        <w:spacing w:before="480" w:after="240"/>
        <w:outlineLvl w:val="3"/>
        <w:rPr>
          <w:b/>
          <w:bCs/>
          <w:snapToGrid w:val="0"/>
        </w:rPr>
      </w:pPr>
      <w:bookmarkStart w:id="1473" w:name="_Toc236220165"/>
      <w:r w:rsidRPr="0013396E">
        <w:rPr>
          <w:b/>
          <w:bCs/>
          <w:snapToGrid w:val="0"/>
        </w:rPr>
        <w:t>6.6.1.7</w:t>
      </w:r>
      <w:r w:rsidRPr="0013396E">
        <w:rPr>
          <w:b/>
          <w:bCs/>
          <w:snapToGrid w:val="0"/>
        </w:rPr>
        <w:tab/>
      </w:r>
      <w:r w:rsidRPr="0013396E">
        <w:rPr>
          <w:b/>
          <w:bCs/>
          <w:snapToGrid w:val="0"/>
        </w:rPr>
        <w:tab/>
        <w:t>Real-Time Reliability Deployment Prices for Ancillary Services</w:t>
      </w:r>
      <w:bookmarkEnd w:id="1473"/>
    </w:p>
    <w:p w14:paraId="42C1353E" w14:textId="77777777" w:rsidR="009658B2" w:rsidRPr="0013396E" w:rsidRDefault="009658B2" w:rsidP="009658B2">
      <w:pPr>
        <w:spacing w:after="240"/>
        <w:ind w:left="720" w:hanging="720"/>
      </w:pPr>
      <w:r w:rsidRPr="0013396E">
        <w:t>(1)</w:t>
      </w:r>
      <w:r w:rsidRPr="0013396E">
        <w:tab/>
        <w:t>The Real-Time Reliability Deployment Price for Ancillary Service for Reg-Up (RTRDPRU) is the time-weighted average of the sum of the Real-Time Reliability Deployment Price Adders for Ancillary Service for Reg-Up per SCED interval.  The Real-Time Reliability Deployment Price for Ancillary Service for Reg-Up for a 15-minute Settlement Interval is calculated as follows:</w:t>
      </w:r>
    </w:p>
    <w:p w14:paraId="09246777" w14:textId="77777777" w:rsidR="009658B2" w:rsidRPr="0013396E" w:rsidRDefault="009658B2" w:rsidP="009658B2">
      <w:pPr>
        <w:pStyle w:val="FormulaBold"/>
        <w:rPr>
          <w:i/>
          <w:vertAlign w:val="subscript"/>
        </w:rPr>
      </w:pPr>
      <w:r w:rsidRPr="0013396E">
        <w:lastRenderedPageBreak/>
        <w:t xml:space="preserve">RTRDPRU  =   </w:t>
      </w:r>
      <w:r w:rsidRPr="0013396E">
        <w:rPr>
          <w:position w:val="-22"/>
        </w:rPr>
        <w:object w:dxaOrig="225" w:dyaOrig="465" w14:anchorId="2AA403EC">
          <v:shape id="_x0000_i1063" type="#_x0000_t75" style="width:24pt;height:18.6pt" o:ole="">
            <v:imagedata r:id="rId20" o:title=""/>
          </v:shape>
          <o:OLEObject Type="Embed" ProgID="Equation.3" ShapeID="_x0000_i1063" DrawAspect="Content" ObjectID="_1849065694" r:id="rId63"/>
        </w:object>
      </w:r>
      <w:r w:rsidRPr="0013396E">
        <w:t xml:space="preserve"> (RNWF </w:t>
      </w:r>
      <w:r w:rsidRPr="0013396E">
        <w:rPr>
          <w:i/>
          <w:vertAlign w:val="subscript"/>
        </w:rPr>
        <w:t>y</w:t>
      </w:r>
      <w:r w:rsidRPr="0013396E">
        <w:t xml:space="preserve"> *  RTRDPARUS </w:t>
      </w:r>
      <w:r w:rsidRPr="0013396E">
        <w:rPr>
          <w:i/>
          <w:iCs/>
          <w:vertAlign w:val="subscript"/>
        </w:rPr>
        <w:t>y</w:t>
      </w:r>
      <w:r w:rsidRPr="0013396E">
        <w:t>)</w:t>
      </w:r>
    </w:p>
    <w:p w14:paraId="54A1EED6" w14:textId="77777777" w:rsidR="009658B2" w:rsidRPr="0013396E" w:rsidRDefault="009658B2" w:rsidP="009658B2">
      <w:pPr>
        <w:pStyle w:val="BodyTextNumbered"/>
        <w:ind w:left="0" w:firstLine="0"/>
      </w:pPr>
      <w:r w:rsidRPr="0013396E">
        <w:t>Where:</w:t>
      </w:r>
    </w:p>
    <w:p w14:paraId="635460D5"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71374727">
          <v:shape id="_x0000_i1064" type="#_x0000_t75" style="width:24pt;height:18.6pt" o:ole="">
            <v:imagedata r:id="rId20" o:title=""/>
          </v:shape>
          <o:OLEObject Type="Embed" ProgID="Equation.3" ShapeID="_x0000_i1064" DrawAspect="Content" ObjectID="_1849065695" r:id="rId64"/>
        </w:object>
      </w:r>
      <w:r w:rsidRPr="0013396E">
        <w:t xml:space="preserve">TLMP </w:t>
      </w:r>
      <w:r w:rsidRPr="0013396E">
        <w:rPr>
          <w:i/>
          <w:vertAlign w:val="subscript"/>
        </w:rPr>
        <w:t>y</w:t>
      </w:r>
    </w:p>
    <w:p w14:paraId="3713A418"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1E6B1AF5"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078B08F6"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7BE3697B"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5E5282A7" w14:textId="77777777" w:rsidR="009658B2" w:rsidRPr="0013396E" w:rsidRDefault="009658B2" w:rsidP="0099759E">
            <w:pPr>
              <w:pStyle w:val="TableHead"/>
            </w:pPr>
            <w:r w:rsidRPr="0013396E">
              <w:t>Description</w:t>
            </w:r>
          </w:p>
        </w:tc>
      </w:tr>
      <w:tr w:rsidR="009658B2" w:rsidRPr="0013396E" w14:paraId="76744D0B" w14:textId="77777777" w:rsidTr="0099759E">
        <w:trPr>
          <w:cantSplit/>
        </w:trPr>
        <w:tc>
          <w:tcPr>
            <w:tcW w:w="1295" w:type="pct"/>
          </w:tcPr>
          <w:p w14:paraId="0DF5FE20" w14:textId="77777777" w:rsidR="009658B2" w:rsidRPr="0013396E" w:rsidRDefault="009658B2" w:rsidP="0099759E">
            <w:pPr>
              <w:pStyle w:val="tablebody0"/>
            </w:pPr>
            <w:r w:rsidRPr="0013396E">
              <w:t>RTRDPRU</w:t>
            </w:r>
          </w:p>
        </w:tc>
        <w:tc>
          <w:tcPr>
            <w:tcW w:w="631" w:type="pct"/>
          </w:tcPr>
          <w:p w14:paraId="3122D24A" w14:textId="77777777" w:rsidR="009658B2" w:rsidRPr="0013396E" w:rsidRDefault="009658B2" w:rsidP="0099759E">
            <w:pPr>
              <w:pStyle w:val="tablebody0"/>
            </w:pPr>
            <w:r w:rsidRPr="0013396E">
              <w:t>$/MW</w:t>
            </w:r>
          </w:p>
        </w:tc>
        <w:tc>
          <w:tcPr>
            <w:tcW w:w="3074" w:type="pct"/>
          </w:tcPr>
          <w:p w14:paraId="1FEA315C" w14:textId="77777777" w:rsidR="009658B2" w:rsidRPr="0013396E" w:rsidRDefault="009658B2" w:rsidP="0099759E">
            <w:pPr>
              <w:pStyle w:val="tablebody0"/>
              <w:rPr>
                <w:i/>
                <w:szCs w:val="18"/>
              </w:rPr>
            </w:pPr>
            <w:r w:rsidRPr="0013396E">
              <w:rPr>
                <w:i/>
                <w:szCs w:val="18"/>
              </w:rPr>
              <w:t>Real-Time Reliability Deployment Price for Ancillary Service for Reg-Up -</w:t>
            </w:r>
            <w:r w:rsidRPr="0013396E">
              <w:t xml:space="preserve"> The Real-Time Reliability Deployment Price for Ancillary Service for Reg-Up for the 15-minute Settlement Interval.</w:t>
            </w:r>
          </w:p>
        </w:tc>
      </w:tr>
      <w:tr w:rsidR="009658B2" w:rsidRPr="0013396E" w14:paraId="752382F7" w14:textId="77777777" w:rsidTr="0099759E">
        <w:trPr>
          <w:cantSplit/>
        </w:trPr>
        <w:tc>
          <w:tcPr>
            <w:tcW w:w="1295" w:type="pct"/>
          </w:tcPr>
          <w:p w14:paraId="66BC88CB" w14:textId="77777777" w:rsidR="009658B2" w:rsidRPr="0013396E" w:rsidRDefault="009658B2" w:rsidP="0099759E">
            <w:pPr>
              <w:pStyle w:val="tablebody0"/>
              <w:rPr>
                <w:i/>
              </w:rPr>
            </w:pPr>
            <w:r w:rsidRPr="0013396E">
              <w:t>RTRDPARUS</w:t>
            </w:r>
            <w:r w:rsidRPr="0013396E">
              <w:rPr>
                <w:rFonts w:ascii="Segoe UI" w:hAnsi="Segoe UI" w:cs="Segoe UI"/>
                <w:color w:val="000000"/>
              </w:rPr>
              <w:t xml:space="preserve"> </w:t>
            </w:r>
            <w:r w:rsidRPr="0013396E">
              <w:rPr>
                <w:i/>
                <w:vertAlign w:val="subscript"/>
              </w:rPr>
              <w:t>y</w:t>
            </w:r>
          </w:p>
        </w:tc>
        <w:tc>
          <w:tcPr>
            <w:tcW w:w="631" w:type="pct"/>
          </w:tcPr>
          <w:p w14:paraId="69D8BFDE" w14:textId="77777777" w:rsidR="009658B2" w:rsidRPr="0013396E" w:rsidRDefault="009658B2" w:rsidP="0099759E">
            <w:pPr>
              <w:pStyle w:val="tablebody0"/>
            </w:pPr>
            <w:r w:rsidRPr="0013396E">
              <w:t>$/MW</w:t>
            </w:r>
          </w:p>
        </w:tc>
        <w:tc>
          <w:tcPr>
            <w:tcW w:w="3074" w:type="pct"/>
          </w:tcPr>
          <w:p w14:paraId="3B45859C" w14:textId="77777777" w:rsidR="009658B2" w:rsidRPr="0013396E" w:rsidRDefault="009658B2" w:rsidP="0099759E">
            <w:pPr>
              <w:pStyle w:val="tablebody0"/>
            </w:pPr>
            <w:r w:rsidRPr="0013396E">
              <w:rPr>
                <w:i/>
                <w:szCs w:val="18"/>
              </w:rPr>
              <w:t xml:space="preserve">Real-Time </w:t>
            </w:r>
            <w:r w:rsidRPr="0013396E">
              <w:rPr>
                <w:i/>
              </w:rPr>
              <w:t xml:space="preserve">Reliability Deployment Price Adder for Ancillary Service </w:t>
            </w:r>
            <w:r w:rsidRPr="0013396E">
              <w:rPr>
                <w:i/>
                <w:szCs w:val="18"/>
              </w:rPr>
              <w:t xml:space="preserve">for Reg-Up </w:t>
            </w:r>
            <w:r w:rsidRPr="0013396E">
              <w:rPr>
                <w:i/>
              </w:rPr>
              <w:t>per SCED interval</w:t>
            </w:r>
            <w:r w:rsidRPr="0013396E">
              <w:t xml:space="preserve"> - The Real-Time price adder for Reg-Up that captures the impact of reliability deployments on Reg-Up prices for the SCED interval y.</w:t>
            </w:r>
          </w:p>
        </w:tc>
      </w:tr>
      <w:tr w:rsidR="009658B2" w:rsidRPr="0013396E" w14:paraId="15BDE175" w14:textId="77777777" w:rsidTr="0099759E">
        <w:trPr>
          <w:cantSplit/>
        </w:trPr>
        <w:tc>
          <w:tcPr>
            <w:tcW w:w="1295" w:type="pct"/>
          </w:tcPr>
          <w:p w14:paraId="6E644101"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171EA632" w14:textId="77777777" w:rsidR="009658B2" w:rsidRPr="0013396E" w:rsidRDefault="009658B2" w:rsidP="0099759E">
            <w:pPr>
              <w:pStyle w:val="tablebody0"/>
            </w:pPr>
            <w:r w:rsidRPr="0013396E">
              <w:rPr>
                <w:iCs/>
              </w:rPr>
              <w:t>none</w:t>
            </w:r>
          </w:p>
        </w:tc>
        <w:tc>
          <w:tcPr>
            <w:tcW w:w="3074" w:type="pct"/>
          </w:tcPr>
          <w:p w14:paraId="0DDA961F" w14:textId="77777777" w:rsidR="009658B2" w:rsidRPr="0013396E" w:rsidRDefault="009658B2" w:rsidP="0099759E">
            <w:pPr>
              <w:pStyle w:val="tablebody0"/>
              <w:rPr>
                <w:i/>
                <w:szCs w:val="18"/>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63AEF7C3" w14:textId="77777777" w:rsidTr="0099759E">
        <w:trPr>
          <w:cantSplit/>
        </w:trPr>
        <w:tc>
          <w:tcPr>
            <w:tcW w:w="1295" w:type="pct"/>
          </w:tcPr>
          <w:p w14:paraId="307EEFD7"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10C3D6A3" w14:textId="77777777" w:rsidR="009658B2" w:rsidRPr="0013396E" w:rsidRDefault="009658B2" w:rsidP="0099759E">
            <w:pPr>
              <w:pStyle w:val="tablebody0"/>
            </w:pPr>
            <w:r w:rsidRPr="0013396E">
              <w:rPr>
                <w:iCs/>
              </w:rPr>
              <w:t>second</w:t>
            </w:r>
          </w:p>
        </w:tc>
        <w:tc>
          <w:tcPr>
            <w:tcW w:w="3074" w:type="pct"/>
          </w:tcPr>
          <w:p w14:paraId="440DE24A" w14:textId="77777777" w:rsidR="009658B2" w:rsidRPr="0013396E" w:rsidRDefault="009658B2" w:rsidP="0099759E">
            <w:pPr>
              <w:pStyle w:val="tablebody0"/>
              <w:rPr>
                <w:i/>
                <w:szCs w:val="18"/>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6E37A673" w14:textId="77777777" w:rsidTr="0099759E">
        <w:trPr>
          <w:cantSplit/>
        </w:trPr>
        <w:tc>
          <w:tcPr>
            <w:tcW w:w="1295" w:type="pct"/>
          </w:tcPr>
          <w:p w14:paraId="4A63ED99" w14:textId="77777777" w:rsidR="009658B2" w:rsidRPr="0013396E" w:rsidRDefault="009658B2" w:rsidP="0099759E">
            <w:pPr>
              <w:pStyle w:val="tablebody0"/>
              <w:rPr>
                <w:i/>
              </w:rPr>
            </w:pPr>
            <w:r w:rsidRPr="0013396E">
              <w:rPr>
                <w:i/>
              </w:rPr>
              <w:t>y</w:t>
            </w:r>
          </w:p>
        </w:tc>
        <w:tc>
          <w:tcPr>
            <w:tcW w:w="631" w:type="pct"/>
          </w:tcPr>
          <w:p w14:paraId="769EE6C9" w14:textId="77777777" w:rsidR="009658B2" w:rsidRPr="0013396E" w:rsidRDefault="009658B2" w:rsidP="0099759E">
            <w:pPr>
              <w:pStyle w:val="tablebody0"/>
            </w:pPr>
            <w:r w:rsidRPr="0013396E">
              <w:t>none</w:t>
            </w:r>
          </w:p>
        </w:tc>
        <w:tc>
          <w:tcPr>
            <w:tcW w:w="3074" w:type="pct"/>
          </w:tcPr>
          <w:p w14:paraId="4908B5EA" w14:textId="77777777" w:rsidR="009658B2" w:rsidRPr="0013396E" w:rsidRDefault="009658B2" w:rsidP="0099759E">
            <w:pPr>
              <w:pStyle w:val="tablebody0"/>
            </w:pPr>
            <w:r w:rsidRPr="0013396E">
              <w:t>A SCED interval in the 15-minute Settlement Interval.</w:t>
            </w:r>
          </w:p>
        </w:tc>
      </w:tr>
    </w:tbl>
    <w:p w14:paraId="67F97ED0" w14:textId="77777777" w:rsidR="009658B2" w:rsidRPr="0013396E" w:rsidRDefault="009658B2" w:rsidP="009658B2">
      <w:pPr>
        <w:spacing w:before="240" w:after="240"/>
        <w:ind w:left="720" w:hanging="720"/>
      </w:pPr>
      <w:r w:rsidRPr="0013396E">
        <w:rPr>
          <w:bCs/>
          <w:snapToGrid w:val="0"/>
        </w:rPr>
        <w:t>(2)</w:t>
      </w:r>
      <w:r w:rsidRPr="0013396E">
        <w:t xml:space="preserve"> </w:t>
      </w:r>
      <w:r w:rsidRPr="0013396E">
        <w:tab/>
        <w:t>The Real-Time Reliability Deployment Price for Ancillary Service for Reg-Down (RTRDPRD) is the time-weighted average of the sum of the Real-Time Reliability Deployment Price Adders for Ancillary Service for Reg-Down per SCED interval.  The Real-Time Reliability Deployment Price for Ancillary Service for Reg-Down for a 15-minute Settlement Interval is calculated as follows:</w:t>
      </w:r>
    </w:p>
    <w:p w14:paraId="6982E746" w14:textId="77777777" w:rsidR="009658B2" w:rsidRPr="0013396E" w:rsidRDefault="009658B2" w:rsidP="009658B2">
      <w:pPr>
        <w:pStyle w:val="FormulaBold"/>
        <w:rPr>
          <w:i/>
          <w:vertAlign w:val="subscript"/>
        </w:rPr>
      </w:pPr>
      <w:r w:rsidRPr="0013396E">
        <w:t xml:space="preserve">RTRDPRD  =   </w:t>
      </w:r>
      <w:r w:rsidRPr="0013396E">
        <w:rPr>
          <w:position w:val="-22"/>
        </w:rPr>
        <w:object w:dxaOrig="225" w:dyaOrig="465" w14:anchorId="70B19BE0">
          <v:shape id="_x0000_i1065" type="#_x0000_t75" style="width:24pt;height:18.6pt" o:ole="">
            <v:imagedata r:id="rId20" o:title=""/>
          </v:shape>
          <o:OLEObject Type="Embed" ProgID="Equation.3" ShapeID="_x0000_i1065" DrawAspect="Content" ObjectID="_1849065696" r:id="rId65"/>
        </w:object>
      </w:r>
      <w:r w:rsidRPr="0013396E">
        <w:t xml:space="preserve"> (RNWF </w:t>
      </w:r>
      <w:r w:rsidRPr="0013396E">
        <w:rPr>
          <w:i/>
          <w:vertAlign w:val="subscript"/>
        </w:rPr>
        <w:t>y</w:t>
      </w:r>
      <w:r w:rsidRPr="0013396E">
        <w:t xml:space="preserve"> * RTRDPARDS </w:t>
      </w:r>
      <w:r w:rsidRPr="0013396E">
        <w:rPr>
          <w:i/>
          <w:vertAlign w:val="subscript"/>
        </w:rPr>
        <w:t>y</w:t>
      </w:r>
      <w:r w:rsidRPr="0013396E">
        <w:t>)</w:t>
      </w:r>
    </w:p>
    <w:p w14:paraId="5DEF4FFB" w14:textId="77777777" w:rsidR="009658B2" w:rsidRPr="0013396E" w:rsidRDefault="009658B2" w:rsidP="009658B2">
      <w:pPr>
        <w:pStyle w:val="BodyTextNumbered"/>
        <w:ind w:left="0" w:firstLine="0"/>
      </w:pPr>
      <w:r w:rsidRPr="0013396E">
        <w:t>Where:</w:t>
      </w:r>
    </w:p>
    <w:p w14:paraId="40DC2B12"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68B5D230">
          <v:shape id="_x0000_i1066" type="#_x0000_t75" style="width:24pt;height:18.6pt" o:ole="">
            <v:imagedata r:id="rId20" o:title=""/>
          </v:shape>
          <o:OLEObject Type="Embed" ProgID="Equation.3" ShapeID="_x0000_i1066" DrawAspect="Content" ObjectID="_1849065697" r:id="rId66"/>
        </w:object>
      </w:r>
      <w:r w:rsidRPr="0013396E">
        <w:t xml:space="preserve">TLMP </w:t>
      </w:r>
      <w:r w:rsidRPr="0013396E">
        <w:rPr>
          <w:i/>
          <w:vertAlign w:val="subscript"/>
        </w:rPr>
        <w:t>y</w:t>
      </w:r>
    </w:p>
    <w:p w14:paraId="596D380A"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23B6ED40"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4E0BC40E"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346D208F"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5986CEC3" w14:textId="77777777" w:rsidR="009658B2" w:rsidRPr="0013396E" w:rsidRDefault="009658B2" w:rsidP="0099759E">
            <w:pPr>
              <w:pStyle w:val="TableHead"/>
            </w:pPr>
            <w:r w:rsidRPr="0013396E">
              <w:t>Description</w:t>
            </w:r>
          </w:p>
        </w:tc>
      </w:tr>
      <w:tr w:rsidR="009658B2" w:rsidRPr="0013396E" w14:paraId="31599843"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3BB884FF" w14:textId="77777777" w:rsidR="009658B2" w:rsidRPr="0013396E" w:rsidRDefault="009658B2" w:rsidP="0099759E">
            <w:pPr>
              <w:pStyle w:val="tablebody0"/>
            </w:pPr>
            <w:r w:rsidRPr="0013396E">
              <w:t>RTRDPRD</w:t>
            </w:r>
          </w:p>
        </w:tc>
        <w:tc>
          <w:tcPr>
            <w:tcW w:w="631" w:type="pct"/>
            <w:tcBorders>
              <w:top w:val="single" w:sz="4" w:space="0" w:color="auto"/>
              <w:left w:val="single" w:sz="4" w:space="0" w:color="auto"/>
              <w:bottom w:val="single" w:sz="4" w:space="0" w:color="auto"/>
              <w:right w:val="single" w:sz="4" w:space="0" w:color="auto"/>
            </w:tcBorders>
            <w:hideMark/>
          </w:tcPr>
          <w:p w14:paraId="30D2EED3"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2720D35F" w14:textId="77777777" w:rsidR="009658B2" w:rsidRPr="0013396E" w:rsidRDefault="009658B2" w:rsidP="0099759E">
            <w:pPr>
              <w:pStyle w:val="tablebody0"/>
              <w:rPr>
                <w:i/>
              </w:rPr>
            </w:pPr>
            <w:r w:rsidRPr="0013396E">
              <w:rPr>
                <w:i/>
                <w:szCs w:val="18"/>
              </w:rPr>
              <w:t>Real-Time Reliability Deployment Price for Ancillary Service for Reg-Down -</w:t>
            </w:r>
            <w:r w:rsidRPr="0013396E">
              <w:t xml:space="preserve"> The Real-Time Reliability Deployment Price for Ancillary Service for Reg-Down for the 15-minute Settlement Interval.</w:t>
            </w:r>
          </w:p>
        </w:tc>
      </w:tr>
      <w:tr w:rsidR="009658B2" w:rsidRPr="0013396E" w14:paraId="7D06AB85" w14:textId="77777777" w:rsidTr="0099759E">
        <w:trPr>
          <w:cantSplit/>
        </w:trPr>
        <w:tc>
          <w:tcPr>
            <w:tcW w:w="1295" w:type="pct"/>
          </w:tcPr>
          <w:p w14:paraId="55331762" w14:textId="77777777" w:rsidR="009658B2" w:rsidRPr="0013396E" w:rsidRDefault="009658B2" w:rsidP="0099759E">
            <w:pPr>
              <w:pStyle w:val="tablebody0"/>
              <w:rPr>
                <w:i/>
              </w:rPr>
            </w:pPr>
            <w:r w:rsidRPr="0013396E">
              <w:t xml:space="preserve">RTRDPARDS </w:t>
            </w:r>
            <w:r w:rsidRPr="0013396E">
              <w:rPr>
                <w:i/>
              </w:rPr>
              <w:t>y</w:t>
            </w:r>
          </w:p>
        </w:tc>
        <w:tc>
          <w:tcPr>
            <w:tcW w:w="631" w:type="pct"/>
          </w:tcPr>
          <w:p w14:paraId="2414EAA9" w14:textId="77777777" w:rsidR="009658B2" w:rsidRPr="0013396E" w:rsidRDefault="009658B2" w:rsidP="0099759E">
            <w:pPr>
              <w:pStyle w:val="tablebody0"/>
            </w:pPr>
            <w:r w:rsidRPr="0013396E">
              <w:t>$/MW</w:t>
            </w:r>
          </w:p>
        </w:tc>
        <w:tc>
          <w:tcPr>
            <w:tcW w:w="3074" w:type="pct"/>
          </w:tcPr>
          <w:p w14:paraId="517B29FD" w14:textId="77777777" w:rsidR="009658B2" w:rsidRPr="0013396E" w:rsidRDefault="009658B2" w:rsidP="0099759E">
            <w:pPr>
              <w:pStyle w:val="tablebody0"/>
            </w:pPr>
            <w:r w:rsidRPr="0013396E">
              <w:rPr>
                <w:i/>
                <w:szCs w:val="18"/>
              </w:rPr>
              <w:t xml:space="preserve">Real-Time </w:t>
            </w:r>
            <w:r w:rsidRPr="0013396E">
              <w:rPr>
                <w:i/>
              </w:rPr>
              <w:t xml:space="preserve">Reliability Deployment Price Adder for Ancillary Service </w:t>
            </w:r>
            <w:r w:rsidRPr="0013396E">
              <w:rPr>
                <w:i/>
                <w:szCs w:val="18"/>
              </w:rPr>
              <w:t xml:space="preserve">for Reg-Down </w:t>
            </w:r>
            <w:r w:rsidRPr="0013396E">
              <w:rPr>
                <w:i/>
              </w:rPr>
              <w:t xml:space="preserve">per SCED interval </w:t>
            </w:r>
            <w:r w:rsidRPr="0013396E">
              <w:t xml:space="preserve">- The Real-Time price adder for Reg-Down that captures the impact of reliability deployments on Reg-Down prices for the SCED interval </w:t>
            </w:r>
            <w:r w:rsidRPr="0013396E">
              <w:rPr>
                <w:i/>
              </w:rPr>
              <w:t>y</w:t>
            </w:r>
            <w:r w:rsidRPr="0013396E">
              <w:t>.</w:t>
            </w:r>
          </w:p>
        </w:tc>
      </w:tr>
      <w:tr w:rsidR="009658B2" w:rsidRPr="0013396E" w14:paraId="3C2EDDFF" w14:textId="77777777" w:rsidTr="0099759E">
        <w:trPr>
          <w:cantSplit/>
        </w:trPr>
        <w:tc>
          <w:tcPr>
            <w:tcW w:w="1295" w:type="pct"/>
          </w:tcPr>
          <w:p w14:paraId="03EEFAA4" w14:textId="77777777" w:rsidR="009658B2" w:rsidRPr="0013396E" w:rsidRDefault="009658B2" w:rsidP="0099759E">
            <w:pPr>
              <w:pStyle w:val="tablebody0"/>
            </w:pPr>
            <w:r w:rsidRPr="0013396E">
              <w:rPr>
                <w:iCs/>
              </w:rPr>
              <w:lastRenderedPageBreak/>
              <w:t xml:space="preserve">RNWF </w:t>
            </w:r>
            <w:r w:rsidRPr="0013396E">
              <w:rPr>
                <w:i/>
                <w:iCs/>
                <w:vertAlign w:val="subscript"/>
              </w:rPr>
              <w:t>y</w:t>
            </w:r>
          </w:p>
        </w:tc>
        <w:tc>
          <w:tcPr>
            <w:tcW w:w="631" w:type="pct"/>
          </w:tcPr>
          <w:p w14:paraId="021219A8" w14:textId="77777777" w:rsidR="009658B2" w:rsidRPr="0013396E" w:rsidRDefault="009658B2" w:rsidP="0099759E">
            <w:pPr>
              <w:pStyle w:val="tablebody0"/>
            </w:pPr>
            <w:r w:rsidRPr="0013396E">
              <w:rPr>
                <w:iCs/>
              </w:rPr>
              <w:t>none</w:t>
            </w:r>
          </w:p>
        </w:tc>
        <w:tc>
          <w:tcPr>
            <w:tcW w:w="3074" w:type="pct"/>
          </w:tcPr>
          <w:p w14:paraId="0B6EFEBA" w14:textId="77777777" w:rsidR="009658B2" w:rsidRPr="0013396E" w:rsidRDefault="009658B2" w:rsidP="0099759E">
            <w:pPr>
              <w:pStyle w:val="tablebody0"/>
              <w:rPr>
                <w:i/>
                <w:szCs w:val="18"/>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13A4D81C" w14:textId="77777777" w:rsidTr="0099759E">
        <w:trPr>
          <w:cantSplit/>
        </w:trPr>
        <w:tc>
          <w:tcPr>
            <w:tcW w:w="1295" w:type="pct"/>
          </w:tcPr>
          <w:p w14:paraId="6D07417D"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4A683C5D" w14:textId="77777777" w:rsidR="009658B2" w:rsidRPr="0013396E" w:rsidRDefault="009658B2" w:rsidP="0099759E">
            <w:pPr>
              <w:pStyle w:val="tablebody0"/>
            </w:pPr>
            <w:r w:rsidRPr="0013396E">
              <w:rPr>
                <w:iCs/>
              </w:rPr>
              <w:t>second</w:t>
            </w:r>
          </w:p>
        </w:tc>
        <w:tc>
          <w:tcPr>
            <w:tcW w:w="3074" w:type="pct"/>
          </w:tcPr>
          <w:p w14:paraId="1BE0A19D" w14:textId="77777777" w:rsidR="009658B2" w:rsidRPr="0013396E" w:rsidRDefault="009658B2" w:rsidP="0099759E">
            <w:pPr>
              <w:pStyle w:val="tablebody0"/>
              <w:rPr>
                <w:i/>
                <w:szCs w:val="18"/>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2CD1CB29" w14:textId="77777777" w:rsidTr="0099759E">
        <w:trPr>
          <w:cantSplit/>
        </w:trPr>
        <w:tc>
          <w:tcPr>
            <w:tcW w:w="1295" w:type="pct"/>
          </w:tcPr>
          <w:p w14:paraId="36035602" w14:textId="77777777" w:rsidR="009658B2" w:rsidRPr="0013396E" w:rsidRDefault="009658B2" w:rsidP="0099759E">
            <w:pPr>
              <w:pStyle w:val="tablebody0"/>
              <w:rPr>
                <w:i/>
              </w:rPr>
            </w:pPr>
            <w:r w:rsidRPr="0013396E">
              <w:rPr>
                <w:i/>
              </w:rPr>
              <w:t>y</w:t>
            </w:r>
          </w:p>
        </w:tc>
        <w:tc>
          <w:tcPr>
            <w:tcW w:w="631" w:type="pct"/>
          </w:tcPr>
          <w:p w14:paraId="3907482B" w14:textId="77777777" w:rsidR="009658B2" w:rsidRPr="0013396E" w:rsidRDefault="009658B2" w:rsidP="0099759E">
            <w:pPr>
              <w:pStyle w:val="tablebody0"/>
            </w:pPr>
            <w:r w:rsidRPr="0013396E">
              <w:t>none</w:t>
            </w:r>
          </w:p>
        </w:tc>
        <w:tc>
          <w:tcPr>
            <w:tcW w:w="3074" w:type="pct"/>
          </w:tcPr>
          <w:p w14:paraId="6768715C" w14:textId="77777777" w:rsidR="009658B2" w:rsidRPr="0013396E" w:rsidRDefault="009658B2" w:rsidP="0099759E">
            <w:pPr>
              <w:pStyle w:val="tablebody0"/>
            </w:pPr>
            <w:r w:rsidRPr="0013396E">
              <w:t>A SCED interval in the 15-minute Settlement Interval.</w:t>
            </w:r>
          </w:p>
        </w:tc>
      </w:tr>
    </w:tbl>
    <w:p w14:paraId="076BBD96" w14:textId="77777777" w:rsidR="009658B2" w:rsidRPr="0013396E" w:rsidRDefault="009658B2" w:rsidP="009658B2">
      <w:pPr>
        <w:spacing w:before="240" w:after="240"/>
        <w:ind w:left="720" w:hanging="720"/>
      </w:pPr>
      <w:r w:rsidRPr="0013396E">
        <w:rPr>
          <w:bCs/>
          <w:snapToGrid w:val="0"/>
        </w:rPr>
        <w:t>(3)</w:t>
      </w:r>
      <w:r w:rsidRPr="0013396E">
        <w:t xml:space="preserve"> </w:t>
      </w:r>
      <w:r w:rsidRPr="0013396E">
        <w:tab/>
        <w:t>The Real-Time Reliability Deployment Price for Ancillary Service for Responsive Reserve (RTRDPRRS) is the time-weighted average of the sum of the Real-Time Reliability Deployment Price Adders for Ancillary Service for Responsive Reserve per SCED interval.  The Real-Time Reliability Deployment Price for Ancillary Service for Responsive Reserve for a 15-minute Settlement Interval is calculated as follows:</w:t>
      </w:r>
    </w:p>
    <w:p w14:paraId="4B54E73A" w14:textId="77777777" w:rsidR="009658B2" w:rsidRPr="005A7D8E" w:rsidRDefault="009658B2" w:rsidP="005A7D8E">
      <w:pPr>
        <w:spacing w:before="240" w:after="240"/>
        <w:ind w:left="720"/>
        <w:rPr>
          <w:b/>
          <w:bCs/>
          <w:i/>
          <w:vertAlign w:val="subscript"/>
        </w:rPr>
      </w:pPr>
      <w:r w:rsidRPr="005A7D8E">
        <w:rPr>
          <w:b/>
          <w:bCs/>
        </w:rPr>
        <w:t xml:space="preserve">RTRDPRRS  =   </w:t>
      </w:r>
      <w:r w:rsidRPr="00DA0E3D">
        <w:rPr>
          <w:b/>
          <w:bCs/>
          <w:position w:val="-22"/>
        </w:rPr>
        <w:object w:dxaOrig="225" w:dyaOrig="465" w14:anchorId="224D7858">
          <v:shape id="_x0000_i1067" type="#_x0000_t75" style="width:24pt;height:18.6pt" o:ole="">
            <v:imagedata r:id="rId20" o:title=""/>
          </v:shape>
          <o:OLEObject Type="Embed" ProgID="Equation.3" ShapeID="_x0000_i1067" DrawAspect="Content" ObjectID="_1849065698" r:id="rId67"/>
        </w:object>
      </w:r>
      <w:r w:rsidRPr="005A7D8E">
        <w:rPr>
          <w:b/>
          <w:bCs/>
        </w:rPr>
        <w:t xml:space="preserve"> (RNWF </w:t>
      </w:r>
      <w:r w:rsidRPr="005A7D8E">
        <w:rPr>
          <w:b/>
          <w:bCs/>
          <w:i/>
          <w:vertAlign w:val="subscript"/>
        </w:rPr>
        <w:t>y</w:t>
      </w:r>
      <w:r w:rsidRPr="005A7D8E">
        <w:rPr>
          <w:b/>
          <w:bCs/>
        </w:rPr>
        <w:t xml:space="preserve"> * RTRDPARRS </w:t>
      </w:r>
      <w:r w:rsidRPr="005A7D8E">
        <w:rPr>
          <w:b/>
          <w:bCs/>
          <w:i/>
          <w:vertAlign w:val="subscript"/>
        </w:rPr>
        <w:t>y</w:t>
      </w:r>
      <w:r w:rsidRPr="005A7D8E">
        <w:rPr>
          <w:b/>
          <w:bCs/>
        </w:rPr>
        <w:t>)</w:t>
      </w:r>
    </w:p>
    <w:p w14:paraId="13377DB4" w14:textId="77777777" w:rsidR="009658B2" w:rsidRPr="0013396E" w:rsidRDefault="009658B2" w:rsidP="009658B2">
      <w:pPr>
        <w:pStyle w:val="BodyTextNumbered"/>
        <w:ind w:left="0" w:firstLine="0"/>
      </w:pPr>
      <w:r w:rsidRPr="0013396E">
        <w:t>Where:</w:t>
      </w:r>
    </w:p>
    <w:p w14:paraId="52DE2FDE"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110E99F2">
          <v:shape id="_x0000_i1068" type="#_x0000_t75" style="width:24pt;height:18.6pt" o:ole="">
            <v:imagedata r:id="rId20" o:title=""/>
          </v:shape>
          <o:OLEObject Type="Embed" ProgID="Equation.3" ShapeID="_x0000_i1068" DrawAspect="Content" ObjectID="_1849065699" r:id="rId68"/>
        </w:object>
      </w:r>
      <w:r w:rsidRPr="0013396E">
        <w:t xml:space="preserve">TLMP </w:t>
      </w:r>
      <w:r w:rsidRPr="0013396E">
        <w:rPr>
          <w:i/>
          <w:vertAlign w:val="subscript"/>
        </w:rPr>
        <w:t>y</w:t>
      </w:r>
    </w:p>
    <w:p w14:paraId="30DF2A72"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0A88CBF0"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7C6C263C"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5C03CF4B"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1934680F" w14:textId="77777777" w:rsidR="009658B2" w:rsidRPr="0013396E" w:rsidRDefault="009658B2" w:rsidP="0099759E">
            <w:pPr>
              <w:pStyle w:val="TableHead"/>
            </w:pPr>
            <w:r w:rsidRPr="0013396E">
              <w:t>Description</w:t>
            </w:r>
          </w:p>
        </w:tc>
      </w:tr>
      <w:tr w:rsidR="009658B2" w:rsidRPr="0013396E" w14:paraId="29E93E06"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3D046A6A" w14:textId="77777777" w:rsidR="009658B2" w:rsidRPr="0013396E" w:rsidRDefault="009658B2" w:rsidP="0099759E">
            <w:pPr>
              <w:pStyle w:val="tablebody0"/>
            </w:pPr>
            <w:r w:rsidRPr="0013396E">
              <w:t xml:space="preserve">RTRDPRRS </w:t>
            </w:r>
          </w:p>
        </w:tc>
        <w:tc>
          <w:tcPr>
            <w:tcW w:w="631" w:type="pct"/>
            <w:tcBorders>
              <w:top w:val="single" w:sz="4" w:space="0" w:color="auto"/>
              <w:left w:val="single" w:sz="4" w:space="0" w:color="auto"/>
              <w:bottom w:val="single" w:sz="4" w:space="0" w:color="auto"/>
              <w:right w:val="single" w:sz="4" w:space="0" w:color="auto"/>
            </w:tcBorders>
            <w:hideMark/>
          </w:tcPr>
          <w:p w14:paraId="6D732F22"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76E42841" w14:textId="77777777" w:rsidR="009658B2" w:rsidRPr="0013396E" w:rsidRDefault="009658B2" w:rsidP="0099759E">
            <w:pPr>
              <w:pStyle w:val="tablebody0"/>
              <w:rPr>
                <w:i/>
              </w:rPr>
            </w:pPr>
            <w:r w:rsidRPr="0013396E">
              <w:rPr>
                <w:i/>
                <w:szCs w:val="18"/>
              </w:rPr>
              <w:t xml:space="preserve">Real-Time </w:t>
            </w:r>
            <w:r w:rsidRPr="0013396E">
              <w:rPr>
                <w:i/>
              </w:rPr>
              <w:t xml:space="preserve">Reliability Deployment Price for Ancillary Service </w:t>
            </w:r>
            <w:r w:rsidRPr="0013396E">
              <w:rPr>
                <w:i/>
                <w:szCs w:val="18"/>
              </w:rPr>
              <w:t>for Responsive Reserve -</w:t>
            </w:r>
            <w:r w:rsidRPr="0013396E">
              <w:t xml:space="preserve"> The Real-Time Reliability Deployment Price for Ancillary Service for RRS for the 15-minute Settlement Interval.</w:t>
            </w:r>
          </w:p>
        </w:tc>
      </w:tr>
      <w:tr w:rsidR="009658B2" w:rsidRPr="0013396E" w14:paraId="3F77F6E5" w14:textId="77777777" w:rsidTr="0099759E">
        <w:trPr>
          <w:cantSplit/>
        </w:trPr>
        <w:tc>
          <w:tcPr>
            <w:tcW w:w="1295" w:type="pct"/>
          </w:tcPr>
          <w:p w14:paraId="73FD421F" w14:textId="77777777" w:rsidR="009658B2" w:rsidRPr="0013396E" w:rsidRDefault="009658B2" w:rsidP="0099759E">
            <w:pPr>
              <w:pStyle w:val="tablebody0"/>
              <w:rPr>
                <w:i/>
              </w:rPr>
            </w:pPr>
            <w:r w:rsidRPr="0013396E">
              <w:t xml:space="preserve">RTRDPARRS </w:t>
            </w:r>
            <w:r w:rsidRPr="0013396E">
              <w:rPr>
                <w:i/>
              </w:rPr>
              <w:t>y</w:t>
            </w:r>
          </w:p>
        </w:tc>
        <w:tc>
          <w:tcPr>
            <w:tcW w:w="631" w:type="pct"/>
          </w:tcPr>
          <w:p w14:paraId="55DE8636" w14:textId="77777777" w:rsidR="009658B2" w:rsidRPr="0013396E" w:rsidRDefault="009658B2" w:rsidP="0099759E">
            <w:pPr>
              <w:pStyle w:val="tablebody0"/>
            </w:pPr>
            <w:r w:rsidRPr="0013396E">
              <w:t>$/MW</w:t>
            </w:r>
          </w:p>
        </w:tc>
        <w:tc>
          <w:tcPr>
            <w:tcW w:w="3074" w:type="pct"/>
          </w:tcPr>
          <w:p w14:paraId="54CFB5A2" w14:textId="77777777" w:rsidR="009658B2" w:rsidRPr="0013396E" w:rsidRDefault="009658B2" w:rsidP="0099759E">
            <w:pPr>
              <w:pStyle w:val="tablebody0"/>
            </w:pPr>
            <w:r w:rsidRPr="0013396E">
              <w:rPr>
                <w:i/>
              </w:rPr>
              <w:t>Real-Time Reliability Deployment Price Adder for Ancillary Service for Responsive Reserve per SCED interval</w:t>
            </w:r>
            <w:r w:rsidRPr="0013396E">
              <w:t xml:space="preserve"> - The Real-Time price adder for RRS that captures the impact of reliability deployments on RRS prices for the SCED interval y. </w:t>
            </w:r>
          </w:p>
        </w:tc>
      </w:tr>
      <w:tr w:rsidR="009658B2" w:rsidRPr="0013396E" w14:paraId="276FDCB4" w14:textId="77777777" w:rsidTr="0099759E">
        <w:trPr>
          <w:cantSplit/>
        </w:trPr>
        <w:tc>
          <w:tcPr>
            <w:tcW w:w="1295" w:type="pct"/>
          </w:tcPr>
          <w:p w14:paraId="7847905F"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6C7A7CE7" w14:textId="77777777" w:rsidR="009658B2" w:rsidRPr="0013396E" w:rsidRDefault="009658B2" w:rsidP="0099759E">
            <w:pPr>
              <w:pStyle w:val="tablebody0"/>
            </w:pPr>
            <w:r w:rsidRPr="0013396E">
              <w:rPr>
                <w:iCs/>
              </w:rPr>
              <w:t>none</w:t>
            </w:r>
          </w:p>
        </w:tc>
        <w:tc>
          <w:tcPr>
            <w:tcW w:w="3074" w:type="pct"/>
          </w:tcPr>
          <w:p w14:paraId="32169571" w14:textId="77777777" w:rsidR="009658B2" w:rsidRPr="0013396E" w:rsidRDefault="009658B2" w:rsidP="0099759E">
            <w:pPr>
              <w:pStyle w:val="tablebody0"/>
              <w:rPr>
                <w:i/>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59B8ECE5" w14:textId="77777777" w:rsidTr="0099759E">
        <w:trPr>
          <w:cantSplit/>
        </w:trPr>
        <w:tc>
          <w:tcPr>
            <w:tcW w:w="1295" w:type="pct"/>
          </w:tcPr>
          <w:p w14:paraId="0972B844"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1113B823" w14:textId="77777777" w:rsidR="009658B2" w:rsidRPr="0013396E" w:rsidRDefault="009658B2" w:rsidP="0099759E">
            <w:pPr>
              <w:pStyle w:val="tablebody0"/>
            </w:pPr>
            <w:r w:rsidRPr="0013396E">
              <w:rPr>
                <w:iCs/>
              </w:rPr>
              <w:t>second</w:t>
            </w:r>
          </w:p>
        </w:tc>
        <w:tc>
          <w:tcPr>
            <w:tcW w:w="3074" w:type="pct"/>
          </w:tcPr>
          <w:p w14:paraId="3C8BC95E" w14:textId="77777777" w:rsidR="009658B2" w:rsidRPr="0013396E" w:rsidRDefault="009658B2" w:rsidP="0099759E">
            <w:pPr>
              <w:pStyle w:val="tablebody0"/>
              <w:rPr>
                <w:i/>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552B4065" w14:textId="77777777" w:rsidTr="0099759E">
        <w:trPr>
          <w:cantSplit/>
        </w:trPr>
        <w:tc>
          <w:tcPr>
            <w:tcW w:w="1295" w:type="pct"/>
          </w:tcPr>
          <w:p w14:paraId="2664ED8D" w14:textId="77777777" w:rsidR="009658B2" w:rsidRPr="0013396E" w:rsidRDefault="009658B2" w:rsidP="0099759E">
            <w:pPr>
              <w:pStyle w:val="tablebody0"/>
              <w:rPr>
                <w:i/>
              </w:rPr>
            </w:pPr>
            <w:r w:rsidRPr="0013396E">
              <w:rPr>
                <w:i/>
              </w:rPr>
              <w:t>y</w:t>
            </w:r>
          </w:p>
        </w:tc>
        <w:tc>
          <w:tcPr>
            <w:tcW w:w="631" w:type="pct"/>
          </w:tcPr>
          <w:p w14:paraId="08FA0455" w14:textId="77777777" w:rsidR="009658B2" w:rsidRPr="0013396E" w:rsidRDefault="009658B2" w:rsidP="0099759E">
            <w:pPr>
              <w:pStyle w:val="tablebody0"/>
            </w:pPr>
            <w:r w:rsidRPr="0013396E">
              <w:t>none</w:t>
            </w:r>
          </w:p>
        </w:tc>
        <w:tc>
          <w:tcPr>
            <w:tcW w:w="3074" w:type="pct"/>
          </w:tcPr>
          <w:p w14:paraId="7A84D6A4" w14:textId="77777777" w:rsidR="009658B2" w:rsidRPr="0013396E" w:rsidRDefault="009658B2" w:rsidP="0099759E">
            <w:pPr>
              <w:pStyle w:val="tablebody0"/>
            </w:pPr>
            <w:r w:rsidRPr="0013396E">
              <w:t>A SCED interval in the 15-minute Settlement Interval.</w:t>
            </w:r>
          </w:p>
        </w:tc>
      </w:tr>
    </w:tbl>
    <w:p w14:paraId="77525567" w14:textId="77777777" w:rsidR="009658B2" w:rsidRPr="0013396E" w:rsidRDefault="009658B2" w:rsidP="009658B2">
      <w:pPr>
        <w:spacing w:before="240" w:after="240"/>
        <w:ind w:left="720" w:hanging="720"/>
      </w:pPr>
      <w:r w:rsidRPr="0013396E">
        <w:rPr>
          <w:bCs/>
          <w:snapToGrid w:val="0"/>
        </w:rPr>
        <w:t>(4)</w:t>
      </w:r>
      <w:r w:rsidRPr="0013396E">
        <w:t xml:space="preserve"> </w:t>
      </w:r>
      <w:r w:rsidRPr="0013396E">
        <w:tab/>
        <w:t>The Real-Time Reliability Deployment Price for Ancillary Service for ERCOT Contingency Reserve (RTRDPECR) is the time-weighted average of the sum of the Real-Time Reliability Deployment Price Adders for Ancillary Service for ERCOT Contingency Reserve per SCED interval.  The Real-Time Reliability Deployment Price for Ancillary Service for ERCOT Contingency Reserve for a 15-minute Settlement Interval is calculated as follows:</w:t>
      </w:r>
    </w:p>
    <w:p w14:paraId="2CA35425" w14:textId="77777777" w:rsidR="009658B2" w:rsidRPr="005A7D8E" w:rsidRDefault="009658B2" w:rsidP="005A7D8E">
      <w:pPr>
        <w:spacing w:before="240" w:after="240"/>
        <w:ind w:left="720"/>
        <w:rPr>
          <w:b/>
          <w:bCs/>
          <w:i/>
          <w:vertAlign w:val="subscript"/>
        </w:rPr>
      </w:pPr>
      <w:r w:rsidRPr="005A7D8E">
        <w:rPr>
          <w:b/>
          <w:bCs/>
        </w:rPr>
        <w:t xml:space="preserve">RTRDPECR  =   </w:t>
      </w:r>
      <w:r w:rsidRPr="00DA0E3D">
        <w:rPr>
          <w:b/>
          <w:bCs/>
          <w:position w:val="-22"/>
        </w:rPr>
        <w:object w:dxaOrig="225" w:dyaOrig="465" w14:anchorId="78348172">
          <v:shape id="_x0000_i1069" type="#_x0000_t75" style="width:24pt;height:18.6pt" o:ole="">
            <v:imagedata r:id="rId20" o:title=""/>
          </v:shape>
          <o:OLEObject Type="Embed" ProgID="Equation.3" ShapeID="_x0000_i1069" DrawAspect="Content" ObjectID="_1849065700" r:id="rId69"/>
        </w:object>
      </w:r>
      <w:r w:rsidRPr="005A7D8E">
        <w:rPr>
          <w:b/>
          <w:bCs/>
        </w:rPr>
        <w:t xml:space="preserve"> (RNWF </w:t>
      </w:r>
      <w:r w:rsidRPr="005A7D8E">
        <w:rPr>
          <w:b/>
          <w:bCs/>
          <w:i/>
          <w:vertAlign w:val="subscript"/>
        </w:rPr>
        <w:t>y</w:t>
      </w:r>
      <w:r w:rsidRPr="005A7D8E">
        <w:rPr>
          <w:b/>
          <w:bCs/>
        </w:rPr>
        <w:t xml:space="preserve"> * RTRDPAECRS </w:t>
      </w:r>
      <w:r w:rsidRPr="005A7D8E">
        <w:rPr>
          <w:b/>
          <w:bCs/>
          <w:i/>
          <w:vertAlign w:val="subscript"/>
        </w:rPr>
        <w:t>y</w:t>
      </w:r>
      <w:r w:rsidRPr="005A7D8E">
        <w:rPr>
          <w:b/>
          <w:bCs/>
        </w:rPr>
        <w:t>)</w:t>
      </w:r>
    </w:p>
    <w:p w14:paraId="10DFCF82" w14:textId="77777777" w:rsidR="009658B2" w:rsidRPr="0013396E" w:rsidRDefault="009658B2" w:rsidP="009658B2">
      <w:pPr>
        <w:pStyle w:val="BodyTextNumbered"/>
        <w:ind w:left="0" w:firstLine="0"/>
      </w:pPr>
      <w:r w:rsidRPr="0013396E">
        <w:t>Where:</w:t>
      </w:r>
    </w:p>
    <w:p w14:paraId="75286D50" w14:textId="77777777" w:rsidR="009658B2" w:rsidRPr="0013396E" w:rsidRDefault="009658B2" w:rsidP="009658B2">
      <w:pPr>
        <w:spacing w:after="240"/>
        <w:ind w:firstLine="720"/>
        <w:rPr>
          <w:i/>
          <w:vertAlign w:val="subscript"/>
        </w:rPr>
      </w:pPr>
      <w:r w:rsidRPr="0013396E">
        <w:lastRenderedPageBreak/>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1156FCE2">
          <v:shape id="_x0000_i1070" type="#_x0000_t75" style="width:24pt;height:18.6pt" o:ole="">
            <v:imagedata r:id="rId20" o:title=""/>
          </v:shape>
          <o:OLEObject Type="Embed" ProgID="Equation.3" ShapeID="_x0000_i1070" DrawAspect="Content" ObjectID="_1849065701" r:id="rId70"/>
        </w:object>
      </w:r>
      <w:r w:rsidRPr="0013396E">
        <w:t xml:space="preserve">TLMP </w:t>
      </w:r>
      <w:r w:rsidRPr="0013396E">
        <w:rPr>
          <w:i/>
          <w:vertAlign w:val="subscript"/>
        </w:rPr>
        <w:t>y</w:t>
      </w:r>
    </w:p>
    <w:p w14:paraId="2AF69405"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710D6B58"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50994454"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22DF336B"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67C44EBC" w14:textId="77777777" w:rsidR="009658B2" w:rsidRPr="0013396E" w:rsidRDefault="009658B2" w:rsidP="0099759E">
            <w:pPr>
              <w:pStyle w:val="TableHead"/>
            </w:pPr>
            <w:r w:rsidRPr="0013396E">
              <w:t>Description</w:t>
            </w:r>
          </w:p>
        </w:tc>
      </w:tr>
      <w:tr w:rsidR="009658B2" w:rsidRPr="0013396E" w14:paraId="59FFCE11"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2ADC0223" w14:textId="77777777" w:rsidR="009658B2" w:rsidRPr="0013396E" w:rsidRDefault="009658B2" w:rsidP="0099759E">
            <w:pPr>
              <w:pStyle w:val="tablebody0"/>
            </w:pPr>
            <w:r w:rsidRPr="0013396E">
              <w:t>RTRDPECR</w:t>
            </w:r>
          </w:p>
        </w:tc>
        <w:tc>
          <w:tcPr>
            <w:tcW w:w="631" w:type="pct"/>
            <w:tcBorders>
              <w:top w:val="single" w:sz="4" w:space="0" w:color="auto"/>
              <w:left w:val="single" w:sz="4" w:space="0" w:color="auto"/>
              <w:bottom w:val="single" w:sz="4" w:space="0" w:color="auto"/>
              <w:right w:val="single" w:sz="4" w:space="0" w:color="auto"/>
            </w:tcBorders>
            <w:hideMark/>
          </w:tcPr>
          <w:p w14:paraId="554AB33C"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2DCAD951" w14:textId="77777777" w:rsidR="009658B2" w:rsidRPr="0013396E" w:rsidRDefault="009658B2" w:rsidP="0099759E">
            <w:pPr>
              <w:pStyle w:val="tablebody0"/>
              <w:rPr>
                <w:i/>
              </w:rPr>
            </w:pPr>
            <w:r w:rsidRPr="0013396E">
              <w:rPr>
                <w:i/>
                <w:szCs w:val="18"/>
              </w:rPr>
              <w:t xml:space="preserve">Real-Time Market Clearing Price for Capacity for </w:t>
            </w:r>
            <w:r w:rsidRPr="0013396E">
              <w:rPr>
                <w:i/>
              </w:rPr>
              <w:t>ERCOT Contingency Reserve</w:t>
            </w:r>
            <w:r w:rsidRPr="0013396E">
              <w:t xml:space="preserve"> </w:t>
            </w:r>
            <w:r w:rsidRPr="0013396E">
              <w:rPr>
                <w:i/>
                <w:szCs w:val="18"/>
              </w:rPr>
              <w:t>-</w:t>
            </w:r>
            <w:r w:rsidRPr="0013396E">
              <w:t xml:space="preserve"> The Real-Time Reliability Deployment Price for Ancillary Service for ECRS for the 15-minute Settlement Interval.</w:t>
            </w:r>
          </w:p>
        </w:tc>
      </w:tr>
      <w:tr w:rsidR="009658B2" w:rsidRPr="0013396E" w14:paraId="5F19378C" w14:textId="77777777" w:rsidTr="0099759E">
        <w:trPr>
          <w:cantSplit/>
        </w:trPr>
        <w:tc>
          <w:tcPr>
            <w:tcW w:w="1295" w:type="pct"/>
          </w:tcPr>
          <w:p w14:paraId="4591539E" w14:textId="77777777" w:rsidR="009658B2" w:rsidRPr="0013396E" w:rsidRDefault="009658B2" w:rsidP="0099759E">
            <w:pPr>
              <w:pStyle w:val="tablebody0"/>
              <w:rPr>
                <w:i/>
              </w:rPr>
            </w:pPr>
            <w:r w:rsidRPr="0013396E">
              <w:t xml:space="preserve">RTRDPAECRS </w:t>
            </w:r>
            <w:r w:rsidRPr="0013396E">
              <w:rPr>
                <w:i/>
              </w:rPr>
              <w:t>y</w:t>
            </w:r>
          </w:p>
        </w:tc>
        <w:tc>
          <w:tcPr>
            <w:tcW w:w="631" w:type="pct"/>
          </w:tcPr>
          <w:p w14:paraId="7341AE62" w14:textId="77777777" w:rsidR="009658B2" w:rsidRPr="0013396E" w:rsidRDefault="009658B2" w:rsidP="0099759E">
            <w:pPr>
              <w:pStyle w:val="tablebody0"/>
            </w:pPr>
            <w:r w:rsidRPr="0013396E">
              <w:t>$/MW</w:t>
            </w:r>
          </w:p>
        </w:tc>
        <w:tc>
          <w:tcPr>
            <w:tcW w:w="3074" w:type="pct"/>
          </w:tcPr>
          <w:p w14:paraId="39CBEB93" w14:textId="77777777" w:rsidR="009658B2" w:rsidRPr="0013396E" w:rsidRDefault="009658B2" w:rsidP="0099759E">
            <w:pPr>
              <w:pStyle w:val="tablebody0"/>
            </w:pPr>
            <w:r w:rsidRPr="0013396E">
              <w:rPr>
                <w:i/>
              </w:rPr>
              <w:t>Real-Time Reliability Deployment Price Adder for Ancillary Service for ECRS per SCED interval</w:t>
            </w:r>
            <w:r w:rsidRPr="0013396E">
              <w:t xml:space="preserve"> - The Real-Time price adder for ECRS that captures the impact of reliability deployments on ECRS</w:t>
            </w:r>
            <w:r w:rsidRPr="0013396E" w:rsidDel="00DA63CB">
              <w:t xml:space="preserve"> </w:t>
            </w:r>
            <w:r w:rsidRPr="0013396E">
              <w:t xml:space="preserve">prices for the SCED interval y. </w:t>
            </w:r>
          </w:p>
        </w:tc>
      </w:tr>
      <w:tr w:rsidR="009658B2" w:rsidRPr="0013396E" w14:paraId="62A91C82" w14:textId="77777777" w:rsidTr="0099759E">
        <w:trPr>
          <w:cantSplit/>
        </w:trPr>
        <w:tc>
          <w:tcPr>
            <w:tcW w:w="1295" w:type="pct"/>
          </w:tcPr>
          <w:p w14:paraId="6574EB32"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516FC83C" w14:textId="77777777" w:rsidR="009658B2" w:rsidRPr="0013396E" w:rsidRDefault="009658B2" w:rsidP="0099759E">
            <w:pPr>
              <w:pStyle w:val="tablebody0"/>
            </w:pPr>
            <w:r w:rsidRPr="0013396E">
              <w:rPr>
                <w:iCs/>
              </w:rPr>
              <w:t>none</w:t>
            </w:r>
          </w:p>
        </w:tc>
        <w:tc>
          <w:tcPr>
            <w:tcW w:w="3074" w:type="pct"/>
          </w:tcPr>
          <w:p w14:paraId="4861954A" w14:textId="77777777" w:rsidR="009658B2" w:rsidRPr="0013396E" w:rsidRDefault="009658B2" w:rsidP="0099759E">
            <w:pPr>
              <w:pStyle w:val="tablebody0"/>
              <w:rPr>
                <w:i/>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58965ADE" w14:textId="77777777" w:rsidTr="0099759E">
        <w:trPr>
          <w:cantSplit/>
        </w:trPr>
        <w:tc>
          <w:tcPr>
            <w:tcW w:w="1295" w:type="pct"/>
          </w:tcPr>
          <w:p w14:paraId="0CB7A542"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7C4B9C61" w14:textId="77777777" w:rsidR="009658B2" w:rsidRPr="0013396E" w:rsidRDefault="009658B2" w:rsidP="0099759E">
            <w:pPr>
              <w:pStyle w:val="tablebody0"/>
            </w:pPr>
            <w:r w:rsidRPr="0013396E">
              <w:rPr>
                <w:iCs/>
              </w:rPr>
              <w:t>second</w:t>
            </w:r>
          </w:p>
        </w:tc>
        <w:tc>
          <w:tcPr>
            <w:tcW w:w="3074" w:type="pct"/>
          </w:tcPr>
          <w:p w14:paraId="7BBB3969" w14:textId="77777777" w:rsidR="009658B2" w:rsidRPr="0013396E" w:rsidRDefault="009658B2" w:rsidP="0099759E">
            <w:pPr>
              <w:pStyle w:val="tablebody0"/>
              <w:rPr>
                <w:i/>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693194DC" w14:textId="77777777" w:rsidTr="0099759E">
        <w:trPr>
          <w:cantSplit/>
        </w:trPr>
        <w:tc>
          <w:tcPr>
            <w:tcW w:w="1295" w:type="pct"/>
          </w:tcPr>
          <w:p w14:paraId="1B28DBE1" w14:textId="77777777" w:rsidR="009658B2" w:rsidRPr="0013396E" w:rsidRDefault="009658B2" w:rsidP="0099759E">
            <w:pPr>
              <w:pStyle w:val="tablebody0"/>
              <w:rPr>
                <w:i/>
              </w:rPr>
            </w:pPr>
            <w:r w:rsidRPr="0013396E">
              <w:rPr>
                <w:i/>
              </w:rPr>
              <w:t>y</w:t>
            </w:r>
          </w:p>
        </w:tc>
        <w:tc>
          <w:tcPr>
            <w:tcW w:w="631" w:type="pct"/>
          </w:tcPr>
          <w:p w14:paraId="0988096E" w14:textId="77777777" w:rsidR="009658B2" w:rsidRPr="0013396E" w:rsidRDefault="009658B2" w:rsidP="0099759E">
            <w:pPr>
              <w:pStyle w:val="tablebody0"/>
            </w:pPr>
            <w:r w:rsidRPr="0013396E">
              <w:t>none</w:t>
            </w:r>
          </w:p>
        </w:tc>
        <w:tc>
          <w:tcPr>
            <w:tcW w:w="3074" w:type="pct"/>
          </w:tcPr>
          <w:p w14:paraId="42DE6766" w14:textId="77777777" w:rsidR="009658B2" w:rsidRPr="0013396E" w:rsidRDefault="009658B2" w:rsidP="0099759E">
            <w:pPr>
              <w:pStyle w:val="tablebody0"/>
            </w:pPr>
            <w:r w:rsidRPr="0013396E">
              <w:t>A SCED interval in the 15-minute Settlement Interval.</w:t>
            </w:r>
          </w:p>
        </w:tc>
      </w:tr>
    </w:tbl>
    <w:p w14:paraId="2E28AFD6" w14:textId="77777777" w:rsidR="009658B2" w:rsidRPr="0013396E" w:rsidRDefault="009658B2" w:rsidP="009658B2">
      <w:pPr>
        <w:spacing w:before="240" w:after="240"/>
        <w:ind w:left="720" w:hanging="720"/>
      </w:pPr>
      <w:r w:rsidRPr="0013396E">
        <w:rPr>
          <w:bCs/>
          <w:snapToGrid w:val="0"/>
        </w:rPr>
        <w:t>(5)</w:t>
      </w:r>
      <w:r w:rsidRPr="0013396E">
        <w:t xml:space="preserve"> </w:t>
      </w:r>
      <w:r w:rsidRPr="0013396E">
        <w:tab/>
        <w:t>The Real-Time Reliability Deployment Price for Ancillary Service for ERCOT Non-Spin (RTRDPNS) is the time-weighted average of the sum of the Real-Time Reliability Deployment Price Adders for Ancillary Service for Non-Spin per SCED interval.  The Real-Time Reliability Deployment Price for Ancillary Service for Non-Spin for a 15-minute Settlement Interval is calculated as follows:</w:t>
      </w:r>
    </w:p>
    <w:p w14:paraId="69EE7E81" w14:textId="77777777" w:rsidR="009658B2" w:rsidRPr="005A7D8E" w:rsidRDefault="009658B2" w:rsidP="005A7D8E">
      <w:pPr>
        <w:spacing w:before="240" w:after="240"/>
        <w:ind w:left="720"/>
        <w:rPr>
          <w:b/>
          <w:bCs/>
          <w:i/>
          <w:vertAlign w:val="subscript"/>
        </w:rPr>
      </w:pPr>
      <w:r w:rsidRPr="005A7D8E">
        <w:rPr>
          <w:b/>
          <w:bCs/>
        </w:rPr>
        <w:t xml:space="preserve">RTRDPNS  =   </w:t>
      </w:r>
      <w:r w:rsidRPr="00DA0E3D">
        <w:rPr>
          <w:b/>
          <w:bCs/>
          <w:position w:val="-22"/>
        </w:rPr>
        <w:object w:dxaOrig="225" w:dyaOrig="465" w14:anchorId="5130375A">
          <v:shape id="_x0000_i1071" type="#_x0000_t75" style="width:24pt;height:18.6pt" o:ole="">
            <v:imagedata r:id="rId20" o:title=""/>
          </v:shape>
          <o:OLEObject Type="Embed" ProgID="Equation.3" ShapeID="_x0000_i1071" DrawAspect="Content" ObjectID="_1849065702" r:id="rId71"/>
        </w:object>
      </w:r>
      <w:r w:rsidRPr="005A7D8E">
        <w:rPr>
          <w:b/>
          <w:bCs/>
        </w:rPr>
        <w:t xml:space="preserve"> (RNWF </w:t>
      </w:r>
      <w:r w:rsidRPr="005A7D8E">
        <w:rPr>
          <w:b/>
          <w:bCs/>
          <w:i/>
          <w:vertAlign w:val="subscript"/>
        </w:rPr>
        <w:t>y</w:t>
      </w:r>
      <w:r w:rsidRPr="005A7D8E">
        <w:rPr>
          <w:b/>
          <w:bCs/>
        </w:rPr>
        <w:t xml:space="preserve"> * RTRDPANSS </w:t>
      </w:r>
      <w:r w:rsidRPr="005A7D8E">
        <w:rPr>
          <w:b/>
          <w:bCs/>
          <w:i/>
          <w:vertAlign w:val="subscript"/>
        </w:rPr>
        <w:t>y</w:t>
      </w:r>
      <w:r w:rsidRPr="005A7D8E">
        <w:rPr>
          <w:b/>
          <w:bCs/>
        </w:rPr>
        <w:t>)</w:t>
      </w:r>
    </w:p>
    <w:p w14:paraId="7D780BED" w14:textId="77777777" w:rsidR="009658B2" w:rsidRPr="0013396E" w:rsidRDefault="009658B2" w:rsidP="009658B2">
      <w:pPr>
        <w:pStyle w:val="BodyTextNumbered"/>
        <w:ind w:left="0" w:firstLine="0"/>
      </w:pPr>
      <w:r w:rsidRPr="0013396E">
        <w:t>Where:</w:t>
      </w:r>
    </w:p>
    <w:p w14:paraId="016E86FA" w14:textId="77777777" w:rsidR="009658B2" w:rsidRPr="0013396E" w:rsidRDefault="009658B2" w:rsidP="009658B2">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41C85BF3">
          <v:shape id="_x0000_i1072" type="#_x0000_t75" style="width:24pt;height:18.6pt" o:ole="">
            <v:imagedata r:id="rId20" o:title=""/>
          </v:shape>
          <o:OLEObject Type="Embed" ProgID="Equation.3" ShapeID="_x0000_i1072" DrawAspect="Content" ObjectID="_1849065703" r:id="rId72"/>
        </w:object>
      </w:r>
      <w:r w:rsidRPr="0013396E">
        <w:t xml:space="preserve">TLMP </w:t>
      </w:r>
      <w:r w:rsidRPr="0013396E">
        <w:rPr>
          <w:i/>
          <w:vertAlign w:val="subscript"/>
        </w:rPr>
        <w:t>y</w:t>
      </w:r>
    </w:p>
    <w:p w14:paraId="083CCC50" w14:textId="77777777" w:rsidR="009658B2" w:rsidRPr="0013396E" w:rsidRDefault="009658B2" w:rsidP="009658B2">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9658B2" w:rsidRPr="0013396E" w14:paraId="1F395BED" w14:textId="77777777" w:rsidTr="0099759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1F76C1FA" w14:textId="77777777" w:rsidR="009658B2" w:rsidRPr="0013396E" w:rsidRDefault="009658B2" w:rsidP="0099759E">
            <w:pPr>
              <w:pStyle w:val="TableHead"/>
            </w:pPr>
            <w:r w:rsidRPr="0013396E">
              <w:t>Variable</w:t>
            </w:r>
          </w:p>
        </w:tc>
        <w:tc>
          <w:tcPr>
            <w:tcW w:w="631" w:type="pct"/>
            <w:tcBorders>
              <w:top w:val="single" w:sz="4" w:space="0" w:color="auto"/>
              <w:left w:val="single" w:sz="4" w:space="0" w:color="auto"/>
              <w:bottom w:val="single" w:sz="4" w:space="0" w:color="auto"/>
              <w:right w:val="single" w:sz="4" w:space="0" w:color="auto"/>
            </w:tcBorders>
            <w:hideMark/>
          </w:tcPr>
          <w:p w14:paraId="29FC598B" w14:textId="77777777" w:rsidR="009658B2" w:rsidRPr="0013396E" w:rsidRDefault="009658B2" w:rsidP="0099759E">
            <w:pPr>
              <w:pStyle w:val="TableHead"/>
            </w:pPr>
            <w:r w:rsidRPr="0013396E">
              <w:t>Unit</w:t>
            </w:r>
          </w:p>
        </w:tc>
        <w:tc>
          <w:tcPr>
            <w:tcW w:w="3074" w:type="pct"/>
            <w:tcBorders>
              <w:top w:val="single" w:sz="4" w:space="0" w:color="auto"/>
              <w:left w:val="single" w:sz="4" w:space="0" w:color="auto"/>
              <w:bottom w:val="single" w:sz="4" w:space="0" w:color="auto"/>
              <w:right w:val="single" w:sz="4" w:space="0" w:color="auto"/>
            </w:tcBorders>
            <w:hideMark/>
          </w:tcPr>
          <w:p w14:paraId="5103F0CA" w14:textId="77777777" w:rsidR="009658B2" w:rsidRPr="0013396E" w:rsidRDefault="009658B2" w:rsidP="0099759E">
            <w:pPr>
              <w:pStyle w:val="TableHead"/>
            </w:pPr>
            <w:r w:rsidRPr="0013396E">
              <w:t>Description</w:t>
            </w:r>
          </w:p>
        </w:tc>
      </w:tr>
      <w:tr w:rsidR="009658B2" w:rsidRPr="0013396E" w14:paraId="2DC58C40" w14:textId="77777777" w:rsidTr="0099759E">
        <w:trPr>
          <w:cantSplit/>
        </w:trPr>
        <w:tc>
          <w:tcPr>
            <w:tcW w:w="1295" w:type="pct"/>
            <w:tcBorders>
              <w:top w:val="single" w:sz="4" w:space="0" w:color="auto"/>
              <w:left w:val="single" w:sz="4" w:space="0" w:color="auto"/>
              <w:bottom w:val="single" w:sz="4" w:space="0" w:color="auto"/>
              <w:right w:val="single" w:sz="4" w:space="0" w:color="auto"/>
            </w:tcBorders>
            <w:hideMark/>
          </w:tcPr>
          <w:p w14:paraId="7688497E" w14:textId="77777777" w:rsidR="009658B2" w:rsidRPr="0013396E" w:rsidRDefault="009658B2" w:rsidP="0099759E">
            <w:pPr>
              <w:pStyle w:val="tablebody0"/>
            </w:pPr>
            <w:r w:rsidRPr="0013396E">
              <w:t>RTRDPNS</w:t>
            </w:r>
          </w:p>
        </w:tc>
        <w:tc>
          <w:tcPr>
            <w:tcW w:w="631" w:type="pct"/>
            <w:tcBorders>
              <w:top w:val="single" w:sz="4" w:space="0" w:color="auto"/>
              <w:left w:val="single" w:sz="4" w:space="0" w:color="auto"/>
              <w:bottom w:val="single" w:sz="4" w:space="0" w:color="auto"/>
              <w:right w:val="single" w:sz="4" w:space="0" w:color="auto"/>
            </w:tcBorders>
            <w:hideMark/>
          </w:tcPr>
          <w:p w14:paraId="65786207" w14:textId="77777777" w:rsidR="009658B2" w:rsidRPr="0013396E" w:rsidRDefault="009658B2" w:rsidP="0099759E">
            <w:pPr>
              <w:pStyle w:val="tablebody0"/>
            </w:pPr>
            <w:r w:rsidRPr="0013396E">
              <w:t>$/MW</w:t>
            </w:r>
          </w:p>
        </w:tc>
        <w:tc>
          <w:tcPr>
            <w:tcW w:w="3074" w:type="pct"/>
            <w:tcBorders>
              <w:top w:val="single" w:sz="4" w:space="0" w:color="auto"/>
              <w:left w:val="single" w:sz="4" w:space="0" w:color="auto"/>
              <w:bottom w:val="single" w:sz="4" w:space="0" w:color="auto"/>
              <w:right w:val="single" w:sz="4" w:space="0" w:color="auto"/>
            </w:tcBorders>
            <w:hideMark/>
          </w:tcPr>
          <w:p w14:paraId="56559F1A" w14:textId="77777777" w:rsidR="009658B2" w:rsidRPr="0013396E" w:rsidRDefault="009658B2" w:rsidP="0099759E">
            <w:pPr>
              <w:pStyle w:val="tablebody0"/>
              <w:rPr>
                <w:i/>
              </w:rPr>
            </w:pPr>
            <w:r w:rsidRPr="0013396E">
              <w:rPr>
                <w:i/>
                <w:szCs w:val="18"/>
              </w:rPr>
              <w:t xml:space="preserve">Real-Time Market Clearing Price for Capacity for </w:t>
            </w:r>
            <w:r w:rsidRPr="0013396E">
              <w:rPr>
                <w:i/>
              </w:rPr>
              <w:t>Non-Spin</w:t>
            </w:r>
            <w:r w:rsidRPr="0013396E">
              <w:t xml:space="preserve"> </w:t>
            </w:r>
            <w:r w:rsidRPr="0013396E">
              <w:rPr>
                <w:i/>
                <w:szCs w:val="18"/>
              </w:rPr>
              <w:t>-</w:t>
            </w:r>
            <w:r w:rsidRPr="0013396E">
              <w:t xml:space="preserve"> The Real-Time Reliability Deployment Price for Ancillary Service for ECRS for the 15-minute Settlement Interval.</w:t>
            </w:r>
          </w:p>
        </w:tc>
      </w:tr>
      <w:tr w:rsidR="009658B2" w:rsidRPr="0013396E" w14:paraId="2D2EEF60" w14:textId="77777777" w:rsidTr="0099759E">
        <w:trPr>
          <w:cantSplit/>
        </w:trPr>
        <w:tc>
          <w:tcPr>
            <w:tcW w:w="1295" w:type="pct"/>
          </w:tcPr>
          <w:p w14:paraId="0EA24AFF" w14:textId="77777777" w:rsidR="009658B2" w:rsidRPr="0013396E" w:rsidRDefault="009658B2" w:rsidP="0099759E">
            <w:pPr>
              <w:pStyle w:val="tablebody0"/>
              <w:rPr>
                <w:i/>
              </w:rPr>
            </w:pPr>
            <w:r w:rsidRPr="0013396E">
              <w:t xml:space="preserve">RTRDPANSS </w:t>
            </w:r>
            <w:r w:rsidRPr="0013396E">
              <w:rPr>
                <w:i/>
              </w:rPr>
              <w:t>y</w:t>
            </w:r>
          </w:p>
        </w:tc>
        <w:tc>
          <w:tcPr>
            <w:tcW w:w="631" w:type="pct"/>
          </w:tcPr>
          <w:p w14:paraId="0323C0A7" w14:textId="77777777" w:rsidR="009658B2" w:rsidRPr="0013396E" w:rsidRDefault="009658B2" w:rsidP="0099759E">
            <w:pPr>
              <w:pStyle w:val="tablebody0"/>
            </w:pPr>
            <w:r w:rsidRPr="0013396E">
              <w:t>$/MW</w:t>
            </w:r>
          </w:p>
        </w:tc>
        <w:tc>
          <w:tcPr>
            <w:tcW w:w="3074" w:type="pct"/>
          </w:tcPr>
          <w:p w14:paraId="0DA279FF" w14:textId="77777777" w:rsidR="009658B2" w:rsidRPr="0013396E" w:rsidRDefault="009658B2" w:rsidP="0099759E">
            <w:pPr>
              <w:pStyle w:val="tablebody0"/>
            </w:pPr>
            <w:r w:rsidRPr="0013396E">
              <w:rPr>
                <w:i/>
              </w:rPr>
              <w:t>Real-Time Reliability Deployment Price Adder for Ancillary Service for Non-Spin per SCED interval</w:t>
            </w:r>
            <w:r w:rsidRPr="0013396E">
              <w:t xml:space="preserve"> - The Real-Time price adder for Non-Spin that captures the impact of reliability deployments on Non-Spin prices for the SCED interval y. </w:t>
            </w:r>
          </w:p>
        </w:tc>
      </w:tr>
      <w:tr w:rsidR="009658B2" w:rsidRPr="0013396E" w14:paraId="1C5ABDA5" w14:textId="77777777" w:rsidTr="0099759E">
        <w:trPr>
          <w:cantSplit/>
        </w:trPr>
        <w:tc>
          <w:tcPr>
            <w:tcW w:w="1295" w:type="pct"/>
          </w:tcPr>
          <w:p w14:paraId="7CA20825" w14:textId="77777777" w:rsidR="009658B2" w:rsidRPr="0013396E" w:rsidRDefault="009658B2" w:rsidP="0099759E">
            <w:pPr>
              <w:pStyle w:val="tablebody0"/>
            </w:pPr>
            <w:r w:rsidRPr="0013396E">
              <w:rPr>
                <w:iCs/>
              </w:rPr>
              <w:t xml:space="preserve">RNWF </w:t>
            </w:r>
            <w:r w:rsidRPr="0013396E">
              <w:rPr>
                <w:i/>
                <w:iCs/>
                <w:vertAlign w:val="subscript"/>
              </w:rPr>
              <w:t>y</w:t>
            </w:r>
          </w:p>
        </w:tc>
        <w:tc>
          <w:tcPr>
            <w:tcW w:w="631" w:type="pct"/>
          </w:tcPr>
          <w:p w14:paraId="6F1F5E36" w14:textId="77777777" w:rsidR="009658B2" w:rsidRPr="0013396E" w:rsidRDefault="009658B2" w:rsidP="0099759E">
            <w:pPr>
              <w:pStyle w:val="tablebody0"/>
            </w:pPr>
            <w:r w:rsidRPr="0013396E">
              <w:rPr>
                <w:iCs/>
              </w:rPr>
              <w:t>none</w:t>
            </w:r>
          </w:p>
        </w:tc>
        <w:tc>
          <w:tcPr>
            <w:tcW w:w="3074" w:type="pct"/>
          </w:tcPr>
          <w:p w14:paraId="216E37AD" w14:textId="77777777" w:rsidR="009658B2" w:rsidRPr="0013396E" w:rsidRDefault="009658B2" w:rsidP="0099759E">
            <w:pPr>
              <w:pStyle w:val="tablebody0"/>
              <w:rPr>
                <w:i/>
              </w:rPr>
            </w:pPr>
            <w:r w:rsidRPr="0013396E">
              <w:rPr>
                <w:i/>
                <w:iCs/>
              </w:rPr>
              <w:t>Resource Node Weighting Factor per interval</w:t>
            </w:r>
            <w:r w:rsidRPr="0013396E">
              <w:rPr>
                <w:iCs/>
              </w:rPr>
              <w:sym w:font="Symbol" w:char="F0BE"/>
            </w:r>
            <w:r w:rsidRPr="0013396E">
              <w:rPr>
                <w:iCs/>
              </w:rPr>
              <w:t xml:space="preserve">The weight used in the Ancillary Service Price calculation for the portion of the SCED interval </w:t>
            </w:r>
            <w:r w:rsidRPr="0013396E">
              <w:rPr>
                <w:i/>
                <w:iCs/>
              </w:rPr>
              <w:t>y</w:t>
            </w:r>
            <w:r w:rsidRPr="0013396E">
              <w:rPr>
                <w:iCs/>
              </w:rPr>
              <w:t xml:space="preserve"> within the Settlement Interval.</w:t>
            </w:r>
          </w:p>
        </w:tc>
      </w:tr>
      <w:tr w:rsidR="009658B2" w:rsidRPr="0013396E" w14:paraId="726CD175" w14:textId="77777777" w:rsidTr="0099759E">
        <w:trPr>
          <w:cantSplit/>
        </w:trPr>
        <w:tc>
          <w:tcPr>
            <w:tcW w:w="1295" w:type="pct"/>
          </w:tcPr>
          <w:p w14:paraId="602A1597" w14:textId="77777777" w:rsidR="009658B2" w:rsidRPr="0013396E" w:rsidRDefault="009658B2" w:rsidP="0099759E">
            <w:pPr>
              <w:pStyle w:val="tablebody0"/>
            </w:pPr>
            <w:r w:rsidRPr="0013396E">
              <w:rPr>
                <w:iCs/>
              </w:rPr>
              <w:t xml:space="preserve">TLMP </w:t>
            </w:r>
            <w:r w:rsidRPr="0013396E">
              <w:rPr>
                <w:i/>
                <w:iCs/>
                <w:vertAlign w:val="subscript"/>
              </w:rPr>
              <w:t>y</w:t>
            </w:r>
          </w:p>
        </w:tc>
        <w:tc>
          <w:tcPr>
            <w:tcW w:w="631" w:type="pct"/>
          </w:tcPr>
          <w:p w14:paraId="498B39F7" w14:textId="77777777" w:rsidR="009658B2" w:rsidRPr="0013396E" w:rsidRDefault="009658B2" w:rsidP="0099759E">
            <w:pPr>
              <w:pStyle w:val="tablebody0"/>
            </w:pPr>
            <w:r w:rsidRPr="0013396E">
              <w:rPr>
                <w:iCs/>
              </w:rPr>
              <w:t>second</w:t>
            </w:r>
          </w:p>
        </w:tc>
        <w:tc>
          <w:tcPr>
            <w:tcW w:w="3074" w:type="pct"/>
          </w:tcPr>
          <w:p w14:paraId="7D3B9916" w14:textId="77777777" w:rsidR="009658B2" w:rsidRPr="0013396E" w:rsidRDefault="009658B2" w:rsidP="0099759E">
            <w:pPr>
              <w:pStyle w:val="tablebody0"/>
              <w:rPr>
                <w:i/>
              </w:rPr>
            </w:pPr>
            <w:r w:rsidRPr="0013396E">
              <w:rPr>
                <w:i/>
              </w:rPr>
              <w:t>Duration of SCED interval per interval</w:t>
            </w:r>
            <w:r w:rsidRPr="0013396E">
              <w:rPr>
                <w:iCs/>
              </w:rPr>
              <w:sym w:font="Symbol" w:char="F0BE"/>
            </w:r>
            <w:r w:rsidRPr="0013396E">
              <w:rPr>
                <w:iCs/>
              </w:rPr>
              <w:t xml:space="preserve">The duration of the portion of the SCED interval </w:t>
            </w:r>
            <w:r w:rsidRPr="0013396E">
              <w:rPr>
                <w:i/>
              </w:rPr>
              <w:t>y</w:t>
            </w:r>
            <w:r w:rsidRPr="0013396E">
              <w:t xml:space="preserve"> within the Settlement Interval</w:t>
            </w:r>
            <w:r w:rsidRPr="0013396E">
              <w:rPr>
                <w:iCs/>
              </w:rPr>
              <w:t>.</w:t>
            </w:r>
          </w:p>
        </w:tc>
      </w:tr>
      <w:tr w:rsidR="009658B2" w:rsidRPr="0013396E" w14:paraId="4AB5551F" w14:textId="77777777" w:rsidTr="0099759E">
        <w:trPr>
          <w:cantSplit/>
        </w:trPr>
        <w:tc>
          <w:tcPr>
            <w:tcW w:w="1295" w:type="pct"/>
          </w:tcPr>
          <w:p w14:paraId="53AC6812" w14:textId="77777777" w:rsidR="009658B2" w:rsidRPr="0013396E" w:rsidRDefault="009658B2" w:rsidP="0099759E">
            <w:pPr>
              <w:pStyle w:val="tablebody0"/>
              <w:rPr>
                <w:i/>
              </w:rPr>
            </w:pPr>
            <w:r w:rsidRPr="0013396E">
              <w:rPr>
                <w:i/>
              </w:rPr>
              <w:t>y</w:t>
            </w:r>
          </w:p>
        </w:tc>
        <w:tc>
          <w:tcPr>
            <w:tcW w:w="631" w:type="pct"/>
          </w:tcPr>
          <w:p w14:paraId="18214A0A" w14:textId="77777777" w:rsidR="009658B2" w:rsidRPr="0013396E" w:rsidRDefault="009658B2" w:rsidP="0099759E">
            <w:pPr>
              <w:pStyle w:val="tablebody0"/>
            </w:pPr>
            <w:r w:rsidRPr="0013396E">
              <w:t>none</w:t>
            </w:r>
          </w:p>
        </w:tc>
        <w:tc>
          <w:tcPr>
            <w:tcW w:w="3074" w:type="pct"/>
          </w:tcPr>
          <w:p w14:paraId="502230C2" w14:textId="77777777" w:rsidR="009658B2" w:rsidRPr="0013396E" w:rsidRDefault="009658B2" w:rsidP="0099759E">
            <w:pPr>
              <w:pStyle w:val="tablebody0"/>
            </w:pPr>
            <w:r w:rsidRPr="0013396E">
              <w:t>A SCED interval in the 15-minute Settlement Interval.</w:t>
            </w:r>
          </w:p>
        </w:tc>
      </w:tr>
    </w:tbl>
    <w:p w14:paraId="202A81E3" w14:textId="77777777" w:rsidR="00954FBC" w:rsidRPr="0013396E" w:rsidRDefault="00954FBC" w:rsidP="00954FBC">
      <w:pPr>
        <w:pStyle w:val="BodyText"/>
        <w:spacing w:after="0"/>
      </w:pPr>
    </w:p>
    <w:p w14:paraId="7BE4F9FB" w14:textId="2798F0D6" w:rsidR="001F04FD" w:rsidRPr="0013396E" w:rsidRDefault="001F04FD" w:rsidP="005A7D8E">
      <w:pPr>
        <w:pStyle w:val="H3"/>
      </w:pPr>
      <w:bookmarkStart w:id="1474" w:name="_Toc236220166"/>
      <w:r w:rsidRPr="0013396E">
        <w:t>6.6.2</w:t>
      </w:r>
      <w:r w:rsidRPr="0013396E">
        <w:tab/>
        <w:t>Load Ratio Share</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74"/>
    </w:p>
    <w:p w14:paraId="1A57055A" w14:textId="77777777" w:rsidR="001F04FD" w:rsidRPr="0013396E" w:rsidRDefault="001F04FD" w:rsidP="005A7D8E">
      <w:pPr>
        <w:pStyle w:val="H4"/>
        <w:spacing w:before="480"/>
        <w:ind w:left="1267" w:hanging="1267"/>
      </w:pPr>
      <w:bookmarkStart w:id="1475" w:name="_Toc103653335"/>
      <w:bookmarkStart w:id="1476" w:name="_Toc109009385"/>
      <w:bookmarkStart w:id="1477" w:name="_Toc397505009"/>
      <w:bookmarkStart w:id="1478" w:name="_Toc402357137"/>
      <w:bookmarkStart w:id="1479" w:name="_Toc422486515"/>
      <w:bookmarkStart w:id="1480" w:name="_Toc433093367"/>
      <w:bookmarkStart w:id="1481" w:name="_Toc433093525"/>
      <w:bookmarkStart w:id="1482" w:name="_Toc440874753"/>
      <w:bookmarkStart w:id="1483" w:name="_Toc448142308"/>
      <w:bookmarkStart w:id="1484" w:name="_Toc448142465"/>
      <w:bookmarkStart w:id="1485" w:name="_Toc458770302"/>
      <w:bookmarkStart w:id="1486" w:name="_Toc459294270"/>
      <w:bookmarkStart w:id="1487" w:name="_Toc463262763"/>
      <w:bookmarkStart w:id="1488" w:name="_Toc468286836"/>
      <w:bookmarkStart w:id="1489" w:name="_Toc481502882"/>
      <w:bookmarkStart w:id="1490" w:name="_Toc496080050"/>
      <w:bookmarkStart w:id="1491" w:name="_Toc236220167"/>
      <w:r w:rsidRPr="0013396E">
        <w:t>6.6.2.1</w:t>
      </w:r>
      <w:r w:rsidRPr="0013396E">
        <w:tab/>
        <w:t>ERCOT Total Adjusted Metered Load</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sidR="003C2BD5" w:rsidRPr="0013396E">
        <w:t xml:space="preserve"> for a 15-Minute Settlement Interval</w:t>
      </w:r>
      <w:bookmarkEnd w:id="1489"/>
      <w:bookmarkEnd w:id="1490"/>
      <w:bookmarkEnd w:id="1491"/>
    </w:p>
    <w:p w14:paraId="17750838" w14:textId="10C35F11" w:rsidR="001F04FD" w:rsidRPr="0013396E" w:rsidRDefault="001F04FD" w:rsidP="001F04FD">
      <w:pPr>
        <w:pStyle w:val="BodyText"/>
        <w:ind w:left="720" w:hanging="720"/>
      </w:pPr>
      <w:r w:rsidRPr="0013396E">
        <w:t>(1)</w:t>
      </w:r>
      <w:r w:rsidRPr="0013396E">
        <w:tab/>
        <w:t>ERCOT total Adjusted Metered Load (AML) for a 15-minute Settlement Interval is calculated as follows:</w:t>
      </w:r>
    </w:p>
    <w:p w14:paraId="7FC8FA7F" w14:textId="77777777" w:rsidR="001F04FD" w:rsidRPr="0013396E" w:rsidRDefault="001F04FD" w:rsidP="006B72E9">
      <w:pPr>
        <w:pStyle w:val="FormulaBold"/>
      </w:pPr>
      <w:r w:rsidRPr="0013396E">
        <w:t>RTAMLTOT</w:t>
      </w:r>
      <w:r w:rsidRPr="0013396E">
        <w:tab/>
        <w:t>=</w:t>
      </w:r>
      <w:r w:rsidRPr="0013396E">
        <w:tab/>
      </w:r>
      <w:r w:rsidRPr="0013396E">
        <w:rPr>
          <w:position w:val="-22"/>
        </w:rPr>
        <w:object w:dxaOrig="225" w:dyaOrig="465" w14:anchorId="035F7B09">
          <v:shape id="_x0000_i1073" type="#_x0000_t75" style="width:12pt;height:18.6pt" o:ole="">
            <v:imagedata r:id="rId73" o:title=""/>
          </v:shape>
          <o:OLEObject Type="Embed" ProgID="Equation.3" ShapeID="_x0000_i1073" DrawAspect="Content" ObjectID="_1849065704" r:id="rId74"/>
        </w:object>
      </w:r>
      <w:r w:rsidR="003C2BD5" w:rsidRPr="0013396E">
        <w:rPr>
          <w:bCs w:val="0"/>
        </w:rPr>
        <w:t>(max(0,</w:t>
      </w:r>
      <w:r w:rsidRPr="0013396E">
        <w:rPr>
          <w:position w:val="-22"/>
        </w:rPr>
        <w:object w:dxaOrig="225" w:dyaOrig="465" w14:anchorId="00FFCCFC">
          <v:shape id="_x0000_i1074" type="#_x0000_t75" style="width:12pt;height:18.6pt" o:ole="">
            <v:imagedata r:id="rId75" o:title=""/>
          </v:shape>
          <o:OLEObject Type="Embed" ProgID="Equation.3" ShapeID="_x0000_i1074" DrawAspect="Content" ObjectID="_1849065705" r:id="rId76"/>
        </w:object>
      </w:r>
      <w:r w:rsidRPr="0013396E">
        <w:t xml:space="preserve">RTAML </w:t>
      </w:r>
      <w:r w:rsidRPr="0013396E">
        <w:rPr>
          <w:i/>
          <w:vertAlign w:val="subscript"/>
        </w:rPr>
        <w:t>q, p</w:t>
      </w:r>
      <w:r w:rsidR="003C2BD5" w:rsidRPr="0013396E">
        <w:rPr>
          <w:bCs w:val="0"/>
        </w:rPr>
        <w:t>))</w:t>
      </w:r>
    </w:p>
    <w:p w14:paraId="5C3ED624" w14:textId="77777777" w:rsidR="001F04FD" w:rsidRPr="0013396E" w:rsidRDefault="001F04FD" w:rsidP="001F04FD">
      <w:r w:rsidRPr="0013396E">
        <w:t>The above variables are defined as follows:</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42"/>
        <w:gridCol w:w="697"/>
        <w:gridCol w:w="7347"/>
      </w:tblGrid>
      <w:tr w:rsidR="001F04FD" w:rsidRPr="0013396E" w14:paraId="68008401" w14:textId="77777777" w:rsidTr="00AC4DEE">
        <w:tc>
          <w:tcPr>
            <w:tcW w:w="2042" w:type="dxa"/>
          </w:tcPr>
          <w:p w14:paraId="71AA1497" w14:textId="77777777" w:rsidR="001F04FD" w:rsidRPr="0013396E" w:rsidRDefault="001F04FD" w:rsidP="00AC4DEE">
            <w:pPr>
              <w:pStyle w:val="TableHead"/>
            </w:pPr>
            <w:r w:rsidRPr="0013396E">
              <w:t>Variable</w:t>
            </w:r>
          </w:p>
        </w:tc>
        <w:tc>
          <w:tcPr>
            <w:tcW w:w="0" w:type="auto"/>
          </w:tcPr>
          <w:p w14:paraId="24E4EC2E" w14:textId="77777777" w:rsidR="001F04FD" w:rsidRPr="0013396E" w:rsidRDefault="001F04FD" w:rsidP="00AC4DEE">
            <w:pPr>
              <w:pStyle w:val="TableHead"/>
            </w:pPr>
            <w:r w:rsidRPr="0013396E">
              <w:t>Unit</w:t>
            </w:r>
          </w:p>
        </w:tc>
        <w:tc>
          <w:tcPr>
            <w:tcW w:w="0" w:type="auto"/>
          </w:tcPr>
          <w:p w14:paraId="7D4555FB" w14:textId="77777777" w:rsidR="001F04FD" w:rsidRPr="0013396E" w:rsidRDefault="001F04FD" w:rsidP="00AC4DEE">
            <w:pPr>
              <w:pStyle w:val="TableHead"/>
            </w:pPr>
            <w:r w:rsidRPr="0013396E">
              <w:t>Description</w:t>
            </w:r>
          </w:p>
        </w:tc>
      </w:tr>
      <w:tr w:rsidR="001F04FD" w:rsidRPr="0013396E" w14:paraId="7932CB57" w14:textId="77777777" w:rsidTr="00AC4DEE">
        <w:tc>
          <w:tcPr>
            <w:tcW w:w="2042" w:type="dxa"/>
          </w:tcPr>
          <w:p w14:paraId="76D50416" w14:textId="77777777" w:rsidR="001F04FD" w:rsidRPr="0013396E" w:rsidRDefault="001F04FD" w:rsidP="00AC4DEE">
            <w:pPr>
              <w:pStyle w:val="TableBody"/>
            </w:pPr>
            <w:r w:rsidRPr="0013396E">
              <w:t>RTAMLTOT</w:t>
            </w:r>
          </w:p>
        </w:tc>
        <w:tc>
          <w:tcPr>
            <w:tcW w:w="0" w:type="auto"/>
          </w:tcPr>
          <w:p w14:paraId="650AA525" w14:textId="77777777" w:rsidR="001F04FD" w:rsidRPr="0013396E" w:rsidRDefault="001F04FD" w:rsidP="00AC4DEE">
            <w:pPr>
              <w:pStyle w:val="TableBody"/>
              <w:rPr>
                <w:i/>
              </w:rPr>
            </w:pPr>
            <w:r w:rsidRPr="0013396E">
              <w:t>MWh</w:t>
            </w:r>
          </w:p>
        </w:tc>
        <w:tc>
          <w:tcPr>
            <w:tcW w:w="0" w:type="auto"/>
          </w:tcPr>
          <w:p w14:paraId="646E5EAC" w14:textId="77777777" w:rsidR="001F04FD" w:rsidRPr="0013396E" w:rsidRDefault="001F04FD" w:rsidP="00AC4DEE">
            <w:pPr>
              <w:pStyle w:val="TableBody"/>
            </w:pPr>
            <w:r w:rsidRPr="0013396E">
              <w:rPr>
                <w:i/>
              </w:rPr>
              <w:t>Real-Time Adjusted Metered Load Total</w:t>
            </w:r>
            <w:r w:rsidRPr="0013396E">
              <w:t>—The total AML in ERCOT, for the 15-minute Settlement Interval.</w:t>
            </w:r>
          </w:p>
        </w:tc>
      </w:tr>
      <w:tr w:rsidR="001F04FD" w:rsidRPr="0013396E" w14:paraId="66D26512" w14:textId="77777777" w:rsidTr="00AC4DEE">
        <w:tc>
          <w:tcPr>
            <w:tcW w:w="2042" w:type="dxa"/>
          </w:tcPr>
          <w:p w14:paraId="2CAFC729" w14:textId="77777777" w:rsidR="001F04FD" w:rsidRPr="0013396E" w:rsidRDefault="001F04FD" w:rsidP="00AC4DEE">
            <w:pPr>
              <w:pStyle w:val="TableBody"/>
            </w:pPr>
            <w:r w:rsidRPr="0013396E">
              <w:t xml:space="preserve">RTAML </w:t>
            </w:r>
            <w:r w:rsidRPr="0013396E">
              <w:rPr>
                <w:i/>
                <w:vertAlign w:val="subscript"/>
              </w:rPr>
              <w:t>q, p</w:t>
            </w:r>
          </w:p>
        </w:tc>
        <w:tc>
          <w:tcPr>
            <w:tcW w:w="0" w:type="auto"/>
          </w:tcPr>
          <w:p w14:paraId="6E7841CA" w14:textId="77777777" w:rsidR="001F04FD" w:rsidRPr="0013396E" w:rsidRDefault="001F04FD" w:rsidP="00AC4DEE">
            <w:pPr>
              <w:pStyle w:val="TableBody"/>
            </w:pPr>
            <w:r w:rsidRPr="0013396E">
              <w:t>MWh</w:t>
            </w:r>
          </w:p>
        </w:tc>
        <w:tc>
          <w:tcPr>
            <w:tcW w:w="0" w:type="auto"/>
          </w:tcPr>
          <w:p w14:paraId="1680D0AE" w14:textId="088C9759" w:rsidR="001F04FD" w:rsidRPr="0013396E" w:rsidRDefault="001F04FD" w:rsidP="00AC4DEE">
            <w:pPr>
              <w:pStyle w:val="TableBody"/>
            </w:pPr>
            <w:r w:rsidRPr="0013396E">
              <w:rPr>
                <w:i/>
              </w:rPr>
              <w:t xml:space="preserve">Real-Time Adjusted Metered Load per </w:t>
            </w:r>
            <w:r w:rsidR="001335E7" w:rsidRPr="0013396E">
              <w:rPr>
                <w:i/>
              </w:rPr>
              <w:t>Qualified Scheduling Entity (</w:t>
            </w:r>
            <w:r w:rsidRPr="0013396E">
              <w:rPr>
                <w:i/>
              </w:rPr>
              <w:t>QSE</w:t>
            </w:r>
            <w:r w:rsidR="001335E7" w:rsidRPr="0013396E">
              <w:rPr>
                <w:i/>
              </w:rPr>
              <w:t>)</w:t>
            </w:r>
            <w:r w:rsidRPr="0013396E">
              <w:rPr>
                <w:i/>
              </w:rPr>
              <w:t xml:space="preserve"> per Settlement Point</w:t>
            </w:r>
            <w:r w:rsidRPr="0013396E">
              <w:t xml:space="preserve">—The sum of the AML at the Electrical Buses that are included in Settlement Point </w:t>
            </w:r>
            <w:r w:rsidRPr="0013396E">
              <w:rPr>
                <w:i/>
              </w:rPr>
              <w:t>p</w:t>
            </w:r>
            <w:r w:rsidRPr="0013396E">
              <w:t xml:space="preserve">, represented by </w:t>
            </w:r>
            <w:r w:rsidR="00F510E2" w:rsidRPr="0013396E">
              <w:t>Qualified Scheduling Entity (</w:t>
            </w:r>
            <w:r w:rsidRPr="0013396E">
              <w:t>QSE</w:t>
            </w:r>
            <w:r w:rsidR="00F510E2" w:rsidRPr="0013396E">
              <w:t>)</w:t>
            </w:r>
            <w:r w:rsidRPr="0013396E">
              <w:t xml:space="preserve"> </w:t>
            </w:r>
            <w:r w:rsidRPr="0013396E">
              <w:rPr>
                <w:i/>
              </w:rPr>
              <w:t>q</w:t>
            </w:r>
            <w:r w:rsidRPr="0013396E">
              <w:t>, for the 15-minute Settlement Interval.</w:t>
            </w:r>
          </w:p>
        </w:tc>
      </w:tr>
      <w:tr w:rsidR="001F04FD" w:rsidRPr="0013396E" w14:paraId="598F6B3B" w14:textId="77777777" w:rsidTr="00AC4DEE">
        <w:tc>
          <w:tcPr>
            <w:tcW w:w="2042" w:type="dxa"/>
          </w:tcPr>
          <w:p w14:paraId="307C56C8" w14:textId="77777777" w:rsidR="001F04FD" w:rsidRPr="0013396E" w:rsidRDefault="001F04FD" w:rsidP="00AC4DEE">
            <w:pPr>
              <w:pStyle w:val="TableBody"/>
              <w:rPr>
                <w:i/>
              </w:rPr>
            </w:pPr>
            <w:r w:rsidRPr="0013396E">
              <w:rPr>
                <w:i/>
              </w:rPr>
              <w:t>q</w:t>
            </w:r>
          </w:p>
        </w:tc>
        <w:tc>
          <w:tcPr>
            <w:tcW w:w="0" w:type="auto"/>
          </w:tcPr>
          <w:p w14:paraId="2D19F812" w14:textId="77777777" w:rsidR="001F04FD" w:rsidRPr="0013396E" w:rsidRDefault="001F04FD" w:rsidP="00AC4DEE">
            <w:pPr>
              <w:pStyle w:val="TableBody"/>
            </w:pPr>
            <w:r w:rsidRPr="0013396E">
              <w:t>none</w:t>
            </w:r>
          </w:p>
        </w:tc>
        <w:tc>
          <w:tcPr>
            <w:tcW w:w="0" w:type="auto"/>
          </w:tcPr>
          <w:p w14:paraId="584E93F8" w14:textId="77777777" w:rsidR="001F04FD" w:rsidRPr="0013396E" w:rsidRDefault="001F04FD" w:rsidP="00AC4DEE">
            <w:pPr>
              <w:pStyle w:val="TableBody"/>
            </w:pPr>
            <w:r w:rsidRPr="0013396E">
              <w:t>A QSE.  The summation is over all of the QSEs with metered readings in that interval.</w:t>
            </w:r>
          </w:p>
        </w:tc>
      </w:tr>
      <w:tr w:rsidR="001F04FD" w:rsidRPr="0013396E" w14:paraId="4A57022A" w14:textId="77777777" w:rsidTr="00AC4DEE">
        <w:tc>
          <w:tcPr>
            <w:tcW w:w="2042" w:type="dxa"/>
          </w:tcPr>
          <w:p w14:paraId="6E11A3FA" w14:textId="77777777" w:rsidR="001F04FD" w:rsidRPr="0013396E" w:rsidRDefault="001F04FD" w:rsidP="00AC4DEE">
            <w:pPr>
              <w:pStyle w:val="TableBody"/>
              <w:rPr>
                <w:i/>
              </w:rPr>
            </w:pPr>
            <w:r w:rsidRPr="0013396E">
              <w:rPr>
                <w:i/>
              </w:rPr>
              <w:t>p</w:t>
            </w:r>
          </w:p>
        </w:tc>
        <w:tc>
          <w:tcPr>
            <w:tcW w:w="0" w:type="auto"/>
          </w:tcPr>
          <w:p w14:paraId="35CC9D17" w14:textId="77777777" w:rsidR="001F04FD" w:rsidRPr="0013396E" w:rsidRDefault="001F04FD" w:rsidP="00AC4DEE">
            <w:pPr>
              <w:pStyle w:val="TableBody"/>
            </w:pPr>
            <w:r w:rsidRPr="0013396E">
              <w:t>none</w:t>
            </w:r>
          </w:p>
        </w:tc>
        <w:tc>
          <w:tcPr>
            <w:tcW w:w="0" w:type="auto"/>
          </w:tcPr>
          <w:p w14:paraId="05B34B28" w14:textId="77777777" w:rsidR="001F04FD" w:rsidRPr="0013396E" w:rsidRDefault="001F04FD" w:rsidP="00AC4DEE">
            <w:pPr>
              <w:pStyle w:val="TableBody"/>
            </w:pPr>
            <w:r w:rsidRPr="0013396E">
              <w:t>A Settlement Point.  The summation is over all of the Settlement Points.</w:t>
            </w:r>
          </w:p>
        </w:tc>
      </w:tr>
    </w:tbl>
    <w:p w14:paraId="06FAEDC9" w14:textId="77777777" w:rsidR="001F04FD" w:rsidRPr="0013396E" w:rsidRDefault="001F04FD" w:rsidP="00BB44BE">
      <w:pPr>
        <w:pStyle w:val="H4"/>
        <w:spacing w:before="480"/>
      </w:pPr>
      <w:bookmarkStart w:id="1492" w:name="_Toc103653336"/>
      <w:bookmarkStart w:id="1493" w:name="_Toc109009386"/>
      <w:bookmarkStart w:id="1494" w:name="_Toc397505010"/>
      <w:bookmarkStart w:id="1495" w:name="_Toc402357138"/>
      <w:bookmarkStart w:id="1496" w:name="_Toc422486516"/>
      <w:bookmarkStart w:id="1497" w:name="_Toc433093368"/>
      <w:bookmarkStart w:id="1498" w:name="_Toc433093526"/>
      <w:bookmarkStart w:id="1499" w:name="_Toc440874754"/>
      <w:bookmarkStart w:id="1500" w:name="_Toc448142309"/>
      <w:bookmarkStart w:id="1501" w:name="_Toc448142466"/>
      <w:bookmarkStart w:id="1502" w:name="_Toc458770304"/>
      <w:bookmarkStart w:id="1503" w:name="_Toc459294272"/>
      <w:bookmarkStart w:id="1504" w:name="_Toc463262765"/>
      <w:bookmarkStart w:id="1505" w:name="_Toc468286838"/>
      <w:bookmarkStart w:id="1506" w:name="_Toc481502883"/>
      <w:bookmarkStart w:id="1507" w:name="_Toc496080051"/>
      <w:bookmarkStart w:id="1508" w:name="_Toc236220168"/>
      <w:r w:rsidRPr="0013396E">
        <w:t>6.6.2.2</w:t>
      </w:r>
      <w:r w:rsidRPr="0013396E">
        <w:tab/>
        <w:t>QSE Load Ratio Share for a 15-Minute Settlement Interval</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14:paraId="6380FA67" w14:textId="77777777" w:rsidR="001F04FD" w:rsidRPr="0013396E" w:rsidRDefault="001F04FD" w:rsidP="001F04FD">
      <w:pPr>
        <w:pStyle w:val="BodyText"/>
        <w:ind w:left="720" w:hanging="720"/>
      </w:pPr>
      <w:r w:rsidRPr="0013396E">
        <w:t>(1)</w:t>
      </w:r>
      <w:r w:rsidRPr="0013396E">
        <w:tab/>
        <w:t>Each QSE’s Load Ratio Share (LRS) for a 15-minute Settlement Interval is calculated as follows:</w:t>
      </w:r>
    </w:p>
    <w:p w14:paraId="66133F12" w14:textId="77777777" w:rsidR="001F04FD" w:rsidRPr="0013396E" w:rsidRDefault="001F04FD" w:rsidP="001F04FD">
      <w:pPr>
        <w:pStyle w:val="FormulaBold"/>
      </w:pPr>
      <w:r w:rsidRPr="0013396E">
        <w:t>LRS</w:t>
      </w:r>
      <w:r w:rsidRPr="0013396E">
        <w:rPr>
          <w:i/>
          <w:vertAlign w:val="subscript"/>
        </w:rPr>
        <w:t xml:space="preserve"> q</w:t>
      </w:r>
      <w:r w:rsidRPr="0013396E">
        <w:tab/>
        <w:t>=</w:t>
      </w:r>
      <w:r w:rsidRPr="0013396E">
        <w:tab/>
        <w:t>(</w:t>
      </w:r>
      <w:r w:rsidR="003C2BD5" w:rsidRPr="0013396E">
        <w:rPr>
          <w:bCs w:val="0"/>
        </w:rPr>
        <w:t>max(0,</w:t>
      </w:r>
      <w:r w:rsidRPr="0013396E">
        <w:rPr>
          <w:position w:val="-22"/>
        </w:rPr>
        <w:object w:dxaOrig="225" w:dyaOrig="465" w14:anchorId="70678250">
          <v:shape id="_x0000_i1075" type="#_x0000_t75" style="width:12pt;height:18.6pt" o:ole="">
            <v:imagedata r:id="rId75" o:title=""/>
          </v:shape>
          <o:OLEObject Type="Embed" ProgID="Equation.3" ShapeID="_x0000_i1075" DrawAspect="Content" ObjectID="_1849065706" r:id="rId77"/>
        </w:object>
      </w:r>
      <w:r w:rsidRPr="0013396E">
        <w:t xml:space="preserve">RTAML </w:t>
      </w:r>
      <w:r w:rsidRPr="0013396E">
        <w:rPr>
          <w:i/>
          <w:vertAlign w:val="subscript"/>
        </w:rPr>
        <w:t>q, p</w:t>
      </w:r>
      <w:r w:rsidRPr="0013396E">
        <w:t>)</w:t>
      </w:r>
      <w:r w:rsidR="003C2BD5" w:rsidRPr="0013396E">
        <w:t>)</w:t>
      </w:r>
      <w:r w:rsidRPr="0013396E">
        <w:t xml:space="preserve"> / RTAMLTOT</w:t>
      </w:r>
    </w:p>
    <w:p w14:paraId="0B6786D6" w14:textId="77777777" w:rsidR="001F04FD" w:rsidRPr="0013396E" w:rsidRDefault="001F04FD" w:rsidP="001F04FD">
      <w:r w:rsidRPr="0013396E">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63"/>
        <w:gridCol w:w="697"/>
        <w:gridCol w:w="7080"/>
      </w:tblGrid>
      <w:tr w:rsidR="001F04FD" w:rsidRPr="0013396E" w14:paraId="5CDD9675" w14:textId="77777777" w:rsidTr="00B039ED">
        <w:tc>
          <w:tcPr>
            <w:tcW w:w="2063" w:type="dxa"/>
          </w:tcPr>
          <w:p w14:paraId="1DAC656F" w14:textId="77777777" w:rsidR="001F04FD" w:rsidRPr="0013396E" w:rsidRDefault="001F04FD" w:rsidP="00AC4DEE">
            <w:pPr>
              <w:pStyle w:val="TableHead"/>
            </w:pPr>
            <w:r w:rsidRPr="0013396E">
              <w:t>Variable</w:t>
            </w:r>
          </w:p>
        </w:tc>
        <w:tc>
          <w:tcPr>
            <w:tcW w:w="0" w:type="auto"/>
          </w:tcPr>
          <w:p w14:paraId="79BC14CF" w14:textId="77777777" w:rsidR="001F04FD" w:rsidRPr="0013396E" w:rsidRDefault="001F04FD" w:rsidP="00AC4DEE">
            <w:pPr>
              <w:pStyle w:val="TableHead"/>
            </w:pPr>
            <w:r w:rsidRPr="0013396E">
              <w:t>Unit</w:t>
            </w:r>
          </w:p>
        </w:tc>
        <w:tc>
          <w:tcPr>
            <w:tcW w:w="0" w:type="auto"/>
          </w:tcPr>
          <w:p w14:paraId="3F773FF6" w14:textId="77777777" w:rsidR="001F04FD" w:rsidRPr="0013396E" w:rsidRDefault="001F04FD" w:rsidP="00AC4DEE">
            <w:pPr>
              <w:pStyle w:val="TableHead"/>
            </w:pPr>
            <w:r w:rsidRPr="0013396E">
              <w:t>Description</w:t>
            </w:r>
          </w:p>
        </w:tc>
      </w:tr>
      <w:tr w:rsidR="001F04FD" w:rsidRPr="0013396E" w14:paraId="28007685" w14:textId="77777777" w:rsidTr="00B039ED">
        <w:tc>
          <w:tcPr>
            <w:tcW w:w="2063" w:type="dxa"/>
          </w:tcPr>
          <w:p w14:paraId="3BE1FB65" w14:textId="77777777" w:rsidR="001F04FD" w:rsidRPr="0013396E" w:rsidRDefault="001F04FD" w:rsidP="00AC4DEE">
            <w:pPr>
              <w:pStyle w:val="TableBody"/>
            </w:pPr>
            <w:r w:rsidRPr="0013396E">
              <w:t>LRS</w:t>
            </w:r>
            <w:r w:rsidRPr="0013396E">
              <w:rPr>
                <w:i/>
                <w:vertAlign w:val="subscript"/>
              </w:rPr>
              <w:t xml:space="preserve"> q</w:t>
            </w:r>
          </w:p>
        </w:tc>
        <w:tc>
          <w:tcPr>
            <w:tcW w:w="0" w:type="auto"/>
          </w:tcPr>
          <w:p w14:paraId="677612F4" w14:textId="77777777" w:rsidR="001F04FD" w:rsidRPr="0013396E" w:rsidRDefault="001F04FD" w:rsidP="00AC4DEE">
            <w:pPr>
              <w:pStyle w:val="TableBody"/>
            </w:pPr>
            <w:r w:rsidRPr="0013396E">
              <w:t>none</w:t>
            </w:r>
          </w:p>
        </w:tc>
        <w:tc>
          <w:tcPr>
            <w:tcW w:w="0" w:type="auto"/>
          </w:tcPr>
          <w:p w14:paraId="37C1FC7F" w14:textId="77777777" w:rsidR="001F04FD" w:rsidRPr="0013396E" w:rsidRDefault="001F04FD" w:rsidP="00AC4DEE">
            <w:pPr>
              <w:pStyle w:val="TableBody"/>
              <w:rPr>
                <w:i/>
              </w:rPr>
            </w:pPr>
            <w:r w:rsidRPr="0013396E">
              <w:rPr>
                <w:i/>
              </w:rPr>
              <w:t>Load Ratio Share per QSE</w:t>
            </w:r>
            <w:r w:rsidRPr="0013396E">
              <w:t xml:space="preserve">—The LRS as defined in Section 2, Definitions and Acronyms, for QSE </w:t>
            </w:r>
            <w:r w:rsidRPr="0013396E">
              <w:rPr>
                <w:i/>
              </w:rPr>
              <w:t>q</w:t>
            </w:r>
            <w:r w:rsidRPr="0013396E">
              <w:t xml:space="preserve">, for the 15-minute Settlement Interval. </w:t>
            </w:r>
          </w:p>
        </w:tc>
      </w:tr>
      <w:tr w:rsidR="001F04FD" w:rsidRPr="0013396E" w14:paraId="14CD95DE" w14:textId="77777777" w:rsidTr="00B039ED">
        <w:tc>
          <w:tcPr>
            <w:tcW w:w="2063" w:type="dxa"/>
          </w:tcPr>
          <w:p w14:paraId="34CF92C0" w14:textId="77777777" w:rsidR="001F04FD" w:rsidRPr="0013396E" w:rsidRDefault="001F04FD" w:rsidP="00AC4DEE">
            <w:pPr>
              <w:pStyle w:val="TableBody"/>
            </w:pPr>
            <w:r w:rsidRPr="0013396E">
              <w:t xml:space="preserve">RTAML </w:t>
            </w:r>
            <w:r w:rsidRPr="0013396E">
              <w:rPr>
                <w:i/>
                <w:vertAlign w:val="subscript"/>
              </w:rPr>
              <w:t>q, p</w:t>
            </w:r>
          </w:p>
        </w:tc>
        <w:tc>
          <w:tcPr>
            <w:tcW w:w="0" w:type="auto"/>
          </w:tcPr>
          <w:p w14:paraId="1A3D9FB3" w14:textId="77777777" w:rsidR="001F04FD" w:rsidRPr="0013396E" w:rsidRDefault="001F04FD" w:rsidP="00AC4DEE">
            <w:pPr>
              <w:pStyle w:val="TableBody"/>
              <w:rPr>
                <w:i/>
              </w:rPr>
            </w:pPr>
            <w:r w:rsidRPr="0013396E">
              <w:t>MWh</w:t>
            </w:r>
          </w:p>
        </w:tc>
        <w:tc>
          <w:tcPr>
            <w:tcW w:w="0" w:type="auto"/>
          </w:tcPr>
          <w:p w14:paraId="49246899" w14:textId="77777777" w:rsidR="001F04FD" w:rsidRPr="0013396E" w:rsidRDefault="001F04FD" w:rsidP="00E91BBF">
            <w:pPr>
              <w:pStyle w:val="TableBody"/>
            </w:pPr>
            <w:r w:rsidRPr="0013396E">
              <w:rPr>
                <w:i/>
              </w:rPr>
              <w:t>Real-Time Adjusted Metered Load per Settlement Point per QSE</w:t>
            </w:r>
            <w:r w:rsidRPr="0013396E">
              <w:t xml:space="preserve">—The sum of the </w:t>
            </w:r>
            <w:r w:rsidR="00E91BBF" w:rsidRPr="0013396E">
              <w:t>AML</w:t>
            </w:r>
            <w:r w:rsidRPr="0013396E">
              <w:t xml:space="preserve"> at the Electrical Buses that are included in Settlement Point </w:t>
            </w:r>
            <w:r w:rsidRPr="0013396E">
              <w:rPr>
                <w:i/>
              </w:rPr>
              <w:t>p</w:t>
            </w:r>
            <w:r w:rsidRPr="0013396E">
              <w:t xml:space="preserve">, represented by QSE </w:t>
            </w:r>
            <w:r w:rsidRPr="0013396E">
              <w:rPr>
                <w:i/>
              </w:rPr>
              <w:t>q</w:t>
            </w:r>
            <w:r w:rsidRPr="0013396E">
              <w:t>, for the 15-minute Settlement Interval.</w:t>
            </w:r>
          </w:p>
        </w:tc>
      </w:tr>
      <w:tr w:rsidR="001F04FD" w:rsidRPr="0013396E" w14:paraId="4E63339A" w14:textId="77777777" w:rsidTr="00B039ED">
        <w:tc>
          <w:tcPr>
            <w:tcW w:w="2063" w:type="dxa"/>
          </w:tcPr>
          <w:p w14:paraId="2DFB28C9" w14:textId="77777777" w:rsidR="001F04FD" w:rsidRPr="0013396E" w:rsidRDefault="001F04FD" w:rsidP="00AC4DEE">
            <w:pPr>
              <w:pStyle w:val="TableBody"/>
            </w:pPr>
            <w:r w:rsidRPr="0013396E">
              <w:t>RTAMLTOT</w:t>
            </w:r>
          </w:p>
        </w:tc>
        <w:tc>
          <w:tcPr>
            <w:tcW w:w="0" w:type="auto"/>
          </w:tcPr>
          <w:p w14:paraId="17587745" w14:textId="77777777" w:rsidR="001F04FD" w:rsidRPr="0013396E" w:rsidRDefault="001F04FD" w:rsidP="00AC4DEE">
            <w:pPr>
              <w:pStyle w:val="TableBody"/>
              <w:rPr>
                <w:i/>
              </w:rPr>
            </w:pPr>
            <w:r w:rsidRPr="0013396E">
              <w:t>MWh</w:t>
            </w:r>
          </w:p>
        </w:tc>
        <w:tc>
          <w:tcPr>
            <w:tcW w:w="0" w:type="auto"/>
          </w:tcPr>
          <w:p w14:paraId="37E45A26" w14:textId="77777777" w:rsidR="001F04FD" w:rsidRPr="0013396E" w:rsidRDefault="001F04FD" w:rsidP="00E91BBF">
            <w:pPr>
              <w:pStyle w:val="TableBody"/>
            </w:pPr>
            <w:r w:rsidRPr="0013396E">
              <w:rPr>
                <w:i/>
              </w:rPr>
              <w:t>Real-Time Adjusted Metered Load Total</w:t>
            </w:r>
            <w:r w:rsidRPr="0013396E">
              <w:t xml:space="preserve">—The total </w:t>
            </w:r>
            <w:r w:rsidR="00E91BBF" w:rsidRPr="0013396E">
              <w:t>AML</w:t>
            </w:r>
            <w:r w:rsidRPr="0013396E">
              <w:t xml:space="preserve"> in ERCOT, for the 15-minute Settlement Interval.</w:t>
            </w:r>
          </w:p>
        </w:tc>
      </w:tr>
      <w:tr w:rsidR="009F62BA" w:rsidRPr="0013396E" w14:paraId="4C900C50" w14:textId="77777777" w:rsidTr="00B039ED">
        <w:tc>
          <w:tcPr>
            <w:tcW w:w="2063" w:type="dxa"/>
          </w:tcPr>
          <w:p w14:paraId="39CA26D4" w14:textId="7DDC018A" w:rsidR="009F62BA" w:rsidRPr="0013396E" w:rsidRDefault="009F62BA" w:rsidP="009F62BA">
            <w:pPr>
              <w:pStyle w:val="TableBody"/>
            </w:pPr>
            <w:r w:rsidRPr="0013396E">
              <w:rPr>
                <w:i/>
              </w:rPr>
              <w:t>q</w:t>
            </w:r>
          </w:p>
        </w:tc>
        <w:tc>
          <w:tcPr>
            <w:tcW w:w="0" w:type="auto"/>
          </w:tcPr>
          <w:p w14:paraId="1B405C13" w14:textId="7C3416A5" w:rsidR="009F62BA" w:rsidRPr="0013396E" w:rsidRDefault="009F62BA" w:rsidP="009F62BA">
            <w:pPr>
              <w:pStyle w:val="TableBody"/>
            </w:pPr>
            <w:r w:rsidRPr="0013396E">
              <w:t>none</w:t>
            </w:r>
          </w:p>
        </w:tc>
        <w:tc>
          <w:tcPr>
            <w:tcW w:w="0" w:type="auto"/>
          </w:tcPr>
          <w:p w14:paraId="0F18FC34" w14:textId="7555C088" w:rsidR="009F62BA" w:rsidRPr="0013396E" w:rsidRDefault="009F62BA" w:rsidP="009F62BA">
            <w:pPr>
              <w:pStyle w:val="TableBody"/>
              <w:rPr>
                <w:i/>
              </w:rPr>
            </w:pPr>
            <w:r w:rsidRPr="0013396E">
              <w:t>A QSE.</w:t>
            </w:r>
          </w:p>
        </w:tc>
      </w:tr>
      <w:tr w:rsidR="001F04FD" w:rsidRPr="0013396E" w14:paraId="141649F6" w14:textId="77777777" w:rsidTr="00B039ED">
        <w:tc>
          <w:tcPr>
            <w:tcW w:w="2063" w:type="dxa"/>
          </w:tcPr>
          <w:p w14:paraId="4EBF85F1" w14:textId="77777777" w:rsidR="001F04FD" w:rsidRPr="0013396E" w:rsidRDefault="001F04FD" w:rsidP="00AC4DEE">
            <w:pPr>
              <w:pStyle w:val="TableBody"/>
              <w:rPr>
                <w:i/>
              </w:rPr>
            </w:pPr>
            <w:r w:rsidRPr="0013396E">
              <w:rPr>
                <w:i/>
              </w:rPr>
              <w:t>p</w:t>
            </w:r>
          </w:p>
        </w:tc>
        <w:tc>
          <w:tcPr>
            <w:tcW w:w="0" w:type="auto"/>
          </w:tcPr>
          <w:p w14:paraId="24825714" w14:textId="77777777" w:rsidR="001F04FD" w:rsidRPr="0013396E" w:rsidRDefault="001F04FD" w:rsidP="00AC4DEE">
            <w:pPr>
              <w:pStyle w:val="TableBody"/>
            </w:pPr>
            <w:r w:rsidRPr="0013396E">
              <w:t>none</w:t>
            </w:r>
          </w:p>
        </w:tc>
        <w:tc>
          <w:tcPr>
            <w:tcW w:w="0" w:type="auto"/>
          </w:tcPr>
          <w:p w14:paraId="37535CA7" w14:textId="77777777" w:rsidR="001F04FD" w:rsidRPr="0013396E" w:rsidRDefault="001F04FD" w:rsidP="00AC4DEE">
            <w:pPr>
              <w:pStyle w:val="TableBody"/>
            </w:pPr>
            <w:r w:rsidRPr="0013396E">
              <w:t>A Settlement Point.  The summation is over all of the Settlement Points.</w:t>
            </w:r>
          </w:p>
        </w:tc>
      </w:tr>
    </w:tbl>
    <w:p w14:paraId="1BBEB590" w14:textId="77777777" w:rsidR="00222B2B" w:rsidRPr="0013396E" w:rsidRDefault="00222B2B" w:rsidP="00222B2B">
      <w:pPr>
        <w:keepNext/>
        <w:widowControl w:val="0"/>
        <w:tabs>
          <w:tab w:val="left" w:pos="1260"/>
        </w:tabs>
        <w:ind w:left="1260" w:hanging="1260"/>
        <w:outlineLvl w:val="3"/>
        <w:rPr>
          <w:b/>
          <w:bCs/>
          <w:snapToGrid w:val="0"/>
        </w:rPr>
      </w:pPr>
      <w:bookmarkStart w:id="1509" w:name="_Toc481502884"/>
      <w:bookmarkStart w:id="1510" w:name="_Toc496080052"/>
      <w:bookmarkStart w:id="1511" w:name="_Toc103653337"/>
      <w:bookmarkStart w:id="1512" w:name="_Toc109009387"/>
      <w:bookmarkStart w:id="1513" w:name="_Toc397505011"/>
      <w:bookmarkStart w:id="1514" w:name="_Toc402357139"/>
      <w:bookmarkStart w:id="1515" w:name="_Toc422486517"/>
      <w:bookmarkStart w:id="1516" w:name="_Toc433093369"/>
      <w:bookmarkStart w:id="1517" w:name="_Toc433093527"/>
      <w:bookmarkStart w:id="1518" w:name="_Toc440874755"/>
      <w:bookmarkStart w:id="1519" w:name="_Toc448142310"/>
      <w:bookmarkStart w:id="1520" w:name="_Toc448142467"/>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10080"/>
      </w:tblGrid>
      <w:tr w:rsidR="00222B2B" w:rsidRPr="0013396E" w14:paraId="6939547A" w14:textId="77777777" w:rsidTr="00316CC9">
        <w:trPr>
          <w:trHeight w:val="206"/>
        </w:trPr>
        <w:tc>
          <w:tcPr>
            <w:tcW w:w="9576" w:type="dxa"/>
            <w:shd w:val="pct12" w:color="auto" w:fill="auto"/>
          </w:tcPr>
          <w:p w14:paraId="5662DC74" w14:textId="3C9CA742" w:rsidR="00222B2B" w:rsidRPr="0013396E" w:rsidRDefault="00222B2B" w:rsidP="00316CC9">
            <w:pPr>
              <w:pStyle w:val="Instructions"/>
              <w:spacing w:before="120"/>
            </w:pPr>
            <w:r w:rsidRPr="0013396E">
              <w:t>[NPRR1030:  Insert paragraphs (2)-(4) below upon system implementation:]</w:t>
            </w:r>
          </w:p>
          <w:p w14:paraId="2657FB0B" w14:textId="77777777" w:rsidR="00222B2B" w:rsidRPr="0013396E" w:rsidRDefault="00222B2B" w:rsidP="00850957">
            <w:pPr>
              <w:pStyle w:val="BodyText"/>
              <w:ind w:left="720" w:hanging="720"/>
              <w:rPr>
                <w:bCs/>
                <w:snapToGrid w:val="0"/>
              </w:rPr>
            </w:pPr>
            <w:bookmarkStart w:id="1521" w:name="_Toc60040665"/>
            <w:r w:rsidRPr="0013396E">
              <w:rPr>
                <w:bCs/>
                <w:snapToGrid w:val="0"/>
              </w:rPr>
              <w:lastRenderedPageBreak/>
              <w:t>(2)</w:t>
            </w:r>
            <w:r w:rsidRPr="0013396E">
              <w:rPr>
                <w:bCs/>
                <w:snapToGrid w:val="0"/>
              </w:rPr>
              <w:tab/>
              <w:t xml:space="preserve">Each QSE’s MLRS, </w:t>
            </w:r>
            <w:r w:rsidRPr="0013396E">
              <w:t>excluding</w:t>
            </w:r>
            <w:r w:rsidRPr="0013396E">
              <w:rPr>
                <w:bCs/>
                <w:snapToGrid w:val="0"/>
              </w:rPr>
              <w:t xml:space="preserve"> DC Tie exports included in RTAML, for ERCOT’s peak Load 15-minute Settlement Interval in the calendar month is calculated as follows:</w:t>
            </w:r>
            <w:bookmarkEnd w:id="1521"/>
            <w:r w:rsidRPr="0013396E">
              <w:rPr>
                <w:bCs/>
                <w:snapToGrid w:val="0"/>
              </w:rPr>
              <w:t xml:space="preserve"> </w:t>
            </w:r>
          </w:p>
          <w:p w14:paraId="18468D0C" w14:textId="77777777" w:rsidR="00222B2B" w:rsidRPr="0013396E" w:rsidRDefault="00222B2B" w:rsidP="00222B2B">
            <w:pPr>
              <w:pStyle w:val="FormulaBold"/>
            </w:pPr>
            <w:r w:rsidRPr="0013396E">
              <w:t>MLRS</w:t>
            </w:r>
            <w:r w:rsidRPr="0013396E">
              <w:rPr>
                <w:i/>
                <w:vertAlign w:val="subscript"/>
              </w:rPr>
              <w:t xml:space="preserve"> q</w:t>
            </w:r>
            <w:r w:rsidRPr="0013396E">
              <w:tab/>
              <w:t>=</w:t>
            </w:r>
            <w:r w:rsidRPr="0013396E">
              <w:tab/>
              <w:t>max(0,</w:t>
            </w:r>
            <w:r w:rsidRPr="0013396E">
              <w:rPr>
                <w:position w:val="-22"/>
              </w:rPr>
              <w:object w:dxaOrig="225" w:dyaOrig="465" w14:anchorId="44DB08E5">
                <v:shape id="_x0000_i1076" type="#_x0000_t75" style="width:12pt;height:18.6pt" o:ole="">
                  <v:imagedata r:id="rId75" o:title=""/>
                </v:shape>
                <o:OLEObject Type="Embed" ProgID="Equation.3" ShapeID="_x0000_i1076" DrawAspect="Content" ObjectID="_1849065707" r:id="rId78"/>
              </w:object>
            </w:r>
            <w:r w:rsidRPr="0013396E">
              <w:t xml:space="preserve">(RTAML </w:t>
            </w:r>
            <w:r w:rsidRPr="0013396E">
              <w:rPr>
                <w:i/>
                <w:vertAlign w:val="subscript"/>
              </w:rPr>
              <w:t xml:space="preserve">q, p </w:t>
            </w:r>
            <w:r w:rsidRPr="0013396E">
              <w:rPr>
                <w:rFonts w:ascii="Times New Roman Bold" w:hAnsi="Times New Roman Bold"/>
                <w:i/>
              </w:rPr>
              <w:t xml:space="preserve">- </w:t>
            </w:r>
            <w:r w:rsidRPr="0013396E">
              <w:t>RTAMLDC</w:t>
            </w:r>
            <w:r w:rsidRPr="0013396E">
              <w:rPr>
                <w:lang w:val="sv-SE"/>
              </w:rPr>
              <w:t xml:space="preserve"> </w:t>
            </w:r>
            <w:r w:rsidRPr="0013396E">
              <w:rPr>
                <w:i/>
                <w:vertAlign w:val="subscript"/>
              </w:rPr>
              <w:t>q, p</w:t>
            </w:r>
            <w:r w:rsidRPr="0013396E">
              <w:t xml:space="preserve">)) / (RTAMLTOT - </w:t>
            </w:r>
            <w:r w:rsidRPr="0013396E">
              <w:rPr>
                <w:position w:val="-22"/>
              </w:rPr>
              <w:object w:dxaOrig="225" w:dyaOrig="465" w14:anchorId="21F1259D">
                <v:shape id="_x0000_i1077" type="#_x0000_t75" style="width:12pt;height:18.6pt" o:ole="">
                  <v:imagedata r:id="rId79" o:title=""/>
                </v:shape>
                <o:OLEObject Type="Embed" ProgID="Equation.3" ShapeID="_x0000_i1077" DrawAspect="Content" ObjectID="_1849065708" r:id="rId80"/>
              </w:object>
            </w:r>
            <w:r w:rsidRPr="0013396E">
              <w:rPr>
                <w:position w:val="-22"/>
              </w:rPr>
              <w:object w:dxaOrig="225" w:dyaOrig="465" w14:anchorId="3B3CCB82">
                <v:shape id="_x0000_i1078" type="#_x0000_t75" style="width:12pt;height:18.6pt" o:ole="">
                  <v:imagedata r:id="rId81" o:title=""/>
                </v:shape>
                <o:OLEObject Type="Embed" ProgID="Equation.3" ShapeID="_x0000_i1078" DrawAspect="Content" ObjectID="_1849065709" r:id="rId82"/>
              </w:object>
            </w:r>
            <w:r w:rsidRPr="0013396E">
              <w:t xml:space="preserve"> RTAMLDC</w:t>
            </w:r>
            <w:r w:rsidRPr="0013396E">
              <w:rPr>
                <w:lang w:val="sv-SE"/>
              </w:rPr>
              <w:t xml:space="preserve"> </w:t>
            </w:r>
            <w:r w:rsidRPr="0013396E">
              <w:rPr>
                <w:i/>
                <w:vertAlign w:val="subscript"/>
              </w:rPr>
              <w:t>q, p</w:t>
            </w:r>
            <w:r w:rsidRPr="0013396E">
              <w:t xml:space="preserve">) </w:t>
            </w:r>
          </w:p>
          <w:p w14:paraId="659DB3BD" w14:textId="77777777" w:rsidR="00222B2B" w:rsidRPr="0013396E" w:rsidRDefault="00222B2B" w:rsidP="00222B2B">
            <w:r w:rsidRPr="0013396E">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26"/>
              <w:gridCol w:w="697"/>
              <w:gridCol w:w="7117"/>
            </w:tblGrid>
            <w:tr w:rsidR="00222B2B" w:rsidRPr="0013396E" w14:paraId="4AC7E1CD" w14:textId="77777777" w:rsidTr="00316CC9">
              <w:tc>
                <w:tcPr>
                  <w:tcW w:w="2026" w:type="dxa"/>
                </w:tcPr>
                <w:p w14:paraId="7A422AB4" w14:textId="77777777" w:rsidR="00222B2B" w:rsidRPr="0013396E" w:rsidRDefault="00222B2B" w:rsidP="00222B2B">
                  <w:pPr>
                    <w:pStyle w:val="TableHead"/>
                  </w:pPr>
                  <w:r w:rsidRPr="0013396E">
                    <w:t>Variable</w:t>
                  </w:r>
                </w:p>
              </w:tc>
              <w:tc>
                <w:tcPr>
                  <w:tcW w:w="0" w:type="auto"/>
                </w:tcPr>
                <w:p w14:paraId="576D4628" w14:textId="77777777" w:rsidR="00222B2B" w:rsidRPr="0013396E" w:rsidRDefault="00222B2B" w:rsidP="00222B2B">
                  <w:pPr>
                    <w:pStyle w:val="TableHead"/>
                  </w:pPr>
                  <w:r w:rsidRPr="0013396E">
                    <w:t>Unit</w:t>
                  </w:r>
                </w:p>
              </w:tc>
              <w:tc>
                <w:tcPr>
                  <w:tcW w:w="0" w:type="auto"/>
                </w:tcPr>
                <w:p w14:paraId="162955A9" w14:textId="77777777" w:rsidR="00222B2B" w:rsidRPr="0013396E" w:rsidRDefault="00222B2B" w:rsidP="00222B2B">
                  <w:pPr>
                    <w:pStyle w:val="TableHead"/>
                  </w:pPr>
                  <w:r w:rsidRPr="0013396E">
                    <w:t>Description</w:t>
                  </w:r>
                </w:p>
              </w:tc>
            </w:tr>
            <w:tr w:rsidR="00222B2B" w:rsidRPr="0013396E" w14:paraId="564F2FDE" w14:textId="77777777" w:rsidTr="00316CC9">
              <w:tc>
                <w:tcPr>
                  <w:tcW w:w="2026" w:type="dxa"/>
                </w:tcPr>
                <w:p w14:paraId="712E5228" w14:textId="77777777" w:rsidR="00222B2B" w:rsidRPr="0013396E" w:rsidRDefault="00222B2B" w:rsidP="00222B2B">
                  <w:pPr>
                    <w:pStyle w:val="TableBody"/>
                  </w:pPr>
                  <w:r w:rsidRPr="0013396E">
                    <w:t>MLRS</w:t>
                  </w:r>
                  <w:r w:rsidRPr="0013396E">
                    <w:rPr>
                      <w:i/>
                      <w:vertAlign w:val="subscript"/>
                    </w:rPr>
                    <w:t xml:space="preserve"> q</w:t>
                  </w:r>
                </w:p>
              </w:tc>
              <w:tc>
                <w:tcPr>
                  <w:tcW w:w="0" w:type="auto"/>
                </w:tcPr>
                <w:p w14:paraId="1912BCD3" w14:textId="77777777" w:rsidR="00222B2B" w:rsidRPr="0013396E" w:rsidRDefault="00222B2B" w:rsidP="00222B2B">
                  <w:pPr>
                    <w:pStyle w:val="TableBody"/>
                  </w:pPr>
                  <w:r w:rsidRPr="0013396E">
                    <w:t>none</w:t>
                  </w:r>
                </w:p>
              </w:tc>
              <w:tc>
                <w:tcPr>
                  <w:tcW w:w="0" w:type="auto"/>
                </w:tcPr>
                <w:p w14:paraId="7EE29A87" w14:textId="77777777" w:rsidR="00222B2B" w:rsidRPr="0013396E" w:rsidRDefault="00222B2B" w:rsidP="00222B2B">
                  <w:pPr>
                    <w:pStyle w:val="TableBody"/>
                    <w:rPr>
                      <w:i/>
                    </w:rPr>
                  </w:pPr>
                  <w:r w:rsidRPr="0013396E">
                    <w:rPr>
                      <w:i/>
                    </w:rPr>
                    <w:t>Monthly Load Ratio Share per QSE</w:t>
                  </w:r>
                  <w:r w:rsidRPr="0013396E">
                    <w:t xml:space="preserve">—The ratio share of Loads excluding DC Tie Exports for QSE </w:t>
                  </w:r>
                  <w:r w:rsidRPr="0013396E">
                    <w:rPr>
                      <w:i/>
                    </w:rPr>
                    <w:t>q</w:t>
                  </w:r>
                  <w:r w:rsidRPr="0013396E">
                    <w:t xml:space="preserve">, for the peak Load 15-minute Settlement Interval. </w:t>
                  </w:r>
                </w:p>
              </w:tc>
            </w:tr>
            <w:tr w:rsidR="00222B2B" w:rsidRPr="0013396E" w14:paraId="1022AA74" w14:textId="77777777" w:rsidTr="00316CC9">
              <w:tc>
                <w:tcPr>
                  <w:tcW w:w="2026" w:type="dxa"/>
                </w:tcPr>
                <w:p w14:paraId="36EC372F" w14:textId="77777777" w:rsidR="00222B2B" w:rsidRPr="0013396E" w:rsidRDefault="00222B2B" w:rsidP="00222B2B">
                  <w:pPr>
                    <w:pStyle w:val="TableBody"/>
                  </w:pPr>
                  <w:r w:rsidRPr="0013396E">
                    <w:t xml:space="preserve">RTAML </w:t>
                  </w:r>
                  <w:r w:rsidRPr="0013396E">
                    <w:rPr>
                      <w:i/>
                      <w:vertAlign w:val="subscript"/>
                    </w:rPr>
                    <w:t>q, p</w:t>
                  </w:r>
                </w:p>
              </w:tc>
              <w:tc>
                <w:tcPr>
                  <w:tcW w:w="0" w:type="auto"/>
                </w:tcPr>
                <w:p w14:paraId="1F0DD041" w14:textId="77777777" w:rsidR="00222B2B" w:rsidRPr="0013396E" w:rsidRDefault="00222B2B" w:rsidP="00222B2B">
                  <w:pPr>
                    <w:pStyle w:val="TableBody"/>
                    <w:rPr>
                      <w:i/>
                    </w:rPr>
                  </w:pPr>
                  <w:r w:rsidRPr="0013396E">
                    <w:t>MWh</w:t>
                  </w:r>
                </w:p>
              </w:tc>
              <w:tc>
                <w:tcPr>
                  <w:tcW w:w="0" w:type="auto"/>
                </w:tcPr>
                <w:p w14:paraId="6FFB20B5" w14:textId="77777777" w:rsidR="00222B2B" w:rsidRPr="0013396E" w:rsidRDefault="00222B2B" w:rsidP="00222B2B">
                  <w:pPr>
                    <w:pStyle w:val="TableBody"/>
                  </w:pPr>
                  <w:r w:rsidRPr="0013396E">
                    <w:rPr>
                      <w:i/>
                    </w:rPr>
                    <w:t>Real-Time Adjusted Metered Load per Settlement Point per QSE</w:t>
                  </w:r>
                  <w:r w:rsidRPr="0013396E">
                    <w:t xml:space="preserve">—The sum of the AML at the Electrical Buses that are included in Settlement Point </w:t>
                  </w:r>
                  <w:r w:rsidRPr="0013396E">
                    <w:rPr>
                      <w:i/>
                    </w:rPr>
                    <w:t>p</w:t>
                  </w:r>
                  <w:r w:rsidRPr="0013396E">
                    <w:t xml:space="preserve">, represented by QSE </w:t>
                  </w:r>
                  <w:r w:rsidRPr="0013396E">
                    <w:rPr>
                      <w:i/>
                    </w:rPr>
                    <w:t>q</w:t>
                  </w:r>
                  <w:r w:rsidRPr="0013396E">
                    <w:t>, for the 15-minute Settlement Interval.</w:t>
                  </w:r>
                </w:p>
              </w:tc>
            </w:tr>
            <w:tr w:rsidR="00222B2B" w:rsidRPr="0013396E" w14:paraId="4ABD25D1" w14:textId="77777777" w:rsidTr="00316CC9">
              <w:tc>
                <w:tcPr>
                  <w:tcW w:w="2026" w:type="dxa"/>
                </w:tcPr>
                <w:p w14:paraId="1CF1F0CB" w14:textId="77777777" w:rsidR="00222B2B" w:rsidRPr="0013396E" w:rsidRDefault="00222B2B" w:rsidP="00222B2B">
                  <w:pPr>
                    <w:pStyle w:val="TableBody"/>
                  </w:pPr>
                  <w:r w:rsidRPr="0013396E">
                    <w:rPr>
                      <w:lang w:val="sv-SE"/>
                    </w:rPr>
                    <w:t xml:space="preserve">RTAMLDC </w:t>
                  </w:r>
                  <w:r w:rsidRPr="0013396E">
                    <w:rPr>
                      <w:i/>
                      <w:vertAlign w:val="subscript"/>
                      <w:lang w:val="sv-SE"/>
                    </w:rPr>
                    <w:t>q,p</w:t>
                  </w:r>
                </w:p>
              </w:tc>
              <w:tc>
                <w:tcPr>
                  <w:tcW w:w="0" w:type="auto"/>
                </w:tcPr>
                <w:p w14:paraId="08AF6E9F" w14:textId="77777777" w:rsidR="00222B2B" w:rsidRPr="0013396E" w:rsidRDefault="00222B2B" w:rsidP="00222B2B">
                  <w:pPr>
                    <w:pStyle w:val="TableBody"/>
                  </w:pPr>
                  <w:r w:rsidRPr="0013396E">
                    <w:t>MWh</w:t>
                  </w:r>
                </w:p>
              </w:tc>
              <w:tc>
                <w:tcPr>
                  <w:tcW w:w="0" w:type="auto"/>
                </w:tcPr>
                <w:p w14:paraId="4D337931" w14:textId="77777777" w:rsidR="00222B2B" w:rsidRPr="0013396E" w:rsidRDefault="00222B2B" w:rsidP="00222B2B">
                  <w:pPr>
                    <w:pStyle w:val="TableBody"/>
                    <w:rPr>
                      <w:i/>
                    </w:rPr>
                  </w:pPr>
                  <w:r w:rsidRPr="0013396E">
                    <w:rPr>
                      <w:i/>
                    </w:rPr>
                    <w:t>Real-Time Adjusted Metered Load for DC Ties per Settlement Point per QSE</w:t>
                  </w:r>
                  <w:r w:rsidRPr="0013396E">
                    <w:t xml:space="preserve">—The sum of the DC Tie AML at the Electrical Buses that are included in Settlement Point </w:t>
                  </w:r>
                  <w:r w:rsidRPr="0013396E">
                    <w:rPr>
                      <w:i/>
                    </w:rPr>
                    <w:t>p</w:t>
                  </w:r>
                  <w:r w:rsidRPr="0013396E">
                    <w:t xml:space="preserve">, represented by QSE </w:t>
                  </w:r>
                  <w:r w:rsidRPr="0013396E">
                    <w:rPr>
                      <w:i/>
                    </w:rPr>
                    <w:t>q</w:t>
                  </w:r>
                  <w:r w:rsidRPr="0013396E">
                    <w:t xml:space="preserve">, for the 15-minute Settlement Interval. </w:t>
                  </w:r>
                </w:p>
              </w:tc>
            </w:tr>
            <w:tr w:rsidR="00222B2B" w:rsidRPr="0013396E" w14:paraId="7CE3959A" w14:textId="77777777" w:rsidTr="00316CC9">
              <w:tc>
                <w:tcPr>
                  <w:tcW w:w="2026" w:type="dxa"/>
                </w:tcPr>
                <w:p w14:paraId="556094AC" w14:textId="77777777" w:rsidR="00222B2B" w:rsidRPr="0013396E" w:rsidRDefault="00222B2B" w:rsidP="00222B2B">
                  <w:pPr>
                    <w:pStyle w:val="TableBody"/>
                  </w:pPr>
                  <w:r w:rsidRPr="0013396E">
                    <w:t>RTAMLTOT</w:t>
                  </w:r>
                </w:p>
              </w:tc>
              <w:tc>
                <w:tcPr>
                  <w:tcW w:w="0" w:type="auto"/>
                </w:tcPr>
                <w:p w14:paraId="75346AD7" w14:textId="77777777" w:rsidR="00222B2B" w:rsidRPr="0013396E" w:rsidRDefault="00222B2B" w:rsidP="00222B2B">
                  <w:pPr>
                    <w:pStyle w:val="TableBody"/>
                    <w:rPr>
                      <w:i/>
                    </w:rPr>
                  </w:pPr>
                  <w:r w:rsidRPr="0013396E">
                    <w:t>MWh</w:t>
                  </w:r>
                </w:p>
              </w:tc>
              <w:tc>
                <w:tcPr>
                  <w:tcW w:w="0" w:type="auto"/>
                </w:tcPr>
                <w:p w14:paraId="76F3AA92" w14:textId="77777777" w:rsidR="00222B2B" w:rsidRPr="0013396E" w:rsidRDefault="00222B2B" w:rsidP="00222B2B">
                  <w:pPr>
                    <w:pStyle w:val="TableBody"/>
                  </w:pPr>
                  <w:r w:rsidRPr="0013396E">
                    <w:rPr>
                      <w:i/>
                    </w:rPr>
                    <w:t>Real-Time Adjusted Metered Load Total</w:t>
                  </w:r>
                  <w:r w:rsidRPr="0013396E">
                    <w:t>—The total AML in ERCOT, for the 15-minute Settlement Interval.</w:t>
                  </w:r>
                </w:p>
              </w:tc>
            </w:tr>
            <w:tr w:rsidR="00222B2B" w:rsidRPr="0013396E" w14:paraId="3ED42340" w14:textId="77777777" w:rsidTr="00316CC9">
              <w:tc>
                <w:tcPr>
                  <w:tcW w:w="2026" w:type="dxa"/>
                </w:tcPr>
                <w:p w14:paraId="41EF2ACF" w14:textId="77777777" w:rsidR="00222B2B" w:rsidRPr="0013396E" w:rsidRDefault="00222B2B" w:rsidP="00222B2B">
                  <w:pPr>
                    <w:pStyle w:val="TableBody"/>
                    <w:rPr>
                      <w:i/>
                    </w:rPr>
                  </w:pPr>
                  <w:r w:rsidRPr="0013396E">
                    <w:rPr>
                      <w:i/>
                      <w:iCs w:val="0"/>
                    </w:rPr>
                    <w:t>q</w:t>
                  </w:r>
                </w:p>
              </w:tc>
              <w:tc>
                <w:tcPr>
                  <w:tcW w:w="0" w:type="auto"/>
                </w:tcPr>
                <w:p w14:paraId="0F4A1667" w14:textId="77777777" w:rsidR="00222B2B" w:rsidRPr="0013396E" w:rsidRDefault="00222B2B" w:rsidP="00222B2B">
                  <w:pPr>
                    <w:pStyle w:val="TableBody"/>
                  </w:pPr>
                  <w:r w:rsidRPr="0013396E">
                    <w:rPr>
                      <w:iCs w:val="0"/>
                    </w:rPr>
                    <w:t>none</w:t>
                  </w:r>
                </w:p>
              </w:tc>
              <w:tc>
                <w:tcPr>
                  <w:tcW w:w="0" w:type="auto"/>
                </w:tcPr>
                <w:p w14:paraId="284A20AC" w14:textId="77777777" w:rsidR="00222B2B" w:rsidRPr="0013396E" w:rsidRDefault="00222B2B" w:rsidP="00222B2B">
                  <w:pPr>
                    <w:pStyle w:val="TableBody"/>
                  </w:pPr>
                  <w:r w:rsidRPr="0013396E">
                    <w:rPr>
                      <w:iCs w:val="0"/>
                    </w:rPr>
                    <w:t xml:space="preserve">A QSE.  </w:t>
                  </w:r>
                </w:p>
              </w:tc>
            </w:tr>
            <w:tr w:rsidR="00222B2B" w:rsidRPr="0013396E" w14:paraId="419AAC29" w14:textId="77777777" w:rsidTr="00316CC9">
              <w:tc>
                <w:tcPr>
                  <w:tcW w:w="2026" w:type="dxa"/>
                </w:tcPr>
                <w:p w14:paraId="6B593400" w14:textId="77777777" w:rsidR="00222B2B" w:rsidRPr="0013396E" w:rsidRDefault="00222B2B" w:rsidP="00222B2B">
                  <w:pPr>
                    <w:pStyle w:val="TableBody"/>
                    <w:rPr>
                      <w:i/>
                    </w:rPr>
                  </w:pPr>
                  <w:r w:rsidRPr="0013396E">
                    <w:rPr>
                      <w:i/>
                    </w:rPr>
                    <w:t>p</w:t>
                  </w:r>
                </w:p>
              </w:tc>
              <w:tc>
                <w:tcPr>
                  <w:tcW w:w="0" w:type="auto"/>
                </w:tcPr>
                <w:p w14:paraId="582CD777" w14:textId="77777777" w:rsidR="00222B2B" w:rsidRPr="0013396E" w:rsidRDefault="00222B2B" w:rsidP="00222B2B">
                  <w:pPr>
                    <w:pStyle w:val="TableBody"/>
                  </w:pPr>
                  <w:r w:rsidRPr="0013396E">
                    <w:t>none</w:t>
                  </w:r>
                </w:p>
              </w:tc>
              <w:tc>
                <w:tcPr>
                  <w:tcW w:w="0" w:type="auto"/>
                </w:tcPr>
                <w:p w14:paraId="4B52C69F" w14:textId="77777777" w:rsidR="00222B2B" w:rsidRPr="0013396E" w:rsidRDefault="00222B2B" w:rsidP="00222B2B">
                  <w:pPr>
                    <w:pStyle w:val="TableBody"/>
                  </w:pPr>
                  <w:r w:rsidRPr="0013396E">
                    <w:t>A Settlement Point.  The summation is over all of the Settlement Points.</w:t>
                  </w:r>
                </w:p>
              </w:tc>
            </w:tr>
          </w:tbl>
          <w:p w14:paraId="0083A5C6" w14:textId="77777777" w:rsidR="00222B2B" w:rsidRPr="0013396E" w:rsidRDefault="00222B2B" w:rsidP="00222B2B">
            <w:pPr>
              <w:spacing w:before="240" w:after="240"/>
              <w:ind w:left="720" w:hanging="720"/>
              <w:rPr>
                <w:iCs/>
              </w:rPr>
            </w:pPr>
            <w:r w:rsidRPr="0013396E">
              <w:rPr>
                <w:iCs/>
              </w:rPr>
              <w:t>(3)</w:t>
            </w:r>
            <w:r w:rsidRPr="0013396E">
              <w:rPr>
                <w:iCs/>
              </w:rPr>
              <w:tab/>
              <w:t xml:space="preserve">ERCOT total AML per Congestion Management Zone (CMZ) </w:t>
            </w:r>
            <w:r w:rsidRPr="0013396E">
              <w:rPr>
                <w:bCs/>
                <w:snapToGrid w:val="0"/>
              </w:rPr>
              <w:t>excluding DC Tie exports included in RTAML</w:t>
            </w:r>
            <w:r w:rsidRPr="0013396E">
              <w:rPr>
                <w:iCs/>
              </w:rPr>
              <w:t xml:space="preserve"> </w:t>
            </w:r>
            <w:r w:rsidRPr="0013396E">
              <w:rPr>
                <w:bCs/>
                <w:snapToGrid w:val="0"/>
              </w:rPr>
              <w:t xml:space="preserve">for ERCOT’s peak Load 15-minute Settlement Interval in the calendar month </w:t>
            </w:r>
            <w:r w:rsidRPr="0013396E">
              <w:rPr>
                <w:iCs/>
              </w:rPr>
              <w:t>is calculated as follows:</w:t>
            </w:r>
          </w:p>
          <w:p w14:paraId="557B5A5F" w14:textId="77777777" w:rsidR="00222B2B" w:rsidRPr="0013396E" w:rsidRDefault="00222B2B" w:rsidP="00222B2B">
            <w:pPr>
              <w:tabs>
                <w:tab w:val="left" w:pos="2250"/>
                <w:tab w:val="left" w:pos="3150"/>
                <w:tab w:val="left" w:pos="3960"/>
              </w:tabs>
              <w:spacing w:after="240"/>
              <w:ind w:left="3960" w:hanging="3240"/>
              <w:rPr>
                <w:b/>
                <w:bCs/>
              </w:rPr>
            </w:pPr>
            <w:r w:rsidRPr="0013396E">
              <w:rPr>
                <w:b/>
                <w:bCs/>
              </w:rPr>
              <w:t>RTAMLLZTOT</w:t>
            </w:r>
            <w:r w:rsidRPr="0013396E">
              <w:rPr>
                <w:rFonts w:ascii="Times New Roman Bold" w:hAnsi="Times New Roman Bold"/>
                <w:b/>
                <w:bCs/>
                <w:vertAlign w:val="subscript"/>
              </w:rPr>
              <w:t>z</w:t>
            </w:r>
            <w:r w:rsidRPr="0013396E">
              <w:rPr>
                <w:b/>
                <w:bCs/>
              </w:rPr>
              <w:tab/>
              <w:t>=</w:t>
            </w:r>
            <w:r w:rsidRPr="0013396E">
              <w:rPr>
                <w:b/>
                <w:bCs/>
              </w:rPr>
              <w:tab/>
            </w:r>
            <w:r w:rsidRPr="0013396E">
              <w:rPr>
                <w:b/>
                <w:bCs/>
                <w:position w:val="-22"/>
              </w:rPr>
              <w:object w:dxaOrig="225" w:dyaOrig="465" w14:anchorId="11F70542">
                <v:shape id="_x0000_i1079" type="#_x0000_t75" style="width:12pt;height:18.6pt" o:ole="">
                  <v:imagedata r:id="rId79" o:title=""/>
                </v:shape>
                <o:OLEObject Type="Embed" ProgID="Equation.3" ShapeID="_x0000_i1079" DrawAspect="Content" ObjectID="_1849065710" r:id="rId83"/>
              </w:object>
            </w:r>
            <w:r w:rsidRPr="0013396E">
              <w:rPr>
                <w:b/>
                <w:bCs/>
              </w:rPr>
              <w:t xml:space="preserve"> (max(0,</w:t>
            </w:r>
            <w:r w:rsidRPr="0013396E">
              <w:rPr>
                <w:b/>
                <w:bCs/>
                <w:sz w:val="12"/>
                <w:szCs w:val="12"/>
              </w:rPr>
              <w:t xml:space="preserve"> </w:t>
            </w:r>
            <w:r w:rsidRPr="0013396E">
              <w:rPr>
                <w:position w:val="-22"/>
              </w:rPr>
              <w:object w:dxaOrig="225" w:dyaOrig="465" w14:anchorId="4C9162AF">
                <v:shape id="_x0000_i1080" type="#_x0000_t75" style="width:12pt;height:18.6pt" o:ole="">
                  <v:imagedata r:id="rId81" o:title=""/>
                </v:shape>
                <o:OLEObject Type="Embed" ProgID="Equation.3" ShapeID="_x0000_i1080" DrawAspect="Content" ObjectID="_1849065711" r:id="rId84"/>
              </w:object>
            </w:r>
            <w:r w:rsidRPr="0013396E">
              <w:t>(</w:t>
            </w:r>
            <w:r w:rsidRPr="0013396E">
              <w:rPr>
                <w:b/>
                <w:bCs/>
              </w:rPr>
              <w:t xml:space="preserve">RTAML </w:t>
            </w:r>
            <w:r w:rsidRPr="0013396E">
              <w:rPr>
                <w:b/>
                <w:bCs/>
                <w:i/>
                <w:vertAlign w:val="subscript"/>
              </w:rPr>
              <w:t xml:space="preserve">q, p </w:t>
            </w:r>
            <w:r w:rsidRPr="0013396E">
              <w:rPr>
                <w:rFonts w:ascii="Times New Roman Bold" w:hAnsi="Times New Roman Bold"/>
                <w:b/>
                <w:bCs/>
                <w:i/>
              </w:rPr>
              <w:t xml:space="preserve">– </w:t>
            </w:r>
            <w:r w:rsidRPr="0013396E">
              <w:rPr>
                <w:rFonts w:ascii="Times New Roman Bold" w:hAnsi="Times New Roman Bold"/>
                <w:b/>
                <w:bCs/>
              </w:rPr>
              <w:t>RTAMLDC</w:t>
            </w:r>
            <w:r w:rsidRPr="0013396E">
              <w:rPr>
                <w:rFonts w:ascii="Times New Roman Bold" w:hAnsi="Times New Roman Bold"/>
                <w:bCs/>
              </w:rPr>
              <w:t xml:space="preserve"> </w:t>
            </w:r>
            <w:r w:rsidRPr="0013396E">
              <w:rPr>
                <w:b/>
                <w:bCs/>
                <w:i/>
                <w:vertAlign w:val="subscript"/>
              </w:rPr>
              <w:t xml:space="preserve">q, p </w:t>
            </w:r>
            <w:r w:rsidRPr="0013396E">
              <w:rPr>
                <w:b/>
                <w:bCs/>
              </w:rPr>
              <w:t>)))</w:t>
            </w:r>
          </w:p>
          <w:p w14:paraId="7846C640" w14:textId="77777777" w:rsidR="00222B2B" w:rsidRPr="0013396E" w:rsidRDefault="00222B2B" w:rsidP="00222B2B">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03"/>
              <w:gridCol w:w="697"/>
              <w:gridCol w:w="6655"/>
            </w:tblGrid>
            <w:tr w:rsidR="00222B2B" w:rsidRPr="0013396E" w14:paraId="5DF6AD13" w14:textId="77777777" w:rsidTr="00316CC9">
              <w:tc>
                <w:tcPr>
                  <w:tcW w:w="2003" w:type="dxa"/>
                </w:tcPr>
                <w:p w14:paraId="5FFD5D9D" w14:textId="77777777" w:rsidR="00222B2B" w:rsidRPr="0013396E" w:rsidRDefault="00222B2B" w:rsidP="00222B2B">
                  <w:pPr>
                    <w:spacing w:after="120"/>
                    <w:rPr>
                      <w:b/>
                      <w:iCs/>
                      <w:sz w:val="20"/>
                    </w:rPr>
                  </w:pPr>
                  <w:r w:rsidRPr="0013396E">
                    <w:rPr>
                      <w:b/>
                      <w:iCs/>
                      <w:sz w:val="20"/>
                    </w:rPr>
                    <w:t>Variable</w:t>
                  </w:r>
                </w:p>
              </w:tc>
              <w:tc>
                <w:tcPr>
                  <w:tcW w:w="697" w:type="dxa"/>
                </w:tcPr>
                <w:p w14:paraId="15FD45C0" w14:textId="77777777" w:rsidR="00222B2B" w:rsidRPr="0013396E" w:rsidRDefault="00222B2B" w:rsidP="00222B2B">
                  <w:pPr>
                    <w:spacing w:after="120"/>
                    <w:rPr>
                      <w:b/>
                      <w:iCs/>
                      <w:sz w:val="20"/>
                    </w:rPr>
                  </w:pPr>
                  <w:r w:rsidRPr="0013396E">
                    <w:rPr>
                      <w:b/>
                      <w:iCs/>
                      <w:sz w:val="20"/>
                    </w:rPr>
                    <w:t>Unit</w:t>
                  </w:r>
                </w:p>
              </w:tc>
              <w:tc>
                <w:tcPr>
                  <w:tcW w:w="6655" w:type="dxa"/>
                </w:tcPr>
                <w:p w14:paraId="306997F0" w14:textId="77777777" w:rsidR="00222B2B" w:rsidRPr="0013396E" w:rsidRDefault="00222B2B" w:rsidP="00222B2B">
                  <w:pPr>
                    <w:spacing w:after="120"/>
                    <w:rPr>
                      <w:b/>
                      <w:iCs/>
                      <w:sz w:val="20"/>
                    </w:rPr>
                  </w:pPr>
                  <w:r w:rsidRPr="0013396E">
                    <w:rPr>
                      <w:b/>
                      <w:iCs/>
                      <w:sz w:val="20"/>
                    </w:rPr>
                    <w:t>Description</w:t>
                  </w:r>
                </w:p>
              </w:tc>
            </w:tr>
            <w:tr w:rsidR="00222B2B" w:rsidRPr="0013396E" w14:paraId="1F195895" w14:textId="77777777" w:rsidTr="00316CC9">
              <w:tc>
                <w:tcPr>
                  <w:tcW w:w="2003" w:type="dxa"/>
                </w:tcPr>
                <w:p w14:paraId="5B5A9867" w14:textId="77777777" w:rsidR="00222B2B" w:rsidRPr="0013396E" w:rsidRDefault="00222B2B" w:rsidP="00222B2B">
                  <w:pPr>
                    <w:spacing w:after="60"/>
                    <w:rPr>
                      <w:iCs/>
                      <w:sz w:val="20"/>
                      <w:vertAlign w:val="subscript"/>
                    </w:rPr>
                  </w:pPr>
                  <w:r w:rsidRPr="0013396E">
                    <w:rPr>
                      <w:iCs/>
                      <w:sz w:val="20"/>
                    </w:rPr>
                    <w:t>RTAMLLZTOT</w:t>
                  </w:r>
                  <w:r w:rsidRPr="0013396E">
                    <w:rPr>
                      <w:iCs/>
                      <w:sz w:val="20"/>
                      <w:vertAlign w:val="subscript"/>
                    </w:rPr>
                    <w:t>z</w:t>
                  </w:r>
                </w:p>
              </w:tc>
              <w:tc>
                <w:tcPr>
                  <w:tcW w:w="697" w:type="dxa"/>
                </w:tcPr>
                <w:p w14:paraId="3D9593D7" w14:textId="77777777" w:rsidR="00222B2B" w:rsidRPr="0013396E" w:rsidRDefault="00222B2B" w:rsidP="00222B2B">
                  <w:pPr>
                    <w:spacing w:after="60"/>
                    <w:rPr>
                      <w:i/>
                      <w:iCs/>
                      <w:sz w:val="20"/>
                    </w:rPr>
                  </w:pPr>
                  <w:r w:rsidRPr="0013396E">
                    <w:rPr>
                      <w:iCs/>
                      <w:sz w:val="20"/>
                    </w:rPr>
                    <w:t>MWh</w:t>
                  </w:r>
                </w:p>
              </w:tc>
              <w:tc>
                <w:tcPr>
                  <w:tcW w:w="6655" w:type="dxa"/>
                </w:tcPr>
                <w:p w14:paraId="2E557294" w14:textId="77777777" w:rsidR="00222B2B" w:rsidRPr="0013396E" w:rsidRDefault="00222B2B" w:rsidP="00222B2B">
                  <w:pPr>
                    <w:spacing w:after="60"/>
                    <w:rPr>
                      <w:iCs/>
                      <w:sz w:val="20"/>
                    </w:rPr>
                  </w:pPr>
                  <w:r w:rsidRPr="0013396E">
                    <w:rPr>
                      <w:i/>
                      <w:iCs/>
                      <w:sz w:val="20"/>
                    </w:rPr>
                    <w:t>Real-Time Adjusted Metered Load - Load Zone Total</w:t>
                  </w:r>
                  <w:r w:rsidRPr="0013396E">
                    <w:rPr>
                      <w:iCs/>
                      <w:sz w:val="20"/>
                    </w:rPr>
                    <w:t>—The total AML excluding DC Tie exports in CMZ z, for the peak Load 15-minute Settlement Interval in the calendar month.</w:t>
                  </w:r>
                </w:p>
              </w:tc>
            </w:tr>
            <w:tr w:rsidR="00222B2B" w:rsidRPr="0013396E" w14:paraId="23D66E26" w14:textId="77777777" w:rsidTr="00316CC9">
              <w:tc>
                <w:tcPr>
                  <w:tcW w:w="2003" w:type="dxa"/>
                </w:tcPr>
                <w:p w14:paraId="2A68042D" w14:textId="77777777" w:rsidR="00222B2B" w:rsidRPr="0013396E" w:rsidRDefault="00222B2B" w:rsidP="00222B2B">
                  <w:pPr>
                    <w:spacing w:after="60"/>
                    <w:rPr>
                      <w:iCs/>
                      <w:sz w:val="20"/>
                    </w:rPr>
                  </w:pPr>
                  <w:r w:rsidRPr="0013396E">
                    <w:rPr>
                      <w:iCs/>
                      <w:sz w:val="20"/>
                    </w:rPr>
                    <w:t xml:space="preserve">RTAML </w:t>
                  </w:r>
                  <w:r w:rsidRPr="0013396E">
                    <w:rPr>
                      <w:i/>
                      <w:iCs/>
                      <w:sz w:val="20"/>
                      <w:vertAlign w:val="subscript"/>
                    </w:rPr>
                    <w:t>q, p</w:t>
                  </w:r>
                </w:p>
              </w:tc>
              <w:tc>
                <w:tcPr>
                  <w:tcW w:w="697" w:type="dxa"/>
                </w:tcPr>
                <w:p w14:paraId="73750717" w14:textId="77777777" w:rsidR="00222B2B" w:rsidRPr="0013396E" w:rsidRDefault="00222B2B" w:rsidP="00222B2B">
                  <w:pPr>
                    <w:spacing w:after="60"/>
                    <w:rPr>
                      <w:iCs/>
                      <w:sz w:val="20"/>
                    </w:rPr>
                  </w:pPr>
                  <w:r w:rsidRPr="0013396E">
                    <w:rPr>
                      <w:iCs/>
                      <w:sz w:val="20"/>
                    </w:rPr>
                    <w:t>MWh</w:t>
                  </w:r>
                </w:p>
              </w:tc>
              <w:tc>
                <w:tcPr>
                  <w:tcW w:w="6655" w:type="dxa"/>
                </w:tcPr>
                <w:p w14:paraId="6B9DE7E7" w14:textId="7CEB24BA" w:rsidR="00222B2B" w:rsidRPr="0013396E" w:rsidRDefault="00222B2B" w:rsidP="00DC7F34">
                  <w:pPr>
                    <w:spacing w:after="60"/>
                    <w:rPr>
                      <w:i/>
                      <w:iCs/>
                      <w:sz w:val="20"/>
                    </w:rPr>
                  </w:pPr>
                  <w:r w:rsidRPr="0013396E">
                    <w:rPr>
                      <w:i/>
                      <w:iCs/>
                      <w:sz w:val="20"/>
                    </w:rPr>
                    <w:t>Real-Time Adjusted Metered Load per QSE per Settlement Point</w:t>
                  </w:r>
                  <w:r w:rsidRPr="0013396E">
                    <w:rPr>
                      <w:iCs/>
                      <w:sz w:val="20"/>
                    </w:rPr>
                    <w:t xml:space="preserve">—The sum of the AML at the Electrical Buses that are included in Settlement Point </w:t>
                  </w:r>
                  <w:r w:rsidRPr="0013396E">
                    <w:rPr>
                      <w:i/>
                      <w:iCs/>
                      <w:sz w:val="20"/>
                    </w:rPr>
                    <w:t>p</w:t>
                  </w:r>
                  <w:r w:rsidRPr="0013396E">
                    <w:rPr>
                      <w:iCs/>
                      <w:sz w:val="20"/>
                    </w:rPr>
                    <w:t xml:space="preserve">, represented by QSE </w:t>
                  </w:r>
                  <w:r w:rsidRPr="0013396E">
                    <w:rPr>
                      <w:i/>
                      <w:iCs/>
                      <w:sz w:val="20"/>
                    </w:rPr>
                    <w:t>q</w:t>
                  </w:r>
                  <w:r w:rsidRPr="0013396E">
                    <w:rPr>
                      <w:iCs/>
                      <w:sz w:val="20"/>
                    </w:rPr>
                    <w:t>, for the 15-minute Settlement Interval</w:t>
                  </w:r>
                  <w:r w:rsidRPr="0013396E">
                    <w:rPr>
                      <w:i/>
                      <w:iCs/>
                      <w:sz w:val="20"/>
                    </w:rPr>
                    <w:t xml:space="preserve">. </w:t>
                  </w:r>
                </w:p>
              </w:tc>
            </w:tr>
            <w:tr w:rsidR="00222B2B" w:rsidRPr="0013396E" w14:paraId="0028ED1E" w14:textId="77777777" w:rsidTr="00316CC9">
              <w:tc>
                <w:tcPr>
                  <w:tcW w:w="2003" w:type="dxa"/>
                </w:tcPr>
                <w:p w14:paraId="744C6A90" w14:textId="77777777" w:rsidR="00222B2B" w:rsidRPr="0013396E" w:rsidRDefault="00222B2B" w:rsidP="00222B2B">
                  <w:pPr>
                    <w:spacing w:after="60"/>
                    <w:rPr>
                      <w:i/>
                      <w:iCs/>
                      <w:sz w:val="20"/>
                    </w:rPr>
                  </w:pPr>
                  <w:r w:rsidRPr="0013396E">
                    <w:rPr>
                      <w:sz w:val="20"/>
                      <w:lang w:val="sv-SE"/>
                    </w:rPr>
                    <w:t xml:space="preserve">RTAMLDC </w:t>
                  </w:r>
                  <w:r w:rsidRPr="0013396E">
                    <w:rPr>
                      <w:i/>
                      <w:sz w:val="20"/>
                      <w:vertAlign w:val="subscript"/>
                      <w:lang w:val="sv-SE"/>
                    </w:rPr>
                    <w:t>q, p</w:t>
                  </w:r>
                </w:p>
              </w:tc>
              <w:tc>
                <w:tcPr>
                  <w:tcW w:w="697" w:type="dxa"/>
                </w:tcPr>
                <w:p w14:paraId="32A11072" w14:textId="77777777" w:rsidR="00222B2B" w:rsidRPr="0013396E" w:rsidRDefault="00222B2B" w:rsidP="00222B2B">
                  <w:pPr>
                    <w:spacing w:after="60"/>
                    <w:rPr>
                      <w:iCs/>
                      <w:sz w:val="20"/>
                    </w:rPr>
                  </w:pPr>
                  <w:r w:rsidRPr="0013396E">
                    <w:rPr>
                      <w:sz w:val="20"/>
                    </w:rPr>
                    <w:t>MWh</w:t>
                  </w:r>
                </w:p>
              </w:tc>
              <w:tc>
                <w:tcPr>
                  <w:tcW w:w="6655" w:type="dxa"/>
                </w:tcPr>
                <w:p w14:paraId="6800C240" w14:textId="77777777" w:rsidR="00222B2B" w:rsidRPr="0013396E" w:rsidRDefault="00222B2B" w:rsidP="00222B2B">
                  <w:pPr>
                    <w:spacing w:after="60"/>
                    <w:rPr>
                      <w:iCs/>
                      <w:sz w:val="20"/>
                    </w:rPr>
                  </w:pPr>
                  <w:r w:rsidRPr="0013396E">
                    <w:rPr>
                      <w:i/>
                      <w:sz w:val="20"/>
                    </w:rPr>
                    <w:t>Real-Time Adjusted Metered Load for DC Ties per Settlement Point per QSE</w:t>
                  </w:r>
                  <w:r w:rsidRPr="0013396E">
                    <w:rPr>
                      <w:sz w:val="20"/>
                    </w:rPr>
                    <w:t xml:space="preserve">—The sum of the DC Tie AML at the Electrical Buses that are included in Settlement Point </w:t>
                  </w:r>
                  <w:r w:rsidRPr="0013396E">
                    <w:rPr>
                      <w:i/>
                      <w:sz w:val="20"/>
                    </w:rPr>
                    <w:t>p</w:t>
                  </w:r>
                  <w:r w:rsidRPr="0013396E">
                    <w:rPr>
                      <w:sz w:val="20"/>
                    </w:rPr>
                    <w:t xml:space="preserve">, represented by QSE </w:t>
                  </w:r>
                  <w:r w:rsidRPr="0013396E">
                    <w:rPr>
                      <w:i/>
                      <w:sz w:val="20"/>
                    </w:rPr>
                    <w:t>q</w:t>
                  </w:r>
                  <w:r w:rsidRPr="0013396E">
                    <w:rPr>
                      <w:sz w:val="20"/>
                    </w:rPr>
                    <w:t>, for the 15-minute Settlement Interval.</w:t>
                  </w:r>
                </w:p>
              </w:tc>
            </w:tr>
            <w:tr w:rsidR="00222B2B" w:rsidRPr="0013396E" w14:paraId="03D11B9D" w14:textId="77777777" w:rsidTr="00316CC9">
              <w:tc>
                <w:tcPr>
                  <w:tcW w:w="2003" w:type="dxa"/>
                </w:tcPr>
                <w:p w14:paraId="3D1D3F89" w14:textId="77777777" w:rsidR="00222B2B" w:rsidRPr="0013396E" w:rsidRDefault="00222B2B" w:rsidP="00222B2B">
                  <w:pPr>
                    <w:spacing w:after="60"/>
                    <w:rPr>
                      <w:i/>
                      <w:iCs/>
                      <w:sz w:val="20"/>
                    </w:rPr>
                  </w:pPr>
                  <w:r w:rsidRPr="0013396E">
                    <w:rPr>
                      <w:i/>
                      <w:iCs/>
                      <w:sz w:val="20"/>
                    </w:rPr>
                    <w:t>q</w:t>
                  </w:r>
                </w:p>
              </w:tc>
              <w:tc>
                <w:tcPr>
                  <w:tcW w:w="697" w:type="dxa"/>
                </w:tcPr>
                <w:p w14:paraId="261B47FC" w14:textId="77777777" w:rsidR="00222B2B" w:rsidRPr="0013396E" w:rsidRDefault="00222B2B" w:rsidP="00222B2B">
                  <w:pPr>
                    <w:spacing w:after="60"/>
                    <w:rPr>
                      <w:iCs/>
                      <w:sz w:val="20"/>
                    </w:rPr>
                  </w:pPr>
                  <w:r w:rsidRPr="0013396E">
                    <w:rPr>
                      <w:iCs/>
                      <w:sz w:val="20"/>
                    </w:rPr>
                    <w:t>none</w:t>
                  </w:r>
                </w:p>
              </w:tc>
              <w:tc>
                <w:tcPr>
                  <w:tcW w:w="6655" w:type="dxa"/>
                </w:tcPr>
                <w:p w14:paraId="7FA54EE8" w14:textId="77777777" w:rsidR="00222B2B" w:rsidRPr="0013396E" w:rsidRDefault="00222B2B" w:rsidP="00222B2B">
                  <w:pPr>
                    <w:spacing w:after="60"/>
                    <w:rPr>
                      <w:iCs/>
                      <w:sz w:val="20"/>
                    </w:rPr>
                  </w:pPr>
                  <w:r w:rsidRPr="0013396E">
                    <w:rPr>
                      <w:iCs/>
                      <w:sz w:val="20"/>
                    </w:rPr>
                    <w:t xml:space="preserve">A QSE.  </w:t>
                  </w:r>
                </w:p>
              </w:tc>
            </w:tr>
            <w:tr w:rsidR="00222B2B" w:rsidRPr="0013396E" w14:paraId="773810DF" w14:textId="77777777" w:rsidTr="00316CC9">
              <w:tc>
                <w:tcPr>
                  <w:tcW w:w="2003" w:type="dxa"/>
                </w:tcPr>
                <w:p w14:paraId="081CF6EF" w14:textId="77777777" w:rsidR="00222B2B" w:rsidRPr="0013396E" w:rsidRDefault="00222B2B" w:rsidP="00222B2B">
                  <w:pPr>
                    <w:spacing w:after="60"/>
                    <w:rPr>
                      <w:i/>
                      <w:iCs/>
                      <w:sz w:val="20"/>
                    </w:rPr>
                  </w:pPr>
                  <w:r w:rsidRPr="0013396E">
                    <w:rPr>
                      <w:i/>
                      <w:iCs/>
                      <w:sz w:val="20"/>
                    </w:rPr>
                    <w:t>p</w:t>
                  </w:r>
                </w:p>
              </w:tc>
              <w:tc>
                <w:tcPr>
                  <w:tcW w:w="697" w:type="dxa"/>
                </w:tcPr>
                <w:p w14:paraId="5A39D855" w14:textId="77777777" w:rsidR="00222B2B" w:rsidRPr="0013396E" w:rsidRDefault="00222B2B" w:rsidP="00222B2B">
                  <w:pPr>
                    <w:spacing w:after="60"/>
                    <w:rPr>
                      <w:iCs/>
                      <w:sz w:val="20"/>
                    </w:rPr>
                  </w:pPr>
                  <w:r w:rsidRPr="0013396E">
                    <w:rPr>
                      <w:iCs/>
                      <w:sz w:val="20"/>
                    </w:rPr>
                    <w:t>none</w:t>
                  </w:r>
                </w:p>
              </w:tc>
              <w:tc>
                <w:tcPr>
                  <w:tcW w:w="6655" w:type="dxa"/>
                </w:tcPr>
                <w:p w14:paraId="782D26D7" w14:textId="77777777" w:rsidR="00222B2B" w:rsidRPr="0013396E" w:rsidRDefault="00222B2B" w:rsidP="00222B2B">
                  <w:pPr>
                    <w:spacing w:after="60"/>
                    <w:rPr>
                      <w:iCs/>
                      <w:sz w:val="20"/>
                    </w:rPr>
                  </w:pPr>
                  <w:r w:rsidRPr="0013396E">
                    <w:rPr>
                      <w:iCs/>
                      <w:sz w:val="20"/>
                    </w:rPr>
                    <w:t xml:space="preserve">A Settlement Point in the 2003 ERCOT CMZ.  </w:t>
                  </w:r>
                </w:p>
              </w:tc>
            </w:tr>
            <w:tr w:rsidR="00222B2B" w:rsidRPr="0013396E" w14:paraId="6DD8471C" w14:textId="77777777" w:rsidTr="00316CC9">
              <w:trPr>
                <w:cantSplit/>
              </w:trPr>
              <w:tc>
                <w:tcPr>
                  <w:tcW w:w="2003" w:type="dxa"/>
                </w:tcPr>
                <w:p w14:paraId="3CEC2423" w14:textId="77777777" w:rsidR="00222B2B" w:rsidRPr="0013396E" w:rsidRDefault="00222B2B" w:rsidP="00222B2B">
                  <w:pPr>
                    <w:spacing w:after="60"/>
                    <w:rPr>
                      <w:i/>
                      <w:iCs/>
                      <w:sz w:val="20"/>
                    </w:rPr>
                  </w:pPr>
                  <w:r w:rsidRPr="0013396E">
                    <w:rPr>
                      <w:i/>
                      <w:iCs/>
                      <w:sz w:val="20"/>
                    </w:rPr>
                    <w:t>z</w:t>
                  </w:r>
                </w:p>
              </w:tc>
              <w:tc>
                <w:tcPr>
                  <w:tcW w:w="697" w:type="dxa"/>
                </w:tcPr>
                <w:p w14:paraId="4A33268F" w14:textId="77777777" w:rsidR="00222B2B" w:rsidRPr="0013396E" w:rsidRDefault="00222B2B" w:rsidP="00222B2B">
                  <w:pPr>
                    <w:spacing w:after="60"/>
                    <w:rPr>
                      <w:iCs/>
                      <w:sz w:val="20"/>
                    </w:rPr>
                  </w:pPr>
                  <w:r w:rsidRPr="0013396E">
                    <w:rPr>
                      <w:iCs/>
                      <w:sz w:val="20"/>
                    </w:rPr>
                    <w:t>none</w:t>
                  </w:r>
                </w:p>
              </w:tc>
              <w:tc>
                <w:tcPr>
                  <w:tcW w:w="6655" w:type="dxa"/>
                </w:tcPr>
                <w:p w14:paraId="275B1F9B" w14:textId="77777777" w:rsidR="00222B2B" w:rsidRPr="0013396E" w:rsidRDefault="00222B2B" w:rsidP="00222B2B">
                  <w:pPr>
                    <w:spacing w:after="60"/>
                    <w:rPr>
                      <w:iCs/>
                      <w:sz w:val="20"/>
                    </w:rPr>
                  </w:pPr>
                  <w:r w:rsidRPr="0013396E">
                    <w:rPr>
                      <w:sz w:val="20"/>
                    </w:rPr>
                    <w:t>A 2003 ERCOT CMZ.</w:t>
                  </w:r>
                </w:p>
              </w:tc>
            </w:tr>
          </w:tbl>
          <w:p w14:paraId="2D095304" w14:textId="77777777" w:rsidR="00222B2B" w:rsidRPr="0013396E" w:rsidRDefault="00222B2B" w:rsidP="00850957">
            <w:pPr>
              <w:pStyle w:val="BodyText"/>
              <w:spacing w:before="240"/>
              <w:ind w:left="720" w:hanging="720"/>
              <w:rPr>
                <w:bCs/>
                <w:snapToGrid w:val="0"/>
              </w:rPr>
            </w:pPr>
            <w:bookmarkStart w:id="1522" w:name="_Toc60040666"/>
            <w:r w:rsidRPr="0013396E">
              <w:rPr>
                <w:bCs/>
                <w:snapToGrid w:val="0"/>
              </w:rPr>
              <w:t>(4)</w:t>
            </w:r>
            <w:r w:rsidRPr="0013396E">
              <w:rPr>
                <w:bCs/>
                <w:snapToGrid w:val="0"/>
              </w:rPr>
              <w:tab/>
              <w:t>Each QSE’s MLRSZ, excluding DC Tie exports included in RTAML, by CMZ for ERCOT’s peak Load 15-minute Settlement Interval in the calendar month is calculated as follows:</w:t>
            </w:r>
            <w:bookmarkEnd w:id="1522"/>
            <w:r w:rsidRPr="0013396E">
              <w:rPr>
                <w:bCs/>
                <w:snapToGrid w:val="0"/>
              </w:rPr>
              <w:t xml:space="preserve"> </w:t>
            </w:r>
          </w:p>
          <w:p w14:paraId="59C283BD" w14:textId="77777777" w:rsidR="00222B2B" w:rsidRPr="0013396E" w:rsidRDefault="00222B2B" w:rsidP="00222B2B">
            <w:pPr>
              <w:pStyle w:val="FormulaBold"/>
            </w:pPr>
            <w:r w:rsidRPr="0013396E">
              <w:lastRenderedPageBreak/>
              <w:t>MLRSZ</w:t>
            </w:r>
            <w:r w:rsidRPr="0013396E">
              <w:rPr>
                <w:i/>
                <w:vertAlign w:val="subscript"/>
              </w:rPr>
              <w:t xml:space="preserve"> q,z</w:t>
            </w:r>
            <w:r w:rsidRPr="0013396E">
              <w:tab/>
              <w:t>=</w:t>
            </w:r>
            <w:r w:rsidRPr="0013396E">
              <w:tab/>
              <w:t>max(0,</w:t>
            </w:r>
            <w:r w:rsidRPr="0013396E">
              <w:rPr>
                <w:noProof/>
                <w:position w:val="-28"/>
                <w:sz w:val="4"/>
                <w:szCs w:val="4"/>
              </w:rPr>
              <w:t xml:space="preserve"> </w:t>
            </w:r>
            <w:r w:rsidRPr="0013396E">
              <w:rPr>
                <w:position w:val="-22"/>
              </w:rPr>
              <w:object w:dxaOrig="225" w:dyaOrig="465" w14:anchorId="63541DD5">
                <v:shape id="_x0000_i1081" type="#_x0000_t75" style="width:12pt;height:18.6pt" o:ole="">
                  <v:imagedata r:id="rId81" o:title=""/>
                </v:shape>
                <o:OLEObject Type="Embed" ProgID="Equation.3" ShapeID="_x0000_i1081" DrawAspect="Content" ObjectID="_1849065712" r:id="rId85"/>
              </w:object>
            </w:r>
            <w:r w:rsidRPr="0013396E">
              <w:t xml:space="preserve">(RTAML </w:t>
            </w:r>
            <w:r w:rsidRPr="0013396E">
              <w:rPr>
                <w:i/>
                <w:vertAlign w:val="subscript"/>
              </w:rPr>
              <w:t xml:space="preserve">q, p </w:t>
            </w:r>
            <w:r w:rsidRPr="0013396E">
              <w:rPr>
                <w:rFonts w:ascii="Times New Roman Bold" w:hAnsi="Times New Roman Bold"/>
                <w:i/>
              </w:rPr>
              <w:t xml:space="preserve">- </w:t>
            </w:r>
            <w:r w:rsidRPr="0013396E">
              <w:t>RTAMLDC</w:t>
            </w:r>
            <w:r w:rsidRPr="0013396E">
              <w:rPr>
                <w:lang w:val="sv-SE"/>
              </w:rPr>
              <w:t xml:space="preserve"> </w:t>
            </w:r>
            <w:r w:rsidRPr="0013396E">
              <w:rPr>
                <w:i/>
                <w:vertAlign w:val="subscript"/>
              </w:rPr>
              <w:t>q, p</w:t>
            </w:r>
            <w:r w:rsidRPr="0013396E">
              <w:rPr>
                <w:rFonts w:ascii="Times New Roman Bold" w:hAnsi="Times New Roman Bold"/>
              </w:rPr>
              <w:t xml:space="preserve">)) / </w:t>
            </w:r>
            <w:r w:rsidRPr="0013396E">
              <w:t>RTAMLLZTOT</w:t>
            </w:r>
            <w:r w:rsidRPr="0013396E">
              <w:rPr>
                <w:rFonts w:ascii="Times New Roman Bold" w:hAnsi="Times New Roman Bold"/>
                <w:vertAlign w:val="subscript"/>
              </w:rPr>
              <w:t>z</w:t>
            </w:r>
            <w:r w:rsidRPr="0013396E" w:rsidDel="00F9440F">
              <w:t xml:space="preserve"> </w:t>
            </w:r>
          </w:p>
          <w:p w14:paraId="1644C7D9" w14:textId="77777777" w:rsidR="00222B2B" w:rsidRPr="0013396E" w:rsidRDefault="00222B2B" w:rsidP="00222B2B">
            <w:r w:rsidRPr="0013396E">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776"/>
              <w:gridCol w:w="8"/>
              <w:gridCol w:w="711"/>
              <w:gridCol w:w="7345"/>
            </w:tblGrid>
            <w:tr w:rsidR="00222B2B" w:rsidRPr="0013396E" w14:paraId="7AC458D6" w14:textId="77777777" w:rsidTr="00316CC9">
              <w:tc>
                <w:tcPr>
                  <w:tcW w:w="1969" w:type="dxa"/>
                </w:tcPr>
                <w:p w14:paraId="73245B8C" w14:textId="77777777" w:rsidR="00222B2B" w:rsidRPr="0013396E" w:rsidRDefault="00222B2B" w:rsidP="00222B2B">
                  <w:pPr>
                    <w:pStyle w:val="TableHead"/>
                  </w:pPr>
                  <w:r w:rsidRPr="0013396E">
                    <w:t>Variable</w:t>
                  </w:r>
                </w:p>
              </w:tc>
              <w:tc>
                <w:tcPr>
                  <w:tcW w:w="737" w:type="dxa"/>
                  <w:gridSpan w:val="2"/>
                </w:tcPr>
                <w:p w14:paraId="54D90903" w14:textId="77777777" w:rsidR="00222B2B" w:rsidRPr="0013396E" w:rsidRDefault="00222B2B" w:rsidP="00222B2B">
                  <w:pPr>
                    <w:pStyle w:val="TableHead"/>
                  </w:pPr>
                  <w:r w:rsidRPr="0013396E">
                    <w:t>Unit</w:t>
                  </w:r>
                </w:p>
              </w:tc>
              <w:tc>
                <w:tcPr>
                  <w:tcW w:w="7134" w:type="dxa"/>
                </w:tcPr>
                <w:p w14:paraId="253B9B5F" w14:textId="77777777" w:rsidR="00222B2B" w:rsidRPr="0013396E" w:rsidRDefault="00222B2B" w:rsidP="00222B2B">
                  <w:pPr>
                    <w:pStyle w:val="TableHead"/>
                  </w:pPr>
                  <w:r w:rsidRPr="0013396E">
                    <w:t>Description</w:t>
                  </w:r>
                </w:p>
              </w:tc>
            </w:tr>
            <w:tr w:rsidR="00222B2B" w:rsidRPr="0013396E" w14:paraId="430C2E71" w14:textId="77777777" w:rsidTr="00316CC9">
              <w:tc>
                <w:tcPr>
                  <w:tcW w:w="1969" w:type="dxa"/>
                </w:tcPr>
                <w:p w14:paraId="5990F4F7" w14:textId="77777777" w:rsidR="00222B2B" w:rsidRPr="0013396E" w:rsidRDefault="00222B2B" w:rsidP="00222B2B">
                  <w:pPr>
                    <w:pStyle w:val="TableBody"/>
                  </w:pPr>
                  <w:r w:rsidRPr="0013396E">
                    <w:t>MLRSZ</w:t>
                  </w:r>
                  <w:r w:rsidRPr="0013396E">
                    <w:rPr>
                      <w:i/>
                      <w:vertAlign w:val="subscript"/>
                    </w:rPr>
                    <w:t xml:space="preserve"> q,z</w:t>
                  </w:r>
                </w:p>
              </w:tc>
              <w:tc>
                <w:tcPr>
                  <w:tcW w:w="737" w:type="dxa"/>
                  <w:gridSpan w:val="2"/>
                </w:tcPr>
                <w:p w14:paraId="29127EE0" w14:textId="77777777" w:rsidR="00222B2B" w:rsidRPr="0013396E" w:rsidRDefault="00222B2B" w:rsidP="00222B2B">
                  <w:pPr>
                    <w:pStyle w:val="TableBody"/>
                  </w:pPr>
                  <w:r w:rsidRPr="0013396E">
                    <w:t>none</w:t>
                  </w:r>
                </w:p>
              </w:tc>
              <w:tc>
                <w:tcPr>
                  <w:tcW w:w="7134" w:type="dxa"/>
                </w:tcPr>
                <w:p w14:paraId="459A145E" w14:textId="77777777" w:rsidR="00222B2B" w:rsidRPr="0013396E" w:rsidRDefault="00222B2B" w:rsidP="00222B2B">
                  <w:pPr>
                    <w:pStyle w:val="TableBody"/>
                    <w:rPr>
                      <w:i/>
                    </w:rPr>
                  </w:pPr>
                  <w:r w:rsidRPr="0013396E">
                    <w:rPr>
                      <w:i/>
                    </w:rPr>
                    <w:t>Monthly Load Ratio Share Zonal per QSE per zone</w:t>
                  </w:r>
                  <w:r w:rsidRPr="0013396E">
                    <w:t xml:space="preserve">—The ratio share of QSE </w:t>
                  </w:r>
                  <w:r w:rsidRPr="0013396E">
                    <w:rPr>
                      <w:i/>
                    </w:rPr>
                    <w:t>q</w:t>
                  </w:r>
                  <w:r w:rsidRPr="0013396E">
                    <w:t xml:space="preserve"> for its Load excluding DC Tie Exports in CMZ </w:t>
                  </w:r>
                  <w:r w:rsidRPr="0013396E">
                    <w:rPr>
                      <w:i/>
                    </w:rPr>
                    <w:t>z</w:t>
                  </w:r>
                  <w:r w:rsidRPr="0013396E">
                    <w:t>, for the peak Load 15-minute Settlement Interval in the month.</w:t>
                  </w:r>
                </w:p>
              </w:tc>
            </w:tr>
            <w:tr w:rsidR="00222B2B" w:rsidRPr="0013396E" w14:paraId="11D749F2" w14:textId="77777777" w:rsidTr="00316CC9">
              <w:tc>
                <w:tcPr>
                  <w:tcW w:w="1969" w:type="dxa"/>
                </w:tcPr>
                <w:p w14:paraId="455E8C27" w14:textId="77777777" w:rsidR="00222B2B" w:rsidRPr="0013396E" w:rsidRDefault="00222B2B" w:rsidP="00222B2B">
                  <w:pPr>
                    <w:pStyle w:val="TableBody"/>
                  </w:pPr>
                  <w:r w:rsidRPr="0013396E">
                    <w:t xml:space="preserve">RTAML </w:t>
                  </w:r>
                  <w:r w:rsidRPr="0013396E">
                    <w:rPr>
                      <w:i/>
                      <w:vertAlign w:val="subscript"/>
                    </w:rPr>
                    <w:t>q, p</w:t>
                  </w:r>
                </w:p>
              </w:tc>
              <w:tc>
                <w:tcPr>
                  <w:tcW w:w="737" w:type="dxa"/>
                  <w:gridSpan w:val="2"/>
                </w:tcPr>
                <w:p w14:paraId="57338B9C" w14:textId="77777777" w:rsidR="00222B2B" w:rsidRPr="0013396E" w:rsidRDefault="00222B2B" w:rsidP="00222B2B">
                  <w:pPr>
                    <w:pStyle w:val="TableBody"/>
                    <w:rPr>
                      <w:i/>
                    </w:rPr>
                  </w:pPr>
                  <w:r w:rsidRPr="0013396E">
                    <w:t>MWh</w:t>
                  </w:r>
                </w:p>
              </w:tc>
              <w:tc>
                <w:tcPr>
                  <w:tcW w:w="7134" w:type="dxa"/>
                </w:tcPr>
                <w:p w14:paraId="6F7FB889" w14:textId="77777777" w:rsidR="00222B2B" w:rsidRPr="0013396E" w:rsidRDefault="00222B2B" w:rsidP="00222B2B">
                  <w:pPr>
                    <w:pStyle w:val="TableBody"/>
                  </w:pPr>
                  <w:r w:rsidRPr="0013396E">
                    <w:rPr>
                      <w:i/>
                    </w:rPr>
                    <w:t>Real-Time Adjusted Metered Load per Settlement Point per QSE</w:t>
                  </w:r>
                  <w:r w:rsidRPr="0013396E">
                    <w:t xml:space="preserve">—The sum of the AML at the Electrical Buses that are included in Settlement Point </w:t>
                  </w:r>
                  <w:r w:rsidRPr="0013396E">
                    <w:rPr>
                      <w:i/>
                    </w:rPr>
                    <w:t>p</w:t>
                  </w:r>
                  <w:r w:rsidRPr="0013396E">
                    <w:t xml:space="preserve">, represented by QSE </w:t>
                  </w:r>
                  <w:r w:rsidRPr="0013396E">
                    <w:rPr>
                      <w:i/>
                    </w:rPr>
                    <w:t>q</w:t>
                  </w:r>
                  <w:r w:rsidRPr="0013396E">
                    <w:t>, for the 15-minute Settlement Interval.</w:t>
                  </w:r>
                </w:p>
              </w:tc>
            </w:tr>
            <w:tr w:rsidR="00222B2B" w:rsidRPr="0013396E" w14:paraId="12FBD1B4" w14:textId="77777777" w:rsidTr="00316CC9">
              <w:tc>
                <w:tcPr>
                  <w:tcW w:w="1969" w:type="dxa"/>
                </w:tcPr>
                <w:p w14:paraId="0B3C8B3B" w14:textId="77777777" w:rsidR="00222B2B" w:rsidRPr="0013396E" w:rsidRDefault="00222B2B" w:rsidP="00222B2B">
                  <w:pPr>
                    <w:pStyle w:val="TableBody"/>
                  </w:pPr>
                  <w:r w:rsidRPr="0013396E">
                    <w:rPr>
                      <w:lang w:val="sv-SE"/>
                    </w:rPr>
                    <w:t xml:space="preserve">RTAMLDC </w:t>
                  </w:r>
                  <w:r w:rsidRPr="0013396E">
                    <w:rPr>
                      <w:i/>
                      <w:vertAlign w:val="subscript"/>
                      <w:lang w:val="sv-SE"/>
                    </w:rPr>
                    <w:t>q,p</w:t>
                  </w:r>
                </w:p>
              </w:tc>
              <w:tc>
                <w:tcPr>
                  <w:tcW w:w="737" w:type="dxa"/>
                  <w:gridSpan w:val="2"/>
                </w:tcPr>
                <w:p w14:paraId="2CB60065" w14:textId="77777777" w:rsidR="00222B2B" w:rsidRPr="0013396E" w:rsidRDefault="00222B2B" w:rsidP="00222B2B">
                  <w:pPr>
                    <w:pStyle w:val="TableBody"/>
                  </w:pPr>
                  <w:r w:rsidRPr="0013396E">
                    <w:t>MWh</w:t>
                  </w:r>
                </w:p>
              </w:tc>
              <w:tc>
                <w:tcPr>
                  <w:tcW w:w="7134" w:type="dxa"/>
                </w:tcPr>
                <w:p w14:paraId="5D39F1BD" w14:textId="77777777" w:rsidR="00222B2B" w:rsidRPr="0013396E" w:rsidRDefault="00222B2B" w:rsidP="00222B2B">
                  <w:pPr>
                    <w:pStyle w:val="TableBody"/>
                    <w:rPr>
                      <w:i/>
                    </w:rPr>
                  </w:pPr>
                  <w:r w:rsidRPr="0013396E">
                    <w:rPr>
                      <w:i/>
                    </w:rPr>
                    <w:t>Real-Time Adjusted Metered Load for DC Ties per Settlement Point per QSE</w:t>
                  </w:r>
                  <w:r w:rsidRPr="0013396E">
                    <w:t xml:space="preserve">—The sum of the DC Tie AML at the Electrical Buses that are included in Settlement Point </w:t>
                  </w:r>
                  <w:r w:rsidRPr="0013396E">
                    <w:rPr>
                      <w:i/>
                    </w:rPr>
                    <w:t>p</w:t>
                  </w:r>
                  <w:r w:rsidRPr="0013396E">
                    <w:t xml:space="preserve">, represented by QSE </w:t>
                  </w:r>
                  <w:r w:rsidRPr="0013396E">
                    <w:rPr>
                      <w:i/>
                    </w:rPr>
                    <w:t>q</w:t>
                  </w:r>
                  <w:r w:rsidRPr="0013396E">
                    <w:t>, for the 15-minute Settlement Interval.</w:t>
                  </w:r>
                </w:p>
              </w:tc>
            </w:tr>
            <w:tr w:rsidR="00222B2B" w:rsidRPr="0013396E" w:rsidDel="00666312" w14:paraId="3468FC62" w14:textId="77777777" w:rsidTr="00316CC9">
              <w:tc>
                <w:tcPr>
                  <w:tcW w:w="1979" w:type="dxa"/>
                  <w:gridSpan w:val="2"/>
                </w:tcPr>
                <w:p w14:paraId="61A8AB66" w14:textId="77777777" w:rsidR="00222B2B" w:rsidRPr="0013396E" w:rsidDel="00666312" w:rsidRDefault="00222B2B" w:rsidP="00222B2B">
                  <w:pPr>
                    <w:pStyle w:val="TableBody"/>
                    <w:rPr>
                      <w:lang w:val="sv-SE"/>
                    </w:rPr>
                  </w:pPr>
                  <w:r w:rsidRPr="0013396E">
                    <w:rPr>
                      <w:iCs w:val="0"/>
                    </w:rPr>
                    <w:t>RTAMLLZTOT</w:t>
                  </w:r>
                  <w:r w:rsidRPr="0013396E">
                    <w:rPr>
                      <w:iCs w:val="0"/>
                      <w:vertAlign w:val="subscript"/>
                    </w:rPr>
                    <w:t>z</w:t>
                  </w:r>
                </w:p>
              </w:tc>
              <w:tc>
                <w:tcPr>
                  <w:tcW w:w="0" w:type="auto"/>
                </w:tcPr>
                <w:p w14:paraId="1EC44D0F" w14:textId="77777777" w:rsidR="00222B2B" w:rsidRPr="0013396E" w:rsidDel="00666312" w:rsidRDefault="00222B2B" w:rsidP="00222B2B">
                  <w:pPr>
                    <w:pStyle w:val="TableBody"/>
                  </w:pPr>
                  <w:r w:rsidRPr="0013396E">
                    <w:rPr>
                      <w:iCs w:val="0"/>
                    </w:rPr>
                    <w:t>MWh</w:t>
                  </w:r>
                </w:p>
              </w:tc>
              <w:tc>
                <w:tcPr>
                  <w:tcW w:w="0" w:type="auto"/>
                </w:tcPr>
                <w:p w14:paraId="6BCD0C97" w14:textId="77777777" w:rsidR="00222B2B" w:rsidRPr="0013396E" w:rsidDel="00666312" w:rsidRDefault="00222B2B" w:rsidP="00222B2B">
                  <w:pPr>
                    <w:pStyle w:val="TableBody"/>
                    <w:rPr>
                      <w:i/>
                    </w:rPr>
                  </w:pPr>
                  <w:r w:rsidRPr="0013396E">
                    <w:rPr>
                      <w:i/>
                      <w:iCs w:val="0"/>
                    </w:rPr>
                    <w:t>Real-Time Adjusted Metered Load - Load Zone Total</w:t>
                  </w:r>
                  <w:r w:rsidRPr="0013396E">
                    <w:rPr>
                      <w:iCs w:val="0"/>
                    </w:rPr>
                    <w:t>—The total AML excluding DC Tie exports in CMZ z, for the peak Load 15-minute Settlement Interval in the calendar month.</w:t>
                  </w:r>
                </w:p>
              </w:tc>
            </w:tr>
            <w:tr w:rsidR="00222B2B" w:rsidRPr="0013396E" w14:paraId="042CFF08" w14:textId="77777777" w:rsidTr="00316CC9">
              <w:tc>
                <w:tcPr>
                  <w:tcW w:w="1969" w:type="dxa"/>
                </w:tcPr>
                <w:p w14:paraId="3AA71B6F" w14:textId="77777777" w:rsidR="00222B2B" w:rsidRPr="0013396E" w:rsidRDefault="00222B2B" w:rsidP="00222B2B">
                  <w:pPr>
                    <w:pStyle w:val="TableBody"/>
                    <w:rPr>
                      <w:i/>
                    </w:rPr>
                  </w:pPr>
                  <w:r w:rsidRPr="0013396E">
                    <w:rPr>
                      <w:i/>
                      <w:iCs w:val="0"/>
                    </w:rPr>
                    <w:t>q</w:t>
                  </w:r>
                </w:p>
              </w:tc>
              <w:tc>
                <w:tcPr>
                  <w:tcW w:w="737" w:type="dxa"/>
                  <w:gridSpan w:val="2"/>
                </w:tcPr>
                <w:p w14:paraId="37D45761" w14:textId="77777777" w:rsidR="00222B2B" w:rsidRPr="0013396E" w:rsidRDefault="00222B2B" w:rsidP="00222B2B">
                  <w:pPr>
                    <w:pStyle w:val="TableBody"/>
                  </w:pPr>
                  <w:r w:rsidRPr="0013396E">
                    <w:rPr>
                      <w:iCs w:val="0"/>
                    </w:rPr>
                    <w:t>none</w:t>
                  </w:r>
                </w:p>
              </w:tc>
              <w:tc>
                <w:tcPr>
                  <w:tcW w:w="7134" w:type="dxa"/>
                </w:tcPr>
                <w:p w14:paraId="6828E6D9" w14:textId="77777777" w:rsidR="00222B2B" w:rsidRPr="0013396E" w:rsidRDefault="00222B2B" w:rsidP="00222B2B">
                  <w:pPr>
                    <w:pStyle w:val="TableBody"/>
                  </w:pPr>
                  <w:r w:rsidRPr="0013396E">
                    <w:rPr>
                      <w:iCs w:val="0"/>
                    </w:rPr>
                    <w:t xml:space="preserve">A QSE.  </w:t>
                  </w:r>
                </w:p>
              </w:tc>
            </w:tr>
            <w:tr w:rsidR="00222B2B" w:rsidRPr="0013396E" w14:paraId="7FA8D885" w14:textId="77777777" w:rsidTr="00316CC9">
              <w:tc>
                <w:tcPr>
                  <w:tcW w:w="1969" w:type="dxa"/>
                </w:tcPr>
                <w:p w14:paraId="4D409479" w14:textId="77777777" w:rsidR="00222B2B" w:rsidRPr="0013396E" w:rsidRDefault="00222B2B" w:rsidP="00222B2B">
                  <w:pPr>
                    <w:pStyle w:val="TableBody"/>
                    <w:rPr>
                      <w:i/>
                    </w:rPr>
                  </w:pPr>
                  <w:r w:rsidRPr="0013396E">
                    <w:rPr>
                      <w:i/>
                    </w:rPr>
                    <w:t>p</w:t>
                  </w:r>
                </w:p>
              </w:tc>
              <w:tc>
                <w:tcPr>
                  <w:tcW w:w="737" w:type="dxa"/>
                  <w:gridSpan w:val="2"/>
                </w:tcPr>
                <w:p w14:paraId="418CB322" w14:textId="77777777" w:rsidR="00222B2B" w:rsidRPr="0013396E" w:rsidRDefault="00222B2B" w:rsidP="00222B2B">
                  <w:pPr>
                    <w:pStyle w:val="TableBody"/>
                  </w:pPr>
                  <w:r w:rsidRPr="0013396E">
                    <w:t>none</w:t>
                  </w:r>
                </w:p>
              </w:tc>
              <w:tc>
                <w:tcPr>
                  <w:tcW w:w="7134" w:type="dxa"/>
                </w:tcPr>
                <w:p w14:paraId="4DC0FCA3" w14:textId="77777777" w:rsidR="00222B2B" w:rsidRPr="0013396E" w:rsidRDefault="00222B2B" w:rsidP="00222B2B">
                  <w:pPr>
                    <w:pStyle w:val="TableBody"/>
                  </w:pPr>
                  <w:r w:rsidRPr="0013396E">
                    <w:t>A Settlement Point</w:t>
                  </w:r>
                  <w:r w:rsidRPr="0013396E">
                    <w:rPr>
                      <w:iCs w:val="0"/>
                    </w:rPr>
                    <w:t xml:space="preserve"> in the 2003 ERCOT CMZ</w:t>
                  </w:r>
                  <w:r w:rsidRPr="0013396E">
                    <w:t>.</w:t>
                  </w:r>
                </w:p>
              </w:tc>
            </w:tr>
            <w:tr w:rsidR="00222B2B" w:rsidRPr="0013396E" w14:paraId="50F712F4" w14:textId="77777777" w:rsidTr="00316CC9">
              <w:tc>
                <w:tcPr>
                  <w:tcW w:w="1979" w:type="dxa"/>
                  <w:gridSpan w:val="2"/>
                </w:tcPr>
                <w:p w14:paraId="0B876852" w14:textId="77777777" w:rsidR="00222B2B" w:rsidRPr="0013396E" w:rsidRDefault="00222B2B" w:rsidP="00222B2B">
                  <w:pPr>
                    <w:pStyle w:val="TableBody"/>
                    <w:rPr>
                      <w:i/>
                    </w:rPr>
                  </w:pPr>
                  <w:r w:rsidRPr="0013396E">
                    <w:rPr>
                      <w:i/>
                      <w:iCs w:val="0"/>
                    </w:rPr>
                    <w:t>z</w:t>
                  </w:r>
                </w:p>
              </w:tc>
              <w:tc>
                <w:tcPr>
                  <w:tcW w:w="0" w:type="auto"/>
                </w:tcPr>
                <w:p w14:paraId="64B9CAF5" w14:textId="77777777" w:rsidR="00222B2B" w:rsidRPr="0013396E" w:rsidRDefault="00222B2B" w:rsidP="00222B2B">
                  <w:pPr>
                    <w:pStyle w:val="TableBody"/>
                  </w:pPr>
                  <w:r w:rsidRPr="0013396E">
                    <w:rPr>
                      <w:iCs w:val="0"/>
                    </w:rPr>
                    <w:t>none</w:t>
                  </w:r>
                </w:p>
              </w:tc>
              <w:tc>
                <w:tcPr>
                  <w:tcW w:w="0" w:type="auto"/>
                </w:tcPr>
                <w:p w14:paraId="46AC098C" w14:textId="77777777" w:rsidR="00222B2B" w:rsidRPr="0013396E" w:rsidRDefault="00222B2B" w:rsidP="00222B2B">
                  <w:pPr>
                    <w:pStyle w:val="TableBody"/>
                  </w:pPr>
                  <w:r w:rsidRPr="0013396E">
                    <w:t>A 2003 ERCOT CMZ.</w:t>
                  </w:r>
                </w:p>
              </w:tc>
            </w:tr>
          </w:tbl>
          <w:p w14:paraId="29B03DA3" w14:textId="2C9DF0A4" w:rsidR="00222B2B" w:rsidRPr="0013396E" w:rsidRDefault="00222B2B" w:rsidP="00316CC9">
            <w:pPr>
              <w:pStyle w:val="BodyTextNumbered"/>
            </w:pPr>
          </w:p>
        </w:tc>
      </w:tr>
    </w:tbl>
    <w:p w14:paraId="36202D4C" w14:textId="0E25FC6C" w:rsidR="003C2BD5" w:rsidRPr="0013396E" w:rsidRDefault="003C2BD5" w:rsidP="00BB44BE">
      <w:pPr>
        <w:keepNext/>
        <w:widowControl w:val="0"/>
        <w:tabs>
          <w:tab w:val="left" w:pos="1260"/>
        </w:tabs>
        <w:spacing w:before="480" w:after="240"/>
        <w:ind w:left="1260" w:hanging="1260"/>
        <w:outlineLvl w:val="3"/>
        <w:rPr>
          <w:b/>
          <w:bCs/>
          <w:snapToGrid w:val="0"/>
        </w:rPr>
      </w:pPr>
      <w:bookmarkStart w:id="1523" w:name="_Toc236220169"/>
      <w:r w:rsidRPr="0013396E">
        <w:rPr>
          <w:b/>
          <w:bCs/>
          <w:snapToGrid w:val="0"/>
        </w:rPr>
        <w:lastRenderedPageBreak/>
        <w:t>6.6.2.3</w:t>
      </w:r>
      <w:r w:rsidRPr="0013396E">
        <w:rPr>
          <w:b/>
          <w:bCs/>
          <w:snapToGrid w:val="0"/>
        </w:rPr>
        <w:tab/>
        <w:t>ERCOT Total Adjusted Metered Load for an Operating Hour</w:t>
      </w:r>
      <w:bookmarkEnd w:id="1509"/>
      <w:bookmarkEnd w:id="1510"/>
      <w:bookmarkEnd w:id="1523"/>
    </w:p>
    <w:p w14:paraId="0B7688AA" w14:textId="3222CBA5" w:rsidR="003C2BD5" w:rsidRPr="0013396E" w:rsidRDefault="003C2BD5" w:rsidP="003C2BD5">
      <w:pPr>
        <w:spacing w:after="240"/>
        <w:ind w:left="720" w:hanging="720"/>
        <w:rPr>
          <w:iCs/>
        </w:rPr>
      </w:pPr>
      <w:r w:rsidRPr="0013396E">
        <w:rPr>
          <w:iCs/>
        </w:rPr>
        <w:t>(1)</w:t>
      </w:r>
      <w:r w:rsidRPr="0013396E">
        <w:rPr>
          <w:iCs/>
        </w:rPr>
        <w:tab/>
        <w:t>ERCOT total AML for an Operating Hour is calculated as follows:</w:t>
      </w:r>
    </w:p>
    <w:p w14:paraId="5D65A33E" w14:textId="77777777" w:rsidR="003C2BD5" w:rsidRPr="0013396E" w:rsidRDefault="003C2BD5" w:rsidP="006B72E9">
      <w:pPr>
        <w:tabs>
          <w:tab w:val="left" w:pos="2250"/>
          <w:tab w:val="left" w:pos="3150"/>
          <w:tab w:val="left" w:pos="3960"/>
        </w:tabs>
        <w:spacing w:after="240"/>
        <w:ind w:left="3960" w:hanging="3240"/>
        <w:rPr>
          <w:b/>
          <w:bCs/>
        </w:rPr>
      </w:pPr>
      <w:r w:rsidRPr="0013396E">
        <w:rPr>
          <w:b/>
          <w:bCs/>
        </w:rPr>
        <w:t>HRTAMLTOT</w:t>
      </w:r>
      <w:r w:rsidRPr="0013396E">
        <w:rPr>
          <w:b/>
          <w:bCs/>
        </w:rPr>
        <w:tab/>
        <w:t>=</w:t>
      </w:r>
      <w:r w:rsidRPr="0013396E">
        <w:rPr>
          <w:b/>
          <w:bCs/>
        </w:rPr>
        <w:tab/>
      </w:r>
      <w:r w:rsidRPr="0013396E">
        <w:rPr>
          <w:b/>
          <w:bCs/>
          <w:position w:val="-22"/>
        </w:rPr>
        <w:object w:dxaOrig="225" w:dyaOrig="465" w14:anchorId="4DFF1BB1">
          <v:shape id="_x0000_i1082" type="#_x0000_t75" style="width:12pt;height:18.6pt" o:ole="">
            <v:imagedata r:id="rId73" o:title=""/>
          </v:shape>
          <o:OLEObject Type="Embed" ProgID="Equation.3" ShapeID="_x0000_i1082" DrawAspect="Content" ObjectID="_1849065713" r:id="rId86"/>
        </w:object>
      </w:r>
      <w:r w:rsidRPr="0013396E">
        <w:rPr>
          <w:b/>
          <w:bCs/>
        </w:rPr>
        <w:t xml:space="preserve">(max(0, </w:t>
      </w:r>
      <w:r w:rsidRPr="0013396E">
        <w:rPr>
          <w:b/>
          <w:bCs/>
          <w:position w:val="-20"/>
        </w:rPr>
        <w:object w:dxaOrig="255" w:dyaOrig="585" w14:anchorId="4ED63895">
          <v:shape id="_x0000_i1083" type="#_x0000_t75" style="width:12pt;height:30pt" o:ole="">
            <v:imagedata r:id="rId87" o:title=""/>
          </v:shape>
          <o:OLEObject Type="Embed" ProgID="Equation.3" ShapeID="_x0000_i1083" DrawAspect="Content" ObjectID="_1849065714" r:id="rId88"/>
        </w:object>
      </w:r>
      <w:r w:rsidRPr="0013396E">
        <w:rPr>
          <w:b/>
          <w:bCs/>
          <w:position w:val="-22"/>
        </w:rPr>
        <w:object w:dxaOrig="225" w:dyaOrig="465" w14:anchorId="0B457975">
          <v:shape id="_x0000_i1084" type="#_x0000_t75" style="width:12pt;height:18.6pt" o:ole="">
            <v:imagedata r:id="rId75" o:title=""/>
          </v:shape>
          <o:OLEObject Type="Embed" ProgID="Equation.3" ShapeID="_x0000_i1084" DrawAspect="Content" ObjectID="_1849065715" r:id="rId89"/>
        </w:object>
      </w:r>
      <w:r w:rsidRPr="0013396E">
        <w:rPr>
          <w:b/>
          <w:bCs/>
        </w:rPr>
        <w:t xml:space="preserve">RTAML </w:t>
      </w:r>
      <w:r w:rsidRPr="0013396E">
        <w:rPr>
          <w:b/>
          <w:bCs/>
          <w:i/>
          <w:vertAlign w:val="subscript"/>
        </w:rPr>
        <w:t>q, p</w:t>
      </w:r>
      <w:r w:rsidRPr="0013396E">
        <w:rPr>
          <w:b/>
          <w:bCs/>
        </w:rPr>
        <w:t>)</w:t>
      </w:r>
      <w:r w:rsidRPr="0013396E">
        <w:rPr>
          <w:iCs/>
        </w:rPr>
        <w:t xml:space="preserve"> </w:t>
      </w:r>
      <w:r w:rsidRPr="0013396E">
        <w:rPr>
          <w:b/>
          <w:bCs/>
        </w:rPr>
        <w:t>)</w:t>
      </w:r>
    </w:p>
    <w:p w14:paraId="1F347849" w14:textId="77777777" w:rsidR="003C2BD5" w:rsidRPr="0013396E" w:rsidRDefault="003C2BD5" w:rsidP="003C2BD5">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03"/>
        <w:gridCol w:w="697"/>
        <w:gridCol w:w="6655"/>
      </w:tblGrid>
      <w:tr w:rsidR="003C2BD5" w:rsidRPr="0013396E" w14:paraId="7B7A0D0D" w14:textId="77777777" w:rsidTr="008C2590">
        <w:tc>
          <w:tcPr>
            <w:tcW w:w="2003" w:type="dxa"/>
          </w:tcPr>
          <w:p w14:paraId="3AF75E8A" w14:textId="77777777" w:rsidR="003C2BD5" w:rsidRPr="0013396E" w:rsidRDefault="003C2BD5" w:rsidP="008C2590">
            <w:pPr>
              <w:spacing w:after="120"/>
              <w:rPr>
                <w:b/>
                <w:iCs/>
                <w:sz w:val="20"/>
              </w:rPr>
            </w:pPr>
            <w:r w:rsidRPr="0013396E">
              <w:rPr>
                <w:b/>
                <w:iCs/>
                <w:sz w:val="20"/>
              </w:rPr>
              <w:t>Variable</w:t>
            </w:r>
          </w:p>
        </w:tc>
        <w:tc>
          <w:tcPr>
            <w:tcW w:w="697" w:type="dxa"/>
          </w:tcPr>
          <w:p w14:paraId="3EF29BB1" w14:textId="77777777" w:rsidR="003C2BD5" w:rsidRPr="0013396E" w:rsidRDefault="003C2BD5" w:rsidP="008C2590">
            <w:pPr>
              <w:spacing w:after="120"/>
              <w:rPr>
                <w:b/>
                <w:iCs/>
                <w:sz w:val="20"/>
              </w:rPr>
            </w:pPr>
            <w:r w:rsidRPr="0013396E">
              <w:rPr>
                <w:b/>
                <w:iCs/>
                <w:sz w:val="20"/>
              </w:rPr>
              <w:t>Unit</w:t>
            </w:r>
          </w:p>
        </w:tc>
        <w:tc>
          <w:tcPr>
            <w:tcW w:w="6655" w:type="dxa"/>
          </w:tcPr>
          <w:p w14:paraId="7C4B9AAE" w14:textId="77777777" w:rsidR="003C2BD5" w:rsidRPr="0013396E" w:rsidRDefault="003C2BD5" w:rsidP="008C2590">
            <w:pPr>
              <w:spacing w:after="120"/>
              <w:rPr>
                <w:b/>
                <w:iCs/>
                <w:sz w:val="20"/>
              </w:rPr>
            </w:pPr>
            <w:r w:rsidRPr="0013396E">
              <w:rPr>
                <w:b/>
                <w:iCs/>
                <w:sz w:val="20"/>
              </w:rPr>
              <w:t>Description</w:t>
            </w:r>
          </w:p>
        </w:tc>
      </w:tr>
      <w:tr w:rsidR="003C2BD5" w:rsidRPr="0013396E" w14:paraId="6F08E9F7" w14:textId="77777777" w:rsidTr="008C2590">
        <w:tc>
          <w:tcPr>
            <w:tcW w:w="2003" w:type="dxa"/>
          </w:tcPr>
          <w:p w14:paraId="1453B811" w14:textId="77777777" w:rsidR="003C2BD5" w:rsidRPr="0013396E" w:rsidRDefault="003C2BD5" w:rsidP="008C2590">
            <w:pPr>
              <w:spacing w:after="60"/>
              <w:rPr>
                <w:iCs/>
                <w:sz w:val="20"/>
              </w:rPr>
            </w:pPr>
            <w:r w:rsidRPr="0013396E">
              <w:rPr>
                <w:iCs/>
                <w:sz w:val="20"/>
              </w:rPr>
              <w:t>HRTAMLTOT</w:t>
            </w:r>
          </w:p>
        </w:tc>
        <w:tc>
          <w:tcPr>
            <w:tcW w:w="697" w:type="dxa"/>
          </w:tcPr>
          <w:p w14:paraId="6AC91FE4" w14:textId="77777777" w:rsidR="003C2BD5" w:rsidRPr="0013396E" w:rsidRDefault="003C2BD5" w:rsidP="008C2590">
            <w:pPr>
              <w:spacing w:after="60"/>
              <w:rPr>
                <w:i/>
                <w:iCs/>
                <w:sz w:val="20"/>
              </w:rPr>
            </w:pPr>
            <w:r w:rsidRPr="0013396E">
              <w:rPr>
                <w:iCs/>
                <w:sz w:val="20"/>
              </w:rPr>
              <w:t>MWh</w:t>
            </w:r>
          </w:p>
        </w:tc>
        <w:tc>
          <w:tcPr>
            <w:tcW w:w="6655" w:type="dxa"/>
          </w:tcPr>
          <w:p w14:paraId="40D9651D" w14:textId="77777777" w:rsidR="003C2BD5" w:rsidRPr="0013396E" w:rsidRDefault="003C2BD5" w:rsidP="008C2590">
            <w:pPr>
              <w:spacing w:after="60"/>
              <w:rPr>
                <w:iCs/>
                <w:sz w:val="20"/>
              </w:rPr>
            </w:pPr>
            <w:r w:rsidRPr="0013396E">
              <w:rPr>
                <w:i/>
                <w:iCs/>
                <w:sz w:val="20"/>
              </w:rPr>
              <w:t>Real-Time Adjusted Metered Load Total</w:t>
            </w:r>
            <w:r w:rsidRPr="0013396E">
              <w:rPr>
                <w:iCs/>
                <w:sz w:val="20"/>
              </w:rPr>
              <w:t>—The total AML in ERCOT, for the Operating Hour.</w:t>
            </w:r>
          </w:p>
        </w:tc>
      </w:tr>
      <w:tr w:rsidR="003C2BD5" w:rsidRPr="0013396E" w14:paraId="19E86C54" w14:textId="77777777" w:rsidTr="008C2590">
        <w:tc>
          <w:tcPr>
            <w:tcW w:w="2003" w:type="dxa"/>
          </w:tcPr>
          <w:p w14:paraId="4404A02B" w14:textId="77777777" w:rsidR="003C2BD5" w:rsidRPr="0013396E" w:rsidRDefault="003C2BD5" w:rsidP="008C2590">
            <w:pPr>
              <w:spacing w:after="60"/>
              <w:rPr>
                <w:iCs/>
                <w:sz w:val="20"/>
              </w:rPr>
            </w:pPr>
            <w:r w:rsidRPr="0013396E">
              <w:rPr>
                <w:iCs/>
                <w:sz w:val="20"/>
              </w:rPr>
              <w:t xml:space="preserve">RTAML </w:t>
            </w:r>
            <w:r w:rsidRPr="0013396E">
              <w:rPr>
                <w:i/>
                <w:iCs/>
                <w:sz w:val="20"/>
                <w:vertAlign w:val="subscript"/>
              </w:rPr>
              <w:t>q, p</w:t>
            </w:r>
          </w:p>
        </w:tc>
        <w:tc>
          <w:tcPr>
            <w:tcW w:w="697" w:type="dxa"/>
          </w:tcPr>
          <w:p w14:paraId="008159C8" w14:textId="77777777" w:rsidR="003C2BD5" w:rsidRPr="0013396E" w:rsidRDefault="003C2BD5" w:rsidP="008C2590">
            <w:pPr>
              <w:spacing w:after="60"/>
              <w:rPr>
                <w:iCs/>
                <w:sz w:val="20"/>
              </w:rPr>
            </w:pPr>
            <w:r w:rsidRPr="0013396E">
              <w:rPr>
                <w:iCs/>
                <w:sz w:val="20"/>
              </w:rPr>
              <w:t>MWh</w:t>
            </w:r>
          </w:p>
        </w:tc>
        <w:tc>
          <w:tcPr>
            <w:tcW w:w="6655" w:type="dxa"/>
          </w:tcPr>
          <w:p w14:paraId="7D5DFE0E" w14:textId="77777777" w:rsidR="003C2BD5" w:rsidRPr="0013396E" w:rsidRDefault="003C2BD5" w:rsidP="008C2590">
            <w:pPr>
              <w:spacing w:after="60"/>
              <w:rPr>
                <w:iCs/>
                <w:sz w:val="20"/>
              </w:rPr>
            </w:pPr>
            <w:r w:rsidRPr="0013396E">
              <w:rPr>
                <w:i/>
                <w:iCs/>
                <w:sz w:val="20"/>
              </w:rPr>
              <w:t>Real-Time Adjusted Metered Load per QSE per Settlement Point</w:t>
            </w:r>
            <w:r w:rsidRPr="0013396E">
              <w:rPr>
                <w:iCs/>
                <w:sz w:val="20"/>
              </w:rPr>
              <w:t xml:space="preserve">—The sum of the AML at the Electrical Buses that are included in Settlement Point </w:t>
            </w:r>
            <w:r w:rsidRPr="0013396E">
              <w:rPr>
                <w:i/>
                <w:iCs/>
                <w:sz w:val="20"/>
              </w:rPr>
              <w:t>p</w:t>
            </w:r>
            <w:r w:rsidRPr="0013396E">
              <w:rPr>
                <w:iCs/>
                <w:sz w:val="20"/>
              </w:rPr>
              <w:t xml:space="preserve">, represented by QSE </w:t>
            </w:r>
            <w:r w:rsidRPr="0013396E">
              <w:rPr>
                <w:i/>
                <w:iCs/>
                <w:sz w:val="20"/>
              </w:rPr>
              <w:t>q</w:t>
            </w:r>
            <w:r w:rsidRPr="0013396E">
              <w:rPr>
                <w:iCs/>
                <w:sz w:val="20"/>
              </w:rPr>
              <w:t>, for the 15-minute Settlement Interval.</w:t>
            </w:r>
          </w:p>
        </w:tc>
      </w:tr>
      <w:tr w:rsidR="003C2BD5" w:rsidRPr="0013396E" w14:paraId="4427D1BF" w14:textId="77777777" w:rsidTr="008C2590">
        <w:tc>
          <w:tcPr>
            <w:tcW w:w="2003" w:type="dxa"/>
          </w:tcPr>
          <w:p w14:paraId="0490A0AB" w14:textId="77777777" w:rsidR="003C2BD5" w:rsidRPr="0013396E" w:rsidRDefault="003C2BD5" w:rsidP="008C2590">
            <w:pPr>
              <w:spacing w:after="60"/>
              <w:rPr>
                <w:i/>
                <w:iCs/>
                <w:sz w:val="20"/>
              </w:rPr>
            </w:pPr>
            <w:r w:rsidRPr="0013396E">
              <w:rPr>
                <w:i/>
                <w:iCs/>
                <w:sz w:val="20"/>
              </w:rPr>
              <w:t>q</w:t>
            </w:r>
          </w:p>
        </w:tc>
        <w:tc>
          <w:tcPr>
            <w:tcW w:w="697" w:type="dxa"/>
          </w:tcPr>
          <w:p w14:paraId="3B7084E8" w14:textId="77777777" w:rsidR="003C2BD5" w:rsidRPr="0013396E" w:rsidRDefault="003C2BD5" w:rsidP="008C2590">
            <w:pPr>
              <w:spacing w:after="60"/>
              <w:rPr>
                <w:iCs/>
                <w:sz w:val="20"/>
              </w:rPr>
            </w:pPr>
            <w:r w:rsidRPr="0013396E">
              <w:rPr>
                <w:iCs/>
                <w:sz w:val="20"/>
              </w:rPr>
              <w:t>none</w:t>
            </w:r>
          </w:p>
        </w:tc>
        <w:tc>
          <w:tcPr>
            <w:tcW w:w="6655" w:type="dxa"/>
          </w:tcPr>
          <w:p w14:paraId="66A78861" w14:textId="77777777" w:rsidR="003C2BD5" w:rsidRPr="0013396E" w:rsidRDefault="003C2BD5" w:rsidP="008C2590">
            <w:pPr>
              <w:spacing w:after="60"/>
              <w:rPr>
                <w:iCs/>
                <w:sz w:val="20"/>
              </w:rPr>
            </w:pPr>
            <w:r w:rsidRPr="0013396E">
              <w:rPr>
                <w:iCs/>
                <w:sz w:val="20"/>
              </w:rPr>
              <w:t>A QSE.  The summation is over all of the QSEs with metered readings in that interval.</w:t>
            </w:r>
          </w:p>
        </w:tc>
      </w:tr>
      <w:tr w:rsidR="003C2BD5" w:rsidRPr="0013396E" w14:paraId="61F105F1" w14:textId="77777777" w:rsidTr="008C2590">
        <w:tc>
          <w:tcPr>
            <w:tcW w:w="2003" w:type="dxa"/>
          </w:tcPr>
          <w:p w14:paraId="46A6646D" w14:textId="77777777" w:rsidR="003C2BD5" w:rsidRPr="0013396E" w:rsidRDefault="003C2BD5" w:rsidP="008C2590">
            <w:pPr>
              <w:spacing w:after="60"/>
              <w:rPr>
                <w:i/>
                <w:iCs/>
                <w:sz w:val="20"/>
              </w:rPr>
            </w:pPr>
            <w:r w:rsidRPr="0013396E">
              <w:rPr>
                <w:i/>
                <w:iCs/>
                <w:sz w:val="20"/>
              </w:rPr>
              <w:t>p</w:t>
            </w:r>
          </w:p>
        </w:tc>
        <w:tc>
          <w:tcPr>
            <w:tcW w:w="697" w:type="dxa"/>
          </w:tcPr>
          <w:p w14:paraId="786793D8" w14:textId="77777777" w:rsidR="003C2BD5" w:rsidRPr="0013396E" w:rsidRDefault="003C2BD5" w:rsidP="008C2590">
            <w:pPr>
              <w:spacing w:after="60"/>
              <w:rPr>
                <w:iCs/>
                <w:sz w:val="20"/>
              </w:rPr>
            </w:pPr>
            <w:r w:rsidRPr="0013396E">
              <w:rPr>
                <w:iCs/>
                <w:sz w:val="20"/>
              </w:rPr>
              <w:t>none</w:t>
            </w:r>
          </w:p>
        </w:tc>
        <w:tc>
          <w:tcPr>
            <w:tcW w:w="6655" w:type="dxa"/>
          </w:tcPr>
          <w:p w14:paraId="389FB50A" w14:textId="77777777" w:rsidR="003C2BD5" w:rsidRPr="0013396E" w:rsidRDefault="003C2BD5" w:rsidP="008C2590">
            <w:pPr>
              <w:spacing w:after="60"/>
              <w:rPr>
                <w:iCs/>
                <w:sz w:val="20"/>
              </w:rPr>
            </w:pPr>
            <w:r w:rsidRPr="0013396E">
              <w:rPr>
                <w:iCs/>
                <w:sz w:val="20"/>
              </w:rPr>
              <w:t>A Settlement Point.  The summation is over all of the Settlement Points.</w:t>
            </w:r>
          </w:p>
        </w:tc>
      </w:tr>
      <w:tr w:rsidR="003C2BD5" w:rsidRPr="0013396E" w14:paraId="634DF73F" w14:textId="77777777" w:rsidTr="008C2590">
        <w:trPr>
          <w:cantSplit/>
        </w:trPr>
        <w:tc>
          <w:tcPr>
            <w:tcW w:w="2003" w:type="dxa"/>
          </w:tcPr>
          <w:p w14:paraId="767DC910" w14:textId="77777777" w:rsidR="003C2BD5" w:rsidRPr="0013396E" w:rsidRDefault="003C2BD5" w:rsidP="008C2590">
            <w:pPr>
              <w:spacing w:after="60"/>
              <w:rPr>
                <w:i/>
                <w:iCs/>
                <w:sz w:val="20"/>
              </w:rPr>
            </w:pPr>
            <w:r w:rsidRPr="0013396E">
              <w:rPr>
                <w:i/>
                <w:iCs/>
                <w:sz w:val="20"/>
              </w:rPr>
              <w:t>i</w:t>
            </w:r>
          </w:p>
        </w:tc>
        <w:tc>
          <w:tcPr>
            <w:tcW w:w="697" w:type="dxa"/>
          </w:tcPr>
          <w:p w14:paraId="529754D6" w14:textId="77777777" w:rsidR="003C2BD5" w:rsidRPr="0013396E" w:rsidRDefault="003C2BD5" w:rsidP="008C2590">
            <w:pPr>
              <w:spacing w:after="60"/>
              <w:rPr>
                <w:iCs/>
                <w:sz w:val="20"/>
              </w:rPr>
            </w:pPr>
            <w:r w:rsidRPr="0013396E">
              <w:rPr>
                <w:iCs/>
                <w:sz w:val="20"/>
              </w:rPr>
              <w:t>none</w:t>
            </w:r>
          </w:p>
        </w:tc>
        <w:tc>
          <w:tcPr>
            <w:tcW w:w="6655" w:type="dxa"/>
          </w:tcPr>
          <w:p w14:paraId="129E707C" w14:textId="77777777" w:rsidR="003C2BD5" w:rsidRPr="0013396E" w:rsidRDefault="003C2BD5" w:rsidP="008C2590">
            <w:pPr>
              <w:spacing w:after="60"/>
              <w:rPr>
                <w:iCs/>
                <w:sz w:val="20"/>
              </w:rPr>
            </w:pPr>
            <w:r w:rsidRPr="0013396E">
              <w:rPr>
                <w:iCs/>
                <w:sz w:val="20"/>
              </w:rPr>
              <w:t>A 15-minute Settlement Interval in the Operating Hour.  The summation is over all of the Settlement Intervals of the Operating Hour.</w:t>
            </w:r>
          </w:p>
        </w:tc>
      </w:tr>
    </w:tbl>
    <w:p w14:paraId="4113208D" w14:textId="77777777" w:rsidR="001F04FD" w:rsidRPr="0013396E" w:rsidRDefault="001F04FD" w:rsidP="001F04FD">
      <w:pPr>
        <w:pStyle w:val="H4"/>
        <w:spacing w:before="480"/>
        <w:ind w:left="1267" w:hanging="1267"/>
      </w:pPr>
      <w:bookmarkStart w:id="1524" w:name="_Toc458770307"/>
      <w:bookmarkStart w:id="1525" w:name="_Toc459294275"/>
      <w:bookmarkStart w:id="1526" w:name="_Toc463262768"/>
      <w:bookmarkStart w:id="1527" w:name="_Toc468286841"/>
      <w:bookmarkStart w:id="1528" w:name="_Toc481502885"/>
      <w:bookmarkStart w:id="1529" w:name="_Toc496080053"/>
      <w:bookmarkStart w:id="1530" w:name="_Toc236220170"/>
      <w:r w:rsidRPr="0013396E">
        <w:t>6.6.2.</w:t>
      </w:r>
      <w:r w:rsidR="003C2BD5" w:rsidRPr="0013396E">
        <w:t>4</w:t>
      </w:r>
      <w:r w:rsidRPr="0013396E">
        <w:tab/>
        <w:t>QSE Load Ratio Share for an Operating Hour</w:t>
      </w:r>
      <w:bookmarkEnd w:id="1511"/>
      <w:bookmarkEnd w:id="1512"/>
      <w:bookmarkEnd w:id="1513"/>
      <w:bookmarkEnd w:id="1514"/>
      <w:bookmarkEnd w:id="1515"/>
      <w:bookmarkEnd w:id="1516"/>
      <w:bookmarkEnd w:id="1517"/>
      <w:bookmarkEnd w:id="1518"/>
      <w:bookmarkEnd w:id="1519"/>
      <w:bookmarkEnd w:id="1520"/>
      <w:bookmarkEnd w:id="1524"/>
      <w:bookmarkEnd w:id="1525"/>
      <w:bookmarkEnd w:id="1526"/>
      <w:bookmarkEnd w:id="1527"/>
      <w:bookmarkEnd w:id="1528"/>
      <w:bookmarkEnd w:id="1529"/>
      <w:bookmarkEnd w:id="1530"/>
    </w:p>
    <w:p w14:paraId="15D493F2" w14:textId="77777777" w:rsidR="001F04FD" w:rsidRPr="0013396E" w:rsidRDefault="001F04FD" w:rsidP="001F04FD">
      <w:pPr>
        <w:pStyle w:val="BodyText"/>
      </w:pPr>
      <w:r w:rsidRPr="0013396E">
        <w:t>(1)</w:t>
      </w:r>
      <w:r w:rsidRPr="0013396E">
        <w:tab/>
        <w:t>Each QSE’s LRS for an Operating Hour is calculated as follows:</w:t>
      </w:r>
    </w:p>
    <w:p w14:paraId="173C72C6" w14:textId="77777777" w:rsidR="001F04FD" w:rsidRPr="0013396E" w:rsidRDefault="001F04FD" w:rsidP="001F04FD">
      <w:pPr>
        <w:pStyle w:val="FormulaBold"/>
        <w:rPr>
          <w:lang w:val="sv-SE"/>
        </w:rPr>
      </w:pPr>
      <w:r w:rsidRPr="0013396E">
        <w:rPr>
          <w:lang w:val="sv-SE"/>
        </w:rPr>
        <w:lastRenderedPageBreak/>
        <w:t>HLRS</w:t>
      </w:r>
      <w:r w:rsidRPr="0013396E">
        <w:rPr>
          <w:i/>
          <w:vertAlign w:val="subscript"/>
          <w:lang w:val="sv-SE"/>
        </w:rPr>
        <w:t xml:space="preserve"> q</w:t>
      </w:r>
      <w:r w:rsidRPr="0013396E">
        <w:rPr>
          <w:lang w:val="sv-SE"/>
        </w:rPr>
        <w:tab/>
        <w:t>=</w:t>
      </w:r>
      <w:r w:rsidRPr="0013396E">
        <w:rPr>
          <w:lang w:val="sv-SE"/>
        </w:rPr>
        <w:tab/>
        <w:t>(</w:t>
      </w:r>
      <w:r w:rsidR="003C2BD5" w:rsidRPr="0013396E">
        <w:rPr>
          <w:bCs w:val="0"/>
        </w:rPr>
        <w:t>max(0,</w:t>
      </w:r>
      <w:r w:rsidRPr="0013396E">
        <w:rPr>
          <w:position w:val="-20"/>
        </w:rPr>
        <w:object w:dxaOrig="255" w:dyaOrig="585" w14:anchorId="0351425E">
          <v:shape id="_x0000_i1085" type="#_x0000_t75" style="width:12pt;height:30pt" o:ole="">
            <v:imagedata r:id="rId87" o:title=""/>
          </v:shape>
          <o:OLEObject Type="Embed" ProgID="Equation.3" ShapeID="_x0000_i1085" DrawAspect="Content" ObjectID="_1849065716" r:id="rId90"/>
        </w:object>
      </w:r>
      <w:r w:rsidRPr="0013396E">
        <w:rPr>
          <w:position w:val="-22"/>
        </w:rPr>
        <w:object w:dxaOrig="225" w:dyaOrig="465" w14:anchorId="5F6BC0DA">
          <v:shape id="_x0000_i1086" type="#_x0000_t75" style="width:12pt;height:18.6pt" o:ole="">
            <v:imagedata r:id="rId75" o:title=""/>
          </v:shape>
          <o:OLEObject Type="Embed" ProgID="Equation.3" ShapeID="_x0000_i1086" DrawAspect="Content" ObjectID="_1849065717" r:id="rId91"/>
        </w:object>
      </w:r>
      <w:r w:rsidRPr="0013396E">
        <w:rPr>
          <w:lang w:val="sv-SE"/>
        </w:rPr>
        <w:t xml:space="preserve">RTAML </w:t>
      </w:r>
      <w:r w:rsidRPr="0013396E">
        <w:rPr>
          <w:i/>
          <w:vertAlign w:val="subscript"/>
          <w:lang w:val="sv-SE"/>
        </w:rPr>
        <w:t>q, p, i</w:t>
      </w:r>
      <w:r w:rsidRPr="0013396E">
        <w:rPr>
          <w:lang w:val="sv-SE"/>
        </w:rPr>
        <w:t>)</w:t>
      </w:r>
      <w:r w:rsidR="003C2BD5" w:rsidRPr="0013396E">
        <w:rPr>
          <w:lang w:val="sv-SE"/>
        </w:rPr>
        <w:t>)</w:t>
      </w:r>
      <w:r w:rsidRPr="0013396E">
        <w:rPr>
          <w:lang w:val="sv-SE"/>
        </w:rPr>
        <w:t xml:space="preserve"> / (</w:t>
      </w:r>
      <w:r w:rsidR="003C2BD5" w:rsidRPr="0013396E">
        <w:t>H</w:t>
      </w:r>
      <w:r w:rsidRPr="0013396E">
        <w:rPr>
          <w:lang w:val="sv-SE"/>
        </w:rPr>
        <w:t xml:space="preserve">RTAMLTOT)  </w:t>
      </w:r>
    </w:p>
    <w:p w14:paraId="050BD0D4" w14:textId="77777777" w:rsidR="001F04FD" w:rsidRPr="0013396E" w:rsidRDefault="001F04FD" w:rsidP="001F04FD">
      <w:r w:rsidRPr="0013396E">
        <w:t>The above variables are defined as follows:</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61"/>
        <w:gridCol w:w="900"/>
        <w:gridCol w:w="7225"/>
      </w:tblGrid>
      <w:tr w:rsidR="001F04FD" w:rsidRPr="0013396E" w14:paraId="2E2FDE36" w14:textId="77777777" w:rsidTr="00316CC9">
        <w:trPr>
          <w:cantSplit/>
        </w:trPr>
        <w:tc>
          <w:tcPr>
            <w:tcW w:w="2161" w:type="dxa"/>
          </w:tcPr>
          <w:p w14:paraId="3156FFA7" w14:textId="77777777" w:rsidR="001F04FD" w:rsidRPr="0013396E" w:rsidRDefault="001F04FD" w:rsidP="00AC4DEE">
            <w:pPr>
              <w:pStyle w:val="TableHead"/>
            </w:pPr>
            <w:r w:rsidRPr="0013396E">
              <w:t>Variable</w:t>
            </w:r>
          </w:p>
        </w:tc>
        <w:tc>
          <w:tcPr>
            <w:tcW w:w="900" w:type="dxa"/>
          </w:tcPr>
          <w:p w14:paraId="719A6AB4" w14:textId="77777777" w:rsidR="001F04FD" w:rsidRPr="0013396E" w:rsidRDefault="001F04FD" w:rsidP="00AC4DEE">
            <w:pPr>
              <w:pStyle w:val="TableHead"/>
            </w:pPr>
            <w:r w:rsidRPr="0013396E">
              <w:t>Unit</w:t>
            </w:r>
          </w:p>
        </w:tc>
        <w:tc>
          <w:tcPr>
            <w:tcW w:w="7225" w:type="dxa"/>
          </w:tcPr>
          <w:p w14:paraId="4BFC6EB4" w14:textId="77777777" w:rsidR="001F04FD" w:rsidRPr="0013396E" w:rsidRDefault="001F04FD" w:rsidP="00AC4DEE">
            <w:pPr>
              <w:pStyle w:val="TableHead"/>
            </w:pPr>
            <w:r w:rsidRPr="0013396E">
              <w:t>Description</w:t>
            </w:r>
          </w:p>
        </w:tc>
      </w:tr>
      <w:tr w:rsidR="001F04FD" w:rsidRPr="0013396E" w14:paraId="1C1CC40F" w14:textId="77777777" w:rsidTr="00316CC9">
        <w:trPr>
          <w:cantSplit/>
        </w:trPr>
        <w:tc>
          <w:tcPr>
            <w:tcW w:w="2161" w:type="dxa"/>
          </w:tcPr>
          <w:p w14:paraId="7D6C89E4" w14:textId="77777777" w:rsidR="001F04FD" w:rsidRPr="0013396E" w:rsidRDefault="001F04FD" w:rsidP="00AC4DEE">
            <w:pPr>
              <w:pStyle w:val="TableBody"/>
            </w:pPr>
            <w:r w:rsidRPr="0013396E">
              <w:t>HLRS</w:t>
            </w:r>
            <w:r w:rsidRPr="0013396E">
              <w:rPr>
                <w:i/>
                <w:vertAlign w:val="subscript"/>
              </w:rPr>
              <w:t xml:space="preserve"> q</w:t>
            </w:r>
          </w:p>
        </w:tc>
        <w:tc>
          <w:tcPr>
            <w:tcW w:w="900" w:type="dxa"/>
          </w:tcPr>
          <w:p w14:paraId="47F2EC95" w14:textId="77777777" w:rsidR="001F04FD" w:rsidRPr="0013396E" w:rsidRDefault="001F04FD" w:rsidP="00AC4DEE">
            <w:pPr>
              <w:pStyle w:val="TableBody"/>
            </w:pPr>
            <w:r w:rsidRPr="0013396E">
              <w:t>none</w:t>
            </w:r>
          </w:p>
        </w:tc>
        <w:tc>
          <w:tcPr>
            <w:tcW w:w="7225" w:type="dxa"/>
          </w:tcPr>
          <w:p w14:paraId="4D6AFA9A" w14:textId="77777777" w:rsidR="001F04FD" w:rsidRPr="0013396E" w:rsidRDefault="001F04FD" w:rsidP="00AC4DEE">
            <w:pPr>
              <w:pStyle w:val="TableBody"/>
              <w:rPr>
                <w:i/>
              </w:rPr>
            </w:pPr>
            <w:r w:rsidRPr="0013396E">
              <w:rPr>
                <w:i/>
              </w:rPr>
              <w:t>Hourly Load Ratio Share per QSE</w:t>
            </w:r>
            <w:r w:rsidRPr="0013396E">
              <w:t xml:space="preserve">—The LRS as defined in Section 2, Definitions and Acronyms, for QSE </w:t>
            </w:r>
            <w:r w:rsidRPr="0013396E">
              <w:rPr>
                <w:i/>
              </w:rPr>
              <w:t>q</w:t>
            </w:r>
            <w:r w:rsidRPr="0013396E">
              <w:t>, for the hour.</w:t>
            </w:r>
          </w:p>
        </w:tc>
      </w:tr>
      <w:tr w:rsidR="001F04FD" w:rsidRPr="0013396E" w14:paraId="5466B4D4" w14:textId="77777777" w:rsidTr="00316CC9">
        <w:trPr>
          <w:cantSplit/>
        </w:trPr>
        <w:tc>
          <w:tcPr>
            <w:tcW w:w="2161" w:type="dxa"/>
          </w:tcPr>
          <w:p w14:paraId="169A2C53" w14:textId="77777777" w:rsidR="001F04FD" w:rsidRPr="0013396E" w:rsidRDefault="001F04FD" w:rsidP="00AC4DEE">
            <w:pPr>
              <w:pStyle w:val="TableBody"/>
            </w:pPr>
            <w:r w:rsidRPr="0013396E">
              <w:t xml:space="preserve">RTAML </w:t>
            </w:r>
            <w:r w:rsidRPr="0013396E">
              <w:rPr>
                <w:i/>
                <w:vertAlign w:val="subscript"/>
              </w:rPr>
              <w:t>q, p, i</w:t>
            </w:r>
          </w:p>
        </w:tc>
        <w:tc>
          <w:tcPr>
            <w:tcW w:w="900" w:type="dxa"/>
          </w:tcPr>
          <w:p w14:paraId="33A31A76" w14:textId="77777777" w:rsidR="001F04FD" w:rsidRPr="0013396E" w:rsidRDefault="001F04FD" w:rsidP="00AC4DEE">
            <w:pPr>
              <w:pStyle w:val="TableBody"/>
            </w:pPr>
            <w:r w:rsidRPr="0013396E">
              <w:t>MWh</w:t>
            </w:r>
          </w:p>
        </w:tc>
        <w:tc>
          <w:tcPr>
            <w:tcW w:w="7225" w:type="dxa"/>
          </w:tcPr>
          <w:p w14:paraId="133ADE16" w14:textId="77777777" w:rsidR="001F04FD" w:rsidRPr="0013396E" w:rsidRDefault="001F04FD" w:rsidP="00E91BBF">
            <w:pPr>
              <w:pStyle w:val="TableBody"/>
            </w:pPr>
            <w:r w:rsidRPr="0013396E">
              <w:rPr>
                <w:i/>
              </w:rPr>
              <w:t>Real-Time Adjusted Metered Load per Settlement Point per QSE by interval</w:t>
            </w:r>
            <w:r w:rsidRPr="0013396E">
              <w:t xml:space="preserve">—The sum of the </w:t>
            </w:r>
            <w:r w:rsidR="00E91BBF" w:rsidRPr="0013396E">
              <w:t>AML</w:t>
            </w:r>
            <w:r w:rsidRPr="0013396E">
              <w:t xml:space="preserve"> at the Electrical Buses that are included in the Settlement Point </w:t>
            </w:r>
            <w:r w:rsidRPr="0013396E">
              <w:rPr>
                <w:i/>
              </w:rPr>
              <w:t>p</w:t>
            </w:r>
            <w:r w:rsidRPr="0013396E">
              <w:t xml:space="preserve">, represented by QSE </w:t>
            </w:r>
            <w:r w:rsidRPr="0013396E">
              <w:rPr>
                <w:i/>
              </w:rPr>
              <w:t>q</w:t>
            </w:r>
            <w:r w:rsidRPr="0013396E">
              <w:t xml:space="preserve"> for the 15-minute Settlement Interval </w:t>
            </w:r>
            <w:r w:rsidRPr="0013396E">
              <w:rPr>
                <w:i/>
              </w:rPr>
              <w:t>i</w:t>
            </w:r>
            <w:r w:rsidRPr="0013396E">
              <w:t>.</w:t>
            </w:r>
          </w:p>
        </w:tc>
      </w:tr>
      <w:tr w:rsidR="001F04FD" w:rsidRPr="0013396E" w14:paraId="4E813B50" w14:textId="77777777" w:rsidTr="00316CC9">
        <w:trPr>
          <w:cantSplit/>
        </w:trPr>
        <w:tc>
          <w:tcPr>
            <w:tcW w:w="2161" w:type="dxa"/>
          </w:tcPr>
          <w:p w14:paraId="033403C2" w14:textId="77777777" w:rsidR="001F04FD" w:rsidRPr="0013396E" w:rsidRDefault="003C2BD5" w:rsidP="00AC4DEE">
            <w:pPr>
              <w:pStyle w:val="TableBody"/>
            </w:pPr>
            <w:r w:rsidRPr="0013396E">
              <w:t>H</w:t>
            </w:r>
            <w:r w:rsidR="001F04FD" w:rsidRPr="0013396E">
              <w:t>RTAMLTOT</w:t>
            </w:r>
          </w:p>
        </w:tc>
        <w:tc>
          <w:tcPr>
            <w:tcW w:w="900" w:type="dxa"/>
          </w:tcPr>
          <w:p w14:paraId="7D80DBAD" w14:textId="77777777" w:rsidR="001F04FD" w:rsidRPr="0013396E" w:rsidRDefault="001F04FD" w:rsidP="00AC4DEE">
            <w:pPr>
              <w:pStyle w:val="TableBody"/>
            </w:pPr>
            <w:r w:rsidRPr="0013396E">
              <w:t>MWh</w:t>
            </w:r>
          </w:p>
        </w:tc>
        <w:tc>
          <w:tcPr>
            <w:tcW w:w="7225" w:type="dxa"/>
          </w:tcPr>
          <w:p w14:paraId="53787083" w14:textId="77777777" w:rsidR="001F04FD" w:rsidRPr="0013396E" w:rsidRDefault="001F04FD" w:rsidP="00E91BBF">
            <w:pPr>
              <w:pStyle w:val="TableBody"/>
            </w:pPr>
            <w:r w:rsidRPr="0013396E">
              <w:rPr>
                <w:i/>
              </w:rPr>
              <w:t>Real-Time Adjusted Metered Load Total</w:t>
            </w:r>
            <w:r w:rsidRPr="0013396E">
              <w:t xml:space="preserve">—The total </w:t>
            </w:r>
            <w:r w:rsidR="00E91BBF" w:rsidRPr="0013396E">
              <w:t>AML</w:t>
            </w:r>
            <w:r w:rsidRPr="0013396E">
              <w:t xml:space="preserve"> in ERCOT, for the </w:t>
            </w:r>
            <w:r w:rsidR="003C2BD5" w:rsidRPr="0013396E">
              <w:t>Operating Hour</w:t>
            </w:r>
            <w:r w:rsidRPr="0013396E">
              <w:t>.</w:t>
            </w:r>
          </w:p>
        </w:tc>
      </w:tr>
      <w:tr w:rsidR="001F04FD" w:rsidRPr="0013396E" w14:paraId="22345FBB" w14:textId="77777777" w:rsidTr="00316CC9">
        <w:trPr>
          <w:cantSplit/>
        </w:trPr>
        <w:tc>
          <w:tcPr>
            <w:tcW w:w="2161" w:type="dxa"/>
          </w:tcPr>
          <w:p w14:paraId="4ECD5137" w14:textId="77777777" w:rsidR="001F04FD" w:rsidRPr="0013396E" w:rsidRDefault="001F04FD" w:rsidP="00AC4DEE">
            <w:pPr>
              <w:pStyle w:val="TableBody"/>
              <w:rPr>
                <w:i/>
              </w:rPr>
            </w:pPr>
            <w:r w:rsidRPr="0013396E">
              <w:rPr>
                <w:i/>
              </w:rPr>
              <w:t>p</w:t>
            </w:r>
          </w:p>
        </w:tc>
        <w:tc>
          <w:tcPr>
            <w:tcW w:w="900" w:type="dxa"/>
          </w:tcPr>
          <w:p w14:paraId="35B18D10" w14:textId="77777777" w:rsidR="001F04FD" w:rsidRPr="0013396E" w:rsidRDefault="001F04FD" w:rsidP="00AC4DEE">
            <w:pPr>
              <w:pStyle w:val="TableBody"/>
            </w:pPr>
            <w:r w:rsidRPr="0013396E">
              <w:t>none</w:t>
            </w:r>
          </w:p>
        </w:tc>
        <w:tc>
          <w:tcPr>
            <w:tcW w:w="7225" w:type="dxa"/>
          </w:tcPr>
          <w:p w14:paraId="777D6FBB" w14:textId="77777777" w:rsidR="001F04FD" w:rsidRPr="0013396E" w:rsidRDefault="001F04FD" w:rsidP="00AC4DEE">
            <w:pPr>
              <w:pStyle w:val="TableBody"/>
            </w:pPr>
            <w:r w:rsidRPr="0013396E">
              <w:t>A Settlement Point.  The summation is over all of the Settlement Points.</w:t>
            </w:r>
          </w:p>
        </w:tc>
      </w:tr>
      <w:tr w:rsidR="001F04FD" w:rsidRPr="0013396E" w14:paraId="65648205" w14:textId="77777777" w:rsidTr="00316CC9">
        <w:trPr>
          <w:cantSplit/>
        </w:trPr>
        <w:tc>
          <w:tcPr>
            <w:tcW w:w="2161" w:type="dxa"/>
          </w:tcPr>
          <w:p w14:paraId="4E495A15" w14:textId="77777777" w:rsidR="001F04FD" w:rsidRPr="0013396E" w:rsidRDefault="001F04FD" w:rsidP="00AC4DEE">
            <w:pPr>
              <w:pStyle w:val="TableBody"/>
              <w:rPr>
                <w:i/>
              </w:rPr>
            </w:pPr>
            <w:r w:rsidRPr="0013396E">
              <w:rPr>
                <w:i/>
              </w:rPr>
              <w:t>i</w:t>
            </w:r>
          </w:p>
        </w:tc>
        <w:tc>
          <w:tcPr>
            <w:tcW w:w="900" w:type="dxa"/>
          </w:tcPr>
          <w:p w14:paraId="6F11A69A" w14:textId="77777777" w:rsidR="001F04FD" w:rsidRPr="0013396E" w:rsidRDefault="001F04FD" w:rsidP="00AC4DEE">
            <w:pPr>
              <w:pStyle w:val="TableBody"/>
            </w:pPr>
            <w:r w:rsidRPr="0013396E">
              <w:t>none</w:t>
            </w:r>
          </w:p>
        </w:tc>
        <w:tc>
          <w:tcPr>
            <w:tcW w:w="7225" w:type="dxa"/>
          </w:tcPr>
          <w:p w14:paraId="13314D05" w14:textId="77777777" w:rsidR="001F04FD" w:rsidRPr="0013396E" w:rsidRDefault="001F04FD" w:rsidP="00E91BBF">
            <w:pPr>
              <w:pStyle w:val="TableBody"/>
            </w:pPr>
            <w:r w:rsidRPr="0013396E">
              <w:t xml:space="preserve">A 15-minute Settlement Interval in the Operating Hour.  The summation </w:t>
            </w:r>
            <w:r w:rsidR="00E91BBF" w:rsidRPr="0013396E">
              <w:t xml:space="preserve">is </w:t>
            </w:r>
            <w:r w:rsidRPr="0013396E">
              <w:t>over all of the Settlement Intervals of the Operating Hour.</w:t>
            </w:r>
          </w:p>
        </w:tc>
      </w:tr>
    </w:tbl>
    <w:p w14:paraId="71DEAB93" w14:textId="77777777" w:rsidR="00316CC9" w:rsidRPr="0013396E" w:rsidRDefault="00316CC9"/>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10080"/>
      </w:tblGrid>
      <w:tr w:rsidR="00316CC9" w:rsidRPr="0013396E" w14:paraId="6DC3213A" w14:textId="77777777" w:rsidTr="00316CC9">
        <w:trPr>
          <w:trHeight w:val="206"/>
        </w:trPr>
        <w:tc>
          <w:tcPr>
            <w:tcW w:w="10080" w:type="dxa"/>
            <w:shd w:val="pct12" w:color="auto" w:fill="auto"/>
          </w:tcPr>
          <w:p w14:paraId="24AFC55E" w14:textId="755BA881" w:rsidR="00316CC9" w:rsidRPr="0013396E" w:rsidRDefault="00316CC9" w:rsidP="00316CC9">
            <w:pPr>
              <w:pStyle w:val="Instructions"/>
              <w:spacing w:before="120"/>
            </w:pPr>
            <w:bookmarkStart w:id="1531" w:name="_Toc109009388"/>
            <w:bookmarkStart w:id="1532" w:name="_Toc397505012"/>
            <w:bookmarkStart w:id="1533" w:name="_Toc402357140"/>
            <w:bookmarkStart w:id="1534" w:name="_Toc422486518"/>
            <w:bookmarkStart w:id="1535" w:name="_Toc433093370"/>
            <w:bookmarkStart w:id="1536" w:name="_Toc433093528"/>
            <w:bookmarkStart w:id="1537" w:name="_Toc440874756"/>
            <w:bookmarkStart w:id="1538" w:name="_Toc448142311"/>
            <w:bookmarkStart w:id="1539" w:name="_Toc448142468"/>
            <w:bookmarkStart w:id="1540" w:name="_Toc458770309"/>
            <w:bookmarkStart w:id="1541" w:name="_Toc459294277"/>
            <w:bookmarkStart w:id="1542" w:name="_Toc463262770"/>
            <w:bookmarkStart w:id="1543" w:name="_Toc468286843"/>
            <w:bookmarkStart w:id="1544" w:name="_Toc481502886"/>
            <w:bookmarkStart w:id="1545" w:name="_Toc496080054"/>
            <w:r w:rsidRPr="0013396E">
              <w:t>[NPRR1030:  Insert Section 6.6.2.5 below upon system implementation:]</w:t>
            </w:r>
          </w:p>
          <w:p w14:paraId="054AC84E" w14:textId="77777777" w:rsidR="00694BD2" w:rsidRPr="0013396E" w:rsidRDefault="00694BD2" w:rsidP="00694BD2">
            <w:pPr>
              <w:keepNext/>
              <w:widowControl w:val="0"/>
              <w:tabs>
                <w:tab w:val="left" w:pos="1260"/>
              </w:tabs>
              <w:spacing w:before="480" w:after="240"/>
              <w:outlineLvl w:val="3"/>
              <w:rPr>
                <w:b/>
                <w:bCs/>
                <w:snapToGrid w:val="0"/>
              </w:rPr>
            </w:pPr>
            <w:bookmarkStart w:id="1546" w:name="_Toc236220171"/>
            <w:r w:rsidRPr="0013396E">
              <w:rPr>
                <w:b/>
                <w:bCs/>
                <w:snapToGrid w:val="0"/>
              </w:rPr>
              <w:t>6.6.2.5</w:t>
            </w:r>
            <w:r w:rsidRPr="0013396E">
              <w:rPr>
                <w:b/>
                <w:bCs/>
                <w:snapToGrid w:val="0"/>
              </w:rPr>
              <w:tab/>
              <w:t>ERCOT Total Adjusted Metered Load for a Month</w:t>
            </w:r>
            <w:bookmarkEnd w:id="1546"/>
          </w:p>
          <w:p w14:paraId="20F311A9" w14:textId="77777777" w:rsidR="00694BD2" w:rsidRPr="0013396E" w:rsidRDefault="00694BD2" w:rsidP="00694BD2">
            <w:pPr>
              <w:spacing w:after="240"/>
              <w:ind w:left="720" w:hanging="720"/>
              <w:rPr>
                <w:iCs/>
              </w:rPr>
            </w:pPr>
            <w:r w:rsidRPr="0013396E">
              <w:rPr>
                <w:iCs/>
              </w:rPr>
              <w:t>(1)</w:t>
            </w:r>
            <w:r w:rsidRPr="0013396E">
              <w:rPr>
                <w:iCs/>
              </w:rPr>
              <w:tab/>
              <w:t>ERCOT total AML for a calendar month is calculated as follows:</w:t>
            </w:r>
          </w:p>
          <w:p w14:paraId="27F93226" w14:textId="77777777" w:rsidR="00694BD2" w:rsidRPr="0013396E" w:rsidRDefault="00694BD2" w:rsidP="00694BD2">
            <w:pPr>
              <w:tabs>
                <w:tab w:val="left" w:pos="2250"/>
                <w:tab w:val="left" w:pos="3150"/>
                <w:tab w:val="left" w:pos="3960"/>
              </w:tabs>
              <w:spacing w:after="240"/>
              <w:ind w:left="3960" w:hanging="3240"/>
              <w:rPr>
                <w:b/>
                <w:bCs/>
              </w:rPr>
            </w:pPr>
            <w:r w:rsidRPr="0013396E">
              <w:rPr>
                <w:b/>
                <w:bCs/>
              </w:rPr>
              <w:t>MRTAMLTOT</w:t>
            </w:r>
            <w:r w:rsidRPr="0013396E">
              <w:rPr>
                <w:b/>
                <w:bCs/>
              </w:rPr>
              <w:tab/>
              <w:t>=</w:t>
            </w:r>
            <w:r w:rsidRPr="0013396E">
              <w:rPr>
                <w:b/>
                <w:bCs/>
              </w:rPr>
              <w:tab/>
            </w:r>
            <w:r w:rsidRPr="0013396E">
              <w:rPr>
                <w:b/>
                <w:bCs/>
                <w:position w:val="-22"/>
              </w:rPr>
              <w:object w:dxaOrig="225" w:dyaOrig="465" w14:anchorId="7AF000B6">
                <v:shape id="_x0000_i1087" type="#_x0000_t75" style="width:12pt;height:18.6pt" o:ole="">
                  <v:imagedata r:id="rId79" o:title=""/>
                </v:shape>
                <o:OLEObject Type="Embed" ProgID="Equation.3" ShapeID="_x0000_i1087" DrawAspect="Content" ObjectID="_1849065718" r:id="rId92"/>
              </w:object>
            </w:r>
            <w:r w:rsidRPr="0013396E">
              <w:rPr>
                <w:b/>
                <w:bCs/>
              </w:rPr>
              <w:t>(max(0,</w:t>
            </w:r>
            <w:r w:rsidRPr="0013396E">
              <w:rPr>
                <w:b/>
                <w:bCs/>
                <w:sz w:val="12"/>
                <w:szCs w:val="12"/>
              </w:rPr>
              <w:t xml:space="preserve"> </w:t>
            </w:r>
            <w:r w:rsidRPr="0013396E">
              <w:rPr>
                <w:position w:val="-20"/>
              </w:rPr>
              <w:object w:dxaOrig="220" w:dyaOrig="440" w14:anchorId="64585321">
                <v:shape id="_x0000_i1088" type="#_x0000_t75" style="width:6pt;height:24pt" o:ole="">
                  <v:imagedata r:id="rId93" o:title=""/>
                </v:shape>
                <o:OLEObject Type="Embed" ProgID="Equation.3" ShapeID="_x0000_i1088" DrawAspect="Content" ObjectID="_1849065719" r:id="rId94"/>
              </w:object>
            </w:r>
            <w:r w:rsidRPr="0013396E">
              <w:rPr>
                <w:b/>
                <w:bCs/>
                <w:position w:val="-22"/>
              </w:rPr>
              <w:object w:dxaOrig="225" w:dyaOrig="465" w14:anchorId="2B7A137F">
                <v:shape id="_x0000_i1089" type="#_x0000_t75" style="width:12pt;height:18.6pt" o:ole="">
                  <v:imagedata r:id="rId81" o:title=""/>
                </v:shape>
                <o:OLEObject Type="Embed" ProgID="Equation.3" ShapeID="_x0000_i1089" DrawAspect="Content" ObjectID="_1849065720" r:id="rId95"/>
              </w:object>
            </w:r>
            <w:r w:rsidRPr="0013396E">
              <w:rPr>
                <w:b/>
                <w:bCs/>
              </w:rPr>
              <w:t xml:space="preserve">RTAML </w:t>
            </w:r>
            <w:r w:rsidRPr="0013396E">
              <w:rPr>
                <w:b/>
                <w:bCs/>
                <w:i/>
                <w:vertAlign w:val="subscript"/>
              </w:rPr>
              <w:t>q, p,i</w:t>
            </w:r>
            <w:r w:rsidRPr="0013396E">
              <w:rPr>
                <w:b/>
                <w:bCs/>
              </w:rPr>
              <w:t>))</w:t>
            </w:r>
          </w:p>
          <w:p w14:paraId="1E05A6A9" w14:textId="77777777" w:rsidR="00694BD2" w:rsidRPr="0013396E" w:rsidRDefault="00694BD2" w:rsidP="00694BD2">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03"/>
              <w:gridCol w:w="697"/>
              <w:gridCol w:w="6655"/>
            </w:tblGrid>
            <w:tr w:rsidR="00694BD2" w:rsidRPr="0013396E" w14:paraId="22EEC2FE" w14:textId="77777777" w:rsidTr="00663874">
              <w:tc>
                <w:tcPr>
                  <w:tcW w:w="2003" w:type="dxa"/>
                </w:tcPr>
                <w:p w14:paraId="4EC06680" w14:textId="77777777" w:rsidR="00694BD2" w:rsidRPr="0013396E" w:rsidRDefault="00694BD2" w:rsidP="00694BD2">
                  <w:pPr>
                    <w:spacing w:after="120"/>
                    <w:rPr>
                      <w:b/>
                      <w:iCs/>
                      <w:sz w:val="20"/>
                    </w:rPr>
                  </w:pPr>
                  <w:r w:rsidRPr="0013396E">
                    <w:rPr>
                      <w:b/>
                      <w:iCs/>
                      <w:sz w:val="20"/>
                    </w:rPr>
                    <w:t>Variable</w:t>
                  </w:r>
                </w:p>
              </w:tc>
              <w:tc>
                <w:tcPr>
                  <w:tcW w:w="697" w:type="dxa"/>
                </w:tcPr>
                <w:p w14:paraId="46292A58" w14:textId="77777777" w:rsidR="00694BD2" w:rsidRPr="0013396E" w:rsidRDefault="00694BD2" w:rsidP="00694BD2">
                  <w:pPr>
                    <w:spacing w:after="120"/>
                    <w:rPr>
                      <w:b/>
                      <w:iCs/>
                      <w:sz w:val="20"/>
                    </w:rPr>
                  </w:pPr>
                  <w:r w:rsidRPr="0013396E">
                    <w:rPr>
                      <w:b/>
                      <w:iCs/>
                      <w:sz w:val="20"/>
                    </w:rPr>
                    <w:t>Unit</w:t>
                  </w:r>
                </w:p>
              </w:tc>
              <w:tc>
                <w:tcPr>
                  <w:tcW w:w="6655" w:type="dxa"/>
                </w:tcPr>
                <w:p w14:paraId="344A56C0" w14:textId="77777777" w:rsidR="00694BD2" w:rsidRPr="0013396E" w:rsidRDefault="00694BD2" w:rsidP="00694BD2">
                  <w:pPr>
                    <w:spacing w:after="120"/>
                    <w:rPr>
                      <w:b/>
                      <w:iCs/>
                      <w:sz w:val="20"/>
                    </w:rPr>
                  </w:pPr>
                  <w:r w:rsidRPr="0013396E">
                    <w:rPr>
                      <w:b/>
                      <w:iCs/>
                      <w:sz w:val="20"/>
                    </w:rPr>
                    <w:t>Description</w:t>
                  </w:r>
                </w:p>
              </w:tc>
            </w:tr>
            <w:tr w:rsidR="00694BD2" w:rsidRPr="0013396E" w14:paraId="35D4500F" w14:textId="77777777" w:rsidTr="00663874">
              <w:tc>
                <w:tcPr>
                  <w:tcW w:w="2003" w:type="dxa"/>
                </w:tcPr>
                <w:p w14:paraId="3CBB4970" w14:textId="77777777" w:rsidR="00694BD2" w:rsidRPr="0013396E" w:rsidRDefault="00694BD2" w:rsidP="00694BD2">
                  <w:pPr>
                    <w:spacing w:after="60"/>
                    <w:rPr>
                      <w:iCs/>
                      <w:sz w:val="20"/>
                    </w:rPr>
                  </w:pPr>
                  <w:r w:rsidRPr="0013396E">
                    <w:rPr>
                      <w:iCs/>
                      <w:sz w:val="20"/>
                    </w:rPr>
                    <w:t>MRTAMLTOT</w:t>
                  </w:r>
                </w:p>
              </w:tc>
              <w:tc>
                <w:tcPr>
                  <w:tcW w:w="697" w:type="dxa"/>
                </w:tcPr>
                <w:p w14:paraId="77FD2C3E" w14:textId="77777777" w:rsidR="00694BD2" w:rsidRPr="0013396E" w:rsidRDefault="00694BD2" w:rsidP="00694BD2">
                  <w:pPr>
                    <w:spacing w:after="60"/>
                    <w:rPr>
                      <w:i/>
                      <w:iCs/>
                      <w:sz w:val="20"/>
                    </w:rPr>
                  </w:pPr>
                  <w:r w:rsidRPr="0013396E">
                    <w:rPr>
                      <w:iCs/>
                      <w:sz w:val="20"/>
                    </w:rPr>
                    <w:t>MWh</w:t>
                  </w:r>
                </w:p>
              </w:tc>
              <w:tc>
                <w:tcPr>
                  <w:tcW w:w="6655" w:type="dxa"/>
                </w:tcPr>
                <w:p w14:paraId="46974F91" w14:textId="77777777" w:rsidR="00694BD2" w:rsidRPr="0013396E" w:rsidRDefault="00694BD2" w:rsidP="00694BD2">
                  <w:pPr>
                    <w:spacing w:after="60"/>
                    <w:rPr>
                      <w:iCs/>
                      <w:sz w:val="20"/>
                    </w:rPr>
                  </w:pPr>
                  <w:r w:rsidRPr="0013396E">
                    <w:rPr>
                      <w:i/>
                      <w:iCs/>
                      <w:sz w:val="20"/>
                    </w:rPr>
                    <w:t>Monthly Real-Time Adjusted Metered Load Total</w:t>
                  </w:r>
                  <w:r w:rsidRPr="0013396E">
                    <w:rPr>
                      <w:iCs/>
                      <w:sz w:val="20"/>
                    </w:rPr>
                    <w:t>—The total AML in ERCOT, for the calendar month.</w:t>
                  </w:r>
                </w:p>
              </w:tc>
            </w:tr>
            <w:tr w:rsidR="00694BD2" w:rsidRPr="0013396E" w14:paraId="0188B588" w14:textId="77777777" w:rsidTr="00663874">
              <w:tc>
                <w:tcPr>
                  <w:tcW w:w="2003" w:type="dxa"/>
                </w:tcPr>
                <w:p w14:paraId="2D1015E2" w14:textId="77777777" w:rsidR="00694BD2" w:rsidRPr="0013396E" w:rsidRDefault="00694BD2" w:rsidP="00694BD2">
                  <w:pPr>
                    <w:spacing w:after="60"/>
                    <w:rPr>
                      <w:iCs/>
                      <w:sz w:val="20"/>
                    </w:rPr>
                  </w:pPr>
                  <w:r w:rsidRPr="0013396E">
                    <w:rPr>
                      <w:iCs/>
                      <w:sz w:val="20"/>
                    </w:rPr>
                    <w:t xml:space="preserve">RTAML </w:t>
                  </w:r>
                  <w:r w:rsidRPr="0013396E">
                    <w:rPr>
                      <w:i/>
                      <w:iCs/>
                      <w:sz w:val="20"/>
                      <w:vertAlign w:val="subscript"/>
                    </w:rPr>
                    <w:t>q, p,i</w:t>
                  </w:r>
                </w:p>
              </w:tc>
              <w:tc>
                <w:tcPr>
                  <w:tcW w:w="697" w:type="dxa"/>
                </w:tcPr>
                <w:p w14:paraId="5D244F0C" w14:textId="77777777" w:rsidR="00694BD2" w:rsidRPr="0013396E" w:rsidRDefault="00694BD2" w:rsidP="00694BD2">
                  <w:pPr>
                    <w:spacing w:after="60"/>
                    <w:rPr>
                      <w:iCs/>
                      <w:sz w:val="20"/>
                    </w:rPr>
                  </w:pPr>
                  <w:r w:rsidRPr="0013396E">
                    <w:rPr>
                      <w:iCs/>
                      <w:sz w:val="20"/>
                    </w:rPr>
                    <w:t>MWh</w:t>
                  </w:r>
                </w:p>
              </w:tc>
              <w:tc>
                <w:tcPr>
                  <w:tcW w:w="6655" w:type="dxa"/>
                </w:tcPr>
                <w:p w14:paraId="54F9784B" w14:textId="77777777" w:rsidR="00694BD2" w:rsidRPr="0013396E" w:rsidRDefault="00694BD2" w:rsidP="00694BD2">
                  <w:pPr>
                    <w:spacing w:after="60"/>
                    <w:rPr>
                      <w:iCs/>
                      <w:sz w:val="20"/>
                    </w:rPr>
                  </w:pPr>
                  <w:r w:rsidRPr="0013396E">
                    <w:rPr>
                      <w:i/>
                      <w:iCs/>
                      <w:sz w:val="20"/>
                    </w:rPr>
                    <w:t>Real-Time Adjusted Metered Load per QSE per Settlement Point</w:t>
                  </w:r>
                  <w:r w:rsidRPr="0013396E">
                    <w:rPr>
                      <w:iCs/>
                      <w:sz w:val="20"/>
                    </w:rPr>
                    <w:t xml:space="preserve">—The sum of the AML at the Electrical Buses that are included in Settlement Point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t>
                  </w:r>
                  <w:r w:rsidRPr="0013396E">
                    <w:rPr>
                      <w:i/>
                      <w:iCs/>
                      <w:sz w:val="20"/>
                    </w:rPr>
                    <w:t>i</w:t>
                  </w:r>
                  <w:r w:rsidRPr="0013396E">
                    <w:rPr>
                      <w:iCs/>
                      <w:sz w:val="20"/>
                    </w:rPr>
                    <w:t>.</w:t>
                  </w:r>
                </w:p>
              </w:tc>
            </w:tr>
            <w:tr w:rsidR="00694BD2" w:rsidRPr="0013396E" w14:paraId="18E2FF59" w14:textId="77777777" w:rsidTr="00663874">
              <w:tc>
                <w:tcPr>
                  <w:tcW w:w="2003" w:type="dxa"/>
                </w:tcPr>
                <w:p w14:paraId="74A8E58A" w14:textId="77777777" w:rsidR="00694BD2" w:rsidRPr="0013396E" w:rsidRDefault="00694BD2" w:rsidP="00694BD2">
                  <w:pPr>
                    <w:spacing w:after="60"/>
                    <w:rPr>
                      <w:i/>
                      <w:iCs/>
                      <w:sz w:val="20"/>
                    </w:rPr>
                  </w:pPr>
                  <w:r w:rsidRPr="0013396E">
                    <w:rPr>
                      <w:i/>
                      <w:iCs/>
                      <w:sz w:val="20"/>
                    </w:rPr>
                    <w:t>q</w:t>
                  </w:r>
                </w:p>
              </w:tc>
              <w:tc>
                <w:tcPr>
                  <w:tcW w:w="697" w:type="dxa"/>
                </w:tcPr>
                <w:p w14:paraId="0E7AD5C0" w14:textId="77777777" w:rsidR="00694BD2" w:rsidRPr="0013396E" w:rsidRDefault="00694BD2" w:rsidP="00694BD2">
                  <w:pPr>
                    <w:spacing w:after="60"/>
                    <w:rPr>
                      <w:iCs/>
                      <w:sz w:val="20"/>
                    </w:rPr>
                  </w:pPr>
                  <w:r w:rsidRPr="0013396E">
                    <w:rPr>
                      <w:iCs/>
                      <w:sz w:val="20"/>
                    </w:rPr>
                    <w:t>none</w:t>
                  </w:r>
                </w:p>
              </w:tc>
              <w:tc>
                <w:tcPr>
                  <w:tcW w:w="6655" w:type="dxa"/>
                </w:tcPr>
                <w:p w14:paraId="1966D416" w14:textId="77777777" w:rsidR="00694BD2" w:rsidRPr="0013396E" w:rsidRDefault="00694BD2" w:rsidP="00694BD2">
                  <w:pPr>
                    <w:spacing w:after="60"/>
                    <w:rPr>
                      <w:iCs/>
                      <w:sz w:val="20"/>
                    </w:rPr>
                  </w:pPr>
                  <w:r w:rsidRPr="0013396E">
                    <w:rPr>
                      <w:iCs/>
                      <w:sz w:val="20"/>
                    </w:rPr>
                    <w:t xml:space="preserve">A QSE.  </w:t>
                  </w:r>
                </w:p>
              </w:tc>
            </w:tr>
            <w:tr w:rsidR="00694BD2" w:rsidRPr="0013396E" w14:paraId="4681265F" w14:textId="77777777" w:rsidTr="00663874">
              <w:tc>
                <w:tcPr>
                  <w:tcW w:w="2003" w:type="dxa"/>
                </w:tcPr>
                <w:p w14:paraId="576ACB61" w14:textId="77777777" w:rsidR="00694BD2" w:rsidRPr="0013396E" w:rsidRDefault="00694BD2" w:rsidP="00694BD2">
                  <w:pPr>
                    <w:spacing w:after="60"/>
                    <w:rPr>
                      <w:i/>
                      <w:iCs/>
                      <w:sz w:val="20"/>
                    </w:rPr>
                  </w:pPr>
                  <w:r w:rsidRPr="0013396E">
                    <w:rPr>
                      <w:i/>
                      <w:iCs/>
                      <w:sz w:val="20"/>
                    </w:rPr>
                    <w:t>p</w:t>
                  </w:r>
                </w:p>
              </w:tc>
              <w:tc>
                <w:tcPr>
                  <w:tcW w:w="697" w:type="dxa"/>
                </w:tcPr>
                <w:p w14:paraId="37091E1B" w14:textId="77777777" w:rsidR="00694BD2" w:rsidRPr="0013396E" w:rsidRDefault="00694BD2" w:rsidP="00694BD2">
                  <w:pPr>
                    <w:spacing w:after="60"/>
                    <w:rPr>
                      <w:iCs/>
                      <w:sz w:val="20"/>
                    </w:rPr>
                  </w:pPr>
                  <w:r w:rsidRPr="0013396E">
                    <w:rPr>
                      <w:iCs/>
                      <w:sz w:val="20"/>
                    </w:rPr>
                    <w:t>none</w:t>
                  </w:r>
                </w:p>
              </w:tc>
              <w:tc>
                <w:tcPr>
                  <w:tcW w:w="6655" w:type="dxa"/>
                </w:tcPr>
                <w:p w14:paraId="73D4D1CA" w14:textId="77777777" w:rsidR="00694BD2" w:rsidRPr="0013396E" w:rsidRDefault="00694BD2" w:rsidP="00694BD2">
                  <w:pPr>
                    <w:spacing w:after="60"/>
                    <w:rPr>
                      <w:iCs/>
                      <w:sz w:val="20"/>
                    </w:rPr>
                  </w:pPr>
                  <w:r w:rsidRPr="0013396E">
                    <w:rPr>
                      <w:iCs/>
                      <w:sz w:val="20"/>
                    </w:rPr>
                    <w:t xml:space="preserve">A Settlement Point.  </w:t>
                  </w:r>
                </w:p>
              </w:tc>
            </w:tr>
            <w:tr w:rsidR="00694BD2" w:rsidRPr="0013396E" w14:paraId="207FD404" w14:textId="77777777" w:rsidTr="00663874">
              <w:trPr>
                <w:cantSplit/>
              </w:trPr>
              <w:tc>
                <w:tcPr>
                  <w:tcW w:w="2003" w:type="dxa"/>
                </w:tcPr>
                <w:p w14:paraId="63A9EB3E" w14:textId="77777777" w:rsidR="00694BD2" w:rsidRPr="0013396E" w:rsidRDefault="00694BD2" w:rsidP="00694BD2">
                  <w:pPr>
                    <w:spacing w:after="60"/>
                    <w:rPr>
                      <w:i/>
                      <w:iCs/>
                      <w:sz w:val="20"/>
                    </w:rPr>
                  </w:pPr>
                  <w:r w:rsidRPr="0013396E">
                    <w:rPr>
                      <w:i/>
                      <w:sz w:val="20"/>
                    </w:rPr>
                    <w:t>i</w:t>
                  </w:r>
                </w:p>
              </w:tc>
              <w:tc>
                <w:tcPr>
                  <w:tcW w:w="697" w:type="dxa"/>
                </w:tcPr>
                <w:p w14:paraId="08B29679" w14:textId="77777777" w:rsidR="00694BD2" w:rsidRPr="0013396E" w:rsidRDefault="00694BD2" w:rsidP="00694BD2">
                  <w:pPr>
                    <w:spacing w:after="60"/>
                    <w:rPr>
                      <w:iCs/>
                      <w:sz w:val="20"/>
                    </w:rPr>
                  </w:pPr>
                  <w:r w:rsidRPr="0013396E">
                    <w:rPr>
                      <w:sz w:val="20"/>
                    </w:rPr>
                    <w:t>none</w:t>
                  </w:r>
                </w:p>
              </w:tc>
              <w:tc>
                <w:tcPr>
                  <w:tcW w:w="6655" w:type="dxa"/>
                </w:tcPr>
                <w:p w14:paraId="4643577B" w14:textId="77777777" w:rsidR="00694BD2" w:rsidRPr="0013396E" w:rsidRDefault="00694BD2" w:rsidP="00694BD2">
                  <w:pPr>
                    <w:spacing w:after="60"/>
                    <w:rPr>
                      <w:iCs/>
                      <w:sz w:val="20"/>
                    </w:rPr>
                  </w:pPr>
                  <w:r w:rsidRPr="0013396E">
                    <w:rPr>
                      <w:sz w:val="20"/>
                    </w:rPr>
                    <w:t xml:space="preserve">A 15-minute Settlement Interval. </w:t>
                  </w:r>
                </w:p>
              </w:tc>
            </w:tr>
          </w:tbl>
          <w:p w14:paraId="6F9978FB" w14:textId="77777777" w:rsidR="00316CC9" w:rsidRPr="0013396E" w:rsidRDefault="00316CC9" w:rsidP="00316CC9">
            <w:pPr>
              <w:pStyle w:val="BodyTextNumbered"/>
            </w:pPr>
          </w:p>
        </w:tc>
      </w:tr>
    </w:tbl>
    <w:p w14:paraId="5725B48A" w14:textId="77777777" w:rsidR="006930B7" w:rsidRPr="0013396E" w:rsidRDefault="006930B7"/>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10080"/>
      </w:tblGrid>
      <w:tr w:rsidR="006930B7" w:rsidRPr="0013396E" w14:paraId="304DB027" w14:textId="77777777" w:rsidTr="00082248">
        <w:trPr>
          <w:trHeight w:val="206"/>
        </w:trPr>
        <w:tc>
          <w:tcPr>
            <w:tcW w:w="10080" w:type="dxa"/>
            <w:tcBorders>
              <w:top w:val="single" w:sz="4" w:space="0" w:color="auto"/>
              <w:left w:val="single" w:sz="4" w:space="0" w:color="auto"/>
              <w:bottom w:val="single" w:sz="4" w:space="0" w:color="auto"/>
              <w:right w:val="single" w:sz="4" w:space="0" w:color="auto"/>
            </w:tcBorders>
            <w:shd w:val="pct12" w:color="auto" w:fill="auto"/>
          </w:tcPr>
          <w:p w14:paraId="4343D4D5" w14:textId="48581945" w:rsidR="006930B7" w:rsidRPr="0013396E" w:rsidRDefault="006930B7" w:rsidP="00663874">
            <w:pPr>
              <w:pStyle w:val="Instructions"/>
              <w:spacing w:before="120"/>
            </w:pPr>
            <w:r w:rsidRPr="0013396E">
              <w:t>[NPRR1030</w:t>
            </w:r>
            <w:r w:rsidR="001335E7" w:rsidRPr="0013396E">
              <w:t xml:space="preserve"> </w:t>
            </w:r>
            <w:r w:rsidRPr="0013396E">
              <w:t>:  Insert</w:t>
            </w:r>
            <w:r w:rsidR="001335E7" w:rsidRPr="0013396E">
              <w:t xml:space="preserve"> </w:t>
            </w:r>
            <w:r w:rsidRPr="0013396E">
              <w:t>Section 6.6.2.6 below upon system implementation:]</w:t>
            </w:r>
          </w:p>
          <w:p w14:paraId="440A81C3" w14:textId="77777777" w:rsidR="00694BD2" w:rsidRPr="0013396E" w:rsidRDefault="00694BD2" w:rsidP="00694BD2">
            <w:pPr>
              <w:pStyle w:val="H4"/>
              <w:spacing w:before="480"/>
              <w:ind w:left="1267" w:hanging="1267"/>
            </w:pPr>
            <w:bookmarkStart w:id="1547" w:name="_Toc236220172"/>
            <w:r w:rsidRPr="0013396E">
              <w:t>6.6.2.6</w:t>
            </w:r>
            <w:r w:rsidRPr="0013396E">
              <w:tab/>
              <w:t>QSE DC Tie Export Load Ratio Share for a Month</w:t>
            </w:r>
            <w:bookmarkEnd w:id="1547"/>
          </w:p>
          <w:p w14:paraId="6220F526" w14:textId="77777777" w:rsidR="00694BD2" w:rsidRPr="0013396E" w:rsidRDefault="00694BD2" w:rsidP="00694BD2">
            <w:pPr>
              <w:pStyle w:val="BodyText"/>
            </w:pPr>
            <w:r w:rsidRPr="0013396E">
              <w:t>(1)</w:t>
            </w:r>
            <w:r w:rsidRPr="0013396E">
              <w:tab/>
              <w:t>Each QSE’s DC Tie Export DCMLRS for a calendar month is calculated as follows:</w:t>
            </w:r>
          </w:p>
          <w:p w14:paraId="25698E72" w14:textId="0B598038" w:rsidR="00694BD2" w:rsidRPr="0013396E" w:rsidRDefault="00694BD2" w:rsidP="00694BD2">
            <w:pPr>
              <w:pStyle w:val="FormulaBold"/>
              <w:rPr>
                <w:lang w:val="sv-SE"/>
              </w:rPr>
            </w:pPr>
            <w:r w:rsidRPr="0013396E">
              <w:rPr>
                <w:lang w:val="sv-SE"/>
              </w:rPr>
              <w:lastRenderedPageBreak/>
              <w:t>DCMLRS</w:t>
            </w:r>
            <w:r w:rsidRPr="0013396E">
              <w:rPr>
                <w:i/>
                <w:vertAlign w:val="subscript"/>
                <w:lang w:val="sv-SE"/>
              </w:rPr>
              <w:t xml:space="preserve"> q  </w:t>
            </w:r>
            <w:r w:rsidRPr="0013396E">
              <w:rPr>
                <w:lang w:val="sv-SE"/>
              </w:rPr>
              <w:t xml:space="preserve">=  </w:t>
            </w:r>
            <w:r w:rsidRPr="0013396E">
              <w:t>max(0,</w:t>
            </w:r>
            <w:r w:rsidRPr="0013396E">
              <w:rPr>
                <w:noProof/>
                <w:position w:val="-28"/>
                <w:sz w:val="4"/>
                <w:szCs w:val="4"/>
              </w:rPr>
              <w:t xml:space="preserve">   </w:t>
            </w:r>
            <w:r w:rsidRPr="0013396E">
              <w:rPr>
                <w:position w:val="-20"/>
              </w:rPr>
              <w:object w:dxaOrig="220" w:dyaOrig="440" w14:anchorId="61FA0098">
                <v:shape id="_x0000_i1090" type="#_x0000_t75" style="width:6pt;height:24pt" o:ole="">
                  <v:imagedata r:id="rId93" o:title=""/>
                </v:shape>
                <o:OLEObject Type="Embed" ProgID="Equation.3" ShapeID="_x0000_i1090" DrawAspect="Content" ObjectID="_1849065721" r:id="rId96"/>
              </w:object>
            </w:r>
            <w:r w:rsidRPr="0013396E">
              <w:rPr>
                <w:position w:val="-22"/>
              </w:rPr>
              <w:object w:dxaOrig="225" w:dyaOrig="465" w14:anchorId="4EF5BAC2">
                <v:shape id="_x0000_i1091" type="#_x0000_t75" style="width:12pt;height:18.6pt" o:ole="">
                  <v:imagedata r:id="rId81" o:title=""/>
                </v:shape>
                <o:OLEObject Type="Embed" ProgID="Equation.3" ShapeID="_x0000_i1091" DrawAspect="Content" ObjectID="_1849065722" r:id="rId97"/>
              </w:object>
            </w:r>
            <w:r w:rsidRPr="0013396E">
              <w:t>RTAMLDC</w:t>
            </w:r>
            <w:r w:rsidRPr="0013396E">
              <w:rPr>
                <w:lang w:val="sv-SE"/>
              </w:rPr>
              <w:t xml:space="preserve"> </w:t>
            </w:r>
            <w:r w:rsidRPr="0013396E">
              <w:rPr>
                <w:i/>
                <w:vertAlign w:val="subscript"/>
                <w:lang w:val="sv-SE"/>
              </w:rPr>
              <w:t>q,</w:t>
            </w:r>
            <w:r w:rsidR="007F053D" w:rsidRPr="0013396E">
              <w:rPr>
                <w:i/>
                <w:vertAlign w:val="subscript"/>
                <w:lang w:val="sv-SE"/>
              </w:rPr>
              <w:t xml:space="preserve"> </w:t>
            </w:r>
            <w:r w:rsidRPr="0013396E">
              <w:rPr>
                <w:i/>
                <w:vertAlign w:val="subscript"/>
                <w:lang w:val="sv-SE"/>
              </w:rPr>
              <w:t>p,</w:t>
            </w:r>
            <w:r w:rsidR="007F053D" w:rsidRPr="0013396E">
              <w:rPr>
                <w:i/>
                <w:vertAlign w:val="subscript"/>
                <w:lang w:val="sv-SE"/>
              </w:rPr>
              <w:t xml:space="preserve"> </w:t>
            </w:r>
            <w:r w:rsidRPr="0013396E">
              <w:rPr>
                <w:i/>
                <w:vertAlign w:val="subscript"/>
                <w:lang w:val="sv-SE"/>
              </w:rPr>
              <w:t>i</w:t>
            </w:r>
            <w:r w:rsidRPr="0013396E">
              <w:rPr>
                <w:lang w:val="sv-SE"/>
              </w:rPr>
              <w:t xml:space="preserve"> ) / </w:t>
            </w:r>
            <w:r w:rsidRPr="0013396E">
              <w:t>M</w:t>
            </w:r>
            <w:r w:rsidRPr="0013396E">
              <w:rPr>
                <w:lang w:val="sv-SE"/>
              </w:rPr>
              <w:t xml:space="preserve">RTAMLTOT  </w:t>
            </w:r>
          </w:p>
          <w:p w14:paraId="5D8A6482" w14:textId="77777777" w:rsidR="00694BD2" w:rsidRPr="0013396E" w:rsidRDefault="00694BD2" w:rsidP="00694BD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66"/>
              <w:gridCol w:w="860"/>
              <w:gridCol w:w="6914"/>
            </w:tblGrid>
            <w:tr w:rsidR="00694BD2" w:rsidRPr="0013396E" w14:paraId="08DAA962" w14:textId="77777777" w:rsidTr="00082248">
              <w:trPr>
                <w:cantSplit/>
              </w:trPr>
              <w:tc>
                <w:tcPr>
                  <w:tcW w:w="1050" w:type="pct"/>
                </w:tcPr>
                <w:p w14:paraId="0D0983A3" w14:textId="77777777" w:rsidR="00694BD2" w:rsidRPr="0013396E" w:rsidRDefault="00694BD2" w:rsidP="00694BD2">
                  <w:pPr>
                    <w:pStyle w:val="TableHead"/>
                  </w:pPr>
                  <w:r w:rsidRPr="0013396E">
                    <w:t>Variable</w:t>
                  </w:r>
                </w:p>
              </w:tc>
              <w:tc>
                <w:tcPr>
                  <w:tcW w:w="437" w:type="pct"/>
                </w:tcPr>
                <w:p w14:paraId="410BB6A4" w14:textId="77777777" w:rsidR="00694BD2" w:rsidRPr="0013396E" w:rsidRDefault="00694BD2" w:rsidP="00694BD2">
                  <w:pPr>
                    <w:pStyle w:val="TableHead"/>
                  </w:pPr>
                  <w:r w:rsidRPr="0013396E">
                    <w:t>Unit</w:t>
                  </w:r>
                </w:p>
              </w:tc>
              <w:tc>
                <w:tcPr>
                  <w:tcW w:w="3512" w:type="pct"/>
                </w:tcPr>
                <w:p w14:paraId="796A94C8" w14:textId="77777777" w:rsidR="00694BD2" w:rsidRPr="0013396E" w:rsidRDefault="00694BD2" w:rsidP="00694BD2">
                  <w:pPr>
                    <w:pStyle w:val="TableHead"/>
                  </w:pPr>
                  <w:r w:rsidRPr="0013396E">
                    <w:t>Description</w:t>
                  </w:r>
                </w:p>
              </w:tc>
            </w:tr>
            <w:tr w:rsidR="00694BD2" w:rsidRPr="0013396E" w14:paraId="4E5696A5" w14:textId="77777777" w:rsidTr="00082248">
              <w:trPr>
                <w:cantSplit/>
              </w:trPr>
              <w:tc>
                <w:tcPr>
                  <w:tcW w:w="1050" w:type="pct"/>
                </w:tcPr>
                <w:p w14:paraId="47A0B74B" w14:textId="77777777" w:rsidR="00694BD2" w:rsidRPr="0013396E" w:rsidRDefault="00694BD2" w:rsidP="00694BD2">
                  <w:pPr>
                    <w:pStyle w:val="TableBody"/>
                  </w:pPr>
                  <w:r w:rsidRPr="0013396E">
                    <w:t>DCMLRS</w:t>
                  </w:r>
                  <w:r w:rsidRPr="0013396E">
                    <w:rPr>
                      <w:i/>
                      <w:vertAlign w:val="subscript"/>
                    </w:rPr>
                    <w:t xml:space="preserve"> q</w:t>
                  </w:r>
                </w:p>
              </w:tc>
              <w:tc>
                <w:tcPr>
                  <w:tcW w:w="437" w:type="pct"/>
                </w:tcPr>
                <w:p w14:paraId="7BA495E7" w14:textId="77777777" w:rsidR="00694BD2" w:rsidRPr="0013396E" w:rsidRDefault="00694BD2" w:rsidP="00694BD2">
                  <w:pPr>
                    <w:pStyle w:val="TableBody"/>
                  </w:pPr>
                  <w:r w:rsidRPr="0013396E">
                    <w:t>none</w:t>
                  </w:r>
                </w:p>
              </w:tc>
              <w:tc>
                <w:tcPr>
                  <w:tcW w:w="3512" w:type="pct"/>
                </w:tcPr>
                <w:p w14:paraId="7417C111" w14:textId="0C3D70A3" w:rsidR="00694BD2" w:rsidRPr="0013396E" w:rsidRDefault="00694BD2" w:rsidP="001335E7">
                  <w:pPr>
                    <w:pStyle w:val="TableBody"/>
                    <w:rPr>
                      <w:i/>
                    </w:rPr>
                  </w:pPr>
                  <w:r w:rsidRPr="0013396E">
                    <w:rPr>
                      <w:i/>
                    </w:rPr>
                    <w:t>DC Tie Export Monthly Load Ratio Share per QSE</w:t>
                  </w:r>
                  <w:r w:rsidRPr="0013396E">
                    <w:t xml:space="preserve">—The ratio share calculated for QSE </w:t>
                  </w:r>
                  <w:r w:rsidRPr="0013396E">
                    <w:rPr>
                      <w:i/>
                    </w:rPr>
                    <w:t>q</w:t>
                  </w:r>
                  <w:r w:rsidRPr="0013396E">
                    <w:t xml:space="preserve"> with DC Tie Exports for the calendar month.</w:t>
                  </w:r>
                </w:p>
              </w:tc>
            </w:tr>
            <w:tr w:rsidR="00694BD2" w:rsidRPr="0013396E" w14:paraId="72149BD7" w14:textId="77777777" w:rsidTr="00082248">
              <w:trPr>
                <w:cantSplit/>
              </w:trPr>
              <w:tc>
                <w:tcPr>
                  <w:tcW w:w="1050" w:type="pct"/>
                </w:tcPr>
                <w:p w14:paraId="6ADE2050" w14:textId="267B80DA" w:rsidR="00694BD2" w:rsidRPr="0013396E" w:rsidRDefault="00694BD2" w:rsidP="00694BD2">
                  <w:pPr>
                    <w:pStyle w:val="TableBody"/>
                  </w:pPr>
                  <w:r w:rsidRPr="0013396E">
                    <w:rPr>
                      <w:lang w:val="sv-SE"/>
                    </w:rPr>
                    <w:t xml:space="preserve">RTAMLDC </w:t>
                  </w:r>
                  <w:r w:rsidRPr="0013396E">
                    <w:rPr>
                      <w:i/>
                      <w:vertAlign w:val="subscript"/>
                      <w:lang w:val="sv-SE"/>
                    </w:rPr>
                    <w:t>q,</w:t>
                  </w:r>
                  <w:r w:rsidR="00E9412A" w:rsidRPr="0013396E">
                    <w:rPr>
                      <w:i/>
                      <w:vertAlign w:val="subscript"/>
                      <w:lang w:val="sv-SE"/>
                    </w:rPr>
                    <w:t xml:space="preserve"> </w:t>
                  </w:r>
                  <w:r w:rsidRPr="0013396E">
                    <w:rPr>
                      <w:i/>
                      <w:vertAlign w:val="subscript"/>
                      <w:lang w:val="sv-SE"/>
                    </w:rPr>
                    <w:t>p,</w:t>
                  </w:r>
                  <w:r w:rsidR="00E9412A" w:rsidRPr="0013396E">
                    <w:rPr>
                      <w:i/>
                      <w:vertAlign w:val="subscript"/>
                      <w:lang w:val="sv-SE"/>
                    </w:rPr>
                    <w:t xml:space="preserve"> </w:t>
                  </w:r>
                  <w:r w:rsidRPr="0013396E">
                    <w:rPr>
                      <w:i/>
                      <w:vertAlign w:val="subscript"/>
                      <w:lang w:val="sv-SE"/>
                    </w:rPr>
                    <w:t xml:space="preserve">i  </w:t>
                  </w:r>
                </w:p>
              </w:tc>
              <w:tc>
                <w:tcPr>
                  <w:tcW w:w="437" w:type="pct"/>
                </w:tcPr>
                <w:p w14:paraId="668A9E3D" w14:textId="77777777" w:rsidR="00694BD2" w:rsidRPr="0013396E" w:rsidRDefault="00694BD2" w:rsidP="00694BD2">
                  <w:pPr>
                    <w:pStyle w:val="TableBody"/>
                  </w:pPr>
                  <w:r w:rsidRPr="0013396E">
                    <w:t>MWh</w:t>
                  </w:r>
                </w:p>
              </w:tc>
              <w:tc>
                <w:tcPr>
                  <w:tcW w:w="3512" w:type="pct"/>
                </w:tcPr>
                <w:p w14:paraId="6EE569B1" w14:textId="20F37854" w:rsidR="00694BD2" w:rsidRPr="0013396E" w:rsidRDefault="00694BD2" w:rsidP="00694BD2">
                  <w:pPr>
                    <w:pStyle w:val="TableBody"/>
                  </w:pPr>
                  <w:r w:rsidRPr="0013396E">
                    <w:rPr>
                      <w:i/>
                    </w:rPr>
                    <w:t>Real-Time Adjusted Metered Load for DC Ties per Settlement Point per QSE</w:t>
                  </w:r>
                  <w:r w:rsidRPr="0013396E">
                    <w:t xml:space="preserve">—The sum of the DC Tie AML at the Electrical Buses that are included in Settlement </w:t>
                  </w:r>
                  <w:r w:rsidR="00AA1FD1" w:rsidRPr="0013396E">
                    <w:br/>
                  </w:r>
                  <w:r w:rsidRPr="0013396E">
                    <w:t xml:space="preserve">Point </w:t>
                  </w:r>
                  <w:r w:rsidRPr="0013396E">
                    <w:rPr>
                      <w:i/>
                    </w:rPr>
                    <w:t>p</w:t>
                  </w:r>
                  <w:r w:rsidRPr="0013396E">
                    <w:t xml:space="preserve">, represented by QSE </w:t>
                  </w:r>
                  <w:r w:rsidRPr="0013396E">
                    <w:rPr>
                      <w:i/>
                    </w:rPr>
                    <w:t>q</w:t>
                  </w:r>
                  <w:r w:rsidRPr="0013396E">
                    <w:t xml:space="preserve">, for the 15-minute Settlement Interval </w:t>
                  </w:r>
                  <w:r w:rsidRPr="0013396E">
                    <w:rPr>
                      <w:i/>
                    </w:rPr>
                    <w:t>i</w:t>
                  </w:r>
                  <w:r w:rsidRPr="0013396E">
                    <w:t xml:space="preserve">. </w:t>
                  </w:r>
                </w:p>
              </w:tc>
            </w:tr>
            <w:tr w:rsidR="00694BD2" w:rsidRPr="0013396E" w14:paraId="68647030" w14:textId="77777777" w:rsidTr="00082248">
              <w:trPr>
                <w:cantSplit/>
              </w:trPr>
              <w:tc>
                <w:tcPr>
                  <w:tcW w:w="1050" w:type="pct"/>
                </w:tcPr>
                <w:p w14:paraId="1BAB80B7" w14:textId="77777777" w:rsidR="00694BD2" w:rsidRPr="0013396E" w:rsidRDefault="00694BD2" w:rsidP="00694BD2">
                  <w:pPr>
                    <w:pStyle w:val="TableBody"/>
                  </w:pPr>
                  <w:r w:rsidRPr="0013396E">
                    <w:t>MRTAMLTOT</w:t>
                  </w:r>
                </w:p>
              </w:tc>
              <w:tc>
                <w:tcPr>
                  <w:tcW w:w="437" w:type="pct"/>
                </w:tcPr>
                <w:p w14:paraId="1D75BED4" w14:textId="77777777" w:rsidR="00694BD2" w:rsidRPr="0013396E" w:rsidRDefault="00694BD2" w:rsidP="00694BD2">
                  <w:pPr>
                    <w:pStyle w:val="TableBody"/>
                  </w:pPr>
                  <w:r w:rsidRPr="0013396E">
                    <w:t>MWh</w:t>
                  </w:r>
                </w:p>
              </w:tc>
              <w:tc>
                <w:tcPr>
                  <w:tcW w:w="3512" w:type="pct"/>
                </w:tcPr>
                <w:p w14:paraId="49269665" w14:textId="74CBB3B8" w:rsidR="00694BD2" w:rsidRPr="0013396E" w:rsidRDefault="00694BD2" w:rsidP="00694BD2">
                  <w:pPr>
                    <w:pStyle w:val="TableBody"/>
                  </w:pPr>
                  <w:r w:rsidRPr="0013396E">
                    <w:rPr>
                      <w:i/>
                    </w:rPr>
                    <w:t>Monthly Real-Time Adjusted Metered Load Total</w:t>
                  </w:r>
                  <w:r w:rsidRPr="0013396E">
                    <w:t xml:space="preserve">—The total AML in ERCOT, for </w:t>
                  </w:r>
                  <w:r w:rsidR="00E42D8B" w:rsidRPr="0013396E">
                    <w:br/>
                  </w:r>
                  <w:r w:rsidRPr="0013396E">
                    <w:t>the calendar month.</w:t>
                  </w:r>
                </w:p>
              </w:tc>
            </w:tr>
            <w:tr w:rsidR="00694BD2" w:rsidRPr="0013396E" w14:paraId="09F7D6AF" w14:textId="77777777" w:rsidTr="00082248">
              <w:trPr>
                <w:cantSplit/>
              </w:trPr>
              <w:tc>
                <w:tcPr>
                  <w:tcW w:w="1050" w:type="pct"/>
                </w:tcPr>
                <w:p w14:paraId="7030D6EC" w14:textId="77777777" w:rsidR="00694BD2" w:rsidRPr="0013396E" w:rsidRDefault="00694BD2" w:rsidP="00694BD2">
                  <w:pPr>
                    <w:pStyle w:val="TableBody"/>
                    <w:rPr>
                      <w:i/>
                    </w:rPr>
                  </w:pPr>
                  <w:r w:rsidRPr="0013396E">
                    <w:rPr>
                      <w:i/>
                      <w:iCs w:val="0"/>
                    </w:rPr>
                    <w:t>q</w:t>
                  </w:r>
                </w:p>
              </w:tc>
              <w:tc>
                <w:tcPr>
                  <w:tcW w:w="437" w:type="pct"/>
                </w:tcPr>
                <w:p w14:paraId="1CB214BF" w14:textId="77777777" w:rsidR="00694BD2" w:rsidRPr="0013396E" w:rsidRDefault="00694BD2" w:rsidP="00694BD2">
                  <w:pPr>
                    <w:pStyle w:val="TableBody"/>
                  </w:pPr>
                  <w:r w:rsidRPr="0013396E">
                    <w:rPr>
                      <w:iCs w:val="0"/>
                    </w:rPr>
                    <w:t>none</w:t>
                  </w:r>
                </w:p>
              </w:tc>
              <w:tc>
                <w:tcPr>
                  <w:tcW w:w="3512" w:type="pct"/>
                </w:tcPr>
                <w:p w14:paraId="76D2A459" w14:textId="77777777" w:rsidR="00694BD2" w:rsidRPr="0013396E" w:rsidRDefault="00694BD2" w:rsidP="00694BD2">
                  <w:pPr>
                    <w:pStyle w:val="TableBody"/>
                  </w:pPr>
                  <w:r w:rsidRPr="0013396E">
                    <w:rPr>
                      <w:iCs w:val="0"/>
                    </w:rPr>
                    <w:t xml:space="preserve">A QSE.  </w:t>
                  </w:r>
                </w:p>
              </w:tc>
            </w:tr>
            <w:tr w:rsidR="00694BD2" w:rsidRPr="0013396E" w14:paraId="1AD1972B" w14:textId="77777777" w:rsidTr="00082248">
              <w:trPr>
                <w:cantSplit/>
              </w:trPr>
              <w:tc>
                <w:tcPr>
                  <w:tcW w:w="1050" w:type="pct"/>
                </w:tcPr>
                <w:p w14:paraId="03F39DDE" w14:textId="77777777" w:rsidR="00694BD2" w:rsidRPr="0013396E" w:rsidRDefault="00694BD2" w:rsidP="00694BD2">
                  <w:pPr>
                    <w:pStyle w:val="TableBody"/>
                    <w:rPr>
                      <w:i/>
                    </w:rPr>
                  </w:pPr>
                  <w:r w:rsidRPr="0013396E">
                    <w:rPr>
                      <w:i/>
                    </w:rPr>
                    <w:t>p</w:t>
                  </w:r>
                </w:p>
              </w:tc>
              <w:tc>
                <w:tcPr>
                  <w:tcW w:w="437" w:type="pct"/>
                </w:tcPr>
                <w:p w14:paraId="33FBFA28" w14:textId="77777777" w:rsidR="00694BD2" w:rsidRPr="0013396E" w:rsidRDefault="00694BD2" w:rsidP="00694BD2">
                  <w:pPr>
                    <w:pStyle w:val="TableBody"/>
                  </w:pPr>
                  <w:r w:rsidRPr="0013396E">
                    <w:t>none</w:t>
                  </w:r>
                </w:p>
              </w:tc>
              <w:tc>
                <w:tcPr>
                  <w:tcW w:w="3512" w:type="pct"/>
                </w:tcPr>
                <w:p w14:paraId="64B8A652" w14:textId="77777777" w:rsidR="00694BD2" w:rsidRPr="0013396E" w:rsidRDefault="00694BD2" w:rsidP="00694BD2">
                  <w:pPr>
                    <w:pStyle w:val="TableBody"/>
                  </w:pPr>
                  <w:r w:rsidRPr="0013396E">
                    <w:t xml:space="preserve">A Settlement Point.  </w:t>
                  </w:r>
                </w:p>
              </w:tc>
            </w:tr>
            <w:tr w:rsidR="00694BD2" w:rsidRPr="0013396E" w:rsidDel="00590517" w14:paraId="5F7515BF" w14:textId="77777777" w:rsidTr="00082248">
              <w:trPr>
                <w:cantSplit/>
              </w:trPr>
              <w:tc>
                <w:tcPr>
                  <w:tcW w:w="1050" w:type="pct"/>
                </w:tcPr>
                <w:p w14:paraId="75A11E5D" w14:textId="77777777" w:rsidR="00694BD2" w:rsidRPr="0013396E" w:rsidDel="00590517" w:rsidRDefault="00694BD2" w:rsidP="00694BD2">
                  <w:pPr>
                    <w:pStyle w:val="TableBody"/>
                    <w:rPr>
                      <w:i/>
                    </w:rPr>
                  </w:pPr>
                  <w:r w:rsidRPr="0013396E">
                    <w:rPr>
                      <w:i/>
                    </w:rPr>
                    <w:t>i</w:t>
                  </w:r>
                </w:p>
              </w:tc>
              <w:tc>
                <w:tcPr>
                  <w:tcW w:w="437" w:type="pct"/>
                </w:tcPr>
                <w:p w14:paraId="4116DC82" w14:textId="77777777" w:rsidR="00694BD2" w:rsidRPr="0013396E" w:rsidDel="00590517" w:rsidRDefault="00694BD2" w:rsidP="00694BD2">
                  <w:pPr>
                    <w:pStyle w:val="TableBody"/>
                  </w:pPr>
                  <w:r w:rsidRPr="0013396E">
                    <w:t>none</w:t>
                  </w:r>
                </w:p>
              </w:tc>
              <w:tc>
                <w:tcPr>
                  <w:tcW w:w="3512" w:type="pct"/>
                </w:tcPr>
                <w:p w14:paraId="2516317C" w14:textId="77777777" w:rsidR="00694BD2" w:rsidRPr="0013396E" w:rsidDel="00590517" w:rsidRDefault="00694BD2" w:rsidP="00694BD2">
                  <w:pPr>
                    <w:pStyle w:val="TableBody"/>
                  </w:pPr>
                  <w:r w:rsidRPr="0013396E">
                    <w:t xml:space="preserve">A 15-minute Settlement Interval. </w:t>
                  </w:r>
                </w:p>
              </w:tc>
            </w:tr>
          </w:tbl>
          <w:p w14:paraId="1C48CF84" w14:textId="77777777" w:rsidR="006930B7" w:rsidRPr="0013396E" w:rsidRDefault="006930B7" w:rsidP="006930B7">
            <w:pPr>
              <w:pStyle w:val="Instructions"/>
              <w:spacing w:before="120"/>
            </w:pPr>
          </w:p>
        </w:tc>
      </w:tr>
    </w:tbl>
    <w:p w14:paraId="5C8BF7A9" w14:textId="77777777" w:rsidR="006930B7" w:rsidRPr="0013396E" w:rsidRDefault="006930B7"/>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10080"/>
      </w:tblGrid>
      <w:tr w:rsidR="006930B7" w:rsidRPr="0013396E" w14:paraId="1F533BB1" w14:textId="77777777" w:rsidTr="006930B7">
        <w:trPr>
          <w:trHeight w:val="206"/>
        </w:trPr>
        <w:tc>
          <w:tcPr>
            <w:tcW w:w="10080" w:type="dxa"/>
            <w:tcBorders>
              <w:top w:val="single" w:sz="4" w:space="0" w:color="auto"/>
              <w:left w:val="single" w:sz="4" w:space="0" w:color="auto"/>
              <w:bottom w:val="single" w:sz="4" w:space="0" w:color="auto"/>
              <w:right w:val="single" w:sz="4" w:space="0" w:color="auto"/>
            </w:tcBorders>
            <w:shd w:val="pct12" w:color="auto" w:fill="auto"/>
          </w:tcPr>
          <w:p w14:paraId="307CC86A" w14:textId="58246D16" w:rsidR="006930B7" w:rsidRPr="0013396E" w:rsidRDefault="006930B7" w:rsidP="00663874">
            <w:pPr>
              <w:pStyle w:val="Instructions"/>
              <w:spacing w:before="120"/>
            </w:pPr>
            <w:r w:rsidRPr="0013396E">
              <w:t>[NPRR1030:  Insert Section 6.6.2.7 below upon system implementation:]</w:t>
            </w:r>
          </w:p>
          <w:p w14:paraId="4B8A72D4" w14:textId="77777777" w:rsidR="00694BD2" w:rsidRPr="0013396E" w:rsidRDefault="00694BD2" w:rsidP="00694BD2">
            <w:pPr>
              <w:keepNext/>
              <w:widowControl w:val="0"/>
              <w:tabs>
                <w:tab w:val="left" w:pos="1260"/>
              </w:tabs>
              <w:spacing w:before="480" w:after="240"/>
              <w:ind w:left="1260" w:hanging="1260"/>
              <w:outlineLvl w:val="3"/>
              <w:rPr>
                <w:b/>
                <w:bCs/>
                <w:snapToGrid w:val="0"/>
              </w:rPr>
            </w:pPr>
            <w:bookmarkStart w:id="1548" w:name="_Toc236220173"/>
            <w:r w:rsidRPr="0013396E">
              <w:rPr>
                <w:b/>
                <w:bCs/>
                <w:snapToGrid w:val="0"/>
              </w:rPr>
              <w:t>6.6.2.7</w:t>
            </w:r>
            <w:r w:rsidRPr="0013396E">
              <w:rPr>
                <w:b/>
                <w:bCs/>
                <w:snapToGrid w:val="0"/>
              </w:rPr>
              <w:tab/>
              <w:t>ERCOT Adjusted Metered Load by Congestion Management Zone for a Month</w:t>
            </w:r>
            <w:bookmarkEnd w:id="1548"/>
          </w:p>
          <w:p w14:paraId="19641AD7" w14:textId="77777777" w:rsidR="00694BD2" w:rsidRPr="0013396E" w:rsidRDefault="00694BD2" w:rsidP="00694BD2">
            <w:pPr>
              <w:spacing w:after="240"/>
              <w:ind w:left="720" w:hanging="720"/>
              <w:rPr>
                <w:iCs/>
              </w:rPr>
            </w:pPr>
            <w:r w:rsidRPr="0013396E">
              <w:rPr>
                <w:iCs/>
              </w:rPr>
              <w:t>(1)</w:t>
            </w:r>
            <w:r w:rsidRPr="0013396E">
              <w:rPr>
                <w:iCs/>
              </w:rPr>
              <w:tab/>
              <w:t>ERCOT total AML per CMZ for a calendar month is calculated as follows:</w:t>
            </w:r>
          </w:p>
          <w:p w14:paraId="30666C32" w14:textId="12F059E2" w:rsidR="00694BD2" w:rsidRPr="0013396E" w:rsidRDefault="00694BD2" w:rsidP="00694BD2">
            <w:pPr>
              <w:tabs>
                <w:tab w:val="left" w:pos="2250"/>
                <w:tab w:val="left" w:pos="3150"/>
                <w:tab w:val="left" w:pos="3960"/>
              </w:tabs>
              <w:spacing w:after="240"/>
              <w:ind w:left="3960" w:hanging="3240"/>
              <w:rPr>
                <w:b/>
                <w:bCs/>
              </w:rPr>
            </w:pPr>
            <w:r w:rsidRPr="0013396E">
              <w:rPr>
                <w:b/>
                <w:bCs/>
              </w:rPr>
              <w:t>MRTAMLLZTOT</w:t>
            </w:r>
            <w:r w:rsidR="00EC0374" w:rsidRPr="0013396E">
              <w:rPr>
                <w:b/>
                <w:bCs/>
              </w:rPr>
              <w:t xml:space="preserve"> </w:t>
            </w:r>
            <w:r w:rsidRPr="0013396E">
              <w:rPr>
                <w:rFonts w:ascii="Times New Roman Bold" w:hAnsi="Times New Roman Bold"/>
                <w:b/>
                <w:bCs/>
                <w:vertAlign w:val="subscript"/>
              </w:rPr>
              <w:t>z</w:t>
            </w:r>
            <w:r w:rsidRPr="0013396E">
              <w:rPr>
                <w:b/>
                <w:bCs/>
              </w:rPr>
              <w:tab/>
              <w:t>=</w:t>
            </w:r>
            <w:r w:rsidRPr="0013396E">
              <w:rPr>
                <w:b/>
                <w:bCs/>
              </w:rPr>
              <w:tab/>
            </w:r>
            <w:r w:rsidRPr="0013396E">
              <w:rPr>
                <w:b/>
                <w:bCs/>
                <w:position w:val="-22"/>
              </w:rPr>
              <w:object w:dxaOrig="225" w:dyaOrig="465" w14:anchorId="0263F72C">
                <v:shape id="_x0000_i1092" type="#_x0000_t75" style="width:12pt;height:18.6pt" o:ole="">
                  <v:imagedata r:id="rId79" o:title=""/>
                </v:shape>
                <o:OLEObject Type="Embed" ProgID="Equation.3" ShapeID="_x0000_i1092" DrawAspect="Content" ObjectID="_1849065723" r:id="rId98"/>
              </w:object>
            </w:r>
            <w:r w:rsidRPr="0013396E">
              <w:rPr>
                <w:b/>
                <w:bCs/>
              </w:rPr>
              <w:t xml:space="preserve"> (max(0,</w:t>
            </w:r>
            <w:r w:rsidRPr="0013396E">
              <w:rPr>
                <w:b/>
                <w:bCs/>
                <w:sz w:val="12"/>
                <w:szCs w:val="12"/>
              </w:rPr>
              <w:t xml:space="preserve"> </w:t>
            </w:r>
            <w:r w:rsidRPr="0013396E">
              <w:rPr>
                <w:position w:val="-20"/>
              </w:rPr>
              <w:object w:dxaOrig="220" w:dyaOrig="440" w14:anchorId="500DF72D">
                <v:shape id="_x0000_i1093" type="#_x0000_t75" style="width:6pt;height:24pt" o:ole="">
                  <v:imagedata r:id="rId93" o:title=""/>
                </v:shape>
                <o:OLEObject Type="Embed" ProgID="Equation.3" ShapeID="_x0000_i1093" DrawAspect="Content" ObjectID="_1849065724" r:id="rId99"/>
              </w:object>
            </w:r>
            <w:r w:rsidRPr="0013396E">
              <w:rPr>
                <w:position w:val="-22"/>
              </w:rPr>
              <w:object w:dxaOrig="225" w:dyaOrig="465" w14:anchorId="42D048ED">
                <v:shape id="_x0000_i1094" type="#_x0000_t75" style="width:12pt;height:18.6pt" o:ole="">
                  <v:imagedata r:id="rId81" o:title=""/>
                </v:shape>
                <o:OLEObject Type="Embed" ProgID="Equation.3" ShapeID="_x0000_i1094" DrawAspect="Content" ObjectID="_1849065725" r:id="rId100"/>
              </w:object>
            </w:r>
            <w:r w:rsidRPr="0013396E">
              <w:rPr>
                <w:b/>
                <w:bCs/>
              </w:rPr>
              <w:t xml:space="preserve">RTAML </w:t>
            </w:r>
            <w:r w:rsidRPr="0013396E">
              <w:rPr>
                <w:b/>
                <w:bCs/>
                <w:i/>
                <w:vertAlign w:val="subscript"/>
              </w:rPr>
              <w:t>q, p,i</w:t>
            </w:r>
            <w:r w:rsidRPr="0013396E">
              <w:rPr>
                <w:b/>
                <w:bCs/>
              </w:rPr>
              <w:t>))</w:t>
            </w:r>
          </w:p>
          <w:p w14:paraId="64517595" w14:textId="77777777" w:rsidR="00694BD2" w:rsidRPr="0013396E" w:rsidRDefault="00694BD2" w:rsidP="00694BD2">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03"/>
              <w:gridCol w:w="697"/>
              <w:gridCol w:w="6655"/>
            </w:tblGrid>
            <w:tr w:rsidR="00694BD2" w:rsidRPr="0013396E" w14:paraId="4B9C0926" w14:textId="77777777" w:rsidTr="00663874">
              <w:tc>
                <w:tcPr>
                  <w:tcW w:w="2003" w:type="dxa"/>
                </w:tcPr>
                <w:p w14:paraId="271B2EA7" w14:textId="77777777" w:rsidR="00694BD2" w:rsidRPr="0013396E" w:rsidRDefault="00694BD2" w:rsidP="00694BD2">
                  <w:pPr>
                    <w:spacing w:after="120"/>
                    <w:rPr>
                      <w:b/>
                      <w:iCs/>
                      <w:sz w:val="20"/>
                    </w:rPr>
                  </w:pPr>
                  <w:r w:rsidRPr="0013396E">
                    <w:rPr>
                      <w:b/>
                      <w:iCs/>
                      <w:sz w:val="20"/>
                    </w:rPr>
                    <w:t>Variable</w:t>
                  </w:r>
                </w:p>
              </w:tc>
              <w:tc>
                <w:tcPr>
                  <w:tcW w:w="697" w:type="dxa"/>
                </w:tcPr>
                <w:p w14:paraId="58D97995" w14:textId="77777777" w:rsidR="00694BD2" w:rsidRPr="0013396E" w:rsidRDefault="00694BD2" w:rsidP="00694BD2">
                  <w:pPr>
                    <w:spacing w:after="120"/>
                    <w:rPr>
                      <w:b/>
                      <w:iCs/>
                      <w:sz w:val="20"/>
                    </w:rPr>
                  </w:pPr>
                  <w:r w:rsidRPr="0013396E">
                    <w:rPr>
                      <w:b/>
                      <w:iCs/>
                      <w:sz w:val="20"/>
                    </w:rPr>
                    <w:t>Unit</w:t>
                  </w:r>
                </w:p>
              </w:tc>
              <w:tc>
                <w:tcPr>
                  <w:tcW w:w="6655" w:type="dxa"/>
                </w:tcPr>
                <w:p w14:paraId="2A1A3CD2" w14:textId="77777777" w:rsidR="00694BD2" w:rsidRPr="0013396E" w:rsidRDefault="00694BD2" w:rsidP="00694BD2">
                  <w:pPr>
                    <w:spacing w:after="120"/>
                    <w:rPr>
                      <w:b/>
                      <w:iCs/>
                      <w:sz w:val="20"/>
                    </w:rPr>
                  </w:pPr>
                  <w:r w:rsidRPr="0013396E">
                    <w:rPr>
                      <w:b/>
                      <w:iCs/>
                      <w:sz w:val="20"/>
                    </w:rPr>
                    <w:t>Description</w:t>
                  </w:r>
                </w:p>
              </w:tc>
            </w:tr>
            <w:tr w:rsidR="00694BD2" w:rsidRPr="0013396E" w14:paraId="579C9F52" w14:textId="77777777" w:rsidTr="00663874">
              <w:tc>
                <w:tcPr>
                  <w:tcW w:w="2003" w:type="dxa"/>
                </w:tcPr>
                <w:p w14:paraId="3C17CDDF" w14:textId="77777777" w:rsidR="00694BD2" w:rsidRPr="0013396E" w:rsidRDefault="00694BD2" w:rsidP="00694BD2">
                  <w:pPr>
                    <w:spacing w:after="60"/>
                    <w:rPr>
                      <w:iCs/>
                      <w:sz w:val="20"/>
                      <w:vertAlign w:val="subscript"/>
                    </w:rPr>
                  </w:pPr>
                  <w:r w:rsidRPr="0013396E">
                    <w:rPr>
                      <w:iCs/>
                      <w:sz w:val="20"/>
                    </w:rPr>
                    <w:t>MRTAMLLZTOT</w:t>
                  </w:r>
                  <w:r w:rsidRPr="0013396E">
                    <w:rPr>
                      <w:iCs/>
                      <w:sz w:val="20"/>
                      <w:vertAlign w:val="subscript"/>
                    </w:rPr>
                    <w:t>z</w:t>
                  </w:r>
                </w:p>
              </w:tc>
              <w:tc>
                <w:tcPr>
                  <w:tcW w:w="697" w:type="dxa"/>
                </w:tcPr>
                <w:p w14:paraId="7841C065" w14:textId="77777777" w:rsidR="00694BD2" w:rsidRPr="0013396E" w:rsidRDefault="00694BD2" w:rsidP="00694BD2">
                  <w:pPr>
                    <w:spacing w:after="60"/>
                    <w:rPr>
                      <w:i/>
                      <w:iCs/>
                      <w:sz w:val="20"/>
                    </w:rPr>
                  </w:pPr>
                  <w:r w:rsidRPr="0013396E">
                    <w:rPr>
                      <w:iCs/>
                      <w:sz w:val="20"/>
                    </w:rPr>
                    <w:t>MWh</w:t>
                  </w:r>
                </w:p>
              </w:tc>
              <w:tc>
                <w:tcPr>
                  <w:tcW w:w="6655" w:type="dxa"/>
                </w:tcPr>
                <w:p w14:paraId="0D7EE179" w14:textId="77777777" w:rsidR="00694BD2" w:rsidRPr="0013396E" w:rsidRDefault="00694BD2" w:rsidP="00694BD2">
                  <w:pPr>
                    <w:spacing w:after="60"/>
                    <w:rPr>
                      <w:iCs/>
                      <w:sz w:val="20"/>
                    </w:rPr>
                  </w:pPr>
                  <w:r w:rsidRPr="0013396E">
                    <w:rPr>
                      <w:i/>
                      <w:iCs/>
                      <w:sz w:val="20"/>
                    </w:rPr>
                    <w:t>Monthly Real-Time Adjusted Metered Load - Load Zone Total</w:t>
                  </w:r>
                  <w:r w:rsidRPr="0013396E">
                    <w:rPr>
                      <w:iCs/>
                      <w:sz w:val="20"/>
                    </w:rPr>
                    <w:t>—The total AML in CMZ z, for the calendar month.</w:t>
                  </w:r>
                </w:p>
              </w:tc>
            </w:tr>
            <w:tr w:rsidR="00694BD2" w:rsidRPr="0013396E" w14:paraId="078337CA" w14:textId="77777777" w:rsidTr="00663874">
              <w:tc>
                <w:tcPr>
                  <w:tcW w:w="2003" w:type="dxa"/>
                </w:tcPr>
                <w:p w14:paraId="2E98E7C1" w14:textId="77777777" w:rsidR="00694BD2" w:rsidRPr="0013396E" w:rsidRDefault="00694BD2" w:rsidP="00694BD2">
                  <w:pPr>
                    <w:spacing w:after="60"/>
                    <w:rPr>
                      <w:iCs/>
                      <w:sz w:val="20"/>
                    </w:rPr>
                  </w:pPr>
                  <w:r w:rsidRPr="0013396E">
                    <w:rPr>
                      <w:iCs/>
                      <w:sz w:val="20"/>
                    </w:rPr>
                    <w:t xml:space="preserve">RTAML </w:t>
                  </w:r>
                  <w:r w:rsidRPr="0013396E">
                    <w:rPr>
                      <w:i/>
                      <w:iCs/>
                      <w:sz w:val="20"/>
                      <w:vertAlign w:val="subscript"/>
                    </w:rPr>
                    <w:t>q, p,i</w:t>
                  </w:r>
                </w:p>
              </w:tc>
              <w:tc>
                <w:tcPr>
                  <w:tcW w:w="697" w:type="dxa"/>
                </w:tcPr>
                <w:p w14:paraId="3AFF9E39" w14:textId="77777777" w:rsidR="00694BD2" w:rsidRPr="0013396E" w:rsidRDefault="00694BD2" w:rsidP="00694BD2">
                  <w:pPr>
                    <w:spacing w:after="60"/>
                    <w:rPr>
                      <w:iCs/>
                      <w:sz w:val="20"/>
                    </w:rPr>
                  </w:pPr>
                  <w:r w:rsidRPr="0013396E">
                    <w:rPr>
                      <w:iCs/>
                      <w:sz w:val="20"/>
                    </w:rPr>
                    <w:t>MWh</w:t>
                  </w:r>
                </w:p>
              </w:tc>
              <w:tc>
                <w:tcPr>
                  <w:tcW w:w="6655" w:type="dxa"/>
                </w:tcPr>
                <w:p w14:paraId="7B65B2A4" w14:textId="77777777" w:rsidR="00694BD2" w:rsidRPr="0013396E" w:rsidRDefault="00694BD2" w:rsidP="00694BD2">
                  <w:pPr>
                    <w:spacing w:after="60"/>
                    <w:rPr>
                      <w:i/>
                      <w:iCs/>
                      <w:sz w:val="20"/>
                    </w:rPr>
                  </w:pPr>
                  <w:r w:rsidRPr="0013396E">
                    <w:rPr>
                      <w:i/>
                      <w:iCs/>
                      <w:sz w:val="20"/>
                    </w:rPr>
                    <w:t>Real-Time Adjusted Metered Load per QSE per Settlement Point</w:t>
                  </w:r>
                  <w:r w:rsidRPr="0013396E">
                    <w:rPr>
                      <w:iCs/>
                      <w:sz w:val="20"/>
                    </w:rPr>
                    <w:t xml:space="preserve">—The sum of the AML at the Electrical Buses that are included in Settlement Point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t>
                  </w:r>
                  <w:r w:rsidRPr="0013396E">
                    <w:rPr>
                      <w:i/>
                      <w:iCs/>
                      <w:sz w:val="20"/>
                    </w:rPr>
                    <w:t xml:space="preserve">i. </w:t>
                  </w:r>
                </w:p>
              </w:tc>
            </w:tr>
            <w:tr w:rsidR="00694BD2" w:rsidRPr="0013396E" w14:paraId="5E5E39A9" w14:textId="77777777" w:rsidTr="00663874">
              <w:tc>
                <w:tcPr>
                  <w:tcW w:w="2003" w:type="dxa"/>
                </w:tcPr>
                <w:p w14:paraId="4FFFFDC0" w14:textId="77777777" w:rsidR="00694BD2" w:rsidRPr="0013396E" w:rsidRDefault="00694BD2" w:rsidP="00694BD2">
                  <w:pPr>
                    <w:spacing w:after="60"/>
                    <w:rPr>
                      <w:i/>
                      <w:iCs/>
                      <w:sz w:val="20"/>
                    </w:rPr>
                  </w:pPr>
                  <w:r w:rsidRPr="0013396E">
                    <w:rPr>
                      <w:i/>
                      <w:iCs/>
                      <w:sz w:val="20"/>
                    </w:rPr>
                    <w:t>q</w:t>
                  </w:r>
                </w:p>
              </w:tc>
              <w:tc>
                <w:tcPr>
                  <w:tcW w:w="697" w:type="dxa"/>
                </w:tcPr>
                <w:p w14:paraId="2AB67F86" w14:textId="77777777" w:rsidR="00694BD2" w:rsidRPr="0013396E" w:rsidRDefault="00694BD2" w:rsidP="00694BD2">
                  <w:pPr>
                    <w:spacing w:after="60"/>
                    <w:rPr>
                      <w:iCs/>
                      <w:sz w:val="20"/>
                    </w:rPr>
                  </w:pPr>
                  <w:r w:rsidRPr="0013396E">
                    <w:rPr>
                      <w:iCs/>
                      <w:sz w:val="20"/>
                    </w:rPr>
                    <w:t>none</w:t>
                  </w:r>
                </w:p>
              </w:tc>
              <w:tc>
                <w:tcPr>
                  <w:tcW w:w="6655" w:type="dxa"/>
                </w:tcPr>
                <w:p w14:paraId="36470A2D" w14:textId="77777777" w:rsidR="00694BD2" w:rsidRPr="0013396E" w:rsidRDefault="00694BD2" w:rsidP="00694BD2">
                  <w:pPr>
                    <w:spacing w:after="60"/>
                    <w:rPr>
                      <w:iCs/>
                      <w:sz w:val="20"/>
                    </w:rPr>
                  </w:pPr>
                  <w:r w:rsidRPr="0013396E">
                    <w:rPr>
                      <w:iCs/>
                      <w:sz w:val="20"/>
                    </w:rPr>
                    <w:t xml:space="preserve">A QSE.  </w:t>
                  </w:r>
                </w:p>
              </w:tc>
            </w:tr>
            <w:tr w:rsidR="00694BD2" w:rsidRPr="0013396E" w14:paraId="44453C4D" w14:textId="77777777" w:rsidTr="00663874">
              <w:tc>
                <w:tcPr>
                  <w:tcW w:w="2003" w:type="dxa"/>
                </w:tcPr>
                <w:p w14:paraId="5FD6F603" w14:textId="77777777" w:rsidR="00694BD2" w:rsidRPr="0013396E" w:rsidRDefault="00694BD2" w:rsidP="00694BD2">
                  <w:pPr>
                    <w:spacing w:after="60"/>
                    <w:rPr>
                      <w:i/>
                      <w:iCs/>
                      <w:sz w:val="20"/>
                    </w:rPr>
                  </w:pPr>
                  <w:r w:rsidRPr="0013396E">
                    <w:rPr>
                      <w:i/>
                      <w:iCs/>
                      <w:sz w:val="20"/>
                    </w:rPr>
                    <w:t>p</w:t>
                  </w:r>
                </w:p>
              </w:tc>
              <w:tc>
                <w:tcPr>
                  <w:tcW w:w="697" w:type="dxa"/>
                </w:tcPr>
                <w:p w14:paraId="54A8C753" w14:textId="77777777" w:rsidR="00694BD2" w:rsidRPr="0013396E" w:rsidRDefault="00694BD2" w:rsidP="00694BD2">
                  <w:pPr>
                    <w:spacing w:after="60"/>
                    <w:rPr>
                      <w:iCs/>
                      <w:sz w:val="20"/>
                    </w:rPr>
                  </w:pPr>
                  <w:r w:rsidRPr="0013396E">
                    <w:rPr>
                      <w:iCs/>
                      <w:sz w:val="20"/>
                    </w:rPr>
                    <w:t>none</w:t>
                  </w:r>
                </w:p>
              </w:tc>
              <w:tc>
                <w:tcPr>
                  <w:tcW w:w="6655" w:type="dxa"/>
                </w:tcPr>
                <w:p w14:paraId="69F3AD1E" w14:textId="77777777" w:rsidR="00694BD2" w:rsidRPr="0013396E" w:rsidRDefault="00694BD2" w:rsidP="00694BD2">
                  <w:pPr>
                    <w:spacing w:after="60"/>
                    <w:rPr>
                      <w:iCs/>
                      <w:sz w:val="20"/>
                    </w:rPr>
                  </w:pPr>
                  <w:r w:rsidRPr="0013396E">
                    <w:rPr>
                      <w:iCs/>
                      <w:sz w:val="20"/>
                    </w:rPr>
                    <w:t xml:space="preserve">A Settlement Point in the 2003 ERCOT CMZ.  </w:t>
                  </w:r>
                </w:p>
              </w:tc>
            </w:tr>
            <w:tr w:rsidR="00694BD2" w:rsidRPr="0013396E" w:rsidDel="00590517" w14:paraId="288B9407" w14:textId="77777777" w:rsidTr="00663874">
              <w:trPr>
                <w:cantSplit/>
              </w:trPr>
              <w:tc>
                <w:tcPr>
                  <w:tcW w:w="2003" w:type="dxa"/>
                </w:tcPr>
                <w:p w14:paraId="2F273F19" w14:textId="77777777" w:rsidR="00694BD2" w:rsidRPr="0013396E" w:rsidDel="00590517" w:rsidRDefault="00694BD2" w:rsidP="00694BD2">
                  <w:pPr>
                    <w:spacing w:after="60"/>
                    <w:rPr>
                      <w:i/>
                      <w:iCs/>
                      <w:sz w:val="20"/>
                    </w:rPr>
                  </w:pPr>
                  <w:r w:rsidRPr="0013396E">
                    <w:rPr>
                      <w:i/>
                      <w:sz w:val="20"/>
                    </w:rPr>
                    <w:t>i</w:t>
                  </w:r>
                </w:p>
              </w:tc>
              <w:tc>
                <w:tcPr>
                  <w:tcW w:w="697" w:type="dxa"/>
                </w:tcPr>
                <w:p w14:paraId="0FAC75DB" w14:textId="77777777" w:rsidR="00694BD2" w:rsidRPr="0013396E" w:rsidDel="00590517" w:rsidRDefault="00694BD2" w:rsidP="00694BD2">
                  <w:pPr>
                    <w:spacing w:after="60"/>
                    <w:rPr>
                      <w:iCs/>
                      <w:sz w:val="20"/>
                    </w:rPr>
                  </w:pPr>
                  <w:r w:rsidRPr="0013396E">
                    <w:rPr>
                      <w:sz w:val="20"/>
                    </w:rPr>
                    <w:t>none</w:t>
                  </w:r>
                </w:p>
              </w:tc>
              <w:tc>
                <w:tcPr>
                  <w:tcW w:w="6655" w:type="dxa"/>
                </w:tcPr>
                <w:p w14:paraId="663208E1" w14:textId="77777777" w:rsidR="00694BD2" w:rsidRPr="0013396E" w:rsidDel="00590517" w:rsidRDefault="00694BD2" w:rsidP="00694BD2">
                  <w:pPr>
                    <w:spacing w:after="60"/>
                    <w:rPr>
                      <w:iCs/>
                      <w:sz w:val="20"/>
                    </w:rPr>
                  </w:pPr>
                  <w:r w:rsidRPr="0013396E">
                    <w:rPr>
                      <w:sz w:val="20"/>
                    </w:rPr>
                    <w:t xml:space="preserve">A 15-minute Settlement Interval. </w:t>
                  </w:r>
                </w:p>
              </w:tc>
            </w:tr>
            <w:tr w:rsidR="00694BD2" w:rsidRPr="0013396E" w14:paraId="586615C8" w14:textId="77777777" w:rsidTr="00663874">
              <w:trPr>
                <w:cantSplit/>
              </w:trPr>
              <w:tc>
                <w:tcPr>
                  <w:tcW w:w="2003" w:type="dxa"/>
                </w:tcPr>
                <w:p w14:paraId="0DBAA6CA" w14:textId="77777777" w:rsidR="00694BD2" w:rsidRPr="0013396E" w:rsidRDefault="00694BD2" w:rsidP="00694BD2">
                  <w:pPr>
                    <w:spacing w:after="60"/>
                    <w:rPr>
                      <w:i/>
                      <w:iCs/>
                      <w:sz w:val="20"/>
                    </w:rPr>
                  </w:pPr>
                  <w:r w:rsidRPr="0013396E">
                    <w:rPr>
                      <w:i/>
                      <w:iCs/>
                      <w:sz w:val="20"/>
                    </w:rPr>
                    <w:t>z</w:t>
                  </w:r>
                </w:p>
              </w:tc>
              <w:tc>
                <w:tcPr>
                  <w:tcW w:w="697" w:type="dxa"/>
                </w:tcPr>
                <w:p w14:paraId="4C9D497B" w14:textId="77777777" w:rsidR="00694BD2" w:rsidRPr="0013396E" w:rsidRDefault="00694BD2" w:rsidP="00694BD2">
                  <w:pPr>
                    <w:spacing w:after="60"/>
                    <w:rPr>
                      <w:iCs/>
                      <w:sz w:val="20"/>
                    </w:rPr>
                  </w:pPr>
                  <w:r w:rsidRPr="0013396E">
                    <w:rPr>
                      <w:iCs/>
                      <w:sz w:val="20"/>
                    </w:rPr>
                    <w:t>none</w:t>
                  </w:r>
                </w:p>
              </w:tc>
              <w:tc>
                <w:tcPr>
                  <w:tcW w:w="6655" w:type="dxa"/>
                </w:tcPr>
                <w:p w14:paraId="4918D311" w14:textId="77777777" w:rsidR="00694BD2" w:rsidRPr="0013396E" w:rsidRDefault="00694BD2" w:rsidP="00694BD2">
                  <w:pPr>
                    <w:spacing w:after="60"/>
                    <w:rPr>
                      <w:iCs/>
                      <w:sz w:val="20"/>
                    </w:rPr>
                  </w:pPr>
                  <w:r w:rsidRPr="0013396E">
                    <w:rPr>
                      <w:sz w:val="20"/>
                    </w:rPr>
                    <w:t>A 2003 ERCOT CMZ.</w:t>
                  </w:r>
                </w:p>
              </w:tc>
            </w:tr>
          </w:tbl>
          <w:p w14:paraId="3E2151FD" w14:textId="77777777" w:rsidR="006930B7" w:rsidRPr="0013396E" w:rsidRDefault="006930B7" w:rsidP="006930B7">
            <w:pPr>
              <w:pStyle w:val="Instructions"/>
              <w:spacing w:before="120"/>
            </w:pPr>
          </w:p>
        </w:tc>
      </w:tr>
    </w:tbl>
    <w:p w14:paraId="66794B84" w14:textId="77777777" w:rsidR="006930B7" w:rsidRPr="0013396E" w:rsidRDefault="006930B7" w:rsidP="006930B7"/>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10080"/>
      </w:tblGrid>
      <w:tr w:rsidR="006930B7" w:rsidRPr="0013396E" w14:paraId="0251E9FC" w14:textId="77777777" w:rsidTr="00082248">
        <w:trPr>
          <w:trHeight w:val="206"/>
        </w:trPr>
        <w:tc>
          <w:tcPr>
            <w:tcW w:w="10080" w:type="dxa"/>
            <w:tcBorders>
              <w:top w:val="single" w:sz="4" w:space="0" w:color="auto"/>
              <w:left w:val="single" w:sz="4" w:space="0" w:color="auto"/>
              <w:bottom w:val="single" w:sz="4" w:space="0" w:color="auto"/>
              <w:right w:val="single" w:sz="4" w:space="0" w:color="auto"/>
            </w:tcBorders>
            <w:shd w:val="pct12" w:color="auto" w:fill="auto"/>
          </w:tcPr>
          <w:p w14:paraId="565303EF" w14:textId="61349446" w:rsidR="006930B7" w:rsidRPr="0013396E" w:rsidRDefault="006930B7" w:rsidP="00663874">
            <w:pPr>
              <w:pStyle w:val="Instructions"/>
              <w:spacing w:before="120"/>
            </w:pPr>
            <w:r w:rsidRPr="0013396E">
              <w:t>[NPRR1030:  Insert Section 6.6.2.8 below upon system implementation:]</w:t>
            </w:r>
          </w:p>
          <w:p w14:paraId="73276DAC" w14:textId="77777777" w:rsidR="00694BD2" w:rsidRPr="0013396E" w:rsidRDefault="00694BD2" w:rsidP="00694BD2">
            <w:pPr>
              <w:pStyle w:val="H4"/>
              <w:spacing w:before="480"/>
              <w:ind w:left="1267" w:hanging="1267"/>
            </w:pPr>
            <w:bookmarkStart w:id="1549" w:name="_Toc236220174"/>
            <w:r w:rsidRPr="0013396E">
              <w:t>6.6.2.8</w:t>
            </w:r>
            <w:r w:rsidRPr="0013396E">
              <w:tab/>
              <w:t xml:space="preserve">QSE DC Tie Export Load Ratio Share by Congestion Management Zone for a </w:t>
            </w:r>
            <w:r w:rsidRPr="0013396E">
              <w:lastRenderedPageBreak/>
              <w:t>Month</w:t>
            </w:r>
            <w:bookmarkEnd w:id="1549"/>
          </w:p>
          <w:p w14:paraId="4AA7447D" w14:textId="77777777" w:rsidR="00694BD2" w:rsidRPr="0013396E" w:rsidRDefault="00694BD2" w:rsidP="00694BD2">
            <w:pPr>
              <w:pStyle w:val="BodyText"/>
              <w:ind w:left="720" w:hanging="720"/>
            </w:pPr>
            <w:r w:rsidRPr="0013396E">
              <w:t>(1)</w:t>
            </w:r>
            <w:r w:rsidRPr="0013396E">
              <w:tab/>
              <w:t>Each QSE’s DC Tie Export DCMLRSZ by CMZ for a calendar month is calculated as follows:</w:t>
            </w:r>
          </w:p>
          <w:p w14:paraId="0DFB438F" w14:textId="60859562" w:rsidR="00694BD2" w:rsidRPr="0013396E" w:rsidRDefault="00694BD2" w:rsidP="00694BD2">
            <w:pPr>
              <w:pStyle w:val="FormulaBold"/>
              <w:rPr>
                <w:lang w:val="sv-SE"/>
              </w:rPr>
            </w:pPr>
            <w:r w:rsidRPr="0013396E">
              <w:rPr>
                <w:lang w:val="sv-SE"/>
              </w:rPr>
              <w:t xml:space="preserve">DCMLRSZ </w:t>
            </w:r>
            <w:r w:rsidRPr="0013396E">
              <w:rPr>
                <w:rFonts w:ascii="Times New Roman Bold" w:hAnsi="Times New Roman Bold"/>
                <w:vertAlign w:val="subscript"/>
                <w:lang w:val="sv-SE"/>
              </w:rPr>
              <w:t>q,</w:t>
            </w:r>
            <w:r w:rsidR="00FB52E4" w:rsidRPr="0013396E">
              <w:rPr>
                <w:rFonts w:ascii="Times New Roman Bold" w:hAnsi="Times New Roman Bold"/>
                <w:vertAlign w:val="subscript"/>
                <w:lang w:val="sv-SE"/>
              </w:rPr>
              <w:t xml:space="preserve"> </w:t>
            </w:r>
            <w:r w:rsidRPr="0013396E">
              <w:rPr>
                <w:rFonts w:ascii="Times New Roman Bold" w:hAnsi="Times New Roman Bold"/>
                <w:vertAlign w:val="subscript"/>
                <w:lang w:val="sv-SE"/>
              </w:rPr>
              <w:t>z</w:t>
            </w:r>
            <w:r w:rsidRPr="0013396E">
              <w:rPr>
                <w:lang w:val="sv-SE"/>
              </w:rPr>
              <w:tab/>
              <w:t>=</w:t>
            </w:r>
            <w:r w:rsidRPr="0013396E">
              <w:rPr>
                <w:lang w:val="sv-SE"/>
              </w:rPr>
              <w:tab/>
            </w:r>
            <w:r w:rsidRPr="0013396E">
              <w:t>max(0,</w:t>
            </w:r>
            <w:r w:rsidRPr="0013396E">
              <w:rPr>
                <w:noProof/>
                <w:position w:val="-28"/>
                <w:sz w:val="4"/>
                <w:szCs w:val="4"/>
              </w:rPr>
              <w:t xml:space="preserve"> </w:t>
            </w:r>
            <w:r w:rsidRPr="0013396E">
              <w:rPr>
                <w:position w:val="-20"/>
              </w:rPr>
              <w:object w:dxaOrig="220" w:dyaOrig="440" w14:anchorId="22584CD4">
                <v:shape id="_x0000_i1095" type="#_x0000_t75" style="width:6pt;height:24pt" o:ole="">
                  <v:imagedata r:id="rId93" o:title=""/>
                </v:shape>
                <o:OLEObject Type="Embed" ProgID="Equation.3" ShapeID="_x0000_i1095" DrawAspect="Content" ObjectID="_1849065726" r:id="rId101"/>
              </w:object>
            </w:r>
            <w:r w:rsidRPr="0013396E">
              <w:rPr>
                <w:position w:val="-22"/>
              </w:rPr>
              <w:object w:dxaOrig="225" w:dyaOrig="465" w14:anchorId="30882CB2">
                <v:shape id="_x0000_i1096" type="#_x0000_t75" style="width:12pt;height:18.6pt" o:ole="">
                  <v:imagedata r:id="rId81" o:title=""/>
                </v:shape>
                <o:OLEObject Type="Embed" ProgID="Equation.3" ShapeID="_x0000_i1096" DrawAspect="Content" ObjectID="_1849065727" r:id="rId102"/>
              </w:object>
            </w:r>
            <w:r w:rsidRPr="0013396E">
              <w:t>RTAMLDC</w:t>
            </w:r>
            <w:r w:rsidRPr="0013396E">
              <w:rPr>
                <w:lang w:val="sv-SE"/>
              </w:rPr>
              <w:t xml:space="preserve"> </w:t>
            </w:r>
            <w:r w:rsidRPr="0013396E">
              <w:rPr>
                <w:i/>
                <w:vertAlign w:val="subscript"/>
                <w:lang w:val="sv-SE"/>
              </w:rPr>
              <w:t>q, p,</w:t>
            </w:r>
            <w:r w:rsidR="00467363" w:rsidRPr="0013396E">
              <w:rPr>
                <w:i/>
                <w:vertAlign w:val="subscript"/>
                <w:lang w:val="sv-SE"/>
              </w:rPr>
              <w:t xml:space="preserve"> </w:t>
            </w:r>
            <w:r w:rsidRPr="0013396E">
              <w:rPr>
                <w:i/>
                <w:vertAlign w:val="subscript"/>
                <w:lang w:val="sv-SE"/>
              </w:rPr>
              <w:t xml:space="preserve">i </w:t>
            </w:r>
            <w:r w:rsidRPr="0013396E">
              <w:rPr>
                <w:lang w:val="sv-SE"/>
              </w:rPr>
              <w:t>) / MRTAMLLZTOT</w:t>
            </w:r>
            <w:r w:rsidRPr="0013396E">
              <w:rPr>
                <w:rFonts w:ascii="Times New Roman Bold" w:hAnsi="Times New Roman Bold"/>
                <w:i/>
                <w:vertAlign w:val="subscript"/>
                <w:lang w:val="sv-SE"/>
              </w:rPr>
              <w:t>z</w:t>
            </w:r>
          </w:p>
          <w:p w14:paraId="7B5B77BF" w14:textId="77777777" w:rsidR="00694BD2" w:rsidRPr="0013396E" w:rsidRDefault="00694BD2" w:rsidP="00694BD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66"/>
              <w:gridCol w:w="860"/>
              <w:gridCol w:w="6914"/>
            </w:tblGrid>
            <w:tr w:rsidR="00694BD2" w:rsidRPr="0013396E" w14:paraId="0CFFA154" w14:textId="77777777" w:rsidTr="00082248">
              <w:trPr>
                <w:cantSplit/>
              </w:trPr>
              <w:tc>
                <w:tcPr>
                  <w:tcW w:w="1050" w:type="pct"/>
                </w:tcPr>
                <w:p w14:paraId="4004868E" w14:textId="77777777" w:rsidR="00694BD2" w:rsidRPr="0013396E" w:rsidRDefault="00694BD2" w:rsidP="00694BD2">
                  <w:pPr>
                    <w:pStyle w:val="TableHead"/>
                  </w:pPr>
                  <w:r w:rsidRPr="0013396E">
                    <w:t>Variable</w:t>
                  </w:r>
                </w:p>
              </w:tc>
              <w:tc>
                <w:tcPr>
                  <w:tcW w:w="437" w:type="pct"/>
                </w:tcPr>
                <w:p w14:paraId="08AAC53D" w14:textId="77777777" w:rsidR="00694BD2" w:rsidRPr="0013396E" w:rsidRDefault="00694BD2" w:rsidP="00694BD2">
                  <w:pPr>
                    <w:pStyle w:val="TableHead"/>
                  </w:pPr>
                  <w:r w:rsidRPr="0013396E">
                    <w:t>Unit</w:t>
                  </w:r>
                </w:p>
              </w:tc>
              <w:tc>
                <w:tcPr>
                  <w:tcW w:w="3512" w:type="pct"/>
                </w:tcPr>
                <w:p w14:paraId="1A5D6BDC" w14:textId="77777777" w:rsidR="00694BD2" w:rsidRPr="0013396E" w:rsidRDefault="00694BD2" w:rsidP="00694BD2">
                  <w:pPr>
                    <w:pStyle w:val="TableHead"/>
                  </w:pPr>
                  <w:r w:rsidRPr="0013396E">
                    <w:t>Description</w:t>
                  </w:r>
                </w:p>
              </w:tc>
            </w:tr>
            <w:tr w:rsidR="00694BD2" w:rsidRPr="0013396E" w14:paraId="09A4C4E3" w14:textId="77777777" w:rsidTr="00082248">
              <w:trPr>
                <w:cantSplit/>
              </w:trPr>
              <w:tc>
                <w:tcPr>
                  <w:tcW w:w="1050" w:type="pct"/>
                </w:tcPr>
                <w:p w14:paraId="45DCD527" w14:textId="47D01122" w:rsidR="00694BD2" w:rsidRPr="0013396E" w:rsidRDefault="00694BD2" w:rsidP="00694BD2">
                  <w:pPr>
                    <w:pStyle w:val="TableBody"/>
                  </w:pPr>
                  <w:r w:rsidRPr="0013396E">
                    <w:t>DCMLRSZ</w:t>
                  </w:r>
                  <w:r w:rsidRPr="0013396E">
                    <w:rPr>
                      <w:i/>
                      <w:vertAlign w:val="subscript"/>
                    </w:rPr>
                    <w:t xml:space="preserve"> q,</w:t>
                  </w:r>
                  <w:r w:rsidR="009E3281" w:rsidRPr="0013396E">
                    <w:rPr>
                      <w:i/>
                      <w:vertAlign w:val="subscript"/>
                    </w:rPr>
                    <w:t xml:space="preserve"> </w:t>
                  </w:r>
                  <w:r w:rsidRPr="0013396E">
                    <w:rPr>
                      <w:i/>
                      <w:vertAlign w:val="subscript"/>
                    </w:rPr>
                    <w:t>z</w:t>
                  </w:r>
                </w:p>
              </w:tc>
              <w:tc>
                <w:tcPr>
                  <w:tcW w:w="437" w:type="pct"/>
                </w:tcPr>
                <w:p w14:paraId="43EA1781" w14:textId="77777777" w:rsidR="00694BD2" w:rsidRPr="0013396E" w:rsidRDefault="00694BD2" w:rsidP="00694BD2">
                  <w:pPr>
                    <w:pStyle w:val="TableBody"/>
                  </w:pPr>
                  <w:r w:rsidRPr="0013396E">
                    <w:t>none</w:t>
                  </w:r>
                </w:p>
              </w:tc>
              <w:tc>
                <w:tcPr>
                  <w:tcW w:w="3512" w:type="pct"/>
                </w:tcPr>
                <w:p w14:paraId="06947DA5" w14:textId="2C16E0E0" w:rsidR="00694BD2" w:rsidRPr="0013396E" w:rsidRDefault="00694BD2" w:rsidP="001335E7">
                  <w:pPr>
                    <w:pStyle w:val="TableBody"/>
                    <w:rPr>
                      <w:i/>
                    </w:rPr>
                  </w:pPr>
                  <w:r w:rsidRPr="0013396E">
                    <w:rPr>
                      <w:i/>
                    </w:rPr>
                    <w:t>DC Tie Exports Monthly Load Ratio Share Zonal per QSE</w:t>
                  </w:r>
                  <w:r w:rsidRPr="0013396E">
                    <w:t xml:space="preserve">—The ratio share </w:t>
                  </w:r>
                  <w:r w:rsidR="00DA1E33" w:rsidRPr="0013396E">
                    <w:br/>
                  </w:r>
                  <w:r w:rsidRPr="0013396E">
                    <w:t xml:space="preserve">calculated for QSE </w:t>
                  </w:r>
                  <w:r w:rsidRPr="0013396E">
                    <w:rPr>
                      <w:i/>
                    </w:rPr>
                    <w:t>q</w:t>
                  </w:r>
                  <w:r w:rsidRPr="0013396E">
                    <w:t xml:space="preserve"> with DC Tie exports by CMZ </w:t>
                  </w:r>
                  <w:r w:rsidRPr="0013396E">
                    <w:rPr>
                      <w:i/>
                    </w:rPr>
                    <w:t xml:space="preserve">z </w:t>
                  </w:r>
                  <w:r w:rsidRPr="0013396E">
                    <w:t>for the calendar month.</w:t>
                  </w:r>
                </w:p>
              </w:tc>
            </w:tr>
            <w:tr w:rsidR="00694BD2" w:rsidRPr="0013396E" w14:paraId="4E078CB5" w14:textId="77777777" w:rsidTr="00082248">
              <w:trPr>
                <w:cantSplit/>
              </w:trPr>
              <w:tc>
                <w:tcPr>
                  <w:tcW w:w="1050" w:type="pct"/>
                </w:tcPr>
                <w:p w14:paraId="1121F6CF" w14:textId="0E175749" w:rsidR="00694BD2" w:rsidRPr="0013396E" w:rsidRDefault="00694BD2" w:rsidP="00694BD2">
                  <w:pPr>
                    <w:pStyle w:val="TableBody"/>
                  </w:pPr>
                  <w:r w:rsidRPr="0013396E">
                    <w:rPr>
                      <w:lang w:val="sv-SE"/>
                    </w:rPr>
                    <w:t xml:space="preserve">RTAMLDC </w:t>
                  </w:r>
                  <w:r w:rsidRPr="0013396E">
                    <w:rPr>
                      <w:i/>
                      <w:vertAlign w:val="subscript"/>
                      <w:lang w:val="sv-SE"/>
                    </w:rPr>
                    <w:t>q,</w:t>
                  </w:r>
                  <w:r w:rsidR="002B5070" w:rsidRPr="0013396E">
                    <w:rPr>
                      <w:i/>
                      <w:vertAlign w:val="subscript"/>
                      <w:lang w:val="sv-SE"/>
                    </w:rPr>
                    <w:t xml:space="preserve"> </w:t>
                  </w:r>
                  <w:r w:rsidRPr="0013396E">
                    <w:rPr>
                      <w:i/>
                      <w:vertAlign w:val="subscript"/>
                      <w:lang w:val="sv-SE"/>
                    </w:rPr>
                    <w:t>p,</w:t>
                  </w:r>
                  <w:r w:rsidR="002B5070" w:rsidRPr="0013396E">
                    <w:rPr>
                      <w:i/>
                      <w:vertAlign w:val="subscript"/>
                      <w:lang w:val="sv-SE"/>
                    </w:rPr>
                    <w:t xml:space="preserve"> </w:t>
                  </w:r>
                  <w:r w:rsidRPr="0013396E">
                    <w:rPr>
                      <w:i/>
                      <w:vertAlign w:val="subscript"/>
                      <w:lang w:val="sv-SE"/>
                    </w:rPr>
                    <w:t xml:space="preserve">i  </w:t>
                  </w:r>
                </w:p>
              </w:tc>
              <w:tc>
                <w:tcPr>
                  <w:tcW w:w="437" w:type="pct"/>
                </w:tcPr>
                <w:p w14:paraId="5F061B78" w14:textId="77777777" w:rsidR="00694BD2" w:rsidRPr="0013396E" w:rsidRDefault="00694BD2" w:rsidP="00694BD2">
                  <w:pPr>
                    <w:pStyle w:val="TableBody"/>
                  </w:pPr>
                  <w:r w:rsidRPr="0013396E">
                    <w:t>MWh</w:t>
                  </w:r>
                </w:p>
              </w:tc>
              <w:tc>
                <w:tcPr>
                  <w:tcW w:w="3512" w:type="pct"/>
                </w:tcPr>
                <w:p w14:paraId="0858B43F" w14:textId="372391CA" w:rsidR="00694BD2" w:rsidRPr="0013396E" w:rsidRDefault="00694BD2" w:rsidP="00694BD2">
                  <w:pPr>
                    <w:pStyle w:val="TableBody"/>
                    <w:rPr>
                      <w:i/>
                    </w:rPr>
                  </w:pPr>
                  <w:r w:rsidRPr="0013396E">
                    <w:rPr>
                      <w:i/>
                    </w:rPr>
                    <w:t>Real-Time Adjusted Metered Load for DC Ties per Settlement Point per QSE</w:t>
                  </w:r>
                  <w:r w:rsidRPr="0013396E">
                    <w:t xml:space="preserve">—The sum of the DC Tie AML at the Electrical Buses that are included in Settlement </w:t>
                  </w:r>
                  <w:r w:rsidR="00DA1E33" w:rsidRPr="0013396E">
                    <w:br/>
                  </w:r>
                  <w:r w:rsidRPr="0013396E">
                    <w:t xml:space="preserve">Point </w:t>
                  </w:r>
                  <w:r w:rsidRPr="0013396E">
                    <w:rPr>
                      <w:i/>
                    </w:rPr>
                    <w:t>p</w:t>
                  </w:r>
                  <w:r w:rsidRPr="0013396E">
                    <w:t xml:space="preserve">, represented by QSE </w:t>
                  </w:r>
                  <w:r w:rsidRPr="0013396E">
                    <w:rPr>
                      <w:i/>
                    </w:rPr>
                    <w:t>q</w:t>
                  </w:r>
                  <w:r w:rsidRPr="0013396E">
                    <w:t xml:space="preserve">, for the 15-minute Settlement Interval </w:t>
                  </w:r>
                  <w:r w:rsidRPr="0013396E">
                    <w:rPr>
                      <w:i/>
                    </w:rPr>
                    <w:t>i</w:t>
                  </w:r>
                  <w:r w:rsidRPr="0013396E">
                    <w:t xml:space="preserve">. </w:t>
                  </w:r>
                </w:p>
              </w:tc>
            </w:tr>
            <w:tr w:rsidR="00694BD2" w:rsidRPr="0013396E" w14:paraId="4EE8D906" w14:textId="77777777" w:rsidTr="00082248">
              <w:trPr>
                <w:cantSplit/>
              </w:trPr>
              <w:tc>
                <w:tcPr>
                  <w:tcW w:w="1050" w:type="pct"/>
                </w:tcPr>
                <w:p w14:paraId="12ADE1F6" w14:textId="77777777" w:rsidR="00694BD2" w:rsidRPr="0013396E" w:rsidRDefault="00694BD2" w:rsidP="00694BD2">
                  <w:pPr>
                    <w:pStyle w:val="TableBody"/>
                  </w:pPr>
                  <w:r w:rsidRPr="0013396E">
                    <w:t>MRTAMLLZTOT</w:t>
                  </w:r>
                  <w:r w:rsidRPr="0013396E">
                    <w:rPr>
                      <w:rFonts w:ascii="Times New Roman Bold" w:hAnsi="Times New Roman Bold"/>
                      <w:vertAlign w:val="subscript"/>
                      <w:lang w:val="sv-SE"/>
                    </w:rPr>
                    <w:t xml:space="preserve"> </w:t>
                  </w:r>
                  <w:r w:rsidRPr="0013396E">
                    <w:rPr>
                      <w:i/>
                      <w:vertAlign w:val="subscript"/>
                    </w:rPr>
                    <w:t>z</w:t>
                  </w:r>
                </w:p>
              </w:tc>
              <w:tc>
                <w:tcPr>
                  <w:tcW w:w="437" w:type="pct"/>
                </w:tcPr>
                <w:p w14:paraId="33C2448E" w14:textId="77777777" w:rsidR="00694BD2" w:rsidRPr="0013396E" w:rsidRDefault="00694BD2" w:rsidP="00694BD2">
                  <w:pPr>
                    <w:pStyle w:val="TableBody"/>
                  </w:pPr>
                  <w:r w:rsidRPr="0013396E">
                    <w:t>MWh</w:t>
                  </w:r>
                </w:p>
              </w:tc>
              <w:tc>
                <w:tcPr>
                  <w:tcW w:w="3512" w:type="pct"/>
                </w:tcPr>
                <w:p w14:paraId="3ECCB92D" w14:textId="77777777" w:rsidR="00694BD2" w:rsidRPr="0013396E" w:rsidRDefault="00694BD2" w:rsidP="00694BD2">
                  <w:pPr>
                    <w:pStyle w:val="TableBody"/>
                  </w:pPr>
                  <w:r w:rsidRPr="0013396E">
                    <w:rPr>
                      <w:i/>
                      <w:iCs w:val="0"/>
                    </w:rPr>
                    <w:t>Monthly Real-Time Adjusted Metered Load - Load Zone Total</w:t>
                  </w:r>
                  <w:r w:rsidRPr="0013396E">
                    <w:rPr>
                      <w:iCs w:val="0"/>
                    </w:rPr>
                    <w:t>—The total AML in CMZ z, for the calendar month.</w:t>
                  </w:r>
                </w:p>
              </w:tc>
            </w:tr>
            <w:tr w:rsidR="00694BD2" w:rsidRPr="0013396E" w14:paraId="0C370F31" w14:textId="77777777" w:rsidTr="00082248">
              <w:trPr>
                <w:cantSplit/>
              </w:trPr>
              <w:tc>
                <w:tcPr>
                  <w:tcW w:w="1050" w:type="pct"/>
                </w:tcPr>
                <w:p w14:paraId="55DAA7AD" w14:textId="77777777" w:rsidR="00694BD2" w:rsidRPr="0013396E" w:rsidRDefault="00694BD2" w:rsidP="00694BD2">
                  <w:pPr>
                    <w:pStyle w:val="TableBody"/>
                    <w:rPr>
                      <w:i/>
                    </w:rPr>
                  </w:pPr>
                  <w:r w:rsidRPr="0013396E">
                    <w:rPr>
                      <w:i/>
                      <w:iCs w:val="0"/>
                    </w:rPr>
                    <w:t>q</w:t>
                  </w:r>
                </w:p>
              </w:tc>
              <w:tc>
                <w:tcPr>
                  <w:tcW w:w="437" w:type="pct"/>
                </w:tcPr>
                <w:p w14:paraId="405F7249" w14:textId="77777777" w:rsidR="00694BD2" w:rsidRPr="0013396E" w:rsidRDefault="00694BD2" w:rsidP="00694BD2">
                  <w:pPr>
                    <w:pStyle w:val="TableBody"/>
                  </w:pPr>
                  <w:r w:rsidRPr="0013396E">
                    <w:rPr>
                      <w:iCs w:val="0"/>
                    </w:rPr>
                    <w:t>none</w:t>
                  </w:r>
                </w:p>
              </w:tc>
              <w:tc>
                <w:tcPr>
                  <w:tcW w:w="3512" w:type="pct"/>
                </w:tcPr>
                <w:p w14:paraId="28B03D94" w14:textId="77777777" w:rsidR="00694BD2" w:rsidRPr="0013396E" w:rsidRDefault="00694BD2" w:rsidP="00694BD2">
                  <w:pPr>
                    <w:pStyle w:val="TableBody"/>
                  </w:pPr>
                  <w:r w:rsidRPr="0013396E">
                    <w:rPr>
                      <w:iCs w:val="0"/>
                    </w:rPr>
                    <w:t xml:space="preserve">A QSE.  </w:t>
                  </w:r>
                </w:p>
              </w:tc>
            </w:tr>
            <w:tr w:rsidR="00694BD2" w:rsidRPr="0013396E" w14:paraId="2A9A23AC" w14:textId="77777777" w:rsidTr="00082248">
              <w:trPr>
                <w:cantSplit/>
              </w:trPr>
              <w:tc>
                <w:tcPr>
                  <w:tcW w:w="1050" w:type="pct"/>
                </w:tcPr>
                <w:p w14:paraId="374E75A9" w14:textId="77777777" w:rsidR="00694BD2" w:rsidRPr="0013396E" w:rsidRDefault="00694BD2" w:rsidP="00694BD2">
                  <w:pPr>
                    <w:pStyle w:val="TableBody"/>
                    <w:rPr>
                      <w:i/>
                    </w:rPr>
                  </w:pPr>
                  <w:r w:rsidRPr="0013396E">
                    <w:rPr>
                      <w:i/>
                    </w:rPr>
                    <w:t>p</w:t>
                  </w:r>
                </w:p>
              </w:tc>
              <w:tc>
                <w:tcPr>
                  <w:tcW w:w="437" w:type="pct"/>
                </w:tcPr>
                <w:p w14:paraId="5804AA56" w14:textId="77777777" w:rsidR="00694BD2" w:rsidRPr="0013396E" w:rsidRDefault="00694BD2" w:rsidP="00694BD2">
                  <w:pPr>
                    <w:pStyle w:val="TableBody"/>
                  </w:pPr>
                  <w:r w:rsidRPr="0013396E">
                    <w:t>none</w:t>
                  </w:r>
                </w:p>
              </w:tc>
              <w:tc>
                <w:tcPr>
                  <w:tcW w:w="3512" w:type="pct"/>
                </w:tcPr>
                <w:p w14:paraId="46078C32" w14:textId="77777777" w:rsidR="00694BD2" w:rsidRPr="0013396E" w:rsidRDefault="00694BD2" w:rsidP="00694BD2">
                  <w:pPr>
                    <w:pStyle w:val="TableBody"/>
                  </w:pPr>
                  <w:r w:rsidRPr="0013396E">
                    <w:t>A Settlement Point</w:t>
                  </w:r>
                  <w:r w:rsidRPr="0013396E">
                    <w:rPr>
                      <w:iCs w:val="0"/>
                    </w:rPr>
                    <w:t xml:space="preserve"> in the 2003 ERCOT CMZ</w:t>
                  </w:r>
                  <w:r w:rsidRPr="0013396E">
                    <w:t>.</w:t>
                  </w:r>
                </w:p>
              </w:tc>
            </w:tr>
            <w:tr w:rsidR="00694BD2" w:rsidRPr="0013396E" w14:paraId="66D0A3F1" w14:textId="77777777" w:rsidTr="00082248">
              <w:trPr>
                <w:cantSplit/>
              </w:trPr>
              <w:tc>
                <w:tcPr>
                  <w:tcW w:w="1050" w:type="pct"/>
                </w:tcPr>
                <w:p w14:paraId="7657383A" w14:textId="77777777" w:rsidR="00694BD2" w:rsidRPr="0013396E" w:rsidRDefault="00694BD2" w:rsidP="00694BD2">
                  <w:pPr>
                    <w:pStyle w:val="TableBody"/>
                    <w:rPr>
                      <w:i/>
                    </w:rPr>
                  </w:pPr>
                  <w:r w:rsidRPr="0013396E">
                    <w:rPr>
                      <w:i/>
                    </w:rPr>
                    <w:t>i</w:t>
                  </w:r>
                </w:p>
              </w:tc>
              <w:tc>
                <w:tcPr>
                  <w:tcW w:w="437" w:type="pct"/>
                </w:tcPr>
                <w:p w14:paraId="0B14F27F" w14:textId="77777777" w:rsidR="00694BD2" w:rsidRPr="0013396E" w:rsidRDefault="00694BD2" w:rsidP="00694BD2">
                  <w:pPr>
                    <w:pStyle w:val="TableBody"/>
                  </w:pPr>
                  <w:r w:rsidRPr="0013396E">
                    <w:t>none</w:t>
                  </w:r>
                </w:p>
              </w:tc>
              <w:tc>
                <w:tcPr>
                  <w:tcW w:w="3512" w:type="pct"/>
                </w:tcPr>
                <w:p w14:paraId="3DA7BB7E" w14:textId="77777777" w:rsidR="00694BD2" w:rsidRPr="0013396E" w:rsidRDefault="00694BD2" w:rsidP="00694BD2">
                  <w:pPr>
                    <w:pStyle w:val="TableBody"/>
                  </w:pPr>
                  <w:r w:rsidRPr="0013396E">
                    <w:t xml:space="preserve">A 15-minute Settlement Interval. </w:t>
                  </w:r>
                </w:p>
              </w:tc>
            </w:tr>
            <w:tr w:rsidR="00694BD2" w:rsidRPr="0013396E" w14:paraId="1189E409" w14:textId="77777777" w:rsidTr="00082248">
              <w:trPr>
                <w:cantSplit/>
              </w:trPr>
              <w:tc>
                <w:tcPr>
                  <w:tcW w:w="1050" w:type="pct"/>
                </w:tcPr>
                <w:p w14:paraId="6D2E4637" w14:textId="77777777" w:rsidR="00694BD2" w:rsidRPr="0013396E" w:rsidRDefault="00694BD2" w:rsidP="00694BD2">
                  <w:pPr>
                    <w:pStyle w:val="TableBody"/>
                    <w:rPr>
                      <w:i/>
                    </w:rPr>
                  </w:pPr>
                  <w:r w:rsidRPr="0013396E">
                    <w:rPr>
                      <w:i/>
                    </w:rPr>
                    <w:t>z</w:t>
                  </w:r>
                </w:p>
              </w:tc>
              <w:tc>
                <w:tcPr>
                  <w:tcW w:w="437" w:type="pct"/>
                </w:tcPr>
                <w:p w14:paraId="23489AE0" w14:textId="77777777" w:rsidR="00694BD2" w:rsidRPr="0013396E" w:rsidRDefault="00694BD2" w:rsidP="00694BD2">
                  <w:pPr>
                    <w:pStyle w:val="TableBody"/>
                  </w:pPr>
                  <w:r w:rsidRPr="0013396E">
                    <w:t>none</w:t>
                  </w:r>
                </w:p>
              </w:tc>
              <w:tc>
                <w:tcPr>
                  <w:tcW w:w="3512" w:type="pct"/>
                </w:tcPr>
                <w:p w14:paraId="336A569F" w14:textId="77777777" w:rsidR="00694BD2" w:rsidRPr="0013396E" w:rsidRDefault="00694BD2" w:rsidP="00694BD2">
                  <w:pPr>
                    <w:pStyle w:val="TableBody"/>
                  </w:pPr>
                  <w:r w:rsidRPr="0013396E">
                    <w:t>A 2003 ERCOT CMZ.</w:t>
                  </w:r>
                </w:p>
              </w:tc>
            </w:tr>
          </w:tbl>
          <w:p w14:paraId="49CAC0C4" w14:textId="77777777" w:rsidR="006930B7" w:rsidRPr="0013396E" w:rsidRDefault="006930B7" w:rsidP="00663874">
            <w:pPr>
              <w:pStyle w:val="Instructions"/>
              <w:spacing w:before="120"/>
            </w:pPr>
          </w:p>
        </w:tc>
      </w:tr>
    </w:tbl>
    <w:p w14:paraId="5BDCE569" w14:textId="77777777" w:rsidR="001F04FD" w:rsidRPr="0013396E" w:rsidRDefault="001F04FD" w:rsidP="001F04FD">
      <w:pPr>
        <w:pStyle w:val="H3"/>
        <w:spacing w:before="480"/>
      </w:pPr>
      <w:bookmarkStart w:id="1550" w:name="_Toc236220175"/>
      <w:r w:rsidRPr="0013396E">
        <w:lastRenderedPageBreak/>
        <w:t>6.6.3</w:t>
      </w:r>
      <w:r w:rsidRPr="0013396E">
        <w:tab/>
        <w:t>Real-Time Energy Charges and Payments</w:t>
      </w:r>
      <w:bookmarkEnd w:id="1417"/>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50"/>
      <w:r w:rsidRPr="0013396E">
        <w:t xml:space="preserve"> </w:t>
      </w:r>
    </w:p>
    <w:p w14:paraId="4459E70E" w14:textId="77777777" w:rsidR="001F04FD" w:rsidRPr="0013396E" w:rsidRDefault="001F04FD" w:rsidP="001F04FD">
      <w:pPr>
        <w:pStyle w:val="H4"/>
        <w:spacing w:before="480"/>
        <w:ind w:left="1267" w:hanging="1267"/>
      </w:pPr>
      <w:bookmarkStart w:id="1551" w:name="_Toc87951785"/>
      <w:bookmarkStart w:id="1552" w:name="_Toc109009389"/>
      <w:bookmarkStart w:id="1553" w:name="_Toc397505013"/>
      <w:bookmarkStart w:id="1554" w:name="_Toc402357141"/>
      <w:bookmarkStart w:id="1555" w:name="_Toc422486519"/>
      <w:bookmarkStart w:id="1556" w:name="_Toc433093371"/>
      <w:bookmarkStart w:id="1557" w:name="_Toc433093529"/>
      <w:bookmarkStart w:id="1558" w:name="_Toc440874757"/>
      <w:bookmarkStart w:id="1559" w:name="_Toc448142312"/>
      <w:bookmarkStart w:id="1560" w:name="_Toc448142469"/>
      <w:bookmarkStart w:id="1561" w:name="_Toc458770310"/>
      <w:bookmarkStart w:id="1562" w:name="_Toc459294278"/>
      <w:bookmarkStart w:id="1563" w:name="_Toc463262771"/>
      <w:bookmarkStart w:id="1564" w:name="_Toc468286844"/>
      <w:bookmarkStart w:id="1565" w:name="_Toc481502887"/>
      <w:bookmarkStart w:id="1566" w:name="_Toc496080055"/>
      <w:bookmarkStart w:id="1567" w:name="_Toc236220176"/>
      <w:r w:rsidRPr="0013396E">
        <w:t>6.6.3.1</w:t>
      </w:r>
      <w:r w:rsidRPr="0013396E">
        <w:tab/>
      </w:r>
      <w:r w:rsidRPr="00DA0E3D">
        <w:t xml:space="preserve">Real-Time Energy </w:t>
      </w:r>
      <w:bookmarkEnd w:id="1551"/>
      <w:bookmarkEnd w:id="1552"/>
      <w:r w:rsidRPr="00DA0E3D">
        <w:t>Imbalance Payment or Charge at a Resource Node</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14:paraId="4801CBDE" w14:textId="77777777" w:rsidR="001F04FD" w:rsidRPr="0013396E" w:rsidRDefault="001F04FD" w:rsidP="001F04FD">
      <w:pPr>
        <w:pStyle w:val="BodyTextNumbered"/>
      </w:pPr>
      <w:bookmarkStart w:id="1568" w:name="_Toc118199816"/>
      <w:bookmarkStart w:id="1569" w:name="_Toc118200328"/>
      <w:bookmarkStart w:id="1570" w:name="_Toc118908571"/>
      <w:bookmarkStart w:id="1571" w:name="_Toc119180742"/>
      <w:bookmarkStart w:id="1572" w:name="_Toc87951786"/>
      <w:bookmarkStart w:id="1573" w:name="_Toc109009390"/>
      <w:r w:rsidRPr="0013396E">
        <w:t>(1)</w:t>
      </w:r>
      <w:r w:rsidRPr="0013396E">
        <w:tab/>
        <w:t>The payment or charge to each QSE for Energy Imbalance Service is calculated based on the Real-Time Settlement Point Price for the following amounts at a particular Resource Node Settlement Point:</w:t>
      </w:r>
    </w:p>
    <w:p w14:paraId="07F6DDF1" w14:textId="588ECA5F" w:rsidR="001F04FD" w:rsidRPr="0013396E" w:rsidRDefault="001F04FD" w:rsidP="001F04FD">
      <w:pPr>
        <w:pStyle w:val="List"/>
      </w:pPr>
      <w:r w:rsidRPr="0013396E">
        <w:t>(a)</w:t>
      </w:r>
      <w:r w:rsidRPr="0013396E">
        <w:tab/>
        <w:t>The energy produced by all its Generation Resources</w:t>
      </w:r>
      <w:r w:rsidR="002A0AD7" w:rsidRPr="0013396E">
        <w:t>,</w:t>
      </w:r>
      <w:r w:rsidRPr="0013396E">
        <w:t xml:space="preserve"> consumed as WSL</w:t>
      </w:r>
      <w:r w:rsidR="002A0AD7" w:rsidRPr="0013396E">
        <w:t>, or consumed as Non-WSL ESR Charging Load</w:t>
      </w:r>
      <w:r w:rsidRPr="0013396E">
        <w:t xml:space="preserve"> at the Settlement Point; plus</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6C5B5E" w:rsidRPr="0013396E" w14:paraId="3D03F256" w14:textId="77777777" w:rsidTr="006C5B5E">
        <w:trPr>
          <w:trHeight w:val="206"/>
        </w:trPr>
        <w:tc>
          <w:tcPr>
            <w:tcW w:w="9576" w:type="dxa"/>
            <w:shd w:val="pct12" w:color="auto" w:fill="auto"/>
          </w:tcPr>
          <w:p w14:paraId="6FC12799" w14:textId="2A5F01B6" w:rsidR="006C5B5E" w:rsidRPr="0013396E" w:rsidRDefault="006C5B5E" w:rsidP="00F5593C">
            <w:pPr>
              <w:pStyle w:val="Instructions"/>
              <w:spacing w:before="120"/>
            </w:pPr>
            <w:bookmarkStart w:id="1574" w:name="_Hlk210383588"/>
            <w:r w:rsidRPr="0013396E">
              <w:t>[NPRR1188:  Replace item (a) above with the following upon system implementation:]</w:t>
            </w:r>
          </w:p>
          <w:p w14:paraId="6019133D" w14:textId="1AC9546A" w:rsidR="006C5B5E" w:rsidRPr="0013396E" w:rsidRDefault="006C5B5E" w:rsidP="006C5B5E">
            <w:pPr>
              <w:spacing w:after="240"/>
              <w:ind w:left="1440" w:hanging="720"/>
            </w:pPr>
            <w:r w:rsidRPr="0013396E">
              <w:t>(a)</w:t>
            </w:r>
            <w:r w:rsidRPr="0013396E">
              <w:tab/>
            </w:r>
            <w:bookmarkStart w:id="1575" w:name="_Hlk115958550"/>
            <w:r w:rsidRPr="0013396E">
              <w:t>The energy produced or consumed at the Settlement Point by all its Generation Resources, ESR Charging Load with WSL treatment, ESR Charging Load with Non-WSL treatment, or CLRs that are not ALRs; plus</w:t>
            </w:r>
            <w:bookmarkEnd w:id="1575"/>
          </w:p>
        </w:tc>
      </w:tr>
    </w:tbl>
    <w:bookmarkEnd w:id="1574"/>
    <w:p w14:paraId="24AD154F" w14:textId="1E044226" w:rsidR="001F04FD" w:rsidRPr="0013396E" w:rsidRDefault="001F04FD" w:rsidP="004116AE">
      <w:pPr>
        <w:pStyle w:val="List"/>
        <w:spacing w:before="240"/>
      </w:pPr>
      <w:r w:rsidRPr="0013396E">
        <w:t>(b)</w:t>
      </w:r>
      <w:r w:rsidRPr="0013396E">
        <w:tab/>
        <w:t>The amount of its Self-Schedules with sink specified at the Settlement Point; plus</w:t>
      </w:r>
    </w:p>
    <w:p w14:paraId="1F17385D" w14:textId="77777777" w:rsidR="001F04FD" w:rsidRPr="0013396E" w:rsidRDefault="001F04FD" w:rsidP="001F04FD">
      <w:pPr>
        <w:pStyle w:val="List"/>
      </w:pPr>
      <w:r w:rsidRPr="0013396E">
        <w:t>(c)</w:t>
      </w:r>
      <w:r w:rsidRPr="0013396E">
        <w:tab/>
        <w:t>The amount of its Day-Ahead Market (DAM) Energy Bids cleared in the DAM at the Settlement Point; plus</w:t>
      </w:r>
    </w:p>
    <w:p w14:paraId="58DA1842" w14:textId="77777777" w:rsidR="001F04FD" w:rsidRPr="0013396E" w:rsidRDefault="001F04FD" w:rsidP="001F04FD">
      <w:pPr>
        <w:pStyle w:val="List"/>
      </w:pPr>
      <w:r w:rsidRPr="0013396E">
        <w:lastRenderedPageBreak/>
        <w:t>(d)</w:t>
      </w:r>
      <w:r w:rsidRPr="0013396E">
        <w:tab/>
        <w:t>The amount of its Energy Trades at the Settlement Point where the QSE is the buyer; minus</w:t>
      </w:r>
    </w:p>
    <w:p w14:paraId="41E178F6" w14:textId="77777777" w:rsidR="001F04FD" w:rsidRPr="0013396E" w:rsidRDefault="001F04FD" w:rsidP="001F04FD">
      <w:pPr>
        <w:pStyle w:val="List"/>
      </w:pPr>
      <w:r w:rsidRPr="0013396E">
        <w:t>(e)</w:t>
      </w:r>
      <w:r w:rsidRPr="0013396E">
        <w:tab/>
        <w:t>The amount of its Self-Schedules with source specified at the Settlement Point; minus</w:t>
      </w:r>
    </w:p>
    <w:p w14:paraId="01EA5F2C" w14:textId="77777777" w:rsidR="001F04FD" w:rsidRPr="0013396E" w:rsidRDefault="001F04FD" w:rsidP="001F04FD">
      <w:pPr>
        <w:pStyle w:val="List"/>
      </w:pPr>
      <w:r w:rsidRPr="0013396E">
        <w:t>(f)</w:t>
      </w:r>
      <w:r w:rsidRPr="0013396E">
        <w:tab/>
        <w:t xml:space="preserve">The amount of its energy offers cleared in the DAM at the Settlement Point; minus </w:t>
      </w:r>
    </w:p>
    <w:p w14:paraId="1751BA62" w14:textId="77777777" w:rsidR="001F04FD" w:rsidRPr="0013396E" w:rsidRDefault="001F04FD" w:rsidP="001F04FD">
      <w:pPr>
        <w:pStyle w:val="List"/>
      </w:pPr>
      <w:r w:rsidRPr="0013396E">
        <w:t>(g)</w:t>
      </w:r>
      <w:r w:rsidRPr="0013396E">
        <w:tab/>
        <w:t xml:space="preserve">The amount of its Energy Trades at the Settlement Point where the QSE is the seller. </w:t>
      </w:r>
    </w:p>
    <w:p w14:paraId="36433E7B" w14:textId="77777777" w:rsidR="009658B2" w:rsidRPr="0013396E" w:rsidRDefault="009658B2" w:rsidP="009658B2">
      <w:pPr>
        <w:spacing w:after="240"/>
        <w:ind w:left="720" w:hanging="720"/>
        <w:rPr>
          <w:iCs/>
        </w:rPr>
      </w:pPr>
      <w:r w:rsidRPr="0013396E">
        <w:rPr>
          <w:iCs/>
        </w:rPr>
        <w:t>(2)</w:t>
      </w:r>
      <w:r w:rsidRPr="0013396E">
        <w:rPr>
          <w:iCs/>
        </w:rPr>
        <w:tab/>
        <w:t>The payment or charge to each QSE for Energy Imbalance Service at a Resource Node Settlement Point for a given 15-minute Settlement Interval is calculated as follows:</w:t>
      </w:r>
    </w:p>
    <w:p w14:paraId="4CC0C78E" w14:textId="293D3617" w:rsidR="009658B2" w:rsidRPr="0013396E" w:rsidRDefault="009658B2" w:rsidP="009658B2">
      <w:pPr>
        <w:tabs>
          <w:tab w:val="left" w:pos="2250"/>
          <w:tab w:val="left" w:pos="3150"/>
          <w:tab w:val="left" w:pos="3960"/>
        </w:tabs>
        <w:spacing w:after="240"/>
        <w:ind w:left="3150" w:hanging="2430"/>
        <w:rPr>
          <w:b/>
          <w:bCs/>
          <w:sz w:val="32"/>
        </w:rPr>
      </w:pPr>
      <w:r w:rsidRPr="0013396E">
        <w:rPr>
          <w:b/>
          <w:bCs/>
        </w:rPr>
        <w:t xml:space="preserve">RTEIAMT </w:t>
      </w:r>
      <w:r w:rsidRPr="0013396E">
        <w:rPr>
          <w:b/>
          <w:bCs/>
          <w:i/>
          <w:vertAlign w:val="subscript"/>
        </w:rPr>
        <w:t>q, p</w:t>
      </w:r>
      <w:r w:rsidRPr="0013396E">
        <w:rPr>
          <w:b/>
          <w:bCs/>
        </w:rPr>
        <w:tab/>
      </w:r>
      <w:r w:rsidRPr="0013396E">
        <w:rPr>
          <w:b/>
          <w:bCs/>
        </w:rPr>
        <w:tab/>
        <w:t>= (-1) * {</w:t>
      </w:r>
      <w:r w:rsidRPr="0013396E">
        <w:rPr>
          <w:b/>
          <w:bCs/>
          <w:position w:val="-22"/>
        </w:rPr>
        <w:object w:dxaOrig="255" w:dyaOrig="495" w14:anchorId="05182689">
          <v:shape id="_x0000_i1097" type="#_x0000_t75" style="width:12pt;height:29.4pt" o:ole="">
            <v:imagedata r:id="rId103" o:title=""/>
          </v:shape>
          <o:OLEObject Type="Embed" ProgID="Equation.3" ShapeID="_x0000_i1097" DrawAspect="Content" ObjectID="_1849065728" r:id="rId104"/>
        </w:object>
      </w:r>
      <w:r w:rsidRPr="0013396E">
        <w:rPr>
          <w:rFonts w:ascii="Times New Roman Bold" w:hAnsi="Times New Roman Bold"/>
          <w:b/>
          <w:bCs/>
        </w:rPr>
        <w:t>(</w:t>
      </w:r>
      <w:r w:rsidRPr="0013396E">
        <w:rPr>
          <w:b/>
          <w:bCs/>
          <w:position w:val="-18"/>
        </w:rPr>
        <w:object w:dxaOrig="255" w:dyaOrig="495" w14:anchorId="0A8B1589">
          <v:shape id="_x0000_i1098" type="#_x0000_t75" style="width:12pt;height:29.4pt" o:ole="">
            <v:imagedata r:id="rId105" o:title=""/>
          </v:shape>
          <o:OLEObject Type="Embed" ProgID="Equation.3" ShapeID="_x0000_i1098" DrawAspect="Content" ObjectID="_1849065729" r:id="rId106"/>
        </w:object>
      </w:r>
      <w:r w:rsidRPr="0013396E">
        <w:rPr>
          <w:b/>
          <w:bCs/>
        </w:rPr>
        <w:t>(RESREV</w:t>
      </w:r>
      <w:r w:rsidRPr="0013396E">
        <w:rPr>
          <w:b/>
          <w:bCs/>
          <w:i/>
          <w:vertAlign w:val="subscript"/>
        </w:rPr>
        <w:t xml:space="preserve"> q, r, gsc, p</w:t>
      </w:r>
      <w:r w:rsidRPr="0013396E">
        <w:rPr>
          <w:b/>
          <w:bCs/>
        </w:rPr>
        <w:t>)) + (</w:t>
      </w:r>
      <w:r w:rsidRPr="0013396E">
        <w:rPr>
          <w:b/>
          <w:bCs/>
          <w:position w:val="-18"/>
        </w:rPr>
        <w:object w:dxaOrig="255" w:dyaOrig="495" w14:anchorId="14C5F25A">
          <v:shape id="_x0000_i1099" type="#_x0000_t75" style="width:12pt;height:29.4pt" o:ole="">
            <v:imagedata r:id="rId105" o:title=""/>
          </v:shape>
          <o:OLEObject Type="Embed" ProgID="Equation.3" ShapeID="_x0000_i1099" DrawAspect="Content" ObjectID="_1849065730" r:id="rId107"/>
        </w:object>
      </w:r>
      <w:r w:rsidRPr="0013396E">
        <w:rPr>
          <w:b/>
          <w:bCs/>
        </w:rPr>
        <w:t>WSLAMTTOT</w:t>
      </w:r>
      <w:r w:rsidRPr="0013396E">
        <w:rPr>
          <w:b/>
          <w:bCs/>
          <w:i/>
          <w:sz w:val="28"/>
          <w:szCs w:val="28"/>
          <w:vertAlign w:val="subscript"/>
        </w:rPr>
        <w:t xml:space="preserve"> </w:t>
      </w:r>
      <w:r w:rsidRPr="0013396E">
        <w:rPr>
          <w:b/>
          <w:bCs/>
          <w:i/>
          <w:vertAlign w:val="subscript"/>
        </w:rPr>
        <w:t>q, r, p</w:t>
      </w:r>
      <w:r w:rsidRPr="0013396E">
        <w:rPr>
          <w:b/>
          <w:bCs/>
        </w:rPr>
        <w:t>) + (</w:t>
      </w:r>
      <w:r w:rsidRPr="0013396E">
        <w:rPr>
          <w:b/>
          <w:bCs/>
          <w:position w:val="-18"/>
        </w:rPr>
        <w:object w:dxaOrig="255" w:dyaOrig="495" w14:anchorId="08EF2869">
          <v:shape id="_x0000_i1100" type="#_x0000_t75" style="width:12pt;height:29.4pt" o:ole="">
            <v:imagedata r:id="rId105" o:title=""/>
          </v:shape>
          <o:OLEObject Type="Embed" ProgID="Equation.3" ShapeID="_x0000_i1100" DrawAspect="Content" ObjectID="_1849065731" r:id="rId108"/>
        </w:object>
      </w:r>
      <w:r w:rsidRPr="0013396E">
        <w:rPr>
          <w:b/>
          <w:bCs/>
        </w:rPr>
        <w:t>ESRNWSLAMTTOT</w:t>
      </w:r>
      <w:r w:rsidRPr="0013396E">
        <w:rPr>
          <w:b/>
          <w:bCs/>
          <w:i/>
          <w:sz w:val="28"/>
          <w:szCs w:val="28"/>
          <w:vertAlign w:val="subscript"/>
        </w:rPr>
        <w:t xml:space="preserve"> </w:t>
      </w:r>
      <w:r w:rsidRPr="0013396E">
        <w:rPr>
          <w:b/>
          <w:bCs/>
          <w:i/>
          <w:vertAlign w:val="subscript"/>
        </w:rPr>
        <w:t>q, r, p</w:t>
      </w:r>
      <w:r w:rsidRPr="0013396E">
        <w:rPr>
          <w:b/>
          <w:bCs/>
        </w:rPr>
        <w:t xml:space="preserve">) + RTSPP </w:t>
      </w:r>
      <w:r w:rsidRPr="0013396E">
        <w:rPr>
          <w:b/>
          <w:bCs/>
          <w:i/>
          <w:vertAlign w:val="subscript"/>
        </w:rPr>
        <w:t>p</w:t>
      </w:r>
      <w:r w:rsidRPr="0013396E">
        <w:rPr>
          <w:b/>
          <w:bCs/>
        </w:rPr>
        <w:t xml:space="preserve"> * [(SSSK </w:t>
      </w:r>
      <w:r w:rsidRPr="0013396E">
        <w:rPr>
          <w:b/>
          <w:bCs/>
          <w:i/>
          <w:vertAlign w:val="subscript"/>
        </w:rPr>
        <w:t>q, p</w:t>
      </w:r>
      <w:r w:rsidRPr="0013396E">
        <w:rPr>
          <w:b/>
          <w:bCs/>
        </w:rPr>
        <w:t xml:space="preserve"> * ¼) + (DAEP </w:t>
      </w:r>
      <w:r w:rsidRPr="0013396E">
        <w:rPr>
          <w:b/>
          <w:bCs/>
          <w:i/>
          <w:vertAlign w:val="subscript"/>
        </w:rPr>
        <w:t>q, p</w:t>
      </w:r>
      <w:r w:rsidRPr="0013396E">
        <w:rPr>
          <w:b/>
          <w:bCs/>
        </w:rPr>
        <w:t xml:space="preserve"> * ¼) + (RTQQEP </w:t>
      </w:r>
      <w:r w:rsidRPr="0013396E">
        <w:rPr>
          <w:b/>
          <w:bCs/>
          <w:i/>
          <w:vertAlign w:val="subscript"/>
        </w:rPr>
        <w:t>q, p</w:t>
      </w:r>
      <w:r w:rsidRPr="0013396E">
        <w:rPr>
          <w:b/>
          <w:bCs/>
        </w:rPr>
        <w:t xml:space="preserve"> * ¼) – (SSSR </w:t>
      </w:r>
      <w:r w:rsidRPr="0013396E">
        <w:rPr>
          <w:b/>
          <w:bCs/>
          <w:i/>
          <w:vertAlign w:val="subscript"/>
        </w:rPr>
        <w:t>q, p</w:t>
      </w:r>
      <w:r w:rsidRPr="0013396E">
        <w:rPr>
          <w:b/>
          <w:bCs/>
        </w:rPr>
        <w:t xml:space="preserve"> * ¼) – (DAES </w:t>
      </w:r>
      <w:r w:rsidRPr="0013396E">
        <w:rPr>
          <w:b/>
          <w:bCs/>
          <w:i/>
          <w:vertAlign w:val="subscript"/>
        </w:rPr>
        <w:t>q, p</w:t>
      </w:r>
      <w:r w:rsidRPr="0013396E">
        <w:rPr>
          <w:b/>
          <w:bCs/>
        </w:rPr>
        <w:t xml:space="preserve"> * ¼) – (RTQQES </w:t>
      </w:r>
      <w:r w:rsidRPr="0013396E">
        <w:rPr>
          <w:b/>
          <w:bCs/>
          <w:i/>
          <w:vertAlign w:val="subscript"/>
        </w:rPr>
        <w:t>q, p</w:t>
      </w:r>
      <w:r w:rsidRPr="0013396E">
        <w:rPr>
          <w:b/>
          <w:bCs/>
        </w:rPr>
        <w:t xml:space="preserve"> * ¼)]</w:t>
      </w:r>
      <w:r w:rsidRPr="0013396E">
        <w:rPr>
          <w:b/>
          <w:bCs/>
          <w:sz w:val="32"/>
        </w:rPr>
        <w:t>}</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9658B2" w:rsidRPr="0013396E" w14:paraId="7AA12B81" w14:textId="77777777" w:rsidTr="0099759E">
        <w:trPr>
          <w:trHeight w:val="206"/>
        </w:trPr>
        <w:tc>
          <w:tcPr>
            <w:tcW w:w="9576" w:type="dxa"/>
            <w:shd w:val="pct12" w:color="auto" w:fill="auto"/>
          </w:tcPr>
          <w:p w14:paraId="0DAE8BAB" w14:textId="10769D23" w:rsidR="009658B2" w:rsidRPr="0013396E" w:rsidRDefault="009658B2" w:rsidP="0099759E">
            <w:pPr>
              <w:pStyle w:val="Instructions"/>
              <w:spacing w:before="120"/>
            </w:pPr>
            <w:r w:rsidRPr="0013396E">
              <w:t xml:space="preserve">[NPRR1188:  Replace </w:t>
            </w:r>
            <w:r>
              <w:t>the formula “</w:t>
            </w:r>
            <w:r w:rsidRPr="0013396E">
              <w:rPr>
                <w:bCs/>
              </w:rPr>
              <w:t xml:space="preserve">RTEIAMT </w:t>
            </w:r>
            <w:r w:rsidRPr="0013396E">
              <w:rPr>
                <w:bCs/>
                <w:vertAlign w:val="subscript"/>
              </w:rPr>
              <w:t>q, p</w:t>
            </w:r>
            <w:r>
              <w:t>”</w:t>
            </w:r>
            <w:r w:rsidRPr="0013396E">
              <w:t xml:space="preserve"> above with the following upon system implementation:]</w:t>
            </w:r>
          </w:p>
          <w:p w14:paraId="7C30E3D4" w14:textId="575C9085" w:rsidR="009658B2" w:rsidRPr="009658B2" w:rsidRDefault="009658B2" w:rsidP="009658B2">
            <w:pPr>
              <w:tabs>
                <w:tab w:val="left" w:pos="2250"/>
                <w:tab w:val="left" w:pos="3150"/>
                <w:tab w:val="left" w:pos="3960"/>
              </w:tabs>
              <w:spacing w:after="240"/>
              <w:ind w:left="3150" w:hanging="2430"/>
              <w:rPr>
                <w:b/>
                <w:bCs/>
                <w:sz w:val="32"/>
              </w:rPr>
            </w:pPr>
            <w:r w:rsidRPr="0013396E">
              <w:rPr>
                <w:b/>
                <w:bCs/>
              </w:rPr>
              <w:t xml:space="preserve">RTEIAMT </w:t>
            </w:r>
            <w:r w:rsidRPr="0013396E">
              <w:rPr>
                <w:b/>
                <w:bCs/>
                <w:i/>
                <w:vertAlign w:val="subscript"/>
              </w:rPr>
              <w:t>q, p</w:t>
            </w:r>
            <w:r w:rsidRPr="0013396E">
              <w:rPr>
                <w:b/>
                <w:bCs/>
              </w:rPr>
              <w:tab/>
            </w:r>
            <w:r w:rsidRPr="0013396E">
              <w:rPr>
                <w:b/>
                <w:bCs/>
              </w:rPr>
              <w:tab/>
              <w:t>= (-1) * {</w:t>
            </w:r>
            <w:r w:rsidRPr="0013396E">
              <w:rPr>
                <w:b/>
                <w:bCs/>
                <w:position w:val="-22"/>
              </w:rPr>
              <w:object w:dxaOrig="255" w:dyaOrig="495" w14:anchorId="04768B44">
                <v:shape id="_x0000_i1101" type="#_x0000_t75" style="width:12pt;height:29.4pt" o:ole="">
                  <v:imagedata r:id="rId103" o:title=""/>
                </v:shape>
                <o:OLEObject Type="Embed" ProgID="Equation.3" ShapeID="_x0000_i1101" DrawAspect="Content" ObjectID="_1849065732" r:id="rId109"/>
              </w:object>
            </w:r>
            <w:r w:rsidRPr="0013396E">
              <w:rPr>
                <w:rFonts w:ascii="Times New Roman Bold" w:hAnsi="Times New Roman Bold"/>
                <w:b/>
                <w:bCs/>
              </w:rPr>
              <w:t>(</w:t>
            </w:r>
            <w:r w:rsidRPr="0013396E">
              <w:rPr>
                <w:b/>
                <w:bCs/>
                <w:position w:val="-18"/>
              </w:rPr>
              <w:object w:dxaOrig="255" w:dyaOrig="495" w14:anchorId="52C95398">
                <v:shape id="_x0000_i1102" type="#_x0000_t75" style="width:12pt;height:29.4pt" o:ole="">
                  <v:imagedata r:id="rId105" o:title=""/>
                </v:shape>
                <o:OLEObject Type="Embed" ProgID="Equation.3" ShapeID="_x0000_i1102" DrawAspect="Content" ObjectID="_1849065733" r:id="rId110"/>
              </w:object>
            </w:r>
            <w:r w:rsidRPr="0013396E">
              <w:rPr>
                <w:b/>
                <w:bCs/>
              </w:rPr>
              <w:t>(RESREV</w:t>
            </w:r>
            <w:r w:rsidRPr="0013396E">
              <w:rPr>
                <w:b/>
                <w:bCs/>
                <w:i/>
                <w:vertAlign w:val="subscript"/>
              </w:rPr>
              <w:t xml:space="preserve"> q, r, gsc, p</w:t>
            </w:r>
            <w:r w:rsidRPr="0013396E">
              <w:rPr>
                <w:b/>
                <w:bCs/>
              </w:rPr>
              <w:t>)) + (</w:t>
            </w:r>
            <w:r w:rsidRPr="0013396E">
              <w:rPr>
                <w:b/>
                <w:bCs/>
                <w:position w:val="-18"/>
              </w:rPr>
              <w:object w:dxaOrig="255" w:dyaOrig="495" w14:anchorId="1098C849">
                <v:shape id="_x0000_i1103" type="#_x0000_t75" style="width:12pt;height:29.4pt" o:ole="">
                  <v:imagedata r:id="rId105" o:title=""/>
                </v:shape>
                <o:OLEObject Type="Embed" ProgID="Equation.3" ShapeID="_x0000_i1103" DrawAspect="Content" ObjectID="_1849065734" r:id="rId111"/>
              </w:object>
            </w:r>
            <w:r w:rsidRPr="0013396E">
              <w:rPr>
                <w:b/>
                <w:bCs/>
              </w:rPr>
              <w:t>WSLAMTTOT</w:t>
            </w:r>
            <w:r w:rsidRPr="0013396E">
              <w:rPr>
                <w:b/>
                <w:bCs/>
                <w:i/>
                <w:sz w:val="28"/>
                <w:szCs w:val="28"/>
                <w:vertAlign w:val="subscript"/>
              </w:rPr>
              <w:t xml:space="preserve"> </w:t>
            </w:r>
            <w:r w:rsidRPr="0013396E">
              <w:rPr>
                <w:b/>
                <w:bCs/>
                <w:i/>
                <w:vertAlign w:val="subscript"/>
              </w:rPr>
              <w:t>q, r, p</w:t>
            </w:r>
            <w:r w:rsidRPr="0013396E">
              <w:rPr>
                <w:b/>
                <w:bCs/>
              </w:rPr>
              <w:t>) + (</w:t>
            </w:r>
            <w:r w:rsidRPr="0013396E">
              <w:rPr>
                <w:b/>
                <w:bCs/>
                <w:noProof/>
                <w:position w:val="-18"/>
              </w:rPr>
              <w:drawing>
                <wp:inline distT="0" distB="0" distL="0" distR="0" wp14:anchorId="27B6CC81" wp14:editId="2AD0320E">
                  <wp:extent cx="180975" cy="276225"/>
                  <wp:effectExtent l="0" t="0" r="0" b="0"/>
                  <wp:docPr id="455816982" name="Picture 45581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13396E">
              <w:rPr>
                <w:b/>
                <w:bCs/>
              </w:rPr>
              <w:t>CLRAMTTOT</w:t>
            </w:r>
            <w:r w:rsidRPr="0013396E">
              <w:rPr>
                <w:b/>
                <w:bCs/>
                <w:i/>
                <w:sz w:val="28"/>
                <w:szCs w:val="28"/>
                <w:vertAlign w:val="subscript"/>
              </w:rPr>
              <w:t xml:space="preserve"> </w:t>
            </w:r>
            <w:r w:rsidRPr="0013396E">
              <w:rPr>
                <w:b/>
                <w:bCs/>
                <w:i/>
                <w:vertAlign w:val="subscript"/>
              </w:rPr>
              <w:t>q, r, p</w:t>
            </w:r>
            <w:r w:rsidRPr="0013396E">
              <w:rPr>
                <w:b/>
                <w:bCs/>
              </w:rPr>
              <w:t>) + (</w:t>
            </w:r>
            <w:r w:rsidRPr="0013396E">
              <w:rPr>
                <w:b/>
                <w:bCs/>
                <w:position w:val="-18"/>
              </w:rPr>
              <w:object w:dxaOrig="255" w:dyaOrig="495" w14:anchorId="504858BB">
                <v:shape id="_x0000_i1104" type="#_x0000_t75" style="width:12pt;height:29.4pt" o:ole="">
                  <v:imagedata r:id="rId105" o:title=""/>
                </v:shape>
                <o:OLEObject Type="Embed" ProgID="Equation.3" ShapeID="_x0000_i1104" DrawAspect="Content" ObjectID="_1849065735" r:id="rId113"/>
              </w:object>
            </w:r>
            <w:r w:rsidRPr="0013396E">
              <w:rPr>
                <w:b/>
                <w:bCs/>
              </w:rPr>
              <w:t>ESRNWSLAMTTOT</w:t>
            </w:r>
            <w:r w:rsidRPr="0013396E">
              <w:rPr>
                <w:b/>
                <w:bCs/>
                <w:i/>
                <w:sz w:val="28"/>
                <w:szCs w:val="28"/>
                <w:vertAlign w:val="subscript"/>
              </w:rPr>
              <w:t xml:space="preserve"> </w:t>
            </w:r>
            <w:r w:rsidRPr="0013396E">
              <w:rPr>
                <w:b/>
                <w:bCs/>
                <w:i/>
                <w:vertAlign w:val="subscript"/>
              </w:rPr>
              <w:t>q, r, p</w:t>
            </w:r>
            <w:r w:rsidRPr="0013396E">
              <w:rPr>
                <w:b/>
                <w:bCs/>
              </w:rPr>
              <w:t xml:space="preserve">) + RTSPP </w:t>
            </w:r>
            <w:r w:rsidRPr="0013396E">
              <w:rPr>
                <w:b/>
                <w:bCs/>
                <w:i/>
                <w:vertAlign w:val="subscript"/>
              </w:rPr>
              <w:t>p</w:t>
            </w:r>
            <w:r w:rsidRPr="0013396E">
              <w:rPr>
                <w:b/>
                <w:bCs/>
              </w:rPr>
              <w:t xml:space="preserve"> * [(SSSK </w:t>
            </w:r>
            <w:r w:rsidRPr="0013396E">
              <w:rPr>
                <w:b/>
                <w:bCs/>
                <w:i/>
                <w:vertAlign w:val="subscript"/>
              </w:rPr>
              <w:t>q, p</w:t>
            </w:r>
            <w:r w:rsidRPr="0013396E">
              <w:rPr>
                <w:b/>
                <w:bCs/>
              </w:rPr>
              <w:t xml:space="preserve"> * ¼) + (DAEP </w:t>
            </w:r>
            <w:r w:rsidRPr="0013396E">
              <w:rPr>
                <w:b/>
                <w:bCs/>
                <w:i/>
                <w:vertAlign w:val="subscript"/>
              </w:rPr>
              <w:t>q, p</w:t>
            </w:r>
            <w:r w:rsidRPr="0013396E">
              <w:rPr>
                <w:b/>
                <w:bCs/>
              </w:rPr>
              <w:t xml:space="preserve"> * ¼) + (RTQQEP </w:t>
            </w:r>
            <w:r w:rsidRPr="0013396E">
              <w:rPr>
                <w:b/>
                <w:bCs/>
                <w:i/>
                <w:vertAlign w:val="subscript"/>
              </w:rPr>
              <w:t>q, p</w:t>
            </w:r>
            <w:r w:rsidRPr="0013396E">
              <w:rPr>
                <w:b/>
                <w:bCs/>
              </w:rPr>
              <w:t xml:space="preserve"> * ¼) – (SSSR </w:t>
            </w:r>
            <w:r w:rsidRPr="0013396E">
              <w:rPr>
                <w:b/>
                <w:bCs/>
                <w:i/>
                <w:vertAlign w:val="subscript"/>
              </w:rPr>
              <w:t>q, p</w:t>
            </w:r>
            <w:r w:rsidRPr="0013396E">
              <w:rPr>
                <w:b/>
                <w:bCs/>
              </w:rPr>
              <w:t xml:space="preserve"> * ¼) – (DAES </w:t>
            </w:r>
            <w:r w:rsidRPr="0013396E">
              <w:rPr>
                <w:b/>
                <w:bCs/>
                <w:i/>
                <w:vertAlign w:val="subscript"/>
              </w:rPr>
              <w:t>q, p</w:t>
            </w:r>
            <w:r w:rsidRPr="0013396E">
              <w:rPr>
                <w:b/>
                <w:bCs/>
              </w:rPr>
              <w:t xml:space="preserve"> * ¼) – (RTQQES </w:t>
            </w:r>
            <w:r w:rsidRPr="0013396E">
              <w:rPr>
                <w:b/>
                <w:bCs/>
                <w:i/>
                <w:vertAlign w:val="subscript"/>
              </w:rPr>
              <w:t>q, p</w:t>
            </w:r>
            <w:r w:rsidRPr="0013396E">
              <w:rPr>
                <w:b/>
                <w:bCs/>
              </w:rPr>
              <w:t xml:space="preserve"> * ¼)]</w:t>
            </w:r>
            <w:r w:rsidRPr="0013396E">
              <w:rPr>
                <w:b/>
                <w:bCs/>
                <w:sz w:val="32"/>
              </w:rPr>
              <w:t>}</w:t>
            </w:r>
          </w:p>
        </w:tc>
      </w:tr>
    </w:tbl>
    <w:p w14:paraId="1AB46862" w14:textId="77777777" w:rsidR="009658B2" w:rsidRPr="0013396E" w:rsidRDefault="009658B2" w:rsidP="009658B2">
      <w:pPr>
        <w:tabs>
          <w:tab w:val="left" w:pos="2250"/>
          <w:tab w:val="left" w:pos="3150"/>
          <w:tab w:val="left" w:pos="3960"/>
        </w:tabs>
        <w:spacing w:before="240" w:after="240"/>
        <w:ind w:left="3960" w:hanging="3240"/>
        <w:rPr>
          <w:bCs/>
        </w:rPr>
      </w:pPr>
      <w:r w:rsidRPr="0013396E">
        <w:rPr>
          <w:bCs/>
        </w:rPr>
        <w:t>Where:</w:t>
      </w:r>
    </w:p>
    <w:p w14:paraId="16152A42" w14:textId="77777777" w:rsidR="009658B2" w:rsidRPr="0013396E" w:rsidRDefault="009658B2" w:rsidP="009658B2">
      <w:pPr>
        <w:tabs>
          <w:tab w:val="left" w:pos="2250"/>
          <w:tab w:val="left" w:pos="3150"/>
          <w:tab w:val="left" w:pos="3960"/>
        </w:tabs>
        <w:spacing w:after="240"/>
        <w:ind w:left="3150" w:hanging="2430"/>
        <w:rPr>
          <w:bCs/>
          <w:i/>
          <w:sz w:val="28"/>
          <w:szCs w:val="28"/>
          <w:vertAlign w:val="subscript"/>
        </w:rPr>
      </w:pPr>
      <w:r w:rsidRPr="0013396E">
        <w:rPr>
          <w:bCs/>
        </w:rPr>
        <w:t>RESREV</w:t>
      </w:r>
      <w:r w:rsidRPr="0013396E">
        <w:rPr>
          <w:bCs/>
          <w:i/>
          <w:vertAlign w:val="subscript"/>
        </w:rPr>
        <w:t xml:space="preserve"> q, r, gsc, p</w:t>
      </w:r>
      <w:r w:rsidRPr="0013396E">
        <w:rPr>
          <w:bCs/>
        </w:rPr>
        <w:tab/>
        <w:t xml:space="preserve">= GSPLITPER </w:t>
      </w:r>
      <w:r w:rsidRPr="0013396E">
        <w:rPr>
          <w:bCs/>
          <w:i/>
          <w:vertAlign w:val="subscript"/>
        </w:rPr>
        <w:t>q, r, gsc, p</w:t>
      </w:r>
      <w:r w:rsidRPr="0013396E">
        <w:rPr>
          <w:bCs/>
        </w:rPr>
        <w:t xml:space="preserve"> * NMSAMTTOT </w:t>
      </w:r>
      <w:r w:rsidRPr="0013396E">
        <w:rPr>
          <w:bCs/>
          <w:i/>
          <w:szCs w:val="28"/>
          <w:vertAlign w:val="subscript"/>
        </w:rPr>
        <w:t>gsc</w:t>
      </w:r>
    </w:p>
    <w:p w14:paraId="4502D15C" w14:textId="77777777" w:rsidR="009658B2" w:rsidRPr="0013396E" w:rsidRDefault="009658B2" w:rsidP="009658B2">
      <w:pPr>
        <w:tabs>
          <w:tab w:val="left" w:pos="2250"/>
          <w:tab w:val="left" w:pos="3150"/>
          <w:tab w:val="left" w:pos="3960"/>
        </w:tabs>
        <w:spacing w:after="240"/>
        <w:ind w:left="3150" w:hanging="2430"/>
        <w:rPr>
          <w:bCs/>
          <w:i/>
          <w:vertAlign w:val="subscript"/>
        </w:rPr>
      </w:pPr>
      <w:r w:rsidRPr="0013396E">
        <w:rPr>
          <w:bCs/>
        </w:rPr>
        <w:t>RESMEB</w:t>
      </w:r>
      <w:r w:rsidRPr="0013396E">
        <w:rPr>
          <w:bCs/>
          <w:i/>
          <w:vertAlign w:val="subscript"/>
        </w:rPr>
        <w:t xml:space="preserve"> q, r, gsc, p</w:t>
      </w:r>
      <w:r w:rsidRPr="0013396E">
        <w:rPr>
          <w:bCs/>
          <w:i/>
          <w:vertAlign w:val="subscript"/>
        </w:rPr>
        <w:tab/>
      </w:r>
      <w:r w:rsidRPr="0013396E">
        <w:rPr>
          <w:bCs/>
        </w:rPr>
        <w:t xml:space="preserve">= GSPLITPER </w:t>
      </w:r>
      <w:r w:rsidRPr="0013396E">
        <w:rPr>
          <w:bCs/>
          <w:i/>
          <w:vertAlign w:val="subscript"/>
        </w:rPr>
        <w:t>q, r, gsc, p</w:t>
      </w:r>
      <w:r w:rsidRPr="0013396E">
        <w:rPr>
          <w:bCs/>
        </w:rPr>
        <w:t xml:space="preserve"> * NMRTETOT</w:t>
      </w:r>
      <w:r w:rsidRPr="0013396E">
        <w:rPr>
          <w:bCs/>
          <w:i/>
          <w:vertAlign w:val="subscript"/>
        </w:rPr>
        <w:t xml:space="preserve"> gsc</w:t>
      </w:r>
    </w:p>
    <w:p w14:paraId="182696C8" w14:textId="77777777" w:rsidR="009658B2" w:rsidRPr="0013396E" w:rsidRDefault="009658B2" w:rsidP="009658B2">
      <w:pPr>
        <w:tabs>
          <w:tab w:val="left" w:pos="2250"/>
          <w:tab w:val="left" w:pos="3150"/>
          <w:tab w:val="left" w:pos="3960"/>
        </w:tabs>
        <w:spacing w:after="240"/>
        <w:ind w:left="3150" w:hanging="2430"/>
        <w:rPr>
          <w:i/>
        </w:rPr>
      </w:pPr>
      <w:r w:rsidRPr="0013396E">
        <w:t>WSLTOT</w:t>
      </w:r>
      <w:r w:rsidRPr="0013396E">
        <w:rPr>
          <w:i/>
          <w:vertAlign w:val="subscript"/>
        </w:rPr>
        <w:t xml:space="preserve"> q, p</w:t>
      </w:r>
      <w:r w:rsidRPr="0013396E">
        <w:rPr>
          <w:bCs/>
          <w:i/>
          <w:vertAlign w:val="subscript"/>
        </w:rPr>
        <w:tab/>
      </w:r>
      <w:r w:rsidRPr="0013396E">
        <w:rPr>
          <w:bCs/>
          <w:vertAlign w:val="subscript"/>
        </w:rPr>
        <w:tab/>
      </w:r>
      <w:r w:rsidRPr="0013396E">
        <w:t xml:space="preserve">= </w:t>
      </w:r>
      <w:r w:rsidRPr="0013396E">
        <w:rPr>
          <w:bCs/>
          <w:position w:val="-18"/>
        </w:rPr>
        <w:object w:dxaOrig="255" w:dyaOrig="495" w14:anchorId="59EE0315">
          <v:shape id="_x0000_i1105" type="#_x0000_t75" style="width:12pt;height:29.4pt" o:ole="">
            <v:imagedata r:id="rId105" o:title=""/>
          </v:shape>
          <o:OLEObject Type="Embed" ProgID="Equation.3" ShapeID="_x0000_i1105" DrawAspect="Content" ObjectID="_1849065736" r:id="rId114"/>
        </w:object>
      </w:r>
      <w:r w:rsidRPr="0013396E">
        <w:rPr>
          <w:bCs/>
          <w:position w:val="-22"/>
        </w:rPr>
        <w:t xml:space="preserve"> </w:t>
      </w:r>
      <w:r w:rsidRPr="0013396E">
        <w:rPr>
          <w:rFonts w:ascii="Times New Roman Bold" w:hAnsi="Times New Roman Bold"/>
          <w:bCs/>
        </w:rPr>
        <w:t>(</w:t>
      </w:r>
      <w:r w:rsidRPr="0013396E">
        <w:rPr>
          <w:bCs/>
          <w:position w:val="-20"/>
        </w:rPr>
        <w:object w:dxaOrig="255" w:dyaOrig="495" w14:anchorId="1AF92CA6">
          <v:shape id="_x0000_i1106" type="#_x0000_t75" style="width:12pt;height:29.4pt" o:ole="">
            <v:imagedata r:id="rId115" o:title=""/>
          </v:shape>
          <o:OLEObject Type="Embed" ProgID="Equation.3" ShapeID="_x0000_i1106" DrawAspect="Content" ObjectID="_1849065737" r:id="rId116"/>
        </w:object>
      </w:r>
      <w:r w:rsidRPr="0013396E">
        <w:t xml:space="preserve"> </w:t>
      </w:r>
      <w:r w:rsidRPr="0013396E">
        <w:rPr>
          <w:bCs/>
        </w:rPr>
        <w:t>MEBL</w:t>
      </w:r>
      <w:r w:rsidRPr="0013396E">
        <w:t xml:space="preserve"> </w:t>
      </w:r>
      <w:r w:rsidRPr="0013396E">
        <w:rPr>
          <w:i/>
          <w:vertAlign w:val="subscript"/>
        </w:rPr>
        <w:t>q,r,b</w:t>
      </w:r>
      <w:r w:rsidRPr="0013396E">
        <w:rPr>
          <w:bCs/>
        </w:rPr>
        <w:t>)</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9658B2" w:rsidRPr="0013396E" w14:paraId="29222570" w14:textId="77777777" w:rsidTr="0099759E">
        <w:trPr>
          <w:trHeight w:val="206"/>
        </w:trPr>
        <w:tc>
          <w:tcPr>
            <w:tcW w:w="9576" w:type="dxa"/>
            <w:shd w:val="pct12" w:color="auto" w:fill="auto"/>
          </w:tcPr>
          <w:p w14:paraId="365636D2" w14:textId="7DC70B7D" w:rsidR="009658B2" w:rsidRPr="0013396E" w:rsidRDefault="009658B2" w:rsidP="0099759E">
            <w:pPr>
              <w:pStyle w:val="Instructions"/>
              <w:spacing w:before="120"/>
            </w:pPr>
            <w:r w:rsidRPr="0013396E">
              <w:t xml:space="preserve">[NPRR1188:  </w:t>
            </w:r>
            <w:r>
              <w:t>Insert</w:t>
            </w:r>
            <w:r w:rsidRPr="0013396E">
              <w:t xml:space="preserve"> </w:t>
            </w:r>
            <w:r>
              <w:t>the formula “</w:t>
            </w:r>
            <w:r w:rsidRPr="0013396E">
              <w:t>CLRTOT</w:t>
            </w:r>
            <w:r w:rsidRPr="0013396E">
              <w:rPr>
                <w:vertAlign w:val="subscript"/>
              </w:rPr>
              <w:t xml:space="preserve"> q, p</w:t>
            </w:r>
            <w:r>
              <w:t>”</w:t>
            </w:r>
            <w:r w:rsidRPr="0013396E">
              <w:t xml:space="preserve"> </w:t>
            </w:r>
            <w:r>
              <w:t xml:space="preserve">below </w:t>
            </w:r>
            <w:r w:rsidRPr="0013396E">
              <w:t>upon system implementation:]</w:t>
            </w:r>
          </w:p>
          <w:p w14:paraId="2481F85F" w14:textId="1069628B" w:rsidR="009658B2" w:rsidRPr="009658B2" w:rsidRDefault="009658B2" w:rsidP="0099759E">
            <w:pPr>
              <w:tabs>
                <w:tab w:val="left" w:pos="2250"/>
                <w:tab w:val="left" w:pos="3150"/>
                <w:tab w:val="left" w:pos="3960"/>
              </w:tabs>
              <w:spacing w:after="240"/>
              <w:ind w:left="3150" w:hanging="2430"/>
              <w:rPr>
                <w:b/>
                <w:bCs/>
                <w:sz w:val="32"/>
              </w:rPr>
            </w:pPr>
            <w:r w:rsidRPr="0013396E">
              <w:lastRenderedPageBreak/>
              <w:t>CLRTOT</w:t>
            </w:r>
            <w:r w:rsidRPr="0013396E">
              <w:rPr>
                <w:i/>
                <w:vertAlign w:val="subscript"/>
              </w:rPr>
              <w:t xml:space="preserve"> q, p</w:t>
            </w:r>
            <w:r w:rsidRPr="0013396E">
              <w:rPr>
                <w:i/>
                <w:vertAlign w:val="subscript"/>
              </w:rPr>
              <w:tab/>
            </w:r>
            <w:r w:rsidRPr="0013396E">
              <w:rPr>
                <w:i/>
                <w:vertAlign w:val="subscript"/>
              </w:rPr>
              <w:tab/>
            </w:r>
            <w:r w:rsidRPr="0013396E">
              <w:t xml:space="preserve">= </w:t>
            </w:r>
            <w:r w:rsidRPr="0013396E">
              <w:rPr>
                <w:noProof/>
                <w:position w:val="-18"/>
              </w:rPr>
              <w:drawing>
                <wp:inline distT="0" distB="0" distL="0" distR="0" wp14:anchorId="35F61B4E" wp14:editId="3D824AA4">
                  <wp:extent cx="198120" cy="293370"/>
                  <wp:effectExtent l="0" t="0" r="0" b="0"/>
                  <wp:docPr id="153158993" name="Picture 15315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98120" cy="293370"/>
                          </a:xfrm>
                          <a:prstGeom prst="rect">
                            <a:avLst/>
                          </a:prstGeom>
                          <a:noFill/>
                          <a:ln>
                            <a:noFill/>
                          </a:ln>
                        </pic:spPr>
                      </pic:pic>
                    </a:graphicData>
                  </a:graphic>
                </wp:inline>
              </w:drawing>
            </w:r>
            <w:r w:rsidRPr="0013396E">
              <w:rPr>
                <w:rFonts w:ascii="Times New Roman Bold" w:hAnsi="Times New Roman Bold"/>
              </w:rPr>
              <w:t>(</w:t>
            </w:r>
            <w:r w:rsidRPr="0013396E">
              <w:rPr>
                <w:noProof/>
                <w:position w:val="-20"/>
              </w:rPr>
              <w:drawing>
                <wp:inline distT="0" distB="0" distL="0" distR="0" wp14:anchorId="4A763E1C" wp14:editId="35398B6B">
                  <wp:extent cx="224155" cy="293370"/>
                  <wp:effectExtent l="0" t="0" r="0" b="0"/>
                  <wp:docPr id="544909517" name="Picture 544909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24155" cy="293370"/>
                          </a:xfrm>
                          <a:prstGeom prst="rect">
                            <a:avLst/>
                          </a:prstGeom>
                          <a:noFill/>
                          <a:ln>
                            <a:noFill/>
                          </a:ln>
                        </pic:spPr>
                      </pic:pic>
                    </a:graphicData>
                  </a:graphic>
                </wp:inline>
              </w:drawing>
            </w:r>
            <w:r w:rsidRPr="0013396E">
              <w:t xml:space="preserve">MEBCL </w:t>
            </w:r>
            <w:r w:rsidRPr="0013396E">
              <w:rPr>
                <w:i/>
                <w:vertAlign w:val="subscript"/>
              </w:rPr>
              <w:t>q, r, b</w:t>
            </w:r>
            <w:r w:rsidRPr="0013396E">
              <w:t>)</w:t>
            </w:r>
          </w:p>
        </w:tc>
      </w:tr>
    </w:tbl>
    <w:p w14:paraId="2F8844F8" w14:textId="77777777" w:rsidR="009658B2" w:rsidRPr="0013396E" w:rsidRDefault="009658B2" w:rsidP="009658B2">
      <w:pPr>
        <w:tabs>
          <w:tab w:val="left" w:pos="2340"/>
          <w:tab w:val="left" w:pos="3420"/>
        </w:tabs>
        <w:spacing w:before="240" w:after="240"/>
        <w:ind w:left="3420" w:hanging="2700"/>
        <w:rPr>
          <w:bCs/>
          <w:i/>
        </w:rPr>
      </w:pPr>
      <w:r w:rsidRPr="0013396E">
        <w:rPr>
          <w:bCs/>
        </w:rPr>
        <w:lastRenderedPageBreak/>
        <w:t>ESRNWSLTOT</w:t>
      </w:r>
      <w:r w:rsidRPr="0013396E">
        <w:rPr>
          <w:bCs/>
          <w:i/>
          <w:vertAlign w:val="subscript"/>
        </w:rPr>
        <w:t xml:space="preserve"> q, p</w:t>
      </w:r>
      <w:r w:rsidRPr="0013396E">
        <w:rPr>
          <w:bCs/>
          <w:i/>
          <w:vertAlign w:val="subscript"/>
        </w:rPr>
        <w:tab/>
      </w:r>
      <w:r w:rsidRPr="0013396E">
        <w:rPr>
          <w:bCs/>
        </w:rPr>
        <w:t xml:space="preserve">= </w:t>
      </w:r>
      <w:r w:rsidRPr="0013396E">
        <w:rPr>
          <w:bCs/>
          <w:position w:val="-18"/>
        </w:rPr>
        <w:object w:dxaOrig="255" w:dyaOrig="495" w14:anchorId="6432A4FC">
          <v:shape id="_x0000_i1107" type="#_x0000_t75" style="width:12pt;height:29.4pt" o:ole="">
            <v:imagedata r:id="rId105" o:title=""/>
          </v:shape>
          <o:OLEObject Type="Embed" ProgID="Equation.3" ShapeID="_x0000_i1107" DrawAspect="Content" ObjectID="_1849065738" r:id="rId118"/>
        </w:object>
      </w:r>
      <w:r w:rsidRPr="0013396E">
        <w:rPr>
          <w:bCs/>
          <w:position w:val="-22"/>
        </w:rPr>
        <w:t xml:space="preserve"> </w:t>
      </w:r>
      <w:r w:rsidRPr="0013396E">
        <w:rPr>
          <w:rFonts w:ascii="Times New Roman Bold" w:hAnsi="Times New Roman Bold"/>
          <w:bCs/>
        </w:rPr>
        <w:t>(</w:t>
      </w:r>
      <w:r w:rsidRPr="0013396E">
        <w:rPr>
          <w:bCs/>
          <w:position w:val="-20"/>
        </w:rPr>
        <w:object w:dxaOrig="255" w:dyaOrig="495" w14:anchorId="05F038BC">
          <v:shape id="_x0000_i1108" type="#_x0000_t75" style="width:12pt;height:29.4pt" o:ole="">
            <v:imagedata r:id="rId115" o:title=""/>
          </v:shape>
          <o:OLEObject Type="Embed" ProgID="Equation.3" ShapeID="_x0000_i1108" DrawAspect="Content" ObjectID="_1849065739" r:id="rId119"/>
        </w:object>
      </w:r>
      <w:r w:rsidRPr="0013396E">
        <w:rPr>
          <w:bCs/>
        </w:rPr>
        <w:t xml:space="preserve"> MEBR </w:t>
      </w:r>
      <w:r w:rsidRPr="0013396E">
        <w:rPr>
          <w:bCs/>
          <w:i/>
          <w:vertAlign w:val="subscript"/>
        </w:rPr>
        <w:t>q, r, b</w:t>
      </w:r>
      <w:r w:rsidRPr="0013396E">
        <w:rPr>
          <w:bCs/>
        </w:rPr>
        <w:t>)</w:t>
      </w:r>
    </w:p>
    <w:p w14:paraId="19CAA68D" w14:textId="35B33DC8" w:rsidR="009658B2" w:rsidRPr="0013396E" w:rsidRDefault="009658B2" w:rsidP="009658B2">
      <w:pPr>
        <w:tabs>
          <w:tab w:val="left" w:pos="2250"/>
          <w:tab w:val="left" w:pos="3150"/>
        </w:tabs>
        <w:spacing w:after="240"/>
        <w:ind w:left="3150" w:hanging="2430"/>
        <w:rPr>
          <w:bCs/>
          <w:sz w:val="32"/>
        </w:rPr>
      </w:pPr>
      <w:r w:rsidRPr="0013396E">
        <w:rPr>
          <w:bCs/>
        </w:rPr>
        <w:t>RNIMBAL</w:t>
      </w:r>
      <w:r w:rsidRPr="0013396E">
        <w:rPr>
          <w:bCs/>
          <w:i/>
          <w:vertAlign w:val="subscript"/>
        </w:rPr>
        <w:t xml:space="preserve"> q, p</w:t>
      </w:r>
      <w:r w:rsidRPr="0013396E">
        <w:rPr>
          <w:bCs/>
          <w:i/>
          <w:vertAlign w:val="subscript"/>
        </w:rPr>
        <w:tab/>
      </w:r>
      <w:r w:rsidRPr="0013396E">
        <w:rPr>
          <w:bCs/>
          <w:i/>
          <w:vertAlign w:val="subscript"/>
        </w:rPr>
        <w:tab/>
      </w:r>
      <w:r w:rsidRPr="0013396E">
        <w:rPr>
          <w:bCs/>
          <w:i/>
        </w:rPr>
        <w:t xml:space="preserve">= </w:t>
      </w:r>
      <w:r w:rsidRPr="0013396E">
        <w:rPr>
          <w:bCs/>
          <w:position w:val="-22"/>
        </w:rPr>
        <w:object w:dxaOrig="255" w:dyaOrig="495" w14:anchorId="6BBD27F6">
          <v:shape id="_x0000_i1109" type="#_x0000_t75" style="width:12pt;height:29.4pt" o:ole="">
            <v:imagedata r:id="rId103" o:title=""/>
          </v:shape>
          <o:OLEObject Type="Embed" ProgID="Equation.3" ShapeID="_x0000_i1109" DrawAspect="Content" ObjectID="_1849065740" r:id="rId120"/>
        </w:object>
      </w:r>
      <w:r w:rsidRPr="0013396E">
        <w:rPr>
          <w:rFonts w:ascii="Times New Roman Bold" w:hAnsi="Times New Roman Bold"/>
          <w:bCs/>
        </w:rPr>
        <w:t>(</w:t>
      </w:r>
      <w:r w:rsidRPr="0013396E">
        <w:rPr>
          <w:bCs/>
          <w:position w:val="-18"/>
        </w:rPr>
        <w:object w:dxaOrig="255" w:dyaOrig="495" w14:anchorId="52B2F3E3">
          <v:shape id="_x0000_i1110" type="#_x0000_t75" style="width:12pt;height:29.4pt" o:ole="">
            <v:imagedata r:id="rId105" o:title=""/>
          </v:shape>
          <o:OLEObject Type="Embed" ProgID="Equation.3" ShapeID="_x0000_i1110" DrawAspect="Content" ObjectID="_1849065741" r:id="rId121"/>
        </w:object>
      </w:r>
      <w:r w:rsidRPr="0013396E">
        <w:rPr>
          <w:bCs/>
        </w:rPr>
        <w:t>RESMEB</w:t>
      </w:r>
      <w:r w:rsidRPr="0013396E">
        <w:rPr>
          <w:bCs/>
          <w:i/>
          <w:vertAlign w:val="subscript"/>
        </w:rPr>
        <w:t xml:space="preserve"> q, r, gsc, p</w:t>
      </w:r>
      <w:r w:rsidRPr="0013396E">
        <w:rPr>
          <w:bCs/>
        </w:rPr>
        <w:t>) + WSLTOT</w:t>
      </w:r>
      <w:r w:rsidRPr="0013396E">
        <w:rPr>
          <w:bCs/>
          <w:i/>
          <w:vertAlign w:val="subscript"/>
        </w:rPr>
        <w:t xml:space="preserve"> q, p</w:t>
      </w:r>
      <w:r w:rsidRPr="0013396E">
        <w:rPr>
          <w:bCs/>
        </w:rPr>
        <w:t xml:space="preserve"> + ESRNWSLTOT</w:t>
      </w:r>
      <w:r w:rsidRPr="0013396E">
        <w:rPr>
          <w:bCs/>
          <w:i/>
          <w:vertAlign w:val="subscript"/>
        </w:rPr>
        <w:t xml:space="preserve"> q, p</w:t>
      </w:r>
      <w:r w:rsidRPr="0013396E">
        <w:rPr>
          <w:bCs/>
        </w:rPr>
        <w:t xml:space="preserve"> + (SSSK </w:t>
      </w:r>
      <w:r w:rsidRPr="0013396E">
        <w:rPr>
          <w:bCs/>
          <w:i/>
          <w:vertAlign w:val="subscript"/>
        </w:rPr>
        <w:t>q, p</w:t>
      </w:r>
      <w:r w:rsidRPr="0013396E">
        <w:rPr>
          <w:bCs/>
        </w:rPr>
        <w:t xml:space="preserve"> * ¼) + (DAEP </w:t>
      </w:r>
      <w:r w:rsidRPr="0013396E">
        <w:rPr>
          <w:bCs/>
          <w:i/>
          <w:vertAlign w:val="subscript"/>
        </w:rPr>
        <w:t>q, p</w:t>
      </w:r>
      <w:r w:rsidRPr="0013396E">
        <w:rPr>
          <w:bCs/>
        </w:rPr>
        <w:t xml:space="preserve"> * ¼) + (RTQQEP </w:t>
      </w:r>
      <w:r w:rsidRPr="0013396E">
        <w:rPr>
          <w:bCs/>
          <w:i/>
          <w:vertAlign w:val="subscript"/>
        </w:rPr>
        <w:t>q, p</w:t>
      </w:r>
      <w:r w:rsidRPr="0013396E">
        <w:rPr>
          <w:bCs/>
        </w:rPr>
        <w:t xml:space="preserve"> * ¼) – (SSSR </w:t>
      </w:r>
      <w:r w:rsidRPr="0013396E">
        <w:rPr>
          <w:bCs/>
          <w:i/>
          <w:vertAlign w:val="subscript"/>
        </w:rPr>
        <w:t>q, p</w:t>
      </w:r>
      <w:r w:rsidRPr="0013396E">
        <w:rPr>
          <w:bCs/>
        </w:rPr>
        <w:t xml:space="preserve"> * ¼) – (DAES </w:t>
      </w:r>
      <w:r w:rsidRPr="0013396E">
        <w:rPr>
          <w:bCs/>
          <w:i/>
          <w:vertAlign w:val="subscript"/>
        </w:rPr>
        <w:t>q, p</w:t>
      </w:r>
      <w:r w:rsidRPr="0013396E">
        <w:rPr>
          <w:bCs/>
        </w:rPr>
        <w:t xml:space="preserve"> * ¼) – (RTQQES </w:t>
      </w:r>
      <w:r w:rsidRPr="0013396E">
        <w:rPr>
          <w:bCs/>
          <w:i/>
          <w:vertAlign w:val="subscript"/>
        </w:rPr>
        <w:t>q, p</w:t>
      </w:r>
      <w:r w:rsidRPr="0013396E">
        <w:rPr>
          <w:bCs/>
        </w:rPr>
        <w:t xml:space="preserve"> * ¼)</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9658B2" w:rsidRPr="0013396E" w14:paraId="5171004A" w14:textId="77777777" w:rsidTr="0099759E">
        <w:trPr>
          <w:trHeight w:val="206"/>
        </w:trPr>
        <w:tc>
          <w:tcPr>
            <w:tcW w:w="9576" w:type="dxa"/>
            <w:shd w:val="pct12" w:color="auto" w:fill="auto"/>
          </w:tcPr>
          <w:p w14:paraId="101BF2FC" w14:textId="2F598781" w:rsidR="009658B2" w:rsidRPr="0013396E" w:rsidRDefault="009658B2" w:rsidP="0099759E">
            <w:pPr>
              <w:pStyle w:val="Instructions"/>
              <w:spacing w:before="120"/>
            </w:pPr>
            <w:r w:rsidRPr="0013396E">
              <w:t xml:space="preserve">[NPRR1188:  Replace </w:t>
            </w:r>
            <w:r>
              <w:t>the formula “</w:t>
            </w:r>
            <w:r w:rsidRPr="0013396E">
              <w:rPr>
                <w:bCs/>
              </w:rPr>
              <w:t>RNIMBAL</w:t>
            </w:r>
            <w:r w:rsidRPr="0013396E">
              <w:rPr>
                <w:bCs/>
                <w:vertAlign w:val="subscript"/>
              </w:rPr>
              <w:t xml:space="preserve"> q, p</w:t>
            </w:r>
            <w:r>
              <w:t>”</w:t>
            </w:r>
            <w:r w:rsidRPr="0013396E">
              <w:t xml:space="preserve"> above with the following upon system implementation:]</w:t>
            </w:r>
          </w:p>
          <w:p w14:paraId="1B456CF0" w14:textId="1711DBB0" w:rsidR="009658B2" w:rsidRPr="009658B2" w:rsidRDefault="009658B2" w:rsidP="009658B2">
            <w:pPr>
              <w:tabs>
                <w:tab w:val="left" w:pos="2250"/>
                <w:tab w:val="left" w:pos="3150"/>
              </w:tabs>
              <w:spacing w:after="240"/>
              <w:ind w:left="3150" w:hanging="2430"/>
              <w:rPr>
                <w:bCs/>
                <w:sz w:val="32"/>
              </w:rPr>
            </w:pPr>
            <w:r w:rsidRPr="0013396E">
              <w:rPr>
                <w:bCs/>
              </w:rPr>
              <w:t>RNIMBAL</w:t>
            </w:r>
            <w:r w:rsidRPr="0013396E">
              <w:rPr>
                <w:bCs/>
                <w:i/>
                <w:vertAlign w:val="subscript"/>
              </w:rPr>
              <w:t xml:space="preserve"> q, p</w:t>
            </w:r>
            <w:r w:rsidRPr="0013396E">
              <w:rPr>
                <w:bCs/>
                <w:i/>
                <w:vertAlign w:val="subscript"/>
              </w:rPr>
              <w:tab/>
            </w:r>
            <w:r w:rsidRPr="0013396E">
              <w:rPr>
                <w:bCs/>
                <w:i/>
                <w:vertAlign w:val="subscript"/>
              </w:rPr>
              <w:tab/>
            </w:r>
            <w:r w:rsidRPr="0013396E">
              <w:rPr>
                <w:bCs/>
                <w:i/>
              </w:rPr>
              <w:t xml:space="preserve">= </w:t>
            </w:r>
            <w:r w:rsidRPr="0013396E">
              <w:rPr>
                <w:bCs/>
                <w:position w:val="-22"/>
              </w:rPr>
              <w:object w:dxaOrig="255" w:dyaOrig="495" w14:anchorId="5AE9C782">
                <v:shape id="_x0000_i1111" type="#_x0000_t75" style="width:12pt;height:29.4pt" o:ole="">
                  <v:imagedata r:id="rId103" o:title=""/>
                </v:shape>
                <o:OLEObject Type="Embed" ProgID="Equation.3" ShapeID="_x0000_i1111" DrawAspect="Content" ObjectID="_1849065742" r:id="rId122"/>
              </w:object>
            </w:r>
            <w:r w:rsidRPr="0013396E">
              <w:rPr>
                <w:rFonts w:ascii="Times New Roman Bold" w:hAnsi="Times New Roman Bold"/>
                <w:bCs/>
              </w:rPr>
              <w:t>(</w:t>
            </w:r>
            <w:r w:rsidRPr="0013396E">
              <w:rPr>
                <w:bCs/>
                <w:position w:val="-18"/>
              </w:rPr>
              <w:object w:dxaOrig="255" w:dyaOrig="495" w14:anchorId="5597A16A">
                <v:shape id="_x0000_i1112" type="#_x0000_t75" style="width:12pt;height:29.4pt" o:ole="">
                  <v:imagedata r:id="rId105" o:title=""/>
                </v:shape>
                <o:OLEObject Type="Embed" ProgID="Equation.3" ShapeID="_x0000_i1112" DrawAspect="Content" ObjectID="_1849065743" r:id="rId123"/>
              </w:object>
            </w:r>
            <w:r w:rsidRPr="0013396E">
              <w:rPr>
                <w:bCs/>
              </w:rPr>
              <w:t>RESMEB</w:t>
            </w:r>
            <w:r w:rsidRPr="0013396E">
              <w:rPr>
                <w:bCs/>
                <w:i/>
                <w:vertAlign w:val="subscript"/>
              </w:rPr>
              <w:t xml:space="preserve"> q, r, gsc, p</w:t>
            </w:r>
            <w:r w:rsidRPr="0013396E">
              <w:rPr>
                <w:bCs/>
              </w:rPr>
              <w:t>) + WSLTOT</w:t>
            </w:r>
            <w:r w:rsidRPr="0013396E">
              <w:rPr>
                <w:bCs/>
                <w:i/>
                <w:vertAlign w:val="subscript"/>
              </w:rPr>
              <w:t xml:space="preserve"> q, p</w:t>
            </w:r>
            <w:r w:rsidRPr="0013396E">
              <w:rPr>
                <w:bCs/>
              </w:rPr>
              <w:t xml:space="preserve"> + CLRTOT</w:t>
            </w:r>
            <w:r w:rsidRPr="0013396E">
              <w:rPr>
                <w:bCs/>
                <w:i/>
                <w:vertAlign w:val="subscript"/>
              </w:rPr>
              <w:t xml:space="preserve"> q, p</w:t>
            </w:r>
            <w:r w:rsidRPr="0013396E">
              <w:rPr>
                <w:bCs/>
              </w:rPr>
              <w:t xml:space="preserve"> + ESRNWSLTOT</w:t>
            </w:r>
            <w:r w:rsidRPr="0013396E">
              <w:rPr>
                <w:bCs/>
                <w:i/>
                <w:vertAlign w:val="subscript"/>
              </w:rPr>
              <w:t xml:space="preserve"> q, p</w:t>
            </w:r>
            <w:r w:rsidRPr="0013396E">
              <w:rPr>
                <w:bCs/>
              </w:rPr>
              <w:t xml:space="preserve"> + (SSSK </w:t>
            </w:r>
            <w:r w:rsidRPr="0013396E">
              <w:rPr>
                <w:bCs/>
                <w:i/>
                <w:vertAlign w:val="subscript"/>
              </w:rPr>
              <w:t>q, p</w:t>
            </w:r>
            <w:r w:rsidRPr="0013396E">
              <w:rPr>
                <w:bCs/>
              </w:rPr>
              <w:t xml:space="preserve"> * ¼) + (DAEP </w:t>
            </w:r>
            <w:r w:rsidRPr="0013396E">
              <w:rPr>
                <w:bCs/>
                <w:i/>
                <w:vertAlign w:val="subscript"/>
              </w:rPr>
              <w:t>q, p</w:t>
            </w:r>
            <w:r w:rsidRPr="0013396E">
              <w:rPr>
                <w:bCs/>
              </w:rPr>
              <w:t xml:space="preserve"> * ¼) + (RTQQEP </w:t>
            </w:r>
            <w:r w:rsidRPr="0013396E">
              <w:rPr>
                <w:bCs/>
                <w:i/>
                <w:vertAlign w:val="subscript"/>
              </w:rPr>
              <w:t>q, p</w:t>
            </w:r>
            <w:r w:rsidRPr="0013396E">
              <w:rPr>
                <w:bCs/>
              </w:rPr>
              <w:t xml:space="preserve"> * ¼) – (SSSR </w:t>
            </w:r>
            <w:r w:rsidRPr="0013396E">
              <w:rPr>
                <w:bCs/>
                <w:i/>
                <w:vertAlign w:val="subscript"/>
              </w:rPr>
              <w:t>q, p</w:t>
            </w:r>
            <w:r w:rsidRPr="0013396E">
              <w:rPr>
                <w:bCs/>
              </w:rPr>
              <w:t xml:space="preserve"> * ¼) – (DAES </w:t>
            </w:r>
            <w:r w:rsidRPr="0013396E">
              <w:rPr>
                <w:bCs/>
                <w:i/>
                <w:vertAlign w:val="subscript"/>
              </w:rPr>
              <w:t>q, p</w:t>
            </w:r>
            <w:r w:rsidRPr="0013396E">
              <w:rPr>
                <w:bCs/>
              </w:rPr>
              <w:t xml:space="preserve"> * ¼) – (RTQQES </w:t>
            </w:r>
            <w:r w:rsidRPr="0013396E">
              <w:rPr>
                <w:bCs/>
                <w:i/>
                <w:vertAlign w:val="subscript"/>
              </w:rPr>
              <w:t>q, p</w:t>
            </w:r>
            <w:r w:rsidRPr="0013396E">
              <w:rPr>
                <w:bCs/>
              </w:rPr>
              <w:t xml:space="preserve"> * ¼)</w:t>
            </w:r>
          </w:p>
        </w:tc>
      </w:tr>
    </w:tbl>
    <w:p w14:paraId="0E643B81" w14:textId="77777777" w:rsidR="009658B2" w:rsidRPr="0013396E" w:rsidRDefault="009658B2" w:rsidP="009658B2">
      <w:pPr>
        <w:spacing w:before="240"/>
      </w:pPr>
      <w:r w:rsidRPr="0013396E">
        <w:t>The above variables are defined as follows: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62"/>
        <w:gridCol w:w="874"/>
        <w:gridCol w:w="6514"/>
      </w:tblGrid>
      <w:tr w:rsidR="009658B2" w:rsidRPr="0013396E" w14:paraId="33E11EF9" w14:textId="77777777" w:rsidTr="005A7D8E">
        <w:trPr>
          <w:cantSplit/>
          <w:tblHeader/>
        </w:trPr>
        <w:tc>
          <w:tcPr>
            <w:tcW w:w="1885" w:type="dxa"/>
            <w:tcBorders>
              <w:top w:val="single" w:sz="4" w:space="0" w:color="auto"/>
              <w:left w:val="single" w:sz="4" w:space="0" w:color="auto"/>
              <w:bottom w:val="single" w:sz="4" w:space="0" w:color="auto"/>
              <w:right w:val="single" w:sz="4" w:space="0" w:color="auto"/>
            </w:tcBorders>
            <w:hideMark/>
          </w:tcPr>
          <w:p w14:paraId="364B73E5" w14:textId="77777777" w:rsidR="009658B2" w:rsidRPr="0013396E" w:rsidRDefault="009658B2" w:rsidP="0099759E">
            <w:pPr>
              <w:spacing w:after="120"/>
              <w:rPr>
                <w:b/>
                <w:iCs/>
                <w:sz w:val="20"/>
              </w:rPr>
            </w:pPr>
            <w:r w:rsidRPr="0013396E">
              <w:rPr>
                <w:b/>
                <w:iCs/>
                <w:sz w:val="20"/>
              </w:rPr>
              <w:t>Variable</w:t>
            </w:r>
          </w:p>
        </w:tc>
        <w:tc>
          <w:tcPr>
            <w:tcW w:w="903" w:type="dxa"/>
            <w:tcBorders>
              <w:top w:val="single" w:sz="4" w:space="0" w:color="auto"/>
              <w:left w:val="single" w:sz="4" w:space="0" w:color="auto"/>
              <w:bottom w:val="single" w:sz="4" w:space="0" w:color="auto"/>
              <w:right w:val="single" w:sz="4" w:space="0" w:color="auto"/>
            </w:tcBorders>
            <w:hideMark/>
          </w:tcPr>
          <w:p w14:paraId="07A9DC3B" w14:textId="77777777" w:rsidR="009658B2" w:rsidRPr="0013396E" w:rsidRDefault="009658B2" w:rsidP="0099759E">
            <w:pPr>
              <w:spacing w:after="120"/>
              <w:rPr>
                <w:b/>
                <w:iCs/>
                <w:sz w:val="20"/>
              </w:rPr>
            </w:pPr>
            <w:r w:rsidRPr="0013396E">
              <w:rPr>
                <w:b/>
                <w:iCs/>
                <w:sz w:val="20"/>
              </w:rPr>
              <w:t>Unit</w:t>
            </w:r>
          </w:p>
        </w:tc>
        <w:tc>
          <w:tcPr>
            <w:tcW w:w="0" w:type="auto"/>
            <w:tcBorders>
              <w:top w:val="single" w:sz="4" w:space="0" w:color="auto"/>
              <w:left w:val="single" w:sz="4" w:space="0" w:color="auto"/>
              <w:bottom w:val="single" w:sz="4" w:space="0" w:color="auto"/>
              <w:right w:val="single" w:sz="4" w:space="0" w:color="auto"/>
            </w:tcBorders>
            <w:hideMark/>
          </w:tcPr>
          <w:p w14:paraId="1A727437" w14:textId="77777777" w:rsidR="009658B2" w:rsidRPr="0013396E" w:rsidRDefault="009658B2" w:rsidP="0099759E">
            <w:pPr>
              <w:spacing w:after="120"/>
              <w:rPr>
                <w:b/>
                <w:iCs/>
                <w:sz w:val="20"/>
              </w:rPr>
            </w:pPr>
            <w:r w:rsidRPr="0013396E">
              <w:rPr>
                <w:b/>
                <w:iCs/>
                <w:sz w:val="20"/>
              </w:rPr>
              <w:t>Description</w:t>
            </w:r>
          </w:p>
        </w:tc>
      </w:tr>
      <w:tr w:rsidR="009658B2" w:rsidRPr="0013396E" w14:paraId="35A3BE15"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5E6E0AC0" w14:textId="77777777" w:rsidR="009658B2" w:rsidRPr="0013396E" w:rsidRDefault="009658B2" w:rsidP="0099759E">
            <w:pPr>
              <w:spacing w:after="60"/>
              <w:rPr>
                <w:iCs/>
                <w:sz w:val="20"/>
              </w:rPr>
            </w:pPr>
            <w:r w:rsidRPr="0013396E">
              <w:rPr>
                <w:iCs/>
                <w:sz w:val="20"/>
              </w:rPr>
              <w:t xml:space="preserve">RTEIAMT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3E9F4EDA" w14:textId="77777777" w:rsidR="009658B2" w:rsidRPr="0013396E" w:rsidRDefault="009658B2" w:rsidP="0099759E">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00A0D8A4" w14:textId="77777777" w:rsidR="009658B2" w:rsidRPr="0013396E" w:rsidRDefault="009658B2" w:rsidP="0099759E">
            <w:pPr>
              <w:spacing w:after="60"/>
              <w:rPr>
                <w:iCs/>
                <w:sz w:val="20"/>
              </w:rPr>
            </w:pPr>
            <w:r w:rsidRPr="0013396E">
              <w:rPr>
                <w:i/>
                <w:iCs/>
                <w:sz w:val="20"/>
              </w:rPr>
              <w:t>Real-Time Energy Imbalance Amount per QSE per Settlement Point</w:t>
            </w:r>
            <w:r w:rsidRPr="0013396E">
              <w:rPr>
                <w:iCs/>
                <w:sz w:val="20"/>
              </w:rPr>
              <w:t xml:space="preserve">—The payment or charge to QSE </w:t>
            </w:r>
            <w:r w:rsidRPr="0013396E">
              <w:rPr>
                <w:i/>
                <w:iCs/>
                <w:sz w:val="20"/>
              </w:rPr>
              <w:t>q</w:t>
            </w:r>
            <w:r w:rsidRPr="0013396E">
              <w:rPr>
                <w:iCs/>
                <w:sz w:val="20"/>
              </w:rPr>
              <w:t xml:space="preserve"> for Real-Time Energy Imbalance Service at Settlement Point </w:t>
            </w:r>
            <w:r w:rsidRPr="0013396E">
              <w:rPr>
                <w:i/>
                <w:iCs/>
                <w:sz w:val="20"/>
              </w:rPr>
              <w:t>p</w:t>
            </w:r>
            <w:r w:rsidRPr="0013396E">
              <w:rPr>
                <w:iCs/>
                <w:sz w:val="20"/>
              </w:rPr>
              <w:t>, for the 15-minute Settlement Interval.</w:t>
            </w:r>
          </w:p>
        </w:tc>
      </w:tr>
      <w:tr w:rsidR="009658B2" w:rsidRPr="0013396E" w14:paraId="178C449B"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65BFEF70" w14:textId="77777777" w:rsidR="009658B2" w:rsidRPr="0013396E" w:rsidRDefault="009658B2" w:rsidP="0099759E">
            <w:pPr>
              <w:spacing w:after="60"/>
              <w:rPr>
                <w:iCs/>
                <w:sz w:val="20"/>
              </w:rPr>
            </w:pPr>
            <w:r w:rsidRPr="0013396E">
              <w:rPr>
                <w:iCs/>
                <w:sz w:val="20"/>
              </w:rPr>
              <w:t>RNIMBAL</w:t>
            </w:r>
            <w:r w:rsidRPr="0013396E">
              <w:rPr>
                <w:i/>
                <w:iCs/>
                <w:sz w:val="20"/>
                <w:vertAlign w:val="subscript"/>
              </w:rPr>
              <w:t xml:space="preserve"> q, p</w:t>
            </w:r>
          </w:p>
        </w:tc>
        <w:tc>
          <w:tcPr>
            <w:tcW w:w="903" w:type="dxa"/>
            <w:tcBorders>
              <w:top w:val="single" w:sz="4" w:space="0" w:color="auto"/>
              <w:left w:val="single" w:sz="4" w:space="0" w:color="auto"/>
              <w:bottom w:val="single" w:sz="4" w:space="0" w:color="auto"/>
              <w:right w:val="single" w:sz="4" w:space="0" w:color="auto"/>
            </w:tcBorders>
            <w:hideMark/>
          </w:tcPr>
          <w:p w14:paraId="0F518FC1"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hideMark/>
          </w:tcPr>
          <w:p w14:paraId="4704A073" w14:textId="77777777" w:rsidR="009658B2" w:rsidRPr="0013396E" w:rsidRDefault="009658B2" w:rsidP="0099759E">
            <w:pPr>
              <w:spacing w:after="60"/>
              <w:rPr>
                <w:i/>
                <w:iCs/>
                <w:sz w:val="20"/>
              </w:rPr>
            </w:pPr>
            <w:r w:rsidRPr="0013396E">
              <w:rPr>
                <w:i/>
                <w:iCs/>
                <w:sz w:val="20"/>
              </w:rPr>
              <w:t>Resource Node Energy Imbalance per QSE per Settlement Point</w:t>
            </w:r>
            <w:r w:rsidRPr="0013396E">
              <w:rPr>
                <w:iCs/>
                <w:sz w:val="20"/>
              </w:rPr>
              <w:t xml:space="preserve">—The Resource Node volumetric imbalance for QSE </w:t>
            </w:r>
            <w:r w:rsidRPr="0013396E">
              <w:rPr>
                <w:i/>
                <w:iCs/>
                <w:sz w:val="20"/>
              </w:rPr>
              <w:t>q</w:t>
            </w:r>
            <w:r w:rsidRPr="0013396E">
              <w:rPr>
                <w:iCs/>
                <w:sz w:val="20"/>
              </w:rPr>
              <w:t xml:space="preserve"> for Real-Time Energy Imbalance Service at Settlement Point </w:t>
            </w:r>
            <w:r w:rsidRPr="0013396E">
              <w:rPr>
                <w:i/>
                <w:iCs/>
                <w:sz w:val="20"/>
              </w:rPr>
              <w:t>p</w:t>
            </w:r>
            <w:r w:rsidRPr="0013396E">
              <w:rPr>
                <w:iCs/>
                <w:sz w:val="20"/>
              </w:rPr>
              <w:t>, for the 15-minute Settlement Interval.</w:t>
            </w:r>
          </w:p>
        </w:tc>
      </w:tr>
      <w:tr w:rsidR="009658B2" w:rsidRPr="0013396E" w14:paraId="43C9C85C"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7B30A634" w14:textId="77777777" w:rsidR="009658B2" w:rsidRPr="0013396E" w:rsidRDefault="009658B2" w:rsidP="0099759E">
            <w:pPr>
              <w:spacing w:after="60"/>
              <w:rPr>
                <w:iCs/>
                <w:sz w:val="20"/>
              </w:rPr>
            </w:pPr>
            <w:r w:rsidRPr="0013396E">
              <w:rPr>
                <w:iCs/>
                <w:sz w:val="20"/>
              </w:rPr>
              <w:t xml:space="preserve">RTSPP </w:t>
            </w:r>
            <w:r w:rsidRPr="0013396E">
              <w:rPr>
                <w:i/>
                <w:iCs/>
                <w:sz w:val="20"/>
                <w:vertAlign w:val="subscript"/>
              </w:rPr>
              <w:t>p</w:t>
            </w:r>
          </w:p>
        </w:tc>
        <w:tc>
          <w:tcPr>
            <w:tcW w:w="903" w:type="dxa"/>
            <w:tcBorders>
              <w:top w:val="single" w:sz="4" w:space="0" w:color="auto"/>
              <w:left w:val="single" w:sz="4" w:space="0" w:color="auto"/>
              <w:bottom w:val="single" w:sz="4" w:space="0" w:color="auto"/>
              <w:right w:val="single" w:sz="4" w:space="0" w:color="auto"/>
            </w:tcBorders>
            <w:hideMark/>
          </w:tcPr>
          <w:p w14:paraId="14650610"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hideMark/>
          </w:tcPr>
          <w:p w14:paraId="02A66051" w14:textId="77777777" w:rsidR="009658B2" w:rsidRPr="0013396E" w:rsidRDefault="009658B2" w:rsidP="0099759E">
            <w:pPr>
              <w:spacing w:after="60"/>
              <w:rPr>
                <w:iCs/>
                <w:sz w:val="20"/>
              </w:rPr>
            </w:pPr>
            <w:r w:rsidRPr="0013396E">
              <w:rPr>
                <w:i/>
                <w:iCs/>
                <w:sz w:val="20"/>
              </w:rPr>
              <w:t>Real-Time Settlement Point Price per Settlement Point</w:t>
            </w:r>
            <w:r w:rsidRPr="0013396E">
              <w:rPr>
                <w:iCs/>
                <w:sz w:val="20"/>
              </w:rPr>
              <w:t xml:space="preserve">—The Real-Time Settlement Point Price at Settlement Point </w:t>
            </w:r>
            <w:r w:rsidRPr="0013396E">
              <w:rPr>
                <w:i/>
                <w:iCs/>
                <w:sz w:val="20"/>
              </w:rPr>
              <w:t>p</w:t>
            </w:r>
            <w:r w:rsidRPr="0013396E">
              <w:rPr>
                <w:iCs/>
                <w:sz w:val="20"/>
              </w:rPr>
              <w:t>, for the 15-minute Settlement Interval.</w:t>
            </w:r>
          </w:p>
        </w:tc>
      </w:tr>
      <w:tr w:rsidR="009658B2" w:rsidRPr="0013396E" w14:paraId="5FCE93B2"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2F184F76" w14:textId="77777777" w:rsidR="009658B2" w:rsidRPr="0013396E" w:rsidRDefault="009658B2" w:rsidP="0099759E">
            <w:pPr>
              <w:spacing w:after="60"/>
              <w:rPr>
                <w:iCs/>
                <w:sz w:val="20"/>
              </w:rPr>
            </w:pPr>
            <w:r w:rsidRPr="0013396E">
              <w:rPr>
                <w:iCs/>
                <w:sz w:val="20"/>
              </w:rPr>
              <w:t xml:space="preserve">SSSK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52AD2AC6" w14:textId="77777777" w:rsidR="009658B2" w:rsidRPr="0013396E" w:rsidRDefault="009658B2" w:rsidP="0099759E">
            <w:pPr>
              <w:spacing w:after="60"/>
              <w:rPr>
                <w:iCs/>
                <w:sz w:val="20"/>
              </w:rPr>
            </w:pPr>
            <w:r w:rsidRPr="0013396E">
              <w:rPr>
                <w:iCs/>
                <w:sz w:val="20"/>
              </w:rPr>
              <w:t>MW</w:t>
            </w:r>
          </w:p>
        </w:tc>
        <w:tc>
          <w:tcPr>
            <w:tcW w:w="0" w:type="auto"/>
            <w:tcBorders>
              <w:top w:val="single" w:sz="4" w:space="0" w:color="auto"/>
              <w:left w:val="single" w:sz="4" w:space="0" w:color="auto"/>
              <w:bottom w:val="single" w:sz="4" w:space="0" w:color="auto"/>
              <w:right w:val="single" w:sz="4" w:space="0" w:color="auto"/>
            </w:tcBorders>
            <w:hideMark/>
          </w:tcPr>
          <w:p w14:paraId="584EBDA7" w14:textId="77777777" w:rsidR="009658B2" w:rsidRPr="0013396E" w:rsidRDefault="009658B2" w:rsidP="0099759E">
            <w:pPr>
              <w:spacing w:after="60"/>
              <w:rPr>
                <w:i/>
                <w:iCs/>
                <w:sz w:val="20"/>
              </w:rPr>
            </w:pPr>
            <w:r w:rsidRPr="0013396E">
              <w:rPr>
                <w:i/>
                <w:iCs/>
                <w:sz w:val="20"/>
              </w:rPr>
              <w:t>Self-Schedule with Sink at Settlement Point per QSE per Settlement Point</w:t>
            </w:r>
            <w:r w:rsidRPr="0013396E">
              <w:rPr>
                <w:iCs/>
                <w:sz w:val="20"/>
              </w:rPr>
              <w:t xml:space="preserve">—The QSE </w:t>
            </w:r>
            <w:r w:rsidRPr="0013396E">
              <w:rPr>
                <w:i/>
                <w:iCs/>
                <w:sz w:val="20"/>
              </w:rPr>
              <w:t>q</w:t>
            </w:r>
            <w:r w:rsidRPr="0013396E">
              <w:rPr>
                <w:iCs/>
                <w:sz w:val="20"/>
              </w:rPr>
              <w:t xml:space="preserve">’s Self-Schedule with sink at Settlement Point </w:t>
            </w:r>
            <w:r w:rsidRPr="0013396E">
              <w:rPr>
                <w:i/>
                <w:iCs/>
                <w:sz w:val="20"/>
              </w:rPr>
              <w:t>p</w:t>
            </w:r>
            <w:r w:rsidRPr="0013396E">
              <w:rPr>
                <w:iCs/>
                <w:sz w:val="20"/>
              </w:rPr>
              <w:t>, for the 15-minute Settlement Interval.</w:t>
            </w:r>
          </w:p>
        </w:tc>
      </w:tr>
      <w:tr w:rsidR="009658B2" w:rsidRPr="0013396E" w14:paraId="17F84A04"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13050050" w14:textId="77777777" w:rsidR="009658B2" w:rsidRPr="0013396E" w:rsidRDefault="009658B2" w:rsidP="0099759E">
            <w:pPr>
              <w:spacing w:after="60"/>
              <w:rPr>
                <w:iCs/>
                <w:sz w:val="20"/>
              </w:rPr>
            </w:pPr>
            <w:r w:rsidRPr="0013396E">
              <w:rPr>
                <w:iCs/>
                <w:sz w:val="20"/>
              </w:rPr>
              <w:lastRenderedPageBreak/>
              <w:t xml:space="preserve">DAEP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41E9BF13" w14:textId="77777777" w:rsidR="009658B2" w:rsidRPr="0013396E" w:rsidRDefault="009658B2" w:rsidP="0099759E">
            <w:pPr>
              <w:spacing w:after="60"/>
              <w:rPr>
                <w:iCs/>
                <w:sz w:val="20"/>
              </w:rPr>
            </w:pPr>
            <w:r w:rsidRPr="0013396E">
              <w:rPr>
                <w:iCs/>
                <w:sz w:val="20"/>
              </w:rPr>
              <w:t>MW</w:t>
            </w:r>
          </w:p>
        </w:tc>
        <w:tc>
          <w:tcPr>
            <w:tcW w:w="0" w:type="auto"/>
            <w:tcBorders>
              <w:top w:val="single" w:sz="4" w:space="0" w:color="auto"/>
              <w:left w:val="single" w:sz="4" w:space="0" w:color="auto"/>
              <w:bottom w:val="single" w:sz="4" w:space="0" w:color="auto"/>
              <w:right w:val="single" w:sz="4" w:space="0" w:color="auto"/>
            </w:tcBorders>
            <w:hideMark/>
          </w:tcPr>
          <w:p w14:paraId="38838E01" w14:textId="6548BC3C" w:rsidR="009658B2" w:rsidRPr="0013396E" w:rsidRDefault="009658B2" w:rsidP="0099759E">
            <w:pPr>
              <w:spacing w:after="60"/>
              <w:rPr>
                <w:iCs/>
                <w:sz w:val="20"/>
              </w:rPr>
            </w:pPr>
            <w:r w:rsidRPr="0013396E">
              <w:rPr>
                <w:i/>
                <w:iCs/>
                <w:sz w:val="20"/>
              </w:rPr>
              <w:t>Day-Ahead Energy Purchase per QSE per Settlement Point</w:t>
            </w:r>
            <w:r w:rsidRPr="0013396E">
              <w:rPr>
                <w:iCs/>
                <w:sz w:val="20"/>
              </w:rPr>
              <w:t xml:space="preserve">—The QSE </w:t>
            </w:r>
            <w:r w:rsidRPr="0013396E">
              <w:rPr>
                <w:i/>
                <w:iCs/>
                <w:sz w:val="20"/>
              </w:rPr>
              <w:t>q</w:t>
            </w:r>
            <w:r w:rsidRPr="0013396E">
              <w:rPr>
                <w:iCs/>
                <w:sz w:val="20"/>
              </w:rPr>
              <w:t xml:space="preserve">’s DAM Energy Bids at Settlement Point </w:t>
            </w:r>
            <w:r w:rsidRPr="0013396E">
              <w:rPr>
                <w:i/>
                <w:iCs/>
                <w:sz w:val="20"/>
              </w:rPr>
              <w:t>p</w:t>
            </w:r>
            <w:r w:rsidRPr="0013396E">
              <w:rPr>
                <w:iCs/>
                <w:sz w:val="20"/>
              </w:rPr>
              <w:t xml:space="preserve"> cleared in the DAM, for the hour that includes the 15-minute Settlement Interval.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274"/>
            </w:tblGrid>
            <w:tr w:rsidR="009658B2" w:rsidRPr="0013396E" w14:paraId="624260E6" w14:textId="77777777" w:rsidTr="009658B2">
              <w:trPr>
                <w:trHeight w:val="206"/>
              </w:trPr>
              <w:tc>
                <w:tcPr>
                  <w:tcW w:w="5000" w:type="pct"/>
                  <w:shd w:val="pct12" w:color="auto" w:fill="auto"/>
                </w:tcPr>
                <w:p w14:paraId="29EB8BCA" w14:textId="231AE51B" w:rsidR="009658B2" w:rsidRPr="0013396E" w:rsidRDefault="009658B2" w:rsidP="009658B2">
                  <w:pPr>
                    <w:pStyle w:val="Instructions"/>
                    <w:spacing w:before="120"/>
                    <w:ind w:right="-114"/>
                  </w:pPr>
                  <w:r w:rsidRPr="0013396E">
                    <w:t xml:space="preserve">[NPRR1188:  Replace </w:t>
                  </w:r>
                  <w:r>
                    <w:t>the description</w:t>
                  </w:r>
                  <w:r w:rsidRPr="0013396E">
                    <w:t xml:space="preserve"> above with the following upon system implementation:]</w:t>
                  </w:r>
                </w:p>
                <w:p w14:paraId="4C5E8C8A" w14:textId="6B60CFB6" w:rsidR="009658B2" w:rsidRPr="009658B2" w:rsidRDefault="009658B2" w:rsidP="009658B2">
                  <w:pPr>
                    <w:spacing w:after="60"/>
                    <w:rPr>
                      <w:iCs/>
                      <w:sz w:val="20"/>
                    </w:rPr>
                  </w:pPr>
                  <w:r w:rsidRPr="0013396E">
                    <w:rPr>
                      <w:i/>
                      <w:iCs/>
                      <w:sz w:val="20"/>
                    </w:rPr>
                    <w:t>Day-Ahead Energy Purchase per QSE per Settlement Point</w:t>
                  </w:r>
                  <w:r w:rsidRPr="0013396E">
                    <w:rPr>
                      <w:iCs/>
                      <w:sz w:val="20"/>
                    </w:rPr>
                    <w:t xml:space="preserve">—The QSE </w:t>
                  </w:r>
                  <w:r w:rsidRPr="0013396E">
                    <w:rPr>
                      <w:i/>
                      <w:iCs/>
                      <w:sz w:val="20"/>
                    </w:rPr>
                    <w:t>q</w:t>
                  </w:r>
                  <w:r w:rsidRPr="0013396E">
                    <w:rPr>
                      <w:iCs/>
                      <w:sz w:val="20"/>
                    </w:rPr>
                    <w:t xml:space="preserve">’s DAM Energy Bids, Energy Bid Curves, and bid portion of Energy Bid/Offer Curves at Settlement Point </w:t>
                  </w:r>
                  <w:r w:rsidRPr="0013396E">
                    <w:rPr>
                      <w:i/>
                      <w:iCs/>
                      <w:sz w:val="20"/>
                    </w:rPr>
                    <w:t>p</w:t>
                  </w:r>
                  <w:r w:rsidRPr="0013396E">
                    <w:rPr>
                      <w:iCs/>
                      <w:sz w:val="20"/>
                    </w:rPr>
                    <w:t>, cleared in the DAM, for the hour that includes the 15-minute Settlement Interval.</w:t>
                  </w:r>
                </w:p>
              </w:tc>
            </w:tr>
          </w:tbl>
          <w:p w14:paraId="3F5416B7" w14:textId="04227232" w:rsidR="009658B2" w:rsidRPr="0013396E" w:rsidRDefault="009658B2" w:rsidP="0099759E">
            <w:pPr>
              <w:spacing w:after="60"/>
              <w:rPr>
                <w:iCs/>
                <w:sz w:val="20"/>
              </w:rPr>
            </w:pPr>
          </w:p>
        </w:tc>
      </w:tr>
      <w:tr w:rsidR="009658B2" w:rsidRPr="0013396E" w14:paraId="708103AF"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2B3C45A2" w14:textId="77777777" w:rsidR="009658B2" w:rsidRPr="0013396E" w:rsidRDefault="009658B2" w:rsidP="0099759E">
            <w:pPr>
              <w:spacing w:after="60"/>
              <w:rPr>
                <w:iCs/>
                <w:sz w:val="20"/>
              </w:rPr>
            </w:pPr>
            <w:r w:rsidRPr="0013396E">
              <w:rPr>
                <w:iCs/>
                <w:sz w:val="20"/>
              </w:rPr>
              <w:t xml:space="preserve">RTQQEP </w:t>
            </w:r>
            <w:r w:rsidRPr="0013396E">
              <w:rPr>
                <w:i/>
                <w:iCs/>
                <w:sz w:val="20"/>
                <w:vertAlign w:val="subscript"/>
              </w:rPr>
              <w:t>q, p</w:t>
            </w:r>
            <w:r w:rsidRPr="0013396E">
              <w:rPr>
                <w:iCs/>
                <w:sz w:val="20"/>
              </w:rPr>
              <w:t xml:space="preserve"> </w:t>
            </w:r>
          </w:p>
        </w:tc>
        <w:tc>
          <w:tcPr>
            <w:tcW w:w="903" w:type="dxa"/>
            <w:tcBorders>
              <w:top w:val="single" w:sz="4" w:space="0" w:color="auto"/>
              <w:left w:val="single" w:sz="4" w:space="0" w:color="auto"/>
              <w:bottom w:val="single" w:sz="4" w:space="0" w:color="auto"/>
              <w:right w:val="single" w:sz="4" w:space="0" w:color="auto"/>
            </w:tcBorders>
            <w:hideMark/>
          </w:tcPr>
          <w:p w14:paraId="42482AF2" w14:textId="77777777" w:rsidR="009658B2" w:rsidRPr="0013396E" w:rsidRDefault="009658B2" w:rsidP="0099759E">
            <w:pPr>
              <w:spacing w:after="60"/>
              <w:rPr>
                <w:iCs/>
                <w:sz w:val="20"/>
              </w:rPr>
            </w:pPr>
            <w:r w:rsidRPr="0013396E">
              <w:rPr>
                <w:iCs/>
                <w:sz w:val="20"/>
              </w:rPr>
              <w:t>MW</w:t>
            </w:r>
          </w:p>
        </w:tc>
        <w:tc>
          <w:tcPr>
            <w:tcW w:w="0" w:type="auto"/>
            <w:tcBorders>
              <w:top w:val="single" w:sz="4" w:space="0" w:color="auto"/>
              <w:left w:val="single" w:sz="4" w:space="0" w:color="auto"/>
              <w:bottom w:val="single" w:sz="4" w:space="0" w:color="auto"/>
              <w:right w:val="single" w:sz="4" w:space="0" w:color="auto"/>
            </w:tcBorders>
            <w:hideMark/>
          </w:tcPr>
          <w:p w14:paraId="65A4709C" w14:textId="77777777" w:rsidR="009658B2" w:rsidRPr="0013396E" w:rsidRDefault="009658B2" w:rsidP="0099759E">
            <w:pPr>
              <w:spacing w:after="60"/>
              <w:rPr>
                <w:iCs/>
                <w:sz w:val="20"/>
              </w:rPr>
            </w:pPr>
            <w:r w:rsidRPr="0013396E">
              <w:rPr>
                <w:i/>
                <w:iCs/>
                <w:sz w:val="20"/>
              </w:rPr>
              <w:t>Real-Time QSE-to-QSE Energy Purchase per QSE per Settlement Point</w:t>
            </w:r>
            <w:r w:rsidRPr="0013396E">
              <w:rPr>
                <w:iCs/>
                <w:sz w:val="20"/>
              </w:rPr>
              <w:sym w:font="Symbol" w:char="F0BE"/>
            </w:r>
            <w:r w:rsidRPr="0013396E">
              <w:rPr>
                <w:iCs/>
                <w:sz w:val="20"/>
              </w:rPr>
              <w:t xml:space="preserve">The amount of MW bought by QSE </w:t>
            </w:r>
            <w:r w:rsidRPr="0013396E">
              <w:rPr>
                <w:i/>
                <w:iCs/>
                <w:sz w:val="20"/>
              </w:rPr>
              <w:t>q</w:t>
            </w:r>
            <w:r w:rsidRPr="0013396E">
              <w:rPr>
                <w:iCs/>
                <w:sz w:val="20"/>
              </w:rPr>
              <w:t xml:space="preserve"> through Energy Trades at Settlement Point </w:t>
            </w:r>
            <w:r w:rsidRPr="0013396E">
              <w:rPr>
                <w:i/>
                <w:iCs/>
                <w:sz w:val="20"/>
              </w:rPr>
              <w:t>p</w:t>
            </w:r>
            <w:r w:rsidRPr="0013396E">
              <w:rPr>
                <w:iCs/>
                <w:sz w:val="20"/>
              </w:rPr>
              <w:t>, for the 15-minute Settlement Interval.</w:t>
            </w:r>
          </w:p>
        </w:tc>
      </w:tr>
      <w:tr w:rsidR="009658B2" w:rsidRPr="0013396E" w14:paraId="4175F869"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207749CF" w14:textId="77777777" w:rsidR="009658B2" w:rsidRPr="0013396E" w:rsidRDefault="009658B2" w:rsidP="0099759E">
            <w:pPr>
              <w:spacing w:after="60"/>
              <w:rPr>
                <w:iCs/>
                <w:sz w:val="20"/>
              </w:rPr>
            </w:pPr>
            <w:r w:rsidRPr="0013396E">
              <w:rPr>
                <w:iCs/>
                <w:sz w:val="20"/>
              </w:rPr>
              <w:t xml:space="preserve">SSSR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1B576025" w14:textId="77777777" w:rsidR="009658B2" w:rsidRPr="0013396E" w:rsidRDefault="009658B2" w:rsidP="0099759E">
            <w:pPr>
              <w:spacing w:after="60"/>
              <w:rPr>
                <w:iCs/>
                <w:sz w:val="20"/>
              </w:rPr>
            </w:pPr>
            <w:r w:rsidRPr="0013396E">
              <w:rPr>
                <w:iCs/>
                <w:sz w:val="20"/>
              </w:rPr>
              <w:t>MW</w:t>
            </w:r>
          </w:p>
        </w:tc>
        <w:tc>
          <w:tcPr>
            <w:tcW w:w="0" w:type="auto"/>
            <w:tcBorders>
              <w:top w:val="single" w:sz="4" w:space="0" w:color="auto"/>
              <w:left w:val="single" w:sz="4" w:space="0" w:color="auto"/>
              <w:bottom w:val="single" w:sz="4" w:space="0" w:color="auto"/>
              <w:right w:val="single" w:sz="4" w:space="0" w:color="auto"/>
            </w:tcBorders>
            <w:hideMark/>
          </w:tcPr>
          <w:p w14:paraId="02102C09" w14:textId="77777777" w:rsidR="009658B2" w:rsidRPr="0013396E" w:rsidRDefault="009658B2" w:rsidP="0099759E">
            <w:pPr>
              <w:spacing w:after="60"/>
              <w:rPr>
                <w:iCs/>
                <w:sz w:val="20"/>
              </w:rPr>
            </w:pPr>
            <w:r w:rsidRPr="0013396E">
              <w:rPr>
                <w:i/>
                <w:iCs/>
                <w:sz w:val="20"/>
              </w:rPr>
              <w:t>Self-Schedule with Source at Settlement Point per QSE per Settlement Point</w:t>
            </w:r>
            <w:r w:rsidRPr="0013396E">
              <w:rPr>
                <w:iCs/>
                <w:sz w:val="20"/>
              </w:rPr>
              <w:t xml:space="preserve">—The QSE </w:t>
            </w:r>
            <w:r w:rsidRPr="0013396E">
              <w:rPr>
                <w:i/>
                <w:iCs/>
                <w:sz w:val="20"/>
              </w:rPr>
              <w:t>q</w:t>
            </w:r>
            <w:r w:rsidRPr="0013396E">
              <w:rPr>
                <w:iCs/>
                <w:sz w:val="20"/>
              </w:rPr>
              <w:t xml:space="preserve">’s Self-Schedule with source at Settlement Point </w:t>
            </w:r>
            <w:r w:rsidRPr="0013396E">
              <w:rPr>
                <w:i/>
                <w:iCs/>
                <w:sz w:val="20"/>
              </w:rPr>
              <w:t>p</w:t>
            </w:r>
            <w:r w:rsidRPr="0013396E">
              <w:rPr>
                <w:iCs/>
                <w:sz w:val="20"/>
              </w:rPr>
              <w:t>, for the 15-minute Settlement Interval.</w:t>
            </w:r>
          </w:p>
        </w:tc>
      </w:tr>
      <w:tr w:rsidR="009658B2" w:rsidRPr="0013396E" w14:paraId="080FE1A1"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65C7B541" w14:textId="77777777" w:rsidR="009658B2" w:rsidRPr="0013396E" w:rsidRDefault="009658B2" w:rsidP="0099759E">
            <w:pPr>
              <w:spacing w:after="60"/>
              <w:rPr>
                <w:iCs/>
                <w:sz w:val="20"/>
              </w:rPr>
            </w:pPr>
            <w:r w:rsidRPr="0013396E">
              <w:rPr>
                <w:iCs/>
                <w:sz w:val="20"/>
              </w:rPr>
              <w:t xml:space="preserve">DAES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398158AE" w14:textId="77777777" w:rsidR="009658B2" w:rsidRPr="0013396E" w:rsidRDefault="009658B2" w:rsidP="0099759E">
            <w:pPr>
              <w:spacing w:after="60"/>
              <w:rPr>
                <w:iCs/>
                <w:sz w:val="20"/>
              </w:rPr>
            </w:pPr>
            <w:r w:rsidRPr="0013396E">
              <w:rPr>
                <w:iCs/>
                <w:sz w:val="20"/>
              </w:rPr>
              <w:t>MW</w:t>
            </w:r>
          </w:p>
        </w:tc>
        <w:tc>
          <w:tcPr>
            <w:tcW w:w="0" w:type="auto"/>
            <w:tcBorders>
              <w:top w:val="single" w:sz="4" w:space="0" w:color="auto"/>
              <w:left w:val="single" w:sz="4" w:space="0" w:color="auto"/>
              <w:bottom w:val="single" w:sz="4" w:space="0" w:color="auto"/>
              <w:right w:val="single" w:sz="4" w:space="0" w:color="auto"/>
            </w:tcBorders>
            <w:hideMark/>
          </w:tcPr>
          <w:p w14:paraId="3233CB6D" w14:textId="77777777" w:rsidR="009658B2" w:rsidRPr="0013396E" w:rsidRDefault="009658B2" w:rsidP="0099759E">
            <w:pPr>
              <w:spacing w:after="60"/>
              <w:rPr>
                <w:iCs/>
                <w:sz w:val="20"/>
              </w:rPr>
            </w:pPr>
            <w:r w:rsidRPr="0013396E">
              <w:rPr>
                <w:i/>
                <w:iCs/>
                <w:sz w:val="20"/>
              </w:rPr>
              <w:t>Day-Ahead Energy Sale per QSE per Settlement Point</w:t>
            </w:r>
            <w:r w:rsidRPr="0013396E">
              <w:rPr>
                <w:iCs/>
                <w:sz w:val="20"/>
              </w:rPr>
              <w:t xml:space="preserve">—The QSE </w:t>
            </w:r>
            <w:r w:rsidRPr="0013396E">
              <w:rPr>
                <w:i/>
                <w:iCs/>
                <w:sz w:val="20"/>
              </w:rPr>
              <w:t>q</w:t>
            </w:r>
            <w:r w:rsidRPr="0013396E">
              <w:rPr>
                <w:iCs/>
                <w:sz w:val="20"/>
              </w:rPr>
              <w:t xml:space="preserve">’s energy offers at Settlement Point </w:t>
            </w:r>
            <w:r w:rsidRPr="0013396E">
              <w:rPr>
                <w:i/>
                <w:iCs/>
                <w:sz w:val="20"/>
              </w:rPr>
              <w:t>p</w:t>
            </w:r>
            <w:r w:rsidRPr="0013396E">
              <w:rPr>
                <w:iCs/>
                <w:sz w:val="20"/>
              </w:rPr>
              <w:t xml:space="preserve"> cleared in the DAM, for the hour that includes the 15-minute Settlement Interval.</w:t>
            </w:r>
          </w:p>
        </w:tc>
      </w:tr>
      <w:tr w:rsidR="009658B2" w:rsidRPr="0013396E" w14:paraId="36D52C0A"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644F8679" w14:textId="77777777" w:rsidR="009658B2" w:rsidRPr="0013396E" w:rsidRDefault="009658B2" w:rsidP="0099759E">
            <w:pPr>
              <w:spacing w:after="60"/>
              <w:rPr>
                <w:iCs/>
                <w:sz w:val="20"/>
              </w:rPr>
            </w:pPr>
            <w:r w:rsidRPr="0013396E">
              <w:rPr>
                <w:iCs/>
                <w:sz w:val="20"/>
              </w:rPr>
              <w:t xml:space="preserve">RTQQES </w:t>
            </w:r>
            <w:r w:rsidRPr="0013396E">
              <w:rPr>
                <w:i/>
                <w:iCs/>
                <w:sz w:val="20"/>
                <w:vertAlign w:val="subscript"/>
              </w:rPr>
              <w:t>q, p</w:t>
            </w:r>
            <w:r w:rsidRPr="0013396E">
              <w:rPr>
                <w:iCs/>
                <w:sz w:val="20"/>
              </w:rPr>
              <w:t xml:space="preserve"> </w:t>
            </w:r>
          </w:p>
        </w:tc>
        <w:tc>
          <w:tcPr>
            <w:tcW w:w="903" w:type="dxa"/>
            <w:tcBorders>
              <w:top w:val="single" w:sz="4" w:space="0" w:color="auto"/>
              <w:left w:val="single" w:sz="4" w:space="0" w:color="auto"/>
              <w:bottom w:val="single" w:sz="4" w:space="0" w:color="auto"/>
              <w:right w:val="single" w:sz="4" w:space="0" w:color="auto"/>
            </w:tcBorders>
            <w:hideMark/>
          </w:tcPr>
          <w:p w14:paraId="59E6B782" w14:textId="77777777" w:rsidR="009658B2" w:rsidRPr="0013396E" w:rsidRDefault="009658B2" w:rsidP="0099759E">
            <w:pPr>
              <w:spacing w:after="60"/>
              <w:rPr>
                <w:iCs/>
                <w:sz w:val="20"/>
              </w:rPr>
            </w:pPr>
            <w:r w:rsidRPr="0013396E">
              <w:rPr>
                <w:iCs/>
                <w:sz w:val="20"/>
              </w:rPr>
              <w:t>MW</w:t>
            </w:r>
          </w:p>
        </w:tc>
        <w:tc>
          <w:tcPr>
            <w:tcW w:w="0" w:type="auto"/>
            <w:tcBorders>
              <w:top w:val="single" w:sz="4" w:space="0" w:color="auto"/>
              <w:left w:val="single" w:sz="4" w:space="0" w:color="auto"/>
              <w:bottom w:val="single" w:sz="4" w:space="0" w:color="auto"/>
              <w:right w:val="single" w:sz="4" w:space="0" w:color="auto"/>
            </w:tcBorders>
            <w:hideMark/>
          </w:tcPr>
          <w:p w14:paraId="031AD11E" w14:textId="77777777" w:rsidR="009658B2" w:rsidRPr="0013396E" w:rsidRDefault="009658B2" w:rsidP="0099759E">
            <w:pPr>
              <w:spacing w:after="60"/>
              <w:rPr>
                <w:iCs/>
                <w:sz w:val="20"/>
              </w:rPr>
            </w:pPr>
            <w:r w:rsidRPr="0013396E">
              <w:rPr>
                <w:i/>
                <w:iCs/>
                <w:sz w:val="20"/>
              </w:rPr>
              <w:t>Real-Time QSE-to-QSE Energy Sale per QSE per Settlement Point</w:t>
            </w:r>
            <w:r w:rsidRPr="0013396E">
              <w:rPr>
                <w:iCs/>
                <w:sz w:val="20"/>
              </w:rPr>
              <w:sym w:font="Symbol" w:char="F0BE"/>
            </w:r>
            <w:r w:rsidRPr="0013396E">
              <w:rPr>
                <w:iCs/>
                <w:sz w:val="20"/>
              </w:rPr>
              <w:t xml:space="preserve">The amount of MW sold by QSE </w:t>
            </w:r>
            <w:r w:rsidRPr="0013396E">
              <w:rPr>
                <w:i/>
                <w:iCs/>
                <w:sz w:val="20"/>
              </w:rPr>
              <w:t>q</w:t>
            </w:r>
            <w:r w:rsidRPr="0013396E">
              <w:rPr>
                <w:iCs/>
                <w:sz w:val="20"/>
              </w:rPr>
              <w:t xml:space="preserve"> through Energy Trades at Settlement Point </w:t>
            </w:r>
            <w:r w:rsidRPr="0013396E">
              <w:rPr>
                <w:i/>
                <w:iCs/>
                <w:sz w:val="20"/>
              </w:rPr>
              <w:t>p</w:t>
            </w:r>
            <w:r w:rsidRPr="0013396E">
              <w:rPr>
                <w:iCs/>
                <w:sz w:val="20"/>
              </w:rPr>
              <w:t>, for the 15-minute Settlement Interval.</w:t>
            </w:r>
          </w:p>
        </w:tc>
      </w:tr>
      <w:tr w:rsidR="009658B2" w:rsidRPr="0013396E" w14:paraId="5E91B5DD"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2B0741B2" w14:textId="77777777" w:rsidR="009658B2" w:rsidRPr="0013396E" w:rsidRDefault="009658B2" w:rsidP="0099759E">
            <w:pPr>
              <w:spacing w:after="60"/>
              <w:rPr>
                <w:iCs/>
                <w:sz w:val="20"/>
              </w:rPr>
            </w:pPr>
            <w:r w:rsidRPr="0013396E">
              <w:rPr>
                <w:iCs/>
                <w:sz w:val="20"/>
              </w:rPr>
              <w:t xml:space="preserve">RESREV </w:t>
            </w:r>
            <w:r w:rsidRPr="0013396E">
              <w:rPr>
                <w:i/>
                <w:iCs/>
                <w:sz w:val="20"/>
                <w:vertAlign w:val="subscript"/>
              </w:rPr>
              <w:t>q, r, gsc, p</w:t>
            </w:r>
          </w:p>
        </w:tc>
        <w:tc>
          <w:tcPr>
            <w:tcW w:w="903" w:type="dxa"/>
            <w:tcBorders>
              <w:top w:val="single" w:sz="4" w:space="0" w:color="auto"/>
              <w:left w:val="single" w:sz="4" w:space="0" w:color="auto"/>
              <w:bottom w:val="single" w:sz="4" w:space="0" w:color="auto"/>
              <w:right w:val="single" w:sz="4" w:space="0" w:color="auto"/>
            </w:tcBorders>
            <w:hideMark/>
          </w:tcPr>
          <w:p w14:paraId="50700DC6" w14:textId="77777777" w:rsidR="009658B2" w:rsidRPr="0013396E" w:rsidRDefault="009658B2" w:rsidP="0099759E">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75CD4309" w14:textId="77777777" w:rsidR="009658B2" w:rsidRPr="0013396E" w:rsidRDefault="009658B2" w:rsidP="0099759E">
            <w:pPr>
              <w:spacing w:after="60"/>
              <w:rPr>
                <w:i/>
                <w:iCs/>
                <w:sz w:val="20"/>
              </w:rPr>
            </w:pPr>
            <w:r w:rsidRPr="0013396E">
              <w:rPr>
                <w:i/>
                <w:iCs/>
                <w:sz w:val="20"/>
              </w:rPr>
              <w:t>Resource Share Revenue Settlement Payment</w:t>
            </w:r>
            <w:r w:rsidRPr="0013396E">
              <w:rPr>
                <w:iCs/>
                <w:sz w:val="20"/>
              </w:rPr>
              <w:t xml:space="preserve">—The Resource share of the total payment to the entire Facility with a net metering arrangement attributed to Resource </w:t>
            </w:r>
            <w:r w:rsidRPr="0013396E">
              <w:rPr>
                <w:i/>
                <w:iCs/>
                <w:sz w:val="20"/>
              </w:rPr>
              <w:t>r</w:t>
            </w:r>
            <w:r w:rsidRPr="0013396E">
              <w:rPr>
                <w:iCs/>
                <w:sz w:val="20"/>
              </w:rPr>
              <w:t xml:space="preserve"> that is part of a generation site code </w:t>
            </w:r>
            <w:r w:rsidRPr="0013396E">
              <w:rPr>
                <w:i/>
                <w:iCs/>
                <w:sz w:val="20"/>
              </w:rPr>
              <w:t>gsc</w:t>
            </w:r>
            <w:r w:rsidRPr="0013396E">
              <w:rPr>
                <w:iCs/>
                <w:sz w:val="20"/>
              </w:rPr>
              <w:t xml:space="preserve"> for the QSE </w:t>
            </w:r>
            <w:r w:rsidRPr="0013396E">
              <w:rPr>
                <w:i/>
                <w:iCs/>
                <w:sz w:val="20"/>
              </w:rPr>
              <w:t>q</w:t>
            </w:r>
            <w:r w:rsidRPr="0013396E">
              <w:rPr>
                <w:iCs/>
                <w:sz w:val="20"/>
              </w:rPr>
              <w:t xml:space="preserve"> at Settlement Point </w:t>
            </w:r>
            <w:r w:rsidRPr="0013396E">
              <w:rPr>
                <w:i/>
                <w:iCs/>
                <w:sz w:val="20"/>
              </w:rPr>
              <w:t>p</w:t>
            </w:r>
            <w:r w:rsidRPr="0013396E">
              <w:rPr>
                <w:iCs/>
                <w:sz w:val="20"/>
              </w:rPr>
              <w:t>.</w:t>
            </w:r>
          </w:p>
        </w:tc>
      </w:tr>
      <w:tr w:rsidR="009658B2" w:rsidRPr="0013396E" w14:paraId="776EF340"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16FADA65" w14:textId="77777777" w:rsidR="009658B2" w:rsidRPr="0013396E" w:rsidRDefault="009658B2" w:rsidP="0099759E">
            <w:pPr>
              <w:spacing w:after="60"/>
              <w:rPr>
                <w:iCs/>
                <w:sz w:val="20"/>
              </w:rPr>
            </w:pPr>
            <w:r w:rsidRPr="0013396E">
              <w:rPr>
                <w:iCs/>
                <w:sz w:val="20"/>
              </w:rPr>
              <w:t xml:space="preserve">RESMEB </w:t>
            </w:r>
            <w:r w:rsidRPr="0013396E">
              <w:rPr>
                <w:i/>
                <w:iCs/>
                <w:sz w:val="20"/>
                <w:vertAlign w:val="subscript"/>
              </w:rPr>
              <w:t>q, r, gsc, p</w:t>
            </w:r>
          </w:p>
        </w:tc>
        <w:tc>
          <w:tcPr>
            <w:tcW w:w="903" w:type="dxa"/>
            <w:tcBorders>
              <w:top w:val="single" w:sz="4" w:space="0" w:color="auto"/>
              <w:left w:val="single" w:sz="4" w:space="0" w:color="auto"/>
              <w:bottom w:val="single" w:sz="4" w:space="0" w:color="auto"/>
              <w:right w:val="single" w:sz="4" w:space="0" w:color="auto"/>
            </w:tcBorders>
            <w:hideMark/>
          </w:tcPr>
          <w:p w14:paraId="309918E1"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hideMark/>
          </w:tcPr>
          <w:p w14:paraId="7C5C2E73" w14:textId="77777777" w:rsidR="009658B2" w:rsidRPr="0013396E" w:rsidRDefault="009658B2" w:rsidP="0099759E">
            <w:pPr>
              <w:spacing w:after="60"/>
              <w:rPr>
                <w:i/>
                <w:iCs/>
                <w:sz w:val="20"/>
              </w:rPr>
            </w:pPr>
            <w:r w:rsidRPr="0013396E">
              <w:rPr>
                <w:i/>
                <w:iCs/>
                <w:sz w:val="20"/>
              </w:rPr>
              <w:t>Resource Share Net Meter Real-Time Energy Total</w:t>
            </w:r>
            <w:r w:rsidRPr="0013396E">
              <w:rPr>
                <w:iCs/>
                <w:sz w:val="20"/>
              </w:rPr>
              <w:t xml:space="preserve">—The Resource share of the net sum for all Settlement Meters attributed to Resource </w:t>
            </w:r>
            <w:r w:rsidRPr="0013396E">
              <w:rPr>
                <w:i/>
                <w:iCs/>
                <w:sz w:val="20"/>
              </w:rPr>
              <w:t>r</w:t>
            </w:r>
            <w:r w:rsidRPr="0013396E">
              <w:rPr>
                <w:iCs/>
                <w:sz w:val="20"/>
              </w:rPr>
              <w:t xml:space="preserve"> that is part of a generation site code </w:t>
            </w:r>
            <w:r w:rsidRPr="0013396E">
              <w:rPr>
                <w:i/>
                <w:iCs/>
                <w:sz w:val="20"/>
              </w:rPr>
              <w:t>gsc</w:t>
            </w:r>
            <w:r w:rsidRPr="0013396E">
              <w:rPr>
                <w:iCs/>
                <w:sz w:val="20"/>
              </w:rPr>
              <w:t xml:space="preserve"> for the QSE </w:t>
            </w:r>
            <w:r w:rsidRPr="0013396E">
              <w:rPr>
                <w:i/>
                <w:iCs/>
                <w:sz w:val="20"/>
              </w:rPr>
              <w:t>q</w:t>
            </w:r>
            <w:r w:rsidRPr="0013396E">
              <w:rPr>
                <w:iCs/>
                <w:sz w:val="20"/>
              </w:rPr>
              <w:t xml:space="preserve"> at Settlement Point </w:t>
            </w:r>
            <w:r w:rsidRPr="0013396E">
              <w:rPr>
                <w:i/>
                <w:iCs/>
                <w:sz w:val="20"/>
              </w:rPr>
              <w:t>p</w:t>
            </w:r>
            <w:r w:rsidRPr="0013396E">
              <w:rPr>
                <w:iCs/>
                <w:sz w:val="20"/>
              </w:rPr>
              <w:t xml:space="preserve">.  </w:t>
            </w:r>
          </w:p>
        </w:tc>
      </w:tr>
      <w:tr w:rsidR="009658B2" w:rsidRPr="0013396E" w14:paraId="691B70A6"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7676D9A7" w14:textId="77777777" w:rsidR="009658B2" w:rsidRPr="0013396E" w:rsidRDefault="009658B2" w:rsidP="0099759E">
            <w:pPr>
              <w:spacing w:after="60"/>
              <w:rPr>
                <w:iCs/>
                <w:sz w:val="20"/>
              </w:rPr>
            </w:pPr>
            <w:r w:rsidRPr="0013396E">
              <w:rPr>
                <w:iCs/>
                <w:sz w:val="20"/>
              </w:rPr>
              <w:t xml:space="preserve">WSLTOT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4888E22A"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hideMark/>
          </w:tcPr>
          <w:p w14:paraId="465940E5" w14:textId="77777777" w:rsidR="009658B2" w:rsidRPr="0013396E" w:rsidRDefault="009658B2" w:rsidP="0099759E">
            <w:pPr>
              <w:spacing w:after="60"/>
              <w:rPr>
                <w:i/>
                <w:iCs/>
                <w:sz w:val="20"/>
              </w:rPr>
            </w:pPr>
            <w:r w:rsidRPr="0013396E">
              <w:rPr>
                <w:i/>
                <w:iCs/>
                <w:sz w:val="20"/>
              </w:rPr>
              <w:t>WSL Total</w:t>
            </w:r>
            <w:r w:rsidRPr="0013396E">
              <w:rPr>
                <w:iCs/>
                <w:sz w:val="20"/>
              </w:rPr>
              <w:t xml:space="preserve">—The total WSL energy metered by the Settlement Meters which measure WSL for the QSE </w:t>
            </w:r>
            <w:r w:rsidRPr="0013396E">
              <w:rPr>
                <w:i/>
                <w:iCs/>
                <w:sz w:val="20"/>
              </w:rPr>
              <w:t>q</w:t>
            </w:r>
            <w:r w:rsidRPr="0013396E">
              <w:rPr>
                <w:iCs/>
                <w:sz w:val="20"/>
              </w:rPr>
              <w:t xml:space="preserve"> at Settlement Point </w:t>
            </w:r>
            <w:r w:rsidRPr="0013396E">
              <w:rPr>
                <w:i/>
                <w:iCs/>
                <w:sz w:val="20"/>
              </w:rPr>
              <w:t>p</w:t>
            </w:r>
            <w:r w:rsidRPr="0013396E">
              <w:rPr>
                <w:iCs/>
                <w:sz w:val="20"/>
              </w:rPr>
              <w:t xml:space="preserve">.  </w:t>
            </w:r>
          </w:p>
        </w:tc>
      </w:tr>
      <w:tr w:rsidR="009658B2" w:rsidRPr="0013396E" w14:paraId="6BF983F4" w14:textId="77777777" w:rsidTr="009658B2">
        <w:trPr>
          <w:cantSplit/>
        </w:trPr>
        <w:tc>
          <w:tcPr>
            <w:tcW w:w="9350" w:type="dxa"/>
            <w:gridSpan w:val="3"/>
            <w:tcBorders>
              <w:top w:val="single" w:sz="4" w:space="0" w:color="auto"/>
              <w:left w:val="single" w:sz="4" w:space="0" w:color="auto"/>
              <w:bottom w:val="single" w:sz="4" w:space="0" w:color="auto"/>
              <w:right w:val="single" w:sz="4" w:space="0" w:color="auto"/>
            </w:tcBorders>
            <w:hideMark/>
          </w:tcPr>
          <w:p w14:paraId="5CBD79E1" w14:textId="77777777" w:rsidR="009658B2" w:rsidRPr="0013396E" w:rsidRDefault="009658B2" w:rsidP="0099759E">
            <w:pPr>
              <w:spacing w:after="60"/>
              <w:rPr>
                <w:i/>
                <w:iCs/>
                <w:sz w:val="20"/>
              </w:rPr>
            </w:pPr>
          </w:p>
        </w:tc>
      </w:tr>
      <w:tr w:rsidR="009658B2" w:rsidRPr="0013396E" w14:paraId="4F5B0027" w14:textId="77777777" w:rsidTr="009658B2">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9658B2" w:rsidRPr="0013396E" w14:paraId="53310C79" w14:textId="77777777" w:rsidTr="0099759E">
              <w:trPr>
                <w:trHeight w:val="206"/>
              </w:trPr>
              <w:tc>
                <w:tcPr>
                  <w:tcW w:w="5000" w:type="pct"/>
                  <w:shd w:val="pct12" w:color="auto" w:fill="auto"/>
                </w:tcPr>
                <w:p w14:paraId="1EA956D3" w14:textId="7AE654EC" w:rsidR="009658B2" w:rsidRPr="0013396E" w:rsidRDefault="009658B2" w:rsidP="009658B2">
                  <w:pPr>
                    <w:pStyle w:val="Instructions"/>
                    <w:spacing w:before="120"/>
                    <w:ind w:right="-114"/>
                  </w:pPr>
                  <w:r w:rsidRPr="0013396E">
                    <w:t xml:space="preserve">[NPRR1188:  </w:t>
                  </w:r>
                  <w:r>
                    <w:t xml:space="preserve">Insert the variable </w:t>
                  </w:r>
                  <w:r w:rsidRPr="009658B2">
                    <w:t xml:space="preserve">“CLRTOT </w:t>
                  </w:r>
                  <w:r w:rsidRPr="009658B2">
                    <w:rPr>
                      <w:vertAlign w:val="subscript"/>
                    </w:rPr>
                    <w:t>q, p</w:t>
                  </w:r>
                  <w:r>
                    <w:t>” below</w:t>
                  </w:r>
                  <w:r w:rsidRPr="0013396E">
                    <w:t xml:space="preserve">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697"/>
                    <w:gridCol w:w="6511"/>
                  </w:tblGrid>
                  <w:tr w:rsidR="009658B2" w:rsidRPr="0013396E" w14:paraId="15DD31F6" w14:textId="77777777" w:rsidTr="0099759E">
                    <w:trPr>
                      <w:cantSplit/>
                    </w:trPr>
                    <w:tc>
                      <w:tcPr>
                        <w:tcW w:w="1997" w:type="dxa"/>
                        <w:tcBorders>
                          <w:top w:val="single" w:sz="4" w:space="0" w:color="auto"/>
                          <w:left w:val="single" w:sz="4" w:space="0" w:color="auto"/>
                          <w:bottom w:val="single" w:sz="4" w:space="0" w:color="auto"/>
                          <w:right w:val="single" w:sz="4" w:space="0" w:color="auto"/>
                        </w:tcBorders>
                      </w:tcPr>
                      <w:p w14:paraId="2223EDC8" w14:textId="4B85CD6E" w:rsidR="009658B2" w:rsidRPr="0013396E" w:rsidRDefault="009658B2" w:rsidP="009658B2">
                        <w:pPr>
                          <w:spacing w:after="60"/>
                          <w:rPr>
                            <w:iCs/>
                            <w:sz w:val="20"/>
                          </w:rPr>
                        </w:pPr>
                        <w:r w:rsidRPr="00812ECB">
                          <w:rPr>
                            <w:sz w:val="20"/>
                          </w:rPr>
                          <w:t xml:space="preserve">CLRTOT </w:t>
                        </w:r>
                        <w:r w:rsidRPr="00812ECB">
                          <w:rPr>
                            <w:i/>
                            <w:sz w:val="20"/>
                            <w:vertAlign w:val="subscript"/>
                          </w:rPr>
                          <w:t>q, p</w:t>
                        </w:r>
                      </w:p>
                    </w:tc>
                    <w:tc>
                      <w:tcPr>
                        <w:tcW w:w="0" w:type="auto"/>
                        <w:tcBorders>
                          <w:top w:val="single" w:sz="4" w:space="0" w:color="auto"/>
                          <w:left w:val="single" w:sz="4" w:space="0" w:color="auto"/>
                          <w:bottom w:val="single" w:sz="4" w:space="0" w:color="auto"/>
                          <w:right w:val="single" w:sz="4" w:space="0" w:color="auto"/>
                        </w:tcBorders>
                      </w:tcPr>
                      <w:p w14:paraId="5765E3B4" w14:textId="5A2E19BC" w:rsidR="009658B2" w:rsidRPr="0013396E" w:rsidRDefault="009658B2" w:rsidP="009658B2">
                        <w:pPr>
                          <w:spacing w:after="60"/>
                          <w:rPr>
                            <w:iCs/>
                            <w:sz w:val="20"/>
                          </w:rPr>
                        </w:pPr>
                        <w:r w:rsidRPr="00812ECB">
                          <w:rPr>
                            <w:sz w:val="20"/>
                          </w:rPr>
                          <w:t>MWh</w:t>
                        </w:r>
                      </w:p>
                    </w:tc>
                    <w:tc>
                      <w:tcPr>
                        <w:tcW w:w="0" w:type="auto"/>
                        <w:tcBorders>
                          <w:top w:val="single" w:sz="4" w:space="0" w:color="auto"/>
                          <w:left w:val="single" w:sz="4" w:space="0" w:color="auto"/>
                          <w:bottom w:val="single" w:sz="4" w:space="0" w:color="auto"/>
                          <w:right w:val="single" w:sz="4" w:space="0" w:color="auto"/>
                        </w:tcBorders>
                      </w:tcPr>
                      <w:p w14:paraId="7ADD4641" w14:textId="0801250D" w:rsidR="009658B2" w:rsidRPr="0013396E" w:rsidRDefault="009658B2" w:rsidP="009658B2">
                        <w:pPr>
                          <w:spacing w:after="60"/>
                          <w:rPr>
                            <w:i/>
                            <w:sz w:val="20"/>
                          </w:rPr>
                        </w:pPr>
                        <w:r w:rsidRPr="00812ECB">
                          <w:rPr>
                            <w:i/>
                            <w:sz w:val="20"/>
                          </w:rPr>
                          <w:t>CLR Load Total</w:t>
                        </w:r>
                        <w:r w:rsidRPr="00812ECB">
                          <w:rPr>
                            <w:sz w:val="20"/>
                          </w:rPr>
                          <w:t xml:space="preserve">—The total energy metered by the Settlement Meters which measures CLR Load for the QSE </w:t>
                        </w:r>
                        <w:r w:rsidRPr="00812ECB">
                          <w:rPr>
                            <w:i/>
                            <w:sz w:val="20"/>
                          </w:rPr>
                          <w:t>q</w:t>
                        </w:r>
                        <w:r w:rsidRPr="00812ECB">
                          <w:rPr>
                            <w:sz w:val="20"/>
                          </w:rPr>
                          <w:t xml:space="preserve"> at Settlement Point </w:t>
                        </w:r>
                        <w:r w:rsidRPr="00812ECB">
                          <w:rPr>
                            <w:i/>
                            <w:sz w:val="20"/>
                          </w:rPr>
                          <w:t>p.</w:t>
                        </w:r>
                        <w:r w:rsidRPr="00812ECB">
                          <w:rPr>
                            <w:sz w:val="20"/>
                          </w:rPr>
                          <w:t xml:space="preserve">  </w:t>
                        </w:r>
                      </w:p>
                    </w:tc>
                  </w:tr>
                </w:tbl>
                <w:p w14:paraId="6174A6D4" w14:textId="70630C89" w:rsidR="009658B2" w:rsidRPr="009658B2" w:rsidRDefault="009658B2" w:rsidP="009658B2">
                  <w:pPr>
                    <w:spacing w:after="60"/>
                    <w:rPr>
                      <w:iCs/>
                      <w:sz w:val="20"/>
                    </w:rPr>
                  </w:pPr>
                </w:p>
              </w:tc>
            </w:tr>
          </w:tbl>
          <w:p w14:paraId="5CD76C1A" w14:textId="77777777" w:rsidR="009658B2" w:rsidRPr="0013396E" w:rsidRDefault="009658B2" w:rsidP="0099759E">
            <w:pPr>
              <w:spacing w:after="60"/>
              <w:rPr>
                <w:i/>
                <w:sz w:val="20"/>
              </w:rPr>
            </w:pPr>
          </w:p>
        </w:tc>
      </w:tr>
      <w:tr w:rsidR="009658B2" w:rsidRPr="0013396E" w14:paraId="3B5A9CBC" w14:textId="77777777" w:rsidTr="005A7D8E">
        <w:trPr>
          <w:cantSplit/>
        </w:trPr>
        <w:tc>
          <w:tcPr>
            <w:tcW w:w="1885" w:type="dxa"/>
            <w:tcBorders>
              <w:top w:val="single" w:sz="4" w:space="0" w:color="auto"/>
              <w:left w:val="single" w:sz="4" w:space="0" w:color="auto"/>
              <w:bottom w:val="single" w:sz="4" w:space="0" w:color="auto"/>
              <w:right w:val="single" w:sz="4" w:space="0" w:color="auto"/>
            </w:tcBorders>
          </w:tcPr>
          <w:p w14:paraId="3C1B6680" w14:textId="77777777" w:rsidR="009658B2" w:rsidRPr="0013396E" w:rsidRDefault="009658B2" w:rsidP="0099759E">
            <w:pPr>
              <w:spacing w:after="60"/>
              <w:rPr>
                <w:bCs/>
                <w:iCs/>
                <w:sz w:val="20"/>
              </w:rPr>
            </w:pPr>
            <w:r w:rsidRPr="0013396E">
              <w:rPr>
                <w:iCs/>
                <w:sz w:val="20"/>
              </w:rPr>
              <w:t xml:space="preserve">ESRNWSLTOT </w:t>
            </w:r>
            <w:r w:rsidRPr="0013396E">
              <w:rPr>
                <w:i/>
                <w:iCs/>
                <w:sz w:val="20"/>
                <w:vertAlign w:val="subscript"/>
              </w:rPr>
              <w:t>q, p</w:t>
            </w:r>
          </w:p>
        </w:tc>
        <w:tc>
          <w:tcPr>
            <w:tcW w:w="903" w:type="dxa"/>
            <w:tcBorders>
              <w:top w:val="single" w:sz="4" w:space="0" w:color="auto"/>
              <w:left w:val="single" w:sz="4" w:space="0" w:color="auto"/>
              <w:bottom w:val="single" w:sz="4" w:space="0" w:color="auto"/>
              <w:right w:val="single" w:sz="4" w:space="0" w:color="auto"/>
            </w:tcBorders>
          </w:tcPr>
          <w:p w14:paraId="0237FEAA"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tcPr>
          <w:p w14:paraId="39318225" w14:textId="77777777" w:rsidR="009658B2" w:rsidRPr="0013396E" w:rsidRDefault="009658B2" w:rsidP="0099759E">
            <w:pPr>
              <w:spacing w:after="60"/>
              <w:rPr>
                <w:i/>
                <w:iCs/>
                <w:sz w:val="20"/>
              </w:rPr>
            </w:pPr>
            <w:r w:rsidRPr="0013396E">
              <w:rPr>
                <w:i/>
                <w:sz w:val="20"/>
              </w:rPr>
              <w:t>ESR Non-WSL Total</w:t>
            </w:r>
            <w:r w:rsidRPr="0013396E">
              <w:rPr>
                <w:sz w:val="20"/>
              </w:rPr>
              <w:t xml:space="preserve">—The total energy metered by the Settlement Meters which measure Non-WSL ESR Charging Load for the QSE </w:t>
            </w:r>
            <w:r w:rsidRPr="0013396E">
              <w:rPr>
                <w:i/>
                <w:sz w:val="20"/>
              </w:rPr>
              <w:t>q</w:t>
            </w:r>
            <w:r w:rsidRPr="0013396E">
              <w:rPr>
                <w:sz w:val="20"/>
              </w:rPr>
              <w:t xml:space="preserve"> at Settlement Point </w:t>
            </w:r>
            <w:r w:rsidRPr="0013396E">
              <w:rPr>
                <w:i/>
                <w:sz w:val="20"/>
              </w:rPr>
              <w:t>p.</w:t>
            </w:r>
            <w:r w:rsidRPr="0013396E">
              <w:rPr>
                <w:sz w:val="20"/>
              </w:rPr>
              <w:t xml:space="preserve">  </w:t>
            </w:r>
          </w:p>
        </w:tc>
      </w:tr>
      <w:tr w:rsidR="009658B2" w:rsidRPr="0013396E" w14:paraId="6B8DE441"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1E3BBA3B" w14:textId="77777777" w:rsidR="009658B2" w:rsidRPr="0013396E" w:rsidRDefault="009658B2" w:rsidP="0099759E">
            <w:pPr>
              <w:spacing w:after="60"/>
              <w:rPr>
                <w:iCs/>
                <w:sz w:val="20"/>
              </w:rPr>
            </w:pPr>
            <w:r w:rsidRPr="0013396E">
              <w:rPr>
                <w:bCs/>
                <w:iCs/>
                <w:sz w:val="20"/>
              </w:rPr>
              <w:t xml:space="preserve">MEBL </w:t>
            </w:r>
            <w:r w:rsidRPr="0013396E">
              <w:rPr>
                <w:bCs/>
                <w:i/>
                <w:iCs/>
                <w:sz w:val="20"/>
                <w:vertAlign w:val="subscript"/>
              </w:rPr>
              <w:t>q,r,b</w:t>
            </w:r>
          </w:p>
        </w:tc>
        <w:tc>
          <w:tcPr>
            <w:tcW w:w="903" w:type="dxa"/>
            <w:tcBorders>
              <w:top w:val="single" w:sz="4" w:space="0" w:color="auto"/>
              <w:left w:val="single" w:sz="4" w:space="0" w:color="auto"/>
              <w:bottom w:val="single" w:sz="4" w:space="0" w:color="auto"/>
              <w:right w:val="single" w:sz="4" w:space="0" w:color="auto"/>
            </w:tcBorders>
            <w:hideMark/>
          </w:tcPr>
          <w:p w14:paraId="74642C6B"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hideMark/>
          </w:tcPr>
          <w:p w14:paraId="4208ED8C" w14:textId="77777777" w:rsidR="009658B2" w:rsidRPr="0013396E" w:rsidRDefault="009658B2" w:rsidP="0099759E">
            <w:pPr>
              <w:spacing w:after="60"/>
              <w:rPr>
                <w:i/>
                <w:iCs/>
                <w:sz w:val="20"/>
              </w:rPr>
            </w:pPr>
            <w:r w:rsidRPr="0013396E">
              <w:rPr>
                <w:i/>
                <w:iCs/>
                <w:sz w:val="20"/>
              </w:rPr>
              <w:t>Metered Energy for Wholesale Storage Load at bus</w:t>
            </w:r>
            <w:r w:rsidRPr="0013396E">
              <w:rPr>
                <w:iCs/>
                <w:sz w:val="20"/>
              </w:rPr>
              <w:sym w:font="Symbol" w:char="F0BE"/>
            </w:r>
            <w:r w:rsidRPr="0013396E">
              <w:rPr>
                <w:iCs/>
                <w:sz w:val="20"/>
              </w:rPr>
              <w:t xml:space="preserve">The WSL energy metered by the Settlement Meter which measures WSL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 xml:space="preserve">.  </w:t>
            </w:r>
          </w:p>
        </w:tc>
      </w:tr>
      <w:tr w:rsidR="009658B2" w:rsidRPr="0013396E" w14:paraId="21A63732" w14:textId="77777777" w:rsidTr="009658B2">
        <w:trPr>
          <w:cantSplit/>
        </w:trPr>
        <w:tc>
          <w:tcPr>
            <w:tcW w:w="9350" w:type="dxa"/>
            <w:gridSpan w:val="3"/>
            <w:tcBorders>
              <w:top w:val="single" w:sz="4" w:space="0" w:color="auto"/>
              <w:left w:val="single" w:sz="4" w:space="0" w:color="auto"/>
              <w:bottom w:val="single" w:sz="4" w:space="0" w:color="auto"/>
              <w:right w:val="single" w:sz="4" w:space="0" w:color="auto"/>
            </w:tcBorders>
            <w:hideMark/>
          </w:tcPr>
          <w:p w14:paraId="3D7A8DFF" w14:textId="77777777" w:rsidR="009658B2" w:rsidRPr="0013396E" w:rsidRDefault="009658B2" w:rsidP="0099759E">
            <w:pPr>
              <w:spacing w:after="60"/>
              <w:rPr>
                <w:i/>
                <w:iCs/>
                <w:sz w:val="20"/>
              </w:rPr>
            </w:pPr>
          </w:p>
        </w:tc>
      </w:tr>
      <w:tr w:rsidR="009658B2" w:rsidRPr="0013396E" w14:paraId="3B625A94" w14:textId="77777777" w:rsidTr="00815FFF">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9658B2" w:rsidRPr="0013396E" w14:paraId="5FD8E513" w14:textId="77777777" w:rsidTr="0099759E">
              <w:trPr>
                <w:trHeight w:val="206"/>
              </w:trPr>
              <w:tc>
                <w:tcPr>
                  <w:tcW w:w="5000" w:type="pct"/>
                  <w:shd w:val="pct12" w:color="auto" w:fill="auto"/>
                </w:tcPr>
                <w:p w14:paraId="26FD5981" w14:textId="03083BC3" w:rsidR="009658B2" w:rsidRPr="0013396E" w:rsidRDefault="009658B2" w:rsidP="009658B2">
                  <w:pPr>
                    <w:pStyle w:val="Instructions"/>
                    <w:spacing w:before="120"/>
                    <w:ind w:right="-114"/>
                  </w:pPr>
                  <w:r w:rsidRPr="0013396E">
                    <w:lastRenderedPageBreak/>
                    <w:t xml:space="preserve">[NPRR1188:  </w:t>
                  </w:r>
                  <w:r>
                    <w:t xml:space="preserve">Insert the variable </w:t>
                  </w:r>
                  <w:r w:rsidRPr="009658B2">
                    <w:t xml:space="preserve">“MEBCL </w:t>
                  </w:r>
                  <w:r w:rsidRPr="009658B2">
                    <w:rPr>
                      <w:vertAlign w:val="subscript"/>
                    </w:rPr>
                    <w:t>q, r, b</w:t>
                  </w:r>
                  <w:r>
                    <w:t>” below</w:t>
                  </w:r>
                  <w:r w:rsidRPr="0013396E">
                    <w:t xml:space="preserve">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697"/>
                    <w:gridCol w:w="6511"/>
                  </w:tblGrid>
                  <w:tr w:rsidR="009658B2" w:rsidRPr="0013396E" w14:paraId="16982380" w14:textId="77777777" w:rsidTr="0099759E">
                    <w:trPr>
                      <w:cantSplit/>
                    </w:trPr>
                    <w:tc>
                      <w:tcPr>
                        <w:tcW w:w="1997" w:type="dxa"/>
                        <w:tcBorders>
                          <w:top w:val="single" w:sz="4" w:space="0" w:color="auto"/>
                          <w:left w:val="single" w:sz="4" w:space="0" w:color="auto"/>
                          <w:bottom w:val="single" w:sz="4" w:space="0" w:color="auto"/>
                          <w:right w:val="single" w:sz="4" w:space="0" w:color="auto"/>
                        </w:tcBorders>
                      </w:tcPr>
                      <w:p w14:paraId="605F6821" w14:textId="10E5A69C" w:rsidR="009658B2" w:rsidRPr="0013396E" w:rsidRDefault="009658B2" w:rsidP="009658B2">
                        <w:pPr>
                          <w:spacing w:after="60"/>
                          <w:rPr>
                            <w:iCs/>
                            <w:sz w:val="20"/>
                          </w:rPr>
                        </w:pPr>
                        <w:r w:rsidRPr="0013396E">
                          <w:rPr>
                            <w:sz w:val="20"/>
                          </w:rPr>
                          <w:t xml:space="preserve">MEBCL </w:t>
                        </w:r>
                        <w:r w:rsidRPr="0013396E">
                          <w:rPr>
                            <w:i/>
                            <w:sz w:val="20"/>
                            <w:vertAlign w:val="subscript"/>
                          </w:rPr>
                          <w:t>q, r, b</w:t>
                        </w:r>
                      </w:p>
                    </w:tc>
                    <w:tc>
                      <w:tcPr>
                        <w:tcW w:w="0" w:type="auto"/>
                        <w:tcBorders>
                          <w:top w:val="single" w:sz="4" w:space="0" w:color="auto"/>
                          <w:left w:val="single" w:sz="4" w:space="0" w:color="auto"/>
                          <w:bottom w:val="single" w:sz="4" w:space="0" w:color="auto"/>
                          <w:right w:val="single" w:sz="4" w:space="0" w:color="auto"/>
                        </w:tcBorders>
                      </w:tcPr>
                      <w:p w14:paraId="472A91A7" w14:textId="7C78F82C" w:rsidR="009658B2" w:rsidRPr="0013396E" w:rsidRDefault="009658B2" w:rsidP="009658B2">
                        <w:pPr>
                          <w:spacing w:after="60"/>
                          <w:rPr>
                            <w:iCs/>
                            <w:sz w:val="20"/>
                          </w:rPr>
                        </w:pPr>
                        <w:r w:rsidRPr="0013396E">
                          <w:rPr>
                            <w:sz w:val="20"/>
                          </w:rPr>
                          <w:t>MWh</w:t>
                        </w:r>
                      </w:p>
                    </w:tc>
                    <w:tc>
                      <w:tcPr>
                        <w:tcW w:w="0" w:type="auto"/>
                        <w:tcBorders>
                          <w:top w:val="single" w:sz="4" w:space="0" w:color="auto"/>
                          <w:left w:val="single" w:sz="4" w:space="0" w:color="auto"/>
                          <w:bottom w:val="single" w:sz="4" w:space="0" w:color="auto"/>
                          <w:right w:val="single" w:sz="4" w:space="0" w:color="auto"/>
                        </w:tcBorders>
                      </w:tcPr>
                      <w:p w14:paraId="4722A170" w14:textId="4050E1D9" w:rsidR="009658B2" w:rsidRPr="0013396E" w:rsidRDefault="009658B2" w:rsidP="009658B2">
                        <w:pPr>
                          <w:spacing w:after="60"/>
                          <w:rPr>
                            <w:i/>
                            <w:sz w:val="20"/>
                          </w:rPr>
                        </w:pPr>
                        <w:r w:rsidRPr="0013396E">
                          <w:rPr>
                            <w:i/>
                            <w:sz w:val="20"/>
                          </w:rPr>
                          <w:t>Calculated Metered Energy for CLR Load at Bus</w:t>
                        </w:r>
                        <w:r w:rsidRPr="0013396E">
                          <w:rPr>
                            <w:sz w:val="20"/>
                          </w:rPr>
                          <w:t xml:space="preserve">—The calculated CLR Load, adjusted for Unaccounted For Energy (UFE), for the 15-minute Settlement Interval represented as a negative value, for the QSE </w:t>
                        </w:r>
                        <w:r w:rsidRPr="0013396E">
                          <w:rPr>
                            <w:i/>
                            <w:sz w:val="20"/>
                          </w:rPr>
                          <w:t>q</w:t>
                        </w:r>
                        <w:r w:rsidRPr="0013396E">
                          <w:rPr>
                            <w:sz w:val="20"/>
                          </w:rPr>
                          <w:t xml:space="preserve">, Resource </w:t>
                        </w:r>
                        <w:r w:rsidRPr="0013396E">
                          <w:rPr>
                            <w:i/>
                            <w:sz w:val="20"/>
                          </w:rPr>
                          <w:t>r</w:t>
                        </w:r>
                        <w:r w:rsidRPr="0013396E">
                          <w:rPr>
                            <w:sz w:val="20"/>
                          </w:rPr>
                          <w:t xml:space="preserve">, at bus </w:t>
                        </w:r>
                        <w:r w:rsidRPr="0013396E">
                          <w:rPr>
                            <w:i/>
                            <w:sz w:val="20"/>
                          </w:rPr>
                          <w:t>b</w:t>
                        </w:r>
                        <w:r w:rsidRPr="0013396E">
                          <w:rPr>
                            <w:sz w:val="20"/>
                          </w:rPr>
                          <w:t>.</w:t>
                        </w:r>
                      </w:p>
                    </w:tc>
                  </w:tr>
                </w:tbl>
                <w:p w14:paraId="6596A8DC" w14:textId="77777777" w:rsidR="009658B2" w:rsidRPr="009658B2" w:rsidRDefault="009658B2" w:rsidP="009658B2">
                  <w:pPr>
                    <w:spacing w:after="60"/>
                    <w:rPr>
                      <w:iCs/>
                      <w:sz w:val="20"/>
                    </w:rPr>
                  </w:pPr>
                </w:p>
              </w:tc>
            </w:tr>
          </w:tbl>
          <w:p w14:paraId="75683FBE" w14:textId="77777777" w:rsidR="009658B2" w:rsidRPr="0013396E" w:rsidRDefault="009658B2" w:rsidP="0099759E">
            <w:pPr>
              <w:spacing w:after="60"/>
              <w:rPr>
                <w:i/>
                <w:iCs/>
                <w:sz w:val="20"/>
              </w:rPr>
            </w:pPr>
          </w:p>
        </w:tc>
      </w:tr>
      <w:tr w:rsidR="009658B2" w:rsidRPr="0013396E" w14:paraId="77EE0695" w14:textId="77777777" w:rsidTr="005A7D8E">
        <w:trPr>
          <w:cantSplit/>
        </w:trPr>
        <w:tc>
          <w:tcPr>
            <w:tcW w:w="1885" w:type="dxa"/>
            <w:tcBorders>
              <w:top w:val="single" w:sz="4" w:space="0" w:color="auto"/>
              <w:left w:val="single" w:sz="4" w:space="0" w:color="auto"/>
              <w:bottom w:val="single" w:sz="4" w:space="0" w:color="auto"/>
              <w:right w:val="single" w:sz="4" w:space="0" w:color="auto"/>
            </w:tcBorders>
          </w:tcPr>
          <w:p w14:paraId="0D7109EE" w14:textId="77777777" w:rsidR="009658B2" w:rsidRPr="0013396E" w:rsidRDefault="009658B2" w:rsidP="0099759E">
            <w:pPr>
              <w:spacing w:after="60"/>
              <w:rPr>
                <w:iCs/>
                <w:sz w:val="20"/>
              </w:rPr>
            </w:pPr>
            <w:r w:rsidRPr="0013396E">
              <w:rPr>
                <w:iCs/>
                <w:sz w:val="20"/>
              </w:rPr>
              <w:t xml:space="preserve">MEBR </w:t>
            </w:r>
            <w:r w:rsidRPr="0013396E">
              <w:rPr>
                <w:i/>
                <w:iCs/>
                <w:sz w:val="20"/>
                <w:vertAlign w:val="subscript"/>
              </w:rPr>
              <w:t>q, r, b</w:t>
            </w:r>
          </w:p>
        </w:tc>
        <w:tc>
          <w:tcPr>
            <w:tcW w:w="903" w:type="dxa"/>
            <w:tcBorders>
              <w:top w:val="single" w:sz="4" w:space="0" w:color="auto"/>
              <w:left w:val="single" w:sz="4" w:space="0" w:color="auto"/>
              <w:bottom w:val="single" w:sz="4" w:space="0" w:color="auto"/>
              <w:right w:val="single" w:sz="4" w:space="0" w:color="auto"/>
            </w:tcBorders>
          </w:tcPr>
          <w:p w14:paraId="4496ADB0"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tcPr>
          <w:p w14:paraId="0FA15CAB" w14:textId="6FB9782D" w:rsidR="009658B2" w:rsidRPr="0013396E" w:rsidRDefault="009658B2" w:rsidP="0099759E">
            <w:pPr>
              <w:spacing w:after="60"/>
              <w:rPr>
                <w:i/>
                <w:iCs/>
                <w:sz w:val="20"/>
              </w:rPr>
            </w:pPr>
            <w:r>
              <w:rPr>
                <w:i/>
                <w:iCs/>
                <w:sz w:val="20"/>
              </w:rPr>
              <w:t>Adjusted</w:t>
            </w:r>
            <w:r w:rsidRPr="0013396E">
              <w:rPr>
                <w:i/>
                <w:iCs/>
                <w:sz w:val="20"/>
              </w:rPr>
              <w:t xml:space="preserve"> Metered Energy for Energy Storage Resource Load at Bus - </w:t>
            </w:r>
            <w:r w:rsidRPr="0013396E">
              <w:rPr>
                <w:iCs/>
                <w:sz w:val="20"/>
              </w:rPr>
              <w:t xml:space="preserve">The </w:t>
            </w:r>
            <w:r>
              <w:rPr>
                <w:iCs/>
                <w:sz w:val="20"/>
              </w:rPr>
              <w:t>energy metered by the Settlement Meter which measures</w:t>
            </w:r>
            <w:r w:rsidRPr="0013396E">
              <w:rPr>
                <w:iCs/>
                <w:sz w:val="20"/>
              </w:rPr>
              <w:t xml:space="preserve"> Non-WSL ESR Charging Load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w:t>
            </w:r>
            <w:r w:rsidRPr="0013396E">
              <w:rPr>
                <w:i/>
                <w:iCs/>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274"/>
            </w:tblGrid>
            <w:tr w:rsidR="009658B2" w:rsidRPr="0013396E" w14:paraId="0EBDBEFD" w14:textId="77777777" w:rsidTr="0099759E">
              <w:trPr>
                <w:trHeight w:val="206"/>
              </w:trPr>
              <w:tc>
                <w:tcPr>
                  <w:tcW w:w="5000" w:type="pct"/>
                  <w:shd w:val="pct12" w:color="auto" w:fill="auto"/>
                </w:tcPr>
                <w:p w14:paraId="3C6CBA21" w14:textId="77777777" w:rsidR="009658B2" w:rsidRPr="0013396E" w:rsidRDefault="009658B2" w:rsidP="009658B2">
                  <w:pPr>
                    <w:pStyle w:val="Instructions"/>
                    <w:spacing w:before="120"/>
                    <w:ind w:right="-114"/>
                  </w:pPr>
                  <w:r w:rsidRPr="0013396E">
                    <w:t xml:space="preserve">[NPRR1188:  Replace </w:t>
                  </w:r>
                  <w:r>
                    <w:t>the description</w:t>
                  </w:r>
                  <w:r w:rsidRPr="0013396E">
                    <w:t xml:space="preserve"> above with the following upon system implementation:]</w:t>
                  </w:r>
                </w:p>
                <w:p w14:paraId="322D4BB2" w14:textId="401A350E" w:rsidR="009658B2" w:rsidRPr="009658B2" w:rsidRDefault="009658B2" w:rsidP="009658B2">
                  <w:pPr>
                    <w:spacing w:after="60"/>
                    <w:rPr>
                      <w:iCs/>
                      <w:sz w:val="20"/>
                    </w:rPr>
                  </w:pPr>
                  <w:r w:rsidRPr="0013396E">
                    <w:rPr>
                      <w:i/>
                      <w:iCs/>
                      <w:sz w:val="20"/>
                    </w:rPr>
                    <w:t xml:space="preserve">Calculated Metered Energy for Energy Storage Resource Load at Bus - </w:t>
                  </w:r>
                  <w:r w:rsidRPr="0013396E">
                    <w:rPr>
                      <w:iCs/>
                      <w:sz w:val="20"/>
                    </w:rPr>
                    <w:t xml:space="preserve">The calculated Non-WSL ESR Charging Load, adjusted for UFE,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w:t>
                  </w:r>
                  <w:r w:rsidRPr="0013396E">
                    <w:rPr>
                      <w:i/>
                      <w:iCs/>
                      <w:sz w:val="20"/>
                    </w:rPr>
                    <w:t xml:space="preserve">  </w:t>
                  </w:r>
                </w:p>
              </w:tc>
            </w:tr>
          </w:tbl>
          <w:p w14:paraId="6392204D" w14:textId="1D6A3C8B" w:rsidR="009658B2" w:rsidRPr="0013396E" w:rsidRDefault="009658B2" w:rsidP="0099759E">
            <w:pPr>
              <w:spacing w:after="60"/>
              <w:rPr>
                <w:i/>
                <w:iCs/>
                <w:sz w:val="20"/>
              </w:rPr>
            </w:pPr>
          </w:p>
        </w:tc>
      </w:tr>
      <w:tr w:rsidR="009658B2" w:rsidRPr="0013396E" w14:paraId="12B3B18F"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017F6F74" w14:textId="77777777" w:rsidR="009658B2" w:rsidRPr="0013396E" w:rsidRDefault="009658B2" w:rsidP="0099759E">
            <w:pPr>
              <w:spacing w:after="60"/>
              <w:rPr>
                <w:iCs/>
                <w:sz w:val="20"/>
              </w:rPr>
            </w:pPr>
            <w:r w:rsidRPr="0013396E">
              <w:rPr>
                <w:iCs/>
                <w:sz w:val="20"/>
              </w:rPr>
              <w:t xml:space="preserve">NMSAMTTOT </w:t>
            </w:r>
            <w:r w:rsidRPr="0013396E">
              <w:rPr>
                <w:i/>
                <w:iCs/>
                <w:sz w:val="20"/>
                <w:vertAlign w:val="subscript"/>
              </w:rPr>
              <w:t>gsc</w:t>
            </w:r>
          </w:p>
        </w:tc>
        <w:tc>
          <w:tcPr>
            <w:tcW w:w="903" w:type="dxa"/>
            <w:tcBorders>
              <w:top w:val="single" w:sz="4" w:space="0" w:color="auto"/>
              <w:left w:val="single" w:sz="4" w:space="0" w:color="auto"/>
              <w:bottom w:val="single" w:sz="4" w:space="0" w:color="auto"/>
              <w:right w:val="single" w:sz="4" w:space="0" w:color="auto"/>
            </w:tcBorders>
            <w:hideMark/>
          </w:tcPr>
          <w:p w14:paraId="10E36938" w14:textId="77777777" w:rsidR="009658B2" w:rsidRPr="0013396E" w:rsidRDefault="009658B2" w:rsidP="0099759E">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7F484609" w14:textId="77777777" w:rsidR="009658B2" w:rsidRPr="0013396E" w:rsidRDefault="009658B2" w:rsidP="0099759E">
            <w:pPr>
              <w:spacing w:after="60"/>
              <w:rPr>
                <w:iCs/>
                <w:sz w:val="20"/>
              </w:rPr>
            </w:pPr>
            <w:r w:rsidRPr="0013396E">
              <w:rPr>
                <w:i/>
                <w:iCs/>
                <w:sz w:val="20"/>
              </w:rPr>
              <w:t>Net Metering Settlement</w:t>
            </w:r>
            <w:r w:rsidRPr="0013396E">
              <w:rPr>
                <w:iCs/>
                <w:sz w:val="20"/>
              </w:rPr>
              <w:t>—The total payment or charge to a generation site with a net metering arrangement.</w:t>
            </w:r>
          </w:p>
        </w:tc>
      </w:tr>
      <w:tr w:rsidR="009658B2" w:rsidRPr="0013396E" w14:paraId="2C6BE93E" w14:textId="77777777" w:rsidTr="001D569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9658B2" w:rsidRPr="009658B2" w14:paraId="114FAD50" w14:textId="77777777" w:rsidTr="0099759E">
              <w:trPr>
                <w:trHeight w:val="206"/>
              </w:trPr>
              <w:tc>
                <w:tcPr>
                  <w:tcW w:w="5000" w:type="pct"/>
                  <w:shd w:val="pct12" w:color="auto" w:fill="auto"/>
                </w:tcPr>
                <w:p w14:paraId="5E4A5ECB" w14:textId="0D190684" w:rsidR="009658B2" w:rsidRPr="0013396E" w:rsidRDefault="009658B2" w:rsidP="009658B2">
                  <w:pPr>
                    <w:pStyle w:val="Instructions"/>
                    <w:spacing w:before="120"/>
                    <w:ind w:right="-114"/>
                  </w:pPr>
                  <w:r w:rsidRPr="0013396E">
                    <w:t xml:space="preserve">[NPRR1188:  </w:t>
                  </w:r>
                  <w:r>
                    <w:t xml:space="preserve">Insert the variable </w:t>
                  </w:r>
                  <w:r w:rsidRPr="009658B2">
                    <w:t>“CLRAMTTOT</w:t>
                  </w:r>
                  <w:r w:rsidRPr="009658B2">
                    <w:rPr>
                      <w:vertAlign w:val="subscript"/>
                    </w:rPr>
                    <w:t xml:space="preserve"> q, r, p</w:t>
                  </w:r>
                  <w:r>
                    <w:t>” below</w:t>
                  </w:r>
                  <w:r w:rsidRPr="0013396E">
                    <w:t xml:space="preserve">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330"/>
                    <w:gridCol w:w="6878"/>
                  </w:tblGrid>
                  <w:tr w:rsidR="009658B2" w:rsidRPr="0013396E" w14:paraId="7D25C0C1" w14:textId="77777777" w:rsidTr="0099759E">
                    <w:trPr>
                      <w:cantSplit/>
                    </w:trPr>
                    <w:tc>
                      <w:tcPr>
                        <w:tcW w:w="1997" w:type="dxa"/>
                        <w:tcBorders>
                          <w:top w:val="single" w:sz="4" w:space="0" w:color="auto"/>
                          <w:left w:val="single" w:sz="4" w:space="0" w:color="auto"/>
                          <w:bottom w:val="single" w:sz="4" w:space="0" w:color="auto"/>
                          <w:right w:val="single" w:sz="4" w:space="0" w:color="auto"/>
                        </w:tcBorders>
                      </w:tcPr>
                      <w:p w14:paraId="66238762" w14:textId="0ED01B13" w:rsidR="009658B2" w:rsidRPr="0013396E" w:rsidRDefault="009658B2" w:rsidP="009658B2">
                        <w:pPr>
                          <w:spacing w:after="60"/>
                          <w:rPr>
                            <w:iCs/>
                            <w:sz w:val="20"/>
                          </w:rPr>
                        </w:pPr>
                        <w:r w:rsidRPr="0013396E">
                          <w:rPr>
                            <w:sz w:val="20"/>
                          </w:rPr>
                          <w:t>CLRAMTTOT</w:t>
                        </w:r>
                        <w:r w:rsidRPr="0013396E">
                          <w:rPr>
                            <w:sz w:val="20"/>
                            <w:vertAlign w:val="subscript"/>
                          </w:rPr>
                          <w:t xml:space="preserve"> </w:t>
                        </w:r>
                        <w:r w:rsidRPr="0013396E">
                          <w:rPr>
                            <w:i/>
                            <w:sz w:val="20"/>
                            <w:vertAlign w:val="subscript"/>
                          </w:rPr>
                          <w:t>q, r, p</w:t>
                        </w:r>
                      </w:p>
                    </w:tc>
                    <w:tc>
                      <w:tcPr>
                        <w:tcW w:w="0" w:type="auto"/>
                        <w:tcBorders>
                          <w:top w:val="single" w:sz="4" w:space="0" w:color="auto"/>
                          <w:left w:val="single" w:sz="4" w:space="0" w:color="auto"/>
                          <w:bottom w:val="single" w:sz="4" w:space="0" w:color="auto"/>
                          <w:right w:val="single" w:sz="4" w:space="0" w:color="auto"/>
                        </w:tcBorders>
                      </w:tcPr>
                      <w:p w14:paraId="7C0D9B2E" w14:textId="2B1F2FEB" w:rsidR="009658B2" w:rsidRPr="0013396E" w:rsidRDefault="009658B2" w:rsidP="009658B2">
                        <w:pPr>
                          <w:spacing w:after="60"/>
                          <w:rPr>
                            <w:iCs/>
                            <w:sz w:val="20"/>
                          </w:rPr>
                        </w:pPr>
                        <w:r w:rsidRPr="0013396E">
                          <w:rPr>
                            <w:sz w:val="20"/>
                          </w:rPr>
                          <w:t>$</w:t>
                        </w:r>
                      </w:p>
                    </w:tc>
                    <w:tc>
                      <w:tcPr>
                        <w:tcW w:w="0" w:type="auto"/>
                        <w:tcBorders>
                          <w:top w:val="single" w:sz="4" w:space="0" w:color="auto"/>
                          <w:left w:val="single" w:sz="4" w:space="0" w:color="auto"/>
                          <w:bottom w:val="single" w:sz="4" w:space="0" w:color="auto"/>
                          <w:right w:val="single" w:sz="4" w:space="0" w:color="auto"/>
                        </w:tcBorders>
                      </w:tcPr>
                      <w:p w14:paraId="31073916" w14:textId="0A91BAEF" w:rsidR="009658B2" w:rsidRPr="0013396E" w:rsidRDefault="009658B2" w:rsidP="009658B2">
                        <w:pPr>
                          <w:spacing w:after="60"/>
                          <w:rPr>
                            <w:i/>
                            <w:sz w:val="20"/>
                          </w:rPr>
                        </w:pPr>
                        <w:r w:rsidRPr="0013396E">
                          <w:rPr>
                            <w:i/>
                            <w:sz w:val="20"/>
                          </w:rPr>
                          <w:t>CLR Load Settlement</w:t>
                        </w:r>
                        <w:r w:rsidRPr="0013396E">
                          <w:rPr>
                            <w:sz w:val="20"/>
                          </w:rPr>
                          <w:t xml:space="preserve">—The total payment or charge to QSE </w:t>
                        </w:r>
                        <w:r w:rsidRPr="0013396E">
                          <w:rPr>
                            <w:i/>
                            <w:sz w:val="20"/>
                          </w:rPr>
                          <w:t>q</w:t>
                        </w:r>
                        <w:r w:rsidRPr="0013396E">
                          <w:rPr>
                            <w:sz w:val="20"/>
                          </w:rPr>
                          <w:t xml:space="preserve">, Resource </w:t>
                        </w:r>
                        <w:r w:rsidRPr="0013396E">
                          <w:rPr>
                            <w:i/>
                            <w:sz w:val="20"/>
                          </w:rPr>
                          <w:t>r</w:t>
                        </w:r>
                        <w:r w:rsidRPr="0013396E">
                          <w:rPr>
                            <w:sz w:val="20"/>
                          </w:rPr>
                          <w:t xml:space="preserve">, at Settlement Point </w:t>
                        </w:r>
                        <w:r w:rsidRPr="0013396E">
                          <w:rPr>
                            <w:i/>
                            <w:sz w:val="20"/>
                          </w:rPr>
                          <w:t>p</w:t>
                        </w:r>
                        <w:r w:rsidRPr="0013396E">
                          <w:rPr>
                            <w:sz w:val="20"/>
                          </w:rPr>
                          <w:t>, for CLR Load for each 15-minute Settlement Interval.</w:t>
                        </w:r>
                      </w:p>
                    </w:tc>
                  </w:tr>
                </w:tbl>
                <w:p w14:paraId="2C609C0F" w14:textId="77777777" w:rsidR="009658B2" w:rsidRPr="009658B2" w:rsidRDefault="009658B2" w:rsidP="009658B2">
                  <w:pPr>
                    <w:spacing w:after="60"/>
                    <w:rPr>
                      <w:iCs/>
                      <w:sz w:val="20"/>
                    </w:rPr>
                  </w:pPr>
                </w:p>
              </w:tc>
            </w:tr>
          </w:tbl>
          <w:p w14:paraId="68053FC2" w14:textId="77777777" w:rsidR="009658B2" w:rsidRPr="0013396E" w:rsidRDefault="009658B2" w:rsidP="0099759E">
            <w:pPr>
              <w:spacing w:after="60"/>
              <w:rPr>
                <w:i/>
                <w:iCs/>
                <w:sz w:val="20"/>
              </w:rPr>
            </w:pPr>
          </w:p>
        </w:tc>
      </w:tr>
      <w:tr w:rsidR="009658B2" w:rsidRPr="0013396E" w14:paraId="1F1AEE32"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52A32CD0" w14:textId="77777777" w:rsidR="009658B2" w:rsidRPr="0013396E" w:rsidRDefault="009658B2" w:rsidP="0099759E">
            <w:pPr>
              <w:spacing w:after="60"/>
              <w:rPr>
                <w:iCs/>
                <w:sz w:val="20"/>
              </w:rPr>
            </w:pPr>
            <w:r w:rsidRPr="0013396E">
              <w:rPr>
                <w:iCs/>
                <w:sz w:val="20"/>
              </w:rPr>
              <w:t>WSLAMTTOT</w:t>
            </w:r>
            <w:r w:rsidRPr="0013396E">
              <w:rPr>
                <w:iCs/>
                <w:sz w:val="20"/>
                <w:vertAlign w:val="subscript"/>
              </w:rPr>
              <w:t xml:space="preserve"> </w:t>
            </w:r>
            <w:r w:rsidRPr="0013396E">
              <w:rPr>
                <w:i/>
                <w:iCs/>
                <w:sz w:val="20"/>
                <w:vertAlign w:val="subscript"/>
              </w:rPr>
              <w:t>q, r, p</w:t>
            </w:r>
            <w:r w:rsidRPr="0013396E">
              <w:rPr>
                <w:iCs/>
                <w:sz w:val="20"/>
                <w:vertAlign w:val="subscript"/>
              </w:rPr>
              <w:t xml:space="preserve">  </w:t>
            </w:r>
          </w:p>
        </w:tc>
        <w:tc>
          <w:tcPr>
            <w:tcW w:w="903" w:type="dxa"/>
            <w:tcBorders>
              <w:top w:val="single" w:sz="4" w:space="0" w:color="auto"/>
              <w:left w:val="single" w:sz="4" w:space="0" w:color="auto"/>
              <w:bottom w:val="single" w:sz="4" w:space="0" w:color="auto"/>
              <w:right w:val="single" w:sz="4" w:space="0" w:color="auto"/>
            </w:tcBorders>
            <w:hideMark/>
          </w:tcPr>
          <w:p w14:paraId="58FB1448" w14:textId="77777777" w:rsidR="009658B2" w:rsidRPr="0013396E" w:rsidRDefault="009658B2" w:rsidP="0099759E">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3345FD80" w14:textId="77777777" w:rsidR="009658B2" w:rsidRPr="0013396E" w:rsidRDefault="009658B2" w:rsidP="0099759E">
            <w:pPr>
              <w:spacing w:after="60"/>
              <w:rPr>
                <w:i/>
                <w:iCs/>
                <w:sz w:val="20"/>
              </w:rPr>
            </w:pPr>
            <w:r w:rsidRPr="0013396E">
              <w:rPr>
                <w:i/>
                <w:iCs/>
                <w:sz w:val="20"/>
              </w:rPr>
              <w:t>Wholesale Storage Load Settlement</w:t>
            </w:r>
            <w:r w:rsidRPr="0013396E">
              <w:rPr>
                <w:iCs/>
                <w:sz w:val="20"/>
              </w:rPr>
              <w:t>—</w:t>
            </w:r>
            <w:r w:rsidRPr="0013396E">
              <w:rPr>
                <w:sz w:val="20"/>
              </w:rPr>
              <w:t xml:space="preserve">The total payment or charge to QSE </w:t>
            </w:r>
            <w:r w:rsidRPr="0013396E">
              <w:rPr>
                <w:i/>
                <w:sz w:val="20"/>
              </w:rPr>
              <w:t>q</w:t>
            </w:r>
            <w:r w:rsidRPr="0013396E">
              <w:rPr>
                <w:sz w:val="20"/>
              </w:rPr>
              <w:t xml:space="preserve">, Resource </w:t>
            </w:r>
            <w:r w:rsidRPr="0013396E">
              <w:rPr>
                <w:i/>
                <w:sz w:val="20"/>
              </w:rPr>
              <w:t>r</w:t>
            </w:r>
            <w:r w:rsidRPr="0013396E">
              <w:rPr>
                <w:sz w:val="20"/>
              </w:rPr>
              <w:t xml:space="preserve">, at Settlement Point </w:t>
            </w:r>
            <w:r w:rsidRPr="0013396E">
              <w:rPr>
                <w:i/>
                <w:sz w:val="20"/>
              </w:rPr>
              <w:t>p</w:t>
            </w:r>
            <w:r w:rsidRPr="0013396E">
              <w:rPr>
                <w:sz w:val="20"/>
              </w:rPr>
              <w:t xml:space="preserve">, </w:t>
            </w:r>
            <w:r w:rsidRPr="0013396E">
              <w:rPr>
                <w:iCs/>
                <w:sz w:val="20"/>
              </w:rPr>
              <w:t xml:space="preserve">for WSL </w:t>
            </w:r>
            <w:r w:rsidRPr="0013396E">
              <w:rPr>
                <w:sz w:val="20"/>
              </w:rPr>
              <w:t>for each 15-minute Settlement Interval.</w:t>
            </w:r>
          </w:p>
        </w:tc>
      </w:tr>
      <w:tr w:rsidR="009658B2" w:rsidRPr="0013396E" w14:paraId="446A023A" w14:textId="77777777" w:rsidTr="005A7D8E">
        <w:trPr>
          <w:cantSplit/>
        </w:trPr>
        <w:tc>
          <w:tcPr>
            <w:tcW w:w="1885" w:type="dxa"/>
            <w:tcBorders>
              <w:top w:val="single" w:sz="4" w:space="0" w:color="auto"/>
              <w:left w:val="single" w:sz="4" w:space="0" w:color="auto"/>
              <w:bottom w:val="single" w:sz="4" w:space="0" w:color="auto"/>
              <w:right w:val="single" w:sz="4" w:space="0" w:color="auto"/>
            </w:tcBorders>
          </w:tcPr>
          <w:p w14:paraId="6730ADB5" w14:textId="77777777" w:rsidR="009658B2" w:rsidRPr="0013396E" w:rsidRDefault="009658B2" w:rsidP="0099759E">
            <w:pPr>
              <w:spacing w:after="60"/>
              <w:rPr>
                <w:iCs/>
                <w:sz w:val="20"/>
              </w:rPr>
            </w:pPr>
            <w:r w:rsidRPr="0013396E">
              <w:rPr>
                <w:iCs/>
                <w:sz w:val="20"/>
              </w:rPr>
              <w:t>ESRNWSLAMTTOT</w:t>
            </w:r>
            <w:r w:rsidRPr="0013396E">
              <w:rPr>
                <w:iCs/>
                <w:sz w:val="20"/>
                <w:vertAlign w:val="subscript"/>
              </w:rPr>
              <w:t xml:space="preserve"> </w:t>
            </w:r>
            <w:r w:rsidRPr="0013396E">
              <w:rPr>
                <w:i/>
                <w:iCs/>
                <w:sz w:val="20"/>
                <w:vertAlign w:val="subscript"/>
              </w:rPr>
              <w:t>q, r, p</w:t>
            </w:r>
          </w:p>
        </w:tc>
        <w:tc>
          <w:tcPr>
            <w:tcW w:w="903" w:type="dxa"/>
            <w:tcBorders>
              <w:top w:val="single" w:sz="4" w:space="0" w:color="auto"/>
              <w:left w:val="single" w:sz="4" w:space="0" w:color="auto"/>
              <w:bottom w:val="single" w:sz="4" w:space="0" w:color="auto"/>
              <w:right w:val="single" w:sz="4" w:space="0" w:color="auto"/>
            </w:tcBorders>
          </w:tcPr>
          <w:p w14:paraId="5184E5C6" w14:textId="77777777" w:rsidR="009658B2" w:rsidRPr="0013396E" w:rsidRDefault="009658B2" w:rsidP="0099759E">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tcPr>
          <w:p w14:paraId="726FC1C8" w14:textId="77777777" w:rsidR="009658B2" w:rsidRPr="0013396E" w:rsidRDefault="009658B2" w:rsidP="0099759E">
            <w:pPr>
              <w:spacing w:after="60"/>
              <w:rPr>
                <w:i/>
                <w:iCs/>
                <w:sz w:val="20"/>
              </w:rPr>
            </w:pPr>
            <w:r w:rsidRPr="0013396E">
              <w:rPr>
                <w:i/>
                <w:sz w:val="20"/>
              </w:rPr>
              <w:t>Energy Storage Resource Non-WSL Settlement</w:t>
            </w:r>
            <w:r w:rsidRPr="0013396E">
              <w:rPr>
                <w:sz w:val="20"/>
              </w:rPr>
              <w:t xml:space="preserve">—The total payment or charge to QSE </w:t>
            </w:r>
            <w:r w:rsidRPr="0013396E">
              <w:rPr>
                <w:i/>
                <w:sz w:val="20"/>
              </w:rPr>
              <w:t>q</w:t>
            </w:r>
            <w:r w:rsidRPr="0013396E">
              <w:rPr>
                <w:sz w:val="20"/>
              </w:rPr>
              <w:t xml:space="preserve">, Resource </w:t>
            </w:r>
            <w:r w:rsidRPr="0013396E">
              <w:rPr>
                <w:i/>
                <w:sz w:val="20"/>
              </w:rPr>
              <w:t>r</w:t>
            </w:r>
            <w:r w:rsidRPr="0013396E">
              <w:rPr>
                <w:sz w:val="20"/>
              </w:rPr>
              <w:t xml:space="preserve">, at Settlement Point </w:t>
            </w:r>
            <w:r w:rsidRPr="0013396E">
              <w:rPr>
                <w:i/>
                <w:sz w:val="20"/>
              </w:rPr>
              <w:t>p</w:t>
            </w:r>
            <w:r w:rsidRPr="0013396E">
              <w:rPr>
                <w:sz w:val="20"/>
              </w:rPr>
              <w:t>, for Non-WSL ESR Charging Load for each 15-minute Settlement Interval.</w:t>
            </w:r>
          </w:p>
        </w:tc>
      </w:tr>
      <w:tr w:rsidR="009658B2" w:rsidRPr="0013396E" w14:paraId="2DEB90D6"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31E44C8E" w14:textId="77777777" w:rsidR="009658B2" w:rsidRPr="0013396E" w:rsidRDefault="009658B2" w:rsidP="0099759E">
            <w:pPr>
              <w:spacing w:after="60"/>
              <w:rPr>
                <w:iCs/>
                <w:sz w:val="20"/>
              </w:rPr>
            </w:pPr>
            <w:r w:rsidRPr="0013396E">
              <w:rPr>
                <w:iCs/>
                <w:sz w:val="20"/>
              </w:rPr>
              <w:t xml:space="preserve">NMRTETOT </w:t>
            </w:r>
            <w:r w:rsidRPr="0013396E">
              <w:rPr>
                <w:i/>
                <w:iCs/>
                <w:sz w:val="20"/>
                <w:vertAlign w:val="subscript"/>
              </w:rPr>
              <w:t>gsc</w:t>
            </w:r>
          </w:p>
        </w:tc>
        <w:tc>
          <w:tcPr>
            <w:tcW w:w="903" w:type="dxa"/>
            <w:tcBorders>
              <w:top w:val="single" w:sz="4" w:space="0" w:color="auto"/>
              <w:left w:val="single" w:sz="4" w:space="0" w:color="auto"/>
              <w:bottom w:val="single" w:sz="4" w:space="0" w:color="auto"/>
              <w:right w:val="single" w:sz="4" w:space="0" w:color="auto"/>
            </w:tcBorders>
            <w:hideMark/>
          </w:tcPr>
          <w:p w14:paraId="1E59A321" w14:textId="77777777" w:rsidR="009658B2" w:rsidRPr="0013396E" w:rsidRDefault="009658B2" w:rsidP="0099759E">
            <w:pPr>
              <w:spacing w:after="60"/>
              <w:rPr>
                <w:iCs/>
                <w:sz w:val="20"/>
              </w:rPr>
            </w:pPr>
            <w:r w:rsidRPr="0013396E">
              <w:rPr>
                <w:iCs/>
                <w:sz w:val="20"/>
              </w:rPr>
              <w:t>MWh</w:t>
            </w:r>
          </w:p>
        </w:tc>
        <w:tc>
          <w:tcPr>
            <w:tcW w:w="0" w:type="auto"/>
            <w:tcBorders>
              <w:top w:val="single" w:sz="4" w:space="0" w:color="auto"/>
              <w:left w:val="single" w:sz="4" w:space="0" w:color="auto"/>
              <w:bottom w:val="single" w:sz="4" w:space="0" w:color="auto"/>
              <w:right w:val="single" w:sz="4" w:space="0" w:color="auto"/>
            </w:tcBorders>
            <w:hideMark/>
          </w:tcPr>
          <w:p w14:paraId="6FD3DDA9" w14:textId="77777777" w:rsidR="009658B2" w:rsidRPr="0013396E" w:rsidRDefault="009658B2" w:rsidP="0099759E">
            <w:pPr>
              <w:spacing w:after="60"/>
              <w:rPr>
                <w:i/>
                <w:iCs/>
                <w:sz w:val="20"/>
              </w:rPr>
            </w:pPr>
            <w:r w:rsidRPr="0013396E">
              <w:rPr>
                <w:i/>
                <w:iCs/>
                <w:sz w:val="20"/>
              </w:rPr>
              <w:t>Net Meter Real-Time Energy Total</w:t>
            </w:r>
            <w:r w:rsidRPr="0013396E">
              <w:rPr>
                <w:iCs/>
                <w:sz w:val="20"/>
              </w:rPr>
              <w:t xml:space="preserve">—The net sum for all Settlement Meters included in generation site code </w:t>
            </w:r>
            <w:r w:rsidRPr="0013396E">
              <w:rPr>
                <w:i/>
                <w:iCs/>
                <w:sz w:val="20"/>
              </w:rPr>
              <w:t>gsc</w:t>
            </w:r>
            <w:r w:rsidRPr="0013396E">
              <w:rPr>
                <w:iCs/>
                <w:sz w:val="20"/>
              </w:rPr>
              <w:t>.  A positive value indicates an injection of power to the ERCOT System.</w:t>
            </w:r>
          </w:p>
        </w:tc>
      </w:tr>
      <w:tr w:rsidR="009658B2" w:rsidRPr="0013396E" w14:paraId="17454216"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41201FB5" w14:textId="77777777" w:rsidR="009658B2" w:rsidRPr="0013396E" w:rsidRDefault="009658B2" w:rsidP="0099759E">
            <w:pPr>
              <w:spacing w:after="60"/>
              <w:rPr>
                <w:iCs/>
                <w:sz w:val="20"/>
              </w:rPr>
            </w:pPr>
            <w:r w:rsidRPr="0013396E">
              <w:rPr>
                <w:iCs/>
                <w:sz w:val="20"/>
              </w:rPr>
              <w:t xml:space="preserve">GSPLITPER </w:t>
            </w:r>
            <w:r w:rsidRPr="0013396E">
              <w:rPr>
                <w:i/>
                <w:iCs/>
                <w:sz w:val="20"/>
                <w:vertAlign w:val="subscript"/>
              </w:rPr>
              <w:t>q, r, gsc, p</w:t>
            </w:r>
          </w:p>
        </w:tc>
        <w:tc>
          <w:tcPr>
            <w:tcW w:w="903" w:type="dxa"/>
            <w:tcBorders>
              <w:top w:val="single" w:sz="4" w:space="0" w:color="auto"/>
              <w:left w:val="single" w:sz="4" w:space="0" w:color="auto"/>
              <w:bottom w:val="single" w:sz="4" w:space="0" w:color="auto"/>
              <w:right w:val="single" w:sz="4" w:space="0" w:color="auto"/>
            </w:tcBorders>
            <w:hideMark/>
          </w:tcPr>
          <w:p w14:paraId="086D44EA" w14:textId="77777777" w:rsidR="009658B2" w:rsidRPr="0013396E" w:rsidRDefault="009658B2" w:rsidP="0099759E">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62F97689" w14:textId="77777777" w:rsidR="009658B2" w:rsidRPr="0013396E" w:rsidRDefault="009658B2" w:rsidP="0099759E">
            <w:pPr>
              <w:spacing w:after="60"/>
              <w:rPr>
                <w:iCs/>
                <w:sz w:val="20"/>
              </w:rPr>
            </w:pPr>
            <w:r w:rsidRPr="0013396E">
              <w:rPr>
                <w:i/>
                <w:iCs/>
                <w:sz w:val="20"/>
              </w:rPr>
              <w:t>Generation Resource SCADA Splitting Percentage</w:t>
            </w:r>
            <w:r w:rsidRPr="0013396E">
              <w:rPr>
                <w:iCs/>
                <w:sz w:val="20"/>
              </w:rPr>
              <w:t xml:space="preserve">—The generation allocation percentage for Resource </w:t>
            </w:r>
            <w:r w:rsidRPr="0013396E">
              <w:rPr>
                <w:i/>
                <w:iCs/>
                <w:sz w:val="20"/>
              </w:rPr>
              <w:t>r</w:t>
            </w:r>
            <w:r w:rsidRPr="0013396E">
              <w:rPr>
                <w:iCs/>
                <w:sz w:val="20"/>
              </w:rPr>
              <w:t xml:space="preserve"> that is part of a net metering arrangement.  GSPLITPER is calculated by taking the positive Supervisory Control and Data Acquisition (SCADA) values (GSSPLITSCA) for a particular Generation Resource or ESR </w:t>
            </w:r>
            <w:r w:rsidRPr="0013396E">
              <w:rPr>
                <w:i/>
                <w:iCs/>
                <w:sz w:val="20"/>
              </w:rPr>
              <w:t>r</w:t>
            </w:r>
            <w:r w:rsidRPr="0013396E">
              <w:rPr>
                <w:iCs/>
                <w:sz w:val="20"/>
              </w:rPr>
              <w:t xml:space="preserve"> that is part of a net metering configuration and dividing by the sum of all positive SCADA values for all Resources that are included in the net metering configuration for each interval.  Where for a Combined Cycle Train, the Resource </w:t>
            </w:r>
            <w:r w:rsidRPr="0013396E">
              <w:rPr>
                <w:i/>
                <w:iCs/>
                <w:sz w:val="20"/>
              </w:rPr>
              <w:t xml:space="preserve">r </w:t>
            </w:r>
            <w:r w:rsidRPr="0013396E">
              <w:rPr>
                <w:iCs/>
                <w:sz w:val="20"/>
              </w:rPr>
              <w:t>is the Combined Cycle Train.</w:t>
            </w:r>
          </w:p>
        </w:tc>
      </w:tr>
      <w:tr w:rsidR="009658B2" w:rsidRPr="0013396E" w14:paraId="38B0C44F"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5704F113" w14:textId="77777777" w:rsidR="009658B2" w:rsidRPr="0013396E" w:rsidRDefault="009658B2" w:rsidP="0099759E">
            <w:pPr>
              <w:spacing w:after="60"/>
              <w:rPr>
                <w:i/>
                <w:iCs/>
                <w:sz w:val="20"/>
              </w:rPr>
            </w:pPr>
            <w:r w:rsidRPr="0013396E">
              <w:rPr>
                <w:i/>
                <w:iCs/>
                <w:sz w:val="20"/>
              </w:rPr>
              <w:t>q</w:t>
            </w:r>
          </w:p>
        </w:tc>
        <w:tc>
          <w:tcPr>
            <w:tcW w:w="903" w:type="dxa"/>
            <w:tcBorders>
              <w:top w:val="single" w:sz="4" w:space="0" w:color="auto"/>
              <w:left w:val="single" w:sz="4" w:space="0" w:color="auto"/>
              <w:bottom w:val="single" w:sz="4" w:space="0" w:color="auto"/>
              <w:right w:val="single" w:sz="4" w:space="0" w:color="auto"/>
            </w:tcBorders>
            <w:hideMark/>
          </w:tcPr>
          <w:p w14:paraId="73A150BF" w14:textId="77777777" w:rsidR="009658B2" w:rsidRPr="0013396E" w:rsidRDefault="009658B2" w:rsidP="0099759E">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0EA3B057" w14:textId="77777777" w:rsidR="009658B2" w:rsidRPr="0013396E" w:rsidRDefault="009658B2" w:rsidP="0099759E">
            <w:pPr>
              <w:spacing w:after="60"/>
              <w:rPr>
                <w:iCs/>
                <w:sz w:val="20"/>
              </w:rPr>
            </w:pPr>
            <w:r w:rsidRPr="0013396E">
              <w:rPr>
                <w:iCs/>
                <w:sz w:val="20"/>
              </w:rPr>
              <w:t>A QSE.</w:t>
            </w:r>
          </w:p>
        </w:tc>
      </w:tr>
      <w:tr w:rsidR="009658B2" w:rsidRPr="0013396E" w14:paraId="2A1CBC1A"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7067E835" w14:textId="77777777" w:rsidR="009658B2" w:rsidRPr="0013396E" w:rsidRDefault="009658B2" w:rsidP="0099759E">
            <w:pPr>
              <w:spacing w:after="60"/>
              <w:rPr>
                <w:i/>
                <w:iCs/>
                <w:sz w:val="20"/>
              </w:rPr>
            </w:pPr>
            <w:r w:rsidRPr="0013396E">
              <w:rPr>
                <w:i/>
                <w:iCs/>
                <w:sz w:val="20"/>
              </w:rPr>
              <w:t>p</w:t>
            </w:r>
          </w:p>
        </w:tc>
        <w:tc>
          <w:tcPr>
            <w:tcW w:w="903" w:type="dxa"/>
            <w:tcBorders>
              <w:top w:val="single" w:sz="4" w:space="0" w:color="auto"/>
              <w:left w:val="single" w:sz="4" w:space="0" w:color="auto"/>
              <w:bottom w:val="single" w:sz="4" w:space="0" w:color="auto"/>
              <w:right w:val="single" w:sz="4" w:space="0" w:color="auto"/>
            </w:tcBorders>
            <w:hideMark/>
          </w:tcPr>
          <w:p w14:paraId="5D442D77" w14:textId="77777777" w:rsidR="009658B2" w:rsidRPr="0013396E" w:rsidRDefault="009658B2" w:rsidP="0099759E">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1B9123F2" w14:textId="77777777" w:rsidR="009658B2" w:rsidRPr="0013396E" w:rsidRDefault="009658B2" w:rsidP="0099759E">
            <w:pPr>
              <w:spacing w:after="60"/>
              <w:rPr>
                <w:iCs/>
                <w:sz w:val="20"/>
              </w:rPr>
            </w:pPr>
            <w:r w:rsidRPr="0013396E">
              <w:rPr>
                <w:iCs/>
                <w:sz w:val="20"/>
              </w:rPr>
              <w:t>A Resource Node Settlement Point.</w:t>
            </w:r>
          </w:p>
        </w:tc>
      </w:tr>
      <w:tr w:rsidR="009658B2" w:rsidRPr="0013396E" w14:paraId="2762DEF1"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2B690C56" w14:textId="77777777" w:rsidR="009658B2" w:rsidRPr="0013396E" w:rsidRDefault="009658B2" w:rsidP="0099759E">
            <w:pPr>
              <w:spacing w:after="60"/>
              <w:rPr>
                <w:i/>
                <w:iCs/>
                <w:sz w:val="20"/>
              </w:rPr>
            </w:pPr>
            <w:r w:rsidRPr="0013396E">
              <w:rPr>
                <w:i/>
                <w:iCs/>
                <w:sz w:val="20"/>
              </w:rPr>
              <w:lastRenderedPageBreak/>
              <w:t>r</w:t>
            </w:r>
          </w:p>
        </w:tc>
        <w:tc>
          <w:tcPr>
            <w:tcW w:w="903" w:type="dxa"/>
            <w:tcBorders>
              <w:top w:val="single" w:sz="4" w:space="0" w:color="auto"/>
              <w:left w:val="single" w:sz="4" w:space="0" w:color="auto"/>
              <w:bottom w:val="single" w:sz="4" w:space="0" w:color="auto"/>
              <w:right w:val="single" w:sz="4" w:space="0" w:color="auto"/>
            </w:tcBorders>
            <w:hideMark/>
          </w:tcPr>
          <w:p w14:paraId="780AFF61" w14:textId="77777777" w:rsidR="009658B2" w:rsidRPr="0013396E" w:rsidRDefault="009658B2" w:rsidP="0099759E">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57F93A9C" w14:textId="6B7CF394" w:rsidR="00481FA0" w:rsidRPr="0013396E" w:rsidRDefault="009658B2" w:rsidP="0099759E">
            <w:pPr>
              <w:spacing w:after="60"/>
              <w:rPr>
                <w:iCs/>
                <w:sz w:val="20"/>
              </w:rPr>
            </w:pPr>
            <w:r w:rsidRPr="0013396E">
              <w:rPr>
                <w:iCs/>
                <w:sz w:val="20"/>
              </w:rPr>
              <w:t>A Generation Resource or ESR that is located at the Facility with net metering.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274"/>
            </w:tblGrid>
            <w:tr w:rsidR="00481FA0" w:rsidRPr="009658B2" w14:paraId="24A80536" w14:textId="77777777" w:rsidTr="0099759E">
              <w:trPr>
                <w:trHeight w:val="206"/>
              </w:trPr>
              <w:tc>
                <w:tcPr>
                  <w:tcW w:w="5000" w:type="pct"/>
                  <w:shd w:val="pct12" w:color="auto" w:fill="auto"/>
                </w:tcPr>
                <w:p w14:paraId="0F4A60BF" w14:textId="77777777" w:rsidR="00481FA0" w:rsidRPr="0013396E" w:rsidRDefault="00481FA0" w:rsidP="00481FA0">
                  <w:pPr>
                    <w:pStyle w:val="Instructions"/>
                    <w:spacing w:before="120"/>
                    <w:ind w:right="-114"/>
                  </w:pPr>
                  <w:r w:rsidRPr="0013396E">
                    <w:t xml:space="preserve">[NPRR1188:  Replace </w:t>
                  </w:r>
                  <w:r>
                    <w:t>the description</w:t>
                  </w:r>
                  <w:r w:rsidRPr="0013396E">
                    <w:t xml:space="preserve"> above with the following upon system implementation:]</w:t>
                  </w:r>
                </w:p>
                <w:p w14:paraId="336E2C58" w14:textId="30DAEC30" w:rsidR="00481FA0" w:rsidRPr="009658B2" w:rsidRDefault="00481FA0" w:rsidP="00481FA0">
                  <w:pPr>
                    <w:spacing w:after="60"/>
                    <w:rPr>
                      <w:iCs/>
                      <w:sz w:val="20"/>
                    </w:rPr>
                  </w:pPr>
                  <w:r w:rsidRPr="0013396E">
                    <w:rPr>
                      <w:iCs/>
                      <w:sz w:val="20"/>
                    </w:rPr>
                    <w:t>A Generation Resource, a CLR that is not an ALR, or ESR that is located at the Facility with net metering.</w:t>
                  </w:r>
                </w:p>
              </w:tc>
            </w:tr>
          </w:tbl>
          <w:p w14:paraId="58F418A9" w14:textId="58FF5F56" w:rsidR="009658B2" w:rsidRPr="0013396E" w:rsidRDefault="009658B2" w:rsidP="0099759E">
            <w:pPr>
              <w:spacing w:after="60"/>
              <w:rPr>
                <w:iCs/>
                <w:sz w:val="20"/>
              </w:rPr>
            </w:pPr>
          </w:p>
        </w:tc>
      </w:tr>
      <w:tr w:rsidR="009658B2" w:rsidRPr="0013396E" w14:paraId="4B05EDB0"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170F8B56" w14:textId="77777777" w:rsidR="009658B2" w:rsidRPr="0013396E" w:rsidRDefault="009658B2" w:rsidP="0099759E">
            <w:pPr>
              <w:spacing w:after="60"/>
              <w:rPr>
                <w:i/>
                <w:iCs/>
                <w:sz w:val="20"/>
              </w:rPr>
            </w:pPr>
            <w:r w:rsidRPr="0013396E">
              <w:rPr>
                <w:i/>
                <w:iCs/>
                <w:sz w:val="20"/>
              </w:rPr>
              <w:t>gsc</w:t>
            </w:r>
          </w:p>
        </w:tc>
        <w:tc>
          <w:tcPr>
            <w:tcW w:w="903" w:type="dxa"/>
            <w:tcBorders>
              <w:top w:val="single" w:sz="4" w:space="0" w:color="auto"/>
              <w:left w:val="single" w:sz="4" w:space="0" w:color="auto"/>
              <w:bottom w:val="single" w:sz="4" w:space="0" w:color="auto"/>
              <w:right w:val="single" w:sz="4" w:space="0" w:color="auto"/>
            </w:tcBorders>
            <w:hideMark/>
          </w:tcPr>
          <w:p w14:paraId="4A61162B" w14:textId="77777777" w:rsidR="009658B2" w:rsidRPr="0013396E" w:rsidRDefault="009658B2" w:rsidP="0099759E">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099C44BE" w14:textId="77777777" w:rsidR="009658B2" w:rsidRPr="0013396E" w:rsidRDefault="009658B2" w:rsidP="0099759E">
            <w:pPr>
              <w:spacing w:after="60"/>
              <w:rPr>
                <w:iCs/>
                <w:sz w:val="20"/>
              </w:rPr>
            </w:pPr>
            <w:r w:rsidRPr="0013396E">
              <w:rPr>
                <w:iCs/>
                <w:sz w:val="20"/>
              </w:rPr>
              <w:t>A generation site code.</w:t>
            </w:r>
          </w:p>
        </w:tc>
      </w:tr>
      <w:tr w:rsidR="009658B2" w:rsidRPr="0013396E" w14:paraId="1C082825" w14:textId="77777777" w:rsidTr="005A7D8E">
        <w:trPr>
          <w:cantSplit/>
        </w:trPr>
        <w:tc>
          <w:tcPr>
            <w:tcW w:w="1885" w:type="dxa"/>
            <w:tcBorders>
              <w:top w:val="single" w:sz="4" w:space="0" w:color="auto"/>
              <w:left w:val="single" w:sz="4" w:space="0" w:color="auto"/>
              <w:bottom w:val="single" w:sz="4" w:space="0" w:color="auto"/>
              <w:right w:val="single" w:sz="4" w:space="0" w:color="auto"/>
            </w:tcBorders>
            <w:hideMark/>
          </w:tcPr>
          <w:p w14:paraId="3D7C4969" w14:textId="77777777" w:rsidR="009658B2" w:rsidRPr="0013396E" w:rsidRDefault="009658B2" w:rsidP="0099759E">
            <w:pPr>
              <w:spacing w:after="60"/>
              <w:rPr>
                <w:i/>
                <w:iCs/>
                <w:sz w:val="20"/>
              </w:rPr>
            </w:pPr>
            <w:r w:rsidRPr="0013396E">
              <w:rPr>
                <w:i/>
                <w:iCs/>
                <w:sz w:val="20"/>
              </w:rPr>
              <w:t>b</w:t>
            </w:r>
          </w:p>
        </w:tc>
        <w:tc>
          <w:tcPr>
            <w:tcW w:w="903" w:type="dxa"/>
            <w:tcBorders>
              <w:top w:val="single" w:sz="4" w:space="0" w:color="auto"/>
              <w:left w:val="single" w:sz="4" w:space="0" w:color="auto"/>
              <w:bottom w:val="single" w:sz="4" w:space="0" w:color="auto"/>
              <w:right w:val="single" w:sz="4" w:space="0" w:color="auto"/>
            </w:tcBorders>
            <w:hideMark/>
          </w:tcPr>
          <w:p w14:paraId="64191E21" w14:textId="77777777" w:rsidR="009658B2" w:rsidRPr="0013396E" w:rsidRDefault="009658B2" w:rsidP="0099759E">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32A5C1CA" w14:textId="77777777" w:rsidR="009658B2" w:rsidRPr="0013396E" w:rsidRDefault="009658B2" w:rsidP="0099759E">
            <w:pPr>
              <w:spacing w:after="60"/>
              <w:rPr>
                <w:iCs/>
                <w:sz w:val="20"/>
              </w:rPr>
            </w:pPr>
            <w:r w:rsidRPr="0013396E">
              <w:rPr>
                <w:iCs/>
                <w:sz w:val="20"/>
              </w:rPr>
              <w:t>An Electrical Bus.</w:t>
            </w:r>
          </w:p>
        </w:tc>
      </w:tr>
    </w:tbl>
    <w:p w14:paraId="5F4A131B" w14:textId="77777777" w:rsidR="007844A1" w:rsidRPr="007844A1" w:rsidRDefault="007844A1" w:rsidP="007844A1">
      <w:pPr>
        <w:spacing w:before="240" w:after="240"/>
        <w:ind w:left="720" w:hanging="720"/>
        <w:rPr>
          <w:b/>
          <w:i/>
          <w:iCs/>
        </w:rPr>
      </w:pPr>
      <w:bookmarkStart w:id="1576" w:name="_Hlk214543209"/>
      <w:r w:rsidRPr="007844A1">
        <w:t>(3)</w:t>
      </w:r>
      <w:r w:rsidRPr="007844A1">
        <w:tab/>
        <w:t>For a facility with Settlement Meters that measure ESR Load, t</w:t>
      </w:r>
      <w:r w:rsidRPr="007844A1">
        <w:rPr>
          <w:iCs/>
        </w:rPr>
        <w:t xml:space="preserve">he total payment or charge </w:t>
      </w:r>
      <w:r w:rsidRPr="007844A1">
        <w:t xml:space="preserve">for ESR Load is </w:t>
      </w:r>
      <w:r w:rsidRPr="007844A1">
        <w:rPr>
          <w:iCs/>
        </w:rPr>
        <w:t>calculated for a QSE, ESR, and Settlement Point for each 15-minute Settlement Interval.</w:t>
      </w:r>
    </w:p>
    <w:p w14:paraId="37CBEA8B" w14:textId="77777777" w:rsidR="007844A1" w:rsidRPr="007844A1" w:rsidRDefault="007844A1" w:rsidP="007844A1">
      <w:pPr>
        <w:spacing w:after="240"/>
        <w:ind w:left="720"/>
        <w:rPr>
          <w:iCs/>
        </w:rPr>
      </w:pPr>
      <w:r w:rsidRPr="007844A1">
        <w:rPr>
          <w:iCs/>
        </w:rPr>
        <w:t xml:space="preserve">The WSL is settled as follows: </w:t>
      </w:r>
    </w:p>
    <w:p w14:paraId="24F1BA61" w14:textId="77777777" w:rsidR="007844A1" w:rsidRPr="007844A1" w:rsidRDefault="007844A1" w:rsidP="007844A1">
      <w:pPr>
        <w:tabs>
          <w:tab w:val="left" w:pos="2340"/>
          <w:tab w:val="left" w:pos="2880"/>
        </w:tabs>
        <w:spacing w:after="240"/>
        <w:ind w:left="2880" w:hanging="2160"/>
        <w:rPr>
          <w:b/>
          <w:bCs/>
        </w:rPr>
      </w:pPr>
      <w:r w:rsidRPr="007844A1">
        <w:rPr>
          <w:b/>
          <w:bCs/>
        </w:rPr>
        <w:t xml:space="preserve">WSLAMTTOT </w:t>
      </w:r>
      <w:r w:rsidRPr="007844A1">
        <w:rPr>
          <w:b/>
          <w:bCs/>
          <w:i/>
          <w:vertAlign w:val="subscript"/>
        </w:rPr>
        <w:t>q, r, p</w:t>
      </w:r>
      <w:r w:rsidRPr="007844A1">
        <w:rPr>
          <w:b/>
          <w:bCs/>
          <w:i/>
          <w:iCs/>
          <w:vertAlign w:val="subscript"/>
          <w:lang w:val="es-ES"/>
        </w:rPr>
        <w:tab/>
      </w:r>
      <w:r w:rsidRPr="007844A1">
        <w:rPr>
          <w:b/>
          <w:bCs/>
          <w:lang w:val="es-ES"/>
        </w:rPr>
        <w:t xml:space="preserve">= </w:t>
      </w:r>
      <w:r w:rsidRPr="007844A1">
        <w:rPr>
          <w:noProof/>
          <w:position w:val="-20"/>
        </w:rPr>
        <w:drawing>
          <wp:inline distT="0" distB="0" distL="0" distR="0" wp14:anchorId="04714721" wp14:editId="08C2738A">
            <wp:extent cx="180975" cy="259080"/>
            <wp:effectExtent l="0" t="0" r="0" b="0"/>
            <wp:docPr id="1035376564" name="Picture 103537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7844A1">
        <w:rPr>
          <w:b/>
          <w:bCs/>
        </w:rPr>
        <w:t xml:space="preserve"> (RTRMPRESR</w:t>
      </w:r>
      <w:r w:rsidRPr="007844A1">
        <w:rPr>
          <w:b/>
          <w:bCs/>
          <w:i/>
          <w:vertAlign w:val="subscript"/>
        </w:rPr>
        <w:t xml:space="preserve"> b </w:t>
      </w:r>
      <w:r w:rsidRPr="007844A1">
        <w:rPr>
          <w:b/>
          <w:bCs/>
        </w:rPr>
        <w:t>* MEBL</w:t>
      </w:r>
      <w:r w:rsidRPr="007844A1">
        <w:rPr>
          <w:bCs/>
        </w:rPr>
        <w:t xml:space="preserve"> </w:t>
      </w:r>
      <w:r w:rsidRPr="007844A1">
        <w:rPr>
          <w:b/>
          <w:bCs/>
          <w:i/>
          <w:vertAlign w:val="subscript"/>
        </w:rPr>
        <w:t>q, r, b</w:t>
      </w:r>
      <w:r w:rsidRPr="007844A1">
        <w:rPr>
          <w:b/>
          <w:bCs/>
        </w:rPr>
        <w:t>)</w:t>
      </w:r>
    </w:p>
    <w:p w14:paraId="6887D395" w14:textId="77777777" w:rsidR="007844A1" w:rsidRPr="007844A1" w:rsidRDefault="007844A1" w:rsidP="007844A1">
      <w:pPr>
        <w:spacing w:after="240"/>
        <w:ind w:left="720"/>
        <w:rPr>
          <w:iCs/>
        </w:rPr>
      </w:pPr>
      <w:r w:rsidRPr="007844A1">
        <w:rPr>
          <w:iCs/>
        </w:rPr>
        <w:t xml:space="preserve">The </w:t>
      </w:r>
      <w:r w:rsidRPr="007844A1">
        <w:t>Non-WSL ESR Charging Load</w:t>
      </w:r>
      <w:r w:rsidRPr="007844A1">
        <w:rPr>
          <w:iCs/>
        </w:rPr>
        <w:t xml:space="preserve"> is settled as follows: </w:t>
      </w:r>
    </w:p>
    <w:p w14:paraId="3DCCEBBF" w14:textId="77777777" w:rsidR="007844A1" w:rsidRPr="007844A1" w:rsidRDefault="007844A1" w:rsidP="007844A1">
      <w:pPr>
        <w:tabs>
          <w:tab w:val="left" w:pos="2340"/>
          <w:tab w:val="left" w:pos="2880"/>
        </w:tabs>
        <w:spacing w:after="240"/>
        <w:ind w:left="2880" w:hanging="2160"/>
        <w:rPr>
          <w:b/>
          <w:bCs/>
        </w:rPr>
      </w:pPr>
      <w:r w:rsidRPr="007844A1">
        <w:rPr>
          <w:b/>
          <w:bCs/>
        </w:rPr>
        <w:t xml:space="preserve">ESRNWSLAMTTOT </w:t>
      </w:r>
      <w:r w:rsidRPr="007844A1">
        <w:rPr>
          <w:b/>
          <w:bCs/>
          <w:i/>
          <w:vertAlign w:val="subscript"/>
        </w:rPr>
        <w:t>q, r, p</w:t>
      </w:r>
      <w:r w:rsidRPr="007844A1">
        <w:rPr>
          <w:b/>
          <w:bCs/>
          <w:i/>
          <w:iCs/>
          <w:vertAlign w:val="subscript"/>
          <w:lang w:val="es-ES"/>
        </w:rPr>
        <w:tab/>
      </w:r>
      <w:r w:rsidRPr="007844A1">
        <w:rPr>
          <w:b/>
          <w:bCs/>
          <w:lang w:val="es-ES"/>
        </w:rPr>
        <w:t xml:space="preserve">= </w:t>
      </w:r>
      <w:r w:rsidRPr="007844A1">
        <w:rPr>
          <w:noProof/>
          <w:position w:val="-20"/>
        </w:rPr>
        <w:drawing>
          <wp:inline distT="0" distB="0" distL="0" distR="0" wp14:anchorId="26D7319A" wp14:editId="2896AAD4">
            <wp:extent cx="180975" cy="259080"/>
            <wp:effectExtent l="0" t="0" r="0" b="0"/>
            <wp:docPr id="606298530" name="Picture 606298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7844A1">
        <w:rPr>
          <w:b/>
          <w:bCs/>
        </w:rPr>
        <w:t xml:space="preserve"> (RTRMPRESR</w:t>
      </w:r>
      <w:r w:rsidRPr="007844A1">
        <w:rPr>
          <w:b/>
          <w:bCs/>
          <w:i/>
          <w:vertAlign w:val="subscript"/>
        </w:rPr>
        <w:t xml:space="preserve"> b </w:t>
      </w:r>
      <w:r w:rsidRPr="007844A1">
        <w:rPr>
          <w:b/>
          <w:bCs/>
        </w:rPr>
        <w:t>* MEBR</w:t>
      </w:r>
      <w:r w:rsidRPr="007844A1">
        <w:rPr>
          <w:bCs/>
        </w:rPr>
        <w:t xml:space="preserve"> </w:t>
      </w:r>
      <w:r w:rsidRPr="007844A1">
        <w:rPr>
          <w:b/>
          <w:bCs/>
          <w:i/>
          <w:vertAlign w:val="subscript"/>
        </w:rPr>
        <w:t>q, r, b</w:t>
      </w:r>
      <w:r w:rsidRPr="007844A1">
        <w:rPr>
          <w:b/>
          <w:bCs/>
        </w:rPr>
        <w:t>)</w:t>
      </w:r>
    </w:p>
    <w:p w14:paraId="797CD873" w14:textId="77777777" w:rsidR="007844A1" w:rsidRPr="007844A1" w:rsidRDefault="007844A1" w:rsidP="007844A1">
      <w:pPr>
        <w:tabs>
          <w:tab w:val="left" w:pos="2340"/>
          <w:tab w:val="left" w:pos="3420"/>
        </w:tabs>
        <w:spacing w:after="240"/>
        <w:ind w:left="3420" w:hanging="2700"/>
        <w:rPr>
          <w:b/>
          <w:bCs/>
        </w:rPr>
      </w:pPr>
      <w:r w:rsidRPr="007844A1">
        <w:rPr>
          <w:bCs/>
        </w:rPr>
        <w:t>Where</w:t>
      </w:r>
      <w:r w:rsidRPr="007844A1">
        <w:rPr>
          <w:bCs/>
          <w:iCs/>
        </w:rPr>
        <w:t xml:space="preserve"> the price for Settlement Meter is determined as follows:</w:t>
      </w:r>
    </w:p>
    <w:p w14:paraId="45889A5B" w14:textId="77777777" w:rsidR="007844A1" w:rsidRPr="007844A1" w:rsidRDefault="007844A1" w:rsidP="007844A1">
      <w:pPr>
        <w:spacing w:after="240"/>
        <w:ind w:left="2880" w:hanging="2160"/>
        <w:rPr>
          <w:b/>
          <w:lang w:val="es-ES"/>
        </w:rPr>
      </w:pPr>
      <w:r w:rsidRPr="007844A1">
        <w:rPr>
          <w:b/>
          <w:lang w:val="es-ES"/>
        </w:rPr>
        <w:t>RTRMPRESR</w:t>
      </w:r>
      <w:r w:rsidRPr="007844A1">
        <w:rPr>
          <w:b/>
          <w:i/>
          <w:iCs/>
          <w:vertAlign w:val="subscript"/>
          <w:lang w:val="es-ES"/>
        </w:rPr>
        <w:t xml:space="preserve"> b</w:t>
      </w:r>
      <w:r w:rsidRPr="007844A1">
        <w:rPr>
          <w:b/>
          <w:lang w:val="es-ES"/>
        </w:rPr>
        <w:t xml:space="preserve"> </w:t>
      </w:r>
      <w:r w:rsidRPr="007844A1">
        <w:rPr>
          <w:b/>
          <w:lang w:val="es-ES"/>
        </w:rPr>
        <w:tab/>
        <w:t xml:space="preserve">= </w:t>
      </w:r>
      <w:r w:rsidRPr="007844A1">
        <w:rPr>
          <w:b/>
        </w:rPr>
        <w:t>Max [-$251, (</w:t>
      </w:r>
      <w:r w:rsidRPr="007844A1">
        <w:rPr>
          <w:rFonts w:ascii="Times New Roman Bold" w:hAnsi="Times New Roman Bold"/>
          <w:b/>
          <w:noProof/>
          <w:position w:val="-18"/>
        </w:rPr>
        <w:drawing>
          <wp:inline distT="0" distB="0" distL="0" distR="0" wp14:anchorId="37243E3D" wp14:editId="04747EFC">
            <wp:extent cx="146685" cy="293370"/>
            <wp:effectExtent l="0" t="0" r="0" b="0"/>
            <wp:docPr id="88" name="Picture 88"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7844A1">
        <w:rPr>
          <w:b/>
          <w:lang w:val="es-ES"/>
        </w:rPr>
        <w:t xml:space="preserve">(RNWFL </w:t>
      </w:r>
      <w:r w:rsidRPr="007844A1">
        <w:rPr>
          <w:b/>
          <w:i/>
          <w:iCs/>
          <w:vertAlign w:val="subscript"/>
          <w:lang w:val="es-ES"/>
        </w:rPr>
        <w:t xml:space="preserve">b, y </w:t>
      </w:r>
      <w:r w:rsidRPr="007844A1">
        <w:rPr>
          <w:b/>
          <w:lang w:val="es-ES"/>
        </w:rPr>
        <w:t xml:space="preserve">* RTLMP </w:t>
      </w:r>
      <w:r w:rsidRPr="007844A1">
        <w:rPr>
          <w:b/>
          <w:i/>
          <w:vertAlign w:val="subscript"/>
          <w:lang w:val="es-ES"/>
        </w:rPr>
        <w:t>b</w:t>
      </w:r>
      <w:r w:rsidRPr="007844A1">
        <w:rPr>
          <w:b/>
          <w:i/>
          <w:iCs/>
          <w:vertAlign w:val="subscript"/>
          <w:lang w:val="es-ES"/>
        </w:rPr>
        <w:t>, y</w:t>
      </w:r>
      <w:r w:rsidRPr="007844A1">
        <w:rPr>
          <w:b/>
          <w:lang w:val="es-ES"/>
        </w:rPr>
        <w:t>)</w:t>
      </w:r>
      <w:r w:rsidRPr="007844A1">
        <w:rPr>
          <w:b/>
        </w:rPr>
        <w:t xml:space="preserve"> + RTRDP)]</w:t>
      </w:r>
    </w:p>
    <w:p w14:paraId="24966229" w14:textId="77777777" w:rsidR="007844A1" w:rsidRPr="007844A1" w:rsidRDefault="007844A1" w:rsidP="007844A1">
      <w:pPr>
        <w:spacing w:after="240"/>
        <w:ind w:firstLine="720"/>
      </w:pPr>
      <w:r w:rsidRPr="007844A1">
        <w:t>Where the weighting factor for the Electrical Bus associated with the meter is:</w:t>
      </w:r>
    </w:p>
    <w:p w14:paraId="38409536" w14:textId="77777777" w:rsidR="007844A1" w:rsidRPr="007844A1" w:rsidRDefault="007844A1" w:rsidP="007844A1">
      <w:pPr>
        <w:spacing w:after="240"/>
        <w:ind w:firstLine="720"/>
        <w:rPr>
          <w:b/>
          <w:lang w:val="es-ES"/>
        </w:rPr>
      </w:pPr>
      <w:r w:rsidRPr="007844A1">
        <w:rPr>
          <w:b/>
          <w:lang w:val="es-ES"/>
        </w:rPr>
        <w:t xml:space="preserve">RNWFL </w:t>
      </w:r>
      <w:r w:rsidRPr="007844A1">
        <w:rPr>
          <w:b/>
          <w:i/>
          <w:iCs/>
          <w:vertAlign w:val="subscript"/>
          <w:lang w:val="es-ES"/>
        </w:rPr>
        <w:t xml:space="preserve">b, y </w:t>
      </w:r>
      <w:r w:rsidRPr="007844A1">
        <w:rPr>
          <w:b/>
          <w:i/>
          <w:iCs/>
          <w:vertAlign w:val="subscript"/>
          <w:lang w:val="es-ES"/>
        </w:rPr>
        <w:tab/>
      </w:r>
      <w:r w:rsidRPr="007844A1">
        <w:rPr>
          <w:b/>
          <w:i/>
          <w:iCs/>
          <w:vertAlign w:val="subscript"/>
          <w:lang w:val="es-ES"/>
        </w:rPr>
        <w:tab/>
      </w:r>
      <w:r w:rsidRPr="007844A1">
        <w:rPr>
          <w:b/>
          <w:lang w:val="es-ES"/>
        </w:rPr>
        <w:t xml:space="preserve">= [Max (0.001, ABS( </w:t>
      </w:r>
      <w:r w:rsidRPr="007844A1">
        <w:rPr>
          <w:noProof/>
          <w:position w:val="-18"/>
        </w:rPr>
        <w:drawing>
          <wp:inline distT="0" distB="0" distL="0" distR="0" wp14:anchorId="04382E57" wp14:editId="7A567A32">
            <wp:extent cx="146685" cy="267335"/>
            <wp:effectExtent l="0" t="0" r="0" b="0"/>
            <wp:docPr id="91" name="Picture 9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00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46685" cy="267335"/>
                    </a:xfrm>
                    <a:prstGeom prst="rect">
                      <a:avLst/>
                    </a:prstGeom>
                    <a:noFill/>
                    <a:ln>
                      <a:noFill/>
                    </a:ln>
                  </pic:spPr>
                </pic:pic>
              </a:graphicData>
            </a:graphic>
          </wp:inline>
        </w:drawing>
      </w:r>
      <w:r w:rsidRPr="007844A1">
        <w:rPr>
          <w:b/>
          <w:lang w:val="es-ES"/>
        </w:rPr>
        <w:t>Min(0, BP</w:t>
      </w:r>
      <w:r w:rsidRPr="007844A1">
        <w:rPr>
          <w:b/>
          <w:bCs/>
          <w:i/>
          <w:iCs/>
          <w:vertAlign w:val="subscript"/>
          <w:lang w:val="es-ES"/>
        </w:rPr>
        <w:t xml:space="preserve"> r,</w:t>
      </w:r>
      <w:r w:rsidRPr="007844A1">
        <w:rPr>
          <w:b/>
          <w:i/>
          <w:iCs/>
          <w:vertAlign w:val="subscript"/>
          <w:lang w:val="es-ES"/>
        </w:rPr>
        <w:t xml:space="preserve"> y</w:t>
      </w:r>
      <w:r w:rsidRPr="007844A1">
        <w:rPr>
          <w:b/>
          <w:lang w:val="es-ES"/>
        </w:rPr>
        <w:t xml:space="preserve">))) * TLMP </w:t>
      </w:r>
      <w:r w:rsidRPr="007844A1">
        <w:rPr>
          <w:b/>
          <w:i/>
          <w:iCs/>
          <w:vertAlign w:val="subscript"/>
          <w:lang w:val="es-ES"/>
        </w:rPr>
        <w:t>y</w:t>
      </w:r>
      <w:r w:rsidRPr="007844A1">
        <w:rPr>
          <w:b/>
          <w:lang w:val="es-ES"/>
        </w:rPr>
        <w:t xml:space="preserve">] / </w:t>
      </w:r>
    </w:p>
    <w:p w14:paraId="20A91C0D" w14:textId="77777777" w:rsidR="007844A1" w:rsidRPr="007844A1" w:rsidRDefault="007844A1" w:rsidP="007844A1">
      <w:pPr>
        <w:spacing w:after="240"/>
        <w:ind w:firstLine="720"/>
        <w:rPr>
          <w:b/>
          <w:lang w:val="es-ES"/>
        </w:rPr>
      </w:pPr>
      <w:r w:rsidRPr="007844A1">
        <w:rPr>
          <w:b/>
          <w:lang w:val="es-ES"/>
        </w:rPr>
        <w:tab/>
      </w:r>
      <w:r w:rsidRPr="007844A1">
        <w:rPr>
          <w:b/>
          <w:lang w:val="es-ES"/>
        </w:rPr>
        <w:tab/>
      </w:r>
      <w:r w:rsidRPr="007844A1">
        <w:rPr>
          <w:b/>
          <w:lang w:val="es-ES"/>
        </w:rPr>
        <w:tab/>
        <w:t>[</w:t>
      </w:r>
      <w:r w:rsidRPr="007844A1">
        <w:rPr>
          <w:rFonts w:ascii="Times New Roman Bold" w:hAnsi="Times New Roman Bold"/>
          <w:b/>
          <w:noProof/>
          <w:position w:val="-18"/>
        </w:rPr>
        <w:drawing>
          <wp:inline distT="0" distB="0" distL="0" distR="0" wp14:anchorId="629AD203" wp14:editId="6877B50C">
            <wp:extent cx="146685" cy="293370"/>
            <wp:effectExtent l="0" t="0" r="0" b="0"/>
            <wp:docPr id="92" name="Picture 92"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7844A1">
        <w:rPr>
          <w:b/>
          <w:lang w:val="es-ES"/>
        </w:rPr>
        <w:t xml:space="preserve">Max (0.001, ABS( </w:t>
      </w:r>
      <w:r w:rsidRPr="007844A1">
        <w:rPr>
          <w:noProof/>
          <w:position w:val="-18"/>
        </w:rPr>
        <w:drawing>
          <wp:inline distT="0" distB="0" distL="0" distR="0" wp14:anchorId="53698625" wp14:editId="124C0BCA">
            <wp:extent cx="146685" cy="267335"/>
            <wp:effectExtent l="0" t="0" r="0" b="0"/>
            <wp:docPr id="1756362543" name="Picture 175636254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00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46685" cy="267335"/>
                    </a:xfrm>
                    <a:prstGeom prst="rect">
                      <a:avLst/>
                    </a:prstGeom>
                    <a:noFill/>
                    <a:ln>
                      <a:noFill/>
                    </a:ln>
                  </pic:spPr>
                </pic:pic>
              </a:graphicData>
            </a:graphic>
          </wp:inline>
        </w:drawing>
      </w:r>
      <w:r w:rsidRPr="007844A1">
        <w:rPr>
          <w:b/>
          <w:lang w:val="es-ES"/>
        </w:rPr>
        <w:t xml:space="preserve"> Min(0, BP</w:t>
      </w:r>
      <w:r w:rsidRPr="007844A1">
        <w:rPr>
          <w:b/>
          <w:i/>
          <w:iCs/>
          <w:vertAlign w:val="subscript"/>
          <w:lang w:val="es-ES"/>
        </w:rPr>
        <w:t xml:space="preserve"> </w:t>
      </w:r>
      <w:r w:rsidRPr="007844A1">
        <w:rPr>
          <w:b/>
          <w:bCs/>
          <w:i/>
          <w:iCs/>
          <w:vertAlign w:val="subscript"/>
          <w:lang w:val="es-ES"/>
        </w:rPr>
        <w:t>r,</w:t>
      </w:r>
      <w:r w:rsidRPr="007844A1">
        <w:rPr>
          <w:b/>
          <w:i/>
          <w:iCs/>
          <w:vertAlign w:val="subscript"/>
          <w:lang w:val="es-ES"/>
        </w:rPr>
        <w:t xml:space="preserve"> y</w:t>
      </w:r>
      <w:r w:rsidRPr="007844A1">
        <w:rPr>
          <w:b/>
          <w:lang w:val="es-ES"/>
        </w:rPr>
        <w:t xml:space="preserve">))) * TLMP </w:t>
      </w:r>
      <w:r w:rsidRPr="007844A1">
        <w:rPr>
          <w:b/>
          <w:i/>
          <w:iCs/>
          <w:vertAlign w:val="subscript"/>
          <w:lang w:val="es-ES"/>
        </w:rPr>
        <w:t>y</w:t>
      </w:r>
      <w:r w:rsidRPr="007844A1">
        <w:rPr>
          <w:b/>
          <w:lang w:val="es-ES"/>
        </w:rPr>
        <w:t>]</w:t>
      </w:r>
    </w:p>
    <w:p w14:paraId="12A5D3A0" w14:textId="77777777" w:rsidR="007844A1" w:rsidRPr="007844A1" w:rsidRDefault="007844A1" w:rsidP="007844A1">
      <w:pPr>
        <w:spacing w:after="240"/>
      </w:pPr>
      <w:r w:rsidRPr="007844A1">
        <w:t>Where:</w:t>
      </w:r>
    </w:p>
    <w:p w14:paraId="7EB45DBD" w14:textId="77777777" w:rsidR="007844A1" w:rsidRPr="007844A1" w:rsidRDefault="007844A1" w:rsidP="007844A1">
      <w:pPr>
        <w:spacing w:after="240"/>
        <w:ind w:left="720"/>
      </w:pPr>
      <w:r w:rsidRPr="007844A1">
        <w:t>RTRDP =</w:t>
      </w:r>
      <w:r w:rsidRPr="007844A1">
        <w:tab/>
      </w:r>
      <w:r w:rsidRPr="007844A1">
        <w:tab/>
      </w:r>
      <w:r w:rsidRPr="007844A1">
        <w:rPr>
          <w:noProof/>
          <w:position w:val="-22"/>
        </w:rPr>
        <w:drawing>
          <wp:inline distT="0" distB="0" distL="0" distR="0" wp14:anchorId="0A6D0FC4" wp14:editId="15027B57">
            <wp:extent cx="180975" cy="259080"/>
            <wp:effectExtent l="0" t="0" r="0" b="0"/>
            <wp:docPr id="513216187" name="Picture 51321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7844A1">
        <w:t xml:space="preserve">(RNWF </w:t>
      </w:r>
      <w:r w:rsidRPr="007844A1">
        <w:rPr>
          <w:i/>
          <w:iCs/>
          <w:vertAlign w:val="subscript"/>
        </w:rPr>
        <w:t xml:space="preserve"> y </w:t>
      </w:r>
      <w:r w:rsidRPr="007844A1">
        <w:t>* RTRDPA</w:t>
      </w:r>
      <w:r w:rsidRPr="007844A1">
        <w:rPr>
          <w:i/>
          <w:iCs/>
          <w:vertAlign w:val="subscript"/>
        </w:rPr>
        <w:t xml:space="preserve"> y</w:t>
      </w:r>
      <w:r w:rsidRPr="007844A1">
        <w:t>)</w:t>
      </w:r>
    </w:p>
    <w:p w14:paraId="687D19D6" w14:textId="77777777" w:rsidR="007844A1" w:rsidRPr="007844A1" w:rsidRDefault="007844A1" w:rsidP="007844A1">
      <w:pPr>
        <w:spacing w:after="240"/>
        <w:ind w:firstLine="720"/>
      </w:pPr>
      <w:r w:rsidRPr="007844A1">
        <w:t xml:space="preserve">RNWF </w:t>
      </w:r>
      <w:r w:rsidRPr="007844A1">
        <w:rPr>
          <w:i/>
          <w:vertAlign w:val="subscript"/>
        </w:rPr>
        <w:t xml:space="preserve">y </w:t>
      </w:r>
      <w:r w:rsidRPr="007844A1">
        <w:t>=</w:t>
      </w:r>
      <w:r w:rsidRPr="007844A1">
        <w:tab/>
      </w:r>
      <w:r w:rsidRPr="007844A1">
        <w:tab/>
        <w:t xml:space="preserve">TLMP </w:t>
      </w:r>
      <w:r w:rsidRPr="007844A1">
        <w:rPr>
          <w:i/>
          <w:vertAlign w:val="subscript"/>
        </w:rPr>
        <w:t>y</w:t>
      </w:r>
      <w:r w:rsidRPr="007844A1">
        <w:t xml:space="preserve"> </w:t>
      </w:r>
      <w:r w:rsidRPr="007844A1">
        <w:rPr>
          <w:color w:val="000000"/>
          <w:sz w:val="32"/>
          <w:szCs w:val="32"/>
        </w:rPr>
        <w:t>/</w:t>
      </w:r>
      <w:r w:rsidRPr="007844A1">
        <w:rPr>
          <w:color w:val="000000"/>
        </w:rPr>
        <w:t xml:space="preserve"> </w:t>
      </w:r>
      <w:r w:rsidRPr="007844A1">
        <w:rPr>
          <w:noProof/>
          <w:position w:val="-22"/>
        </w:rPr>
        <w:drawing>
          <wp:inline distT="0" distB="0" distL="0" distR="0" wp14:anchorId="1B4287BB" wp14:editId="625DE394">
            <wp:extent cx="180975" cy="259080"/>
            <wp:effectExtent l="0" t="0" r="0" b="0"/>
            <wp:docPr id="799234960" name="Picture 79923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7844A1">
        <w:t xml:space="preserve">TLMP </w:t>
      </w:r>
      <w:r w:rsidRPr="007844A1">
        <w:rPr>
          <w:i/>
          <w:vertAlign w:val="subscript"/>
        </w:rPr>
        <w:t>y</w:t>
      </w:r>
    </w:p>
    <w:p w14:paraId="22552273" w14:textId="77777777" w:rsidR="007844A1" w:rsidRPr="007844A1" w:rsidRDefault="007844A1" w:rsidP="007844A1">
      <w:pPr>
        <w:spacing w:before="120" w:after="240"/>
        <w:ind w:left="720"/>
      </w:pPr>
      <w:r w:rsidRPr="007844A1">
        <w:t xml:space="preserve">The summation is over all ESR Load </w:t>
      </w:r>
      <w:r w:rsidRPr="007844A1">
        <w:rPr>
          <w:i/>
          <w:iCs/>
        </w:rPr>
        <w:t>r</w:t>
      </w:r>
      <w:r w:rsidRPr="007844A1">
        <w:t xml:space="preserve"> associated to the individual meter.  The determination of which Resources are associated to an individual meter is static and based on the normal system configuration of the generation site code, </w:t>
      </w:r>
      <w:r w:rsidRPr="007844A1">
        <w:rPr>
          <w:i/>
        </w:rPr>
        <w:t>gsc</w:t>
      </w:r>
      <w:r w:rsidRPr="007844A1">
        <w:t>.</w:t>
      </w:r>
    </w:p>
    <w:p w14:paraId="37176B59" w14:textId="77777777" w:rsidR="007844A1" w:rsidRPr="007844A1" w:rsidRDefault="007844A1" w:rsidP="007844A1">
      <w:r w:rsidRPr="007844A1">
        <w:lastRenderedPageBreak/>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41"/>
        <w:gridCol w:w="1264"/>
        <w:gridCol w:w="5943"/>
      </w:tblGrid>
      <w:tr w:rsidR="007844A1" w:rsidRPr="007844A1" w14:paraId="214F0CA9" w14:textId="77777777" w:rsidTr="0099759E">
        <w:trPr>
          <w:cantSplit/>
          <w:tblHeader/>
        </w:trPr>
        <w:tc>
          <w:tcPr>
            <w:tcW w:w="1145" w:type="pct"/>
          </w:tcPr>
          <w:p w14:paraId="187DF972" w14:textId="77777777" w:rsidR="007844A1" w:rsidRPr="007844A1" w:rsidRDefault="007844A1" w:rsidP="007844A1">
            <w:pPr>
              <w:spacing w:after="120"/>
              <w:rPr>
                <w:b/>
                <w:iCs/>
                <w:sz w:val="20"/>
              </w:rPr>
            </w:pPr>
            <w:r w:rsidRPr="007844A1">
              <w:rPr>
                <w:b/>
                <w:iCs/>
                <w:sz w:val="20"/>
              </w:rPr>
              <w:t>Variable</w:t>
            </w:r>
          </w:p>
        </w:tc>
        <w:tc>
          <w:tcPr>
            <w:tcW w:w="676" w:type="pct"/>
          </w:tcPr>
          <w:p w14:paraId="33D74229" w14:textId="77777777" w:rsidR="007844A1" w:rsidRPr="007844A1" w:rsidRDefault="007844A1" w:rsidP="007844A1">
            <w:pPr>
              <w:spacing w:after="120"/>
              <w:rPr>
                <w:b/>
                <w:iCs/>
                <w:sz w:val="20"/>
              </w:rPr>
            </w:pPr>
            <w:r w:rsidRPr="007844A1">
              <w:rPr>
                <w:b/>
                <w:iCs/>
                <w:sz w:val="20"/>
              </w:rPr>
              <w:t>Unit</w:t>
            </w:r>
          </w:p>
        </w:tc>
        <w:tc>
          <w:tcPr>
            <w:tcW w:w="3179" w:type="pct"/>
          </w:tcPr>
          <w:p w14:paraId="6411FE20" w14:textId="77777777" w:rsidR="007844A1" w:rsidRPr="007844A1" w:rsidRDefault="007844A1" w:rsidP="007844A1">
            <w:pPr>
              <w:spacing w:after="120"/>
              <w:rPr>
                <w:b/>
                <w:iCs/>
                <w:sz w:val="20"/>
              </w:rPr>
            </w:pPr>
            <w:r w:rsidRPr="007844A1">
              <w:rPr>
                <w:b/>
                <w:iCs/>
                <w:sz w:val="20"/>
              </w:rPr>
              <w:t>Description</w:t>
            </w:r>
          </w:p>
        </w:tc>
      </w:tr>
      <w:tr w:rsidR="007844A1" w:rsidRPr="007844A1" w14:paraId="5D341C50" w14:textId="77777777" w:rsidTr="0099759E">
        <w:trPr>
          <w:cantSplit/>
        </w:trPr>
        <w:tc>
          <w:tcPr>
            <w:tcW w:w="1145" w:type="pct"/>
          </w:tcPr>
          <w:p w14:paraId="70A56C9C" w14:textId="77777777" w:rsidR="007844A1" w:rsidRPr="007844A1" w:rsidRDefault="007844A1" w:rsidP="007844A1">
            <w:pPr>
              <w:spacing w:after="60"/>
              <w:rPr>
                <w:sz w:val="20"/>
              </w:rPr>
            </w:pPr>
            <w:r w:rsidRPr="007844A1">
              <w:rPr>
                <w:sz w:val="20"/>
              </w:rPr>
              <w:t xml:space="preserve">RTLMP </w:t>
            </w:r>
            <w:r w:rsidRPr="007844A1">
              <w:rPr>
                <w:i/>
                <w:sz w:val="20"/>
                <w:vertAlign w:val="subscript"/>
              </w:rPr>
              <w:t>b, y</w:t>
            </w:r>
          </w:p>
        </w:tc>
        <w:tc>
          <w:tcPr>
            <w:tcW w:w="676" w:type="pct"/>
          </w:tcPr>
          <w:p w14:paraId="154485E0" w14:textId="77777777" w:rsidR="007844A1" w:rsidRPr="007844A1" w:rsidRDefault="007844A1" w:rsidP="007844A1">
            <w:pPr>
              <w:spacing w:after="60"/>
              <w:rPr>
                <w:sz w:val="20"/>
              </w:rPr>
            </w:pPr>
            <w:r w:rsidRPr="007844A1">
              <w:rPr>
                <w:sz w:val="20"/>
              </w:rPr>
              <w:t>$/MWh</w:t>
            </w:r>
          </w:p>
        </w:tc>
        <w:tc>
          <w:tcPr>
            <w:tcW w:w="3179" w:type="pct"/>
          </w:tcPr>
          <w:p w14:paraId="00D096C1" w14:textId="77777777" w:rsidR="007844A1" w:rsidRPr="007844A1" w:rsidRDefault="007844A1" w:rsidP="007844A1">
            <w:pPr>
              <w:spacing w:after="60"/>
              <w:rPr>
                <w:sz w:val="20"/>
              </w:rPr>
            </w:pPr>
            <w:r w:rsidRPr="007844A1">
              <w:rPr>
                <w:i/>
                <w:sz w:val="20"/>
              </w:rPr>
              <w:t>Real-Time Locational Marginal Price at bus per interval</w:t>
            </w:r>
            <w:r w:rsidRPr="007844A1">
              <w:rPr>
                <w:sz w:val="20"/>
              </w:rPr>
              <w:sym w:font="Symbol" w:char="F0BE"/>
            </w:r>
            <w:r w:rsidRPr="007844A1">
              <w:rPr>
                <w:sz w:val="20"/>
              </w:rPr>
              <w:t xml:space="preserve">The Real-Time LMP for the meter at Electrical Bus </w:t>
            </w:r>
            <w:r w:rsidRPr="007844A1">
              <w:rPr>
                <w:i/>
                <w:sz w:val="20"/>
              </w:rPr>
              <w:t>b</w:t>
            </w:r>
            <w:r w:rsidRPr="007844A1">
              <w:rPr>
                <w:sz w:val="20"/>
              </w:rPr>
              <w:t xml:space="preserve">, for the SCED interval </w:t>
            </w:r>
            <w:r w:rsidRPr="007844A1">
              <w:rPr>
                <w:i/>
                <w:sz w:val="20"/>
              </w:rPr>
              <w:t>y</w:t>
            </w:r>
            <w:r w:rsidRPr="007844A1">
              <w:rPr>
                <w:sz w:val="20"/>
              </w:rPr>
              <w:t>.</w:t>
            </w:r>
          </w:p>
        </w:tc>
      </w:tr>
      <w:tr w:rsidR="007844A1" w:rsidRPr="007844A1" w14:paraId="4D8F33F9" w14:textId="77777777" w:rsidTr="0099759E">
        <w:trPr>
          <w:cantSplit/>
        </w:trPr>
        <w:tc>
          <w:tcPr>
            <w:tcW w:w="1145" w:type="pct"/>
          </w:tcPr>
          <w:p w14:paraId="332F1DBA" w14:textId="77777777" w:rsidR="007844A1" w:rsidRPr="007844A1" w:rsidRDefault="007844A1" w:rsidP="007844A1">
            <w:pPr>
              <w:spacing w:after="60"/>
              <w:rPr>
                <w:sz w:val="20"/>
              </w:rPr>
            </w:pPr>
            <w:r w:rsidRPr="007844A1">
              <w:rPr>
                <w:sz w:val="20"/>
              </w:rPr>
              <w:t xml:space="preserve">TLMP </w:t>
            </w:r>
            <w:r w:rsidRPr="007844A1">
              <w:rPr>
                <w:i/>
                <w:sz w:val="20"/>
                <w:vertAlign w:val="subscript"/>
              </w:rPr>
              <w:t>y</w:t>
            </w:r>
          </w:p>
        </w:tc>
        <w:tc>
          <w:tcPr>
            <w:tcW w:w="676" w:type="pct"/>
          </w:tcPr>
          <w:p w14:paraId="319446C2" w14:textId="77777777" w:rsidR="007844A1" w:rsidRPr="007844A1" w:rsidRDefault="007844A1" w:rsidP="007844A1">
            <w:pPr>
              <w:spacing w:after="60"/>
              <w:rPr>
                <w:iCs/>
                <w:sz w:val="20"/>
              </w:rPr>
            </w:pPr>
            <w:r w:rsidRPr="007844A1">
              <w:rPr>
                <w:sz w:val="20"/>
              </w:rPr>
              <w:t>second</w:t>
            </w:r>
          </w:p>
        </w:tc>
        <w:tc>
          <w:tcPr>
            <w:tcW w:w="3179" w:type="pct"/>
          </w:tcPr>
          <w:p w14:paraId="206B4051" w14:textId="77777777" w:rsidR="007844A1" w:rsidRPr="007844A1" w:rsidRDefault="007844A1" w:rsidP="007844A1">
            <w:pPr>
              <w:spacing w:after="60"/>
              <w:rPr>
                <w:sz w:val="20"/>
              </w:rPr>
            </w:pPr>
            <w:r w:rsidRPr="007844A1">
              <w:rPr>
                <w:i/>
                <w:iCs/>
                <w:sz w:val="20"/>
              </w:rPr>
              <w:t xml:space="preserve">Duration of </w:t>
            </w:r>
            <w:r w:rsidRPr="007844A1">
              <w:rPr>
                <w:i/>
                <w:sz w:val="20"/>
              </w:rPr>
              <w:t>SCED</w:t>
            </w:r>
            <w:r w:rsidRPr="007844A1">
              <w:rPr>
                <w:i/>
                <w:iCs/>
                <w:sz w:val="20"/>
              </w:rPr>
              <w:t xml:space="preserve"> interval per interval</w:t>
            </w:r>
            <w:r w:rsidRPr="007844A1">
              <w:rPr>
                <w:sz w:val="20"/>
              </w:rPr>
              <w:sym w:font="Symbol" w:char="F0BE"/>
            </w:r>
            <w:r w:rsidRPr="007844A1">
              <w:rPr>
                <w:sz w:val="20"/>
              </w:rPr>
              <w:t xml:space="preserve">The duration of the SCED interval </w:t>
            </w:r>
            <w:r w:rsidRPr="007844A1">
              <w:rPr>
                <w:i/>
                <w:iCs/>
                <w:sz w:val="20"/>
              </w:rPr>
              <w:t>y</w:t>
            </w:r>
            <w:r w:rsidRPr="007844A1">
              <w:rPr>
                <w:sz w:val="20"/>
              </w:rPr>
              <w:t>.</w:t>
            </w:r>
          </w:p>
        </w:tc>
      </w:tr>
      <w:tr w:rsidR="007844A1" w:rsidRPr="007844A1" w14:paraId="08835D76" w14:textId="77777777" w:rsidTr="0099759E">
        <w:trPr>
          <w:cantSplit/>
        </w:trPr>
        <w:tc>
          <w:tcPr>
            <w:tcW w:w="1145" w:type="pct"/>
          </w:tcPr>
          <w:p w14:paraId="09C9BB6A" w14:textId="77777777" w:rsidR="007844A1" w:rsidRPr="007844A1" w:rsidRDefault="007844A1" w:rsidP="007844A1">
            <w:pPr>
              <w:spacing w:after="60"/>
              <w:rPr>
                <w:sz w:val="20"/>
              </w:rPr>
            </w:pPr>
            <w:r w:rsidRPr="007844A1">
              <w:rPr>
                <w:sz w:val="20"/>
              </w:rPr>
              <w:t>RTRDP</w:t>
            </w:r>
          </w:p>
        </w:tc>
        <w:tc>
          <w:tcPr>
            <w:tcW w:w="676" w:type="pct"/>
          </w:tcPr>
          <w:p w14:paraId="1B2790D3" w14:textId="77777777" w:rsidR="007844A1" w:rsidRPr="007844A1" w:rsidRDefault="007844A1" w:rsidP="007844A1">
            <w:pPr>
              <w:spacing w:after="60"/>
              <w:rPr>
                <w:sz w:val="20"/>
              </w:rPr>
            </w:pPr>
            <w:r w:rsidRPr="007844A1">
              <w:rPr>
                <w:sz w:val="20"/>
              </w:rPr>
              <w:t>$/MWh</w:t>
            </w:r>
          </w:p>
        </w:tc>
        <w:tc>
          <w:tcPr>
            <w:tcW w:w="3179" w:type="pct"/>
          </w:tcPr>
          <w:p w14:paraId="57EBB4C9" w14:textId="77777777" w:rsidR="007844A1" w:rsidRPr="007844A1" w:rsidRDefault="007844A1" w:rsidP="007844A1">
            <w:pPr>
              <w:spacing w:after="60"/>
              <w:rPr>
                <w:i/>
                <w:sz w:val="20"/>
              </w:rPr>
            </w:pPr>
            <w:r w:rsidRPr="007844A1">
              <w:rPr>
                <w:i/>
                <w:sz w:val="20"/>
              </w:rPr>
              <w:t xml:space="preserve">Real-Time Reliability Deployment Price for Energy </w:t>
            </w:r>
            <w:r w:rsidRPr="007844A1">
              <w:rPr>
                <w:sz w:val="20"/>
              </w:rPr>
              <w:sym w:font="Symbol" w:char="F0BE"/>
            </w:r>
            <w:r w:rsidRPr="007844A1">
              <w:rPr>
                <w:sz w:val="20"/>
              </w:rPr>
              <w:t xml:space="preserve">The Real-Time price for the 15-minute Settlement Interval, reflecting the impact of reliability deployments on energy prices that is calculated </w:t>
            </w:r>
            <w:r w:rsidRPr="007844A1">
              <w:rPr>
                <w:bCs/>
                <w:sz w:val="20"/>
              </w:rPr>
              <w:t>from the Real-Time Reliability Deployment Price Adder for Energy</w:t>
            </w:r>
            <w:r w:rsidRPr="007844A1">
              <w:rPr>
                <w:sz w:val="20"/>
              </w:rPr>
              <w:t>.</w:t>
            </w:r>
          </w:p>
        </w:tc>
      </w:tr>
      <w:tr w:rsidR="007844A1" w:rsidRPr="007844A1" w14:paraId="4C765D42" w14:textId="77777777" w:rsidTr="0099759E">
        <w:trPr>
          <w:cantSplit/>
        </w:trPr>
        <w:tc>
          <w:tcPr>
            <w:tcW w:w="1145" w:type="pct"/>
          </w:tcPr>
          <w:p w14:paraId="32A5348F" w14:textId="77777777" w:rsidR="007844A1" w:rsidRPr="007844A1" w:rsidRDefault="007844A1" w:rsidP="007844A1">
            <w:pPr>
              <w:spacing w:after="60"/>
              <w:rPr>
                <w:sz w:val="20"/>
              </w:rPr>
            </w:pPr>
            <w:r w:rsidRPr="007844A1">
              <w:rPr>
                <w:sz w:val="20"/>
              </w:rPr>
              <w:t>RTRDPA</w:t>
            </w:r>
            <w:r w:rsidRPr="007844A1">
              <w:rPr>
                <w:sz w:val="20"/>
                <w:vertAlign w:val="subscript"/>
              </w:rPr>
              <w:t xml:space="preserve"> </w:t>
            </w:r>
            <w:r w:rsidRPr="007844A1">
              <w:rPr>
                <w:i/>
                <w:sz w:val="20"/>
                <w:vertAlign w:val="subscript"/>
              </w:rPr>
              <w:t>y</w:t>
            </w:r>
          </w:p>
        </w:tc>
        <w:tc>
          <w:tcPr>
            <w:tcW w:w="676" w:type="pct"/>
          </w:tcPr>
          <w:p w14:paraId="06DE30BD" w14:textId="77777777" w:rsidR="007844A1" w:rsidRPr="007844A1" w:rsidRDefault="007844A1" w:rsidP="007844A1">
            <w:pPr>
              <w:spacing w:after="60"/>
              <w:rPr>
                <w:sz w:val="20"/>
              </w:rPr>
            </w:pPr>
            <w:r w:rsidRPr="007844A1">
              <w:rPr>
                <w:sz w:val="20"/>
              </w:rPr>
              <w:t>$/MWh</w:t>
            </w:r>
          </w:p>
        </w:tc>
        <w:tc>
          <w:tcPr>
            <w:tcW w:w="3179" w:type="pct"/>
          </w:tcPr>
          <w:p w14:paraId="15006D86" w14:textId="77777777" w:rsidR="007844A1" w:rsidRPr="007844A1" w:rsidRDefault="007844A1" w:rsidP="007844A1">
            <w:pPr>
              <w:spacing w:after="60"/>
              <w:rPr>
                <w:i/>
                <w:sz w:val="20"/>
              </w:rPr>
            </w:pPr>
            <w:r w:rsidRPr="007844A1">
              <w:rPr>
                <w:i/>
                <w:sz w:val="20"/>
              </w:rPr>
              <w:t xml:space="preserve">Real-Time Reliability Deployment Price Adder for Energy </w:t>
            </w:r>
            <w:r w:rsidRPr="007844A1">
              <w:rPr>
                <w:sz w:val="20"/>
              </w:rPr>
              <w:sym w:font="Symbol" w:char="F0BE"/>
            </w:r>
            <w:r w:rsidRPr="007844A1">
              <w:rPr>
                <w:sz w:val="20"/>
              </w:rPr>
              <w:t xml:space="preserve">The Real-Time price adder that captures the impact of reliability deployments on energy prices for the SCED interval </w:t>
            </w:r>
            <w:r w:rsidRPr="007844A1">
              <w:rPr>
                <w:i/>
                <w:sz w:val="20"/>
              </w:rPr>
              <w:t>y</w:t>
            </w:r>
            <w:r w:rsidRPr="007844A1">
              <w:rPr>
                <w:sz w:val="20"/>
              </w:rPr>
              <w:t>.</w:t>
            </w:r>
          </w:p>
        </w:tc>
      </w:tr>
      <w:tr w:rsidR="007844A1" w:rsidRPr="007844A1" w14:paraId="4E67D909" w14:textId="77777777" w:rsidTr="0099759E">
        <w:trPr>
          <w:cantSplit/>
        </w:trPr>
        <w:tc>
          <w:tcPr>
            <w:tcW w:w="1145" w:type="pct"/>
          </w:tcPr>
          <w:p w14:paraId="73E493ED" w14:textId="77777777" w:rsidR="007844A1" w:rsidRPr="007844A1" w:rsidRDefault="007844A1" w:rsidP="007844A1">
            <w:pPr>
              <w:spacing w:after="60"/>
              <w:rPr>
                <w:sz w:val="20"/>
              </w:rPr>
            </w:pPr>
            <w:r w:rsidRPr="007844A1">
              <w:rPr>
                <w:sz w:val="20"/>
              </w:rPr>
              <w:t xml:space="preserve">RNWF </w:t>
            </w:r>
            <w:r w:rsidRPr="007844A1">
              <w:rPr>
                <w:i/>
                <w:sz w:val="20"/>
                <w:vertAlign w:val="subscript"/>
              </w:rPr>
              <w:t>y</w:t>
            </w:r>
          </w:p>
        </w:tc>
        <w:tc>
          <w:tcPr>
            <w:tcW w:w="676" w:type="pct"/>
          </w:tcPr>
          <w:p w14:paraId="230BDAF8" w14:textId="77777777" w:rsidR="007844A1" w:rsidRPr="007844A1" w:rsidRDefault="007844A1" w:rsidP="007844A1">
            <w:pPr>
              <w:spacing w:after="60"/>
              <w:rPr>
                <w:sz w:val="20"/>
              </w:rPr>
            </w:pPr>
            <w:r w:rsidRPr="007844A1">
              <w:rPr>
                <w:sz w:val="20"/>
              </w:rPr>
              <w:t>none</w:t>
            </w:r>
          </w:p>
        </w:tc>
        <w:tc>
          <w:tcPr>
            <w:tcW w:w="3179" w:type="pct"/>
          </w:tcPr>
          <w:p w14:paraId="18DC16EA" w14:textId="77777777" w:rsidR="007844A1" w:rsidRPr="007844A1" w:rsidRDefault="007844A1" w:rsidP="007844A1">
            <w:pPr>
              <w:spacing w:after="60"/>
              <w:rPr>
                <w:i/>
                <w:sz w:val="20"/>
              </w:rPr>
            </w:pPr>
            <w:r w:rsidRPr="007844A1">
              <w:rPr>
                <w:i/>
                <w:sz w:val="20"/>
              </w:rPr>
              <w:t>Resource Node Weighting Factor per interval</w:t>
            </w:r>
            <w:r w:rsidRPr="007844A1">
              <w:rPr>
                <w:sz w:val="20"/>
              </w:rPr>
              <w:sym w:font="Symbol" w:char="F0BE"/>
            </w:r>
            <w:r w:rsidRPr="007844A1">
              <w:rPr>
                <w:sz w:val="20"/>
              </w:rPr>
              <w:t xml:space="preserve">The weight used in the Real-Time Reliability Deployment price calculation for the portion of the SCED interval </w:t>
            </w:r>
            <w:r w:rsidRPr="007844A1">
              <w:rPr>
                <w:i/>
                <w:sz w:val="20"/>
              </w:rPr>
              <w:t>y</w:t>
            </w:r>
            <w:r w:rsidRPr="007844A1">
              <w:rPr>
                <w:sz w:val="20"/>
              </w:rPr>
              <w:t xml:space="preserve"> within the Settlement Interval.</w:t>
            </w:r>
          </w:p>
        </w:tc>
      </w:tr>
      <w:tr w:rsidR="007844A1" w:rsidRPr="007844A1" w14:paraId="5AE73F80" w14:textId="77777777" w:rsidTr="0099759E">
        <w:trPr>
          <w:cantSplit/>
        </w:trPr>
        <w:tc>
          <w:tcPr>
            <w:tcW w:w="1145" w:type="pct"/>
          </w:tcPr>
          <w:p w14:paraId="00FE19CC" w14:textId="77777777" w:rsidR="007844A1" w:rsidRPr="007844A1" w:rsidRDefault="007844A1" w:rsidP="007844A1">
            <w:pPr>
              <w:spacing w:after="60"/>
              <w:rPr>
                <w:sz w:val="20"/>
              </w:rPr>
            </w:pPr>
            <w:r w:rsidRPr="007844A1">
              <w:rPr>
                <w:sz w:val="20"/>
              </w:rPr>
              <w:t>MEBL</w:t>
            </w:r>
            <w:r w:rsidRPr="007844A1">
              <w:rPr>
                <w:sz w:val="20"/>
                <w:vertAlign w:val="subscript"/>
              </w:rPr>
              <w:t xml:space="preserve"> </w:t>
            </w:r>
            <w:r w:rsidRPr="007844A1">
              <w:rPr>
                <w:i/>
                <w:sz w:val="20"/>
                <w:vertAlign w:val="subscript"/>
              </w:rPr>
              <w:t>q,r,b</w:t>
            </w:r>
          </w:p>
        </w:tc>
        <w:tc>
          <w:tcPr>
            <w:tcW w:w="676" w:type="pct"/>
          </w:tcPr>
          <w:p w14:paraId="2F304D53" w14:textId="77777777" w:rsidR="007844A1" w:rsidRPr="007844A1" w:rsidRDefault="007844A1" w:rsidP="007844A1">
            <w:pPr>
              <w:spacing w:after="60"/>
              <w:rPr>
                <w:sz w:val="20"/>
              </w:rPr>
            </w:pPr>
            <w:r w:rsidRPr="007844A1">
              <w:rPr>
                <w:sz w:val="20"/>
              </w:rPr>
              <w:t>MWh</w:t>
            </w:r>
          </w:p>
        </w:tc>
        <w:tc>
          <w:tcPr>
            <w:tcW w:w="3179" w:type="pct"/>
          </w:tcPr>
          <w:p w14:paraId="6B13350E" w14:textId="77777777" w:rsidR="007844A1" w:rsidRPr="007844A1" w:rsidRDefault="007844A1" w:rsidP="007844A1">
            <w:pPr>
              <w:spacing w:after="60"/>
              <w:rPr>
                <w:i/>
                <w:iCs/>
                <w:sz w:val="20"/>
              </w:rPr>
            </w:pPr>
            <w:r w:rsidRPr="007844A1">
              <w:rPr>
                <w:i/>
                <w:sz w:val="20"/>
              </w:rPr>
              <w:t>Metered Energy for Wholesale Storage Load at bus</w:t>
            </w:r>
            <w:r w:rsidRPr="007844A1">
              <w:rPr>
                <w:sz w:val="20"/>
              </w:rPr>
              <w:sym w:font="Symbol" w:char="F0BE"/>
            </w:r>
            <w:r w:rsidRPr="007844A1">
              <w:rPr>
                <w:sz w:val="20"/>
              </w:rPr>
              <w:t xml:space="preserve">The WSL energy metered by the Settlement Meter which measures WSL for the 15-minute Settlement Interval represented as a negative value, for the QSE </w:t>
            </w:r>
            <w:r w:rsidRPr="007844A1">
              <w:rPr>
                <w:i/>
                <w:sz w:val="20"/>
              </w:rPr>
              <w:t>q</w:t>
            </w:r>
            <w:r w:rsidRPr="007844A1">
              <w:rPr>
                <w:sz w:val="20"/>
              </w:rPr>
              <w:t xml:space="preserve">, Resource </w:t>
            </w:r>
            <w:r w:rsidRPr="007844A1">
              <w:rPr>
                <w:i/>
                <w:sz w:val="20"/>
              </w:rPr>
              <w:t>r</w:t>
            </w:r>
            <w:r w:rsidRPr="007844A1">
              <w:rPr>
                <w:sz w:val="20"/>
              </w:rPr>
              <w:t xml:space="preserve">, at bus </w:t>
            </w:r>
            <w:r w:rsidRPr="007844A1">
              <w:rPr>
                <w:i/>
                <w:sz w:val="20"/>
              </w:rPr>
              <w:t>b</w:t>
            </w:r>
            <w:r w:rsidRPr="007844A1">
              <w:rPr>
                <w:sz w:val="20"/>
              </w:rPr>
              <w:t xml:space="preserve">.  </w:t>
            </w:r>
          </w:p>
        </w:tc>
      </w:tr>
      <w:tr w:rsidR="007844A1" w:rsidRPr="007844A1" w14:paraId="4AD7F08A" w14:textId="77777777" w:rsidTr="0099759E">
        <w:trPr>
          <w:cantSplit/>
        </w:trPr>
        <w:tc>
          <w:tcPr>
            <w:tcW w:w="1145" w:type="pct"/>
          </w:tcPr>
          <w:p w14:paraId="747BF8D3" w14:textId="77777777" w:rsidR="007844A1" w:rsidRPr="007844A1" w:rsidRDefault="007844A1" w:rsidP="007844A1">
            <w:pPr>
              <w:spacing w:after="60"/>
              <w:rPr>
                <w:sz w:val="20"/>
              </w:rPr>
            </w:pPr>
            <w:r w:rsidRPr="007844A1">
              <w:rPr>
                <w:sz w:val="20"/>
              </w:rPr>
              <w:t xml:space="preserve">MEBR </w:t>
            </w:r>
            <w:r w:rsidRPr="007844A1">
              <w:rPr>
                <w:i/>
                <w:sz w:val="20"/>
                <w:vertAlign w:val="subscript"/>
              </w:rPr>
              <w:t>q, r, b</w:t>
            </w:r>
          </w:p>
        </w:tc>
        <w:tc>
          <w:tcPr>
            <w:tcW w:w="676" w:type="pct"/>
          </w:tcPr>
          <w:p w14:paraId="5305A2FF" w14:textId="77777777" w:rsidR="007844A1" w:rsidRPr="007844A1" w:rsidRDefault="007844A1" w:rsidP="007844A1">
            <w:pPr>
              <w:spacing w:after="60"/>
              <w:rPr>
                <w:sz w:val="20"/>
              </w:rPr>
            </w:pPr>
            <w:r w:rsidRPr="007844A1">
              <w:rPr>
                <w:sz w:val="20"/>
              </w:rPr>
              <w:t>MWh</w:t>
            </w:r>
          </w:p>
        </w:tc>
        <w:tc>
          <w:tcPr>
            <w:tcW w:w="3179" w:type="pct"/>
          </w:tcPr>
          <w:p w14:paraId="1A4B03A7" w14:textId="77777777" w:rsidR="007844A1" w:rsidRPr="007844A1" w:rsidRDefault="007844A1" w:rsidP="007844A1">
            <w:pPr>
              <w:spacing w:after="60"/>
              <w:rPr>
                <w:i/>
                <w:sz w:val="20"/>
              </w:rPr>
            </w:pPr>
            <w:r w:rsidRPr="007844A1">
              <w:rPr>
                <w:i/>
                <w:sz w:val="20"/>
              </w:rPr>
              <w:t xml:space="preserve">Metered Energy for Energy Storage Resource Load at Bus </w:t>
            </w:r>
            <w:r w:rsidRPr="007844A1">
              <w:rPr>
                <w:sz w:val="20"/>
              </w:rPr>
              <w:t xml:space="preserve">- The energy metered by the Settlement Meter which measures Non-WSL ESR Charging Load for the 15-minute Settlement Interval represented as a negative value, for the QSE </w:t>
            </w:r>
            <w:r w:rsidRPr="007844A1">
              <w:rPr>
                <w:i/>
                <w:sz w:val="20"/>
              </w:rPr>
              <w:t>q</w:t>
            </w:r>
            <w:r w:rsidRPr="007844A1">
              <w:rPr>
                <w:sz w:val="20"/>
              </w:rPr>
              <w:t xml:space="preserve">, Resource </w:t>
            </w:r>
            <w:r w:rsidRPr="007844A1">
              <w:rPr>
                <w:i/>
                <w:sz w:val="20"/>
              </w:rPr>
              <w:t>r</w:t>
            </w:r>
            <w:r w:rsidRPr="007844A1">
              <w:rPr>
                <w:sz w:val="20"/>
              </w:rPr>
              <w:t xml:space="preserve">, at bus </w:t>
            </w:r>
            <w:r w:rsidRPr="007844A1">
              <w:rPr>
                <w:i/>
                <w:sz w:val="20"/>
              </w:rPr>
              <w:t>b</w:t>
            </w:r>
            <w:r w:rsidRPr="007844A1">
              <w:rPr>
                <w:sz w:val="20"/>
              </w:rPr>
              <w:t xml:space="preserve">.  </w:t>
            </w:r>
            <w:r w:rsidRPr="007844A1">
              <w:rPr>
                <w:i/>
                <w:sz w:val="20"/>
              </w:rPr>
              <w:t xml:space="preserve"> </w:t>
            </w:r>
          </w:p>
        </w:tc>
      </w:tr>
      <w:tr w:rsidR="007844A1" w:rsidRPr="007844A1" w14:paraId="180C7084" w14:textId="77777777" w:rsidTr="0099759E">
        <w:trPr>
          <w:cantSplit/>
        </w:trPr>
        <w:tc>
          <w:tcPr>
            <w:tcW w:w="1145" w:type="pct"/>
          </w:tcPr>
          <w:p w14:paraId="5933B3ED" w14:textId="77777777" w:rsidR="007844A1" w:rsidRPr="007844A1" w:rsidRDefault="007844A1" w:rsidP="007844A1">
            <w:pPr>
              <w:spacing w:after="60"/>
              <w:rPr>
                <w:i/>
                <w:sz w:val="20"/>
              </w:rPr>
            </w:pPr>
            <w:r w:rsidRPr="007844A1">
              <w:rPr>
                <w:sz w:val="20"/>
              </w:rPr>
              <w:t>WSLAMTTOT</w:t>
            </w:r>
            <w:r w:rsidRPr="007844A1">
              <w:rPr>
                <w:sz w:val="20"/>
                <w:vertAlign w:val="subscript"/>
              </w:rPr>
              <w:t xml:space="preserve"> </w:t>
            </w:r>
            <w:r w:rsidRPr="007844A1">
              <w:rPr>
                <w:i/>
                <w:sz w:val="20"/>
                <w:vertAlign w:val="subscript"/>
              </w:rPr>
              <w:t>q, r, p</w:t>
            </w:r>
          </w:p>
        </w:tc>
        <w:tc>
          <w:tcPr>
            <w:tcW w:w="676" w:type="pct"/>
          </w:tcPr>
          <w:p w14:paraId="2F8A641D" w14:textId="77777777" w:rsidR="007844A1" w:rsidRPr="007844A1" w:rsidRDefault="007844A1" w:rsidP="007844A1">
            <w:pPr>
              <w:spacing w:after="60"/>
              <w:rPr>
                <w:sz w:val="20"/>
              </w:rPr>
            </w:pPr>
            <w:r w:rsidRPr="007844A1">
              <w:rPr>
                <w:sz w:val="20"/>
              </w:rPr>
              <w:t>$</w:t>
            </w:r>
          </w:p>
        </w:tc>
        <w:tc>
          <w:tcPr>
            <w:tcW w:w="3179" w:type="pct"/>
          </w:tcPr>
          <w:p w14:paraId="6B2F7E48" w14:textId="77777777" w:rsidR="007844A1" w:rsidRPr="007844A1" w:rsidRDefault="007844A1" w:rsidP="007844A1">
            <w:pPr>
              <w:spacing w:after="60"/>
              <w:rPr>
                <w:sz w:val="20"/>
              </w:rPr>
            </w:pPr>
            <w:r w:rsidRPr="007844A1">
              <w:rPr>
                <w:i/>
                <w:sz w:val="20"/>
              </w:rPr>
              <w:t>Wholesale Storage Load Settlement</w:t>
            </w:r>
            <w:r w:rsidRPr="007844A1">
              <w:rPr>
                <w:sz w:val="20"/>
              </w:rPr>
              <w:t>—</w:t>
            </w:r>
            <w:r w:rsidRPr="007844A1">
              <w:rPr>
                <w:iCs/>
                <w:sz w:val="20"/>
              </w:rPr>
              <w:t xml:space="preserve">The total payment or charge to QSE </w:t>
            </w:r>
            <w:r w:rsidRPr="007844A1">
              <w:rPr>
                <w:i/>
                <w:iCs/>
                <w:sz w:val="20"/>
              </w:rPr>
              <w:t>q</w:t>
            </w:r>
            <w:r w:rsidRPr="007844A1">
              <w:rPr>
                <w:iCs/>
                <w:sz w:val="20"/>
              </w:rPr>
              <w:t xml:space="preserve">, Resource </w:t>
            </w:r>
            <w:r w:rsidRPr="007844A1">
              <w:rPr>
                <w:i/>
                <w:iCs/>
                <w:sz w:val="20"/>
              </w:rPr>
              <w:t>r</w:t>
            </w:r>
            <w:r w:rsidRPr="007844A1">
              <w:rPr>
                <w:iCs/>
                <w:sz w:val="20"/>
              </w:rPr>
              <w:t xml:space="preserve">, at Settlement Point </w:t>
            </w:r>
            <w:r w:rsidRPr="007844A1">
              <w:rPr>
                <w:i/>
                <w:iCs/>
                <w:sz w:val="20"/>
              </w:rPr>
              <w:t>p</w:t>
            </w:r>
            <w:r w:rsidRPr="007844A1">
              <w:rPr>
                <w:iCs/>
                <w:sz w:val="20"/>
              </w:rPr>
              <w:t xml:space="preserve">, </w:t>
            </w:r>
            <w:r w:rsidRPr="007844A1">
              <w:rPr>
                <w:sz w:val="20"/>
              </w:rPr>
              <w:t xml:space="preserve">for WSL </w:t>
            </w:r>
            <w:r w:rsidRPr="007844A1">
              <w:rPr>
                <w:iCs/>
                <w:sz w:val="20"/>
              </w:rPr>
              <w:t>for each 15-minute Settlement Interval.</w:t>
            </w:r>
          </w:p>
        </w:tc>
      </w:tr>
      <w:tr w:rsidR="007844A1" w:rsidRPr="007844A1" w14:paraId="2FBE4277" w14:textId="77777777" w:rsidTr="0099759E">
        <w:trPr>
          <w:cantSplit/>
        </w:trPr>
        <w:tc>
          <w:tcPr>
            <w:tcW w:w="1145" w:type="pct"/>
          </w:tcPr>
          <w:p w14:paraId="30454235" w14:textId="77777777" w:rsidR="007844A1" w:rsidRPr="007844A1" w:rsidRDefault="007844A1" w:rsidP="007844A1">
            <w:pPr>
              <w:spacing w:after="60"/>
              <w:rPr>
                <w:sz w:val="20"/>
              </w:rPr>
            </w:pPr>
            <w:r w:rsidRPr="007844A1">
              <w:rPr>
                <w:sz w:val="20"/>
              </w:rPr>
              <w:t>ESRNWSLAMTTOT</w:t>
            </w:r>
            <w:r w:rsidRPr="007844A1">
              <w:rPr>
                <w:sz w:val="20"/>
                <w:vertAlign w:val="subscript"/>
              </w:rPr>
              <w:t xml:space="preserve"> </w:t>
            </w:r>
            <w:r w:rsidRPr="007844A1">
              <w:rPr>
                <w:i/>
                <w:sz w:val="20"/>
                <w:vertAlign w:val="subscript"/>
              </w:rPr>
              <w:t>q, r, p</w:t>
            </w:r>
          </w:p>
        </w:tc>
        <w:tc>
          <w:tcPr>
            <w:tcW w:w="676" w:type="pct"/>
          </w:tcPr>
          <w:p w14:paraId="6C09C551" w14:textId="77777777" w:rsidR="007844A1" w:rsidRPr="007844A1" w:rsidRDefault="007844A1" w:rsidP="007844A1">
            <w:pPr>
              <w:spacing w:after="60"/>
              <w:rPr>
                <w:sz w:val="20"/>
              </w:rPr>
            </w:pPr>
            <w:r w:rsidRPr="007844A1">
              <w:rPr>
                <w:sz w:val="20"/>
              </w:rPr>
              <w:t>$</w:t>
            </w:r>
          </w:p>
        </w:tc>
        <w:tc>
          <w:tcPr>
            <w:tcW w:w="3179" w:type="pct"/>
          </w:tcPr>
          <w:p w14:paraId="4DE39B01" w14:textId="77777777" w:rsidR="007844A1" w:rsidRPr="007844A1" w:rsidRDefault="007844A1" w:rsidP="007844A1">
            <w:pPr>
              <w:spacing w:after="60"/>
              <w:rPr>
                <w:i/>
                <w:sz w:val="20"/>
              </w:rPr>
            </w:pPr>
            <w:r w:rsidRPr="007844A1">
              <w:rPr>
                <w:i/>
                <w:sz w:val="20"/>
              </w:rPr>
              <w:t>Energy Storage Resource Non-WSL Settlement</w:t>
            </w:r>
            <w:r w:rsidRPr="007844A1">
              <w:rPr>
                <w:sz w:val="20"/>
              </w:rPr>
              <w:t>—</w:t>
            </w:r>
            <w:r w:rsidRPr="007844A1">
              <w:rPr>
                <w:iCs/>
                <w:sz w:val="20"/>
              </w:rPr>
              <w:t xml:space="preserve">The total payment or charge to QSE </w:t>
            </w:r>
            <w:r w:rsidRPr="007844A1">
              <w:rPr>
                <w:i/>
                <w:iCs/>
                <w:sz w:val="20"/>
              </w:rPr>
              <w:t>q</w:t>
            </w:r>
            <w:r w:rsidRPr="007844A1">
              <w:rPr>
                <w:iCs/>
                <w:sz w:val="20"/>
              </w:rPr>
              <w:t xml:space="preserve">, Resource </w:t>
            </w:r>
            <w:r w:rsidRPr="007844A1">
              <w:rPr>
                <w:i/>
                <w:iCs/>
                <w:sz w:val="20"/>
              </w:rPr>
              <w:t>r</w:t>
            </w:r>
            <w:r w:rsidRPr="007844A1">
              <w:rPr>
                <w:iCs/>
                <w:sz w:val="20"/>
              </w:rPr>
              <w:t xml:space="preserve">, at Settlement Point </w:t>
            </w:r>
            <w:r w:rsidRPr="007844A1">
              <w:rPr>
                <w:i/>
                <w:iCs/>
                <w:sz w:val="20"/>
              </w:rPr>
              <w:t>p</w:t>
            </w:r>
            <w:r w:rsidRPr="007844A1">
              <w:rPr>
                <w:iCs/>
                <w:sz w:val="20"/>
              </w:rPr>
              <w:t xml:space="preserve">, </w:t>
            </w:r>
            <w:r w:rsidRPr="007844A1">
              <w:rPr>
                <w:sz w:val="20"/>
              </w:rPr>
              <w:t xml:space="preserve">for Non-WSL ESR Charging Load </w:t>
            </w:r>
            <w:r w:rsidRPr="007844A1">
              <w:rPr>
                <w:iCs/>
                <w:sz w:val="20"/>
              </w:rPr>
              <w:t>for each 15-minute Settlement Interval.</w:t>
            </w:r>
          </w:p>
        </w:tc>
      </w:tr>
      <w:tr w:rsidR="007844A1" w:rsidRPr="007844A1" w14:paraId="2641DF6C" w14:textId="77777777" w:rsidTr="0099759E">
        <w:trPr>
          <w:cantSplit/>
        </w:trPr>
        <w:tc>
          <w:tcPr>
            <w:tcW w:w="1145" w:type="pct"/>
          </w:tcPr>
          <w:p w14:paraId="3108A58D" w14:textId="77777777" w:rsidR="007844A1" w:rsidRPr="007844A1" w:rsidRDefault="007844A1" w:rsidP="007844A1">
            <w:pPr>
              <w:spacing w:after="60"/>
              <w:rPr>
                <w:i/>
                <w:sz w:val="20"/>
              </w:rPr>
            </w:pPr>
            <w:r w:rsidRPr="007844A1">
              <w:rPr>
                <w:sz w:val="20"/>
                <w:lang w:val="es-ES"/>
              </w:rPr>
              <w:t>RNWFL</w:t>
            </w:r>
            <w:r w:rsidRPr="007844A1">
              <w:rPr>
                <w:sz w:val="20"/>
                <w:vertAlign w:val="subscript"/>
              </w:rPr>
              <w:t xml:space="preserve"> </w:t>
            </w:r>
            <w:r w:rsidRPr="007844A1">
              <w:rPr>
                <w:i/>
                <w:iCs/>
                <w:sz w:val="20"/>
                <w:vertAlign w:val="subscript"/>
                <w:lang w:val="es-ES"/>
              </w:rPr>
              <w:t>b, y</w:t>
            </w:r>
          </w:p>
        </w:tc>
        <w:tc>
          <w:tcPr>
            <w:tcW w:w="676" w:type="pct"/>
          </w:tcPr>
          <w:p w14:paraId="33C3CF4A" w14:textId="77777777" w:rsidR="007844A1" w:rsidRPr="007844A1" w:rsidRDefault="007844A1" w:rsidP="007844A1">
            <w:pPr>
              <w:spacing w:after="60"/>
              <w:rPr>
                <w:sz w:val="20"/>
              </w:rPr>
            </w:pPr>
            <w:r w:rsidRPr="007844A1">
              <w:rPr>
                <w:sz w:val="20"/>
              </w:rPr>
              <w:t>none</w:t>
            </w:r>
          </w:p>
        </w:tc>
        <w:tc>
          <w:tcPr>
            <w:tcW w:w="3179" w:type="pct"/>
          </w:tcPr>
          <w:p w14:paraId="79F42524" w14:textId="77777777" w:rsidR="007844A1" w:rsidRPr="007844A1" w:rsidRDefault="007844A1" w:rsidP="007844A1">
            <w:pPr>
              <w:spacing w:after="60"/>
              <w:rPr>
                <w:sz w:val="20"/>
              </w:rPr>
            </w:pPr>
            <w:r w:rsidRPr="007844A1">
              <w:rPr>
                <w:i/>
                <w:iCs/>
                <w:sz w:val="20"/>
              </w:rPr>
              <w:t xml:space="preserve">Net meter Weighting Factor per interval </w:t>
            </w:r>
            <w:r w:rsidRPr="007844A1">
              <w:rPr>
                <w:i/>
                <w:sz w:val="20"/>
              </w:rPr>
              <w:t>for the Energy Metered as Energy Storage Resource Load</w:t>
            </w:r>
            <w:r w:rsidRPr="007844A1">
              <w:rPr>
                <w:rFonts w:ascii="Symbol" w:hAnsi="Symbol"/>
                <w:sz w:val="20"/>
              </w:rPr>
              <w:t></w:t>
            </w:r>
            <w:r w:rsidRPr="007844A1">
              <w:rPr>
                <w:rFonts w:ascii="Symbol" w:hAnsi="Symbol"/>
                <w:sz w:val="20"/>
              </w:rPr>
              <w:t></w:t>
            </w:r>
            <w:r w:rsidRPr="007844A1">
              <w:rPr>
                <w:sz w:val="20"/>
              </w:rPr>
              <w:t xml:space="preserve">The weight factor used in net meter price calculation for meters in Electrical Bus </w:t>
            </w:r>
            <w:r w:rsidRPr="007844A1">
              <w:rPr>
                <w:i/>
                <w:sz w:val="20"/>
              </w:rPr>
              <w:t>b</w:t>
            </w:r>
            <w:r w:rsidRPr="007844A1">
              <w:rPr>
                <w:sz w:val="20"/>
              </w:rPr>
              <w:t xml:space="preserve">, for the SCED interval </w:t>
            </w:r>
            <w:r w:rsidRPr="007844A1">
              <w:rPr>
                <w:i/>
                <w:iCs/>
                <w:sz w:val="20"/>
              </w:rPr>
              <w:t>y</w:t>
            </w:r>
            <w:r w:rsidRPr="007844A1">
              <w:rPr>
                <w:sz w:val="20"/>
              </w:rPr>
              <w:t>, for the ESR Load associated with an ESR.  The weighting factor used in the net meter price calculation shall not be recalculated after the fact due to revisions in the association of Resources to Settlement Meters.</w:t>
            </w:r>
          </w:p>
        </w:tc>
      </w:tr>
      <w:tr w:rsidR="007844A1" w:rsidRPr="007844A1" w14:paraId="323E2AB3" w14:textId="77777777" w:rsidTr="0099759E">
        <w:trPr>
          <w:cantSplit/>
        </w:trPr>
        <w:tc>
          <w:tcPr>
            <w:tcW w:w="1145" w:type="pct"/>
          </w:tcPr>
          <w:p w14:paraId="48250A20" w14:textId="77777777" w:rsidR="007844A1" w:rsidRPr="007844A1" w:rsidRDefault="007844A1" w:rsidP="007844A1">
            <w:pPr>
              <w:spacing w:after="60"/>
              <w:rPr>
                <w:i/>
                <w:sz w:val="20"/>
              </w:rPr>
            </w:pPr>
            <w:r w:rsidRPr="007844A1">
              <w:rPr>
                <w:sz w:val="20"/>
              </w:rPr>
              <w:t>RTRMPRESR</w:t>
            </w:r>
            <w:r w:rsidRPr="007844A1">
              <w:rPr>
                <w:sz w:val="20"/>
                <w:vertAlign w:val="subscript"/>
              </w:rPr>
              <w:t xml:space="preserve"> </w:t>
            </w:r>
            <w:r w:rsidRPr="007844A1">
              <w:rPr>
                <w:i/>
                <w:sz w:val="20"/>
                <w:vertAlign w:val="subscript"/>
              </w:rPr>
              <w:t>b</w:t>
            </w:r>
          </w:p>
        </w:tc>
        <w:tc>
          <w:tcPr>
            <w:tcW w:w="676" w:type="pct"/>
          </w:tcPr>
          <w:p w14:paraId="500249F0" w14:textId="77777777" w:rsidR="007844A1" w:rsidRPr="007844A1" w:rsidRDefault="007844A1" w:rsidP="007844A1">
            <w:pPr>
              <w:spacing w:after="60"/>
              <w:rPr>
                <w:sz w:val="20"/>
              </w:rPr>
            </w:pPr>
            <w:r w:rsidRPr="007844A1">
              <w:rPr>
                <w:sz w:val="20"/>
              </w:rPr>
              <w:t>$/MWh</w:t>
            </w:r>
          </w:p>
        </w:tc>
        <w:tc>
          <w:tcPr>
            <w:tcW w:w="3179" w:type="pct"/>
          </w:tcPr>
          <w:p w14:paraId="02DB4DA3" w14:textId="77777777" w:rsidR="007844A1" w:rsidRPr="007844A1" w:rsidRDefault="007844A1" w:rsidP="007844A1">
            <w:pPr>
              <w:spacing w:after="60"/>
              <w:rPr>
                <w:sz w:val="20"/>
              </w:rPr>
            </w:pPr>
            <w:r w:rsidRPr="007844A1">
              <w:rPr>
                <w:i/>
                <w:sz w:val="20"/>
              </w:rPr>
              <w:t>Real-Time Price for the Energy Metered as Energy Storage Resource Load at bus</w:t>
            </w:r>
            <w:r w:rsidRPr="007844A1">
              <w:rPr>
                <w:sz w:val="20"/>
              </w:rPr>
              <w:sym w:font="Symbol" w:char="F0BE"/>
            </w:r>
            <w:r w:rsidRPr="007844A1">
              <w:rPr>
                <w:sz w:val="20"/>
              </w:rPr>
              <w:t xml:space="preserve">The Real-Time price for the Settlement Meter which measures ESR Load at Electrical Bus </w:t>
            </w:r>
            <w:r w:rsidRPr="007844A1">
              <w:rPr>
                <w:i/>
                <w:sz w:val="20"/>
              </w:rPr>
              <w:t>b</w:t>
            </w:r>
            <w:r w:rsidRPr="007844A1">
              <w:rPr>
                <w:sz w:val="20"/>
              </w:rPr>
              <w:t>, for the 15-minute Settlement Interval.</w:t>
            </w:r>
          </w:p>
        </w:tc>
      </w:tr>
      <w:tr w:rsidR="007844A1" w:rsidRPr="007844A1" w14:paraId="670D7465" w14:textId="77777777" w:rsidTr="0099759E">
        <w:trPr>
          <w:cantSplit/>
        </w:trPr>
        <w:tc>
          <w:tcPr>
            <w:tcW w:w="1145" w:type="pct"/>
          </w:tcPr>
          <w:p w14:paraId="15F8EF9F" w14:textId="77777777" w:rsidR="007844A1" w:rsidRPr="007844A1" w:rsidRDefault="007844A1" w:rsidP="007844A1">
            <w:pPr>
              <w:spacing w:after="60"/>
              <w:rPr>
                <w:sz w:val="20"/>
                <w:lang w:val="es-ES"/>
              </w:rPr>
            </w:pPr>
            <w:r w:rsidRPr="007844A1">
              <w:rPr>
                <w:sz w:val="20"/>
              </w:rPr>
              <w:t xml:space="preserve">BP </w:t>
            </w:r>
            <w:r w:rsidRPr="007844A1">
              <w:rPr>
                <w:i/>
                <w:sz w:val="20"/>
                <w:vertAlign w:val="subscript"/>
              </w:rPr>
              <w:t>r, y</w:t>
            </w:r>
          </w:p>
        </w:tc>
        <w:tc>
          <w:tcPr>
            <w:tcW w:w="676" w:type="pct"/>
          </w:tcPr>
          <w:p w14:paraId="0A0D6209" w14:textId="77777777" w:rsidR="007844A1" w:rsidRPr="007844A1" w:rsidRDefault="007844A1" w:rsidP="007844A1">
            <w:pPr>
              <w:spacing w:after="60"/>
              <w:rPr>
                <w:sz w:val="20"/>
              </w:rPr>
            </w:pPr>
            <w:r w:rsidRPr="007844A1">
              <w:rPr>
                <w:sz w:val="20"/>
              </w:rPr>
              <w:t>MW</w:t>
            </w:r>
          </w:p>
        </w:tc>
        <w:tc>
          <w:tcPr>
            <w:tcW w:w="3179" w:type="pct"/>
          </w:tcPr>
          <w:p w14:paraId="3E769A62" w14:textId="77777777" w:rsidR="007844A1" w:rsidRPr="007844A1" w:rsidRDefault="007844A1" w:rsidP="007844A1">
            <w:pPr>
              <w:spacing w:after="60"/>
              <w:rPr>
                <w:i/>
                <w:sz w:val="20"/>
              </w:rPr>
            </w:pPr>
            <w:r w:rsidRPr="007844A1">
              <w:rPr>
                <w:i/>
                <w:sz w:val="20"/>
              </w:rPr>
              <w:t>Base Point per Resource per interval</w:t>
            </w:r>
            <w:r w:rsidRPr="007844A1">
              <w:rPr>
                <w:sz w:val="20"/>
              </w:rPr>
              <w:t xml:space="preserve"> - The Base Point of Resource </w:t>
            </w:r>
            <w:r w:rsidRPr="007844A1">
              <w:rPr>
                <w:i/>
                <w:sz w:val="20"/>
              </w:rPr>
              <w:t>r</w:t>
            </w:r>
            <w:r w:rsidRPr="007844A1">
              <w:rPr>
                <w:sz w:val="20"/>
              </w:rPr>
              <w:t xml:space="preserve">, for the SCED interval </w:t>
            </w:r>
            <w:r w:rsidRPr="007844A1">
              <w:rPr>
                <w:i/>
                <w:sz w:val="20"/>
              </w:rPr>
              <w:t>y</w:t>
            </w:r>
            <w:r w:rsidRPr="007844A1">
              <w:rPr>
                <w:sz w:val="20"/>
              </w:rPr>
              <w:t xml:space="preserve">.  </w:t>
            </w:r>
          </w:p>
        </w:tc>
      </w:tr>
      <w:tr w:rsidR="007844A1" w:rsidRPr="007844A1" w14:paraId="7E917843" w14:textId="77777777" w:rsidTr="0099759E">
        <w:trPr>
          <w:cantSplit/>
        </w:trPr>
        <w:tc>
          <w:tcPr>
            <w:tcW w:w="1145" w:type="pct"/>
          </w:tcPr>
          <w:p w14:paraId="0A373BE2" w14:textId="77777777" w:rsidR="007844A1" w:rsidRPr="007844A1" w:rsidRDefault="007844A1" w:rsidP="007844A1">
            <w:pPr>
              <w:spacing w:after="60"/>
              <w:rPr>
                <w:i/>
                <w:sz w:val="20"/>
              </w:rPr>
            </w:pPr>
            <w:r w:rsidRPr="007844A1">
              <w:rPr>
                <w:i/>
                <w:sz w:val="20"/>
              </w:rPr>
              <w:t>q</w:t>
            </w:r>
          </w:p>
        </w:tc>
        <w:tc>
          <w:tcPr>
            <w:tcW w:w="676" w:type="pct"/>
          </w:tcPr>
          <w:p w14:paraId="040103E1" w14:textId="77777777" w:rsidR="007844A1" w:rsidRPr="007844A1" w:rsidRDefault="007844A1" w:rsidP="007844A1">
            <w:pPr>
              <w:spacing w:after="60"/>
              <w:rPr>
                <w:sz w:val="20"/>
              </w:rPr>
            </w:pPr>
            <w:r w:rsidRPr="007844A1">
              <w:rPr>
                <w:sz w:val="20"/>
              </w:rPr>
              <w:t>none</w:t>
            </w:r>
          </w:p>
        </w:tc>
        <w:tc>
          <w:tcPr>
            <w:tcW w:w="3179" w:type="pct"/>
          </w:tcPr>
          <w:p w14:paraId="35FE79C0" w14:textId="77777777" w:rsidR="007844A1" w:rsidRPr="007844A1" w:rsidRDefault="007844A1" w:rsidP="007844A1">
            <w:pPr>
              <w:spacing w:after="60"/>
              <w:rPr>
                <w:sz w:val="20"/>
              </w:rPr>
            </w:pPr>
            <w:r w:rsidRPr="007844A1">
              <w:rPr>
                <w:sz w:val="20"/>
              </w:rPr>
              <w:t>A QSE.</w:t>
            </w:r>
          </w:p>
        </w:tc>
      </w:tr>
      <w:tr w:rsidR="007844A1" w:rsidRPr="007844A1" w14:paraId="44D95D7F" w14:textId="77777777" w:rsidTr="0099759E">
        <w:trPr>
          <w:cantSplit/>
        </w:trPr>
        <w:tc>
          <w:tcPr>
            <w:tcW w:w="1145" w:type="pct"/>
          </w:tcPr>
          <w:p w14:paraId="2DBFA76A" w14:textId="77777777" w:rsidR="007844A1" w:rsidRPr="007844A1" w:rsidRDefault="007844A1" w:rsidP="007844A1">
            <w:pPr>
              <w:spacing w:after="60"/>
              <w:rPr>
                <w:i/>
                <w:sz w:val="20"/>
              </w:rPr>
            </w:pPr>
            <w:r w:rsidRPr="007844A1">
              <w:rPr>
                <w:i/>
                <w:sz w:val="20"/>
              </w:rPr>
              <w:t>gsc</w:t>
            </w:r>
          </w:p>
        </w:tc>
        <w:tc>
          <w:tcPr>
            <w:tcW w:w="676" w:type="pct"/>
          </w:tcPr>
          <w:p w14:paraId="2C8657C3" w14:textId="77777777" w:rsidR="007844A1" w:rsidRPr="007844A1" w:rsidRDefault="007844A1" w:rsidP="007844A1">
            <w:pPr>
              <w:spacing w:after="60"/>
              <w:rPr>
                <w:sz w:val="20"/>
              </w:rPr>
            </w:pPr>
            <w:r w:rsidRPr="007844A1">
              <w:rPr>
                <w:sz w:val="20"/>
              </w:rPr>
              <w:t>none</w:t>
            </w:r>
          </w:p>
        </w:tc>
        <w:tc>
          <w:tcPr>
            <w:tcW w:w="3179" w:type="pct"/>
          </w:tcPr>
          <w:p w14:paraId="38E1ADE8" w14:textId="77777777" w:rsidR="007844A1" w:rsidRPr="007844A1" w:rsidRDefault="007844A1" w:rsidP="007844A1">
            <w:pPr>
              <w:spacing w:after="60"/>
              <w:rPr>
                <w:sz w:val="20"/>
              </w:rPr>
            </w:pPr>
            <w:r w:rsidRPr="007844A1">
              <w:rPr>
                <w:sz w:val="20"/>
              </w:rPr>
              <w:t>A generation site code.</w:t>
            </w:r>
          </w:p>
        </w:tc>
      </w:tr>
      <w:tr w:rsidR="007844A1" w:rsidRPr="007844A1" w14:paraId="554C4FCF" w14:textId="77777777" w:rsidTr="0099759E">
        <w:trPr>
          <w:cantSplit/>
        </w:trPr>
        <w:tc>
          <w:tcPr>
            <w:tcW w:w="1145" w:type="pct"/>
          </w:tcPr>
          <w:p w14:paraId="61E49E29" w14:textId="77777777" w:rsidR="007844A1" w:rsidRPr="007844A1" w:rsidRDefault="007844A1" w:rsidP="007844A1">
            <w:pPr>
              <w:spacing w:after="60"/>
              <w:rPr>
                <w:i/>
                <w:sz w:val="20"/>
              </w:rPr>
            </w:pPr>
            <w:r w:rsidRPr="007844A1">
              <w:rPr>
                <w:i/>
                <w:sz w:val="20"/>
              </w:rPr>
              <w:t>r</w:t>
            </w:r>
          </w:p>
        </w:tc>
        <w:tc>
          <w:tcPr>
            <w:tcW w:w="676" w:type="pct"/>
          </w:tcPr>
          <w:p w14:paraId="1A94809C" w14:textId="77777777" w:rsidR="007844A1" w:rsidRPr="007844A1" w:rsidRDefault="007844A1" w:rsidP="007844A1">
            <w:pPr>
              <w:spacing w:after="60"/>
              <w:rPr>
                <w:sz w:val="20"/>
              </w:rPr>
            </w:pPr>
            <w:r w:rsidRPr="007844A1">
              <w:rPr>
                <w:sz w:val="20"/>
              </w:rPr>
              <w:t>none</w:t>
            </w:r>
          </w:p>
        </w:tc>
        <w:tc>
          <w:tcPr>
            <w:tcW w:w="3179" w:type="pct"/>
          </w:tcPr>
          <w:p w14:paraId="4E16A1DC" w14:textId="77777777" w:rsidR="007844A1" w:rsidRPr="007844A1" w:rsidRDefault="007844A1" w:rsidP="007844A1">
            <w:pPr>
              <w:spacing w:after="60"/>
              <w:rPr>
                <w:sz w:val="20"/>
              </w:rPr>
            </w:pPr>
            <w:r w:rsidRPr="007844A1">
              <w:rPr>
                <w:sz w:val="20"/>
              </w:rPr>
              <w:t xml:space="preserve">An ESR.  </w:t>
            </w:r>
          </w:p>
        </w:tc>
      </w:tr>
      <w:tr w:rsidR="007844A1" w:rsidRPr="007844A1" w14:paraId="55FFB7EF" w14:textId="77777777" w:rsidTr="0099759E">
        <w:trPr>
          <w:cantSplit/>
        </w:trPr>
        <w:tc>
          <w:tcPr>
            <w:tcW w:w="1145" w:type="pct"/>
          </w:tcPr>
          <w:p w14:paraId="6B9E9EB3" w14:textId="77777777" w:rsidR="007844A1" w:rsidRPr="007844A1" w:rsidRDefault="007844A1" w:rsidP="007844A1">
            <w:pPr>
              <w:spacing w:after="60"/>
              <w:rPr>
                <w:i/>
                <w:sz w:val="20"/>
              </w:rPr>
            </w:pPr>
            <w:r w:rsidRPr="007844A1">
              <w:rPr>
                <w:i/>
                <w:sz w:val="20"/>
              </w:rPr>
              <w:t>p</w:t>
            </w:r>
          </w:p>
        </w:tc>
        <w:tc>
          <w:tcPr>
            <w:tcW w:w="676" w:type="pct"/>
          </w:tcPr>
          <w:p w14:paraId="3F3B2573" w14:textId="77777777" w:rsidR="007844A1" w:rsidRPr="007844A1" w:rsidRDefault="007844A1" w:rsidP="007844A1">
            <w:pPr>
              <w:spacing w:after="60"/>
              <w:rPr>
                <w:sz w:val="20"/>
              </w:rPr>
            </w:pPr>
            <w:r w:rsidRPr="007844A1">
              <w:rPr>
                <w:sz w:val="20"/>
              </w:rPr>
              <w:t>none</w:t>
            </w:r>
          </w:p>
        </w:tc>
        <w:tc>
          <w:tcPr>
            <w:tcW w:w="3179" w:type="pct"/>
          </w:tcPr>
          <w:p w14:paraId="5B188052" w14:textId="77777777" w:rsidR="007844A1" w:rsidRPr="007844A1" w:rsidRDefault="007844A1" w:rsidP="007844A1">
            <w:pPr>
              <w:spacing w:after="60"/>
              <w:rPr>
                <w:sz w:val="20"/>
              </w:rPr>
            </w:pPr>
            <w:r w:rsidRPr="007844A1">
              <w:rPr>
                <w:sz w:val="20"/>
              </w:rPr>
              <w:t>A Resource Node Settlement Point.</w:t>
            </w:r>
          </w:p>
        </w:tc>
      </w:tr>
      <w:tr w:rsidR="007844A1" w:rsidRPr="007844A1" w14:paraId="11C2A924" w14:textId="77777777" w:rsidTr="0099759E">
        <w:trPr>
          <w:cantSplit/>
        </w:trPr>
        <w:tc>
          <w:tcPr>
            <w:tcW w:w="1145" w:type="pct"/>
          </w:tcPr>
          <w:p w14:paraId="4E40261D" w14:textId="77777777" w:rsidR="007844A1" w:rsidRPr="007844A1" w:rsidRDefault="007844A1" w:rsidP="007844A1">
            <w:pPr>
              <w:spacing w:after="60"/>
              <w:rPr>
                <w:i/>
                <w:sz w:val="20"/>
              </w:rPr>
            </w:pPr>
            <w:r w:rsidRPr="007844A1">
              <w:rPr>
                <w:i/>
                <w:sz w:val="20"/>
              </w:rPr>
              <w:lastRenderedPageBreak/>
              <w:t>y</w:t>
            </w:r>
          </w:p>
        </w:tc>
        <w:tc>
          <w:tcPr>
            <w:tcW w:w="676" w:type="pct"/>
          </w:tcPr>
          <w:p w14:paraId="0E02FBA8" w14:textId="77777777" w:rsidR="007844A1" w:rsidRPr="007844A1" w:rsidRDefault="007844A1" w:rsidP="007844A1">
            <w:pPr>
              <w:spacing w:after="60"/>
              <w:rPr>
                <w:sz w:val="20"/>
              </w:rPr>
            </w:pPr>
            <w:r w:rsidRPr="007844A1">
              <w:rPr>
                <w:sz w:val="20"/>
              </w:rPr>
              <w:t>none</w:t>
            </w:r>
          </w:p>
        </w:tc>
        <w:tc>
          <w:tcPr>
            <w:tcW w:w="3179" w:type="pct"/>
          </w:tcPr>
          <w:p w14:paraId="237D1CB2" w14:textId="77777777" w:rsidR="007844A1" w:rsidRPr="007844A1" w:rsidRDefault="007844A1" w:rsidP="007844A1">
            <w:pPr>
              <w:spacing w:after="60"/>
              <w:rPr>
                <w:sz w:val="20"/>
              </w:rPr>
            </w:pPr>
            <w:r w:rsidRPr="007844A1">
              <w:rPr>
                <w:sz w:val="20"/>
              </w:rPr>
              <w:t>A SCED interval in the 15-minute Settlement Interval.  The summation is over the total number of SCED runs that cover the 15-minute Settlement Interval.</w:t>
            </w:r>
          </w:p>
        </w:tc>
      </w:tr>
      <w:tr w:rsidR="007844A1" w:rsidRPr="007844A1" w14:paraId="6230C7E3" w14:textId="77777777" w:rsidTr="0099759E">
        <w:trPr>
          <w:cantSplit/>
        </w:trPr>
        <w:tc>
          <w:tcPr>
            <w:tcW w:w="1145" w:type="pct"/>
          </w:tcPr>
          <w:p w14:paraId="73DF80B3" w14:textId="77777777" w:rsidR="007844A1" w:rsidRPr="007844A1" w:rsidRDefault="007844A1" w:rsidP="007844A1">
            <w:pPr>
              <w:spacing w:after="60"/>
              <w:rPr>
                <w:i/>
                <w:sz w:val="20"/>
              </w:rPr>
            </w:pPr>
            <w:r w:rsidRPr="007844A1">
              <w:rPr>
                <w:i/>
                <w:sz w:val="20"/>
              </w:rPr>
              <w:t>b</w:t>
            </w:r>
          </w:p>
        </w:tc>
        <w:tc>
          <w:tcPr>
            <w:tcW w:w="676" w:type="pct"/>
          </w:tcPr>
          <w:p w14:paraId="60593CD3" w14:textId="77777777" w:rsidR="007844A1" w:rsidRPr="007844A1" w:rsidRDefault="007844A1" w:rsidP="007844A1">
            <w:pPr>
              <w:spacing w:after="60"/>
              <w:rPr>
                <w:sz w:val="20"/>
              </w:rPr>
            </w:pPr>
            <w:r w:rsidRPr="007844A1">
              <w:rPr>
                <w:sz w:val="20"/>
              </w:rPr>
              <w:t>none</w:t>
            </w:r>
          </w:p>
        </w:tc>
        <w:tc>
          <w:tcPr>
            <w:tcW w:w="3179" w:type="pct"/>
          </w:tcPr>
          <w:p w14:paraId="5A7F56C6" w14:textId="77777777" w:rsidR="007844A1" w:rsidRPr="007844A1" w:rsidRDefault="007844A1" w:rsidP="007844A1">
            <w:pPr>
              <w:spacing w:after="60"/>
              <w:rPr>
                <w:sz w:val="20"/>
              </w:rPr>
            </w:pPr>
            <w:r w:rsidRPr="007844A1">
              <w:rPr>
                <w:sz w:val="20"/>
              </w:rPr>
              <w:t>An Electrical Bus.</w:t>
            </w:r>
          </w:p>
        </w:tc>
      </w:tr>
      <w:bookmarkEnd w:id="1576"/>
    </w:tbl>
    <w:p w14:paraId="6458BC5B" w14:textId="77777777" w:rsidR="00806724" w:rsidRPr="0013396E" w:rsidRDefault="0080672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423D31" w:rsidRPr="0013396E" w14:paraId="4C364206" w14:textId="77777777" w:rsidTr="00806724">
        <w:trPr>
          <w:trHeight w:val="206"/>
        </w:trPr>
        <w:tc>
          <w:tcPr>
            <w:tcW w:w="5000" w:type="pct"/>
            <w:shd w:val="pct12" w:color="auto" w:fill="auto"/>
          </w:tcPr>
          <w:p w14:paraId="43045223" w14:textId="2540BE83" w:rsidR="00423D31" w:rsidRPr="0013396E" w:rsidRDefault="00423D31" w:rsidP="009E7262">
            <w:pPr>
              <w:pStyle w:val="Instructions"/>
              <w:spacing w:before="120"/>
            </w:pPr>
            <w:r w:rsidRPr="0013396E">
              <w:t>[</w:t>
            </w:r>
            <w:r w:rsidR="006C5B5E" w:rsidRPr="0013396E">
              <w:t>NPRR1188</w:t>
            </w:r>
            <w:r w:rsidRPr="0013396E">
              <w:t>:  Replace paragraph (3) above with the following upon system implementation:]</w:t>
            </w:r>
          </w:p>
          <w:p w14:paraId="78734BB8" w14:textId="13850EBE" w:rsidR="00423D31" w:rsidRPr="0013396E" w:rsidRDefault="00423D31" w:rsidP="00423D31">
            <w:pPr>
              <w:spacing w:before="240" w:after="240"/>
              <w:ind w:left="720" w:hanging="720"/>
              <w:rPr>
                <w:b/>
                <w:i/>
                <w:iCs/>
              </w:rPr>
            </w:pPr>
            <w:r w:rsidRPr="0013396E">
              <w:t>(3)</w:t>
            </w:r>
            <w:r w:rsidRPr="0013396E">
              <w:tab/>
              <w:t xml:space="preserve">For a facility with Settlement Meters that measure </w:t>
            </w:r>
            <w:r w:rsidR="006C5B5E" w:rsidRPr="0013396E">
              <w:t xml:space="preserve">CLR (that is not an ALR) or </w:t>
            </w:r>
            <w:r w:rsidRPr="0013396E">
              <w:t>ESR Load, t</w:t>
            </w:r>
            <w:r w:rsidRPr="0013396E">
              <w:rPr>
                <w:iCs/>
              </w:rPr>
              <w:t xml:space="preserve">he total payment or charge </w:t>
            </w:r>
            <w:r w:rsidRPr="0013396E">
              <w:t xml:space="preserve">for </w:t>
            </w:r>
            <w:r w:rsidR="006C5B5E" w:rsidRPr="0013396E">
              <w:t xml:space="preserve">CLR (that is not an ALR) or </w:t>
            </w:r>
            <w:r w:rsidRPr="0013396E">
              <w:t xml:space="preserve">ESR Load is </w:t>
            </w:r>
            <w:r w:rsidRPr="0013396E">
              <w:rPr>
                <w:iCs/>
              </w:rPr>
              <w:t xml:space="preserve">calculated for a QSE, </w:t>
            </w:r>
            <w:r w:rsidR="006C5B5E" w:rsidRPr="0013396E">
              <w:t>CLR (that is not an ALR) or</w:t>
            </w:r>
            <w:r w:rsidR="006C5B5E" w:rsidRPr="0013396E">
              <w:rPr>
                <w:iCs/>
              </w:rPr>
              <w:t xml:space="preserve"> </w:t>
            </w:r>
            <w:r w:rsidRPr="0013396E">
              <w:rPr>
                <w:iCs/>
              </w:rPr>
              <w:t>ESR, and Settlement Point for each 15-minute Settlement Interval.</w:t>
            </w:r>
          </w:p>
          <w:p w14:paraId="7A2CBE1D" w14:textId="77777777" w:rsidR="00423D31" w:rsidRPr="0013396E" w:rsidRDefault="00423D31" w:rsidP="00423D31">
            <w:pPr>
              <w:spacing w:after="240"/>
              <w:ind w:left="720"/>
              <w:rPr>
                <w:iCs/>
              </w:rPr>
            </w:pPr>
            <w:r w:rsidRPr="0013396E">
              <w:rPr>
                <w:iCs/>
              </w:rPr>
              <w:t xml:space="preserve">The WSL is settled as follows: </w:t>
            </w:r>
          </w:p>
          <w:p w14:paraId="21864A82" w14:textId="77777777" w:rsidR="00423D31" w:rsidRPr="0013396E" w:rsidRDefault="00423D31" w:rsidP="00423D31">
            <w:pPr>
              <w:tabs>
                <w:tab w:val="left" w:pos="2340"/>
                <w:tab w:val="left" w:pos="2880"/>
              </w:tabs>
              <w:spacing w:after="240"/>
              <w:ind w:left="2880" w:hanging="2160"/>
              <w:rPr>
                <w:b/>
                <w:bCs/>
              </w:rPr>
            </w:pPr>
            <w:r w:rsidRPr="0013396E">
              <w:rPr>
                <w:b/>
                <w:bCs/>
              </w:rPr>
              <w:t xml:space="preserve">WSLAMTTOT </w:t>
            </w:r>
            <w:r w:rsidRPr="0013396E">
              <w:rPr>
                <w:b/>
                <w:bCs/>
                <w:i/>
                <w:vertAlign w:val="subscript"/>
              </w:rPr>
              <w:t>q, r, p</w:t>
            </w:r>
            <w:r w:rsidRPr="0013396E">
              <w:rPr>
                <w:b/>
                <w:bCs/>
                <w:i/>
                <w:iCs/>
                <w:vertAlign w:val="subscript"/>
                <w:lang w:val="es-ES"/>
              </w:rPr>
              <w:tab/>
            </w:r>
            <w:r w:rsidRPr="0013396E">
              <w:rPr>
                <w:b/>
                <w:bCs/>
                <w:lang w:val="es-ES"/>
              </w:rPr>
              <w:t xml:space="preserve">= </w:t>
            </w:r>
            <w:r w:rsidRPr="0013396E">
              <w:rPr>
                <w:position w:val="-20"/>
              </w:rPr>
              <w:object w:dxaOrig="225" w:dyaOrig="435" w14:anchorId="54664DCD">
                <v:shape id="_x0000_i1113" type="#_x0000_t75" style="width:12pt;height:18pt" o:ole="">
                  <v:imagedata r:id="rId128" o:title=""/>
                </v:shape>
                <o:OLEObject Type="Embed" ProgID="Equation.3" ShapeID="_x0000_i1113" DrawAspect="Content" ObjectID="_1849065744" r:id="rId129"/>
              </w:object>
            </w:r>
            <w:r w:rsidRPr="0013396E">
              <w:rPr>
                <w:b/>
                <w:bCs/>
              </w:rPr>
              <w:t xml:space="preserve"> (RTRMPRESR</w:t>
            </w:r>
            <w:r w:rsidRPr="0013396E">
              <w:rPr>
                <w:b/>
                <w:bCs/>
                <w:i/>
                <w:vertAlign w:val="subscript"/>
              </w:rPr>
              <w:t xml:space="preserve"> b </w:t>
            </w:r>
            <w:r w:rsidRPr="0013396E">
              <w:rPr>
                <w:b/>
                <w:bCs/>
              </w:rPr>
              <w:t>* MEBL</w:t>
            </w:r>
            <w:r w:rsidRPr="0013396E">
              <w:rPr>
                <w:bCs/>
              </w:rPr>
              <w:t xml:space="preserve"> </w:t>
            </w:r>
            <w:r w:rsidRPr="0013396E">
              <w:rPr>
                <w:b/>
                <w:bCs/>
                <w:i/>
                <w:vertAlign w:val="subscript"/>
              </w:rPr>
              <w:t>q, r, b</w:t>
            </w:r>
            <w:r w:rsidRPr="0013396E">
              <w:rPr>
                <w:b/>
                <w:bCs/>
              </w:rPr>
              <w:t>)</w:t>
            </w:r>
          </w:p>
          <w:p w14:paraId="37E52D53" w14:textId="5E0303CC" w:rsidR="00423D31" w:rsidRPr="0013396E" w:rsidRDefault="00423D31" w:rsidP="00423D31">
            <w:pPr>
              <w:spacing w:after="240"/>
              <w:ind w:left="720"/>
              <w:rPr>
                <w:iCs/>
              </w:rPr>
            </w:pPr>
            <w:r w:rsidRPr="0013396E">
              <w:rPr>
                <w:iCs/>
              </w:rPr>
              <w:t xml:space="preserve">The </w:t>
            </w:r>
            <w:r w:rsidR="00674579" w:rsidRPr="0013396E">
              <w:t>Non-WSL ESR Charging Load</w:t>
            </w:r>
            <w:r w:rsidRPr="0013396E">
              <w:rPr>
                <w:iCs/>
              </w:rPr>
              <w:t xml:space="preserve"> is settled as follows: </w:t>
            </w:r>
          </w:p>
          <w:p w14:paraId="6E08A9A8" w14:textId="77777777" w:rsidR="00423D31" w:rsidRPr="0013396E" w:rsidRDefault="00423D31" w:rsidP="00423D31">
            <w:pPr>
              <w:tabs>
                <w:tab w:val="left" w:pos="2340"/>
                <w:tab w:val="left" w:pos="2880"/>
              </w:tabs>
              <w:spacing w:after="240"/>
              <w:ind w:left="2880" w:hanging="2160"/>
              <w:rPr>
                <w:b/>
                <w:bCs/>
              </w:rPr>
            </w:pPr>
            <w:r w:rsidRPr="0013396E">
              <w:rPr>
                <w:b/>
                <w:bCs/>
              </w:rPr>
              <w:t xml:space="preserve">ESRNWSLAMTTOT </w:t>
            </w:r>
            <w:r w:rsidRPr="0013396E">
              <w:rPr>
                <w:b/>
                <w:bCs/>
                <w:i/>
                <w:vertAlign w:val="subscript"/>
              </w:rPr>
              <w:t>q, r, p</w:t>
            </w:r>
            <w:r w:rsidRPr="0013396E">
              <w:rPr>
                <w:b/>
                <w:bCs/>
                <w:i/>
                <w:iCs/>
                <w:vertAlign w:val="subscript"/>
                <w:lang w:val="es-ES"/>
              </w:rPr>
              <w:tab/>
            </w:r>
            <w:r w:rsidRPr="0013396E">
              <w:rPr>
                <w:b/>
                <w:bCs/>
                <w:lang w:val="es-ES"/>
              </w:rPr>
              <w:t xml:space="preserve">= </w:t>
            </w:r>
            <w:r w:rsidRPr="0013396E">
              <w:rPr>
                <w:position w:val="-20"/>
              </w:rPr>
              <w:object w:dxaOrig="225" w:dyaOrig="435" w14:anchorId="73C39FD7">
                <v:shape id="_x0000_i1114" type="#_x0000_t75" style="width:12pt;height:18pt" o:ole="">
                  <v:imagedata r:id="rId128" o:title=""/>
                </v:shape>
                <o:OLEObject Type="Embed" ProgID="Equation.3" ShapeID="_x0000_i1114" DrawAspect="Content" ObjectID="_1849065745" r:id="rId130"/>
              </w:object>
            </w:r>
            <w:r w:rsidRPr="0013396E">
              <w:rPr>
                <w:b/>
                <w:bCs/>
              </w:rPr>
              <w:t xml:space="preserve"> (RTRMPRESR</w:t>
            </w:r>
            <w:r w:rsidRPr="0013396E">
              <w:rPr>
                <w:b/>
                <w:bCs/>
                <w:i/>
                <w:vertAlign w:val="subscript"/>
              </w:rPr>
              <w:t xml:space="preserve"> b </w:t>
            </w:r>
            <w:r w:rsidRPr="0013396E">
              <w:rPr>
                <w:b/>
                <w:bCs/>
              </w:rPr>
              <w:t>* MEBR</w:t>
            </w:r>
            <w:r w:rsidRPr="0013396E">
              <w:rPr>
                <w:bCs/>
              </w:rPr>
              <w:t xml:space="preserve"> </w:t>
            </w:r>
            <w:r w:rsidRPr="0013396E">
              <w:rPr>
                <w:b/>
                <w:bCs/>
                <w:i/>
                <w:vertAlign w:val="subscript"/>
              </w:rPr>
              <w:t>q, r, b</w:t>
            </w:r>
            <w:r w:rsidRPr="0013396E">
              <w:rPr>
                <w:b/>
                <w:bCs/>
              </w:rPr>
              <w:t>)</w:t>
            </w:r>
          </w:p>
          <w:p w14:paraId="72B99C02" w14:textId="77777777" w:rsidR="006C5B5E" w:rsidRPr="0013396E" w:rsidRDefault="006C5B5E" w:rsidP="006C5B5E">
            <w:pPr>
              <w:tabs>
                <w:tab w:val="left" w:pos="2340"/>
                <w:tab w:val="left" w:pos="2880"/>
              </w:tabs>
              <w:spacing w:after="240"/>
              <w:ind w:left="2880" w:hanging="2160"/>
              <w:rPr>
                <w:b/>
                <w:bCs/>
              </w:rPr>
            </w:pPr>
            <w:r w:rsidRPr="0013396E">
              <w:rPr>
                <w:b/>
                <w:bCs/>
              </w:rPr>
              <w:t xml:space="preserve">Where: </w:t>
            </w:r>
          </w:p>
          <w:p w14:paraId="55A2DF87" w14:textId="0C5E312D" w:rsidR="006C5B5E" w:rsidRPr="0013396E" w:rsidRDefault="006C5B5E" w:rsidP="006C5B5E">
            <w:pPr>
              <w:tabs>
                <w:tab w:val="left" w:pos="1230"/>
                <w:tab w:val="left" w:pos="2340"/>
              </w:tabs>
              <w:spacing w:before="240" w:after="240"/>
              <w:ind w:left="3600" w:hanging="2430"/>
            </w:pPr>
            <w:r w:rsidRPr="0013396E">
              <w:t>MEBR</w:t>
            </w:r>
            <w:r w:rsidRPr="0013396E">
              <w:rPr>
                <w:vertAlign w:val="subscript"/>
              </w:rPr>
              <w:t xml:space="preserve"> </w:t>
            </w:r>
            <w:r w:rsidRPr="0013396E">
              <w:rPr>
                <w:i/>
                <w:iCs/>
                <w:vertAlign w:val="subscript"/>
              </w:rPr>
              <w:t>q, r, b</w:t>
            </w:r>
            <w:r w:rsidRPr="0013396E">
              <w:tab/>
              <w:t>=</w:t>
            </w:r>
            <w:r w:rsidRPr="0013396E">
              <w:tab/>
              <w:t>MEBRFG</w:t>
            </w:r>
            <w:r w:rsidRPr="0013396E">
              <w:rPr>
                <w:vertAlign w:val="subscript"/>
              </w:rPr>
              <w:t xml:space="preserve"> </w:t>
            </w:r>
            <w:r w:rsidRPr="0013396E">
              <w:rPr>
                <w:i/>
                <w:iCs/>
                <w:vertAlign w:val="subscript"/>
              </w:rPr>
              <w:t>q, r, b</w:t>
            </w:r>
            <w:r w:rsidRPr="0013396E">
              <w:t xml:space="preserve"> + MEBRSG</w:t>
            </w:r>
            <w:r w:rsidRPr="0013396E">
              <w:rPr>
                <w:vertAlign w:val="subscript"/>
              </w:rPr>
              <w:t xml:space="preserve"> </w:t>
            </w:r>
            <w:r w:rsidRPr="0013396E">
              <w:rPr>
                <w:i/>
                <w:iCs/>
                <w:vertAlign w:val="subscript"/>
              </w:rPr>
              <w:t>q, r, b</w:t>
            </w:r>
            <w:r w:rsidRPr="0013396E">
              <w:rPr>
                <w:vertAlign w:val="subscript"/>
              </w:rPr>
              <w:t xml:space="preserve"> </w:t>
            </w:r>
            <w:r w:rsidRPr="0013396E">
              <w:t xml:space="preserve"> </w:t>
            </w:r>
          </w:p>
          <w:p w14:paraId="64661FF9" w14:textId="77777777" w:rsidR="006C5B5E" w:rsidRPr="0013396E" w:rsidRDefault="006C5B5E" w:rsidP="004116AE">
            <w:pPr>
              <w:tabs>
                <w:tab w:val="left" w:pos="1230"/>
                <w:tab w:val="left" w:pos="2340"/>
              </w:tabs>
              <w:spacing w:before="240" w:after="240"/>
              <w:ind w:left="720"/>
            </w:pPr>
            <w:r w:rsidRPr="0013396E">
              <w:t>The total Non-WSL ESR Charging Load is included in the Real-Time Adjusted Meter Load (AML) per QSE.</w:t>
            </w:r>
          </w:p>
          <w:p w14:paraId="5D61906F" w14:textId="77777777" w:rsidR="00423D31" w:rsidRPr="0013396E" w:rsidRDefault="00423D31" w:rsidP="00423D31">
            <w:pPr>
              <w:tabs>
                <w:tab w:val="left" w:pos="2340"/>
                <w:tab w:val="left" w:pos="3420"/>
              </w:tabs>
              <w:spacing w:after="240"/>
              <w:ind w:left="3420" w:hanging="2700"/>
              <w:rPr>
                <w:b/>
                <w:bCs/>
              </w:rPr>
            </w:pPr>
            <w:r w:rsidRPr="0013396E">
              <w:rPr>
                <w:bCs/>
              </w:rPr>
              <w:t>Where</w:t>
            </w:r>
            <w:r w:rsidRPr="0013396E">
              <w:rPr>
                <w:bCs/>
                <w:iCs/>
              </w:rPr>
              <w:t xml:space="preserve"> the price for Settlement Meter is determined as follows:</w:t>
            </w:r>
          </w:p>
          <w:p w14:paraId="02EEDCA7" w14:textId="32F48FDF" w:rsidR="00423D31" w:rsidRPr="0013396E" w:rsidRDefault="00423D31" w:rsidP="00423D31">
            <w:pPr>
              <w:spacing w:after="240"/>
              <w:ind w:left="2880" w:hanging="2160"/>
              <w:rPr>
                <w:b/>
                <w:lang w:val="es-ES"/>
              </w:rPr>
            </w:pPr>
            <w:r w:rsidRPr="0013396E">
              <w:rPr>
                <w:b/>
                <w:lang w:val="es-ES"/>
              </w:rPr>
              <w:t>RTRMPRESR</w:t>
            </w:r>
            <w:r w:rsidRPr="0013396E">
              <w:rPr>
                <w:b/>
                <w:i/>
                <w:iCs/>
                <w:vertAlign w:val="subscript"/>
                <w:lang w:val="es-ES"/>
              </w:rPr>
              <w:t xml:space="preserve"> b</w:t>
            </w:r>
            <w:r w:rsidRPr="0013396E">
              <w:rPr>
                <w:b/>
                <w:lang w:val="es-ES"/>
              </w:rPr>
              <w:t xml:space="preserve"> </w:t>
            </w:r>
            <w:r w:rsidRPr="0013396E">
              <w:rPr>
                <w:b/>
                <w:lang w:val="es-ES"/>
              </w:rPr>
              <w:tab/>
              <w:t xml:space="preserve">= </w:t>
            </w:r>
            <w:r w:rsidRPr="0013396E">
              <w:rPr>
                <w:b/>
              </w:rPr>
              <w:t>Max [-$251, (</w:t>
            </w:r>
            <w:r w:rsidRPr="0013396E">
              <w:rPr>
                <w:rFonts w:ascii="Times New Roman Bold" w:hAnsi="Times New Roman Bold"/>
                <w:b/>
                <w:noProof/>
                <w:position w:val="-18"/>
              </w:rPr>
              <w:drawing>
                <wp:inline distT="0" distB="0" distL="0" distR="0" wp14:anchorId="2F3DC2CF" wp14:editId="6F674927">
                  <wp:extent cx="142875" cy="294005"/>
                  <wp:effectExtent l="0" t="0" r="9525" b="0"/>
                  <wp:docPr id="2089" name="Picture 46"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2875" cy="294005"/>
                          </a:xfrm>
                          <a:prstGeom prst="rect">
                            <a:avLst/>
                          </a:prstGeom>
                          <a:noFill/>
                          <a:ln>
                            <a:noFill/>
                          </a:ln>
                        </pic:spPr>
                      </pic:pic>
                    </a:graphicData>
                  </a:graphic>
                </wp:inline>
              </w:drawing>
            </w:r>
            <w:r w:rsidRPr="0013396E">
              <w:rPr>
                <w:b/>
                <w:lang w:val="es-ES"/>
              </w:rPr>
              <w:t xml:space="preserve">(RNWFL </w:t>
            </w:r>
            <w:r w:rsidRPr="0013396E">
              <w:rPr>
                <w:b/>
                <w:i/>
                <w:iCs/>
                <w:vertAlign w:val="subscript"/>
                <w:lang w:val="es-ES"/>
              </w:rPr>
              <w:t xml:space="preserve">b, y </w:t>
            </w:r>
            <w:r w:rsidRPr="0013396E">
              <w:rPr>
                <w:b/>
                <w:lang w:val="es-ES"/>
              </w:rPr>
              <w:t xml:space="preserve">* RTLMP </w:t>
            </w:r>
            <w:r w:rsidRPr="0013396E">
              <w:rPr>
                <w:b/>
                <w:i/>
                <w:vertAlign w:val="subscript"/>
                <w:lang w:val="es-ES"/>
              </w:rPr>
              <w:t>b</w:t>
            </w:r>
            <w:r w:rsidRPr="0013396E">
              <w:rPr>
                <w:b/>
                <w:i/>
                <w:iCs/>
                <w:vertAlign w:val="subscript"/>
                <w:lang w:val="es-ES"/>
              </w:rPr>
              <w:t>, y</w:t>
            </w:r>
            <w:r w:rsidRPr="0013396E">
              <w:rPr>
                <w:b/>
                <w:lang w:val="es-ES"/>
              </w:rPr>
              <w:t>)</w:t>
            </w:r>
            <w:r w:rsidRPr="0013396E">
              <w:rPr>
                <w:b/>
              </w:rPr>
              <w:t xml:space="preserve"> + RTRDP)]</w:t>
            </w:r>
          </w:p>
          <w:p w14:paraId="5AAB63E3" w14:textId="77777777" w:rsidR="006C5B5E" w:rsidRPr="0013396E" w:rsidRDefault="006C5B5E" w:rsidP="006C5B5E">
            <w:pPr>
              <w:spacing w:after="240"/>
              <w:ind w:left="720"/>
              <w:rPr>
                <w:iCs/>
              </w:rPr>
            </w:pPr>
            <w:r w:rsidRPr="0013396E">
              <w:rPr>
                <w:iCs/>
              </w:rPr>
              <w:t xml:space="preserve">The </w:t>
            </w:r>
            <w:r w:rsidRPr="0013396E">
              <w:t>CLR Load</w:t>
            </w:r>
            <w:r w:rsidRPr="0013396E">
              <w:rPr>
                <w:iCs/>
              </w:rPr>
              <w:t xml:space="preserve"> is settled as follows: </w:t>
            </w:r>
          </w:p>
          <w:p w14:paraId="7C23F49F" w14:textId="77777777" w:rsidR="006C5B5E" w:rsidRPr="0013396E" w:rsidRDefault="006C5B5E" w:rsidP="006C5B5E">
            <w:pPr>
              <w:tabs>
                <w:tab w:val="left" w:pos="2340"/>
                <w:tab w:val="left" w:pos="2880"/>
              </w:tabs>
              <w:spacing w:after="240"/>
              <w:ind w:left="2880" w:hanging="2160"/>
              <w:rPr>
                <w:b/>
                <w:bCs/>
              </w:rPr>
            </w:pPr>
            <w:r w:rsidRPr="0013396E">
              <w:rPr>
                <w:b/>
                <w:bCs/>
              </w:rPr>
              <w:t xml:space="preserve">CLRAMTTOT </w:t>
            </w:r>
            <w:r w:rsidRPr="0013396E">
              <w:rPr>
                <w:b/>
                <w:bCs/>
                <w:i/>
                <w:vertAlign w:val="subscript"/>
              </w:rPr>
              <w:t>q, r, p</w:t>
            </w:r>
            <w:r w:rsidRPr="0013396E">
              <w:rPr>
                <w:b/>
                <w:bCs/>
                <w:i/>
                <w:iCs/>
                <w:vertAlign w:val="subscript"/>
                <w:lang w:val="es-ES"/>
              </w:rPr>
              <w:tab/>
            </w:r>
            <w:r w:rsidRPr="0013396E">
              <w:rPr>
                <w:b/>
                <w:bCs/>
                <w:lang w:val="es-ES"/>
              </w:rPr>
              <w:t xml:space="preserve">= </w:t>
            </w:r>
            <w:r w:rsidRPr="0013396E">
              <w:rPr>
                <w:noProof/>
                <w:position w:val="-20"/>
              </w:rPr>
              <w:drawing>
                <wp:inline distT="0" distB="0" distL="0" distR="0" wp14:anchorId="3696D135" wp14:editId="52E4B911">
                  <wp:extent cx="180975" cy="25908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13396E">
              <w:rPr>
                <w:b/>
                <w:bCs/>
              </w:rPr>
              <w:t xml:space="preserve"> (RTRMPRCLR</w:t>
            </w:r>
            <w:r w:rsidRPr="0013396E">
              <w:rPr>
                <w:b/>
                <w:bCs/>
                <w:i/>
                <w:vertAlign w:val="subscript"/>
              </w:rPr>
              <w:t xml:space="preserve"> b </w:t>
            </w:r>
            <w:r w:rsidRPr="0013396E">
              <w:rPr>
                <w:b/>
                <w:bCs/>
              </w:rPr>
              <w:t>* MEBCL</w:t>
            </w:r>
            <w:r w:rsidRPr="0013396E">
              <w:rPr>
                <w:bCs/>
              </w:rPr>
              <w:t xml:space="preserve"> </w:t>
            </w:r>
            <w:r w:rsidRPr="0013396E">
              <w:rPr>
                <w:b/>
                <w:bCs/>
                <w:i/>
                <w:vertAlign w:val="subscript"/>
              </w:rPr>
              <w:t>q, r, b</w:t>
            </w:r>
            <w:r w:rsidRPr="0013396E">
              <w:rPr>
                <w:b/>
                <w:bCs/>
              </w:rPr>
              <w:t>)</w:t>
            </w:r>
          </w:p>
          <w:p w14:paraId="0A6C6CF4" w14:textId="77777777" w:rsidR="006C5B5E" w:rsidRPr="0013396E" w:rsidRDefault="006C5B5E" w:rsidP="006C5B5E">
            <w:pPr>
              <w:tabs>
                <w:tab w:val="left" w:pos="2340"/>
                <w:tab w:val="left" w:pos="2880"/>
              </w:tabs>
              <w:spacing w:after="240"/>
              <w:ind w:left="2880" w:hanging="2160"/>
              <w:rPr>
                <w:b/>
                <w:bCs/>
              </w:rPr>
            </w:pPr>
            <w:r w:rsidRPr="0013396E">
              <w:rPr>
                <w:b/>
                <w:bCs/>
              </w:rPr>
              <w:t xml:space="preserve">Where: </w:t>
            </w:r>
          </w:p>
          <w:p w14:paraId="7C9C8369" w14:textId="77777777" w:rsidR="006C5B5E" w:rsidRPr="0013396E" w:rsidRDefault="006C5B5E" w:rsidP="006C5B5E">
            <w:pPr>
              <w:tabs>
                <w:tab w:val="left" w:pos="1230"/>
                <w:tab w:val="left" w:pos="2340"/>
              </w:tabs>
              <w:spacing w:before="240" w:after="240"/>
              <w:ind w:left="3600" w:hanging="2430"/>
            </w:pPr>
            <w:r w:rsidRPr="0013396E">
              <w:t>MEBCL</w:t>
            </w:r>
            <w:r w:rsidRPr="0013396E">
              <w:rPr>
                <w:vertAlign w:val="subscript"/>
              </w:rPr>
              <w:t xml:space="preserve"> </w:t>
            </w:r>
            <w:r w:rsidRPr="0013396E">
              <w:rPr>
                <w:i/>
                <w:iCs/>
                <w:vertAlign w:val="subscript"/>
              </w:rPr>
              <w:t>q, r, b</w:t>
            </w:r>
            <w:r w:rsidRPr="0013396E">
              <w:tab/>
              <w:t>=</w:t>
            </w:r>
            <w:r w:rsidRPr="0013396E">
              <w:tab/>
              <w:t>MEBCLFG</w:t>
            </w:r>
            <w:r w:rsidRPr="0013396E">
              <w:rPr>
                <w:vertAlign w:val="subscript"/>
              </w:rPr>
              <w:t xml:space="preserve"> </w:t>
            </w:r>
            <w:r w:rsidRPr="0013396E">
              <w:rPr>
                <w:i/>
                <w:iCs/>
                <w:vertAlign w:val="subscript"/>
              </w:rPr>
              <w:t>q, r, b</w:t>
            </w:r>
            <w:r w:rsidRPr="0013396E">
              <w:t xml:space="preserve"> + MEBCLSG</w:t>
            </w:r>
            <w:r w:rsidRPr="0013396E">
              <w:rPr>
                <w:vertAlign w:val="subscript"/>
              </w:rPr>
              <w:t xml:space="preserve"> </w:t>
            </w:r>
            <w:r w:rsidRPr="0013396E">
              <w:rPr>
                <w:i/>
                <w:iCs/>
                <w:vertAlign w:val="subscript"/>
              </w:rPr>
              <w:t>q, r, b</w:t>
            </w:r>
            <w:r w:rsidRPr="0013396E">
              <w:rPr>
                <w:vertAlign w:val="subscript"/>
              </w:rPr>
              <w:t xml:space="preserve"> </w:t>
            </w:r>
            <w:r w:rsidRPr="0013396E">
              <w:t xml:space="preserve"> </w:t>
            </w:r>
          </w:p>
          <w:p w14:paraId="1B6A4AE2" w14:textId="77777777" w:rsidR="006C5B5E" w:rsidRPr="0013396E" w:rsidRDefault="006C5B5E" w:rsidP="006C5B5E">
            <w:pPr>
              <w:tabs>
                <w:tab w:val="left" w:pos="2340"/>
                <w:tab w:val="left" w:pos="3420"/>
              </w:tabs>
              <w:spacing w:after="240"/>
              <w:ind w:left="3420" w:hanging="2700"/>
              <w:rPr>
                <w:bCs/>
              </w:rPr>
            </w:pPr>
            <w:r w:rsidRPr="0013396E">
              <w:t>The total CLR Load is included in the Real-Time AML per QSE.</w:t>
            </w:r>
          </w:p>
          <w:p w14:paraId="57C77DC4" w14:textId="77777777" w:rsidR="006C5B5E" w:rsidRPr="0013396E" w:rsidRDefault="006C5B5E" w:rsidP="006C5B5E">
            <w:pPr>
              <w:tabs>
                <w:tab w:val="left" w:pos="2340"/>
                <w:tab w:val="left" w:pos="3420"/>
              </w:tabs>
              <w:spacing w:after="240"/>
              <w:ind w:left="3420" w:hanging="2700"/>
              <w:rPr>
                <w:b/>
                <w:bCs/>
              </w:rPr>
            </w:pPr>
            <w:r w:rsidRPr="0013396E">
              <w:rPr>
                <w:bCs/>
              </w:rPr>
              <w:t>Where</w:t>
            </w:r>
            <w:r w:rsidRPr="0013396E">
              <w:rPr>
                <w:bCs/>
                <w:iCs/>
              </w:rPr>
              <w:t xml:space="preserve"> the price for Settlement Meter is determined as follows:</w:t>
            </w:r>
          </w:p>
          <w:p w14:paraId="1B30B4DA" w14:textId="77777777" w:rsidR="006C5B5E" w:rsidRPr="0013396E" w:rsidRDefault="006C5B5E" w:rsidP="006C5B5E">
            <w:pPr>
              <w:spacing w:after="240"/>
              <w:ind w:left="2880" w:hanging="2160"/>
              <w:rPr>
                <w:b/>
                <w:lang w:val="es-ES"/>
              </w:rPr>
            </w:pPr>
            <w:r w:rsidRPr="0013396E">
              <w:rPr>
                <w:b/>
                <w:lang w:val="es-ES"/>
              </w:rPr>
              <w:lastRenderedPageBreak/>
              <w:t>RTRMPRCLR</w:t>
            </w:r>
            <w:r w:rsidRPr="0013396E">
              <w:rPr>
                <w:b/>
                <w:i/>
                <w:iCs/>
                <w:vertAlign w:val="subscript"/>
                <w:lang w:val="es-ES"/>
              </w:rPr>
              <w:t xml:space="preserve"> b</w:t>
            </w:r>
            <w:r w:rsidRPr="0013396E">
              <w:rPr>
                <w:b/>
                <w:lang w:val="es-ES"/>
              </w:rPr>
              <w:t xml:space="preserve"> </w:t>
            </w:r>
            <w:r w:rsidRPr="0013396E">
              <w:rPr>
                <w:b/>
                <w:lang w:val="es-ES"/>
              </w:rPr>
              <w:tab/>
              <w:t xml:space="preserve">= </w:t>
            </w:r>
            <w:r w:rsidRPr="0013396E">
              <w:rPr>
                <w:b/>
              </w:rPr>
              <w:t>Max [-$251, (</w:t>
            </w:r>
            <w:r w:rsidRPr="0013396E">
              <w:rPr>
                <w:rFonts w:ascii="Times New Roman Bold" w:hAnsi="Times New Roman Bold"/>
                <w:b/>
                <w:noProof/>
                <w:position w:val="-18"/>
              </w:rPr>
              <w:drawing>
                <wp:inline distT="0" distB="0" distL="0" distR="0" wp14:anchorId="2B9CA0B6" wp14:editId="32CE304C">
                  <wp:extent cx="146685" cy="293370"/>
                  <wp:effectExtent l="0" t="0" r="0" b="0"/>
                  <wp:docPr id="90" name="Picture 136"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rPr>
                <w:b/>
                <w:lang w:val="es-ES"/>
              </w:rPr>
              <w:t xml:space="preserve">(RNWFL </w:t>
            </w:r>
            <w:r w:rsidRPr="0013396E">
              <w:rPr>
                <w:b/>
                <w:i/>
                <w:iCs/>
                <w:vertAlign w:val="subscript"/>
                <w:lang w:val="es-ES"/>
              </w:rPr>
              <w:t xml:space="preserve">b, y </w:t>
            </w:r>
            <w:r w:rsidRPr="0013396E">
              <w:rPr>
                <w:b/>
                <w:lang w:val="es-ES"/>
              </w:rPr>
              <w:t xml:space="preserve">* RTLMP </w:t>
            </w:r>
            <w:r w:rsidRPr="0013396E">
              <w:rPr>
                <w:b/>
                <w:i/>
                <w:vertAlign w:val="subscript"/>
                <w:lang w:val="es-ES"/>
              </w:rPr>
              <w:t>b</w:t>
            </w:r>
            <w:r w:rsidRPr="0013396E">
              <w:rPr>
                <w:b/>
                <w:i/>
                <w:iCs/>
                <w:vertAlign w:val="subscript"/>
                <w:lang w:val="es-ES"/>
              </w:rPr>
              <w:t>, y</w:t>
            </w:r>
            <w:r w:rsidRPr="0013396E">
              <w:rPr>
                <w:b/>
                <w:lang w:val="es-ES"/>
              </w:rPr>
              <w:t xml:space="preserve">) </w:t>
            </w:r>
            <w:r w:rsidRPr="0013396E">
              <w:rPr>
                <w:b/>
              </w:rPr>
              <w:t>+ RTRDP)]</w:t>
            </w:r>
          </w:p>
          <w:p w14:paraId="20939C7B" w14:textId="77777777" w:rsidR="00423D31" w:rsidRPr="0013396E" w:rsidRDefault="00423D31" w:rsidP="00423D31">
            <w:pPr>
              <w:spacing w:after="240"/>
              <w:ind w:firstLine="720"/>
            </w:pPr>
            <w:r w:rsidRPr="0013396E">
              <w:t>Where the weighting factor for the Electrical Bus associated with the meter is:</w:t>
            </w:r>
          </w:p>
          <w:p w14:paraId="59E6DBCC" w14:textId="3A46ECE1" w:rsidR="00423D31" w:rsidRPr="0013396E" w:rsidRDefault="00423D31" w:rsidP="00423D31">
            <w:pPr>
              <w:spacing w:after="240"/>
              <w:ind w:firstLine="720"/>
              <w:rPr>
                <w:b/>
                <w:lang w:val="es-ES"/>
              </w:rPr>
            </w:pPr>
            <w:r w:rsidRPr="0013396E">
              <w:rPr>
                <w:b/>
                <w:lang w:val="es-ES"/>
              </w:rPr>
              <w:t xml:space="preserve">RNWFL </w:t>
            </w:r>
            <w:r w:rsidRPr="0013396E">
              <w:rPr>
                <w:b/>
                <w:i/>
                <w:iCs/>
                <w:vertAlign w:val="subscript"/>
                <w:lang w:val="es-ES"/>
              </w:rPr>
              <w:t xml:space="preserve">b, y </w:t>
            </w:r>
            <w:r w:rsidRPr="0013396E">
              <w:rPr>
                <w:b/>
                <w:i/>
                <w:iCs/>
                <w:vertAlign w:val="subscript"/>
                <w:lang w:val="es-ES"/>
              </w:rPr>
              <w:tab/>
            </w:r>
            <w:r w:rsidRPr="0013396E">
              <w:rPr>
                <w:b/>
                <w:i/>
                <w:iCs/>
                <w:vertAlign w:val="subscript"/>
                <w:lang w:val="es-ES"/>
              </w:rPr>
              <w:tab/>
            </w:r>
            <w:r w:rsidRPr="0013396E">
              <w:rPr>
                <w:b/>
                <w:lang w:val="es-ES"/>
              </w:rPr>
              <w:t>= [Max (0.001,</w:t>
            </w:r>
            <w:r w:rsidR="006F7954" w:rsidRPr="0013396E">
              <w:rPr>
                <w:b/>
                <w:lang w:val="es-ES"/>
              </w:rPr>
              <w:t xml:space="preserve"> ABS(</w:t>
            </w:r>
            <w:r w:rsidRPr="0013396E">
              <w:rPr>
                <w:b/>
                <w:lang w:val="es-ES"/>
              </w:rPr>
              <w:t xml:space="preserve"> </w:t>
            </w:r>
            <w:r w:rsidRPr="0013396E">
              <w:rPr>
                <w:noProof/>
                <w:position w:val="-18"/>
              </w:rPr>
              <w:drawing>
                <wp:inline distT="0" distB="0" distL="0" distR="0" wp14:anchorId="686E41B8" wp14:editId="68DC270D">
                  <wp:extent cx="142875" cy="270510"/>
                  <wp:effectExtent l="0" t="0" r="9525" b="0"/>
                  <wp:docPr id="2090" name="Picture 47"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00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42875" cy="270510"/>
                          </a:xfrm>
                          <a:prstGeom prst="rect">
                            <a:avLst/>
                          </a:prstGeom>
                          <a:noFill/>
                          <a:ln>
                            <a:noFill/>
                          </a:ln>
                        </pic:spPr>
                      </pic:pic>
                    </a:graphicData>
                  </a:graphic>
                </wp:inline>
              </w:drawing>
            </w:r>
            <w:r w:rsidR="006F7954" w:rsidRPr="0013396E">
              <w:rPr>
                <w:b/>
                <w:lang w:val="es-ES"/>
              </w:rPr>
              <w:t xml:space="preserve">Min(0, </w:t>
            </w:r>
            <w:r w:rsidRPr="0013396E">
              <w:rPr>
                <w:b/>
                <w:lang w:val="es-ES"/>
              </w:rPr>
              <w:t>BP</w:t>
            </w:r>
            <w:r w:rsidRPr="0013396E">
              <w:rPr>
                <w:b/>
                <w:bCs/>
                <w:i/>
                <w:iCs/>
                <w:vertAlign w:val="subscript"/>
                <w:lang w:val="es-ES"/>
              </w:rPr>
              <w:t xml:space="preserve"> r,</w:t>
            </w:r>
            <w:r w:rsidRPr="0013396E">
              <w:rPr>
                <w:b/>
                <w:i/>
                <w:iCs/>
                <w:vertAlign w:val="subscript"/>
                <w:lang w:val="es-ES"/>
              </w:rPr>
              <w:t xml:space="preserve"> y</w:t>
            </w:r>
            <w:r w:rsidRPr="0013396E">
              <w:rPr>
                <w:b/>
                <w:lang w:val="es-ES"/>
              </w:rPr>
              <w:t>)</w:t>
            </w:r>
            <w:r w:rsidR="006F7954" w:rsidRPr="0013396E">
              <w:rPr>
                <w:b/>
                <w:lang w:val="es-ES"/>
              </w:rPr>
              <w:t>))</w:t>
            </w:r>
            <w:r w:rsidRPr="0013396E">
              <w:rPr>
                <w:b/>
                <w:lang w:val="es-ES"/>
              </w:rPr>
              <w:t xml:space="preserve"> * TLMP </w:t>
            </w:r>
            <w:r w:rsidRPr="0013396E">
              <w:rPr>
                <w:b/>
                <w:i/>
                <w:iCs/>
                <w:vertAlign w:val="subscript"/>
                <w:lang w:val="es-ES"/>
              </w:rPr>
              <w:t>y</w:t>
            </w:r>
            <w:r w:rsidRPr="0013396E">
              <w:rPr>
                <w:b/>
                <w:lang w:val="es-ES"/>
              </w:rPr>
              <w:t xml:space="preserve">] / </w:t>
            </w:r>
          </w:p>
          <w:p w14:paraId="088B0C09" w14:textId="4DFA51FF" w:rsidR="00423D31" w:rsidRPr="0013396E" w:rsidRDefault="00423D31" w:rsidP="00423D31">
            <w:pPr>
              <w:spacing w:after="240"/>
              <w:ind w:firstLine="720"/>
              <w:rPr>
                <w:b/>
                <w:lang w:val="es-ES"/>
              </w:rPr>
            </w:pPr>
            <w:r w:rsidRPr="0013396E">
              <w:rPr>
                <w:b/>
                <w:lang w:val="es-ES"/>
              </w:rPr>
              <w:tab/>
            </w:r>
            <w:r w:rsidRPr="0013396E">
              <w:rPr>
                <w:b/>
                <w:lang w:val="es-ES"/>
              </w:rPr>
              <w:tab/>
            </w:r>
            <w:r w:rsidRPr="0013396E">
              <w:rPr>
                <w:b/>
                <w:lang w:val="es-ES"/>
              </w:rPr>
              <w:tab/>
              <w:t>[</w:t>
            </w:r>
            <w:r w:rsidRPr="0013396E">
              <w:rPr>
                <w:rFonts w:ascii="Times New Roman Bold" w:hAnsi="Times New Roman Bold"/>
                <w:b/>
                <w:noProof/>
                <w:position w:val="-18"/>
              </w:rPr>
              <w:drawing>
                <wp:inline distT="0" distB="0" distL="0" distR="0" wp14:anchorId="60D31D8C" wp14:editId="1E217F6B">
                  <wp:extent cx="142875" cy="294005"/>
                  <wp:effectExtent l="0" t="0" r="9525" b="0"/>
                  <wp:docPr id="2091" name="Picture 48"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2875" cy="294005"/>
                          </a:xfrm>
                          <a:prstGeom prst="rect">
                            <a:avLst/>
                          </a:prstGeom>
                          <a:noFill/>
                          <a:ln>
                            <a:noFill/>
                          </a:ln>
                        </pic:spPr>
                      </pic:pic>
                    </a:graphicData>
                  </a:graphic>
                </wp:inline>
              </w:drawing>
            </w:r>
            <w:r w:rsidRPr="0013396E">
              <w:rPr>
                <w:b/>
                <w:lang w:val="es-ES"/>
              </w:rPr>
              <w:t>Max (0.001,</w:t>
            </w:r>
            <w:r w:rsidR="006F7954" w:rsidRPr="0013396E">
              <w:rPr>
                <w:b/>
                <w:lang w:val="es-ES"/>
              </w:rPr>
              <w:t xml:space="preserve"> ABS(</w:t>
            </w:r>
            <w:r w:rsidRPr="0013396E">
              <w:rPr>
                <w:b/>
                <w:lang w:val="es-ES"/>
              </w:rPr>
              <w:t xml:space="preserve"> </w:t>
            </w:r>
            <w:r w:rsidRPr="0013396E">
              <w:rPr>
                <w:noProof/>
                <w:position w:val="-18"/>
              </w:rPr>
              <w:drawing>
                <wp:inline distT="0" distB="0" distL="0" distR="0" wp14:anchorId="0621F382" wp14:editId="5F876837">
                  <wp:extent cx="142875" cy="270510"/>
                  <wp:effectExtent l="0" t="0" r="9525" b="0"/>
                  <wp:docPr id="2093" name="Picture 49"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00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42875" cy="270510"/>
                          </a:xfrm>
                          <a:prstGeom prst="rect">
                            <a:avLst/>
                          </a:prstGeom>
                          <a:noFill/>
                          <a:ln>
                            <a:noFill/>
                          </a:ln>
                        </pic:spPr>
                      </pic:pic>
                    </a:graphicData>
                  </a:graphic>
                </wp:inline>
              </w:drawing>
            </w:r>
            <w:r w:rsidRPr="0013396E">
              <w:rPr>
                <w:b/>
                <w:lang w:val="es-ES"/>
              </w:rPr>
              <w:t xml:space="preserve"> </w:t>
            </w:r>
            <w:r w:rsidR="006F7954" w:rsidRPr="0013396E">
              <w:rPr>
                <w:b/>
                <w:lang w:val="es-ES"/>
              </w:rPr>
              <w:t xml:space="preserve">Min(0, </w:t>
            </w:r>
            <w:r w:rsidRPr="0013396E">
              <w:rPr>
                <w:b/>
                <w:lang w:val="es-ES"/>
              </w:rPr>
              <w:t>BP</w:t>
            </w:r>
            <w:r w:rsidRPr="0013396E">
              <w:rPr>
                <w:b/>
                <w:i/>
                <w:iCs/>
                <w:vertAlign w:val="subscript"/>
                <w:lang w:val="es-ES"/>
              </w:rPr>
              <w:t xml:space="preserve"> </w:t>
            </w:r>
            <w:r w:rsidRPr="0013396E">
              <w:rPr>
                <w:b/>
                <w:bCs/>
                <w:i/>
                <w:iCs/>
                <w:vertAlign w:val="subscript"/>
                <w:lang w:val="es-ES"/>
              </w:rPr>
              <w:t>r,</w:t>
            </w:r>
            <w:r w:rsidRPr="0013396E">
              <w:rPr>
                <w:b/>
                <w:i/>
                <w:iCs/>
                <w:vertAlign w:val="subscript"/>
                <w:lang w:val="es-ES"/>
              </w:rPr>
              <w:t xml:space="preserve"> y</w:t>
            </w:r>
            <w:r w:rsidRPr="0013396E">
              <w:rPr>
                <w:b/>
                <w:lang w:val="es-ES"/>
              </w:rPr>
              <w:t>)</w:t>
            </w:r>
            <w:r w:rsidR="006F7954" w:rsidRPr="0013396E">
              <w:rPr>
                <w:b/>
                <w:lang w:val="es-ES"/>
              </w:rPr>
              <w:t>))</w:t>
            </w:r>
            <w:r w:rsidRPr="0013396E">
              <w:rPr>
                <w:b/>
                <w:lang w:val="es-ES"/>
              </w:rPr>
              <w:t xml:space="preserve"> * TLMP </w:t>
            </w:r>
            <w:r w:rsidRPr="0013396E">
              <w:rPr>
                <w:b/>
                <w:i/>
                <w:iCs/>
                <w:vertAlign w:val="subscript"/>
                <w:lang w:val="es-ES"/>
              </w:rPr>
              <w:t>y</w:t>
            </w:r>
            <w:r w:rsidRPr="0013396E">
              <w:rPr>
                <w:b/>
                <w:lang w:val="es-ES"/>
              </w:rPr>
              <w:t>]</w:t>
            </w:r>
          </w:p>
          <w:p w14:paraId="59597076" w14:textId="77777777" w:rsidR="00423D31" w:rsidRPr="0013396E" w:rsidRDefault="00423D31" w:rsidP="00423D31">
            <w:pPr>
              <w:spacing w:after="240"/>
            </w:pPr>
            <w:r w:rsidRPr="0013396E">
              <w:t>Where:</w:t>
            </w:r>
          </w:p>
          <w:p w14:paraId="3F326894" w14:textId="769D3A00" w:rsidR="00423D31" w:rsidRPr="0013396E" w:rsidRDefault="00423D31" w:rsidP="00423D31">
            <w:pPr>
              <w:spacing w:after="240"/>
              <w:ind w:left="720"/>
            </w:pPr>
            <w:r w:rsidRPr="0013396E">
              <w:t>RTRDP =</w:t>
            </w:r>
            <w:r w:rsidRPr="0013396E">
              <w:tab/>
            </w:r>
            <w:r w:rsidRPr="0013396E">
              <w:tab/>
            </w:r>
            <w:r w:rsidRPr="0013396E">
              <w:rPr>
                <w:position w:val="-22"/>
              </w:rPr>
              <w:object w:dxaOrig="225" w:dyaOrig="465" w14:anchorId="32D7EA4D">
                <v:shape id="_x0000_i1115" type="#_x0000_t75" style="width:12pt;height:18.6pt" o:ole="">
                  <v:imagedata r:id="rId20" o:title=""/>
                </v:shape>
                <o:OLEObject Type="Embed" ProgID="Equation.3" ShapeID="_x0000_i1115" DrawAspect="Content" ObjectID="_1849065746" r:id="rId131"/>
              </w:object>
            </w:r>
            <w:r w:rsidRPr="0013396E">
              <w:t xml:space="preserve">(RNWF </w:t>
            </w:r>
            <w:r w:rsidRPr="0013396E">
              <w:rPr>
                <w:i/>
                <w:iCs/>
                <w:vertAlign w:val="subscript"/>
              </w:rPr>
              <w:t xml:space="preserve"> y </w:t>
            </w:r>
            <w:r w:rsidRPr="0013396E">
              <w:t>* RTRDPA</w:t>
            </w:r>
            <w:r w:rsidRPr="0013396E">
              <w:rPr>
                <w:i/>
                <w:iCs/>
                <w:vertAlign w:val="subscript"/>
              </w:rPr>
              <w:t xml:space="preserve"> y</w:t>
            </w:r>
            <w:r w:rsidRPr="0013396E">
              <w:t>)</w:t>
            </w:r>
          </w:p>
          <w:p w14:paraId="0BE2C438" w14:textId="77777777" w:rsidR="00423D31" w:rsidRPr="0013396E" w:rsidRDefault="00423D31" w:rsidP="00423D31">
            <w:pPr>
              <w:spacing w:after="240"/>
              <w:ind w:firstLine="720"/>
            </w:pPr>
            <w:r w:rsidRPr="0013396E">
              <w:t xml:space="preserve">RNWF </w:t>
            </w:r>
            <w:r w:rsidRPr="0013396E">
              <w:rPr>
                <w:i/>
                <w:vertAlign w:val="subscript"/>
              </w:rPr>
              <w:t xml:space="preserve">y </w:t>
            </w:r>
            <w:r w:rsidRPr="0013396E">
              <w:t>=</w:t>
            </w:r>
            <w:r w:rsidRPr="0013396E">
              <w:tab/>
            </w:r>
            <w:r w:rsidRPr="0013396E">
              <w:tab/>
              <w:t xml:space="preserve">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204454BB">
                <v:shape id="_x0000_i1116" type="#_x0000_t75" style="width:12pt;height:18.6pt" o:ole="">
                  <v:imagedata r:id="rId20" o:title=""/>
                </v:shape>
                <o:OLEObject Type="Embed" ProgID="Equation.3" ShapeID="_x0000_i1116" DrawAspect="Content" ObjectID="_1849065747" r:id="rId132"/>
              </w:object>
            </w:r>
            <w:r w:rsidRPr="0013396E">
              <w:t xml:space="preserve">TLMP </w:t>
            </w:r>
            <w:r w:rsidRPr="0013396E">
              <w:rPr>
                <w:i/>
                <w:vertAlign w:val="subscript"/>
              </w:rPr>
              <w:t>y</w:t>
            </w:r>
          </w:p>
          <w:p w14:paraId="158E52A4" w14:textId="43C73740" w:rsidR="00423D31" w:rsidRPr="0013396E" w:rsidRDefault="00423D31" w:rsidP="00423D31">
            <w:pPr>
              <w:pStyle w:val="BodyTextNumbered"/>
              <w:spacing w:before="120"/>
              <w:ind w:firstLine="0"/>
            </w:pPr>
            <w:r w:rsidRPr="0013396E">
              <w:t xml:space="preserve">The summation is over all </w:t>
            </w:r>
            <w:r w:rsidR="00632873" w:rsidRPr="0013396E">
              <w:t xml:space="preserve">CLR (that is not an ALR) or </w:t>
            </w:r>
            <w:r w:rsidRPr="0013396E">
              <w:t xml:space="preserve">ESR Load </w:t>
            </w:r>
            <w:r w:rsidRPr="0013396E">
              <w:rPr>
                <w:i/>
                <w:iCs/>
              </w:rPr>
              <w:t>r</w:t>
            </w:r>
            <w:r w:rsidRPr="0013396E">
              <w:t xml:space="preserve"> associated to the individual meter.  The determination of which Resources are associated to an individual meter is static and based on the normal system configuration of the generation site code, </w:t>
            </w:r>
            <w:r w:rsidRPr="0013396E">
              <w:rPr>
                <w:i/>
              </w:rPr>
              <w:t>gsc</w:t>
            </w:r>
            <w:r w:rsidRPr="0013396E">
              <w:t>.</w:t>
            </w:r>
          </w:p>
          <w:p w14:paraId="10051D32" w14:textId="77777777" w:rsidR="00423D31" w:rsidRPr="0013396E" w:rsidRDefault="00423D31" w:rsidP="00423D31">
            <w:r w:rsidRPr="0013396E">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86"/>
              <w:gridCol w:w="1231"/>
              <w:gridCol w:w="5791"/>
            </w:tblGrid>
            <w:tr w:rsidR="008050FF" w:rsidRPr="0013396E" w14:paraId="5A268B01" w14:textId="77777777" w:rsidTr="00806724">
              <w:trPr>
                <w:cantSplit/>
                <w:tblHeader/>
              </w:trPr>
              <w:tc>
                <w:tcPr>
                  <w:tcW w:w="1145" w:type="pct"/>
                </w:tcPr>
                <w:p w14:paraId="1EF42B87" w14:textId="77777777" w:rsidR="008050FF" w:rsidRPr="0013396E" w:rsidRDefault="008050FF" w:rsidP="008050FF">
                  <w:pPr>
                    <w:pStyle w:val="TableHead"/>
                  </w:pPr>
                  <w:r w:rsidRPr="0013396E">
                    <w:t>Variable</w:t>
                  </w:r>
                </w:p>
              </w:tc>
              <w:tc>
                <w:tcPr>
                  <w:tcW w:w="676" w:type="pct"/>
                </w:tcPr>
                <w:p w14:paraId="18368F18" w14:textId="77777777" w:rsidR="008050FF" w:rsidRPr="0013396E" w:rsidRDefault="008050FF" w:rsidP="008050FF">
                  <w:pPr>
                    <w:pStyle w:val="TableHead"/>
                  </w:pPr>
                  <w:r w:rsidRPr="0013396E">
                    <w:t>Unit</w:t>
                  </w:r>
                </w:p>
              </w:tc>
              <w:tc>
                <w:tcPr>
                  <w:tcW w:w="3179" w:type="pct"/>
                </w:tcPr>
                <w:p w14:paraId="001C5647" w14:textId="77777777" w:rsidR="008050FF" w:rsidRPr="0013396E" w:rsidRDefault="008050FF" w:rsidP="008050FF">
                  <w:pPr>
                    <w:pStyle w:val="TableHead"/>
                  </w:pPr>
                  <w:r w:rsidRPr="0013396E">
                    <w:t>Description</w:t>
                  </w:r>
                </w:p>
              </w:tc>
            </w:tr>
            <w:tr w:rsidR="008050FF" w:rsidRPr="0013396E" w14:paraId="2BBF187D" w14:textId="77777777" w:rsidTr="00806724">
              <w:trPr>
                <w:cantSplit/>
              </w:trPr>
              <w:tc>
                <w:tcPr>
                  <w:tcW w:w="1145" w:type="pct"/>
                </w:tcPr>
                <w:p w14:paraId="13AF7B76" w14:textId="77777777" w:rsidR="008050FF" w:rsidRPr="0013396E" w:rsidRDefault="008050FF" w:rsidP="008050FF">
                  <w:pPr>
                    <w:pStyle w:val="tablebody0"/>
                  </w:pPr>
                  <w:r w:rsidRPr="0013396E">
                    <w:t xml:space="preserve">RTLMP </w:t>
                  </w:r>
                  <w:r w:rsidRPr="0013396E">
                    <w:rPr>
                      <w:i/>
                      <w:vertAlign w:val="subscript"/>
                    </w:rPr>
                    <w:t>b, y</w:t>
                  </w:r>
                </w:p>
              </w:tc>
              <w:tc>
                <w:tcPr>
                  <w:tcW w:w="676" w:type="pct"/>
                </w:tcPr>
                <w:p w14:paraId="4E20146A" w14:textId="77777777" w:rsidR="008050FF" w:rsidRPr="0013396E" w:rsidRDefault="008050FF" w:rsidP="008050FF">
                  <w:pPr>
                    <w:pStyle w:val="tablebody0"/>
                  </w:pPr>
                  <w:r w:rsidRPr="0013396E">
                    <w:t>$/MWh</w:t>
                  </w:r>
                </w:p>
              </w:tc>
              <w:tc>
                <w:tcPr>
                  <w:tcW w:w="3179" w:type="pct"/>
                </w:tcPr>
                <w:p w14:paraId="3FBC0957" w14:textId="77777777" w:rsidR="008050FF" w:rsidRPr="0013396E" w:rsidRDefault="008050FF" w:rsidP="008050FF">
                  <w:pPr>
                    <w:pStyle w:val="tablebody0"/>
                  </w:pPr>
                  <w:r w:rsidRPr="0013396E">
                    <w:rPr>
                      <w:i/>
                    </w:rPr>
                    <w:t>Real-Time Locational Marginal Price at bus per interval</w:t>
                  </w:r>
                  <w:r w:rsidRPr="0013396E">
                    <w:sym w:font="Symbol" w:char="F0BE"/>
                  </w:r>
                  <w:r w:rsidRPr="0013396E">
                    <w:t xml:space="preserve">The Real-Time LMP for the meter at Electrical Bus </w:t>
                  </w:r>
                  <w:r w:rsidRPr="0013396E">
                    <w:rPr>
                      <w:i/>
                    </w:rPr>
                    <w:t>b</w:t>
                  </w:r>
                  <w:r w:rsidRPr="0013396E">
                    <w:t xml:space="preserve">, for the SCED interval </w:t>
                  </w:r>
                  <w:r w:rsidRPr="0013396E">
                    <w:rPr>
                      <w:i/>
                    </w:rPr>
                    <w:t>y</w:t>
                  </w:r>
                  <w:r w:rsidRPr="0013396E">
                    <w:t>.</w:t>
                  </w:r>
                </w:p>
              </w:tc>
            </w:tr>
            <w:tr w:rsidR="008050FF" w:rsidRPr="0013396E" w14:paraId="3417003F" w14:textId="77777777" w:rsidTr="00806724">
              <w:trPr>
                <w:cantSplit/>
              </w:trPr>
              <w:tc>
                <w:tcPr>
                  <w:tcW w:w="1145" w:type="pct"/>
                </w:tcPr>
                <w:p w14:paraId="5D1B2AA2" w14:textId="77777777" w:rsidR="008050FF" w:rsidRPr="0013396E" w:rsidRDefault="008050FF" w:rsidP="008050FF">
                  <w:pPr>
                    <w:pStyle w:val="tablebody0"/>
                  </w:pPr>
                  <w:r w:rsidRPr="0013396E">
                    <w:t xml:space="preserve">TLMP </w:t>
                  </w:r>
                  <w:r w:rsidRPr="0013396E">
                    <w:rPr>
                      <w:i/>
                      <w:vertAlign w:val="subscript"/>
                    </w:rPr>
                    <w:t>y</w:t>
                  </w:r>
                </w:p>
              </w:tc>
              <w:tc>
                <w:tcPr>
                  <w:tcW w:w="676" w:type="pct"/>
                </w:tcPr>
                <w:p w14:paraId="763F5DAB" w14:textId="77777777" w:rsidR="008050FF" w:rsidRPr="0013396E" w:rsidRDefault="008050FF" w:rsidP="008050FF">
                  <w:pPr>
                    <w:pStyle w:val="tablebody0"/>
                    <w:rPr>
                      <w:iCs/>
                    </w:rPr>
                  </w:pPr>
                  <w:r w:rsidRPr="0013396E">
                    <w:t>second</w:t>
                  </w:r>
                </w:p>
              </w:tc>
              <w:tc>
                <w:tcPr>
                  <w:tcW w:w="3179" w:type="pct"/>
                </w:tcPr>
                <w:p w14:paraId="77F95AA2" w14:textId="77777777" w:rsidR="008050FF" w:rsidRPr="0013396E" w:rsidRDefault="008050FF" w:rsidP="008050FF">
                  <w:pPr>
                    <w:pStyle w:val="tablebody0"/>
                  </w:pPr>
                  <w:r w:rsidRPr="0013396E">
                    <w:rPr>
                      <w:i/>
                      <w:iCs/>
                    </w:rPr>
                    <w:t xml:space="preserve">Duration of </w:t>
                  </w:r>
                  <w:r w:rsidRPr="0013396E">
                    <w:rPr>
                      <w:i/>
                    </w:rPr>
                    <w:t>SCED</w:t>
                  </w:r>
                  <w:r w:rsidRPr="0013396E">
                    <w:rPr>
                      <w:i/>
                      <w:iCs/>
                    </w:rPr>
                    <w:t xml:space="preserve"> interval per interval</w:t>
                  </w:r>
                  <w:r w:rsidRPr="0013396E">
                    <w:sym w:font="Symbol" w:char="F0BE"/>
                  </w:r>
                  <w:r w:rsidRPr="0013396E">
                    <w:t xml:space="preserve">The duration of the SCED interval </w:t>
                  </w:r>
                  <w:r w:rsidRPr="0013396E">
                    <w:rPr>
                      <w:i/>
                      <w:iCs/>
                    </w:rPr>
                    <w:t>y</w:t>
                  </w:r>
                  <w:r w:rsidRPr="0013396E">
                    <w:t>.</w:t>
                  </w:r>
                </w:p>
              </w:tc>
            </w:tr>
            <w:tr w:rsidR="008050FF" w:rsidRPr="0013396E" w14:paraId="2CCD175C" w14:textId="77777777" w:rsidTr="00806724">
              <w:trPr>
                <w:cantSplit/>
              </w:trPr>
              <w:tc>
                <w:tcPr>
                  <w:tcW w:w="1145" w:type="pct"/>
                </w:tcPr>
                <w:p w14:paraId="5E463421" w14:textId="77777777" w:rsidR="008050FF" w:rsidRPr="0013396E" w:rsidRDefault="008050FF" w:rsidP="008050FF">
                  <w:pPr>
                    <w:pStyle w:val="tablebody0"/>
                  </w:pPr>
                  <w:r w:rsidRPr="0013396E">
                    <w:t>RTRDP</w:t>
                  </w:r>
                </w:p>
              </w:tc>
              <w:tc>
                <w:tcPr>
                  <w:tcW w:w="676" w:type="pct"/>
                </w:tcPr>
                <w:p w14:paraId="464AAC61" w14:textId="77777777" w:rsidR="008050FF" w:rsidRPr="0013396E" w:rsidRDefault="008050FF" w:rsidP="008050FF">
                  <w:pPr>
                    <w:pStyle w:val="tablebody0"/>
                  </w:pPr>
                  <w:r w:rsidRPr="0013396E">
                    <w:t>$/MWh</w:t>
                  </w:r>
                </w:p>
              </w:tc>
              <w:tc>
                <w:tcPr>
                  <w:tcW w:w="3179" w:type="pct"/>
                </w:tcPr>
                <w:p w14:paraId="39C3EFA3" w14:textId="142E5814" w:rsidR="008050FF" w:rsidRPr="0013396E" w:rsidRDefault="008050FF" w:rsidP="00EC5231">
                  <w:pPr>
                    <w:pStyle w:val="tablebody0"/>
                    <w:rPr>
                      <w:i/>
                    </w:rPr>
                  </w:pPr>
                  <w:r w:rsidRPr="0013396E">
                    <w:rPr>
                      <w:i/>
                    </w:rPr>
                    <w:t>Real-Time Reliability Deployment Price</w:t>
                  </w:r>
                  <w:r w:rsidR="00EC5231" w:rsidRPr="0013396E">
                    <w:rPr>
                      <w:i/>
                    </w:rPr>
                    <w:t xml:space="preserve"> for Energy</w:t>
                  </w:r>
                  <w:r w:rsidRPr="0013396E">
                    <w:rPr>
                      <w:i/>
                    </w:rPr>
                    <w:t xml:space="preserve"> </w:t>
                  </w:r>
                  <w:r w:rsidRPr="0013396E">
                    <w:sym w:font="Symbol" w:char="F0BE"/>
                  </w:r>
                  <w:r w:rsidRPr="0013396E">
                    <w:t xml:space="preserve">The Real-Time price for the 15-minute Settlement Interval, reflecting the impact of reliability deployments on energy prices that is calculated </w:t>
                  </w:r>
                  <w:r w:rsidRPr="0013396E">
                    <w:rPr>
                      <w:bCs/>
                    </w:rPr>
                    <w:t>from the Real-</w:t>
                  </w:r>
                  <w:r w:rsidR="00EC5231" w:rsidRPr="0013396E">
                    <w:rPr>
                      <w:bCs/>
                    </w:rPr>
                    <w:t>T</w:t>
                  </w:r>
                  <w:r w:rsidRPr="0013396E">
                    <w:rPr>
                      <w:bCs/>
                    </w:rPr>
                    <w:t>ime Reliability Deployment Price Adder</w:t>
                  </w:r>
                  <w:r w:rsidR="00EC5231" w:rsidRPr="0013396E">
                    <w:rPr>
                      <w:bCs/>
                    </w:rPr>
                    <w:t xml:space="preserve"> for Energy</w:t>
                  </w:r>
                  <w:r w:rsidRPr="0013396E">
                    <w:t>.</w:t>
                  </w:r>
                </w:p>
              </w:tc>
            </w:tr>
            <w:tr w:rsidR="008050FF" w:rsidRPr="0013396E" w14:paraId="6363ECD8" w14:textId="77777777" w:rsidTr="00806724">
              <w:trPr>
                <w:cantSplit/>
              </w:trPr>
              <w:tc>
                <w:tcPr>
                  <w:tcW w:w="1145" w:type="pct"/>
                </w:tcPr>
                <w:p w14:paraId="5305E16A" w14:textId="50F5A6FF" w:rsidR="008050FF" w:rsidRPr="0013396E" w:rsidRDefault="008050FF" w:rsidP="008050FF">
                  <w:pPr>
                    <w:pStyle w:val="tablebody0"/>
                  </w:pPr>
                  <w:r w:rsidRPr="0013396E">
                    <w:t>RTRDPA</w:t>
                  </w:r>
                  <w:r w:rsidRPr="0013396E">
                    <w:rPr>
                      <w:vertAlign w:val="subscript"/>
                    </w:rPr>
                    <w:t xml:space="preserve"> </w:t>
                  </w:r>
                  <w:r w:rsidRPr="0013396E">
                    <w:rPr>
                      <w:i/>
                      <w:vertAlign w:val="subscript"/>
                    </w:rPr>
                    <w:t>y</w:t>
                  </w:r>
                </w:p>
              </w:tc>
              <w:tc>
                <w:tcPr>
                  <w:tcW w:w="676" w:type="pct"/>
                </w:tcPr>
                <w:p w14:paraId="23A573CE" w14:textId="77777777" w:rsidR="008050FF" w:rsidRPr="0013396E" w:rsidRDefault="008050FF" w:rsidP="008050FF">
                  <w:pPr>
                    <w:pStyle w:val="tablebody0"/>
                  </w:pPr>
                  <w:r w:rsidRPr="0013396E">
                    <w:t>$/MWh</w:t>
                  </w:r>
                </w:p>
              </w:tc>
              <w:tc>
                <w:tcPr>
                  <w:tcW w:w="3179" w:type="pct"/>
                </w:tcPr>
                <w:p w14:paraId="1D586694" w14:textId="5610573F" w:rsidR="008050FF" w:rsidRPr="0013396E" w:rsidRDefault="008050FF" w:rsidP="00EC5231">
                  <w:pPr>
                    <w:pStyle w:val="tablebody0"/>
                    <w:rPr>
                      <w:i/>
                    </w:rPr>
                  </w:pPr>
                  <w:r w:rsidRPr="0013396E">
                    <w:rPr>
                      <w:i/>
                    </w:rPr>
                    <w:t>Real-Time Reliability Deployment Price Adder</w:t>
                  </w:r>
                  <w:r w:rsidR="00EC5231" w:rsidRPr="0013396E">
                    <w:rPr>
                      <w:i/>
                    </w:rPr>
                    <w:t xml:space="preserve"> for Energy</w:t>
                  </w:r>
                  <w:r w:rsidRPr="0013396E">
                    <w:rPr>
                      <w:i/>
                    </w:rPr>
                    <w:t xml:space="preserve"> </w:t>
                  </w:r>
                  <w:r w:rsidRPr="0013396E">
                    <w:sym w:font="Symbol" w:char="F0BE"/>
                  </w:r>
                  <w:r w:rsidRPr="0013396E">
                    <w:t xml:space="preserve">The Real-Time </w:t>
                  </w:r>
                  <w:r w:rsidR="00EC5231" w:rsidRPr="0013396E">
                    <w:t>p</w:t>
                  </w:r>
                  <w:r w:rsidRPr="0013396E">
                    <w:t xml:space="preserve">rice </w:t>
                  </w:r>
                  <w:r w:rsidR="00EC5231" w:rsidRPr="0013396E">
                    <w:t>a</w:t>
                  </w:r>
                  <w:r w:rsidRPr="0013396E">
                    <w:t xml:space="preserve">dder that captures the impact of reliability deployments on energy prices for the SCED interval </w:t>
                  </w:r>
                  <w:r w:rsidRPr="0013396E">
                    <w:rPr>
                      <w:i/>
                    </w:rPr>
                    <w:t>y</w:t>
                  </w:r>
                  <w:r w:rsidRPr="0013396E">
                    <w:t>.</w:t>
                  </w:r>
                </w:p>
              </w:tc>
            </w:tr>
            <w:tr w:rsidR="008050FF" w:rsidRPr="0013396E" w14:paraId="7CD1A681" w14:textId="77777777" w:rsidTr="00806724">
              <w:trPr>
                <w:cantSplit/>
              </w:trPr>
              <w:tc>
                <w:tcPr>
                  <w:tcW w:w="1145" w:type="pct"/>
                </w:tcPr>
                <w:p w14:paraId="0B81F356" w14:textId="77777777" w:rsidR="008050FF" w:rsidRPr="0013396E" w:rsidRDefault="008050FF" w:rsidP="008050FF">
                  <w:pPr>
                    <w:pStyle w:val="tablebody0"/>
                  </w:pPr>
                  <w:r w:rsidRPr="0013396E">
                    <w:t xml:space="preserve">RNWF </w:t>
                  </w:r>
                  <w:r w:rsidRPr="0013396E">
                    <w:rPr>
                      <w:i/>
                      <w:vertAlign w:val="subscript"/>
                    </w:rPr>
                    <w:t>y</w:t>
                  </w:r>
                </w:p>
              </w:tc>
              <w:tc>
                <w:tcPr>
                  <w:tcW w:w="676" w:type="pct"/>
                </w:tcPr>
                <w:p w14:paraId="1360EE0E" w14:textId="77777777" w:rsidR="008050FF" w:rsidRPr="0013396E" w:rsidRDefault="008050FF" w:rsidP="008050FF">
                  <w:pPr>
                    <w:pStyle w:val="tablebody0"/>
                  </w:pPr>
                  <w:r w:rsidRPr="0013396E">
                    <w:t>none</w:t>
                  </w:r>
                </w:p>
              </w:tc>
              <w:tc>
                <w:tcPr>
                  <w:tcW w:w="3179" w:type="pct"/>
                </w:tcPr>
                <w:p w14:paraId="08995154" w14:textId="4BEFF53C" w:rsidR="008050FF" w:rsidRPr="0013396E" w:rsidRDefault="008050FF" w:rsidP="008050FF">
                  <w:pPr>
                    <w:pStyle w:val="tablebody0"/>
                    <w:rPr>
                      <w:i/>
                    </w:rPr>
                  </w:pPr>
                  <w:r w:rsidRPr="0013396E">
                    <w:rPr>
                      <w:i/>
                    </w:rPr>
                    <w:t>Resource Node Weighting Factor per interval</w:t>
                  </w:r>
                  <w:r w:rsidRPr="0013396E">
                    <w:sym w:font="Symbol" w:char="F0BE"/>
                  </w:r>
                  <w:r w:rsidRPr="0013396E">
                    <w:t xml:space="preserve">The weight used in the </w:t>
                  </w:r>
                  <w:r w:rsidR="006F7954" w:rsidRPr="0013396E">
                    <w:t>Real-Time Reliability Deployment price</w:t>
                  </w:r>
                  <w:r w:rsidRPr="0013396E">
                    <w:t xml:space="preserve"> calculation for the portion of the SCED interval </w:t>
                  </w:r>
                  <w:r w:rsidRPr="0013396E">
                    <w:rPr>
                      <w:i/>
                    </w:rPr>
                    <w:t>y</w:t>
                  </w:r>
                  <w:r w:rsidRPr="0013396E">
                    <w:t xml:space="preserve"> within the Settlement Interval.</w:t>
                  </w:r>
                </w:p>
              </w:tc>
            </w:tr>
            <w:tr w:rsidR="008050FF" w:rsidRPr="0013396E" w14:paraId="413EA4AB" w14:textId="77777777" w:rsidTr="00806724">
              <w:trPr>
                <w:cantSplit/>
              </w:trPr>
              <w:tc>
                <w:tcPr>
                  <w:tcW w:w="1145" w:type="pct"/>
                </w:tcPr>
                <w:p w14:paraId="11ED9C66" w14:textId="77777777" w:rsidR="008050FF" w:rsidRPr="0013396E" w:rsidRDefault="008050FF" w:rsidP="008050FF">
                  <w:pPr>
                    <w:pStyle w:val="tablebody0"/>
                  </w:pPr>
                  <w:r w:rsidRPr="0013396E">
                    <w:t>MEBL</w:t>
                  </w:r>
                  <w:r w:rsidRPr="0013396E">
                    <w:rPr>
                      <w:vertAlign w:val="subscript"/>
                    </w:rPr>
                    <w:t xml:space="preserve"> </w:t>
                  </w:r>
                  <w:r w:rsidRPr="0013396E">
                    <w:rPr>
                      <w:i/>
                      <w:vertAlign w:val="subscript"/>
                    </w:rPr>
                    <w:t>q,r,b</w:t>
                  </w:r>
                </w:p>
              </w:tc>
              <w:tc>
                <w:tcPr>
                  <w:tcW w:w="676" w:type="pct"/>
                </w:tcPr>
                <w:p w14:paraId="6395C081" w14:textId="77777777" w:rsidR="008050FF" w:rsidRPr="0013396E" w:rsidRDefault="008050FF" w:rsidP="008050FF">
                  <w:pPr>
                    <w:pStyle w:val="tablebody0"/>
                  </w:pPr>
                  <w:r w:rsidRPr="0013396E">
                    <w:t>MWh</w:t>
                  </w:r>
                </w:p>
              </w:tc>
              <w:tc>
                <w:tcPr>
                  <w:tcW w:w="3179" w:type="pct"/>
                </w:tcPr>
                <w:p w14:paraId="030711B3" w14:textId="7FFA5CCF" w:rsidR="008050FF" w:rsidRPr="0013396E" w:rsidRDefault="008050FF" w:rsidP="008050FF">
                  <w:pPr>
                    <w:pStyle w:val="tablebody0"/>
                    <w:rPr>
                      <w:i/>
                      <w:iCs/>
                    </w:rPr>
                  </w:pPr>
                  <w:r w:rsidRPr="0013396E">
                    <w:rPr>
                      <w:i/>
                    </w:rPr>
                    <w:t xml:space="preserve">Metered Energy for Wholesale Storage Load at </w:t>
                  </w:r>
                  <w:r w:rsidR="00632873" w:rsidRPr="0013396E">
                    <w:rPr>
                      <w:i/>
                    </w:rPr>
                    <w:t>B</w:t>
                  </w:r>
                  <w:r w:rsidRPr="0013396E">
                    <w:rPr>
                      <w:i/>
                    </w:rPr>
                    <w:t>us</w:t>
                  </w:r>
                  <w:r w:rsidRPr="0013396E">
                    <w:sym w:font="Symbol" w:char="F0BE"/>
                  </w:r>
                  <w:r w:rsidRPr="0013396E">
                    <w:t xml:space="preserve">The WSL energy metered by the Settlement Meter which measures WSL for the 15-minute Settlement Interval represented as a negative value, for the QSE </w:t>
                  </w:r>
                  <w:r w:rsidRPr="0013396E">
                    <w:rPr>
                      <w:i/>
                    </w:rPr>
                    <w:t>q</w:t>
                  </w:r>
                  <w:r w:rsidRPr="0013396E">
                    <w:t xml:space="preserve">, Resource </w:t>
                  </w:r>
                  <w:r w:rsidRPr="0013396E">
                    <w:rPr>
                      <w:i/>
                    </w:rPr>
                    <w:t>r</w:t>
                  </w:r>
                  <w:r w:rsidRPr="0013396E">
                    <w:t xml:space="preserve">, at bus </w:t>
                  </w:r>
                  <w:r w:rsidRPr="0013396E">
                    <w:rPr>
                      <w:i/>
                    </w:rPr>
                    <w:t>b</w:t>
                  </w:r>
                  <w:r w:rsidRPr="0013396E">
                    <w:t xml:space="preserve">.  </w:t>
                  </w:r>
                </w:p>
              </w:tc>
            </w:tr>
            <w:tr w:rsidR="00632873" w:rsidRPr="0013396E" w14:paraId="706DA1C8" w14:textId="77777777" w:rsidTr="00806724">
              <w:trPr>
                <w:cantSplit/>
              </w:trPr>
              <w:tc>
                <w:tcPr>
                  <w:tcW w:w="1145" w:type="pct"/>
                </w:tcPr>
                <w:p w14:paraId="0E2C68CD" w14:textId="30052DF0" w:rsidR="00632873" w:rsidRPr="0013396E" w:rsidRDefault="00632873" w:rsidP="00632873">
                  <w:pPr>
                    <w:pStyle w:val="tablebody0"/>
                  </w:pPr>
                  <w:r w:rsidRPr="0013396E">
                    <w:t xml:space="preserve">MEBCL </w:t>
                  </w:r>
                  <w:r w:rsidRPr="0013396E">
                    <w:rPr>
                      <w:i/>
                      <w:vertAlign w:val="subscript"/>
                    </w:rPr>
                    <w:t>q, r, b</w:t>
                  </w:r>
                </w:p>
              </w:tc>
              <w:tc>
                <w:tcPr>
                  <w:tcW w:w="676" w:type="pct"/>
                </w:tcPr>
                <w:p w14:paraId="58BD2629" w14:textId="51C023A8" w:rsidR="00632873" w:rsidRPr="0013396E" w:rsidRDefault="00632873" w:rsidP="00632873">
                  <w:pPr>
                    <w:pStyle w:val="tablebody0"/>
                  </w:pPr>
                  <w:r w:rsidRPr="0013396E">
                    <w:t>MWh</w:t>
                  </w:r>
                </w:p>
              </w:tc>
              <w:tc>
                <w:tcPr>
                  <w:tcW w:w="3179" w:type="pct"/>
                </w:tcPr>
                <w:p w14:paraId="6B6DDABE" w14:textId="5324CB35" w:rsidR="00632873" w:rsidRPr="0013396E" w:rsidRDefault="00632873" w:rsidP="00632873">
                  <w:pPr>
                    <w:pStyle w:val="tablebody0"/>
                    <w:rPr>
                      <w:i/>
                    </w:rPr>
                  </w:pPr>
                  <w:r w:rsidRPr="0013396E">
                    <w:rPr>
                      <w:i/>
                    </w:rPr>
                    <w:t xml:space="preserve">Calculated Metered Energy for CLR Load at Bus </w:t>
                  </w:r>
                  <w:r w:rsidRPr="0013396E">
                    <w:t xml:space="preserve">- The calculated CLR Load, adjusted for UFE, for the 15-minute Settlement Interval represented as a negative value, for the QSE </w:t>
                  </w:r>
                  <w:r w:rsidRPr="0013396E">
                    <w:rPr>
                      <w:i/>
                    </w:rPr>
                    <w:t>q</w:t>
                  </w:r>
                  <w:r w:rsidRPr="0013396E">
                    <w:t xml:space="preserve">, Resource </w:t>
                  </w:r>
                  <w:r w:rsidRPr="0013396E">
                    <w:rPr>
                      <w:i/>
                    </w:rPr>
                    <w:t>r</w:t>
                  </w:r>
                  <w:r w:rsidRPr="0013396E">
                    <w:t xml:space="preserve">, at bus </w:t>
                  </w:r>
                  <w:r w:rsidRPr="0013396E">
                    <w:rPr>
                      <w:i/>
                    </w:rPr>
                    <w:t>b</w:t>
                  </w:r>
                  <w:r w:rsidRPr="0013396E">
                    <w:t xml:space="preserve">.  </w:t>
                  </w:r>
                  <w:r w:rsidRPr="0013396E">
                    <w:rPr>
                      <w:i/>
                    </w:rPr>
                    <w:t xml:space="preserve"> </w:t>
                  </w:r>
                </w:p>
              </w:tc>
            </w:tr>
            <w:tr w:rsidR="00632873" w:rsidRPr="0013396E" w14:paraId="2C6A28A7" w14:textId="77777777" w:rsidTr="00806724">
              <w:trPr>
                <w:cantSplit/>
              </w:trPr>
              <w:tc>
                <w:tcPr>
                  <w:tcW w:w="1145" w:type="pct"/>
                </w:tcPr>
                <w:p w14:paraId="38E4721D" w14:textId="45948EAA" w:rsidR="00632873" w:rsidRPr="0013396E" w:rsidRDefault="00632873" w:rsidP="00632873">
                  <w:pPr>
                    <w:pStyle w:val="tablebody0"/>
                  </w:pPr>
                  <w:r w:rsidRPr="0013396E">
                    <w:lastRenderedPageBreak/>
                    <w:t xml:space="preserve">MEBCLFG </w:t>
                  </w:r>
                  <w:r w:rsidRPr="0013396E">
                    <w:rPr>
                      <w:i/>
                      <w:vertAlign w:val="subscript"/>
                    </w:rPr>
                    <w:t>q, r, b</w:t>
                  </w:r>
                </w:p>
              </w:tc>
              <w:tc>
                <w:tcPr>
                  <w:tcW w:w="676" w:type="pct"/>
                </w:tcPr>
                <w:p w14:paraId="2EFA9123" w14:textId="6F31E480" w:rsidR="00632873" w:rsidRPr="0013396E" w:rsidRDefault="00632873" w:rsidP="00632873">
                  <w:pPr>
                    <w:pStyle w:val="tablebody0"/>
                  </w:pPr>
                  <w:r w:rsidRPr="0013396E">
                    <w:t>MWh</w:t>
                  </w:r>
                </w:p>
              </w:tc>
              <w:tc>
                <w:tcPr>
                  <w:tcW w:w="3179" w:type="pct"/>
                </w:tcPr>
                <w:p w14:paraId="5D9EB3F2" w14:textId="6817ED0C" w:rsidR="00632873" w:rsidRPr="0013396E" w:rsidRDefault="00632873" w:rsidP="00632873">
                  <w:pPr>
                    <w:pStyle w:val="tablebody0"/>
                    <w:rPr>
                      <w:i/>
                    </w:rPr>
                  </w:pPr>
                  <w:r w:rsidRPr="0013396E">
                    <w:rPr>
                      <w:i/>
                    </w:rPr>
                    <w:t>Adjusted Metered Energy for CLR Load supplied from the grid at Bus (Calculated)</w:t>
                  </w:r>
                  <w:r w:rsidRPr="0013396E">
                    <w:t xml:space="preserve">—The portion of energy metered by the Settlement Meter which measures CLR Load supplied from the grid that is adjusted for losses, for the 15-minute Settlement Interval represented as a negative value, for the QSE </w:t>
                  </w:r>
                  <w:r w:rsidRPr="0013396E">
                    <w:rPr>
                      <w:i/>
                    </w:rPr>
                    <w:t>q</w:t>
                  </w:r>
                  <w:r w:rsidRPr="0013396E">
                    <w:t xml:space="preserve">, Resource </w:t>
                  </w:r>
                  <w:r w:rsidRPr="0013396E">
                    <w:rPr>
                      <w:i/>
                    </w:rPr>
                    <w:t>r</w:t>
                  </w:r>
                  <w:r w:rsidRPr="0013396E">
                    <w:t xml:space="preserve">, at bus </w:t>
                  </w:r>
                  <w:r w:rsidRPr="0013396E">
                    <w:rPr>
                      <w:i/>
                    </w:rPr>
                    <w:t>b</w:t>
                  </w:r>
                  <w:r w:rsidRPr="0013396E">
                    <w:t>.</w:t>
                  </w:r>
                </w:p>
              </w:tc>
            </w:tr>
            <w:tr w:rsidR="00632873" w:rsidRPr="0013396E" w14:paraId="01149654" w14:textId="77777777" w:rsidTr="00806724">
              <w:trPr>
                <w:cantSplit/>
              </w:trPr>
              <w:tc>
                <w:tcPr>
                  <w:tcW w:w="1145" w:type="pct"/>
                </w:tcPr>
                <w:p w14:paraId="7FA64B0E" w14:textId="78EDCA96" w:rsidR="00632873" w:rsidRPr="0013396E" w:rsidRDefault="00632873" w:rsidP="00632873">
                  <w:pPr>
                    <w:pStyle w:val="tablebody0"/>
                  </w:pPr>
                  <w:r w:rsidRPr="0013396E">
                    <w:t xml:space="preserve">MEBCLSG </w:t>
                  </w:r>
                  <w:r w:rsidRPr="0013396E">
                    <w:rPr>
                      <w:i/>
                      <w:vertAlign w:val="subscript"/>
                    </w:rPr>
                    <w:t>q, r, b</w:t>
                  </w:r>
                </w:p>
              </w:tc>
              <w:tc>
                <w:tcPr>
                  <w:tcW w:w="676" w:type="pct"/>
                </w:tcPr>
                <w:p w14:paraId="299A67BA" w14:textId="5581C58A" w:rsidR="00632873" w:rsidRPr="0013396E" w:rsidRDefault="00632873" w:rsidP="00632873">
                  <w:pPr>
                    <w:pStyle w:val="tablebody0"/>
                  </w:pPr>
                  <w:r w:rsidRPr="0013396E">
                    <w:t>MWh</w:t>
                  </w:r>
                </w:p>
              </w:tc>
              <w:tc>
                <w:tcPr>
                  <w:tcW w:w="3179" w:type="pct"/>
                </w:tcPr>
                <w:p w14:paraId="238A05FE" w14:textId="6E843272" w:rsidR="00632873" w:rsidRPr="0013396E" w:rsidRDefault="00632873" w:rsidP="00632873">
                  <w:pPr>
                    <w:pStyle w:val="tablebody0"/>
                    <w:rPr>
                      <w:i/>
                    </w:rPr>
                  </w:pPr>
                  <w:r w:rsidRPr="0013396E">
                    <w:rPr>
                      <w:i/>
                    </w:rPr>
                    <w:t xml:space="preserve">Metered Energy for CLR Load supplied from co-located generation with Net Metering arrangement, at Bus (Calculated) </w:t>
                  </w:r>
                  <w:r w:rsidRPr="0013396E">
                    <w:t xml:space="preserve">—The portion of energy metered by the Settlement Meter which measures CLR Load supplied from the co-located generation with Net Metering arrangement. This is not adjusted for losses, for the 15-minute Settlement Interval represented as a negative value, for the QSE </w:t>
                  </w:r>
                  <w:r w:rsidRPr="0013396E">
                    <w:rPr>
                      <w:i/>
                    </w:rPr>
                    <w:t>q</w:t>
                  </w:r>
                  <w:r w:rsidRPr="0013396E">
                    <w:t xml:space="preserve">, Resource </w:t>
                  </w:r>
                  <w:r w:rsidRPr="0013396E">
                    <w:rPr>
                      <w:i/>
                    </w:rPr>
                    <w:t>r</w:t>
                  </w:r>
                  <w:r w:rsidRPr="0013396E">
                    <w:t xml:space="preserve">, at bus </w:t>
                  </w:r>
                  <w:r w:rsidRPr="0013396E">
                    <w:rPr>
                      <w:i/>
                    </w:rPr>
                    <w:t>b</w:t>
                  </w:r>
                  <w:r w:rsidRPr="0013396E">
                    <w:t>.</w:t>
                  </w:r>
                </w:p>
              </w:tc>
            </w:tr>
            <w:tr w:rsidR="008050FF" w:rsidRPr="0013396E" w14:paraId="05682B65" w14:textId="77777777" w:rsidTr="00806724">
              <w:trPr>
                <w:cantSplit/>
              </w:trPr>
              <w:tc>
                <w:tcPr>
                  <w:tcW w:w="1145" w:type="pct"/>
                </w:tcPr>
                <w:p w14:paraId="1B400726" w14:textId="77777777" w:rsidR="008050FF" w:rsidRPr="0013396E" w:rsidRDefault="008050FF" w:rsidP="008050FF">
                  <w:pPr>
                    <w:pStyle w:val="tablebody0"/>
                  </w:pPr>
                  <w:r w:rsidRPr="0013396E">
                    <w:t xml:space="preserve">MEBR </w:t>
                  </w:r>
                  <w:r w:rsidRPr="0013396E">
                    <w:rPr>
                      <w:i/>
                      <w:vertAlign w:val="subscript"/>
                    </w:rPr>
                    <w:t>q, r, b</w:t>
                  </w:r>
                </w:p>
              </w:tc>
              <w:tc>
                <w:tcPr>
                  <w:tcW w:w="676" w:type="pct"/>
                </w:tcPr>
                <w:p w14:paraId="025EEAD1" w14:textId="77777777" w:rsidR="008050FF" w:rsidRPr="0013396E" w:rsidRDefault="008050FF" w:rsidP="008050FF">
                  <w:pPr>
                    <w:pStyle w:val="tablebody0"/>
                  </w:pPr>
                  <w:r w:rsidRPr="0013396E">
                    <w:t>MWh</w:t>
                  </w:r>
                </w:p>
              </w:tc>
              <w:tc>
                <w:tcPr>
                  <w:tcW w:w="3179" w:type="pct"/>
                </w:tcPr>
                <w:p w14:paraId="0E62F546" w14:textId="5A4D3779" w:rsidR="008050FF" w:rsidRPr="0013396E" w:rsidRDefault="00632873" w:rsidP="00674579">
                  <w:pPr>
                    <w:pStyle w:val="tablebody0"/>
                    <w:rPr>
                      <w:i/>
                    </w:rPr>
                  </w:pPr>
                  <w:r w:rsidRPr="0013396E">
                    <w:rPr>
                      <w:i/>
                    </w:rPr>
                    <w:t xml:space="preserve">Calculated </w:t>
                  </w:r>
                  <w:r w:rsidR="008050FF" w:rsidRPr="0013396E">
                    <w:rPr>
                      <w:i/>
                    </w:rPr>
                    <w:t xml:space="preserve">Metered Energy for Energy Storage Resource Load at Bus </w:t>
                  </w:r>
                  <w:r w:rsidR="008050FF" w:rsidRPr="0013396E">
                    <w:t xml:space="preserve">- The </w:t>
                  </w:r>
                  <w:r w:rsidRPr="0013396E">
                    <w:t>calculated</w:t>
                  </w:r>
                  <w:r w:rsidR="008050FF" w:rsidRPr="0013396E">
                    <w:t xml:space="preserve"> </w:t>
                  </w:r>
                  <w:r w:rsidR="00674579" w:rsidRPr="0013396E">
                    <w:t>Non-WSL ESR Charging Load</w:t>
                  </w:r>
                  <w:r w:rsidRPr="0013396E">
                    <w:t>, adjusted for UFE,</w:t>
                  </w:r>
                  <w:r w:rsidR="008050FF" w:rsidRPr="0013396E">
                    <w:t xml:space="preserve"> for the 15-minute Settlement Interval represented as a negative value, for the QSE </w:t>
                  </w:r>
                  <w:r w:rsidR="008050FF" w:rsidRPr="0013396E">
                    <w:rPr>
                      <w:i/>
                    </w:rPr>
                    <w:t>q</w:t>
                  </w:r>
                  <w:r w:rsidR="008050FF" w:rsidRPr="0013396E">
                    <w:t xml:space="preserve">, Resource </w:t>
                  </w:r>
                  <w:r w:rsidR="008050FF" w:rsidRPr="0013396E">
                    <w:rPr>
                      <w:i/>
                    </w:rPr>
                    <w:t>r</w:t>
                  </w:r>
                  <w:r w:rsidR="008050FF" w:rsidRPr="0013396E">
                    <w:t xml:space="preserve">, at bus </w:t>
                  </w:r>
                  <w:r w:rsidR="008050FF" w:rsidRPr="0013396E">
                    <w:rPr>
                      <w:i/>
                    </w:rPr>
                    <w:t>b</w:t>
                  </w:r>
                  <w:r w:rsidR="008050FF" w:rsidRPr="0013396E">
                    <w:t xml:space="preserve">.  </w:t>
                  </w:r>
                  <w:r w:rsidR="008050FF" w:rsidRPr="0013396E">
                    <w:rPr>
                      <w:i/>
                    </w:rPr>
                    <w:t xml:space="preserve"> </w:t>
                  </w:r>
                </w:p>
              </w:tc>
            </w:tr>
            <w:tr w:rsidR="00632873" w:rsidRPr="0013396E" w14:paraId="46C35888" w14:textId="77777777" w:rsidTr="00806724">
              <w:trPr>
                <w:cantSplit/>
              </w:trPr>
              <w:tc>
                <w:tcPr>
                  <w:tcW w:w="1145" w:type="pct"/>
                </w:tcPr>
                <w:p w14:paraId="38CAE539" w14:textId="4DAA9259" w:rsidR="00632873" w:rsidRPr="0013396E" w:rsidRDefault="00632873" w:rsidP="00632873">
                  <w:pPr>
                    <w:pStyle w:val="tablebody0"/>
                  </w:pPr>
                  <w:r w:rsidRPr="0013396E">
                    <w:t xml:space="preserve">MEBRFG </w:t>
                  </w:r>
                  <w:r w:rsidRPr="0013396E">
                    <w:rPr>
                      <w:i/>
                      <w:vertAlign w:val="subscript"/>
                    </w:rPr>
                    <w:t>q, r, b</w:t>
                  </w:r>
                </w:p>
              </w:tc>
              <w:tc>
                <w:tcPr>
                  <w:tcW w:w="676" w:type="pct"/>
                </w:tcPr>
                <w:p w14:paraId="5AC87C5E" w14:textId="23BD5080" w:rsidR="00632873" w:rsidRPr="0013396E" w:rsidRDefault="00632873" w:rsidP="00632873">
                  <w:pPr>
                    <w:pStyle w:val="tablebody0"/>
                  </w:pPr>
                  <w:r w:rsidRPr="0013396E">
                    <w:t>MWh</w:t>
                  </w:r>
                </w:p>
              </w:tc>
              <w:tc>
                <w:tcPr>
                  <w:tcW w:w="3179" w:type="pct"/>
                </w:tcPr>
                <w:p w14:paraId="585818FC" w14:textId="30C6151E" w:rsidR="00632873" w:rsidRPr="0013396E" w:rsidRDefault="00632873" w:rsidP="00632873">
                  <w:pPr>
                    <w:pStyle w:val="tablebody0"/>
                    <w:rPr>
                      <w:i/>
                    </w:rPr>
                  </w:pPr>
                  <w:r w:rsidRPr="0013396E">
                    <w:rPr>
                      <w:i/>
                    </w:rPr>
                    <w:t xml:space="preserve">Adjusted Metered Energy for Energy Storage Resource Load supplied from the grid at Bus (Calculated) </w:t>
                  </w:r>
                  <w:r w:rsidRPr="0013396E">
                    <w:t xml:space="preserve">—The portion of energy metered by the Settlement Meter which measures Non-WSL ESR Charging Load supplied from the grid that is adjusted for losses, for the 15-minute Settlement Interval represented as a negative value, for the QSE </w:t>
                  </w:r>
                  <w:r w:rsidRPr="0013396E">
                    <w:rPr>
                      <w:i/>
                    </w:rPr>
                    <w:t>q</w:t>
                  </w:r>
                  <w:r w:rsidRPr="0013396E">
                    <w:t xml:space="preserve">, Resource </w:t>
                  </w:r>
                  <w:r w:rsidRPr="0013396E">
                    <w:rPr>
                      <w:i/>
                    </w:rPr>
                    <w:t>r</w:t>
                  </w:r>
                  <w:r w:rsidRPr="0013396E">
                    <w:t xml:space="preserve">, at bus </w:t>
                  </w:r>
                  <w:r w:rsidRPr="0013396E">
                    <w:rPr>
                      <w:i/>
                    </w:rPr>
                    <w:t>b</w:t>
                  </w:r>
                  <w:r w:rsidRPr="0013396E">
                    <w:t>.</w:t>
                  </w:r>
                </w:p>
              </w:tc>
            </w:tr>
            <w:tr w:rsidR="00632873" w:rsidRPr="0013396E" w14:paraId="396B2F05" w14:textId="77777777" w:rsidTr="00806724">
              <w:trPr>
                <w:cantSplit/>
              </w:trPr>
              <w:tc>
                <w:tcPr>
                  <w:tcW w:w="1145" w:type="pct"/>
                </w:tcPr>
                <w:p w14:paraId="4F284334" w14:textId="3A24F8D7" w:rsidR="00632873" w:rsidRPr="0013396E" w:rsidRDefault="00632873" w:rsidP="00632873">
                  <w:pPr>
                    <w:pStyle w:val="tablebody0"/>
                  </w:pPr>
                  <w:r w:rsidRPr="0013396E">
                    <w:t xml:space="preserve">MEBRSG </w:t>
                  </w:r>
                  <w:r w:rsidRPr="0013396E">
                    <w:rPr>
                      <w:i/>
                      <w:vertAlign w:val="subscript"/>
                    </w:rPr>
                    <w:t>q, r, b</w:t>
                  </w:r>
                </w:p>
              </w:tc>
              <w:tc>
                <w:tcPr>
                  <w:tcW w:w="676" w:type="pct"/>
                </w:tcPr>
                <w:p w14:paraId="56A70E03" w14:textId="376B1AE2" w:rsidR="00632873" w:rsidRPr="0013396E" w:rsidRDefault="00632873" w:rsidP="00632873">
                  <w:pPr>
                    <w:pStyle w:val="tablebody0"/>
                  </w:pPr>
                  <w:r w:rsidRPr="0013396E">
                    <w:t>MWh</w:t>
                  </w:r>
                </w:p>
              </w:tc>
              <w:tc>
                <w:tcPr>
                  <w:tcW w:w="3179" w:type="pct"/>
                </w:tcPr>
                <w:p w14:paraId="61D1670C" w14:textId="22F33495" w:rsidR="00632873" w:rsidRPr="0013396E" w:rsidRDefault="00632873" w:rsidP="00632873">
                  <w:pPr>
                    <w:pStyle w:val="tablebody0"/>
                    <w:rPr>
                      <w:i/>
                    </w:rPr>
                  </w:pPr>
                  <w:r w:rsidRPr="0013396E">
                    <w:rPr>
                      <w:i/>
                    </w:rPr>
                    <w:t xml:space="preserve">Metered Energy for Energy Storage Resource Load supplied from co-located generation with Net Metering arrangement, at Bus (Calculated) </w:t>
                  </w:r>
                  <w:r w:rsidRPr="0013396E">
                    <w:t xml:space="preserve">—The portion of energy metered by the Settlement Meter which measures Non-WSL ESR Charging Load supplied from the co-located generation with Net Metering arrangement.  This is not adjusted for losses, for the 15-minute Settlement Interval represented as a negative value, for the QSE </w:t>
                  </w:r>
                  <w:r w:rsidRPr="0013396E">
                    <w:rPr>
                      <w:i/>
                    </w:rPr>
                    <w:t>q</w:t>
                  </w:r>
                  <w:r w:rsidRPr="0013396E">
                    <w:t xml:space="preserve">, Resource </w:t>
                  </w:r>
                  <w:r w:rsidRPr="0013396E">
                    <w:rPr>
                      <w:i/>
                    </w:rPr>
                    <w:t>r</w:t>
                  </w:r>
                  <w:r w:rsidRPr="0013396E">
                    <w:t xml:space="preserve">, at bus </w:t>
                  </w:r>
                  <w:r w:rsidRPr="0013396E">
                    <w:rPr>
                      <w:i/>
                    </w:rPr>
                    <w:t>b</w:t>
                  </w:r>
                  <w:r w:rsidRPr="0013396E">
                    <w:t>.</w:t>
                  </w:r>
                </w:p>
              </w:tc>
            </w:tr>
            <w:tr w:rsidR="008050FF" w:rsidRPr="0013396E" w14:paraId="1B546241" w14:textId="77777777" w:rsidTr="00806724">
              <w:trPr>
                <w:cantSplit/>
              </w:trPr>
              <w:tc>
                <w:tcPr>
                  <w:tcW w:w="1145" w:type="pct"/>
                </w:tcPr>
                <w:p w14:paraId="08556536" w14:textId="77777777" w:rsidR="008050FF" w:rsidRPr="0013396E" w:rsidRDefault="008050FF" w:rsidP="008050FF">
                  <w:pPr>
                    <w:pStyle w:val="tablebody0"/>
                    <w:rPr>
                      <w:i/>
                    </w:rPr>
                  </w:pPr>
                  <w:r w:rsidRPr="0013396E">
                    <w:t>WSLAMTTOT</w:t>
                  </w:r>
                  <w:r w:rsidRPr="0013396E">
                    <w:rPr>
                      <w:vertAlign w:val="subscript"/>
                    </w:rPr>
                    <w:t xml:space="preserve"> </w:t>
                  </w:r>
                  <w:r w:rsidRPr="0013396E">
                    <w:rPr>
                      <w:i/>
                      <w:vertAlign w:val="subscript"/>
                    </w:rPr>
                    <w:t>q, r, p</w:t>
                  </w:r>
                </w:p>
              </w:tc>
              <w:tc>
                <w:tcPr>
                  <w:tcW w:w="676" w:type="pct"/>
                </w:tcPr>
                <w:p w14:paraId="4F187FD7" w14:textId="77777777" w:rsidR="008050FF" w:rsidRPr="0013396E" w:rsidRDefault="008050FF" w:rsidP="008050FF">
                  <w:pPr>
                    <w:pStyle w:val="tablebody0"/>
                  </w:pPr>
                  <w:r w:rsidRPr="0013396E">
                    <w:t>$</w:t>
                  </w:r>
                </w:p>
              </w:tc>
              <w:tc>
                <w:tcPr>
                  <w:tcW w:w="3179" w:type="pct"/>
                </w:tcPr>
                <w:p w14:paraId="79ED2FEC" w14:textId="77777777" w:rsidR="008050FF" w:rsidRPr="0013396E" w:rsidRDefault="008050FF" w:rsidP="008050FF">
                  <w:pPr>
                    <w:pStyle w:val="tablebody0"/>
                  </w:pPr>
                  <w:r w:rsidRPr="0013396E">
                    <w:rPr>
                      <w:i/>
                    </w:rPr>
                    <w:t>Wholesale Storage Load Settlement</w:t>
                  </w:r>
                  <w:r w:rsidRPr="0013396E">
                    <w:t>—</w:t>
                  </w:r>
                  <w:r w:rsidRPr="0013396E">
                    <w:rPr>
                      <w:iCs/>
                    </w:rPr>
                    <w:t xml:space="preserve">The total payment or charge to QSE </w:t>
                  </w:r>
                  <w:r w:rsidRPr="0013396E">
                    <w:rPr>
                      <w:i/>
                      <w:iCs/>
                    </w:rPr>
                    <w:t>q</w:t>
                  </w:r>
                  <w:r w:rsidRPr="0013396E">
                    <w:rPr>
                      <w:iCs/>
                    </w:rPr>
                    <w:t xml:space="preserve">, Resource </w:t>
                  </w:r>
                  <w:r w:rsidRPr="0013396E">
                    <w:rPr>
                      <w:i/>
                      <w:iCs/>
                    </w:rPr>
                    <w:t>r</w:t>
                  </w:r>
                  <w:r w:rsidRPr="0013396E">
                    <w:rPr>
                      <w:iCs/>
                    </w:rPr>
                    <w:t xml:space="preserve">, at Settlement Point </w:t>
                  </w:r>
                  <w:r w:rsidRPr="0013396E">
                    <w:rPr>
                      <w:i/>
                      <w:iCs/>
                    </w:rPr>
                    <w:t>p</w:t>
                  </w:r>
                  <w:r w:rsidRPr="0013396E">
                    <w:rPr>
                      <w:iCs/>
                    </w:rPr>
                    <w:t xml:space="preserve">, </w:t>
                  </w:r>
                  <w:r w:rsidRPr="0013396E">
                    <w:t xml:space="preserve">for WSL </w:t>
                  </w:r>
                  <w:r w:rsidRPr="0013396E">
                    <w:rPr>
                      <w:iCs/>
                    </w:rPr>
                    <w:t>for each 15-minute Settlement Interval.</w:t>
                  </w:r>
                </w:p>
              </w:tc>
            </w:tr>
            <w:tr w:rsidR="00632873" w:rsidRPr="0013396E" w14:paraId="184227D9" w14:textId="77777777" w:rsidTr="00806724">
              <w:trPr>
                <w:cantSplit/>
              </w:trPr>
              <w:tc>
                <w:tcPr>
                  <w:tcW w:w="1145" w:type="pct"/>
                </w:tcPr>
                <w:p w14:paraId="3AAA069B" w14:textId="00AE2F8C" w:rsidR="00632873" w:rsidRPr="0013396E" w:rsidRDefault="00632873" w:rsidP="00632873">
                  <w:pPr>
                    <w:pStyle w:val="tablebody0"/>
                  </w:pPr>
                  <w:r w:rsidRPr="0013396E">
                    <w:t>CLRAMTTOT</w:t>
                  </w:r>
                  <w:r w:rsidRPr="0013396E">
                    <w:rPr>
                      <w:vertAlign w:val="subscript"/>
                    </w:rPr>
                    <w:t xml:space="preserve"> </w:t>
                  </w:r>
                  <w:r w:rsidRPr="0013396E">
                    <w:rPr>
                      <w:i/>
                      <w:vertAlign w:val="subscript"/>
                    </w:rPr>
                    <w:t>q, r, p</w:t>
                  </w:r>
                </w:p>
              </w:tc>
              <w:tc>
                <w:tcPr>
                  <w:tcW w:w="676" w:type="pct"/>
                </w:tcPr>
                <w:p w14:paraId="27CC3509" w14:textId="3562C6CE" w:rsidR="00632873" w:rsidRPr="0013396E" w:rsidRDefault="00632873" w:rsidP="00632873">
                  <w:pPr>
                    <w:pStyle w:val="tablebody0"/>
                  </w:pPr>
                  <w:r w:rsidRPr="0013396E">
                    <w:t>$</w:t>
                  </w:r>
                </w:p>
              </w:tc>
              <w:tc>
                <w:tcPr>
                  <w:tcW w:w="3179" w:type="pct"/>
                </w:tcPr>
                <w:p w14:paraId="601B741B" w14:textId="2971A87A" w:rsidR="00632873" w:rsidRPr="0013396E" w:rsidRDefault="00632873" w:rsidP="00632873">
                  <w:pPr>
                    <w:pStyle w:val="tablebody0"/>
                    <w:rPr>
                      <w:i/>
                    </w:rPr>
                  </w:pPr>
                  <w:r w:rsidRPr="0013396E">
                    <w:rPr>
                      <w:i/>
                    </w:rPr>
                    <w:t>CLR Load Settlement</w:t>
                  </w:r>
                  <w:r w:rsidRPr="0013396E">
                    <w:t>—</w:t>
                  </w:r>
                  <w:r w:rsidRPr="0013396E">
                    <w:rPr>
                      <w:iCs/>
                    </w:rPr>
                    <w:t xml:space="preserve">The total payment or charge to QSE </w:t>
                  </w:r>
                  <w:r w:rsidRPr="0013396E">
                    <w:rPr>
                      <w:i/>
                      <w:iCs/>
                    </w:rPr>
                    <w:t>q</w:t>
                  </w:r>
                  <w:r w:rsidRPr="0013396E">
                    <w:rPr>
                      <w:iCs/>
                    </w:rPr>
                    <w:t xml:space="preserve">, Resource </w:t>
                  </w:r>
                  <w:r w:rsidRPr="0013396E">
                    <w:rPr>
                      <w:i/>
                      <w:iCs/>
                    </w:rPr>
                    <w:t>r</w:t>
                  </w:r>
                  <w:r w:rsidRPr="0013396E">
                    <w:rPr>
                      <w:iCs/>
                    </w:rPr>
                    <w:t xml:space="preserve">, at Settlement Point </w:t>
                  </w:r>
                  <w:r w:rsidRPr="0013396E">
                    <w:rPr>
                      <w:i/>
                      <w:iCs/>
                    </w:rPr>
                    <w:t>p</w:t>
                  </w:r>
                  <w:r w:rsidRPr="0013396E">
                    <w:rPr>
                      <w:iCs/>
                    </w:rPr>
                    <w:t xml:space="preserve">, </w:t>
                  </w:r>
                  <w:r w:rsidRPr="0013396E">
                    <w:t xml:space="preserve">for CLR Load </w:t>
                  </w:r>
                  <w:r w:rsidRPr="0013396E">
                    <w:rPr>
                      <w:iCs/>
                    </w:rPr>
                    <w:t>for each 15-minute Settlement Interval.</w:t>
                  </w:r>
                </w:p>
              </w:tc>
            </w:tr>
            <w:tr w:rsidR="008050FF" w:rsidRPr="0013396E" w14:paraId="6FDC7E83" w14:textId="77777777" w:rsidTr="00806724">
              <w:trPr>
                <w:cantSplit/>
              </w:trPr>
              <w:tc>
                <w:tcPr>
                  <w:tcW w:w="1145" w:type="pct"/>
                </w:tcPr>
                <w:p w14:paraId="0F4A1249" w14:textId="77777777" w:rsidR="008050FF" w:rsidRPr="0013396E" w:rsidRDefault="008050FF" w:rsidP="008050FF">
                  <w:pPr>
                    <w:pStyle w:val="tablebody0"/>
                  </w:pPr>
                  <w:r w:rsidRPr="0013396E">
                    <w:t>ESRNWSLAMTTOT</w:t>
                  </w:r>
                  <w:r w:rsidRPr="0013396E">
                    <w:rPr>
                      <w:vertAlign w:val="subscript"/>
                    </w:rPr>
                    <w:t xml:space="preserve"> </w:t>
                  </w:r>
                  <w:r w:rsidRPr="0013396E">
                    <w:rPr>
                      <w:i/>
                      <w:vertAlign w:val="subscript"/>
                    </w:rPr>
                    <w:t>q, r, p</w:t>
                  </w:r>
                </w:p>
              </w:tc>
              <w:tc>
                <w:tcPr>
                  <w:tcW w:w="676" w:type="pct"/>
                </w:tcPr>
                <w:p w14:paraId="27AC369D" w14:textId="77777777" w:rsidR="008050FF" w:rsidRPr="0013396E" w:rsidRDefault="008050FF" w:rsidP="008050FF">
                  <w:pPr>
                    <w:pStyle w:val="tablebody0"/>
                  </w:pPr>
                  <w:r w:rsidRPr="0013396E">
                    <w:t>$</w:t>
                  </w:r>
                </w:p>
              </w:tc>
              <w:tc>
                <w:tcPr>
                  <w:tcW w:w="3179" w:type="pct"/>
                </w:tcPr>
                <w:p w14:paraId="14B7F270" w14:textId="1856B720" w:rsidR="008050FF" w:rsidRPr="0013396E" w:rsidRDefault="008050FF" w:rsidP="00674579">
                  <w:pPr>
                    <w:pStyle w:val="tablebody0"/>
                    <w:rPr>
                      <w:i/>
                    </w:rPr>
                  </w:pPr>
                  <w:r w:rsidRPr="0013396E">
                    <w:rPr>
                      <w:i/>
                    </w:rPr>
                    <w:t>Energy Storage Resource Non-WSL Settlement</w:t>
                  </w:r>
                  <w:r w:rsidRPr="0013396E">
                    <w:t>—</w:t>
                  </w:r>
                  <w:r w:rsidRPr="0013396E">
                    <w:rPr>
                      <w:iCs/>
                    </w:rPr>
                    <w:t xml:space="preserve">The total payment or charge to QSE </w:t>
                  </w:r>
                  <w:r w:rsidRPr="0013396E">
                    <w:rPr>
                      <w:i/>
                      <w:iCs/>
                    </w:rPr>
                    <w:t>q</w:t>
                  </w:r>
                  <w:r w:rsidRPr="0013396E">
                    <w:rPr>
                      <w:iCs/>
                    </w:rPr>
                    <w:t xml:space="preserve">, Resource </w:t>
                  </w:r>
                  <w:r w:rsidRPr="0013396E">
                    <w:rPr>
                      <w:i/>
                      <w:iCs/>
                    </w:rPr>
                    <w:t>r</w:t>
                  </w:r>
                  <w:r w:rsidRPr="0013396E">
                    <w:rPr>
                      <w:iCs/>
                    </w:rPr>
                    <w:t xml:space="preserve">, at Settlement Point </w:t>
                  </w:r>
                  <w:r w:rsidRPr="0013396E">
                    <w:rPr>
                      <w:i/>
                      <w:iCs/>
                    </w:rPr>
                    <w:t>p</w:t>
                  </w:r>
                  <w:r w:rsidRPr="0013396E">
                    <w:rPr>
                      <w:iCs/>
                    </w:rPr>
                    <w:t xml:space="preserve">, </w:t>
                  </w:r>
                  <w:r w:rsidRPr="0013396E">
                    <w:t xml:space="preserve">for </w:t>
                  </w:r>
                  <w:r w:rsidR="00674579" w:rsidRPr="0013396E">
                    <w:t>Non-WSL ESR Charging Load</w:t>
                  </w:r>
                  <w:r w:rsidRPr="0013396E">
                    <w:t xml:space="preserve"> </w:t>
                  </w:r>
                  <w:r w:rsidRPr="0013396E">
                    <w:rPr>
                      <w:iCs/>
                    </w:rPr>
                    <w:t>for each 15-minute Settlement Interval.</w:t>
                  </w:r>
                </w:p>
              </w:tc>
            </w:tr>
            <w:tr w:rsidR="008050FF" w:rsidRPr="0013396E" w14:paraId="431951BF" w14:textId="77777777" w:rsidTr="00806724">
              <w:trPr>
                <w:cantSplit/>
              </w:trPr>
              <w:tc>
                <w:tcPr>
                  <w:tcW w:w="1145" w:type="pct"/>
                </w:tcPr>
                <w:p w14:paraId="78EE60E5" w14:textId="77777777" w:rsidR="008050FF" w:rsidRPr="0013396E" w:rsidRDefault="008050FF" w:rsidP="008050FF">
                  <w:pPr>
                    <w:pStyle w:val="tablebody0"/>
                    <w:rPr>
                      <w:i/>
                    </w:rPr>
                  </w:pPr>
                  <w:r w:rsidRPr="0013396E">
                    <w:rPr>
                      <w:lang w:val="es-ES"/>
                    </w:rPr>
                    <w:t>RNWFL</w:t>
                  </w:r>
                  <w:r w:rsidRPr="0013396E">
                    <w:rPr>
                      <w:vertAlign w:val="subscript"/>
                    </w:rPr>
                    <w:t xml:space="preserve"> </w:t>
                  </w:r>
                  <w:r w:rsidRPr="0013396E">
                    <w:rPr>
                      <w:i/>
                      <w:iCs/>
                      <w:vertAlign w:val="subscript"/>
                      <w:lang w:val="es-ES"/>
                    </w:rPr>
                    <w:t>b, y</w:t>
                  </w:r>
                </w:p>
              </w:tc>
              <w:tc>
                <w:tcPr>
                  <w:tcW w:w="676" w:type="pct"/>
                </w:tcPr>
                <w:p w14:paraId="6C083463" w14:textId="77777777" w:rsidR="008050FF" w:rsidRPr="0013396E" w:rsidRDefault="008050FF" w:rsidP="008050FF">
                  <w:pPr>
                    <w:pStyle w:val="tablebody0"/>
                  </w:pPr>
                  <w:r w:rsidRPr="0013396E">
                    <w:t>none</w:t>
                  </w:r>
                </w:p>
              </w:tc>
              <w:tc>
                <w:tcPr>
                  <w:tcW w:w="3179" w:type="pct"/>
                </w:tcPr>
                <w:p w14:paraId="11CEBC45" w14:textId="0D4EFE6C" w:rsidR="008050FF" w:rsidRPr="0013396E" w:rsidRDefault="008050FF" w:rsidP="008050FF">
                  <w:pPr>
                    <w:pStyle w:val="tablebody0"/>
                  </w:pPr>
                  <w:r w:rsidRPr="0013396E">
                    <w:rPr>
                      <w:i/>
                      <w:iCs/>
                    </w:rPr>
                    <w:t xml:space="preserve">Net meter Weighting Factor per interval </w:t>
                  </w:r>
                  <w:r w:rsidRPr="0013396E">
                    <w:rPr>
                      <w:i/>
                    </w:rPr>
                    <w:t>for the Energy Metered as Energy Storage Resource Load</w:t>
                  </w:r>
                  <w:r w:rsidR="00632873" w:rsidRPr="0013396E">
                    <w:rPr>
                      <w:i/>
                    </w:rPr>
                    <w:t xml:space="preserve"> or CLR Load</w:t>
                  </w:r>
                  <w:r w:rsidRPr="0013396E">
                    <w:rPr>
                      <w:rFonts w:ascii="Symbol" w:hAnsi="Symbol"/>
                    </w:rPr>
                    <w:t></w:t>
                  </w:r>
                  <w:r w:rsidRPr="0013396E">
                    <w:rPr>
                      <w:rFonts w:ascii="Symbol" w:hAnsi="Symbol"/>
                    </w:rPr>
                    <w:t></w:t>
                  </w:r>
                  <w:r w:rsidRPr="0013396E">
                    <w:t xml:space="preserve">The weight factor used in net meter price calculation for meters in Electrical Bus </w:t>
                  </w:r>
                  <w:r w:rsidRPr="0013396E">
                    <w:rPr>
                      <w:i/>
                    </w:rPr>
                    <w:t>b</w:t>
                  </w:r>
                  <w:r w:rsidRPr="0013396E">
                    <w:t xml:space="preserve">, for the SCED interval </w:t>
                  </w:r>
                  <w:r w:rsidRPr="0013396E">
                    <w:rPr>
                      <w:i/>
                      <w:iCs/>
                    </w:rPr>
                    <w:t>y</w:t>
                  </w:r>
                  <w:r w:rsidRPr="0013396E">
                    <w:t>, for the ESR Load associated with an ESR</w:t>
                  </w:r>
                  <w:r w:rsidR="00632873" w:rsidRPr="0013396E">
                    <w:t xml:space="preserve"> or for the CLR Load associated with a CLR that is not an ALR</w:t>
                  </w:r>
                  <w:r w:rsidRPr="0013396E">
                    <w:t>.  The weighting factor used in the net meter price calculation shall not be recalculated after the fact due to revisions in the association of Resources to Settlement Meters.</w:t>
                  </w:r>
                </w:p>
              </w:tc>
            </w:tr>
            <w:tr w:rsidR="008050FF" w:rsidRPr="0013396E" w14:paraId="10800B91" w14:textId="77777777" w:rsidTr="00806724">
              <w:trPr>
                <w:cantSplit/>
              </w:trPr>
              <w:tc>
                <w:tcPr>
                  <w:tcW w:w="1145" w:type="pct"/>
                </w:tcPr>
                <w:p w14:paraId="3D61EC72" w14:textId="77777777" w:rsidR="008050FF" w:rsidRPr="0013396E" w:rsidRDefault="008050FF" w:rsidP="008050FF">
                  <w:pPr>
                    <w:pStyle w:val="tablebody0"/>
                    <w:rPr>
                      <w:i/>
                    </w:rPr>
                  </w:pPr>
                  <w:r w:rsidRPr="0013396E">
                    <w:t>RTRMPRESR</w:t>
                  </w:r>
                  <w:r w:rsidRPr="0013396E">
                    <w:rPr>
                      <w:vertAlign w:val="subscript"/>
                    </w:rPr>
                    <w:t xml:space="preserve"> </w:t>
                  </w:r>
                  <w:r w:rsidRPr="0013396E">
                    <w:rPr>
                      <w:i/>
                      <w:vertAlign w:val="subscript"/>
                    </w:rPr>
                    <w:t>b</w:t>
                  </w:r>
                </w:p>
              </w:tc>
              <w:tc>
                <w:tcPr>
                  <w:tcW w:w="676" w:type="pct"/>
                </w:tcPr>
                <w:p w14:paraId="70B8A601" w14:textId="77777777" w:rsidR="008050FF" w:rsidRPr="0013396E" w:rsidRDefault="008050FF" w:rsidP="008050FF">
                  <w:pPr>
                    <w:pStyle w:val="tablebody0"/>
                  </w:pPr>
                  <w:r w:rsidRPr="0013396E">
                    <w:t>$/MWh</w:t>
                  </w:r>
                </w:p>
              </w:tc>
              <w:tc>
                <w:tcPr>
                  <w:tcW w:w="3179" w:type="pct"/>
                </w:tcPr>
                <w:p w14:paraId="76C57756" w14:textId="5E9238F3" w:rsidR="008050FF" w:rsidRPr="0013396E" w:rsidRDefault="008050FF" w:rsidP="008050FF">
                  <w:pPr>
                    <w:pStyle w:val="tablebody0"/>
                  </w:pPr>
                  <w:r w:rsidRPr="0013396E">
                    <w:rPr>
                      <w:i/>
                    </w:rPr>
                    <w:t>Real-Time Price for the Energy Metered as Energy Storage Resource Load at bus</w:t>
                  </w:r>
                  <w:r w:rsidRPr="0013396E">
                    <w:sym w:font="Symbol" w:char="F0BE"/>
                  </w:r>
                  <w:r w:rsidRPr="0013396E">
                    <w:t>The Real-Time price for the Settlement Meter which measures E</w:t>
                  </w:r>
                  <w:r w:rsidR="005755D9" w:rsidRPr="0013396E">
                    <w:t>SR L</w:t>
                  </w:r>
                  <w:r w:rsidRPr="0013396E">
                    <w:t xml:space="preserve">oad at Electrical Bus </w:t>
                  </w:r>
                  <w:r w:rsidRPr="0013396E">
                    <w:rPr>
                      <w:i/>
                    </w:rPr>
                    <w:t>b</w:t>
                  </w:r>
                  <w:r w:rsidRPr="0013396E">
                    <w:t>, for the 15-minute Settlement Interval.</w:t>
                  </w:r>
                </w:p>
              </w:tc>
            </w:tr>
            <w:tr w:rsidR="00632873" w:rsidRPr="0013396E" w14:paraId="7F0DCB9A" w14:textId="77777777" w:rsidTr="00806724">
              <w:trPr>
                <w:cantSplit/>
              </w:trPr>
              <w:tc>
                <w:tcPr>
                  <w:tcW w:w="1145" w:type="pct"/>
                </w:tcPr>
                <w:p w14:paraId="2949F603" w14:textId="5CB31754" w:rsidR="00632873" w:rsidRPr="0013396E" w:rsidRDefault="00632873" w:rsidP="00632873">
                  <w:pPr>
                    <w:pStyle w:val="tablebody0"/>
                  </w:pPr>
                  <w:r w:rsidRPr="0013396E">
                    <w:lastRenderedPageBreak/>
                    <w:t>RTRMPRCLR</w:t>
                  </w:r>
                  <w:r w:rsidRPr="0013396E">
                    <w:rPr>
                      <w:vertAlign w:val="subscript"/>
                    </w:rPr>
                    <w:t xml:space="preserve"> </w:t>
                  </w:r>
                  <w:r w:rsidRPr="0013396E">
                    <w:rPr>
                      <w:i/>
                      <w:vertAlign w:val="subscript"/>
                    </w:rPr>
                    <w:t>b</w:t>
                  </w:r>
                </w:p>
              </w:tc>
              <w:tc>
                <w:tcPr>
                  <w:tcW w:w="676" w:type="pct"/>
                </w:tcPr>
                <w:p w14:paraId="156F925B" w14:textId="5D92CAE7" w:rsidR="00632873" w:rsidRPr="0013396E" w:rsidRDefault="00632873" w:rsidP="00632873">
                  <w:pPr>
                    <w:pStyle w:val="tablebody0"/>
                  </w:pPr>
                  <w:r w:rsidRPr="0013396E">
                    <w:t>$/MWh</w:t>
                  </w:r>
                </w:p>
              </w:tc>
              <w:tc>
                <w:tcPr>
                  <w:tcW w:w="3179" w:type="pct"/>
                </w:tcPr>
                <w:p w14:paraId="744E688C" w14:textId="637EF481" w:rsidR="00632873" w:rsidRPr="0013396E" w:rsidRDefault="00632873" w:rsidP="00632873">
                  <w:pPr>
                    <w:pStyle w:val="tablebody0"/>
                    <w:rPr>
                      <w:i/>
                    </w:rPr>
                  </w:pPr>
                  <w:r w:rsidRPr="0013396E">
                    <w:rPr>
                      <w:i/>
                    </w:rPr>
                    <w:t>Real-Time Price for the CLR Energy Metered at bus</w:t>
                  </w:r>
                  <w:r w:rsidRPr="0013396E">
                    <w:sym w:font="Symbol" w:char="F0BE"/>
                  </w:r>
                  <w:r w:rsidRPr="0013396E">
                    <w:t xml:space="preserve">The Real-Time price for the Settlement Meter which measures CLR Load at Electrical Bus </w:t>
                  </w:r>
                  <w:r w:rsidRPr="0013396E">
                    <w:rPr>
                      <w:i/>
                    </w:rPr>
                    <w:t>b</w:t>
                  </w:r>
                  <w:r w:rsidRPr="0013396E">
                    <w:t>, for the 15-minute Settlement Interval.</w:t>
                  </w:r>
                </w:p>
              </w:tc>
            </w:tr>
            <w:tr w:rsidR="008050FF" w:rsidRPr="0013396E" w14:paraId="596556FC" w14:textId="77777777" w:rsidTr="00806724">
              <w:trPr>
                <w:cantSplit/>
              </w:trPr>
              <w:tc>
                <w:tcPr>
                  <w:tcW w:w="1145" w:type="pct"/>
                </w:tcPr>
                <w:p w14:paraId="1B486DC1" w14:textId="77777777" w:rsidR="008050FF" w:rsidRPr="0013396E" w:rsidRDefault="008050FF" w:rsidP="008050FF">
                  <w:pPr>
                    <w:pStyle w:val="tablebody0"/>
                    <w:rPr>
                      <w:lang w:val="es-ES"/>
                    </w:rPr>
                  </w:pPr>
                  <w:r w:rsidRPr="0013396E">
                    <w:t xml:space="preserve">BP </w:t>
                  </w:r>
                  <w:r w:rsidRPr="0013396E">
                    <w:rPr>
                      <w:i/>
                      <w:vertAlign w:val="subscript"/>
                    </w:rPr>
                    <w:t>r, y</w:t>
                  </w:r>
                </w:p>
              </w:tc>
              <w:tc>
                <w:tcPr>
                  <w:tcW w:w="676" w:type="pct"/>
                </w:tcPr>
                <w:p w14:paraId="44A741CE" w14:textId="77777777" w:rsidR="008050FF" w:rsidRPr="0013396E" w:rsidRDefault="008050FF" w:rsidP="008050FF">
                  <w:pPr>
                    <w:pStyle w:val="tablebody0"/>
                  </w:pPr>
                  <w:r w:rsidRPr="0013396E">
                    <w:t>MW</w:t>
                  </w:r>
                </w:p>
              </w:tc>
              <w:tc>
                <w:tcPr>
                  <w:tcW w:w="3179" w:type="pct"/>
                </w:tcPr>
                <w:p w14:paraId="5F945A9E" w14:textId="77777777" w:rsidR="008050FF" w:rsidRPr="0013396E" w:rsidRDefault="008050FF" w:rsidP="008050FF">
                  <w:pPr>
                    <w:pStyle w:val="tablebody0"/>
                    <w:rPr>
                      <w:i/>
                    </w:rPr>
                  </w:pPr>
                  <w:r w:rsidRPr="0013396E">
                    <w:rPr>
                      <w:i/>
                    </w:rPr>
                    <w:t>Base Point per Resource per interval</w:t>
                  </w:r>
                  <w:r w:rsidRPr="0013396E">
                    <w:t xml:space="preserve"> - The Base Point of Resource </w:t>
                  </w:r>
                  <w:r w:rsidRPr="0013396E">
                    <w:rPr>
                      <w:i/>
                    </w:rPr>
                    <w:t>r</w:t>
                  </w:r>
                  <w:r w:rsidRPr="0013396E">
                    <w:t xml:space="preserve">, for the SCED interval </w:t>
                  </w:r>
                  <w:r w:rsidRPr="0013396E">
                    <w:rPr>
                      <w:i/>
                    </w:rPr>
                    <w:t>y</w:t>
                  </w:r>
                  <w:r w:rsidRPr="0013396E">
                    <w:t xml:space="preserve">.  </w:t>
                  </w:r>
                </w:p>
              </w:tc>
            </w:tr>
            <w:tr w:rsidR="008050FF" w:rsidRPr="0013396E" w14:paraId="1B8D91FE" w14:textId="77777777" w:rsidTr="00806724">
              <w:trPr>
                <w:cantSplit/>
              </w:trPr>
              <w:tc>
                <w:tcPr>
                  <w:tcW w:w="1145" w:type="pct"/>
                </w:tcPr>
                <w:p w14:paraId="1FC6D77E" w14:textId="77777777" w:rsidR="008050FF" w:rsidRPr="0013396E" w:rsidRDefault="008050FF" w:rsidP="008050FF">
                  <w:pPr>
                    <w:pStyle w:val="tablebody0"/>
                    <w:rPr>
                      <w:i/>
                    </w:rPr>
                  </w:pPr>
                  <w:r w:rsidRPr="0013396E">
                    <w:rPr>
                      <w:i/>
                    </w:rPr>
                    <w:t>q</w:t>
                  </w:r>
                </w:p>
              </w:tc>
              <w:tc>
                <w:tcPr>
                  <w:tcW w:w="676" w:type="pct"/>
                </w:tcPr>
                <w:p w14:paraId="2A45BD5D" w14:textId="77777777" w:rsidR="008050FF" w:rsidRPr="0013396E" w:rsidRDefault="008050FF" w:rsidP="008050FF">
                  <w:pPr>
                    <w:pStyle w:val="tablebody0"/>
                  </w:pPr>
                  <w:r w:rsidRPr="0013396E">
                    <w:t>none</w:t>
                  </w:r>
                </w:p>
              </w:tc>
              <w:tc>
                <w:tcPr>
                  <w:tcW w:w="3179" w:type="pct"/>
                </w:tcPr>
                <w:p w14:paraId="507E624A" w14:textId="77777777" w:rsidR="008050FF" w:rsidRPr="0013396E" w:rsidRDefault="008050FF" w:rsidP="008050FF">
                  <w:pPr>
                    <w:pStyle w:val="tablebody0"/>
                  </w:pPr>
                  <w:r w:rsidRPr="0013396E">
                    <w:t>A QSE.</w:t>
                  </w:r>
                </w:p>
              </w:tc>
            </w:tr>
            <w:tr w:rsidR="008050FF" w:rsidRPr="0013396E" w14:paraId="20449987" w14:textId="77777777" w:rsidTr="00806724">
              <w:trPr>
                <w:cantSplit/>
              </w:trPr>
              <w:tc>
                <w:tcPr>
                  <w:tcW w:w="1145" w:type="pct"/>
                </w:tcPr>
                <w:p w14:paraId="21268056" w14:textId="77777777" w:rsidR="008050FF" w:rsidRPr="0013396E" w:rsidRDefault="008050FF" w:rsidP="008050FF">
                  <w:pPr>
                    <w:pStyle w:val="tablebody0"/>
                    <w:rPr>
                      <w:i/>
                    </w:rPr>
                  </w:pPr>
                  <w:r w:rsidRPr="0013396E">
                    <w:rPr>
                      <w:i/>
                    </w:rPr>
                    <w:t>gsc</w:t>
                  </w:r>
                </w:p>
              </w:tc>
              <w:tc>
                <w:tcPr>
                  <w:tcW w:w="676" w:type="pct"/>
                </w:tcPr>
                <w:p w14:paraId="5D162C85" w14:textId="77777777" w:rsidR="008050FF" w:rsidRPr="0013396E" w:rsidRDefault="008050FF" w:rsidP="008050FF">
                  <w:pPr>
                    <w:pStyle w:val="tablebody0"/>
                  </w:pPr>
                  <w:r w:rsidRPr="0013396E">
                    <w:t>none</w:t>
                  </w:r>
                </w:p>
              </w:tc>
              <w:tc>
                <w:tcPr>
                  <w:tcW w:w="3179" w:type="pct"/>
                </w:tcPr>
                <w:p w14:paraId="36B6DCE2" w14:textId="77777777" w:rsidR="008050FF" w:rsidRPr="0013396E" w:rsidRDefault="008050FF" w:rsidP="008050FF">
                  <w:pPr>
                    <w:pStyle w:val="tablebody0"/>
                  </w:pPr>
                  <w:r w:rsidRPr="0013396E">
                    <w:t>A generation site code.</w:t>
                  </w:r>
                </w:p>
              </w:tc>
            </w:tr>
            <w:tr w:rsidR="008050FF" w:rsidRPr="0013396E" w14:paraId="0B9F442B" w14:textId="77777777" w:rsidTr="00806724">
              <w:trPr>
                <w:cantSplit/>
              </w:trPr>
              <w:tc>
                <w:tcPr>
                  <w:tcW w:w="1145" w:type="pct"/>
                </w:tcPr>
                <w:p w14:paraId="02C29834" w14:textId="77777777" w:rsidR="008050FF" w:rsidRPr="0013396E" w:rsidRDefault="008050FF" w:rsidP="008050FF">
                  <w:pPr>
                    <w:pStyle w:val="tablebody0"/>
                    <w:rPr>
                      <w:i/>
                    </w:rPr>
                  </w:pPr>
                  <w:r w:rsidRPr="0013396E">
                    <w:rPr>
                      <w:i/>
                    </w:rPr>
                    <w:t>r</w:t>
                  </w:r>
                </w:p>
              </w:tc>
              <w:tc>
                <w:tcPr>
                  <w:tcW w:w="676" w:type="pct"/>
                </w:tcPr>
                <w:p w14:paraId="7E55B34A" w14:textId="77777777" w:rsidR="008050FF" w:rsidRPr="0013396E" w:rsidRDefault="008050FF" w:rsidP="008050FF">
                  <w:pPr>
                    <w:pStyle w:val="tablebody0"/>
                  </w:pPr>
                  <w:r w:rsidRPr="0013396E">
                    <w:t>none</w:t>
                  </w:r>
                </w:p>
              </w:tc>
              <w:tc>
                <w:tcPr>
                  <w:tcW w:w="3179" w:type="pct"/>
                </w:tcPr>
                <w:p w14:paraId="38CC2B20" w14:textId="33108617" w:rsidR="008050FF" w:rsidRPr="0013396E" w:rsidRDefault="006F7954" w:rsidP="006F7954">
                  <w:pPr>
                    <w:pStyle w:val="tablebody0"/>
                  </w:pPr>
                  <w:r w:rsidRPr="0013396E">
                    <w:t>A</w:t>
                  </w:r>
                  <w:r w:rsidR="008050FF" w:rsidRPr="0013396E">
                    <w:t xml:space="preserve"> </w:t>
                  </w:r>
                  <w:r w:rsidR="00632873" w:rsidRPr="0013396E">
                    <w:t xml:space="preserve">CLR (that is not an ALR) or an </w:t>
                  </w:r>
                  <w:r w:rsidR="008050FF" w:rsidRPr="0013396E">
                    <w:t xml:space="preserve">ESR.  </w:t>
                  </w:r>
                </w:p>
              </w:tc>
            </w:tr>
            <w:tr w:rsidR="008050FF" w:rsidRPr="0013396E" w14:paraId="09C69740" w14:textId="77777777" w:rsidTr="00806724">
              <w:trPr>
                <w:cantSplit/>
              </w:trPr>
              <w:tc>
                <w:tcPr>
                  <w:tcW w:w="1145" w:type="pct"/>
                </w:tcPr>
                <w:p w14:paraId="7806DB6B" w14:textId="77777777" w:rsidR="008050FF" w:rsidRPr="0013396E" w:rsidRDefault="008050FF" w:rsidP="008050FF">
                  <w:pPr>
                    <w:pStyle w:val="tablebody0"/>
                    <w:rPr>
                      <w:i/>
                    </w:rPr>
                  </w:pPr>
                  <w:r w:rsidRPr="0013396E">
                    <w:rPr>
                      <w:i/>
                    </w:rPr>
                    <w:t>p</w:t>
                  </w:r>
                </w:p>
              </w:tc>
              <w:tc>
                <w:tcPr>
                  <w:tcW w:w="676" w:type="pct"/>
                </w:tcPr>
                <w:p w14:paraId="3A1C81BF" w14:textId="77777777" w:rsidR="008050FF" w:rsidRPr="0013396E" w:rsidRDefault="008050FF" w:rsidP="008050FF">
                  <w:pPr>
                    <w:pStyle w:val="tablebody0"/>
                  </w:pPr>
                  <w:r w:rsidRPr="0013396E">
                    <w:t>none</w:t>
                  </w:r>
                </w:p>
              </w:tc>
              <w:tc>
                <w:tcPr>
                  <w:tcW w:w="3179" w:type="pct"/>
                </w:tcPr>
                <w:p w14:paraId="72AA492F" w14:textId="77777777" w:rsidR="008050FF" w:rsidRPr="0013396E" w:rsidRDefault="008050FF" w:rsidP="008050FF">
                  <w:pPr>
                    <w:pStyle w:val="tablebody0"/>
                  </w:pPr>
                  <w:r w:rsidRPr="0013396E">
                    <w:t>A Resource Node Settlement Point.</w:t>
                  </w:r>
                </w:p>
              </w:tc>
            </w:tr>
            <w:tr w:rsidR="008050FF" w:rsidRPr="0013396E" w14:paraId="3C4AE6FB" w14:textId="77777777" w:rsidTr="00806724">
              <w:trPr>
                <w:cantSplit/>
              </w:trPr>
              <w:tc>
                <w:tcPr>
                  <w:tcW w:w="1145" w:type="pct"/>
                </w:tcPr>
                <w:p w14:paraId="22A51971" w14:textId="77777777" w:rsidR="008050FF" w:rsidRPr="0013396E" w:rsidRDefault="008050FF" w:rsidP="008050FF">
                  <w:pPr>
                    <w:pStyle w:val="tablebody0"/>
                    <w:rPr>
                      <w:i/>
                    </w:rPr>
                  </w:pPr>
                  <w:r w:rsidRPr="0013396E">
                    <w:rPr>
                      <w:i/>
                    </w:rPr>
                    <w:t>y</w:t>
                  </w:r>
                </w:p>
              </w:tc>
              <w:tc>
                <w:tcPr>
                  <w:tcW w:w="676" w:type="pct"/>
                </w:tcPr>
                <w:p w14:paraId="32CDB774" w14:textId="77777777" w:rsidR="008050FF" w:rsidRPr="0013396E" w:rsidRDefault="008050FF" w:rsidP="008050FF">
                  <w:pPr>
                    <w:pStyle w:val="tablebody0"/>
                  </w:pPr>
                  <w:r w:rsidRPr="0013396E">
                    <w:t>none</w:t>
                  </w:r>
                </w:p>
              </w:tc>
              <w:tc>
                <w:tcPr>
                  <w:tcW w:w="3179" w:type="pct"/>
                </w:tcPr>
                <w:p w14:paraId="1903A7D9" w14:textId="77777777" w:rsidR="008050FF" w:rsidRPr="0013396E" w:rsidRDefault="008050FF" w:rsidP="008050FF">
                  <w:pPr>
                    <w:pStyle w:val="tablebody0"/>
                  </w:pPr>
                  <w:r w:rsidRPr="0013396E">
                    <w:t>A SCED interval in the 15-minute Settlement Interval.  The summation is over the total number of SCED runs that cover the 15-minute Settlement Interval.</w:t>
                  </w:r>
                </w:p>
              </w:tc>
            </w:tr>
            <w:tr w:rsidR="008050FF" w:rsidRPr="0013396E" w14:paraId="3915E447" w14:textId="77777777" w:rsidTr="00806724">
              <w:trPr>
                <w:cantSplit/>
              </w:trPr>
              <w:tc>
                <w:tcPr>
                  <w:tcW w:w="1145" w:type="pct"/>
                </w:tcPr>
                <w:p w14:paraId="208BF909" w14:textId="77777777" w:rsidR="008050FF" w:rsidRPr="0013396E" w:rsidRDefault="008050FF" w:rsidP="008050FF">
                  <w:pPr>
                    <w:pStyle w:val="tablebody0"/>
                    <w:rPr>
                      <w:i/>
                    </w:rPr>
                  </w:pPr>
                  <w:r w:rsidRPr="0013396E">
                    <w:rPr>
                      <w:i/>
                    </w:rPr>
                    <w:t>b</w:t>
                  </w:r>
                </w:p>
              </w:tc>
              <w:tc>
                <w:tcPr>
                  <w:tcW w:w="676" w:type="pct"/>
                </w:tcPr>
                <w:p w14:paraId="34DD9D8B" w14:textId="77777777" w:rsidR="008050FF" w:rsidRPr="0013396E" w:rsidRDefault="008050FF" w:rsidP="008050FF">
                  <w:pPr>
                    <w:pStyle w:val="tablebody0"/>
                  </w:pPr>
                  <w:r w:rsidRPr="0013396E">
                    <w:t>none</w:t>
                  </w:r>
                </w:p>
              </w:tc>
              <w:tc>
                <w:tcPr>
                  <w:tcW w:w="3179" w:type="pct"/>
                </w:tcPr>
                <w:p w14:paraId="34F1BE14" w14:textId="77777777" w:rsidR="008050FF" w:rsidRPr="0013396E" w:rsidRDefault="008050FF" w:rsidP="008050FF">
                  <w:pPr>
                    <w:pStyle w:val="tablebody0"/>
                  </w:pPr>
                  <w:r w:rsidRPr="0013396E">
                    <w:t>An Electrical Bus.</w:t>
                  </w:r>
                </w:p>
              </w:tc>
            </w:tr>
          </w:tbl>
          <w:p w14:paraId="1DD9EBC2" w14:textId="36509CCC" w:rsidR="00423D31" w:rsidRPr="0013396E" w:rsidRDefault="00423D31" w:rsidP="00423D31">
            <w:pPr>
              <w:pStyle w:val="FormulaBold"/>
              <w:ind w:left="0" w:firstLine="0"/>
            </w:pPr>
          </w:p>
        </w:tc>
      </w:tr>
    </w:tbl>
    <w:p w14:paraId="311AE23B" w14:textId="77777777" w:rsidR="007844A1" w:rsidRPr="0013396E" w:rsidRDefault="007844A1" w:rsidP="007844A1">
      <w:pPr>
        <w:widowControl w:val="0"/>
        <w:spacing w:before="240" w:after="120"/>
        <w:ind w:left="720" w:hanging="720"/>
      </w:pPr>
      <w:r w:rsidRPr="0013396E">
        <w:lastRenderedPageBreak/>
        <w:t>(4)</w:t>
      </w:r>
      <w:r w:rsidRPr="0013396E">
        <w:tab/>
        <w:t>The total payment or charge to a Facility with a net metering arrangement for each 15-minute Settlement Interval shall be calculated as follows:</w:t>
      </w:r>
    </w:p>
    <w:p w14:paraId="6F65AFD9" w14:textId="77777777" w:rsidR="007844A1" w:rsidRPr="0013396E" w:rsidRDefault="007844A1" w:rsidP="007844A1">
      <w:pPr>
        <w:widowControl w:val="0"/>
        <w:spacing w:after="240"/>
        <w:ind w:left="720"/>
        <w:rPr>
          <w:b/>
        </w:rPr>
      </w:pPr>
      <w:r w:rsidRPr="0013396E">
        <w:rPr>
          <w:b/>
        </w:rPr>
        <w:t>NMRTETOT</w:t>
      </w:r>
      <w:r w:rsidRPr="0013396E">
        <w:rPr>
          <w:b/>
          <w:i/>
          <w:vertAlign w:val="subscript"/>
        </w:rPr>
        <w:t xml:space="preserve"> gsc</w:t>
      </w:r>
      <w:r w:rsidRPr="0013396E">
        <w:rPr>
          <w:b/>
        </w:rPr>
        <w:t xml:space="preserve"> </w:t>
      </w:r>
      <w:r w:rsidRPr="0013396E">
        <w:rPr>
          <w:b/>
        </w:rPr>
        <w:tab/>
        <w:t xml:space="preserve">= </w:t>
      </w:r>
      <w:r w:rsidRPr="0013396E">
        <w:rPr>
          <w:b/>
        </w:rPr>
        <w:tab/>
        <w:t>Max (0, (</w:t>
      </w:r>
      <w:r w:rsidRPr="0013396E">
        <w:rPr>
          <w:b/>
          <w:position w:val="-20"/>
        </w:rPr>
        <w:object w:dxaOrig="225" w:dyaOrig="435" w14:anchorId="22F14A9B">
          <v:shape id="_x0000_i1117" type="#_x0000_t75" style="width:12pt;height:30pt" o:ole="">
            <v:imagedata r:id="rId133" o:title=""/>
          </v:shape>
          <o:OLEObject Type="Embed" ProgID="Equation.3" ShapeID="_x0000_i1117" DrawAspect="Content" ObjectID="_1849065748" r:id="rId134"/>
        </w:object>
      </w:r>
      <w:r w:rsidRPr="0013396E">
        <w:rPr>
          <w:b/>
          <w:position w:val="-20"/>
        </w:rPr>
        <w:t xml:space="preserve"> </w:t>
      </w:r>
      <w:r w:rsidRPr="0013396E">
        <w:rPr>
          <w:b/>
        </w:rPr>
        <w:t xml:space="preserve">(MEB </w:t>
      </w:r>
      <w:r w:rsidRPr="0013396E">
        <w:rPr>
          <w:b/>
          <w:i/>
          <w:vertAlign w:val="subscript"/>
        </w:rPr>
        <w:t xml:space="preserve">gsc, b </w:t>
      </w:r>
      <w:r w:rsidRPr="0013396E">
        <w:rPr>
          <w:b/>
          <w:i/>
        </w:rPr>
        <w:t>+</w:t>
      </w:r>
      <w:r w:rsidRPr="0013396E">
        <w:rPr>
          <w:b/>
        </w:rPr>
        <w:t xml:space="preserve"> MEBC </w:t>
      </w:r>
      <w:r w:rsidRPr="0013396E">
        <w:rPr>
          <w:b/>
          <w:i/>
          <w:vertAlign w:val="subscript"/>
        </w:rPr>
        <w:t>gsc, b</w:t>
      </w:r>
      <w:r w:rsidRPr="0013396E">
        <w:rPr>
          <w:b/>
        </w:rPr>
        <w:t>)))</w:t>
      </w:r>
    </w:p>
    <w:p w14:paraId="2B17FD70" w14:textId="77777777" w:rsidR="007844A1" w:rsidRPr="0013396E" w:rsidRDefault="007844A1" w:rsidP="007844A1">
      <w:pPr>
        <w:widowControl w:val="0"/>
        <w:spacing w:after="240"/>
        <w:ind w:left="720"/>
      </w:pPr>
      <w:r w:rsidRPr="0013396E">
        <w:t>If NMRTETOT</w:t>
      </w:r>
      <w:r w:rsidRPr="0013396E">
        <w:rPr>
          <w:i/>
          <w:vertAlign w:val="subscript"/>
        </w:rPr>
        <w:t xml:space="preserve"> gsc</w:t>
      </w:r>
      <w:r w:rsidRPr="0013396E">
        <w:t xml:space="preserve"> = 0 for a 15-minute Settlement Interval, then</w:t>
      </w:r>
    </w:p>
    <w:p w14:paraId="526270DA" w14:textId="77777777" w:rsidR="007844A1" w:rsidRPr="0013396E" w:rsidRDefault="007844A1" w:rsidP="007844A1">
      <w:pPr>
        <w:widowControl w:val="0"/>
        <w:spacing w:after="240"/>
        <w:ind w:left="720"/>
      </w:pPr>
      <w:r w:rsidRPr="0013396E">
        <w:t>The Load that is not WSL is included in the Real-Time AML per QSE.</w:t>
      </w:r>
    </w:p>
    <w:p w14:paraId="259039C2" w14:textId="77777777" w:rsidR="007844A1" w:rsidRPr="0013396E" w:rsidRDefault="007844A1" w:rsidP="007844A1">
      <w:pPr>
        <w:widowControl w:val="0"/>
        <w:spacing w:after="240"/>
        <w:ind w:left="720"/>
      </w:pPr>
      <w:r w:rsidRPr="0013396E">
        <w:t>Otherwise, when NMRTETOT</w:t>
      </w:r>
      <w:r w:rsidRPr="0013396E">
        <w:rPr>
          <w:i/>
          <w:vertAlign w:val="subscript"/>
        </w:rPr>
        <w:t xml:space="preserve"> gsc </w:t>
      </w:r>
      <w:r w:rsidRPr="0013396E">
        <w:rPr>
          <w:b/>
        </w:rPr>
        <w:t>&gt;</w:t>
      </w:r>
      <w:r w:rsidRPr="0013396E">
        <w:t xml:space="preserve"> 0 for a 15-minute Settlement Interval, then</w:t>
      </w:r>
    </w:p>
    <w:p w14:paraId="290483CC" w14:textId="77777777" w:rsidR="007844A1" w:rsidRPr="0013396E" w:rsidRDefault="007844A1" w:rsidP="007844A1">
      <w:pPr>
        <w:widowControl w:val="0"/>
        <w:tabs>
          <w:tab w:val="left" w:pos="2250"/>
          <w:tab w:val="left" w:pos="3150"/>
          <w:tab w:val="left" w:pos="3960"/>
        </w:tabs>
        <w:spacing w:after="240"/>
        <w:ind w:left="3960" w:hanging="3240"/>
        <w:rPr>
          <w:b/>
          <w:bCs/>
        </w:rPr>
      </w:pPr>
      <w:r w:rsidRPr="0013396E">
        <w:rPr>
          <w:b/>
          <w:bCs/>
        </w:rPr>
        <w:t xml:space="preserve">NMSAMTTOT </w:t>
      </w:r>
      <w:r w:rsidRPr="0013396E">
        <w:rPr>
          <w:bCs/>
          <w:i/>
          <w:sz w:val="28"/>
          <w:szCs w:val="28"/>
          <w:vertAlign w:val="subscript"/>
        </w:rPr>
        <w:t>gsc</w:t>
      </w:r>
      <w:r w:rsidRPr="0013396E">
        <w:rPr>
          <w:b/>
          <w:bCs/>
        </w:rPr>
        <w:tab/>
        <w:t>=</w:t>
      </w:r>
      <w:r w:rsidRPr="0013396E">
        <w:rPr>
          <w:b/>
          <w:bCs/>
        </w:rPr>
        <w:tab/>
      </w:r>
      <w:r w:rsidRPr="0013396E">
        <w:rPr>
          <w:b/>
          <w:bCs/>
          <w:position w:val="-20"/>
        </w:rPr>
        <w:object w:dxaOrig="225" w:dyaOrig="435" w14:anchorId="1DC7D615">
          <v:shape id="_x0000_i1118" type="#_x0000_t75" style="width:12pt;height:30pt" o:ole="">
            <v:imagedata r:id="rId128" o:title=""/>
          </v:shape>
          <o:OLEObject Type="Embed" ProgID="Equation.3" ShapeID="_x0000_i1118" DrawAspect="Content" ObjectID="_1849065749" r:id="rId135"/>
        </w:object>
      </w:r>
      <w:r w:rsidRPr="0013396E">
        <w:rPr>
          <w:b/>
          <w:bCs/>
        </w:rPr>
        <w:t xml:space="preserve"> [(RTRMPR</w:t>
      </w:r>
      <w:r w:rsidRPr="0013396E">
        <w:rPr>
          <w:b/>
          <w:bCs/>
          <w:i/>
          <w:vertAlign w:val="subscript"/>
        </w:rPr>
        <w:t xml:space="preserve"> b</w:t>
      </w:r>
      <w:r w:rsidRPr="0013396E">
        <w:rPr>
          <w:b/>
          <w:bCs/>
        </w:rPr>
        <w:t xml:space="preserve"> * MEB </w:t>
      </w:r>
      <w:r w:rsidRPr="0013396E">
        <w:rPr>
          <w:b/>
          <w:bCs/>
          <w:i/>
          <w:vertAlign w:val="subscript"/>
        </w:rPr>
        <w:t>gsc, b</w:t>
      </w:r>
      <w:r w:rsidRPr="0013396E">
        <w:rPr>
          <w:b/>
          <w:bCs/>
        </w:rPr>
        <w:t xml:space="preserve">) + (RTRMPR </w:t>
      </w:r>
      <w:r w:rsidRPr="0013396E">
        <w:rPr>
          <w:b/>
          <w:bCs/>
          <w:i/>
          <w:vertAlign w:val="subscript"/>
        </w:rPr>
        <w:t>b</w:t>
      </w:r>
      <w:r w:rsidRPr="0013396E">
        <w:rPr>
          <w:b/>
          <w:bCs/>
        </w:rPr>
        <w:t xml:space="preserve"> * MEBC </w:t>
      </w:r>
      <w:r w:rsidRPr="0013396E">
        <w:rPr>
          <w:b/>
          <w:bCs/>
          <w:i/>
          <w:vertAlign w:val="subscript"/>
        </w:rPr>
        <w:t>gsc, b</w:t>
      </w:r>
      <w:r w:rsidRPr="0013396E">
        <w:rPr>
          <w:b/>
          <w:bCs/>
          <w:lang w:val="es-ES"/>
        </w:rPr>
        <w:t>)]</w:t>
      </w:r>
      <w:r w:rsidRPr="0013396E">
        <w:rPr>
          <w:b/>
          <w:bCs/>
        </w:rPr>
        <w:t xml:space="preserve">  </w:t>
      </w:r>
    </w:p>
    <w:p w14:paraId="2D40E50E" w14:textId="77777777" w:rsidR="007844A1" w:rsidRPr="0013396E" w:rsidRDefault="007844A1" w:rsidP="007844A1">
      <w:pPr>
        <w:widowControl w:val="0"/>
        <w:tabs>
          <w:tab w:val="left" w:pos="2250"/>
          <w:tab w:val="left" w:pos="3150"/>
          <w:tab w:val="left" w:pos="3960"/>
        </w:tabs>
        <w:spacing w:after="240"/>
        <w:ind w:left="2882" w:hanging="2162"/>
        <w:rPr>
          <w:bCs/>
          <w:iCs/>
        </w:rPr>
      </w:pPr>
      <w:r w:rsidRPr="0013396E">
        <w:rPr>
          <w:bCs/>
          <w:iCs/>
        </w:rPr>
        <w:t>Where</w:t>
      </w:r>
      <w:r w:rsidRPr="0013396E">
        <w:rPr>
          <w:bCs/>
        </w:rPr>
        <w:t xml:space="preserve"> the price for Settlement Meter is determined as follows</w:t>
      </w:r>
      <w:r w:rsidRPr="0013396E">
        <w:rPr>
          <w:b/>
          <w:bCs/>
        </w:rPr>
        <w:t>:</w:t>
      </w:r>
    </w:p>
    <w:p w14:paraId="2DA0098D" w14:textId="77777777" w:rsidR="007844A1" w:rsidRPr="0013396E" w:rsidRDefault="007844A1" w:rsidP="007844A1">
      <w:pPr>
        <w:tabs>
          <w:tab w:val="left" w:pos="2250"/>
          <w:tab w:val="left" w:pos="3150"/>
          <w:tab w:val="left" w:pos="3960"/>
        </w:tabs>
        <w:spacing w:after="240"/>
        <w:ind w:left="3960" w:hanging="3240"/>
        <w:rPr>
          <w:bCs/>
        </w:rPr>
      </w:pPr>
      <w:r w:rsidRPr="0013396E">
        <w:rPr>
          <w:b/>
          <w:bCs/>
          <w:lang w:val="es-ES"/>
        </w:rPr>
        <w:t>RTRMPR</w:t>
      </w:r>
      <w:r w:rsidRPr="0013396E">
        <w:rPr>
          <w:b/>
          <w:bCs/>
          <w:i/>
          <w:iCs/>
          <w:vertAlign w:val="subscript"/>
          <w:lang w:val="es-ES"/>
        </w:rPr>
        <w:t xml:space="preserve"> b</w:t>
      </w:r>
      <w:r w:rsidRPr="0013396E">
        <w:rPr>
          <w:bCs/>
          <w:lang w:val="es-ES"/>
        </w:rPr>
        <w:t xml:space="preserve"> </w:t>
      </w:r>
      <w:r w:rsidRPr="0013396E">
        <w:rPr>
          <w:bCs/>
          <w:lang w:val="es-ES"/>
        </w:rPr>
        <w:tab/>
      </w:r>
      <w:r w:rsidRPr="0013396E">
        <w:rPr>
          <w:bCs/>
          <w:lang w:val="es-ES"/>
        </w:rPr>
        <w:tab/>
        <w:t>=</w:t>
      </w:r>
      <w:r w:rsidRPr="0013396E">
        <w:rPr>
          <w:bCs/>
          <w:lang w:val="es-ES"/>
        </w:rPr>
        <w:tab/>
      </w:r>
      <w:r w:rsidRPr="0013396E">
        <w:rPr>
          <w:b/>
          <w:bCs/>
        </w:rPr>
        <w:t>Max [-$251, (</w:t>
      </w:r>
      <w:r w:rsidRPr="0013396E">
        <w:rPr>
          <w:rFonts w:ascii="Times New Roman Bold" w:hAnsi="Times New Roman Bold"/>
          <w:b/>
          <w:bCs/>
          <w:noProof/>
          <w:position w:val="-18"/>
        </w:rPr>
        <w:drawing>
          <wp:inline distT="0" distB="0" distL="0" distR="0" wp14:anchorId="77C1E340" wp14:editId="6438047C">
            <wp:extent cx="142875" cy="295275"/>
            <wp:effectExtent l="0" t="0" r="9525" b="9525"/>
            <wp:docPr id="1356485929" name="Picture 55"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2875" cy="295275"/>
                    </a:xfrm>
                    <a:prstGeom prst="rect">
                      <a:avLst/>
                    </a:prstGeom>
                    <a:noFill/>
                    <a:ln>
                      <a:noFill/>
                    </a:ln>
                  </pic:spPr>
                </pic:pic>
              </a:graphicData>
            </a:graphic>
          </wp:inline>
        </w:drawing>
      </w:r>
      <w:r w:rsidRPr="0013396E">
        <w:rPr>
          <w:b/>
          <w:bCs/>
          <w:lang w:val="es-ES"/>
        </w:rPr>
        <w:t xml:space="preserve">(RNWF </w:t>
      </w:r>
      <w:r w:rsidRPr="0013396E">
        <w:rPr>
          <w:b/>
          <w:bCs/>
          <w:i/>
          <w:iCs/>
          <w:vertAlign w:val="subscript"/>
          <w:lang w:val="es-ES"/>
        </w:rPr>
        <w:t xml:space="preserve">b, y </w:t>
      </w:r>
      <w:r w:rsidRPr="0013396E">
        <w:rPr>
          <w:b/>
          <w:bCs/>
          <w:lang w:val="es-ES"/>
        </w:rPr>
        <w:t xml:space="preserve">* RTLMP </w:t>
      </w:r>
      <w:r w:rsidRPr="0013396E">
        <w:rPr>
          <w:b/>
          <w:bCs/>
          <w:i/>
          <w:iCs/>
          <w:vertAlign w:val="subscript"/>
          <w:lang w:val="es-ES"/>
        </w:rPr>
        <w:t>b, y</w:t>
      </w:r>
      <w:r w:rsidRPr="0013396E">
        <w:rPr>
          <w:b/>
          <w:bCs/>
          <w:lang w:val="es-ES"/>
        </w:rPr>
        <w:t xml:space="preserve">) </w:t>
      </w:r>
      <w:r w:rsidRPr="0013396E">
        <w:rPr>
          <w:b/>
          <w:bCs/>
        </w:rPr>
        <w:t>+ RTRDP)]</w:t>
      </w:r>
    </w:p>
    <w:p w14:paraId="6F9B3A4A" w14:textId="77777777" w:rsidR="007844A1" w:rsidRPr="0013396E" w:rsidRDefault="007844A1" w:rsidP="007844A1">
      <w:pPr>
        <w:widowControl w:val="0"/>
        <w:spacing w:after="240"/>
        <w:ind w:firstLine="720"/>
      </w:pPr>
      <w:r w:rsidRPr="0013396E">
        <w:t>Where the weighting factor for the Electrical Bus associated with the meter is:</w:t>
      </w:r>
    </w:p>
    <w:p w14:paraId="31182172" w14:textId="77777777" w:rsidR="007844A1" w:rsidRPr="0013396E" w:rsidRDefault="007844A1" w:rsidP="007844A1">
      <w:pPr>
        <w:widowControl w:val="0"/>
        <w:spacing w:after="240"/>
        <w:ind w:left="720"/>
        <w:rPr>
          <w:b/>
          <w:shd w:val="clear" w:color="auto" w:fill="FFFF00"/>
          <w:lang w:val="es-ES"/>
        </w:rPr>
      </w:pPr>
      <w:r w:rsidRPr="0013396E">
        <w:rPr>
          <w:b/>
          <w:lang w:val="es-ES"/>
        </w:rPr>
        <w:t xml:space="preserve">RNWF </w:t>
      </w:r>
      <w:r w:rsidRPr="0013396E">
        <w:rPr>
          <w:b/>
          <w:i/>
          <w:iCs/>
          <w:vertAlign w:val="subscript"/>
          <w:lang w:val="es-ES"/>
        </w:rPr>
        <w:t xml:space="preserve">b, y </w:t>
      </w:r>
      <w:r w:rsidRPr="0013396E">
        <w:rPr>
          <w:b/>
          <w:i/>
          <w:iCs/>
          <w:vertAlign w:val="subscript"/>
          <w:lang w:val="es-ES"/>
        </w:rPr>
        <w:tab/>
      </w:r>
      <w:r w:rsidRPr="0013396E">
        <w:rPr>
          <w:b/>
          <w:i/>
          <w:iCs/>
          <w:vertAlign w:val="subscript"/>
          <w:lang w:val="es-ES"/>
        </w:rPr>
        <w:tab/>
      </w:r>
      <w:r w:rsidRPr="0013396E">
        <w:rPr>
          <w:b/>
          <w:lang w:val="es-ES"/>
        </w:rPr>
        <w:t xml:space="preserve">= [Max (0.001, </w:t>
      </w:r>
      <w:r w:rsidRPr="0013396E">
        <w:rPr>
          <w:position w:val="-18"/>
        </w:rPr>
        <w:object w:dxaOrig="225" w:dyaOrig="420" w14:anchorId="166C98D5">
          <v:shape id="_x0000_i1119" type="#_x0000_t75" style="width:12pt;height:29.4pt" o:ole="">
            <v:imagedata r:id="rId136" o:title=""/>
          </v:shape>
          <o:OLEObject Type="Embed" ProgID="Equation.3" ShapeID="_x0000_i1119" DrawAspect="Content" ObjectID="_1849065750" r:id="rId137"/>
        </w:object>
      </w:r>
      <w:r w:rsidRPr="0013396E">
        <w:rPr>
          <w:b/>
        </w:rPr>
        <w:t>Max (0,</w:t>
      </w:r>
      <w:r w:rsidRPr="0013396E">
        <w:t xml:space="preserve"> </w:t>
      </w:r>
      <w:r w:rsidRPr="0013396E">
        <w:rPr>
          <w:b/>
          <w:lang w:val="es-ES"/>
        </w:rPr>
        <w:t>BP</w:t>
      </w:r>
      <w:r w:rsidRPr="0013396E">
        <w:rPr>
          <w:b/>
          <w:i/>
          <w:iCs/>
          <w:vertAlign w:val="subscript"/>
          <w:lang w:val="es-ES"/>
        </w:rPr>
        <w:t xml:space="preserve"> r, y</w:t>
      </w:r>
      <w:r w:rsidRPr="0013396E">
        <w:rPr>
          <w:b/>
          <w:lang w:val="es-ES"/>
        </w:rPr>
        <w:t xml:space="preserve">)) * TLMP </w:t>
      </w:r>
      <w:r w:rsidRPr="0013396E">
        <w:rPr>
          <w:b/>
          <w:i/>
          <w:iCs/>
          <w:vertAlign w:val="subscript"/>
          <w:lang w:val="es-ES"/>
        </w:rPr>
        <w:t>y</w:t>
      </w:r>
      <w:r w:rsidRPr="0013396E">
        <w:rPr>
          <w:b/>
          <w:lang w:val="es-ES"/>
        </w:rPr>
        <w:t>] /</w:t>
      </w:r>
      <w:r w:rsidRPr="0013396E">
        <w:rPr>
          <w:b/>
          <w:shd w:val="clear" w:color="auto" w:fill="FFFF00"/>
          <w:lang w:val="es-ES"/>
        </w:rPr>
        <w:t xml:space="preserve"> </w:t>
      </w:r>
    </w:p>
    <w:p w14:paraId="05C7CFEF" w14:textId="77777777" w:rsidR="007844A1" w:rsidRPr="0013396E" w:rsidRDefault="007844A1" w:rsidP="007844A1">
      <w:pPr>
        <w:widowControl w:val="0"/>
        <w:spacing w:after="240"/>
        <w:ind w:left="2700"/>
        <w:rPr>
          <w:b/>
          <w:lang w:val="es-ES"/>
        </w:rPr>
      </w:pPr>
      <w:r w:rsidRPr="0013396E">
        <w:rPr>
          <w:b/>
          <w:lang w:val="es-ES"/>
        </w:rPr>
        <w:tab/>
      </w:r>
      <w:r w:rsidRPr="0013396E">
        <w:rPr>
          <w:b/>
          <w:lang w:val="es-ES"/>
        </w:rPr>
        <w:tab/>
        <w:t>[</w:t>
      </w:r>
      <w:r w:rsidRPr="0013396E">
        <w:rPr>
          <w:rFonts w:ascii="Times New Roman Bold" w:hAnsi="Times New Roman Bold"/>
          <w:b/>
          <w:noProof/>
          <w:position w:val="-18"/>
        </w:rPr>
        <w:drawing>
          <wp:inline distT="0" distB="0" distL="0" distR="0" wp14:anchorId="5410FB29" wp14:editId="2A80463D">
            <wp:extent cx="142875" cy="295275"/>
            <wp:effectExtent l="0" t="0" r="9525" b="9525"/>
            <wp:docPr id="493838416" name="Picture 57"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0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2875" cy="295275"/>
                    </a:xfrm>
                    <a:prstGeom prst="rect">
                      <a:avLst/>
                    </a:prstGeom>
                    <a:noFill/>
                    <a:ln>
                      <a:noFill/>
                    </a:ln>
                  </pic:spPr>
                </pic:pic>
              </a:graphicData>
            </a:graphic>
          </wp:inline>
        </w:drawing>
      </w:r>
      <w:r w:rsidRPr="0013396E">
        <w:rPr>
          <w:b/>
          <w:lang w:val="es-ES"/>
        </w:rPr>
        <w:t xml:space="preserve">Max (0.001, </w:t>
      </w:r>
      <w:r w:rsidRPr="0013396E">
        <w:rPr>
          <w:position w:val="-18"/>
        </w:rPr>
        <w:object w:dxaOrig="225" w:dyaOrig="420" w14:anchorId="5F2FD581">
          <v:shape id="_x0000_i1120" type="#_x0000_t75" style="width:12pt;height:29.4pt" o:ole="">
            <v:imagedata r:id="rId136" o:title=""/>
          </v:shape>
          <o:OLEObject Type="Embed" ProgID="Equation.3" ShapeID="_x0000_i1120" DrawAspect="Content" ObjectID="_1849065751" r:id="rId138"/>
        </w:object>
      </w:r>
      <w:r w:rsidRPr="0013396E">
        <w:rPr>
          <w:b/>
        </w:rPr>
        <w:t>Max (0,</w:t>
      </w:r>
      <w:r w:rsidRPr="0013396E">
        <w:t xml:space="preserve"> </w:t>
      </w:r>
      <w:r w:rsidRPr="0013396E">
        <w:rPr>
          <w:b/>
          <w:lang w:val="es-ES"/>
        </w:rPr>
        <w:t>BP</w:t>
      </w:r>
      <w:r w:rsidRPr="0013396E">
        <w:rPr>
          <w:b/>
          <w:i/>
          <w:iCs/>
          <w:vertAlign w:val="subscript"/>
          <w:lang w:val="es-ES"/>
        </w:rPr>
        <w:t xml:space="preserve"> r, y</w:t>
      </w:r>
      <w:r w:rsidRPr="0013396E">
        <w:rPr>
          <w:b/>
          <w:lang w:val="es-ES"/>
        </w:rPr>
        <w:t xml:space="preserve">)) * TLMP </w:t>
      </w:r>
      <w:r w:rsidRPr="0013396E">
        <w:rPr>
          <w:b/>
          <w:i/>
          <w:iCs/>
          <w:vertAlign w:val="subscript"/>
          <w:lang w:val="es-ES"/>
        </w:rPr>
        <w:t>y</w:t>
      </w:r>
      <w:r w:rsidRPr="0013396E">
        <w:rPr>
          <w:b/>
          <w:lang w:val="es-ES"/>
        </w:rPr>
        <w:t>]</w:t>
      </w:r>
    </w:p>
    <w:p w14:paraId="5D80BC2B" w14:textId="77777777" w:rsidR="007844A1" w:rsidRPr="0013396E" w:rsidRDefault="007844A1" w:rsidP="007844A1">
      <w:pPr>
        <w:widowControl w:val="0"/>
        <w:spacing w:after="160" w:line="240" w:lineRule="exact"/>
        <w:rPr>
          <w:rFonts w:ascii="Verdana" w:hAnsi="Verdana"/>
          <w:sz w:val="16"/>
        </w:rPr>
      </w:pPr>
      <w:r w:rsidRPr="0013396E">
        <w:t>Where:</w:t>
      </w:r>
    </w:p>
    <w:p w14:paraId="2EBFAE3D" w14:textId="77777777" w:rsidR="007844A1" w:rsidRPr="0013396E" w:rsidRDefault="007844A1" w:rsidP="007844A1">
      <w:pPr>
        <w:spacing w:after="240"/>
        <w:ind w:left="720"/>
      </w:pPr>
      <w:r w:rsidRPr="0013396E">
        <w:tab/>
        <w:t xml:space="preserve">RTRDP </w:t>
      </w:r>
      <w:r w:rsidRPr="0013396E">
        <w:tab/>
      </w:r>
      <w:r w:rsidRPr="0013396E">
        <w:tab/>
        <w:t>=</w:t>
      </w:r>
      <w:r w:rsidRPr="0013396E">
        <w:tab/>
      </w:r>
      <w:r w:rsidRPr="0013396E">
        <w:tab/>
      </w:r>
      <w:r w:rsidRPr="0013396E">
        <w:rPr>
          <w:position w:val="-22"/>
        </w:rPr>
        <w:object w:dxaOrig="225" w:dyaOrig="465" w14:anchorId="491EA38F">
          <v:shape id="_x0000_i1121" type="#_x0000_t75" style="width:24pt;height:18.6pt" o:ole="">
            <v:imagedata r:id="rId20" o:title=""/>
          </v:shape>
          <o:OLEObject Type="Embed" ProgID="Equation.3" ShapeID="_x0000_i1121" DrawAspect="Content" ObjectID="_1849065752" r:id="rId139"/>
        </w:object>
      </w:r>
      <w:r w:rsidRPr="0013396E">
        <w:t xml:space="preserve">(RNWF </w:t>
      </w:r>
      <w:r w:rsidRPr="0013396E">
        <w:rPr>
          <w:i/>
          <w:iCs/>
          <w:vertAlign w:val="subscript"/>
        </w:rPr>
        <w:t xml:space="preserve"> y </w:t>
      </w:r>
      <w:r w:rsidRPr="0013396E">
        <w:t>* RTRDPA</w:t>
      </w:r>
      <w:r w:rsidRPr="0013396E">
        <w:rPr>
          <w:i/>
          <w:iCs/>
          <w:vertAlign w:val="subscript"/>
        </w:rPr>
        <w:t xml:space="preserve"> y</w:t>
      </w:r>
      <w:r w:rsidRPr="0013396E">
        <w:t>)</w:t>
      </w:r>
    </w:p>
    <w:p w14:paraId="0A8C343A" w14:textId="77777777" w:rsidR="007844A1" w:rsidRPr="0013396E" w:rsidRDefault="007844A1" w:rsidP="007844A1">
      <w:pPr>
        <w:widowControl w:val="0"/>
        <w:spacing w:after="240"/>
        <w:ind w:left="720"/>
        <w:rPr>
          <w:lang w:val="es-ES"/>
        </w:rPr>
      </w:pPr>
      <w:r w:rsidRPr="0013396E">
        <w:lastRenderedPageBreak/>
        <w:tab/>
        <w:t xml:space="preserve">RNWF </w:t>
      </w:r>
      <w:r w:rsidRPr="0013396E">
        <w:rPr>
          <w:i/>
          <w:vertAlign w:val="subscript"/>
        </w:rPr>
        <w:t>y</w:t>
      </w:r>
      <w:r w:rsidRPr="0013396E">
        <w:rPr>
          <w:i/>
          <w:vertAlign w:val="subscript"/>
        </w:rPr>
        <w:tab/>
      </w:r>
      <w:r w:rsidRPr="0013396E">
        <w:rPr>
          <w:i/>
          <w:vertAlign w:val="subscript"/>
        </w:rPr>
        <w:tab/>
      </w:r>
      <w:r w:rsidRPr="0013396E">
        <w:t>=</w:t>
      </w:r>
      <w:r w:rsidRPr="0013396E">
        <w:tab/>
      </w:r>
      <w:r w:rsidRPr="0013396E">
        <w:tab/>
        <w:t xml:space="preserve">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37757BCB">
          <v:shape id="_x0000_i1122" type="#_x0000_t75" style="width:24pt;height:18.6pt" o:ole="">
            <v:imagedata r:id="rId20" o:title=""/>
          </v:shape>
          <o:OLEObject Type="Embed" ProgID="Equation.3" ShapeID="_x0000_i1122" DrawAspect="Content" ObjectID="_1849065753" r:id="rId140"/>
        </w:object>
      </w:r>
      <w:r w:rsidRPr="0013396E">
        <w:t xml:space="preserve">TLMP </w:t>
      </w:r>
      <w:r w:rsidRPr="0013396E">
        <w:rPr>
          <w:i/>
          <w:vertAlign w:val="subscript"/>
        </w:rPr>
        <w:t>y</w:t>
      </w:r>
    </w:p>
    <w:p w14:paraId="3FBC5549" w14:textId="77777777" w:rsidR="007844A1" w:rsidRPr="0013396E" w:rsidRDefault="007844A1" w:rsidP="007844A1">
      <w:pPr>
        <w:widowControl w:val="0"/>
        <w:spacing w:after="240"/>
        <w:ind w:left="720"/>
        <w:rPr>
          <w:i/>
          <w:iCs/>
          <w:shd w:val="clear" w:color="auto" w:fill="FFFF00"/>
          <w:vertAlign w:val="subscript"/>
        </w:rPr>
      </w:pPr>
      <w:r w:rsidRPr="0013396E">
        <w:t xml:space="preserve">The summation is over all Resources </w:t>
      </w:r>
      <w:r w:rsidRPr="0013396E">
        <w:rPr>
          <w:i/>
        </w:rPr>
        <w:t>r</w:t>
      </w:r>
      <w:r w:rsidRPr="0013396E">
        <w:t xml:space="preserve"> associated to the individual meter.  The determination of which Resources are associated to an individual meter is static and based on the normal system configuration of the generation site code, </w:t>
      </w:r>
      <w:r w:rsidRPr="0013396E">
        <w:rPr>
          <w:i/>
        </w:rPr>
        <w:t>gsc</w:t>
      </w:r>
      <w:r w:rsidRPr="0013396E">
        <w:t>.</w:t>
      </w:r>
    </w:p>
    <w:p w14:paraId="37209E8C" w14:textId="77777777" w:rsidR="007844A1" w:rsidRPr="0013396E" w:rsidRDefault="007844A1" w:rsidP="007844A1">
      <w:pPr>
        <w:widowControl w:val="0"/>
      </w:pPr>
      <w:r w:rsidRPr="0013396E">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1"/>
        <w:gridCol w:w="1262"/>
        <w:gridCol w:w="5945"/>
      </w:tblGrid>
      <w:tr w:rsidR="007844A1" w:rsidRPr="0013396E" w14:paraId="13081C74" w14:textId="77777777" w:rsidTr="0099759E">
        <w:trPr>
          <w:cantSplit/>
          <w:tblHeader/>
        </w:trPr>
        <w:tc>
          <w:tcPr>
            <w:tcW w:w="1145" w:type="pct"/>
          </w:tcPr>
          <w:p w14:paraId="796F3035" w14:textId="77777777" w:rsidR="007844A1" w:rsidRPr="0013396E" w:rsidRDefault="007844A1" w:rsidP="0099759E">
            <w:pPr>
              <w:widowControl w:val="0"/>
              <w:spacing w:after="120"/>
              <w:rPr>
                <w:b/>
                <w:iCs/>
                <w:sz w:val="20"/>
              </w:rPr>
            </w:pPr>
            <w:r w:rsidRPr="0013396E">
              <w:rPr>
                <w:b/>
                <w:iCs/>
                <w:sz w:val="20"/>
              </w:rPr>
              <w:t>Variable</w:t>
            </w:r>
          </w:p>
        </w:tc>
        <w:tc>
          <w:tcPr>
            <w:tcW w:w="675" w:type="pct"/>
          </w:tcPr>
          <w:p w14:paraId="399948CE" w14:textId="77777777" w:rsidR="007844A1" w:rsidRPr="0013396E" w:rsidRDefault="007844A1" w:rsidP="0099759E">
            <w:pPr>
              <w:widowControl w:val="0"/>
              <w:spacing w:after="120"/>
              <w:rPr>
                <w:b/>
                <w:iCs/>
                <w:sz w:val="20"/>
              </w:rPr>
            </w:pPr>
            <w:r w:rsidRPr="0013396E">
              <w:rPr>
                <w:b/>
                <w:iCs/>
                <w:sz w:val="20"/>
              </w:rPr>
              <w:t>Unit</w:t>
            </w:r>
          </w:p>
        </w:tc>
        <w:tc>
          <w:tcPr>
            <w:tcW w:w="3180" w:type="pct"/>
          </w:tcPr>
          <w:p w14:paraId="488AE1E0" w14:textId="77777777" w:rsidR="007844A1" w:rsidRPr="0013396E" w:rsidRDefault="007844A1" w:rsidP="0099759E">
            <w:pPr>
              <w:widowControl w:val="0"/>
              <w:spacing w:after="120"/>
              <w:rPr>
                <w:b/>
                <w:iCs/>
                <w:sz w:val="20"/>
              </w:rPr>
            </w:pPr>
            <w:r w:rsidRPr="0013396E">
              <w:rPr>
                <w:b/>
                <w:iCs/>
                <w:sz w:val="20"/>
              </w:rPr>
              <w:t>Description</w:t>
            </w:r>
          </w:p>
        </w:tc>
      </w:tr>
      <w:tr w:rsidR="007844A1" w:rsidRPr="0013396E" w14:paraId="2BE72FAB" w14:textId="77777777" w:rsidTr="0099759E">
        <w:trPr>
          <w:cantSplit/>
        </w:trPr>
        <w:tc>
          <w:tcPr>
            <w:tcW w:w="1145" w:type="pct"/>
          </w:tcPr>
          <w:p w14:paraId="39384BF5" w14:textId="77777777" w:rsidR="007844A1" w:rsidRPr="0013396E" w:rsidRDefault="007844A1" w:rsidP="0099759E">
            <w:pPr>
              <w:widowControl w:val="0"/>
              <w:spacing w:after="60"/>
              <w:rPr>
                <w:i/>
                <w:sz w:val="20"/>
              </w:rPr>
            </w:pPr>
            <w:r w:rsidRPr="0013396E">
              <w:rPr>
                <w:sz w:val="20"/>
              </w:rPr>
              <w:t xml:space="preserve">NMRTETOT </w:t>
            </w:r>
            <w:r w:rsidRPr="0013396E">
              <w:rPr>
                <w:i/>
                <w:sz w:val="20"/>
                <w:vertAlign w:val="subscript"/>
              </w:rPr>
              <w:t>gsc</w:t>
            </w:r>
          </w:p>
        </w:tc>
        <w:tc>
          <w:tcPr>
            <w:tcW w:w="675" w:type="pct"/>
          </w:tcPr>
          <w:p w14:paraId="3FC6CA39" w14:textId="77777777" w:rsidR="007844A1" w:rsidRPr="0013396E" w:rsidRDefault="007844A1" w:rsidP="0099759E">
            <w:pPr>
              <w:widowControl w:val="0"/>
              <w:spacing w:after="60"/>
              <w:rPr>
                <w:sz w:val="20"/>
              </w:rPr>
            </w:pPr>
            <w:r w:rsidRPr="0013396E">
              <w:rPr>
                <w:sz w:val="20"/>
              </w:rPr>
              <w:t>MWh</w:t>
            </w:r>
          </w:p>
        </w:tc>
        <w:tc>
          <w:tcPr>
            <w:tcW w:w="3180" w:type="pct"/>
          </w:tcPr>
          <w:p w14:paraId="4848CCD7" w14:textId="77777777" w:rsidR="007844A1" w:rsidRPr="0013396E" w:rsidRDefault="007844A1" w:rsidP="0099759E">
            <w:pPr>
              <w:widowControl w:val="0"/>
              <w:spacing w:after="60"/>
              <w:rPr>
                <w:sz w:val="20"/>
              </w:rPr>
            </w:pPr>
            <w:r w:rsidRPr="0013396E">
              <w:rPr>
                <w:i/>
                <w:sz w:val="20"/>
              </w:rPr>
              <w:t>Net Meter Real-Time Energy Total</w:t>
            </w:r>
            <w:r w:rsidRPr="0013396E">
              <w:rPr>
                <w:sz w:val="20"/>
              </w:rPr>
              <w:t xml:space="preserve">—The net sum for all Settlement Meters included in generation site code </w:t>
            </w:r>
            <w:r w:rsidRPr="0013396E">
              <w:rPr>
                <w:i/>
                <w:sz w:val="20"/>
              </w:rPr>
              <w:t>gsc</w:t>
            </w:r>
            <w:r w:rsidRPr="0013396E">
              <w:rPr>
                <w:sz w:val="20"/>
              </w:rPr>
              <w:t xml:space="preserve">.  A positive value indicates an injection of power to the ERCOT System. </w:t>
            </w:r>
          </w:p>
        </w:tc>
      </w:tr>
      <w:tr w:rsidR="007844A1" w:rsidRPr="0013396E" w14:paraId="7B4088C0" w14:textId="77777777" w:rsidTr="0099759E">
        <w:trPr>
          <w:cantSplit/>
        </w:trPr>
        <w:tc>
          <w:tcPr>
            <w:tcW w:w="1145" w:type="pct"/>
          </w:tcPr>
          <w:p w14:paraId="5F1C8B9C" w14:textId="77777777" w:rsidR="007844A1" w:rsidRPr="0013396E" w:rsidRDefault="007844A1" w:rsidP="0099759E">
            <w:pPr>
              <w:widowControl w:val="0"/>
              <w:spacing w:after="60"/>
              <w:rPr>
                <w:sz w:val="20"/>
              </w:rPr>
            </w:pPr>
            <w:r w:rsidRPr="0013396E">
              <w:rPr>
                <w:sz w:val="20"/>
              </w:rPr>
              <w:t>NMSAMTTOT</w:t>
            </w:r>
            <w:r w:rsidRPr="0013396E">
              <w:rPr>
                <w:sz w:val="20"/>
                <w:vertAlign w:val="subscript"/>
              </w:rPr>
              <w:t xml:space="preserve"> </w:t>
            </w:r>
            <w:r w:rsidRPr="0013396E">
              <w:rPr>
                <w:i/>
                <w:sz w:val="20"/>
                <w:vertAlign w:val="subscript"/>
              </w:rPr>
              <w:t>gsc</w:t>
            </w:r>
          </w:p>
        </w:tc>
        <w:tc>
          <w:tcPr>
            <w:tcW w:w="675" w:type="pct"/>
          </w:tcPr>
          <w:p w14:paraId="6524CD5D" w14:textId="77777777" w:rsidR="007844A1" w:rsidRPr="0013396E" w:rsidRDefault="007844A1" w:rsidP="0099759E">
            <w:pPr>
              <w:widowControl w:val="0"/>
              <w:spacing w:after="60"/>
              <w:rPr>
                <w:sz w:val="20"/>
              </w:rPr>
            </w:pPr>
            <w:r w:rsidRPr="0013396E">
              <w:rPr>
                <w:sz w:val="20"/>
              </w:rPr>
              <w:t>$</w:t>
            </w:r>
          </w:p>
        </w:tc>
        <w:tc>
          <w:tcPr>
            <w:tcW w:w="3180" w:type="pct"/>
          </w:tcPr>
          <w:p w14:paraId="4FE765FD" w14:textId="77777777" w:rsidR="007844A1" w:rsidRPr="0013396E" w:rsidRDefault="007844A1" w:rsidP="0099759E">
            <w:pPr>
              <w:widowControl w:val="0"/>
              <w:spacing w:after="60"/>
              <w:rPr>
                <w:i/>
                <w:sz w:val="20"/>
              </w:rPr>
            </w:pPr>
            <w:r w:rsidRPr="0013396E">
              <w:rPr>
                <w:i/>
                <w:sz w:val="20"/>
              </w:rPr>
              <w:t>Net Metering Settlement</w:t>
            </w:r>
            <w:r w:rsidRPr="0013396E">
              <w:rPr>
                <w:sz w:val="20"/>
              </w:rPr>
              <w:t>—The total payment or charge to a generation site with a net metering arrangement.</w:t>
            </w:r>
          </w:p>
        </w:tc>
      </w:tr>
      <w:tr w:rsidR="007844A1" w:rsidRPr="0013396E" w14:paraId="7EF6C8BA" w14:textId="77777777" w:rsidTr="0099759E">
        <w:trPr>
          <w:cantSplit/>
        </w:trPr>
        <w:tc>
          <w:tcPr>
            <w:tcW w:w="1145" w:type="pct"/>
          </w:tcPr>
          <w:p w14:paraId="75CB38E4" w14:textId="77777777" w:rsidR="007844A1" w:rsidRPr="0013396E" w:rsidRDefault="007844A1" w:rsidP="0099759E">
            <w:pPr>
              <w:widowControl w:val="0"/>
              <w:spacing w:after="60"/>
              <w:rPr>
                <w:sz w:val="20"/>
              </w:rPr>
            </w:pPr>
            <w:r w:rsidRPr="0013396E">
              <w:rPr>
                <w:sz w:val="20"/>
              </w:rPr>
              <w:t xml:space="preserve">RTRMPR </w:t>
            </w:r>
            <w:r w:rsidRPr="0013396E">
              <w:rPr>
                <w:sz w:val="20"/>
                <w:vertAlign w:val="subscript"/>
              </w:rPr>
              <w:t xml:space="preserve"> </w:t>
            </w:r>
            <w:r w:rsidRPr="0013396E">
              <w:rPr>
                <w:i/>
                <w:sz w:val="20"/>
                <w:vertAlign w:val="subscript"/>
              </w:rPr>
              <w:t>b</w:t>
            </w:r>
          </w:p>
        </w:tc>
        <w:tc>
          <w:tcPr>
            <w:tcW w:w="675" w:type="pct"/>
          </w:tcPr>
          <w:p w14:paraId="10526882" w14:textId="77777777" w:rsidR="007844A1" w:rsidRPr="0013396E" w:rsidRDefault="007844A1" w:rsidP="0099759E">
            <w:pPr>
              <w:widowControl w:val="0"/>
              <w:spacing w:after="60"/>
              <w:rPr>
                <w:i/>
                <w:sz w:val="20"/>
              </w:rPr>
            </w:pPr>
            <w:r w:rsidRPr="0013396E">
              <w:rPr>
                <w:sz w:val="20"/>
              </w:rPr>
              <w:t>$/MWh</w:t>
            </w:r>
          </w:p>
        </w:tc>
        <w:tc>
          <w:tcPr>
            <w:tcW w:w="3180" w:type="pct"/>
          </w:tcPr>
          <w:p w14:paraId="4480096F" w14:textId="77777777" w:rsidR="007844A1" w:rsidRPr="0013396E" w:rsidRDefault="007844A1" w:rsidP="0099759E">
            <w:pPr>
              <w:widowControl w:val="0"/>
              <w:spacing w:after="60"/>
              <w:rPr>
                <w:sz w:val="20"/>
              </w:rPr>
            </w:pPr>
            <w:r w:rsidRPr="0013396E">
              <w:rPr>
                <w:i/>
                <w:sz w:val="20"/>
              </w:rPr>
              <w:t>Real-Time Price for the Energy Metered for each Resource meter at bus</w:t>
            </w:r>
            <w:r w:rsidRPr="0013396E">
              <w:rPr>
                <w:sz w:val="20"/>
              </w:rPr>
              <w:sym w:font="Symbol" w:char="F0BE"/>
            </w:r>
            <w:r w:rsidRPr="0013396E">
              <w:rPr>
                <w:sz w:val="20"/>
              </w:rPr>
              <w:t xml:space="preserve">The Real-Time price for the Settlement Meter at Electrical Bus </w:t>
            </w:r>
            <w:r w:rsidRPr="0013396E">
              <w:rPr>
                <w:i/>
                <w:sz w:val="20"/>
              </w:rPr>
              <w:t>b</w:t>
            </w:r>
            <w:r w:rsidRPr="0013396E">
              <w:rPr>
                <w:sz w:val="20"/>
              </w:rPr>
              <w:t>, for the 15-minute Settlement Interval.</w:t>
            </w:r>
          </w:p>
        </w:tc>
      </w:tr>
      <w:tr w:rsidR="007844A1" w:rsidRPr="0013396E" w14:paraId="457B4A25" w14:textId="77777777" w:rsidTr="0099759E">
        <w:trPr>
          <w:cantSplit/>
        </w:trPr>
        <w:tc>
          <w:tcPr>
            <w:tcW w:w="1145" w:type="pct"/>
          </w:tcPr>
          <w:p w14:paraId="5C7F8CDE" w14:textId="77777777" w:rsidR="007844A1" w:rsidRPr="0013396E" w:rsidRDefault="007844A1" w:rsidP="0099759E">
            <w:pPr>
              <w:widowControl w:val="0"/>
              <w:spacing w:after="60"/>
              <w:rPr>
                <w:sz w:val="20"/>
              </w:rPr>
            </w:pPr>
            <w:r w:rsidRPr="0013396E">
              <w:rPr>
                <w:sz w:val="20"/>
              </w:rPr>
              <w:t xml:space="preserve">MEB </w:t>
            </w:r>
            <w:r w:rsidRPr="0013396E">
              <w:rPr>
                <w:i/>
                <w:sz w:val="20"/>
                <w:vertAlign w:val="subscript"/>
              </w:rPr>
              <w:t>gsc, b</w:t>
            </w:r>
          </w:p>
        </w:tc>
        <w:tc>
          <w:tcPr>
            <w:tcW w:w="675" w:type="pct"/>
          </w:tcPr>
          <w:p w14:paraId="244BFFE2" w14:textId="77777777" w:rsidR="007844A1" w:rsidRPr="0013396E" w:rsidRDefault="007844A1" w:rsidP="0099759E">
            <w:pPr>
              <w:widowControl w:val="0"/>
              <w:spacing w:after="60"/>
              <w:rPr>
                <w:sz w:val="20"/>
              </w:rPr>
            </w:pPr>
            <w:r w:rsidRPr="0013396E">
              <w:rPr>
                <w:sz w:val="20"/>
              </w:rPr>
              <w:t>MWh</w:t>
            </w:r>
          </w:p>
        </w:tc>
        <w:tc>
          <w:tcPr>
            <w:tcW w:w="3180" w:type="pct"/>
          </w:tcPr>
          <w:p w14:paraId="653AB4C3" w14:textId="38CEDAF8" w:rsidR="007844A1" w:rsidRPr="0013396E" w:rsidRDefault="007844A1" w:rsidP="0099759E">
            <w:pPr>
              <w:widowControl w:val="0"/>
              <w:spacing w:after="60"/>
              <w:rPr>
                <w:i/>
                <w:sz w:val="16"/>
              </w:rPr>
            </w:pPr>
            <w:r w:rsidRPr="0013396E">
              <w:rPr>
                <w:i/>
                <w:sz w:val="20"/>
              </w:rPr>
              <w:t>Metered Energy at Bus</w:t>
            </w:r>
            <w:r w:rsidRPr="0013396E">
              <w:rPr>
                <w:sz w:val="20"/>
              </w:rPr>
              <w:sym w:font="Symbol" w:char="F0BE"/>
            </w:r>
            <w:r w:rsidRPr="0013396E">
              <w:rPr>
                <w:sz w:val="20"/>
              </w:rPr>
              <w:t>The metered energy by the Settlement Meter which is not upstream from another Settlement Meter which measures ESR Load for the 15-minute Settlement Interval.  A positive value represents energy produced, and a negative value represents energy withdrawn.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5"/>
            </w:tblGrid>
            <w:tr w:rsidR="007844A1" w:rsidRPr="009658B2" w14:paraId="6574237E" w14:textId="77777777" w:rsidTr="0099759E">
              <w:trPr>
                <w:trHeight w:val="206"/>
              </w:trPr>
              <w:tc>
                <w:tcPr>
                  <w:tcW w:w="5000" w:type="pct"/>
                  <w:shd w:val="pct12" w:color="auto" w:fill="auto"/>
                </w:tcPr>
                <w:p w14:paraId="18358046" w14:textId="77777777" w:rsidR="007844A1" w:rsidRPr="0013396E" w:rsidRDefault="007844A1" w:rsidP="007844A1">
                  <w:pPr>
                    <w:pStyle w:val="Instructions"/>
                    <w:spacing w:before="120"/>
                    <w:ind w:right="-114"/>
                  </w:pPr>
                  <w:r w:rsidRPr="0013396E">
                    <w:t xml:space="preserve">[NPRR1188:  Replace </w:t>
                  </w:r>
                  <w:r>
                    <w:t>the description</w:t>
                  </w:r>
                  <w:r w:rsidRPr="0013396E">
                    <w:t xml:space="preserve"> above with the following upon system implementation:]</w:t>
                  </w:r>
                </w:p>
                <w:p w14:paraId="5786B254" w14:textId="613945EE" w:rsidR="007844A1" w:rsidRPr="007844A1" w:rsidRDefault="007844A1" w:rsidP="007844A1">
                  <w:pPr>
                    <w:widowControl w:val="0"/>
                    <w:spacing w:after="60"/>
                    <w:rPr>
                      <w:i/>
                      <w:sz w:val="16"/>
                    </w:rPr>
                  </w:pPr>
                  <w:r w:rsidRPr="0013396E">
                    <w:rPr>
                      <w:i/>
                      <w:sz w:val="20"/>
                    </w:rPr>
                    <w:t>Metered Energy at Bus</w:t>
                  </w:r>
                  <w:r w:rsidRPr="0013396E">
                    <w:rPr>
                      <w:sz w:val="20"/>
                    </w:rPr>
                    <w:sym w:font="Symbol" w:char="F0BE"/>
                  </w:r>
                  <w:r w:rsidRPr="0013396E">
                    <w:rPr>
                      <w:sz w:val="20"/>
                    </w:rPr>
                    <w:t>The metered energy by the Settlement Meter which is not upstream from another Settlement Meter which measures CLR (that is not an ALR) or ESR Load for the 15-minute Settlement Interval.  A positive value represents energy produced, and a negative value represents energy withdrawn.</w:t>
                  </w:r>
                </w:p>
              </w:tc>
            </w:tr>
          </w:tbl>
          <w:p w14:paraId="12A455C6" w14:textId="6BF65C2A" w:rsidR="007844A1" w:rsidRPr="0013396E" w:rsidRDefault="007844A1" w:rsidP="0099759E">
            <w:pPr>
              <w:widowControl w:val="0"/>
              <w:spacing w:after="60"/>
              <w:rPr>
                <w:i/>
                <w:sz w:val="16"/>
              </w:rPr>
            </w:pPr>
          </w:p>
        </w:tc>
      </w:tr>
      <w:tr w:rsidR="007844A1" w:rsidRPr="0013396E" w14:paraId="4F8B19B9" w14:textId="77777777" w:rsidTr="0099759E">
        <w:trPr>
          <w:cantSplit/>
        </w:trPr>
        <w:tc>
          <w:tcPr>
            <w:tcW w:w="1145" w:type="pct"/>
          </w:tcPr>
          <w:p w14:paraId="25D856A5" w14:textId="77777777" w:rsidR="007844A1" w:rsidRPr="0013396E" w:rsidRDefault="007844A1" w:rsidP="0099759E">
            <w:pPr>
              <w:widowControl w:val="0"/>
              <w:spacing w:after="60"/>
              <w:rPr>
                <w:sz w:val="20"/>
              </w:rPr>
            </w:pPr>
            <w:r w:rsidRPr="0013396E">
              <w:rPr>
                <w:sz w:val="20"/>
              </w:rPr>
              <w:t>RTRDP</w:t>
            </w:r>
          </w:p>
        </w:tc>
        <w:tc>
          <w:tcPr>
            <w:tcW w:w="675" w:type="pct"/>
          </w:tcPr>
          <w:p w14:paraId="7780AC50" w14:textId="77777777" w:rsidR="007844A1" w:rsidRPr="0013396E" w:rsidRDefault="007844A1" w:rsidP="0099759E">
            <w:pPr>
              <w:widowControl w:val="0"/>
              <w:spacing w:after="60"/>
              <w:rPr>
                <w:sz w:val="20"/>
              </w:rPr>
            </w:pPr>
            <w:r w:rsidRPr="0013396E">
              <w:rPr>
                <w:sz w:val="20"/>
              </w:rPr>
              <w:t>$/MWh</w:t>
            </w:r>
          </w:p>
        </w:tc>
        <w:tc>
          <w:tcPr>
            <w:tcW w:w="3180" w:type="pct"/>
          </w:tcPr>
          <w:p w14:paraId="1E5F77FE" w14:textId="77777777" w:rsidR="007844A1" w:rsidRPr="0013396E" w:rsidRDefault="007844A1" w:rsidP="0099759E">
            <w:pPr>
              <w:widowControl w:val="0"/>
              <w:spacing w:after="60"/>
              <w:rPr>
                <w:i/>
                <w:sz w:val="20"/>
              </w:rPr>
            </w:pPr>
            <w:r w:rsidRPr="0013396E">
              <w:rPr>
                <w:i/>
                <w:sz w:val="20"/>
              </w:rPr>
              <w:t>Real-Time Reliability Deployment Price for Energy</w:t>
            </w:r>
            <w:r w:rsidRPr="0013396E">
              <w:rPr>
                <w:sz w:val="20"/>
              </w:rPr>
              <w:sym w:font="Symbol" w:char="F0BE"/>
            </w:r>
            <w:r w:rsidRPr="0013396E">
              <w:rPr>
                <w:sz w:val="20"/>
              </w:rPr>
              <w:t xml:space="preserve">The Real-Time price for the 15-minute Settlement Interval, reflecting the impact of reliability deployments on energy prices that is calculated </w:t>
            </w:r>
            <w:r w:rsidRPr="0013396E">
              <w:rPr>
                <w:bCs/>
                <w:sz w:val="20"/>
              </w:rPr>
              <w:t>from the Real-Time Reliability Deployment Price Adder for Energy</w:t>
            </w:r>
            <w:r w:rsidRPr="0013396E">
              <w:rPr>
                <w:sz w:val="20"/>
              </w:rPr>
              <w:t>.</w:t>
            </w:r>
          </w:p>
        </w:tc>
      </w:tr>
      <w:tr w:rsidR="007844A1" w:rsidRPr="0013396E" w14:paraId="077C664A" w14:textId="77777777" w:rsidTr="0099759E">
        <w:trPr>
          <w:cantSplit/>
        </w:trPr>
        <w:tc>
          <w:tcPr>
            <w:tcW w:w="1145" w:type="pct"/>
          </w:tcPr>
          <w:p w14:paraId="2666AEDE" w14:textId="77777777" w:rsidR="007844A1" w:rsidRPr="0013396E" w:rsidRDefault="007844A1" w:rsidP="0099759E">
            <w:pPr>
              <w:widowControl w:val="0"/>
              <w:spacing w:after="60"/>
              <w:rPr>
                <w:sz w:val="20"/>
              </w:rPr>
            </w:pPr>
            <w:r w:rsidRPr="0013396E">
              <w:rPr>
                <w:sz w:val="20"/>
              </w:rPr>
              <w:t>RTRDPA</w:t>
            </w:r>
            <w:r w:rsidRPr="0013396E">
              <w:rPr>
                <w:sz w:val="20"/>
                <w:vertAlign w:val="subscript"/>
              </w:rPr>
              <w:t xml:space="preserve"> </w:t>
            </w:r>
            <w:r w:rsidRPr="0013396E">
              <w:rPr>
                <w:i/>
                <w:sz w:val="20"/>
                <w:vertAlign w:val="subscript"/>
              </w:rPr>
              <w:t>y</w:t>
            </w:r>
          </w:p>
        </w:tc>
        <w:tc>
          <w:tcPr>
            <w:tcW w:w="675" w:type="pct"/>
          </w:tcPr>
          <w:p w14:paraId="4C4F3A43" w14:textId="77777777" w:rsidR="007844A1" w:rsidRPr="0013396E" w:rsidRDefault="007844A1" w:rsidP="0099759E">
            <w:pPr>
              <w:widowControl w:val="0"/>
              <w:spacing w:after="60"/>
              <w:rPr>
                <w:sz w:val="20"/>
              </w:rPr>
            </w:pPr>
            <w:r w:rsidRPr="0013396E">
              <w:rPr>
                <w:sz w:val="20"/>
              </w:rPr>
              <w:t>$/MWh</w:t>
            </w:r>
          </w:p>
        </w:tc>
        <w:tc>
          <w:tcPr>
            <w:tcW w:w="3180" w:type="pct"/>
          </w:tcPr>
          <w:p w14:paraId="167AFE59" w14:textId="77777777" w:rsidR="007844A1" w:rsidRPr="0013396E" w:rsidRDefault="007844A1" w:rsidP="0099759E">
            <w:pPr>
              <w:widowControl w:val="0"/>
              <w:spacing w:after="60"/>
              <w:rPr>
                <w:i/>
                <w:sz w:val="20"/>
              </w:rPr>
            </w:pPr>
            <w:r w:rsidRPr="0013396E">
              <w:rPr>
                <w:i/>
                <w:sz w:val="20"/>
              </w:rPr>
              <w:t xml:space="preserve">Real-Time Reliability Deployment Price Adder for Energy </w:t>
            </w:r>
            <w:r w:rsidRPr="0013396E">
              <w:rPr>
                <w:sz w:val="20"/>
              </w:rPr>
              <w:sym w:font="Symbol" w:char="F0BE"/>
            </w:r>
            <w:r w:rsidRPr="0013396E">
              <w:rPr>
                <w:sz w:val="20"/>
              </w:rPr>
              <w:t xml:space="preserve">The Real-Time price adder that captures the impact of reliability deployments on energy prices for the SCED interval </w:t>
            </w:r>
            <w:r w:rsidRPr="0013396E">
              <w:rPr>
                <w:i/>
                <w:sz w:val="20"/>
              </w:rPr>
              <w:t>y</w:t>
            </w:r>
            <w:r w:rsidRPr="0013396E">
              <w:rPr>
                <w:sz w:val="20"/>
              </w:rPr>
              <w:t>.</w:t>
            </w:r>
          </w:p>
        </w:tc>
      </w:tr>
      <w:tr w:rsidR="007844A1" w:rsidRPr="0013396E" w14:paraId="4ECA2264" w14:textId="77777777" w:rsidTr="0099759E">
        <w:trPr>
          <w:cantSplit/>
        </w:trPr>
        <w:tc>
          <w:tcPr>
            <w:tcW w:w="1145" w:type="pct"/>
          </w:tcPr>
          <w:p w14:paraId="4A6CE313" w14:textId="77777777" w:rsidR="007844A1" w:rsidRPr="0013396E" w:rsidRDefault="007844A1" w:rsidP="0099759E">
            <w:pPr>
              <w:widowControl w:val="0"/>
              <w:spacing w:after="60"/>
              <w:rPr>
                <w:sz w:val="20"/>
              </w:rPr>
            </w:pPr>
            <w:r w:rsidRPr="0013396E">
              <w:rPr>
                <w:sz w:val="20"/>
              </w:rPr>
              <w:t>RNWF</w:t>
            </w:r>
            <w:r w:rsidRPr="0013396E">
              <w:rPr>
                <w:i/>
                <w:sz w:val="20"/>
              </w:rPr>
              <w:t xml:space="preserve"> </w:t>
            </w:r>
            <w:r w:rsidRPr="0013396E">
              <w:rPr>
                <w:i/>
                <w:sz w:val="20"/>
                <w:vertAlign w:val="subscript"/>
              </w:rPr>
              <w:t>y</w:t>
            </w:r>
          </w:p>
        </w:tc>
        <w:tc>
          <w:tcPr>
            <w:tcW w:w="675" w:type="pct"/>
          </w:tcPr>
          <w:p w14:paraId="4E502099" w14:textId="77777777" w:rsidR="007844A1" w:rsidRPr="0013396E" w:rsidRDefault="007844A1" w:rsidP="0099759E">
            <w:pPr>
              <w:widowControl w:val="0"/>
              <w:spacing w:after="60"/>
              <w:rPr>
                <w:sz w:val="20"/>
              </w:rPr>
            </w:pPr>
            <w:r w:rsidRPr="0013396E">
              <w:rPr>
                <w:sz w:val="20"/>
              </w:rPr>
              <w:t>none</w:t>
            </w:r>
          </w:p>
        </w:tc>
        <w:tc>
          <w:tcPr>
            <w:tcW w:w="3180" w:type="pct"/>
          </w:tcPr>
          <w:p w14:paraId="72FF7F78" w14:textId="77777777" w:rsidR="007844A1" w:rsidRPr="0013396E" w:rsidRDefault="007844A1" w:rsidP="0099759E">
            <w:pPr>
              <w:widowControl w:val="0"/>
              <w:spacing w:after="60"/>
              <w:rPr>
                <w:i/>
                <w:sz w:val="20"/>
              </w:rPr>
            </w:pPr>
            <w:r w:rsidRPr="0013396E">
              <w:rPr>
                <w:i/>
                <w:sz w:val="20"/>
              </w:rPr>
              <w:t>Resource Node Weighting Factor per interval</w:t>
            </w:r>
            <w:r w:rsidRPr="0013396E">
              <w:rPr>
                <w:sz w:val="20"/>
              </w:rPr>
              <w:sym w:font="Symbol" w:char="F0BE"/>
            </w:r>
            <w:r w:rsidRPr="0013396E">
              <w:rPr>
                <w:sz w:val="20"/>
              </w:rPr>
              <w:t xml:space="preserve">The weight used in the Resource Node Settlement Point Price calculation for the portion of the SCED interval </w:t>
            </w:r>
            <w:r w:rsidRPr="0013396E">
              <w:rPr>
                <w:i/>
                <w:sz w:val="20"/>
              </w:rPr>
              <w:t>y</w:t>
            </w:r>
            <w:r w:rsidRPr="0013396E">
              <w:rPr>
                <w:sz w:val="20"/>
              </w:rPr>
              <w:t xml:space="preserve"> within the Settlement Interval.</w:t>
            </w:r>
          </w:p>
        </w:tc>
      </w:tr>
      <w:tr w:rsidR="007844A1" w:rsidRPr="0013396E" w14:paraId="66B03928" w14:textId="77777777" w:rsidTr="0099759E">
        <w:trPr>
          <w:cantSplit/>
        </w:trPr>
        <w:tc>
          <w:tcPr>
            <w:tcW w:w="1145" w:type="pct"/>
          </w:tcPr>
          <w:p w14:paraId="3B9643A6" w14:textId="77777777" w:rsidR="007844A1" w:rsidRPr="0013396E" w:rsidRDefault="007844A1" w:rsidP="0099759E">
            <w:pPr>
              <w:widowControl w:val="0"/>
              <w:spacing w:after="60"/>
              <w:rPr>
                <w:sz w:val="20"/>
              </w:rPr>
            </w:pPr>
            <w:r w:rsidRPr="0013396E">
              <w:rPr>
                <w:sz w:val="20"/>
              </w:rPr>
              <w:t xml:space="preserve">RTLMP </w:t>
            </w:r>
            <w:r w:rsidRPr="0013396E">
              <w:rPr>
                <w:i/>
                <w:sz w:val="20"/>
                <w:vertAlign w:val="subscript"/>
              </w:rPr>
              <w:t>b, y</w:t>
            </w:r>
          </w:p>
        </w:tc>
        <w:tc>
          <w:tcPr>
            <w:tcW w:w="675" w:type="pct"/>
          </w:tcPr>
          <w:p w14:paraId="0EAE11AC" w14:textId="77777777" w:rsidR="007844A1" w:rsidRPr="0013396E" w:rsidRDefault="007844A1" w:rsidP="0099759E">
            <w:pPr>
              <w:widowControl w:val="0"/>
              <w:spacing w:after="60"/>
              <w:rPr>
                <w:sz w:val="20"/>
              </w:rPr>
            </w:pPr>
            <w:r w:rsidRPr="0013396E">
              <w:rPr>
                <w:sz w:val="20"/>
              </w:rPr>
              <w:t>$/MWh</w:t>
            </w:r>
          </w:p>
        </w:tc>
        <w:tc>
          <w:tcPr>
            <w:tcW w:w="3180" w:type="pct"/>
          </w:tcPr>
          <w:p w14:paraId="46E8A935" w14:textId="77777777" w:rsidR="007844A1" w:rsidRPr="0013396E" w:rsidRDefault="007844A1" w:rsidP="0099759E">
            <w:pPr>
              <w:widowControl w:val="0"/>
              <w:spacing w:after="60"/>
              <w:rPr>
                <w:sz w:val="20"/>
              </w:rPr>
            </w:pPr>
            <w:r w:rsidRPr="0013396E">
              <w:rPr>
                <w:i/>
                <w:sz w:val="20"/>
              </w:rPr>
              <w:t>Real-Time Locational Marginal Price at bus per interval</w:t>
            </w:r>
            <w:r w:rsidRPr="0013396E">
              <w:rPr>
                <w:sz w:val="20"/>
              </w:rPr>
              <w:sym w:font="Symbol" w:char="F0BE"/>
            </w:r>
            <w:r w:rsidRPr="0013396E">
              <w:rPr>
                <w:sz w:val="20"/>
              </w:rPr>
              <w:t xml:space="preserve">The Real-Time LMP for the meter at Electrical Bus </w:t>
            </w:r>
            <w:r w:rsidRPr="0013396E">
              <w:rPr>
                <w:i/>
                <w:sz w:val="20"/>
              </w:rPr>
              <w:t>b</w:t>
            </w:r>
            <w:r w:rsidRPr="0013396E">
              <w:rPr>
                <w:sz w:val="20"/>
              </w:rPr>
              <w:t xml:space="preserve">, for the SCED interval </w:t>
            </w:r>
            <w:r w:rsidRPr="0013396E">
              <w:rPr>
                <w:i/>
                <w:sz w:val="20"/>
              </w:rPr>
              <w:t>y</w:t>
            </w:r>
            <w:r w:rsidRPr="0013396E">
              <w:rPr>
                <w:sz w:val="20"/>
              </w:rPr>
              <w:t>.</w:t>
            </w:r>
          </w:p>
        </w:tc>
      </w:tr>
      <w:tr w:rsidR="007844A1" w:rsidRPr="0013396E" w14:paraId="4A8B05F1" w14:textId="77777777" w:rsidTr="0099759E">
        <w:trPr>
          <w:cantSplit/>
        </w:trPr>
        <w:tc>
          <w:tcPr>
            <w:tcW w:w="1145" w:type="pct"/>
          </w:tcPr>
          <w:p w14:paraId="118DAABF" w14:textId="77777777" w:rsidR="007844A1" w:rsidRPr="0013396E" w:rsidRDefault="007844A1" w:rsidP="0099759E">
            <w:pPr>
              <w:widowControl w:val="0"/>
              <w:spacing w:after="60"/>
              <w:rPr>
                <w:sz w:val="20"/>
              </w:rPr>
            </w:pPr>
            <w:r w:rsidRPr="0013396E">
              <w:rPr>
                <w:sz w:val="20"/>
              </w:rPr>
              <w:t xml:space="preserve">TLMP </w:t>
            </w:r>
            <w:r w:rsidRPr="0013396E">
              <w:rPr>
                <w:i/>
                <w:sz w:val="20"/>
                <w:vertAlign w:val="subscript"/>
              </w:rPr>
              <w:t>y</w:t>
            </w:r>
          </w:p>
        </w:tc>
        <w:tc>
          <w:tcPr>
            <w:tcW w:w="675" w:type="pct"/>
          </w:tcPr>
          <w:p w14:paraId="02DC147E" w14:textId="77777777" w:rsidR="007844A1" w:rsidRPr="0013396E" w:rsidRDefault="007844A1" w:rsidP="0099759E">
            <w:pPr>
              <w:widowControl w:val="0"/>
              <w:spacing w:after="60"/>
              <w:rPr>
                <w:iCs/>
                <w:sz w:val="20"/>
              </w:rPr>
            </w:pPr>
            <w:r w:rsidRPr="0013396E">
              <w:rPr>
                <w:sz w:val="20"/>
              </w:rPr>
              <w:t>second</w:t>
            </w:r>
          </w:p>
        </w:tc>
        <w:tc>
          <w:tcPr>
            <w:tcW w:w="3180" w:type="pct"/>
          </w:tcPr>
          <w:p w14:paraId="500AD49A" w14:textId="77777777" w:rsidR="007844A1" w:rsidRPr="0013396E" w:rsidRDefault="007844A1" w:rsidP="0099759E">
            <w:pPr>
              <w:widowControl w:val="0"/>
              <w:spacing w:after="60"/>
              <w:rPr>
                <w:sz w:val="20"/>
              </w:rPr>
            </w:pPr>
            <w:r w:rsidRPr="0013396E">
              <w:rPr>
                <w:i/>
                <w:iCs/>
                <w:sz w:val="20"/>
              </w:rPr>
              <w:t xml:space="preserve">Duration of </w:t>
            </w:r>
            <w:r w:rsidRPr="0013396E">
              <w:rPr>
                <w:i/>
                <w:sz w:val="20"/>
              </w:rPr>
              <w:t>SCED</w:t>
            </w:r>
            <w:r w:rsidRPr="0013396E">
              <w:rPr>
                <w:i/>
                <w:iCs/>
                <w:sz w:val="20"/>
              </w:rPr>
              <w:t xml:space="preserve"> interval per interval</w:t>
            </w:r>
            <w:r w:rsidRPr="0013396E">
              <w:rPr>
                <w:sz w:val="20"/>
              </w:rPr>
              <w:sym w:font="Symbol" w:char="F0BE"/>
            </w:r>
            <w:r w:rsidRPr="0013396E">
              <w:rPr>
                <w:sz w:val="20"/>
              </w:rPr>
              <w:t xml:space="preserve">The duration of the SCED interval </w:t>
            </w:r>
            <w:r w:rsidRPr="0013396E">
              <w:rPr>
                <w:i/>
                <w:iCs/>
                <w:sz w:val="20"/>
              </w:rPr>
              <w:t>y</w:t>
            </w:r>
            <w:r w:rsidRPr="0013396E">
              <w:rPr>
                <w:sz w:val="20"/>
              </w:rPr>
              <w:t>.</w:t>
            </w:r>
          </w:p>
        </w:tc>
      </w:tr>
      <w:tr w:rsidR="007844A1" w:rsidRPr="0013396E" w14:paraId="44320F4E" w14:textId="77777777" w:rsidTr="0099759E">
        <w:trPr>
          <w:cantSplit/>
        </w:trPr>
        <w:tc>
          <w:tcPr>
            <w:tcW w:w="1145" w:type="pct"/>
          </w:tcPr>
          <w:p w14:paraId="526FD1E8" w14:textId="77777777" w:rsidR="007844A1" w:rsidRPr="0013396E" w:rsidRDefault="007844A1" w:rsidP="0099759E">
            <w:pPr>
              <w:widowControl w:val="0"/>
              <w:spacing w:after="60"/>
              <w:rPr>
                <w:sz w:val="20"/>
              </w:rPr>
            </w:pPr>
            <w:r w:rsidRPr="0013396E">
              <w:rPr>
                <w:sz w:val="20"/>
              </w:rPr>
              <w:t xml:space="preserve">RNWF </w:t>
            </w:r>
            <w:r w:rsidRPr="0013396E">
              <w:rPr>
                <w:i/>
                <w:sz w:val="20"/>
                <w:vertAlign w:val="subscript"/>
              </w:rPr>
              <w:t>b, y</w:t>
            </w:r>
          </w:p>
        </w:tc>
        <w:tc>
          <w:tcPr>
            <w:tcW w:w="675" w:type="pct"/>
          </w:tcPr>
          <w:p w14:paraId="26D48594" w14:textId="77777777" w:rsidR="007844A1" w:rsidRPr="0013396E" w:rsidRDefault="007844A1" w:rsidP="0099759E">
            <w:pPr>
              <w:widowControl w:val="0"/>
              <w:spacing w:after="60"/>
              <w:rPr>
                <w:sz w:val="20"/>
              </w:rPr>
            </w:pPr>
            <w:r w:rsidRPr="0013396E">
              <w:rPr>
                <w:sz w:val="20"/>
              </w:rPr>
              <w:t>none</w:t>
            </w:r>
          </w:p>
        </w:tc>
        <w:tc>
          <w:tcPr>
            <w:tcW w:w="3180" w:type="pct"/>
          </w:tcPr>
          <w:p w14:paraId="42153F81" w14:textId="77777777" w:rsidR="007844A1" w:rsidRPr="0013396E" w:rsidRDefault="007844A1" w:rsidP="0099759E">
            <w:pPr>
              <w:widowControl w:val="0"/>
              <w:spacing w:after="60"/>
              <w:rPr>
                <w:i/>
                <w:iCs/>
                <w:sz w:val="20"/>
              </w:rPr>
            </w:pPr>
            <w:r w:rsidRPr="0013396E">
              <w:rPr>
                <w:i/>
                <w:iCs/>
                <w:sz w:val="20"/>
              </w:rPr>
              <w:t>Net meter Weighting Factor per interval</w:t>
            </w:r>
            <w:r w:rsidRPr="0013396E">
              <w:rPr>
                <w:rFonts w:ascii="Symbol" w:hAnsi="Symbol"/>
                <w:sz w:val="20"/>
              </w:rPr>
              <w:t></w:t>
            </w:r>
            <w:r w:rsidRPr="0013396E">
              <w:rPr>
                <w:sz w:val="20"/>
              </w:rPr>
              <w:t xml:space="preserve">The weight factor used in net meter price calculation for meters in Electrical Bus </w:t>
            </w:r>
            <w:r w:rsidRPr="0013396E">
              <w:rPr>
                <w:i/>
                <w:sz w:val="20"/>
              </w:rPr>
              <w:t>b</w:t>
            </w:r>
            <w:r w:rsidRPr="0013396E">
              <w:rPr>
                <w:sz w:val="20"/>
              </w:rPr>
              <w:t xml:space="preserve">, for the SCED interval </w:t>
            </w:r>
            <w:r w:rsidRPr="0013396E">
              <w:rPr>
                <w:i/>
                <w:iCs/>
                <w:sz w:val="20"/>
              </w:rPr>
              <w:t>y</w:t>
            </w:r>
            <w:r w:rsidRPr="0013396E">
              <w:rPr>
                <w:sz w:val="20"/>
              </w:rPr>
              <w:t>.  The weighting factor used in the net meter price calculation shall not be recalculated after the fact due to revisions in the association of Resources to Settlement Meters.</w:t>
            </w:r>
          </w:p>
        </w:tc>
      </w:tr>
      <w:tr w:rsidR="007844A1" w:rsidRPr="0013396E" w14:paraId="0EB942D9" w14:textId="77777777" w:rsidTr="0099759E">
        <w:trPr>
          <w:cantSplit/>
        </w:trPr>
        <w:tc>
          <w:tcPr>
            <w:tcW w:w="1145" w:type="pct"/>
          </w:tcPr>
          <w:p w14:paraId="4F81FC33" w14:textId="77777777" w:rsidR="007844A1" w:rsidRPr="0013396E" w:rsidRDefault="007844A1" w:rsidP="0099759E">
            <w:pPr>
              <w:widowControl w:val="0"/>
              <w:spacing w:after="60"/>
              <w:rPr>
                <w:sz w:val="20"/>
              </w:rPr>
            </w:pPr>
            <w:r w:rsidRPr="0013396E">
              <w:rPr>
                <w:sz w:val="20"/>
              </w:rPr>
              <w:lastRenderedPageBreak/>
              <w:t xml:space="preserve">BP </w:t>
            </w:r>
            <w:r w:rsidRPr="0013396E">
              <w:rPr>
                <w:i/>
                <w:sz w:val="20"/>
                <w:vertAlign w:val="subscript"/>
              </w:rPr>
              <w:t>r, y</w:t>
            </w:r>
          </w:p>
        </w:tc>
        <w:tc>
          <w:tcPr>
            <w:tcW w:w="675" w:type="pct"/>
          </w:tcPr>
          <w:p w14:paraId="48B51AB3" w14:textId="77777777" w:rsidR="007844A1" w:rsidRPr="0013396E" w:rsidRDefault="007844A1" w:rsidP="0099759E">
            <w:pPr>
              <w:widowControl w:val="0"/>
              <w:spacing w:after="60"/>
              <w:rPr>
                <w:sz w:val="20"/>
              </w:rPr>
            </w:pPr>
            <w:r w:rsidRPr="0013396E">
              <w:rPr>
                <w:sz w:val="20"/>
              </w:rPr>
              <w:t>MW</w:t>
            </w:r>
          </w:p>
        </w:tc>
        <w:tc>
          <w:tcPr>
            <w:tcW w:w="3180" w:type="pct"/>
          </w:tcPr>
          <w:p w14:paraId="66CE2DA0" w14:textId="77777777" w:rsidR="007844A1" w:rsidRPr="0013396E" w:rsidRDefault="007844A1" w:rsidP="0099759E">
            <w:pPr>
              <w:widowControl w:val="0"/>
              <w:spacing w:after="60"/>
              <w:rPr>
                <w:i/>
                <w:iCs/>
                <w:sz w:val="20"/>
              </w:rPr>
            </w:pPr>
            <w:r w:rsidRPr="0013396E">
              <w:rPr>
                <w:i/>
                <w:iCs/>
                <w:sz w:val="20"/>
              </w:rPr>
              <w:t>Base Point per Resource per interval</w:t>
            </w:r>
            <w:r w:rsidRPr="0013396E">
              <w:rPr>
                <w:rFonts w:ascii="Symbol" w:hAnsi="Symbol"/>
                <w:sz w:val="20"/>
              </w:rPr>
              <w:t></w:t>
            </w:r>
            <w:r w:rsidRPr="0013396E">
              <w:rPr>
                <w:sz w:val="20"/>
              </w:rPr>
              <w:t xml:space="preserve">The Base Point of Resource </w:t>
            </w:r>
            <w:r w:rsidRPr="0013396E">
              <w:rPr>
                <w:i/>
                <w:sz w:val="20"/>
              </w:rPr>
              <w:t>r,</w:t>
            </w:r>
            <w:r w:rsidRPr="0013396E">
              <w:rPr>
                <w:sz w:val="20"/>
              </w:rPr>
              <w:t xml:space="preserve"> for the SCED interval </w:t>
            </w:r>
            <w:r w:rsidRPr="0013396E">
              <w:rPr>
                <w:i/>
                <w:iCs/>
                <w:sz w:val="20"/>
              </w:rPr>
              <w:t>y</w:t>
            </w:r>
            <w:r w:rsidRPr="0013396E">
              <w:rPr>
                <w:sz w:val="20"/>
              </w:rPr>
              <w:t xml:space="preserve">.  Where for a Combined Cycle Train, the Resource </w:t>
            </w:r>
            <w:r w:rsidRPr="0013396E">
              <w:rPr>
                <w:i/>
                <w:sz w:val="20"/>
              </w:rPr>
              <w:t xml:space="preserve">r </w:t>
            </w:r>
            <w:r w:rsidRPr="0013396E">
              <w:rPr>
                <w:sz w:val="20"/>
              </w:rPr>
              <w:t>is a Combined Cycle Generation Resource within the Combined Cycle Train.</w:t>
            </w:r>
          </w:p>
        </w:tc>
      </w:tr>
      <w:tr w:rsidR="007844A1" w:rsidRPr="0013396E" w14:paraId="7871ECF7" w14:textId="77777777" w:rsidTr="0099759E">
        <w:trPr>
          <w:cantSplit/>
        </w:trPr>
        <w:tc>
          <w:tcPr>
            <w:tcW w:w="1145" w:type="pct"/>
          </w:tcPr>
          <w:p w14:paraId="74462BA3" w14:textId="77777777" w:rsidR="007844A1" w:rsidRPr="0013396E" w:rsidRDefault="007844A1" w:rsidP="0099759E">
            <w:pPr>
              <w:widowControl w:val="0"/>
              <w:spacing w:after="60"/>
              <w:rPr>
                <w:i/>
                <w:sz w:val="20"/>
              </w:rPr>
            </w:pPr>
            <w:r w:rsidRPr="0013396E">
              <w:rPr>
                <w:sz w:val="20"/>
              </w:rPr>
              <w:t>MEBC</w:t>
            </w:r>
            <w:r w:rsidRPr="0013396E">
              <w:rPr>
                <w:sz w:val="20"/>
                <w:vertAlign w:val="subscript"/>
              </w:rPr>
              <w:t xml:space="preserve"> </w:t>
            </w:r>
            <w:r w:rsidRPr="0013396E">
              <w:rPr>
                <w:i/>
                <w:sz w:val="20"/>
                <w:vertAlign w:val="subscript"/>
              </w:rPr>
              <w:t>gsc, b</w:t>
            </w:r>
          </w:p>
        </w:tc>
        <w:tc>
          <w:tcPr>
            <w:tcW w:w="675" w:type="pct"/>
          </w:tcPr>
          <w:p w14:paraId="4304FDE2" w14:textId="77777777" w:rsidR="007844A1" w:rsidRPr="0013396E" w:rsidRDefault="007844A1" w:rsidP="0099759E">
            <w:pPr>
              <w:widowControl w:val="0"/>
              <w:spacing w:after="60"/>
              <w:rPr>
                <w:sz w:val="20"/>
              </w:rPr>
            </w:pPr>
            <w:r w:rsidRPr="0013396E">
              <w:rPr>
                <w:sz w:val="20"/>
              </w:rPr>
              <w:t>MWh</w:t>
            </w:r>
          </w:p>
        </w:tc>
        <w:tc>
          <w:tcPr>
            <w:tcW w:w="3180" w:type="pct"/>
          </w:tcPr>
          <w:p w14:paraId="097A9E0C" w14:textId="08B6EB39" w:rsidR="007844A1" w:rsidRPr="0013396E" w:rsidRDefault="007844A1" w:rsidP="0099759E">
            <w:pPr>
              <w:widowControl w:val="0"/>
              <w:spacing w:after="60"/>
              <w:rPr>
                <w:sz w:val="20"/>
              </w:rPr>
            </w:pPr>
            <w:r w:rsidRPr="0013396E">
              <w:rPr>
                <w:i/>
                <w:sz w:val="20"/>
              </w:rPr>
              <w:t xml:space="preserve">Metered Energy at Bus (Calculated) </w:t>
            </w:r>
            <w:r w:rsidRPr="0013396E">
              <w:rPr>
                <w:sz w:val="20"/>
              </w:rPr>
              <w:sym w:font="Symbol" w:char="F0BE"/>
            </w:r>
            <w:r w:rsidRPr="0013396E">
              <w:rPr>
                <w:sz w:val="20"/>
              </w:rPr>
              <w:t xml:space="preserve"> The calculated energy for the 15-minute Settlement Interval for a Settlement Meter which is upstream from another Settlement Meter which measures ESR Load.  A positive value represents energy produced, and a negative value represents energy withdrawn.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5"/>
            </w:tblGrid>
            <w:tr w:rsidR="007844A1" w:rsidRPr="009658B2" w14:paraId="1003E523" w14:textId="77777777" w:rsidTr="0099759E">
              <w:trPr>
                <w:trHeight w:val="206"/>
              </w:trPr>
              <w:tc>
                <w:tcPr>
                  <w:tcW w:w="5000" w:type="pct"/>
                  <w:shd w:val="pct12" w:color="auto" w:fill="auto"/>
                </w:tcPr>
                <w:p w14:paraId="400DE65C" w14:textId="77777777" w:rsidR="007844A1" w:rsidRPr="0013396E" w:rsidRDefault="007844A1" w:rsidP="007844A1">
                  <w:pPr>
                    <w:pStyle w:val="Instructions"/>
                    <w:spacing w:before="120"/>
                    <w:ind w:right="-114"/>
                  </w:pPr>
                  <w:r w:rsidRPr="0013396E">
                    <w:t xml:space="preserve">[NPRR1188:  Replace </w:t>
                  </w:r>
                  <w:r>
                    <w:t>the description</w:t>
                  </w:r>
                  <w:r w:rsidRPr="0013396E">
                    <w:t xml:space="preserve"> above with the following upon system implementation:]</w:t>
                  </w:r>
                </w:p>
                <w:p w14:paraId="704B3382" w14:textId="60B1E254" w:rsidR="007844A1" w:rsidRPr="007844A1" w:rsidRDefault="007844A1" w:rsidP="007844A1">
                  <w:pPr>
                    <w:widowControl w:val="0"/>
                    <w:spacing w:after="60"/>
                    <w:rPr>
                      <w:sz w:val="20"/>
                    </w:rPr>
                  </w:pPr>
                  <w:r w:rsidRPr="0013396E">
                    <w:rPr>
                      <w:i/>
                      <w:sz w:val="20"/>
                    </w:rPr>
                    <w:t xml:space="preserve">Metered Energy at Bus (Calculated) </w:t>
                  </w:r>
                  <w:r w:rsidRPr="0013396E">
                    <w:rPr>
                      <w:sz w:val="20"/>
                    </w:rPr>
                    <w:sym w:font="Symbol" w:char="F0BE"/>
                  </w:r>
                  <w:r w:rsidRPr="0013396E">
                    <w:rPr>
                      <w:sz w:val="20"/>
                    </w:rPr>
                    <w:t xml:space="preserve"> The calculated energy for the 15-minute Settlement Interval for a Settlement Meter which is upstream from another Settlement Meter which measures CLR (that is not an ALR) or ESR Load.  A positive value represents energy produced, and a negative value represents energy withdrawn.  This is not adjusted for losses and UFE.</w:t>
                  </w:r>
                </w:p>
              </w:tc>
            </w:tr>
          </w:tbl>
          <w:p w14:paraId="318C8FB5" w14:textId="2E22D60E" w:rsidR="007844A1" w:rsidRPr="0013396E" w:rsidRDefault="007844A1" w:rsidP="0099759E">
            <w:pPr>
              <w:widowControl w:val="0"/>
              <w:spacing w:after="60"/>
              <w:rPr>
                <w:sz w:val="20"/>
              </w:rPr>
            </w:pPr>
          </w:p>
        </w:tc>
      </w:tr>
      <w:tr w:rsidR="007844A1" w:rsidRPr="0013396E" w14:paraId="79F23D86" w14:textId="77777777" w:rsidTr="0099759E">
        <w:trPr>
          <w:cantSplit/>
        </w:trPr>
        <w:tc>
          <w:tcPr>
            <w:tcW w:w="1145" w:type="pct"/>
          </w:tcPr>
          <w:p w14:paraId="459CB43E" w14:textId="77777777" w:rsidR="007844A1" w:rsidRPr="0013396E" w:rsidRDefault="007844A1" w:rsidP="0099759E">
            <w:pPr>
              <w:widowControl w:val="0"/>
              <w:spacing w:after="60"/>
              <w:rPr>
                <w:i/>
                <w:sz w:val="20"/>
              </w:rPr>
            </w:pPr>
            <w:r w:rsidRPr="0013396E">
              <w:rPr>
                <w:i/>
                <w:sz w:val="20"/>
              </w:rPr>
              <w:t>gsc</w:t>
            </w:r>
          </w:p>
        </w:tc>
        <w:tc>
          <w:tcPr>
            <w:tcW w:w="675" w:type="pct"/>
          </w:tcPr>
          <w:p w14:paraId="27BB99BF" w14:textId="77777777" w:rsidR="007844A1" w:rsidRPr="0013396E" w:rsidRDefault="007844A1" w:rsidP="0099759E">
            <w:pPr>
              <w:widowControl w:val="0"/>
              <w:spacing w:after="60"/>
              <w:rPr>
                <w:sz w:val="20"/>
              </w:rPr>
            </w:pPr>
            <w:r w:rsidRPr="0013396E">
              <w:rPr>
                <w:sz w:val="20"/>
              </w:rPr>
              <w:t>none</w:t>
            </w:r>
          </w:p>
        </w:tc>
        <w:tc>
          <w:tcPr>
            <w:tcW w:w="3180" w:type="pct"/>
          </w:tcPr>
          <w:p w14:paraId="63060B74" w14:textId="77777777" w:rsidR="007844A1" w:rsidRPr="0013396E" w:rsidRDefault="007844A1" w:rsidP="0099759E">
            <w:pPr>
              <w:widowControl w:val="0"/>
              <w:spacing w:after="60"/>
              <w:rPr>
                <w:sz w:val="20"/>
              </w:rPr>
            </w:pPr>
            <w:r w:rsidRPr="0013396E">
              <w:rPr>
                <w:sz w:val="20"/>
              </w:rPr>
              <w:t>A generation site code.</w:t>
            </w:r>
          </w:p>
        </w:tc>
      </w:tr>
      <w:tr w:rsidR="007844A1" w:rsidRPr="0013396E" w14:paraId="6B0E0D4F" w14:textId="77777777" w:rsidTr="0099759E">
        <w:trPr>
          <w:cantSplit/>
        </w:trPr>
        <w:tc>
          <w:tcPr>
            <w:tcW w:w="1145" w:type="pct"/>
          </w:tcPr>
          <w:p w14:paraId="5D2F3C75" w14:textId="77777777" w:rsidR="007844A1" w:rsidRPr="0013396E" w:rsidRDefault="007844A1" w:rsidP="0099759E">
            <w:pPr>
              <w:widowControl w:val="0"/>
              <w:spacing w:after="60"/>
              <w:rPr>
                <w:i/>
                <w:sz w:val="20"/>
              </w:rPr>
            </w:pPr>
            <w:r w:rsidRPr="0013396E">
              <w:rPr>
                <w:i/>
                <w:sz w:val="20"/>
              </w:rPr>
              <w:t>r</w:t>
            </w:r>
          </w:p>
        </w:tc>
        <w:tc>
          <w:tcPr>
            <w:tcW w:w="675" w:type="pct"/>
          </w:tcPr>
          <w:p w14:paraId="782F3B3A" w14:textId="77777777" w:rsidR="007844A1" w:rsidRPr="0013396E" w:rsidRDefault="007844A1" w:rsidP="0099759E">
            <w:pPr>
              <w:widowControl w:val="0"/>
              <w:spacing w:after="60"/>
              <w:rPr>
                <w:sz w:val="20"/>
              </w:rPr>
            </w:pPr>
            <w:r w:rsidRPr="0013396E">
              <w:rPr>
                <w:sz w:val="20"/>
              </w:rPr>
              <w:t>none</w:t>
            </w:r>
          </w:p>
        </w:tc>
        <w:tc>
          <w:tcPr>
            <w:tcW w:w="3180" w:type="pct"/>
          </w:tcPr>
          <w:p w14:paraId="47002165" w14:textId="77777777" w:rsidR="007844A1" w:rsidRPr="0013396E" w:rsidRDefault="007844A1" w:rsidP="0099759E">
            <w:pPr>
              <w:widowControl w:val="0"/>
              <w:spacing w:after="60"/>
              <w:rPr>
                <w:sz w:val="20"/>
              </w:rPr>
            </w:pPr>
            <w:r w:rsidRPr="0013396E">
              <w:rPr>
                <w:sz w:val="20"/>
              </w:rPr>
              <w:t xml:space="preserve">A Generation Resource or ESR that is located at the Facility with net metering.  </w:t>
            </w:r>
          </w:p>
        </w:tc>
      </w:tr>
      <w:tr w:rsidR="007844A1" w:rsidRPr="0013396E" w14:paraId="0D8DABEE" w14:textId="77777777" w:rsidTr="0099759E">
        <w:trPr>
          <w:cantSplit/>
        </w:trPr>
        <w:tc>
          <w:tcPr>
            <w:tcW w:w="1145" w:type="pct"/>
          </w:tcPr>
          <w:p w14:paraId="152185F0" w14:textId="77777777" w:rsidR="007844A1" w:rsidRPr="0013396E" w:rsidRDefault="007844A1" w:rsidP="0099759E">
            <w:pPr>
              <w:widowControl w:val="0"/>
              <w:spacing w:after="60"/>
              <w:rPr>
                <w:i/>
                <w:sz w:val="20"/>
              </w:rPr>
            </w:pPr>
            <w:r w:rsidRPr="0013396E">
              <w:rPr>
                <w:i/>
                <w:sz w:val="20"/>
              </w:rPr>
              <w:t>y</w:t>
            </w:r>
          </w:p>
        </w:tc>
        <w:tc>
          <w:tcPr>
            <w:tcW w:w="675" w:type="pct"/>
          </w:tcPr>
          <w:p w14:paraId="421C13F1" w14:textId="77777777" w:rsidR="007844A1" w:rsidRPr="0013396E" w:rsidRDefault="007844A1" w:rsidP="0099759E">
            <w:pPr>
              <w:widowControl w:val="0"/>
              <w:spacing w:after="60"/>
              <w:rPr>
                <w:sz w:val="20"/>
              </w:rPr>
            </w:pPr>
            <w:r w:rsidRPr="0013396E">
              <w:rPr>
                <w:sz w:val="20"/>
              </w:rPr>
              <w:t>none</w:t>
            </w:r>
          </w:p>
        </w:tc>
        <w:tc>
          <w:tcPr>
            <w:tcW w:w="3180" w:type="pct"/>
          </w:tcPr>
          <w:p w14:paraId="4A35D087" w14:textId="77777777" w:rsidR="007844A1" w:rsidRPr="0013396E" w:rsidRDefault="007844A1" w:rsidP="0099759E">
            <w:pPr>
              <w:widowControl w:val="0"/>
              <w:spacing w:after="60"/>
              <w:rPr>
                <w:sz w:val="20"/>
              </w:rPr>
            </w:pPr>
            <w:r w:rsidRPr="0013396E">
              <w:rPr>
                <w:sz w:val="20"/>
              </w:rPr>
              <w:t>A SCED interval in the 15-minute Settlement Interval.  The summation is over the total number of SCED runs that cover the 15-minute Settlement Interval.</w:t>
            </w:r>
          </w:p>
        </w:tc>
      </w:tr>
      <w:tr w:rsidR="007844A1" w:rsidRPr="0013396E" w14:paraId="5A9DEE0A" w14:textId="77777777" w:rsidTr="0099759E">
        <w:trPr>
          <w:cantSplit/>
        </w:trPr>
        <w:tc>
          <w:tcPr>
            <w:tcW w:w="1145" w:type="pct"/>
          </w:tcPr>
          <w:p w14:paraId="0F09779F" w14:textId="77777777" w:rsidR="007844A1" w:rsidRPr="0013396E" w:rsidRDefault="007844A1" w:rsidP="0099759E">
            <w:pPr>
              <w:widowControl w:val="0"/>
              <w:spacing w:after="60"/>
              <w:rPr>
                <w:i/>
                <w:sz w:val="20"/>
              </w:rPr>
            </w:pPr>
            <w:r w:rsidRPr="0013396E">
              <w:rPr>
                <w:i/>
                <w:sz w:val="20"/>
              </w:rPr>
              <w:t>b</w:t>
            </w:r>
          </w:p>
        </w:tc>
        <w:tc>
          <w:tcPr>
            <w:tcW w:w="675" w:type="pct"/>
          </w:tcPr>
          <w:p w14:paraId="793EBE0A" w14:textId="77777777" w:rsidR="007844A1" w:rsidRPr="0013396E" w:rsidRDefault="007844A1" w:rsidP="0099759E">
            <w:pPr>
              <w:widowControl w:val="0"/>
              <w:spacing w:after="60"/>
              <w:rPr>
                <w:sz w:val="20"/>
              </w:rPr>
            </w:pPr>
            <w:r w:rsidRPr="0013396E">
              <w:rPr>
                <w:sz w:val="20"/>
              </w:rPr>
              <w:t>none</w:t>
            </w:r>
          </w:p>
        </w:tc>
        <w:tc>
          <w:tcPr>
            <w:tcW w:w="3180" w:type="pct"/>
          </w:tcPr>
          <w:p w14:paraId="770D7712" w14:textId="77777777" w:rsidR="007844A1" w:rsidRPr="0013396E" w:rsidRDefault="007844A1" w:rsidP="0099759E">
            <w:pPr>
              <w:widowControl w:val="0"/>
              <w:spacing w:after="60"/>
              <w:rPr>
                <w:sz w:val="20"/>
              </w:rPr>
            </w:pPr>
            <w:r w:rsidRPr="0013396E">
              <w:rPr>
                <w:sz w:val="20"/>
              </w:rPr>
              <w:t>An Electrical Bus.</w:t>
            </w:r>
          </w:p>
        </w:tc>
      </w:tr>
    </w:tbl>
    <w:p w14:paraId="68E7C60E" w14:textId="77777777" w:rsidR="007844A1" w:rsidRPr="0013396E" w:rsidRDefault="007844A1" w:rsidP="007844A1">
      <w:pPr>
        <w:widowControl w:val="0"/>
        <w:spacing w:before="240" w:after="120"/>
        <w:ind w:left="720" w:hanging="720"/>
      </w:pPr>
      <w:r w:rsidRPr="0013396E">
        <w:t>(5)</w:t>
      </w:r>
      <w:r w:rsidRPr="0013396E">
        <w:tab/>
        <w:t>The Generation Resource or ESR SCADA Splitting Percentage for each Resource within a net metering arrangement for the 15-minute Settlement Interval is calculated as follows:</w:t>
      </w:r>
    </w:p>
    <w:p w14:paraId="1EA5E93F" w14:textId="77777777" w:rsidR="007844A1" w:rsidRPr="0013396E" w:rsidRDefault="007844A1" w:rsidP="007844A1">
      <w:pPr>
        <w:spacing w:before="120" w:after="120"/>
        <w:ind w:firstLine="720"/>
        <w:jc w:val="both"/>
        <w:rPr>
          <w:b/>
          <w:vertAlign w:val="subscript"/>
          <w:lang w:val="pt-BR"/>
        </w:rPr>
      </w:pPr>
      <w:r w:rsidRPr="0013396E">
        <w:rPr>
          <w:b/>
          <w:lang w:val="pt-BR"/>
        </w:rPr>
        <w:t xml:space="preserve">GSPLITPER </w:t>
      </w:r>
      <w:r w:rsidRPr="0013396E">
        <w:rPr>
          <w:b/>
          <w:i/>
          <w:vertAlign w:val="subscript"/>
          <w:lang w:val="pt-BR"/>
        </w:rPr>
        <w:t>q</w:t>
      </w:r>
      <w:r w:rsidRPr="0013396E">
        <w:rPr>
          <w:rFonts w:ascii="Times New Roman Bold" w:hAnsi="Times New Roman Bold"/>
          <w:b/>
          <w:i/>
          <w:vertAlign w:val="subscript"/>
          <w:lang w:val="pt-BR"/>
        </w:rPr>
        <w:t xml:space="preserve">,  </w:t>
      </w:r>
      <w:r w:rsidRPr="0013396E">
        <w:rPr>
          <w:b/>
          <w:i/>
          <w:vertAlign w:val="subscript"/>
          <w:lang w:val="pt-BR"/>
        </w:rPr>
        <w:t>r, gsc, p</w:t>
      </w:r>
      <w:r w:rsidRPr="0013396E">
        <w:rPr>
          <w:b/>
          <w:lang w:val="pt-BR"/>
        </w:rPr>
        <w:t xml:space="preserve"> </w:t>
      </w:r>
      <w:r w:rsidRPr="0013396E">
        <w:rPr>
          <w:b/>
          <w:lang w:val="pt-BR"/>
        </w:rPr>
        <w:tab/>
        <w:t xml:space="preserve">= Max(GSSPLITSCA </w:t>
      </w:r>
      <w:r w:rsidRPr="0013396E">
        <w:rPr>
          <w:b/>
          <w:i/>
          <w:vertAlign w:val="subscript"/>
          <w:lang w:val="pt-BR"/>
        </w:rPr>
        <w:t>r</w:t>
      </w:r>
      <w:r w:rsidRPr="0013396E">
        <w:rPr>
          <w:b/>
          <w:iCs/>
          <w:lang w:val="pt-BR"/>
        </w:rPr>
        <w:t>, 0)</w:t>
      </w:r>
      <w:r w:rsidRPr="0013396E">
        <w:rPr>
          <w:b/>
          <w:lang w:val="pt-BR"/>
        </w:rPr>
        <w:t xml:space="preserve"> / </w:t>
      </w:r>
      <w:r w:rsidRPr="0013396E">
        <w:rPr>
          <w:position w:val="-18"/>
        </w:rPr>
        <w:object w:dxaOrig="255" w:dyaOrig="495" w14:anchorId="29D19903">
          <v:shape id="_x0000_i1123" type="#_x0000_t75" style="width:12pt;height:29.4pt" o:ole="">
            <v:imagedata r:id="rId105" o:title=""/>
          </v:shape>
          <o:OLEObject Type="Embed" ProgID="Equation.3" ShapeID="_x0000_i1123" DrawAspect="Content" ObjectID="_1849065754" r:id="rId141"/>
        </w:object>
      </w:r>
      <w:r w:rsidRPr="0013396E">
        <w:rPr>
          <w:b/>
          <w:bCs/>
        </w:rPr>
        <w:t>Max(</w:t>
      </w:r>
      <w:r w:rsidRPr="0013396E">
        <w:rPr>
          <w:b/>
          <w:lang w:val="pt-BR"/>
        </w:rPr>
        <w:t xml:space="preserve">GSSPLITSCA </w:t>
      </w:r>
      <w:r w:rsidRPr="0013396E">
        <w:rPr>
          <w:b/>
          <w:i/>
          <w:vertAlign w:val="subscript"/>
          <w:lang w:val="pt-BR"/>
        </w:rPr>
        <w:t>r</w:t>
      </w:r>
      <w:r w:rsidRPr="0013396E">
        <w:rPr>
          <w:b/>
          <w:iCs/>
          <w:lang w:val="pt-BR"/>
        </w:rPr>
        <w:t>, 0)</w:t>
      </w:r>
    </w:p>
    <w:p w14:paraId="5DF1C76A" w14:textId="77777777" w:rsidR="007844A1" w:rsidRPr="0013396E" w:rsidRDefault="007844A1" w:rsidP="007844A1">
      <w:pPr>
        <w:spacing w:before="120"/>
      </w:pPr>
      <w:r w:rsidRPr="0013396E">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6"/>
        <w:gridCol w:w="5884"/>
      </w:tblGrid>
      <w:tr w:rsidR="007844A1" w:rsidRPr="0013396E" w14:paraId="00883F2F" w14:textId="77777777" w:rsidTr="0099759E">
        <w:trPr>
          <w:cantSplit/>
          <w:tblHeader/>
        </w:trPr>
        <w:tc>
          <w:tcPr>
            <w:tcW w:w="2361" w:type="dxa"/>
            <w:tcBorders>
              <w:top w:val="single" w:sz="4" w:space="0" w:color="auto"/>
              <w:left w:val="single" w:sz="4" w:space="0" w:color="auto"/>
              <w:bottom w:val="single" w:sz="4" w:space="0" w:color="auto"/>
              <w:right w:val="single" w:sz="4" w:space="0" w:color="auto"/>
            </w:tcBorders>
            <w:hideMark/>
          </w:tcPr>
          <w:p w14:paraId="1F7C09D2" w14:textId="77777777" w:rsidR="007844A1" w:rsidRPr="0013396E" w:rsidRDefault="007844A1" w:rsidP="0099759E">
            <w:pPr>
              <w:spacing w:after="120"/>
              <w:rPr>
                <w:b/>
                <w:iCs/>
                <w:sz w:val="20"/>
              </w:rPr>
            </w:pPr>
            <w:r w:rsidRPr="0013396E">
              <w:rPr>
                <w:b/>
                <w:iCs/>
                <w:sz w:val="20"/>
              </w:rPr>
              <w:t>Variable</w:t>
            </w:r>
          </w:p>
        </w:tc>
        <w:tc>
          <w:tcPr>
            <w:tcW w:w="826" w:type="dxa"/>
            <w:tcBorders>
              <w:top w:val="single" w:sz="4" w:space="0" w:color="auto"/>
              <w:left w:val="single" w:sz="4" w:space="0" w:color="auto"/>
              <w:bottom w:val="single" w:sz="4" w:space="0" w:color="auto"/>
              <w:right w:val="single" w:sz="4" w:space="0" w:color="auto"/>
            </w:tcBorders>
            <w:hideMark/>
          </w:tcPr>
          <w:p w14:paraId="74918EBC" w14:textId="77777777" w:rsidR="007844A1" w:rsidRPr="0013396E" w:rsidRDefault="007844A1" w:rsidP="0099759E">
            <w:pPr>
              <w:spacing w:after="120"/>
              <w:rPr>
                <w:b/>
                <w:iCs/>
                <w:sz w:val="20"/>
              </w:rPr>
            </w:pPr>
            <w:r w:rsidRPr="0013396E">
              <w:rPr>
                <w:b/>
                <w:iCs/>
                <w:sz w:val="20"/>
              </w:rPr>
              <w:t>Unit</w:t>
            </w:r>
          </w:p>
        </w:tc>
        <w:tc>
          <w:tcPr>
            <w:tcW w:w="5884" w:type="dxa"/>
            <w:tcBorders>
              <w:top w:val="single" w:sz="4" w:space="0" w:color="auto"/>
              <w:left w:val="single" w:sz="4" w:space="0" w:color="auto"/>
              <w:bottom w:val="single" w:sz="4" w:space="0" w:color="auto"/>
              <w:right w:val="single" w:sz="4" w:space="0" w:color="auto"/>
            </w:tcBorders>
            <w:hideMark/>
          </w:tcPr>
          <w:p w14:paraId="0F1DAD26" w14:textId="77777777" w:rsidR="007844A1" w:rsidRPr="0013396E" w:rsidRDefault="007844A1" w:rsidP="0099759E">
            <w:pPr>
              <w:spacing w:after="120"/>
              <w:rPr>
                <w:b/>
                <w:iCs/>
                <w:sz w:val="20"/>
              </w:rPr>
            </w:pPr>
            <w:r w:rsidRPr="0013396E">
              <w:rPr>
                <w:b/>
                <w:iCs/>
                <w:sz w:val="20"/>
              </w:rPr>
              <w:t>Definition</w:t>
            </w:r>
          </w:p>
        </w:tc>
      </w:tr>
      <w:tr w:rsidR="007844A1" w:rsidRPr="0013396E" w14:paraId="5EE14616" w14:textId="77777777" w:rsidTr="0099759E">
        <w:trPr>
          <w:cantSplit/>
        </w:trPr>
        <w:tc>
          <w:tcPr>
            <w:tcW w:w="2361" w:type="dxa"/>
            <w:tcBorders>
              <w:top w:val="single" w:sz="4" w:space="0" w:color="auto"/>
              <w:left w:val="single" w:sz="4" w:space="0" w:color="auto"/>
              <w:bottom w:val="single" w:sz="4" w:space="0" w:color="auto"/>
              <w:right w:val="single" w:sz="4" w:space="0" w:color="auto"/>
            </w:tcBorders>
            <w:hideMark/>
          </w:tcPr>
          <w:p w14:paraId="05ECA048" w14:textId="77777777" w:rsidR="007844A1" w:rsidRPr="0013396E" w:rsidRDefault="007844A1" w:rsidP="0099759E">
            <w:pPr>
              <w:spacing w:after="60"/>
              <w:rPr>
                <w:iCs/>
                <w:sz w:val="20"/>
              </w:rPr>
            </w:pPr>
            <w:r w:rsidRPr="0013396E">
              <w:rPr>
                <w:iCs/>
                <w:sz w:val="20"/>
              </w:rPr>
              <w:t xml:space="preserve">GSPLITPER </w:t>
            </w:r>
            <w:r w:rsidRPr="0013396E">
              <w:rPr>
                <w:i/>
                <w:iCs/>
                <w:sz w:val="20"/>
                <w:vertAlign w:val="subscript"/>
              </w:rPr>
              <w:t>q, r, gsc, p</w:t>
            </w:r>
          </w:p>
        </w:tc>
        <w:tc>
          <w:tcPr>
            <w:tcW w:w="826" w:type="dxa"/>
            <w:tcBorders>
              <w:top w:val="single" w:sz="4" w:space="0" w:color="auto"/>
              <w:left w:val="single" w:sz="4" w:space="0" w:color="auto"/>
              <w:bottom w:val="single" w:sz="4" w:space="0" w:color="auto"/>
              <w:right w:val="single" w:sz="4" w:space="0" w:color="auto"/>
            </w:tcBorders>
            <w:hideMark/>
          </w:tcPr>
          <w:p w14:paraId="61CD9218" w14:textId="77777777" w:rsidR="007844A1" w:rsidRPr="0013396E" w:rsidRDefault="007844A1" w:rsidP="0099759E">
            <w:pPr>
              <w:spacing w:after="60"/>
              <w:rPr>
                <w:iCs/>
                <w:sz w:val="20"/>
              </w:rPr>
            </w:pPr>
            <w:r w:rsidRPr="0013396E">
              <w:rPr>
                <w:iCs/>
                <w:sz w:val="20"/>
              </w:rPr>
              <w:t>none</w:t>
            </w:r>
          </w:p>
        </w:tc>
        <w:tc>
          <w:tcPr>
            <w:tcW w:w="5884" w:type="dxa"/>
            <w:tcBorders>
              <w:top w:val="single" w:sz="4" w:space="0" w:color="auto"/>
              <w:left w:val="single" w:sz="4" w:space="0" w:color="auto"/>
              <w:bottom w:val="single" w:sz="4" w:space="0" w:color="auto"/>
              <w:right w:val="single" w:sz="4" w:space="0" w:color="auto"/>
            </w:tcBorders>
            <w:hideMark/>
          </w:tcPr>
          <w:p w14:paraId="266A80F0" w14:textId="77777777" w:rsidR="007844A1" w:rsidRPr="0013396E" w:rsidRDefault="007844A1" w:rsidP="0099759E">
            <w:pPr>
              <w:spacing w:after="60"/>
              <w:rPr>
                <w:iCs/>
                <w:sz w:val="20"/>
              </w:rPr>
            </w:pPr>
            <w:r w:rsidRPr="0013396E">
              <w:rPr>
                <w:i/>
                <w:iCs/>
                <w:sz w:val="20"/>
              </w:rPr>
              <w:t>Generation Resource SCADA Splitting Percentage</w:t>
            </w:r>
            <w:r w:rsidRPr="0013396E">
              <w:rPr>
                <w:iCs/>
                <w:sz w:val="20"/>
              </w:rPr>
              <w:t xml:space="preserve">—The generation allocation percentage for Resource </w:t>
            </w:r>
            <w:r w:rsidRPr="0013396E">
              <w:rPr>
                <w:i/>
                <w:iCs/>
                <w:sz w:val="20"/>
              </w:rPr>
              <w:t>r</w:t>
            </w:r>
            <w:r w:rsidRPr="0013396E">
              <w:rPr>
                <w:iCs/>
                <w:sz w:val="20"/>
              </w:rPr>
              <w:t xml:space="preserve"> that is part of a generation site code </w:t>
            </w:r>
            <w:r w:rsidRPr="0013396E">
              <w:rPr>
                <w:i/>
                <w:iCs/>
                <w:sz w:val="20"/>
              </w:rPr>
              <w:t>gsc</w:t>
            </w:r>
            <w:r w:rsidRPr="0013396E">
              <w:rPr>
                <w:iCs/>
                <w:sz w:val="20"/>
              </w:rPr>
              <w:t xml:space="preserve"> for the QSE </w:t>
            </w:r>
            <w:r w:rsidRPr="0013396E">
              <w:rPr>
                <w:i/>
                <w:iCs/>
                <w:sz w:val="20"/>
              </w:rPr>
              <w:t>q</w:t>
            </w:r>
            <w:r w:rsidRPr="0013396E">
              <w:rPr>
                <w:iCs/>
                <w:sz w:val="20"/>
              </w:rPr>
              <w:t xml:space="preserve"> at Settlement Point </w:t>
            </w:r>
            <w:r w:rsidRPr="0013396E">
              <w:rPr>
                <w:i/>
                <w:iCs/>
                <w:sz w:val="20"/>
              </w:rPr>
              <w:t>p</w:t>
            </w:r>
            <w:r w:rsidRPr="0013396E">
              <w:rPr>
                <w:iCs/>
                <w:sz w:val="20"/>
              </w:rPr>
              <w:t xml:space="preserve">.  GSPLITPER is calculated by taking the positive SCADA values (GSSPLITSCA) for a particular Generation Resource or ESR </w:t>
            </w:r>
            <w:r w:rsidRPr="0013396E">
              <w:rPr>
                <w:i/>
                <w:iCs/>
                <w:sz w:val="20"/>
              </w:rPr>
              <w:t>r</w:t>
            </w:r>
            <w:r w:rsidRPr="0013396E">
              <w:rPr>
                <w:iCs/>
                <w:sz w:val="20"/>
              </w:rPr>
              <w:t xml:space="preserve"> that is part of a net metering configuration and dividing by the sum of all positive SCADA values for all Resources that are included in the net metering configuration for each interval.  Where for a Combined Cycle Train, the Resource </w:t>
            </w:r>
            <w:r w:rsidRPr="0013396E">
              <w:rPr>
                <w:i/>
                <w:iCs/>
                <w:sz w:val="20"/>
              </w:rPr>
              <w:t xml:space="preserve">r </w:t>
            </w:r>
            <w:r w:rsidRPr="0013396E">
              <w:rPr>
                <w:iCs/>
                <w:sz w:val="20"/>
              </w:rPr>
              <w:t>is the Combined Cycle Train.</w:t>
            </w:r>
          </w:p>
        </w:tc>
      </w:tr>
      <w:tr w:rsidR="007844A1" w:rsidRPr="0013396E" w14:paraId="4286898B" w14:textId="77777777" w:rsidTr="0099759E">
        <w:trPr>
          <w:cantSplit/>
        </w:trPr>
        <w:tc>
          <w:tcPr>
            <w:tcW w:w="2361" w:type="dxa"/>
            <w:tcBorders>
              <w:top w:val="single" w:sz="4" w:space="0" w:color="auto"/>
              <w:left w:val="single" w:sz="4" w:space="0" w:color="auto"/>
              <w:bottom w:val="single" w:sz="4" w:space="0" w:color="auto"/>
              <w:right w:val="single" w:sz="4" w:space="0" w:color="auto"/>
            </w:tcBorders>
            <w:hideMark/>
          </w:tcPr>
          <w:p w14:paraId="034A9E1A" w14:textId="77777777" w:rsidR="007844A1" w:rsidRPr="0013396E" w:rsidRDefault="007844A1" w:rsidP="0099759E">
            <w:pPr>
              <w:spacing w:after="60"/>
              <w:rPr>
                <w:iCs/>
                <w:sz w:val="20"/>
              </w:rPr>
            </w:pPr>
            <w:r w:rsidRPr="0013396E">
              <w:rPr>
                <w:iCs/>
                <w:sz w:val="20"/>
              </w:rPr>
              <w:t xml:space="preserve">GSSPLITSCA </w:t>
            </w:r>
            <w:r w:rsidRPr="0013396E">
              <w:rPr>
                <w:i/>
                <w:iCs/>
                <w:sz w:val="20"/>
                <w:vertAlign w:val="subscript"/>
              </w:rPr>
              <w:t>r</w:t>
            </w:r>
          </w:p>
        </w:tc>
        <w:tc>
          <w:tcPr>
            <w:tcW w:w="826" w:type="dxa"/>
            <w:tcBorders>
              <w:top w:val="single" w:sz="4" w:space="0" w:color="auto"/>
              <w:left w:val="single" w:sz="4" w:space="0" w:color="auto"/>
              <w:bottom w:val="single" w:sz="4" w:space="0" w:color="auto"/>
              <w:right w:val="single" w:sz="4" w:space="0" w:color="auto"/>
            </w:tcBorders>
            <w:hideMark/>
          </w:tcPr>
          <w:p w14:paraId="609FF255" w14:textId="77777777" w:rsidR="007844A1" w:rsidRPr="0013396E" w:rsidRDefault="007844A1" w:rsidP="0099759E">
            <w:pPr>
              <w:spacing w:after="60"/>
              <w:rPr>
                <w:iCs/>
                <w:sz w:val="20"/>
              </w:rPr>
            </w:pPr>
            <w:r w:rsidRPr="0013396E">
              <w:rPr>
                <w:iCs/>
                <w:sz w:val="20"/>
              </w:rPr>
              <w:t>MWh</w:t>
            </w:r>
          </w:p>
        </w:tc>
        <w:tc>
          <w:tcPr>
            <w:tcW w:w="5884" w:type="dxa"/>
            <w:tcBorders>
              <w:top w:val="single" w:sz="4" w:space="0" w:color="auto"/>
              <w:left w:val="single" w:sz="4" w:space="0" w:color="auto"/>
              <w:bottom w:val="single" w:sz="4" w:space="0" w:color="auto"/>
              <w:right w:val="single" w:sz="4" w:space="0" w:color="auto"/>
            </w:tcBorders>
            <w:hideMark/>
          </w:tcPr>
          <w:p w14:paraId="73208B22" w14:textId="77777777" w:rsidR="007844A1" w:rsidRPr="0013396E" w:rsidRDefault="007844A1" w:rsidP="0099759E">
            <w:pPr>
              <w:spacing w:after="60"/>
              <w:rPr>
                <w:iCs/>
                <w:sz w:val="20"/>
              </w:rPr>
            </w:pPr>
            <w:r w:rsidRPr="0013396E">
              <w:rPr>
                <w:i/>
                <w:iCs/>
                <w:sz w:val="20"/>
              </w:rPr>
              <w:t>Generation Resource SCADA Net Real Power provided via Telemetry</w:t>
            </w:r>
            <w:r w:rsidRPr="0013396E">
              <w:rPr>
                <w:iCs/>
                <w:sz w:val="20"/>
              </w:rPr>
              <w:t xml:space="preserve">—The positive net real power provided via telemetry per Resource within the net metering arrangement, integrated for the 15-minute Settlement Interval.  Where for a Combined Cycle Train, the Resource </w:t>
            </w:r>
            <w:r w:rsidRPr="0013396E">
              <w:rPr>
                <w:i/>
                <w:iCs/>
                <w:sz w:val="20"/>
              </w:rPr>
              <w:t>r</w:t>
            </w:r>
            <w:r w:rsidRPr="0013396E">
              <w:rPr>
                <w:iCs/>
                <w:sz w:val="20"/>
              </w:rPr>
              <w:t xml:space="preserve"> is the Combined Cycle Train.</w:t>
            </w:r>
          </w:p>
        </w:tc>
      </w:tr>
      <w:tr w:rsidR="007844A1" w:rsidRPr="0013396E" w14:paraId="4872D9A0" w14:textId="77777777" w:rsidTr="0099759E">
        <w:trPr>
          <w:cantSplit/>
        </w:trPr>
        <w:tc>
          <w:tcPr>
            <w:tcW w:w="2361" w:type="dxa"/>
            <w:tcBorders>
              <w:top w:val="single" w:sz="4" w:space="0" w:color="auto"/>
              <w:left w:val="single" w:sz="4" w:space="0" w:color="auto"/>
              <w:bottom w:val="single" w:sz="4" w:space="0" w:color="auto"/>
              <w:right w:val="single" w:sz="4" w:space="0" w:color="auto"/>
            </w:tcBorders>
            <w:hideMark/>
          </w:tcPr>
          <w:p w14:paraId="3E576C71" w14:textId="77777777" w:rsidR="007844A1" w:rsidRPr="0013396E" w:rsidRDefault="007844A1" w:rsidP="0099759E">
            <w:pPr>
              <w:spacing w:after="60"/>
              <w:rPr>
                <w:i/>
                <w:iCs/>
                <w:sz w:val="20"/>
              </w:rPr>
            </w:pPr>
            <w:r w:rsidRPr="0013396E">
              <w:rPr>
                <w:i/>
                <w:iCs/>
                <w:sz w:val="20"/>
              </w:rPr>
              <w:t>gsc</w:t>
            </w:r>
          </w:p>
        </w:tc>
        <w:tc>
          <w:tcPr>
            <w:tcW w:w="826" w:type="dxa"/>
            <w:tcBorders>
              <w:top w:val="single" w:sz="4" w:space="0" w:color="auto"/>
              <w:left w:val="single" w:sz="4" w:space="0" w:color="auto"/>
              <w:bottom w:val="single" w:sz="4" w:space="0" w:color="auto"/>
              <w:right w:val="single" w:sz="4" w:space="0" w:color="auto"/>
            </w:tcBorders>
            <w:hideMark/>
          </w:tcPr>
          <w:p w14:paraId="3AE807D0" w14:textId="77777777" w:rsidR="007844A1" w:rsidRPr="0013396E" w:rsidRDefault="007844A1" w:rsidP="0099759E">
            <w:pPr>
              <w:spacing w:after="60"/>
              <w:rPr>
                <w:iCs/>
                <w:sz w:val="20"/>
              </w:rPr>
            </w:pPr>
            <w:r w:rsidRPr="0013396E">
              <w:rPr>
                <w:iCs/>
                <w:sz w:val="20"/>
              </w:rPr>
              <w:t>none</w:t>
            </w:r>
          </w:p>
        </w:tc>
        <w:tc>
          <w:tcPr>
            <w:tcW w:w="5884" w:type="dxa"/>
            <w:tcBorders>
              <w:top w:val="single" w:sz="4" w:space="0" w:color="auto"/>
              <w:left w:val="single" w:sz="4" w:space="0" w:color="auto"/>
              <w:bottom w:val="single" w:sz="4" w:space="0" w:color="auto"/>
              <w:right w:val="single" w:sz="4" w:space="0" w:color="auto"/>
            </w:tcBorders>
            <w:hideMark/>
          </w:tcPr>
          <w:p w14:paraId="72808B74" w14:textId="77777777" w:rsidR="007844A1" w:rsidRPr="0013396E" w:rsidRDefault="007844A1" w:rsidP="0099759E">
            <w:pPr>
              <w:spacing w:after="60"/>
              <w:rPr>
                <w:iCs/>
                <w:sz w:val="20"/>
              </w:rPr>
            </w:pPr>
            <w:r w:rsidRPr="0013396E">
              <w:rPr>
                <w:iCs/>
                <w:sz w:val="20"/>
              </w:rPr>
              <w:t>A generation site code.</w:t>
            </w:r>
          </w:p>
        </w:tc>
      </w:tr>
      <w:tr w:rsidR="007844A1" w:rsidRPr="0013396E" w14:paraId="6B17C847" w14:textId="77777777" w:rsidTr="0099759E">
        <w:trPr>
          <w:cantSplit/>
        </w:trPr>
        <w:tc>
          <w:tcPr>
            <w:tcW w:w="2361" w:type="dxa"/>
            <w:tcBorders>
              <w:top w:val="single" w:sz="4" w:space="0" w:color="auto"/>
              <w:left w:val="single" w:sz="4" w:space="0" w:color="auto"/>
              <w:bottom w:val="single" w:sz="4" w:space="0" w:color="auto"/>
              <w:right w:val="single" w:sz="4" w:space="0" w:color="auto"/>
            </w:tcBorders>
            <w:hideMark/>
          </w:tcPr>
          <w:p w14:paraId="7913ABF5" w14:textId="77777777" w:rsidR="007844A1" w:rsidRPr="0013396E" w:rsidRDefault="007844A1" w:rsidP="0099759E">
            <w:pPr>
              <w:spacing w:after="60"/>
              <w:rPr>
                <w:i/>
                <w:iCs/>
                <w:sz w:val="20"/>
              </w:rPr>
            </w:pPr>
            <w:r w:rsidRPr="0013396E">
              <w:rPr>
                <w:i/>
                <w:iCs/>
                <w:sz w:val="20"/>
              </w:rPr>
              <w:lastRenderedPageBreak/>
              <w:t>r</w:t>
            </w:r>
          </w:p>
        </w:tc>
        <w:tc>
          <w:tcPr>
            <w:tcW w:w="826" w:type="dxa"/>
            <w:tcBorders>
              <w:top w:val="single" w:sz="4" w:space="0" w:color="auto"/>
              <w:left w:val="single" w:sz="4" w:space="0" w:color="auto"/>
              <w:bottom w:val="single" w:sz="4" w:space="0" w:color="auto"/>
              <w:right w:val="single" w:sz="4" w:space="0" w:color="auto"/>
            </w:tcBorders>
            <w:hideMark/>
          </w:tcPr>
          <w:p w14:paraId="02B8D83C" w14:textId="77777777" w:rsidR="007844A1" w:rsidRPr="0013396E" w:rsidRDefault="007844A1" w:rsidP="0099759E">
            <w:pPr>
              <w:spacing w:after="60"/>
              <w:rPr>
                <w:iCs/>
                <w:sz w:val="20"/>
              </w:rPr>
            </w:pPr>
            <w:r w:rsidRPr="0013396E">
              <w:rPr>
                <w:iCs/>
                <w:sz w:val="20"/>
              </w:rPr>
              <w:t>none</w:t>
            </w:r>
          </w:p>
        </w:tc>
        <w:tc>
          <w:tcPr>
            <w:tcW w:w="5884" w:type="dxa"/>
            <w:tcBorders>
              <w:top w:val="single" w:sz="4" w:space="0" w:color="auto"/>
              <w:left w:val="single" w:sz="4" w:space="0" w:color="auto"/>
              <w:bottom w:val="single" w:sz="4" w:space="0" w:color="auto"/>
              <w:right w:val="single" w:sz="4" w:space="0" w:color="auto"/>
            </w:tcBorders>
            <w:hideMark/>
          </w:tcPr>
          <w:p w14:paraId="084C1D96" w14:textId="77777777" w:rsidR="007844A1" w:rsidRPr="0013396E" w:rsidRDefault="007844A1" w:rsidP="0099759E">
            <w:pPr>
              <w:spacing w:after="60"/>
              <w:rPr>
                <w:iCs/>
                <w:sz w:val="20"/>
              </w:rPr>
            </w:pPr>
            <w:r w:rsidRPr="0013396E">
              <w:rPr>
                <w:iCs/>
                <w:sz w:val="20"/>
              </w:rPr>
              <w:t xml:space="preserve">A Generation Resource or ESR that is located at the Facility with net metering.  </w:t>
            </w:r>
          </w:p>
        </w:tc>
      </w:tr>
      <w:tr w:rsidR="007844A1" w:rsidRPr="0013396E" w14:paraId="06BDDDB4" w14:textId="77777777" w:rsidTr="0099759E">
        <w:trPr>
          <w:cantSplit/>
        </w:trPr>
        <w:tc>
          <w:tcPr>
            <w:tcW w:w="2361" w:type="dxa"/>
            <w:tcBorders>
              <w:top w:val="single" w:sz="4" w:space="0" w:color="auto"/>
              <w:left w:val="single" w:sz="4" w:space="0" w:color="auto"/>
              <w:bottom w:val="single" w:sz="4" w:space="0" w:color="auto"/>
              <w:right w:val="single" w:sz="4" w:space="0" w:color="auto"/>
            </w:tcBorders>
            <w:hideMark/>
          </w:tcPr>
          <w:p w14:paraId="0A6B32E3" w14:textId="77777777" w:rsidR="007844A1" w:rsidRPr="0013396E" w:rsidRDefault="007844A1" w:rsidP="0099759E">
            <w:pPr>
              <w:spacing w:after="60"/>
              <w:rPr>
                <w:i/>
                <w:iCs/>
                <w:sz w:val="20"/>
              </w:rPr>
            </w:pPr>
            <w:r w:rsidRPr="0013396E">
              <w:rPr>
                <w:i/>
                <w:iCs/>
                <w:sz w:val="20"/>
              </w:rPr>
              <w:t>q</w:t>
            </w:r>
          </w:p>
        </w:tc>
        <w:tc>
          <w:tcPr>
            <w:tcW w:w="826" w:type="dxa"/>
            <w:tcBorders>
              <w:top w:val="single" w:sz="4" w:space="0" w:color="auto"/>
              <w:left w:val="single" w:sz="4" w:space="0" w:color="auto"/>
              <w:bottom w:val="single" w:sz="4" w:space="0" w:color="auto"/>
              <w:right w:val="single" w:sz="4" w:space="0" w:color="auto"/>
            </w:tcBorders>
            <w:hideMark/>
          </w:tcPr>
          <w:p w14:paraId="4D8BF6C5" w14:textId="77777777" w:rsidR="007844A1" w:rsidRPr="0013396E" w:rsidRDefault="007844A1" w:rsidP="0099759E">
            <w:pPr>
              <w:spacing w:after="60"/>
              <w:rPr>
                <w:iCs/>
                <w:sz w:val="20"/>
              </w:rPr>
            </w:pPr>
            <w:r w:rsidRPr="0013396E">
              <w:rPr>
                <w:iCs/>
                <w:sz w:val="20"/>
              </w:rPr>
              <w:t>none</w:t>
            </w:r>
          </w:p>
        </w:tc>
        <w:tc>
          <w:tcPr>
            <w:tcW w:w="5884" w:type="dxa"/>
            <w:tcBorders>
              <w:top w:val="single" w:sz="4" w:space="0" w:color="auto"/>
              <w:left w:val="single" w:sz="4" w:space="0" w:color="auto"/>
              <w:bottom w:val="single" w:sz="4" w:space="0" w:color="auto"/>
              <w:right w:val="single" w:sz="4" w:space="0" w:color="auto"/>
            </w:tcBorders>
            <w:hideMark/>
          </w:tcPr>
          <w:p w14:paraId="0D86C846" w14:textId="77777777" w:rsidR="007844A1" w:rsidRPr="0013396E" w:rsidRDefault="007844A1" w:rsidP="0099759E">
            <w:pPr>
              <w:spacing w:after="60"/>
              <w:rPr>
                <w:iCs/>
                <w:sz w:val="20"/>
              </w:rPr>
            </w:pPr>
            <w:r w:rsidRPr="0013396E">
              <w:rPr>
                <w:iCs/>
                <w:sz w:val="20"/>
              </w:rPr>
              <w:t>A QSE.</w:t>
            </w:r>
          </w:p>
        </w:tc>
      </w:tr>
      <w:tr w:rsidR="007844A1" w:rsidRPr="0013396E" w14:paraId="7CCD93B7" w14:textId="77777777" w:rsidTr="0099759E">
        <w:trPr>
          <w:cantSplit/>
        </w:trPr>
        <w:tc>
          <w:tcPr>
            <w:tcW w:w="2361" w:type="dxa"/>
            <w:tcBorders>
              <w:top w:val="single" w:sz="4" w:space="0" w:color="auto"/>
              <w:left w:val="single" w:sz="4" w:space="0" w:color="auto"/>
              <w:bottom w:val="single" w:sz="4" w:space="0" w:color="auto"/>
              <w:right w:val="single" w:sz="4" w:space="0" w:color="auto"/>
            </w:tcBorders>
            <w:hideMark/>
          </w:tcPr>
          <w:p w14:paraId="3CEF05AD" w14:textId="77777777" w:rsidR="007844A1" w:rsidRPr="0013396E" w:rsidRDefault="007844A1" w:rsidP="0099759E">
            <w:pPr>
              <w:spacing w:after="60"/>
              <w:rPr>
                <w:i/>
                <w:iCs/>
                <w:sz w:val="20"/>
              </w:rPr>
            </w:pPr>
            <w:r w:rsidRPr="0013396E">
              <w:rPr>
                <w:i/>
                <w:iCs/>
                <w:sz w:val="20"/>
              </w:rPr>
              <w:t>p</w:t>
            </w:r>
          </w:p>
        </w:tc>
        <w:tc>
          <w:tcPr>
            <w:tcW w:w="826" w:type="dxa"/>
            <w:tcBorders>
              <w:top w:val="single" w:sz="4" w:space="0" w:color="auto"/>
              <w:left w:val="single" w:sz="4" w:space="0" w:color="auto"/>
              <w:bottom w:val="single" w:sz="4" w:space="0" w:color="auto"/>
              <w:right w:val="single" w:sz="4" w:space="0" w:color="auto"/>
            </w:tcBorders>
            <w:hideMark/>
          </w:tcPr>
          <w:p w14:paraId="38B99C09" w14:textId="77777777" w:rsidR="007844A1" w:rsidRPr="0013396E" w:rsidRDefault="007844A1" w:rsidP="0099759E">
            <w:pPr>
              <w:spacing w:after="60"/>
              <w:rPr>
                <w:iCs/>
                <w:sz w:val="20"/>
              </w:rPr>
            </w:pPr>
            <w:r w:rsidRPr="0013396E">
              <w:rPr>
                <w:iCs/>
                <w:sz w:val="20"/>
              </w:rPr>
              <w:t>none</w:t>
            </w:r>
          </w:p>
        </w:tc>
        <w:tc>
          <w:tcPr>
            <w:tcW w:w="5884" w:type="dxa"/>
            <w:tcBorders>
              <w:top w:val="single" w:sz="4" w:space="0" w:color="auto"/>
              <w:left w:val="single" w:sz="4" w:space="0" w:color="auto"/>
              <w:bottom w:val="single" w:sz="4" w:space="0" w:color="auto"/>
              <w:right w:val="single" w:sz="4" w:space="0" w:color="auto"/>
            </w:tcBorders>
            <w:hideMark/>
          </w:tcPr>
          <w:p w14:paraId="43A3C51C" w14:textId="77777777" w:rsidR="007844A1" w:rsidRPr="0013396E" w:rsidRDefault="007844A1" w:rsidP="0099759E">
            <w:pPr>
              <w:spacing w:after="60"/>
              <w:rPr>
                <w:iCs/>
                <w:sz w:val="20"/>
              </w:rPr>
            </w:pPr>
            <w:r w:rsidRPr="0013396E">
              <w:rPr>
                <w:iCs/>
                <w:sz w:val="20"/>
              </w:rPr>
              <w:t>A Resource Node Settlement Point.</w:t>
            </w:r>
          </w:p>
        </w:tc>
      </w:tr>
    </w:tbl>
    <w:p w14:paraId="6D83F27A" w14:textId="56DD4CCD" w:rsidR="001F04FD" w:rsidRPr="0013396E" w:rsidRDefault="001F04FD" w:rsidP="001F04FD">
      <w:pPr>
        <w:pStyle w:val="BodyTextNumbered"/>
        <w:spacing w:before="240"/>
      </w:pPr>
      <w:r w:rsidRPr="0013396E">
        <w:t>(6)</w:t>
      </w:r>
      <w:r w:rsidRPr="0013396E">
        <w:tab/>
        <w:t>The total net payments and charges to each QSE for Energy Imbalance Service at all Resource Node Settlement Points for the 15-minute Settlement Interval is calculated as follows:</w:t>
      </w:r>
    </w:p>
    <w:p w14:paraId="79FA2C4D" w14:textId="77777777" w:rsidR="001F04FD" w:rsidRPr="0013396E" w:rsidRDefault="001F04FD" w:rsidP="001F04FD">
      <w:pPr>
        <w:pStyle w:val="FormulaBold"/>
      </w:pPr>
      <w:r w:rsidRPr="0013396E">
        <w:t xml:space="preserve">RTEIAMTQSETOT </w:t>
      </w:r>
      <w:r w:rsidRPr="0013396E">
        <w:rPr>
          <w:i/>
          <w:vertAlign w:val="subscript"/>
        </w:rPr>
        <w:t>q</w:t>
      </w:r>
      <w:r w:rsidRPr="0013396E">
        <w:tab/>
        <w:t>=</w:t>
      </w:r>
      <w:r w:rsidRPr="0013396E">
        <w:tab/>
      </w:r>
      <w:r w:rsidRPr="0013396E">
        <w:rPr>
          <w:position w:val="-22"/>
        </w:rPr>
        <w:object w:dxaOrig="225" w:dyaOrig="465" w14:anchorId="61654585">
          <v:shape id="_x0000_i1124" type="#_x0000_t75" style="width:12pt;height:18.6pt" o:ole="">
            <v:imagedata r:id="rId142" o:title=""/>
          </v:shape>
          <o:OLEObject Type="Embed" ProgID="Equation.3" ShapeID="_x0000_i1124" DrawAspect="Content" ObjectID="_1849065755" r:id="rId143"/>
        </w:object>
      </w:r>
      <w:r w:rsidRPr="0013396E">
        <w:t xml:space="preserve"> RTEIAMT </w:t>
      </w:r>
      <w:r w:rsidRPr="0013396E">
        <w:rPr>
          <w:i/>
          <w:vertAlign w:val="subscript"/>
        </w:rPr>
        <w:t>q, p</w:t>
      </w:r>
    </w:p>
    <w:p w14:paraId="0D827B17" w14:textId="77777777" w:rsidR="001F04FD" w:rsidRPr="0013396E" w:rsidRDefault="001F04FD" w:rsidP="001F04FD">
      <w:r w:rsidRPr="0013396E">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074"/>
      </w:tblGrid>
      <w:tr w:rsidR="001F04FD" w:rsidRPr="0013396E" w14:paraId="6E4FC206" w14:textId="77777777" w:rsidTr="00AC4DEE">
        <w:trPr>
          <w:cantSplit/>
          <w:tblHeader/>
        </w:trPr>
        <w:tc>
          <w:tcPr>
            <w:tcW w:w="2165" w:type="dxa"/>
          </w:tcPr>
          <w:p w14:paraId="61B8D13C" w14:textId="77777777" w:rsidR="001F04FD" w:rsidRPr="0013396E" w:rsidRDefault="001F04FD" w:rsidP="00AC4DEE">
            <w:pPr>
              <w:pStyle w:val="TableHead"/>
            </w:pPr>
            <w:r w:rsidRPr="0013396E">
              <w:t>Variable</w:t>
            </w:r>
          </w:p>
        </w:tc>
        <w:tc>
          <w:tcPr>
            <w:tcW w:w="832" w:type="dxa"/>
          </w:tcPr>
          <w:p w14:paraId="0A3FC743" w14:textId="77777777" w:rsidR="001F04FD" w:rsidRPr="0013396E" w:rsidRDefault="001F04FD" w:rsidP="00AC4DEE">
            <w:pPr>
              <w:pStyle w:val="TableHead"/>
            </w:pPr>
            <w:r w:rsidRPr="0013396E">
              <w:t>Unit</w:t>
            </w:r>
          </w:p>
        </w:tc>
        <w:tc>
          <w:tcPr>
            <w:tcW w:w="6074" w:type="dxa"/>
          </w:tcPr>
          <w:p w14:paraId="4BCC0E5C" w14:textId="77777777" w:rsidR="001F04FD" w:rsidRPr="0013396E" w:rsidRDefault="001F04FD" w:rsidP="00AC4DEE">
            <w:pPr>
              <w:pStyle w:val="TableHead"/>
            </w:pPr>
            <w:r w:rsidRPr="0013396E">
              <w:t>Definition</w:t>
            </w:r>
          </w:p>
        </w:tc>
      </w:tr>
      <w:tr w:rsidR="001F04FD" w:rsidRPr="0013396E" w14:paraId="4A9D5B76" w14:textId="77777777" w:rsidTr="00AC4DEE">
        <w:trPr>
          <w:cantSplit/>
        </w:trPr>
        <w:tc>
          <w:tcPr>
            <w:tcW w:w="2165" w:type="dxa"/>
          </w:tcPr>
          <w:p w14:paraId="04D361E2" w14:textId="77777777" w:rsidR="001F04FD" w:rsidRPr="0013396E" w:rsidRDefault="001F04FD" w:rsidP="00AC4DEE">
            <w:pPr>
              <w:pStyle w:val="TableBody"/>
            </w:pPr>
            <w:r w:rsidRPr="0013396E">
              <w:t xml:space="preserve">RTEIAMTQSETOT </w:t>
            </w:r>
            <w:r w:rsidRPr="0013396E">
              <w:rPr>
                <w:i/>
                <w:vertAlign w:val="subscript"/>
              </w:rPr>
              <w:t>q</w:t>
            </w:r>
          </w:p>
        </w:tc>
        <w:tc>
          <w:tcPr>
            <w:tcW w:w="832" w:type="dxa"/>
          </w:tcPr>
          <w:p w14:paraId="3C5EDEC3" w14:textId="77777777" w:rsidR="001F04FD" w:rsidRPr="0013396E" w:rsidRDefault="001F04FD" w:rsidP="00AC4DEE">
            <w:pPr>
              <w:pStyle w:val="TableBody"/>
            </w:pPr>
            <w:r w:rsidRPr="0013396E">
              <w:t>$</w:t>
            </w:r>
          </w:p>
        </w:tc>
        <w:tc>
          <w:tcPr>
            <w:tcW w:w="6074" w:type="dxa"/>
          </w:tcPr>
          <w:p w14:paraId="1E94B981" w14:textId="77777777" w:rsidR="001F04FD" w:rsidRPr="0013396E" w:rsidRDefault="001F04FD" w:rsidP="00AC4DEE">
            <w:pPr>
              <w:pStyle w:val="TableBody"/>
            </w:pPr>
            <w:r w:rsidRPr="0013396E">
              <w:rPr>
                <w:i/>
              </w:rPr>
              <w:t>Real-Time Energy Imbalance Amount QSE Total per QSE</w:t>
            </w:r>
            <w:r w:rsidRPr="0013396E">
              <w:sym w:font="Symbol" w:char="F0BE"/>
            </w:r>
            <w:r w:rsidRPr="0013396E">
              <w:t xml:space="preserve">The total net payments and charges to QSE </w:t>
            </w:r>
            <w:r w:rsidRPr="0013396E">
              <w:rPr>
                <w:i/>
              </w:rPr>
              <w:t>q</w:t>
            </w:r>
            <w:r w:rsidRPr="0013396E">
              <w:t xml:space="preserve"> for Real-Time Energy Imbalance Service at all Resource Node Settlement Points for the 15-minute Settlement Interval.</w:t>
            </w:r>
          </w:p>
        </w:tc>
      </w:tr>
      <w:tr w:rsidR="001F04FD" w:rsidRPr="0013396E" w14:paraId="35539610" w14:textId="77777777" w:rsidTr="00AC4DEE">
        <w:trPr>
          <w:cantSplit/>
        </w:trPr>
        <w:tc>
          <w:tcPr>
            <w:tcW w:w="2165" w:type="dxa"/>
          </w:tcPr>
          <w:p w14:paraId="11CA904B" w14:textId="77777777" w:rsidR="001F04FD" w:rsidRPr="0013396E" w:rsidRDefault="001F04FD" w:rsidP="00AC4DEE">
            <w:pPr>
              <w:pStyle w:val="TableBody"/>
            </w:pPr>
            <w:r w:rsidRPr="0013396E">
              <w:t xml:space="preserve">RTEIAMT </w:t>
            </w:r>
            <w:r w:rsidRPr="0013396E">
              <w:rPr>
                <w:i/>
                <w:vertAlign w:val="subscript"/>
              </w:rPr>
              <w:t>q, p</w:t>
            </w:r>
          </w:p>
        </w:tc>
        <w:tc>
          <w:tcPr>
            <w:tcW w:w="832" w:type="dxa"/>
          </w:tcPr>
          <w:p w14:paraId="230E393B" w14:textId="77777777" w:rsidR="001F04FD" w:rsidRPr="0013396E" w:rsidRDefault="001F04FD" w:rsidP="00AC4DEE">
            <w:pPr>
              <w:pStyle w:val="TableBody"/>
            </w:pPr>
            <w:r w:rsidRPr="0013396E">
              <w:t>$</w:t>
            </w:r>
          </w:p>
        </w:tc>
        <w:tc>
          <w:tcPr>
            <w:tcW w:w="6074" w:type="dxa"/>
          </w:tcPr>
          <w:p w14:paraId="73B657CF" w14:textId="77777777" w:rsidR="001F04FD" w:rsidRPr="0013396E" w:rsidRDefault="001F04FD" w:rsidP="00AC4DEE">
            <w:pPr>
              <w:pStyle w:val="TableBody"/>
            </w:pPr>
            <w:r w:rsidRPr="0013396E">
              <w:rPr>
                <w:i/>
              </w:rPr>
              <w:t>Real-Time Energy Imbalance Amount per QSE per Settlement Point</w:t>
            </w:r>
            <w:r w:rsidRPr="0013396E">
              <w:t xml:space="preserve">—The payment or charge to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1F04FD" w:rsidRPr="0013396E" w14:paraId="281BEB12" w14:textId="77777777" w:rsidTr="00AC4DEE">
        <w:trPr>
          <w:cantSplit/>
        </w:trPr>
        <w:tc>
          <w:tcPr>
            <w:tcW w:w="2165" w:type="dxa"/>
            <w:tcBorders>
              <w:top w:val="single" w:sz="4" w:space="0" w:color="auto"/>
              <w:left w:val="single" w:sz="4" w:space="0" w:color="auto"/>
              <w:bottom w:val="single" w:sz="4" w:space="0" w:color="auto"/>
              <w:right w:val="single" w:sz="4" w:space="0" w:color="auto"/>
            </w:tcBorders>
          </w:tcPr>
          <w:p w14:paraId="62B0B303" w14:textId="77777777" w:rsidR="001F04FD" w:rsidRPr="0013396E" w:rsidRDefault="001F04FD" w:rsidP="00AC4DE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2FD053B5"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66280385" w14:textId="77777777" w:rsidR="001F04FD" w:rsidRPr="0013396E" w:rsidRDefault="001F04FD" w:rsidP="00AC4DEE">
            <w:pPr>
              <w:pStyle w:val="TableBody"/>
            </w:pPr>
            <w:r w:rsidRPr="0013396E">
              <w:t>A QSE.</w:t>
            </w:r>
          </w:p>
        </w:tc>
      </w:tr>
      <w:tr w:rsidR="001F04FD" w:rsidRPr="0013396E" w14:paraId="6CC45A06" w14:textId="77777777" w:rsidTr="00AC4DEE">
        <w:trPr>
          <w:cantSplit/>
        </w:trPr>
        <w:tc>
          <w:tcPr>
            <w:tcW w:w="2165" w:type="dxa"/>
            <w:tcBorders>
              <w:top w:val="single" w:sz="4" w:space="0" w:color="auto"/>
              <w:left w:val="single" w:sz="4" w:space="0" w:color="auto"/>
              <w:bottom w:val="single" w:sz="4" w:space="0" w:color="auto"/>
              <w:right w:val="single" w:sz="4" w:space="0" w:color="auto"/>
            </w:tcBorders>
          </w:tcPr>
          <w:p w14:paraId="5215DEA4" w14:textId="77777777" w:rsidR="001F04FD" w:rsidRPr="0013396E" w:rsidRDefault="001F04FD" w:rsidP="00AC4DEE">
            <w:pPr>
              <w:pStyle w:val="TableBody"/>
              <w:rPr>
                <w:i/>
              </w:rPr>
            </w:pPr>
            <w:r w:rsidRPr="0013396E">
              <w:rPr>
                <w:i/>
              </w:rPr>
              <w:t>p</w:t>
            </w:r>
          </w:p>
        </w:tc>
        <w:tc>
          <w:tcPr>
            <w:tcW w:w="832" w:type="dxa"/>
            <w:tcBorders>
              <w:top w:val="single" w:sz="4" w:space="0" w:color="auto"/>
              <w:left w:val="single" w:sz="4" w:space="0" w:color="auto"/>
              <w:bottom w:val="single" w:sz="4" w:space="0" w:color="auto"/>
              <w:right w:val="single" w:sz="4" w:space="0" w:color="auto"/>
            </w:tcBorders>
          </w:tcPr>
          <w:p w14:paraId="2C0B0FE6"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3F6DA79F" w14:textId="77777777" w:rsidR="001F04FD" w:rsidRPr="0013396E" w:rsidRDefault="001F04FD" w:rsidP="00AC4DEE">
            <w:pPr>
              <w:pStyle w:val="TableBody"/>
            </w:pPr>
            <w:r w:rsidRPr="0013396E">
              <w:t>A Resource Node Settlement Point.</w:t>
            </w:r>
          </w:p>
        </w:tc>
      </w:tr>
    </w:tbl>
    <w:p w14:paraId="43BE7B29" w14:textId="77777777" w:rsidR="001F04FD" w:rsidRPr="0013396E" w:rsidRDefault="001F04FD" w:rsidP="001F04FD">
      <w:pPr>
        <w:pStyle w:val="H4"/>
        <w:spacing w:before="480"/>
        <w:ind w:left="1267" w:hanging="1267"/>
      </w:pPr>
      <w:bookmarkStart w:id="1577" w:name="_Toc397505014"/>
      <w:bookmarkStart w:id="1578" w:name="_Toc402357142"/>
      <w:bookmarkStart w:id="1579" w:name="_Toc422486520"/>
      <w:bookmarkStart w:id="1580" w:name="_Toc433093372"/>
      <w:bookmarkStart w:id="1581" w:name="_Toc433093530"/>
      <w:bookmarkStart w:id="1582" w:name="_Toc440874758"/>
      <w:bookmarkStart w:id="1583" w:name="_Toc448142313"/>
      <w:bookmarkStart w:id="1584" w:name="_Toc448142470"/>
      <w:bookmarkStart w:id="1585" w:name="_Toc458770311"/>
      <w:bookmarkStart w:id="1586" w:name="_Toc459294279"/>
      <w:bookmarkStart w:id="1587" w:name="_Toc463262772"/>
      <w:bookmarkStart w:id="1588" w:name="_Toc468286845"/>
      <w:bookmarkStart w:id="1589" w:name="_Toc481502888"/>
      <w:bookmarkStart w:id="1590" w:name="_Toc496080056"/>
      <w:bookmarkStart w:id="1591" w:name="_Toc236220177"/>
      <w:r w:rsidRPr="0013396E">
        <w:t>6.6.3.2</w:t>
      </w:r>
      <w:r w:rsidRPr="0013396E">
        <w:tab/>
        <w:t>Real-Time Energy Imbalance Payment or Charge at a Load Zone</w:t>
      </w:r>
      <w:bookmarkEnd w:id="1568"/>
      <w:bookmarkEnd w:id="1569"/>
      <w:bookmarkEnd w:id="1570"/>
      <w:bookmarkEnd w:id="1571"/>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14:paraId="7D87ABC8" w14:textId="77777777" w:rsidR="001F04FD" w:rsidRPr="0013396E" w:rsidRDefault="001F04FD" w:rsidP="001F04FD">
      <w:pPr>
        <w:pStyle w:val="BodyTextNumbered"/>
      </w:pPr>
      <w:r w:rsidRPr="0013396E">
        <w:t>(1)</w:t>
      </w:r>
      <w:r w:rsidRPr="0013396E">
        <w:tab/>
        <w:t xml:space="preserve">The payment or charge to each QSE for Energy Imbalance Service is calculated based on the Real-Time Settlement Point Price for the following amounts at a particular Load Zone Settlement Point: </w:t>
      </w:r>
    </w:p>
    <w:p w14:paraId="58D61A54" w14:textId="77777777" w:rsidR="001F04FD" w:rsidRPr="0013396E" w:rsidRDefault="001F04FD" w:rsidP="001F04FD">
      <w:pPr>
        <w:pStyle w:val="BodyTextNumbered"/>
        <w:ind w:left="1440"/>
      </w:pPr>
      <w:r w:rsidRPr="0013396E">
        <w:t>(a)</w:t>
      </w:r>
      <w:r w:rsidRPr="0013396E">
        <w:tab/>
        <w:t xml:space="preserve">The amount of its Self-Schedules with sink specified at the Settlement Point; plus </w:t>
      </w:r>
    </w:p>
    <w:p w14:paraId="28BD0054" w14:textId="77777777" w:rsidR="001F04FD" w:rsidRPr="0013396E" w:rsidRDefault="001F04FD" w:rsidP="001F04FD">
      <w:pPr>
        <w:pStyle w:val="BodyTextNumbered"/>
        <w:ind w:left="1440"/>
      </w:pPr>
      <w:r w:rsidRPr="0013396E">
        <w:t>(b)</w:t>
      </w:r>
      <w:r w:rsidRPr="0013396E">
        <w:tab/>
        <w:t xml:space="preserve">The amount of its DAM Energy Bids cleared in the DAM at the Settlement Point; plus </w:t>
      </w:r>
    </w:p>
    <w:p w14:paraId="75C25AFF" w14:textId="77777777" w:rsidR="001F04FD" w:rsidRPr="0013396E" w:rsidRDefault="001F04FD" w:rsidP="001F04FD">
      <w:pPr>
        <w:pStyle w:val="BodyTextNumbered"/>
        <w:ind w:left="1440"/>
      </w:pPr>
      <w:r w:rsidRPr="0013396E">
        <w:t>(c)</w:t>
      </w:r>
      <w:r w:rsidRPr="0013396E">
        <w:tab/>
        <w:t xml:space="preserve">The amount of its Energy Trades at the Settlement Point where the QSE is the buyer; minus </w:t>
      </w:r>
    </w:p>
    <w:p w14:paraId="3C29E997" w14:textId="77777777" w:rsidR="001F04FD" w:rsidRPr="0013396E" w:rsidRDefault="001F04FD" w:rsidP="001F04FD">
      <w:pPr>
        <w:pStyle w:val="BodyTextNumbered"/>
        <w:ind w:left="1440"/>
      </w:pPr>
      <w:r w:rsidRPr="0013396E">
        <w:t>(d)</w:t>
      </w:r>
      <w:r w:rsidRPr="0013396E">
        <w:tab/>
        <w:t xml:space="preserve">The amount of its Self-Schedules with source specified at the Settlement Point; minus </w:t>
      </w:r>
    </w:p>
    <w:p w14:paraId="2EF3108F" w14:textId="77777777" w:rsidR="001F04FD" w:rsidRPr="0013396E" w:rsidRDefault="001F04FD" w:rsidP="001F04FD">
      <w:pPr>
        <w:pStyle w:val="BodyTextNumbered"/>
        <w:ind w:left="1440"/>
      </w:pPr>
      <w:r w:rsidRPr="0013396E">
        <w:t>(e)</w:t>
      </w:r>
      <w:r w:rsidRPr="0013396E">
        <w:tab/>
        <w:t xml:space="preserve">The amount of its energy offers cleared in the DAM at the Settlement Point; minus </w:t>
      </w:r>
    </w:p>
    <w:p w14:paraId="3DCF1B76" w14:textId="77777777" w:rsidR="001F04FD" w:rsidRPr="0013396E" w:rsidRDefault="001F04FD" w:rsidP="001F04FD">
      <w:pPr>
        <w:pStyle w:val="BodyTextNumbered"/>
        <w:ind w:left="1440"/>
      </w:pPr>
      <w:r w:rsidRPr="0013396E">
        <w:t>(f)</w:t>
      </w:r>
      <w:r w:rsidRPr="0013396E">
        <w:tab/>
        <w:t xml:space="preserve">The amount of its Energy Trades at the Settlement Point where the QSE is the seller; minus </w:t>
      </w:r>
    </w:p>
    <w:p w14:paraId="4D5D4BB8" w14:textId="11F207E0" w:rsidR="001F04FD" w:rsidRPr="0013396E" w:rsidRDefault="001F04FD" w:rsidP="001F04FD">
      <w:pPr>
        <w:pStyle w:val="BodyTextNumbered"/>
        <w:ind w:left="1440"/>
      </w:pPr>
      <w:r w:rsidRPr="0013396E">
        <w:lastRenderedPageBreak/>
        <w:t>(g)</w:t>
      </w:r>
      <w:r w:rsidRPr="0013396E">
        <w:tab/>
        <w:t>Its AML at the Settlement Point</w:t>
      </w:r>
      <w:r w:rsidR="003963CD" w:rsidRPr="0013396E">
        <w:t xml:space="preserve"> excluding Non-WSL ESR Charging Load</w:t>
      </w:r>
      <w:r w:rsidRPr="0013396E">
        <w:t>; plus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32873" w:rsidRPr="0013396E" w14:paraId="58F10FFE" w14:textId="77777777" w:rsidTr="00632873">
        <w:trPr>
          <w:trHeight w:val="566"/>
        </w:trPr>
        <w:tc>
          <w:tcPr>
            <w:tcW w:w="9350" w:type="dxa"/>
            <w:shd w:val="pct12" w:color="auto" w:fill="auto"/>
          </w:tcPr>
          <w:p w14:paraId="180101FD" w14:textId="33E21669" w:rsidR="00632873" w:rsidRPr="0013396E" w:rsidRDefault="00632873" w:rsidP="00F5593C">
            <w:pPr>
              <w:pStyle w:val="Instructions"/>
              <w:spacing w:before="60"/>
            </w:pPr>
            <w:r w:rsidRPr="0013396E">
              <w:t>[NPRR1188:  Replace item (g) above with the following upon system implementation:]</w:t>
            </w:r>
          </w:p>
          <w:p w14:paraId="79B61282" w14:textId="250141B0" w:rsidR="00632873" w:rsidRPr="0013396E" w:rsidRDefault="00632873" w:rsidP="00632873">
            <w:pPr>
              <w:spacing w:after="240"/>
              <w:ind w:left="1440" w:hanging="720"/>
            </w:pPr>
            <w:r w:rsidRPr="0013396E">
              <w:t>(g)</w:t>
            </w:r>
            <w:r w:rsidRPr="0013396E">
              <w:tab/>
              <w:t>Its AML at the Settlement Point excluding Non-WSL ESR Charging Load and CLR Load of a CLR (that is not an ALR); plus</w:t>
            </w:r>
          </w:p>
        </w:tc>
      </w:tr>
    </w:tbl>
    <w:p w14:paraId="25A6A974" w14:textId="4789CAED" w:rsidR="000E55F3" w:rsidRPr="0013396E" w:rsidRDefault="001F04FD" w:rsidP="004116AE">
      <w:pPr>
        <w:spacing w:before="240" w:after="240"/>
        <w:ind w:left="1440" w:hanging="720"/>
      </w:pPr>
      <w:r w:rsidRPr="0013396E">
        <w:t>(h)</w:t>
      </w:r>
      <w:r w:rsidRPr="0013396E">
        <w:tab/>
      </w:r>
      <w:r w:rsidR="000E55F3" w:rsidRPr="0013396E">
        <w:t>The aggregated generation of its Settlement Only Transmission Self-Generators (SOTSGs) at the Settlement Point.  SOTSG sites will be represented as a single unit in the ERCOT Settlement system.</w:t>
      </w:r>
      <w:r w:rsidR="001C0176" w:rsidRPr="0013396E">
        <w:t>; plus</w:t>
      </w:r>
    </w:p>
    <w:p w14:paraId="0F2EA11F" w14:textId="0C532EC7" w:rsidR="001F04FD" w:rsidRPr="0013396E" w:rsidRDefault="000E55F3" w:rsidP="00776B44">
      <w:pPr>
        <w:spacing w:after="240"/>
        <w:ind w:left="1440" w:hanging="720"/>
      </w:pPr>
      <w:r w:rsidRPr="0013396E">
        <w:t>(i)        The aggregated generation of its Settlement Only Distribution Generators (SODGs) and Settlement Only Transmission Generators (SOTGs) that have elected to retain Load Zone pricing in accordance with Section 6.6.3.</w:t>
      </w:r>
      <w:r w:rsidR="00720B34" w:rsidRPr="0013396E">
        <w:t>8</w:t>
      </w:r>
      <w:r w:rsidRPr="0013396E">
        <w:t>, Real-Time Payment or Charge for Energy from a Settlement Only Distribution Generator (SODG) or a Settlement Only Transmission Generator (SOTG).  SODG and SOTG sites will be represented as a single unit in the ERCOT Settlement system</w:t>
      </w:r>
      <w:r w:rsidR="001C0176" w:rsidRPr="0013396E">
        <w:t>; plus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D13EE" w:rsidRPr="0013396E" w14:paraId="5B4B429D" w14:textId="77777777" w:rsidTr="00BE136C">
        <w:trPr>
          <w:trHeight w:val="566"/>
        </w:trPr>
        <w:tc>
          <w:tcPr>
            <w:tcW w:w="9350" w:type="dxa"/>
            <w:shd w:val="pct12" w:color="auto" w:fill="auto"/>
          </w:tcPr>
          <w:p w14:paraId="0AE7DC7C" w14:textId="5BFDE3CE" w:rsidR="00AD13EE" w:rsidRPr="0013396E" w:rsidRDefault="00AD13EE" w:rsidP="00A16AF1">
            <w:pPr>
              <w:pStyle w:val="Instructions"/>
              <w:spacing w:before="60"/>
            </w:pPr>
            <w:r w:rsidRPr="0013396E">
              <w:t>[</w:t>
            </w:r>
            <w:r w:rsidR="00B44DD8" w:rsidRPr="0013396E">
              <w:t>NPRR995</w:t>
            </w:r>
            <w:r w:rsidRPr="0013396E">
              <w:t>:  Replace</w:t>
            </w:r>
            <w:r w:rsidR="006465B2" w:rsidRPr="0013396E">
              <w:t xml:space="preserve"> </w:t>
            </w:r>
            <w:r w:rsidR="00BE136C" w:rsidRPr="0013396E">
              <w:t xml:space="preserve">paragraph </w:t>
            </w:r>
            <w:r w:rsidRPr="0013396E">
              <w:t>(</w:t>
            </w:r>
            <w:r w:rsidR="00BE136C" w:rsidRPr="0013396E">
              <w:t>i</w:t>
            </w:r>
            <w:r w:rsidRPr="0013396E">
              <w:t>) above with the following upon system implementation:]</w:t>
            </w:r>
          </w:p>
          <w:p w14:paraId="7C6C216D" w14:textId="0F9FBE71" w:rsidR="007332D0" w:rsidRPr="0013396E" w:rsidRDefault="00DE74B1" w:rsidP="00925E7F">
            <w:pPr>
              <w:spacing w:after="240"/>
              <w:ind w:left="1440" w:hanging="720"/>
            </w:pPr>
            <w:r w:rsidRPr="0013396E">
              <w:t>(i)        The aggregated generation of its Settlement Only Distribution Generators (SODGs) and Settlement Only Transmission Generators (SOTGs) that have elected to retain Load Zone pricing in accordance with Section 6.6.3.</w:t>
            </w:r>
            <w:r w:rsidR="0076227F" w:rsidRPr="0013396E">
              <w:t>8</w:t>
            </w:r>
            <w:r w:rsidRPr="0013396E">
              <w:t>, Real-Time Payment or Charge for Energy from a Settlement Only Distribution Generator (SODG)</w:t>
            </w:r>
            <w:r w:rsidR="00341E22" w:rsidRPr="0013396E">
              <w:t>,</w:t>
            </w:r>
            <w:r w:rsidRPr="0013396E">
              <w:t xml:space="preserve"> Settlement Only Transmission Generator (SOTG)</w:t>
            </w:r>
            <w:r w:rsidR="00341E22" w:rsidRPr="0013396E">
              <w:t>, Settlement Only Distribution Energy Storage System (SODESS), or Settlement Only Transmission Energy Storage System (SOTESS)</w:t>
            </w:r>
            <w:r w:rsidRPr="0013396E">
              <w:t>.  SODG</w:t>
            </w:r>
            <w:r w:rsidR="00341E22" w:rsidRPr="0013396E">
              <w:t>,</w:t>
            </w:r>
            <w:r w:rsidRPr="0013396E">
              <w:t xml:space="preserve"> SOTG</w:t>
            </w:r>
            <w:r w:rsidR="006465B2" w:rsidRPr="0013396E">
              <w:t>, Settlement Only Distribution Energy Storage System (SODESS), and Settlement Only Transmission Energy Storage System (SOTESS)</w:t>
            </w:r>
            <w:r w:rsidRPr="0013396E">
              <w:t xml:space="preserve"> sites will be represented as a single unit in the ERCOT Settlement system</w:t>
            </w:r>
            <w:r w:rsidR="001C0176" w:rsidRPr="0013396E">
              <w:t>; plus</w:t>
            </w:r>
          </w:p>
        </w:tc>
      </w:tr>
    </w:tbl>
    <w:p w14:paraId="3DA9229F" w14:textId="77777777" w:rsidR="00BE136C" w:rsidRPr="0013396E" w:rsidRDefault="00BE136C" w:rsidP="00BE136C">
      <w:pPr>
        <w:spacing w:before="240" w:after="240"/>
        <w:ind w:left="1440" w:hanging="720"/>
      </w:pPr>
      <w:r w:rsidRPr="0013396E">
        <w:t>(j)        The aggregated generation of its Energy Storage System (ESS) SODGs and SOTGs at sites where the ESS capacity constitutes more than 50% of the total SODG or SOTG nameplate capacity, as confirmed by an affidavit submitted by the Resource Entity for the site.  SODG and SOTG sites will be represented as a single unit in the ERCOT Settlement system.</w:t>
      </w:r>
    </w:p>
    <w:p w14:paraId="71477027" w14:textId="54AAF5EB" w:rsidR="001F04FD" w:rsidRPr="0013396E" w:rsidRDefault="001F04FD" w:rsidP="008D7D6C">
      <w:pPr>
        <w:pStyle w:val="BodyTextNumbered"/>
        <w:spacing w:before="240"/>
        <w:rPr>
          <w:iCs/>
        </w:rPr>
      </w:pPr>
      <w:r w:rsidRPr="0013396E">
        <w:rPr>
          <w:iCs/>
        </w:rPr>
        <w:t>(2)</w:t>
      </w:r>
      <w:r w:rsidRPr="0013396E">
        <w:rPr>
          <w:iCs/>
        </w:rPr>
        <w:tab/>
        <w:t>The payment or charge to each QSE for Energy Imbalance Service at a Load Zone for a given 15-minute Settlement Interval is calculated as follows:</w:t>
      </w:r>
    </w:p>
    <w:p w14:paraId="5CA67051" w14:textId="560687F6" w:rsidR="001F04FD" w:rsidRPr="0013396E" w:rsidRDefault="001F04FD" w:rsidP="001F04FD">
      <w:pPr>
        <w:pStyle w:val="FormulaBold"/>
        <w:ind w:left="3150" w:hanging="2430"/>
        <w:rPr>
          <w:sz w:val="32"/>
        </w:rPr>
      </w:pPr>
      <w:r w:rsidRPr="0013396E">
        <w:t xml:space="preserve">RTEIAMT </w:t>
      </w:r>
      <w:r w:rsidRPr="0013396E">
        <w:rPr>
          <w:i/>
          <w:vertAlign w:val="subscript"/>
        </w:rPr>
        <w:t>q, p</w:t>
      </w:r>
      <w:r w:rsidRPr="0013396E">
        <w:tab/>
        <w:t>=</w:t>
      </w:r>
      <w:r w:rsidRPr="0013396E">
        <w:tab/>
        <w:t xml:space="preserve">(-1) * </w:t>
      </w:r>
      <w:r w:rsidRPr="0013396E">
        <w:rPr>
          <w:sz w:val="32"/>
        </w:rPr>
        <w:t>{[</w:t>
      </w:r>
      <w:r w:rsidRPr="0013396E">
        <w:t xml:space="preserve">RTSPP </w:t>
      </w:r>
      <w:r w:rsidRPr="0013396E">
        <w:rPr>
          <w:i/>
          <w:vertAlign w:val="subscript"/>
        </w:rPr>
        <w:t>p</w:t>
      </w:r>
      <w:r w:rsidRPr="0013396E">
        <w:t xml:space="preserve"> * [(SSSK </w:t>
      </w:r>
      <w:r w:rsidRPr="0013396E">
        <w:rPr>
          <w:i/>
          <w:vertAlign w:val="subscript"/>
        </w:rPr>
        <w:t>q, p</w:t>
      </w:r>
      <w:r w:rsidRPr="0013396E">
        <w:t xml:space="preserve"> * ¼) + (DAEP </w:t>
      </w:r>
      <w:r w:rsidRPr="0013396E">
        <w:rPr>
          <w:i/>
          <w:vertAlign w:val="subscript"/>
        </w:rPr>
        <w:t>q, p</w:t>
      </w:r>
      <w:r w:rsidRPr="0013396E">
        <w:t xml:space="preserve"> * ¼) + (RTQQEP </w:t>
      </w:r>
      <w:r w:rsidRPr="0013396E">
        <w:rPr>
          <w:i/>
          <w:vertAlign w:val="subscript"/>
        </w:rPr>
        <w:t>q, p</w:t>
      </w:r>
      <w:r w:rsidRPr="0013396E">
        <w:t xml:space="preserve"> * ¼) – (SSSR </w:t>
      </w:r>
      <w:r w:rsidRPr="0013396E">
        <w:rPr>
          <w:i/>
          <w:vertAlign w:val="subscript"/>
        </w:rPr>
        <w:t>q, p</w:t>
      </w:r>
      <w:r w:rsidRPr="0013396E">
        <w:t xml:space="preserve"> * ¼) – (DAES </w:t>
      </w:r>
      <w:r w:rsidRPr="0013396E">
        <w:rPr>
          <w:i/>
          <w:vertAlign w:val="subscript"/>
        </w:rPr>
        <w:t>q, p</w:t>
      </w:r>
      <w:r w:rsidRPr="0013396E">
        <w:t xml:space="preserve"> * ¼) – </w:t>
      </w:r>
      <w:r w:rsidRPr="0013396E">
        <w:lastRenderedPageBreak/>
        <w:t xml:space="preserve">(RTQQES </w:t>
      </w:r>
      <w:r w:rsidRPr="0013396E">
        <w:rPr>
          <w:i/>
          <w:vertAlign w:val="subscript"/>
        </w:rPr>
        <w:t>q, p</w:t>
      </w:r>
      <w:r w:rsidRPr="0013396E">
        <w:t xml:space="preserve"> * ¼)]</w:t>
      </w:r>
      <w:r w:rsidRPr="0013396E">
        <w:rPr>
          <w:sz w:val="32"/>
          <w:szCs w:val="32"/>
        </w:rPr>
        <w:t xml:space="preserve">] </w:t>
      </w:r>
      <w:r w:rsidRPr="0013396E">
        <w:t xml:space="preserve">+ </w:t>
      </w:r>
      <w:r w:rsidRPr="0013396E">
        <w:rPr>
          <w:sz w:val="32"/>
        </w:rPr>
        <w:t>[</w:t>
      </w:r>
      <w:r w:rsidRPr="0013396E">
        <w:t>RTSPPEW</w:t>
      </w:r>
      <w:r w:rsidRPr="0013396E">
        <w:rPr>
          <w:i/>
          <w:vertAlign w:val="subscript"/>
        </w:rPr>
        <w:t xml:space="preserve"> p</w:t>
      </w:r>
      <w:r w:rsidRPr="0013396E">
        <w:t xml:space="preserve"> * (RTMG</w:t>
      </w:r>
      <w:r w:rsidR="00BE136C" w:rsidRPr="0013396E">
        <w:t>SOGZ</w:t>
      </w:r>
      <w:r w:rsidRPr="0013396E">
        <w:t xml:space="preserve"> </w:t>
      </w:r>
      <w:r w:rsidRPr="0013396E">
        <w:rPr>
          <w:i/>
          <w:vertAlign w:val="subscript"/>
        </w:rPr>
        <w:t>q, p</w:t>
      </w:r>
      <w:r w:rsidRPr="0013396E">
        <w:t xml:space="preserve"> – </w:t>
      </w:r>
      <w:r w:rsidR="003963CD" w:rsidRPr="0013396E">
        <w:t>(</w:t>
      </w:r>
      <w:r w:rsidRPr="0013396E">
        <w:t xml:space="preserve">RTAML </w:t>
      </w:r>
      <w:r w:rsidRPr="0013396E">
        <w:rPr>
          <w:i/>
          <w:vertAlign w:val="subscript"/>
        </w:rPr>
        <w:t>q, p</w:t>
      </w:r>
      <w:r w:rsidR="003963CD" w:rsidRPr="0013396E">
        <w:rPr>
          <w:bCs w:val="0"/>
        </w:rPr>
        <w:t xml:space="preserve"> – RTAMLESRNW </w:t>
      </w:r>
      <w:r w:rsidR="003963CD" w:rsidRPr="0013396E">
        <w:rPr>
          <w:bCs w:val="0"/>
          <w:i/>
          <w:vertAlign w:val="subscript"/>
        </w:rPr>
        <w:t>q, p</w:t>
      </w:r>
      <w:r w:rsidR="003963CD" w:rsidRPr="0013396E">
        <w:rPr>
          <w:bCs w:val="0"/>
        </w:rPr>
        <w:t>)</w:t>
      </w:r>
      <w:r w:rsidRPr="0013396E">
        <w:t>)</w:t>
      </w:r>
      <w:r w:rsidRPr="0013396E">
        <w:rPr>
          <w:sz w:val="28"/>
          <w:szCs w:val="28"/>
        </w:rPr>
        <w:t>]</w:t>
      </w:r>
      <w:r w:rsidRPr="0013396E">
        <w:rPr>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C0BC2" w:rsidRPr="0013396E" w14:paraId="5421604C" w14:textId="77777777" w:rsidTr="008B123E">
        <w:trPr>
          <w:trHeight w:val="206"/>
        </w:trPr>
        <w:tc>
          <w:tcPr>
            <w:tcW w:w="9576" w:type="dxa"/>
            <w:shd w:val="pct12" w:color="auto" w:fill="auto"/>
          </w:tcPr>
          <w:p w14:paraId="782FBFD8" w14:textId="3E43243E" w:rsidR="007C0BC2" w:rsidRPr="0013396E" w:rsidRDefault="007C0BC2" w:rsidP="008B123E">
            <w:pPr>
              <w:pStyle w:val="Instructions"/>
              <w:spacing w:before="120"/>
            </w:pPr>
            <w:r w:rsidRPr="0013396E">
              <w:t>[</w:t>
            </w:r>
            <w:r w:rsidR="00341E22" w:rsidRPr="0013396E">
              <w:t>NPRR995</w:t>
            </w:r>
            <w:r w:rsidR="001C0176" w:rsidRPr="0013396E">
              <w:t xml:space="preserve"> and NPRR1188</w:t>
            </w:r>
            <w:r w:rsidRPr="0013396E">
              <w:t xml:space="preserve">:  Replace </w:t>
            </w:r>
            <w:r w:rsidR="001C0176" w:rsidRPr="0013396E">
              <w:t xml:space="preserve">applicable portions of </w:t>
            </w:r>
            <w:r w:rsidRPr="0013396E">
              <w:t xml:space="preserve">the formula “RTEIAMT </w:t>
            </w:r>
            <w:r w:rsidRPr="0013396E">
              <w:rPr>
                <w:vertAlign w:val="subscript"/>
              </w:rPr>
              <w:t>q, p</w:t>
            </w:r>
            <w:r w:rsidRPr="0013396E">
              <w:t>” above with the following upon system implementation:]</w:t>
            </w:r>
          </w:p>
          <w:p w14:paraId="5ADFBB4D" w14:textId="7E697A82" w:rsidR="007C0BC2" w:rsidRPr="0013396E" w:rsidRDefault="007C0BC2" w:rsidP="007C0BC2">
            <w:pPr>
              <w:tabs>
                <w:tab w:val="left" w:pos="2250"/>
                <w:tab w:val="left" w:pos="3150"/>
                <w:tab w:val="left" w:pos="3960"/>
              </w:tabs>
              <w:spacing w:after="240"/>
              <w:ind w:left="3150" w:hanging="2430"/>
              <w:rPr>
                <w:b/>
                <w:bCs/>
                <w:sz w:val="32"/>
              </w:rPr>
            </w:pPr>
            <w:r w:rsidRPr="0013396E">
              <w:rPr>
                <w:b/>
                <w:bCs/>
              </w:rPr>
              <w:t xml:space="preserve">RTEIAMT </w:t>
            </w:r>
            <w:r w:rsidRPr="0013396E">
              <w:rPr>
                <w:b/>
                <w:bCs/>
                <w:i/>
                <w:vertAlign w:val="subscript"/>
              </w:rPr>
              <w:t>q, p</w:t>
            </w:r>
            <w:r w:rsidRPr="0013396E">
              <w:rPr>
                <w:b/>
                <w:bCs/>
              </w:rPr>
              <w:tab/>
              <w:t>=</w:t>
            </w:r>
            <w:r w:rsidRPr="0013396E">
              <w:rPr>
                <w:b/>
                <w:bCs/>
              </w:rPr>
              <w:tab/>
              <w:t xml:space="preserve">(-1) * </w:t>
            </w:r>
            <w:r w:rsidRPr="0013396E">
              <w:rPr>
                <w:b/>
                <w:bCs/>
                <w:sz w:val="32"/>
              </w:rPr>
              <w:t>{[</w:t>
            </w:r>
            <w:r w:rsidRPr="0013396E">
              <w:rPr>
                <w:b/>
                <w:bCs/>
              </w:rPr>
              <w:t xml:space="preserve">RTSPP </w:t>
            </w:r>
            <w:r w:rsidRPr="0013396E">
              <w:rPr>
                <w:b/>
                <w:bCs/>
                <w:i/>
                <w:vertAlign w:val="subscript"/>
              </w:rPr>
              <w:t>p</w:t>
            </w:r>
            <w:r w:rsidRPr="0013396E">
              <w:rPr>
                <w:b/>
                <w:bCs/>
              </w:rPr>
              <w:t xml:space="preserve"> * [(SSSK </w:t>
            </w:r>
            <w:r w:rsidRPr="0013396E">
              <w:rPr>
                <w:b/>
                <w:bCs/>
                <w:i/>
                <w:vertAlign w:val="subscript"/>
              </w:rPr>
              <w:t>q, p</w:t>
            </w:r>
            <w:r w:rsidRPr="0013396E">
              <w:rPr>
                <w:b/>
                <w:bCs/>
              </w:rPr>
              <w:t xml:space="preserve"> * ¼) + (DAEP </w:t>
            </w:r>
            <w:r w:rsidRPr="0013396E">
              <w:rPr>
                <w:b/>
                <w:bCs/>
                <w:i/>
                <w:vertAlign w:val="subscript"/>
              </w:rPr>
              <w:t>q, p</w:t>
            </w:r>
            <w:r w:rsidRPr="0013396E">
              <w:rPr>
                <w:b/>
                <w:bCs/>
              </w:rPr>
              <w:t xml:space="preserve"> * ¼) + (RTQQEP </w:t>
            </w:r>
            <w:r w:rsidRPr="0013396E">
              <w:rPr>
                <w:b/>
                <w:bCs/>
                <w:i/>
                <w:vertAlign w:val="subscript"/>
              </w:rPr>
              <w:t>q, p</w:t>
            </w:r>
            <w:r w:rsidRPr="0013396E">
              <w:rPr>
                <w:b/>
                <w:bCs/>
              </w:rPr>
              <w:t xml:space="preserve"> * ¼) – (SSSR </w:t>
            </w:r>
            <w:r w:rsidRPr="0013396E">
              <w:rPr>
                <w:b/>
                <w:bCs/>
                <w:i/>
                <w:vertAlign w:val="subscript"/>
              </w:rPr>
              <w:t>q, p</w:t>
            </w:r>
            <w:r w:rsidRPr="0013396E">
              <w:rPr>
                <w:b/>
                <w:bCs/>
              </w:rPr>
              <w:t xml:space="preserve"> * ¼) – (DAES </w:t>
            </w:r>
            <w:r w:rsidRPr="0013396E">
              <w:rPr>
                <w:b/>
                <w:bCs/>
                <w:i/>
                <w:vertAlign w:val="subscript"/>
              </w:rPr>
              <w:t>q, p</w:t>
            </w:r>
            <w:r w:rsidRPr="0013396E">
              <w:rPr>
                <w:b/>
                <w:bCs/>
              </w:rPr>
              <w:t xml:space="preserve"> * ¼) – (RTQQES </w:t>
            </w:r>
            <w:r w:rsidRPr="0013396E">
              <w:rPr>
                <w:b/>
                <w:bCs/>
                <w:i/>
                <w:vertAlign w:val="subscript"/>
              </w:rPr>
              <w:t>q, p</w:t>
            </w:r>
            <w:r w:rsidRPr="0013396E">
              <w:rPr>
                <w:b/>
                <w:bCs/>
              </w:rPr>
              <w:t xml:space="preserve"> * ¼)]</w:t>
            </w:r>
            <w:r w:rsidRPr="0013396E">
              <w:rPr>
                <w:b/>
                <w:bCs/>
                <w:sz w:val="32"/>
                <w:szCs w:val="32"/>
              </w:rPr>
              <w:t xml:space="preserve">] </w:t>
            </w:r>
            <w:r w:rsidRPr="0013396E">
              <w:rPr>
                <w:b/>
                <w:bCs/>
              </w:rPr>
              <w:t xml:space="preserve">+ </w:t>
            </w:r>
            <w:r w:rsidRPr="0013396E">
              <w:rPr>
                <w:b/>
                <w:bCs/>
                <w:sz w:val="32"/>
              </w:rPr>
              <w:t>[</w:t>
            </w:r>
            <w:r w:rsidRPr="0013396E">
              <w:rPr>
                <w:b/>
                <w:bCs/>
              </w:rPr>
              <w:t>RTSPPEW</w:t>
            </w:r>
            <w:r w:rsidRPr="0013396E">
              <w:rPr>
                <w:b/>
                <w:bCs/>
                <w:i/>
                <w:vertAlign w:val="subscript"/>
              </w:rPr>
              <w:t xml:space="preserve"> p</w:t>
            </w:r>
            <w:r w:rsidRPr="0013396E">
              <w:rPr>
                <w:b/>
                <w:bCs/>
              </w:rPr>
              <w:t xml:space="preserve"> * (RTMGSOGZ </w:t>
            </w:r>
            <w:r w:rsidRPr="0013396E">
              <w:rPr>
                <w:b/>
                <w:bCs/>
                <w:i/>
                <w:vertAlign w:val="subscript"/>
              </w:rPr>
              <w:t>q, p</w:t>
            </w:r>
            <w:r w:rsidRPr="0013396E">
              <w:rPr>
                <w:b/>
                <w:bCs/>
              </w:rPr>
              <w:t xml:space="preserve"> – </w:t>
            </w:r>
            <w:r w:rsidR="008050FF" w:rsidRPr="0013396E">
              <w:rPr>
                <w:b/>
                <w:bCs/>
              </w:rPr>
              <w:t>(</w:t>
            </w:r>
            <w:r w:rsidRPr="0013396E">
              <w:rPr>
                <w:b/>
                <w:bCs/>
              </w:rPr>
              <w:t xml:space="preserve">RTAML </w:t>
            </w:r>
            <w:r w:rsidRPr="0013396E">
              <w:rPr>
                <w:b/>
                <w:bCs/>
                <w:i/>
                <w:vertAlign w:val="subscript"/>
              </w:rPr>
              <w:t>q, p</w:t>
            </w:r>
            <w:r w:rsidR="008050FF" w:rsidRPr="0013396E">
              <w:rPr>
                <w:b/>
                <w:bCs/>
              </w:rPr>
              <w:t xml:space="preserve"> </w:t>
            </w:r>
            <w:r w:rsidR="001C0176" w:rsidRPr="0013396E">
              <w:rPr>
                <w:b/>
                <w:bCs/>
              </w:rPr>
              <w:t xml:space="preserve">– RTAMLCLRL </w:t>
            </w:r>
            <w:r w:rsidR="001C0176" w:rsidRPr="0013396E">
              <w:rPr>
                <w:b/>
                <w:bCs/>
                <w:i/>
                <w:vertAlign w:val="subscript"/>
              </w:rPr>
              <w:t>q, p</w:t>
            </w:r>
            <w:r w:rsidR="001C0176" w:rsidRPr="0013396E">
              <w:rPr>
                <w:b/>
                <w:bCs/>
              </w:rPr>
              <w:t xml:space="preserve"> </w:t>
            </w:r>
            <w:r w:rsidR="008050FF" w:rsidRPr="0013396E">
              <w:rPr>
                <w:b/>
                <w:bCs/>
              </w:rPr>
              <w:t xml:space="preserve">– RTAMLESRNW </w:t>
            </w:r>
            <w:r w:rsidR="008050FF" w:rsidRPr="0013396E">
              <w:rPr>
                <w:b/>
                <w:bCs/>
                <w:i/>
                <w:vertAlign w:val="subscript"/>
              </w:rPr>
              <w:t>q, p</w:t>
            </w:r>
            <w:r w:rsidR="00341E22" w:rsidRPr="0013396E">
              <w:rPr>
                <w:b/>
                <w:bCs/>
              </w:rPr>
              <w:t xml:space="preserve"> – RTAMLNWSOL </w:t>
            </w:r>
            <w:r w:rsidR="00341E22" w:rsidRPr="0013396E">
              <w:rPr>
                <w:b/>
                <w:bCs/>
                <w:i/>
                <w:vertAlign w:val="subscript"/>
              </w:rPr>
              <w:t>q, p</w:t>
            </w:r>
            <w:r w:rsidRPr="0013396E">
              <w:rPr>
                <w:b/>
                <w:bCs/>
              </w:rPr>
              <w:t>)</w:t>
            </w:r>
            <w:r w:rsidR="008050FF" w:rsidRPr="0013396E">
              <w:rPr>
                <w:b/>
                <w:bCs/>
              </w:rPr>
              <w:t>)</w:t>
            </w:r>
            <w:r w:rsidRPr="0013396E">
              <w:rPr>
                <w:b/>
                <w:bCs/>
                <w:sz w:val="28"/>
                <w:szCs w:val="28"/>
              </w:rPr>
              <w:t>]</w:t>
            </w:r>
            <w:r w:rsidRPr="0013396E">
              <w:rPr>
                <w:b/>
                <w:bCs/>
                <w:sz w:val="32"/>
              </w:rPr>
              <w:t xml:space="preserve">} </w:t>
            </w:r>
          </w:p>
        </w:tc>
      </w:tr>
    </w:tbl>
    <w:p w14:paraId="1F782FF5" w14:textId="77777777" w:rsidR="001F04FD" w:rsidRPr="0013396E" w:rsidRDefault="001F04FD" w:rsidP="004A39F9">
      <w:pPr>
        <w:pStyle w:val="FormulaBold"/>
        <w:spacing w:before="240"/>
        <w:ind w:left="3150" w:hanging="2430"/>
        <w:rPr>
          <w:b w:val="0"/>
        </w:rPr>
      </w:pPr>
      <w:r w:rsidRPr="0013396E">
        <w:rPr>
          <w:b w:val="0"/>
        </w:rPr>
        <w:t>And</w:t>
      </w:r>
    </w:p>
    <w:p w14:paraId="60D49681" w14:textId="1AFC610E" w:rsidR="001F04FD" w:rsidRPr="0013396E" w:rsidRDefault="001F04FD" w:rsidP="001F04FD">
      <w:pPr>
        <w:pStyle w:val="FormulaBold"/>
        <w:ind w:left="3150" w:hanging="2430"/>
        <w:rPr>
          <w:sz w:val="32"/>
        </w:rPr>
      </w:pPr>
      <w:r w:rsidRPr="0013396E">
        <w:t>LZIMBAL</w:t>
      </w:r>
      <w:r w:rsidRPr="0013396E">
        <w:rPr>
          <w:i/>
          <w:vertAlign w:val="subscript"/>
        </w:rPr>
        <w:t xml:space="preserve"> </w:t>
      </w:r>
      <w:r w:rsidR="007C0BC2" w:rsidRPr="0013396E">
        <w:rPr>
          <w:i/>
          <w:vertAlign w:val="subscript"/>
        </w:rPr>
        <w:t>q, p</w:t>
      </w:r>
      <w:r w:rsidR="007C0BC2" w:rsidRPr="0013396E">
        <w:rPr>
          <w:i/>
          <w:vertAlign w:val="subscript"/>
        </w:rPr>
        <w:tab/>
        <w:t>=</w:t>
      </w:r>
      <w:r w:rsidR="007C0BC2" w:rsidRPr="0013396E">
        <w:rPr>
          <w:i/>
          <w:vertAlign w:val="subscript"/>
        </w:rPr>
        <w:tab/>
      </w:r>
      <w:r w:rsidRPr="0013396E">
        <w:t xml:space="preserve">(SSSK </w:t>
      </w:r>
      <w:r w:rsidRPr="0013396E">
        <w:rPr>
          <w:i/>
          <w:vertAlign w:val="subscript"/>
        </w:rPr>
        <w:t>q, p</w:t>
      </w:r>
      <w:r w:rsidRPr="0013396E">
        <w:t xml:space="preserve"> * ¼) + (DAEP </w:t>
      </w:r>
      <w:r w:rsidRPr="0013396E">
        <w:rPr>
          <w:i/>
          <w:vertAlign w:val="subscript"/>
        </w:rPr>
        <w:t>q, p</w:t>
      </w:r>
      <w:r w:rsidRPr="0013396E">
        <w:t xml:space="preserve"> * ¼) + (RTQQEP </w:t>
      </w:r>
      <w:r w:rsidRPr="0013396E">
        <w:rPr>
          <w:i/>
          <w:vertAlign w:val="subscript"/>
        </w:rPr>
        <w:t>q, p</w:t>
      </w:r>
      <w:r w:rsidRPr="0013396E">
        <w:t xml:space="preserve"> * ¼) – (SSSR </w:t>
      </w:r>
      <w:r w:rsidRPr="0013396E">
        <w:rPr>
          <w:i/>
          <w:vertAlign w:val="subscript"/>
        </w:rPr>
        <w:t>q, p</w:t>
      </w:r>
      <w:r w:rsidRPr="0013396E">
        <w:t xml:space="preserve"> * ¼) – (DAES </w:t>
      </w:r>
      <w:r w:rsidRPr="0013396E">
        <w:rPr>
          <w:i/>
          <w:vertAlign w:val="subscript"/>
        </w:rPr>
        <w:t>q, p</w:t>
      </w:r>
      <w:r w:rsidRPr="0013396E">
        <w:t xml:space="preserve"> * ¼) – (RTQQES </w:t>
      </w:r>
      <w:r w:rsidRPr="0013396E">
        <w:rPr>
          <w:i/>
          <w:vertAlign w:val="subscript"/>
        </w:rPr>
        <w:t>q, p</w:t>
      </w:r>
      <w:r w:rsidRPr="0013396E">
        <w:t xml:space="preserve"> * ¼) – </w:t>
      </w:r>
      <w:r w:rsidR="003963CD" w:rsidRPr="0013396E">
        <w:t>(</w:t>
      </w:r>
      <w:r w:rsidRPr="0013396E">
        <w:t xml:space="preserve">RTAML </w:t>
      </w:r>
      <w:r w:rsidRPr="0013396E">
        <w:rPr>
          <w:i/>
          <w:vertAlign w:val="subscript"/>
        </w:rPr>
        <w:t>q, p</w:t>
      </w:r>
      <w:r w:rsidR="003963CD" w:rsidRPr="0013396E">
        <w:rPr>
          <w:bCs w:val="0"/>
        </w:rPr>
        <w:t xml:space="preserve"> – RTAMLESRNW </w:t>
      </w:r>
      <w:r w:rsidR="003963CD" w:rsidRPr="0013396E">
        <w:rPr>
          <w:bCs w:val="0"/>
          <w:i/>
          <w:vertAlign w:val="subscript"/>
        </w:rPr>
        <w:t>q, p</w:t>
      </w:r>
      <w:r w:rsidR="003963CD" w:rsidRPr="0013396E">
        <w:rPr>
          <w:bCs w:val="0"/>
        </w:rPr>
        <w:t>)</w:t>
      </w:r>
      <w:r w:rsidRPr="0013396E">
        <w:rPr>
          <w:sz w:val="32"/>
        </w:rPr>
        <w:t xml:space="preserve"> </w:t>
      </w:r>
      <w:r w:rsidRPr="0013396E">
        <w:t>+ RTMG</w:t>
      </w:r>
      <w:r w:rsidR="00BE136C" w:rsidRPr="0013396E">
        <w:t>SOGZ</w:t>
      </w:r>
      <w:r w:rsidRPr="0013396E">
        <w:t xml:space="preserve"> </w:t>
      </w:r>
      <w:r w:rsidRPr="0013396E">
        <w:rPr>
          <w:i/>
          <w:vertAlign w:val="subscript"/>
        </w:rPr>
        <w:t>q, 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C0BC2" w:rsidRPr="0013396E" w14:paraId="3A4D6ABA" w14:textId="77777777" w:rsidTr="008B123E">
        <w:trPr>
          <w:trHeight w:val="206"/>
        </w:trPr>
        <w:tc>
          <w:tcPr>
            <w:tcW w:w="9576" w:type="dxa"/>
            <w:shd w:val="pct12" w:color="auto" w:fill="auto"/>
          </w:tcPr>
          <w:p w14:paraId="569EBE29" w14:textId="5FE59DDC" w:rsidR="007C0BC2" w:rsidRPr="0013396E" w:rsidRDefault="007C0BC2" w:rsidP="008B123E">
            <w:pPr>
              <w:pStyle w:val="Instructions"/>
              <w:spacing w:before="120"/>
            </w:pPr>
            <w:r w:rsidRPr="0013396E">
              <w:t>[</w:t>
            </w:r>
            <w:r w:rsidR="00341E22" w:rsidRPr="0013396E">
              <w:t>NPRR995</w:t>
            </w:r>
            <w:r w:rsidR="001C0176" w:rsidRPr="0013396E">
              <w:t xml:space="preserve"> and NPRR1188</w:t>
            </w:r>
            <w:r w:rsidRPr="0013396E">
              <w:t>:  Replace</w:t>
            </w:r>
            <w:r w:rsidR="001C0176" w:rsidRPr="0013396E">
              <w:t xml:space="preserve"> applicable portions of</w:t>
            </w:r>
            <w:r w:rsidR="00341E22" w:rsidRPr="0013396E">
              <w:t xml:space="preserve"> </w:t>
            </w:r>
            <w:r w:rsidRPr="0013396E">
              <w:t>the formula “LZIMBAL</w:t>
            </w:r>
            <w:r w:rsidRPr="0013396E">
              <w:rPr>
                <w:vertAlign w:val="subscript"/>
              </w:rPr>
              <w:t xml:space="preserve"> q, p</w:t>
            </w:r>
            <w:r w:rsidRPr="0013396E">
              <w:t>” above with the following upon system implementation:]</w:t>
            </w:r>
          </w:p>
          <w:p w14:paraId="22F208EE" w14:textId="5D762D41" w:rsidR="007C0BC2" w:rsidRPr="0013396E" w:rsidRDefault="007C0BC2" w:rsidP="007C0BC2">
            <w:pPr>
              <w:tabs>
                <w:tab w:val="left" w:pos="2250"/>
                <w:tab w:val="left" w:pos="3150"/>
                <w:tab w:val="left" w:pos="3960"/>
              </w:tabs>
              <w:spacing w:after="240"/>
              <w:ind w:left="3150" w:hanging="2430"/>
              <w:rPr>
                <w:b/>
                <w:bCs/>
                <w:sz w:val="32"/>
              </w:rPr>
            </w:pPr>
            <w:r w:rsidRPr="0013396E">
              <w:rPr>
                <w:b/>
                <w:bCs/>
              </w:rPr>
              <w:t>LZIMBAL</w:t>
            </w:r>
            <w:r w:rsidRPr="0013396E">
              <w:rPr>
                <w:b/>
                <w:bCs/>
                <w:i/>
                <w:vertAlign w:val="subscript"/>
              </w:rPr>
              <w:t xml:space="preserve"> q, p</w:t>
            </w:r>
            <w:r w:rsidRPr="0013396E">
              <w:rPr>
                <w:b/>
                <w:bCs/>
                <w:i/>
                <w:vertAlign w:val="subscript"/>
              </w:rPr>
              <w:tab/>
              <w:t>=</w:t>
            </w:r>
            <w:r w:rsidRPr="0013396E">
              <w:rPr>
                <w:b/>
                <w:bCs/>
                <w:i/>
                <w:vertAlign w:val="subscript"/>
              </w:rPr>
              <w:tab/>
            </w:r>
            <w:r w:rsidRPr="0013396E">
              <w:rPr>
                <w:b/>
                <w:bCs/>
              </w:rPr>
              <w:t xml:space="preserve">(SSSK </w:t>
            </w:r>
            <w:r w:rsidRPr="0013396E">
              <w:rPr>
                <w:b/>
                <w:bCs/>
                <w:i/>
                <w:vertAlign w:val="subscript"/>
              </w:rPr>
              <w:t>q, p</w:t>
            </w:r>
            <w:r w:rsidRPr="0013396E">
              <w:rPr>
                <w:b/>
                <w:bCs/>
              </w:rPr>
              <w:t xml:space="preserve"> * ¼) + (DAEP </w:t>
            </w:r>
            <w:r w:rsidRPr="0013396E">
              <w:rPr>
                <w:b/>
                <w:bCs/>
                <w:i/>
                <w:vertAlign w:val="subscript"/>
              </w:rPr>
              <w:t>q, p</w:t>
            </w:r>
            <w:r w:rsidRPr="0013396E">
              <w:rPr>
                <w:b/>
                <w:bCs/>
              </w:rPr>
              <w:t xml:space="preserve"> * ¼) + (RTQQEP </w:t>
            </w:r>
            <w:r w:rsidRPr="0013396E">
              <w:rPr>
                <w:b/>
                <w:bCs/>
                <w:i/>
                <w:vertAlign w:val="subscript"/>
              </w:rPr>
              <w:t>q, p</w:t>
            </w:r>
            <w:r w:rsidRPr="0013396E">
              <w:rPr>
                <w:b/>
                <w:bCs/>
              </w:rPr>
              <w:t xml:space="preserve"> * ¼) – (SSSR </w:t>
            </w:r>
            <w:r w:rsidRPr="0013396E">
              <w:rPr>
                <w:b/>
                <w:bCs/>
                <w:i/>
                <w:vertAlign w:val="subscript"/>
              </w:rPr>
              <w:t>q, p</w:t>
            </w:r>
            <w:r w:rsidRPr="0013396E">
              <w:rPr>
                <w:b/>
                <w:bCs/>
              </w:rPr>
              <w:t xml:space="preserve"> * ¼) – (DAES </w:t>
            </w:r>
            <w:r w:rsidRPr="0013396E">
              <w:rPr>
                <w:b/>
                <w:bCs/>
                <w:i/>
                <w:vertAlign w:val="subscript"/>
              </w:rPr>
              <w:t>q, p</w:t>
            </w:r>
            <w:r w:rsidRPr="0013396E">
              <w:rPr>
                <w:b/>
                <w:bCs/>
              </w:rPr>
              <w:t xml:space="preserve"> * ¼) – (RTQQES </w:t>
            </w:r>
            <w:r w:rsidRPr="0013396E">
              <w:rPr>
                <w:b/>
                <w:bCs/>
                <w:i/>
                <w:vertAlign w:val="subscript"/>
              </w:rPr>
              <w:t>q, p</w:t>
            </w:r>
            <w:r w:rsidRPr="0013396E">
              <w:rPr>
                <w:b/>
                <w:bCs/>
              </w:rPr>
              <w:t xml:space="preserve"> * ¼) – </w:t>
            </w:r>
            <w:r w:rsidR="008050FF" w:rsidRPr="0013396E">
              <w:rPr>
                <w:b/>
                <w:bCs/>
              </w:rPr>
              <w:t>(</w:t>
            </w:r>
            <w:r w:rsidRPr="0013396E">
              <w:rPr>
                <w:b/>
                <w:bCs/>
              </w:rPr>
              <w:t xml:space="preserve">RTAML </w:t>
            </w:r>
            <w:r w:rsidRPr="0013396E">
              <w:rPr>
                <w:b/>
                <w:bCs/>
                <w:i/>
                <w:vertAlign w:val="subscript"/>
              </w:rPr>
              <w:t>q, p</w:t>
            </w:r>
            <w:r w:rsidRPr="0013396E">
              <w:rPr>
                <w:b/>
                <w:bCs/>
                <w:sz w:val="32"/>
              </w:rPr>
              <w:t xml:space="preserve"> </w:t>
            </w:r>
            <w:r w:rsidR="001C0176" w:rsidRPr="0013396E">
              <w:rPr>
                <w:b/>
                <w:bCs/>
              </w:rPr>
              <w:t xml:space="preserve">– RTAMLCLRL </w:t>
            </w:r>
            <w:r w:rsidR="001C0176" w:rsidRPr="0013396E">
              <w:rPr>
                <w:b/>
                <w:bCs/>
                <w:i/>
                <w:vertAlign w:val="subscript"/>
              </w:rPr>
              <w:t>q, p</w:t>
            </w:r>
            <w:r w:rsidR="001C0176" w:rsidRPr="0013396E">
              <w:rPr>
                <w:b/>
                <w:bCs/>
              </w:rPr>
              <w:t xml:space="preserve"> </w:t>
            </w:r>
            <w:r w:rsidR="008050FF" w:rsidRPr="0013396E">
              <w:rPr>
                <w:b/>
                <w:bCs/>
              </w:rPr>
              <w:t>–</w:t>
            </w:r>
            <w:r w:rsidR="008050FF" w:rsidRPr="0013396E">
              <w:rPr>
                <w:b/>
                <w:bCs/>
                <w:i/>
              </w:rPr>
              <w:t xml:space="preserve"> </w:t>
            </w:r>
            <w:r w:rsidR="008050FF" w:rsidRPr="0013396E">
              <w:rPr>
                <w:b/>
                <w:bCs/>
              </w:rPr>
              <w:t xml:space="preserve">RTAMLESRNW </w:t>
            </w:r>
            <w:r w:rsidR="008050FF" w:rsidRPr="0013396E">
              <w:rPr>
                <w:b/>
                <w:bCs/>
                <w:i/>
                <w:vertAlign w:val="subscript"/>
              </w:rPr>
              <w:t>q, p</w:t>
            </w:r>
            <w:r w:rsidR="00341E22" w:rsidRPr="0013396E">
              <w:rPr>
                <w:b/>
                <w:bCs/>
              </w:rPr>
              <w:t xml:space="preserve"> – RTAMLNWSOL </w:t>
            </w:r>
            <w:r w:rsidR="00341E22" w:rsidRPr="0013396E">
              <w:rPr>
                <w:b/>
                <w:bCs/>
                <w:i/>
                <w:vertAlign w:val="subscript"/>
              </w:rPr>
              <w:t>q, p</w:t>
            </w:r>
            <w:r w:rsidR="008050FF" w:rsidRPr="0013396E">
              <w:rPr>
                <w:b/>
                <w:bCs/>
              </w:rPr>
              <w:t xml:space="preserve">) </w:t>
            </w:r>
            <w:r w:rsidRPr="0013396E">
              <w:rPr>
                <w:b/>
                <w:bCs/>
              </w:rPr>
              <w:t xml:space="preserve">+ RTMGSOGZ </w:t>
            </w:r>
            <w:r w:rsidRPr="0013396E">
              <w:rPr>
                <w:b/>
                <w:bCs/>
                <w:i/>
                <w:vertAlign w:val="subscript"/>
              </w:rPr>
              <w:t>q, p</w:t>
            </w:r>
          </w:p>
        </w:tc>
      </w:tr>
    </w:tbl>
    <w:p w14:paraId="47043A5C" w14:textId="77777777" w:rsidR="001F04FD" w:rsidRPr="0013396E" w:rsidRDefault="001F04FD" w:rsidP="004A39F9">
      <w:pPr>
        <w:spacing w:before="240"/>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30"/>
        <w:gridCol w:w="853"/>
        <w:gridCol w:w="6867"/>
      </w:tblGrid>
      <w:tr w:rsidR="001F04FD" w:rsidRPr="0013396E" w14:paraId="6B844741" w14:textId="77777777" w:rsidTr="00341E22">
        <w:trPr>
          <w:tblHeader/>
        </w:trPr>
        <w:tc>
          <w:tcPr>
            <w:tcW w:w="872" w:type="pct"/>
          </w:tcPr>
          <w:p w14:paraId="083FBEA1" w14:textId="77777777" w:rsidR="001F04FD" w:rsidRPr="0013396E" w:rsidRDefault="001F04FD" w:rsidP="00AC4DEE">
            <w:pPr>
              <w:pStyle w:val="TableHead"/>
            </w:pPr>
            <w:r w:rsidRPr="0013396E">
              <w:t>Variable</w:t>
            </w:r>
          </w:p>
        </w:tc>
        <w:tc>
          <w:tcPr>
            <w:tcW w:w="456" w:type="pct"/>
          </w:tcPr>
          <w:p w14:paraId="1080ECD9" w14:textId="77777777" w:rsidR="001F04FD" w:rsidRPr="0013396E" w:rsidRDefault="001F04FD" w:rsidP="00AC4DEE">
            <w:pPr>
              <w:pStyle w:val="TableHead"/>
            </w:pPr>
            <w:r w:rsidRPr="0013396E">
              <w:t>Unit</w:t>
            </w:r>
          </w:p>
        </w:tc>
        <w:tc>
          <w:tcPr>
            <w:tcW w:w="3672" w:type="pct"/>
          </w:tcPr>
          <w:p w14:paraId="3D0B09D0" w14:textId="77777777" w:rsidR="001F04FD" w:rsidRPr="0013396E" w:rsidRDefault="001F04FD" w:rsidP="00AC4DEE">
            <w:pPr>
              <w:pStyle w:val="TableHead"/>
            </w:pPr>
            <w:r w:rsidRPr="0013396E">
              <w:t>Description</w:t>
            </w:r>
          </w:p>
        </w:tc>
      </w:tr>
      <w:tr w:rsidR="001F04FD" w:rsidRPr="0013396E" w14:paraId="3341284A" w14:textId="77777777" w:rsidTr="00341E22">
        <w:tc>
          <w:tcPr>
            <w:tcW w:w="872" w:type="pct"/>
          </w:tcPr>
          <w:p w14:paraId="4CAE6885" w14:textId="77777777" w:rsidR="001F04FD" w:rsidRPr="0013396E" w:rsidRDefault="001F04FD" w:rsidP="00AC4DEE">
            <w:pPr>
              <w:pStyle w:val="TableBody"/>
            </w:pPr>
            <w:r w:rsidRPr="0013396E">
              <w:t xml:space="preserve">RTEIAMT </w:t>
            </w:r>
            <w:r w:rsidRPr="0013396E">
              <w:rPr>
                <w:i/>
                <w:vertAlign w:val="subscript"/>
              </w:rPr>
              <w:t>q, p</w:t>
            </w:r>
          </w:p>
        </w:tc>
        <w:tc>
          <w:tcPr>
            <w:tcW w:w="456" w:type="pct"/>
          </w:tcPr>
          <w:p w14:paraId="59ECA356" w14:textId="77777777" w:rsidR="001F04FD" w:rsidRPr="0013396E" w:rsidRDefault="001F04FD" w:rsidP="00AC4DEE">
            <w:pPr>
              <w:pStyle w:val="TableBody"/>
            </w:pPr>
            <w:r w:rsidRPr="0013396E">
              <w:t>$</w:t>
            </w:r>
          </w:p>
        </w:tc>
        <w:tc>
          <w:tcPr>
            <w:tcW w:w="3672" w:type="pct"/>
          </w:tcPr>
          <w:p w14:paraId="6642FF18" w14:textId="77777777" w:rsidR="001F04FD" w:rsidRPr="0013396E" w:rsidRDefault="001F04FD" w:rsidP="00AC4DEE">
            <w:pPr>
              <w:pStyle w:val="TableBody"/>
            </w:pPr>
            <w:r w:rsidRPr="0013396E">
              <w:rPr>
                <w:i/>
              </w:rPr>
              <w:t>Real-Time Energy Imbalance Amount per QSE per Settlement Point</w:t>
            </w:r>
            <w:r w:rsidRPr="0013396E">
              <w:t xml:space="preserve">—The payment or charge to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1F04FD" w:rsidRPr="0013396E" w14:paraId="0295C3B2" w14:textId="77777777" w:rsidTr="00341E22">
        <w:tc>
          <w:tcPr>
            <w:tcW w:w="872" w:type="pct"/>
          </w:tcPr>
          <w:p w14:paraId="65B3804A" w14:textId="77777777" w:rsidR="001F04FD" w:rsidRPr="0013396E" w:rsidRDefault="001F04FD" w:rsidP="00AC4DEE">
            <w:pPr>
              <w:pStyle w:val="TableBody"/>
            </w:pPr>
            <w:r w:rsidRPr="0013396E">
              <w:t xml:space="preserve">RTSPP </w:t>
            </w:r>
            <w:r w:rsidRPr="0013396E">
              <w:rPr>
                <w:i/>
                <w:vertAlign w:val="subscript"/>
              </w:rPr>
              <w:t>p</w:t>
            </w:r>
          </w:p>
        </w:tc>
        <w:tc>
          <w:tcPr>
            <w:tcW w:w="456" w:type="pct"/>
          </w:tcPr>
          <w:p w14:paraId="324D75D1" w14:textId="77777777" w:rsidR="001F04FD" w:rsidRPr="0013396E" w:rsidRDefault="001F04FD" w:rsidP="00AC4DEE">
            <w:pPr>
              <w:pStyle w:val="TableBody"/>
            </w:pPr>
            <w:r w:rsidRPr="0013396E">
              <w:t>$/MWh</w:t>
            </w:r>
          </w:p>
        </w:tc>
        <w:tc>
          <w:tcPr>
            <w:tcW w:w="3672" w:type="pct"/>
          </w:tcPr>
          <w:p w14:paraId="60ADB215" w14:textId="77777777" w:rsidR="001F04FD" w:rsidRPr="0013396E" w:rsidRDefault="001F04FD" w:rsidP="00AC4DE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for the 15-minute Settlement Interval.</w:t>
            </w:r>
          </w:p>
        </w:tc>
      </w:tr>
      <w:tr w:rsidR="001F04FD" w:rsidRPr="0013396E" w14:paraId="320BDD1D" w14:textId="77777777" w:rsidTr="00341E22">
        <w:tc>
          <w:tcPr>
            <w:tcW w:w="872" w:type="pct"/>
          </w:tcPr>
          <w:p w14:paraId="46814500" w14:textId="77777777" w:rsidR="001F04FD" w:rsidRPr="0013396E" w:rsidRDefault="001F04FD" w:rsidP="00AC4DEE">
            <w:pPr>
              <w:pStyle w:val="TableBody"/>
            </w:pPr>
            <w:r w:rsidRPr="0013396E">
              <w:t>LZIMBAL</w:t>
            </w:r>
            <w:r w:rsidRPr="0013396E">
              <w:rPr>
                <w:i/>
                <w:vertAlign w:val="subscript"/>
              </w:rPr>
              <w:t xml:space="preserve"> q, p</w:t>
            </w:r>
          </w:p>
        </w:tc>
        <w:tc>
          <w:tcPr>
            <w:tcW w:w="456" w:type="pct"/>
          </w:tcPr>
          <w:p w14:paraId="6840F9D3" w14:textId="77777777" w:rsidR="001F04FD" w:rsidRPr="0013396E" w:rsidRDefault="001F04FD" w:rsidP="00AC4DEE">
            <w:pPr>
              <w:pStyle w:val="TableBody"/>
            </w:pPr>
            <w:r w:rsidRPr="0013396E">
              <w:t>MWh</w:t>
            </w:r>
          </w:p>
        </w:tc>
        <w:tc>
          <w:tcPr>
            <w:tcW w:w="3672" w:type="pct"/>
          </w:tcPr>
          <w:p w14:paraId="1FBD08EB" w14:textId="77777777" w:rsidR="001F04FD" w:rsidRPr="0013396E" w:rsidRDefault="001F04FD" w:rsidP="00AC4DEE">
            <w:pPr>
              <w:pStyle w:val="TableBody"/>
              <w:rPr>
                <w:i/>
              </w:rPr>
            </w:pPr>
            <w:r w:rsidRPr="0013396E">
              <w:rPr>
                <w:i/>
              </w:rPr>
              <w:t>Load Zone Energy Imbalance per QSE per Settlement Point</w:t>
            </w:r>
            <w:r w:rsidRPr="0013396E">
              <w:t xml:space="preserve">—The Load Zone volumetric imbalance for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1F04FD" w:rsidRPr="0013396E" w14:paraId="6984027C" w14:textId="77777777" w:rsidTr="00341E22">
        <w:tc>
          <w:tcPr>
            <w:tcW w:w="872" w:type="pct"/>
          </w:tcPr>
          <w:p w14:paraId="0C2E6ECA" w14:textId="77777777" w:rsidR="001F04FD" w:rsidRPr="0013396E" w:rsidRDefault="001F04FD" w:rsidP="00AC4DEE">
            <w:pPr>
              <w:pStyle w:val="TableBody"/>
            </w:pPr>
            <w:r w:rsidRPr="0013396E">
              <w:t xml:space="preserve">RTSPPEW </w:t>
            </w:r>
            <w:r w:rsidRPr="0013396E">
              <w:rPr>
                <w:i/>
                <w:vertAlign w:val="subscript"/>
              </w:rPr>
              <w:t>p</w:t>
            </w:r>
          </w:p>
        </w:tc>
        <w:tc>
          <w:tcPr>
            <w:tcW w:w="456" w:type="pct"/>
          </w:tcPr>
          <w:p w14:paraId="6C5CF945" w14:textId="77777777" w:rsidR="001F04FD" w:rsidRPr="0013396E" w:rsidRDefault="001F04FD" w:rsidP="00AC4DEE">
            <w:pPr>
              <w:pStyle w:val="TableBody"/>
            </w:pPr>
            <w:r w:rsidRPr="0013396E">
              <w:t>$/MWh</w:t>
            </w:r>
          </w:p>
        </w:tc>
        <w:tc>
          <w:tcPr>
            <w:tcW w:w="3672" w:type="pct"/>
          </w:tcPr>
          <w:p w14:paraId="45D3CD9E" w14:textId="72A19002" w:rsidR="001F04FD" w:rsidRPr="0013396E" w:rsidRDefault="001F04FD" w:rsidP="00AC4DEE">
            <w:pPr>
              <w:pStyle w:val="TableBody"/>
              <w:rPr>
                <w:i/>
              </w:rPr>
            </w:pPr>
            <w:r w:rsidRPr="0013396E">
              <w:rPr>
                <w:i/>
              </w:rPr>
              <w:t>Real-Time Settlement Point Price Energy-Weighted</w:t>
            </w:r>
            <w:r w:rsidRPr="0013396E">
              <w:sym w:font="Symbol" w:char="F0BE"/>
            </w:r>
            <w:r w:rsidRPr="0013396E">
              <w:t xml:space="preserve">The Real-Time Settlement Point Price at the Settlement Point </w:t>
            </w:r>
            <w:r w:rsidRPr="0013396E">
              <w:rPr>
                <w:i/>
              </w:rPr>
              <w:t>p</w:t>
            </w:r>
            <w:r w:rsidRPr="0013396E">
              <w:t>, for the 15-minute Settlement Interval that is weighted by the State Estimated Load for the Load Zone of each SCED interval within the 15-minute Settlement Interval.</w:t>
            </w:r>
          </w:p>
        </w:tc>
      </w:tr>
      <w:tr w:rsidR="001F04FD" w:rsidRPr="0013396E" w14:paraId="062A48B9" w14:textId="77777777" w:rsidTr="00341E22">
        <w:tc>
          <w:tcPr>
            <w:tcW w:w="872" w:type="pct"/>
          </w:tcPr>
          <w:p w14:paraId="086031F5" w14:textId="77777777" w:rsidR="001F04FD" w:rsidRPr="0013396E" w:rsidRDefault="001F04FD" w:rsidP="00AC4DEE">
            <w:pPr>
              <w:pStyle w:val="TableBody"/>
            </w:pPr>
            <w:r w:rsidRPr="0013396E">
              <w:lastRenderedPageBreak/>
              <w:t xml:space="preserve">RTAML </w:t>
            </w:r>
            <w:r w:rsidRPr="0013396E">
              <w:rPr>
                <w:i/>
                <w:vertAlign w:val="subscript"/>
              </w:rPr>
              <w:t>q, p</w:t>
            </w:r>
          </w:p>
        </w:tc>
        <w:tc>
          <w:tcPr>
            <w:tcW w:w="456" w:type="pct"/>
          </w:tcPr>
          <w:p w14:paraId="6D692E7C" w14:textId="77777777" w:rsidR="001F04FD" w:rsidRPr="0013396E" w:rsidRDefault="001F04FD" w:rsidP="00AC4DEE">
            <w:pPr>
              <w:pStyle w:val="TableBody"/>
            </w:pPr>
            <w:r w:rsidRPr="0013396E">
              <w:t>MWh</w:t>
            </w:r>
          </w:p>
        </w:tc>
        <w:tc>
          <w:tcPr>
            <w:tcW w:w="3672" w:type="pct"/>
          </w:tcPr>
          <w:p w14:paraId="77294ADF" w14:textId="77777777" w:rsidR="001F04FD" w:rsidRPr="0013396E" w:rsidRDefault="001F04FD" w:rsidP="00AC4DEE">
            <w:pPr>
              <w:pStyle w:val="TableBody"/>
            </w:pPr>
            <w:r w:rsidRPr="0013396E">
              <w:rPr>
                <w:i/>
              </w:rPr>
              <w:t>Real-Time Adjusted Metered Load per QSE per Settlement Point</w:t>
            </w:r>
            <w:r w:rsidRPr="0013396E">
              <w:t xml:space="preserve">—The sum of the AML at the Electrical Buses that are included in Settlement Point </w:t>
            </w:r>
            <w:r w:rsidRPr="0013396E">
              <w:rPr>
                <w:i/>
              </w:rPr>
              <w:t>p</w:t>
            </w:r>
            <w:r w:rsidRPr="0013396E">
              <w:t xml:space="preserve"> represented by QSE </w:t>
            </w:r>
            <w:r w:rsidRPr="0013396E">
              <w:rPr>
                <w:i/>
              </w:rPr>
              <w:t>q</w:t>
            </w:r>
            <w:r w:rsidRPr="0013396E">
              <w:t xml:space="preserve"> for the 15-minute Settlement Interval.</w:t>
            </w:r>
          </w:p>
        </w:tc>
      </w:tr>
      <w:tr w:rsidR="001C0176" w:rsidRPr="0013396E" w14:paraId="33241641" w14:textId="77777777" w:rsidTr="001C0176">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1C0176" w:rsidRPr="0013396E" w14:paraId="1BBB9949" w14:textId="77777777" w:rsidTr="00F5593C">
              <w:trPr>
                <w:trHeight w:val="566"/>
              </w:trPr>
              <w:tc>
                <w:tcPr>
                  <w:tcW w:w="9576" w:type="dxa"/>
                  <w:shd w:val="pct12" w:color="auto" w:fill="auto"/>
                </w:tcPr>
                <w:p w14:paraId="3C62E153" w14:textId="1127954B" w:rsidR="001C0176" w:rsidRPr="0013396E" w:rsidRDefault="001C0176" w:rsidP="001C0176">
                  <w:pPr>
                    <w:pStyle w:val="Instructions"/>
                    <w:spacing w:before="60"/>
                  </w:pPr>
                  <w:r w:rsidRPr="0013396E">
                    <w:t>[NPRR1188:  Insert the variable “</w:t>
                  </w:r>
                  <w:r w:rsidRPr="0013396E">
                    <w:rPr>
                      <w:bCs/>
                    </w:rPr>
                    <w:t xml:space="preserve">RTAMLCLRL </w:t>
                  </w:r>
                  <w:r w:rsidRPr="0013396E">
                    <w:rPr>
                      <w:bCs/>
                      <w:vertAlign w:val="subscript"/>
                    </w:rPr>
                    <w:t>q, p</w:t>
                  </w:r>
                  <w:r w:rsidRPr="0013396E">
                    <w:t>” below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43"/>
                    <w:gridCol w:w="697"/>
                    <w:gridCol w:w="6530"/>
                  </w:tblGrid>
                  <w:tr w:rsidR="001C0176" w:rsidRPr="0013396E" w14:paraId="51C1E146" w14:textId="77777777" w:rsidTr="001C0176">
                    <w:tc>
                      <w:tcPr>
                        <w:tcW w:w="926" w:type="pct"/>
                      </w:tcPr>
                      <w:p w14:paraId="386AF04A" w14:textId="77792128" w:rsidR="001C0176" w:rsidRPr="0013396E" w:rsidRDefault="001C0176" w:rsidP="001C0176">
                        <w:pPr>
                          <w:pStyle w:val="TableBody"/>
                        </w:pPr>
                        <w:r w:rsidRPr="0013396E">
                          <w:rPr>
                            <w:bCs/>
                          </w:rPr>
                          <w:t xml:space="preserve">RTAMLCLRL </w:t>
                        </w:r>
                        <w:r w:rsidRPr="0013396E">
                          <w:rPr>
                            <w:bCs/>
                            <w:i/>
                            <w:vertAlign w:val="subscript"/>
                          </w:rPr>
                          <w:t>q, p</w:t>
                        </w:r>
                      </w:p>
                    </w:tc>
                    <w:tc>
                      <w:tcPr>
                        <w:tcW w:w="393" w:type="pct"/>
                      </w:tcPr>
                      <w:p w14:paraId="79911721" w14:textId="1CC2727A" w:rsidR="001C0176" w:rsidRPr="0013396E" w:rsidRDefault="001C0176" w:rsidP="001C0176">
                        <w:pPr>
                          <w:pStyle w:val="TableBody"/>
                        </w:pPr>
                        <w:r w:rsidRPr="0013396E">
                          <w:t>MWh</w:t>
                        </w:r>
                      </w:p>
                    </w:tc>
                    <w:tc>
                      <w:tcPr>
                        <w:tcW w:w="3682" w:type="pct"/>
                      </w:tcPr>
                      <w:p w14:paraId="4E313B6F" w14:textId="128B16F7" w:rsidR="001C0176" w:rsidRPr="0013396E" w:rsidRDefault="001C0176" w:rsidP="001C0176">
                        <w:pPr>
                          <w:pStyle w:val="TableBody"/>
                        </w:pPr>
                        <w:r w:rsidRPr="0013396E">
                          <w:rPr>
                            <w:i/>
                          </w:rPr>
                          <w:t>Real-Time Adjusted Metered Load for CLR Load per QSE per Settlement Point</w:t>
                        </w:r>
                        <w:r w:rsidRPr="0013396E">
                          <w:t xml:space="preserve">—The sum of the AML for the CLR Load from CLRs (that are not ALRs) at the Electrical Buses that are included in Settlement Point </w:t>
                        </w:r>
                        <w:r w:rsidRPr="0013396E">
                          <w:rPr>
                            <w:i/>
                          </w:rPr>
                          <w:t>p</w:t>
                        </w:r>
                        <w:r w:rsidRPr="0013396E">
                          <w:t xml:space="preserve"> represented by QSE </w:t>
                        </w:r>
                        <w:r w:rsidRPr="0013396E">
                          <w:rPr>
                            <w:i/>
                          </w:rPr>
                          <w:t>q</w:t>
                        </w:r>
                        <w:r w:rsidRPr="0013396E">
                          <w:t xml:space="preserve"> for the 15-minute Settlement Interval, represented as a positive value. </w:t>
                        </w:r>
                      </w:p>
                    </w:tc>
                  </w:tr>
                </w:tbl>
                <w:p w14:paraId="15EC0D01" w14:textId="77777777" w:rsidR="001C0176" w:rsidRPr="0013396E" w:rsidRDefault="001C0176" w:rsidP="001C0176">
                  <w:pPr>
                    <w:pStyle w:val="TableBody"/>
                  </w:pPr>
                </w:p>
              </w:tc>
            </w:tr>
          </w:tbl>
          <w:p w14:paraId="5C834612" w14:textId="77777777" w:rsidR="001C0176" w:rsidRPr="0013396E" w:rsidRDefault="001C0176" w:rsidP="003963CD">
            <w:pPr>
              <w:pStyle w:val="TableBody"/>
              <w:rPr>
                <w:i/>
                <w:iCs w:val="0"/>
              </w:rPr>
            </w:pPr>
          </w:p>
        </w:tc>
      </w:tr>
      <w:tr w:rsidR="003963CD" w:rsidRPr="0013396E" w14:paraId="079B7473" w14:textId="77777777" w:rsidTr="00341E22">
        <w:tc>
          <w:tcPr>
            <w:tcW w:w="872" w:type="pct"/>
          </w:tcPr>
          <w:p w14:paraId="2508C9DC" w14:textId="39227735" w:rsidR="003963CD" w:rsidRPr="0013396E" w:rsidRDefault="003963CD" w:rsidP="003963CD">
            <w:pPr>
              <w:pStyle w:val="TableBody"/>
            </w:pPr>
            <w:r w:rsidRPr="0013396E">
              <w:rPr>
                <w:bCs/>
              </w:rPr>
              <w:t xml:space="preserve">RTAMLESRNW </w:t>
            </w:r>
            <w:r w:rsidRPr="0013396E">
              <w:rPr>
                <w:bCs/>
                <w:i/>
                <w:vertAlign w:val="subscript"/>
              </w:rPr>
              <w:t>q, p</w:t>
            </w:r>
          </w:p>
        </w:tc>
        <w:tc>
          <w:tcPr>
            <w:tcW w:w="456" w:type="pct"/>
          </w:tcPr>
          <w:p w14:paraId="5D34D303" w14:textId="7A43FD19" w:rsidR="003963CD" w:rsidRPr="0013396E" w:rsidRDefault="003963CD" w:rsidP="003963CD">
            <w:pPr>
              <w:pStyle w:val="TableBody"/>
            </w:pPr>
            <w:r w:rsidRPr="0013396E">
              <w:rPr>
                <w:iCs w:val="0"/>
              </w:rPr>
              <w:t>MWh</w:t>
            </w:r>
          </w:p>
        </w:tc>
        <w:tc>
          <w:tcPr>
            <w:tcW w:w="3672" w:type="pct"/>
          </w:tcPr>
          <w:p w14:paraId="4E900EFA" w14:textId="1D51A7EA" w:rsidR="003963CD" w:rsidRPr="0013396E" w:rsidRDefault="003963CD" w:rsidP="003963CD">
            <w:pPr>
              <w:pStyle w:val="TableBody"/>
              <w:rPr>
                <w:i/>
              </w:rPr>
            </w:pPr>
            <w:r w:rsidRPr="0013396E">
              <w:rPr>
                <w:i/>
                <w:iCs w:val="0"/>
              </w:rPr>
              <w:t>Real-Time Adjusted Metered Load for ESR Non-WSL per QSE per Settlement Point</w:t>
            </w:r>
            <w:r w:rsidRPr="0013396E">
              <w:rPr>
                <w:iCs w:val="0"/>
              </w:rPr>
              <w:t xml:space="preserve">—The sum of the AML for the </w:t>
            </w:r>
            <w:r w:rsidRPr="0013396E">
              <w:t>Non-WSL ESR Charging Load</w:t>
            </w:r>
            <w:r w:rsidRPr="0013396E">
              <w:rPr>
                <w:iCs w:val="0"/>
              </w:rPr>
              <w:t xml:space="preserve"> at the Electrical Buses that are included in Settlement Point </w:t>
            </w:r>
            <w:r w:rsidRPr="0013396E">
              <w:rPr>
                <w:i/>
                <w:iCs w:val="0"/>
              </w:rPr>
              <w:t>p</w:t>
            </w:r>
            <w:r w:rsidRPr="0013396E">
              <w:rPr>
                <w:iCs w:val="0"/>
              </w:rPr>
              <w:t xml:space="preserve"> represented by QSE </w:t>
            </w:r>
            <w:r w:rsidRPr="0013396E">
              <w:rPr>
                <w:i/>
                <w:iCs w:val="0"/>
              </w:rPr>
              <w:t>q</w:t>
            </w:r>
            <w:r w:rsidRPr="0013396E">
              <w:rPr>
                <w:iCs w:val="0"/>
              </w:rPr>
              <w:t xml:space="preserve"> for the 15-minute Settlement Interval, represented as a positive value. </w:t>
            </w:r>
          </w:p>
        </w:tc>
      </w:tr>
      <w:tr w:rsidR="00341E22" w:rsidRPr="0013396E" w14:paraId="34BFCBFA" w14:textId="77777777" w:rsidTr="00341E22">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341E22" w:rsidRPr="0013396E" w14:paraId="73599B7C" w14:textId="77777777" w:rsidTr="00425355">
              <w:trPr>
                <w:trHeight w:val="566"/>
              </w:trPr>
              <w:tc>
                <w:tcPr>
                  <w:tcW w:w="9576" w:type="dxa"/>
                  <w:shd w:val="pct12" w:color="auto" w:fill="auto"/>
                </w:tcPr>
                <w:p w14:paraId="0982A79E" w14:textId="48E98466" w:rsidR="00341E22" w:rsidRPr="0013396E" w:rsidRDefault="00341E22" w:rsidP="00341E22">
                  <w:pPr>
                    <w:pStyle w:val="Instructions"/>
                    <w:spacing w:before="60"/>
                  </w:pPr>
                  <w:r w:rsidRPr="0013396E">
                    <w:t xml:space="preserve">[NPRR995:  </w:t>
                  </w:r>
                  <w:r w:rsidR="00031AC3" w:rsidRPr="0013396E">
                    <w:t xml:space="preserve">Insert the </w:t>
                  </w:r>
                  <w:r w:rsidRPr="0013396E">
                    <w:t>variable “</w:t>
                  </w:r>
                  <w:r w:rsidR="00031AC3" w:rsidRPr="0013396E">
                    <w:t>RTAMLNWSOL</w:t>
                  </w:r>
                  <w:r w:rsidR="00031AC3" w:rsidRPr="0013396E">
                    <w:rPr>
                      <w:vertAlign w:val="subscript"/>
                    </w:rPr>
                    <w:t xml:space="preserve"> q, p</w:t>
                  </w:r>
                  <w:r w:rsidRPr="0013396E">
                    <w:t xml:space="preserve">” </w:t>
                  </w:r>
                  <w:r w:rsidR="00031AC3" w:rsidRPr="0013396E">
                    <w:t>below</w:t>
                  </w:r>
                  <w:r w:rsidRPr="0013396E">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42"/>
                    <w:gridCol w:w="697"/>
                    <w:gridCol w:w="6531"/>
                  </w:tblGrid>
                  <w:tr w:rsidR="00031AC3" w:rsidRPr="0013396E" w14:paraId="5ACEC66C" w14:textId="77777777" w:rsidTr="00031AC3">
                    <w:tc>
                      <w:tcPr>
                        <w:tcW w:w="808" w:type="pct"/>
                      </w:tcPr>
                      <w:p w14:paraId="74651D68" w14:textId="490F4223" w:rsidR="00031AC3" w:rsidRPr="0013396E" w:rsidRDefault="00031AC3" w:rsidP="00031AC3">
                        <w:pPr>
                          <w:pStyle w:val="TableBody"/>
                        </w:pPr>
                        <w:r w:rsidRPr="0013396E">
                          <w:rPr>
                            <w:bCs/>
                            <w:iCs w:val="0"/>
                          </w:rPr>
                          <w:t xml:space="preserve">RTAMLNWSOL </w:t>
                        </w:r>
                        <w:r w:rsidRPr="0013396E">
                          <w:rPr>
                            <w:bCs/>
                            <w:i/>
                            <w:iCs w:val="0"/>
                            <w:vertAlign w:val="subscript"/>
                          </w:rPr>
                          <w:t>q, p</w:t>
                        </w:r>
                      </w:p>
                    </w:tc>
                    <w:tc>
                      <w:tcPr>
                        <w:tcW w:w="393" w:type="pct"/>
                      </w:tcPr>
                      <w:p w14:paraId="662603C8" w14:textId="6592561D" w:rsidR="00031AC3" w:rsidRPr="0013396E" w:rsidRDefault="00031AC3" w:rsidP="00031AC3">
                        <w:pPr>
                          <w:pStyle w:val="TableBody"/>
                        </w:pPr>
                        <w:r w:rsidRPr="0013396E">
                          <w:t>MWh</w:t>
                        </w:r>
                      </w:p>
                    </w:tc>
                    <w:tc>
                      <w:tcPr>
                        <w:tcW w:w="3799" w:type="pct"/>
                      </w:tcPr>
                      <w:p w14:paraId="5B6C0A2A" w14:textId="1228B0D1" w:rsidR="00031AC3" w:rsidRPr="0013396E" w:rsidRDefault="00031AC3" w:rsidP="00031AC3">
                        <w:pPr>
                          <w:pStyle w:val="TableBody"/>
                        </w:pPr>
                        <w:r w:rsidRPr="0013396E">
                          <w:rPr>
                            <w:i/>
                          </w:rPr>
                          <w:t>Real-Time Adjusted Metered Load for Non-WSL Settlement Only</w:t>
                        </w:r>
                        <w:r w:rsidRPr="0013396E">
                          <w:t xml:space="preserve"> </w:t>
                        </w:r>
                        <w:r w:rsidRPr="0013396E">
                          <w:rPr>
                            <w:i/>
                          </w:rPr>
                          <w:t>Charging Load per QSE per Settlement Point</w:t>
                        </w:r>
                        <w:r w:rsidRPr="0013396E">
                          <w:t xml:space="preserve">—The sum of the AML for the Non-WSL Settlement Only Charging Load for the SODESS or SOTESS site that are included in Settlement Point </w:t>
                        </w:r>
                        <w:r w:rsidRPr="0013396E">
                          <w:rPr>
                            <w:i/>
                          </w:rPr>
                          <w:t>p</w:t>
                        </w:r>
                        <w:r w:rsidRPr="0013396E">
                          <w:t xml:space="preserve"> represented by QSE </w:t>
                        </w:r>
                        <w:r w:rsidRPr="0013396E">
                          <w:rPr>
                            <w:i/>
                          </w:rPr>
                          <w:t>q</w:t>
                        </w:r>
                        <w:r w:rsidRPr="0013396E">
                          <w:t xml:space="preserve"> for the 15-minute Settlement Interval, represented as a positive value. </w:t>
                        </w:r>
                      </w:p>
                    </w:tc>
                  </w:tr>
                </w:tbl>
                <w:p w14:paraId="499EFCEB" w14:textId="77777777" w:rsidR="00341E22" w:rsidRPr="0013396E" w:rsidRDefault="00341E22" w:rsidP="00341E22">
                  <w:pPr>
                    <w:pStyle w:val="TableBody"/>
                  </w:pPr>
                </w:p>
              </w:tc>
            </w:tr>
          </w:tbl>
          <w:p w14:paraId="1430F1FA" w14:textId="77777777" w:rsidR="00341E22" w:rsidRPr="0013396E" w:rsidRDefault="00341E22" w:rsidP="00AC4DEE">
            <w:pPr>
              <w:pStyle w:val="TableBody"/>
              <w:rPr>
                <w:i/>
              </w:rPr>
            </w:pPr>
          </w:p>
        </w:tc>
      </w:tr>
      <w:tr w:rsidR="001F04FD" w:rsidRPr="0013396E" w14:paraId="0DE84FAB" w14:textId="77777777" w:rsidTr="00341E22">
        <w:tc>
          <w:tcPr>
            <w:tcW w:w="872" w:type="pct"/>
          </w:tcPr>
          <w:p w14:paraId="1F34907D" w14:textId="77777777" w:rsidR="001F04FD" w:rsidRPr="0013396E" w:rsidRDefault="001F04FD" w:rsidP="00AC4DEE">
            <w:pPr>
              <w:pStyle w:val="TableBody"/>
            </w:pPr>
            <w:r w:rsidRPr="0013396E">
              <w:t xml:space="preserve">SSSK </w:t>
            </w:r>
            <w:r w:rsidRPr="0013396E">
              <w:rPr>
                <w:i/>
                <w:vertAlign w:val="subscript"/>
              </w:rPr>
              <w:t>q, p</w:t>
            </w:r>
          </w:p>
        </w:tc>
        <w:tc>
          <w:tcPr>
            <w:tcW w:w="456" w:type="pct"/>
          </w:tcPr>
          <w:p w14:paraId="3E97D67D" w14:textId="77777777" w:rsidR="001F04FD" w:rsidRPr="0013396E" w:rsidRDefault="001F04FD" w:rsidP="00AC4DEE">
            <w:pPr>
              <w:pStyle w:val="TableBody"/>
            </w:pPr>
            <w:r w:rsidRPr="0013396E">
              <w:t>MW</w:t>
            </w:r>
          </w:p>
        </w:tc>
        <w:tc>
          <w:tcPr>
            <w:tcW w:w="3672" w:type="pct"/>
          </w:tcPr>
          <w:p w14:paraId="620C5366" w14:textId="77777777" w:rsidR="001F04FD" w:rsidRPr="0013396E" w:rsidRDefault="001F04FD" w:rsidP="00AC4DEE">
            <w:pPr>
              <w:pStyle w:val="TableBody"/>
            </w:pPr>
            <w:r w:rsidRPr="0013396E">
              <w:rPr>
                <w:i/>
              </w:rPr>
              <w:t>Self-Schedule with Sink at Settlement Point per QSE per Settlement Point</w:t>
            </w:r>
            <w:r w:rsidRPr="0013396E">
              <w:t xml:space="preserve">—The QSE </w:t>
            </w:r>
            <w:r w:rsidRPr="0013396E">
              <w:rPr>
                <w:i/>
              </w:rPr>
              <w:t>q</w:t>
            </w:r>
            <w:r w:rsidRPr="0013396E">
              <w:t xml:space="preserve">’s Self-Schedule with sink at Settlement Point </w:t>
            </w:r>
            <w:r w:rsidRPr="0013396E">
              <w:rPr>
                <w:i/>
              </w:rPr>
              <w:t>p</w:t>
            </w:r>
            <w:r w:rsidRPr="0013396E">
              <w:t>, for the 15-minute Settlement Interval.</w:t>
            </w:r>
          </w:p>
        </w:tc>
      </w:tr>
      <w:tr w:rsidR="001F04FD" w:rsidRPr="0013396E" w14:paraId="16348D12" w14:textId="77777777" w:rsidTr="00341E22">
        <w:tc>
          <w:tcPr>
            <w:tcW w:w="872" w:type="pct"/>
          </w:tcPr>
          <w:p w14:paraId="2444FDE8" w14:textId="77777777" w:rsidR="001F04FD" w:rsidRPr="0013396E" w:rsidRDefault="001F04FD" w:rsidP="00AC4DEE">
            <w:pPr>
              <w:pStyle w:val="TableBody"/>
            </w:pPr>
            <w:r w:rsidRPr="0013396E">
              <w:t xml:space="preserve">DAEP </w:t>
            </w:r>
            <w:r w:rsidRPr="0013396E">
              <w:rPr>
                <w:i/>
                <w:vertAlign w:val="subscript"/>
              </w:rPr>
              <w:t>q, p</w:t>
            </w:r>
          </w:p>
        </w:tc>
        <w:tc>
          <w:tcPr>
            <w:tcW w:w="456" w:type="pct"/>
          </w:tcPr>
          <w:p w14:paraId="05CD7C42" w14:textId="77777777" w:rsidR="001F04FD" w:rsidRPr="0013396E" w:rsidRDefault="001F04FD" w:rsidP="00AC4DEE">
            <w:pPr>
              <w:pStyle w:val="TableBody"/>
            </w:pPr>
            <w:r w:rsidRPr="0013396E">
              <w:t>MW</w:t>
            </w:r>
          </w:p>
        </w:tc>
        <w:tc>
          <w:tcPr>
            <w:tcW w:w="3672" w:type="pct"/>
          </w:tcPr>
          <w:p w14:paraId="07176976" w14:textId="77777777" w:rsidR="001C0176" w:rsidRPr="0013396E" w:rsidRDefault="001F04FD" w:rsidP="00AC4DEE">
            <w:pPr>
              <w:pStyle w:val="TableBody"/>
            </w:pPr>
            <w:r w:rsidRPr="0013396E">
              <w:rPr>
                <w:i/>
              </w:rPr>
              <w:t>Day-Ahead Energy Purchase per QSE per Settlement Point</w:t>
            </w:r>
            <w:r w:rsidRPr="0013396E">
              <w:t xml:space="preserve">—The QSE </w:t>
            </w:r>
            <w:r w:rsidRPr="0013396E">
              <w:rPr>
                <w:i/>
              </w:rPr>
              <w:t>q</w:t>
            </w:r>
            <w:r w:rsidRPr="0013396E">
              <w:t xml:space="preserve">’s DAM Energy Bids at Settlement Point </w:t>
            </w:r>
            <w:r w:rsidRPr="0013396E">
              <w:rPr>
                <w:i/>
              </w:rPr>
              <w:t>p</w:t>
            </w:r>
            <w:r w:rsidRPr="0013396E">
              <w:t xml:space="preserve"> cleared in the DAM, for the hour that includes the 15-minute Settlement Interval.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627"/>
            </w:tblGrid>
            <w:tr w:rsidR="001C0176" w:rsidRPr="0013396E" w14:paraId="235CAE34" w14:textId="77777777" w:rsidTr="00F5593C">
              <w:trPr>
                <w:trHeight w:val="206"/>
              </w:trPr>
              <w:tc>
                <w:tcPr>
                  <w:tcW w:w="0" w:type="auto"/>
                  <w:shd w:val="pct12" w:color="auto" w:fill="auto"/>
                </w:tcPr>
                <w:p w14:paraId="283587DF" w14:textId="3FB0235B" w:rsidR="001C0176" w:rsidRPr="0013396E" w:rsidRDefault="001C0176" w:rsidP="001C0176">
                  <w:pPr>
                    <w:pStyle w:val="Instructions"/>
                    <w:spacing w:before="120"/>
                  </w:pPr>
                  <w:r w:rsidRPr="0013396E">
                    <w:t>[NPRR1188:  Replace the description above with the following upon system implementation:]</w:t>
                  </w:r>
                </w:p>
                <w:p w14:paraId="28AA2BBD" w14:textId="52704B6D" w:rsidR="001C0176" w:rsidRPr="0013396E" w:rsidRDefault="001C0176" w:rsidP="001C0176">
                  <w:pPr>
                    <w:pStyle w:val="TableBody"/>
                  </w:pPr>
                  <w:r w:rsidRPr="0013396E">
                    <w:rPr>
                      <w:i/>
                    </w:rPr>
                    <w:t>Day-Ahead Energy Purchase per QSE per Settlement Point</w:t>
                  </w:r>
                  <w:r w:rsidRPr="0013396E">
                    <w:t xml:space="preserve">—The QSE </w:t>
                  </w:r>
                  <w:r w:rsidRPr="0013396E">
                    <w:rPr>
                      <w:i/>
                    </w:rPr>
                    <w:t>q</w:t>
                  </w:r>
                  <w:r w:rsidRPr="0013396E">
                    <w:t xml:space="preserve">’s DAM Energy Bids and Energy Bid Curves at Settlement Point </w:t>
                  </w:r>
                  <w:r w:rsidRPr="0013396E">
                    <w:rPr>
                      <w:i/>
                    </w:rPr>
                    <w:t>p</w:t>
                  </w:r>
                  <w:r w:rsidRPr="0013396E">
                    <w:t xml:space="preserve"> cleared in the DAM, for the hour that includes the 15-minute Settlement Interval.</w:t>
                  </w:r>
                </w:p>
              </w:tc>
            </w:tr>
          </w:tbl>
          <w:p w14:paraId="3724B4B0" w14:textId="66F6047F" w:rsidR="001F04FD" w:rsidRPr="0013396E" w:rsidRDefault="001F04FD" w:rsidP="00AC4DEE">
            <w:pPr>
              <w:pStyle w:val="TableBody"/>
            </w:pPr>
          </w:p>
        </w:tc>
      </w:tr>
      <w:tr w:rsidR="001F04FD" w:rsidRPr="0013396E" w14:paraId="6B0E539E" w14:textId="77777777" w:rsidTr="00341E22">
        <w:tc>
          <w:tcPr>
            <w:tcW w:w="872" w:type="pct"/>
          </w:tcPr>
          <w:p w14:paraId="7914A9CD" w14:textId="77777777" w:rsidR="001F04FD" w:rsidRPr="0013396E" w:rsidRDefault="001F04FD" w:rsidP="00AC4DEE">
            <w:pPr>
              <w:pStyle w:val="TableBody"/>
            </w:pPr>
            <w:r w:rsidRPr="0013396E">
              <w:t xml:space="preserve">RTQQEP </w:t>
            </w:r>
            <w:r w:rsidRPr="0013396E">
              <w:rPr>
                <w:i/>
                <w:vertAlign w:val="subscript"/>
              </w:rPr>
              <w:t>q, p</w:t>
            </w:r>
            <w:r w:rsidRPr="0013396E">
              <w:t xml:space="preserve"> </w:t>
            </w:r>
          </w:p>
        </w:tc>
        <w:tc>
          <w:tcPr>
            <w:tcW w:w="456" w:type="pct"/>
          </w:tcPr>
          <w:p w14:paraId="28C31B81" w14:textId="77777777" w:rsidR="001F04FD" w:rsidRPr="0013396E" w:rsidRDefault="001F04FD" w:rsidP="00AC4DEE">
            <w:pPr>
              <w:pStyle w:val="TableBody"/>
            </w:pPr>
            <w:r w:rsidRPr="0013396E">
              <w:t>MW</w:t>
            </w:r>
          </w:p>
        </w:tc>
        <w:tc>
          <w:tcPr>
            <w:tcW w:w="3672" w:type="pct"/>
          </w:tcPr>
          <w:p w14:paraId="6002EB6B" w14:textId="77777777" w:rsidR="001F04FD" w:rsidRPr="0013396E" w:rsidRDefault="001F04FD" w:rsidP="00AC4DEE">
            <w:pPr>
              <w:pStyle w:val="TableBody"/>
            </w:pPr>
            <w:r w:rsidRPr="0013396E">
              <w:rPr>
                <w:i/>
              </w:rPr>
              <w:t>Real-Time QSE-to-QSE Energy Purchase per QSE per Settlement Point</w:t>
            </w:r>
            <w:r w:rsidRPr="0013396E">
              <w:sym w:font="Symbol" w:char="F0BE"/>
            </w:r>
            <w:r w:rsidRPr="0013396E">
              <w:t xml:space="preserve">The amount of MW bought by QSE </w:t>
            </w:r>
            <w:r w:rsidRPr="0013396E">
              <w:rPr>
                <w:i/>
              </w:rPr>
              <w:t>q</w:t>
            </w:r>
            <w:r w:rsidRPr="0013396E">
              <w:t xml:space="preserve"> through Energy Trades at Settlement Point </w:t>
            </w:r>
            <w:r w:rsidRPr="0013396E">
              <w:rPr>
                <w:i/>
              </w:rPr>
              <w:t>p</w:t>
            </w:r>
            <w:r w:rsidRPr="0013396E">
              <w:t>, for the 15-minute Settlement Interval.</w:t>
            </w:r>
          </w:p>
        </w:tc>
      </w:tr>
      <w:tr w:rsidR="001F04FD" w:rsidRPr="0013396E" w14:paraId="0397A95E" w14:textId="77777777" w:rsidTr="00341E22">
        <w:tc>
          <w:tcPr>
            <w:tcW w:w="872" w:type="pct"/>
          </w:tcPr>
          <w:p w14:paraId="1FAAB5E2" w14:textId="77777777" w:rsidR="001F04FD" w:rsidRPr="0013396E" w:rsidRDefault="001F04FD" w:rsidP="00AC4DEE">
            <w:pPr>
              <w:pStyle w:val="TableBody"/>
            </w:pPr>
            <w:r w:rsidRPr="0013396E">
              <w:t xml:space="preserve">SSSR </w:t>
            </w:r>
            <w:r w:rsidRPr="0013396E">
              <w:rPr>
                <w:i/>
                <w:vertAlign w:val="subscript"/>
              </w:rPr>
              <w:t>q, p</w:t>
            </w:r>
          </w:p>
        </w:tc>
        <w:tc>
          <w:tcPr>
            <w:tcW w:w="456" w:type="pct"/>
          </w:tcPr>
          <w:p w14:paraId="73105EB7" w14:textId="77777777" w:rsidR="001F04FD" w:rsidRPr="0013396E" w:rsidRDefault="001F04FD" w:rsidP="00AC4DEE">
            <w:pPr>
              <w:pStyle w:val="TableBody"/>
            </w:pPr>
            <w:r w:rsidRPr="0013396E">
              <w:t>MW</w:t>
            </w:r>
          </w:p>
        </w:tc>
        <w:tc>
          <w:tcPr>
            <w:tcW w:w="3672" w:type="pct"/>
          </w:tcPr>
          <w:p w14:paraId="560E747C" w14:textId="77777777" w:rsidR="001F04FD" w:rsidRPr="0013396E" w:rsidRDefault="001F04FD" w:rsidP="00AC4DEE">
            <w:pPr>
              <w:pStyle w:val="TableBody"/>
            </w:pPr>
            <w:r w:rsidRPr="0013396E">
              <w:rPr>
                <w:i/>
              </w:rPr>
              <w:t>Self-Schedule with Source at Settlement Point per QSE per Settlement Point</w:t>
            </w:r>
            <w:r w:rsidRPr="0013396E">
              <w:t xml:space="preserve">—The QSE </w:t>
            </w:r>
            <w:r w:rsidRPr="0013396E">
              <w:rPr>
                <w:i/>
              </w:rPr>
              <w:t>q</w:t>
            </w:r>
            <w:r w:rsidRPr="0013396E">
              <w:t xml:space="preserve">’s Self-Schedule with source at Settlement Point </w:t>
            </w:r>
            <w:r w:rsidRPr="0013396E">
              <w:rPr>
                <w:i/>
              </w:rPr>
              <w:t>p</w:t>
            </w:r>
            <w:r w:rsidRPr="0013396E">
              <w:t>, for the 15-minute Settlement Interval.</w:t>
            </w:r>
          </w:p>
        </w:tc>
      </w:tr>
      <w:tr w:rsidR="001F04FD" w:rsidRPr="0013396E" w14:paraId="658BD197" w14:textId="77777777" w:rsidTr="00341E22">
        <w:tc>
          <w:tcPr>
            <w:tcW w:w="872" w:type="pct"/>
          </w:tcPr>
          <w:p w14:paraId="6C493956" w14:textId="77777777" w:rsidR="001F04FD" w:rsidRPr="0013396E" w:rsidRDefault="001F04FD" w:rsidP="00AC4DEE">
            <w:pPr>
              <w:pStyle w:val="TableBody"/>
            </w:pPr>
            <w:r w:rsidRPr="0013396E">
              <w:t xml:space="preserve">DAES </w:t>
            </w:r>
            <w:r w:rsidRPr="0013396E">
              <w:rPr>
                <w:i/>
                <w:vertAlign w:val="subscript"/>
              </w:rPr>
              <w:t>q, p</w:t>
            </w:r>
          </w:p>
        </w:tc>
        <w:tc>
          <w:tcPr>
            <w:tcW w:w="456" w:type="pct"/>
          </w:tcPr>
          <w:p w14:paraId="50298F4D" w14:textId="77777777" w:rsidR="001F04FD" w:rsidRPr="0013396E" w:rsidRDefault="001F04FD" w:rsidP="00AC4DEE">
            <w:pPr>
              <w:pStyle w:val="TableBody"/>
            </w:pPr>
            <w:r w:rsidRPr="0013396E">
              <w:t>MW</w:t>
            </w:r>
          </w:p>
        </w:tc>
        <w:tc>
          <w:tcPr>
            <w:tcW w:w="3672" w:type="pct"/>
          </w:tcPr>
          <w:p w14:paraId="656B6EF0" w14:textId="77777777" w:rsidR="001F04FD" w:rsidRPr="0013396E" w:rsidRDefault="001F04FD" w:rsidP="00AC4DEE">
            <w:pPr>
              <w:pStyle w:val="TableBody"/>
            </w:pPr>
            <w:r w:rsidRPr="0013396E">
              <w:rPr>
                <w:i/>
              </w:rPr>
              <w:t>Day-Ahead Energy Sale per QSE per Settlement Point</w:t>
            </w:r>
            <w:r w:rsidRPr="0013396E">
              <w:t xml:space="preserve">—The QSE </w:t>
            </w:r>
            <w:r w:rsidRPr="0013396E">
              <w:rPr>
                <w:i/>
              </w:rPr>
              <w:t>q</w:t>
            </w:r>
            <w:r w:rsidRPr="0013396E">
              <w:t xml:space="preserve">’s energy offers at Settlement Point </w:t>
            </w:r>
            <w:r w:rsidRPr="0013396E">
              <w:rPr>
                <w:i/>
              </w:rPr>
              <w:t>p</w:t>
            </w:r>
            <w:r w:rsidRPr="0013396E">
              <w:t xml:space="preserve"> cleared in the DAM, for the hour that includes the 15-minute Settlement Interval.</w:t>
            </w:r>
          </w:p>
        </w:tc>
      </w:tr>
      <w:tr w:rsidR="001F04FD" w:rsidRPr="0013396E" w14:paraId="777C3B70" w14:textId="77777777" w:rsidTr="00341E22">
        <w:tc>
          <w:tcPr>
            <w:tcW w:w="872" w:type="pct"/>
          </w:tcPr>
          <w:p w14:paraId="3FF476FB" w14:textId="77777777" w:rsidR="001F04FD" w:rsidRPr="0013396E" w:rsidRDefault="001F04FD" w:rsidP="00AC4DEE">
            <w:pPr>
              <w:pStyle w:val="TableBody"/>
            </w:pPr>
            <w:r w:rsidRPr="0013396E">
              <w:lastRenderedPageBreak/>
              <w:t xml:space="preserve">RTQQES </w:t>
            </w:r>
            <w:r w:rsidRPr="0013396E">
              <w:rPr>
                <w:i/>
                <w:vertAlign w:val="subscript"/>
              </w:rPr>
              <w:t>q, p</w:t>
            </w:r>
            <w:r w:rsidRPr="0013396E">
              <w:t xml:space="preserve"> </w:t>
            </w:r>
          </w:p>
        </w:tc>
        <w:tc>
          <w:tcPr>
            <w:tcW w:w="456" w:type="pct"/>
          </w:tcPr>
          <w:p w14:paraId="20854EF5" w14:textId="77777777" w:rsidR="001F04FD" w:rsidRPr="0013396E" w:rsidRDefault="001F04FD" w:rsidP="00AC4DEE">
            <w:pPr>
              <w:pStyle w:val="TableBody"/>
            </w:pPr>
            <w:r w:rsidRPr="0013396E">
              <w:t>MW</w:t>
            </w:r>
          </w:p>
        </w:tc>
        <w:tc>
          <w:tcPr>
            <w:tcW w:w="3672" w:type="pct"/>
          </w:tcPr>
          <w:p w14:paraId="3532C354" w14:textId="77777777" w:rsidR="001F04FD" w:rsidRPr="0013396E" w:rsidRDefault="001F04FD" w:rsidP="00AC4DEE">
            <w:pPr>
              <w:pStyle w:val="TableBody"/>
            </w:pPr>
            <w:r w:rsidRPr="0013396E">
              <w:rPr>
                <w:i/>
              </w:rPr>
              <w:t>Real-Time QSE-to-QSE Energy Sale per QSE per Settlement Point</w:t>
            </w:r>
            <w:r w:rsidRPr="0013396E">
              <w:sym w:font="Symbol" w:char="F0BE"/>
            </w:r>
            <w:r w:rsidRPr="0013396E">
              <w:t xml:space="preserve">The amount of MW sold by QSE </w:t>
            </w:r>
            <w:r w:rsidRPr="0013396E">
              <w:rPr>
                <w:i/>
              </w:rPr>
              <w:t>q</w:t>
            </w:r>
            <w:r w:rsidRPr="0013396E">
              <w:t xml:space="preserve"> through Energy Trades at Settlement Point </w:t>
            </w:r>
            <w:r w:rsidRPr="0013396E">
              <w:rPr>
                <w:i/>
              </w:rPr>
              <w:t>p</w:t>
            </w:r>
            <w:r w:rsidRPr="0013396E">
              <w:t>, for the 15-minute Settlement Interval.</w:t>
            </w:r>
          </w:p>
        </w:tc>
      </w:tr>
      <w:tr w:rsidR="001F04FD" w:rsidRPr="0013396E" w14:paraId="54BCE417" w14:textId="77777777" w:rsidTr="00341E22">
        <w:tc>
          <w:tcPr>
            <w:tcW w:w="872" w:type="pct"/>
          </w:tcPr>
          <w:p w14:paraId="7401344A" w14:textId="3269B0C6" w:rsidR="001F04FD" w:rsidRPr="0013396E" w:rsidRDefault="001F04FD" w:rsidP="00AC4DEE">
            <w:pPr>
              <w:pStyle w:val="TableBody"/>
            </w:pPr>
            <w:r w:rsidRPr="0013396E">
              <w:t>RTMG</w:t>
            </w:r>
            <w:r w:rsidR="00BE136C" w:rsidRPr="0013396E">
              <w:t>SOGZ</w:t>
            </w:r>
            <w:r w:rsidRPr="0013396E">
              <w:t xml:space="preserve"> </w:t>
            </w:r>
            <w:r w:rsidRPr="0013396E">
              <w:rPr>
                <w:i/>
                <w:vertAlign w:val="subscript"/>
              </w:rPr>
              <w:t>q, p</w:t>
            </w:r>
          </w:p>
        </w:tc>
        <w:tc>
          <w:tcPr>
            <w:tcW w:w="456" w:type="pct"/>
          </w:tcPr>
          <w:p w14:paraId="6D3FFDC8" w14:textId="77777777" w:rsidR="001F04FD" w:rsidRPr="0013396E" w:rsidRDefault="001F04FD" w:rsidP="00AC4DEE">
            <w:pPr>
              <w:pStyle w:val="TableBody"/>
            </w:pPr>
            <w:r w:rsidRPr="0013396E">
              <w:t>MWh</w:t>
            </w:r>
          </w:p>
        </w:tc>
        <w:tc>
          <w:tcPr>
            <w:tcW w:w="3672" w:type="pct"/>
          </w:tcPr>
          <w:p w14:paraId="1EC3B329" w14:textId="516B7BFD" w:rsidR="001F04FD" w:rsidRPr="0013396E" w:rsidRDefault="001F04FD" w:rsidP="00CE3A65">
            <w:pPr>
              <w:pStyle w:val="TableBody"/>
              <w:rPr>
                <w:i/>
              </w:rPr>
            </w:pPr>
            <w:r w:rsidRPr="0013396E">
              <w:rPr>
                <w:i/>
              </w:rPr>
              <w:t xml:space="preserve">Real-Time Metered Generation from </w:t>
            </w:r>
            <w:r w:rsidR="00844FE5" w:rsidRPr="0013396E">
              <w:rPr>
                <w:i/>
              </w:rPr>
              <w:t>Settlement Only</w:t>
            </w:r>
            <w:r w:rsidRPr="0013396E">
              <w:rPr>
                <w:i/>
              </w:rPr>
              <w:t xml:space="preserve"> </w:t>
            </w:r>
            <w:r w:rsidR="00844FE5" w:rsidRPr="0013396E">
              <w:rPr>
                <w:i/>
              </w:rPr>
              <w:t>G</w:t>
            </w:r>
            <w:r w:rsidRPr="0013396E">
              <w:rPr>
                <w:i/>
              </w:rPr>
              <w:t xml:space="preserve">enerators </w:t>
            </w:r>
            <w:r w:rsidR="00BE136C" w:rsidRPr="0013396E">
              <w:rPr>
                <w:i/>
              </w:rPr>
              <w:t xml:space="preserve">Zonal </w:t>
            </w:r>
            <w:r w:rsidRPr="0013396E">
              <w:rPr>
                <w:i/>
              </w:rPr>
              <w:t>per QSE per Settlement Point</w:t>
            </w:r>
            <w:r w:rsidRPr="0013396E">
              <w:t xml:space="preserve">—The total Real-Time energy produced by </w:t>
            </w:r>
            <w:r w:rsidR="00844FE5" w:rsidRPr="0013396E">
              <w:t>SO</w:t>
            </w:r>
            <w:r w:rsidR="00BE136C" w:rsidRPr="0013396E">
              <w:t>TS</w:t>
            </w:r>
            <w:r w:rsidR="00844FE5" w:rsidRPr="0013396E">
              <w:t>Gs</w:t>
            </w:r>
            <w:r w:rsidRPr="0013396E">
              <w:t xml:space="preserve"> represented by QSE </w:t>
            </w:r>
            <w:r w:rsidRPr="0013396E">
              <w:rPr>
                <w:i/>
              </w:rPr>
              <w:t>q</w:t>
            </w:r>
            <w:r w:rsidRPr="0013396E">
              <w:t xml:space="preserve"> in Load Zone Settlement Point </w:t>
            </w:r>
            <w:r w:rsidRPr="0013396E">
              <w:rPr>
                <w:i/>
              </w:rPr>
              <w:t>p</w:t>
            </w:r>
            <w:r w:rsidRPr="0013396E">
              <w:t>, for the 15-minute Settlement Interval.</w:t>
            </w:r>
            <w:r w:rsidR="00BE136C" w:rsidRPr="0013396E">
              <w:rPr>
                <w:iCs w:val="0"/>
              </w:rPr>
              <w:t xml:space="preserve">  </w:t>
            </w:r>
            <w:r w:rsidR="00BE136C" w:rsidRPr="0013396E">
              <w:t xml:space="preserve">MWh quantities for ESS SODGs and SOTGs at sites where the ESS capacity constitutes more than 50% of the total SOG nameplate capacity will be included in this value.  </w:t>
            </w:r>
            <w:r w:rsidR="00BE136C" w:rsidRPr="0013396E">
              <w:rPr>
                <w:iCs w:val="0"/>
              </w:rPr>
              <w:t>MWh quantities for SODGs and SOTGs that have opted out of nodal pricing pursuant to Section 6.6.3.</w:t>
            </w:r>
            <w:r w:rsidR="0076227F" w:rsidRPr="0013396E">
              <w:rPr>
                <w:iCs w:val="0"/>
              </w:rPr>
              <w:t>8</w:t>
            </w:r>
            <w:r w:rsidR="00CE3A65" w:rsidRPr="0013396E">
              <w:rPr>
                <w:iCs w:val="0"/>
              </w:rPr>
              <w:t xml:space="preserve"> </w:t>
            </w:r>
            <w:r w:rsidR="00BE136C" w:rsidRPr="0013396E">
              <w:rPr>
                <w:iCs w:val="0"/>
              </w:rPr>
              <w:t>will also be included in this value.</w:t>
            </w:r>
          </w:p>
        </w:tc>
      </w:tr>
      <w:tr w:rsidR="001F04FD" w:rsidRPr="0013396E" w14:paraId="1C4A2773" w14:textId="77777777" w:rsidTr="00341E22">
        <w:tc>
          <w:tcPr>
            <w:tcW w:w="872" w:type="pct"/>
          </w:tcPr>
          <w:p w14:paraId="5F48D79E" w14:textId="77777777" w:rsidR="001F04FD" w:rsidRPr="0013396E" w:rsidRDefault="001F04FD" w:rsidP="00AC4DEE">
            <w:pPr>
              <w:pStyle w:val="TableBody"/>
              <w:rPr>
                <w:i/>
              </w:rPr>
            </w:pPr>
            <w:r w:rsidRPr="0013396E">
              <w:rPr>
                <w:i/>
              </w:rPr>
              <w:t>q</w:t>
            </w:r>
          </w:p>
        </w:tc>
        <w:tc>
          <w:tcPr>
            <w:tcW w:w="456" w:type="pct"/>
          </w:tcPr>
          <w:p w14:paraId="0884AC0F" w14:textId="77777777" w:rsidR="001F04FD" w:rsidRPr="0013396E" w:rsidRDefault="001F04FD" w:rsidP="00AC4DEE">
            <w:pPr>
              <w:pStyle w:val="TableBody"/>
            </w:pPr>
            <w:r w:rsidRPr="0013396E">
              <w:t>none</w:t>
            </w:r>
          </w:p>
        </w:tc>
        <w:tc>
          <w:tcPr>
            <w:tcW w:w="3672" w:type="pct"/>
          </w:tcPr>
          <w:p w14:paraId="64C95EE3" w14:textId="77777777" w:rsidR="001F04FD" w:rsidRPr="0013396E" w:rsidRDefault="001F04FD" w:rsidP="00AC4DEE">
            <w:pPr>
              <w:pStyle w:val="TableBody"/>
            </w:pPr>
            <w:r w:rsidRPr="0013396E">
              <w:t>A QSE.</w:t>
            </w:r>
          </w:p>
        </w:tc>
      </w:tr>
      <w:tr w:rsidR="001F04FD" w:rsidRPr="0013396E" w14:paraId="25E7C483" w14:textId="77777777" w:rsidTr="00341E22">
        <w:tc>
          <w:tcPr>
            <w:tcW w:w="872" w:type="pct"/>
          </w:tcPr>
          <w:p w14:paraId="63D8195A" w14:textId="77777777" w:rsidR="001F04FD" w:rsidRPr="0013396E" w:rsidRDefault="001F04FD" w:rsidP="00AC4DEE">
            <w:pPr>
              <w:pStyle w:val="TableBody"/>
              <w:rPr>
                <w:i/>
              </w:rPr>
            </w:pPr>
            <w:r w:rsidRPr="0013396E">
              <w:rPr>
                <w:i/>
              </w:rPr>
              <w:t>p</w:t>
            </w:r>
          </w:p>
        </w:tc>
        <w:tc>
          <w:tcPr>
            <w:tcW w:w="456" w:type="pct"/>
          </w:tcPr>
          <w:p w14:paraId="745182D6" w14:textId="77777777" w:rsidR="001F04FD" w:rsidRPr="0013396E" w:rsidRDefault="001F04FD" w:rsidP="00AC4DEE">
            <w:pPr>
              <w:pStyle w:val="TableBody"/>
            </w:pPr>
            <w:r w:rsidRPr="0013396E">
              <w:t>none</w:t>
            </w:r>
          </w:p>
        </w:tc>
        <w:tc>
          <w:tcPr>
            <w:tcW w:w="3672" w:type="pct"/>
          </w:tcPr>
          <w:p w14:paraId="76153038" w14:textId="77777777" w:rsidR="001F04FD" w:rsidRPr="0013396E" w:rsidRDefault="001F04FD" w:rsidP="00AC4DEE">
            <w:pPr>
              <w:pStyle w:val="TableBody"/>
            </w:pPr>
            <w:r w:rsidRPr="0013396E">
              <w:t>A Load Zone Settlement Point.</w:t>
            </w:r>
          </w:p>
        </w:tc>
      </w:tr>
    </w:tbl>
    <w:p w14:paraId="476AAC48" w14:textId="77777777" w:rsidR="001F04FD" w:rsidRPr="0013396E" w:rsidRDefault="001F04FD" w:rsidP="001F04FD">
      <w:pPr>
        <w:pStyle w:val="BodyTextNumbered"/>
        <w:spacing w:before="240"/>
      </w:pPr>
      <w:r w:rsidRPr="0013396E">
        <w:t>(3)</w:t>
      </w:r>
      <w:r w:rsidRPr="0013396E">
        <w:tab/>
        <w:t>The total net payments and charges to each QSE for Energy Imbalance Service at all Load Zones for the 15-minute Settlement Interval is calculated as follows:</w:t>
      </w:r>
    </w:p>
    <w:p w14:paraId="62602610" w14:textId="77777777" w:rsidR="001F04FD" w:rsidRPr="0013396E" w:rsidRDefault="001F04FD" w:rsidP="001F04FD">
      <w:pPr>
        <w:pStyle w:val="FormulaBold"/>
      </w:pPr>
      <w:r w:rsidRPr="0013396E">
        <w:t xml:space="preserve">RTEIAMTQSETOT </w:t>
      </w:r>
      <w:r w:rsidRPr="0013396E">
        <w:rPr>
          <w:i/>
          <w:vertAlign w:val="subscript"/>
        </w:rPr>
        <w:t>q</w:t>
      </w:r>
      <w:r w:rsidRPr="0013396E">
        <w:tab/>
        <w:t>=</w:t>
      </w:r>
      <w:r w:rsidRPr="0013396E">
        <w:tab/>
      </w:r>
      <w:r w:rsidRPr="0013396E">
        <w:rPr>
          <w:position w:val="-22"/>
        </w:rPr>
        <w:object w:dxaOrig="225" w:dyaOrig="465" w14:anchorId="0528E05A">
          <v:shape id="_x0000_i1125" type="#_x0000_t75" style="width:12pt;height:18.6pt" o:ole="">
            <v:imagedata r:id="rId142" o:title=""/>
          </v:shape>
          <o:OLEObject Type="Embed" ProgID="Equation.3" ShapeID="_x0000_i1125" DrawAspect="Content" ObjectID="_1849065756" r:id="rId144"/>
        </w:object>
      </w:r>
      <w:r w:rsidRPr="0013396E">
        <w:t xml:space="preserve">RTEIAMT </w:t>
      </w:r>
      <w:r w:rsidRPr="0013396E">
        <w:rPr>
          <w:i/>
          <w:vertAlign w:val="subscript"/>
        </w:rPr>
        <w:t>q, p</w:t>
      </w:r>
    </w:p>
    <w:p w14:paraId="1DA120D6" w14:textId="77777777" w:rsidR="001F04FD" w:rsidRPr="0013396E" w:rsidRDefault="001F04FD" w:rsidP="001F04FD">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358"/>
      </w:tblGrid>
      <w:tr w:rsidR="001F04FD" w:rsidRPr="0013396E" w14:paraId="6E86037F" w14:textId="77777777" w:rsidTr="002401F7">
        <w:tc>
          <w:tcPr>
            <w:tcW w:w="2165" w:type="dxa"/>
          </w:tcPr>
          <w:p w14:paraId="4975703B" w14:textId="77777777" w:rsidR="001F04FD" w:rsidRPr="0013396E" w:rsidRDefault="001F04FD" w:rsidP="00AC4DEE">
            <w:pPr>
              <w:pStyle w:val="TableHead"/>
            </w:pPr>
            <w:r w:rsidRPr="0013396E">
              <w:t>Variable</w:t>
            </w:r>
          </w:p>
        </w:tc>
        <w:tc>
          <w:tcPr>
            <w:tcW w:w="832" w:type="dxa"/>
          </w:tcPr>
          <w:p w14:paraId="395F7401" w14:textId="77777777" w:rsidR="001F04FD" w:rsidRPr="0013396E" w:rsidRDefault="001F04FD" w:rsidP="00AC4DEE">
            <w:pPr>
              <w:pStyle w:val="TableHead"/>
            </w:pPr>
            <w:r w:rsidRPr="0013396E">
              <w:t>Unit</w:t>
            </w:r>
          </w:p>
        </w:tc>
        <w:tc>
          <w:tcPr>
            <w:tcW w:w="6358" w:type="dxa"/>
          </w:tcPr>
          <w:p w14:paraId="1DF22BC6" w14:textId="77777777" w:rsidR="001F04FD" w:rsidRPr="0013396E" w:rsidRDefault="001F04FD" w:rsidP="00AC4DEE">
            <w:pPr>
              <w:pStyle w:val="TableHead"/>
            </w:pPr>
            <w:r w:rsidRPr="0013396E">
              <w:t>Definition</w:t>
            </w:r>
          </w:p>
        </w:tc>
      </w:tr>
      <w:tr w:rsidR="001F04FD" w:rsidRPr="0013396E" w14:paraId="255AE27B" w14:textId="77777777" w:rsidTr="002401F7">
        <w:tc>
          <w:tcPr>
            <w:tcW w:w="2165" w:type="dxa"/>
          </w:tcPr>
          <w:p w14:paraId="264124A9" w14:textId="77777777" w:rsidR="001F04FD" w:rsidRPr="0013396E" w:rsidRDefault="001F04FD" w:rsidP="00AC4DEE">
            <w:pPr>
              <w:pStyle w:val="TableBody"/>
            </w:pPr>
            <w:r w:rsidRPr="0013396E">
              <w:t xml:space="preserve">RTEIAMTQSETOT </w:t>
            </w:r>
            <w:r w:rsidRPr="0013396E">
              <w:rPr>
                <w:i/>
                <w:vertAlign w:val="subscript"/>
              </w:rPr>
              <w:t>q</w:t>
            </w:r>
          </w:p>
        </w:tc>
        <w:tc>
          <w:tcPr>
            <w:tcW w:w="832" w:type="dxa"/>
          </w:tcPr>
          <w:p w14:paraId="2C28353F" w14:textId="77777777" w:rsidR="001F04FD" w:rsidRPr="0013396E" w:rsidRDefault="001F04FD" w:rsidP="00AC4DEE">
            <w:pPr>
              <w:pStyle w:val="TableBody"/>
            </w:pPr>
            <w:r w:rsidRPr="0013396E">
              <w:t>$</w:t>
            </w:r>
          </w:p>
        </w:tc>
        <w:tc>
          <w:tcPr>
            <w:tcW w:w="6358" w:type="dxa"/>
          </w:tcPr>
          <w:p w14:paraId="1D8F812A" w14:textId="77777777" w:rsidR="001F04FD" w:rsidRPr="0013396E" w:rsidRDefault="001F04FD" w:rsidP="00AC4DEE">
            <w:pPr>
              <w:pStyle w:val="TableBody"/>
            </w:pPr>
            <w:r w:rsidRPr="0013396E">
              <w:rPr>
                <w:i/>
              </w:rPr>
              <w:t>Real-Time Energy Imbalance Amount QSE Total per QSE</w:t>
            </w:r>
            <w:r w:rsidRPr="0013396E">
              <w:sym w:font="Symbol" w:char="F0BE"/>
            </w:r>
            <w:r w:rsidRPr="0013396E">
              <w:t xml:space="preserve">The total net payments and charges to QSE </w:t>
            </w:r>
            <w:r w:rsidRPr="0013396E">
              <w:rPr>
                <w:i/>
              </w:rPr>
              <w:t>q</w:t>
            </w:r>
            <w:r w:rsidRPr="0013396E">
              <w:t xml:space="preserve"> for Real-Time Energy Imbalance Service at all Load Zone Settlement Points for the 15-minute Settlement Interval.</w:t>
            </w:r>
          </w:p>
        </w:tc>
      </w:tr>
      <w:tr w:rsidR="001F04FD" w:rsidRPr="0013396E" w14:paraId="77F60E64" w14:textId="77777777" w:rsidTr="002401F7">
        <w:tc>
          <w:tcPr>
            <w:tcW w:w="2165" w:type="dxa"/>
          </w:tcPr>
          <w:p w14:paraId="2AAF4155" w14:textId="77777777" w:rsidR="001F04FD" w:rsidRPr="0013396E" w:rsidRDefault="001F04FD" w:rsidP="00AC4DEE">
            <w:pPr>
              <w:pStyle w:val="TableBody"/>
            </w:pPr>
            <w:r w:rsidRPr="0013396E">
              <w:t xml:space="preserve">RTEIAMT </w:t>
            </w:r>
            <w:r w:rsidRPr="0013396E">
              <w:rPr>
                <w:i/>
                <w:vertAlign w:val="subscript"/>
              </w:rPr>
              <w:t>q, p</w:t>
            </w:r>
          </w:p>
        </w:tc>
        <w:tc>
          <w:tcPr>
            <w:tcW w:w="832" w:type="dxa"/>
          </w:tcPr>
          <w:p w14:paraId="206A19A5" w14:textId="77777777" w:rsidR="001F04FD" w:rsidRPr="0013396E" w:rsidRDefault="001F04FD" w:rsidP="00AC4DEE">
            <w:pPr>
              <w:pStyle w:val="TableBody"/>
            </w:pPr>
            <w:r w:rsidRPr="0013396E">
              <w:t>$</w:t>
            </w:r>
          </w:p>
        </w:tc>
        <w:tc>
          <w:tcPr>
            <w:tcW w:w="6358" w:type="dxa"/>
          </w:tcPr>
          <w:p w14:paraId="21669886" w14:textId="77777777" w:rsidR="001F04FD" w:rsidRPr="0013396E" w:rsidRDefault="001F04FD" w:rsidP="00AC4DEE">
            <w:pPr>
              <w:pStyle w:val="TableBody"/>
            </w:pPr>
            <w:r w:rsidRPr="0013396E">
              <w:rPr>
                <w:i/>
              </w:rPr>
              <w:t>Real-Time Energy Imbalance Amount per QSE per Settlement Point</w:t>
            </w:r>
            <w:r w:rsidRPr="0013396E">
              <w:t xml:space="preserve">—The charge to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1F04FD" w:rsidRPr="0013396E" w14:paraId="4E9A5F76" w14:textId="77777777" w:rsidTr="002401F7">
        <w:tc>
          <w:tcPr>
            <w:tcW w:w="2165" w:type="dxa"/>
            <w:tcBorders>
              <w:top w:val="single" w:sz="4" w:space="0" w:color="auto"/>
              <w:left w:val="single" w:sz="4" w:space="0" w:color="auto"/>
              <w:bottom w:val="single" w:sz="4" w:space="0" w:color="auto"/>
              <w:right w:val="single" w:sz="4" w:space="0" w:color="auto"/>
            </w:tcBorders>
          </w:tcPr>
          <w:p w14:paraId="3592F7A2" w14:textId="77777777" w:rsidR="001F04FD" w:rsidRPr="0013396E" w:rsidRDefault="001F04FD" w:rsidP="00AC4DE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6232CB81" w14:textId="77777777" w:rsidR="001F04FD" w:rsidRPr="0013396E" w:rsidRDefault="001F04FD" w:rsidP="00AC4DEE">
            <w:pPr>
              <w:pStyle w:val="TableBody"/>
            </w:pPr>
            <w:r w:rsidRPr="0013396E">
              <w:t>none</w:t>
            </w:r>
          </w:p>
        </w:tc>
        <w:tc>
          <w:tcPr>
            <w:tcW w:w="6358" w:type="dxa"/>
            <w:tcBorders>
              <w:top w:val="single" w:sz="4" w:space="0" w:color="auto"/>
              <w:left w:val="single" w:sz="4" w:space="0" w:color="auto"/>
              <w:bottom w:val="single" w:sz="4" w:space="0" w:color="auto"/>
              <w:right w:val="single" w:sz="4" w:space="0" w:color="auto"/>
            </w:tcBorders>
          </w:tcPr>
          <w:p w14:paraId="51B602E8" w14:textId="77777777" w:rsidR="001F04FD" w:rsidRPr="0013396E" w:rsidRDefault="001F04FD" w:rsidP="00AC4DEE">
            <w:pPr>
              <w:pStyle w:val="TableBody"/>
            </w:pPr>
            <w:r w:rsidRPr="0013396E">
              <w:t>A QSE.</w:t>
            </w:r>
          </w:p>
        </w:tc>
      </w:tr>
      <w:tr w:rsidR="001F04FD" w:rsidRPr="0013396E" w14:paraId="6ABD2B2A" w14:textId="77777777" w:rsidTr="002401F7">
        <w:tc>
          <w:tcPr>
            <w:tcW w:w="2165" w:type="dxa"/>
            <w:tcBorders>
              <w:top w:val="single" w:sz="4" w:space="0" w:color="auto"/>
              <w:left w:val="single" w:sz="4" w:space="0" w:color="auto"/>
              <w:bottom w:val="single" w:sz="4" w:space="0" w:color="auto"/>
              <w:right w:val="single" w:sz="4" w:space="0" w:color="auto"/>
            </w:tcBorders>
          </w:tcPr>
          <w:p w14:paraId="134D2243" w14:textId="77777777" w:rsidR="001F04FD" w:rsidRPr="0013396E" w:rsidRDefault="001F04FD" w:rsidP="00AC4DEE">
            <w:pPr>
              <w:pStyle w:val="TableBody"/>
              <w:rPr>
                <w:i/>
              </w:rPr>
            </w:pPr>
            <w:r w:rsidRPr="0013396E">
              <w:rPr>
                <w:i/>
              </w:rPr>
              <w:t>p</w:t>
            </w:r>
          </w:p>
        </w:tc>
        <w:tc>
          <w:tcPr>
            <w:tcW w:w="832" w:type="dxa"/>
            <w:tcBorders>
              <w:top w:val="single" w:sz="4" w:space="0" w:color="auto"/>
              <w:left w:val="single" w:sz="4" w:space="0" w:color="auto"/>
              <w:bottom w:val="single" w:sz="4" w:space="0" w:color="auto"/>
              <w:right w:val="single" w:sz="4" w:space="0" w:color="auto"/>
            </w:tcBorders>
          </w:tcPr>
          <w:p w14:paraId="11282980" w14:textId="77777777" w:rsidR="001F04FD" w:rsidRPr="0013396E" w:rsidRDefault="001F04FD" w:rsidP="00AC4DEE">
            <w:pPr>
              <w:pStyle w:val="TableBody"/>
            </w:pPr>
            <w:r w:rsidRPr="0013396E">
              <w:t>none</w:t>
            </w:r>
          </w:p>
        </w:tc>
        <w:tc>
          <w:tcPr>
            <w:tcW w:w="6358" w:type="dxa"/>
            <w:tcBorders>
              <w:top w:val="single" w:sz="4" w:space="0" w:color="auto"/>
              <w:left w:val="single" w:sz="4" w:space="0" w:color="auto"/>
              <w:bottom w:val="single" w:sz="4" w:space="0" w:color="auto"/>
              <w:right w:val="single" w:sz="4" w:space="0" w:color="auto"/>
            </w:tcBorders>
          </w:tcPr>
          <w:p w14:paraId="4CCCE014" w14:textId="77777777" w:rsidR="001F04FD" w:rsidRPr="0013396E" w:rsidRDefault="001F04FD" w:rsidP="00AC4DEE">
            <w:pPr>
              <w:pStyle w:val="TableBody"/>
            </w:pPr>
            <w:r w:rsidRPr="0013396E">
              <w:t>A Load Zone Settlement Point.</w:t>
            </w:r>
          </w:p>
        </w:tc>
      </w:tr>
    </w:tbl>
    <w:p w14:paraId="762DEA88" w14:textId="77777777" w:rsidR="001F04FD" w:rsidRPr="0013396E" w:rsidRDefault="001F04FD" w:rsidP="001F04FD">
      <w:pPr>
        <w:pStyle w:val="H4"/>
        <w:spacing w:before="480"/>
        <w:ind w:left="1267" w:hanging="1267"/>
      </w:pPr>
      <w:bookmarkStart w:id="1592" w:name="_Toc118199817"/>
      <w:bookmarkStart w:id="1593" w:name="_Toc118200329"/>
      <w:bookmarkStart w:id="1594" w:name="_Toc118908572"/>
      <w:bookmarkStart w:id="1595" w:name="_Toc119180743"/>
      <w:bookmarkStart w:id="1596" w:name="_Toc397505015"/>
      <w:bookmarkStart w:id="1597" w:name="_Toc402357143"/>
      <w:bookmarkStart w:id="1598" w:name="_Toc422486521"/>
      <w:bookmarkStart w:id="1599" w:name="_Toc433093373"/>
      <w:bookmarkStart w:id="1600" w:name="_Toc433093531"/>
      <w:bookmarkStart w:id="1601" w:name="_Toc440874759"/>
      <w:bookmarkStart w:id="1602" w:name="_Toc448142314"/>
      <w:bookmarkStart w:id="1603" w:name="_Toc448142471"/>
      <w:bookmarkStart w:id="1604" w:name="_Toc458770312"/>
      <w:bookmarkStart w:id="1605" w:name="_Toc459294280"/>
      <w:bookmarkStart w:id="1606" w:name="_Toc463262773"/>
      <w:bookmarkStart w:id="1607" w:name="_Toc468286846"/>
      <w:bookmarkStart w:id="1608" w:name="_Toc481502889"/>
      <w:bookmarkStart w:id="1609" w:name="_Toc496080057"/>
      <w:bookmarkStart w:id="1610" w:name="_Toc236220178"/>
      <w:r w:rsidRPr="0013396E">
        <w:t>6.6.3.3</w:t>
      </w:r>
      <w:r w:rsidRPr="0013396E">
        <w:tab/>
        <w:t>Real-Time Energy Imbalance Payment or Charge at a Hub</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14:paraId="5A8B6269" w14:textId="77777777" w:rsidR="001F04FD" w:rsidRPr="0013396E" w:rsidRDefault="001F04FD" w:rsidP="001F04FD">
      <w:pPr>
        <w:pStyle w:val="BodyTextNumbered"/>
      </w:pPr>
      <w:r w:rsidRPr="0013396E">
        <w:t>(1)</w:t>
      </w:r>
      <w:r w:rsidRPr="0013396E">
        <w:tab/>
        <w:t xml:space="preserve">The payment or charge to each QSE for Energy Imbalance Service is calculated based on the Real-Time Settlement Point Price for the following amounts at a particular Hub Settlement Point: </w:t>
      </w:r>
    </w:p>
    <w:p w14:paraId="304B2B7D" w14:textId="77777777" w:rsidR="001F04FD" w:rsidRPr="0013396E" w:rsidRDefault="001F04FD" w:rsidP="001F04FD">
      <w:pPr>
        <w:pStyle w:val="BodyTextNumbered"/>
        <w:ind w:left="1440"/>
      </w:pPr>
      <w:r w:rsidRPr="0013396E">
        <w:t>(a)</w:t>
      </w:r>
      <w:r w:rsidRPr="0013396E">
        <w:tab/>
        <w:t xml:space="preserve">The amount of its Self-Schedules with sink specified at the Settlement Point; plus </w:t>
      </w:r>
    </w:p>
    <w:p w14:paraId="4ED02FFA" w14:textId="77777777" w:rsidR="001F04FD" w:rsidRPr="0013396E" w:rsidRDefault="001F04FD" w:rsidP="001F04FD">
      <w:pPr>
        <w:pStyle w:val="BodyTextNumbered"/>
        <w:ind w:left="1440"/>
      </w:pPr>
      <w:r w:rsidRPr="0013396E">
        <w:t>(b)</w:t>
      </w:r>
      <w:r w:rsidRPr="0013396E">
        <w:tab/>
        <w:t xml:space="preserve">The amount of its DAM Energy Bids cleared in the DAM at the Settlement Point; plus </w:t>
      </w:r>
    </w:p>
    <w:p w14:paraId="23CD744C" w14:textId="77777777" w:rsidR="001F04FD" w:rsidRPr="0013396E" w:rsidRDefault="001F04FD" w:rsidP="001F04FD">
      <w:pPr>
        <w:pStyle w:val="BodyTextNumbered"/>
        <w:ind w:left="1440"/>
      </w:pPr>
      <w:r w:rsidRPr="0013396E">
        <w:t>(c)</w:t>
      </w:r>
      <w:r w:rsidRPr="0013396E">
        <w:tab/>
        <w:t xml:space="preserve">The amount of its Energy Trades at the Settlement Point where the QSE is the buyer; minus </w:t>
      </w:r>
    </w:p>
    <w:p w14:paraId="1BF33F5C" w14:textId="77777777" w:rsidR="001F04FD" w:rsidRPr="0013396E" w:rsidRDefault="001F04FD" w:rsidP="001F04FD">
      <w:pPr>
        <w:pStyle w:val="BodyTextNumbered"/>
        <w:ind w:left="1440"/>
      </w:pPr>
      <w:r w:rsidRPr="0013396E">
        <w:t>(d)</w:t>
      </w:r>
      <w:r w:rsidRPr="0013396E">
        <w:tab/>
        <w:t xml:space="preserve">The amount of its Self-Schedules with source specified at the Settlement Point; minus </w:t>
      </w:r>
    </w:p>
    <w:p w14:paraId="5DD2654A" w14:textId="77777777" w:rsidR="001F04FD" w:rsidRPr="0013396E" w:rsidRDefault="001F04FD" w:rsidP="001F04FD">
      <w:pPr>
        <w:pStyle w:val="BodyTextNumbered"/>
        <w:ind w:left="1440"/>
      </w:pPr>
      <w:r w:rsidRPr="0013396E">
        <w:lastRenderedPageBreak/>
        <w:t>(e)</w:t>
      </w:r>
      <w:r w:rsidRPr="0013396E">
        <w:tab/>
        <w:t xml:space="preserve">The amount of its energy offers cleared in the DAM at the Settlement Point; minus </w:t>
      </w:r>
    </w:p>
    <w:p w14:paraId="6B84C2EA" w14:textId="77777777" w:rsidR="001F04FD" w:rsidRPr="0013396E" w:rsidRDefault="001F04FD" w:rsidP="001F04FD">
      <w:pPr>
        <w:pStyle w:val="BodyTextNumbered"/>
        <w:ind w:left="1440"/>
      </w:pPr>
      <w:r w:rsidRPr="0013396E">
        <w:t>(f)</w:t>
      </w:r>
      <w:r w:rsidRPr="0013396E">
        <w:tab/>
        <w:t xml:space="preserve">The amount of its Energy Trades at the Settlement Point where the QSE is the seller. </w:t>
      </w:r>
    </w:p>
    <w:p w14:paraId="5F366E96" w14:textId="77777777" w:rsidR="001F04FD" w:rsidRPr="0013396E" w:rsidRDefault="001F04FD" w:rsidP="001F04FD">
      <w:pPr>
        <w:pStyle w:val="BodyTextNumbered"/>
        <w:rPr>
          <w:iCs/>
        </w:rPr>
      </w:pPr>
      <w:r w:rsidRPr="0013396E">
        <w:rPr>
          <w:iCs/>
        </w:rPr>
        <w:t>(2)</w:t>
      </w:r>
      <w:r w:rsidRPr="0013396E">
        <w:rPr>
          <w:iCs/>
        </w:rPr>
        <w:tab/>
        <w:t>The payment or charge to each QSE for Energy Imbalance Service at a Hub for a given 15-minute Settlement Interval is calculated as follows:</w:t>
      </w:r>
    </w:p>
    <w:p w14:paraId="463D59C4" w14:textId="77777777" w:rsidR="001F04FD" w:rsidRPr="0013396E" w:rsidRDefault="001F04FD" w:rsidP="001F04FD">
      <w:pPr>
        <w:pStyle w:val="FormulaBold"/>
        <w:ind w:left="3240" w:hanging="2520"/>
        <w:rPr>
          <w:sz w:val="32"/>
        </w:rPr>
      </w:pPr>
      <w:r w:rsidRPr="0013396E">
        <w:t xml:space="preserve">RTEIAMT </w:t>
      </w:r>
      <w:r w:rsidRPr="0013396E">
        <w:rPr>
          <w:i/>
          <w:vertAlign w:val="subscript"/>
        </w:rPr>
        <w:t>q, p</w:t>
      </w:r>
      <w:r w:rsidRPr="0013396E">
        <w:tab/>
        <w:t>=</w:t>
      </w:r>
      <w:r w:rsidRPr="0013396E">
        <w:tab/>
        <w:t xml:space="preserve">(-1) * RTSPP </w:t>
      </w:r>
      <w:r w:rsidRPr="0013396E">
        <w:rPr>
          <w:i/>
          <w:vertAlign w:val="subscript"/>
        </w:rPr>
        <w:t>p</w:t>
      </w:r>
      <w:r w:rsidRPr="0013396E">
        <w:t xml:space="preserve"> * </w:t>
      </w:r>
      <w:r w:rsidRPr="0013396E">
        <w:rPr>
          <w:sz w:val="32"/>
        </w:rPr>
        <w:t>{</w:t>
      </w:r>
      <w:r w:rsidRPr="0013396E">
        <w:t xml:space="preserve">(SSSK </w:t>
      </w:r>
      <w:r w:rsidRPr="0013396E">
        <w:rPr>
          <w:i/>
          <w:vertAlign w:val="subscript"/>
        </w:rPr>
        <w:t>q, p</w:t>
      </w:r>
      <w:r w:rsidRPr="0013396E">
        <w:t xml:space="preserve"> * ¼) + (DAEP </w:t>
      </w:r>
      <w:r w:rsidRPr="0013396E">
        <w:rPr>
          <w:i/>
          <w:vertAlign w:val="subscript"/>
        </w:rPr>
        <w:t>q, p</w:t>
      </w:r>
      <w:r w:rsidRPr="0013396E">
        <w:t xml:space="preserve"> * ¼) + (RTQQEP </w:t>
      </w:r>
      <w:r w:rsidRPr="0013396E">
        <w:rPr>
          <w:i/>
          <w:vertAlign w:val="subscript"/>
        </w:rPr>
        <w:t>q, p</w:t>
      </w:r>
      <w:r w:rsidRPr="0013396E">
        <w:t xml:space="preserve"> * ¼) – (SSSR </w:t>
      </w:r>
      <w:r w:rsidRPr="0013396E">
        <w:rPr>
          <w:i/>
          <w:vertAlign w:val="subscript"/>
        </w:rPr>
        <w:t>q, p</w:t>
      </w:r>
      <w:r w:rsidRPr="0013396E">
        <w:t xml:space="preserve"> * ¼) – (DAES </w:t>
      </w:r>
      <w:r w:rsidRPr="0013396E">
        <w:rPr>
          <w:i/>
          <w:vertAlign w:val="subscript"/>
        </w:rPr>
        <w:t>q, p</w:t>
      </w:r>
      <w:r w:rsidRPr="0013396E">
        <w:t xml:space="preserve"> * ¼) – (RTQQES </w:t>
      </w:r>
      <w:r w:rsidRPr="0013396E">
        <w:rPr>
          <w:i/>
          <w:vertAlign w:val="subscript"/>
        </w:rPr>
        <w:t>q, p</w:t>
      </w:r>
      <w:r w:rsidRPr="0013396E">
        <w:t xml:space="preserve"> * ¼)</w:t>
      </w:r>
      <w:r w:rsidRPr="0013396E">
        <w:rPr>
          <w:sz w:val="32"/>
        </w:rPr>
        <w:t>}</w:t>
      </w:r>
    </w:p>
    <w:p w14:paraId="3AA995E9" w14:textId="77777777" w:rsidR="001F04FD" w:rsidRPr="0013396E" w:rsidRDefault="001F04FD" w:rsidP="001F04FD">
      <w:pPr>
        <w:pStyle w:val="FormulaBold"/>
        <w:ind w:left="3150" w:hanging="2430"/>
        <w:rPr>
          <w:b w:val="0"/>
        </w:rPr>
      </w:pPr>
      <w:r w:rsidRPr="0013396E">
        <w:rPr>
          <w:b w:val="0"/>
        </w:rPr>
        <w:t>And</w:t>
      </w:r>
    </w:p>
    <w:p w14:paraId="16E8E017" w14:textId="77777777" w:rsidR="001F04FD" w:rsidRPr="0013396E" w:rsidRDefault="001F04FD" w:rsidP="001F04FD">
      <w:pPr>
        <w:pStyle w:val="FormulaBold"/>
        <w:ind w:left="3240" w:hanging="2520"/>
      </w:pPr>
      <w:r w:rsidRPr="0013396E">
        <w:t>HBIMBAL</w:t>
      </w:r>
      <w:r w:rsidRPr="0013396E">
        <w:rPr>
          <w:i/>
          <w:vertAlign w:val="subscript"/>
        </w:rPr>
        <w:t xml:space="preserve"> q, p</w:t>
      </w:r>
      <w:r w:rsidRPr="0013396E">
        <w:rPr>
          <w:i/>
          <w:vertAlign w:val="subscript"/>
        </w:rPr>
        <w:tab/>
        <w:t>=</w:t>
      </w:r>
      <w:r w:rsidRPr="0013396E">
        <w:rPr>
          <w:i/>
          <w:vertAlign w:val="subscript"/>
        </w:rPr>
        <w:tab/>
      </w:r>
      <w:r w:rsidRPr="0013396E">
        <w:t xml:space="preserve">(SSSK </w:t>
      </w:r>
      <w:r w:rsidRPr="0013396E">
        <w:rPr>
          <w:i/>
          <w:vertAlign w:val="subscript"/>
        </w:rPr>
        <w:t>q, p</w:t>
      </w:r>
      <w:r w:rsidRPr="0013396E">
        <w:t xml:space="preserve"> * ¼) + (DAEP </w:t>
      </w:r>
      <w:r w:rsidRPr="0013396E">
        <w:rPr>
          <w:i/>
          <w:vertAlign w:val="subscript"/>
        </w:rPr>
        <w:t>q, p</w:t>
      </w:r>
      <w:r w:rsidRPr="0013396E">
        <w:t xml:space="preserve"> * ¼) + (RTQQEP </w:t>
      </w:r>
      <w:r w:rsidRPr="0013396E">
        <w:rPr>
          <w:i/>
          <w:vertAlign w:val="subscript"/>
        </w:rPr>
        <w:t>q, p</w:t>
      </w:r>
      <w:r w:rsidRPr="0013396E">
        <w:t xml:space="preserve"> * ¼) – (SSSR </w:t>
      </w:r>
      <w:r w:rsidRPr="0013396E">
        <w:rPr>
          <w:i/>
          <w:vertAlign w:val="subscript"/>
        </w:rPr>
        <w:t>q, p</w:t>
      </w:r>
      <w:r w:rsidRPr="0013396E">
        <w:t xml:space="preserve"> * ¼) – (DAES </w:t>
      </w:r>
      <w:r w:rsidRPr="0013396E">
        <w:rPr>
          <w:i/>
          <w:vertAlign w:val="subscript"/>
        </w:rPr>
        <w:t>q, p</w:t>
      </w:r>
      <w:r w:rsidRPr="0013396E">
        <w:t xml:space="preserve"> * ¼) – (RTQQES </w:t>
      </w:r>
      <w:r w:rsidRPr="0013396E">
        <w:rPr>
          <w:i/>
          <w:vertAlign w:val="subscript"/>
        </w:rPr>
        <w:t>q, p</w:t>
      </w:r>
      <w:r w:rsidRPr="0013396E">
        <w:t xml:space="preserve"> * ¼)</w:t>
      </w:r>
    </w:p>
    <w:p w14:paraId="7EE9A107" w14:textId="77777777" w:rsidR="001F04FD" w:rsidRPr="0013396E" w:rsidRDefault="001F04FD" w:rsidP="001F04FD">
      <w:r w:rsidRPr="0013396E">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30"/>
        <w:gridCol w:w="853"/>
        <w:gridCol w:w="7357"/>
      </w:tblGrid>
      <w:tr w:rsidR="001F04FD" w:rsidRPr="0013396E" w14:paraId="234B116E" w14:textId="77777777" w:rsidTr="00AC4DEE">
        <w:trPr>
          <w:tblHeader/>
        </w:trPr>
        <w:tc>
          <w:tcPr>
            <w:tcW w:w="1630" w:type="dxa"/>
          </w:tcPr>
          <w:p w14:paraId="63D37F1B" w14:textId="77777777" w:rsidR="001F04FD" w:rsidRPr="0013396E" w:rsidRDefault="001F04FD" w:rsidP="00AC4DEE">
            <w:pPr>
              <w:pStyle w:val="TableHead"/>
            </w:pPr>
            <w:r w:rsidRPr="0013396E">
              <w:t>Variable</w:t>
            </w:r>
          </w:p>
        </w:tc>
        <w:tc>
          <w:tcPr>
            <w:tcW w:w="0" w:type="auto"/>
          </w:tcPr>
          <w:p w14:paraId="43C0087F" w14:textId="77777777" w:rsidR="001F04FD" w:rsidRPr="0013396E" w:rsidRDefault="001F04FD" w:rsidP="00AC4DEE">
            <w:pPr>
              <w:pStyle w:val="TableHead"/>
            </w:pPr>
            <w:r w:rsidRPr="0013396E">
              <w:t>Unit</w:t>
            </w:r>
          </w:p>
        </w:tc>
        <w:tc>
          <w:tcPr>
            <w:tcW w:w="0" w:type="auto"/>
          </w:tcPr>
          <w:p w14:paraId="3912DA3C" w14:textId="77777777" w:rsidR="001F04FD" w:rsidRPr="0013396E" w:rsidRDefault="001F04FD" w:rsidP="00AC4DEE">
            <w:pPr>
              <w:pStyle w:val="TableHead"/>
            </w:pPr>
            <w:r w:rsidRPr="0013396E">
              <w:t>Description</w:t>
            </w:r>
          </w:p>
        </w:tc>
      </w:tr>
      <w:tr w:rsidR="001F04FD" w:rsidRPr="0013396E" w14:paraId="20AF4026" w14:textId="77777777" w:rsidTr="00AC4DEE">
        <w:tc>
          <w:tcPr>
            <w:tcW w:w="1630" w:type="dxa"/>
          </w:tcPr>
          <w:p w14:paraId="11E87671" w14:textId="77777777" w:rsidR="001F04FD" w:rsidRPr="0013396E" w:rsidRDefault="001F04FD" w:rsidP="00AC4DEE">
            <w:pPr>
              <w:pStyle w:val="TableBody"/>
            </w:pPr>
            <w:r w:rsidRPr="0013396E">
              <w:t xml:space="preserve">RTEIAMT </w:t>
            </w:r>
            <w:r w:rsidRPr="0013396E">
              <w:rPr>
                <w:i/>
                <w:vertAlign w:val="subscript"/>
              </w:rPr>
              <w:t>q, p</w:t>
            </w:r>
          </w:p>
        </w:tc>
        <w:tc>
          <w:tcPr>
            <w:tcW w:w="0" w:type="auto"/>
          </w:tcPr>
          <w:p w14:paraId="1E14797C" w14:textId="77777777" w:rsidR="001F04FD" w:rsidRPr="0013396E" w:rsidRDefault="001F04FD" w:rsidP="00AC4DEE">
            <w:pPr>
              <w:pStyle w:val="TableBody"/>
            </w:pPr>
            <w:r w:rsidRPr="0013396E">
              <w:t>$</w:t>
            </w:r>
          </w:p>
        </w:tc>
        <w:tc>
          <w:tcPr>
            <w:tcW w:w="0" w:type="auto"/>
          </w:tcPr>
          <w:p w14:paraId="128558E0" w14:textId="77777777" w:rsidR="001F04FD" w:rsidRPr="0013396E" w:rsidRDefault="001F04FD" w:rsidP="00AC4DEE">
            <w:pPr>
              <w:pStyle w:val="TableBody"/>
            </w:pPr>
            <w:r w:rsidRPr="0013396E">
              <w:rPr>
                <w:i/>
              </w:rPr>
              <w:t>Real-Time Energy Imbalance Amount per QSE per Settlement Point</w:t>
            </w:r>
            <w:r w:rsidRPr="0013396E">
              <w:t xml:space="preserve">—The payment or charge to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1F04FD" w:rsidRPr="0013396E" w14:paraId="6CC896DA" w14:textId="77777777" w:rsidTr="00AC4DEE">
        <w:tc>
          <w:tcPr>
            <w:tcW w:w="1630" w:type="dxa"/>
          </w:tcPr>
          <w:p w14:paraId="7E3CC32C" w14:textId="77777777" w:rsidR="001F04FD" w:rsidRPr="0013396E" w:rsidRDefault="001F04FD" w:rsidP="00AC4DEE">
            <w:pPr>
              <w:pStyle w:val="TableBody"/>
            </w:pPr>
            <w:r w:rsidRPr="0013396E">
              <w:t>HBIMBAL</w:t>
            </w:r>
            <w:r w:rsidRPr="0013396E">
              <w:rPr>
                <w:i/>
                <w:vertAlign w:val="subscript"/>
              </w:rPr>
              <w:t xml:space="preserve"> q, p</w:t>
            </w:r>
          </w:p>
        </w:tc>
        <w:tc>
          <w:tcPr>
            <w:tcW w:w="0" w:type="auto"/>
          </w:tcPr>
          <w:p w14:paraId="7C187939" w14:textId="77777777" w:rsidR="001F04FD" w:rsidRPr="0013396E" w:rsidRDefault="001F04FD" w:rsidP="00AC4DEE">
            <w:pPr>
              <w:pStyle w:val="TableBody"/>
            </w:pPr>
            <w:r w:rsidRPr="0013396E">
              <w:t>MWh</w:t>
            </w:r>
          </w:p>
        </w:tc>
        <w:tc>
          <w:tcPr>
            <w:tcW w:w="0" w:type="auto"/>
          </w:tcPr>
          <w:p w14:paraId="51EF84DB" w14:textId="77777777" w:rsidR="001F04FD" w:rsidRPr="0013396E" w:rsidRDefault="001F04FD" w:rsidP="00AC4DEE">
            <w:pPr>
              <w:pStyle w:val="TableBody"/>
              <w:rPr>
                <w:i/>
              </w:rPr>
            </w:pPr>
            <w:r w:rsidRPr="0013396E">
              <w:rPr>
                <w:i/>
              </w:rPr>
              <w:t>Hub Energy Imbalance per QSE per Settlement Point</w:t>
            </w:r>
            <w:r w:rsidRPr="0013396E">
              <w:t xml:space="preserve">—The Hub volumetric imbalance for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1F04FD" w:rsidRPr="0013396E" w14:paraId="646092E7" w14:textId="77777777" w:rsidTr="00AC4DEE">
        <w:tc>
          <w:tcPr>
            <w:tcW w:w="1630" w:type="dxa"/>
          </w:tcPr>
          <w:p w14:paraId="66502C78" w14:textId="77777777" w:rsidR="001F04FD" w:rsidRPr="0013396E" w:rsidRDefault="001F04FD" w:rsidP="00AC4DEE">
            <w:pPr>
              <w:pStyle w:val="TableBody"/>
            </w:pPr>
            <w:r w:rsidRPr="0013396E">
              <w:t>RTSPP</w:t>
            </w:r>
            <w:r w:rsidRPr="0013396E">
              <w:rPr>
                <w:i/>
              </w:rPr>
              <w:t xml:space="preserve"> </w:t>
            </w:r>
            <w:r w:rsidRPr="0013396E">
              <w:rPr>
                <w:i/>
                <w:vertAlign w:val="subscript"/>
              </w:rPr>
              <w:t>p</w:t>
            </w:r>
          </w:p>
        </w:tc>
        <w:tc>
          <w:tcPr>
            <w:tcW w:w="0" w:type="auto"/>
          </w:tcPr>
          <w:p w14:paraId="2CC6DA6D" w14:textId="77777777" w:rsidR="001F04FD" w:rsidRPr="0013396E" w:rsidRDefault="001F04FD" w:rsidP="00AC4DEE">
            <w:pPr>
              <w:pStyle w:val="TableBody"/>
            </w:pPr>
            <w:r w:rsidRPr="0013396E">
              <w:t>$/MWh</w:t>
            </w:r>
          </w:p>
        </w:tc>
        <w:tc>
          <w:tcPr>
            <w:tcW w:w="0" w:type="auto"/>
          </w:tcPr>
          <w:p w14:paraId="63B6517A" w14:textId="77777777" w:rsidR="001F04FD" w:rsidRPr="0013396E" w:rsidRDefault="001F04FD" w:rsidP="00AC4DE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for the 15-minute Settlement Interval.</w:t>
            </w:r>
          </w:p>
        </w:tc>
      </w:tr>
      <w:tr w:rsidR="001F04FD" w:rsidRPr="0013396E" w14:paraId="09CCBEA0" w14:textId="77777777" w:rsidTr="00AC4DEE">
        <w:tc>
          <w:tcPr>
            <w:tcW w:w="1630" w:type="dxa"/>
          </w:tcPr>
          <w:p w14:paraId="67F0A319" w14:textId="77777777" w:rsidR="001F04FD" w:rsidRPr="0013396E" w:rsidRDefault="001F04FD" w:rsidP="00AC4DEE">
            <w:pPr>
              <w:pStyle w:val="TableBody"/>
            </w:pPr>
            <w:r w:rsidRPr="0013396E">
              <w:t xml:space="preserve">SSSK </w:t>
            </w:r>
            <w:r w:rsidRPr="0013396E">
              <w:rPr>
                <w:i/>
                <w:vertAlign w:val="subscript"/>
              </w:rPr>
              <w:t>q, p</w:t>
            </w:r>
          </w:p>
        </w:tc>
        <w:tc>
          <w:tcPr>
            <w:tcW w:w="0" w:type="auto"/>
          </w:tcPr>
          <w:p w14:paraId="15ADE79A" w14:textId="77777777" w:rsidR="001F04FD" w:rsidRPr="0013396E" w:rsidRDefault="001F04FD" w:rsidP="00AC4DEE">
            <w:pPr>
              <w:pStyle w:val="TableBody"/>
            </w:pPr>
            <w:r w:rsidRPr="0013396E">
              <w:t>MW</w:t>
            </w:r>
          </w:p>
        </w:tc>
        <w:tc>
          <w:tcPr>
            <w:tcW w:w="0" w:type="auto"/>
          </w:tcPr>
          <w:p w14:paraId="4B9AB98A" w14:textId="77777777" w:rsidR="001F04FD" w:rsidRPr="0013396E" w:rsidRDefault="001F04FD" w:rsidP="00AC4DEE">
            <w:pPr>
              <w:pStyle w:val="TableBody"/>
            </w:pPr>
            <w:r w:rsidRPr="0013396E">
              <w:rPr>
                <w:i/>
              </w:rPr>
              <w:t>Self-Schedule with Sink at Settlement Point per QSE per Settlement Point</w:t>
            </w:r>
            <w:r w:rsidRPr="0013396E">
              <w:t xml:space="preserve">—The QSE </w:t>
            </w:r>
            <w:r w:rsidRPr="0013396E">
              <w:rPr>
                <w:i/>
              </w:rPr>
              <w:t>q</w:t>
            </w:r>
            <w:r w:rsidRPr="0013396E">
              <w:t xml:space="preserve">’s Self-Schedule with sink at Settlement Point </w:t>
            </w:r>
            <w:r w:rsidRPr="0013396E">
              <w:rPr>
                <w:i/>
              </w:rPr>
              <w:t>p</w:t>
            </w:r>
            <w:r w:rsidRPr="0013396E">
              <w:t>, for the 15-minute Settlement Interval.</w:t>
            </w:r>
          </w:p>
        </w:tc>
      </w:tr>
      <w:tr w:rsidR="001F04FD" w:rsidRPr="0013396E" w14:paraId="05F5471B" w14:textId="77777777" w:rsidTr="00AC4DEE">
        <w:tc>
          <w:tcPr>
            <w:tcW w:w="1630" w:type="dxa"/>
          </w:tcPr>
          <w:p w14:paraId="0EB9AB49" w14:textId="77777777" w:rsidR="001F04FD" w:rsidRPr="0013396E" w:rsidRDefault="001F04FD" w:rsidP="00AC4DEE">
            <w:pPr>
              <w:pStyle w:val="TableBody"/>
            </w:pPr>
            <w:r w:rsidRPr="0013396E">
              <w:t xml:space="preserve">DAEP </w:t>
            </w:r>
            <w:r w:rsidRPr="0013396E">
              <w:rPr>
                <w:i/>
                <w:vertAlign w:val="subscript"/>
              </w:rPr>
              <w:t>q, p</w:t>
            </w:r>
          </w:p>
        </w:tc>
        <w:tc>
          <w:tcPr>
            <w:tcW w:w="0" w:type="auto"/>
          </w:tcPr>
          <w:p w14:paraId="03ECDAFA" w14:textId="77777777" w:rsidR="001F04FD" w:rsidRPr="0013396E" w:rsidRDefault="001F04FD" w:rsidP="00AC4DEE">
            <w:pPr>
              <w:pStyle w:val="TableBody"/>
            </w:pPr>
            <w:r w:rsidRPr="0013396E">
              <w:t>MW</w:t>
            </w:r>
          </w:p>
        </w:tc>
        <w:tc>
          <w:tcPr>
            <w:tcW w:w="0" w:type="auto"/>
          </w:tcPr>
          <w:p w14:paraId="309958ED" w14:textId="77777777" w:rsidR="001F04FD" w:rsidRPr="0013396E" w:rsidRDefault="001F04FD" w:rsidP="00AC4DEE">
            <w:pPr>
              <w:pStyle w:val="TableBody"/>
            </w:pPr>
            <w:r w:rsidRPr="0013396E">
              <w:rPr>
                <w:i/>
              </w:rPr>
              <w:t>Day-Ahead Energy Purchase per QSE per Settlement Point</w:t>
            </w:r>
            <w:r w:rsidRPr="0013396E">
              <w:t xml:space="preserve">—The QSE </w:t>
            </w:r>
            <w:r w:rsidRPr="0013396E">
              <w:rPr>
                <w:i/>
              </w:rPr>
              <w:t>q</w:t>
            </w:r>
            <w:r w:rsidRPr="0013396E">
              <w:t xml:space="preserve">’s DAM Energy Bids at Settlement Point </w:t>
            </w:r>
            <w:r w:rsidRPr="0013396E">
              <w:rPr>
                <w:i/>
              </w:rPr>
              <w:t>p</w:t>
            </w:r>
            <w:r w:rsidRPr="0013396E">
              <w:t xml:space="preserve"> cleared in the DAM, for the hour that includes the 15-minute Settlement Interval.</w:t>
            </w:r>
          </w:p>
        </w:tc>
      </w:tr>
      <w:tr w:rsidR="001F04FD" w:rsidRPr="0013396E" w14:paraId="48CC7493" w14:textId="77777777" w:rsidTr="00AC4DEE">
        <w:tc>
          <w:tcPr>
            <w:tcW w:w="1630" w:type="dxa"/>
          </w:tcPr>
          <w:p w14:paraId="2DB58378" w14:textId="77777777" w:rsidR="001F04FD" w:rsidRPr="0013396E" w:rsidRDefault="001F04FD" w:rsidP="00AC4DEE">
            <w:pPr>
              <w:pStyle w:val="TableBody"/>
            </w:pPr>
            <w:r w:rsidRPr="0013396E">
              <w:t xml:space="preserve">RTQQEP </w:t>
            </w:r>
            <w:r w:rsidRPr="0013396E">
              <w:rPr>
                <w:i/>
                <w:vertAlign w:val="subscript"/>
              </w:rPr>
              <w:t>q, p</w:t>
            </w:r>
            <w:r w:rsidRPr="0013396E">
              <w:t xml:space="preserve"> </w:t>
            </w:r>
          </w:p>
        </w:tc>
        <w:tc>
          <w:tcPr>
            <w:tcW w:w="0" w:type="auto"/>
          </w:tcPr>
          <w:p w14:paraId="27814FF6" w14:textId="77777777" w:rsidR="001F04FD" w:rsidRPr="0013396E" w:rsidRDefault="001F04FD" w:rsidP="00AC4DEE">
            <w:pPr>
              <w:pStyle w:val="TableBody"/>
            </w:pPr>
            <w:r w:rsidRPr="0013396E">
              <w:t>MW</w:t>
            </w:r>
          </w:p>
        </w:tc>
        <w:tc>
          <w:tcPr>
            <w:tcW w:w="0" w:type="auto"/>
          </w:tcPr>
          <w:p w14:paraId="26E56124" w14:textId="77777777" w:rsidR="001F04FD" w:rsidRPr="0013396E" w:rsidRDefault="001F04FD" w:rsidP="00AC4DEE">
            <w:pPr>
              <w:pStyle w:val="TableBody"/>
            </w:pPr>
            <w:r w:rsidRPr="0013396E">
              <w:rPr>
                <w:i/>
              </w:rPr>
              <w:t>Real-Time QSE-to-QSE Energy Purchase per QSE per Settlement Point</w:t>
            </w:r>
            <w:r w:rsidRPr="0013396E">
              <w:sym w:font="Symbol" w:char="F0BE"/>
            </w:r>
            <w:r w:rsidRPr="0013396E">
              <w:t xml:space="preserve">The amount of MW bought by QSE </w:t>
            </w:r>
            <w:r w:rsidRPr="0013396E">
              <w:rPr>
                <w:i/>
              </w:rPr>
              <w:t>q</w:t>
            </w:r>
            <w:r w:rsidRPr="0013396E">
              <w:t xml:space="preserve"> through Energy Trades at Settlement Point </w:t>
            </w:r>
            <w:r w:rsidRPr="0013396E">
              <w:rPr>
                <w:i/>
              </w:rPr>
              <w:t>p</w:t>
            </w:r>
            <w:r w:rsidRPr="0013396E">
              <w:t>, for the 15-minute Settlement Interval.</w:t>
            </w:r>
          </w:p>
        </w:tc>
      </w:tr>
      <w:tr w:rsidR="001F04FD" w:rsidRPr="0013396E" w14:paraId="466E9464" w14:textId="77777777" w:rsidTr="00AC4DEE">
        <w:tc>
          <w:tcPr>
            <w:tcW w:w="1630" w:type="dxa"/>
          </w:tcPr>
          <w:p w14:paraId="66A104B7" w14:textId="77777777" w:rsidR="001F04FD" w:rsidRPr="0013396E" w:rsidRDefault="001F04FD" w:rsidP="00AC4DEE">
            <w:pPr>
              <w:pStyle w:val="TableBody"/>
            </w:pPr>
            <w:r w:rsidRPr="0013396E">
              <w:t xml:space="preserve">SSSR </w:t>
            </w:r>
            <w:r w:rsidRPr="0013396E">
              <w:rPr>
                <w:i/>
                <w:vertAlign w:val="subscript"/>
              </w:rPr>
              <w:t>q, p</w:t>
            </w:r>
          </w:p>
        </w:tc>
        <w:tc>
          <w:tcPr>
            <w:tcW w:w="0" w:type="auto"/>
          </w:tcPr>
          <w:p w14:paraId="4A3ECE1A" w14:textId="77777777" w:rsidR="001F04FD" w:rsidRPr="0013396E" w:rsidRDefault="001F04FD" w:rsidP="00AC4DEE">
            <w:pPr>
              <w:pStyle w:val="TableBody"/>
            </w:pPr>
            <w:r w:rsidRPr="0013396E">
              <w:t>MW</w:t>
            </w:r>
          </w:p>
        </w:tc>
        <w:tc>
          <w:tcPr>
            <w:tcW w:w="0" w:type="auto"/>
          </w:tcPr>
          <w:p w14:paraId="66758B51" w14:textId="77777777" w:rsidR="001F04FD" w:rsidRPr="0013396E" w:rsidRDefault="001F04FD" w:rsidP="00AC4DEE">
            <w:pPr>
              <w:pStyle w:val="TableBody"/>
            </w:pPr>
            <w:r w:rsidRPr="0013396E">
              <w:rPr>
                <w:i/>
              </w:rPr>
              <w:t>Self-Schedule with Source at Settlement Point per QSE per Settlement Point</w:t>
            </w:r>
            <w:r w:rsidRPr="0013396E">
              <w:t xml:space="preserve">—The QSE </w:t>
            </w:r>
            <w:r w:rsidRPr="0013396E">
              <w:rPr>
                <w:i/>
              </w:rPr>
              <w:t>q</w:t>
            </w:r>
            <w:r w:rsidRPr="0013396E">
              <w:t xml:space="preserve">’s Self-Schedule with source at Settlement Point </w:t>
            </w:r>
            <w:r w:rsidRPr="0013396E">
              <w:rPr>
                <w:i/>
              </w:rPr>
              <w:t>p</w:t>
            </w:r>
            <w:r w:rsidRPr="0013396E">
              <w:t>, for the 15-minute Settlement Interval.</w:t>
            </w:r>
          </w:p>
        </w:tc>
      </w:tr>
      <w:tr w:rsidR="001F04FD" w:rsidRPr="0013396E" w14:paraId="7556032D" w14:textId="77777777" w:rsidTr="00AC4DEE">
        <w:tc>
          <w:tcPr>
            <w:tcW w:w="1630" w:type="dxa"/>
          </w:tcPr>
          <w:p w14:paraId="1B3FA4BC" w14:textId="77777777" w:rsidR="001F04FD" w:rsidRPr="0013396E" w:rsidRDefault="001F04FD" w:rsidP="00AC4DEE">
            <w:pPr>
              <w:pStyle w:val="TableBody"/>
            </w:pPr>
            <w:r w:rsidRPr="0013396E">
              <w:t xml:space="preserve">DAES </w:t>
            </w:r>
            <w:r w:rsidRPr="0013396E">
              <w:rPr>
                <w:i/>
                <w:vertAlign w:val="subscript"/>
              </w:rPr>
              <w:t>q, p</w:t>
            </w:r>
          </w:p>
        </w:tc>
        <w:tc>
          <w:tcPr>
            <w:tcW w:w="0" w:type="auto"/>
          </w:tcPr>
          <w:p w14:paraId="739F830E" w14:textId="77777777" w:rsidR="001F04FD" w:rsidRPr="0013396E" w:rsidRDefault="001F04FD" w:rsidP="00AC4DEE">
            <w:pPr>
              <w:pStyle w:val="TableBody"/>
            </w:pPr>
            <w:r w:rsidRPr="0013396E">
              <w:t>MW</w:t>
            </w:r>
          </w:p>
        </w:tc>
        <w:tc>
          <w:tcPr>
            <w:tcW w:w="0" w:type="auto"/>
          </w:tcPr>
          <w:p w14:paraId="4973AA38" w14:textId="77777777" w:rsidR="001F04FD" w:rsidRPr="0013396E" w:rsidRDefault="001F04FD" w:rsidP="00AC4DEE">
            <w:pPr>
              <w:pStyle w:val="TableBody"/>
            </w:pPr>
            <w:r w:rsidRPr="0013396E">
              <w:rPr>
                <w:i/>
              </w:rPr>
              <w:t>Day-Ahead Energy Sale per QSE per Settlement Point</w:t>
            </w:r>
            <w:r w:rsidRPr="0013396E">
              <w:t xml:space="preserve">—The QSE </w:t>
            </w:r>
            <w:r w:rsidRPr="0013396E">
              <w:rPr>
                <w:i/>
              </w:rPr>
              <w:t>q</w:t>
            </w:r>
            <w:r w:rsidRPr="0013396E">
              <w:t xml:space="preserve">’s Energy Offers at Settlement Point </w:t>
            </w:r>
            <w:r w:rsidRPr="0013396E">
              <w:rPr>
                <w:i/>
              </w:rPr>
              <w:t>p</w:t>
            </w:r>
            <w:r w:rsidRPr="0013396E">
              <w:t xml:space="preserve"> cleared in the DAM, for the hour that includes the 15-minute Settlement Interval.</w:t>
            </w:r>
          </w:p>
        </w:tc>
      </w:tr>
      <w:tr w:rsidR="001F04FD" w:rsidRPr="0013396E" w14:paraId="70AEB87A" w14:textId="77777777" w:rsidTr="00AC4DEE">
        <w:tc>
          <w:tcPr>
            <w:tcW w:w="1630" w:type="dxa"/>
          </w:tcPr>
          <w:p w14:paraId="7FC4D792" w14:textId="77777777" w:rsidR="001F04FD" w:rsidRPr="0013396E" w:rsidRDefault="001F04FD" w:rsidP="00AC4DEE">
            <w:pPr>
              <w:pStyle w:val="TableBody"/>
            </w:pPr>
            <w:r w:rsidRPr="0013396E">
              <w:t xml:space="preserve">RTQQES </w:t>
            </w:r>
            <w:r w:rsidRPr="0013396E">
              <w:rPr>
                <w:i/>
                <w:vertAlign w:val="subscript"/>
              </w:rPr>
              <w:t>q, p</w:t>
            </w:r>
            <w:r w:rsidRPr="0013396E">
              <w:t xml:space="preserve"> </w:t>
            </w:r>
          </w:p>
        </w:tc>
        <w:tc>
          <w:tcPr>
            <w:tcW w:w="0" w:type="auto"/>
          </w:tcPr>
          <w:p w14:paraId="3D8EF08E" w14:textId="77777777" w:rsidR="001F04FD" w:rsidRPr="0013396E" w:rsidRDefault="001F04FD" w:rsidP="00AC4DEE">
            <w:pPr>
              <w:pStyle w:val="TableBody"/>
            </w:pPr>
            <w:r w:rsidRPr="0013396E">
              <w:t>MW</w:t>
            </w:r>
          </w:p>
        </w:tc>
        <w:tc>
          <w:tcPr>
            <w:tcW w:w="0" w:type="auto"/>
          </w:tcPr>
          <w:p w14:paraId="2FAF3C72" w14:textId="77777777" w:rsidR="001F04FD" w:rsidRPr="0013396E" w:rsidRDefault="001F04FD" w:rsidP="00AC4DEE">
            <w:pPr>
              <w:pStyle w:val="TableBody"/>
            </w:pPr>
            <w:r w:rsidRPr="0013396E">
              <w:rPr>
                <w:i/>
              </w:rPr>
              <w:t>Real-Time QSE-to-QSE Energy Sale per QSE per Settlement Point</w:t>
            </w:r>
            <w:r w:rsidRPr="0013396E">
              <w:sym w:font="Symbol" w:char="F0BE"/>
            </w:r>
            <w:r w:rsidRPr="0013396E">
              <w:t xml:space="preserve">The amount of MW sold by QSE </w:t>
            </w:r>
            <w:r w:rsidRPr="0013396E">
              <w:rPr>
                <w:i/>
              </w:rPr>
              <w:t>q</w:t>
            </w:r>
            <w:r w:rsidRPr="0013396E">
              <w:t xml:space="preserve"> through Energy Trades at Settlement Point </w:t>
            </w:r>
            <w:r w:rsidRPr="0013396E">
              <w:rPr>
                <w:i/>
              </w:rPr>
              <w:t>p</w:t>
            </w:r>
            <w:r w:rsidRPr="0013396E">
              <w:t>, for the 15-minute Settlement Interval.</w:t>
            </w:r>
          </w:p>
        </w:tc>
      </w:tr>
      <w:tr w:rsidR="001F04FD" w:rsidRPr="0013396E" w14:paraId="05FC7EE0" w14:textId="77777777" w:rsidTr="00AC4DEE">
        <w:tc>
          <w:tcPr>
            <w:tcW w:w="1630" w:type="dxa"/>
          </w:tcPr>
          <w:p w14:paraId="79E82311" w14:textId="77777777" w:rsidR="001F04FD" w:rsidRPr="0013396E" w:rsidRDefault="001F04FD" w:rsidP="00AC4DEE">
            <w:pPr>
              <w:pStyle w:val="TableBody"/>
              <w:rPr>
                <w:i/>
              </w:rPr>
            </w:pPr>
            <w:r w:rsidRPr="0013396E">
              <w:rPr>
                <w:i/>
              </w:rPr>
              <w:t>q</w:t>
            </w:r>
          </w:p>
        </w:tc>
        <w:tc>
          <w:tcPr>
            <w:tcW w:w="0" w:type="auto"/>
          </w:tcPr>
          <w:p w14:paraId="59964207" w14:textId="77777777" w:rsidR="001F04FD" w:rsidRPr="0013396E" w:rsidRDefault="001F04FD" w:rsidP="00AC4DEE">
            <w:pPr>
              <w:pStyle w:val="TableBody"/>
            </w:pPr>
            <w:r w:rsidRPr="0013396E">
              <w:t>none</w:t>
            </w:r>
          </w:p>
        </w:tc>
        <w:tc>
          <w:tcPr>
            <w:tcW w:w="0" w:type="auto"/>
          </w:tcPr>
          <w:p w14:paraId="746FF44F" w14:textId="77777777" w:rsidR="001F04FD" w:rsidRPr="0013396E" w:rsidRDefault="001F04FD" w:rsidP="00AC4DEE">
            <w:pPr>
              <w:pStyle w:val="TableBody"/>
            </w:pPr>
            <w:r w:rsidRPr="0013396E">
              <w:t>A QSE.</w:t>
            </w:r>
          </w:p>
        </w:tc>
      </w:tr>
      <w:tr w:rsidR="001F04FD" w:rsidRPr="0013396E" w14:paraId="70942CEB" w14:textId="77777777" w:rsidTr="00AC4DEE">
        <w:tc>
          <w:tcPr>
            <w:tcW w:w="1630" w:type="dxa"/>
          </w:tcPr>
          <w:p w14:paraId="429C1ABC" w14:textId="77777777" w:rsidR="001F04FD" w:rsidRPr="0013396E" w:rsidRDefault="001F04FD" w:rsidP="00AC4DEE">
            <w:pPr>
              <w:pStyle w:val="TableBody"/>
              <w:rPr>
                <w:i/>
              </w:rPr>
            </w:pPr>
            <w:r w:rsidRPr="0013396E">
              <w:rPr>
                <w:i/>
              </w:rPr>
              <w:t>p</w:t>
            </w:r>
          </w:p>
        </w:tc>
        <w:tc>
          <w:tcPr>
            <w:tcW w:w="0" w:type="auto"/>
          </w:tcPr>
          <w:p w14:paraId="79BA8372" w14:textId="77777777" w:rsidR="001F04FD" w:rsidRPr="0013396E" w:rsidRDefault="001F04FD" w:rsidP="00AC4DEE">
            <w:pPr>
              <w:pStyle w:val="TableBody"/>
            </w:pPr>
            <w:r w:rsidRPr="0013396E">
              <w:t>none</w:t>
            </w:r>
          </w:p>
        </w:tc>
        <w:tc>
          <w:tcPr>
            <w:tcW w:w="0" w:type="auto"/>
          </w:tcPr>
          <w:p w14:paraId="0351B4DD" w14:textId="77777777" w:rsidR="001F04FD" w:rsidRPr="0013396E" w:rsidRDefault="001F04FD" w:rsidP="00AC4DEE">
            <w:pPr>
              <w:pStyle w:val="TableBody"/>
            </w:pPr>
            <w:r w:rsidRPr="0013396E">
              <w:t>A Hub Settlement Point.</w:t>
            </w:r>
          </w:p>
        </w:tc>
      </w:tr>
    </w:tbl>
    <w:p w14:paraId="7F8C1AC5" w14:textId="77777777" w:rsidR="001F04FD" w:rsidRPr="0013396E" w:rsidRDefault="001F04FD" w:rsidP="001F04FD">
      <w:pPr>
        <w:pStyle w:val="BodyTextNumbered"/>
        <w:spacing w:before="240"/>
      </w:pPr>
      <w:r w:rsidRPr="0013396E">
        <w:lastRenderedPageBreak/>
        <w:t>(3)</w:t>
      </w:r>
      <w:r w:rsidRPr="0013396E">
        <w:tab/>
        <w:t>The total net payments and charges to each QSE for Energy Imbalance Service at all Hubs for the 15-minute Settlement Interval is calculated as follows:</w:t>
      </w:r>
    </w:p>
    <w:p w14:paraId="3CEC01F6" w14:textId="77777777" w:rsidR="001F04FD" w:rsidRPr="0013396E" w:rsidRDefault="001F04FD" w:rsidP="001F04FD">
      <w:pPr>
        <w:ind w:left="720"/>
        <w:rPr>
          <w:b/>
        </w:rPr>
      </w:pPr>
      <w:r w:rsidRPr="0013396E">
        <w:rPr>
          <w:b/>
        </w:rPr>
        <w:t xml:space="preserve">RTEIAMTQSETOT </w:t>
      </w:r>
      <w:r w:rsidRPr="0013396E">
        <w:rPr>
          <w:b/>
          <w:i/>
          <w:vertAlign w:val="subscript"/>
        </w:rPr>
        <w:t>q</w:t>
      </w:r>
      <w:r w:rsidRPr="0013396E">
        <w:rPr>
          <w:b/>
        </w:rPr>
        <w:tab/>
        <w:t>=</w:t>
      </w:r>
      <w:r w:rsidRPr="0013396E">
        <w:rPr>
          <w:b/>
        </w:rPr>
        <w:tab/>
      </w:r>
      <w:r w:rsidRPr="0013396E">
        <w:rPr>
          <w:b/>
          <w:position w:val="-22"/>
        </w:rPr>
        <w:object w:dxaOrig="225" w:dyaOrig="465" w14:anchorId="0C3398CB">
          <v:shape id="_x0000_i1126" type="#_x0000_t75" style="width:12pt;height:18.6pt" o:ole="">
            <v:imagedata r:id="rId142" o:title=""/>
          </v:shape>
          <o:OLEObject Type="Embed" ProgID="Equation.3" ShapeID="_x0000_i1126" DrawAspect="Content" ObjectID="_1849065757" r:id="rId145"/>
        </w:object>
      </w:r>
      <w:r w:rsidRPr="0013396E">
        <w:rPr>
          <w:b/>
        </w:rPr>
        <w:t xml:space="preserve">RTEIAMT </w:t>
      </w:r>
      <w:r w:rsidRPr="0013396E">
        <w:rPr>
          <w:b/>
          <w:i/>
          <w:vertAlign w:val="subscript"/>
        </w:rPr>
        <w:t>q, p</w:t>
      </w:r>
    </w:p>
    <w:p w14:paraId="451400BA" w14:textId="77777777" w:rsidR="001F04FD" w:rsidRPr="0013396E" w:rsidRDefault="001F04FD" w:rsidP="001F04FD">
      <w:r w:rsidRPr="0013396E">
        <w:t>The above variables are defined as follows: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831"/>
      </w:tblGrid>
      <w:tr w:rsidR="001F04FD" w:rsidRPr="0013396E" w14:paraId="779F6507" w14:textId="77777777" w:rsidTr="00AC4DEE">
        <w:tc>
          <w:tcPr>
            <w:tcW w:w="2165" w:type="dxa"/>
          </w:tcPr>
          <w:p w14:paraId="2B6CA88D" w14:textId="77777777" w:rsidR="001F04FD" w:rsidRPr="0013396E" w:rsidRDefault="001F04FD" w:rsidP="00AC4DEE">
            <w:pPr>
              <w:pStyle w:val="TableHead"/>
            </w:pPr>
            <w:r w:rsidRPr="0013396E">
              <w:t>Variable</w:t>
            </w:r>
          </w:p>
        </w:tc>
        <w:tc>
          <w:tcPr>
            <w:tcW w:w="832" w:type="dxa"/>
          </w:tcPr>
          <w:p w14:paraId="028AFFEB" w14:textId="77777777" w:rsidR="001F04FD" w:rsidRPr="0013396E" w:rsidRDefault="001F04FD" w:rsidP="00AC4DEE">
            <w:pPr>
              <w:pStyle w:val="TableHead"/>
            </w:pPr>
            <w:r w:rsidRPr="0013396E">
              <w:t>Unit</w:t>
            </w:r>
          </w:p>
        </w:tc>
        <w:tc>
          <w:tcPr>
            <w:tcW w:w="6831" w:type="dxa"/>
          </w:tcPr>
          <w:p w14:paraId="298893EB" w14:textId="77777777" w:rsidR="001F04FD" w:rsidRPr="0013396E" w:rsidRDefault="001F04FD" w:rsidP="00AC4DEE">
            <w:pPr>
              <w:pStyle w:val="TableHead"/>
            </w:pPr>
            <w:r w:rsidRPr="0013396E">
              <w:t>Definition</w:t>
            </w:r>
          </w:p>
        </w:tc>
      </w:tr>
      <w:tr w:rsidR="001F04FD" w:rsidRPr="0013396E" w14:paraId="66966675" w14:textId="77777777" w:rsidTr="00AC4DEE">
        <w:tc>
          <w:tcPr>
            <w:tcW w:w="2165" w:type="dxa"/>
          </w:tcPr>
          <w:p w14:paraId="38F3B966" w14:textId="77777777" w:rsidR="001F04FD" w:rsidRPr="0013396E" w:rsidRDefault="001F04FD" w:rsidP="00AC4DEE">
            <w:pPr>
              <w:pStyle w:val="TableBody"/>
            </w:pPr>
            <w:r w:rsidRPr="0013396E">
              <w:t xml:space="preserve">RTEIAMTQSETOT </w:t>
            </w:r>
            <w:r w:rsidRPr="0013396E">
              <w:rPr>
                <w:i/>
                <w:vertAlign w:val="subscript"/>
              </w:rPr>
              <w:t>q</w:t>
            </w:r>
          </w:p>
        </w:tc>
        <w:tc>
          <w:tcPr>
            <w:tcW w:w="832" w:type="dxa"/>
          </w:tcPr>
          <w:p w14:paraId="791C61A2" w14:textId="77777777" w:rsidR="001F04FD" w:rsidRPr="0013396E" w:rsidRDefault="001F04FD" w:rsidP="00AC4DEE">
            <w:pPr>
              <w:pStyle w:val="TableBody"/>
            </w:pPr>
            <w:r w:rsidRPr="0013396E">
              <w:t>$</w:t>
            </w:r>
          </w:p>
        </w:tc>
        <w:tc>
          <w:tcPr>
            <w:tcW w:w="6831" w:type="dxa"/>
          </w:tcPr>
          <w:p w14:paraId="50DA6D0D" w14:textId="77777777" w:rsidR="001F04FD" w:rsidRPr="0013396E" w:rsidRDefault="001F04FD" w:rsidP="00AC4DEE">
            <w:pPr>
              <w:pStyle w:val="TableBody"/>
            </w:pPr>
            <w:r w:rsidRPr="0013396E">
              <w:rPr>
                <w:i/>
              </w:rPr>
              <w:t>Real-Time Energy Imbalance Amount QSE Total per QSE</w:t>
            </w:r>
            <w:r w:rsidRPr="0013396E">
              <w:sym w:font="Symbol" w:char="F0BE"/>
            </w:r>
            <w:r w:rsidRPr="0013396E">
              <w:t xml:space="preserve">The total net payments and charges to QSE </w:t>
            </w:r>
            <w:r w:rsidRPr="0013396E">
              <w:rPr>
                <w:i/>
              </w:rPr>
              <w:t>q</w:t>
            </w:r>
            <w:r w:rsidRPr="0013396E">
              <w:t xml:space="preserve"> for Real-Time Energy Imbalance at all Hub Settlement Points for the 15-minute Settlement Interval.</w:t>
            </w:r>
          </w:p>
        </w:tc>
      </w:tr>
      <w:tr w:rsidR="001F04FD" w:rsidRPr="0013396E" w14:paraId="2D8441B1" w14:textId="77777777" w:rsidTr="00AC4DEE">
        <w:tc>
          <w:tcPr>
            <w:tcW w:w="2165" w:type="dxa"/>
          </w:tcPr>
          <w:p w14:paraId="32E5956F" w14:textId="77777777" w:rsidR="001F04FD" w:rsidRPr="0013396E" w:rsidRDefault="001F04FD" w:rsidP="00AC4DEE">
            <w:pPr>
              <w:pStyle w:val="TableBody"/>
            </w:pPr>
            <w:r w:rsidRPr="0013396E">
              <w:t xml:space="preserve">RTEIAMT </w:t>
            </w:r>
            <w:r w:rsidRPr="0013396E">
              <w:rPr>
                <w:i/>
                <w:vertAlign w:val="subscript"/>
              </w:rPr>
              <w:t>q, p</w:t>
            </w:r>
          </w:p>
        </w:tc>
        <w:tc>
          <w:tcPr>
            <w:tcW w:w="832" w:type="dxa"/>
          </w:tcPr>
          <w:p w14:paraId="2CA291A0" w14:textId="77777777" w:rsidR="001F04FD" w:rsidRPr="0013396E" w:rsidRDefault="001F04FD" w:rsidP="00AC4DEE">
            <w:pPr>
              <w:pStyle w:val="TableBody"/>
            </w:pPr>
            <w:r w:rsidRPr="0013396E">
              <w:t>$</w:t>
            </w:r>
          </w:p>
        </w:tc>
        <w:tc>
          <w:tcPr>
            <w:tcW w:w="6831" w:type="dxa"/>
          </w:tcPr>
          <w:p w14:paraId="73B979D8" w14:textId="77777777" w:rsidR="001F04FD" w:rsidRPr="0013396E" w:rsidRDefault="001F04FD" w:rsidP="00AC4DEE">
            <w:pPr>
              <w:pStyle w:val="TableBody"/>
            </w:pPr>
            <w:r w:rsidRPr="0013396E">
              <w:rPr>
                <w:i/>
              </w:rPr>
              <w:t>Real-Time Energy Imbalance Amount per QSE per Settlement Point</w:t>
            </w:r>
            <w:r w:rsidRPr="0013396E">
              <w:t xml:space="preserve">—The charge to QSE </w:t>
            </w:r>
            <w:r w:rsidRPr="0013396E">
              <w:rPr>
                <w:i/>
              </w:rPr>
              <w:t>q</w:t>
            </w:r>
            <w:r w:rsidRPr="0013396E">
              <w:t xml:space="preserve"> for the Real-Time Energy Imbalance at Settlement Point </w:t>
            </w:r>
            <w:r w:rsidRPr="0013396E">
              <w:rPr>
                <w:i/>
              </w:rPr>
              <w:t>p</w:t>
            </w:r>
            <w:r w:rsidRPr="0013396E">
              <w:t>, for the 15-minute Settlement Interval.</w:t>
            </w:r>
          </w:p>
        </w:tc>
      </w:tr>
      <w:tr w:rsidR="001F04FD" w:rsidRPr="0013396E" w14:paraId="3F0939C4" w14:textId="77777777" w:rsidTr="00AC4DEE">
        <w:tc>
          <w:tcPr>
            <w:tcW w:w="2165" w:type="dxa"/>
            <w:tcBorders>
              <w:top w:val="single" w:sz="4" w:space="0" w:color="auto"/>
              <w:left w:val="single" w:sz="4" w:space="0" w:color="auto"/>
              <w:bottom w:val="single" w:sz="4" w:space="0" w:color="auto"/>
              <w:right w:val="single" w:sz="4" w:space="0" w:color="auto"/>
            </w:tcBorders>
          </w:tcPr>
          <w:p w14:paraId="45D8DE45" w14:textId="77777777" w:rsidR="001F04FD" w:rsidRPr="0013396E" w:rsidRDefault="001F04FD" w:rsidP="00AC4DE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2BD3D509" w14:textId="77777777" w:rsidR="001F04FD" w:rsidRPr="0013396E" w:rsidRDefault="001F04FD" w:rsidP="00AC4DEE">
            <w:pPr>
              <w:pStyle w:val="TableBody"/>
            </w:pPr>
            <w:r w:rsidRPr="0013396E">
              <w:t>none</w:t>
            </w:r>
          </w:p>
        </w:tc>
        <w:tc>
          <w:tcPr>
            <w:tcW w:w="6831" w:type="dxa"/>
            <w:tcBorders>
              <w:top w:val="single" w:sz="4" w:space="0" w:color="auto"/>
              <w:left w:val="single" w:sz="4" w:space="0" w:color="auto"/>
              <w:bottom w:val="single" w:sz="4" w:space="0" w:color="auto"/>
              <w:right w:val="single" w:sz="4" w:space="0" w:color="auto"/>
            </w:tcBorders>
          </w:tcPr>
          <w:p w14:paraId="78A0772F" w14:textId="77777777" w:rsidR="001F04FD" w:rsidRPr="0013396E" w:rsidRDefault="001F04FD" w:rsidP="00AC4DEE">
            <w:pPr>
              <w:pStyle w:val="TableBody"/>
            </w:pPr>
            <w:r w:rsidRPr="0013396E">
              <w:t>A QSE.</w:t>
            </w:r>
          </w:p>
        </w:tc>
      </w:tr>
      <w:tr w:rsidR="001F04FD" w:rsidRPr="0013396E" w14:paraId="13A0C10B" w14:textId="77777777" w:rsidTr="00AC4DEE">
        <w:tc>
          <w:tcPr>
            <w:tcW w:w="2165" w:type="dxa"/>
            <w:tcBorders>
              <w:top w:val="single" w:sz="4" w:space="0" w:color="auto"/>
              <w:left w:val="single" w:sz="4" w:space="0" w:color="auto"/>
              <w:bottom w:val="single" w:sz="4" w:space="0" w:color="auto"/>
              <w:right w:val="single" w:sz="4" w:space="0" w:color="auto"/>
            </w:tcBorders>
          </w:tcPr>
          <w:p w14:paraId="5FF9D910" w14:textId="77777777" w:rsidR="001F04FD" w:rsidRPr="0013396E" w:rsidRDefault="001F04FD" w:rsidP="00AC4DEE">
            <w:pPr>
              <w:pStyle w:val="TableBody"/>
              <w:rPr>
                <w:i/>
              </w:rPr>
            </w:pPr>
            <w:r w:rsidRPr="0013396E">
              <w:rPr>
                <w:i/>
              </w:rPr>
              <w:t>p</w:t>
            </w:r>
          </w:p>
        </w:tc>
        <w:tc>
          <w:tcPr>
            <w:tcW w:w="832" w:type="dxa"/>
            <w:tcBorders>
              <w:top w:val="single" w:sz="4" w:space="0" w:color="auto"/>
              <w:left w:val="single" w:sz="4" w:space="0" w:color="auto"/>
              <w:bottom w:val="single" w:sz="4" w:space="0" w:color="auto"/>
              <w:right w:val="single" w:sz="4" w:space="0" w:color="auto"/>
            </w:tcBorders>
          </w:tcPr>
          <w:p w14:paraId="0F0911E2" w14:textId="77777777" w:rsidR="001F04FD" w:rsidRPr="0013396E" w:rsidRDefault="001F04FD" w:rsidP="00AC4DEE">
            <w:pPr>
              <w:pStyle w:val="TableBody"/>
            </w:pPr>
            <w:r w:rsidRPr="0013396E">
              <w:t>none</w:t>
            </w:r>
          </w:p>
        </w:tc>
        <w:tc>
          <w:tcPr>
            <w:tcW w:w="6831" w:type="dxa"/>
            <w:tcBorders>
              <w:top w:val="single" w:sz="4" w:space="0" w:color="auto"/>
              <w:left w:val="single" w:sz="4" w:space="0" w:color="auto"/>
              <w:bottom w:val="single" w:sz="4" w:space="0" w:color="auto"/>
              <w:right w:val="single" w:sz="4" w:space="0" w:color="auto"/>
            </w:tcBorders>
          </w:tcPr>
          <w:p w14:paraId="69FFC11F" w14:textId="77777777" w:rsidR="001F04FD" w:rsidRPr="0013396E" w:rsidRDefault="001F04FD" w:rsidP="00AC4DEE">
            <w:pPr>
              <w:pStyle w:val="TableBody"/>
            </w:pPr>
            <w:r w:rsidRPr="0013396E">
              <w:t>A Hub Settlement Point.</w:t>
            </w:r>
          </w:p>
        </w:tc>
      </w:tr>
    </w:tbl>
    <w:p w14:paraId="191A835D" w14:textId="77777777" w:rsidR="001F04FD" w:rsidRPr="0013396E" w:rsidRDefault="001F04FD" w:rsidP="001F04FD">
      <w:pPr>
        <w:pStyle w:val="H4"/>
        <w:spacing w:before="480"/>
        <w:ind w:left="1267" w:hanging="1267"/>
      </w:pPr>
      <w:bookmarkStart w:id="1611" w:name="_Toc397505016"/>
      <w:bookmarkStart w:id="1612" w:name="_Toc402357144"/>
      <w:bookmarkStart w:id="1613" w:name="_Toc422486522"/>
      <w:bookmarkStart w:id="1614" w:name="_Toc433093374"/>
      <w:bookmarkStart w:id="1615" w:name="_Toc433093532"/>
      <w:bookmarkStart w:id="1616" w:name="_Toc440874760"/>
      <w:bookmarkStart w:id="1617" w:name="_Toc448142315"/>
      <w:bookmarkStart w:id="1618" w:name="_Toc448142472"/>
      <w:bookmarkStart w:id="1619" w:name="_Toc458770313"/>
      <w:bookmarkStart w:id="1620" w:name="_Toc459294281"/>
      <w:bookmarkStart w:id="1621" w:name="_Toc463262774"/>
      <w:bookmarkStart w:id="1622" w:name="_Toc468286847"/>
      <w:bookmarkStart w:id="1623" w:name="_Toc481502890"/>
      <w:bookmarkStart w:id="1624" w:name="_Toc496080058"/>
      <w:bookmarkStart w:id="1625" w:name="_Toc236220179"/>
      <w:bookmarkStart w:id="1626" w:name="_Toc87951788"/>
      <w:bookmarkStart w:id="1627" w:name="_Toc109009393"/>
      <w:bookmarkEnd w:id="1572"/>
      <w:bookmarkEnd w:id="1573"/>
      <w:r w:rsidRPr="0013396E">
        <w:t>6.6.3.4</w:t>
      </w:r>
      <w:r w:rsidRPr="0013396E">
        <w:tab/>
        <w:t>Real-Time Energy Payment for DC Tie Import</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14:paraId="292E3B63" w14:textId="77777777" w:rsidR="001F04FD" w:rsidRPr="0013396E" w:rsidRDefault="001F04FD" w:rsidP="001F04FD">
      <w:pPr>
        <w:pStyle w:val="BodyTextNumbered"/>
      </w:pPr>
      <w:r w:rsidRPr="0013396E">
        <w:t>(1)</w:t>
      </w:r>
      <w:r w:rsidRPr="0013396E">
        <w:tab/>
        <w:t>The payment to each QSE for energy imported into the ERCOT System through each DC Tie is calculated based on the Real-Time Settlement Point Price at the DC Tie Settlement Point.  The payment for a given 15-minute Settlement Interval is calculated as follows:</w:t>
      </w:r>
    </w:p>
    <w:p w14:paraId="6DA90C12" w14:textId="77777777" w:rsidR="001F04FD" w:rsidRPr="0013396E" w:rsidRDefault="001F04FD" w:rsidP="001F04FD">
      <w:pPr>
        <w:pStyle w:val="FormulaBold"/>
      </w:pPr>
      <w:r w:rsidRPr="0013396E">
        <w:t xml:space="preserve">RTDCIMPAMT </w:t>
      </w:r>
      <w:r w:rsidRPr="0013396E">
        <w:rPr>
          <w:i/>
          <w:vertAlign w:val="subscript"/>
        </w:rPr>
        <w:t>q, p</w:t>
      </w:r>
      <w:r w:rsidRPr="0013396E">
        <w:tab/>
        <w:t>=</w:t>
      </w:r>
      <w:r w:rsidRPr="0013396E">
        <w:tab/>
        <w:t xml:space="preserve">(-1) * RTSPP </w:t>
      </w:r>
      <w:r w:rsidRPr="0013396E">
        <w:rPr>
          <w:i/>
          <w:vertAlign w:val="subscript"/>
        </w:rPr>
        <w:t>p</w:t>
      </w:r>
      <w:r w:rsidRPr="0013396E">
        <w:t xml:space="preserve"> * (RTDCIMP </w:t>
      </w:r>
      <w:r w:rsidRPr="0013396E">
        <w:rPr>
          <w:i/>
          <w:vertAlign w:val="subscript"/>
        </w:rPr>
        <w:t>q, p</w:t>
      </w:r>
      <w:r w:rsidRPr="0013396E">
        <w:t xml:space="preserve"> * ¼)</w:t>
      </w:r>
    </w:p>
    <w:p w14:paraId="0940F6D8" w14:textId="77777777" w:rsidR="001F04FD" w:rsidRPr="0013396E" w:rsidRDefault="001F04FD" w:rsidP="001F04FD">
      <w:r w:rsidRPr="0013396E">
        <w:t>The above variables are defined as follows: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09"/>
        <w:gridCol w:w="853"/>
        <w:gridCol w:w="7066"/>
      </w:tblGrid>
      <w:tr w:rsidR="001F04FD" w:rsidRPr="0013396E" w14:paraId="1FB36B2F" w14:textId="77777777" w:rsidTr="00AC4DEE">
        <w:tc>
          <w:tcPr>
            <w:tcW w:w="1909" w:type="dxa"/>
          </w:tcPr>
          <w:p w14:paraId="1C4A69F4" w14:textId="77777777" w:rsidR="001F04FD" w:rsidRPr="0013396E" w:rsidRDefault="001F04FD" w:rsidP="00AC4DEE">
            <w:pPr>
              <w:pStyle w:val="TableHead"/>
            </w:pPr>
            <w:r w:rsidRPr="0013396E">
              <w:t>Variable</w:t>
            </w:r>
          </w:p>
        </w:tc>
        <w:tc>
          <w:tcPr>
            <w:tcW w:w="0" w:type="auto"/>
          </w:tcPr>
          <w:p w14:paraId="6DCF72EE" w14:textId="77777777" w:rsidR="001F04FD" w:rsidRPr="0013396E" w:rsidRDefault="001F04FD" w:rsidP="00AC4DEE">
            <w:pPr>
              <w:pStyle w:val="TableHead"/>
            </w:pPr>
            <w:r w:rsidRPr="0013396E">
              <w:t>Unit</w:t>
            </w:r>
          </w:p>
        </w:tc>
        <w:tc>
          <w:tcPr>
            <w:tcW w:w="0" w:type="auto"/>
          </w:tcPr>
          <w:p w14:paraId="4A7904A1" w14:textId="77777777" w:rsidR="001F04FD" w:rsidRPr="0013396E" w:rsidRDefault="001F04FD" w:rsidP="00AC4DEE">
            <w:pPr>
              <w:pStyle w:val="TableHead"/>
            </w:pPr>
            <w:r w:rsidRPr="0013396E">
              <w:t>Description</w:t>
            </w:r>
          </w:p>
        </w:tc>
      </w:tr>
      <w:tr w:rsidR="001F04FD" w:rsidRPr="0013396E" w14:paraId="7151D7C7" w14:textId="77777777" w:rsidTr="00AC4DEE">
        <w:tc>
          <w:tcPr>
            <w:tcW w:w="1909" w:type="dxa"/>
          </w:tcPr>
          <w:p w14:paraId="4123A39F" w14:textId="77777777" w:rsidR="001F04FD" w:rsidRPr="0013396E" w:rsidRDefault="001F04FD" w:rsidP="00AC4DEE">
            <w:pPr>
              <w:pStyle w:val="TableBody"/>
            </w:pPr>
            <w:r w:rsidRPr="0013396E">
              <w:t xml:space="preserve">RTDCIMPAMT </w:t>
            </w:r>
            <w:r w:rsidRPr="0013396E">
              <w:rPr>
                <w:i/>
                <w:vertAlign w:val="subscript"/>
              </w:rPr>
              <w:t>q, p</w:t>
            </w:r>
          </w:p>
        </w:tc>
        <w:tc>
          <w:tcPr>
            <w:tcW w:w="0" w:type="auto"/>
          </w:tcPr>
          <w:p w14:paraId="0F48D16C" w14:textId="77777777" w:rsidR="001F04FD" w:rsidRPr="0013396E" w:rsidRDefault="001F04FD" w:rsidP="00AC4DEE">
            <w:pPr>
              <w:pStyle w:val="TableBody"/>
            </w:pPr>
            <w:r w:rsidRPr="0013396E">
              <w:t>$</w:t>
            </w:r>
          </w:p>
        </w:tc>
        <w:tc>
          <w:tcPr>
            <w:tcW w:w="0" w:type="auto"/>
          </w:tcPr>
          <w:p w14:paraId="7796DAB9" w14:textId="77777777" w:rsidR="001F04FD" w:rsidRPr="0013396E" w:rsidRDefault="001F04FD" w:rsidP="00AC4DEE">
            <w:pPr>
              <w:pStyle w:val="TableBody"/>
            </w:pPr>
            <w:r w:rsidRPr="0013396E">
              <w:rPr>
                <w:i/>
              </w:rPr>
              <w:t>Real-Time DC Import Amount per QSE per Settlement Point</w:t>
            </w:r>
            <w:r w:rsidRPr="0013396E">
              <w:t xml:space="preserve">—The payment to QSE </w:t>
            </w:r>
            <w:r w:rsidRPr="0013396E">
              <w:rPr>
                <w:i/>
              </w:rPr>
              <w:t>q</w:t>
            </w:r>
            <w:r w:rsidRPr="0013396E">
              <w:t xml:space="preserve"> for DC Tie import through DC Tie </w:t>
            </w:r>
            <w:r w:rsidRPr="0013396E">
              <w:rPr>
                <w:i/>
              </w:rPr>
              <w:t>p</w:t>
            </w:r>
            <w:r w:rsidRPr="0013396E">
              <w:t>, for the 15-minute Settlement Interval.</w:t>
            </w:r>
          </w:p>
        </w:tc>
      </w:tr>
      <w:tr w:rsidR="001F04FD" w:rsidRPr="0013396E" w14:paraId="3C85EDB5" w14:textId="77777777" w:rsidTr="00AC4DEE">
        <w:tc>
          <w:tcPr>
            <w:tcW w:w="1909" w:type="dxa"/>
          </w:tcPr>
          <w:p w14:paraId="6BCFCEC6" w14:textId="77777777" w:rsidR="001F04FD" w:rsidRPr="0013396E" w:rsidRDefault="001F04FD" w:rsidP="00AC4DEE">
            <w:pPr>
              <w:pStyle w:val="TableBody"/>
            </w:pPr>
            <w:r w:rsidRPr="0013396E">
              <w:t xml:space="preserve">RTSPP </w:t>
            </w:r>
            <w:r w:rsidRPr="0013396E">
              <w:rPr>
                <w:i/>
                <w:vertAlign w:val="subscript"/>
              </w:rPr>
              <w:t>p</w:t>
            </w:r>
          </w:p>
        </w:tc>
        <w:tc>
          <w:tcPr>
            <w:tcW w:w="0" w:type="auto"/>
          </w:tcPr>
          <w:p w14:paraId="1E3C67E9" w14:textId="77777777" w:rsidR="001F04FD" w:rsidRPr="0013396E" w:rsidRDefault="001F04FD" w:rsidP="00AC4DEE">
            <w:pPr>
              <w:pStyle w:val="TableBody"/>
            </w:pPr>
            <w:r w:rsidRPr="0013396E">
              <w:t>$/MWh</w:t>
            </w:r>
          </w:p>
        </w:tc>
        <w:tc>
          <w:tcPr>
            <w:tcW w:w="0" w:type="auto"/>
          </w:tcPr>
          <w:p w14:paraId="0E6B115E" w14:textId="77777777" w:rsidR="001F04FD" w:rsidRPr="0013396E" w:rsidRDefault="001F04FD" w:rsidP="00AC4DE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for the 15-minute Settlement Interval.</w:t>
            </w:r>
          </w:p>
        </w:tc>
      </w:tr>
      <w:tr w:rsidR="001F04FD" w:rsidRPr="0013396E" w14:paraId="7F2EAA26" w14:textId="77777777" w:rsidTr="00AC4DEE">
        <w:tc>
          <w:tcPr>
            <w:tcW w:w="1909" w:type="dxa"/>
          </w:tcPr>
          <w:p w14:paraId="78FD192F" w14:textId="77777777" w:rsidR="001F04FD" w:rsidRPr="0013396E" w:rsidRDefault="001F04FD" w:rsidP="00AC4DEE">
            <w:pPr>
              <w:pStyle w:val="TableBody"/>
            </w:pPr>
            <w:r w:rsidRPr="0013396E">
              <w:t xml:space="preserve">RTDCIMP </w:t>
            </w:r>
            <w:r w:rsidRPr="0013396E">
              <w:rPr>
                <w:i/>
                <w:vertAlign w:val="subscript"/>
              </w:rPr>
              <w:t>q, p</w:t>
            </w:r>
          </w:p>
        </w:tc>
        <w:tc>
          <w:tcPr>
            <w:tcW w:w="0" w:type="auto"/>
          </w:tcPr>
          <w:p w14:paraId="20BC1783" w14:textId="77777777" w:rsidR="001F04FD" w:rsidRPr="0013396E" w:rsidRDefault="001F04FD" w:rsidP="00AC4DEE">
            <w:pPr>
              <w:pStyle w:val="TableBody"/>
            </w:pPr>
            <w:r w:rsidRPr="0013396E">
              <w:t>MW</w:t>
            </w:r>
          </w:p>
        </w:tc>
        <w:tc>
          <w:tcPr>
            <w:tcW w:w="0" w:type="auto"/>
          </w:tcPr>
          <w:p w14:paraId="2A501158" w14:textId="77777777" w:rsidR="0093699B" w:rsidRPr="0013396E" w:rsidRDefault="001F04FD" w:rsidP="00AC4DEE">
            <w:pPr>
              <w:pStyle w:val="TableBody"/>
            </w:pPr>
            <w:r w:rsidRPr="0013396E">
              <w:rPr>
                <w:i/>
              </w:rPr>
              <w:t>Real-Time DC Import per QSE per Settlement Point</w:t>
            </w:r>
            <w:r w:rsidRPr="0013396E">
              <w:t xml:space="preserve">—The aggregated DC Tie Schedule submitted by QSE </w:t>
            </w:r>
            <w:r w:rsidRPr="0013396E">
              <w:rPr>
                <w:i/>
              </w:rPr>
              <w:t>q</w:t>
            </w:r>
            <w:r w:rsidRPr="0013396E">
              <w:t xml:space="preserve"> as an importer into the ERCOT System through DC Tie </w:t>
            </w:r>
            <w:r w:rsidRPr="0013396E">
              <w:rPr>
                <w:i/>
              </w:rPr>
              <w:t>p</w:t>
            </w:r>
            <w:r w:rsidRPr="0013396E">
              <w:t>, for the 15-minute Settlement Interval.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826"/>
            </w:tblGrid>
            <w:tr w:rsidR="0093699B" w:rsidRPr="0013396E" w14:paraId="0D892E4D" w14:textId="77777777" w:rsidTr="00426634">
              <w:trPr>
                <w:trHeight w:val="206"/>
              </w:trPr>
              <w:tc>
                <w:tcPr>
                  <w:tcW w:w="0" w:type="auto"/>
                  <w:shd w:val="pct12" w:color="auto" w:fill="auto"/>
                </w:tcPr>
                <w:p w14:paraId="5CB61F94" w14:textId="43BF8A4E" w:rsidR="0093699B" w:rsidRPr="0013396E" w:rsidRDefault="0093699B" w:rsidP="0093699B">
                  <w:pPr>
                    <w:pStyle w:val="Instructions"/>
                    <w:spacing w:before="120"/>
                  </w:pPr>
                  <w:r w:rsidRPr="0013396E">
                    <w:t>[NPRR1032:  Replace the description above with the following upon system implementation:]</w:t>
                  </w:r>
                </w:p>
                <w:p w14:paraId="51E65CF6" w14:textId="6B94AFD0" w:rsidR="0093699B" w:rsidRPr="0013396E" w:rsidRDefault="0093699B" w:rsidP="0093699B">
                  <w:pPr>
                    <w:pStyle w:val="TableBody"/>
                  </w:pPr>
                  <w:r w:rsidRPr="0013396E">
                    <w:rPr>
                      <w:i/>
                    </w:rPr>
                    <w:t>Real-Time DC Import per QSE per Settlement Point</w:t>
                  </w:r>
                  <w:r w:rsidRPr="0013396E">
                    <w:t xml:space="preserve">—The aggregated final, approved DC Tie Schedule submitted by QSE </w:t>
                  </w:r>
                  <w:r w:rsidRPr="0013396E">
                    <w:rPr>
                      <w:i/>
                    </w:rPr>
                    <w:t>q</w:t>
                  </w:r>
                  <w:r w:rsidRPr="0013396E">
                    <w:t xml:space="preserve"> as an importer into the ERCOT System through DC Tie </w:t>
                  </w:r>
                  <w:r w:rsidRPr="0013396E">
                    <w:rPr>
                      <w:i/>
                    </w:rPr>
                    <w:t>p</w:t>
                  </w:r>
                  <w:r w:rsidRPr="0013396E">
                    <w:t>, for the 15-minute Settlement Interval.</w:t>
                  </w:r>
                </w:p>
              </w:tc>
            </w:tr>
          </w:tbl>
          <w:p w14:paraId="6ADEC4BE" w14:textId="7E875EE2" w:rsidR="001F04FD" w:rsidRPr="0013396E" w:rsidRDefault="001F04FD" w:rsidP="00AC4DEE">
            <w:pPr>
              <w:pStyle w:val="TableBody"/>
            </w:pPr>
          </w:p>
        </w:tc>
      </w:tr>
      <w:tr w:rsidR="001F04FD" w:rsidRPr="0013396E" w14:paraId="567E9D37" w14:textId="77777777" w:rsidTr="00AC4DEE">
        <w:tc>
          <w:tcPr>
            <w:tcW w:w="1909" w:type="dxa"/>
          </w:tcPr>
          <w:p w14:paraId="3C428132" w14:textId="77777777" w:rsidR="001F04FD" w:rsidRPr="0013396E" w:rsidRDefault="001F04FD" w:rsidP="00AC4DEE">
            <w:pPr>
              <w:pStyle w:val="TableBody"/>
              <w:rPr>
                <w:i/>
              </w:rPr>
            </w:pPr>
            <w:r w:rsidRPr="0013396E">
              <w:rPr>
                <w:i/>
              </w:rPr>
              <w:t>q</w:t>
            </w:r>
          </w:p>
        </w:tc>
        <w:tc>
          <w:tcPr>
            <w:tcW w:w="0" w:type="auto"/>
          </w:tcPr>
          <w:p w14:paraId="5E632BB6" w14:textId="77777777" w:rsidR="001F04FD" w:rsidRPr="0013396E" w:rsidRDefault="001F04FD" w:rsidP="00AC4DEE">
            <w:pPr>
              <w:pStyle w:val="TableBody"/>
            </w:pPr>
            <w:r w:rsidRPr="0013396E">
              <w:t>none</w:t>
            </w:r>
          </w:p>
        </w:tc>
        <w:tc>
          <w:tcPr>
            <w:tcW w:w="0" w:type="auto"/>
          </w:tcPr>
          <w:p w14:paraId="1D90C913" w14:textId="77777777" w:rsidR="001F04FD" w:rsidRPr="0013396E" w:rsidRDefault="001F04FD" w:rsidP="00AC4DEE">
            <w:pPr>
              <w:pStyle w:val="TableBody"/>
              <w:rPr>
                <w:i/>
              </w:rPr>
            </w:pPr>
            <w:r w:rsidRPr="0013396E">
              <w:t>A QSE.</w:t>
            </w:r>
          </w:p>
        </w:tc>
      </w:tr>
      <w:tr w:rsidR="001F04FD" w:rsidRPr="0013396E" w14:paraId="360BF231" w14:textId="77777777" w:rsidTr="00AC4DEE">
        <w:tc>
          <w:tcPr>
            <w:tcW w:w="1909" w:type="dxa"/>
          </w:tcPr>
          <w:p w14:paraId="5262337A" w14:textId="77777777" w:rsidR="001F04FD" w:rsidRPr="0013396E" w:rsidRDefault="001F04FD" w:rsidP="00AC4DEE">
            <w:pPr>
              <w:pStyle w:val="TableBody"/>
              <w:rPr>
                <w:i/>
              </w:rPr>
            </w:pPr>
            <w:r w:rsidRPr="0013396E">
              <w:rPr>
                <w:i/>
              </w:rPr>
              <w:t>p</w:t>
            </w:r>
          </w:p>
        </w:tc>
        <w:tc>
          <w:tcPr>
            <w:tcW w:w="0" w:type="auto"/>
          </w:tcPr>
          <w:p w14:paraId="1C5DA9C3" w14:textId="77777777" w:rsidR="001F04FD" w:rsidRPr="0013396E" w:rsidRDefault="001F04FD" w:rsidP="00AC4DEE">
            <w:pPr>
              <w:pStyle w:val="TableBody"/>
            </w:pPr>
            <w:r w:rsidRPr="0013396E">
              <w:t>none</w:t>
            </w:r>
          </w:p>
        </w:tc>
        <w:tc>
          <w:tcPr>
            <w:tcW w:w="0" w:type="auto"/>
          </w:tcPr>
          <w:p w14:paraId="50465A88" w14:textId="77777777" w:rsidR="001F04FD" w:rsidRPr="0013396E" w:rsidRDefault="001F04FD" w:rsidP="00AC4DEE">
            <w:pPr>
              <w:pStyle w:val="TableBody"/>
              <w:rPr>
                <w:i/>
                <w:lang w:val="fr-FR"/>
              </w:rPr>
            </w:pPr>
            <w:r w:rsidRPr="0013396E">
              <w:rPr>
                <w:lang w:val="fr-FR"/>
              </w:rPr>
              <w:t>A DC Tie Settlement Point.</w:t>
            </w:r>
          </w:p>
        </w:tc>
      </w:tr>
    </w:tbl>
    <w:p w14:paraId="03571307" w14:textId="77777777" w:rsidR="001F04FD" w:rsidRPr="0013396E" w:rsidRDefault="001F04FD" w:rsidP="001F04FD">
      <w:pPr>
        <w:rPr>
          <w:lang w:val="fr-FR"/>
        </w:rPr>
      </w:pPr>
    </w:p>
    <w:p w14:paraId="3E81A31F" w14:textId="77777777" w:rsidR="001F04FD" w:rsidRPr="0013396E" w:rsidRDefault="001F04FD" w:rsidP="001F04FD">
      <w:pPr>
        <w:pStyle w:val="BodyTextNumbered"/>
      </w:pPr>
      <w:r w:rsidRPr="0013396E">
        <w:t>(2)</w:t>
      </w:r>
      <w:r w:rsidRPr="0013396E">
        <w:tab/>
        <w:t>ERCOT shall pay each QSE for energy imported into the ERCOT System during a declared Emergency Condition through each DC Tie in response to an ERCOT Dispatch Instruction.  The payment for a given 15-minute Settlement Interval is calculated as follows:</w:t>
      </w:r>
    </w:p>
    <w:p w14:paraId="0E5BC337" w14:textId="77777777" w:rsidR="001F04FD" w:rsidRPr="0013396E" w:rsidRDefault="001F04FD" w:rsidP="001F04FD">
      <w:pPr>
        <w:pStyle w:val="FormulaBold"/>
      </w:pPr>
      <w:r w:rsidRPr="0013396E">
        <w:lastRenderedPageBreak/>
        <w:t xml:space="preserve">RTEDCIMPAMT </w:t>
      </w:r>
      <w:r w:rsidRPr="0013396E">
        <w:rPr>
          <w:i/>
          <w:vertAlign w:val="subscript"/>
        </w:rPr>
        <w:t>q, p</w:t>
      </w:r>
      <w:r w:rsidRPr="0013396E">
        <w:tab/>
        <w:t>=</w:t>
      </w:r>
      <w:r w:rsidRPr="0013396E">
        <w:tab/>
        <w:t xml:space="preserve">(-1) * Max {RTSPP </w:t>
      </w:r>
      <w:r w:rsidRPr="0013396E">
        <w:rPr>
          <w:i/>
          <w:vertAlign w:val="subscript"/>
        </w:rPr>
        <w:t>p</w:t>
      </w:r>
      <w:r w:rsidRPr="0013396E">
        <w:t xml:space="preserve">, (VEEPDCTP </w:t>
      </w:r>
      <w:r w:rsidRPr="0013396E">
        <w:rPr>
          <w:i/>
          <w:vertAlign w:val="subscript"/>
        </w:rPr>
        <w:t>q, p</w:t>
      </w:r>
      <w:r w:rsidRPr="0013396E">
        <w:rPr>
          <w:vertAlign w:val="subscript"/>
        </w:rPr>
        <w:t xml:space="preserve"> </w:t>
      </w:r>
      <w:r w:rsidRPr="0013396E">
        <w:t xml:space="preserve">* CAEDCT)}* (RTEDCIMP </w:t>
      </w:r>
      <w:r w:rsidRPr="0013396E">
        <w:rPr>
          <w:i/>
          <w:vertAlign w:val="subscript"/>
        </w:rPr>
        <w:t>q, p</w:t>
      </w:r>
      <w:r w:rsidRPr="0013396E">
        <w:t xml:space="preserve"> * ¼)</w:t>
      </w:r>
    </w:p>
    <w:p w14:paraId="715CDE7C" w14:textId="77777777" w:rsidR="001F04FD" w:rsidRPr="0013396E" w:rsidRDefault="001F04FD" w:rsidP="001F04FD">
      <w:r w:rsidRPr="0013396E">
        <w:t>The above variables are defined as follows: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05"/>
        <w:gridCol w:w="1080"/>
        <w:gridCol w:w="6743"/>
      </w:tblGrid>
      <w:tr w:rsidR="001F04FD" w:rsidRPr="0013396E" w14:paraId="5F925FB3" w14:textId="77777777" w:rsidTr="00AC4DEE">
        <w:tc>
          <w:tcPr>
            <w:tcW w:w="2005" w:type="dxa"/>
          </w:tcPr>
          <w:p w14:paraId="12D01C28" w14:textId="77777777" w:rsidR="001F04FD" w:rsidRPr="0013396E" w:rsidRDefault="001F04FD" w:rsidP="00AC4DEE">
            <w:pPr>
              <w:pStyle w:val="TableHead"/>
            </w:pPr>
            <w:r w:rsidRPr="0013396E">
              <w:t>Variable</w:t>
            </w:r>
          </w:p>
        </w:tc>
        <w:tc>
          <w:tcPr>
            <w:tcW w:w="1080" w:type="dxa"/>
          </w:tcPr>
          <w:p w14:paraId="54D4ED97" w14:textId="77777777" w:rsidR="001F04FD" w:rsidRPr="0013396E" w:rsidRDefault="001F04FD" w:rsidP="00AC4DEE">
            <w:pPr>
              <w:pStyle w:val="TableHead"/>
            </w:pPr>
            <w:r w:rsidRPr="0013396E">
              <w:t>Unit</w:t>
            </w:r>
          </w:p>
        </w:tc>
        <w:tc>
          <w:tcPr>
            <w:tcW w:w="6743" w:type="dxa"/>
          </w:tcPr>
          <w:p w14:paraId="07ABA981" w14:textId="77777777" w:rsidR="001F04FD" w:rsidRPr="0013396E" w:rsidRDefault="001F04FD" w:rsidP="00AC4DEE">
            <w:pPr>
              <w:pStyle w:val="TableHead"/>
            </w:pPr>
            <w:r w:rsidRPr="0013396E">
              <w:t>Description</w:t>
            </w:r>
          </w:p>
        </w:tc>
      </w:tr>
      <w:tr w:rsidR="001F04FD" w:rsidRPr="0013396E" w14:paraId="58E47691" w14:textId="77777777" w:rsidTr="00AC4DEE">
        <w:tc>
          <w:tcPr>
            <w:tcW w:w="2005" w:type="dxa"/>
          </w:tcPr>
          <w:p w14:paraId="0D6E4BD1" w14:textId="77777777" w:rsidR="001F04FD" w:rsidRPr="0013396E" w:rsidRDefault="001F04FD" w:rsidP="00AC4DEE">
            <w:pPr>
              <w:pStyle w:val="TableBody"/>
            </w:pPr>
            <w:r w:rsidRPr="0013396E">
              <w:t xml:space="preserve">RTEDCIMPAMT </w:t>
            </w:r>
            <w:r w:rsidRPr="0013396E">
              <w:rPr>
                <w:i/>
                <w:vertAlign w:val="subscript"/>
              </w:rPr>
              <w:t>q, p</w:t>
            </w:r>
          </w:p>
        </w:tc>
        <w:tc>
          <w:tcPr>
            <w:tcW w:w="1080" w:type="dxa"/>
          </w:tcPr>
          <w:p w14:paraId="5B5F5915" w14:textId="77777777" w:rsidR="001F04FD" w:rsidRPr="0013396E" w:rsidRDefault="001F04FD" w:rsidP="00AC4DEE">
            <w:pPr>
              <w:pStyle w:val="TableBody"/>
            </w:pPr>
            <w:r w:rsidRPr="0013396E">
              <w:t>$</w:t>
            </w:r>
          </w:p>
        </w:tc>
        <w:tc>
          <w:tcPr>
            <w:tcW w:w="6743" w:type="dxa"/>
          </w:tcPr>
          <w:p w14:paraId="73E95165" w14:textId="77777777" w:rsidR="001F04FD" w:rsidRPr="0013396E" w:rsidRDefault="001F04FD" w:rsidP="00AC4DEE">
            <w:pPr>
              <w:pStyle w:val="TableBody"/>
            </w:pPr>
            <w:r w:rsidRPr="0013396E">
              <w:rPr>
                <w:i/>
              </w:rPr>
              <w:t>Real-Time Emergency DC Import Amount per QSE per Settlement Point</w:t>
            </w:r>
            <w:r w:rsidRPr="0013396E">
              <w:t xml:space="preserve">—The payment to QSE </w:t>
            </w:r>
            <w:r w:rsidRPr="0013396E">
              <w:rPr>
                <w:i/>
              </w:rPr>
              <w:t>q</w:t>
            </w:r>
            <w:r w:rsidRPr="0013396E">
              <w:t xml:space="preserve"> for emergency DC Tie import through DC Tie </w:t>
            </w:r>
            <w:r w:rsidRPr="0013396E">
              <w:rPr>
                <w:i/>
              </w:rPr>
              <w:t>p</w:t>
            </w:r>
            <w:r w:rsidRPr="0013396E">
              <w:t>, for the 15-minute Settlement Interval.</w:t>
            </w:r>
          </w:p>
        </w:tc>
      </w:tr>
      <w:tr w:rsidR="001F04FD" w:rsidRPr="0013396E" w14:paraId="52E2E123" w14:textId="77777777" w:rsidTr="00AC4DEE">
        <w:tc>
          <w:tcPr>
            <w:tcW w:w="2005" w:type="dxa"/>
          </w:tcPr>
          <w:p w14:paraId="4FA581A6" w14:textId="77777777" w:rsidR="001F04FD" w:rsidRPr="0013396E" w:rsidRDefault="001F04FD" w:rsidP="00AC4DEE">
            <w:pPr>
              <w:pStyle w:val="TableBody"/>
            </w:pPr>
            <w:r w:rsidRPr="0013396E">
              <w:t xml:space="preserve">RTSPP </w:t>
            </w:r>
            <w:r w:rsidRPr="0013396E">
              <w:rPr>
                <w:i/>
                <w:vertAlign w:val="subscript"/>
              </w:rPr>
              <w:t>p</w:t>
            </w:r>
          </w:p>
        </w:tc>
        <w:tc>
          <w:tcPr>
            <w:tcW w:w="1080" w:type="dxa"/>
          </w:tcPr>
          <w:p w14:paraId="1B6BA981" w14:textId="77777777" w:rsidR="001F04FD" w:rsidRPr="0013396E" w:rsidRDefault="001F04FD" w:rsidP="00AC4DEE">
            <w:pPr>
              <w:pStyle w:val="TableBody"/>
            </w:pPr>
            <w:r w:rsidRPr="0013396E">
              <w:t>$/MWh</w:t>
            </w:r>
          </w:p>
        </w:tc>
        <w:tc>
          <w:tcPr>
            <w:tcW w:w="6743" w:type="dxa"/>
          </w:tcPr>
          <w:p w14:paraId="0C52786F" w14:textId="0B6CA269" w:rsidR="001F04FD" w:rsidRPr="0013396E" w:rsidRDefault="001F04FD" w:rsidP="00AC4DEE">
            <w:pPr>
              <w:pStyle w:val="TableBody"/>
            </w:pPr>
            <w:r w:rsidRPr="0013396E">
              <w:rPr>
                <w:i/>
              </w:rPr>
              <w:t>Real-Time Settlement Point Price per Settlement Point</w:t>
            </w:r>
            <w:r w:rsidRPr="0013396E">
              <w:t>—The Real-Time S</w:t>
            </w:r>
            <w:r w:rsidR="00082248" w:rsidRPr="0013396E">
              <w:t xml:space="preserve">ettlement </w:t>
            </w:r>
            <w:r w:rsidRPr="0013396E">
              <w:t>P</w:t>
            </w:r>
            <w:r w:rsidR="00082248" w:rsidRPr="0013396E">
              <w:t xml:space="preserve">oint </w:t>
            </w:r>
            <w:r w:rsidRPr="0013396E">
              <w:t>P</w:t>
            </w:r>
            <w:r w:rsidR="00082248" w:rsidRPr="0013396E">
              <w:t>rice</w:t>
            </w:r>
            <w:r w:rsidRPr="0013396E">
              <w:t xml:space="preserve"> at Settlement Point </w:t>
            </w:r>
            <w:r w:rsidRPr="0013396E">
              <w:rPr>
                <w:i/>
              </w:rPr>
              <w:t>p</w:t>
            </w:r>
            <w:r w:rsidRPr="0013396E">
              <w:t>, for the 15-minute Settlement Interval.</w:t>
            </w:r>
          </w:p>
        </w:tc>
      </w:tr>
      <w:tr w:rsidR="001F04FD" w:rsidRPr="0013396E" w14:paraId="1137C0B4" w14:textId="77777777" w:rsidTr="00AC4DEE">
        <w:tc>
          <w:tcPr>
            <w:tcW w:w="2005" w:type="dxa"/>
          </w:tcPr>
          <w:p w14:paraId="64E3D900" w14:textId="77777777" w:rsidR="001F04FD" w:rsidRPr="0013396E" w:rsidRDefault="001F04FD" w:rsidP="00AC4DEE">
            <w:pPr>
              <w:pStyle w:val="TableBody"/>
            </w:pPr>
            <w:r w:rsidRPr="0013396E">
              <w:t>FIP</w:t>
            </w:r>
          </w:p>
        </w:tc>
        <w:tc>
          <w:tcPr>
            <w:tcW w:w="1080" w:type="dxa"/>
          </w:tcPr>
          <w:p w14:paraId="1408B450" w14:textId="77777777" w:rsidR="001F04FD" w:rsidRPr="0013396E" w:rsidRDefault="001F04FD" w:rsidP="00AC4DEE">
            <w:pPr>
              <w:pStyle w:val="TableBody"/>
            </w:pPr>
            <w:r w:rsidRPr="0013396E">
              <w:t>$/MMBtu</w:t>
            </w:r>
          </w:p>
        </w:tc>
        <w:tc>
          <w:tcPr>
            <w:tcW w:w="6743" w:type="dxa"/>
          </w:tcPr>
          <w:p w14:paraId="2CFA1657" w14:textId="77777777" w:rsidR="001F04FD" w:rsidRPr="0013396E" w:rsidRDefault="001F04FD" w:rsidP="00AC4DEE">
            <w:pPr>
              <w:pStyle w:val="TableBody"/>
            </w:pPr>
            <w:r w:rsidRPr="0013396E">
              <w:rPr>
                <w:i/>
              </w:rPr>
              <w:t>Fuel Index Price</w:t>
            </w:r>
            <w:r w:rsidRPr="0013396E">
              <w:t>—As defined in Section 2, Definitions and Acronyms.</w:t>
            </w:r>
          </w:p>
        </w:tc>
      </w:tr>
      <w:tr w:rsidR="001F04FD" w:rsidRPr="0013396E" w14:paraId="71589684" w14:textId="77777777" w:rsidTr="00AC4DEE">
        <w:tc>
          <w:tcPr>
            <w:tcW w:w="2005" w:type="dxa"/>
          </w:tcPr>
          <w:p w14:paraId="22E87C9A" w14:textId="77777777" w:rsidR="001F04FD" w:rsidRPr="0013396E" w:rsidRDefault="001F04FD" w:rsidP="00AC4DEE">
            <w:pPr>
              <w:pStyle w:val="TableBody"/>
            </w:pPr>
            <w:r w:rsidRPr="0013396E">
              <w:t xml:space="preserve">RTEDCIMP </w:t>
            </w:r>
            <w:r w:rsidRPr="0013396E">
              <w:rPr>
                <w:i/>
                <w:vertAlign w:val="subscript"/>
              </w:rPr>
              <w:t>q, p</w:t>
            </w:r>
          </w:p>
        </w:tc>
        <w:tc>
          <w:tcPr>
            <w:tcW w:w="1080" w:type="dxa"/>
          </w:tcPr>
          <w:p w14:paraId="4C00F729" w14:textId="77777777" w:rsidR="001F04FD" w:rsidRPr="0013396E" w:rsidRDefault="001F04FD" w:rsidP="00AC4DEE">
            <w:pPr>
              <w:pStyle w:val="TableBody"/>
            </w:pPr>
            <w:r w:rsidRPr="0013396E">
              <w:t>MW</w:t>
            </w:r>
          </w:p>
        </w:tc>
        <w:tc>
          <w:tcPr>
            <w:tcW w:w="6743" w:type="dxa"/>
          </w:tcPr>
          <w:p w14:paraId="5C16CA37" w14:textId="77777777" w:rsidR="001F04FD" w:rsidRPr="0013396E" w:rsidRDefault="001F04FD" w:rsidP="00AC4DEE">
            <w:pPr>
              <w:pStyle w:val="TableBody"/>
              <w:rPr>
                <w:i/>
              </w:rPr>
            </w:pPr>
            <w:r w:rsidRPr="0013396E">
              <w:rPr>
                <w:i/>
              </w:rPr>
              <w:t>Real-Time Emergency DC Import per QSE per Settlement Point</w:t>
            </w:r>
            <w:r w:rsidRPr="0013396E">
              <w:t xml:space="preserve">—The aggregated DC Tie Schedule for emergency energy imported by QSE </w:t>
            </w:r>
            <w:r w:rsidRPr="0013396E">
              <w:rPr>
                <w:i/>
              </w:rPr>
              <w:t>q</w:t>
            </w:r>
            <w:r w:rsidRPr="0013396E">
              <w:t xml:space="preserve"> into the ERCOT System during Emergency Conditions through DC Tie </w:t>
            </w:r>
            <w:r w:rsidRPr="0013396E">
              <w:rPr>
                <w:i/>
              </w:rPr>
              <w:t>p</w:t>
            </w:r>
            <w:r w:rsidRPr="0013396E">
              <w:t>, for the 15-minute Settlement Interval.</w:t>
            </w:r>
          </w:p>
        </w:tc>
      </w:tr>
      <w:tr w:rsidR="001F04FD" w:rsidRPr="0013396E" w14:paraId="6EBEC13A" w14:textId="77777777" w:rsidTr="00AC4DEE">
        <w:tc>
          <w:tcPr>
            <w:tcW w:w="2005" w:type="dxa"/>
          </w:tcPr>
          <w:p w14:paraId="6E932D6D" w14:textId="77777777" w:rsidR="001F04FD" w:rsidRPr="0013396E" w:rsidRDefault="001F04FD" w:rsidP="00AC4DEE">
            <w:pPr>
              <w:pStyle w:val="TableBody"/>
              <w:rPr>
                <w:b/>
                <w:i/>
                <w:vertAlign w:val="subscript"/>
              </w:rPr>
            </w:pPr>
            <w:r w:rsidRPr="0013396E">
              <w:t xml:space="preserve">VEEPDCTP </w:t>
            </w:r>
            <w:r w:rsidRPr="0013396E">
              <w:rPr>
                <w:i/>
                <w:vertAlign w:val="subscript"/>
              </w:rPr>
              <w:t>q, p</w:t>
            </w:r>
          </w:p>
        </w:tc>
        <w:tc>
          <w:tcPr>
            <w:tcW w:w="1080" w:type="dxa"/>
          </w:tcPr>
          <w:p w14:paraId="1F42A8F5" w14:textId="77777777" w:rsidR="001F04FD" w:rsidRPr="0013396E" w:rsidRDefault="001F04FD" w:rsidP="00AC4DEE">
            <w:pPr>
              <w:pStyle w:val="TableBody"/>
            </w:pPr>
            <w:r w:rsidRPr="0013396E">
              <w:t>$/MWh</w:t>
            </w:r>
          </w:p>
        </w:tc>
        <w:tc>
          <w:tcPr>
            <w:tcW w:w="6743" w:type="dxa"/>
          </w:tcPr>
          <w:p w14:paraId="5B588A4E" w14:textId="77777777" w:rsidR="001F04FD" w:rsidRPr="0013396E" w:rsidRDefault="001F04FD" w:rsidP="00AC4DEE">
            <w:pPr>
              <w:pStyle w:val="TableBody"/>
            </w:pPr>
            <w:r w:rsidRPr="0013396E">
              <w:rPr>
                <w:i/>
              </w:rPr>
              <w:t>Verified Emergency Energy Price at DC Tie Point</w:t>
            </w:r>
            <w:r w:rsidRPr="0013396E">
              <w:t xml:space="preserve">—The ERCOT verified cost for the energy imported by QSE </w:t>
            </w:r>
            <w:r w:rsidRPr="0013396E">
              <w:rPr>
                <w:i/>
              </w:rPr>
              <w:t>q</w:t>
            </w:r>
            <w:r w:rsidRPr="0013396E">
              <w:t xml:space="preserve"> into the ERCOT System during declared Emergency Condition through a DC Tie </w:t>
            </w:r>
            <w:r w:rsidRPr="0013396E">
              <w:rPr>
                <w:i/>
              </w:rPr>
              <w:t>p</w:t>
            </w:r>
            <w:r w:rsidRPr="0013396E">
              <w:t xml:space="preserve"> as instructed by a Dispatch Instruction.</w:t>
            </w:r>
          </w:p>
        </w:tc>
      </w:tr>
      <w:tr w:rsidR="001F04FD" w:rsidRPr="0013396E" w14:paraId="4A37CB2A" w14:textId="77777777" w:rsidTr="00AC4DEE">
        <w:tc>
          <w:tcPr>
            <w:tcW w:w="2005" w:type="dxa"/>
          </w:tcPr>
          <w:p w14:paraId="2707C7AE" w14:textId="77777777" w:rsidR="001F04FD" w:rsidRPr="0013396E" w:rsidRDefault="001F04FD" w:rsidP="00AC4DEE">
            <w:pPr>
              <w:pStyle w:val="TableBody"/>
            </w:pPr>
            <w:r w:rsidRPr="0013396E">
              <w:t>CAEDCT</w:t>
            </w:r>
          </w:p>
        </w:tc>
        <w:tc>
          <w:tcPr>
            <w:tcW w:w="1080" w:type="dxa"/>
          </w:tcPr>
          <w:p w14:paraId="7084308E" w14:textId="77777777" w:rsidR="001F04FD" w:rsidRPr="0013396E" w:rsidRDefault="001F04FD" w:rsidP="00AC4DEE">
            <w:pPr>
              <w:pStyle w:val="TableBody"/>
            </w:pPr>
            <w:r w:rsidRPr="0013396E">
              <w:t>#</w:t>
            </w:r>
          </w:p>
        </w:tc>
        <w:tc>
          <w:tcPr>
            <w:tcW w:w="6743" w:type="dxa"/>
          </w:tcPr>
          <w:p w14:paraId="1A47A954" w14:textId="77777777" w:rsidR="001F04FD" w:rsidRPr="0013396E" w:rsidRDefault="001F04FD" w:rsidP="00AC4DEE">
            <w:pPr>
              <w:pStyle w:val="TableBody"/>
              <w:rPr>
                <w:i/>
              </w:rPr>
            </w:pPr>
            <w:r w:rsidRPr="0013396E">
              <w:rPr>
                <w:i/>
              </w:rPr>
              <w:t>Cost Adder for Emergency DC Tie Import</w:t>
            </w:r>
            <w:r w:rsidRPr="0013396E">
              <w:t>—A multiplier of 1.10.</w:t>
            </w:r>
          </w:p>
        </w:tc>
      </w:tr>
      <w:tr w:rsidR="001F04FD" w:rsidRPr="0013396E" w14:paraId="0A2EB0D0" w14:textId="77777777" w:rsidTr="00AC4DEE">
        <w:tc>
          <w:tcPr>
            <w:tcW w:w="2005" w:type="dxa"/>
          </w:tcPr>
          <w:p w14:paraId="5979E751" w14:textId="77777777" w:rsidR="001F04FD" w:rsidRPr="0013396E" w:rsidRDefault="001F04FD" w:rsidP="00AC4DEE">
            <w:pPr>
              <w:pStyle w:val="TableBody"/>
              <w:rPr>
                <w:i/>
              </w:rPr>
            </w:pPr>
            <w:r w:rsidRPr="0013396E">
              <w:rPr>
                <w:i/>
              </w:rPr>
              <w:t>q</w:t>
            </w:r>
          </w:p>
        </w:tc>
        <w:tc>
          <w:tcPr>
            <w:tcW w:w="1080" w:type="dxa"/>
          </w:tcPr>
          <w:p w14:paraId="34ABFF32" w14:textId="77777777" w:rsidR="001F04FD" w:rsidRPr="0013396E" w:rsidRDefault="001F04FD" w:rsidP="00AC4DEE">
            <w:pPr>
              <w:pStyle w:val="TableBody"/>
            </w:pPr>
            <w:r w:rsidRPr="0013396E">
              <w:t>none</w:t>
            </w:r>
          </w:p>
        </w:tc>
        <w:tc>
          <w:tcPr>
            <w:tcW w:w="6743" w:type="dxa"/>
          </w:tcPr>
          <w:p w14:paraId="4569E2CD" w14:textId="77777777" w:rsidR="001F04FD" w:rsidRPr="0013396E" w:rsidRDefault="001F04FD" w:rsidP="00AC4DEE">
            <w:pPr>
              <w:pStyle w:val="TableBody"/>
              <w:rPr>
                <w:i/>
                <w:lang w:val="fr-FR"/>
              </w:rPr>
            </w:pPr>
            <w:r w:rsidRPr="0013396E">
              <w:t>A QSE.</w:t>
            </w:r>
          </w:p>
        </w:tc>
      </w:tr>
      <w:tr w:rsidR="001F04FD" w:rsidRPr="0013396E" w14:paraId="7775A626" w14:textId="77777777" w:rsidTr="00AC4DEE">
        <w:tc>
          <w:tcPr>
            <w:tcW w:w="2005" w:type="dxa"/>
          </w:tcPr>
          <w:p w14:paraId="3C41C2FA" w14:textId="77777777" w:rsidR="001F04FD" w:rsidRPr="0013396E" w:rsidRDefault="001F04FD" w:rsidP="00AC4DEE">
            <w:pPr>
              <w:pStyle w:val="TableBody"/>
              <w:rPr>
                <w:i/>
              </w:rPr>
            </w:pPr>
            <w:r w:rsidRPr="0013396E">
              <w:rPr>
                <w:i/>
              </w:rPr>
              <w:t>p</w:t>
            </w:r>
          </w:p>
        </w:tc>
        <w:tc>
          <w:tcPr>
            <w:tcW w:w="1080" w:type="dxa"/>
          </w:tcPr>
          <w:p w14:paraId="41E1B920" w14:textId="77777777" w:rsidR="001F04FD" w:rsidRPr="0013396E" w:rsidRDefault="001F04FD" w:rsidP="00AC4DEE">
            <w:pPr>
              <w:pStyle w:val="TableBody"/>
            </w:pPr>
            <w:r w:rsidRPr="0013396E">
              <w:t>none</w:t>
            </w:r>
          </w:p>
        </w:tc>
        <w:tc>
          <w:tcPr>
            <w:tcW w:w="6743" w:type="dxa"/>
          </w:tcPr>
          <w:p w14:paraId="0B87E555" w14:textId="77777777" w:rsidR="001F04FD" w:rsidRPr="0013396E" w:rsidRDefault="001F04FD" w:rsidP="00AC4DEE">
            <w:pPr>
              <w:pStyle w:val="TableBody"/>
              <w:rPr>
                <w:lang w:val="fr-FR"/>
              </w:rPr>
            </w:pPr>
            <w:r w:rsidRPr="0013396E">
              <w:rPr>
                <w:lang w:val="fr-FR"/>
              </w:rPr>
              <w:t>A DC Tie Settlement Point.</w:t>
            </w:r>
          </w:p>
        </w:tc>
      </w:tr>
    </w:tbl>
    <w:p w14:paraId="7773E973" w14:textId="77777777" w:rsidR="001F04FD" w:rsidRPr="0013396E" w:rsidRDefault="001F04FD" w:rsidP="001F04FD">
      <w:pPr>
        <w:pStyle w:val="BodyTextNumbered"/>
        <w:spacing w:after="0"/>
        <w:rPr>
          <w:lang w:val="fr-FR"/>
        </w:rPr>
      </w:pPr>
    </w:p>
    <w:p w14:paraId="34CFE57A" w14:textId="77777777" w:rsidR="001F04FD" w:rsidRPr="0013396E" w:rsidRDefault="001F04FD" w:rsidP="001F04FD">
      <w:pPr>
        <w:pStyle w:val="BodyTextNumbered"/>
      </w:pPr>
      <w:r w:rsidRPr="0013396E">
        <w:t>(3)</w:t>
      </w:r>
      <w:r w:rsidRPr="0013396E">
        <w:tab/>
        <w:t>The total of the payments to each QSE for all energy imported into the ERCOT System through DC Ties for the 15-minute Settlement Interval is calculated as follows:</w:t>
      </w:r>
    </w:p>
    <w:p w14:paraId="26A3472C" w14:textId="77777777" w:rsidR="001F04FD" w:rsidRPr="0013396E" w:rsidRDefault="001F04FD" w:rsidP="001F04FD">
      <w:pPr>
        <w:pStyle w:val="FormulaBold"/>
      </w:pPr>
      <w:r w:rsidRPr="0013396E">
        <w:t xml:space="preserve">RTDCIMPAMTQSETOT </w:t>
      </w:r>
      <w:r w:rsidRPr="0013396E">
        <w:rPr>
          <w:i/>
          <w:vertAlign w:val="subscript"/>
        </w:rPr>
        <w:t>q, p</w:t>
      </w:r>
      <w:r w:rsidRPr="0013396E">
        <w:tab/>
        <w:t>=</w:t>
      </w:r>
      <w:r w:rsidRPr="0013396E">
        <w:tab/>
      </w:r>
      <w:r w:rsidRPr="0013396E">
        <w:rPr>
          <w:position w:val="-22"/>
        </w:rPr>
        <w:object w:dxaOrig="225" w:dyaOrig="465" w14:anchorId="32794AC9">
          <v:shape id="_x0000_i1127" type="#_x0000_t75" style="width:12pt;height:18.6pt" o:ole="">
            <v:imagedata r:id="rId142" o:title=""/>
          </v:shape>
          <o:OLEObject Type="Embed" ProgID="Equation.3" ShapeID="_x0000_i1127" DrawAspect="Content" ObjectID="_1849065758" r:id="rId146"/>
        </w:object>
      </w:r>
      <w:r w:rsidRPr="0013396E">
        <w:t xml:space="preserve">(RTDCIMPAMT </w:t>
      </w:r>
      <w:r w:rsidRPr="0013396E">
        <w:rPr>
          <w:i/>
          <w:vertAlign w:val="subscript"/>
        </w:rPr>
        <w:t>q, p</w:t>
      </w:r>
      <w:r w:rsidRPr="0013396E">
        <w:t xml:space="preserve">+ RTEDCIMPAMT </w:t>
      </w:r>
      <w:r w:rsidRPr="0013396E">
        <w:rPr>
          <w:i/>
          <w:vertAlign w:val="subscript"/>
        </w:rPr>
        <w:t>q, p</w:t>
      </w:r>
      <w:r w:rsidRPr="0013396E">
        <w:t>)</w:t>
      </w:r>
    </w:p>
    <w:p w14:paraId="60EE3242" w14:textId="77777777" w:rsidR="001F04FD" w:rsidRPr="0013396E" w:rsidRDefault="001F04FD" w:rsidP="001F04FD">
      <w:r w:rsidRPr="0013396E">
        <w:t>The above variables are defined as follows: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630"/>
        <w:gridCol w:w="6570"/>
      </w:tblGrid>
      <w:tr w:rsidR="001F04FD" w:rsidRPr="0013396E" w14:paraId="42963CEE" w14:textId="77777777" w:rsidTr="00AC4DEE">
        <w:trPr>
          <w:tblHeader/>
        </w:trPr>
        <w:tc>
          <w:tcPr>
            <w:tcW w:w="2628" w:type="dxa"/>
          </w:tcPr>
          <w:p w14:paraId="2D0AEE90" w14:textId="77777777" w:rsidR="001F04FD" w:rsidRPr="0013396E" w:rsidRDefault="001F04FD" w:rsidP="00AC4DEE">
            <w:pPr>
              <w:pStyle w:val="TableHead"/>
            </w:pPr>
            <w:r w:rsidRPr="0013396E">
              <w:t>Variable</w:t>
            </w:r>
          </w:p>
        </w:tc>
        <w:tc>
          <w:tcPr>
            <w:tcW w:w="630" w:type="dxa"/>
          </w:tcPr>
          <w:p w14:paraId="176EC2F6" w14:textId="77777777" w:rsidR="001F04FD" w:rsidRPr="0013396E" w:rsidRDefault="001F04FD" w:rsidP="00AC4DEE">
            <w:pPr>
              <w:pStyle w:val="TableHead"/>
            </w:pPr>
            <w:r w:rsidRPr="0013396E">
              <w:t>Unit</w:t>
            </w:r>
          </w:p>
        </w:tc>
        <w:tc>
          <w:tcPr>
            <w:tcW w:w="6570" w:type="dxa"/>
          </w:tcPr>
          <w:p w14:paraId="0F3A1722" w14:textId="77777777" w:rsidR="001F04FD" w:rsidRPr="0013396E" w:rsidRDefault="001F04FD" w:rsidP="00AC4DEE">
            <w:pPr>
              <w:pStyle w:val="TableHead"/>
            </w:pPr>
            <w:r w:rsidRPr="0013396E">
              <w:t>Definition</w:t>
            </w:r>
          </w:p>
        </w:tc>
      </w:tr>
      <w:tr w:rsidR="001F04FD" w:rsidRPr="0013396E" w14:paraId="2E617BA2" w14:textId="77777777" w:rsidTr="00AC4DEE">
        <w:tc>
          <w:tcPr>
            <w:tcW w:w="2628" w:type="dxa"/>
          </w:tcPr>
          <w:p w14:paraId="18AC5E8A" w14:textId="77777777" w:rsidR="001F04FD" w:rsidRPr="0013396E" w:rsidRDefault="001F04FD" w:rsidP="00AC4DEE">
            <w:pPr>
              <w:pStyle w:val="TableBody"/>
            </w:pPr>
            <w:r w:rsidRPr="0013396E">
              <w:t xml:space="preserve">RTDCIMPAMTQSETOT </w:t>
            </w:r>
            <w:r w:rsidRPr="0013396E">
              <w:rPr>
                <w:i/>
                <w:vertAlign w:val="subscript"/>
              </w:rPr>
              <w:t>q, p</w:t>
            </w:r>
          </w:p>
        </w:tc>
        <w:tc>
          <w:tcPr>
            <w:tcW w:w="630" w:type="dxa"/>
          </w:tcPr>
          <w:p w14:paraId="27B39313" w14:textId="77777777" w:rsidR="001F04FD" w:rsidRPr="0013396E" w:rsidRDefault="001F04FD" w:rsidP="00AC4DEE">
            <w:pPr>
              <w:pStyle w:val="TableBody"/>
            </w:pPr>
            <w:r w:rsidRPr="0013396E">
              <w:t>$</w:t>
            </w:r>
          </w:p>
        </w:tc>
        <w:tc>
          <w:tcPr>
            <w:tcW w:w="6570" w:type="dxa"/>
          </w:tcPr>
          <w:p w14:paraId="2F1E098F" w14:textId="77777777" w:rsidR="001F04FD" w:rsidRPr="0013396E" w:rsidRDefault="001F04FD" w:rsidP="00AC4DEE">
            <w:pPr>
              <w:pStyle w:val="TableBody"/>
            </w:pPr>
            <w:r w:rsidRPr="0013396E">
              <w:rPr>
                <w:i/>
              </w:rPr>
              <w:t>Real-Time DC Import Amount QSE Total per QSE</w:t>
            </w:r>
            <w:r w:rsidRPr="0013396E">
              <w:sym w:font="Symbol" w:char="F0BE"/>
            </w:r>
            <w:r w:rsidRPr="0013396E">
              <w:t xml:space="preserve">The total of the payments to QSE </w:t>
            </w:r>
            <w:r w:rsidRPr="0013396E">
              <w:rPr>
                <w:i/>
              </w:rPr>
              <w:t>q</w:t>
            </w:r>
            <w:r w:rsidRPr="0013396E">
              <w:t xml:space="preserve"> for energy imported into the ERCOT System through DC Ties </w:t>
            </w:r>
            <w:r w:rsidRPr="0013396E">
              <w:rPr>
                <w:i/>
              </w:rPr>
              <w:t xml:space="preserve">p, </w:t>
            </w:r>
            <w:r w:rsidRPr="0013396E">
              <w:t>for the 15-minute Settlement Interval.</w:t>
            </w:r>
          </w:p>
        </w:tc>
      </w:tr>
      <w:tr w:rsidR="001F04FD" w:rsidRPr="0013396E" w14:paraId="3DFCDE1D" w14:textId="77777777" w:rsidTr="00AC4DEE">
        <w:tc>
          <w:tcPr>
            <w:tcW w:w="2628" w:type="dxa"/>
          </w:tcPr>
          <w:p w14:paraId="6CD0B0AB" w14:textId="77777777" w:rsidR="001F04FD" w:rsidRPr="0013396E" w:rsidRDefault="001F04FD" w:rsidP="00AC4DEE">
            <w:pPr>
              <w:pStyle w:val="TableBody"/>
            </w:pPr>
            <w:r w:rsidRPr="0013396E">
              <w:t xml:space="preserve">RTDCIMPAMT </w:t>
            </w:r>
            <w:r w:rsidRPr="0013396E">
              <w:rPr>
                <w:i/>
                <w:vertAlign w:val="subscript"/>
              </w:rPr>
              <w:t>q, p</w:t>
            </w:r>
          </w:p>
        </w:tc>
        <w:tc>
          <w:tcPr>
            <w:tcW w:w="630" w:type="dxa"/>
          </w:tcPr>
          <w:p w14:paraId="1D168084" w14:textId="77777777" w:rsidR="001F04FD" w:rsidRPr="0013396E" w:rsidRDefault="001F04FD" w:rsidP="00AC4DEE">
            <w:pPr>
              <w:pStyle w:val="TableBody"/>
            </w:pPr>
            <w:r w:rsidRPr="0013396E">
              <w:t>$</w:t>
            </w:r>
          </w:p>
        </w:tc>
        <w:tc>
          <w:tcPr>
            <w:tcW w:w="6570" w:type="dxa"/>
          </w:tcPr>
          <w:p w14:paraId="034D0D1E" w14:textId="77777777" w:rsidR="001F04FD" w:rsidRPr="0013396E" w:rsidRDefault="001F04FD" w:rsidP="00AC4DEE">
            <w:pPr>
              <w:pStyle w:val="TableBody"/>
            </w:pPr>
            <w:r w:rsidRPr="0013396E">
              <w:rPr>
                <w:i/>
              </w:rPr>
              <w:t>Real-Time DC Import Amount per QSE per Settlement Point</w:t>
            </w:r>
            <w:r w:rsidRPr="0013396E">
              <w:t xml:space="preserve">—The payment to QSE </w:t>
            </w:r>
            <w:r w:rsidRPr="0013396E">
              <w:rPr>
                <w:i/>
              </w:rPr>
              <w:t>q</w:t>
            </w:r>
            <w:r w:rsidRPr="0013396E">
              <w:t xml:space="preserve"> for DC Tie import through DC Tie </w:t>
            </w:r>
            <w:r w:rsidRPr="0013396E">
              <w:rPr>
                <w:i/>
              </w:rPr>
              <w:t>p</w:t>
            </w:r>
            <w:r w:rsidRPr="0013396E">
              <w:t>, for the 15-minute Settlement Interval.</w:t>
            </w:r>
          </w:p>
        </w:tc>
      </w:tr>
      <w:tr w:rsidR="001F04FD" w:rsidRPr="0013396E" w14:paraId="43C02C58" w14:textId="77777777" w:rsidTr="00AC4DEE">
        <w:tc>
          <w:tcPr>
            <w:tcW w:w="2628" w:type="dxa"/>
          </w:tcPr>
          <w:p w14:paraId="28E1CA71" w14:textId="77777777" w:rsidR="001F04FD" w:rsidRPr="0013396E" w:rsidRDefault="001F04FD" w:rsidP="00AC4DEE">
            <w:pPr>
              <w:pStyle w:val="TableBody"/>
            </w:pPr>
            <w:r w:rsidRPr="0013396E">
              <w:t xml:space="preserve">RTEDCIMPAMT </w:t>
            </w:r>
            <w:r w:rsidRPr="0013396E">
              <w:rPr>
                <w:i/>
                <w:vertAlign w:val="subscript"/>
              </w:rPr>
              <w:t>q, p</w:t>
            </w:r>
          </w:p>
        </w:tc>
        <w:tc>
          <w:tcPr>
            <w:tcW w:w="630" w:type="dxa"/>
          </w:tcPr>
          <w:p w14:paraId="79201B9A" w14:textId="77777777" w:rsidR="001F04FD" w:rsidRPr="0013396E" w:rsidRDefault="001F04FD" w:rsidP="00AC4DEE">
            <w:pPr>
              <w:pStyle w:val="TableBody"/>
            </w:pPr>
            <w:r w:rsidRPr="0013396E">
              <w:t>$</w:t>
            </w:r>
          </w:p>
        </w:tc>
        <w:tc>
          <w:tcPr>
            <w:tcW w:w="6570" w:type="dxa"/>
          </w:tcPr>
          <w:p w14:paraId="5FCFD8E1" w14:textId="77777777" w:rsidR="001F04FD" w:rsidRPr="0013396E" w:rsidRDefault="001F04FD" w:rsidP="00AC4DEE">
            <w:pPr>
              <w:pStyle w:val="TableBody"/>
              <w:rPr>
                <w:i/>
              </w:rPr>
            </w:pPr>
            <w:r w:rsidRPr="0013396E">
              <w:rPr>
                <w:i/>
              </w:rPr>
              <w:t>Real-Time Emergency DC Import Amount per QSE per Settlement Point</w:t>
            </w:r>
            <w:r w:rsidRPr="0013396E">
              <w:sym w:font="Symbol" w:char="F0BE"/>
            </w:r>
            <w:r w:rsidRPr="0013396E">
              <w:t xml:space="preserve">The payment to QSE </w:t>
            </w:r>
            <w:r w:rsidRPr="0013396E">
              <w:rPr>
                <w:i/>
              </w:rPr>
              <w:t>q</w:t>
            </w:r>
            <w:r w:rsidRPr="0013396E">
              <w:t xml:space="preserve"> for emergency DC Tie import through DC Tie </w:t>
            </w:r>
            <w:r w:rsidRPr="0013396E">
              <w:rPr>
                <w:i/>
              </w:rPr>
              <w:t>p</w:t>
            </w:r>
            <w:r w:rsidRPr="0013396E">
              <w:t>, for the 15-minute Settlement Interval.</w:t>
            </w:r>
          </w:p>
        </w:tc>
      </w:tr>
      <w:tr w:rsidR="001F04FD" w:rsidRPr="0013396E" w14:paraId="13FD07BE" w14:textId="77777777" w:rsidTr="00AC4DEE">
        <w:tc>
          <w:tcPr>
            <w:tcW w:w="2628" w:type="dxa"/>
            <w:tcBorders>
              <w:top w:val="single" w:sz="4" w:space="0" w:color="auto"/>
              <w:left w:val="single" w:sz="4" w:space="0" w:color="auto"/>
              <w:bottom w:val="single" w:sz="4" w:space="0" w:color="auto"/>
              <w:right w:val="single" w:sz="4" w:space="0" w:color="auto"/>
            </w:tcBorders>
          </w:tcPr>
          <w:p w14:paraId="3E72086E" w14:textId="77777777" w:rsidR="001F04FD" w:rsidRPr="0013396E" w:rsidRDefault="001F04FD" w:rsidP="00AC4DEE">
            <w:pPr>
              <w:pStyle w:val="TableBody"/>
              <w:rPr>
                <w:i/>
              </w:rPr>
            </w:pPr>
            <w:r w:rsidRPr="0013396E">
              <w:rPr>
                <w:i/>
              </w:rPr>
              <w:t>q</w:t>
            </w:r>
          </w:p>
        </w:tc>
        <w:tc>
          <w:tcPr>
            <w:tcW w:w="630" w:type="dxa"/>
            <w:tcBorders>
              <w:top w:val="single" w:sz="4" w:space="0" w:color="auto"/>
              <w:left w:val="single" w:sz="4" w:space="0" w:color="auto"/>
              <w:bottom w:val="single" w:sz="4" w:space="0" w:color="auto"/>
              <w:right w:val="single" w:sz="4" w:space="0" w:color="auto"/>
            </w:tcBorders>
          </w:tcPr>
          <w:p w14:paraId="37BA4358" w14:textId="77777777" w:rsidR="001F04FD" w:rsidRPr="0013396E" w:rsidRDefault="001F04FD" w:rsidP="00AC4DEE">
            <w:pPr>
              <w:pStyle w:val="TableBody"/>
            </w:pPr>
            <w:r w:rsidRPr="0013396E">
              <w:t>none</w:t>
            </w:r>
          </w:p>
        </w:tc>
        <w:tc>
          <w:tcPr>
            <w:tcW w:w="6570" w:type="dxa"/>
            <w:tcBorders>
              <w:top w:val="single" w:sz="4" w:space="0" w:color="auto"/>
              <w:left w:val="single" w:sz="4" w:space="0" w:color="auto"/>
              <w:bottom w:val="single" w:sz="4" w:space="0" w:color="auto"/>
              <w:right w:val="single" w:sz="4" w:space="0" w:color="auto"/>
            </w:tcBorders>
          </w:tcPr>
          <w:p w14:paraId="7FB66992" w14:textId="77777777" w:rsidR="001F04FD" w:rsidRPr="0013396E" w:rsidRDefault="001F04FD" w:rsidP="00AC4DEE">
            <w:pPr>
              <w:pStyle w:val="TableBody"/>
            </w:pPr>
            <w:r w:rsidRPr="0013396E">
              <w:t>A QSE.</w:t>
            </w:r>
          </w:p>
        </w:tc>
      </w:tr>
      <w:tr w:rsidR="001F04FD" w:rsidRPr="0013396E" w14:paraId="7E0C3CA3" w14:textId="77777777" w:rsidTr="00AC4DEE">
        <w:tc>
          <w:tcPr>
            <w:tcW w:w="2628" w:type="dxa"/>
            <w:tcBorders>
              <w:top w:val="single" w:sz="4" w:space="0" w:color="auto"/>
              <w:left w:val="single" w:sz="4" w:space="0" w:color="auto"/>
              <w:bottom w:val="single" w:sz="4" w:space="0" w:color="auto"/>
              <w:right w:val="single" w:sz="4" w:space="0" w:color="auto"/>
            </w:tcBorders>
          </w:tcPr>
          <w:p w14:paraId="6D1EC7AE" w14:textId="77777777" w:rsidR="001F04FD" w:rsidRPr="0013396E" w:rsidRDefault="001F04FD" w:rsidP="00AC4DEE">
            <w:pPr>
              <w:pStyle w:val="TableBody"/>
              <w:rPr>
                <w:i/>
              </w:rPr>
            </w:pPr>
            <w:r w:rsidRPr="0013396E">
              <w:rPr>
                <w:i/>
              </w:rPr>
              <w:t>p</w:t>
            </w:r>
          </w:p>
        </w:tc>
        <w:tc>
          <w:tcPr>
            <w:tcW w:w="630" w:type="dxa"/>
            <w:tcBorders>
              <w:top w:val="single" w:sz="4" w:space="0" w:color="auto"/>
              <w:left w:val="single" w:sz="4" w:space="0" w:color="auto"/>
              <w:bottom w:val="single" w:sz="4" w:space="0" w:color="auto"/>
              <w:right w:val="single" w:sz="4" w:space="0" w:color="auto"/>
            </w:tcBorders>
          </w:tcPr>
          <w:p w14:paraId="50DF5F3D" w14:textId="77777777" w:rsidR="001F04FD" w:rsidRPr="0013396E" w:rsidRDefault="001F04FD" w:rsidP="00AC4DEE">
            <w:pPr>
              <w:pStyle w:val="TableBody"/>
            </w:pPr>
            <w:r w:rsidRPr="0013396E">
              <w:t>none</w:t>
            </w:r>
          </w:p>
        </w:tc>
        <w:tc>
          <w:tcPr>
            <w:tcW w:w="6570" w:type="dxa"/>
            <w:tcBorders>
              <w:top w:val="single" w:sz="4" w:space="0" w:color="auto"/>
              <w:left w:val="single" w:sz="4" w:space="0" w:color="auto"/>
              <w:bottom w:val="single" w:sz="4" w:space="0" w:color="auto"/>
              <w:right w:val="single" w:sz="4" w:space="0" w:color="auto"/>
            </w:tcBorders>
          </w:tcPr>
          <w:p w14:paraId="245578E9" w14:textId="77777777" w:rsidR="001F04FD" w:rsidRPr="0013396E" w:rsidRDefault="001F04FD" w:rsidP="00AC4DEE">
            <w:pPr>
              <w:pStyle w:val="TableBody"/>
              <w:rPr>
                <w:lang w:val="fr-FR"/>
              </w:rPr>
            </w:pPr>
            <w:r w:rsidRPr="0013396E">
              <w:rPr>
                <w:lang w:val="fr-FR"/>
              </w:rPr>
              <w:t>A DC Tie Settlement Point.</w:t>
            </w:r>
          </w:p>
        </w:tc>
      </w:tr>
    </w:tbl>
    <w:p w14:paraId="367F29AF" w14:textId="77777777" w:rsidR="001F04FD" w:rsidRPr="0013396E" w:rsidRDefault="001F04FD" w:rsidP="001F04FD">
      <w:pPr>
        <w:pStyle w:val="H4"/>
        <w:spacing w:before="480"/>
        <w:ind w:left="1267" w:hanging="1267"/>
      </w:pPr>
      <w:bookmarkStart w:id="1628" w:name="_Toc397505017"/>
      <w:bookmarkStart w:id="1629" w:name="_Toc402357145"/>
      <w:bookmarkStart w:id="1630" w:name="_Toc422486523"/>
      <w:bookmarkStart w:id="1631" w:name="_Toc433093375"/>
      <w:bookmarkStart w:id="1632" w:name="_Toc433093533"/>
      <w:bookmarkStart w:id="1633" w:name="_Toc440874761"/>
      <w:bookmarkStart w:id="1634" w:name="_Toc448142316"/>
      <w:bookmarkStart w:id="1635" w:name="_Toc448142473"/>
      <w:bookmarkStart w:id="1636" w:name="_Toc458770314"/>
      <w:bookmarkStart w:id="1637" w:name="_Toc459294282"/>
      <w:bookmarkStart w:id="1638" w:name="_Toc463262775"/>
      <w:bookmarkStart w:id="1639" w:name="_Toc468286848"/>
      <w:bookmarkStart w:id="1640" w:name="_Toc481502891"/>
      <w:bookmarkStart w:id="1641" w:name="_Toc496080059"/>
      <w:bookmarkStart w:id="1642" w:name="_Toc236220180"/>
      <w:r w:rsidRPr="0013396E">
        <w:lastRenderedPageBreak/>
        <w:t>6.6.3.5</w:t>
      </w:r>
      <w:r w:rsidRPr="0013396E">
        <w:tab/>
        <w:t>Real-Time Payment for a Block Load Transfer Point</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14:paraId="476EEAC7" w14:textId="2E0956CE" w:rsidR="001F04FD" w:rsidRPr="0013396E" w:rsidRDefault="001F04FD" w:rsidP="001F04FD">
      <w:pPr>
        <w:pStyle w:val="BodyTextNumbered"/>
      </w:pPr>
      <w:r w:rsidRPr="0013396E">
        <w:t>(1)</w:t>
      </w:r>
      <w:r w:rsidRPr="0013396E">
        <w:tab/>
        <w:t xml:space="preserve">ERCOT shall pay each QSE for the energy delivered to an ERCOT Load through a Block Load Transfer (BLT) Point that is </w:t>
      </w:r>
      <w:r w:rsidR="00C830CE" w:rsidRPr="0013396E">
        <w:t xml:space="preserve">registered for Settlement when that Load is </w:t>
      </w:r>
      <w:r w:rsidRPr="0013396E">
        <w:t>moved from the ERCOT Control Area to a non-ERCOT Control Area.  The payment for a given 15-minute Settlement Interval is calculated as follows:</w:t>
      </w:r>
    </w:p>
    <w:p w14:paraId="0531A3B9" w14:textId="77777777" w:rsidR="001F04FD" w:rsidRPr="0013396E" w:rsidRDefault="001F04FD" w:rsidP="001F04FD">
      <w:pPr>
        <w:pStyle w:val="FormulaBold"/>
        <w:ind w:left="3240" w:hanging="2520"/>
      </w:pPr>
      <w:r w:rsidRPr="0013396E">
        <w:t xml:space="preserve">BLTRAMT </w:t>
      </w:r>
      <w:r w:rsidRPr="0013396E">
        <w:rPr>
          <w:i/>
          <w:vertAlign w:val="subscript"/>
        </w:rPr>
        <w:t>q, bltp, p</w:t>
      </w:r>
      <w:r w:rsidRPr="0013396E">
        <w:t xml:space="preserve"> = </w:t>
      </w:r>
      <w:r w:rsidRPr="0013396E">
        <w:tab/>
        <w:t xml:space="preserve">(-1) * MAX {RTSPPEW </w:t>
      </w:r>
      <w:r w:rsidRPr="0013396E">
        <w:rPr>
          <w:i/>
          <w:vertAlign w:val="subscript"/>
        </w:rPr>
        <w:t>p</w:t>
      </w:r>
      <w:r w:rsidRPr="0013396E">
        <w:t xml:space="preserve">, (VEEPBLTP </w:t>
      </w:r>
      <w:r w:rsidRPr="0013396E">
        <w:rPr>
          <w:i/>
          <w:vertAlign w:val="subscript"/>
        </w:rPr>
        <w:t>q, bltp</w:t>
      </w:r>
      <w:r w:rsidRPr="0013396E">
        <w:t xml:space="preserve">) </w:t>
      </w:r>
      <w:r w:rsidRPr="0013396E">
        <w:rPr>
          <w:i/>
        </w:rPr>
        <w:t>*</w:t>
      </w:r>
      <w:r w:rsidRPr="0013396E">
        <w:t xml:space="preserve"> CABLT} * BLTR </w:t>
      </w:r>
      <w:r w:rsidRPr="0013396E">
        <w:rPr>
          <w:i/>
          <w:vertAlign w:val="subscript"/>
        </w:rPr>
        <w:t>q, p, bltp</w:t>
      </w:r>
      <w:r w:rsidRPr="0013396E">
        <w:t xml:space="preserve"> </w:t>
      </w:r>
    </w:p>
    <w:p w14:paraId="5C629200" w14:textId="77777777" w:rsidR="001F04FD" w:rsidRPr="0013396E" w:rsidRDefault="001F04FD" w:rsidP="001F04FD">
      <w:r w:rsidRPr="0013396E">
        <w:t>The above variables are defined as follows: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82"/>
        <w:gridCol w:w="1571"/>
        <w:gridCol w:w="5752"/>
      </w:tblGrid>
      <w:tr w:rsidR="001F04FD" w:rsidRPr="0013396E" w14:paraId="55D0CE7C" w14:textId="77777777" w:rsidTr="009F62BA">
        <w:tc>
          <w:tcPr>
            <w:tcW w:w="2466" w:type="dxa"/>
          </w:tcPr>
          <w:p w14:paraId="4C87E0C4" w14:textId="77777777" w:rsidR="001F04FD" w:rsidRPr="0013396E" w:rsidRDefault="001F04FD" w:rsidP="00AC4DEE">
            <w:pPr>
              <w:pStyle w:val="TableHead"/>
            </w:pPr>
            <w:r w:rsidRPr="0013396E">
              <w:t>Variable</w:t>
            </w:r>
          </w:p>
        </w:tc>
        <w:tc>
          <w:tcPr>
            <w:tcW w:w="1639" w:type="dxa"/>
          </w:tcPr>
          <w:p w14:paraId="13C6A615" w14:textId="77777777" w:rsidR="001F04FD" w:rsidRPr="0013396E" w:rsidRDefault="001F04FD" w:rsidP="00AC4DEE">
            <w:pPr>
              <w:pStyle w:val="TableHead"/>
            </w:pPr>
            <w:r w:rsidRPr="0013396E">
              <w:t>Unit</w:t>
            </w:r>
          </w:p>
        </w:tc>
        <w:tc>
          <w:tcPr>
            <w:tcW w:w="5700" w:type="dxa"/>
          </w:tcPr>
          <w:p w14:paraId="46DE362A" w14:textId="77777777" w:rsidR="001F04FD" w:rsidRPr="0013396E" w:rsidRDefault="001F04FD" w:rsidP="00AC4DEE">
            <w:pPr>
              <w:pStyle w:val="TableHead"/>
            </w:pPr>
            <w:r w:rsidRPr="0013396E">
              <w:t>Definition</w:t>
            </w:r>
          </w:p>
        </w:tc>
      </w:tr>
      <w:tr w:rsidR="001F04FD" w:rsidRPr="0013396E" w14:paraId="65628531" w14:textId="77777777" w:rsidTr="009F62BA">
        <w:tc>
          <w:tcPr>
            <w:tcW w:w="2466" w:type="dxa"/>
          </w:tcPr>
          <w:p w14:paraId="468E5419" w14:textId="77777777" w:rsidR="001F04FD" w:rsidRPr="0013396E" w:rsidRDefault="001F04FD" w:rsidP="00AC4DEE">
            <w:pPr>
              <w:pStyle w:val="TableBody"/>
            </w:pPr>
            <w:r w:rsidRPr="0013396E">
              <w:t xml:space="preserve">BLTRAMT </w:t>
            </w:r>
            <w:r w:rsidRPr="0013396E">
              <w:rPr>
                <w:i/>
                <w:vertAlign w:val="subscript"/>
              </w:rPr>
              <w:t>q, bltp, p</w:t>
            </w:r>
          </w:p>
        </w:tc>
        <w:tc>
          <w:tcPr>
            <w:tcW w:w="1639" w:type="dxa"/>
          </w:tcPr>
          <w:p w14:paraId="5D3D0FE2" w14:textId="77777777" w:rsidR="001F04FD" w:rsidRPr="0013396E" w:rsidRDefault="001F04FD" w:rsidP="00AC4DEE">
            <w:pPr>
              <w:pStyle w:val="TableBody"/>
            </w:pPr>
            <w:r w:rsidRPr="0013396E">
              <w:t>$</w:t>
            </w:r>
          </w:p>
        </w:tc>
        <w:tc>
          <w:tcPr>
            <w:tcW w:w="5700" w:type="dxa"/>
          </w:tcPr>
          <w:p w14:paraId="0A9731EA" w14:textId="77777777" w:rsidR="001F04FD" w:rsidRPr="0013396E" w:rsidRDefault="001F04FD" w:rsidP="00AC4DEE">
            <w:pPr>
              <w:pStyle w:val="TableBody"/>
            </w:pPr>
            <w:r w:rsidRPr="0013396E">
              <w:rPr>
                <w:i/>
              </w:rPr>
              <w:t>Block Load Transfer Resource Amount per QSE per Settlement Point per BLT Point</w:t>
            </w:r>
            <w:r w:rsidRPr="0013396E">
              <w:sym w:font="Symbol" w:char="F0BE"/>
            </w:r>
            <w:r w:rsidRPr="0013396E">
              <w:t xml:space="preserve">The payment to QSE </w:t>
            </w:r>
            <w:r w:rsidRPr="0013396E">
              <w:rPr>
                <w:i/>
              </w:rPr>
              <w:t>q</w:t>
            </w:r>
            <w:r w:rsidRPr="0013396E">
              <w:t xml:space="preserve"> for the BLT Resource that delivers energy to Load Zone </w:t>
            </w:r>
            <w:r w:rsidRPr="0013396E">
              <w:rPr>
                <w:i/>
              </w:rPr>
              <w:t>p</w:t>
            </w:r>
            <w:r w:rsidRPr="0013396E">
              <w:t xml:space="preserve"> through BLT Point </w:t>
            </w:r>
            <w:r w:rsidRPr="0013396E">
              <w:rPr>
                <w:i/>
              </w:rPr>
              <w:t>bltp</w:t>
            </w:r>
            <w:r w:rsidRPr="0013396E">
              <w:t>, for the 15-minute Settlement Interval.</w:t>
            </w:r>
          </w:p>
        </w:tc>
      </w:tr>
      <w:tr w:rsidR="001F04FD" w:rsidRPr="0013396E" w14:paraId="5CCC006A" w14:textId="77777777" w:rsidTr="009F62BA">
        <w:tc>
          <w:tcPr>
            <w:tcW w:w="2466" w:type="dxa"/>
          </w:tcPr>
          <w:p w14:paraId="0F9CA8EE" w14:textId="77777777" w:rsidR="001F04FD" w:rsidRPr="0013396E" w:rsidRDefault="001F04FD" w:rsidP="00AC4DEE">
            <w:pPr>
              <w:pStyle w:val="TableBody"/>
            </w:pPr>
            <w:r w:rsidRPr="0013396E">
              <w:t xml:space="preserve">RTSPPEW </w:t>
            </w:r>
            <w:r w:rsidRPr="0013396E">
              <w:rPr>
                <w:i/>
                <w:vertAlign w:val="subscript"/>
              </w:rPr>
              <w:t>p</w:t>
            </w:r>
          </w:p>
        </w:tc>
        <w:tc>
          <w:tcPr>
            <w:tcW w:w="1639" w:type="dxa"/>
          </w:tcPr>
          <w:p w14:paraId="08097D2B" w14:textId="77777777" w:rsidR="001F04FD" w:rsidRPr="0013396E" w:rsidRDefault="001F04FD" w:rsidP="00AC4DEE">
            <w:pPr>
              <w:pStyle w:val="TableBody"/>
            </w:pPr>
            <w:r w:rsidRPr="0013396E">
              <w:t>$/MWh</w:t>
            </w:r>
          </w:p>
        </w:tc>
        <w:tc>
          <w:tcPr>
            <w:tcW w:w="5700" w:type="dxa"/>
          </w:tcPr>
          <w:p w14:paraId="6F1391C4" w14:textId="77777777" w:rsidR="001F04FD" w:rsidRPr="0013396E" w:rsidRDefault="001F04FD" w:rsidP="00AC4DEE">
            <w:pPr>
              <w:pStyle w:val="TableBody"/>
            </w:pPr>
            <w:r w:rsidRPr="0013396E">
              <w:rPr>
                <w:i/>
              </w:rPr>
              <w:t>Real-Time Settlement Point Price per Settlement Point Energy-Weighted</w:t>
            </w:r>
            <w:r w:rsidRPr="0013396E">
              <w:sym w:font="Symbol" w:char="F0BE"/>
            </w:r>
            <w:r w:rsidRPr="0013396E">
              <w:t xml:space="preserve">The Real-Time Settlement Point Price at Settlement Point </w:t>
            </w:r>
            <w:r w:rsidRPr="0013396E">
              <w:rPr>
                <w:i/>
              </w:rPr>
              <w:t>p</w:t>
            </w:r>
            <w:r w:rsidRPr="0013396E">
              <w:t>, for the 15-minute Settlement Interval, that is weighted by the state estimated Load of the Load Zone of each SCED interval within the 15-minute Settlement Internal.</w:t>
            </w:r>
          </w:p>
        </w:tc>
      </w:tr>
      <w:tr w:rsidR="001F04FD" w:rsidRPr="0013396E" w14:paraId="5BADFCC4" w14:textId="77777777" w:rsidTr="009F62BA">
        <w:tc>
          <w:tcPr>
            <w:tcW w:w="2466" w:type="dxa"/>
          </w:tcPr>
          <w:p w14:paraId="1938D839" w14:textId="77777777" w:rsidR="001F04FD" w:rsidRPr="0013396E" w:rsidRDefault="001F04FD" w:rsidP="00AC4DEE">
            <w:pPr>
              <w:pStyle w:val="TableBody"/>
            </w:pPr>
            <w:r w:rsidRPr="0013396E">
              <w:t xml:space="preserve">VEEPBLTP </w:t>
            </w:r>
            <w:r w:rsidRPr="0013396E">
              <w:rPr>
                <w:i/>
                <w:vertAlign w:val="subscript"/>
              </w:rPr>
              <w:t>q, bltp</w:t>
            </w:r>
          </w:p>
        </w:tc>
        <w:tc>
          <w:tcPr>
            <w:tcW w:w="1639" w:type="dxa"/>
          </w:tcPr>
          <w:p w14:paraId="34CBC3E5" w14:textId="77777777" w:rsidR="001F04FD" w:rsidRPr="0013396E" w:rsidRDefault="001F04FD" w:rsidP="00AC4DEE">
            <w:pPr>
              <w:pStyle w:val="TableBody"/>
            </w:pPr>
            <w:r w:rsidRPr="0013396E">
              <w:t>$/MWh</w:t>
            </w:r>
          </w:p>
        </w:tc>
        <w:tc>
          <w:tcPr>
            <w:tcW w:w="5700" w:type="dxa"/>
          </w:tcPr>
          <w:p w14:paraId="08270315" w14:textId="298D2F25" w:rsidR="001F04FD" w:rsidRPr="0013396E" w:rsidRDefault="001F04FD" w:rsidP="00C830CE">
            <w:pPr>
              <w:pStyle w:val="TableBody"/>
              <w:rPr>
                <w:i/>
              </w:rPr>
            </w:pPr>
            <w:r w:rsidRPr="0013396E">
              <w:rPr>
                <w:i/>
              </w:rPr>
              <w:t>Verified Emergency Energy Price at BLT Point</w:t>
            </w:r>
            <w:r w:rsidRPr="0013396E">
              <w:sym w:font="Symbol" w:char="F0BE"/>
            </w:r>
            <w:r w:rsidRPr="0013396E">
              <w:t xml:space="preserve">The ERCOT verified cost for the energy delivered to an ERCOT Load through BLT Point </w:t>
            </w:r>
            <w:r w:rsidRPr="0013396E">
              <w:rPr>
                <w:i/>
              </w:rPr>
              <w:t>bltp</w:t>
            </w:r>
            <w:r w:rsidRPr="0013396E">
              <w:t>.</w:t>
            </w:r>
          </w:p>
        </w:tc>
      </w:tr>
      <w:tr w:rsidR="001F04FD" w:rsidRPr="0013396E" w14:paraId="6DFE5F19" w14:textId="77777777" w:rsidTr="009F62BA">
        <w:tc>
          <w:tcPr>
            <w:tcW w:w="2466" w:type="dxa"/>
          </w:tcPr>
          <w:p w14:paraId="3CC6D7A0" w14:textId="77777777" w:rsidR="001F04FD" w:rsidRPr="0013396E" w:rsidRDefault="001F04FD" w:rsidP="00AC4DEE">
            <w:pPr>
              <w:pStyle w:val="TableBody"/>
            </w:pPr>
            <w:r w:rsidRPr="0013396E">
              <w:t>CABLT</w:t>
            </w:r>
          </w:p>
        </w:tc>
        <w:tc>
          <w:tcPr>
            <w:tcW w:w="1639" w:type="dxa"/>
          </w:tcPr>
          <w:p w14:paraId="334AE899" w14:textId="57390E8D" w:rsidR="001F04FD" w:rsidRPr="0013396E" w:rsidRDefault="00154FF3" w:rsidP="001A1946">
            <w:pPr>
              <w:pStyle w:val="TableBody"/>
            </w:pPr>
            <w:r w:rsidRPr="0013396E">
              <w:t>none</w:t>
            </w:r>
          </w:p>
        </w:tc>
        <w:tc>
          <w:tcPr>
            <w:tcW w:w="5700" w:type="dxa"/>
          </w:tcPr>
          <w:p w14:paraId="5BC9F665" w14:textId="77777777" w:rsidR="001F04FD" w:rsidRPr="0013396E" w:rsidRDefault="001F04FD" w:rsidP="00AC4DEE">
            <w:pPr>
              <w:pStyle w:val="TableBody"/>
              <w:rPr>
                <w:i/>
              </w:rPr>
            </w:pPr>
            <w:r w:rsidRPr="0013396E">
              <w:rPr>
                <w:i/>
              </w:rPr>
              <w:t>Cost Adder for Block Load Transfer</w:t>
            </w:r>
            <w:r w:rsidRPr="0013396E">
              <w:sym w:font="Symbol" w:char="F0BE"/>
            </w:r>
            <w:r w:rsidRPr="0013396E">
              <w:t>A multiplier of 1.10.</w:t>
            </w:r>
          </w:p>
        </w:tc>
      </w:tr>
      <w:tr w:rsidR="001F04FD" w:rsidRPr="0013396E" w14:paraId="1B02AB48" w14:textId="77777777" w:rsidTr="009F62BA">
        <w:tc>
          <w:tcPr>
            <w:tcW w:w="2602" w:type="dxa"/>
          </w:tcPr>
          <w:p w14:paraId="52933D30" w14:textId="77777777" w:rsidR="001F04FD" w:rsidRPr="0013396E" w:rsidRDefault="001F04FD" w:rsidP="00AC4DEE">
            <w:pPr>
              <w:pStyle w:val="TableBody"/>
            </w:pPr>
            <w:r w:rsidRPr="0013396E">
              <w:t xml:space="preserve">BLTR </w:t>
            </w:r>
            <w:r w:rsidRPr="0013396E">
              <w:rPr>
                <w:vertAlign w:val="subscript"/>
              </w:rPr>
              <w:t xml:space="preserve"> </w:t>
            </w:r>
            <w:r w:rsidRPr="0013396E">
              <w:rPr>
                <w:i/>
                <w:vertAlign w:val="subscript"/>
              </w:rPr>
              <w:t>q, p, bltp</w:t>
            </w:r>
          </w:p>
        </w:tc>
        <w:tc>
          <w:tcPr>
            <w:tcW w:w="1046" w:type="dxa"/>
          </w:tcPr>
          <w:p w14:paraId="759F450F" w14:textId="77777777" w:rsidR="001F04FD" w:rsidRPr="0013396E" w:rsidRDefault="001F04FD" w:rsidP="00AC4DEE">
            <w:pPr>
              <w:pStyle w:val="TableBody"/>
            </w:pPr>
            <w:r w:rsidRPr="0013396E">
              <w:t>MWh</w:t>
            </w:r>
          </w:p>
        </w:tc>
        <w:tc>
          <w:tcPr>
            <w:tcW w:w="6157" w:type="dxa"/>
          </w:tcPr>
          <w:p w14:paraId="7A293C7E" w14:textId="77777777" w:rsidR="001F04FD" w:rsidRPr="0013396E" w:rsidRDefault="001F04FD" w:rsidP="00AC4DEE">
            <w:pPr>
              <w:pStyle w:val="TableBody"/>
            </w:pPr>
            <w:r w:rsidRPr="0013396E">
              <w:rPr>
                <w:i/>
              </w:rPr>
              <w:t>Block Load Transfer Resource per QSE per Settlement Point per BLT Point</w:t>
            </w:r>
            <w:r w:rsidRPr="0013396E">
              <w:sym w:font="Symbol" w:char="F0BE"/>
            </w:r>
            <w:r w:rsidRPr="0013396E">
              <w:t xml:space="preserve">The energy delivered to an ERCOT Load in Load Zone </w:t>
            </w:r>
            <w:r w:rsidRPr="0013396E">
              <w:rPr>
                <w:i/>
              </w:rPr>
              <w:t>p</w:t>
            </w:r>
            <w:r w:rsidRPr="0013396E">
              <w:t xml:space="preserve"> through BLT Point </w:t>
            </w:r>
            <w:r w:rsidRPr="0013396E">
              <w:rPr>
                <w:i/>
              </w:rPr>
              <w:t>bltp</w:t>
            </w:r>
            <w:r w:rsidRPr="0013396E">
              <w:t xml:space="preserve"> represented by QSE </w:t>
            </w:r>
            <w:r w:rsidRPr="0013396E">
              <w:rPr>
                <w:i/>
              </w:rPr>
              <w:t>q</w:t>
            </w:r>
            <w:r w:rsidRPr="0013396E">
              <w:t xml:space="preserve">, for the 15-minute Settlement Interval.  </w:t>
            </w:r>
          </w:p>
        </w:tc>
      </w:tr>
      <w:tr w:rsidR="001F04FD" w:rsidRPr="0013396E" w14:paraId="0271F4B9" w14:textId="77777777" w:rsidTr="009F62BA">
        <w:tc>
          <w:tcPr>
            <w:tcW w:w="2602" w:type="dxa"/>
          </w:tcPr>
          <w:p w14:paraId="5071A639" w14:textId="77777777" w:rsidR="001F04FD" w:rsidRPr="0013396E" w:rsidRDefault="001F04FD" w:rsidP="00AC4DEE">
            <w:pPr>
              <w:pStyle w:val="TableBody"/>
              <w:rPr>
                <w:i/>
              </w:rPr>
            </w:pPr>
            <w:r w:rsidRPr="0013396E">
              <w:rPr>
                <w:i/>
              </w:rPr>
              <w:t>q</w:t>
            </w:r>
          </w:p>
        </w:tc>
        <w:tc>
          <w:tcPr>
            <w:tcW w:w="1046" w:type="dxa"/>
          </w:tcPr>
          <w:p w14:paraId="3302B3F9" w14:textId="77777777" w:rsidR="001F04FD" w:rsidRPr="0013396E" w:rsidRDefault="001F04FD" w:rsidP="00AC4DEE">
            <w:pPr>
              <w:pStyle w:val="TableBody"/>
            </w:pPr>
            <w:r w:rsidRPr="0013396E">
              <w:t>none</w:t>
            </w:r>
          </w:p>
        </w:tc>
        <w:tc>
          <w:tcPr>
            <w:tcW w:w="6157" w:type="dxa"/>
          </w:tcPr>
          <w:p w14:paraId="09BF1414" w14:textId="77777777" w:rsidR="001F04FD" w:rsidRPr="0013396E" w:rsidRDefault="001F04FD" w:rsidP="00AC4DEE">
            <w:pPr>
              <w:pStyle w:val="TableBody"/>
              <w:rPr>
                <w:i/>
              </w:rPr>
            </w:pPr>
            <w:r w:rsidRPr="0013396E">
              <w:t>A QSE.</w:t>
            </w:r>
          </w:p>
        </w:tc>
      </w:tr>
      <w:tr w:rsidR="001F04FD" w:rsidRPr="0013396E" w14:paraId="50E0F326" w14:textId="77777777" w:rsidTr="009F62BA">
        <w:tc>
          <w:tcPr>
            <w:tcW w:w="2602" w:type="dxa"/>
          </w:tcPr>
          <w:p w14:paraId="68C60C2F" w14:textId="77777777" w:rsidR="001F04FD" w:rsidRPr="0013396E" w:rsidRDefault="001F04FD" w:rsidP="00AC4DEE">
            <w:pPr>
              <w:pStyle w:val="TableBody"/>
              <w:rPr>
                <w:i/>
              </w:rPr>
            </w:pPr>
            <w:r w:rsidRPr="0013396E">
              <w:rPr>
                <w:i/>
              </w:rPr>
              <w:t>p</w:t>
            </w:r>
          </w:p>
        </w:tc>
        <w:tc>
          <w:tcPr>
            <w:tcW w:w="1046" w:type="dxa"/>
          </w:tcPr>
          <w:p w14:paraId="10CE6303" w14:textId="77777777" w:rsidR="001F04FD" w:rsidRPr="0013396E" w:rsidRDefault="001F04FD" w:rsidP="00AC4DEE">
            <w:pPr>
              <w:pStyle w:val="TableBody"/>
            </w:pPr>
            <w:r w:rsidRPr="0013396E">
              <w:t>none</w:t>
            </w:r>
          </w:p>
        </w:tc>
        <w:tc>
          <w:tcPr>
            <w:tcW w:w="6157" w:type="dxa"/>
          </w:tcPr>
          <w:p w14:paraId="58B91ED7" w14:textId="77777777" w:rsidR="001F04FD" w:rsidRPr="0013396E" w:rsidRDefault="001F04FD" w:rsidP="00AC4DEE">
            <w:pPr>
              <w:pStyle w:val="TableBody"/>
              <w:rPr>
                <w:i/>
              </w:rPr>
            </w:pPr>
            <w:r w:rsidRPr="0013396E">
              <w:t>A Load Zone Settlement Point.</w:t>
            </w:r>
          </w:p>
        </w:tc>
      </w:tr>
      <w:tr w:rsidR="001F04FD" w:rsidRPr="0013396E" w14:paraId="2ACB41A7" w14:textId="77777777" w:rsidTr="009F62BA">
        <w:tc>
          <w:tcPr>
            <w:tcW w:w="2602" w:type="dxa"/>
          </w:tcPr>
          <w:p w14:paraId="60DCD8DC" w14:textId="77777777" w:rsidR="001F04FD" w:rsidRPr="0013396E" w:rsidRDefault="001F04FD" w:rsidP="00AC4DEE">
            <w:pPr>
              <w:pStyle w:val="TableBody"/>
              <w:rPr>
                <w:i/>
              </w:rPr>
            </w:pPr>
            <w:r w:rsidRPr="0013396E">
              <w:rPr>
                <w:i/>
              </w:rPr>
              <w:t>bltp</w:t>
            </w:r>
          </w:p>
        </w:tc>
        <w:tc>
          <w:tcPr>
            <w:tcW w:w="1046" w:type="dxa"/>
          </w:tcPr>
          <w:p w14:paraId="13786AE2" w14:textId="77777777" w:rsidR="001F04FD" w:rsidRPr="0013396E" w:rsidRDefault="001F04FD" w:rsidP="00AC4DEE">
            <w:pPr>
              <w:pStyle w:val="TableBody"/>
            </w:pPr>
            <w:r w:rsidRPr="0013396E">
              <w:t>none</w:t>
            </w:r>
          </w:p>
        </w:tc>
        <w:tc>
          <w:tcPr>
            <w:tcW w:w="6157" w:type="dxa"/>
          </w:tcPr>
          <w:p w14:paraId="0DA9165A" w14:textId="77777777" w:rsidR="001F04FD" w:rsidRPr="0013396E" w:rsidRDefault="001F04FD" w:rsidP="00AC4DEE">
            <w:pPr>
              <w:pStyle w:val="TableBody"/>
            </w:pPr>
            <w:r w:rsidRPr="0013396E">
              <w:t>A BLT Point.</w:t>
            </w:r>
          </w:p>
        </w:tc>
      </w:tr>
    </w:tbl>
    <w:p w14:paraId="52A27E08" w14:textId="77777777" w:rsidR="001F04FD" w:rsidRPr="0013396E" w:rsidRDefault="001F04FD" w:rsidP="001F04FD">
      <w:pPr>
        <w:pStyle w:val="BodyTextNumbered"/>
        <w:spacing w:before="240"/>
      </w:pPr>
      <w:bookmarkStart w:id="1643" w:name="_Toc87951789"/>
      <w:bookmarkStart w:id="1644" w:name="_Toc109009394"/>
      <w:bookmarkEnd w:id="1626"/>
      <w:bookmarkEnd w:id="1627"/>
      <w:r w:rsidRPr="0013396E">
        <w:t>(2)</w:t>
      </w:r>
      <w:r w:rsidRPr="0013396E">
        <w:tab/>
        <w:t>The total of the payments to each QSE for all energy delivered to ERCOT Loads through BLT Points for the 15-minute Settlement Interval is calculated as follows:</w:t>
      </w:r>
    </w:p>
    <w:p w14:paraId="3EC9D4FE" w14:textId="77777777" w:rsidR="001F04FD" w:rsidRPr="0013396E" w:rsidRDefault="001F04FD" w:rsidP="001F04FD">
      <w:pPr>
        <w:pStyle w:val="FormulaBold"/>
      </w:pPr>
      <w:r w:rsidRPr="0013396E">
        <w:t xml:space="preserve">BLTRAMTQSETOT </w:t>
      </w:r>
      <w:r w:rsidRPr="0013396E">
        <w:rPr>
          <w:i/>
          <w:vertAlign w:val="subscript"/>
        </w:rPr>
        <w:t>q</w:t>
      </w:r>
      <w:r w:rsidRPr="0013396E">
        <w:tab/>
        <w:t>=</w:t>
      </w:r>
      <w:r w:rsidRPr="0013396E">
        <w:tab/>
      </w:r>
      <w:r w:rsidRPr="0013396E">
        <w:rPr>
          <w:position w:val="-22"/>
        </w:rPr>
        <w:object w:dxaOrig="225" w:dyaOrig="465" w14:anchorId="7236CCD8">
          <v:shape id="_x0000_i1128" type="#_x0000_t75" style="width:12pt;height:18.6pt" o:ole="">
            <v:imagedata r:id="rId142" o:title=""/>
          </v:shape>
          <o:OLEObject Type="Embed" ProgID="Equation.3" ShapeID="_x0000_i1128" DrawAspect="Content" ObjectID="_1849065759" r:id="rId147"/>
        </w:object>
      </w:r>
      <w:r w:rsidRPr="0013396E">
        <w:rPr>
          <w:position w:val="-22"/>
        </w:rPr>
        <w:object w:dxaOrig="300" w:dyaOrig="465" w14:anchorId="3B5D73C7">
          <v:shape id="_x0000_i1129" type="#_x0000_t75" style="width:12pt;height:18.6pt" o:ole="">
            <v:imagedata r:id="rId148" o:title=""/>
          </v:shape>
          <o:OLEObject Type="Embed" ProgID="Equation.3" ShapeID="_x0000_i1129" DrawAspect="Content" ObjectID="_1849065760" r:id="rId149"/>
        </w:object>
      </w:r>
      <w:r w:rsidRPr="0013396E">
        <w:t xml:space="preserve">BLTRAMT </w:t>
      </w:r>
      <w:r w:rsidRPr="0013396E">
        <w:rPr>
          <w:i/>
          <w:vertAlign w:val="subscript"/>
        </w:rPr>
        <w:t>q, bltp, p</w:t>
      </w:r>
    </w:p>
    <w:p w14:paraId="5FFCF72D" w14:textId="77777777" w:rsidR="001F04FD" w:rsidRPr="0013396E" w:rsidRDefault="001F04FD" w:rsidP="001F04FD">
      <w:r w:rsidRPr="0013396E">
        <w:t>The above variables are defined as follows:</w:t>
      </w: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810"/>
        <w:gridCol w:w="6300"/>
      </w:tblGrid>
      <w:tr w:rsidR="001F04FD" w:rsidRPr="0013396E" w14:paraId="6DC62B05" w14:textId="77777777" w:rsidTr="002401F7">
        <w:tc>
          <w:tcPr>
            <w:tcW w:w="1374" w:type="pct"/>
          </w:tcPr>
          <w:p w14:paraId="06A37090" w14:textId="77777777" w:rsidR="001F04FD" w:rsidRPr="0013396E" w:rsidRDefault="001F04FD" w:rsidP="00AC4DEE">
            <w:pPr>
              <w:pStyle w:val="TableHead"/>
            </w:pPr>
            <w:r w:rsidRPr="0013396E">
              <w:t>Variable</w:t>
            </w:r>
          </w:p>
        </w:tc>
        <w:tc>
          <w:tcPr>
            <w:tcW w:w="413" w:type="pct"/>
          </w:tcPr>
          <w:p w14:paraId="4721F76A" w14:textId="77777777" w:rsidR="001F04FD" w:rsidRPr="0013396E" w:rsidRDefault="001F04FD" w:rsidP="00AC4DEE">
            <w:pPr>
              <w:pStyle w:val="TableHead"/>
            </w:pPr>
            <w:r w:rsidRPr="0013396E">
              <w:t>Unit</w:t>
            </w:r>
          </w:p>
        </w:tc>
        <w:tc>
          <w:tcPr>
            <w:tcW w:w="3213" w:type="pct"/>
          </w:tcPr>
          <w:p w14:paraId="7D1D72B3" w14:textId="77777777" w:rsidR="001F04FD" w:rsidRPr="0013396E" w:rsidRDefault="001F04FD" w:rsidP="00AC4DEE">
            <w:pPr>
              <w:pStyle w:val="TableHead"/>
            </w:pPr>
            <w:r w:rsidRPr="0013396E">
              <w:t>Definition</w:t>
            </w:r>
          </w:p>
        </w:tc>
      </w:tr>
      <w:tr w:rsidR="001F04FD" w:rsidRPr="0013396E" w14:paraId="72490416" w14:textId="77777777" w:rsidTr="002401F7">
        <w:tc>
          <w:tcPr>
            <w:tcW w:w="1374" w:type="pct"/>
          </w:tcPr>
          <w:p w14:paraId="666D5188" w14:textId="77777777" w:rsidR="001F04FD" w:rsidRPr="0013396E" w:rsidRDefault="001F04FD" w:rsidP="00AC4DEE">
            <w:pPr>
              <w:pStyle w:val="TableBody"/>
            </w:pPr>
            <w:r w:rsidRPr="0013396E">
              <w:t xml:space="preserve">BLTRAMTQSETOT </w:t>
            </w:r>
            <w:r w:rsidRPr="0013396E">
              <w:rPr>
                <w:i/>
                <w:vertAlign w:val="subscript"/>
              </w:rPr>
              <w:t>q</w:t>
            </w:r>
          </w:p>
        </w:tc>
        <w:tc>
          <w:tcPr>
            <w:tcW w:w="413" w:type="pct"/>
          </w:tcPr>
          <w:p w14:paraId="0ADDABD8" w14:textId="77777777" w:rsidR="001F04FD" w:rsidRPr="0013396E" w:rsidRDefault="001F04FD" w:rsidP="00AC4DEE">
            <w:pPr>
              <w:pStyle w:val="TableBody"/>
            </w:pPr>
            <w:r w:rsidRPr="0013396E">
              <w:t>$</w:t>
            </w:r>
          </w:p>
        </w:tc>
        <w:tc>
          <w:tcPr>
            <w:tcW w:w="3213" w:type="pct"/>
          </w:tcPr>
          <w:p w14:paraId="75164459" w14:textId="77777777" w:rsidR="001F04FD" w:rsidRPr="0013396E" w:rsidRDefault="001F04FD" w:rsidP="00AC4DEE">
            <w:pPr>
              <w:pStyle w:val="TableBody"/>
            </w:pPr>
            <w:r w:rsidRPr="0013396E">
              <w:rPr>
                <w:i/>
              </w:rPr>
              <w:t>Block Load Transfer Resource Amount QSE Total per QSE</w:t>
            </w:r>
            <w:r w:rsidRPr="0013396E">
              <w:sym w:font="Symbol" w:char="F0BE"/>
            </w:r>
            <w:r w:rsidRPr="0013396E">
              <w:t xml:space="preserve">The total of the payments to QSE </w:t>
            </w:r>
            <w:r w:rsidRPr="0013396E">
              <w:rPr>
                <w:i/>
              </w:rPr>
              <w:t>q</w:t>
            </w:r>
            <w:r w:rsidRPr="0013396E">
              <w:t xml:space="preserve"> for energy delivered into the ERCOT System through BLT Points for the 15-minute Settlement Interval.</w:t>
            </w:r>
          </w:p>
        </w:tc>
      </w:tr>
      <w:tr w:rsidR="001F04FD" w:rsidRPr="0013396E" w14:paraId="766047D9" w14:textId="77777777" w:rsidTr="002401F7">
        <w:tc>
          <w:tcPr>
            <w:tcW w:w="1374" w:type="pct"/>
          </w:tcPr>
          <w:p w14:paraId="762EC6A3" w14:textId="77777777" w:rsidR="001F04FD" w:rsidRPr="0013396E" w:rsidRDefault="001F04FD" w:rsidP="00AC4DEE">
            <w:pPr>
              <w:pStyle w:val="TableBody"/>
            </w:pPr>
            <w:r w:rsidRPr="0013396E">
              <w:t xml:space="preserve">BLTRAMT </w:t>
            </w:r>
            <w:r w:rsidRPr="0013396E">
              <w:rPr>
                <w:i/>
                <w:vertAlign w:val="subscript"/>
              </w:rPr>
              <w:t>q, bltp , p</w:t>
            </w:r>
          </w:p>
        </w:tc>
        <w:tc>
          <w:tcPr>
            <w:tcW w:w="413" w:type="pct"/>
          </w:tcPr>
          <w:p w14:paraId="7B8744C9" w14:textId="77777777" w:rsidR="001F04FD" w:rsidRPr="0013396E" w:rsidRDefault="001F04FD" w:rsidP="00AC4DEE">
            <w:pPr>
              <w:pStyle w:val="TableBody"/>
            </w:pPr>
            <w:r w:rsidRPr="0013396E">
              <w:t>$</w:t>
            </w:r>
          </w:p>
        </w:tc>
        <w:tc>
          <w:tcPr>
            <w:tcW w:w="3213" w:type="pct"/>
          </w:tcPr>
          <w:p w14:paraId="0F66D0AD" w14:textId="77777777" w:rsidR="001F04FD" w:rsidRPr="0013396E" w:rsidRDefault="001F04FD" w:rsidP="00AC4DEE">
            <w:pPr>
              <w:pStyle w:val="TableBody"/>
            </w:pPr>
            <w:r w:rsidRPr="0013396E">
              <w:rPr>
                <w:i/>
              </w:rPr>
              <w:t>Block Load Transfer Resource Amount per QSE per Settlement Point per BLT Point</w:t>
            </w:r>
            <w:r w:rsidRPr="0013396E">
              <w:t xml:space="preserve">—The payment to QSE </w:t>
            </w:r>
            <w:r w:rsidRPr="0013396E">
              <w:rPr>
                <w:i/>
              </w:rPr>
              <w:t>q</w:t>
            </w:r>
            <w:r w:rsidRPr="0013396E">
              <w:t xml:space="preserve"> for the BLT Resource at BLT Point </w:t>
            </w:r>
            <w:r w:rsidRPr="0013396E">
              <w:rPr>
                <w:i/>
              </w:rPr>
              <w:t>bltp</w:t>
            </w:r>
            <w:r w:rsidRPr="0013396E">
              <w:t xml:space="preserve">, which delivers energy to Load Zone </w:t>
            </w:r>
            <w:r w:rsidRPr="0013396E">
              <w:rPr>
                <w:i/>
              </w:rPr>
              <w:t>p</w:t>
            </w:r>
            <w:r w:rsidRPr="0013396E">
              <w:t>, for the 15-minute Settlement Interval.</w:t>
            </w:r>
          </w:p>
        </w:tc>
      </w:tr>
      <w:tr w:rsidR="001F04FD" w:rsidRPr="0013396E" w14:paraId="15755154" w14:textId="77777777" w:rsidTr="002401F7">
        <w:tc>
          <w:tcPr>
            <w:tcW w:w="1374" w:type="pct"/>
            <w:tcBorders>
              <w:top w:val="single" w:sz="4" w:space="0" w:color="auto"/>
              <w:left w:val="single" w:sz="4" w:space="0" w:color="auto"/>
              <w:bottom w:val="single" w:sz="4" w:space="0" w:color="auto"/>
              <w:right w:val="single" w:sz="4" w:space="0" w:color="auto"/>
            </w:tcBorders>
          </w:tcPr>
          <w:p w14:paraId="66B14937" w14:textId="77777777" w:rsidR="001F04FD" w:rsidRPr="0013396E" w:rsidRDefault="001F04FD" w:rsidP="00AC4DEE">
            <w:pPr>
              <w:pStyle w:val="TableBody"/>
              <w:rPr>
                <w:i/>
              </w:rPr>
            </w:pPr>
            <w:r w:rsidRPr="0013396E">
              <w:rPr>
                <w:i/>
              </w:rPr>
              <w:t>q</w:t>
            </w:r>
          </w:p>
        </w:tc>
        <w:tc>
          <w:tcPr>
            <w:tcW w:w="413" w:type="pct"/>
            <w:tcBorders>
              <w:top w:val="single" w:sz="4" w:space="0" w:color="auto"/>
              <w:left w:val="single" w:sz="4" w:space="0" w:color="auto"/>
              <w:bottom w:val="single" w:sz="4" w:space="0" w:color="auto"/>
              <w:right w:val="single" w:sz="4" w:space="0" w:color="auto"/>
            </w:tcBorders>
          </w:tcPr>
          <w:p w14:paraId="3A52A6B6" w14:textId="77777777" w:rsidR="001F04FD" w:rsidRPr="0013396E" w:rsidRDefault="001F04FD" w:rsidP="00AC4DEE">
            <w:pPr>
              <w:pStyle w:val="TableBody"/>
            </w:pPr>
            <w:r w:rsidRPr="0013396E">
              <w:t>none</w:t>
            </w:r>
          </w:p>
        </w:tc>
        <w:tc>
          <w:tcPr>
            <w:tcW w:w="3213" w:type="pct"/>
            <w:tcBorders>
              <w:top w:val="single" w:sz="4" w:space="0" w:color="auto"/>
              <w:left w:val="single" w:sz="4" w:space="0" w:color="auto"/>
              <w:bottom w:val="single" w:sz="4" w:space="0" w:color="auto"/>
              <w:right w:val="single" w:sz="4" w:space="0" w:color="auto"/>
            </w:tcBorders>
          </w:tcPr>
          <w:p w14:paraId="0FD264E5" w14:textId="77777777" w:rsidR="001F04FD" w:rsidRPr="0013396E" w:rsidRDefault="001F04FD" w:rsidP="00AC4DEE">
            <w:pPr>
              <w:pStyle w:val="TableBody"/>
            </w:pPr>
            <w:r w:rsidRPr="0013396E">
              <w:t>A QSE.</w:t>
            </w:r>
          </w:p>
        </w:tc>
      </w:tr>
      <w:tr w:rsidR="001F04FD" w:rsidRPr="0013396E" w14:paraId="451C0D24" w14:textId="77777777" w:rsidTr="002401F7">
        <w:tc>
          <w:tcPr>
            <w:tcW w:w="1374" w:type="pct"/>
            <w:tcBorders>
              <w:top w:val="single" w:sz="4" w:space="0" w:color="auto"/>
              <w:left w:val="single" w:sz="4" w:space="0" w:color="auto"/>
              <w:bottom w:val="single" w:sz="4" w:space="0" w:color="auto"/>
              <w:right w:val="single" w:sz="4" w:space="0" w:color="auto"/>
            </w:tcBorders>
          </w:tcPr>
          <w:p w14:paraId="50BDB677" w14:textId="77777777" w:rsidR="001F04FD" w:rsidRPr="0013396E" w:rsidRDefault="001F04FD" w:rsidP="00AC4DEE">
            <w:pPr>
              <w:pStyle w:val="TableBody"/>
              <w:rPr>
                <w:i/>
              </w:rPr>
            </w:pPr>
            <w:r w:rsidRPr="0013396E">
              <w:rPr>
                <w:i/>
              </w:rPr>
              <w:lastRenderedPageBreak/>
              <w:t>p</w:t>
            </w:r>
          </w:p>
        </w:tc>
        <w:tc>
          <w:tcPr>
            <w:tcW w:w="413" w:type="pct"/>
            <w:tcBorders>
              <w:top w:val="single" w:sz="4" w:space="0" w:color="auto"/>
              <w:left w:val="single" w:sz="4" w:space="0" w:color="auto"/>
              <w:bottom w:val="single" w:sz="4" w:space="0" w:color="auto"/>
              <w:right w:val="single" w:sz="4" w:space="0" w:color="auto"/>
            </w:tcBorders>
          </w:tcPr>
          <w:p w14:paraId="190DE0DA" w14:textId="77777777" w:rsidR="001F04FD" w:rsidRPr="0013396E" w:rsidRDefault="001F04FD" w:rsidP="00AC4DEE">
            <w:pPr>
              <w:pStyle w:val="TableBody"/>
            </w:pPr>
            <w:r w:rsidRPr="0013396E">
              <w:t>none</w:t>
            </w:r>
          </w:p>
        </w:tc>
        <w:tc>
          <w:tcPr>
            <w:tcW w:w="3213" w:type="pct"/>
            <w:tcBorders>
              <w:top w:val="single" w:sz="4" w:space="0" w:color="auto"/>
              <w:left w:val="single" w:sz="4" w:space="0" w:color="auto"/>
              <w:bottom w:val="single" w:sz="4" w:space="0" w:color="auto"/>
              <w:right w:val="single" w:sz="4" w:space="0" w:color="auto"/>
            </w:tcBorders>
          </w:tcPr>
          <w:p w14:paraId="4477DB12" w14:textId="77777777" w:rsidR="001F04FD" w:rsidRPr="0013396E" w:rsidRDefault="001F04FD" w:rsidP="00AC4DEE">
            <w:pPr>
              <w:pStyle w:val="TableBody"/>
            </w:pPr>
            <w:r w:rsidRPr="0013396E">
              <w:t>A Load Zone Settlement Point.</w:t>
            </w:r>
          </w:p>
        </w:tc>
      </w:tr>
      <w:tr w:rsidR="001F04FD" w:rsidRPr="0013396E" w14:paraId="248AD7C8" w14:textId="77777777" w:rsidTr="002401F7">
        <w:tc>
          <w:tcPr>
            <w:tcW w:w="1374" w:type="pct"/>
            <w:tcBorders>
              <w:top w:val="single" w:sz="4" w:space="0" w:color="auto"/>
              <w:left w:val="single" w:sz="4" w:space="0" w:color="auto"/>
              <w:bottom w:val="single" w:sz="4" w:space="0" w:color="auto"/>
              <w:right w:val="single" w:sz="4" w:space="0" w:color="auto"/>
            </w:tcBorders>
          </w:tcPr>
          <w:p w14:paraId="6031027B" w14:textId="77777777" w:rsidR="001F04FD" w:rsidRPr="0013396E" w:rsidRDefault="001F04FD" w:rsidP="00AC4DEE">
            <w:pPr>
              <w:pStyle w:val="TableBody"/>
              <w:rPr>
                <w:i/>
              </w:rPr>
            </w:pPr>
            <w:r w:rsidRPr="0013396E">
              <w:rPr>
                <w:i/>
              </w:rPr>
              <w:t>bltp</w:t>
            </w:r>
          </w:p>
        </w:tc>
        <w:tc>
          <w:tcPr>
            <w:tcW w:w="413" w:type="pct"/>
            <w:tcBorders>
              <w:top w:val="single" w:sz="4" w:space="0" w:color="auto"/>
              <w:left w:val="single" w:sz="4" w:space="0" w:color="auto"/>
              <w:bottom w:val="single" w:sz="4" w:space="0" w:color="auto"/>
              <w:right w:val="single" w:sz="4" w:space="0" w:color="auto"/>
            </w:tcBorders>
          </w:tcPr>
          <w:p w14:paraId="533911CF" w14:textId="77777777" w:rsidR="001F04FD" w:rsidRPr="0013396E" w:rsidRDefault="001F04FD" w:rsidP="00AC4DEE">
            <w:pPr>
              <w:pStyle w:val="TableBody"/>
            </w:pPr>
            <w:r w:rsidRPr="0013396E">
              <w:t>none</w:t>
            </w:r>
          </w:p>
        </w:tc>
        <w:tc>
          <w:tcPr>
            <w:tcW w:w="3213" w:type="pct"/>
            <w:tcBorders>
              <w:top w:val="single" w:sz="4" w:space="0" w:color="auto"/>
              <w:left w:val="single" w:sz="4" w:space="0" w:color="auto"/>
              <w:bottom w:val="single" w:sz="4" w:space="0" w:color="auto"/>
              <w:right w:val="single" w:sz="4" w:space="0" w:color="auto"/>
            </w:tcBorders>
          </w:tcPr>
          <w:p w14:paraId="4F6D05F8" w14:textId="77777777" w:rsidR="001F04FD" w:rsidRPr="0013396E" w:rsidRDefault="001F04FD" w:rsidP="00AC4DEE">
            <w:pPr>
              <w:pStyle w:val="TableBody"/>
            </w:pPr>
            <w:r w:rsidRPr="0013396E">
              <w:t>A BLT Point.</w:t>
            </w:r>
          </w:p>
        </w:tc>
      </w:tr>
    </w:tbl>
    <w:p w14:paraId="7D84E194" w14:textId="28566374" w:rsidR="001F04FD" w:rsidRPr="0013396E" w:rsidRDefault="001F04FD" w:rsidP="00910734">
      <w:pPr>
        <w:pStyle w:val="BodyTextNumbered"/>
        <w:spacing w:before="240"/>
        <w:rPr>
          <w:b/>
        </w:rPr>
      </w:pPr>
      <w:bookmarkStart w:id="1645" w:name="_Toc341692791"/>
      <w:bookmarkStart w:id="1646" w:name="_Toc343592296"/>
      <w:bookmarkStart w:id="1647" w:name="_Toc348355903"/>
      <w:bookmarkStart w:id="1648" w:name="_Toc349820434"/>
      <w:bookmarkStart w:id="1649" w:name="_Toc109009398"/>
      <w:bookmarkStart w:id="1650" w:name="_Toc87951793"/>
      <w:bookmarkEnd w:id="1643"/>
      <w:bookmarkEnd w:id="1644"/>
      <w:r w:rsidRPr="0013396E">
        <w:t>(3)</w:t>
      </w:r>
      <w:r w:rsidRPr="0013396E">
        <w:tab/>
        <w:t>For the purpose of Settlement, ERCOT shall treat the energy associated with the Presidio Exception like energy delivered to an ERCOT Load through a BLT Point that is moved from the ERCOT Control Area to a non-ERCOT Control Area, by allowing for compensation of verified costs associated with the energy.  After receipt and verification of the invoiced cost associated with the Presidio Exception, ERCOT shall compensate for the energy associated with the Presidio Exception using the monthly verified cost multiplied by the Cost Adder for Block Load Transfer defined in paragraph (1) above.  ERCOT shall uplift the cost to QSEs representing Load using the monthly LRS per QSE as defined in Section 7.5.7, Method for Distributing CRR Auction Revenues.  Costs associated with the Presidio Exception must be submitted to ERCOT within 90 days of the last day of the month that the costs were incurred.</w:t>
      </w:r>
      <w:bookmarkEnd w:id="1645"/>
      <w:bookmarkEnd w:id="1646"/>
      <w:bookmarkEnd w:id="1647"/>
      <w:bookmarkEnd w:id="1648"/>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154FF3" w:rsidRPr="0013396E" w14:paraId="76375C3B" w14:textId="77777777" w:rsidTr="00663874">
        <w:trPr>
          <w:trHeight w:val="206"/>
        </w:trPr>
        <w:tc>
          <w:tcPr>
            <w:tcW w:w="9576" w:type="dxa"/>
            <w:shd w:val="pct12" w:color="auto" w:fill="auto"/>
          </w:tcPr>
          <w:p w14:paraId="1726CC8B" w14:textId="02479159" w:rsidR="00154FF3" w:rsidRPr="0013396E" w:rsidRDefault="00154FF3" w:rsidP="00663874">
            <w:pPr>
              <w:pStyle w:val="Instructions"/>
              <w:spacing w:before="120"/>
            </w:pPr>
            <w:r w:rsidRPr="0013396E">
              <w:t>[NPRR1030:  Replace paragraph (3) above with the following upon system implementation:]</w:t>
            </w:r>
          </w:p>
          <w:p w14:paraId="4681A22C" w14:textId="22092D38" w:rsidR="00154FF3" w:rsidRPr="0013396E" w:rsidRDefault="00154FF3" w:rsidP="00910734">
            <w:pPr>
              <w:pStyle w:val="BodyTextNumbered"/>
              <w:spacing w:before="240"/>
              <w:rPr>
                <w:b/>
              </w:rPr>
            </w:pPr>
            <w:bookmarkStart w:id="1651" w:name="_Toc65151737"/>
            <w:r w:rsidRPr="0013396E">
              <w:t>(3)</w:t>
            </w:r>
            <w:r w:rsidRPr="0013396E">
              <w:tab/>
              <w:t>For the purpose of Settlement, ERCOT shall treat the energy associated with the Presidio Exception like energy delivered to an ERCOT Load through a BLT Point that is moved from the ERCOT Control Area to a non-ERCOT Control Area, by allowing for compensation of verified costs associated with the energy.  After receipt and verification of the invoiced cost associated with the Presidio Exception, ERCOT shall compensate for the energy associated with the Presidio Exception using the monthly verified cost multiplied by the Cost Adder for Block Load Transfer defined in paragraph (1) above.  ERCOT shall uplift the cost to QSEs representing Load using the same methodology as defined in Section 7.5.7, Method for Distributing CRR Auction Revenues.  Costs associated with the Presidio Exception must be submitted to ERCOT within 90 days of the last day of the month that the costs were incurred.</w:t>
            </w:r>
            <w:bookmarkEnd w:id="1651"/>
          </w:p>
        </w:tc>
      </w:tr>
    </w:tbl>
    <w:p w14:paraId="6DCEE75E" w14:textId="01E372AD" w:rsidR="001F04FD" w:rsidRPr="0013396E" w:rsidRDefault="001F04FD" w:rsidP="003A5AC3">
      <w:pPr>
        <w:pStyle w:val="List"/>
        <w:spacing w:before="240"/>
      </w:pPr>
      <w:r w:rsidRPr="0013396E">
        <w:t>(a)</w:t>
      </w:r>
      <w:r w:rsidRPr="0013396E">
        <w:tab/>
        <w:t>The monthly payment to be calculated as follows:</w:t>
      </w:r>
    </w:p>
    <w:p w14:paraId="358F040D" w14:textId="77777777" w:rsidR="001F04FD" w:rsidRPr="0013396E" w:rsidRDefault="001F04FD" w:rsidP="001F04FD">
      <w:pPr>
        <w:pStyle w:val="List"/>
        <w:rPr>
          <w:b/>
          <w:bCs/>
        </w:rPr>
      </w:pPr>
      <w:r w:rsidRPr="0013396E">
        <w:rPr>
          <w:b/>
          <w:bCs/>
        </w:rPr>
        <w:tab/>
        <w:t xml:space="preserve">MBLTAMT </w:t>
      </w:r>
      <w:r w:rsidRPr="0013396E">
        <w:rPr>
          <w:b/>
          <w:bCs/>
          <w:i/>
          <w:vertAlign w:val="subscript"/>
        </w:rPr>
        <w:t>q, p</w:t>
      </w:r>
      <w:r w:rsidRPr="0013396E">
        <w:rPr>
          <w:b/>
          <w:bCs/>
        </w:rPr>
        <w:t xml:space="preserve"> = </w:t>
      </w:r>
      <w:r w:rsidRPr="0013396E">
        <w:rPr>
          <w:b/>
          <w:bCs/>
        </w:rPr>
        <w:tab/>
        <w:t xml:space="preserve">(-1) * VMEBLTP </w:t>
      </w:r>
      <w:r w:rsidRPr="0013396E">
        <w:rPr>
          <w:b/>
          <w:i/>
          <w:iCs/>
          <w:sz w:val="20"/>
          <w:vertAlign w:val="subscript"/>
        </w:rPr>
        <w:t>q, p</w:t>
      </w:r>
      <w:r w:rsidRPr="0013396E">
        <w:rPr>
          <w:b/>
          <w:bCs/>
          <w:i/>
          <w:vertAlign w:val="subscript"/>
        </w:rPr>
        <w:t xml:space="preserve"> </w:t>
      </w:r>
      <w:r w:rsidRPr="0013396E">
        <w:rPr>
          <w:b/>
          <w:bCs/>
        </w:rPr>
        <w:t xml:space="preserve"> </w:t>
      </w:r>
      <w:r w:rsidRPr="0013396E">
        <w:rPr>
          <w:b/>
          <w:bCs/>
          <w:i/>
        </w:rPr>
        <w:t>*</w:t>
      </w:r>
      <w:r w:rsidRPr="0013396E">
        <w:rPr>
          <w:b/>
          <w:bCs/>
        </w:rPr>
        <w:t xml:space="preserve"> CABLT</w:t>
      </w:r>
    </w:p>
    <w:p w14:paraId="4A9B26C9" w14:textId="77777777" w:rsidR="001F04FD" w:rsidRPr="0013396E" w:rsidRDefault="001F04FD" w:rsidP="001F04FD">
      <w:r w:rsidRPr="0013396E">
        <w:t>The above variables are defined as follows: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581"/>
        <w:gridCol w:w="1146"/>
        <w:gridCol w:w="6078"/>
      </w:tblGrid>
      <w:tr w:rsidR="001F04FD" w:rsidRPr="0013396E" w14:paraId="71EC8D53" w14:textId="77777777" w:rsidTr="009B7C62">
        <w:tc>
          <w:tcPr>
            <w:tcW w:w="2581" w:type="dxa"/>
          </w:tcPr>
          <w:p w14:paraId="3D2BD279" w14:textId="77777777" w:rsidR="001F04FD" w:rsidRPr="0013396E" w:rsidRDefault="001F04FD" w:rsidP="00AC4DEE">
            <w:pPr>
              <w:spacing w:after="120"/>
              <w:rPr>
                <w:b/>
                <w:iCs/>
                <w:sz w:val="20"/>
              </w:rPr>
            </w:pPr>
            <w:r w:rsidRPr="0013396E">
              <w:rPr>
                <w:b/>
                <w:iCs/>
                <w:sz w:val="20"/>
              </w:rPr>
              <w:t>Variable</w:t>
            </w:r>
          </w:p>
        </w:tc>
        <w:tc>
          <w:tcPr>
            <w:tcW w:w="1146" w:type="dxa"/>
          </w:tcPr>
          <w:p w14:paraId="5536438C" w14:textId="77777777" w:rsidR="001F04FD" w:rsidRPr="0013396E" w:rsidRDefault="001F04FD" w:rsidP="00AC4DEE">
            <w:pPr>
              <w:spacing w:after="120"/>
              <w:rPr>
                <w:b/>
                <w:iCs/>
                <w:sz w:val="20"/>
              </w:rPr>
            </w:pPr>
            <w:r w:rsidRPr="0013396E">
              <w:rPr>
                <w:b/>
                <w:iCs/>
                <w:sz w:val="20"/>
              </w:rPr>
              <w:t>Unit</w:t>
            </w:r>
          </w:p>
        </w:tc>
        <w:tc>
          <w:tcPr>
            <w:tcW w:w="6078" w:type="dxa"/>
          </w:tcPr>
          <w:p w14:paraId="1DCA38AA" w14:textId="77777777" w:rsidR="001F04FD" w:rsidRPr="0013396E" w:rsidRDefault="001F04FD" w:rsidP="00AC4DEE">
            <w:pPr>
              <w:spacing w:after="120"/>
              <w:rPr>
                <w:b/>
                <w:iCs/>
                <w:sz w:val="20"/>
              </w:rPr>
            </w:pPr>
            <w:r w:rsidRPr="0013396E">
              <w:rPr>
                <w:b/>
                <w:iCs/>
                <w:sz w:val="20"/>
              </w:rPr>
              <w:t>Definition</w:t>
            </w:r>
          </w:p>
        </w:tc>
      </w:tr>
      <w:tr w:rsidR="001F04FD" w:rsidRPr="0013396E" w14:paraId="59EFE851" w14:textId="77777777" w:rsidTr="009B7C62">
        <w:tc>
          <w:tcPr>
            <w:tcW w:w="2581" w:type="dxa"/>
          </w:tcPr>
          <w:p w14:paraId="1AF69281" w14:textId="77777777" w:rsidR="001F04FD" w:rsidRPr="0013396E" w:rsidRDefault="001F04FD" w:rsidP="00AC4DEE">
            <w:pPr>
              <w:spacing w:after="60"/>
              <w:rPr>
                <w:iCs/>
                <w:sz w:val="20"/>
              </w:rPr>
            </w:pPr>
            <w:r w:rsidRPr="0013396E">
              <w:rPr>
                <w:iCs/>
                <w:sz w:val="20"/>
              </w:rPr>
              <w:t xml:space="preserve">MBLTAMT </w:t>
            </w:r>
            <w:r w:rsidRPr="0013396E">
              <w:rPr>
                <w:i/>
                <w:iCs/>
                <w:sz w:val="20"/>
                <w:vertAlign w:val="subscript"/>
              </w:rPr>
              <w:t>q, p</w:t>
            </w:r>
          </w:p>
        </w:tc>
        <w:tc>
          <w:tcPr>
            <w:tcW w:w="1146" w:type="dxa"/>
          </w:tcPr>
          <w:p w14:paraId="005F2154" w14:textId="77777777" w:rsidR="001F04FD" w:rsidRPr="0013396E" w:rsidRDefault="001F04FD" w:rsidP="00AC4DEE">
            <w:pPr>
              <w:spacing w:after="60"/>
              <w:rPr>
                <w:iCs/>
                <w:sz w:val="20"/>
              </w:rPr>
            </w:pPr>
            <w:r w:rsidRPr="0013396E">
              <w:rPr>
                <w:iCs/>
                <w:sz w:val="20"/>
              </w:rPr>
              <w:t>$</w:t>
            </w:r>
          </w:p>
        </w:tc>
        <w:tc>
          <w:tcPr>
            <w:tcW w:w="6078" w:type="dxa"/>
          </w:tcPr>
          <w:p w14:paraId="5C8E4B69" w14:textId="77777777" w:rsidR="001F04FD" w:rsidRPr="0013396E" w:rsidRDefault="001F04FD" w:rsidP="00AC4DEE">
            <w:pPr>
              <w:spacing w:after="60"/>
              <w:rPr>
                <w:i/>
                <w:iCs/>
                <w:sz w:val="20"/>
              </w:rPr>
            </w:pPr>
            <w:r w:rsidRPr="0013396E">
              <w:rPr>
                <w:i/>
                <w:iCs/>
                <w:sz w:val="20"/>
              </w:rPr>
              <w:t>Monthly Block Load Transfer Amount per QSE per Settlement Point</w:t>
            </w:r>
            <w:r w:rsidRPr="0013396E">
              <w:rPr>
                <w:iCs/>
                <w:sz w:val="20"/>
              </w:rPr>
              <w:sym w:font="Symbol" w:char="F0BE"/>
            </w:r>
            <w:r w:rsidRPr="0013396E">
              <w:rPr>
                <w:iCs/>
                <w:sz w:val="20"/>
              </w:rPr>
              <w:t xml:space="preserve">The payment to QSE </w:t>
            </w:r>
            <w:r w:rsidRPr="0013396E">
              <w:rPr>
                <w:i/>
                <w:iCs/>
                <w:sz w:val="20"/>
              </w:rPr>
              <w:t>q</w:t>
            </w:r>
            <w:r w:rsidRPr="0013396E">
              <w:rPr>
                <w:iCs/>
                <w:sz w:val="20"/>
              </w:rPr>
              <w:t xml:space="preserve"> for the delivered energy to Load Zone </w:t>
            </w:r>
            <w:r w:rsidRPr="0013396E">
              <w:rPr>
                <w:i/>
                <w:iCs/>
                <w:sz w:val="20"/>
              </w:rPr>
              <w:t>p</w:t>
            </w:r>
            <w:r w:rsidRPr="0013396E">
              <w:rPr>
                <w:iCs/>
                <w:sz w:val="20"/>
              </w:rPr>
              <w:t xml:space="preserve"> for the month.</w:t>
            </w:r>
          </w:p>
        </w:tc>
      </w:tr>
      <w:tr w:rsidR="001F04FD" w:rsidRPr="0013396E" w14:paraId="70A7C8B6" w14:textId="77777777" w:rsidTr="009B7C62">
        <w:tc>
          <w:tcPr>
            <w:tcW w:w="2581" w:type="dxa"/>
          </w:tcPr>
          <w:p w14:paraId="63B0463D" w14:textId="77777777" w:rsidR="001F04FD" w:rsidRPr="0013396E" w:rsidRDefault="001F04FD" w:rsidP="00AC4DEE">
            <w:pPr>
              <w:spacing w:after="60"/>
              <w:rPr>
                <w:iCs/>
                <w:sz w:val="20"/>
              </w:rPr>
            </w:pPr>
            <w:r w:rsidRPr="0013396E">
              <w:rPr>
                <w:iCs/>
                <w:sz w:val="20"/>
              </w:rPr>
              <w:t xml:space="preserve">VMEBLTP </w:t>
            </w:r>
            <w:r w:rsidRPr="0013396E">
              <w:rPr>
                <w:i/>
                <w:iCs/>
                <w:sz w:val="20"/>
                <w:vertAlign w:val="subscript"/>
              </w:rPr>
              <w:t>q, p</w:t>
            </w:r>
          </w:p>
        </w:tc>
        <w:tc>
          <w:tcPr>
            <w:tcW w:w="1146" w:type="dxa"/>
          </w:tcPr>
          <w:p w14:paraId="7C8371B1" w14:textId="77777777" w:rsidR="001F04FD" w:rsidRPr="0013396E" w:rsidRDefault="001F04FD" w:rsidP="00AC4DEE">
            <w:pPr>
              <w:spacing w:after="60"/>
              <w:rPr>
                <w:iCs/>
                <w:sz w:val="20"/>
              </w:rPr>
            </w:pPr>
            <w:r w:rsidRPr="0013396E">
              <w:rPr>
                <w:iCs/>
                <w:sz w:val="20"/>
              </w:rPr>
              <w:t>$/MWh</w:t>
            </w:r>
          </w:p>
        </w:tc>
        <w:tc>
          <w:tcPr>
            <w:tcW w:w="6078" w:type="dxa"/>
          </w:tcPr>
          <w:p w14:paraId="59AD83D8" w14:textId="77777777" w:rsidR="001F04FD" w:rsidRPr="0013396E" w:rsidRDefault="001F04FD" w:rsidP="00AC4DEE">
            <w:pPr>
              <w:spacing w:after="60"/>
              <w:rPr>
                <w:i/>
                <w:iCs/>
                <w:sz w:val="20"/>
              </w:rPr>
            </w:pPr>
            <w:r w:rsidRPr="0013396E">
              <w:rPr>
                <w:i/>
                <w:iCs/>
                <w:sz w:val="20"/>
              </w:rPr>
              <w:t>Verified Monthly Energy Cost</w:t>
            </w:r>
            <w:r w:rsidRPr="0013396E">
              <w:rPr>
                <w:iCs/>
                <w:sz w:val="20"/>
              </w:rPr>
              <w:sym w:font="Symbol" w:char="F0BE"/>
            </w:r>
            <w:r w:rsidRPr="0013396E">
              <w:rPr>
                <w:iCs/>
                <w:sz w:val="20"/>
              </w:rPr>
              <w:t>The ERCOT verified monthly cost for the energy delivered to an ERCOT Load as determined by an invoice submitted to ERCOT.</w:t>
            </w:r>
          </w:p>
        </w:tc>
      </w:tr>
      <w:tr w:rsidR="001F04FD" w:rsidRPr="0013396E" w14:paraId="2C630273" w14:textId="77777777" w:rsidTr="009B7C62">
        <w:tc>
          <w:tcPr>
            <w:tcW w:w="2581" w:type="dxa"/>
          </w:tcPr>
          <w:p w14:paraId="6FCBE6C0" w14:textId="77777777" w:rsidR="001F04FD" w:rsidRPr="0013396E" w:rsidRDefault="001F04FD" w:rsidP="00AC4DEE">
            <w:pPr>
              <w:spacing w:after="60"/>
              <w:rPr>
                <w:iCs/>
                <w:sz w:val="20"/>
              </w:rPr>
            </w:pPr>
            <w:r w:rsidRPr="0013396E">
              <w:rPr>
                <w:iCs/>
                <w:sz w:val="20"/>
              </w:rPr>
              <w:t>CABLT</w:t>
            </w:r>
          </w:p>
        </w:tc>
        <w:tc>
          <w:tcPr>
            <w:tcW w:w="1146" w:type="dxa"/>
          </w:tcPr>
          <w:p w14:paraId="7C603EAB" w14:textId="29C544D4" w:rsidR="001F04FD" w:rsidRPr="0013396E" w:rsidRDefault="00154FF3" w:rsidP="009B7C62">
            <w:pPr>
              <w:spacing w:after="60"/>
              <w:rPr>
                <w:iCs/>
                <w:sz w:val="20"/>
              </w:rPr>
            </w:pPr>
            <w:r w:rsidRPr="0013396E">
              <w:rPr>
                <w:iCs/>
                <w:sz w:val="20"/>
              </w:rPr>
              <w:t>none</w:t>
            </w:r>
          </w:p>
        </w:tc>
        <w:tc>
          <w:tcPr>
            <w:tcW w:w="6078" w:type="dxa"/>
          </w:tcPr>
          <w:p w14:paraId="13512E1E" w14:textId="77777777" w:rsidR="001F04FD" w:rsidRPr="0013396E" w:rsidRDefault="001F04FD" w:rsidP="00AC4DEE">
            <w:pPr>
              <w:spacing w:after="60"/>
              <w:rPr>
                <w:i/>
                <w:iCs/>
                <w:sz w:val="20"/>
              </w:rPr>
            </w:pPr>
            <w:r w:rsidRPr="0013396E">
              <w:rPr>
                <w:i/>
                <w:iCs/>
                <w:sz w:val="20"/>
              </w:rPr>
              <w:t>Cost Adder for Block Load Transfer</w:t>
            </w:r>
            <w:r w:rsidRPr="0013396E">
              <w:rPr>
                <w:iCs/>
                <w:sz w:val="20"/>
              </w:rPr>
              <w:sym w:font="Symbol" w:char="F0BE"/>
            </w:r>
            <w:r w:rsidRPr="0013396E">
              <w:rPr>
                <w:iCs/>
                <w:sz w:val="20"/>
              </w:rPr>
              <w:t>A multiplier of 1.10.</w:t>
            </w:r>
          </w:p>
        </w:tc>
      </w:tr>
      <w:tr w:rsidR="001F04FD" w:rsidRPr="0013396E" w14:paraId="673A495A" w14:textId="77777777" w:rsidTr="009B7C62">
        <w:tc>
          <w:tcPr>
            <w:tcW w:w="2581" w:type="dxa"/>
          </w:tcPr>
          <w:p w14:paraId="6D61CF8A" w14:textId="77777777" w:rsidR="001F04FD" w:rsidRPr="0013396E" w:rsidRDefault="001F04FD" w:rsidP="00AC4DEE">
            <w:pPr>
              <w:spacing w:after="60"/>
              <w:rPr>
                <w:i/>
                <w:iCs/>
                <w:sz w:val="20"/>
              </w:rPr>
            </w:pPr>
            <w:r w:rsidRPr="0013396E">
              <w:rPr>
                <w:i/>
                <w:iCs/>
                <w:sz w:val="20"/>
              </w:rPr>
              <w:t>q</w:t>
            </w:r>
          </w:p>
        </w:tc>
        <w:tc>
          <w:tcPr>
            <w:tcW w:w="1146" w:type="dxa"/>
          </w:tcPr>
          <w:p w14:paraId="5C63D233" w14:textId="77777777" w:rsidR="001F04FD" w:rsidRPr="0013396E" w:rsidRDefault="001F04FD" w:rsidP="00AC4DEE">
            <w:pPr>
              <w:spacing w:after="60"/>
              <w:rPr>
                <w:iCs/>
                <w:sz w:val="20"/>
              </w:rPr>
            </w:pPr>
            <w:r w:rsidRPr="0013396E">
              <w:rPr>
                <w:iCs/>
                <w:sz w:val="20"/>
              </w:rPr>
              <w:t>none</w:t>
            </w:r>
          </w:p>
        </w:tc>
        <w:tc>
          <w:tcPr>
            <w:tcW w:w="6078" w:type="dxa"/>
          </w:tcPr>
          <w:p w14:paraId="7C83CC1C" w14:textId="77777777" w:rsidR="001F04FD" w:rsidRPr="0013396E" w:rsidRDefault="001F04FD" w:rsidP="00AC4DEE">
            <w:pPr>
              <w:spacing w:after="60"/>
              <w:rPr>
                <w:i/>
                <w:iCs/>
                <w:sz w:val="20"/>
              </w:rPr>
            </w:pPr>
            <w:r w:rsidRPr="0013396E">
              <w:rPr>
                <w:iCs/>
                <w:sz w:val="20"/>
              </w:rPr>
              <w:t>A QSE.</w:t>
            </w:r>
          </w:p>
        </w:tc>
      </w:tr>
      <w:tr w:rsidR="001F04FD" w:rsidRPr="0013396E" w14:paraId="1C5E8D6D" w14:textId="77777777" w:rsidTr="009B7C62">
        <w:tc>
          <w:tcPr>
            <w:tcW w:w="2581" w:type="dxa"/>
          </w:tcPr>
          <w:p w14:paraId="421CF336" w14:textId="77777777" w:rsidR="001F04FD" w:rsidRPr="0013396E" w:rsidRDefault="001F04FD" w:rsidP="00AC4DEE">
            <w:pPr>
              <w:spacing w:after="60"/>
              <w:rPr>
                <w:i/>
                <w:iCs/>
                <w:sz w:val="20"/>
              </w:rPr>
            </w:pPr>
            <w:r w:rsidRPr="0013396E">
              <w:rPr>
                <w:i/>
                <w:iCs/>
                <w:sz w:val="20"/>
              </w:rPr>
              <w:t>p</w:t>
            </w:r>
          </w:p>
        </w:tc>
        <w:tc>
          <w:tcPr>
            <w:tcW w:w="1146" w:type="dxa"/>
          </w:tcPr>
          <w:p w14:paraId="6BAB3F92" w14:textId="77777777" w:rsidR="001F04FD" w:rsidRPr="0013396E" w:rsidRDefault="001F04FD" w:rsidP="00AC4DEE">
            <w:pPr>
              <w:spacing w:after="60"/>
              <w:rPr>
                <w:iCs/>
                <w:sz w:val="20"/>
              </w:rPr>
            </w:pPr>
            <w:r w:rsidRPr="0013396E">
              <w:rPr>
                <w:iCs/>
                <w:sz w:val="20"/>
              </w:rPr>
              <w:t>none</w:t>
            </w:r>
          </w:p>
        </w:tc>
        <w:tc>
          <w:tcPr>
            <w:tcW w:w="6078" w:type="dxa"/>
          </w:tcPr>
          <w:p w14:paraId="23B2C5E4" w14:textId="77777777" w:rsidR="001F04FD" w:rsidRPr="0013396E" w:rsidRDefault="001F04FD" w:rsidP="00AC4DEE">
            <w:pPr>
              <w:spacing w:after="60"/>
              <w:rPr>
                <w:i/>
                <w:iCs/>
                <w:sz w:val="20"/>
              </w:rPr>
            </w:pPr>
            <w:r w:rsidRPr="0013396E">
              <w:rPr>
                <w:iCs/>
                <w:sz w:val="20"/>
              </w:rPr>
              <w:t>A Load Zone Settlement Point.</w:t>
            </w:r>
          </w:p>
        </w:tc>
      </w:tr>
    </w:tbl>
    <w:p w14:paraId="72646104" w14:textId="77777777" w:rsidR="001F04FD" w:rsidRPr="0013396E" w:rsidRDefault="001F04FD" w:rsidP="001F04FD">
      <w:pPr>
        <w:pStyle w:val="List"/>
        <w:spacing w:before="240"/>
      </w:pPr>
      <w:r w:rsidRPr="0013396E">
        <w:lastRenderedPageBreak/>
        <w:t>(b)</w:t>
      </w:r>
      <w:r w:rsidRPr="0013396E">
        <w:tab/>
        <w:t>The total of the payments to each QSE for all energy delivered to ERCOT Loads through BLT Points for the 15-minute Settlement Interval is calculated as follows:</w:t>
      </w:r>
    </w:p>
    <w:p w14:paraId="0FEACF2A" w14:textId="0F194321" w:rsidR="001F04FD" w:rsidRPr="0013396E" w:rsidRDefault="001F04FD" w:rsidP="001F04FD">
      <w:pPr>
        <w:tabs>
          <w:tab w:val="left" w:pos="1440"/>
          <w:tab w:val="left" w:pos="3150"/>
          <w:tab w:val="left" w:pos="3960"/>
        </w:tabs>
        <w:spacing w:after="240"/>
        <w:ind w:left="3960" w:hanging="3240"/>
        <w:rPr>
          <w:position w:val="-30"/>
        </w:rPr>
      </w:pPr>
      <w:r w:rsidRPr="0013396E">
        <w:rPr>
          <w:b/>
          <w:bCs/>
        </w:rPr>
        <w:tab/>
        <w:t xml:space="preserve">MBLTAMTQSETOT </w:t>
      </w:r>
      <w:r w:rsidRPr="0013396E">
        <w:rPr>
          <w:b/>
          <w:bCs/>
          <w:i/>
          <w:vertAlign w:val="subscript"/>
        </w:rPr>
        <w:t>q</w:t>
      </w:r>
      <w:r w:rsidRPr="0013396E">
        <w:rPr>
          <w:b/>
          <w:bCs/>
        </w:rPr>
        <w:tab/>
        <w:t>=</w:t>
      </w:r>
      <w:r w:rsidRPr="0013396E">
        <w:rPr>
          <w:b/>
          <w:bCs/>
        </w:rPr>
        <w:tab/>
      </w:r>
      <w:r w:rsidR="00A94020" w:rsidRPr="0013396E">
        <w:rPr>
          <w:b/>
          <w:noProof/>
          <w:position w:val="-22"/>
        </w:rPr>
        <w:drawing>
          <wp:inline distT="0" distB="0" distL="0" distR="0" wp14:anchorId="0B2F7622" wp14:editId="0D18E516">
            <wp:extent cx="142875" cy="295275"/>
            <wp:effectExtent l="0" t="0" r="9525" b="9525"/>
            <wp:docPr id="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42875" cy="295275"/>
                    </a:xfrm>
                    <a:prstGeom prst="rect">
                      <a:avLst/>
                    </a:prstGeom>
                    <a:noFill/>
                    <a:ln>
                      <a:noFill/>
                    </a:ln>
                  </pic:spPr>
                </pic:pic>
              </a:graphicData>
            </a:graphic>
          </wp:inline>
        </w:drawing>
      </w:r>
      <w:r w:rsidRPr="0013396E">
        <w:rPr>
          <w:b/>
          <w:bCs/>
        </w:rPr>
        <w:t xml:space="preserve"> MBLTAMT </w:t>
      </w:r>
      <w:r w:rsidRPr="0013396E">
        <w:rPr>
          <w:b/>
          <w:bCs/>
          <w:i/>
          <w:vertAlign w:val="subscript"/>
        </w:rPr>
        <w:t>q, p</w:t>
      </w:r>
      <w:r w:rsidRPr="0013396E">
        <w:t> </w:t>
      </w:r>
      <w:r w:rsidRPr="0013396E" w:rsidDel="00665566">
        <w:rPr>
          <w:position w:val="-30"/>
        </w:rPr>
        <w:t xml:space="preserve"> </w:t>
      </w:r>
    </w:p>
    <w:p w14:paraId="3E1A49B6" w14:textId="77777777" w:rsidR="001F04FD" w:rsidRPr="0013396E" w:rsidRDefault="001F04FD" w:rsidP="001F04FD">
      <w:pPr>
        <w:tabs>
          <w:tab w:val="left" w:pos="2250"/>
          <w:tab w:val="left" w:pos="3150"/>
          <w:tab w:val="left" w:pos="3960"/>
        </w:tabs>
      </w:pPr>
      <w:r w:rsidRPr="0013396E">
        <w:t>The above variables are defined as follows:</w:t>
      </w: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606"/>
        <w:gridCol w:w="6908"/>
      </w:tblGrid>
      <w:tr w:rsidR="001F04FD" w:rsidRPr="0013396E" w14:paraId="5C46C342" w14:textId="77777777" w:rsidTr="002401F7">
        <w:tc>
          <w:tcPr>
            <w:tcW w:w="1168" w:type="pct"/>
          </w:tcPr>
          <w:p w14:paraId="118AA196" w14:textId="77777777" w:rsidR="001F04FD" w:rsidRPr="0013396E" w:rsidRDefault="001F04FD" w:rsidP="00AC4DEE">
            <w:pPr>
              <w:spacing w:after="120"/>
              <w:rPr>
                <w:b/>
                <w:iCs/>
                <w:sz w:val="20"/>
              </w:rPr>
            </w:pPr>
            <w:r w:rsidRPr="0013396E">
              <w:rPr>
                <w:b/>
                <w:iCs/>
                <w:sz w:val="20"/>
              </w:rPr>
              <w:t>Variable</w:t>
            </w:r>
          </w:p>
        </w:tc>
        <w:tc>
          <w:tcPr>
            <w:tcW w:w="309" w:type="pct"/>
          </w:tcPr>
          <w:p w14:paraId="0E65C280" w14:textId="77777777" w:rsidR="001F04FD" w:rsidRPr="0013396E" w:rsidRDefault="001F04FD" w:rsidP="00AC4DEE">
            <w:pPr>
              <w:spacing w:after="120"/>
              <w:rPr>
                <w:b/>
                <w:iCs/>
                <w:sz w:val="20"/>
              </w:rPr>
            </w:pPr>
            <w:r w:rsidRPr="0013396E">
              <w:rPr>
                <w:b/>
                <w:iCs/>
                <w:sz w:val="20"/>
              </w:rPr>
              <w:t>Unit</w:t>
            </w:r>
          </w:p>
        </w:tc>
        <w:tc>
          <w:tcPr>
            <w:tcW w:w="3523" w:type="pct"/>
          </w:tcPr>
          <w:p w14:paraId="70E35528" w14:textId="77777777" w:rsidR="001F04FD" w:rsidRPr="0013396E" w:rsidRDefault="001F04FD" w:rsidP="00AC4DEE">
            <w:pPr>
              <w:spacing w:after="120"/>
              <w:rPr>
                <w:b/>
                <w:iCs/>
                <w:sz w:val="20"/>
              </w:rPr>
            </w:pPr>
            <w:r w:rsidRPr="0013396E">
              <w:rPr>
                <w:b/>
                <w:iCs/>
                <w:sz w:val="20"/>
              </w:rPr>
              <w:t>Definition</w:t>
            </w:r>
          </w:p>
        </w:tc>
      </w:tr>
      <w:tr w:rsidR="001F04FD" w:rsidRPr="0013396E" w14:paraId="1C423B2B" w14:textId="77777777" w:rsidTr="002401F7">
        <w:tc>
          <w:tcPr>
            <w:tcW w:w="1168" w:type="pct"/>
          </w:tcPr>
          <w:p w14:paraId="21BDB231" w14:textId="77777777" w:rsidR="001F04FD" w:rsidRPr="0013396E" w:rsidRDefault="001F04FD" w:rsidP="00AC4DEE">
            <w:pPr>
              <w:spacing w:after="60"/>
              <w:rPr>
                <w:iCs/>
                <w:sz w:val="20"/>
              </w:rPr>
            </w:pPr>
            <w:r w:rsidRPr="0013396E">
              <w:rPr>
                <w:iCs/>
                <w:sz w:val="20"/>
              </w:rPr>
              <w:t xml:space="preserve">MBLTAMTQSETOT </w:t>
            </w:r>
            <w:r w:rsidRPr="0013396E">
              <w:rPr>
                <w:i/>
                <w:iCs/>
                <w:sz w:val="20"/>
                <w:vertAlign w:val="subscript"/>
              </w:rPr>
              <w:t>q</w:t>
            </w:r>
          </w:p>
        </w:tc>
        <w:tc>
          <w:tcPr>
            <w:tcW w:w="309" w:type="pct"/>
          </w:tcPr>
          <w:p w14:paraId="0569B4E8" w14:textId="77777777" w:rsidR="001F04FD" w:rsidRPr="0013396E" w:rsidRDefault="001F04FD" w:rsidP="00AC4DEE">
            <w:pPr>
              <w:spacing w:after="60"/>
              <w:rPr>
                <w:iCs/>
                <w:sz w:val="20"/>
              </w:rPr>
            </w:pPr>
            <w:r w:rsidRPr="0013396E">
              <w:rPr>
                <w:iCs/>
                <w:sz w:val="20"/>
              </w:rPr>
              <w:t>$</w:t>
            </w:r>
          </w:p>
        </w:tc>
        <w:tc>
          <w:tcPr>
            <w:tcW w:w="3523" w:type="pct"/>
          </w:tcPr>
          <w:p w14:paraId="434DD71D" w14:textId="77777777" w:rsidR="001F04FD" w:rsidRPr="0013396E" w:rsidRDefault="001F04FD" w:rsidP="00AC4DEE">
            <w:pPr>
              <w:spacing w:after="60"/>
              <w:rPr>
                <w:iCs/>
                <w:sz w:val="20"/>
              </w:rPr>
            </w:pPr>
            <w:r w:rsidRPr="0013396E">
              <w:rPr>
                <w:i/>
                <w:iCs/>
                <w:sz w:val="20"/>
              </w:rPr>
              <w:t>Monthly Block Load Transfer Amount QSE Total per QSE</w:t>
            </w:r>
            <w:r w:rsidRPr="0013396E">
              <w:rPr>
                <w:iCs/>
                <w:sz w:val="20"/>
              </w:rPr>
              <w:sym w:font="Symbol" w:char="F0BE"/>
            </w:r>
            <w:r w:rsidRPr="0013396E">
              <w:rPr>
                <w:iCs/>
                <w:sz w:val="20"/>
              </w:rPr>
              <w:t xml:space="preserve">The total of the payments to QSE </w:t>
            </w:r>
            <w:r w:rsidRPr="0013396E">
              <w:rPr>
                <w:i/>
                <w:iCs/>
                <w:sz w:val="20"/>
              </w:rPr>
              <w:t>q</w:t>
            </w:r>
            <w:r w:rsidRPr="0013396E">
              <w:rPr>
                <w:iCs/>
                <w:sz w:val="20"/>
              </w:rPr>
              <w:t xml:space="preserve"> for energy delivered into the ERCOT System for the month.</w:t>
            </w:r>
          </w:p>
        </w:tc>
      </w:tr>
      <w:tr w:rsidR="001F04FD" w:rsidRPr="0013396E" w14:paraId="70EAAB67" w14:textId="77777777" w:rsidTr="002401F7">
        <w:tc>
          <w:tcPr>
            <w:tcW w:w="1168" w:type="pct"/>
          </w:tcPr>
          <w:p w14:paraId="33E4ACF9" w14:textId="619F5981" w:rsidR="001F04FD" w:rsidRPr="0013396E" w:rsidRDefault="001F04FD" w:rsidP="0065571F">
            <w:pPr>
              <w:spacing w:after="60"/>
              <w:rPr>
                <w:iCs/>
                <w:sz w:val="20"/>
              </w:rPr>
            </w:pPr>
            <w:r w:rsidRPr="0013396E">
              <w:rPr>
                <w:iCs/>
                <w:sz w:val="20"/>
              </w:rPr>
              <w:t xml:space="preserve">MBLTAMT </w:t>
            </w:r>
            <w:r w:rsidRPr="0013396E">
              <w:rPr>
                <w:i/>
                <w:iCs/>
                <w:sz w:val="20"/>
                <w:vertAlign w:val="subscript"/>
              </w:rPr>
              <w:t>q, p</w:t>
            </w:r>
          </w:p>
        </w:tc>
        <w:tc>
          <w:tcPr>
            <w:tcW w:w="309" w:type="pct"/>
          </w:tcPr>
          <w:p w14:paraId="66CCA9D1" w14:textId="77777777" w:rsidR="001F04FD" w:rsidRPr="0013396E" w:rsidRDefault="001F04FD" w:rsidP="00AC4DEE">
            <w:pPr>
              <w:spacing w:after="60"/>
              <w:rPr>
                <w:iCs/>
                <w:sz w:val="20"/>
              </w:rPr>
            </w:pPr>
            <w:r w:rsidRPr="0013396E">
              <w:rPr>
                <w:iCs/>
                <w:sz w:val="20"/>
              </w:rPr>
              <w:t>$</w:t>
            </w:r>
          </w:p>
        </w:tc>
        <w:tc>
          <w:tcPr>
            <w:tcW w:w="3523" w:type="pct"/>
          </w:tcPr>
          <w:p w14:paraId="549B9D34" w14:textId="77777777" w:rsidR="001F04FD" w:rsidRPr="0013396E" w:rsidRDefault="001F04FD" w:rsidP="00AC4DEE">
            <w:pPr>
              <w:spacing w:after="60"/>
              <w:rPr>
                <w:iCs/>
                <w:sz w:val="20"/>
              </w:rPr>
            </w:pPr>
            <w:r w:rsidRPr="0013396E">
              <w:rPr>
                <w:i/>
                <w:iCs/>
                <w:sz w:val="20"/>
              </w:rPr>
              <w:t>Monthly Block Load Transfer Amount per QSE per Settlement Point</w:t>
            </w:r>
            <w:r w:rsidRPr="0013396E">
              <w:rPr>
                <w:iCs/>
                <w:sz w:val="20"/>
              </w:rPr>
              <w:sym w:font="Symbol" w:char="F0BE"/>
            </w:r>
            <w:r w:rsidRPr="0013396E">
              <w:rPr>
                <w:iCs/>
                <w:sz w:val="20"/>
              </w:rPr>
              <w:t xml:space="preserve">The payment to QSE </w:t>
            </w:r>
            <w:r w:rsidRPr="0013396E">
              <w:rPr>
                <w:i/>
                <w:iCs/>
                <w:sz w:val="20"/>
              </w:rPr>
              <w:t>q</w:t>
            </w:r>
            <w:r w:rsidRPr="0013396E">
              <w:rPr>
                <w:iCs/>
                <w:sz w:val="20"/>
              </w:rPr>
              <w:t xml:space="preserve"> for the delivered energy to Load Zone </w:t>
            </w:r>
            <w:r w:rsidRPr="0013396E">
              <w:rPr>
                <w:i/>
                <w:iCs/>
                <w:sz w:val="20"/>
              </w:rPr>
              <w:t>p</w:t>
            </w:r>
            <w:r w:rsidRPr="0013396E">
              <w:rPr>
                <w:iCs/>
                <w:sz w:val="20"/>
              </w:rPr>
              <w:t xml:space="preserve"> for the month.</w:t>
            </w:r>
          </w:p>
        </w:tc>
      </w:tr>
      <w:tr w:rsidR="001F04FD" w:rsidRPr="0013396E" w14:paraId="798196AF" w14:textId="77777777" w:rsidTr="002401F7">
        <w:tc>
          <w:tcPr>
            <w:tcW w:w="1168" w:type="pct"/>
            <w:tcBorders>
              <w:top w:val="single" w:sz="4" w:space="0" w:color="auto"/>
              <w:left w:val="single" w:sz="4" w:space="0" w:color="auto"/>
              <w:bottom w:val="single" w:sz="4" w:space="0" w:color="auto"/>
              <w:right w:val="single" w:sz="4" w:space="0" w:color="auto"/>
            </w:tcBorders>
          </w:tcPr>
          <w:p w14:paraId="75BE949D" w14:textId="77777777" w:rsidR="001F04FD" w:rsidRPr="0013396E" w:rsidRDefault="001F04FD" w:rsidP="00AC4DEE">
            <w:pPr>
              <w:spacing w:after="60"/>
              <w:rPr>
                <w:i/>
                <w:iCs/>
                <w:sz w:val="20"/>
              </w:rPr>
            </w:pPr>
            <w:r w:rsidRPr="0013396E">
              <w:rPr>
                <w:i/>
                <w:iCs/>
                <w:sz w:val="20"/>
              </w:rPr>
              <w:t>q</w:t>
            </w:r>
          </w:p>
        </w:tc>
        <w:tc>
          <w:tcPr>
            <w:tcW w:w="309" w:type="pct"/>
            <w:tcBorders>
              <w:top w:val="single" w:sz="4" w:space="0" w:color="auto"/>
              <w:left w:val="single" w:sz="4" w:space="0" w:color="auto"/>
              <w:bottom w:val="single" w:sz="4" w:space="0" w:color="auto"/>
              <w:right w:val="single" w:sz="4" w:space="0" w:color="auto"/>
            </w:tcBorders>
          </w:tcPr>
          <w:p w14:paraId="2B58312A" w14:textId="77777777" w:rsidR="001F04FD" w:rsidRPr="0013396E" w:rsidRDefault="001F04FD" w:rsidP="00AC4DEE">
            <w:pPr>
              <w:spacing w:after="60"/>
              <w:rPr>
                <w:iCs/>
                <w:sz w:val="20"/>
              </w:rPr>
            </w:pPr>
            <w:r w:rsidRPr="0013396E">
              <w:rPr>
                <w:iCs/>
                <w:sz w:val="20"/>
              </w:rPr>
              <w:t>none</w:t>
            </w:r>
          </w:p>
        </w:tc>
        <w:tc>
          <w:tcPr>
            <w:tcW w:w="3523" w:type="pct"/>
            <w:tcBorders>
              <w:top w:val="single" w:sz="4" w:space="0" w:color="auto"/>
              <w:left w:val="single" w:sz="4" w:space="0" w:color="auto"/>
              <w:bottom w:val="single" w:sz="4" w:space="0" w:color="auto"/>
              <w:right w:val="single" w:sz="4" w:space="0" w:color="auto"/>
            </w:tcBorders>
          </w:tcPr>
          <w:p w14:paraId="7162E1E9" w14:textId="77777777" w:rsidR="001F04FD" w:rsidRPr="0013396E" w:rsidRDefault="001F04FD" w:rsidP="00AC4DEE">
            <w:pPr>
              <w:spacing w:after="60"/>
              <w:rPr>
                <w:iCs/>
                <w:sz w:val="20"/>
              </w:rPr>
            </w:pPr>
            <w:r w:rsidRPr="0013396E">
              <w:rPr>
                <w:iCs/>
                <w:sz w:val="20"/>
              </w:rPr>
              <w:t>A QSE.</w:t>
            </w:r>
          </w:p>
        </w:tc>
      </w:tr>
      <w:tr w:rsidR="001F04FD" w:rsidRPr="0013396E" w14:paraId="4457E886" w14:textId="77777777" w:rsidTr="002401F7">
        <w:tc>
          <w:tcPr>
            <w:tcW w:w="1168" w:type="pct"/>
            <w:tcBorders>
              <w:top w:val="single" w:sz="4" w:space="0" w:color="auto"/>
              <w:left w:val="single" w:sz="4" w:space="0" w:color="auto"/>
              <w:bottom w:val="single" w:sz="4" w:space="0" w:color="auto"/>
              <w:right w:val="single" w:sz="4" w:space="0" w:color="auto"/>
            </w:tcBorders>
          </w:tcPr>
          <w:p w14:paraId="7B7EBF44" w14:textId="77777777" w:rsidR="001F04FD" w:rsidRPr="0013396E" w:rsidRDefault="001F04FD" w:rsidP="00AC4DEE">
            <w:pPr>
              <w:spacing w:after="60"/>
              <w:rPr>
                <w:i/>
                <w:iCs/>
                <w:sz w:val="20"/>
              </w:rPr>
            </w:pPr>
            <w:r w:rsidRPr="0013396E">
              <w:rPr>
                <w:i/>
                <w:iCs/>
                <w:sz w:val="20"/>
              </w:rPr>
              <w:t>p</w:t>
            </w:r>
          </w:p>
        </w:tc>
        <w:tc>
          <w:tcPr>
            <w:tcW w:w="309" w:type="pct"/>
            <w:tcBorders>
              <w:top w:val="single" w:sz="4" w:space="0" w:color="auto"/>
              <w:left w:val="single" w:sz="4" w:space="0" w:color="auto"/>
              <w:bottom w:val="single" w:sz="4" w:space="0" w:color="auto"/>
              <w:right w:val="single" w:sz="4" w:space="0" w:color="auto"/>
            </w:tcBorders>
          </w:tcPr>
          <w:p w14:paraId="487C921B" w14:textId="77777777" w:rsidR="001F04FD" w:rsidRPr="0013396E" w:rsidRDefault="001F04FD" w:rsidP="00AC4DEE">
            <w:pPr>
              <w:spacing w:after="60"/>
              <w:rPr>
                <w:iCs/>
                <w:sz w:val="20"/>
              </w:rPr>
            </w:pPr>
            <w:r w:rsidRPr="0013396E">
              <w:rPr>
                <w:iCs/>
                <w:sz w:val="20"/>
              </w:rPr>
              <w:t>none</w:t>
            </w:r>
          </w:p>
        </w:tc>
        <w:tc>
          <w:tcPr>
            <w:tcW w:w="3523" w:type="pct"/>
            <w:tcBorders>
              <w:top w:val="single" w:sz="4" w:space="0" w:color="auto"/>
              <w:left w:val="single" w:sz="4" w:space="0" w:color="auto"/>
              <w:bottom w:val="single" w:sz="4" w:space="0" w:color="auto"/>
              <w:right w:val="single" w:sz="4" w:space="0" w:color="auto"/>
            </w:tcBorders>
          </w:tcPr>
          <w:p w14:paraId="6DFE0021" w14:textId="77777777" w:rsidR="001F04FD" w:rsidRPr="0013396E" w:rsidRDefault="001F04FD" w:rsidP="00AC4DEE">
            <w:pPr>
              <w:spacing w:after="60"/>
              <w:rPr>
                <w:iCs/>
                <w:sz w:val="20"/>
              </w:rPr>
            </w:pPr>
            <w:r w:rsidRPr="0013396E">
              <w:rPr>
                <w:iCs/>
                <w:sz w:val="20"/>
              </w:rPr>
              <w:t>A Load Zone Settlement Point.</w:t>
            </w:r>
          </w:p>
        </w:tc>
      </w:tr>
    </w:tbl>
    <w:p w14:paraId="7B80444D" w14:textId="77777777" w:rsidR="001F04FD" w:rsidRPr="0013396E" w:rsidRDefault="001F04FD" w:rsidP="001F04FD">
      <w:pPr>
        <w:pStyle w:val="List"/>
        <w:spacing w:before="240"/>
      </w:pPr>
      <w:r w:rsidRPr="0013396E">
        <w:t>(c)</w:t>
      </w:r>
      <w:r w:rsidRPr="0013396E">
        <w:tab/>
        <w:t>ERCOT shall calculate each QSE’s monthly BLT charge as follows:</w:t>
      </w:r>
    </w:p>
    <w:p w14:paraId="02C94632" w14:textId="77777777" w:rsidR="001F04FD" w:rsidRPr="0013396E" w:rsidRDefault="001F04FD" w:rsidP="001F04FD">
      <w:pPr>
        <w:pStyle w:val="FormulaBold"/>
        <w:ind w:left="1440" w:hanging="720"/>
      </w:pPr>
      <w:r w:rsidRPr="0013396E">
        <w:rPr>
          <w:lang w:val="pt-BR"/>
        </w:rPr>
        <w:tab/>
        <w:t xml:space="preserve">LAMBLTAMT </w:t>
      </w:r>
      <w:r w:rsidRPr="0013396E">
        <w:rPr>
          <w:i/>
          <w:vertAlign w:val="subscript"/>
          <w:lang w:val="pt-BR"/>
        </w:rPr>
        <w:t>q</w:t>
      </w:r>
      <w:r w:rsidRPr="0013396E">
        <w:t xml:space="preserve"> = (-1) * MLRS </w:t>
      </w:r>
      <w:r w:rsidRPr="0013396E">
        <w:rPr>
          <w:i/>
          <w:vertAlign w:val="subscript"/>
        </w:rPr>
        <w:t>q</w:t>
      </w:r>
      <w:r w:rsidRPr="0013396E">
        <w:rPr>
          <w:vertAlign w:val="subscript"/>
        </w:rPr>
        <w:t xml:space="preserve"> </w:t>
      </w:r>
      <w:r w:rsidRPr="0013396E">
        <w:t>* MBLTAMTTOT</w:t>
      </w:r>
    </w:p>
    <w:p w14:paraId="7E96A854" w14:textId="77777777" w:rsidR="001F04FD" w:rsidRPr="0013396E" w:rsidRDefault="001F04FD" w:rsidP="001F04FD">
      <w:pPr>
        <w:pStyle w:val="FormulaBold"/>
        <w:ind w:left="1440" w:hanging="720"/>
      </w:pPr>
      <w:r w:rsidRPr="0013396E">
        <w:tab/>
        <w:t>MBLTAMTTOT</w:t>
      </w:r>
      <w:r w:rsidRPr="0013396E">
        <w:rPr>
          <w:rFonts w:ascii="Times New Roman Bold" w:hAnsi="Times New Roman Bold"/>
        </w:rPr>
        <w:t xml:space="preserve"> = </w:t>
      </w:r>
      <w:r w:rsidRPr="0013396E">
        <w:rPr>
          <w:position w:val="-22"/>
        </w:rPr>
        <w:object w:dxaOrig="180" w:dyaOrig="465" w14:anchorId="36D3ABDA">
          <v:shape id="_x0000_i1130" type="#_x0000_t75" style="width:6pt;height:18.6pt" o:ole="">
            <v:imagedata r:id="rId151" o:title=""/>
          </v:shape>
          <o:OLEObject Type="Embed" ProgID="Equation.3" ShapeID="_x0000_i1130" DrawAspect="Content" ObjectID="_1849065761" r:id="rId152"/>
        </w:object>
      </w:r>
      <w:r w:rsidRPr="0013396E">
        <w:rPr>
          <w:position w:val="-22"/>
        </w:rPr>
        <w:t xml:space="preserve"> </w:t>
      </w:r>
      <w:r w:rsidRPr="0013396E">
        <w:t>MBLTAMTQSETOT</w:t>
      </w:r>
      <w:r w:rsidRPr="0013396E">
        <w:rPr>
          <w:i/>
          <w:vertAlign w:val="subscript"/>
        </w:rPr>
        <w:t xml:space="preserve"> q</w:t>
      </w:r>
      <w:r w:rsidRPr="0013396E">
        <w:t xml:space="preserve"> </w:t>
      </w:r>
    </w:p>
    <w:p w14:paraId="74C4993F" w14:textId="77777777" w:rsidR="001F04FD" w:rsidRPr="0013396E" w:rsidRDefault="001F04FD" w:rsidP="00154FF3">
      <w:pPr>
        <w:tabs>
          <w:tab w:val="left" w:pos="2250"/>
          <w:tab w:val="left" w:pos="3150"/>
          <w:tab w:val="left" w:pos="3960"/>
        </w:tabs>
      </w:pPr>
      <w:r w:rsidRPr="0013396E">
        <w:t>The above variables are defined as follows: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55"/>
        <w:gridCol w:w="898"/>
        <w:gridCol w:w="6452"/>
      </w:tblGrid>
      <w:tr w:rsidR="001F04FD" w:rsidRPr="0013396E" w14:paraId="05EF6954" w14:textId="77777777" w:rsidTr="00154FF3">
        <w:tc>
          <w:tcPr>
            <w:tcW w:w="1252" w:type="pct"/>
          </w:tcPr>
          <w:p w14:paraId="35380B09" w14:textId="77777777" w:rsidR="001F04FD" w:rsidRPr="0013396E" w:rsidRDefault="001F04FD" w:rsidP="00AC4DEE">
            <w:pPr>
              <w:pStyle w:val="TableHead"/>
            </w:pPr>
            <w:r w:rsidRPr="0013396E">
              <w:t>Variable</w:t>
            </w:r>
          </w:p>
        </w:tc>
        <w:tc>
          <w:tcPr>
            <w:tcW w:w="458" w:type="pct"/>
          </w:tcPr>
          <w:p w14:paraId="420C2991" w14:textId="77777777" w:rsidR="001F04FD" w:rsidRPr="0013396E" w:rsidRDefault="001F04FD" w:rsidP="00AC4DEE">
            <w:pPr>
              <w:pStyle w:val="TableHead"/>
            </w:pPr>
            <w:r w:rsidRPr="0013396E">
              <w:t>Unit</w:t>
            </w:r>
          </w:p>
        </w:tc>
        <w:tc>
          <w:tcPr>
            <w:tcW w:w="3290" w:type="pct"/>
          </w:tcPr>
          <w:p w14:paraId="67A37C96" w14:textId="77777777" w:rsidR="001F04FD" w:rsidRPr="0013396E" w:rsidRDefault="001F04FD" w:rsidP="00AC4DEE">
            <w:pPr>
              <w:pStyle w:val="TableHead"/>
            </w:pPr>
            <w:r w:rsidRPr="0013396E">
              <w:t>Description</w:t>
            </w:r>
          </w:p>
        </w:tc>
      </w:tr>
      <w:tr w:rsidR="001F04FD" w:rsidRPr="0013396E" w14:paraId="11091B60" w14:textId="77777777" w:rsidTr="00154FF3">
        <w:trPr>
          <w:cantSplit/>
          <w:trHeight w:val="692"/>
        </w:trPr>
        <w:tc>
          <w:tcPr>
            <w:tcW w:w="1252" w:type="pct"/>
          </w:tcPr>
          <w:p w14:paraId="4CA85F08" w14:textId="77777777" w:rsidR="001F04FD" w:rsidRPr="0013396E" w:rsidRDefault="001F04FD" w:rsidP="00AC4DEE">
            <w:pPr>
              <w:pStyle w:val="TableBody"/>
            </w:pPr>
            <w:r w:rsidRPr="0013396E">
              <w:t xml:space="preserve">MLRS </w:t>
            </w:r>
            <w:r w:rsidRPr="0013396E">
              <w:rPr>
                <w:i/>
                <w:vertAlign w:val="subscript"/>
              </w:rPr>
              <w:t>q</w:t>
            </w:r>
          </w:p>
        </w:tc>
        <w:tc>
          <w:tcPr>
            <w:tcW w:w="458" w:type="pct"/>
          </w:tcPr>
          <w:p w14:paraId="7252937D" w14:textId="77777777" w:rsidR="001F04FD" w:rsidRPr="0013396E" w:rsidRDefault="001F04FD" w:rsidP="00AC4DEE">
            <w:pPr>
              <w:pStyle w:val="TableBody"/>
            </w:pPr>
            <w:r w:rsidRPr="0013396E">
              <w:t>none</w:t>
            </w:r>
          </w:p>
        </w:tc>
        <w:tc>
          <w:tcPr>
            <w:tcW w:w="3290" w:type="pct"/>
          </w:tcPr>
          <w:p w14:paraId="64F11D97" w14:textId="77777777" w:rsidR="001F04FD" w:rsidRPr="0013396E" w:rsidRDefault="001F04FD" w:rsidP="00AC4DEE">
            <w:pPr>
              <w:pStyle w:val="TableBody"/>
            </w:pPr>
            <w:r w:rsidRPr="0013396E">
              <w:rPr>
                <w:i/>
              </w:rPr>
              <w:t>Monthly Load Ratio Share per QSE</w:t>
            </w:r>
            <w:r w:rsidRPr="0013396E">
              <w:t xml:space="preserve">—The LRS calculated for QSE </w:t>
            </w:r>
            <w:r w:rsidRPr="0013396E">
              <w:rPr>
                <w:i/>
              </w:rPr>
              <w:t>q</w:t>
            </w:r>
            <w:r w:rsidRPr="0013396E">
              <w:t xml:space="preserve"> for the peak-Load 15-minute Settlement Interval in the month.  See Section 6.6.2.2, QSE Load Ratio Share for a 15-Minute Settlement Interval.</w:t>
            </w:r>
          </w:p>
        </w:tc>
      </w:tr>
      <w:tr w:rsidR="001F04FD" w:rsidRPr="0013396E" w:rsidDel="00F954FC" w14:paraId="56F6C99F" w14:textId="77777777" w:rsidTr="00154FF3">
        <w:trPr>
          <w:cantSplit/>
        </w:trPr>
        <w:tc>
          <w:tcPr>
            <w:tcW w:w="1252" w:type="pct"/>
          </w:tcPr>
          <w:p w14:paraId="256BEC79" w14:textId="77777777" w:rsidR="001F04FD" w:rsidRPr="0013396E" w:rsidDel="00F954FC" w:rsidRDefault="001F04FD" w:rsidP="00AC4DEE">
            <w:pPr>
              <w:pStyle w:val="TableBody"/>
            </w:pPr>
            <w:r w:rsidRPr="0013396E">
              <w:rPr>
                <w:iCs w:val="0"/>
              </w:rPr>
              <w:t xml:space="preserve">MBLTAMTQSETOT </w:t>
            </w:r>
            <w:r w:rsidRPr="0013396E">
              <w:rPr>
                <w:i/>
                <w:iCs w:val="0"/>
                <w:vertAlign w:val="subscript"/>
              </w:rPr>
              <w:t>q</w:t>
            </w:r>
          </w:p>
        </w:tc>
        <w:tc>
          <w:tcPr>
            <w:tcW w:w="458" w:type="pct"/>
          </w:tcPr>
          <w:p w14:paraId="385B9315" w14:textId="77777777" w:rsidR="001F04FD" w:rsidRPr="0013396E" w:rsidRDefault="001F04FD" w:rsidP="00AC4DEE">
            <w:pPr>
              <w:pStyle w:val="VariableDefinition"/>
              <w:spacing w:after="60"/>
              <w:ind w:left="0" w:firstLine="0"/>
              <w:rPr>
                <w:sz w:val="20"/>
              </w:rPr>
            </w:pPr>
            <w:r w:rsidRPr="0013396E">
              <w:rPr>
                <w:iCs w:val="0"/>
                <w:sz w:val="20"/>
              </w:rPr>
              <w:t>$</w:t>
            </w:r>
          </w:p>
        </w:tc>
        <w:tc>
          <w:tcPr>
            <w:tcW w:w="3290" w:type="pct"/>
          </w:tcPr>
          <w:p w14:paraId="2C265E27" w14:textId="77777777" w:rsidR="001F04FD" w:rsidRPr="0013396E" w:rsidDel="00F954FC" w:rsidRDefault="001F04FD" w:rsidP="00AC4DEE">
            <w:pPr>
              <w:pStyle w:val="VariableDefinition"/>
              <w:spacing w:after="60"/>
              <w:ind w:left="0" w:firstLine="0"/>
              <w:rPr>
                <w:sz w:val="20"/>
              </w:rPr>
            </w:pPr>
            <w:r w:rsidRPr="0013396E">
              <w:rPr>
                <w:i/>
                <w:iCs w:val="0"/>
                <w:sz w:val="20"/>
              </w:rPr>
              <w:t>Monthly Block Load Transfer Amount QSE Total per QSE</w:t>
            </w:r>
            <w:r w:rsidRPr="0013396E">
              <w:rPr>
                <w:iCs w:val="0"/>
                <w:sz w:val="20"/>
              </w:rPr>
              <w:sym w:font="Symbol" w:char="F0BE"/>
            </w:r>
            <w:r w:rsidRPr="0013396E">
              <w:rPr>
                <w:iCs w:val="0"/>
                <w:sz w:val="20"/>
              </w:rPr>
              <w:t xml:space="preserve">The total of the payments to QSE </w:t>
            </w:r>
            <w:r w:rsidRPr="0013396E">
              <w:rPr>
                <w:i/>
                <w:iCs w:val="0"/>
                <w:sz w:val="20"/>
              </w:rPr>
              <w:t>q</w:t>
            </w:r>
            <w:r w:rsidRPr="0013396E">
              <w:rPr>
                <w:iCs w:val="0"/>
                <w:sz w:val="20"/>
              </w:rPr>
              <w:t xml:space="preserve"> for energy delivered into the ERCOT System for the month.</w:t>
            </w:r>
          </w:p>
        </w:tc>
      </w:tr>
      <w:tr w:rsidR="001F04FD" w:rsidRPr="0013396E" w14:paraId="2961EF7C" w14:textId="77777777" w:rsidTr="00154FF3">
        <w:trPr>
          <w:cantSplit/>
        </w:trPr>
        <w:tc>
          <w:tcPr>
            <w:tcW w:w="1252" w:type="pct"/>
          </w:tcPr>
          <w:p w14:paraId="54A1AF3A" w14:textId="77777777" w:rsidR="001F04FD" w:rsidRPr="0013396E" w:rsidRDefault="001F04FD" w:rsidP="00AC4DEE">
            <w:pPr>
              <w:pStyle w:val="TableBody"/>
            </w:pPr>
            <w:r w:rsidRPr="0013396E">
              <w:t xml:space="preserve">LAMBLTAMT </w:t>
            </w:r>
            <w:r w:rsidRPr="0013396E">
              <w:rPr>
                <w:i/>
                <w:vertAlign w:val="subscript"/>
              </w:rPr>
              <w:t>q</w:t>
            </w:r>
          </w:p>
        </w:tc>
        <w:tc>
          <w:tcPr>
            <w:tcW w:w="458" w:type="pct"/>
          </w:tcPr>
          <w:p w14:paraId="59CC3570" w14:textId="77777777" w:rsidR="001F04FD" w:rsidRPr="0013396E" w:rsidRDefault="001F04FD" w:rsidP="00AC4DEE">
            <w:pPr>
              <w:pStyle w:val="VariableDefinition"/>
              <w:tabs>
                <w:tab w:val="clear" w:pos="2160"/>
                <w:tab w:val="left" w:pos="2880"/>
              </w:tabs>
              <w:spacing w:after="60"/>
              <w:ind w:left="0" w:firstLine="0"/>
              <w:rPr>
                <w:sz w:val="20"/>
              </w:rPr>
            </w:pPr>
            <w:r w:rsidRPr="0013396E">
              <w:rPr>
                <w:sz w:val="20"/>
              </w:rPr>
              <w:t>$</w:t>
            </w:r>
          </w:p>
        </w:tc>
        <w:tc>
          <w:tcPr>
            <w:tcW w:w="3290" w:type="pct"/>
          </w:tcPr>
          <w:p w14:paraId="0A2ADCB6" w14:textId="77777777" w:rsidR="001F04FD" w:rsidRPr="0013396E" w:rsidRDefault="001F04FD" w:rsidP="00AC4DEE">
            <w:pPr>
              <w:pStyle w:val="VariableDefinition"/>
              <w:tabs>
                <w:tab w:val="clear" w:pos="2160"/>
                <w:tab w:val="left" w:pos="2880"/>
              </w:tabs>
              <w:spacing w:after="60"/>
              <w:ind w:left="0" w:firstLine="0"/>
              <w:rPr>
                <w:sz w:val="20"/>
              </w:rPr>
            </w:pPr>
            <w:r w:rsidRPr="0013396E">
              <w:rPr>
                <w:i/>
                <w:sz w:val="20"/>
              </w:rPr>
              <w:t>Load-Allocated Monthly BLT Amount</w:t>
            </w:r>
            <w:r w:rsidRPr="0013396E">
              <w:rPr>
                <w:sz w:val="20"/>
              </w:rPr>
              <w:t xml:space="preserve"> </w:t>
            </w:r>
            <w:r w:rsidRPr="0013396E">
              <w:rPr>
                <w:i/>
                <w:sz w:val="20"/>
              </w:rPr>
              <w:t>per QSE</w:t>
            </w:r>
            <w:r w:rsidRPr="0013396E">
              <w:t>—</w:t>
            </w:r>
            <w:r w:rsidRPr="0013396E">
              <w:rPr>
                <w:sz w:val="20"/>
              </w:rPr>
              <w:t>Monthly BLT charge for QSE</w:t>
            </w:r>
            <w:r w:rsidRPr="0013396E">
              <w:rPr>
                <w:bCs/>
                <w:sz w:val="20"/>
              </w:rPr>
              <w:t xml:space="preserve"> </w:t>
            </w:r>
            <w:r w:rsidRPr="0013396E">
              <w:rPr>
                <w:bCs/>
                <w:i/>
                <w:sz w:val="20"/>
              </w:rPr>
              <w:t>q</w:t>
            </w:r>
            <w:r w:rsidRPr="0013396E">
              <w:rPr>
                <w:sz w:val="20"/>
              </w:rPr>
              <w:t>.</w:t>
            </w:r>
          </w:p>
        </w:tc>
      </w:tr>
      <w:tr w:rsidR="001F04FD" w:rsidRPr="0013396E" w14:paraId="768FF47F" w14:textId="77777777" w:rsidTr="00154FF3">
        <w:trPr>
          <w:cantSplit/>
        </w:trPr>
        <w:tc>
          <w:tcPr>
            <w:tcW w:w="1252" w:type="pct"/>
          </w:tcPr>
          <w:p w14:paraId="2D2D38D2" w14:textId="77777777" w:rsidR="001F04FD" w:rsidRPr="0013396E" w:rsidRDefault="001F04FD" w:rsidP="00AC4DEE">
            <w:pPr>
              <w:pStyle w:val="TableBody"/>
            </w:pPr>
            <w:r w:rsidRPr="0013396E">
              <w:t xml:space="preserve">MBLTAMTTOT </w:t>
            </w:r>
          </w:p>
        </w:tc>
        <w:tc>
          <w:tcPr>
            <w:tcW w:w="458" w:type="pct"/>
          </w:tcPr>
          <w:p w14:paraId="3AE9A2C9" w14:textId="77777777" w:rsidR="001F04FD" w:rsidRPr="0013396E" w:rsidRDefault="001F04FD" w:rsidP="00AC4DEE">
            <w:pPr>
              <w:pStyle w:val="VariableDefinition"/>
              <w:tabs>
                <w:tab w:val="clear" w:pos="2160"/>
                <w:tab w:val="left" w:pos="2880"/>
              </w:tabs>
              <w:spacing w:after="60"/>
              <w:ind w:left="0" w:firstLine="0"/>
              <w:rPr>
                <w:sz w:val="20"/>
              </w:rPr>
            </w:pPr>
            <w:r w:rsidRPr="0013396E">
              <w:rPr>
                <w:sz w:val="20"/>
              </w:rPr>
              <w:t>$</w:t>
            </w:r>
          </w:p>
        </w:tc>
        <w:tc>
          <w:tcPr>
            <w:tcW w:w="3290" w:type="pct"/>
          </w:tcPr>
          <w:p w14:paraId="3016D256" w14:textId="77777777" w:rsidR="001F04FD" w:rsidRPr="0013396E" w:rsidRDefault="001F04FD" w:rsidP="00AC4DEE">
            <w:pPr>
              <w:pStyle w:val="VariableDefinition"/>
              <w:tabs>
                <w:tab w:val="clear" w:pos="2160"/>
                <w:tab w:val="left" w:pos="2880"/>
              </w:tabs>
              <w:spacing w:after="60"/>
              <w:ind w:left="0" w:firstLine="0"/>
              <w:rPr>
                <w:sz w:val="20"/>
              </w:rPr>
            </w:pPr>
            <w:r w:rsidRPr="0013396E">
              <w:rPr>
                <w:i/>
                <w:sz w:val="20"/>
              </w:rPr>
              <w:t>Monthly BLT Amount ERCOT wide Total</w:t>
            </w:r>
            <w:r w:rsidRPr="0013396E">
              <w:t>—</w:t>
            </w:r>
            <w:r w:rsidRPr="0013396E">
              <w:rPr>
                <w:sz w:val="20"/>
              </w:rPr>
              <w:t>The total monthly BLT charge for all QSEs.</w:t>
            </w:r>
          </w:p>
        </w:tc>
      </w:tr>
      <w:tr w:rsidR="001F04FD" w:rsidRPr="0013396E" w14:paraId="349FBA1D" w14:textId="77777777" w:rsidTr="00154FF3">
        <w:trPr>
          <w:cantSplit/>
          <w:trHeight w:val="323"/>
        </w:trPr>
        <w:tc>
          <w:tcPr>
            <w:tcW w:w="1252" w:type="pct"/>
          </w:tcPr>
          <w:p w14:paraId="0BA3A261" w14:textId="77777777" w:rsidR="001F04FD" w:rsidRPr="0013396E" w:rsidRDefault="001F04FD" w:rsidP="00AC4DEE">
            <w:pPr>
              <w:pStyle w:val="TableBody"/>
            </w:pPr>
            <w:r w:rsidRPr="0013396E">
              <w:rPr>
                <w:i/>
              </w:rPr>
              <w:t>q</w:t>
            </w:r>
          </w:p>
        </w:tc>
        <w:tc>
          <w:tcPr>
            <w:tcW w:w="458" w:type="pct"/>
          </w:tcPr>
          <w:p w14:paraId="1F9908A1" w14:textId="77777777" w:rsidR="001F04FD" w:rsidRPr="0013396E" w:rsidRDefault="001F04FD" w:rsidP="00AC4DEE">
            <w:pPr>
              <w:pStyle w:val="VariableDefinition"/>
              <w:tabs>
                <w:tab w:val="clear" w:pos="2160"/>
                <w:tab w:val="left" w:pos="2880"/>
              </w:tabs>
              <w:spacing w:after="60"/>
              <w:ind w:left="0" w:firstLine="0"/>
              <w:rPr>
                <w:sz w:val="20"/>
              </w:rPr>
            </w:pPr>
            <w:r w:rsidRPr="0013396E">
              <w:rPr>
                <w:sz w:val="20"/>
              </w:rPr>
              <w:t>none</w:t>
            </w:r>
          </w:p>
        </w:tc>
        <w:tc>
          <w:tcPr>
            <w:tcW w:w="3290" w:type="pct"/>
          </w:tcPr>
          <w:p w14:paraId="4CECD477" w14:textId="77777777" w:rsidR="001F04FD" w:rsidRPr="0013396E" w:rsidRDefault="001F04FD" w:rsidP="00AC4DEE">
            <w:pPr>
              <w:pStyle w:val="VariableDefinition"/>
              <w:tabs>
                <w:tab w:val="clear" w:pos="2160"/>
                <w:tab w:val="left" w:pos="2880"/>
              </w:tabs>
              <w:spacing w:after="60"/>
              <w:ind w:left="0" w:firstLine="0"/>
              <w:rPr>
                <w:i/>
                <w:sz w:val="20"/>
              </w:rPr>
            </w:pPr>
            <w:r w:rsidRPr="0013396E">
              <w:rPr>
                <w:sz w:val="20"/>
              </w:rPr>
              <w:t>A QSE.</w:t>
            </w:r>
          </w:p>
        </w:tc>
      </w:tr>
    </w:tbl>
    <w:p w14:paraId="6076FF3D" w14:textId="77777777" w:rsidR="00154FF3" w:rsidRPr="0013396E" w:rsidRDefault="00154FF3"/>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10045"/>
      </w:tblGrid>
      <w:tr w:rsidR="00154FF3" w:rsidRPr="0013396E" w14:paraId="3A00B29A" w14:textId="77777777" w:rsidTr="00154FF3">
        <w:trPr>
          <w:trHeight w:val="206"/>
        </w:trPr>
        <w:tc>
          <w:tcPr>
            <w:tcW w:w="5000" w:type="pct"/>
            <w:shd w:val="pct12" w:color="auto" w:fill="auto"/>
          </w:tcPr>
          <w:p w14:paraId="72A4EB4F" w14:textId="1196C33C" w:rsidR="00154FF3" w:rsidRPr="0013396E" w:rsidRDefault="00154FF3" w:rsidP="00663874">
            <w:pPr>
              <w:pStyle w:val="Instructions"/>
              <w:spacing w:before="120"/>
            </w:pPr>
            <w:bookmarkStart w:id="1652" w:name="_Toc397505018"/>
            <w:bookmarkStart w:id="1653" w:name="_Toc402357146"/>
            <w:bookmarkStart w:id="1654" w:name="_Toc422486524"/>
            <w:bookmarkStart w:id="1655" w:name="_Toc433093376"/>
            <w:bookmarkStart w:id="1656" w:name="_Toc433093534"/>
            <w:bookmarkStart w:id="1657" w:name="_Toc440874762"/>
            <w:bookmarkStart w:id="1658" w:name="_Toc448142317"/>
            <w:bookmarkStart w:id="1659" w:name="_Toc448142474"/>
            <w:bookmarkStart w:id="1660" w:name="_Toc458770315"/>
            <w:bookmarkStart w:id="1661" w:name="_Toc459294283"/>
            <w:bookmarkStart w:id="1662" w:name="_Toc463262776"/>
            <w:bookmarkStart w:id="1663" w:name="_Toc468286849"/>
            <w:bookmarkStart w:id="1664" w:name="_Toc481502892"/>
            <w:bookmarkStart w:id="1665" w:name="_Toc496080060"/>
            <w:r w:rsidRPr="0013396E">
              <w:t>[NPRR1030:  Replace paragraph (c) above with the following upon system implementation:]</w:t>
            </w:r>
          </w:p>
          <w:p w14:paraId="684F4774" w14:textId="77777777" w:rsidR="00154FF3" w:rsidRPr="0013396E" w:rsidRDefault="00154FF3" w:rsidP="00154FF3">
            <w:pPr>
              <w:pStyle w:val="List"/>
              <w:spacing w:before="240"/>
            </w:pPr>
            <w:r w:rsidRPr="0013396E">
              <w:t>(c)</w:t>
            </w:r>
            <w:r w:rsidRPr="0013396E">
              <w:tab/>
              <w:t>ERCOT shall calculate each QSE’s monthly BLT charge as follows:</w:t>
            </w:r>
          </w:p>
          <w:p w14:paraId="447517EA" w14:textId="77777777" w:rsidR="00154FF3" w:rsidRPr="0013396E" w:rsidRDefault="00154FF3" w:rsidP="009F62BA">
            <w:pPr>
              <w:pStyle w:val="BodyText"/>
              <w:ind w:left="1440"/>
              <w:rPr>
                <w:b/>
              </w:rPr>
            </w:pPr>
            <w:r w:rsidRPr="0013396E">
              <w:rPr>
                <w:b/>
                <w:lang w:val="pt-BR"/>
              </w:rPr>
              <w:t xml:space="preserve">LAMBLTAMT </w:t>
            </w:r>
            <w:r w:rsidRPr="0013396E">
              <w:rPr>
                <w:b/>
                <w:i/>
                <w:vertAlign w:val="subscript"/>
                <w:lang w:val="pt-BR"/>
              </w:rPr>
              <w:t>q</w:t>
            </w:r>
            <w:r w:rsidRPr="0013396E">
              <w:rPr>
                <w:b/>
              </w:rPr>
              <w:t xml:space="preserve">   =   (-1) * (</w:t>
            </w:r>
            <w:r w:rsidRPr="0013396E">
              <w:rPr>
                <w:b/>
                <w:lang w:val="pt-BR"/>
              </w:rPr>
              <w:t xml:space="preserve">MBLTDC </w:t>
            </w:r>
            <w:r w:rsidRPr="0013396E">
              <w:rPr>
                <w:b/>
                <w:i/>
                <w:vertAlign w:val="subscript"/>
                <w:lang w:val="pt-BR"/>
              </w:rPr>
              <w:t>q</w:t>
            </w:r>
            <w:r w:rsidRPr="0013396E">
              <w:rPr>
                <w:b/>
              </w:rPr>
              <w:t xml:space="preserve"> + </w:t>
            </w:r>
            <w:r w:rsidRPr="0013396E">
              <w:rPr>
                <w:b/>
                <w:lang w:val="pt-BR"/>
              </w:rPr>
              <w:t xml:space="preserve">MBLTNDC </w:t>
            </w:r>
            <w:r w:rsidRPr="0013396E">
              <w:rPr>
                <w:b/>
                <w:i/>
                <w:vertAlign w:val="subscript"/>
                <w:lang w:val="pt-BR"/>
              </w:rPr>
              <w:t>q</w:t>
            </w:r>
            <w:r w:rsidRPr="0013396E">
              <w:rPr>
                <w:b/>
                <w:lang w:val="pt-BR"/>
              </w:rPr>
              <w:t>)</w:t>
            </w:r>
          </w:p>
          <w:p w14:paraId="5B233FA0" w14:textId="77777777" w:rsidR="00154FF3" w:rsidRPr="0013396E" w:rsidRDefault="00154FF3" w:rsidP="009F62BA">
            <w:pPr>
              <w:pStyle w:val="BodyText"/>
              <w:ind w:left="1440"/>
            </w:pPr>
            <w:r w:rsidRPr="0013396E">
              <w:t>Where:</w:t>
            </w:r>
          </w:p>
          <w:p w14:paraId="724CD23C" w14:textId="77777777" w:rsidR="00154FF3" w:rsidRPr="0013396E" w:rsidRDefault="00154FF3" w:rsidP="009F62BA">
            <w:pPr>
              <w:pStyle w:val="FormulaBold"/>
              <w:ind w:left="4680"/>
              <w:rPr>
                <w:b w:val="0"/>
              </w:rPr>
            </w:pPr>
            <w:r w:rsidRPr="0013396E">
              <w:rPr>
                <w:b w:val="0"/>
                <w:lang w:val="pt-BR"/>
              </w:rPr>
              <w:t xml:space="preserve">MBLTNDC </w:t>
            </w:r>
            <w:r w:rsidRPr="0013396E">
              <w:rPr>
                <w:b w:val="0"/>
                <w:i/>
                <w:vertAlign w:val="subscript"/>
                <w:lang w:val="pt-BR"/>
              </w:rPr>
              <w:t>q</w:t>
            </w:r>
            <w:r w:rsidRPr="0013396E">
              <w:rPr>
                <w:b w:val="0"/>
              </w:rPr>
              <w:t xml:space="preserve">   =   MLRS </w:t>
            </w:r>
            <w:r w:rsidRPr="0013396E">
              <w:rPr>
                <w:b w:val="0"/>
                <w:i/>
                <w:vertAlign w:val="subscript"/>
              </w:rPr>
              <w:t>q</w:t>
            </w:r>
            <w:r w:rsidRPr="0013396E">
              <w:rPr>
                <w:b w:val="0"/>
                <w:vertAlign w:val="subscript"/>
              </w:rPr>
              <w:t xml:space="preserve"> </w:t>
            </w:r>
            <w:r w:rsidRPr="0013396E">
              <w:rPr>
                <w:b w:val="0"/>
              </w:rPr>
              <w:t xml:space="preserve">* (MBLTAMTTOT - </w:t>
            </w:r>
            <w:r w:rsidRPr="0013396E">
              <w:rPr>
                <w:b w:val="0"/>
                <w:position w:val="-22"/>
              </w:rPr>
              <w:object w:dxaOrig="225" w:dyaOrig="465" w14:anchorId="2B3428EC">
                <v:shape id="_x0000_i1131" type="#_x0000_t75" style="width:6pt;height:18.6pt" o:ole="">
                  <v:imagedata r:id="rId79" o:title=""/>
                </v:shape>
                <o:OLEObject Type="Embed" ProgID="Equation.3" ShapeID="_x0000_i1131" DrawAspect="Content" ObjectID="_1849065762" r:id="rId153"/>
              </w:object>
            </w:r>
            <w:r w:rsidRPr="0013396E">
              <w:rPr>
                <w:b w:val="0"/>
                <w:lang w:val="pt-BR"/>
              </w:rPr>
              <w:t xml:space="preserve">MBLTDC </w:t>
            </w:r>
            <w:r w:rsidRPr="0013396E">
              <w:rPr>
                <w:b w:val="0"/>
                <w:i/>
                <w:vertAlign w:val="subscript"/>
                <w:lang w:val="pt-BR"/>
              </w:rPr>
              <w:t>q</w:t>
            </w:r>
            <w:r w:rsidRPr="0013396E">
              <w:rPr>
                <w:b w:val="0"/>
              </w:rPr>
              <w:t>)</w:t>
            </w:r>
          </w:p>
          <w:p w14:paraId="082A4455" w14:textId="77777777" w:rsidR="00154FF3" w:rsidRPr="0013396E" w:rsidRDefault="00154FF3" w:rsidP="009F62BA">
            <w:pPr>
              <w:pStyle w:val="FormulaBold"/>
              <w:ind w:left="4680"/>
              <w:rPr>
                <w:b w:val="0"/>
              </w:rPr>
            </w:pPr>
            <w:r w:rsidRPr="0013396E">
              <w:rPr>
                <w:b w:val="0"/>
                <w:lang w:val="pt-BR"/>
              </w:rPr>
              <w:lastRenderedPageBreak/>
              <w:t xml:space="preserve">MBLTDC </w:t>
            </w:r>
            <w:r w:rsidRPr="0013396E">
              <w:rPr>
                <w:b w:val="0"/>
                <w:i/>
                <w:vertAlign w:val="subscript"/>
                <w:lang w:val="pt-BR"/>
              </w:rPr>
              <w:t>q</w:t>
            </w:r>
            <w:r w:rsidRPr="0013396E">
              <w:rPr>
                <w:b w:val="0"/>
              </w:rPr>
              <w:t xml:space="preserve">      =  DCMLRS </w:t>
            </w:r>
            <w:r w:rsidRPr="0013396E">
              <w:rPr>
                <w:b w:val="0"/>
                <w:i/>
                <w:vertAlign w:val="subscript"/>
              </w:rPr>
              <w:t>q</w:t>
            </w:r>
            <w:r w:rsidRPr="0013396E">
              <w:rPr>
                <w:b w:val="0"/>
                <w:vertAlign w:val="subscript"/>
              </w:rPr>
              <w:t xml:space="preserve"> </w:t>
            </w:r>
            <w:r w:rsidRPr="0013396E">
              <w:rPr>
                <w:b w:val="0"/>
              </w:rPr>
              <w:t>* MBLTAMTTOT</w:t>
            </w:r>
          </w:p>
          <w:p w14:paraId="588C2028" w14:textId="77777777" w:rsidR="00154FF3" w:rsidRPr="0013396E" w:rsidRDefault="00154FF3" w:rsidP="009F62BA">
            <w:pPr>
              <w:pStyle w:val="FormulaBold"/>
              <w:ind w:left="4680"/>
              <w:rPr>
                <w:b w:val="0"/>
              </w:rPr>
            </w:pPr>
            <w:r w:rsidRPr="0013396E">
              <w:rPr>
                <w:b w:val="0"/>
              </w:rPr>
              <w:t>MBLTAMTTOT</w:t>
            </w:r>
            <w:r w:rsidRPr="0013396E">
              <w:rPr>
                <w:rFonts w:ascii="Times New Roman Bold" w:hAnsi="Times New Roman Bold"/>
                <w:b w:val="0"/>
              </w:rPr>
              <w:t xml:space="preserve">   =  </w:t>
            </w:r>
            <w:r w:rsidRPr="0013396E">
              <w:rPr>
                <w:b w:val="0"/>
                <w:position w:val="-22"/>
              </w:rPr>
              <w:object w:dxaOrig="180" w:dyaOrig="465" w14:anchorId="0B12B8FC">
                <v:shape id="_x0000_i1132" type="#_x0000_t75" style="width:6pt;height:18.6pt" o:ole="">
                  <v:imagedata r:id="rId151" o:title=""/>
                </v:shape>
                <o:OLEObject Type="Embed" ProgID="Equation.3" ShapeID="_x0000_i1132" DrawAspect="Content" ObjectID="_1849065763" r:id="rId154"/>
              </w:object>
            </w:r>
            <w:r w:rsidRPr="0013396E">
              <w:rPr>
                <w:b w:val="0"/>
                <w:position w:val="-22"/>
              </w:rPr>
              <w:t xml:space="preserve"> </w:t>
            </w:r>
            <w:r w:rsidRPr="0013396E">
              <w:rPr>
                <w:b w:val="0"/>
              </w:rPr>
              <w:t>MBLTAMTQSETOT</w:t>
            </w:r>
            <w:r w:rsidRPr="0013396E">
              <w:rPr>
                <w:b w:val="0"/>
                <w:i/>
                <w:vertAlign w:val="subscript"/>
              </w:rPr>
              <w:t xml:space="preserve"> q</w:t>
            </w:r>
            <w:r w:rsidRPr="0013396E">
              <w:rPr>
                <w:b w:val="0"/>
              </w:rPr>
              <w:t xml:space="preserve"> </w:t>
            </w:r>
          </w:p>
          <w:p w14:paraId="12BA8FFA" w14:textId="77777777" w:rsidR="00154FF3" w:rsidRPr="0013396E" w:rsidRDefault="00154FF3" w:rsidP="00154FF3">
            <w:pPr>
              <w:tabs>
                <w:tab w:val="left" w:pos="2250"/>
                <w:tab w:val="left" w:pos="3150"/>
                <w:tab w:val="left" w:pos="3960"/>
              </w:tabs>
            </w:pPr>
            <w:r w:rsidRPr="0013396E">
              <w:t>The above variables are defined as follows: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55"/>
              <w:gridCol w:w="898"/>
              <w:gridCol w:w="6452"/>
            </w:tblGrid>
            <w:tr w:rsidR="00154FF3" w:rsidRPr="0013396E" w14:paraId="0456DB7A" w14:textId="77777777" w:rsidTr="00663874">
              <w:tc>
                <w:tcPr>
                  <w:tcW w:w="1252" w:type="pct"/>
                </w:tcPr>
                <w:p w14:paraId="4968A889" w14:textId="77777777" w:rsidR="00154FF3" w:rsidRPr="0013396E" w:rsidRDefault="00154FF3" w:rsidP="00154FF3">
                  <w:pPr>
                    <w:pStyle w:val="TableHead"/>
                  </w:pPr>
                  <w:r w:rsidRPr="0013396E">
                    <w:t>Variable</w:t>
                  </w:r>
                </w:p>
              </w:tc>
              <w:tc>
                <w:tcPr>
                  <w:tcW w:w="458" w:type="pct"/>
                </w:tcPr>
                <w:p w14:paraId="4F166FE7" w14:textId="77777777" w:rsidR="00154FF3" w:rsidRPr="0013396E" w:rsidRDefault="00154FF3" w:rsidP="00154FF3">
                  <w:pPr>
                    <w:pStyle w:val="TableHead"/>
                  </w:pPr>
                  <w:r w:rsidRPr="0013396E">
                    <w:t>Unit</w:t>
                  </w:r>
                </w:p>
              </w:tc>
              <w:tc>
                <w:tcPr>
                  <w:tcW w:w="3290" w:type="pct"/>
                </w:tcPr>
                <w:p w14:paraId="2ACFE37C" w14:textId="77777777" w:rsidR="00154FF3" w:rsidRPr="0013396E" w:rsidRDefault="00154FF3" w:rsidP="00154FF3">
                  <w:pPr>
                    <w:pStyle w:val="TableHead"/>
                  </w:pPr>
                  <w:r w:rsidRPr="0013396E">
                    <w:t>Description</w:t>
                  </w:r>
                </w:p>
              </w:tc>
            </w:tr>
            <w:tr w:rsidR="00154FF3" w:rsidRPr="0013396E" w14:paraId="7E4F61CE" w14:textId="77777777" w:rsidTr="00663874">
              <w:trPr>
                <w:cantSplit/>
              </w:trPr>
              <w:tc>
                <w:tcPr>
                  <w:tcW w:w="1252" w:type="pct"/>
                </w:tcPr>
                <w:p w14:paraId="132E791E" w14:textId="77777777" w:rsidR="00154FF3" w:rsidRPr="0013396E" w:rsidRDefault="00154FF3" w:rsidP="00154FF3">
                  <w:pPr>
                    <w:pStyle w:val="TableBody"/>
                  </w:pPr>
                  <w:r w:rsidRPr="0013396E">
                    <w:t xml:space="preserve">LAMBLTAMT </w:t>
                  </w:r>
                  <w:r w:rsidRPr="0013396E">
                    <w:rPr>
                      <w:i/>
                      <w:vertAlign w:val="subscript"/>
                    </w:rPr>
                    <w:t>q</w:t>
                  </w:r>
                </w:p>
              </w:tc>
              <w:tc>
                <w:tcPr>
                  <w:tcW w:w="458" w:type="pct"/>
                </w:tcPr>
                <w:p w14:paraId="78E9244D" w14:textId="77777777" w:rsidR="00154FF3" w:rsidRPr="0013396E" w:rsidRDefault="00154FF3" w:rsidP="00154FF3">
                  <w:pPr>
                    <w:pStyle w:val="VariableDefinition"/>
                    <w:tabs>
                      <w:tab w:val="clear" w:pos="2160"/>
                      <w:tab w:val="left" w:pos="2880"/>
                    </w:tabs>
                    <w:spacing w:after="60"/>
                    <w:ind w:left="0" w:firstLine="0"/>
                    <w:rPr>
                      <w:sz w:val="20"/>
                    </w:rPr>
                  </w:pPr>
                  <w:r w:rsidRPr="0013396E">
                    <w:rPr>
                      <w:sz w:val="20"/>
                    </w:rPr>
                    <w:t>$</w:t>
                  </w:r>
                </w:p>
              </w:tc>
              <w:tc>
                <w:tcPr>
                  <w:tcW w:w="3290" w:type="pct"/>
                </w:tcPr>
                <w:p w14:paraId="232284DA" w14:textId="39398F04" w:rsidR="00154FF3" w:rsidRPr="0013396E" w:rsidRDefault="00154FF3" w:rsidP="00AA16B3">
                  <w:pPr>
                    <w:pStyle w:val="VariableDefinition"/>
                    <w:tabs>
                      <w:tab w:val="clear" w:pos="2160"/>
                      <w:tab w:val="left" w:pos="2880"/>
                    </w:tabs>
                    <w:spacing w:after="60"/>
                    <w:ind w:left="0" w:firstLine="0"/>
                    <w:rPr>
                      <w:sz w:val="20"/>
                    </w:rPr>
                  </w:pPr>
                  <w:r w:rsidRPr="0013396E">
                    <w:rPr>
                      <w:i/>
                      <w:sz w:val="20"/>
                    </w:rPr>
                    <w:t>Load-Allocated Monthly BLT Amount</w:t>
                  </w:r>
                  <w:r w:rsidRPr="0013396E">
                    <w:rPr>
                      <w:sz w:val="20"/>
                    </w:rPr>
                    <w:t xml:space="preserve"> </w:t>
                  </w:r>
                  <w:r w:rsidRPr="0013396E">
                    <w:rPr>
                      <w:i/>
                      <w:sz w:val="20"/>
                    </w:rPr>
                    <w:t>per QSE</w:t>
                  </w:r>
                  <w:r w:rsidRPr="0013396E">
                    <w:t>—</w:t>
                  </w:r>
                  <w:r w:rsidRPr="0013396E">
                    <w:rPr>
                      <w:sz w:val="20"/>
                    </w:rPr>
                    <w:t>Sum of the monthly BLT charges for Loads and DC Tie exports for QSE</w:t>
                  </w:r>
                  <w:r w:rsidRPr="0013396E">
                    <w:rPr>
                      <w:bCs/>
                      <w:sz w:val="20"/>
                    </w:rPr>
                    <w:t xml:space="preserve"> </w:t>
                  </w:r>
                  <w:r w:rsidRPr="0013396E">
                    <w:rPr>
                      <w:bCs/>
                      <w:i/>
                      <w:sz w:val="20"/>
                    </w:rPr>
                    <w:t>q</w:t>
                  </w:r>
                  <w:r w:rsidRPr="0013396E">
                    <w:rPr>
                      <w:sz w:val="20"/>
                    </w:rPr>
                    <w:t>.</w:t>
                  </w:r>
                </w:p>
              </w:tc>
            </w:tr>
            <w:tr w:rsidR="00154FF3" w:rsidRPr="0013396E" w14:paraId="2FC3F1A8" w14:textId="77777777" w:rsidTr="00663874">
              <w:trPr>
                <w:cantSplit/>
                <w:trHeight w:val="692"/>
              </w:trPr>
              <w:tc>
                <w:tcPr>
                  <w:tcW w:w="1252" w:type="pct"/>
                </w:tcPr>
                <w:p w14:paraId="46680808" w14:textId="77777777" w:rsidR="00154FF3" w:rsidRPr="0013396E" w:rsidRDefault="00154FF3" w:rsidP="00154FF3">
                  <w:pPr>
                    <w:pStyle w:val="TableBody"/>
                  </w:pPr>
                  <w:r w:rsidRPr="0013396E">
                    <w:t>DCMLRS</w:t>
                  </w:r>
                  <w:r w:rsidRPr="0013396E">
                    <w:rPr>
                      <w:i/>
                      <w:vertAlign w:val="subscript"/>
                    </w:rPr>
                    <w:t xml:space="preserve"> q</w:t>
                  </w:r>
                </w:p>
              </w:tc>
              <w:tc>
                <w:tcPr>
                  <w:tcW w:w="458" w:type="pct"/>
                </w:tcPr>
                <w:p w14:paraId="2008FFD6" w14:textId="77777777" w:rsidR="00154FF3" w:rsidRPr="0013396E" w:rsidRDefault="00154FF3" w:rsidP="00154FF3">
                  <w:pPr>
                    <w:pStyle w:val="TableBody"/>
                  </w:pPr>
                  <w:r w:rsidRPr="0013396E">
                    <w:t>none</w:t>
                  </w:r>
                </w:p>
              </w:tc>
              <w:tc>
                <w:tcPr>
                  <w:tcW w:w="3290" w:type="pct"/>
                </w:tcPr>
                <w:p w14:paraId="144B81EC" w14:textId="04BDCC0B" w:rsidR="00154FF3" w:rsidRPr="0013396E" w:rsidRDefault="00154FF3" w:rsidP="001335E7">
                  <w:pPr>
                    <w:pStyle w:val="TableBody"/>
                    <w:rPr>
                      <w:i/>
                    </w:rPr>
                  </w:pPr>
                  <w:r w:rsidRPr="0013396E">
                    <w:rPr>
                      <w:i/>
                    </w:rPr>
                    <w:t>DC Tie Export Monthly Load Ratio Share per QSE</w:t>
                  </w:r>
                  <w:r w:rsidRPr="0013396E">
                    <w:t xml:space="preserve">—The ratio share calculated for QSE </w:t>
                  </w:r>
                  <w:r w:rsidRPr="0013396E">
                    <w:rPr>
                      <w:i/>
                    </w:rPr>
                    <w:t>q</w:t>
                  </w:r>
                  <w:r w:rsidRPr="0013396E">
                    <w:t xml:space="preserve"> with DC Tie Exports for the calendar month.</w:t>
                  </w:r>
                </w:p>
              </w:tc>
            </w:tr>
            <w:tr w:rsidR="00154FF3" w:rsidRPr="0013396E" w14:paraId="16C835C3" w14:textId="77777777" w:rsidTr="00154FF3">
              <w:trPr>
                <w:cantSplit/>
                <w:trHeight w:val="593"/>
              </w:trPr>
              <w:tc>
                <w:tcPr>
                  <w:tcW w:w="1252" w:type="pct"/>
                </w:tcPr>
                <w:p w14:paraId="0B1A9958" w14:textId="77777777" w:rsidR="00154FF3" w:rsidRPr="0013396E" w:rsidRDefault="00154FF3" w:rsidP="00154FF3">
                  <w:pPr>
                    <w:pStyle w:val="TableBody"/>
                  </w:pPr>
                  <w:r w:rsidRPr="0013396E">
                    <w:t xml:space="preserve">MLRS </w:t>
                  </w:r>
                  <w:r w:rsidRPr="0013396E">
                    <w:rPr>
                      <w:i/>
                      <w:vertAlign w:val="subscript"/>
                    </w:rPr>
                    <w:t>q</w:t>
                  </w:r>
                </w:p>
              </w:tc>
              <w:tc>
                <w:tcPr>
                  <w:tcW w:w="458" w:type="pct"/>
                </w:tcPr>
                <w:p w14:paraId="16797A3F" w14:textId="77777777" w:rsidR="00154FF3" w:rsidRPr="0013396E" w:rsidRDefault="00154FF3" w:rsidP="00154FF3">
                  <w:pPr>
                    <w:pStyle w:val="TableBody"/>
                  </w:pPr>
                  <w:r w:rsidRPr="0013396E">
                    <w:t>none</w:t>
                  </w:r>
                </w:p>
              </w:tc>
              <w:tc>
                <w:tcPr>
                  <w:tcW w:w="3290" w:type="pct"/>
                </w:tcPr>
                <w:p w14:paraId="4D537BFB" w14:textId="4B484C4D" w:rsidR="00154FF3" w:rsidRPr="0013396E" w:rsidRDefault="00154FF3" w:rsidP="00154FF3">
                  <w:pPr>
                    <w:pStyle w:val="TableBody"/>
                  </w:pPr>
                  <w:r w:rsidRPr="0013396E">
                    <w:rPr>
                      <w:i/>
                    </w:rPr>
                    <w:t>Monthly Load Ratio Share per QSE</w:t>
                  </w:r>
                  <w:r w:rsidRPr="0013396E">
                    <w:t xml:space="preserve">—The ratio share of Loads excluding DC Tie Exports for QSE </w:t>
                  </w:r>
                  <w:r w:rsidRPr="0013396E">
                    <w:rPr>
                      <w:i/>
                    </w:rPr>
                    <w:t>q,</w:t>
                  </w:r>
                  <w:r w:rsidRPr="0013396E">
                    <w:t xml:space="preserve"> for the peak Load 15-minute Settlement Interval.  </w:t>
                  </w:r>
                </w:p>
              </w:tc>
            </w:tr>
            <w:tr w:rsidR="00154FF3" w:rsidRPr="0013396E" w:rsidDel="00F954FC" w14:paraId="04B86F3D" w14:textId="77777777" w:rsidTr="00663874">
              <w:trPr>
                <w:cantSplit/>
              </w:trPr>
              <w:tc>
                <w:tcPr>
                  <w:tcW w:w="1252" w:type="pct"/>
                </w:tcPr>
                <w:p w14:paraId="19C32AB2" w14:textId="77777777" w:rsidR="00154FF3" w:rsidRPr="0013396E" w:rsidDel="00F954FC" w:rsidRDefault="00154FF3" w:rsidP="00154FF3">
                  <w:pPr>
                    <w:pStyle w:val="TableBody"/>
                  </w:pPr>
                  <w:r w:rsidRPr="0013396E">
                    <w:rPr>
                      <w:iCs w:val="0"/>
                    </w:rPr>
                    <w:t xml:space="preserve">MBLTAMTQSETOT </w:t>
                  </w:r>
                  <w:r w:rsidRPr="0013396E">
                    <w:rPr>
                      <w:i/>
                      <w:iCs w:val="0"/>
                      <w:vertAlign w:val="subscript"/>
                    </w:rPr>
                    <w:t>q</w:t>
                  </w:r>
                </w:p>
              </w:tc>
              <w:tc>
                <w:tcPr>
                  <w:tcW w:w="458" w:type="pct"/>
                </w:tcPr>
                <w:p w14:paraId="6F49B29F" w14:textId="77777777" w:rsidR="00154FF3" w:rsidRPr="0013396E" w:rsidRDefault="00154FF3" w:rsidP="00154FF3">
                  <w:pPr>
                    <w:pStyle w:val="VariableDefinition"/>
                    <w:spacing w:after="60"/>
                    <w:ind w:left="0" w:firstLine="0"/>
                    <w:rPr>
                      <w:sz w:val="20"/>
                    </w:rPr>
                  </w:pPr>
                  <w:r w:rsidRPr="0013396E">
                    <w:rPr>
                      <w:iCs w:val="0"/>
                      <w:sz w:val="20"/>
                    </w:rPr>
                    <w:t>$</w:t>
                  </w:r>
                </w:p>
              </w:tc>
              <w:tc>
                <w:tcPr>
                  <w:tcW w:w="3290" w:type="pct"/>
                </w:tcPr>
                <w:p w14:paraId="7956744C" w14:textId="77777777" w:rsidR="00154FF3" w:rsidRPr="0013396E" w:rsidDel="00F954FC" w:rsidRDefault="00154FF3" w:rsidP="00154FF3">
                  <w:pPr>
                    <w:pStyle w:val="VariableDefinition"/>
                    <w:spacing w:after="60"/>
                    <w:ind w:left="0" w:firstLine="0"/>
                    <w:rPr>
                      <w:sz w:val="20"/>
                    </w:rPr>
                  </w:pPr>
                  <w:r w:rsidRPr="0013396E">
                    <w:rPr>
                      <w:i/>
                      <w:iCs w:val="0"/>
                      <w:sz w:val="20"/>
                    </w:rPr>
                    <w:t>Monthly Block Load Transfer Amount QSE Total per QSE</w:t>
                  </w:r>
                  <w:r w:rsidRPr="0013396E">
                    <w:rPr>
                      <w:iCs w:val="0"/>
                      <w:sz w:val="20"/>
                    </w:rPr>
                    <w:sym w:font="Symbol" w:char="F0BE"/>
                  </w:r>
                  <w:r w:rsidRPr="0013396E">
                    <w:rPr>
                      <w:iCs w:val="0"/>
                      <w:sz w:val="20"/>
                    </w:rPr>
                    <w:t xml:space="preserve">The total of the payments to QSE </w:t>
                  </w:r>
                  <w:r w:rsidRPr="0013396E">
                    <w:rPr>
                      <w:i/>
                      <w:iCs w:val="0"/>
                      <w:sz w:val="20"/>
                    </w:rPr>
                    <w:t>q</w:t>
                  </w:r>
                  <w:r w:rsidRPr="0013396E">
                    <w:rPr>
                      <w:iCs w:val="0"/>
                      <w:sz w:val="20"/>
                    </w:rPr>
                    <w:t xml:space="preserve"> for energy delivered into the ERCOT System for the month.</w:t>
                  </w:r>
                </w:p>
              </w:tc>
            </w:tr>
            <w:tr w:rsidR="00154FF3" w:rsidRPr="0013396E" w14:paraId="20D83EAF" w14:textId="77777777" w:rsidTr="00663874">
              <w:trPr>
                <w:cantSplit/>
              </w:trPr>
              <w:tc>
                <w:tcPr>
                  <w:tcW w:w="1252" w:type="pct"/>
                </w:tcPr>
                <w:p w14:paraId="329032BB" w14:textId="77777777" w:rsidR="00154FF3" w:rsidRPr="0013396E" w:rsidRDefault="00154FF3" w:rsidP="00154FF3">
                  <w:pPr>
                    <w:pStyle w:val="TableBody"/>
                  </w:pPr>
                  <w:r w:rsidRPr="0013396E">
                    <w:t xml:space="preserve">MBLTDC </w:t>
                  </w:r>
                  <w:r w:rsidRPr="0013396E">
                    <w:rPr>
                      <w:i/>
                      <w:vertAlign w:val="subscript"/>
                    </w:rPr>
                    <w:t>q</w:t>
                  </w:r>
                </w:p>
              </w:tc>
              <w:tc>
                <w:tcPr>
                  <w:tcW w:w="458" w:type="pct"/>
                </w:tcPr>
                <w:p w14:paraId="60F6F2EB" w14:textId="77777777" w:rsidR="00154FF3" w:rsidRPr="0013396E" w:rsidRDefault="00154FF3" w:rsidP="00154FF3">
                  <w:pPr>
                    <w:pStyle w:val="VariableDefinition"/>
                    <w:tabs>
                      <w:tab w:val="clear" w:pos="2160"/>
                      <w:tab w:val="left" w:pos="2880"/>
                    </w:tabs>
                    <w:spacing w:after="60"/>
                    <w:ind w:left="0" w:firstLine="0"/>
                    <w:rPr>
                      <w:sz w:val="20"/>
                    </w:rPr>
                  </w:pPr>
                  <w:r w:rsidRPr="0013396E">
                    <w:rPr>
                      <w:sz w:val="20"/>
                    </w:rPr>
                    <w:t>$</w:t>
                  </w:r>
                </w:p>
              </w:tc>
              <w:tc>
                <w:tcPr>
                  <w:tcW w:w="3290" w:type="pct"/>
                </w:tcPr>
                <w:p w14:paraId="7CD20A0B" w14:textId="00496D3C" w:rsidR="00154FF3" w:rsidRPr="0013396E" w:rsidRDefault="00154FF3" w:rsidP="001335E7">
                  <w:pPr>
                    <w:pStyle w:val="VariableDefinition"/>
                    <w:tabs>
                      <w:tab w:val="clear" w:pos="2160"/>
                      <w:tab w:val="left" w:pos="2880"/>
                    </w:tabs>
                    <w:spacing w:after="60"/>
                    <w:ind w:left="0" w:firstLine="0"/>
                    <w:rPr>
                      <w:i/>
                      <w:sz w:val="20"/>
                    </w:rPr>
                  </w:pPr>
                  <w:r w:rsidRPr="0013396E">
                    <w:rPr>
                      <w:i/>
                      <w:sz w:val="20"/>
                    </w:rPr>
                    <w:t>Monthly BLT Amount</w:t>
                  </w:r>
                  <w:r w:rsidRPr="0013396E">
                    <w:rPr>
                      <w:sz w:val="20"/>
                    </w:rPr>
                    <w:t xml:space="preserve"> </w:t>
                  </w:r>
                  <w:r w:rsidRPr="0013396E">
                    <w:rPr>
                      <w:i/>
                      <w:sz w:val="20"/>
                    </w:rPr>
                    <w:t>for DC Tie Exports</w:t>
                  </w:r>
                  <w:r w:rsidRPr="0013396E">
                    <w:rPr>
                      <w:sz w:val="20"/>
                    </w:rPr>
                    <w:t xml:space="preserve"> </w:t>
                  </w:r>
                  <w:r w:rsidRPr="0013396E">
                    <w:rPr>
                      <w:i/>
                      <w:sz w:val="20"/>
                    </w:rPr>
                    <w:t>per QSE</w:t>
                  </w:r>
                  <w:r w:rsidRPr="0013396E">
                    <w:t>—</w:t>
                  </w:r>
                  <w:r w:rsidRPr="0013396E">
                    <w:rPr>
                      <w:sz w:val="20"/>
                    </w:rPr>
                    <w:t>Monthly BLT amount for DC Tie exports for QSE</w:t>
                  </w:r>
                  <w:r w:rsidRPr="0013396E">
                    <w:rPr>
                      <w:bCs/>
                      <w:sz w:val="20"/>
                    </w:rPr>
                    <w:t xml:space="preserve"> </w:t>
                  </w:r>
                  <w:r w:rsidRPr="0013396E">
                    <w:rPr>
                      <w:bCs/>
                      <w:i/>
                      <w:sz w:val="20"/>
                    </w:rPr>
                    <w:t>q</w:t>
                  </w:r>
                  <w:r w:rsidRPr="0013396E">
                    <w:rPr>
                      <w:sz w:val="20"/>
                    </w:rPr>
                    <w:t>.</w:t>
                  </w:r>
                </w:p>
              </w:tc>
            </w:tr>
            <w:tr w:rsidR="00154FF3" w:rsidRPr="0013396E" w14:paraId="1408ED8D" w14:textId="77777777" w:rsidTr="00663874">
              <w:trPr>
                <w:cantSplit/>
              </w:trPr>
              <w:tc>
                <w:tcPr>
                  <w:tcW w:w="1252" w:type="pct"/>
                </w:tcPr>
                <w:p w14:paraId="22E98EA0" w14:textId="77777777" w:rsidR="00154FF3" w:rsidRPr="0013396E" w:rsidRDefault="00154FF3" w:rsidP="00154FF3">
                  <w:pPr>
                    <w:pStyle w:val="TableBody"/>
                  </w:pPr>
                  <w:r w:rsidRPr="0013396E">
                    <w:t xml:space="preserve">MBLTNDC </w:t>
                  </w:r>
                  <w:r w:rsidRPr="0013396E">
                    <w:rPr>
                      <w:i/>
                      <w:vertAlign w:val="subscript"/>
                    </w:rPr>
                    <w:t>q</w:t>
                  </w:r>
                </w:p>
              </w:tc>
              <w:tc>
                <w:tcPr>
                  <w:tcW w:w="458" w:type="pct"/>
                </w:tcPr>
                <w:p w14:paraId="75115BCD" w14:textId="77777777" w:rsidR="00154FF3" w:rsidRPr="0013396E" w:rsidRDefault="00154FF3" w:rsidP="00154FF3">
                  <w:pPr>
                    <w:pStyle w:val="VariableDefinition"/>
                    <w:tabs>
                      <w:tab w:val="clear" w:pos="2160"/>
                      <w:tab w:val="left" w:pos="2880"/>
                    </w:tabs>
                    <w:spacing w:after="60"/>
                    <w:ind w:left="0" w:firstLine="0"/>
                    <w:rPr>
                      <w:sz w:val="20"/>
                    </w:rPr>
                  </w:pPr>
                  <w:r w:rsidRPr="0013396E">
                    <w:rPr>
                      <w:sz w:val="20"/>
                    </w:rPr>
                    <w:t>$</w:t>
                  </w:r>
                </w:p>
              </w:tc>
              <w:tc>
                <w:tcPr>
                  <w:tcW w:w="3290" w:type="pct"/>
                </w:tcPr>
                <w:p w14:paraId="35FBB2D9" w14:textId="7AD25BC3" w:rsidR="00154FF3" w:rsidRPr="0013396E" w:rsidRDefault="00154FF3" w:rsidP="00154FF3">
                  <w:pPr>
                    <w:pStyle w:val="VariableDefinition"/>
                    <w:tabs>
                      <w:tab w:val="clear" w:pos="2160"/>
                      <w:tab w:val="left" w:pos="2880"/>
                    </w:tabs>
                    <w:spacing w:after="60"/>
                    <w:ind w:left="0" w:firstLine="0"/>
                    <w:rPr>
                      <w:sz w:val="20"/>
                    </w:rPr>
                  </w:pPr>
                  <w:r w:rsidRPr="0013396E">
                    <w:rPr>
                      <w:i/>
                      <w:sz w:val="20"/>
                    </w:rPr>
                    <w:t>Monthly BLT Amount for Non-DC Tie Loads</w:t>
                  </w:r>
                  <w:r w:rsidRPr="0013396E">
                    <w:rPr>
                      <w:sz w:val="20"/>
                    </w:rPr>
                    <w:t xml:space="preserve"> </w:t>
                  </w:r>
                  <w:r w:rsidRPr="0013396E">
                    <w:rPr>
                      <w:i/>
                      <w:sz w:val="20"/>
                    </w:rPr>
                    <w:t>per QSE</w:t>
                  </w:r>
                  <w:r w:rsidRPr="0013396E">
                    <w:t>—</w:t>
                  </w:r>
                  <w:r w:rsidRPr="0013396E">
                    <w:rPr>
                      <w:sz w:val="20"/>
                    </w:rPr>
                    <w:t>Monthly BLT amount for Loads (excluding DC Tie exports) for QSE</w:t>
                  </w:r>
                  <w:r w:rsidRPr="0013396E">
                    <w:rPr>
                      <w:bCs/>
                      <w:sz w:val="20"/>
                    </w:rPr>
                    <w:t xml:space="preserve"> </w:t>
                  </w:r>
                  <w:r w:rsidRPr="0013396E">
                    <w:rPr>
                      <w:bCs/>
                      <w:i/>
                      <w:sz w:val="20"/>
                    </w:rPr>
                    <w:t>q</w:t>
                  </w:r>
                  <w:r w:rsidRPr="0013396E">
                    <w:rPr>
                      <w:sz w:val="20"/>
                    </w:rPr>
                    <w:t>.</w:t>
                  </w:r>
                </w:p>
              </w:tc>
            </w:tr>
            <w:tr w:rsidR="00154FF3" w:rsidRPr="0013396E" w14:paraId="4A410B8B" w14:textId="77777777" w:rsidTr="00663874">
              <w:trPr>
                <w:cantSplit/>
              </w:trPr>
              <w:tc>
                <w:tcPr>
                  <w:tcW w:w="1252" w:type="pct"/>
                </w:tcPr>
                <w:p w14:paraId="358DEEF9" w14:textId="77777777" w:rsidR="00154FF3" w:rsidRPr="0013396E" w:rsidRDefault="00154FF3" w:rsidP="00154FF3">
                  <w:pPr>
                    <w:pStyle w:val="TableBody"/>
                  </w:pPr>
                  <w:r w:rsidRPr="0013396E">
                    <w:t xml:space="preserve">MBLTAMTTOT </w:t>
                  </w:r>
                </w:p>
              </w:tc>
              <w:tc>
                <w:tcPr>
                  <w:tcW w:w="458" w:type="pct"/>
                </w:tcPr>
                <w:p w14:paraId="21159B81" w14:textId="77777777" w:rsidR="00154FF3" w:rsidRPr="0013396E" w:rsidRDefault="00154FF3" w:rsidP="00154FF3">
                  <w:pPr>
                    <w:pStyle w:val="VariableDefinition"/>
                    <w:tabs>
                      <w:tab w:val="clear" w:pos="2160"/>
                      <w:tab w:val="left" w:pos="2880"/>
                    </w:tabs>
                    <w:spacing w:after="60"/>
                    <w:ind w:left="0" w:firstLine="0"/>
                    <w:rPr>
                      <w:sz w:val="20"/>
                    </w:rPr>
                  </w:pPr>
                  <w:r w:rsidRPr="0013396E">
                    <w:rPr>
                      <w:sz w:val="20"/>
                    </w:rPr>
                    <w:t>$</w:t>
                  </w:r>
                </w:p>
              </w:tc>
              <w:tc>
                <w:tcPr>
                  <w:tcW w:w="3290" w:type="pct"/>
                </w:tcPr>
                <w:p w14:paraId="54FB5D8F" w14:textId="77777777" w:rsidR="00154FF3" w:rsidRPr="0013396E" w:rsidRDefault="00154FF3" w:rsidP="00154FF3">
                  <w:pPr>
                    <w:pStyle w:val="VariableDefinition"/>
                    <w:tabs>
                      <w:tab w:val="clear" w:pos="2160"/>
                      <w:tab w:val="left" w:pos="2880"/>
                    </w:tabs>
                    <w:spacing w:after="60"/>
                    <w:ind w:left="0" w:firstLine="0"/>
                    <w:rPr>
                      <w:sz w:val="20"/>
                    </w:rPr>
                  </w:pPr>
                  <w:r w:rsidRPr="0013396E">
                    <w:rPr>
                      <w:i/>
                      <w:sz w:val="20"/>
                    </w:rPr>
                    <w:t>Monthly BLT Amount ERCOT wide Total</w:t>
                  </w:r>
                  <w:r w:rsidRPr="0013396E">
                    <w:t>—</w:t>
                  </w:r>
                  <w:r w:rsidRPr="0013396E">
                    <w:rPr>
                      <w:sz w:val="20"/>
                    </w:rPr>
                    <w:t>The total monthly BLT payment for all QSEs.</w:t>
                  </w:r>
                </w:p>
              </w:tc>
            </w:tr>
            <w:tr w:rsidR="00154FF3" w:rsidRPr="0013396E" w14:paraId="0B7965F0" w14:textId="77777777" w:rsidTr="00663874">
              <w:trPr>
                <w:cantSplit/>
                <w:trHeight w:val="323"/>
              </w:trPr>
              <w:tc>
                <w:tcPr>
                  <w:tcW w:w="1252" w:type="pct"/>
                </w:tcPr>
                <w:p w14:paraId="3C64B01C" w14:textId="77777777" w:rsidR="00154FF3" w:rsidRPr="0013396E" w:rsidRDefault="00154FF3" w:rsidP="00154FF3">
                  <w:pPr>
                    <w:pStyle w:val="TableBody"/>
                  </w:pPr>
                  <w:r w:rsidRPr="0013396E">
                    <w:rPr>
                      <w:i/>
                    </w:rPr>
                    <w:t>q</w:t>
                  </w:r>
                </w:p>
              </w:tc>
              <w:tc>
                <w:tcPr>
                  <w:tcW w:w="458" w:type="pct"/>
                </w:tcPr>
                <w:p w14:paraId="7DC4E920" w14:textId="77777777" w:rsidR="00154FF3" w:rsidRPr="0013396E" w:rsidRDefault="00154FF3" w:rsidP="00154FF3">
                  <w:pPr>
                    <w:pStyle w:val="VariableDefinition"/>
                    <w:tabs>
                      <w:tab w:val="clear" w:pos="2160"/>
                      <w:tab w:val="left" w:pos="2880"/>
                    </w:tabs>
                    <w:spacing w:after="60"/>
                    <w:ind w:left="0" w:firstLine="0"/>
                    <w:rPr>
                      <w:sz w:val="20"/>
                    </w:rPr>
                  </w:pPr>
                  <w:r w:rsidRPr="0013396E">
                    <w:rPr>
                      <w:sz w:val="20"/>
                    </w:rPr>
                    <w:t>none</w:t>
                  </w:r>
                </w:p>
              </w:tc>
              <w:tc>
                <w:tcPr>
                  <w:tcW w:w="3290" w:type="pct"/>
                </w:tcPr>
                <w:p w14:paraId="0630715B" w14:textId="77777777" w:rsidR="00154FF3" w:rsidRPr="0013396E" w:rsidRDefault="00154FF3" w:rsidP="00154FF3">
                  <w:pPr>
                    <w:pStyle w:val="VariableDefinition"/>
                    <w:tabs>
                      <w:tab w:val="clear" w:pos="2160"/>
                      <w:tab w:val="left" w:pos="2880"/>
                    </w:tabs>
                    <w:spacing w:after="60"/>
                    <w:ind w:left="0" w:firstLine="0"/>
                    <w:rPr>
                      <w:i/>
                      <w:sz w:val="20"/>
                    </w:rPr>
                  </w:pPr>
                  <w:r w:rsidRPr="0013396E">
                    <w:rPr>
                      <w:sz w:val="20"/>
                    </w:rPr>
                    <w:t>A QSE.</w:t>
                  </w:r>
                </w:p>
              </w:tc>
            </w:tr>
          </w:tbl>
          <w:p w14:paraId="3BE42232" w14:textId="109EF06E" w:rsidR="00154FF3" w:rsidRPr="0013396E" w:rsidRDefault="00154FF3" w:rsidP="00663874">
            <w:pPr>
              <w:pStyle w:val="H4"/>
              <w:ind w:left="720" w:hanging="720"/>
              <w:rPr>
                <w:b w:val="0"/>
              </w:rPr>
            </w:pPr>
          </w:p>
        </w:tc>
      </w:tr>
    </w:tbl>
    <w:p w14:paraId="7129E4CA" w14:textId="6A01025F" w:rsidR="00C57701" w:rsidRPr="0013396E" w:rsidRDefault="00C57701" w:rsidP="006B72E9">
      <w:pPr>
        <w:keepNext/>
        <w:widowControl w:val="0"/>
        <w:tabs>
          <w:tab w:val="left" w:pos="1260"/>
        </w:tabs>
        <w:spacing w:before="480" w:after="240"/>
        <w:ind w:left="1267" w:hanging="1267"/>
        <w:outlineLvl w:val="3"/>
        <w:rPr>
          <w:b/>
        </w:rPr>
      </w:pPr>
      <w:bookmarkStart w:id="1666" w:name="_Toc481502895"/>
      <w:bookmarkStart w:id="1667" w:name="_Toc496080063"/>
      <w:bookmarkStart w:id="1668" w:name="_Toc236220181"/>
      <w:bookmarkStart w:id="1669" w:name="_Toc118908577"/>
      <w:bookmarkStart w:id="1670" w:name="_Toc119180748"/>
      <w:bookmarkStart w:id="1671" w:name="_Toc397505019"/>
      <w:bookmarkStart w:id="1672" w:name="_Toc402357147"/>
      <w:bookmarkStart w:id="1673" w:name="_Toc422486527"/>
      <w:bookmarkStart w:id="1674" w:name="_Toc433093380"/>
      <w:bookmarkStart w:id="1675" w:name="_Toc433093538"/>
      <w:bookmarkStart w:id="1676" w:name="_Toc440874768"/>
      <w:bookmarkStart w:id="1677" w:name="_Toc87951794"/>
      <w:bookmarkStart w:id="1678" w:name="_Toc109009400"/>
      <w:bookmarkEnd w:id="1649"/>
      <w:bookmarkEnd w:id="1650"/>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sidRPr="0013396E">
        <w:rPr>
          <w:b/>
        </w:rPr>
        <w:lastRenderedPageBreak/>
        <w:t>6.6.3.</w:t>
      </w:r>
      <w:r w:rsidR="00A01A2C" w:rsidRPr="0013396E">
        <w:rPr>
          <w:b/>
        </w:rPr>
        <w:t>6</w:t>
      </w:r>
      <w:r w:rsidRPr="0013396E">
        <w:rPr>
          <w:b/>
        </w:rPr>
        <w:tab/>
        <w:t>Real-Time High Dispatch Limit Override Energy Payment</w:t>
      </w:r>
      <w:bookmarkEnd w:id="1666"/>
      <w:bookmarkEnd w:id="1667"/>
      <w:bookmarkEnd w:id="1668"/>
      <w:r w:rsidRPr="0013396E">
        <w:rPr>
          <w:b/>
        </w:rPr>
        <w:t xml:space="preserve">  </w:t>
      </w:r>
    </w:p>
    <w:p w14:paraId="225C6F91" w14:textId="7B6C6F12" w:rsidR="00B361A1" w:rsidRPr="0013396E" w:rsidRDefault="00B361A1" w:rsidP="00B361A1">
      <w:pPr>
        <w:spacing w:after="240"/>
        <w:ind w:left="720" w:hanging="720"/>
        <w:rPr>
          <w:color w:val="000000"/>
        </w:rPr>
      </w:pPr>
      <w:r w:rsidRPr="0013396E">
        <w:rPr>
          <w:color w:val="000000"/>
        </w:rPr>
        <w:t>(1)</w:t>
      </w:r>
      <w:r w:rsidRPr="0013396E">
        <w:rPr>
          <w:color w:val="000000"/>
        </w:rPr>
        <w:tab/>
        <w:t>If ERCOT directs a Generation Resource or ES</w:t>
      </w:r>
      <w:r w:rsidR="00602196">
        <w:rPr>
          <w:color w:val="000000"/>
        </w:rPr>
        <w:t>R</w:t>
      </w:r>
      <w:r w:rsidRPr="0013396E">
        <w:rPr>
          <w:color w:val="000000"/>
        </w:rPr>
        <w:t xml:space="preserve"> to reduce real power output by employing a manual High Dispatch Limit (HDL) override, or issues a Verbal Dispatch Instruction (VDI) to a Generation Resource or ESR to adjust its operation to produce the same effect, and the reduction causes the QSE to suffer a demonstrable financial loss, the QSE may be eligible for a Real-Time High Dispatch Limit Override Energy Payment, as calculated below, upon providing documented proof of that loss.  In order to qualify for this payment the QSE must:</w:t>
      </w:r>
    </w:p>
    <w:p w14:paraId="4F30C6EC" w14:textId="77777777" w:rsidR="00B361A1" w:rsidRPr="0013396E" w:rsidRDefault="00B361A1" w:rsidP="00B361A1">
      <w:pPr>
        <w:spacing w:after="240"/>
        <w:ind w:left="1440" w:hanging="720"/>
      </w:pPr>
      <w:r w:rsidRPr="0013396E">
        <w:t>(a)</w:t>
      </w:r>
      <w:r w:rsidRPr="0013396E">
        <w:tab/>
        <w:t>Have complied with ERCOT Dispatch Instructions to reduce real power output;</w:t>
      </w:r>
    </w:p>
    <w:p w14:paraId="1D4C1CE2" w14:textId="77777777" w:rsidR="00B361A1" w:rsidRPr="0013396E" w:rsidRDefault="00B361A1" w:rsidP="00B361A1">
      <w:pPr>
        <w:spacing w:after="240"/>
        <w:ind w:left="1440" w:hanging="720"/>
      </w:pPr>
      <w:r w:rsidRPr="0013396E">
        <w:t>(b)</w:t>
      </w:r>
      <w:r w:rsidRPr="0013396E">
        <w:tab/>
        <w:t>Have either received a SCED Base Point equal to the Resource’s HDL override value or received a SCED Base Point less than the Resource’s output level at the time of the instruction but greater than or equal to the instructed operating level specified in the VDI, during the 15-minute Settlement Interval;</w:t>
      </w:r>
    </w:p>
    <w:p w14:paraId="0BFCD914" w14:textId="77777777" w:rsidR="00B361A1" w:rsidRPr="0013396E" w:rsidRDefault="00B361A1" w:rsidP="00B361A1">
      <w:pPr>
        <w:spacing w:after="240"/>
        <w:ind w:left="1440" w:hanging="720"/>
      </w:pPr>
      <w:r w:rsidRPr="0013396E">
        <w:t>(c)</w:t>
      </w:r>
      <w:r w:rsidRPr="0013396E">
        <w:tab/>
        <w:t>Have incurred a demonstrable financial loss (excluding lost opportunity costs) caused by the HDL override associated with one of the following:</w:t>
      </w:r>
    </w:p>
    <w:p w14:paraId="7E2098F9" w14:textId="77777777" w:rsidR="00B361A1" w:rsidRPr="0013396E" w:rsidRDefault="00B361A1" w:rsidP="00B361A1">
      <w:pPr>
        <w:spacing w:after="240"/>
        <w:ind w:left="2160" w:hanging="720"/>
      </w:pPr>
      <w:r w:rsidRPr="0013396E">
        <w:t>(i)</w:t>
      </w:r>
      <w:r w:rsidRPr="0013396E">
        <w:tab/>
        <w:t>Variable cost components of DAM obligations;</w:t>
      </w:r>
    </w:p>
    <w:p w14:paraId="439977F3" w14:textId="77777777" w:rsidR="00B361A1" w:rsidRPr="0013396E" w:rsidRDefault="00B361A1" w:rsidP="00B361A1">
      <w:pPr>
        <w:spacing w:after="240"/>
        <w:ind w:left="2160" w:hanging="720"/>
      </w:pPr>
      <w:r w:rsidRPr="0013396E">
        <w:lastRenderedPageBreak/>
        <w:t>(ii)</w:t>
      </w:r>
      <w:r w:rsidRPr="0013396E">
        <w:tab/>
        <w:t>QSEs representing only Generation Resources in their portfolio with an HDL override for a Resource with a bilateral contract to sell energy at its Resource Node; or</w:t>
      </w:r>
    </w:p>
    <w:p w14:paraId="719B89E7" w14:textId="236FC9A8" w:rsidR="00B361A1" w:rsidRPr="0013396E" w:rsidRDefault="00B361A1" w:rsidP="00B361A1">
      <w:pPr>
        <w:spacing w:after="240"/>
        <w:ind w:left="2160" w:hanging="720"/>
      </w:pPr>
      <w:r w:rsidRPr="0013396E">
        <w:t>(iii)</w:t>
      </w:r>
      <w:r w:rsidRPr="0013396E">
        <w:tab/>
        <w:t>Incremental costs incurred by a QSE in the RTM to serve its Load if the HDL override for a Resource in the same QSE portfolio as the Load, causes the QSE to be short energy compared to its Load; and</w:t>
      </w:r>
    </w:p>
    <w:p w14:paraId="770660F2" w14:textId="77777777" w:rsidR="00B361A1" w:rsidRPr="0013396E" w:rsidRDefault="00B361A1" w:rsidP="00B361A1">
      <w:pPr>
        <w:spacing w:after="240"/>
        <w:ind w:left="1440" w:hanging="720"/>
      </w:pPr>
      <w:r w:rsidRPr="0013396E">
        <w:t>(d)</w:t>
      </w:r>
      <w:r w:rsidRPr="0013396E">
        <w:tab/>
        <w:t xml:space="preserve">File a timely Settlement and billing dispute in accordance with Section 9.14, Settlement and Billing Dispute Process, including the following items: </w:t>
      </w:r>
    </w:p>
    <w:p w14:paraId="4AC211D5" w14:textId="77777777" w:rsidR="00B361A1" w:rsidRPr="0013396E" w:rsidRDefault="00B361A1" w:rsidP="00B361A1">
      <w:pPr>
        <w:spacing w:after="240"/>
        <w:ind w:left="2160" w:hanging="720"/>
      </w:pPr>
      <w:r w:rsidRPr="0013396E">
        <w:t>(i)</w:t>
      </w:r>
      <w:r w:rsidRPr="0013396E">
        <w:tab/>
        <w:t>An attestation signed by an officer or executive with authority to bind the QSE;</w:t>
      </w:r>
    </w:p>
    <w:p w14:paraId="12330434" w14:textId="77777777" w:rsidR="00B361A1" w:rsidRPr="0013396E" w:rsidRDefault="00B361A1" w:rsidP="00B361A1">
      <w:pPr>
        <w:spacing w:after="240"/>
        <w:ind w:left="2160" w:hanging="720"/>
      </w:pPr>
      <w:r w:rsidRPr="0013396E">
        <w:t>(ii)</w:t>
      </w:r>
      <w:r w:rsidRPr="0013396E">
        <w:tab/>
        <w:t>The dollar amount and calculation of the financial loss by Settlement Interval;</w:t>
      </w:r>
    </w:p>
    <w:p w14:paraId="4A3500FA" w14:textId="77777777" w:rsidR="00B361A1" w:rsidRPr="0013396E" w:rsidRDefault="00B361A1" w:rsidP="00B361A1">
      <w:pPr>
        <w:spacing w:after="240"/>
        <w:ind w:left="2160" w:hanging="720"/>
      </w:pPr>
      <w:r w:rsidRPr="0013396E">
        <w:t>(iii)</w:t>
      </w:r>
      <w:r w:rsidRPr="0013396E">
        <w:tab/>
        <w:t xml:space="preserve">An explanation of the nature of the loss and how it was attributable to the HDL override or equivalent VDI issued by ERCOT; and </w:t>
      </w:r>
    </w:p>
    <w:p w14:paraId="6E735899" w14:textId="77777777" w:rsidR="00B361A1" w:rsidRPr="0013396E" w:rsidRDefault="00B361A1" w:rsidP="00B361A1">
      <w:pPr>
        <w:spacing w:after="240"/>
        <w:ind w:left="2160" w:hanging="720"/>
      </w:pPr>
      <w:r w:rsidRPr="0013396E">
        <w:t>(iv)</w:t>
      </w:r>
      <w:r w:rsidRPr="0013396E">
        <w:tab/>
        <w:t>Sufficient documentation to support the QSE’s calculation of the amount of the financial loss.</w:t>
      </w:r>
    </w:p>
    <w:p w14:paraId="5A1AE75B" w14:textId="77777777" w:rsidR="00B361A1" w:rsidRPr="0013396E" w:rsidRDefault="00B361A1" w:rsidP="00B361A1">
      <w:pPr>
        <w:spacing w:after="240"/>
        <w:ind w:left="720" w:hanging="720"/>
        <w:rPr>
          <w:color w:val="000000"/>
        </w:rPr>
      </w:pPr>
      <w:r w:rsidRPr="0013396E">
        <w:rPr>
          <w:color w:val="000000"/>
        </w:rPr>
        <w:t>(2)</w:t>
      </w:r>
      <w:r w:rsidRPr="0013396E">
        <w:rPr>
          <w:color w:val="000000"/>
        </w:rPr>
        <w:tab/>
        <w:t xml:space="preserve">Notwithstanding the attestation requirement described in paragraph (1)(d) above, for QSEs filing </w:t>
      </w:r>
      <w:r w:rsidRPr="0013396E">
        <w:t xml:space="preserve">a demonstrable financial loss per paragraph (1)(c)(iii) above, the attestation must also </w:t>
      </w:r>
      <w:r w:rsidRPr="0013396E">
        <w:rPr>
          <w:color w:val="000000"/>
        </w:rPr>
        <w:t>state that the Resource with the HDL override was serving the Load in the same QSE portfolio as the Resource, at the time the HDL override was issued.</w:t>
      </w:r>
    </w:p>
    <w:p w14:paraId="552A7EF9" w14:textId="77777777" w:rsidR="00B361A1" w:rsidRPr="0013396E" w:rsidRDefault="00B361A1" w:rsidP="00B361A1">
      <w:pPr>
        <w:spacing w:after="240"/>
        <w:ind w:left="720" w:hanging="720"/>
        <w:rPr>
          <w:color w:val="000000"/>
        </w:rPr>
      </w:pPr>
      <w:r w:rsidRPr="0013396E">
        <w:rPr>
          <w:color w:val="000000"/>
        </w:rPr>
        <w:t>(3)        If the total Settlement amount of High Dispatch Limit Override Energy Payments exceeds $3.5 million in a calendar year, ERCOT will report to the Technical Advisory Committee (TAC) the causes of the payments and provide recommendations on how to reduce the costs both operationally and based on the eligible demonstrable financial loss criteria in paragraph (1)(c) above.</w:t>
      </w:r>
    </w:p>
    <w:p w14:paraId="5A560C65" w14:textId="77777777" w:rsidR="00B361A1" w:rsidRPr="0013396E" w:rsidRDefault="00B361A1" w:rsidP="00B361A1">
      <w:pPr>
        <w:spacing w:after="240"/>
        <w:ind w:left="720" w:hanging="720"/>
        <w:rPr>
          <w:color w:val="000000"/>
        </w:rPr>
      </w:pPr>
      <w:r w:rsidRPr="0013396E">
        <w:rPr>
          <w:color w:val="000000"/>
        </w:rPr>
        <w:t>(4)</w:t>
      </w:r>
      <w:r w:rsidRPr="0013396E">
        <w:rPr>
          <w:color w:val="000000"/>
        </w:rPr>
        <w:tab/>
        <w:t xml:space="preserve">ERCOT may request additional supporting documentation or explanation with respect to the submitted materials within 15 Business Days of receipt.  Additional information requested by ERCOT must be provided by the QSE within 15 Business Days of ERCOT’s request.  ERCOT will provide Notice of its acceptance or rejection of the claim for the High Dispatch Limit Override Energy Payment within 15 Business Days of the updated submission. </w:t>
      </w:r>
    </w:p>
    <w:p w14:paraId="322654C9" w14:textId="77777777" w:rsidR="00B361A1" w:rsidRPr="0013396E" w:rsidRDefault="00B361A1" w:rsidP="00B361A1">
      <w:pPr>
        <w:spacing w:after="240"/>
        <w:ind w:left="720" w:hanging="720"/>
        <w:rPr>
          <w:color w:val="000000"/>
        </w:rPr>
      </w:pPr>
      <w:r w:rsidRPr="0013396E">
        <w:rPr>
          <w:color w:val="000000"/>
        </w:rPr>
        <w:t>(5)</w:t>
      </w:r>
      <w:r w:rsidRPr="0013396E">
        <w:rPr>
          <w:color w:val="000000"/>
        </w:rPr>
        <w:tab/>
        <w:t>The Energy Offer Curve or Energy Bid/Offer Curve used to calculate the Real-Time High Dispatch Limit Override Energy Payment will be the most recent valid Energy Offer Curve or Energy Bid/Offer Curve received by ERCOT that was effective for the disputed interval(s) when the HDL override or equivalent VDI was issued.  If no curve exists for the interval being disputed, ERCOT will use the most recent valid Energy Offer Curve or Energy Bid/Offer Curve received before the HDL override or equivalent VDI was issued for an interval prior to the disputed interval(s).</w:t>
      </w:r>
    </w:p>
    <w:p w14:paraId="038F718C" w14:textId="77777777" w:rsidR="00B361A1" w:rsidRPr="0013396E" w:rsidRDefault="00B361A1" w:rsidP="00B361A1">
      <w:pPr>
        <w:spacing w:after="240"/>
        <w:ind w:left="720" w:hanging="720"/>
        <w:rPr>
          <w:color w:val="000000"/>
        </w:rPr>
      </w:pPr>
      <w:r w:rsidRPr="0013396E">
        <w:rPr>
          <w:color w:val="000000"/>
        </w:rPr>
        <w:lastRenderedPageBreak/>
        <w:t>(6)</w:t>
      </w:r>
      <w:r w:rsidRPr="0013396E">
        <w:rPr>
          <w:color w:val="000000"/>
        </w:rPr>
        <w:tab/>
        <w:t>The amount recoverable under this section shall be offset by any Ancillary Service Imbalance revenues received by the QSE that the QSE would not have earned had ERCOT not issued an HDL override.</w:t>
      </w:r>
    </w:p>
    <w:p w14:paraId="3103C920" w14:textId="77777777" w:rsidR="00B361A1" w:rsidRPr="0013396E" w:rsidRDefault="00B361A1" w:rsidP="00B361A1">
      <w:pPr>
        <w:spacing w:after="240"/>
        <w:ind w:left="720" w:hanging="720"/>
        <w:rPr>
          <w:color w:val="000000"/>
        </w:rPr>
      </w:pPr>
      <w:r w:rsidRPr="0013396E">
        <w:rPr>
          <w:color w:val="000000"/>
        </w:rPr>
        <w:tab/>
        <w:t xml:space="preserve">The payment shall be calculated as follows:  </w:t>
      </w:r>
    </w:p>
    <w:p w14:paraId="79478C1D" w14:textId="77777777" w:rsidR="00B361A1" w:rsidRPr="0013396E" w:rsidRDefault="00B361A1" w:rsidP="00B361A1">
      <w:pPr>
        <w:tabs>
          <w:tab w:val="left" w:pos="1440"/>
          <w:tab w:val="left" w:pos="2340"/>
        </w:tabs>
        <w:spacing w:after="240"/>
        <w:ind w:left="3420" w:right="415" w:hanging="2700"/>
        <w:jc w:val="both"/>
        <w:rPr>
          <w:b/>
          <w:bCs/>
          <w:lang w:val="pt-BR"/>
        </w:rPr>
      </w:pPr>
      <w:r w:rsidRPr="0013396E">
        <w:rPr>
          <w:b/>
          <w:bCs/>
          <w:lang w:val="pt-BR"/>
        </w:rPr>
        <w:t xml:space="preserve">HDLOEAMT </w:t>
      </w:r>
      <w:r w:rsidRPr="0013396E">
        <w:rPr>
          <w:b/>
          <w:bCs/>
          <w:i/>
          <w:vertAlign w:val="subscript"/>
          <w:lang w:val="es-ES"/>
        </w:rPr>
        <w:t xml:space="preserve">q, r, p, i </w:t>
      </w:r>
      <w:r w:rsidRPr="0013396E">
        <w:rPr>
          <w:b/>
          <w:bCs/>
          <w:lang w:val="pt-BR"/>
        </w:rPr>
        <w:t xml:space="preserve">=  </w:t>
      </w:r>
      <w:r w:rsidRPr="0013396E">
        <w:rPr>
          <w:b/>
          <w:bCs/>
          <w:lang w:val="pt-BR"/>
        </w:rPr>
        <w:tab/>
      </w:r>
      <w:r w:rsidRPr="0013396E">
        <w:rPr>
          <w:b/>
          <w:bCs/>
        </w:rPr>
        <w:t>(-1) * Min {HDLOAL</w:t>
      </w:r>
      <w:r w:rsidRPr="0013396E">
        <w:rPr>
          <w:b/>
          <w:bCs/>
          <w:i/>
          <w:vertAlign w:val="subscript"/>
          <w:lang w:val="pt-BR"/>
        </w:rPr>
        <w:t xml:space="preserve"> q, r, p, i</w:t>
      </w:r>
      <w:r w:rsidRPr="0013396E">
        <w:rPr>
          <w:b/>
          <w:bCs/>
          <w:i/>
          <w:iCs/>
          <w:vertAlign w:val="subscript"/>
        </w:rPr>
        <w:t>,</w:t>
      </w:r>
      <w:r w:rsidRPr="0013396E">
        <w:rPr>
          <w:b/>
          <w:bCs/>
        </w:rPr>
        <w:t xml:space="preserve"> Max(0, ((RTSPP </w:t>
      </w:r>
      <w:r w:rsidRPr="0013396E">
        <w:rPr>
          <w:b/>
          <w:bCs/>
          <w:i/>
          <w:vertAlign w:val="subscript"/>
        </w:rPr>
        <w:t>p, i</w:t>
      </w:r>
      <w:r w:rsidRPr="0013396E">
        <w:rPr>
          <w:b/>
          <w:bCs/>
          <w:lang w:val="pt-BR"/>
        </w:rPr>
        <w:t xml:space="preserve"> </w:t>
      </w:r>
      <w:r w:rsidRPr="0013396E">
        <w:rPr>
          <w:b/>
          <w:bCs/>
        </w:rPr>
        <w:t xml:space="preserve"> </w:t>
      </w:r>
      <w:r w:rsidRPr="0013396E">
        <w:rPr>
          <w:b/>
          <w:bCs/>
          <w:lang w:val="pt-BR"/>
        </w:rPr>
        <w:t xml:space="preserve">– </w:t>
      </w:r>
      <w:r w:rsidRPr="0013396E">
        <w:rPr>
          <w:b/>
          <w:bCs/>
        </w:rPr>
        <w:t>RTRDP</w:t>
      </w:r>
      <w:r w:rsidRPr="0013396E">
        <w:rPr>
          <w:b/>
          <w:bCs/>
          <w:i/>
          <w:vertAlign w:val="subscript"/>
        </w:rPr>
        <w:t xml:space="preserve"> i</w:t>
      </w:r>
      <w:r w:rsidRPr="0013396E">
        <w:rPr>
          <w:b/>
          <w:bCs/>
          <w:lang w:val="pt-BR"/>
        </w:rPr>
        <w:t xml:space="preserve"> – RTEOCOST </w:t>
      </w:r>
      <w:r w:rsidRPr="0013396E">
        <w:rPr>
          <w:b/>
          <w:bCs/>
          <w:i/>
          <w:vertAlign w:val="subscript"/>
          <w:lang w:val="pt-BR"/>
        </w:rPr>
        <w:t>q, r, i</w:t>
      </w:r>
      <w:r w:rsidRPr="0013396E">
        <w:rPr>
          <w:b/>
          <w:bCs/>
          <w:lang w:val="pt-BR"/>
        </w:rPr>
        <w:t>) * HDLOQTY</w:t>
      </w:r>
      <w:r w:rsidRPr="0013396E">
        <w:rPr>
          <w:b/>
          <w:bCs/>
          <w:i/>
          <w:vertAlign w:val="subscript"/>
        </w:rPr>
        <w:t xml:space="preserve"> q, r, p, i</w:t>
      </w:r>
      <w:r w:rsidRPr="0013396E">
        <w:rPr>
          <w:b/>
          <w:bCs/>
          <w:lang w:val="pt-BR"/>
        </w:rPr>
        <w:t>))}</w:t>
      </w:r>
    </w:p>
    <w:p w14:paraId="48D73D47" w14:textId="77777777" w:rsidR="00B361A1" w:rsidRPr="0013396E" w:rsidRDefault="00B361A1" w:rsidP="00B361A1">
      <w:pPr>
        <w:tabs>
          <w:tab w:val="left" w:pos="1440"/>
          <w:tab w:val="left" w:pos="2340"/>
        </w:tabs>
        <w:spacing w:before="240" w:after="240"/>
        <w:ind w:left="3420" w:hanging="2700"/>
        <w:jc w:val="both"/>
        <w:rPr>
          <w:bCs/>
          <w:lang w:val="pt-BR"/>
        </w:rPr>
      </w:pPr>
      <w:r w:rsidRPr="0013396E">
        <w:rPr>
          <w:bCs/>
          <w:lang w:val="pt-BR"/>
        </w:rPr>
        <w:t>Where:</w:t>
      </w:r>
    </w:p>
    <w:p w14:paraId="0456B9AB" w14:textId="77777777" w:rsidR="00B361A1" w:rsidRPr="0013396E" w:rsidRDefault="00B361A1" w:rsidP="00B361A1">
      <w:pPr>
        <w:spacing w:after="240"/>
        <w:ind w:firstLine="720"/>
        <w:rPr>
          <w:b/>
          <w:iCs/>
          <w:lang w:val="pt-BR"/>
        </w:rPr>
      </w:pPr>
      <w:r w:rsidRPr="0013396E">
        <w:rPr>
          <w:iCs/>
          <w:lang w:val="pt-BR"/>
        </w:rPr>
        <w:t>HDLOQTY</w:t>
      </w:r>
      <w:r w:rsidRPr="0013396E">
        <w:rPr>
          <w:i/>
          <w:iCs/>
          <w:vertAlign w:val="subscript"/>
        </w:rPr>
        <w:t xml:space="preserve"> q, r, p, i</w:t>
      </w:r>
      <w:r w:rsidRPr="0013396E">
        <w:rPr>
          <w:iCs/>
          <w:lang w:val="pt-BR"/>
        </w:rPr>
        <w:t xml:space="preserve">       =  Max(0, (¼ (HDLO</w:t>
      </w:r>
      <w:r w:rsidRPr="0013396E">
        <w:rPr>
          <w:iCs/>
        </w:rPr>
        <w:t>BRKP</w:t>
      </w:r>
      <w:r w:rsidRPr="0013396E">
        <w:rPr>
          <w:i/>
          <w:iCs/>
          <w:vertAlign w:val="subscript"/>
        </w:rPr>
        <w:t xml:space="preserve"> q, r, p, i</w:t>
      </w:r>
      <w:r w:rsidRPr="0013396E">
        <w:rPr>
          <w:iCs/>
          <w:lang w:val="pt-BR"/>
        </w:rPr>
        <w:t xml:space="preserve"> – </w:t>
      </w:r>
      <w:r w:rsidRPr="0013396E">
        <w:rPr>
          <w:iCs/>
        </w:rPr>
        <w:t xml:space="preserve">AVGHDL </w:t>
      </w:r>
      <w:r w:rsidRPr="0013396E">
        <w:rPr>
          <w:i/>
          <w:iCs/>
          <w:vertAlign w:val="subscript"/>
          <w:lang w:val="es-ES"/>
        </w:rPr>
        <w:t>q, r, p, i</w:t>
      </w:r>
      <w:r w:rsidRPr="0013396E">
        <w:rPr>
          <w:iCs/>
          <w:lang w:val="pt-BR"/>
        </w:rPr>
        <w:t>)))</w:t>
      </w:r>
    </w:p>
    <w:p w14:paraId="0E1D85AE" w14:textId="77777777" w:rsidR="00B361A1" w:rsidRPr="0013396E" w:rsidRDefault="00B361A1" w:rsidP="00B361A1">
      <w:pPr>
        <w:tabs>
          <w:tab w:val="left" w:pos="1440"/>
          <w:tab w:val="left" w:pos="2340"/>
        </w:tabs>
        <w:spacing w:after="240"/>
        <w:ind w:left="3420" w:hanging="2700"/>
        <w:jc w:val="both"/>
        <w:rPr>
          <w:bCs/>
          <w:lang w:val="pt-BR"/>
        </w:rPr>
      </w:pPr>
      <w:r w:rsidRPr="0013396E">
        <w:rPr>
          <w:bCs/>
        </w:rPr>
        <w:t>HDLOBRKP</w:t>
      </w:r>
      <w:r w:rsidRPr="0013396E">
        <w:rPr>
          <w:bCs/>
          <w:lang w:val="pt-BR"/>
        </w:rPr>
        <w:t xml:space="preserve"> </w:t>
      </w:r>
      <w:r w:rsidRPr="0013396E">
        <w:rPr>
          <w:bCs/>
          <w:i/>
          <w:vertAlign w:val="subscript"/>
          <w:lang w:val="es-ES"/>
        </w:rPr>
        <w:t xml:space="preserve">q, r, p, i </w:t>
      </w:r>
      <w:r w:rsidRPr="0013396E">
        <w:rPr>
          <w:bCs/>
          <w:vertAlign w:val="subscript"/>
          <w:lang w:val="es-MX"/>
        </w:rPr>
        <w:t xml:space="preserve">     </w:t>
      </w:r>
      <w:r w:rsidRPr="0013396E">
        <w:rPr>
          <w:bCs/>
        </w:rPr>
        <w:t>=  Min(AVGHSL</w:t>
      </w:r>
      <w:r w:rsidRPr="0013396E">
        <w:rPr>
          <w:bCs/>
          <w:lang w:val="es-MX"/>
        </w:rPr>
        <w:t xml:space="preserve"> </w:t>
      </w:r>
      <w:r w:rsidRPr="0013396E">
        <w:rPr>
          <w:bCs/>
          <w:i/>
          <w:vertAlign w:val="subscript"/>
          <w:lang w:val="es-ES"/>
        </w:rPr>
        <w:t>q, r, p, i</w:t>
      </w:r>
      <w:r w:rsidRPr="0013396E">
        <w:rPr>
          <w:bCs/>
        </w:rPr>
        <w:t>, HDLOBRKPCP</w:t>
      </w:r>
      <w:r w:rsidRPr="0013396E">
        <w:rPr>
          <w:bCs/>
          <w:lang w:val="es-MX"/>
        </w:rPr>
        <w:t xml:space="preserve"> </w:t>
      </w:r>
      <w:r w:rsidRPr="0013396E">
        <w:rPr>
          <w:bCs/>
          <w:i/>
          <w:vertAlign w:val="subscript"/>
          <w:lang w:val="es-ES"/>
        </w:rPr>
        <w:t>q, r, p, i</w:t>
      </w:r>
      <w:r w:rsidRPr="0013396E">
        <w:rPr>
          <w:bCs/>
          <w:lang w:val="pt-BR"/>
        </w:rPr>
        <w:t>)</w:t>
      </w:r>
    </w:p>
    <w:p w14:paraId="1D9E0C4D" w14:textId="77777777" w:rsidR="00B361A1" w:rsidRPr="0013396E" w:rsidRDefault="00B361A1" w:rsidP="00B361A1">
      <w:pPr>
        <w:spacing w:before="120"/>
      </w:pPr>
      <w:r w:rsidRPr="0013396E">
        <w:t>The above variables are defined as follows:</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3"/>
        <w:gridCol w:w="862"/>
        <w:gridCol w:w="6565"/>
      </w:tblGrid>
      <w:tr w:rsidR="00B361A1" w:rsidRPr="0013396E" w14:paraId="486D954C" w14:textId="77777777" w:rsidTr="0099759E">
        <w:trPr>
          <w:cantSplit/>
          <w:trHeight w:val="146"/>
          <w:tblHeader/>
        </w:trPr>
        <w:tc>
          <w:tcPr>
            <w:tcW w:w="906" w:type="pct"/>
            <w:tcBorders>
              <w:top w:val="single" w:sz="4" w:space="0" w:color="auto"/>
              <w:left w:val="single" w:sz="4" w:space="0" w:color="auto"/>
              <w:bottom w:val="single" w:sz="4" w:space="0" w:color="auto"/>
              <w:right w:val="single" w:sz="4" w:space="0" w:color="auto"/>
            </w:tcBorders>
            <w:hideMark/>
          </w:tcPr>
          <w:p w14:paraId="534AA044" w14:textId="77777777" w:rsidR="00B361A1" w:rsidRPr="0013396E" w:rsidRDefault="00B361A1" w:rsidP="0099759E">
            <w:pPr>
              <w:spacing w:after="240"/>
              <w:rPr>
                <w:b/>
                <w:iCs/>
                <w:sz w:val="20"/>
              </w:rPr>
            </w:pPr>
            <w:r w:rsidRPr="0013396E">
              <w:rPr>
                <w:b/>
                <w:iCs/>
                <w:sz w:val="20"/>
              </w:rPr>
              <w:t>Variable</w:t>
            </w:r>
          </w:p>
        </w:tc>
        <w:tc>
          <w:tcPr>
            <w:tcW w:w="475" w:type="pct"/>
            <w:tcBorders>
              <w:top w:val="single" w:sz="4" w:space="0" w:color="auto"/>
              <w:left w:val="single" w:sz="4" w:space="0" w:color="auto"/>
              <w:bottom w:val="single" w:sz="4" w:space="0" w:color="auto"/>
              <w:right w:val="single" w:sz="4" w:space="0" w:color="auto"/>
            </w:tcBorders>
            <w:hideMark/>
          </w:tcPr>
          <w:p w14:paraId="70F336AE" w14:textId="77777777" w:rsidR="00B361A1" w:rsidRPr="0013396E" w:rsidRDefault="00B361A1" w:rsidP="0099759E">
            <w:pPr>
              <w:spacing w:after="240"/>
              <w:rPr>
                <w:b/>
                <w:iCs/>
                <w:sz w:val="20"/>
              </w:rPr>
            </w:pPr>
            <w:r w:rsidRPr="0013396E">
              <w:rPr>
                <w:b/>
                <w:iCs/>
                <w:sz w:val="20"/>
              </w:rPr>
              <w:t>Unit</w:t>
            </w:r>
          </w:p>
        </w:tc>
        <w:tc>
          <w:tcPr>
            <w:tcW w:w="3619" w:type="pct"/>
            <w:tcBorders>
              <w:top w:val="single" w:sz="4" w:space="0" w:color="auto"/>
              <w:left w:val="single" w:sz="4" w:space="0" w:color="auto"/>
              <w:bottom w:val="single" w:sz="4" w:space="0" w:color="auto"/>
              <w:right w:val="single" w:sz="4" w:space="0" w:color="auto"/>
            </w:tcBorders>
            <w:hideMark/>
          </w:tcPr>
          <w:p w14:paraId="3D859338" w14:textId="77777777" w:rsidR="00B361A1" w:rsidRPr="0013396E" w:rsidRDefault="00B361A1" w:rsidP="0099759E">
            <w:pPr>
              <w:spacing w:after="240"/>
              <w:rPr>
                <w:b/>
                <w:iCs/>
                <w:sz w:val="20"/>
              </w:rPr>
            </w:pPr>
            <w:r w:rsidRPr="0013396E">
              <w:rPr>
                <w:b/>
                <w:iCs/>
                <w:sz w:val="20"/>
              </w:rPr>
              <w:t>Definition</w:t>
            </w:r>
          </w:p>
        </w:tc>
      </w:tr>
      <w:tr w:rsidR="00B361A1" w:rsidRPr="0013396E" w14:paraId="077BB8D8" w14:textId="77777777" w:rsidTr="0099759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2F05692A" w14:textId="77777777" w:rsidR="00B361A1" w:rsidRPr="0013396E" w:rsidRDefault="00B361A1" w:rsidP="0099759E">
            <w:pPr>
              <w:spacing w:after="60"/>
              <w:rPr>
                <w:iCs/>
                <w:sz w:val="20"/>
              </w:rPr>
            </w:pPr>
            <w:r w:rsidRPr="0013396E">
              <w:rPr>
                <w:bCs/>
                <w:sz w:val="20"/>
              </w:rPr>
              <w:t>HDLOAL</w:t>
            </w:r>
            <w:r w:rsidRPr="0013396E">
              <w:rPr>
                <w:b/>
                <w:i/>
                <w:iCs/>
                <w:sz w:val="20"/>
                <w:vertAlign w:val="subscript"/>
                <w:lang w:val="es-ES"/>
              </w:rPr>
              <w:t xml:space="preserve"> q, r, p, i</w:t>
            </w:r>
          </w:p>
        </w:tc>
        <w:tc>
          <w:tcPr>
            <w:tcW w:w="475" w:type="pct"/>
            <w:tcBorders>
              <w:top w:val="single" w:sz="4" w:space="0" w:color="auto"/>
              <w:left w:val="single" w:sz="4" w:space="0" w:color="auto"/>
              <w:bottom w:val="single" w:sz="4" w:space="0" w:color="auto"/>
              <w:right w:val="single" w:sz="4" w:space="0" w:color="auto"/>
            </w:tcBorders>
            <w:hideMark/>
          </w:tcPr>
          <w:p w14:paraId="7DA040F4" w14:textId="77777777" w:rsidR="00B361A1" w:rsidRPr="0013396E" w:rsidRDefault="00B361A1" w:rsidP="0099759E">
            <w:pPr>
              <w:spacing w:after="60"/>
              <w:rPr>
                <w:iCs/>
                <w:sz w:val="20"/>
              </w:rPr>
            </w:pPr>
            <w:r w:rsidRPr="0013396E">
              <w:rPr>
                <w:iCs/>
                <w:sz w:val="20"/>
              </w:rPr>
              <w:t>$</w:t>
            </w:r>
          </w:p>
        </w:tc>
        <w:tc>
          <w:tcPr>
            <w:tcW w:w="3619" w:type="pct"/>
            <w:tcBorders>
              <w:top w:val="single" w:sz="4" w:space="0" w:color="auto"/>
              <w:left w:val="single" w:sz="4" w:space="0" w:color="auto"/>
              <w:bottom w:val="single" w:sz="4" w:space="0" w:color="auto"/>
              <w:right w:val="single" w:sz="4" w:space="0" w:color="auto"/>
            </w:tcBorders>
            <w:hideMark/>
          </w:tcPr>
          <w:p w14:paraId="07E8C289" w14:textId="77777777" w:rsidR="00B361A1" w:rsidRPr="0013396E" w:rsidRDefault="00B361A1" w:rsidP="0099759E">
            <w:pPr>
              <w:spacing w:after="60"/>
              <w:rPr>
                <w:i/>
                <w:iCs/>
                <w:sz w:val="20"/>
              </w:rPr>
            </w:pPr>
            <w:r w:rsidRPr="0013396E">
              <w:rPr>
                <w:i/>
                <w:iCs/>
                <w:sz w:val="20"/>
              </w:rPr>
              <w:t>High Dispatch Limit override attested losses</w:t>
            </w:r>
            <w:r w:rsidRPr="0013396E">
              <w:rPr>
                <w:iCs/>
                <w:sz w:val="20"/>
              </w:rPr>
              <w:t xml:space="preserve">—The financial loss to the Resource </w:t>
            </w:r>
            <w:r w:rsidRPr="0013396E">
              <w:rPr>
                <w:i/>
                <w:sz w:val="20"/>
              </w:rPr>
              <w:t>r</w:t>
            </w:r>
            <w:r w:rsidRPr="0013396E">
              <w:rPr>
                <w:iCs/>
                <w:sz w:val="20"/>
              </w:rPr>
              <w:t xml:space="preserve"> represented by QSE </w:t>
            </w:r>
            <w:r w:rsidRPr="0013396E">
              <w:rPr>
                <w:i/>
                <w:sz w:val="20"/>
              </w:rPr>
              <w:t>q</w:t>
            </w:r>
            <w:r w:rsidRPr="0013396E">
              <w:rPr>
                <w:iCs/>
                <w:sz w:val="20"/>
              </w:rPr>
              <w:t xml:space="preserve"> due to the HDL override as attested by the QSE in accordance with paragraph (1)(d) above.  For a combined cycle Resource, </w:t>
            </w:r>
            <w:r w:rsidRPr="0013396E">
              <w:rPr>
                <w:i/>
                <w:iCs/>
                <w:sz w:val="20"/>
              </w:rPr>
              <w:t>r</w:t>
            </w:r>
            <w:r w:rsidRPr="0013396E">
              <w:rPr>
                <w:iCs/>
                <w:sz w:val="20"/>
              </w:rPr>
              <w:t xml:space="preserve"> is a Combined Cycle Train.</w:t>
            </w:r>
          </w:p>
        </w:tc>
      </w:tr>
      <w:tr w:rsidR="00B361A1" w:rsidRPr="0013396E" w14:paraId="6FC801D7" w14:textId="77777777" w:rsidTr="0099759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306EFD5A" w14:textId="77777777" w:rsidR="00B361A1" w:rsidRPr="0013396E" w:rsidRDefault="00B361A1" w:rsidP="0099759E">
            <w:pPr>
              <w:spacing w:after="60"/>
              <w:rPr>
                <w:iCs/>
                <w:sz w:val="20"/>
              </w:rPr>
            </w:pPr>
            <w:r w:rsidRPr="0013396E">
              <w:rPr>
                <w:iCs/>
                <w:sz w:val="20"/>
              </w:rPr>
              <w:t xml:space="preserve">HDLOEAMT </w:t>
            </w:r>
            <w:r w:rsidRPr="0013396E">
              <w:rPr>
                <w:b/>
                <w:i/>
                <w:iCs/>
                <w:sz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2CFA3918" w14:textId="77777777" w:rsidR="00B361A1" w:rsidRPr="0013396E" w:rsidRDefault="00B361A1" w:rsidP="0099759E">
            <w:pPr>
              <w:spacing w:after="60"/>
              <w:rPr>
                <w:iCs/>
                <w:sz w:val="20"/>
              </w:rPr>
            </w:pPr>
            <w:r w:rsidRPr="0013396E">
              <w:rPr>
                <w:iCs/>
                <w:sz w:val="20"/>
              </w:rPr>
              <w:t>$</w:t>
            </w:r>
          </w:p>
        </w:tc>
        <w:tc>
          <w:tcPr>
            <w:tcW w:w="3619" w:type="pct"/>
            <w:tcBorders>
              <w:top w:val="single" w:sz="4" w:space="0" w:color="auto"/>
              <w:left w:val="single" w:sz="4" w:space="0" w:color="auto"/>
              <w:bottom w:val="single" w:sz="4" w:space="0" w:color="auto"/>
              <w:right w:val="single" w:sz="4" w:space="0" w:color="auto"/>
            </w:tcBorders>
            <w:hideMark/>
          </w:tcPr>
          <w:p w14:paraId="166D0791" w14:textId="77777777" w:rsidR="00B361A1" w:rsidRPr="0013396E" w:rsidRDefault="00B361A1" w:rsidP="0099759E">
            <w:pPr>
              <w:spacing w:after="60"/>
              <w:rPr>
                <w:iCs/>
                <w:sz w:val="20"/>
              </w:rPr>
            </w:pPr>
            <w:r w:rsidRPr="0013396E">
              <w:rPr>
                <w:i/>
                <w:iCs/>
                <w:sz w:val="20"/>
              </w:rPr>
              <w:t>High Dispatch Limit override energy amount per QSE per Generation Resource</w:t>
            </w:r>
            <w:r w:rsidRPr="0013396E">
              <w:rPr>
                <w:iCs/>
                <w:sz w:val="20"/>
              </w:rPr>
              <w:t xml:space="preserve">—The payment to QSE </w:t>
            </w:r>
            <w:r w:rsidRPr="0013396E">
              <w:rPr>
                <w:i/>
                <w:iCs/>
                <w:sz w:val="20"/>
              </w:rPr>
              <w:t>q</w:t>
            </w:r>
            <w:r w:rsidRPr="0013396E">
              <w:rPr>
                <w:iCs/>
                <w:sz w:val="20"/>
              </w:rPr>
              <w:t xml:space="preserve"> for an ERCOT-issued HDL override or equivalent VDI for Resource </w:t>
            </w:r>
            <w:r w:rsidRPr="0013396E">
              <w:rPr>
                <w:i/>
                <w:iCs/>
                <w:sz w:val="20"/>
              </w:rPr>
              <w:t>r</w:t>
            </w:r>
            <w:r w:rsidRPr="0013396E">
              <w:rPr>
                <w:iCs/>
                <w:sz w:val="20"/>
              </w:rPr>
              <w:t xml:space="preserve"> at Settlement Point </w:t>
            </w:r>
            <w:r w:rsidRPr="0013396E">
              <w:rPr>
                <w:i/>
                <w:iCs/>
                <w:sz w:val="20"/>
              </w:rPr>
              <w:t xml:space="preserve">p </w:t>
            </w:r>
            <w:r w:rsidRPr="0013396E">
              <w:rPr>
                <w:iCs/>
                <w:sz w:val="20"/>
              </w:rPr>
              <w:t xml:space="preserve">for the 15-minute Settlement Interval </w:t>
            </w:r>
            <w:r w:rsidRPr="0013396E">
              <w:rPr>
                <w:i/>
                <w:iCs/>
                <w:sz w:val="20"/>
              </w:rPr>
              <w:t>i</w:t>
            </w:r>
            <w:r w:rsidRPr="0013396E">
              <w:rPr>
                <w:iCs/>
                <w:sz w:val="20"/>
              </w:rPr>
              <w:t xml:space="preserve">.  For a combined cycle Resource, </w:t>
            </w:r>
            <w:r w:rsidRPr="0013396E">
              <w:rPr>
                <w:i/>
                <w:iCs/>
                <w:sz w:val="20"/>
              </w:rPr>
              <w:t>r</w:t>
            </w:r>
            <w:r w:rsidRPr="0013396E">
              <w:rPr>
                <w:iCs/>
                <w:sz w:val="20"/>
              </w:rPr>
              <w:t xml:space="preserve"> is a Combined Cycle Train.</w:t>
            </w:r>
          </w:p>
        </w:tc>
      </w:tr>
      <w:tr w:rsidR="00B361A1" w:rsidRPr="0013396E" w14:paraId="15A3D320" w14:textId="77777777" w:rsidTr="0099759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66FB8FD6" w14:textId="77777777" w:rsidR="00B361A1" w:rsidRPr="0013396E" w:rsidRDefault="00B361A1" w:rsidP="0099759E">
            <w:pPr>
              <w:spacing w:after="60"/>
              <w:rPr>
                <w:iCs/>
                <w:sz w:val="20"/>
              </w:rPr>
            </w:pPr>
            <w:r w:rsidRPr="0013396E">
              <w:rPr>
                <w:iCs/>
                <w:sz w:val="20"/>
              </w:rPr>
              <w:t xml:space="preserve">HDLOBRKP </w:t>
            </w:r>
            <w:r w:rsidRPr="0013396E">
              <w:rPr>
                <w:b/>
                <w:i/>
                <w:iCs/>
                <w:sz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5BC9F2F6" w14:textId="77777777" w:rsidR="00B361A1" w:rsidRPr="0013396E" w:rsidRDefault="00B361A1" w:rsidP="0099759E">
            <w:pPr>
              <w:spacing w:after="60"/>
              <w:rPr>
                <w:iCs/>
                <w:sz w:val="20"/>
              </w:rPr>
            </w:pPr>
            <w:r w:rsidRPr="0013396E">
              <w:rPr>
                <w:iCs/>
                <w:sz w:val="20"/>
              </w:rPr>
              <w:t>MW</w:t>
            </w:r>
          </w:p>
        </w:tc>
        <w:tc>
          <w:tcPr>
            <w:tcW w:w="3619" w:type="pct"/>
            <w:tcBorders>
              <w:top w:val="single" w:sz="4" w:space="0" w:color="auto"/>
              <w:left w:val="single" w:sz="4" w:space="0" w:color="auto"/>
              <w:bottom w:val="single" w:sz="4" w:space="0" w:color="auto"/>
              <w:right w:val="single" w:sz="4" w:space="0" w:color="auto"/>
            </w:tcBorders>
            <w:hideMark/>
          </w:tcPr>
          <w:p w14:paraId="6D7AA89F" w14:textId="77777777" w:rsidR="00B361A1" w:rsidRPr="0013396E" w:rsidRDefault="00B361A1" w:rsidP="0099759E">
            <w:pPr>
              <w:spacing w:after="60"/>
              <w:rPr>
                <w:i/>
                <w:iCs/>
                <w:sz w:val="20"/>
              </w:rPr>
            </w:pPr>
            <w:r w:rsidRPr="0013396E">
              <w:rPr>
                <w:i/>
                <w:iCs/>
                <w:sz w:val="20"/>
              </w:rPr>
              <w:t>High Dispatch Limit override break point per QSE per Resource</w:t>
            </w:r>
            <w:r w:rsidRPr="0013396E">
              <w:rPr>
                <w:iCs/>
                <w:sz w:val="20"/>
              </w:rPr>
              <w:t xml:space="preserve">—The point on the Energy Offer Curve or Energy Bid/Offer Curve corresponding to the lesser of the AVGHSL or the interception between the RTSPP of the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minus the Real-Time Reliability Deployment Price for Energy and the Energy Offer Curve Cost Cap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t>
            </w:r>
            <w:r w:rsidRPr="0013396E">
              <w:rPr>
                <w:i/>
                <w:iCs/>
                <w:sz w:val="20"/>
              </w:rPr>
              <w:t>i</w:t>
            </w:r>
            <w:r w:rsidRPr="0013396E">
              <w:rPr>
                <w:iCs/>
                <w:sz w:val="20"/>
              </w:rPr>
              <w:t xml:space="preserve">.  For a combined cycle Resource, </w:t>
            </w:r>
            <w:r w:rsidRPr="0013396E">
              <w:rPr>
                <w:i/>
                <w:iCs/>
                <w:sz w:val="20"/>
              </w:rPr>
              <w:t>r</w:t>
            </w:r>
            <w:r w:rsidRPr="0013396E">
              <w:rPr>
                <w:iCs/>
                <w:sz w:val="20"/>
              </w:rPr>
              <w:t xml:space="preserve"> is a Combined Cycle Train.</w:t>
            </w:r>
          </w:p>
        </w:tc>
      </w:tr>
      <w:tr w:rsidR="00B361A1" w:rsidRPr="0013396E" w14:paraId="50244F03" w14:textId="77777777" w:rsidTr="0099759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48E733BD" w14:textId="77777777" w:rsidR="00B361A1" w:rsidRPr="0013396E" w:rsidRDefault="00B361A1" w:rsidP="0099759E">
            <w:pPr>
              <w:spacing w:after="60"/>
              <w:rPr>
                <w:iCs/>
                <w:sz w:val="20"/>
              </w:rPr>
            </w:pPr>
            <w:r w:rsidRPr="0013396E">
              <w:rPr>
                <w:iCs/>
                <w:sz w:val="20"/>
              </w:rPr>
              <w:t xml:space="preserve">AVGHDL </w:t>
            </w:r>
            <w:r w:rsidRPr="0013396E">
              <w:rPr>
                <w:b/>
                <w:i/>
                <w:iCs/>
                <w:sz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68B8AD94" w14:textId="77777777" w:rsidR="00B361A1" w:rsidRPr="0013396E" w:rsidRDefault="00B361A1" w:rsidP="0099759E">
            <w:pPr>
              <w:spacing w:after="60"/>
              <w:rPr>
                <w:iCs/>
                <w:sz w:val="20"/>
              </w:rPr>
            </w:pPr>
            <w:r w:rsidRPr="0013396E">
              <w:rPr>
                <w:iCs/>
                <w:sz w:val="20"/>
              </w:rPr>
              <w:t>MW</w:t>
            </w:r>
          </w:p>
        </w:tc>
        <w:tc>
          <w:tcPr>
            <w:tcW w:w="3619" w:type="pct"/>
            <w:tcBorders>
              <w:top w:val="single" w:sz="4" w:space="0" w:color="auto"/>
              <w:left w:val="single" w:sz="4" w:space="0" w:color="auto"/>
              <w:bottom w:val="single" w:sz="4" w:space="0" w:color="auto"/>
              <w:right w:val="single" w:sz="4" w:space="0" w:color="auto"/>
            </w:tcBorders>
            <w:hideMark/>
          </w:tcPr>
          <w:p w14:paraId="0FE7F164" w14:textId="77777777" w:rsidR="00B361A1" w:rsidRPr="0013396E" w:rsidRDefault="00B361A1" w:rsidP="005A7D8E">
            <w:pPr>
              <w:spacing w:after="60"/>
              <w:rPr>
                <w:color w:val="002060"/>
                <w:sz w:val="20"/>
              </w:rPr>
            </w:pPr>
            <w:r w:rsidRPr="0013396E">
              <w:rPr>
                <w:i/>
                <w:iCs/>
                <w:color w:val="000000"/>
                <w:sz w:val="20"/>
              </w:rPr>
              <w:t>Average High Dispatch Limit per QSE per Settlement Point per Resource</w:t>
            </w:r>
            <w:r w:rsidRPr="0013396E">
              <w:rPr>
                <w:color w:val="000000"/>
                <w:sz w:val="20"/>
              </w:rPr>
              <w:t>—The time-weighted average of all 4-second HDL values calculated by the Resource Limit Calculato</w:t>
            </w:r>
            <w:r w:rsidRPr="0013396E">
              <w:rPr>
                <w:sz w:val="20"/>
              </w:rPr>
              <w:t xml:space="preserve">r, subject to the maximum of the manual HDL override or equivalent VDI and the telemetered output, for </w:t>
            </w:r>
            <w:r w:rsidRPr="0013396E">
              <w:rPr>
                <w:color w:val="000000"/>
                <w:sz w:val="20"/>
              </w:rPr>
              <w:t xml:space="preserve">the Generation Resource or ESR </w:t>
            </w:r>
            <w:r w:rsidRPr="0013396E">
              <w:rPr>
                <w:i/>
                <w:iCs/>
                <w:color w:val="000000"/>
                <w:sz w:val="20"/>
              </w:rPr>
              <w:t>r</w:t>
            </w:r>
            <w:r w:rsidRPr="0013396E">
              <w:rPr>
                <w:color w:val="000000"/>
                <w:sz w:val="20"/>
              </w:rPr>
              <w:t xml:space="preserve"> represented by QSE </w:t>
            </w:r>
            <w:r w:rsidRPr="0013396E">
              <w:rPr>
                <w:i/>
                <w:iCs/>
                <w:color w:val="000000"/>
                <w:sz w:val="20"/>
              </w:rPr>
              <w:t>q</w:t>
            </w:r>
            <w:r w:rsidRPr="0013396E">
              <w:rPr>
                <w:color w:val="000000"/>
                <w:sz w:val="20"/>
              </w:rPr>
              <w:t xml:space="preserve"> at Settlement Point </w:t>
            </w:r>
            <w:r w:rsidRPr="0013396E">
              <w:rPr>
                <w:i/>
                <w:iCs/>
                <w:color w:val="000000"/>
                <w:sz w:val="20"/>
              </w:rPr>
              <w:t>p</w:t>
            </w:r>
            <w:r w:rsidRPr="0013396E">
              <w:rPr>
                <w:color w:val="000000"/>
                <w:sz w:val="20"/>
              </w:rPr>
              <w:t xml:space="preserve"> within the 15-minute Settlement Interval </w:t>
            </w:r>
            <w:r w:rsidRPr="0013396E">
              <w:rPr>
                <w:i/>
                <w:iCs/>
                <w:color w:val="000000"/>
                <w:sz w:val="20"/>
              </w:rPr>
              <w:t>i</w:t>
            </w:r>
            <w:r w:rsidRPr="0013396E">
              <w:rPr>
                <w:color w:val="000000"/>
                <w:sz w:val="20"/>
              </w:rPr>
              <w:t>.  For a Combined</w:t>
            </w:r>
            <w:r w:rsidRPr="0013396E">
              <w:rPr>
                <w:sz w:val="20"/>
              </w:rPr>
              <w:t xml:space="preserve"> Cycle Train, the Resource </w:t>
            </w:r>
            <w:r w:rsidRPr="0013396E">
              <w:rPr>
                <w:i/>
                <w:sz w:val="20"/>
              </w:rPr>
              <w:t xml:space="preserve">r </w:t>
            </w:r>
            <w:r w:rsidRPr="0013396E">
              <w:rPr>
                <w:sz w:val="20"/>
              </w:rPr>
              <w:t>is a Combined Cycle Train.</w:t>
            </w:r>
            <w:r w:rsidRPr="0013396E">
              <w:t xml:space="preserve">  </w:t>
            </w:r>
          </w:p>
        </w:tc>
      </w:tr>
      <w:tr w:rsidR="00B361A1" w:rsidRPr="0013396E" w14:paraId="3DCD438B" w14:textId="77777777" w:rsidTr="0099759E">
        <w:trPr>
          <w:cantSplit/>
          <w:trHeight w:val="1430"/>
        </w:trPr>
        <w:tc>
          <w:tcPr>
            <w:tcW w:w="906" w:type="pct"/>
            <w:tcBorders>
              <w:top w:val="single" w:sz="4" w:space="0" w:color="auto"/>
              <w:left w:val="single" w:sz="4" w:space="0" w:color="auto"/>
              <w:bottom w:val="single" w:sz="4" w:space="0" w:color="auto"/>
              <w:right w:val="single" w:sz="4" w:space="0" w:color="auto"/>
            </w:tcBorders>
            <w:hideMark/>
          </w:tcPr>
          <w:p w14:paraId="1BF7FD16" w14:textId="77777777" w:rsidR="00B361A1" w:rsidRPr="0013396E" w:rsidRDefault="00B361A1" w:rsidP="0099759E">
            <w:pPr>
              <w:spacing w:after="60"/>
              <w:rPr>
                <w:iCs/>
                <w:color w:val="000000"/>
                <w:sz w:val="20"/>
                <w:lang w:val="es-MX"/>
              </w:rPr>
            </w:pPr>
            <w:r w:rsidRPr="0013396E">
              <w:rPr>
                <w:iCs/>
                <w:color w:val="000000"/>
                <w:sz w:val="20"/>
              </w:rPr>
              <w:t xml:space="preserve">AVGHSL </w:t>
            </w:r>
            <w:r w:rsidRPr="0013396E">
              <w:rPr>
                <w:b/>
                <w:bCs/>
                <w:i/>
                <w:color w:val="000000"/>
                <w:sz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13B4E40D" w14:textId="77777777" w:rsidR="00B361A1" w:rsidRPr="0013396E" w:rsidRDefault="00B361A1" w:rsidP="0099759E">
            <w:pPr>
              <w:spacing w:after="60"/>
              <w:rPr>
                <w:iCs/>
                <w:color w:val="000000"/>
                <w:sz w:val="20"/>
              </w:rPr>
            </w:pPr>
            <w:r w:rsidRPr="0013396E">
              <w:rPr>
                <w:iCs/>
                <w:color w:val="000000"/>
                <w:sz w:val="20"/>
              </w:rPr>
              <w:t>MW</w:t>
            </w:r>
          </w:p>
        </w:tc>
        <w:tc>
          <w:tcPr>
            <w:tcW w:w="3619" w:type="pct"/>
            <w:tcBorders>
              <w:top w:val="single" w:sz="4" w:space="0" w:color="auto"/>
              <w:left w:val="single" w:sz="4" w:space="0" w:color="auto"/>
              <w:bottom w:val="single" w:sz="4" w:space="0" w:color="auto"/>
              <w:right w:val="single" w:sz="4" w:space="0" w:color="auto"/>
            </w:tcBorders>
            <w:hideMark/>
          </w:tcPr>
          <w:p w14:paraId="1D9D7CE6" w14:textId="77777777" w:rsidR="00B361A1" w:rsidRPr="0013396E" w:rsidRDefault="00B361A1" w:rsidP="0099759E">
            <w:pPr>
              <w:spacing w:after="60"/>
              <w:rPr>
                <w:i/>
                <w:iCs/>
                <w:color w:val="000000"/>
                <w:sz w:val="20"/>
              </w:rPr>
            </w:pPr>
            <w:r w:rsidRPr="0013396E">
              <w:rPr>
                <w:i/>
                <w:color w:val="000000"/>
                <w:sz w:val="20"/>
              </w:rPr>
              <w:t>Average High Sustained Limit per QSE per Settlement Point per Resource</w:t>
            </w:r>
            <w:r w:rsidRPr="0013396E">
              <w:rPr>
                <w:iCs/>
                <w:color w:val="000000"/>
                <w:sz w:val="20"/>
              </w:rPr>
              <w:t xml:space="preserve">—The time-weighted average High Sustained Limit (HSL) for the Generation Resource or ESR </w:t>
            </w:r>
            <w:r w:rsidRPr="0013396E">
              <w:rPr>
                <w:i/>
                <w:color w:val="000000"/>
                <w:sz w:val="20"/>
              </w:rPr>
              <w:t>r</w:t>
            </w:r>
            <w:r w:rsidRPr="0013396E">
              <w:rPr>
                <w:iCs/>
                <w:color w:val="000000"/>
                <w:sz w:val="20"/>
              </w:rPr>
              <w:t xml:space="preserve"> represented by QSE </w:t>
            </w:r>
            <w:r w:rsidRPr="0013396E">
              <w:rPr>
                <w:i/>
                <w:color w:val="000000"/>
                <w:sz w:val="20"/>
              </w:rPr>
              <w:t>q</w:t>
            </w:r>
            <w:r w:rsidRPr="0013396E">
              <w:rPr>
                <w:iCs/>
                <w:color w:val="000000"/>
                <w:sz w:val="20"/>
              </w:rPr>
              <w:t xml:space="preserve"> at Settlement Point </w:t>
            </w:r>
            <w:r w:rsidRPr="0013396E">
              <w:rPr>
                <w:i/>
                <w:color w:val="000000"/>
                <w:sz w:val="20"/>
              </w:rPr>
              <w:t>p</w:t>
            </w:r>
            <w:r w:rsidRPr="0013396E">
              <w:rPr>
                <w:iCs/>
                <w:color w:val="000000"/>
                <w:sz w:val="20"/>
              </w:rPr>
              <w:t xml:space="preserve"> within the 15-minute Settlement Interval </w:t>
            </w:r>
            <w:r w:rsidRPr="0013396E">
              <w:rPr>
                <w:i/>
                <w:color w:val="000000"/>
                <w:sz w:val="20"/>
              </w:rPr>
              <w:t>i</w:t>
            </w:r>
            <w:r w:rsidRPr="0013396E">
              <w:rPr>
                <w:iCs/>
                <w:color w:val="000000"/>
                <w:sz w:val="20"/>
              </w:rPr>
              <w:t>.  For a Combined</w:t>
            </w:r>
            <w:r w:rsidRPr="0013396E">
              <w:rPr>
                <w:iCs/>
                <w:sz w:val="20"/>
              </w:rPr>
              <w:t xml:space="preserve"> Cycle Train, the Resource </w:t>
            </w:r>
            <w:r w:rsidRPr="0013396E">
              <w:rPr>
                <w:i/>
                <w:iCs/>
                <w:sz w:val="20"/>
              </w:rPr>
              <w:t xml:space="preserve">r </w:t>
            </w:r>
            <w:r w:rsidRPr="0013396E">
              <w:rPr>
                <w:iCs/>
                <w:sz w:val="20"/>
              </w:rPr>
              <w:t xml:space="preserve">is a Combined Cycle Train.  </w:t>
            </w:r>
            <w:r w:rsidRPr="0013396E">
              <w:rPr>
                <w:sz w:val="20"/>
              </w:rPr>
              <w:t xml:space="preserve">In the case of a VDI that is equivalent to an HDL override, this value is set equal to the HSL of </w:t>
            </w:r>
            <w:r w:rsidRPr="0013396E">
              <w:rPr>
                <w:color w:val="000000"/>
                <w:sz w:val="20"/>
              </w:rPr>
              <w:t xml:space="preserve">Generation Resource, or ESR </w:t>
            </w:r>
            <w:r w:rsidRPr="0013396E">
              <w:rPr>
                <w:i/>
                <w:iCs/>
                <w:color w:val="000000"/>
                <w:sz w:val="20"/>
              </w:rPr>
              <w:t>r</w:t>
            </w:r>
            <w:r w:rsidRPr="0013396E">
              <w:rPr>
                <w:color w:val="000000"/>
                <w:sz w:val="20"/>
              </w:rPr>
              <w:t xml:space="preserve"> at the time that the VDI is issued to the QSE.</w:t>
            </w:r>
          </w:p>
        </w:tc>
      </w:tr>
      <w:tr w:rsidR="00B361A1" w:rsidRPr="0013396E" w14:paraId="1DEEF2DB" w14:textId="77777777" w:rsidTr="0099759E">
        <w:trPr>
          <w:cantSplit/>
          <w:trHeight w:val="1154"/>
        </w:trPr>
        <w:tc>
          <w:tcPr>
            <w:tcW w:w="906" w:type="pct"/>
            <w:tcBorders>
              <w:top w:val="single" w:sz="4" w:space="0" w:color="auto"/>
              <w:left w:val="single" w:sz="4" w:space="0" w:color="auto"/>
              <w:bottom w:val="single" w:sz="4" w:space="0" w:color="auto"/>
              <w:right w:val="single" w:sz="4" w:space="0" w:color="auto"/>
            </w:tcBorders>
            <w:hideMark/>
          </w:tcPr>
          <w:p w14:paraId="06A509FC" w14:textId="77777777" w:rsidR="00B361A1" w:rsidRPr="0013396E" w:rsidRDefault="00B361A1" w:rsidP="0099759E">
            <w:pPr>
              <w:spacing w:after="60"/>
              <w:rPr>
                <w:iCs/>
                <w:sz w:val="20"/>
              </w:rPr>
            </w:pPr>
            <w:r w:rsidRPr="0013396E">
              <w:rPr>
                <w:iCs/>
                <w:sz w:val="20"/>
              </w:rPr>
              <w:lastRenderedPageBreak/>
              <w:t>HDLOBRKPCP</w:t>
            </w:r>
            <w:r w:rsidRPr="0013396E">
              <w:rPr>
                <w:b/>
                <w:iCs/>
                <w:sz w:val="20"/>
                <w:lang w:val="es-MX"/>
              </w:rPr>
              <w:t xml:space="preserve"> </w:t>
            </w:r>
            <w:r w:rsidRPr="0013396E">
              <w:rPr>
                <w:i/>
                <w:iCs/>
                <w:sz w:val="20"/>
                <w:vertAlign w:val="subscript"/>
              </w:rPr>
              <w:t>q, r, p, i</w:t>
            </w:r>
          </w:p>
        </w:tc>
        <w:tc>
          <w:tcPr>
            <w:tcW w:w="475" w:type="pct"/>
            <w:tcBorders>
              <w:top w:val="single" w:sz="4" w:space="0" w:color="auto"/>
              <w:left w:val="single" w:sz="4" w:space="0" w:color="auto"/>
              <w:bottom w:val="single" w:sz="4" w:space="0" w:color="auto"/>
              <w:right w:val="single" w:sz="4" w:space="0" w:color="auto"/>
            </w:tcBorders>
            <w:hideMark/>
          </w:tcPr>
          <w:p w14:paraId="047CBDE6" w14:textId="77777777" w:rsidR="00B361A1" w:rsidRPr="0013396E" w:rsidRDefault="00B361A1" w:rsidP="0099759E">
            <w:pPr>
              <w:spacing w:after="60"/>
              <w:rPr>
                <w:iCs/>
                <w:sz w:val="20"/>
              </w:rPr>
            </w:pPr>
            <w:r w:rsidRPr="0013396E">
              <w:rPr>
                <w:iCs/>
                <w:sz w:val="20"/>
              </w:rPr>
              <w:t>MW</w:t>
            </w:r>
          </w:p>
        </w:tc>
        <w:tc>
          <w:tcPr>
            <w:tcW w:w="3619" w:type="pct"/>
            <w:tcBorders>
              <w:top w:val="single" w:sz="4" w:space="0" w:color="auto"/>
              <w:left w:val="single" w:sz="4" w:space="0" w:color="auto"/>
              <w:bottom w:val="single" w:sz="4" w:space="0" w:color="auto"/>
              <w:right w:val="single" w:sz="4" w:space="0" w:color="auto"/>
            </w:tcBorders>
            <w:hideMark/>
          </w:tcPr>
          <w:p w14:paraId="408DE09E" w14:textId="77777777" w:rsidR="00B361A1" w:rsidRPr="0013396E" w:rsidRDefault="00B361A1" w:rsidP="005A7D8E">
            <w:pPr>
              <w:spacing w:after="60"/>
              <w:rPr>
                <w:i/>
                <w:sz w:val="20"/>
              </w:rPr>
            </w:pPr>
            <w:r w:rsidRPr="0013396E">
              <w:rPr>
                <w:i/>
                <w:sz w:val="20"/>
              </w:rPr>
              <w:t>High Dispatch Limit override break point</w:t>
            </w:r>
            <w:r w:rsidRPr="0013396E">
              <w:rPr>
                <w:i/>
              </w:rPr>
              <w:t xml:space="preserve"> </w:t>
            </w:r>
            <w:r w:rsidRPr="0013396E">
              <w:rPr>
                <w:i/>
                <w:sz w:val="20"/>
              </w:rPr>
              <w:t>at clearing price per QSE per Resource</w:t>
            </w:r>
            <w:r w:rsidRPr="0013396E">
              <w:rPr>
                <w:sz w:val="20"/>
              </w:rPr>
              <w:t xml:space="preserve">—The MW value on the Energy Offer Curve or Energy Bid/Offer Curve corresponding to the Real-Time Settlement Point Price of Resource </w:t>
            </w:r>
            <w:r w:rsidRPr="0013396E">
              <w:rPr>
                <w:i/>
                <w:sz w:val="20"/>
              </w:rPr>
              <w:t>r</w:t>
            </w:r>
            <w:r w:rsidRPr="0013396E">
              <w:rPr>
                <w:sz w:val="20"/>
              </w:rPr>
              <w:t xml:space="preserve"> represented by QSE </w:t>
            </w:r>
            <w:r w:rsidRPr="0013396E">
              <w:rPr>
                <w:i/>
                <w:sz w:val="20"/>
              </w:rPr>
              <w:t>q</w:t>
            </w:r>
            <w:r w:rsidRPr="0013396E">
              <w:rPr>
                <w:sz w:val="20"/>
              </w:rPr>
              <w:t xml:space="preserve"> at Settlement Point </w:t>
            </w:r>
            <w:r w:rsidRPr="0013396E">
              <w:rPr>
                <w:i/>
                <w:sz w:val="20"/>
              </w:rPr>
              <w:t>p</w:t>
            </w:r>
            <w:r w:rsidRPr="0013396E">
              <w:rPr>
                <w:sz w:val="20"/>
              </w:rPr>
              <w:t xml:space="preserve"> minus the Real-Time Reliability Deployment Price for Energy.  For a combined cycle Resource, </w:t>
            </w:r>
            <w:r w:rsidRPr="0013396E">
              <w:rPr>
                <w:i/>
                <w:sz w:val="20"/>
              </w:rPr>
              <w:t>r</w:t>
            </w:r>
            <w:r w:rsidRPr="0013396E">
              <w:rPr>
                <w:sz w:val="20"/>
              </w:rPr>
              <w:t xml:space="preserve"> is a Combined Cycle Train.</w:t>
            </w:r>
          </w:p>
        </w:tc>
      </w:tr>
      <w:tr w:rsidR="00B361A1" w:rsidRPr="0013396E" w14:paraId="70EB08B1" w14:textId="77777777" w:rsidTr="0099759E">
        <w:trPr>
          <w:cantSplit/>
          <w:trHeight w:val="1229"/>
        </w:trPr>
        <w:tc>
          <w:tcPr>
            <w:tcW w:w="906" w:type="pct"/>
            <w:tcBorders>
              <w:top w:val="single" w:sz="4" w:space="0" w:color="auto"/>
              <w:left w:val="single" w:sz="4" w:space="0" w:color="auto"/>
              <w:bottom w:val="single" w:sz="4" w:space="0" w:color="auto"/>
              <w:right w:val="single" w:sz="4" w:space="0" w:color="auto"/>
            </w:tcBorders>
            <w:hideMark/>
          </w:tcPr>
          <w:p w14:paraId="72E76CC9" w14:textId="77777777" w:rsidR="00B361A1" w:rsidRPr="0013396E" w:rsidRDefault="00B361A1" w:rsidP="0099759E">
            <w:pPr>
              <w:spacing w:after="60"/>
              <w:rPr>
                <w:iCs/>
                <w:sz w:val="20"/>
              </w:rPr>
            </w:pPr>
            <w:r w:rsidRPr="0013396E">
              <w:rPr>
                <w:sz w:val="20"/>
              </w:rPr>
              <w:t xml:space="preserve">RTEOCOST </w:t>
            </w:r>
            <w:r w:rsidRPr="0013396E">
              <w:rPr>
                <w:i/>
                <w:sz w:val="20"/>
                <w:vertAlign w:val="subscript"/>
              </w:rPr>
              <w:t>q, r, i</w:t>
            </w:r>
          </w:p>
        </w:tc>
        <w:tc>
          <w:tcPr>
            <w:tcW w:w="475" w:type="pct"/>
            <w:tcBorders>
              <w:top w:val="single" w:sz="4" w:space="0" w:color="auto"/>
              <w:left w:val="single" w:sz="4" w:space="0" w:color="auto"/>
              <w:bottom w:val="single" w:sz="4" w:space="0" w:color="auto"/>
              <w:right w:val="single" w:sz="4" w:space="0" w:color="auto"/>
            </w:tcBorders>
            <w:hideMark/>
          </w:tcPr>
          <w:p w14:paraId="334541D2" w14:textId="77777777" w:rsidR="00B361A1" w:rsidRPr="0013396E" w:rsidRDefault="00B361A1" w:rsidP="0099759E">
            <w:pPr>
              <w:spacing w:after="60"/>
              <w:rPr>
                <w:iCs/>
                <w:sz w:val="20"/>
              </w:rPr>
            </w:pPr>
            <w:r w:rsidRPr="0013396E">
              <w:rPr>
                <w:sz w:val="20"/>
              </w:rPr>
              <w:t>$/MWh</w:t>
            </w:r>
          </w:p>
        </w:tc>
        <w:tc>
          <w:tcPr>
            <w:tcW w:w="3619" w:type="pct"/>
            <w:tcBorders>
              <w:top w:val="single" w:sz="4" w:space="0" w:color="auto"/>
              <w:left w:val="single" w:sz="4" w:space="0" w:color="auto"/>
              <w:bottom w:val="single" w:sz="4" w:space="0" w:color="auto"/>
              <w:right w:val="single" w:sz="4" w:space="0" w:color="auto"/>
            </w:tcBorders>
            <w:hideMark/>
          </w:tcPr>
          <w:p w14:paraId="02FAF739" w14:textId="77777777" w:rsidR="00B361A1" w:rsidRPr="0013396E" w:rsidRDefault="00B361A1" w:rsidP="0099759E">
            <w:pPr>
              <w:spacing w:after="60"/>
              <w:rPr>
                <w:iCs/>
                <w:sz w:val="20"/>
              </w:rPr>
            </w:pPr>
            <w:r w:rsidRPr="0013396E">
              <w:rPr>
                <w:i/>
                <w:sz w:val="20"/>
              </w:rPr>
              <w:t>Real-Time Energy Offer Curve Cost Cap</w:t>
            </w:r>
            <w:r w:rsidRPr="0013396E">
              <w:rPr>
                <w:i/>
                <w:iCs/>
                <w:noProof/>
                <w:sz w:val="20"/>
              </w:rPr>
              <w:t>—</w:t>
            </w:r>
            <w:r w:rsidRPr="0013396E">
              <w:rPr>
                <w:sz w:val="20"/>
              </w:rPr>
              <w:t xml:space="preserve">The Energy Offer Curve Cost Cap for Resource </w:t>
            </w:r>
            <w:r w:rsidRPr="0013396E">
              <w:rPr>
                <w:i/>
                <w:sz w:val="20"/>
              </w:rPr>
              <w:t>r</w:t>
            </w:r>
            <w:r w:rsidRPr="0013396E">
              <w:rPr>
                <w:sz w:val="20"/>
              </w:rPr>
              <w:t xml:space="preserve"> represented by QSE </w:t>
            </w:r>
            <w:r w:rsidRPr="0013396E">
              <w:rPr>
                <w:i/>
                <w:sz w:val="20"/>
              </w:rPr>
              <w:t>q</w:t>
            </w:r>
            <w:r w:rsidRPr="0013396E">
              <w:rPr>
                <w:sz w:val="20"/>
              </w:rPr>
              <w:t xml:space="preserve">, for the Resource’s generation above the Low Sustained Limit (LSL) for the Settlement Interval </w:t>
            </w:r>
            <w:r w:rsidRPr="0013396E">
              <w:rPr>
                <w:i/>
                <w:sz w:val="20"/>
              </w:rPr>
              <w:t>i</w:t>
            </w:r>
            <w:r w:rsidRPr="0013396E">
              <w:rPr>
                <w:sz w:val="20"/>
              </w:rPr>
              <w:t xml:space="preserve">.  See Section 4.4.9.3.3, Energy Offer Curve Cost Caps. Where for a Combined Cycle Train, the Resource </w:t>
            </w:r>
            <w:r w:rsidRPr="0013396E">
              <w:rPr>
                <w:i/>
                <w:sz w:val="20"/>
              </w:rPr>
              <w:t>r</w:t>
            </w:r>
            <w:r w:rsidRPr="0013396E">
              <w:rPr>
                <w:sz w:val="20"/>
              </w:rPr>
              <w:t xml:space="preserve"> is the Combined Cycle Train.</w:t>
            </w:r>
          </w:p>
        </w:tc>
      </w:tr>
      <w:tr w:rsidR="00B361A1" w:rsidRPr="0013396E" w14:paraId="1A4AC909" w14:textId="77777777" w:rsidTr="0099759E">
        <w:trPr>
          <w:cantSplit/>
          <w:trHeight w:val="944"/>
        </w:trPr>
        <w:tc>
          <w:tcPr>
            <w:tcW w:w="906" w:type="pct"/>
            <w:tcBorders>
              <w:top w:val="single" w:sz="4" w:space="0" w:color="auto"/>
              <w:left w:val="single" w:sz="4" w:space="0" w:color="auto"/>
              <w:bottom w:val="single" w:sz="4" w:space="0" w:color="auto"/>
              <w:right w:val="single" w:sz="4" w:space="0" w:color="auto"/>
            </w:tcBorders>
            <w:hideMark/>
          </w:tcPr>
          <w:p w14:paraId="03B956FB" w14:textId="77777777" w:rsidR="00B361A1" w:rsidRPr="0013396E" w:rsidRDefault="00B361A1" w:rsidP="0099759E">
            <w:pPr>
              <w:spacing w:after="60"/>
              <w:rPr>
                <w:iCs/>
                <w:sz w:val="20"/>
              </w:rPr>
            </w:pPr>
            <w:r w:rsidRPr="0013396E">
              <w:rPr>
                <w:iCs/>
                <w:noProof/>
                <w:sz w:val="20"/>
              </w:rPr>
              <w:t xml:space="preserve">HDLOQTY </w:t>
            </w:r>
            <w:r w:rsidRPr="0013396E">
              <w:rPr>
                <w:i/>
                <w:iCs/>
                <w:sz w:val="20"/>
                <w:vertAlign w:val="subscript"/>
              </w:rPr>
              <w:t>q, r, p, i</w:t>
            </w:r>
          </w:p>
        </w:tc>
        <w:tc>
          <w:tcPr>
            <w:tcW w:w="475" w:type="pct"/>
            <w:tcBorders>
              <w:top w:val="single" w:sz="4" w:space="0" w:color="auto"/>
              <w:left w:val="single" w:sz="4" w:space="0" w:color="auto"/>
              <w:bottom w:val="single" w:sz="4" w:space="0" w:color="auto"/>
              <w:right w:val="single" w:sz="4" w:space="0" w:color="auto"/>
            </w:tcBorders>
            <w:hideMark/>
          </w:tcPr>
          <w:p w14:paraId="784A9C25" w14:textId="77777777" w:rsidR="00B361A1" w:rsidRPr="0013396E" w:rsidRDefault="00B361A1" w:rsidP="0099759E">
            <w:pPr>
              <w:spacing w:after="60"/>
              <w:rPr>
                <w:iCs/>
                <w:sz w:val="20"/>
              </w:rPr>
            </w:pPr>
            <w:r w:rsidRPr="0013396E">
              <w:rPr>
                <w:iCs/>
                <w:sz w:val="20"/>
              </w:rPr>
              <w:t>MWh</w:t>
            </w:r>
          </w:p>
        </w:tc>
        <w:tc>
          <w:tcPr>
            <w:tcW w:w="3619" w:type="pct"/>
            <w:tcBorders>
              <w:top w:val="single" w:sz="4" w:space="0" w:color="auto"/>
              <w:left w:val="single" w:sz="4" w:space="0" w:color="auto"/>
              <w:bottom w:val="single" w:sz="4" w:space="0" w:color="auto"/>
              <w:right w:val="single" w:sz="4" w:space="0" w:color="auto"/>
            </w:tcBorders>
            <w:hideMark/>
          </w:tcPr>
          <w:p w14:paraId="615523C9" w14:textId="77777777" w:rsidR="00B361A1" w:rsidRPr="0013396E" w:rsidRDefault="00B361A1" w:rsidP="0099759E">
            <w:pPr>
              <w:spacing w:after="60"/>
              <w:rPr>
                <w:iCs/>
                <w:sz w:val="20"/>
              </w:rPr>
            </w:pPr>
            <w:r w:rsidRPr="0013396E">
              <w:rPr>
                <w:i/>
                <w:iCs/>
                <w:noProof/>
                <w:sz w:val="20"/>
              </w:rPr>
              <w:t xml:space="preserve">High Dispatch Limit override </w:t>
            </w:r>
            <w:r w:rsidRPr="0013396E">
              <w:rPr>
                <w:i/>
                <w:iCs/>
                <w:sz w:val="20"/>
              </w:rPr>
              <w:t>quantity per QSE per Generation Resource</w:t>
            </w:r>
            <w:r w:rsidRPr="0013396E">
              <w:rPr>
                <w:i/>
                <w:iCs/>
                <w:noProof/>
                <w:sz w:val="20"/>
              </w:rPr>
              <w:t>—</w:t>
            </w:r>
            <w:r w:rsidRPr="0013396E">
              <w:rPr>
                <w:iCs/>
                <w:sz w:val="20"/>
              </w:rPr>
              <w:t xml:space="preserve">The difference between the HDLOBRKP and the AVGHDL due to an ERCOT-issued HDL override or equivalent VDI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at Settlement Point </w:t>
            </w:r>
            <w:r w:rsidRPr="0013396E">
              <w:rPr>
                <w:i/>
                <w:iCs/>
                <w:sz w:val="20"/>
              </w:rPr>
              <w:t>p</w:t>
            </w:r>
            <w:r w:rsidRPr="0013396E">
              <w:rPr>
                <w:iCs/>
                <w:sz w:val="20"/>
              </w:rPr>
              <w:t xml:space="preserve"> for the 15-minute Settlement Interval </w:t>
            </w:r>
            <w:r w:rsidRPr="0013396E">
              <w:rPr>
                <w:i/>
                <w:iCs/>
                <w:sz w:val="20"/>
              </w:rPr>
              <w:t>i</w:t>
            </w:r>
            <w:r w:rsidRPr="0013396E">
              <w:rPr>
                <w:iCs/>
                <w:sz w:val="20"/>
              </w:rPr>
              <w:t xml:space="preserve">.  For a combined cycle Resource, </w:t>
            </w:r>
            <w:r w:rsidRPr="0013396E">
              <w:rPr>
                <w:i/>
                <w:iCs/>
                <w:sz w:val="20"/>
              </w:rPr>
              <w:t>r</w:t>
            </w:r>
            <w:r w:rsidRPr="0013396E">
              <w:rPr>
                <w:iCs/>
                <w:sz w:val="20"/>
              </w:rPr>
              <w:t xml:space="preserve"> is a Combined Cycle Train.</w:t>
            </w:r>
          </w:p>
        </w:tc>
      </w:tr>
      <w:tr w:rsidR="00B361A1" w:rsidRPr="0013396E" w14:paraId="60AA114A" w14:textId="77777777" w:rsidTr="0099759E">
        <w:trPr>
          <w:cantSplit/>
          <w:trHeight w:val="773"/>
        </w:trPr>
        <w:tc>
          <w:tcPr>
            <w:tcW w:w="906" w:type="pct"/>
            <w:tcBorders>
              <w:top w:val="single" w:sz="4" w:space="0" w:color="auto"/>
              <w:left w:val="single" w:sz="4" w:space="0" w:color="auto"/>
              <w:bottom w:val="single" w:sz="4" w:space="0" w:color="auto"/>
              <w:right w:val="single" w:sz="4" w:space="0" w:color="auto"/>
            </w:tcBorders>
            <w:hideMark/>
          </w:tcPr>
          <w:p w14:paraId="420F3124" w14:textId="77777777" w:rsidR="00B361A1" w:rsidRPr="0013396E" w:rsidRDefault="00B361A1" w:rsidP="0099759E">
            <w:pPr>
              <w:spacing w:after="60"/>
              <w:rPr>
                <w:iCs/>
                <w:sz w:val="20"/>
                <w:lang w:val="es-MX"/>
              </w:rPr>
            </w:pPr>
            <w:r w:rsidRPr="0013396E">
              <w:rPr>
                <w:iCs/>
                <w:sz w:val="20"/>
              </w:rPr>
              <w:t xml:space="preserve">RTSPP </w:t>
            </w:r>
            <w:r w:rsidRPr="0013396E">
              <w:rPr>
                <w:i/>
                <w:iCs/>
                <w:sz w:val="20"/>
                <w:vertAlign w:val="subscript"/>
              </w:rPr>
              <w:t>p, i</w:t>
            </w:r>
          </w:p>
        </w:tc>
        <w:tc>
          <w:tcPr>
            <w:tcW w:w="475" w:type="pct"/>
            <w:tcBorders>
              <w:top w:val="single" w:sz="4" w:space="0" w:color="auto"/>
              <w:left w:val="single" w:sz="4" w:space="0" w:color="auto"/>
              <w:bottom w:val="single" w:sz="4" w:space="0" w:color="auto"/>
              <w:right w:val="single" w:sz="4" w:space="0" w:color="auto"/>
            </w:tcBorders>
            <w:hideMark/>
          </w:tcPr>
          <w:p w14:paraId="5BDD07DF" w14:textId="77777777" w:rsidR="00B361A1" w:rsidRPr="0013396E" w:rsidRDefault="00B361A1" w:rsidP="0099759E">
            <w:pPr>
              <w:spacing w:after="60"/>
              <w:rPr>
                <w:iCs/>
                <w:sz w:val="20"/>
              </w:rPr>
            </w:pPr>
            <w:r w:rsidRPr="0013396E">
              <w:rPr>
                <w:iCs/>
                <w:sz w:val="20"/>
              </w:rPr>
              <w:t>$/MWh</w:t>
            </w:r>
          </w:p>
        </w:tc>
        <w:tc>
          <w:tcPr>
            <w:tcW w:w="3619" w:type="pct"/>
            <w:tcBorders>
              <w:top w:val="single" w:sz="4" w:space="0" w:color="auto"/>
              <w:left w:val="single" w:sz="4" w:space="0" w:color="auto"/>
              <w:bottom w:val="single" w:sz="4" w:space="0" w:color="auto"/>
              <w:right w:val="single" w:sz="4" w:space="0" w:color="auto"/>
            </w:tcBorders>
            <w:hideMark/>
          </w:tcPr>
          <w:p w14:paraId="4983CF07" w14:textId="77777777" w:rsidR="00B361A1" w:rsidRPr="0013396E" w:rsidRDefault="00B361A1" w:rsidP="0099759E">
            <w:pPr>
              <w:spacing w:after="60"/>
              <w:rPr>
                <w:i/>
                <w:iCs/>
                <w:sz w:val="20"/>
              </w:rPr>
            </w:pPr>
            <w:r w:rsidRPr="0013396E">
              <w:rPr>
                <w:i/>
                <w:iCs/>
                <w:sz w:val="20"/>
              </w:rPr>
              <w:t>Real-Time Settlement Point Price per Settlement Point</w:t>
            </w:r>
            <w:r w:rsidRPr="0013396E">
              <w:rPr>
                <w:iCs/>
                <w:sz w:val="20"/>
              </w:rPr>
              <w:t xml:space="preserve">—The Real-Time Settlement Point Price at Settlement Point </w:t>
            </w:r>
            <w:r w:rsidRPr="0013396E">
              <w:rPr>
                <w:i/>
                <w:iCs/>
                <w:sz w:val="20"/>
              </w:rPr>
              <w:t>p</w:t>
            </w:r>
            <w:r w:rsidRPr="0013396E">
              <w:rPr>
                <w:iCs/>
                <w:sz w:val="20"/>
              </w:rPr>
              <w:t xml:space="preserve">, for the 15-minute Settlement Interval </w:t>
            </w:r>
            <w:r w:rsidRPr="0013396E">
              <w:rPr>
                <w:i/>
                <w:iCs/>
                <w:sz w:val="20"/>
              </w:rPr>
              <w:t>i</w:t>
            </w:r>
            <w:r w:rsidRPr="0013396E">
              <w:rPr>
                <w:iCs/>
                <w:sz w:val="20"/>
              </w:rPr>
              <w:t>.</w:t>
            </w:r>
          </w:p>
        </w:tc>
      </w:tr>
      <w:tr w:rsidR="00B361A1" w:rsidRPr="0013396E" w14:paraId="3CD179BA" w14:textId="77777777" w:rsidTr="0099759E">
        <w:trPr>
          <w:cantSplit/>
          <w:trHeight w:val="773"/>
        </w:trPr>
        <w:tc>
          <w:tcPr>
            <w:tcW w:w="906" w:type="pct"/>
            <w:tcBorders>
              <w:top w:val="single" w:sz="4" w:space="0" w:color="auto"/>
              <w:left w:val="single" w:sz="4" w:space="0" w:color="auto"/>
              <w:bottom w:val="single" w:sz="4" w:space="0" w:color="auto"/>
              <w:right w:val="single" w:sz="4" w:space="0" w:color="auto"/>
            </w:tcBorders>
            <w:hideMark/>
          </w:tcPr>
          <w:p w14:paraId="7766243D" w14:textId="77777777" w:rsidR="00B361A1" w:rsidRPr="0013396E" w:rsidRDefault="00B361A1" w:rsidP="0099759E">
            <w:pPr>
              <w:spacing w:after="60"/>
              <w:rPr>
                <w:iCs/>
                <w:sz w:val="20"/>
              </w:rPr>
            </w:pPr>
            <w:r w:rsidRPr="0013396E">
              <w:rPr>
                <w:iCs/>
                <w:sz w:val="20"/>
              </w:rPr>
              <w:t>RTRDP</w:t>
            </w:r>
            <w:r w:rsidRPr="0013396E">
              <w:rPr>
                <w:i/>
                <w:iCs/>
                <w:sz w:val="20"/>
                <w:vertAlign w:val="subscript"/>
              </w:rPr>
              <w:t xml:space="preserve"> i</w:t>
            </w:r>
          </w:p>
        </w:tc>
        <w:tc>
          <w:tcPr>
            <w:tcW w:w="475" w:type="pct"/>
            <w:tcBorders>
              <w:top w:val="single" w:sz="4" w:space="0" w:color="auto"/>
              <w:left w:val="single" w:sz="4" w:space="0" w:color="auto"/>
              <w:bottom w:val="single" w:sz="4" w:space="0" w:color="auto"/>
              <w:right w:val="single" w:sz="4" w:space="0" w:color="auto"/>
            </w:tcBorders>
            <w:hideMark/>
          </w:tcPr>
          <w:p w14:paraId="248928A1" w14:textId="77777777" w:rsidR="00B361A1" w:rsidRPr="0013396E" w:rsidRDefault="00B361A1" w:rsidP="0099759E">
            <w:pPr>
              <w:spacing w:after="60"/>
              <w:rPr>
                <w:iCs/>
                <w:sz w:val="20"/>
              </w:rPr>
            </w:pPr>
            <w:r w:rsidRPr="0013396E">
              <w:rPr>
                <w:iCs/>
                <w:sz w:val="20"/>
              </w:rPr>
              <w:t>$/MWh</w:t>
            </w:r>
          </w:p>
        </w:tc>
        <w:tc>
          <w:tcPr>
            <w:tcW w:w="3619" w:type="pct"/>
            <w:tcBorders>
              <w:top w:val="single" w:sz="4" w:space="0" w:color="auto"/>
              <w:left w:val="single" w:sz="4" w:space="0" w:color="auto"/>
              <w:bottom w:val="single" w:sz="4" w:space="0" w:color="auto"/>
              <w:right w:val="single" w:sz="4" w:space="0" w:color="auto"/>
            </w:tcBorders>
            <w:hideMark/>
          </w:tcPr>
          <w:p w14:paraId="3CE874B1" w14:textId="77777777" w:rsidR="00B361A1" w:rsidRPr="0013396E" w:rsidRDefault="00B361A1" w:rsidP="0099759E">
            <w:pPr>
              <w:spacing w:after="60"/>
              <w:rPr>
                <w:i/>
                <w:iCs/>
                <w:sz w:val="20"/>
              </w:rPr>
            </w:pPr>
            <w:r w:rsidRPr="0013396E">
              <w:rPr>
                <w:i/>
                <w:iCs/>
                <w:sz w:val="20"/>
              </w:rPr>
              <w:t>Real-Time Reliability Deployment Price</w:t>
            </w:r>
            <w:r w:rsidRPr="0013396E">
              <w:rPr>
                <w:iCs/>
                <w:sz w:val="20"/>
              </w:rPr>
              <w:t xml:space="preserve"> </w:t>
            </w:r>
            <w:r w:rsidRPr="0013396E">
              <w:rPr>
                <w:i/>
                <w:iCs/>
                <w:sz w:val="20"/>
              </w:rPr>
              <w:t>for Energy</w:t>
            </w:r>
            <w:r w:rsidRPr="0013396E">
              <w:rPr>
                <w:iCs/>
                <w:sz w:val="20"/>
              </w:rPr>
              <w:sym w:font="Symbol" w:char="F0BE"/>
            </w:r>
            <w:r w:rsidRPr="0013396E">
              <w:rPr>
                <w:iCs/>
                <w:sz w:val="20"/>
              </w:rPr>
              <w:t xml:space="preserve">The Real-Time price for the 15-minute Settlement Interval </w:t>
            </w:r>
            <w:r w:rsidRPr="0013396E">
              <w:rPr>
                <w:i/>
                <w:iCs/>
                <w:sz w:val="20"/>
              </w:rPr>
              <w:t>i</w:t>
            </w:r>
            <w:r w:rsidRPr="0013396E">
              <w:rPr>
                <w:iCs/>
                <w:sz w:val="20"/>
              </w:rPr>
              <w:t>, reflecting the impact of reliability deployments on energy prices that is calculated from the Real-Time Reliability Deployment Price Adder for Energy.</w:t>
            </w:r>
          </w:p>
        </w:tc>
      </w:tr>
      <w:tr w:rsidR="00B361A1" w:rsidRPr="0013396E" w14:paraId="70B6BBCC" w14:textId="77777777" w:rsidTr="0099759E">
        <w:trPr>
          <w:cantSplit/>
          <w:trHeight w:val="289"/>
        </w:trPr>
        <w:tc>
          <w:tcPr>
            <w:tcW w:w="906" w:type="pct"/>
            <w:tcBorders>
              <w:top w:val="single" w:sz="4" w:space="0" w:color="auto"/>
              <w:left w:val="single" w:sz="4" w:space="0" w:color="auto"/>
              <w:bottom w:val="single" w:sz="4" w:space="0" w:color="auto"/>
              <w:right w:val="single" w:sz="4" w:space="0" w:color="auto"/>
            </w:tcBorders>
            <w:hideMark/>
          </w:tcPr>
          <w:p w14:paraId="4B379CBA" w14:textId="77777777" w:rsidR="00B361A1" w:rsidRPr="0013396E" w:rsidRDefault="00B361A1" w:rsidP="0099759E">
            <w:pPr>
              <w:spacing w:after="60"/>
              <w:rPr>
                <w:i/>
                <w:iCs/>
                <w:sz w:val="20"/>
              </w:rPr>
            </w:pPr>
            <w:r w:rsidRPr="0013396E">
              <w:rPr>
                <w:i/>
                <w:iCs/>
                <w:sz w:val="20"/>
              </w:rPr>
              <w:t>q</w:t>
            </w:r>
          </w:p>
        </w:tc>
        <w:tc>
          <w:tcPr>
            <w:tcW w:w="475" w:type="pct"/>
            <w:tcBorders>
              <w:top w:val="single" w:sz="4" w:space="0" w:color="auto"/>
              <w:left w:val="single" w:sz="4" w:space="0" w:color="auto"/>
              <w:bottom w:val="single" w:sz="4" w:space="0" w:color="auto"/>
              <w:right w:val="single" w:sz="4" w:space="0" w:color="auto"/>
            </w:tcBorders>
            <w:hideMark/>
          </w:tcPr>
          <w:p w14:paraId="2F846257" w14:textId="77777777" w:rsidR="00B361A1" w:rsidRPr="0013396E" w:rsidRDefault="00B361A1" w:rsidP="0099759E">
            <w:pPr>
              <w:spacing w:after="60"/>
              <w:rPr>
                <w:iCs/>
                <w:sz w:val="20"/>
              </w:rPr>
            </w:pPr>
            <w:r w:rsidRPr="0013396E">
              <w:rPr>
                <w:iCs/>
                <w:sz w:val="20"/>
              </w:rPr>
              <w:t>none</w:t>
            </w:r>
          </w:p>
        </w:tc>
        <w:tc>
          <w:tcPr>
            <w:tcW w:w="3619" w:type="pct"/>
            <w:tcBorders>
              <w:top w:val="single" w:sz="4" w:space="0" w:color="auto"/>
              <w:left w:val="single" w:sz="4" w:space="0" w:color="auto"/>
              <w:bottom w:val="single" w:sz="4" w:space="0" w:color="auto"/>
              <w:right w:val="single" w:sz="4" w:space="0" w:color="auto"/>
            </w:tcBorders>
            <w:hideMark/>
          </w:tcPr>
          <w:p w14:paraId="04BD641F" w14:textId="77777777" w:rsidR="00B361A1" w:rsidRPr="0013396E" w:rsidRDefault="00B361A1" w:rsidP="0099759E">
            <w:pPr>
              <w:spacing w:after="60"/>
              <w:rPr>
                <w:i/>
                <w:sz w:val="20"/>
              </w:rPr>
            </w:pPr>
            <w:r w:rsidRPr="0013396E">
              <w:rPr>
                <w:iCs/>
                <w:sz w:val="20"/>
              </w:rPr>
              <w:t>A QSE.</w:t>
            </w:r>
          </w:p>
        </w:tc>
      </w:tr>
      <w:tr w:rsidR="00B361A1" w:rsidRPr="0013396E" w14:paraId="75A6E30E" w14:textId="77777777" w:rsidTr="0099759E">
        <w:trPr>
          <w:cantSplit/>
          <w:trHeight w:val="289"/>
        </w:trPr>
        <w:tc>
          <w:tcPr>
            <w:tcW w:w="906" w:type="pct"/>
            <w:tcBorders>
              <w:top w:val="single" w:sz="4" w:space="0" w:color="auto"/>
              <w:left w:val="single" w:sz="4" w:space="0" w:color="auto"/>
              <w:bottom w:val="single" w:sz="4" w:space="0" w:color="auto"/>
              <w:right w:val="single" w:sz="4" w:space="0" w:color="auto"/>
            </w:tcBorders>
            <w:hideMark/>
          </w:tcPr>
          <w:p w14:paraId="2D4F6657" w14:textId="77777777" w:rsidR="00B361A1" w:rsidRPr="0013396E" w:rsidRDefault="00B361A1" w:rsidP="0099759E">
            <w:pPr>
              <w:spacing w:after="60"/>
              <w:rPr>
                <w:i/>
                <w:iCs/>
                <w:sz w:val="20"/>
              </w:rPr>
            </w:pPr>
            <w:r w:rsidRPr="0013396E">
              <w:rPr>
                <w:i/>
                <w:iCs/>
                <w:sz w:val="20"/>
              </w:rPr>
              <w:t>r</w:t>
            </w:r>
          </w:p>
        </w:tc>
        <w:tc>
          <w:tcPr>
            <w:tcW w:w="475" w:type="pct"/>
            <w:tcBorders>
              <w:top w:val="single" w:sz="4" w:space="0" w:color="auto"/>
              <w:left w:val="single" w:sz="4" w:space="0" w:color="auto"/>
              <w:bottom w:val="single" w:sz="4" w:space="0" w:color="auto"/>
              <w:right w:val="single" w:sz="4" w:space="0" w:color="auto"/>
            </w:tcBorders>
            <w:hideMark/>
          </w:tcPr>
          <w:p w14:paraId="5A15DA5E" w14:textId="77777777" w:rsidR="00B361A1" w:rsidRPr="0013396E" w:rsidRDefault="00B361A1" w:rsidP="0099759E">
            <w:pPr>
              <w:spacing w:after="60"/>
              <w:rPr>
                <w:iCs/>
                <w:sz w:val="20"/>
              </w:rPr>
            </w:pPr>
            <w:r w:rsidRPr="0013396E">
              <w:rPr>
                <w:iCs/>
                <w:sz w:val="20"/>
              </w:rPr>
              <w:t>none</w:t>
            </w:r>
          </w:p>
        </w:tc>
        <w:tc>
          <w:tcPr>
            <w:tcW w:w="3619" w:type="pct"/>
            <w:tcBorders>
              <w:top w:val="single" w:sz="4" w:space="0" w:color="auto"/>
              <w:left w:val="single" w:sz="4" w:space="0" w:color="auto"/>
              <w:bottom w:val="single" w:sz="4" w:space="0" w:color="auto"/>
              <w:right w:val="single" w:sz="4" w:space="0" w:color="auto"/>
            </w:tcBorders>
            <w:hideMark/>
          </w:tcPr>
          <w:p w14:paraId="13671BEC" w14:textId="77777777" w:rsidR="00B361A1" w:rsidRPr="0013396E" w:rsidRDefault="00B361A1" w:rsidP="0099759E">
            <w:pPr>
              <w:spacing w:after="60"/>
              <w:rPr>
                <w:i/>
                <w:sz w:val="20"/>
              </w:rPr>
            </w:pPr>
            <w:r w:rsidRPr="0013396E">
              <w:rPr>
                <w:iCs/>
                <w:sz w:val="20"/>
              </w:rPr>
              <w:t>A Generation Resource or ESR.</w:t>
            </w:r>
          </w:p>
        </w:tc>
      </w:tr>
      <w:tr w:rsidR="00B361A1" w:rsidRPr="0013396E" w14:paraId="7F670CCD" w14:textId="77777777" w:rsidTr="0099759E">
        <w:trPr>
          <w:cantSplit/>
          <w:trHeight w:val="289"/>
        </w:trPr>
        <w:tc>
          <w:tcPr>
            <w:tcW w:w="906" w:type="pct"/>
            <w:tcBorders>
              <w:top w:val="single" w:sz="4" w:space="0" w:color="auto"/>
              <w:left w:val="single" w:sz="4" w:space="0" w:color="auto"/>
              <w:bottom w:val="single" w:sz="4" w:space="0" w:color="auto"/>
              <w:right w:val="single" w:sz="4" w:space="0" w:color="auto"/>
            </w:tcBorders>
            <w:hideMark/>
          </w:tcPr>
          <w:p w14:paraId="1E618461" w14:textId="77777777" w:rsidR="00B361A1" w:rsidRPr="0013396E" w:rsidRDefault="00B361A1" w:rsidP="0099759E">
            <w:pPr>
              <w:spacing w:after="60"/>
              <w:rPr>
                <w:i/>
                <w:iCs/>
                <w:sz w:val="20"/>
              </w:rPr>
            </w:pPr>
            <w:r w:rsidRPr="0013396E">
              <w:rPr>
                <w:i/>
                <w:iCs/>
                <w:sz w:val="20"/>
              </w:rPr>
              <w:t>p</w:t>
            </w:r>
          </w:p>
        </w:tc>
        <w:tc>
          <w:tcPr>
            <w:tcW w:w="475" w:type="pct"/>
            <w:tcBorders>
              <w:top w:val="single" w:sz="4" w:space="0" w:color="auto"/>
              <w:left w:val="single" w:sz="4" w:space="0" w:color="auto"/>
              <w:bottom w:val="single" w:sz="4" w:space="0" w:color="auto"/>
              <w:right w:val="single" w:sz="4" w:space="0" w:color="auto"/>
            </w:tcBorders>
            <w:hideMark/>
          </w:tcPr>
          <w:p w14:paraId="1E202D1F" w14:textId="77777777" w:rsidR="00B361A1" w:rsidRPr="0013396E" w:rsidRDefault="00B361A1" w:rsidP="0099759E">
            <w:pPr>
              <w:spacing w:after="60"/>
              <w:rPr>
                <w:iCs/>
                <w:sz w:val="20"/>
              </w:rPr>
            </w:pPr>
            <w:r w:rsidRPr="0013396E">
              <w:rPr>
                <w:iCs/>
                <w:sz w:val="20"/>
              </w:rPr>
              <w:t>none</w:t>
            </w:r>
          </w:p>
        </w:tc>
        <w:tc>
          <w:tcPr>
            <w:tcW w:w="3619" w:type="pct"/>
            <w:tcBorders>
              <w:top w:val="single" w:sz="4" w:space="0" w:color="auto"/>
              <w:left w:val="single" w:sz="4" w:space="0" w:color="auto"/>
              <w:bottom w:val="single" w:sz="4" w:space="0" w:color="auto"/>
              <w:right w:val="single" w:sz="4" w:space="0" w:color="auto"/>
            </w:tcBorders>
            <w:hideMark/>
          </w:tcPr>
          <w:p w14:paraId="536FB45C" w14:textId="77777777" w:rsidR="00B361A1" w:rsidRPr="0013396E" w:rsidRDefault="00B361A1" w:rsidP="0099759E">
            <w:pPr>
              <w:spacing w:after="60"/>
              <w:rPr>
                <w:iCs/>
                <w:sz w:val="20"/>
              </w:rPr>
            </w:pPr>
            <w:r w:rsidRPr="0013396E">
              <w:rPr>
                <w:iCs/>
                <w:sz w:val="20"/>
              </w:rPr>
              <w:t>A Resource Node Settlement Point.</w:t>
            </w:r>
          </w:p>
        </w:tc>
      </w:tr>
      <w:tr w:rsidR="00B361A1" w:rsidRPr="0013396E" w14:paraId="53BB72B4" w14:textId="77777777" w:rsidTr="0099759E">
        <w:trPr>
          <w:cantSplit/>
          <w:trHeight w:val="242"/>
        </w:trPr>
        <w:tc>
          <w:tcPr>
            <w:tcW w:w="906" w:type="pct"/>
            <w:tcBorders>
              <w:top w:val="single" w:sz="4" w:space="0" w:color="auto"/>
              <w:left w:val="single" w:sz="4" w:space="0" w:color="auto"/>
              <w:bottom w:val="single" w:sz="4" w:space="0" w:color="auto"/>
              <w:right w:val="single" w:sz="4" w:space="0" w:color="auto"/>
            </w:tcBorders>
            <w:hideMark/>
          </w:tcPr>
          <w:p w14:paraId="2F631D71" w14:textId="77777777" w:rsidR="00B361A1" w:rsidRPr="0013396E" w:rsidRDefault="00B361A1" w:rsidP="0099759E">
            <w:pPr>
              <w:spacing w:after="60"/>
              <w:rPr>
                <w:i/>
                <w:iCs/>
                <w:sz w:val="20"/>
              </w:rPr>
            </w:pPr>
            <w:r w:rsidRPr="0013396E">
              <w:rPr>
                <w:i/>
                <w:iCs/>
                <w:sz w:val="20"/>
              </w:rPr>
              <w:t>i</w:t>
            </w:r>
          </w:p>
        </w:tc>
        <w:tc>
          <w:tcPr>
            <w:tcW w:w="475" w:type="pct"/>
            <w:tcBorders>
              <w:top w:val="single" w:sz="4" w:space="0" w:color="auto"/>
              <w:left w:val="single" w:sz="4" w:space="0" w:color="auto"/>
              <w:bottom w:val="single" w:sz="4" w:space="0" w:color="auto"/>
              <w:right w:val="single" w:sz="4" w:space="0" w:color="auto"/>
            </w:tcBorders>
            <w:hideMark/>
          </w:tcPr>
          <w:p w14:paraId="086D5364" w14:textId="77777777" w:rsidR="00B361A1" w:rsidRPr="0013396E" w:rsidRDefault="00B361A1" w:rsidP="0099759E">
            <w:pPr>
              <w:spacing w:after="60"/>
              <w:rPr>
                <w:iCs/>
                <w:sz w:val="20"/>
              </w:rPr>
            </w:pPr>
            <w:r w:rsidRPr="0013396E">
              <w:rPr>
                <w:iCs/>
                <w:sz w:val="20"/>
              </w:rPr>
              <w:t>none</w:t>
            </w:r>
          </w:p>
        </w:tc>
        <w:tc>
          <w:tcPr>
            <w:tcW w:w="3619" w:type="pct"/>
            <w:tcBorders>
              <w:top w:val="single" w:sz="4" w:space="0" w:color="auto"/>
              <w:left w:val="single" w:sz="4" w:space="0" w:color="auto"/>
              <w:bottom w:val="single" w:sz="4" w:space="0" w:color="auto"/>
              <w:right w:val="single" w:sz="4" w:space="0" w:color="auto"/>
            </w:tcBorders>
            <w:hideMark/>
          </w:tcPr>
          <w:p w14:paraId="6524E6E9" w14:textId="77777777" w:rsidR="00B361A1" w:rsidRPr="0013396E" w:rsidRDefault="00B361A1" w:rsidP="0099759E">
            <w:pPr>
              <w:spacing w:after="60"/>
              <w:rPr>
                <w:iCs/>
                <w:sz w:val="20"/>
              </w:rPr>
            </w:pPr>
            <w:r w:rsidRPr="0013396E">
              <w:rPr>
                <w:iCs/>
                <w:sz w:val="20"/>
              </w:rPr>
              <w:t>A 15-minute Settlement Interval.</w:t>
            </w:r>
          </w:p>
        </w:tc>
      </w:tr>
    </w:tbl>
    <w:p w14:paraId="592C391B" w14:textId="77777777" w:rsidR="00B361A1" w:rsidRPr="0013396E" w:rsidRDefault="00B361A1" w:rsidP="00B361A1">
      <w:pPr>
        <w:spacing w:before="240" w:after="240"/>
        <w:ind w:left="720" w:hanging="720"/>
      </w:pPr>
      <w:r w:rsidRPr="0013396E">
        <w:t>(7)</w:t>
      </w:r>
      <w:r w:rsidRPr="0013396E">
        <w:tab/>
        <w:t>The total compensation to each QSE for an HDL override for the 15-minute Settlement Interval is calculated as follows:</w:t>
      </w:r>
    </w:p>
    <w:p w14:paraId="1097B939" w14:textId="77777777" w:rsidR="00B361A1" w:rsidRPr="0013396E" w:rsidRDefault="00B361A1" w:rsidP="00B361A1">
      <w:pPr>
        <w:spacing w:after="240"/>
        <w:ind w:left="720" w:firstLine="720"/>
        <w:rPr>
          <w:b/>
          <w:i/>
          <w:vertAlign w:val="subscript"/>
          <w:lang w:val="es-ES"/>
        </w:rPr>
      </w:pPr>
      <w:r w:rsidRPr="0013396E">
        <w:rPr>
          <w:b/>
        </w:rPr>
        <w:t>HDLOEAMTQSETOT</w:t>
      </w:r>
      <w:r w:rsidRPr="0013396E">
        <w:rPr>
          <w:b/>
          <w:i/>
          <w:vertAlign w:val="subscript"/>
          <w:lang w:val="es-ES"/>
        </w:rPr>
        <w:t xml:space="preserve"> q, i </w:t>
      </w:r>
      <w:r w:rsidRPr="0013396E">
        <w:rPr>
          <w:b/>
        </w:rPr>
        <w:t xml:space="preserve"> =  </w:t>
      </w:r>
      <w:r w:rsidRPr="0013396E">
        <w:rPr>
          <w:b/>
          <w:noProof/>
          <w:position w:val="-28"/>
        </w:rPr>
        <w:drawing>
          <wp:inline distT="0" distB="0" distL="0" distR="0" wp14:anchorId="54202A07" wp14:editId="70F93EDC">
            <wp:extent cx="293370" cy="431165"/>
            <wp:effectExtent l="0" t="0" r="0" b="6985"/>
            <wp:docPr id="1465811812" name="Picture 146581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93370" cy="431165"/>
                    </a:xfrm>
                    <a:prstGeom prst="rect">
                      <a:avLst/>
                    </a:prstGeom>
                    <a:noFill/>
                    <a:ln>
                      <a:noFill/>
                    </a:ln>
                  </pic:spPr>
                </pic:pic>
              </a:graphicData>
            </a:graphic>
          </wp:inline>
        </w:drawing>
      </w:r>
      <w:r w:rsidRPr="0013396E">
        <w:rPr>
          <w:b/>
          <w:noProof/>
          <w:position w:val="-30"/>
        </w:rPr>
        <w:drawing>
          <wp:inline distT="0" distB="0" distL="0" distR="0" wp14:anchorId="24ED627A" wp14:editId="41E7B32B">
            <wp:extent cx="293370" cy="457200"/>
            <wp:effectExtent l="0" t="0" r="0" b="0"/>
            <wp:docPr id="166594205" name="Picture 1665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93370" cy="457200"/>
                    </a:xfrm>
                    <a:prstGeom prst="rect">
                      <a:avLst/>
                    </a:prstGeom>
                    <a:noFill/>
                    <a:ln>
                      <a:noFill/>
                    </a:ln>
                  </pic:spPr>
                </pic:pic>
              </a:graphicData>
            </a:graphic>
          </wp:inline>
        </w:drawing>
      </w:r>
      <w:r w:rsidRPr="0013396E">
        <w:rPr>
          <w:b/>
        </w:rPr>
        <w:t>HDLOEAMT</w:t>
      </w:r>
      <w:r w:rsidRPr="0013396E">
        <w:rPr>
          <w:b/>
          <w:i/>
          <w:vertAlign w:val="subscript"/>
          <w:lang w:val="es-ES"/>
        </w:rPr>
        <w:t xml:space="preserve"> q, r, p, i</w:t>
      </w:r>
    </w:p>
    <w:p w14:paraId="27A96F37" w14:textId="77777777" w:rsidR="00B361A1" w:rsidRPr="0013396E" w:rsidRDefault="00B361A1" w:rsidP="00B361A1">
      <w:pPr>
        <w:spacing w:before="120"/>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886"/>
        <w:gridCol w:w="6162"/>
      </w:tblGrid>
      <w:tr w:rsidR="00B361A1" w:rsidRPr="0013396E" w14:paraId="3516AA83" w14:textId="77777777" w:rsidTr="0099759E">
        <w:trPr>
          <w:cantSplit/>
          <w:tblHeader/>
        </w:trPr>
        <w:tc>
          <w:tcPr>
            <w:tcW w:w="1231" w:type="pct"/>
            <w:tcBorders>
              <w:top w:val="single" w:sz="4" w:space="0" w:color="auto"/>
              <w:left w:val="single" w:sz="4" w:space="0" w:color="auto"/>
              <w:bottom w:val="single" w:sz="4" w:space="0" w:color="auto"/>
              <w:right w:val="single" w:sz="4" w:space="0" w:color="auto"/>
            </w:tcBorders>
            <w:hideMark/>
          </w:tcPr>
          <w:p w14:paraId="2A1C4A9A" w14:textId="77777777" w:rsidR="00B361A1" w:rsidRPr="0013396E" w:rsidRDefault="00B361A1" w:rsidP="0099759E">
            <w:pPr>
              <w:spacing w:after="240"/>
              <w:rPr>
                <w:b/>
                <w:iCs/>
                <w:sz w:val="20"/>
              </w:rPr>
            </w:pPr>
            <w:r w:rsidRPr="0013396E">
              <w:rPr>
                <w:b/>
                <w:iCs/>
                <w:sz w:val="20"/>
              </w:rPr>
              <w:t>Variable</w:t>
            </w:r>
          </w:p>
        </w:tc>
        <w:tc>
          <w:tcPr>
            <w:tcW w:w="474" w:type="pct"/>
            <w:tcBorders>
              <w:top w:val="single" w:sz="4" w:space="0" w:color="auto"/>
              <w:left w:val="single" w:sz="4" w:space="0" w:color="auto"/>
              <w:bottom w:val="single" w:sz="4" w:space="0" w:color="auto"/>
              <w:right w:val="single" w:sz="4" w:space="0" w:color="auto"/>
            </w:tcBorders>
            <w:hideMark/>
          </w:tcPr>
          <w:p w14:paraId="1A66C393" w14:textId="77777777" w:rsidR="00B361A1" w:rsidRPr="0013396E" w:rsidRDefault="00B361A1" w:rsidP="0099759E">
            <w:pPr>
              <w:spacing w:after="240"/>
              <w:rPr>
                <w:b/>
                <w:iCs/>
                <w:sz w:val="20"/>
              </w:rPr>
            </w:pPr>
            <w:r w:rsidRPr="0013396E">
              <w:rPr>
                <w:b/>
                <w:iCs/>
                <w:sz w:val="20"/>
              </w:rPr>
              <w:t>Unit</w:t>
            </w:r>
          </w:p>
        </w:tc>
        <w:tc>
          <w:tcPr>
            <w:tcW w:w="3295" w:type="pct"/>
            <w:tcBorders>
              <w:top w:val="single" w:sz="4" w:space="0" w:color="auto"/>
              <w:left w:val="single" w:sz="4" w:space="0" w:color="auto"/>
              <w:bottom w:val="single" w:sz="4" w:space="0" w:color="auto"/>
              <w:right w:val="single" w:sz="4" w:space="0" w:color="auto"/>
            </w:tcBorders>
            <w:hideMark/>
          </w:tcPr>
          <w:p w14:paraId="736998C5" w14:textId="77777777" w:rsidR="00B361A1" w:rsidRPr="0013396E" w:rsidRDefault="00B361A1" w:rsidP="0099759E">
            <w:pPr>
              <w:spacing w:after="240"/>
              <w:rPr>
                <w:b/>
                <w:iCs/>
                <w:sz w:val="20"/>
              </w:rPr>
            </w:pPr>
            <w:r w:rsidRPr="0013396E">
              <w:rPr>
                <w:b/>
                <w:iCs/>
                <w:sz w:val="20"/>
              </w:rPr>
              <w:t>Definition</w:t>
            </w:r>
          </w:p>
        </w:tc>
      </w:tr>
      <w:tr w:rsidR="00B361A1" w:rsidRPr="0013396E" w14:paraId="107FEA1B"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419841A0" w14:textId="77777777" w:rsidR="00B361A1" w:rsidRPr="0013396E" w:rsidRDefault="00B361A1" w:rsidP="0099759E">
            <w:pPr>
              <w:spacing w:after="60"/>
              <w:rPr>
                <w:iCs/>
                <w:sz w:val="20"/>
              </w:rPr>
            </w:pPr>
            <w:r w:rsidRPr="0013396E">
              <w:rPr>
                <w:iCs/>
                <w:sz w:val="20"/>
              </w:rPr>
              <w:t xml:space="preserve">HDLOEAMT </w:t>
            </w:r>
            <w:r w:rsidRPr="0013396E">
              <w:rPr>
                <w:i/>
                <w:iCs/>
                <w:sz w:val="20"/>
                <w:vertAlign w:val="subscript"/>
              </w:rPr>
              <w:t>q, r, p, i</w:t>
            </w:r>
          </w:p>
        </w:tc>
        <w:tc>
          <w:tcPr>
            <w:tcW w:w="474" w:type="pct"/>
            <w:tcBorders>
              <w:top w:val="single" w:sz="4" w:space="0" w:color="auto"/>
              <w:left w:val="single" w:sz="4" w:space="0" w:color="auto"/>
              <w:bottom w:val="single" w:sz="4" w:space="0" w:color="auto"/>
              <w:right w:val="single" w:sz="4" w:space="0" w:color="auto"/>
            </w:tcBorders>
            <w:hideMark/>
          </w:tcPr>
          <w:p w14:paraId="091A6F65" w14:textId="77777777" w:rsidR="00B361A1" w:rsidRPr="0013396E" w:rsidRDefault="00B361A1" w:rsidP="0099759E">
            <w:pPr>
              <w:spacing w:after="60"/>
              <w:rPr>
                <w:iCs/>
                <w:sz w:val="20"/>
              </w:rPr>
            </w:pPr>
            <w:r w:rsidRPr="0013396E">
              <w:rPr>
                <w:iCs/>
                <w:sz w:val="20"/>
              </w:rPr>
              <w:t>$</w:t>
            </w:r>
          </w:p>
        </w:tc>
        <w:tc>
          <w:tcPr>
            <w:tcW w:w="3295" w:type="pct"/>
            <w:tcBorders>
              <w:top w:val="single" w:sz="4" w:space="0" w:color="auto"/>
              <w:left w:val="single" w:sz="4" w:space="0" w:color="auto"/>
              <w:bottom w:val="single" w:sz="4" w:space="0" w:color="auto"/>
              <w:right w:val="single" w:sz="4" w:space="0" w:color="auto"/>
            </w:tcBorders>
            <w:hideMark/>
          </w:tcPr>
          <w:p w14:paraId="5630281E" w14:textId="77777777" w:rsidR="00B361A1" w:rsidRPr="0013396E" w:rsidRDefault="00B361A1" w:rsidP="0099759E">
            <w:pPr>
              <w:spacing w:after="60"/>
              <w:rPr>
                <w:iCs/>
                <w:sz w:val="20"/>
              </w:rPr>
            </w:pPr>
            <w:r w:rsidRPr="0013396E">
              <w:rPr>
                <w:i/>
                <w:iCs/>
                <w:sz w:val="20"/>
              </w:rPr>
              <w:t>High Dispatch Limit override energy amount per QSE per Resource</w:t>
            </w:r>
            <w:r w:rsidRPr="0013396E">
              <w:rPr>
                <w:iCs/>
                <w:sz w:val="20"/>
              </w:rPr>
              <w:t xml:space="preserve">—The payment to QSE </w:t>
            </w:r>
            <w:r w:rsidRPr="0013396E">
              <w:rPr>
                <w:i/>
                <w:iCs/>
                <w:sz w:val="20"/>
              </w:rPr>
              <w:t>q</w:t>
            </w:r>
            <w:r w:rsidRPr="0013396E">
              <w:rPr>
                <w:iCs/>
                <w:sz w:val="20"/>
              </w:rPr>
              <w:t xml:space="preserve"> for an ERCOT-issued HDL override or equivalent VDI for Resource </w:t>
            </w:r>
            <w:r w:rsidRPr="0013396E">
              <w:rPr>
                <w:i/>
                <w:iCs/>
                <w:sz w:val="20"/>
              </w:rPr>
              <w:t>r</w:t>
            </w:r>
            <w:r w:rsidRPr="0013396E">
              <w:rPr>
                <w:iCs/>
                <w:sz w:val="20"/>
              </w:rPr>
              <w:t xml:space="preserve"> at Settlement Point </w:t>
            </w:r>
            <w:r w:rsidRPr="0013396E">
              <w:rPr>
                <w:i/>
                <w:iCs/>
                <w:sz w:val="20"/>
              </w:rPr>
              <w:t xml:space="preserve">p </w:t>
            </w:r>
            <w:r w:rsidRPr="0013396E">
              <w:rPr>
                <w:iCs/>
                <w:sz w:val="20"/>
              </w:rPr>
              <w:t xml:space="preserve">for the 15-minute Settlement Interval </w:t>
            </w:r>
            <w:r w:rsidRPr="0013396E">
              <w:rPr>
                <w:i/>
                <w:iCs/>
                <w:sz w:val="20"/>
              </w:rPr>
              <w:t>i</w:t>
            </w:r>
            <w:r w:rsidRPr="0013396E">
              <w:rPr>
                <w:iCs/>
                <w:sz w:val="20"/>
              </w:rPr>
              <w:t xml:space="preserve">.  For a combined cycle Resource, </w:t>
            </w:r>
            <w:r w:rsidRPr="0013396E">
              <w:rPr>
                <w:i/>
                <w:iCs/>
                <w:sz w:val="20"/>
              </w:rPr>
              <w:t>r</w:t>
            </w:r>
            <w:r w:rsidRPr="0013396E">
              <w:rPr>
                <w:iCs/>
                <w:sz w:val="20"/>
              </w:rPr>
              <w:t xml:space="preserve"> is a Combined Cycle Train.</w:t>
            </w:r>
          </w:p>
        </w:tc>
      </w:tr>
      <w:tr w:rsidR="00B361A1" w:rsidRPr="0013396E" w14:paraId="76CFFD1F"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1644D42B" w14:textId="77777777" w:rsidR="00B361A1" w:rsidRPr="0013396E" w:rsidRDefault="00B361A1" w:rsidP="0099759E">
            <w:pPr>
              <w:spacing w:after="60"/>
              <w:rPr>
                <w:iCs/>
                <w:sz w:val="20"/>
              </w:rPr>
            </w:pPr>
            <w:r w:rsidRPr="0013396E">
              <w:rPr>
                <w:iCs/>
                <w:sz w:val="20"/>
              </w:rPr>
              <w:t xml:space="preserve">HDLOEAMTQSETOT </w:t>
            </w:r>
            <w:r w:rsidRPr="0013396E">
              <w:rPr>
                <w:rFonts w:ascii="Times New Roman Bold" w:hAnsi="Times New Roman Bold"/>
                <w:i/>
                <w:iCs/>
                <w:sz w:val="20"/>
                <w:vertAlign w:val="subscript"/>
              </w:rPr>
              <w:t>q,</w:t>
            </w:r>
            <w:r w:rsidRPr="0013396E">
              <w:rPr>
                <w:i/>
                <w:iCs/>
                <w:sz w:val="20"/>
              </w:rPr>
              <w:t xml:space="preserve"> </w:t>
            </w:r>
            <w:r w:rsidRPr="0013396E">
              <w:rPr>
                <w:i/>
                <w:iCs/>
                <w:sz w:val="20"/>
                <w:vertAlign w:val="subscript"/>
              </w:rPr>
              <w:t>i</w:t>
            </w:r>
          </w:p>
        </w:tc>
        <w:tc>
          <w:tcPr>
            <w:tcW w:w="474" w:type="pct"/>
            <w:tcBorders>
              <w:top w:val="single" w:sz="4" w:space="0" w:color="auto"/>
              <w:left w:val="single" w:sz="4" w:space="0" w:color="auto"/>
              <w:bottom w:val="single" w:sz="4" w:space="0" w:color="auto"/>
              <w:right w:val="single" w:sz="4" w:space="0" w:color="auto"/>
            </w:tcBorders>
            <w:hideMark/>
          </w:tcPr>
          <w:p w14:paraId="698C3E99" w14:textId="77777777" w:rsidR="00B361A1" w:rsidRPr="0013396E" w:rsidRDefault="00B361A1" w:rsidP="0099759E">
            <w:pPr>
              <w:spacing w:after="60"/>
              <w:rPr>
                <w:i/>
                <w:iCs/>
                <w:sz w:val="20"/>
              </w:rPr>
            </w:pPr>
            <w:r w:rsidRPr="0013396E">
              <w:rPr>
                <w:iCs/>
                <w:sz w:val="20"/>
              </w:rPr>
              <w:t>$</w:t>
            </w:r>
          </w:p>
        </w:tc>
        <w:tc>
          <w:tcPr>
            <w:tcW w:w="3295" w:type="pct"/>
            <w:tcBorders>
              <w:top w:val="single" w:sz="4" w:space="0" w:color="auto"/>
              <w:left w:val="single" w:sz="4" w:space="0" w:color="auto"/>
              <w:bottom w:val="single" w:sz="4" w:space="0" w:color="auto"/>
              <w:right w:val="single" w:sz="4" w:space="0" w:color="auto"/>
            </w:tcBorders>
            <w:hideMark/>
          </w:tcPr>
          <w:p w14:paraId="444A70A3" w14:textId="77777777" w:rsidR="00B361A1" w:rsidRPr="0013396E" w:rsidRDefault="00B361A1" w:rsidP="0099759E">
            <w:pPr>
              <w:spacing w:after="60"/>
              <w:rPr>
                <w:iCs/>
                <w:sz w:val="20"/>
              </w:rPr>
            </w:pPr>
            <w:r w:rsidRPr="0013396E">
              <w:rPr>
                <w:i/>
                <w:iCs/>
                <w:sz w:val="20"/>
              </w:rPr>
              <w:t>High Dispatch Limit override energy amount QSE total per QSE</w:t>
            </w:r>
            <w:r w:rsidRPr="0013396E">
              <w:rPr>
                <w:iCs/>
                <w:sz w:val="20"/>
              </w:rPr>
              <w:t xml:space="preserve">—The total of the energy payments to QSE </w:t>
            </w:r>
            <w:r w:rsidRPr="0013396E">
              <w:rPr>
                <w:i/>
                <w:iCs/>
                <w:sz w:val="20"/>
              </w:rPr>
              <w:t>q</w:t>
            </w:r>
            <w:r w:rsidRPr="0013396E">
              <w:rPr>
                <w:iCs/>
                <w:sz w:val="20"/>
              </w:rPr>
              <w:t xml:space="preserve"> as compensation for HDL overrides for this QSE for the 15-minute Settlement Interval </w:t>
            </w:r>
            <w:r w:rsidRPr="0013396E">
              <w:rPr>
                <w:i/>
                <w:iCs/>
                <w:sz w:val="20"/>
              </w:rPr>
              <w:t>i</w:t>
            </w:r>
            <w:r w:rsidRPr="0013396E">
              <w:rPr>
                <w:iCs/>
                <w:sz w:val="20"/>
              </w:rPr>
              <w:t>.</w:t>
            </w:r>
          </w:p>
        </w:tc>
      </w:tr>
      <w:tr w:rsidR="00B361A1" w:rsidRPr="0013396E" w14:paraId="0C6E31E9"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242E7B49" w14:textId="77777777" w:rsidR="00B361A1" w:rsidRPr="0013396E" w:rsidRDefault="00B361A1" w:rsidP="0099759E">
            <w:pPr>
              <w:spacing w:after="60"/>
              <w:rPr>
                <w:i/>
                <w:iCs/>
                <w:sz w:val="20"/>
              </w:rPr>
            </w:pPr>
            <w:r w:rsidRPr="0013396E">
              <w:rPr>
                <w:i/>
                <w:iCs/>
                <w:sz w:val="20"/>
              </w:rPr>
              <w:t>q</w:t>
            </w:r>
          </w:p>
        </w:tc>
        <w:tc>
          <w:tcPr>
            <w:tcW w:w="474" w:type="pct"/>
            <w:tcBorders>
              <w:top w:val="single" w:sz="4" w:space="0" w:color="auto"/>
              <w:left w:val="single" w:sz="4" w:space="0" w:color="auto"/>
              <w:bottom w:val="single" w:sz="4" w:space="0" w:color="auto"/>
              <w:right w:val="single" w:sz="4" w:space="0" w:color="auto"/>
            </w:tcBorders>
            <w:hideMark/>
          </w:tcPr>
          <w:p w14:paraId="263C5E16" w14:textId="77777777" w:rsidR="00B361A1" w:rsidRPr="0013396E" w:rsidRDefault="00B361A1" w:rsidP="0099759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74F23F2A" w14:textId="77777777" w:rsidR="00B361A1" w:rsidRPr="0013396E" w:rsidRDefault="00B361A1" w:rsidP="0099759E">
            <w:pPr>
              <w:spacing w:after="60"/>
              <w:rPr>
                <w:iCs/>
                <w:sz w:val="20"/>
              </w:rPr>
            </w:pPr>
            <w:r w:rsidRPr="0013396E">
              <w:rPr>
                <w:iCs/>
                <w:sz w:val="20"/>
              </w:rPr>
              <w:t>A QSE.</w:t>
            </w:r>
          </w:p>
        </w:tc>
      </w:tr>
      <w:tr w:rsidR="00B361A1" w:rsidRPr="0013396E" w14:paraId="68ECBA35"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7A7D70A9" w14:textId="77777777" w:rsidR="00B361A1" w:rsidRPr="0013396E" w:rsidRDefault="00B361A1" w:rsidP="0099759E">
            <w:pPr>
              <w:spacing w:after="60"/>
              <w:rPr>
                <w:i/>
                <w:iCs/>
                <w:sz w:val="20"/>
              </w:rPr>
            </w:pPr>
            <w:r w:rsidRPr="0013396E">
              <w:rPr>
                <w:i/>
                <w:iCs/>
                <w:sz w:val="20"/>
              </w:rPr>
              <w:t>r</w:t>
            </w:r>
          </w:p>
        </w:tc>
        <w:tc>
          <w:tcPr>
            <w:tcW w:w="474" w:type="pct"/>
            <w:tcBorders>
              <w:top w:val="single" w:sz="4" w:space="0" w:color="auto"/>
              <w:left w:val="single" w:sz="4" w:space="0" w:color="auto"/>
              <w:bottom w:val="single" w:sz="4" w:space="0" w:color="auto"/>
              <w:right w:val="single" w:sz="4" w:space="0" w:color="auto"/>
            </w:tcBorders>
            <w:hideMark/>
          </w:tcPr>
          <w:p w14:paraId="39580C5D" w14:textId="77777777" w:rsidR="00B361A1" w:rsidRPr="0013396E" w:rsidRDefault="00B361A1" w:rsidP="0099759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01DF2720" w14:textId="77777777" w:rsidR="00B361A1" w:rsidRPr="0013396E" w:rsidRDefault="00B361A1" w:rsidP="0099759E">
            <w:pPr>
              <w:spacing w:after="60"/>
              <w:rPr>
                <w:iCs/>
                <w:sz w:val="20"/>
              </w:rPr>
            </w:pPr>
            <w:r w:rsidRPr="0013396E">
              <w:rPr>
                <w:iCs/>
                <w:sz w:val="20"/>
              </w:rPr>
              <w:t>A Generation Resource or ESR.</w:t>
            </w:r>
          </w:p>
        </w:tc>
      </w:tr>
      <w:tr w:rsidR="00B361A1" w:rsidRPr="0013396E" w14:paraId="11C180D8"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5CB07D50" w14:textId="77777777" w:rsidR="00B361A1" w:rsidRPr="0013396E" w:rsidRDefault="00B361A1" w:rsidP="0099759E">
            <w:pPr>
              <w:spacing w:after="60"/>
              <w:rPr>
                <w:i/>
                <w:iCs/>
                <w:sz w:val="20"/>
              </w:rPr>
            </w:pPr>
            <w:r w:rsidRPr="0013396E">
              <w:rPr>
                <w:i/>
                <w:iCs/>
                <w:sz w:val="20"/>
              </w:rPr>
              <w:t>p</w:t>
            </w:r>
          </w:p>
        </w:tc>
        <w:tc>
          <w:tcPr>
            <w:tcW w:w="474" w:type="pct"/>
            <w:tcBorders>
              <w:top w:val="single" w:sz="4" w:space="0" w:color="auto"/>
              <w:left w:val="single" w:sz="4" w:space="0" w:color="auto"/>
              <w:bottom w:val="single" w:sz="4" w:space="0" w:color="auto"/>
              <w:right w:val="single" w:sz="4" w:space="0" w:color="auto"/>
            </w:tcBorders>
            <w:hideMark/>
          </w:tcPr>
          <w:p w14:paraId="79C452C8" w14:textId="77777777" w:rsidR="00B361A1" w:rsidRPr="0013396E" w:rsidRDefault="00B361A1" w:rsidP="0099759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7BA8B1FF" w14:textId="77777777" w:rsidR="00B361A1" w:rsidRPr="0013396E" w:rsidRDefault="00B361A1" w:rsidP="0099759E">
            <w:pPr>
              <w:spacing w:after="60"/>
              <w:rPr>
                <w:iCs/>
                <w:sz w:val="18"/>
                <w:szCs w:val="18"/>
              </w:rPr>
            </w:pPr>
            <w:r w:rsidRPr="0013396E">
              <w:rPr>
                <w:iCs/>
                <w:sz w:val="20"/>
              </w:rPr>
              <w:t>A Resource Node Settlement Point.</w:t>
            </w:r>
          </w:p>
        </w:tc>
      </w:tr>
      <w:tr w:rsidR="00B361A1" w:rsidRPr="0013396E" w14:paraId="03E71BBF"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4778A606" w14:textId="77777777" w:rsidR="00B361A1" w:rsidRPr="0013396E" w:rsidRDefault="00B361A1" w:rsidP="0099759E">
            <w:pPr>
              <w:spacing w:after="60"/>
              <w:rPr>
                <w:i/>
                <w:iCs/>
                <w:sz w:val="20"/>
              </w:rPr>
            </w:pPr>
            <w:r w:rsidRPr="0013396E">
              <w:rPr>
                <w:i/>
                <w:iCs/>
                <w:sz w:val="20"/>
              </w:rPr>
              <w:lastRenderedPageBreak/>
              <w:t>i</w:t>
            </w:r>
          </w:p>
        </w:tc>
        <w:tc>
          <w:tcPr>
            <w:tcW w:w="474" w:type="pct"/>
            <w:tcBorders>
              <w:top w:val="single" w:sz="4" w:space="0" w:color="auto"/>
              <w:left w:val="single" w:sz="4" w:space="0" w:color="auto"/>
              <w:bottom w:val="single" w:sz="4" w:space="0" w:color="auto"/>
              <w:right w:val="single" w:sz="4" w:space="0" w:color="auto"/>
            </w:tcBorders>
            <w:hideMark/>
          </w:tcPr>
          <w:p w14:paraId="7A861FEC" w14:textId="77777777" w:rsidR="00B361A1" w:rsidRPr="0013396E" w:rsidRDefault="00B361A1" w:rsidP="0099759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0683A895" w14:textId="77777777" w:rsidR="00B361A1" w:rsidRPr="0013396E" w:rsidRDefault="00B361A1" w:rsidP="0099759E">
            <w:pPr>
              <w:spacing w:after="60"/>
              <w:rPr>
                <w:iCs/>
                <w:sz w:val="20"/>
              </w:rPr>
            </w:pPr>
            <w:r w:rsidRPr="0013396E">
              <w:rPr>
                <w:iCs/>
                <w:sz w:val="20"/>
              </w:rPr>
              <w:t>A 15-minute Settlement Interval.</w:t>
            </w:r>
          </w:p>
        </w:tc>
      </w:tr>
    </w:tbl>
    <w:p w14:paraId="4FEE20F0" w14:textId="77777777" w:rsidR="00F85B9C" w:rsidRPr="0013396E" w:rsidRDefault="00F85B9C" w:rsidP="00F85B9C">
      <w:pPr>
        <w:pStyle w:val="BodyText"/>
        <w:spacing w:after="0"/>
      </w:pPr>
      <w:bookmarkStart w:id="1679" w:name="_Toc481502896"/>
      <w:bookmarkStart w:id="1680" w:name="_Toc496080064"/>
    </w:p>
    <w:p w14:paraId="3BC3C208" w14:textId="43C4EF39" w:rsidR="00C57701" w:rsidRPr="0013396E" w:rsidRDefault="00C57701" w:rsidP="005A7D8E">
      <w:pPr>
        <w:pStyle w:val="H4"/>
      </w:pPr>
      <w:bookmarkStart w:id="1681" w:name="_Toc236220182"/>
      <w:r w:rsidRPr="0013396E">
        <w:t>6.6.3.</w:t>
      </w:r>
      <w:r w:rsidR="00720B34" w:rsidRPr="0013396E">
        <w:t>7</w:t>
      </w:r>
      <w:r w:rsidRPr="0013396E">
        <w:tab/>
        <w:t>Real-Time High Dispatch Limit Override Energy Charge</w:t>
      </w:r>
      <w:bookmarkEnd w:id="1679"/>
      <w:bookmarkEnd w:id="1680"/>
      <w:bookmarkEnd w:id="1681"/>
      <w:r w:rsidRPr="0013396E">
        <w:t xml:space="preserve"> </w:t>
      </w:r>
    </w:p>
    <w:p w14:paraId="5FF770A4" w14:textId="751A2915" w:rsidR="00C57701" w:rsidRPr="0013396E" w:rsidRDefault="00C57701" w:rsidP="00C57701">
      <w:pPr>
        <w:pStyle w:val="BodyTextNumbered"/>
      </w:pPr>
      <w:r w:rsidRPr="0013396E">
        <w:t xml:space="preserve">(1) </w:t>
      </w:r>
      <w:r w:rsidRPr="0013396E">
        <w:tab/>
        <w:t>ERCOT shall allocate to QSEs on a</w:t>
      </w:r>
      <w:r w:rsidR="00B55F80" w:rsidRPr="0013396E">
        <w:t>n</w:t>
      </w:r>
      <w:r w:rsidRPr="0013396E">
        <w:t xml:space="preserve"> LRS basis the total amount of the payment specified in Section 6.6.3.</w:t>
      </w:r>
      <w:r w:rsidR="00720B34" w:rsidRPr="0013396E">
        <w:t>6</w:t>
      </w:r>
      <w:r w:rsidRPr="0013396E">
        <w:t>, Real-Time High Dispatch Limit Override Energy Payment.  The charge to each QSE for a given 15-minute Settlement Interval is calculated as follows:</w:t>
      </w:r>
    </w:p>
    <w:p w14:paraId="32A92536" w14:textId="77777777" w:rsidR="00C57701" w:rsidRPr="0013396E" w:rsidRDefault="00C57701" w:rsidP="00C57701">
      <w:pPr>
        <w:pStyle w:val="FormulaBold"/>
      </w:pPr>
      <w:r w:rsidRPr="0013396E">
        <w:t>LAHDLOEAMT</w:t>
      </w:r>
      <w:r w:rsidRPr="0013396E">
        <w:rPr>
          <w:i/>
          <w:vertAlign w:val="subscript"/>
          <w:lang w:val="es-ES"/>
        </w:rPr>
        <w:t xml:space="preserve"> q, i </w:t>
      </w:r>
      <w:r w:rsidRPr="0013396E">
        <w:t xml:space="preserve">       =</w:t>
      </w:r>
      <w:r w:rsidRPr="0013396E">
        <w:tab/>
        <w:t xml:space="preserve">(-1) * HDLOEAMTTOT * LRS </w:t>
      </w:r>
      <w:r w:rsidRPr="0013396E">
        <w:rPr>
          <w:i/>
          <w:vertAlign w:val="subscript"/>
          <w:lang w:val="es-ES"/>
        </w:rPr>
        <w:t xml:space="preserve">q, i </w:t>
      </w:r>
      <w:r w:rsidRPr="0013396E">
        <w:t xml:space="preserve"> </w:t>
      </w:r>
    </w:p>
    <w:p w14:paraId="1E055618" w14:textId="77777777" w:rsidR="00C57701" w:rsidRPr="0013396E" w:rsidRDefault="00C57701" w:rsidP="00C57701">
      <w:pPr>
        <w:pStyle w:val="BodyText"/>
      </w:pPr>
      <w:r w:rsidRPr="0013396E">
        <w:t>Where:</w:t>
      </w:r>
    </w:p>
    <w:p w14:paraId="4DC4A984" w14:textId="77777777" w:rsidR="00C57701" w:rsidRPr="0013396E" w:rsidRDefault="00C57701" w:rsidP="00C57701">
      <w:pPr>
        <w:pStyle w:val="Formula"/>
        <w:ind w:left="2880" w:hanging="2160"/>
        <w:rPr>
          <w:i/>
          <w:vertAlign w:val="subscript"/>
        </w:rPr>
      </w:pPr>
      <w:r w:rsidRPr="0013396E">
        <w:t>HDLOEAMTTOT</w:t>
      </w:r>
      <w:r w:rsidRPr="0013396E">
        <w:rPr>
          <w:i/>
          <w:vertAlign w:val="subscript"/>
          <w:lang w:val="es-ES"/>
        </w:rPr>
        <w:t>i</w:t>
      </w:r>
      <w:r w:rsidRPr="0013396E">
        <w:t xml:space="preserve"> </w:t>
      </w:r>
      <w:r w:rsidRPr="0013396E">
        <w:tab/>
        <w:t>=</w:t>
      </w:r>
      <w:r w:rsidRPr="0013396E">
        <w:tab/>
      </w:r>
      <w:r w:rsidRPr="0013396E">
        <w:rPr>
          <w:position w:val="-22"/>
        </w:rPr>
        <w:object w:dxaOrig="220" w:dyaOrig="460" w14:anchorId="43ECF7BD">
          <v:shape id="_x0000_i1133" type="#_x0000_t75" style="width:6pt;height:18pt" o:ole="">
            <v:imagedata r:id="rId157" o:title=""/>
          </v:shape>
          <o:OLEObject Type="Embed" ProgID="Equation.3" ShapeID="_x0000_i1133" DrawAspect="Content" ObjectID="_1849065764" r:id="rId158"/>
        </w:object>
      </w:r>
      <w:r w:rsidRPr="0013396E">
        <w:t xml:space="preserve"> HDLOEAMTQSETOT</w:t>
      </w:r>
      <w:r w:rsidRPr="0013396E">
        <w:rPr>
          <w:i/>
          <w:vertAlign w:val="subscript"/>
          <w:lang w:val="es-ES"/>
        </w:rPr>
        <w:t xml:space="preserve"> q, i</w:t>
      </w:r>
      <w:r w:rsidRPr="0013396E">
        <w:rPr>
          <w:b/>
          <w:i/>
          <w:vertAlign w:val="subscript"/>
          <w:lang w:val="es-ES"/>
        </w:rPr>
        <w:t xml:space="preserve"> </w:t>
      </w:r>
      <w:r w:rsidRPr="0013396E">
        <w:rPr>
          <w:b/>
        </w:rPr>
        <w:t xml:space="preserve"> </w:t>
      </w:r>
    </w:p>
    <w:p w14:paraId="0CA7FBC8" w14:textId="77777777" w:rsidR="00C57701" w:rsidRPr="0013396E" w:rsidRDefault="00C57701" w:rsidP="00C57701">
      <w:r w:rsidRPr="0013396E">
        <w:t>The above variables are defined as follows:</w:t>
      </w:r>
    </w:p>
    <w:tbl>
      <w:tblPr>
        <w:tblW w:w="957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737"/>
        <w:gridCol w:w="6425"/>
      </w:tblGrid>
      <w:tr w:rsidR="00C57701" w:rsidRPr="0013396E" w14:paraId="08C1DC31" w14:textId="77777777" w:rsidTr="00925E7F">
        <w:trPr>
          <w:tblHeader/>
        </w:trPr>
        <w:tc>
          <w:tcPr>
            <w:tcW w:w="2414" w:type="dxa"/>
          </w:tcPr>
          <w:p w14:paraId="2372DE6E" w14:textId="77777777" w:rsidR="00C57701" w:rsidRPr="0013396E" w:rsidRDefault="00C57701" w:rsidP="00EC4D68">
            <w:pPr>
              <w:pStyle w:val="TableHead"/>
            </w:pPr>
            <w:r w:rsidRPr="0013396E">
              <w:t>Variable</w:t>
            </w:r>
          </w:p>
        </w:tc>
        <w:tc>
          <w:tcPr>
            <w:tcW w:w="737" w:type="dxa"/>
          </w:tcPr>
          <w:p w14:paraId="08CBF356" w14:textId="77777777" w:rsidR="00C57701" w:rsidRPr="0013396E" w:rsidRDefault="00C57701" w:rsidP="00EC4D68">
            <w:pPr>
              <w:pStyle w:val="TableHead"/>
            </w:pPr>
            <w:r w:rsidRPr="0013396E">
              <w:t>Unit</w:t>
            </w:r>
          </w:p>
        </w:tc>
        <w:tc>
          <w:tcPr>
            <w:tcW w:w="6425" w:type="dxa"/>
          </w:tcPr>
          <w:p w14:paraId="1342E7C3" w14:textId="77777777" w:rsidR="00C57701" w:rsidRPr="0013396E" w:rsidRDefault="00C57701" w:rsidP="00EC4D68">
            <w:pPr>
              <w:pStyle w:val="TableHead"/>
            </w:pPr>
            <w:r w:rsidRPr="0013396E">
              <w:t>Definition</w:t>
            </w:r>
          </w:p>
        </w:tc>
      </w:tr>
      <w:tr w:rsidR="00C57701" w:rsidRPr="0013396E" w14:paraId="1DAD5DD0" w14:textId="77777777" w:rsidTr="00925E7F">
        <w:trPr>
          <w:cantSplit/>
        </w:trPr>
        <w:tc>
          <w:tcPr>
            <w:tcW w:w="2414" w:type="dxa"/>
          </w:tcPr>
          <w:p w14:paraId="1028E7B2" w14:textId="77777777" w:rsidR="00C57701" w:rsidRPr="0013396E" w:rsidRDefault="00C57701" w:rsidP="00EC4D68">
            <w:pPr>
              <w:pStyle w:val="TableBody"/>
            </w:pPr>
            <w:r w:rsidRPr="0013396E">
              <w:t xml:space="preserve">LAHDLOPEAMT </w:t>
            </w:r>
            <w:r w:rsidRPr="0013396E">
              <w:rPr>
                <w:i/>
                <w:vertAlign w:val="subscript"/>
              </w:rPr>
              <w:t>q</w:t>
            </w:r>
            <w:r w:rsidRPr="0013396E">
              <w:rPr>
                <w:vertAlign w:val="subscript"/>
              </w:rPr>
              <w:t xml:space="preserve"> </w:t>
            </w:r>
          </w:p>
        </w:tc>
        <w:tc>
          <w:tcPr>
            <w:tcW w:w="737" w:type="dxa"/>
          </w:tcPr>
          <w:p w14:paraId="0C4D4B5E" w14:textId="77777777" w:rsidR="00C57701" w:rsidRPr="0013396E" w:rsidRDefault="00C57701" w:rsidP="00EC4D68">
            <w:pPr>
              <w:pStyle w:val="TableBody"/>
            </w:pPr>
            <w:r w:rsidRPr="0013396E">
              <w:t>$</w:t>
            </w:r>
          </w:p>
        </w:tc>
        <w:tc>
          <w:tcPr>
            <w:tcW w:w="6425" w:type="dxa"/>
          </w:tcPr>
          <w:p w14:paraId="0C51155E" w14:textId="77777777" w:rsidR="00C57701" w:rsidRPr="0013396E" w:rsidRDefault="00C57701" w:rsidP="00EC4D68">
            <w:pPr>
              <w:pStyle w:val="TableBody"/>
            </w:pPr>
            <w:r w:rsidRPr="0013396E">
              <w:rPr>
                <w:i/>
              </w:rPr>
              <w:t>Load-Allocated High Dispatch Limit override energy amount per QSE</w:t>
            </w:r>
            <w:r w:rsidRPr="0013396E">
              <w:t xml:space="preserve">—The charge to QSE </w:t>
            </w:r>
            <w:r w:rsidRPr="0013396E">
              <w:rPr>
                <w:i/>
              </w:rPr>
              <w:t>q</w:t>
            </w:r>
            <w:r w:rsidRPr="0013396E">
              <w:t xml:space="preserve"> for an HDL override, for the 15-minute Settlement Interval.</w:t>
            </w:r>
          </w:p>
        </w:tc>
      </w:tr>
      <w:tr w:rsidR="00C57701" w:rsidRPr="0013396E" w14:paraId="575EDF39" w14:textId="77777777" w:rsidTr="00925E7F">
        <w:trPr>
          <w:cantSplit/>
        </w:trPr>
        <w:tc>
          <w:tcPr>
            <w:tcW w:w="2414" w:type="dxa"/>
          </w:tcPr>
          <w:p w14:paraId="1EF4C3EA" w14:textId="77777777" w:rsidR="00C57701" w:rsidRPr="0013396E" w:rsidRDefault="00C57701" w:rsidP="00EC4D68">
            <w:pPr>
              <w:pStyle w:val="TableBody"/>
            </w:pPr>
            <w:r w:rsidRPr="0013396E">
              <w:t>HDLOEAMTTOT</w:t>
            </w:r>
            <w:r w:rsidRPr="0013396E">
              <w:rPr>
                <w:i/>
                <w:vertAlign w:val="subscript"/>
                <w:lang w:val="es-ES"/>
              </w:rPr>
              <w:t xml:space="preserve"> i</w:t>
            </w:r>
            <w:r w:rsidRPr="0013396E">
              <w:rPr>
                <w:b/>
                <w:i/>
                <w:vertAlign w:val="subscript"/>
                <w:lang w:val="es-ES"/>
              </w:rPr>
              <w:t xml:space="preserve"> </w:t>
            </w:r>
            <w:r w:rsidRPr="0013396E">
              <w:rPr>
                <w:b/>
              </w:rPr>
              <w:t xml:space="preserve"> </w:t>
            </w:r>
          </w:p>
        </w:tc>
        <w:tc>
          <w:tcPr>
            <w:tcW w:w="737" w:type="dxa"/>
          </w:tcPr>
          <w:p w14:paraId="2F0CA932" w14:textId="77777777" w:rsidR="00C57701" w:rsidRPr="0013396E" w:rsidRDefault="00C57701" w:rsidP="00EC4D68">
            <w:pPr>
              <w:pStyle w:val="TableBody"/>
            </w:pPr>
            <w:r w:rsidRPr="0013396E">
              <w:t>$</w:t>
            </w:r>
          </w:p>
        </w:tc>
        <w:tc>
          <w:tcPr>
            <w:tcW w:w="6425" w:type="dxa"/>
          </w:tcPr>
          <w:p w14:paraId="13C3BE0E" w14:textId="77777777" w:rsidR="00C57701" w:rsidRPr="0013396E" w:rsidRDefault="00C57701" w:rsidP="00EC4D68">
            <w:pPr>
              <w:pStyle w:val="TableBody"/>
              <w:rPr>
                <w:i/>
              </w:rPr>
            </w:pPr>
            <w:r w:rsidRPr="0013396E">
              <w:rPr>
                <w:i/>
              </w:rPr>
              <w:t>High Dispatch Limit energy amount total</w:t>
            </w:r>
            <w:r w:rsidRPr="0013396E">
              <w:t xml:space="preserve">—The total of payments to all QSEs for HDL overrides, for the 15-minute Settlement Interval </w:t>
            </w:r>
            <w:r w:rsidRPr="0013396E">
              <w:rPr>
                <w:i/>
              </w:rPr>
              <w:t>i</w:t>
            </w:r>
            <w:r w:rsidRPr="0013396E">
              <w:t>.</w:t>
            </w:r>
          </w:p>
        </w:tc>
      </w:tr>
      <w:tr w:rsidR="00C57701" w:rsidRPr="0013396E" w14:paraId="15AA135D" w14:textId="77777777" w:rsidTr="00925E7F">
        <w:trPr>
          <w:cantSplit/>
        </w:trPr>
        <w:tc>
          <w:tcPr>
            <w:tcW w:w="2414" w:type="dxa"/>
          </w:tcPr>
          <w:p w14:paraId="6DA67A20" w14:textId="77777777" w:rsidR="00C57701" w:rsidRPr="0013396E" w:rsidRDefault="00C57701" w:rsidP="00EC4D68">
            <w:pPr>
              <w:pStyle w:val="TableBody"/>
            </w:pPr>
            <w:r w:rsidRPr="0013396E">
              <w:t xml:space="preserve">HDLOEAMTQSETOT </w:t>
            </w:r>
            <w:r w:rsidRPr="0013396E">
              <w:rPr>
                <w:i/>
                <w:vertAlign w:val="subscript"/>
                <w:lang w:val="es-ES"/>
              </w:rPr>
              <w:t>q, i</w:t>
            </w:r>
            <w:r w:rsidRPr="0013396E">
              <w:rPr>
                <w:b/>
                <w:i/>
                <w:vertAlign w:val="subscript"/>
                <w:lang w:val="es-ES"/>
              </w:rPr>
              <w:t xml:space="preserve"> </w:t>
            </w:r>
            <w:r w:rsidRPr="0013396E">
              <w:rPr>
                <w:b/>
              </w:rPr>
              <w:t xml:space="preserve"> </w:t>
            </w:r>
          </w:p>
        </w:tc>
        <w:tc>
          <w:tcPr>
            <w:tcW w:w="737" w:type="dxa"/>
          </w:tcPr>
          <w:p w14:paraId="26A81776" w14:textId="77777777" w:rsidR="00C57701" w:rsidRPr="0013396E" w:rsidRDefault="00C57701" w:rsidP="00EC4D68">
            <w:pPr>
              <w:pStyle w:val="TableBody"/>
            </w:pPr>
            <w:r w:rsidRPr="0013396E">
              <w:t>$</w:t>
            </w:r>
          </w:p>
        </w:tc>
        <w:tc>
          <w:tcPr>
            <w:tcW w:w="6425" w:type="dxa"/>
          </w:tcPr>
          <w:p w14:paraId="1998CAD5" w14:textId="77777777" w:rsidR="00C57701" w:rsidRPr="0013396E" w:rsidRDefault="00C57701" w:rsidP="00EC4D68">
            <w:pPr>
              <w:pStyle w:val="TableBody"/>
              <w:rPr>
                <w:i/>
              </w:rPr>
            </w:pPr>
            <w:r w:rsidRPr="0013396E">
              <w:rPr>
                <w:i/>
              </w:rPr>
              <w:t>High Dispatch Limit override energy amount QSE total per QSE</w:t>
            </w:r>
            <w:r w:rsidRPr="0013396E">
              <w:t xml:space="preserve">—The total of the energy payments to QSE </w:t>
            </w:r>
            <w:r w:rsidRPr="0013396E">
              <w:rPr>
                <w:i/>
              </w:rPr>
              <w:t>q</w:t>
            </w:r>
            <w:r w:rsidRPr="0013396E">
              <w:t xml:space="preserve"> as compensation for an HDL override for this QSE for the 15-minute Settlement Interval </w:t>
            </w:r>
            <w:r w:rsidRPr="0013396E">
              <w:rPr>
                <w:i/>
              </w:rPr>
              <w:t>i</w:t>
            </w:r>
            <w:r w:rsidRPr="0013396E">
              <w:t>.</w:t>
            </w:r>
          </w:p>
        </w:tc>
      </w:tr>
      <w:tr w:rsidR="00C57701" w:rsidRPr="0013396E" w14:paraId="2C86EAA2" w14:textId="77777777" w:rsidTr="00925E7F">
        <w:trPr>
          <w:cantSplit/>
        </w:trPr>
        <w:tc>
          <w:tcPr>
            <w:tcW w:w="2414" w:type="dxa"/>
          </w:tcPr>
          <w:p w14:paraId="38B5A34A" w14:textId="77777777" w:rsidR="00C57701" w:rsidRPr="0013396E" w:rsidRDefault="00C57701" w:rsidP="00EC4D68">
            <w:pPr>
              <w:pStyle w:val="TableBody"/>
            </w:pPr>
            <w:r w:rsidRPr="0013396E">
              <w:t xml:space="preserve">LRS </w:t>
            </w:r>
            <w:r w:rsidRPr="0013396E">
              <w:rPr>
                <w:i/>
                <w:vertAlign w:val="subscript"/>
                <w:lang w:val="es-ES"/>
              </w:rPr>
              <w:t>q, i</w:t>
            </w:r>
            <w:r w:rsidRPr="0013396E">
              <w:rPr>
                <w:b/>
                <w:i/>
                <w:vertAlign w:val="subscript"/>
                <w:lang w:val="es-ES"/>
              </w:rPr>
              <w:t xml:space="preserve"> </w:t>
            </w:r>
            <w:r w:rsidRPr="0013396E">
              <w:rPr>
                <w:b/>
              </w:rPr>
              <w:t xml:space="preserve"> </w:t>
            </w:r>
          </w:p>
        </w:tc>
        <w:tc>
          <w:tcPr>
            <w:tcW w:w="737" w:type="dxa"/>
          </w:tcPr>
          <w:p w14:paraId="2B4612D2" w14:textId="77777777" w:rsidR="00C57701" w:rsidRPr="0013396E" w:rsidRDefault="00C57701" w:rsidP="00EC4D68">
            <w:pPr>
              <w:pStyle w:val="TableBody"/>
            </w:pPr>
            <w:r w:rsidRPr="0013396E">
              <w:t>none</w:t>
            </w:r>
          </w:p>
        </w:tc>
        <w:tc>
          <w:tcPr>
            <w:tcW w:w="6425" w:type="dxa"/>
          </w:tcPr>
          <w:p w14:paraId="3A4CB9F6" w14:textId="77777777" w:rsidR="00C57701" w:rsidRPr="0013396E" w:rsidRDefault="00C57701" w:rsidP="00EC4D68">
            <w:pPr>
              <w:pStyle w:val="TableBody"/>
            </w:pPr>
            <w:r w:rsidRPr="0013396E">
              <w:rPr>
                <w:i/>
              </w:rPr>
              <w:t>The Load Ratio Share</w:t>
            </w:r>
            <w:r w:rsidRPr="0013396E">
              <w:t xml:space="preserve"> calculated for QSE </w:t>
            </w:r>
            <w:r w:rsidRPr="0013396E">
              <w:rPr>
                <w:i/>
              </w:rPr>
              <w:t>q</w:t>
            </w:r>
            <w:r w:rsidRPr="0013396E">
              <w:t xml:space="preserve"> for the 15-minute Settlement Interval </w:t>
            </w:r>
            <w:r w:rsidRPr="0013396E">
              <w:rPr>
                <w:i/>
              </w:rPr>
              <w:t>i</w:t>
            </w:r>
            <w:r w:rsidRPr="0013396E">
              <w:t>.  See Section 6.6.2.2, QSE Load Ratio Share for a 15-Minute Settlement Interval.</w:t>
            </w:r>
          </w:p>
        </w:tc>
      </w:tr>
      <w:tr w:rsidR="00C57701" w:rsidRPr="0013396E" w14:paraId="5172CE38" w14:textId="77777777" w:rsidTr="00925E7F">
        <w:trPr>
          <w:cantSplit/>
        </w:trPr>
        <w:tc>
          <w:tcPr>
            <w:tcW w:w="2414" w:type="dxa"/>
            <w:tcBorders>
              <w:top w:val="single" w:sz="4" w:space="0" w:color="auto"/>
              <w:left w:val="single" w:sz="4" w:space="0" w:color="auto"/>
              <w:bottom w:val="single" w:sz="4" w:space="0" w:color="auto"/>
              <w:right w:val="single" w:sz="4" w:space="0" w:color="auto"/>
            </w:tcBorders>
          </w:tcPr>
          <w:p w14:paraId="4EE421A4" w14:textId="77777777" w:rsidR="00C57701" w:rsidRPr="0013396E" w:rsidRDefault="00C57701" w:rsidP="00EC4D68">
            <w:pPr>
              <w:pStyle w:val="TableBody"/>
              <w:rPr>
                <w:i/>
              </w:rPr>
            </w:pPr>
            <w:r w:rsidRPr="0013396E">
              <w:rPr>
                <w:i/>
              </w:rPr>
              <w:t>q</w:t>
            </w:r>
          </w:p>
        </w:tc>
        <w:tc>
          <w:tcPr>
            <w:tcW w:w="737" w:type="dxa"/>
            <w:tcBorders>
              <w:top w:val="single" w:sz="4" w:space="0" w:color="auto"/>
              <w:left w:val="single" w:sz="4" w:space="0" w:color="auto"/>
              <w:bottom w:val="single" w:sz="4" w:space="0" w:color="auto"/>
              <w:right w:val="single" w:sz="4" w:space="0" w:color="auto"/>
            </w:tcBorders>
          </w:tcPr>
          <w:p w14:paraId="20EB73C9" w14:textId="77777777" w:rsidR="00C57701" w:rsidRPr="0013396E" w:rsidRDefault="00C57701" w:rsidP="00EC4D68">
            <w:pPr>
              <w:pStyle w:val="TableBody"/>
            </w:pPr>
            <w:r w:rsidRPr="0013396E">
              <w:t>none</w:t>
            </w:r>
          </w:p>
        </w:tc>
        <w:tc>
          <w:tcPr>
            <w:tcW w:w="6425" w:type="dxa"/>
            <w:tcBorders>
              <w:top w:val="single" w:sz="4" w:space="0" w:color="auto"/>
              <w:left w:val="single" w:sz="4" w:space="0" w:color="auto"/>
              <w:bottom w:val="single" w:sz="4" w:space="0" w:color="auto"/>
              <w:right w:val="single" w:sz="4" w:space="0" w:color="auto"/>
            </w:tcBorders>
          </w:tcPr>
          <w:p w14:paraId="03C5AC62" w14:textId="77777777" w:rsidR="00C57701" w:rsidRPr="0013396E" w:rsidRDefault="00C57701" w:rsidP="00EC4D68">
            <w:pPr>
              <w:pStyle w:val="TableBody"/>
            </w:pPr>
            <w:r w:rsidRPr="0013396E">
              <w:t>A QSE.</w:t>
            </w:r>
          </w:p>
        </w:tc>
      </w:tr>
      <w:tr w:rsidR="00C57701" w:rsidRPr="0013396E" w14:paraId="50003014" w14:textId="77777777" w:rsidTr="00925E7F">
        <w:trPr>
          <w:cantSplit/>
        </w:trPr>
        <w:tc>
          <w:tcPr>
            <w:tcW w:w="2414" w:type="dxa"/>
            <w:tcBorders>
              <w:top w:val="single" w:sz="4" w:space="0" w:color="auto"/>
              <w:left w:val="single" w:sz="4" w:space="0" w:color="auto"/>
              <w:bottom w:val="single" w:sz="4" w:space="0" w:color="auto"/>
              <w:right w:val="single" w:sz="4" w:space="0" w:color="auto"/>
            </w:tcBorders>
          </w:tcPr>
          <w:p w14:paraId="3C5E1109" w14:textId="77777777" w:rsidR="00C57701" w:rsidRPr="0013396E" w:rsidRDefault="00C57701" w:rsidP="00EC4D68">
            <w:pPr>
              <w:pStyle w:val="TableBody"/>
            </w:pPr>
            <w:r w:rsidRPr="0013396E">
              <w:rPr>
                <w:i/>
              </w:rPr>
              <w:t>i</w:t>
            </w:r>
          </w:p>
        </w:tc>
        <w:tc>
          <w:tcPr>
            <w:tcW w:w="737" w:type="dxa"/>
            <w:tcBorders>
              <w:top w:val="single" w:sz="4" w:space="0" w:color="auto"/>
              <w:left w:val="single" w:sz="4" w:space="0" w:color="auto"/>
              <w:bottom w:val="single" w:sz="4" w:space="0" w:color="auto"/>
              <w:right w:val="single" w:sz="4" w:space="0" w:color="auto"/>
            </w:tcBorders>
          </w:tcPr>
          <w:p w14:paraId="7FC0662D" w14:textId="77777777" w:rsidR="00C57701" w:rsidRPr="0013396E" w:rsidRDefault="00C57701" w:rsidP="00EC4D68">
            <w:pPr>
              <w:pStyle w:val="TableBody"/>
            </w:pPr>
            <w:r w:rsidRPr="0013396E">
              <w:t>none</w:t>
            </w:r>
          </w:p>
        </w:tc>
        <w:tc>
          <w:tcPr>
            <w:tcW w:w="6425" w:type="dxa"/>
            <w:tcBorders>
              <w:top w:val="single" w:sz="4" w:space="0" w:color="auto"/>
              <w:left w:val="single" w:sz="4" w:space="0" w:color="auto"/>
              <w:bottom w:val="single" w:sz="4" w:space="0" w:color="auto"/>
              <w:right w:val="single" w:sz="4" w:space="0" w:color="auto"/>
            </w:tcBorders>
          </w:tcPr>
          <w:p w14:paraId="131CB95F" w14:textId="77777777" w:rsidR="00C57701" w:rsidRPr="0013396E" w:rsidRDefault="00C57701" w:rsidP="00EC4D68">
            <w:pPr>
              <w:pStyle w:val="TableBody"/>
            </w:pPr>
            <w:r w:rsidRPr="0013396E">
              <w:t>A 15-minute Settlement Interval.</w:t>
            </w:r>
          </w:p>
        </w:tc>
      </w:tr>
    </w:tbl>
    <w:p w14:paraId="23B56615" w14:textId="07A7007F" w:rsidR="00925E7F" w:rsidRPr="0013396E" w:rsidRDefault="00925E7F" w:rsidP="00925E7F">
      <w:pPr>
        <w:keepNext/>
        <w:widowControl w:val="0"/>
        <w:tabs>
          <w:tab w:val="left" w:pos="1260"/>
        </w:tabs>
        <w:spacing w:before="480" w:after="240"/>
        <w:ind w:left="1260" w:hanging="1260"/>
        <w:outlineLvl w:val="3"/>
        <w:rPr>
          <w:b/>
          <w:bCs/>
          <w:snapToGrid w:val="0"/>
        </w:rPr>
      </w:pPr>
      <w:bookmarkStart w:id="1682" w:name="_Toc236220183"/>
      <w:r w:rsidRPr="0013396E">
        <w:rPr>
          <w:b/>
          <w:bCs/>
          <w:snapToGrid w:val="0"/>
        </w:rPr>
        <w:t>6.6.3.</w:t>
      </w:r>
      <w:r w:rsidR="00720B34" w:rsidRPr="0013396E">
        <w:rPr>
          <w:b/>
          <w:bCs/>
          <w:snapToGrid w:val="0"/>
        </w:rPr>
        <w:t>8</w:t>
      </w:r>
      <w:r w:rsidRPr="0013396E">
        <w:rPr>
          <w:b/>
          <w:bCs/>
          <w:snapToGrid w:val="0"/>
        </w:rPr>
        <w:tab/>
        <w:t>Real-Time Payment or Charge for Energy from a Settlement Only Distribution Generator (SODG) or a Settlement Only Transmission Generator (SOTG)</w:t>
      </w:r>
      <w:bookmarkEnd w:id="1682"/>
      <w:r w:rsidRPr="0013396E">
        <w:rPr>
          <w:b/>
          <w:bCs/>
          <w:snapToGrid w:val="0"/>
        </w:rPr>
        <w:t xml:space="preserve"> </w:t>
      </w:r>
    </w:p>
    <w:p w14:paraId="0A67FC26" w14:textId="4FCE0B4D" w:rsidR="00925E7F" w:rsidRPr="0013396E" w:rsidRDefault="00925E7F" w:rsidP="00925E7F">
      <w:pPr>
        <w:widowControl w:val="0"/>
        <w:spacing w:after="240"/>
        <w:ind w:left="720" w:hanging="720"/>
      </w:pPr>
      <w:r w:rsidRPr="0013396E">
        <w:t>(1)</w:t>
      </w:r>
      <w:r w:rsidRPr="0013396E">
        <w:tab/>
        <w:t>The payment or charge to each QSE for energy from an SODG or an SOTG shall be based on an identified nodal energy price, RTESOGPR, as described in this subsection, with the following exceptions:</w:t>
      </w:r>
    </w:p>
    <w:p w14:paraId="5240EAFC" w14:textId="77777777" w:rsidR="00925E7F" w:rsidRPr="0013396E" w:rsidRDefault="00925E7F" w:rsidP="00925E7F">
      <w:pPr>
        <w:pStyle w:val="List"/>
      </w:pPr>
      <w:r w:rsidRPr="0013396E">
        <w:t>(a)</w:t>
      </w:r>
      <w:r w:rsidRPr="0013396E">
        <w:tab/>
        <w:t xml:space="preserve">An SODG or SOTG that has opted out of nodal pricing as described in paragraph (5) below; or </w:t>
      </w:r>
    </w:p>
    <w:p w14:paraId="0119F3EC" w14:textId="42F8738B" w:rsidR="00925E7F" w:rsidRPr="0013396E" w:rsidRDefault="00925E7F" w:rsidP="00925E7F">
      <w:pPr>
        <w:pStyle w:val="List"/>
      </w:pPr>
      <w:r w:rsidRPr="0013396E">
        <w:t>(b)</w:t>
      </w:r>
      <w:r w:rsidRPr="0013396E">
        <w:tab/>
        <w:t>Any site with one or more ESS SODGs or SOTGs where the ESS capacity constitutes more than 50% of the site’s total SOG nameplate capacity.</w:t>
      </w:r>
    </w:p>
    <w:p w14:paraId="5BAF525D" w14:textId="07F1320B" w:rsidR="00925E7F" w:rsidRPr="0013396E" w:rsidRDefault="00925E7F" w:rsidP="00925E7F">
      <w:pPr>
        <w:widowControl w:val="0"/>
        <w:spacing w:after="240"/>
        <w:ind w:left="720" w:hanging="720"/>
      </w:pPr>
      <w:r w:rsidRPr="0013396E">
        <w:t>(2)</w:t>
      </w:r>
      <w:r w:rsidRPr="0013396E">
        <w:tab/>
        <w:t xml:space="preserve">For an SODG, the price used as the basis for the 15-minute Real-Time price calculation is </w:t>
      </w:r>
      <w:r w:rsidRPr="0013396E">
        <w:lastRenderedPageBreak/>
        <w:t>the time-weighted price at the Electrical Bus associated with this mapped Load in the Network Operations Model.  For an SOTG, the price used as the basis for the 15-minute Real-Time price calculation is the time-weighted price at the Electrical Bus as determined by ERCOT in review of the meter location of the SOTG in the Network Operations Model.  SODG and SOTG sites will be represented as a single unit in the ERCOT Settlement system.</w:t>
      </w:r>
    </w:p>
    <w:p w14:paraId="6FF7AB60" w14:textId="77777777" w:rsidR="00925E7F" w:rsidRPr="0013396E" w:rsidRDefault="00925E7F" w:rsidP="00925E7F">
      <w:pPr>
        <w:widowControl w:val="0"/>
        <w:spacing w:after="240"/>
        <w:ind w:left="720" w:hanging="720"/>
      </w:pPr>
      <w:r w:rsidRPr="0013396E">
        <w:t>(3)</w:t>
      </w:r>
      <w:r w:rsidRPr="0013396E">
        <w:tab/>
        <w:t>For an SODG or an SOTG, the total payment or charge for each 15-minute Settlement Interval shall be calculated as follows:</w:t>
      </w:r>
    </w:p>
    <w:p w14:paraId="2CE62C1E" w14:textId="77777777" w:rsidR="00925E7F" w:rsidRPr="0013396E" w:rsidRDefault="00925E7F" w:rsidP="00925E7F">
      <w:pPr>
        <w:pStyle w:val="FormulaBold"/>
      </w:pPr>
      <w:r w:rsidRPr="0013396E">
        <w:t>MEBSOGNET</w:t>
      </w:r>
      <w:r w:rsidRPr="0013396E">
        <w:rPr>
          <w:i/>
          <w:sz w:val="28"/>
          <w:szCs w:val="28"/>
          <w:vertAlign w:val="subscript"/>
        </w:rPr>
        <w:t xml:space="preserve"> q,</w:t>
      </w:r>
      <w:r w:rsidRPr="0013396E">
        <w:t xml:space="preserve"> </w:t>
      </w:r>
      <w:r w:rsidRPr="0013396E">
        <w:rPr>
          <w:i/>
          <w:sz w:val="28"/>
          <w:szCs w:val="28"/>
          <w:vertAlign w:val="subscript"/>
        </w:rPr>
        <w:t>gsc</w:t>
      </w:r>
      <w:r w:rsidRPr="0013396E">
        <w:t xml:space="preserve"> =   Max(0, </w:t>
      </w:r>
      <w:r w:rsidRPr="0013396E">
        <w:rPr>
          <w:position w:val="-20"/>
        </w:rPr>
        <w:object w:dxaOrig="225" w:dyaOrig="435" w14:anchorId="50FD9FBE">
          <v:shape id="_x0000_i1134" type="#_x0000_t75" style="width:12pt;height:24pt" o:ole="">
            <v:imagedata r:id="rId159" o:title=""/>
          </v:shape>
          <o:OLEObject Type="Embed" ProgID="Equation.3" ShapeID="_x0000_i1134" DrawAspect="Content" ObjectID="_1849065765" r:id="rId160"/>
        </w:object>
      </w:r>
      <w:r w:rsidRPr="0013396E">
        <w:t>MEBSOG</w:t>
      </w:r>
      <w:r w:rsidRPr="0013396E">
        <w:rPr>
          <w:i/>
          <w:vertAlign w:val="subscript"/>
        </w:rPr>
        <w:t xml:space="preserve"> q, gsc, b</w:t>
      </w:r>
      <w:r w:rsidRPr="0013396E">
        <w:t>)</w:t>
      </w:r>
    </w:p>
    <w:p w14:paraId="15374A8D" w14:textId="77777777" w:rsidR="00925E7F" w:rsidRPr="0013396E" w:rsidRDefault="00925E7F" w:rsidP="00925E7F">
      <w:pPr>
        <w:pStyle w:val="BodyTextNumbered"/>
        <w:widowControl w:val="0"/>
        <w:ind w:firstLine="0"/>
      </w:pPr>
      <w:r w:rsidRPr="0013396E">
        <w:t>If MEBSOGNET</w:t>
      </w:r>
      <w:r w:rsidRPr="0013396E">
        <w:rPr>
          <w:i/>
          <w:sz w:val="28"/>
          <w:szCs w:val="28"/>
          <w:vertAlign w:val="subscript"/>
        </w:rPr>
        <w:t xml:space="preserve"> </w:t>
      </w:r>
      <w:r w:rsidRPr="0013396E">
        <w:rPr>
          <w:i/>
          <w:vertAlign w:val="subscript"/>
        </w:rPr>
        <w:t>q, gsc</w:t>
      </w:r>
      <w:r w:rsidRPr="0013396E">
        <w:t xml:space="preserve"> = 0 for a 15-minute Settlement Interval, then</w:t>
      </w:r>
    </w:p>
    <w:p w14:paraId="0533B9ED" w14:textId="77777777" w:rsidR="00925E7F" w:rsidRPr="0013396E" w:rsidRDefault="00925E7F" w:rsidP="00925E7F">
      <w:pPr>
        <w:pStyle w:val="BodyTextNumbered"/>
        <w:widowControl w:val="0"/>
        <w:ind w:firstLine="0"/>
      </w:pPr>
      <w:r w:rsidRPr="0013396E">
        <w:t>The Load is included in the Real-Time AML per QSE and is included in the Real-Time energy imbalance payment or charge at a Load Zone.</w:t>
      </w:r>
    </w:p>
    <w:p w14:paraId="2C705D24" w14:textId="77777777" w:rsidR="00925E7F" w:rsidRPr="0013396E" w:rsidRDefault="00925E7F" w:rsidP="00925E7F">
      <w:pPr>
        <w:pStyle w:val="FormulaBold"/>
      </w:pPr>
      <w:r w:rsidRPr="0013396E">
        <w:rPr>
          <w:b w:val="0"/>
          <w:bCs w:val="0"/>
          <w:szCs w:val="20"/>
        </w:rPr>
        <w:t>Otherwise, when MEBSOGNET</w:t>
      </w:r>
      <w:r w:rsidRPr="0013396E">
        <w:rPr>
          <w:i/>
          <w:vertAlign w:val="subscript"/>
        </w:rPr>
        <w:t xml:space="preserve"> q, gsc</w:t>
      </w:r>
      <w:r w:rsidRPr="0013396E">
        <w:rPr>
          <w:b w:val="0"/>
        </w:rPr>
        <w:t xml:space="preserve"> &gt; 0 for a 15-minute Settlement Interval, then</w:t>
      </w:r>
    </w:p>
    <w:p w14:paraId="0B767545" w14:textId="2531038C" w:rsidR="00925E7F" w:rsidRPr="0013396E" w:rsidRDefault="00925E7F" w:rsidP="00925E7F">
      <w:pPr>
        <w:tabs>
          <w:tab w:val="left" w:pos="2250"/>
          <w:tab w:val="left" w:pos="3150"/>
          <w:tab w:val="left" w:pos="3960"/>
        </w:tabs>
        <w:spacing w:after="240"/>
        <w:ind w:left="3960" w:hanging="3240"/>
        <w:rPr>
          <w:b/>
          <w:bCs/>
          <w:iCs/>
        </w:rPr>
      </w:pPr>
      <w:r w:rsidRPr="0013396E">
        <w:rPr>
          <w:b/>
          <w:bCs/>
          <w:szCs w:val="24"/>
        </w:rPr>
        <w:t xml:space="preserve">RTESOGSAMT </w:t>
      </w:r>
      <w:r w:rsidRPr="0013396E">
        <w:rPr>
          <w:b/>
          <w:bCs/>
          <w:i/>
          <w:sz w:val="28"/>
          <w:szCs w:val="28"/>
          <w:vertAlign w:val="subscript"/>
        </w:rPr>
        <w:t>q,</w:t>
      </w:r>
      <w:r w:rsidRPr="0013396E">
        <w:rPr>
          <w:b/>
          <w:bCs/>
          <w:szCs w:val="24"/>
        </w:rPr>
        <w:t xml:space="preserve"> </w:t>
      </w:r>
      <w:r w:rsidRPr="0013396E">
        <w:rPr>
          <w:b/>
          <w:bCs/>
          <w:i/>
          <w:sz w:val="28"/>
          <w:szCs w:val="28"/>
          <w:vertAlign w:val="subscript"/>
        </w:rPr>
        <w:t>gsc</w:t>
      </w:r>
      <w:r w:rsidRPr="0013396E">
        <w:rPr>
          <w:b/>
          <w:bCs/>
          <w:szCs w:val="24"/>
        </w:rPr>
        <w:tab/>
        <w:t>=</w:t>
      </w:r>
      <w:r w:rsidRPr="0013396E">
        <w:rPr>
          <w:b/>
          <w:bCs/>
          <w:szCs w:val="24"/>
        </w:rPr>
        <w:tab/>
        <w:t>(-1) * [</w:t>
      </w:r>
      <w:r w:rsidRPr="0013396E">
        <w:rPr>
          <w:b/>
          <w:bCs/>
          <w:position w:val="-20"/>
          <w:szCs w:val="24"/>
        </w:rPr>
        <w:object w:dxaOrig="225" w:dyaOrig="435" w14:anchorId="1E10A868">
          <v:shape id="_x0000_i1135" type="#_x0000_t75" style="width:12pt;height:30pt" o:ole="">
            <v:imagedata r:id="rId159" o:title=""/>
          </v:shape>
          <o:OLEObject Type="Embed" ProgID="Equation.3" ShapeID="_x0000_i1135" DrawAspect="Content" ObjectID="_1849065766" r:id="rId161"/>
        </w:object>
      </w:r>
      <w:r w:rsidRPr="0013396E">
        <w:rPr>
          <w:b/>
          <w:bCs/>
          <w:szCs w:val="24"/>
        </w:rPr>
        <w:t xml:space="preserve">( RTESOGPR </w:t>
      </w:r>
      <w:r w:rsidRPr="0013396E">
        <w:rPr>
          <w:b/>
          <w:bCs/>
          <w:i/>
          <w:szCs w:val="24"/>
          <w:vertAlign w:val="subscript"/>
        </w:rPr>
        <w:t xml:space="preserve">b </w:t>
      </w:r>
      <w:r w:rsidRPr="0013396E">
        <w:rPr>
          <w:b/>
          <w:bCs/>
          <w:szCs w:val="24"/>
        </w:rPr>
        <w:t xml:space="preserve">* MEBSOG </w:t>
      </w:r>
      <w:r w:rsidRPr="0013396E">
        <w:rPr>
          <w:b/>
          <w:bCs/>
          <w:i/>
          <w:szCs w:val="24"/>
          <w:vertAlign w:val="subscript"/>
        </w:rPr>
        <w:t>q, gsc, b</w:t>
      </w:r>
      <w:r w:rsidRPr="0013396E">
        <w:rPr>
          <w:b/>
          <w:bCs/>
          <w:szCs w:val="24"/>
        </w:rPr>
        <w:t xml:space="preserve">)] </w:t>
      </w:r>
    </w:p>
    <w:p w14:paraId="5A7D810D" w14:textId="77777777" w:rsidR="00925E7F" w:rsidRPr="0013396E" w:rsidRDefault="00925E7F" w:rsidP="00925E7F">
      <w:pPr>
        <w:tabs>
          <w:tab w:val="left" w:pos="2250"/>
          <w:tab w:val="left" w:pos="3150"/>
          <w:tab w:val="left" w:pos="3960"/>
        </w:tabs>
        <w:spacing w:after="240"/>
        <w:ind w:left="3960" w:hanging="3240"/>
        <w:rPr>
          <w:iCs/>
          <w:szCs w:val="24"/>
        </w:rPr>
      </w:pPr>
      <w:r w:rsidRPr="0013396E">
        <w:rPr>
          <w:iCs/>
        </w:rPr>
        <w:t>Where</w:t>
      </w:r>
      <w:r w:rsidRPr="0013396E">
        <w:t xml:space="preserve"> the price for the SOTG or SODG is determined as follows:</w:t>
      </w:r>
    </w:p>
    <w:p w14:paraId="1BCCB747" w14:textId="3EEE046A" w:rsidR="00925E7F" w:rsidRPr="0013396E" w:rsidRDefault="00925E7F" w:rsidP="00925E7F">
      <w:pPr>
        <w:tabs>
          <w:tab w:val="left" w:pos="2250"/>
          <w:tab w:val="left" w:pos="3150"/>
          <w:tab w:val="left" w:pos="3960"/>
        </w:tabs>
        <w:spacing w:after="240"/>
        <w:ind w:left="3960" w:hanging="3240"/>
        <w:rPr>
          <w:b/>
          <w:bCs/>
          <w:szCs w:val="24"/>
        </w:rPr>
      </w:pPr>
      <w:r w:rsidRPr="0013396E">
        <w:rPr>
          <w:b/>
          <w:bCs/>
          <w:szCs w:val="24"/>
        </w:rPr>
        <w:t>RTESOGPR</w:t>
      </w:r>
      <w:r w:rsidRPr="0013396E">
        <w:rPr>
          <w:b/>
          <w:bCs/>
          <w:i/>
          <w:iCs/>
          <w:szCs w:val="24"/>
          <w:vertAlign w:val="subscript"/>
        </w:rPr>
        <w:t xml:space="preserve"> b</w:t>
      </w:r>
      <w:r w:rsidRPr="0013396E">
        <w:rPr>
          <w:b/>
          <w:bCs/>
          <w:szCs w:val="24"/>
        </w:rPr>
        <w:t xml:space="preserve"> </w:t>
      </w:r>
      <w:r w:rsidRPr="0013396E">
        <w:rPr>
          <w:b/>
          <w:bCs/>
          <w:szCs w:val="24"/>
        </w:rPr>
        <w:tab/>
        <w:t>=</w:t>
      </w:r>
      <w:r w:rsidRPr="0013396E">
        <w:rPr>
          <w:b/>
          <w:bCs/>
          <w:szCs w:val="24"/>
        </w:rPr>
        <w:tab/>
        <w:t xml:space="preserve">Max [-$251, </w:t>
      </w:r>
      <w:r w:rsidRPr="0013396E">
        <w:rPr>
          <w:b/>
          <w:bCs/>
          <w:position w:val="-22"/>
          <w:szCs w:val="24"/>
        </w:rPr>
        <w:object w:dxaOrig="225" w:dyaOrig="465" w14:anchorId="00195C93">
          <v:shape id="_x0000_i1136" type="#_x0000_t75" style="width:12pt;height:29.4pt" o:ole="">
            <v:imagedata r:id="rId162" o:title=""/>
          </v:shape>
          <o:OLEObject Type="Embed" ProgID="Equation.3" ShapeID="_x0000_i1136" DrawAspect="Content" ObjectID="_1849065767" r:id="rId163"/>
        </w:object>
      </w:r>
      <w:r w:rsidRPr="0013396E">
        <w:rPr>
          <w:b/>
          <w:bCs/>
          <w:szCs w:val="24"/>
        </w:rPr>
        <w:t>((SDWF</w:t>
      </w:r>
      <w:r w:rsidRPr="0013396E">
        <w:rPr>
          <w:b/>
          <w:bCs/>
          <w:i/>
          <w:iCs/>
          <w:szCs w:val="24"/>
          <w:vertAlign w:val="subscript"/>
        </w:rPr>
        <w:t xml:space="preserve"> y </w:t>
      </w:r>
      <w:r w:rsidRPr="0013396E">
        <w:rPr>
          <w:b/>
          <w:bCs/>
          <w:szCs w:val="24"/>
        </w:rPr>
        <w:t xml:space="preserve">* RTLMP </w:t>
      </w:r>
      <w:r w:rsidRPr="0013396E">
        <w:rPr>
          <w:b/>
          <w:bCs/>
          <w:i/>
          <w:iCs/>
          <w:szCs w:val="24"/>
          <w:vertAlign w:val="subscript"/>
        </w:rPr>
        <w:t>b, y</w:t>
      </w:r>
      <w:r w:rsidRPr="0013396E">
        <w:rPr>
          <w:b/>
          <w:bCs/>
          <w:szCs w:val="24"/>
        </w:rPr>
        <w:t>) + RTRDP)]</w:t>
      </w:r>
    </w:p>
    <w:p w14:paraId="179FD352" w14:textId="77777777" w:rsidR="00925E7F" w:rsidRPr="0013396E" w:rsidRDefault="00925E7F" w:rsidP="00925E7F">
      <w:pPr>
        <w:widowControl w:val="0"/>
        <w:spacing w:after="240" w:line="240" w:lineRule="exact"/>
        <w:ind w:firstLine="720"/>
        <w:rPr>
          <w:rFonts w:ascii="Verdana" w:hAnsi="Verdana"/>
          <w:sz w:val="16"/>
          <w:szCs w:val="24"/>
        </w:rPr>
      </w:pPr>
      <w:r w:rsidRPr="0013396E">
        <w:rPr>
          <w:szCs w:val="24"/>
        </w:rPr>
        <w:t>Where:</w:t>
      </w:r>
    </w:p>
    <w:p w14:paraId="22E26085" w14:textId="77777777" w:rsidR="00925E7F" w:rsidRPr="0013396E" w:rsidRDefault="00925E7F" w:rsidP="00925E7F">
      <w:pPr>
        <w:spacing w:after="240"/>
        <w:ind w:left="1440"/>
      </w:pPr>
      <w:r w:rsidRPr="0013396E">
        <w:t>RTRDP</w:t>
      </w:r>
      <w:r w:rsidRPr="0013396E">
        <w:tab/>
        <w:t>=</w:t>
      </w:r>
      <w:r w:rsidRPr="0013396E">
        <w:tab/>
      </w:r>
      <w:r w:rsidRPr="0013396E">
        <w:rPr>
          <w:position w:val="-22"/>
        </w:rPr>
        <w:object w:dxaOrig="225" w:dyaOrig="465" w14:anchorId="10798930">
          <v:shape id="_x0000_i1137" type="#_x0000_t75" style="width:12pt;height:29.4pt" o:ole="">
            <v:imagedata r:id="rId162" o:title=""/>
          </v:shape>
          <o:OLEObject Type="Embed" ProgID="Equation.3" ShapeID="_x0000_i1137" DrawAspect="Content" ObjectID="_1849065768" r:id="rId164"/>
        </w:object>
      </w:r>
      <w:r w:rsidRPr="0013396E">
        <w:t>(SDWF</w:t>
      </w:r>
      <w:r w:rsidRPr="0013396E">
        <w:rPr>
          <w:i/>
          <w:iCs/>
          <w:vertAlign w:val="subscript"/>
        </w:rPr>
        <w:t xml:space="preserve"> y </w:t>
      </w:r>
      <w:r w:rsidRPr="0013396E">
        <w:t>* RTORDPA</w:t>
      </w:r>
      <w:r w:rsidRPr="0013396E">
        <w:rPr>
          <w:i/>
          <w:iCs/>
          <w:vertAlign w:val="subscript"/>
        </w:rPr>
        <w:t xml:space="preserve"> y</w:t>
      </w:r>
      <w:r w:rsidRPr="0013396E">
        <w:t>)</w:t>
      </w:r>
    </w:p>
    <w:p w14:paraId="619DA1C9" w14:textId="77777777" w:rsidR="00925E7F" w:rsidRPr="0013396E" w:rsidRDefault="00925E7F" w:rsidP="00925E7F">
      <w:pPr>
        <w:widowControl w:val="0"/>
        <w:spacing w:after="240"/>
        <w:ind w:left="720"/>
        <w:rPr>
          <w:szCs w:val="24"/>
          <w:lang w:val="es-ES"/>
        </w:rPr>
      </w:pPr>
      <w:r w:rsidRPr="0013396E">
        <w:rPr>
          <w:szCs w:val="24"/>
        </w:rPr>
        <w:tab/>
        <w:t xml:space="preserve">SDWF </w:t>
      </w:r>
      <w:r w:rsidRPr="0013396E">
        <w:rPr>
          <w:i/>
          <w:szCs w:val="24"/>
          <w:vertAlign w:val="subscript"/>
        </w:rPr>
        <w:t>y</w:t>
      </w:r>
      <w:r w:rsidRPr="0013396E">
        <w:rPr>
          <w:i/>
          <w:szCs w:val="24"/>
          <w:vertAlign w:val="subscript"/>
        </w:rPr>
        <w:tab/>
      </w:r>
      <w:r w:rsidRPr="0013396E">
        <w:rPr>
          <w:szCs w:val="24"/>
        </w:rPr>
        <w:t>=</w:t>
      </w:r>
      <w:r w:rsidRPr="0013396E">
        <w:rPr>
          <w:szCs w:val="24"/>
        </w:rPr>
        <w:tab/>
        <w:t xml:space="preserve">TLMP </w:t>
      </w:r>
      <w:r w:rsidRPr="0013396E">
        <w:rPr>
          <w:i/>
          <w:szCs w:val="24"/>
          <w:vertAlign w:val="subscript"/>
        </w:rPr>
        <w:t>y</w:t>
      </w:r>
      <w:r w:rsidRPr="0013396E">
        <w:rPr>
          <w:szCs w:val="24"/>
        </w:rPr>
        <w:t xml:space="preserve"> </w:t>
      </w:r>
      <w:r w:rsidRPr="0013396E">
        <w:rPr>
          <w:color w:val="000000"/>
          <w:sz w:val="32"/>
          <w:szCs w:val="32"/>
        </w:rPr>
        <w:t>/</w:t>
      </w:r>
      <w:r w:rsidRPr="0013396E">
        <w:rPr>
          <w:color w:val="000000"/>
          <w:szCs w:val="24"/>
        </w:rPr>
        <w:t xml:space="preserve"> </w:t>
      </w:r>
      <w:r w:rsidRPr="0013396E">
        <w:rPr>
          <w:position w:val="-22"/>
          <w:szCs w:val="24"/>
        </w:rPr>
        <w:object w:dxaOrig="225" w:dyaOrig="465" w14:anchorId="2190BE25">
          <v:shape id="_x0000_i1138" type="#_x0000_t75" style="width:12pt;height:29.4pt" o:ole="">
            <v:imagedata r:id="rId162" o:title=""/>
          </v:shape>
          <o:OLEObject Type="Embed" ProgID="Equation.3" ShapeID="_x0000_i1138" DrawAspect="Content" ObjectID="_1849065769" r:id="rId165"/>
        </w:object>
      </w:r>
      <w:r w:rsidRPr="0013396E">
        <w:rPr>
          <w:szCs w:val="24"/>
        </w:rPr>
        <w:t xml:space="preserve">TLMP </w:t>
      </w:r>
      <w:r w:rsidRPr="0013396E">
        <w:rPr>
          <w:i/>
          <w:szCs w:val="24"/>
          <w:vertAlign w:val="subscript"/>
        </w:rPr>
        <w:t>y</w:t>
      </w:r>
    </w:p>
    <w:p w14:paraId="77548331" w14:textId="77777777" w:rsidR="00925E7F" w:rsidRPr="0013396E" w:rsidRDefault="00925E7F" w:rsidP="00925E7F">
      <w:pPr>
        <w:widowControl w:val="0"/>
      </w:pPr>
      <w:r w:rsidRPr="0013396E">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1"/>
        <w:gridCol w:w="1262"/>
        <w:gridCol w:w="5945"/>
      </w:tblGrid>
      <w:tr w:rsidR="00925E7F" w:rsidRPr="0013396E" w14:paraId="6D09D95F" w14:textId="77777777" w:rsidTr="00CB43C2">
        <w:trPr>
          <w:cantSplit/>
          <w:tblHeader/>
        </w:trPr>
        <w:tc>
          <w:tcPr>
            <w:tcW w:w="1145" w:type="pct"/>
          </w:tcPr>
          <w:p w14:paraId="0039F394" w14:textId="77777777" w:rsidR="00925E7F" w:rsidRPr="0013396E" w:rsidRDefault="00925E7F" w:rsidP="00925E7F">
            <w:pPr>
              <w:widowControl w:val="0"/>
              <w:spacing w:after="120"/>
              <w:rPr>
                <w:b/>
                <w:iCs/>
                <w:sz w:val="20"/>
              </w:rPr>
            </w:pPr>
            <w:r w:rsidRPr="0013396E">
              <w:rPr>
                <w:b/>
                <w:iCs/>
                <w:sz w:val="20"/>
              </w:rPr>
              <w:t>Variable</w:t>
            </w:r>
          </w:p>
        </w:tc>
        <w:tc>
          <w:tcPr>
            <w:tcW w:w="675" w:type="pct"/>
          </w:tcPr>
          <w:p w14:paraId="4A422325" w14:textId="77777777" w:rsidR="00925E7F" w:rsidRPr="0013396E" w:rsidRDefault="00925E7F" w:rsidP="00925E7F">
            <w:pPr>
              <w:widowControl w:val="0"/>
              <w:spacing w:after="120"/>
              <w:rPr>
                <w:b/>
                <w:iCs/>
                <w:sz w:val="20"/>
              </w:rPr>
            </w:pPr>
            <w:r w:rsidRPr="0013396E">
              <w:rPr>
                <w:b/>
                <w:iCs/>
                <w:sz w:val="20"/>
              </w:rPr>
              <w:t>Unit</w:t>
            </w:r>
          </w:p>
        </w:tc>
        <w:tc>
          <w:tcPr>
            <w:tcW w:w="3180" w:type="pct"/>
          </w:tcPr>
          <w:p w14:paraId="664B2CFD" w14:textId="77777777" w:rsidR="00925E7F" w:rsidRPr="0013396E" w:rsidRDefault="00925E7F" w:rsidP="00925E7F">
            <w:pPr>
              <w:widowControl w:val="0"/>
              <w:spacing w:after="120"/>
              <w:rPr>
                <w:b/>
                <w:iCs/>
                <w:sz w:val="20"/>
              </w:rPr>
            </w:pPr>
            <w:r w:rsidRPr="0013396E">
              <w:rPr>
                <w:b/>
                <w:iCs/>
                <w:sz w:val="20"/>
              </w:rPr>
              <w:t>Description</w:t>
            </w:r>
          </w:p>
        </w:tc>
      </w:tr>
      <w:tr w:rsidR="00925E7F" w:rsidRPr="0013396E" w14:paraId="444FD2A5" w14:textId="77777777" w:rsidTr="00CB43C2">
        <w:trPr>
          <w:cantSplit/>
        </w:trPr>
        <w:tc>
          <w:tcPr>
            <w:tcW w:w="1145" w:type="pct"/>
          </w:tcPr>
          <w:p w14:paraId="2DE50E32" w14:textId="77777777" w:rsidR="00925E7F" w:rsidRPr="0013396E" w:rsidRDefault="00925E7F" w:rsidP="00925E7F">
            <w:pPr>
              <w:widowControl w:val="0"/>
              <w:spacing w:after="60"/>
              <w:rPr>
                <w:sz w:val="20"/>
              </w:rPr>
            </w:pPr>
            <w:r w:rsidRPr="0013396E">
              <w:rPr>
                <w:sz w:val="20"/>
              </w:rPr>
              <w:t>RTESOGSAMT</w:t>
            </w:r>
            <w:r w:rsidRPr="0013396E">
              <w:rPr>
                <w:sz w:val="20"/>
                <w:vertAlign w:val="subscript"/>
              </w:rPr>
              <w:t xml:space="preserve"> </w:t>
            </w:r>
            <w:r w:rsidRPr="0013396E">
              <w:rPr>
                <w:i/>
                <w:sz w:val="20"/>
                <w:vertAlign w:val="subscript"/>
              </w:rPr>
              <w:t>q,</w:t>
            </w:r>
            <w:r w:rsidRPr="0013396E">
              <w:rPr>
                <w:sz w:val="20"/>
                <w:vertAlign w:val="subscript"/>
              </w:rPr>
              <w:t xml:space="preserve"> </w:t>
            </w:r>
            <w:r w:rsidRPr="0013396E">
              <w:rPr>
                <w:i/>
                <w:sz w:val="20"/>
                <w:vertAlign w:val="subscript"/>
              </w:rPr>
              <w:t>gsc</w:t>
            </w:r>
          </w:p>
        </w:tc>
        <w:tc>
          <w:tcPr>
            <w:tcW w:w="675" w:type="pct"/>
          </w:tcPr>
          <w:p w14:paraId="475E513B" w14:textId="77777777" w:rsidR="00925E7F" w:rsidRPr="0013396E" w:rsidRDefault="00925E7F" w:rsidP="00925E7F">
            <w:pPr>
              <w:widowControl w:val="0"/>
              <w:spacing w:after="60"/>
              <w:rPr>
                <w:sz w:val="20"/>
              </w:rPr>
            </w:pPr>
            <w:r w:rsidRPr="0013396E">
              <w:rPr>
                <w:sz w:val="20"/>
              </w:rPr>
              <w:t>$</w:t>
            </w:r>
          </w:p>
        </w:tc>
        <w:tc>
          <w:tcPr>
            <w:tcW w:w="3180" w:type="pct"/>
          </w:tcPr>
          <w:p w14:paraId="085F1FB3" w14:textId="77777777" w:rsidR="00925E7F" w:rsidRPr="0013396E" w:rsidRDefault="00925E7F" w:rsidP="00925E7F">
            <w:pPr>
              <w:widowControl w:val="0"/>
              <w:spacing w:after="60"/>
              <w:rPr>
                <w:i/>
                <w:sz w:val="20"/>
              </w:rPr>
            </w:pPr>
            <w:r w:rsidRPr="0013396E">
              <w:rPr>
                <w:i/>
                <w:sz w:val="20"/>
              </w:rPr>
              <w:t>Real-Time Energy for SODG and SOTG Site Amount</w:t>
            </w:r>
            <w:r w:rsidRPr="0013396E" w:rsidDel="006C2DC2">
              <w:rPr>
                <w:i/>
                <w:sz w:val="20"/>
              </w:rPr>
              <w:t xml:space="preserve"> </w:t>
            </w:r>
            <w:r w:rsidRPr="0013396E">
              <w:rPr>
                <w:sz w:val="20"/>
              </w:rPr>
              <w:t xml:space="preserve">—The total payment or charge to QSE </w:t>
            </w:r>
            <w:r w:rsidRPr="0013396E">
              <w:rPr>
                <w:i/>
                <w:sz w:val="20"/>
              </w:rPr>
              <w:t>q</w:t>
            </w:r>
            <w:r w:rsidRPr="0013396E">
              <w:rPr>
                <w:sz w:val="20"/>
              </w:rPr>
              <w:t xml:space="preserve"> for SODG or SOTG site</w:t>
            </w:r>
            <w:r w:rsidRPr="0013396E">
              <w:rPr>
                <w:i/>
                <w:sz w:val="20"/>
              </w:rPr>
              <w:t xml:space="preserve"> gsc</w:t>
            </w:r>
            <w:r w:rsidRPr="0013396E">
              <w:rPr>
                <w:sz w:val="20"/>
              </w:rPr>
              <w:t xml:space="preserve"> for the 15-minute Settlement Interval.</w:t>
            </w:r>
          </w:p>
        </w:tc>
      </w:tr>
      <w:tr w:rsidR="00925E7F" w:rsidRPr="0013396E" w14:paraId="30D15B08" w14:textId="77777777" w:rsidTr="00CB43C2">
        <w:trPr>
          <w:cantSplit/>
        </w:trPr>
        <w:tc>
          <w:tcPr>
            <w:tcW w:w="1145" w:type="pct"/>
          </w:tcPr>
          <w:p w14:paraId="4550DBC2" w14:textId="77777777" w:rsidR="00925E7F" w:rsidRPr="0013396E" w:rsidRDefault="00925E7F" w:rsidP="00925E7F">
            <w:pPr>
              <w:widowControl w:val="0"/>
              <w:spacing w:after="60"/>
              <w:rPr>
                <w:sz w:val="20"/>
              </w:rPr>
            </w:pPr>
            <w:r w:rsidRPr="0013396E">
              <w:rPr>
                <w:sz w:val="20"/>
              </w:rPr>
              <w:t xml:space="preserve">RTESOGPR </w:t>
            </w:r>
            <w:r w:rsidRPr="0013396E">
              <w:rPr>
                <w:i/>
                <w:sz w:val="20"/>
                <w:vertAlign w:val="subscript"/>
              </w:rPr>
              <w:t>b</w:t>
            </w:r>
          </w:p>
        </w:tc>
        <w:tc>
          <w:tcPr>
            <w:tcW w:w="675" w:type="pct"/>
          </w:tcPr>
          <w:p w14:paraId="4A0B76D2" w14:textId="77777777" w:rsidR="00925E7F" w:rsidRPr="0013396E" w:rsidRDefault="00925E7F" w:rsidP="00925E7F">
            <w:pPr>
              <w:widowControl w:val="0"/>
              <w:spacing w:after="60"/>
              <w:rPr>
                <w:i/>
                <w:sz w:val="20"/>
              </w:rPr>
            </w:pPr>
            <w:r w:rsidRPr="0013396E">
              <w:rPr>
                <w:sz w:val="20"/>
              </w:rPr>
              <w:t>$/MWh</w:t>
            </w:r>
          </w:p>
        </w:tc>
        <w:tc>
          <w:tcPr>
            <w:tcW w:w="3180" w:type="pct"/>
          </w:tcPr>
          <w:p w14:paraId="34DA2BDC" w14:textId="77777777" w:rsidR="00925E7F" w:rsidRPr="0013396E" w:rsidRDefault="00925E7F" w:rsidP="00925E7F">
            <w:pPr>
              <w:widowControl w:val="0"/>
              <w:spacing w:after="60"/>
              <w:rPr>
                <w:sz w:val="20"/>
              </w:rPr>
            </w:pPr>
            <w:r w:rsidRPr="0013396E">
              <w:rPr>
                <w:i/>
                <w:sz w:val="20"/>
              </w:rPr>
              <w:t xml:space="preserve">Real-Time Price for the Energy Metered for each SODG or SOTG Site </w:t>
            </w:r>
            <w:r w:rsidRPr="0013396E">
              <w:rPr>
                <w:sz w:val="20"/>
              </w:rPr>
              <w:sym w:font="Symbol" w:char="F0BE"/>
            </w:r>
            <w:r w:rsidRPr="0013396E">
              <w:rPr>
                <w:sz w:val="20"/>
              </w:rPr>
              <w:t xml:space="preserve">The Real-Time price at Electrical Bus </w:t>
            </w:r>
            <w:r w:rsidRPr="0013396E">
              <w:rPr>
                <w:i/>
                <w:sz w:val="20"/>
              </w:rPr>
              <w:t>b</w:t>
            </w:r>
            <w:r w:rsidRPr="0013396E">
              <w:rPr>
                <w:sz w:val="20"/>
              </w:rPr>
              <w:t xml:space="preserve"> for the Settlement Meter for the SODG or SOTG site for the 15-minute Settlement Interval.</w:t>
            </w:r>
          </w:p>
        </w:tc>
      </w:tr>
      <w:tr w:rsidR="00925E7F" w:rsidRPr="0013396E" w14:paraId="5ADA3295" w14:textId="77777777" w:rsidTr="00CB43C2">
        <w:trPr>
          <w:cantSplit/>
        </w:trPr>
        <w:tc>
          <w:tcPr>
            <w:tcW w:w="1145" w:type="pct"/>
          </w:tcPr>
          <w:p w14:paraId="73AE76F1" w14:textId="1C85C06A" w:rsidR="00925E7F" w:rsidRPr="0013396E" w:rsidRDefault="00925E7F" w:rsidP="00925E7F">
            <w:pPr>
              <w:widowControl w:val="0"/>
              <w:spacing w:after="60"/>
              <w:rPr>
                <w:sz w:val="20"/>
                <w:szCs w:val="16"/>
              </w:rPr>
            </w:pPr>
            <w:r w:rsidRPr="0013396E">
              <w:rPr>
                <w:sz w:val="20"/>
                <w:szCs w:val="16"/>
              </w:rPr>
              <w:t>MEBSOGNET</w:t>
            </w:r>
            <w:r w:rsidRPr="0013396E">
              <w:rPr>
                <w:i/>
                <w:sz w:val="20"/>
                <w:szCs w:val="16"/>
                <w:vertAlign w:val="subscript"/>
              </w:rPr>
              <w:t xml:space="preserve"> q, gsc</w:t>
            </w:r>
          </w:p>
        </w:tc>
        <w:tc>
          <w:tcPr>
            <w:tcW w:w="675" w:type="pct"/>
          </w:tcPr>
          <w:p w14:paraId="0715EC79" w14:textId="5233554F" w:rsidR="00925E7F" w:rsidRPr="0013396E" w:rsidRDefault="00925E7F" w:rsidP="00925E7F">
            <w:pPr>
              <w:widowControl w:val="0"/>
              <w:spacing w:after="60"/>
              <w:rPr>
                <w:sz w:val="20"/>
                <w:szCs w:val="16"/>
              </w:rPr>
            </w:pPr>
            <w:r w:rsidRPr="0013396E">
              <w:rPr>
                <w:sz w:val="20"/>
                <w:szCs w:val="16"/>
              </w:rPr>
              <w:t>MWh</w:t>
            </w:r>
          </w:p>
        </w:tc>
        <w:tc>
          <w:tcPr>
            <w:tcW w:w="3180" w:type="pct"/>
          </w:tcPr>
          <w:p w14:paraId="6F1D873D" w14:textId="165CA2E3" w:rsidR="00925E7F" w:rsidRPr="0013396E" w:rsidRDefault="00925E7F" w:rsidP="00925E7F">
            <w:pPr>
              <w:widowControl w:val="0"/>
              <w:spacing w:after="60"/>
              <w:rPr>
                <w:i/>
                <w:sz w:val="20"/>
                <w:szCs w:val="16"/>
              </w:rPr>
            </w:pPr>
            <w:r w:rsidRPr="0013396E">
              <w:rPr>
                <w:i/>
                <w:sz w:val="20"/>
                <w:szCs w:val="16"/>
              </w:rPr>
              <w:t xml:space="preserve">Net Metered energy at gsc for an SODG or SOTG Site </w:t>
            </w:r>
            <w:r w:rsidRPr="0013396E">
              <w:rPr>
                <w:sz w:val="20"/>
                <w:szCs w:val="16"/>
              </w:rPr>
              <w:sym w:font="Symbol" w:char="F0BE"/>
            </w:r>
            <w:r w:rsidRPr="0013396E">
              <w:rPr>
                <w:sz w:val="20"/>
                <w:szCs w:val="16"/>
              </w:rPr>
              <w:t>The net sum for all Settlement Meters for SODG or SOTG site</w:t>
            </w:r>
            <w:r w:rsidRPr="0013396E">
              <w:rPr>
                <w:i/>
                <w:sz w:val="20"/>
                <w:szCs w:val="16"/>
              </w:rPr>
              <w:t xml:space="preserve"> gsc</w:t>
            </w:r>
            <w:r w:rsidRPr="0013396E">
              <w:rPr>
                <w:sz w:val="20"/>
                <w:szCs w:val="16"/>
              </w:rPr>
              <w:t xml:space="preserve"> represented by QSE </w:t>
            </w:r>
            <w:r w:rsidRPr="0013396E">
              <w:rPr>
                <w:i/>
                <w:sz w:val="20"/>
                <w:szCs w:val="16"/>
              </w:rPr>
              <w:t>q</w:t>
            </w:r>
            <w:r w:rsidRPr="0013396E">
              <w:rPr>
                <w:sz w:val="20"/>
                <w:szCs w:val="16"/>
              </w:rPr>
              <w:t>.  A positive value indicates an injection of power to the ERCOT System.</w:t>
            </w:r>
          </w:p>
        </w:tc>
      </w:tr>
      <w:tr w:rsidR="00925E7F" w:rsidRPr="0013396E" w14:paraId="7F5BD9E2" w14:textId="77777777" w:rsidTr="00CB43C2">
        <w:trPr>
          <w:cantSplit/>
        </w:trPr>
        <w:tc>
          <w:tcPr>
            <w:tcW w:w="1145" w:type="pct"/>
          </w:tcPr>
          <w:p w14:paraId="6A9E2004" w14:textId="14F0B4ED" w:rsidR="00925E7F" w:rsidRPr="0013396E" w:rsidRDefault="00925E7F" w:rsidP="00925E7F">
            <w:pPr>
              <w:widowControl w:val="0"/>
              <w:spacing w:after="60"/>
              <w:rPr>
                <w:sz w:val="20"/>
              </w:rPr>
            </w:pPr>
            <w:r w:rsidRPr="0013396E">
              <w:rPr>
                <w:sz w:val="20"/>
              </w:rPr>
              <w:lastRenderedPageBreak/>
              <w:t xml:space="preserve">MEBSOG </w:t>
            </w:r>
            <w:r w:rsidRPr="0013396E">
              <w:rPr>
                <w:i/>
                <w:sz w:val="20"/>
                <w:vertAlign w:val="subscript"/>
              </w:rPr>
              <w:t>q,</w:t>
            </w:r>
            <w:r w:rsidRPr="0013396E">
              <w:rPr>
                <w:sz w:val="20"/>
              </w:rPr>
              <w:t xml:space="preserve"> </w:t>
            </w:r>
            <w:r w:rsidRPr="0013396E">
              <w:rPr>
                <w:i/>
                <w:sz w:val="20"/>
                <w:vertAlign w:val="subscript"/>
              </w:rPr>
              <w:t>gsc, b</w:t>
            </w:r>
          </w:p>
        </w:tc>
        <w:tc>
          <w:tcPr>
            <w:tcW w:w="675" w:type="pct"/>
          </w:tcPr>
          <w:p w14:paraId="4F3F18B0" w14:textId="77777777" w:rsidR="00925E7F" w:rsidRPr="0013396E" w:rsidRDefault="00925E7F" w:rsidP="00925E7F">
            <w:pPr>
              <w:widowControl w:val="0"/>
              <w:spacing w:after="60"/>
              <w:rPr>
                <w:sz w:val="20"/>
              </w:rPr>
            </w:pPr>
            <w:r w:rsidRPr="0013396E">
              <w:rPr>
                <w:sz w:val="20"/>
              </w:rPr>
              <w:t>MWh</w:t>
            </w:r>
          </w:p>
        </w:tc>
        <w:tc>
          <w:tcPr>
            <w:tcW w:w="3180" w:type="pct"/>
          </w:tcPr>
          <w:p w14:paraId="42A2EC9B" w14:textId="7A53B4C4" w:rsidR="00925E7F" w:rsidRPr="0013396E" w:rsidRDefault="00925E7F" w:rsidP="00925E7F">
            <w:pPr>
              <w:widowControl w:val="0"/>
              <w:spacing w:after="60"/>
              <w:rPr>
                <w:i/>
                <w:sz w:val="20"/>
              </w:rPr>
            </w:pPr>
            <w:r w:rsidRPr="0013396E">
              <w:rPr>
                <w:i/>
                <w:sz w:val="20"/>
              </w:rPr>
              <w:t xml:space="preserve">Metered energy at bus for an SODG or SOTG Site  </w:t>
            </w:r>
            <w:r w:rsidRPr="0013396E">
              <w:rPr>
                <w:sz w:val="20"/>
              </w:rPr>
              <w:sym w:font="Symbol" w:char="F0BE"/>
            </w:r>
            <w:r w:rsidRPr="0013396E">
              <w:rPr>
                <w:sz w:val="20"/>
              </w:rPr>
              <w:t xml:space="preserve">The metered energy by the Settlement Meter(s) at Electrical Bus </w:t>
            </w:r>
            <w:r w:rsidRPr="0013396E">
              <w:rPr>
                <w:i/>
                <w:sz w:val="20"/>
              </w:rPr>
              <w:t>b</w:t>
            </w:r>
            <w:r w:rsidRPr="0013396E">
              <w:rPr>
                <w:sz w:val="20"/>
              </w:rPr>
              <w:t xml:space="preserve"> for SODG or SOTG site</w:t>
            </w:r>
            <w:r w:rsidRPr="0013396E">
              <w:rPr>
                <w:i/>
                <w:sz w:val="20"/>
              </w:rPr>
              <w:t xml:space="preserve"> gsc</w:t>
            </w:r>
            <w:r w:rsidRPr="0013396E">
              <w:rPr>
                <w:sz w:val="20"/>
              </w:rPr>
              <w:t xml:space="preserve"> represented by QSE </w:t>
            </w:r>
            <w:r w:rsidRPr="0013396E">
              <w:rPr>
                <w:i/>
                <w:sz w:val="20"/>
              </w:rPr>
              <w:t>q</w:t>
            </w:r>
            <w:r w:rsidRPr="0013396E">
              <w:rPr>
                <w:sz w:val="20"/>
              </w:rPr>
              <w:t>.  A positive value represents energy produced, and a negative value represents energy consumed.</w:t>
            </w:r>
          </w:p>
        </w:tc>
      </w:tr>
      <w:tr w:rsidR="00925E7F" w:rsidRPr="0013396E" w14:paraId="5DCF5957" w14:textId="77777777" w:rsidTr="00CB43C2">
        <w:trPr>
          <w:cantSplit/>
        </w:trPr>
        <w:tc>
          <w:tcPr>
            <w:tcW w:w="1145" w:type="pct"/>
          </w:tcPr>
          <w:p w14:paraId="6DEB994F" w14:textId="77777777" w:rsidR="00925E7F" w:rsidRPr="0013396E" w:rsidRDefault="00925E7F" w:rsidP="00925E7F">
            <w:pPr>
              <w:widowControl w:val="0"/>
              <w:spacing w:after="60"/>
              <w:rPr>
                <w:sz w:val="20"/>
              </w:rPr>
            </w:pPr>
            <w:r w:rsidRPr="0013396E">
              <w:rPr>
                <w:sz w:val="20"/>
              </w:rPr>
              <w:t>RTRDP</w:t>
            </w:r>
          </w:p>
        </w:tc>
        <w:tc>
          <w:tcPr>
            <w:tcW w:w="675" w:type="pct"/>
          </w:tcPr>
          <w:p w14:paraId="02655EA5" w14:textId="77777777" w:rsidR="00925E7F" w:rsidRPr="0013396E" w:rsidRDefault="00925E7F" w:rsidP="00925E7F">
            <w:pPr>
              <w:widowControl w:val="0"/>
              <w:spacing w:after="60"/>
              <w:rPr>
                <w:sz w:val="20"/>
              </w:rPr>
            </w:pPr>
            <w:r w:rsidRPr="0013396E">
              <w:rPr>
                <w:sz w:val="20"/>
              </w:rPr>
              <w:t>$/MWh</w:t>
            </w:r>
          </w:p>
        </w:tc>
        <w:tc>
          <w:tcPr>
            <w:tcW w:w="3180" w:type="pct"/>
          </w:tcPr>
          <w:p w14:paraId="05EC85A2" w14:textId="6B623D7D" w:rsidR="00925E7F" w:rsidRPr="0013396E" w:rsidRDefault="00925E7F" w:rsidP="00925E7F">
            <w:pPr>
              <w:widowControl w:val="0"/>
              <w:spacing w:after="60"/>
              <w:rPr>
                <w:i/>
                <w:sz w:val="20"/>
              </w:rPr>
            </w:pPr>
            <w:r w:rsidRPr="0013396E">
              <w:rPr>
                <w:i/>
                <w:sz w:val="20"/>
              </w:rPr>
              <w:t>Real-Time Reliability Deployment Price</w:t>
            </w:r>
            <w:r w:rsidR="00B361A1">
              <w:rPr>
                <w:i/>
                <w:sz w:val="20"/>
              </w:rPr>
              <w:t xml:space="preserve"> for Energy</w:t>
            </w:r>
            <w:r w:rsidRPr="0013396E">
              <w:rPr>
                <w:i/>
                <w:sz w:val="20"/>
              </w:rPr>
              <w:t xml:space="preserve"> </w:t>
            </w:r>
            <w:r w:rsidRPr="0013396E">
              <w:rPr>
                <w:sz w:val="20"/>
              </w:rPr>
              <w:sym w:font="Symbol" w:char="F0BE"/>
            </w:r>
            <w:r w:rsidRPr="0013396E">
              <w:rPr>
                <w:sz w:val="20"/>
              </w:rPr>
              <w:t xml:space="preserve">The Real-Time price for the 15-minute Settlement Interval, reflecting the impact of reliability deployments on energy prices that is calculated </w:t>
            </w:r>
            <w:r w:rsidRPr="0013396E">
              <w:rPr>
                <w:bCs/>
                <w:sz w:val="20"/>
              </w:rPr>
              <w:t>from the Real-Time Reliability Deployment Price Adder</w:t>
            </w:r>
            <w:r w:rsidR="00B361A1">
              <w:rPr>
                <w:bCs/>
                <w:sz w:val="20"/>
              </w:rPr>
              <w:t xml:space="preserve"> for Energy</w:t>
            </w:r>
            <w:r w:rsidRPr="0013396E">
              <w:rPr>
                <w:sz w:val="20"/>
              </w:rPr>
              <w:t>.</w:t>
            </w:r>
          </w:p>
        </w:tc>
      </w:tr>
      <w:tr w:rsidR="00925E7F" w:rsidRPr="0013396E" w14:paraId="64A008BD" w14:textId="77777777" w:rsidTr="00CB43C2">
        <w:trPr>
          <w:cantSplit/>
        </w:trPr>
        <w:tc>
          <w:tcPr>
            <w:tcW w:w="1145" w:type="pct"/>
          </w:tcPr>
          <w:p w14:paraId="76A345FE" w14:textId="0EF2328E" w:rsidR="00925E7F" w:rsidRPr="0013396E" w:rsidRDefault="00925E7F" w:rsidP="00925E7F">
            <w:pPr>
              <w:widowControl w:val="0"/>
              <w:spacing w:after="60"/>
              <w:rPr>
                <w:sz w:val="20"/>
              </w:rPr>
            </w:pPr>
            <w:r w:rsidRPr="0013396E">
              <w:rPr>
                <w:sz w:val="20"/>
              </w:rPr>
              <w:t>RTRDPA</w:t>
            </w:r>
            <w:r w:rsidRPr="0013396E">
              <w:rPr>
                <w:sz w:val="20"/>
                <w:vertAlign w:val="subscript"/>
              </w:rPr>
              <w:t xml:space="preserve"> </w:t>
            </w:r>
            <w:r w:rsidRPr="0013396E">
              <w:rPr>
                <w:i/>
                <w:sz w:val="20"/>
                <w:vertAlign w:val="subscript"/>
              </w:rPr>
              <w:t>y</w:t>
            </w:r>
          </w:p>
        </w:tc>
        <w:tc>
          <w:tcPr>
            <w:tcW w:w="675" w:type="pct"/>
          </w:tcPr>
          <w:p w14:paraId="70C12BAA" w14:textId="77777777" w:rsidR="00925E7F" w:rsidRPr="0013396E" w:rsidRDefault="00925E7F" w:rsidP="00925E7F">
            <w:pPr>
              <w:widowControl w:val="0"/>
              <w:spacing w:after="60"/>
              <w:rPr>
                <w:sz w:val="20"/>
              </w:rPr>
            </w:pPr>
            <w:r w:rsidRPr="0013396E">
              <w:rPr>
                <w:sz w:val="20"/>
              </w:rPr>
              <w:t>$/MWh</w:t>
            </w:r>
          </w:p>
        </w:tc>
        <w:tc>
          <w:tcPr>
            <w:tcW w:w="3180" w:type="pct"/>
          </w:tcPr>
          <w:p w14:paraId="3DB5057B" w14:textId="62CDA68C" w:rsidR="00925E7F" w:rsidRPr="0013396E" w:rsidRDefault="00925E7F" w:rsidP="00925E7F">
            <w:pPr>
              <w:widowControl w:val="0"/>
              <w:spacing w:after="60"/>
              <w:rPr>
                <w:i/>
                <w:sz w:val="20"/>
              </w:rPr>
            </w:pPr>
            <w:r w:rsidRPr="0013396E">
              <w:rPr>
                <w:i/>
                <w:sz w:val="20"/>
              </w:rPr>
              <w:t>Real-Time Reliability Deployment Price Adder</w:t>
            </w:r>
            <w:r w:rsidR="00B361A1">
              <w:rPr>
                <w:i/>
                <w:sz w:val="20"/>
              </w:rPr>
              <w:t xml:space="preserve"> for Energy</w:t>
            </w:r>
            <w:r w:rsidRPr="0013396E">
              <w:rPr>
                <w:i/>
                <w:sz w:val="20"/>
              </w:rPr>
              <w:t xml:space="preserve"> </w:t>
            </w:r>
            <w:r w:rsidRPr="0013396E">
              <w:rPr>
                <w:sz w:val="20"/>
              </w:rPr>
              <w:sym w:font="Symbol" w:char="F0BE"/>
            </w:r>
            <w:r w:rsidRPr="0013396E">
              <w:rPr>
                <w:sz w:val="20"/>
              </w:rPr>
              <w:t xml:space="preserve">The Real-Time </w:t>
            </w:r>
            <w:r w:rsidR="00B361A1">
              <w:rPr>
                <w:sz w:val="20"/>
              </w:rPr>
              <w:t>p</w:t>
            </w:r>
            <w:r w:rsidRPr="0013396E">
              <w:rPr>
                <w:sz w:val="20"/>
              </w:rPr>
              <w:t xml:space="preserve">rice </w:t>
            </w:r>
            <w:r w:rsidR="00B361A1">
              <w:rPr>
                <w:sz w:val="20"/>
              </w:rPr>
              <w:t>a</w:t>
            </w:r>
            <w:r w:rsidRPr="0013396E">
              <w:rPr>
                <w:sz w:val="20"/>
              </w:rPr>
              <w:t xml:space="preserve">dder that captures the impact of reliability deployments on energy prices for the SCED interval </w:t>
            </w:r>
            <w:r w:rsidRPr="0013396E">
              <w:rPr>
                <w:i/>
                <w:sz w:val="20"/>
              </w:rPr>
              <w:t>y</w:t>
            </w:r>
            <w:r w:rsidRPr="0013396E">
              <w:rPr>
                <w:sz w:val="20"/>
              </w:rPr>
              <w:t>.</w:t>
            </w:r>
          </w:p>
        </w:tc>
      </w:tr>
      <w:tr w:rsidR="00925E7F" w:rsidRPr="0013396E" w14:paraId="68519C70" w14:textId="77777777" w:rsidTr="00CB43C2">
        <w:trPr>
          <w:cantSplit/>
        </w:trPr>
        <w:tc>
          <w:tcPr>
            <w:tcW w:w="1145" w:type="pct"/>
          </w:tcPr>
          <w:p w14:paraId="6A7C1851" w14:textId="77777777" w:rsidR="00925E7F" w:rsidRPr="0013396E" w:rsidRDefault="00925E7F" w:rsidP="00925E7F">
            <w:pPr>
              <w:widowControl w:val="0"/>
              <w:spacing w:after="60"/>
              <w:rPr>
                <w:sz w:val="20"/>
              </w:rPr>
            </w:pPr>
            <w:r w:rsidRPr="0013396E">
              <w:rPr>
                <w:sz w:val="20"/>
              </w:rPr>
              <w:t>SDWF</w:t>
            </w:r>
            <w:r w:rsidRPr="0013396E">
              <w:rPr>
                <w:i/>
                <w:sz w:val="20"/>
              </w:rPr>
              <w:t xml:space="preserve"> </w:t>
            </w:r>
            <w:r w:rsidRPr="0013396E">
              <w:rPr>
                <w:i/>
                <w:sz w:val="20"/>
                <w:vertAlign w:val="subscript"/>
              </w:rPr>
              <w:t>y</w:t>
            </w:r>
          </w:p>
        </w:tc>
        <w:tc>
          <w:tcPr>
            <w:tcW w:w="675" w:type="pct"/>
          </w:tcPr>
          <w:p w14:paraId="35BDDD94" w14:textId="77777777" w:rsidR="00925E7F" w:rsidRPr="0013396E" w:rsidRDefault="00925E7F" w:rsidP="00925E7F">
            <w:pPr>
              <w:widowControl w:val="0"/>
              <w:spacing w:after="60"/>
              <w:rPr>
                <w:sz w:val="20"/>
              </w:rPr>
            </w:pPr>
            <w:r w:rsidRPr="0013396E">
              <w:rPr>
                <w:sz w:val="20"/>
              </w:rPr>
              <w:t>None</w:t>
            </w:r>
          </w:p>
        </w:tc>
        <w:tc>
          <w:tcPr>
            <w:tcW w:w="3180" w:type="pct"/>
          </w:tcPr>
          <w:p w14:paraId="4FEA3DCC" w14:textId="77777777" w:rsidR="00925E7F" w:rsidRPr="0013396E" w:rsidRDefault="00925E7F" w:rsidP="00925E7F">
            <w:pPr>
              <w:widowControl w:val="0"/>
              <w:spacing w:after="60"/>
              <w:rPr>
                <w:i/>
                <w:sz w:val="20"/>
              </w:rPr>
            </w:pPr>
            <w:r w:rsidRPr="0013396E">
              <w:rPr>
                <w:i/>
                <w:sz w:val="20"/>
              </w:rPr>
              <w:t>SCED Duration Weighting Factor per interval</w:t>
            </w:r>
            <w:r w:rsidRPr="0013396E">
              <w:rPr>
                <w:sz w:val="20"/>
              </w:rPr>
              <w:sym w:font="Symbol" w:char="F0BE"/>
            </w:r>
            <w:r w:rsidRPr="0013396E">
              <w:rPr>
                <w:sz w:val="20"/>
              </w:rPr>
              <w:t xml:space="preserve">The weight used in the SODG or SOTG price calculation for the portion of the SCED interval </w:t>
            </w:r>
            <w:r w:rsidRPr="0013396E">
              <w:rPr>
                <w:i/>
                <w:sz w:val="20"/>
              </w:rPr>
              <w:t>y</w:t>
            </w:r>
            <w:r w:rsidRPr="0013396E">
              <w:rPr>
                <w:sz w:val="20"/>
              </w:rPr>
              <w:t xml:space="preserve"> within the Settlement Interval.</w:t>
            </w:r>
          </w:p>
        </w:tc>
      </w:tr>
      <w:tr w:rsidR="00925E7F" w:rsidRPr="0013396E" w14:paraId="1490CEFD" w14:textId="77777777" w:rsidTr="00CB43C2">
        <w:trPr>
          <w:cantSplit/>
        </w:trPr>
        <w:tc>
          <w:tcPr>
            <w:tcW w:w="1145" w:type="pct"/>
          </w:tcPr>
          <w:p w14:paraId="1DEB7305" w14:textId="77777777" w:rsidR="00925E7F" w:rsidRPr="0013396E" w:rsidRDefault="00925E7F" w:rsidP="00925E7F">
            <w:pPr>
              <w:widowControl w:val="0"/>
              <w:spacing w:after="60"/>
              <w:rPr>
                <w:sz w:val="20"/>
              </w:rPr>
            </w:pPr>
            <w:r w:rsidRPr="0013396E">
              <w:rPr>
                <w:sz w:val="20"/>
              </w:rPr>
              <w:t xml:space="preserve">RTLMP </w:t>
            </w:r>
            <w:r w:rsidRPr="0013396E">
              <w:rPr>
                <w:i/>
                <w:sz w:val="20"/>
                <w:vertAlign w:val="subscript"/>
              </w:rPr>
              <w:t>b, y</w:t>
            </w:r>
          </w:p>
        </w:tc>
        <w:tc>
          <w:tcPr>
            <w:tcW w:w="675" w:type="pct"/>
          </w:tcPr>
          <w:p w14:paraId="6CA843BB" w14:textId="77777777" w:rsidR="00925E7F" w:rsidRPr="0013396E" w:rsidRDefault="00925E7F" w:rsidP="00925E7F">
            <w:pPr>
              <w:widowControl w:val="0"/>
              <w:spacing w:after="60"/>
              <w:rPr>
                <w:sz w:val="20"/>
              </w:rPr>
            </w:pPr>
            <w:r w:rsidRPr="0013396E">
              <w:rPr>
                <w:sz w:val="20"/>
              </w:rPr>
              <w:t>$/MWh</w:t>
            </w:r>
          </w:p>
        </w:tc>
        <w:tc>
          <w:tcPr>
            <w:tcW w:w="3180" w:type="pct"/>
          </w:tcPr>
          <w:p w14:paraId="0E3B50A0" w14:textId="77777777" w:rsidR="00925E7F" w:rsidRPr="0013396E" w:rsidRDefault="00925E7F" w:rsidP="00925E7F">
            <w:pPr>
              <w:widowControl w:val="0"/>
              <w:spacing w:after="60"/>
              <w:rPr>
                <w:sz w:val="20"/>
              </w:rPr>
            </w:pPr>
            <w:r w:rsidRPr="0013396E">
              <w:rPr>
                <w:i/>
                <w:sz w:val="20"/>
              </w:rPr>
              <w:t>Real-Time Locational Marginal Price at bus per interval</w:t>
            </w:r>
            <w:r w:rsidRPr="0013396E">
              <w:rPr>
                <w:sz w:val="20"/>
              </w:rPr>
              <w:sym w:font="Symbol" w:char="F0BE"/>
            </w:r>
            <w:r w:rsidRPr="0013396E">
              <w:rPr>
                <w:sz w:val="20"/>
              </w:rPr>
              <w:t xml:space="preserve">The Real-Time LMP at Electrical Bus </w:t>
            </w:r>
            <w:r w:rsidRPr="0013396E">
              <w:rPr>
                <w:i/>
                <w:sz w:val="20"/>
              </w:rPr>
              <w:t>b</w:t>
            </w:r>
            <w:r w:rsidRPr="0013396E">
              <w:rPr>
                <w:sz w:val="20"/>
              </w:rPr>
              <w:t xml:space="preserve">, for the SCED interval </w:t>
            </w:r>
            <w:r w:rsidRPr="0013396E">
              <w:rPr>
                <w:i/>
                <w:sz w:val="20"/>
              </w:rPr>
              <w:t>y</w:t>
            </w:r>
            <w:r w:rsidRPr="0013396E">
              <w:rPr>
                <w:sz w:val="20"/>
              </w:rPr>
              <w:t>.</w:t>
            </w:r>
          </w:p>
        </w:tc>
      </w:tr>
      <w:tr w:rsidR="00925E7F" w:rsidRPr="0013396E" w14:paraId="18CB3D09" w14:textId="77777777" w:rsidTr="00CB43C2">
        <w:trPr>
          <w:cantSplit/>
        </w:trPr>
        <w:tc>
          <w:tcPr>
            <w:tcW w:w="1145" w:type="pct"/>
          </w:tcPr>
          <w:p w14:paraId="1261709E" w14:textId="77777777" w:rsidR="00925E7F" w:rsidRPr="0013396E" w:rsidRDefault="00925E7F" w:rsidP="00925E7F">
            <w:pPr>
              <w:widowControl w:val="0"/>
              <w:spacing w:after="60"/>
              <w:rPr>
                <w:sz w:val="20"/>
              </w:rPr>
            </w:pPr>
            <w:r w:rsidRPr="0013396E">
              <w:rPr>
                <w:sz w:val="20"/>
              </w:rPr>
              <w:t xml:space="preserve">TLMP </w:t>
            </w:r>
            <w:r w:rsidRPr="0013396E">
              <w:rPr>
                <w:i/>
                <w:sz w:val="20"/>
                <w:vertAlign w:val="subscript"/>
              </w:rPr>
              <w:t>y</w:t>
            </w:r>
          </w:p>
        </w:tc>
        <w:tc>
          <w:tcPr>
            <w:tcW w:w="675" w:type="pct"/>
          </w:tcPr>
          <w:p w14:paraId="3F2A136C" w14:textId="77777777" w:rsidR="00925E7F" w:rsidRPr="0013396E" w:rsidRDefault="00925E7F" w:rsidP="00925E7F">
            <w:pPr>
              <w:widowControl w:val="0"/>
              <w:spacing w:after="60"/>
              <w:rPr>
                <w:iCs/>
                <w:sz w:val="20"/>
              </w:rPr>
            </w:pPr>
            <w:r w:rsidRPr="0013396E">
              <w:rPr>
                <w:sz w:val="20"/>
              </w:rPr>
              <w:t>second</w:t>
            </w:r>
          </w:p>
        </w:tc>
        <w:tc>
          <w:tcPr>
            <w:tcW w:w="3180" w:type="pct"/>
          </w:tcPr>
          <w:p w14:paraId="4C37EEA6" w14:textId="77777777" w:rsidR="00925E7F" w:rsidRPr="0013396E" w:rsidRDefault="00925E7F" w:rsidP="00925E7F">
            <w:pPr>
              <w:widowControl w:val="0"/>
              <w:spacing w:after="60"/>
              <w:rPr>
                <w:sz w:val="20"/>
              </w:rPr>
            </w:pPr>
            <w:r w:rsidRPr="0013396E">
              <w:rPr>
                <w:i/>
                <w:iCs/>
                <w:sz w:val="20"/>
              </w:rPr>
              <w:t xml:space="preserve">Duration of </w:t>
            </w:r>
            <w:r w:rsidRPr="0013396E">
              <w:rPr>
                <w:i/>
                <w:sz w:val="20"/>
              </w:rPr>
              <w:t>SCED</w:t>
            </w:r>
            <w:r w:rsidRPr="0013396E">
              <w:rPr>
                <w:i/>
                <w:iCs/>
                <w:sz w:val="20"/>
              </w:rPr>
              <w:t xml:space="preserve"> interval per interval</w:t>
            </w:r>
            <w:r w:rsidRPr="0013396E">
              <w:rPr>
                <w:sz w:val="20"/>
              </w:rPr>
              <w:sym w:font="Symbol" w:char="F0BE"/>
            </w:r>
            <w:r w:rsidRPr="0013396E">
              <w:rPr>
                <w:sz w:val="20"/>
              </w:rPr>
              <w:t xml:space="preserve">The duration of the SCED interval </w:t>
            </w:r>
            <w:r w:rsidRPr="0013396E">
              <w:rPr>
                <w:i/>
                <w:iCs/>
                <w:sz w:val="20"/>
              </w:rPr>
              <w:t xml:space="preserve">y </w:t>
            </w:r>
            <w:r w:rsidRPr="0013396E">
              <w:rPr>
                <w:iCs/>
                <w:sz w:val="20"/>
              </w:rPr>
              <w:t>within the Settlement Interval</w:t>
            </w:r>
            <w:r w:rsidRPr="0013396E">
              <w:rPr>
                <w:sz w:val="20"/>
              </w:rPr>
              <w:t>.</w:t>
            </w:r>
          </w:p>
        </w:tc>
      </w:tr>
      <w:tr w:rsidR="00925E7F" w:rsidRPr="0013396E" w14:paraId="21C63360" w14:textId="77777777" w:rsidTr="00CB43C2">
        <w:trPr>
          <w:cantSplit/>
        </w:trPr>
        <w:tc>
          <w:tcPr>
            <w:tcW w:w="1145" w:type="pct"/>
          </w:tcPr>
          <w:p w14:paraId="47F136DE" w14:textId="77777777" w:rsidR="00925E7F" w:rsidRPr="0013396E" w:rsidRDefault="00925E7F" w:rsidP="00925E7F">
            <w:pPr>
              <w:widowControl w:val="0"/>
              <w:spacing w:after="60"/>
              <w:rPr>
                <w:i/>
                <w:sz w:val="20"/>
              </w:rPr>
            </w:pPr>
            <w:r w:rsidRPr="0013396E">
              <w:rPr>
                <w:i/>
                <w:sz w:val="20"/>
              </w:rPr>
              <w:t>gsc</w:t>
            </w:r>
          </w:p>
        </w:tc>
        <w:tc>
          <w:tcPr>
            <w:tcW w:w="675" w:type="pct"/>
          </w:tcPr>
          <w:p w14:paraId="0BD2D01F" w14:textId="77777777" w:rsidR="00925E7F" w:rsidRPr="0013396E" w:rsidRDefault="00925E7F" w:rsidP="00925E7F">
            <w:pPr>
              <w:widowControl w:val="0"/>
              <w:spacing w:after="60"/>
              <w:rPr>
                <w:sz w:val="20"/>
              </w:rPr>
            </w:pPr>
            <w:r w:rsidRPr="0013396E">
              <w:rPr>
                <w:sz w:val="20"/>
              </w:rPr>
              <w:t>none</w:t>
            </w:r>
          </w:p>
        </w:tc>
        <w:tc>
          <w:tcPr>
            <w:tcW w:w="3180" w:type="pct"/>
          </w:tcPr>
          <w:p w14:paraId="3186F733" w14:textId="77777777" w:rsidR="00925E7F" w:rsidRPr="0013396E" w:rsidRDefault="00925E7F" w:rsidP="00925E7F">
            <w:pPr>
              <w:widowControl w:val="0"/>
              <w:spacing w:after="60"/>
              <w:rPr>
                <w:sz w:val="20"/>
              </w:rPr>
            </w:pPr>
            <w:r w:rsidRPr="0013396E">
              <w:rPr>
                <w:sz w:val="20"/>
              </w:rPr>
              <w:t>A generation site code.</w:t>
            </w:r>
          </w:p>
        </w:tc>
      </w:tr>
      <w:tr w:rsidR="00925E7F" w:rsidRPr="0013396E" w14:paraId="0CBAA8EC" w14:textId="77777777" w:rsidTr="00CB43C2">
        <w:trPr>
          <w:cantSplit/>
        </w:trPr>
        <w:tc>
          <w:tcPr>
            <w:tcW w:w="1145" w:type="pct"/>
          </w:tcPr>
          <w:p w14:paraId="4BADA72A" w14:textId="77777777" w:rsidR="00925E7F" w:rsidRPr="0013396E" w:rsidRDefault="00925E7F" w:rsidP="00925E7F">
            <w:pPr>
              <w:widowControl w:val="0"/>
              <w:spacing w:after="60"/>
              <w:rPr>
                <w:i/>
                <w:sz w:val="20"/>
              </w:rPr>
            </w:pPr>
            <w:r w:rsidRPr="0013396E">
              <w:rPr>
                <w:i/>
                <w:sz w:val="20"/>
              </w:rPr>
              <w:t>b</w:t>
            </w:r>
          </w:p>
        </w:tc>
        <w:tc>
          <w:tcPr>
            <w:tcW w:w="675" w:type="pct"/>
          </w:tcPr>
          <w:p w14:paraId="5FF2E66D" w14:textId="77777777" w:rsidR="00925E7F" w:rsidRPr="0013396E" w:rsidRDefault="00925E7F" w:rsidP="00925E7F">
            <w:pPr>
              <w:widowControl w:val="0"/>
              <w:spacing w:after="60"/>
              <w:rPr>
                <w:sz w:val="20"/>
              </w:rPr>
            </w:pPr>
            <w:r w:rsidRPr="0013396E">
              <w:rPr>
                <w:sz w:val="20"/>
              </w:rPr>
              <w:t>none</w:t>
            </w:r>
          </w:p>
        </w:tc>
        <w:tc>
          <w:tcPr>
            <w:tcW w:w="3180" w:type="pct"/>
          </w:tcPr>
          <w:p w14:paraId="047EBA38" w14:textId="77777777" w:rsidR="00925E7F" w:rsidRPr="0013396E" w:rsidRDefault="00925E7F" w:rsidP="00925E7F">
            <w:pPr>
              <w:widowControl w:val="0"/>
              <w:spacing w:after="60"/>
              <w:rPr>
                <w:sz w:val="20"/>
              </w:rPr>
            </w:pPr>
            <w:r w:rsidRPr="0013396E">
              <w:rPr>
                <w:sz w:val="20"/>
              </w:rPr>
              <w:t>An Electrical Bus.</w:t>
            </w:r>
          </w:p>
        </w:tc>
      </w:tr>
      <w:tr w:rsidR="00925E7F" w:rsidRPr="0013396E" w14:paraId="22C53897" w14:textId="77777777" w:rsidTr="00CB43C2">
        <w:trPr>
          <w:cantSplit/>
        </w:trPr>
        <w:tc>
          <w:tcPr>
            <w:tcW w:w="1145" w:type="pct"/>
          </w:tcPr>
          <w:p w14:paraId="6FEF3083" w14:textId="77777777" w:rsidR="00925E7F" w:rsidRPr="0013396E" w:rsidRDefault="00925E7F" w:rsidP="00925E7F">
            <w:pPr>
              <w:widowControl w:val="0"/>
              <w:spacing w:after="60"/>
              <w:rPr>
                <w:i/>
                <w:sz w:val="20"/>
              </w:rPr>
            </w:pPr>
            <w:r w:rsidRPr="0013396E">
              <w:rPr>
                <w:i/>
                <w:sz w:val="20"/>
              </w:rPr>
              <w:t>y</w:t>
            </w:r>
          </w:p>
        </w:tc>
        <w:tc>
          <w:tcPr>
            <w:tcW w:w="675" w:type="pct"/>
          </w:tcPr>
          <w:p w14:paraId="4624F612" w14:textId="77777777" w:rsidR="00925E7F" w:rsidRPr="0013396E" w:rsidRDefault="00925E7F" w:rsidP="00925E7F">
            <w:pPr>
              <w:widowControl w:val="0"/>
              <w:spacing w:after="60"/>
              <w:rPr>
                <w:sz w:val="20"/>
              </w:rPr>
            </w:pPr>
            <w:r w:rsidRPr="0013396E">
              <w:rPr>
                <w:sz w:val="20"/>
              </w:rPr>
              <w:t>None</w:t>
            </w:r>
          </w:p>
        </w:tc>
        <w:tc>
          <w:tcPr>
            <w:tcW w:w="3180" w:type="pct"/>
          </w:tcPr>
          <w:p w14:paraId="1300DA59" w14:textId="77777777" w:rsidR="00925E7F" w:rsidRPr="0013396E" w:rsidRDefault="00925E7F" w:rsidP="00925E7F">
            <w:pPr>
              <w:widowControl w:val="0"/>
              <w:spacing w:after="60"/>
              <w:rPr>
                <w:sz w:val="20"/>
              </w:rPr>
            </w:pPr>
            <w:r w:rsidRPr="0013396E">
              <w:rPr>
                <w:sz w:val="20"/>
              </w:rPr>
              <w:t>A SCED interval in the 15-minute Settlement Interval.  The summation is over the total number of SCED runs that cover the 15-minute Settlement Interval.</w:t>
            </w:r>
          </w:p>
        </w:tc>
      </w:tr>
    </w:tbl>
    <w:p w14:paraId="0318AB70" w14:textId="77777777" w:rsidR="00925E7F" w:rsidRPr="0013396E" w:rsidRDefault="00925E7F" w:rsidP="00925E7F">
      <w:pPr>
        <w:spacing w:before="240" w:after="240"/>
        <w:ind w:left="720" w:hanging="720"/>
      </w:pPr>
      <w:r w:rsidRPr="0013396E">
        <w:t>(4)</w:t>
      </w:r>
      <w:r w:rsidRPr="0013396E">
        <w:tab/>
        <w:t>The total net payments and charges to each QSE for energy from SODGs and SOTGs for the 15-minute Settlement Interval is calculated as follows:</w:t>
      </w:r>
    </w:p>
    <w:p w14:paraId="64758C1A" w14:textId="77777777" w:rsidR="00925E7F" w:rsidRPr="0013396E" w:rsidRDefault="00925E7F" w:rsidP="00925E7F">
      <w:pPr>
        <w:tabs>
          <w:tab w:val="left" w:pos="2250"/>
          <w:tab w:val="left" w:pos="3150"/>
          <w:tab w:val="left" w:pos="3960"/>
        </w:tabs>
        <w:spacing w:after="240"/>
        <w:ind w:left="3960" w:hanging="3240"/>
        <w:rPr>
          <w:b/>
          <w:bCs/>
          <w:szCs w:val="24"/>
        </w:rPr>
      </w:pPr>
      <w:r w:rsidRPr="0013396E">
        <w:rPr>
          <w:b/>
          <w:bCs/>
          <w:szCs w:val="24"/>
        </w:rPr>
        <w:t xml:space="preserve">RTESOGAMTQSETOT </w:t>
      </w:r>
      <w:r w:rsidRPr="0013396E">
        <w:rPr>
          <w:b/>
          <w:bCs/>
          <w:i/>
          <w:szCs w:val="24"/>
          <w:vertAlign w:val="subscript"/>
        </w:rPr>
        <w:t>q</w:t>
      </w:r>
      <w:r w:rsidRPr="0013396E">
        <w:rPr>
          <w:b/>
          <w:bCs/>
          <w:szCs w:val="24"/>
        </w:rPr>
        <w:tab/>
        <w:t xml:space="preserve">= </w:t>
      </w:r>
      <w:r w:rsidRPr="0013396E">
        <w:rPr>
          <w:b/>
          <w:bCs/>
          <w:position w:val="-22"/>
          <w:szCs w:val="24"/>
        </w:rPr>
        <w:object w:dxaOrig="285" w:dyaOrig="450" w14:anchorId="48DB64C3">
          <v:shape id="_x0000_i1139" type="#_x0000_t75" style="width:12pt;height:24pt" o:ole="">
            <v:imagedata r:id="rId166" o:title=""/>
          </v:shape>
          <o:OLEObject Type="Embed" ProgID="Equation.3" ShapeID="_x0000_i1139" DrawAspect="Content" ObjectID="_1849065770" r:id="rId167"/>
        </w:object>
      </w:r>
      <w:r w:rsidRPr="0013396E">
        <w:rPr>
          <w:b/>
          <w:bCs/>
          <w:szCs w:val="24"/>
        </w:rPr>
        <w:t xml:space="preserve">RTESOGSAMT </w:t>
      </w:r>
      <w:r w:rsidRPr="0013396E">
        <w:rPr>
          <w:b/>
          <w:bCs/>
          <w:i/>
          <w:szCs w:val="24"/>
          <w:vertAlign w:val="subscript"/>
        </w:rPr>
        <w:t>q, gsc</w:t>
      </w:r>
    </w:p>
    <w:p w14:paraId="0C8CA5EE" w14:textId="77777777" w:rsidR="00925E7F" w:rsidRPr="0013396E" w:rsidRDefault="00925E7F" w:rsidP="00925E7F">
      <w:r w:rsidRPr="0013396E">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700"/>
        <w:gridCol w:w="6036"/>
      </w:tblGrid>
      <w:tr w:rsidR="00925E7F" w:rsidRPr="0013396E" w14:paraId="78F51904" w14:textId="77777777" w:rsidTr="00CB43C2">
        <w:trPr>
          <w:cantSplit/>
          <w:tblHeader/>
        </w:trPr>
        <w:tc>
          <w:tcPr>
            <w:tcW w:w="2335" w:type="dxa"/>
          </w:tcPr>
          <w:p w14:paraId="0AC655D5" w14:textId="77777777" w:rsidR="00925E7F" w:rsidRPr="0013396E" w:rsidRDefault="00925E7F" w:rsidP="00925E7F">
            <w:pPr>
              <w:spacing w:after="120"/>
              <w:rPr>
                <w:b/>
                <w:iCs/>
                <w:sz w:val="20"/>
              </w:rPr>
            </w:pPr>
            <w:r w:rsidRPr="0013396E">
              <w:rPr>
                <w:b/>
                <w:iCs/>
                <w:sz w:val="20"/>
              </w:rPr>
              <w:t>Variable</w:t>
            </w:r>
          </w:p>
        </w:tc>
        <w:tc>
          <w:tcPr>
            <w:tcW w:w="700" w:type="dxa"/>
          </w:tcPr>
          <w:p w14:paraId="75D792F5" w14:textId="77777777" w:rsidR="00925E7F" w:rsidRPr="0013396E" w:rsidRDefault="00925E7F" w:rsidP="00925E7F">
            <w:pPr>
              <w:spacing w:after="120"/>
              <w:rPr>
                <w:b/>
                <w:iCs/>
                <w:sz w:val="20"/>
              </w:rPr>
            </w:pPr>
            <w:r w:rsidRPr="0013396E">
              <w:rPr>
                <w:b/>
                <w:iCs/>
                <w:sz w:val="20"/>
              </w:rPr>
              <w:t>Unit</w:t>
            </w:r>
          </w:p>
        </w:tc>
        <w:tc>
          <w:tcPr>
            <w:tcW w:w="6036" w:type="dxa"/>
          </w:tcPr>
          <w:p w14:paraId="6A2DC540" w14:textId="77777777" w:rsidR="00925E7F" w:rsidRPr="0013396E" w:rsidRDefault="00925E7F" w:rsidP="00925E7F">
            <w:pPr>
              <w:spacing w:after="120"/>
              <w:rPr>
                <w:b/>
                <w:iCs/>
                <w:sz w:val="20"/>
              </w:rPr>
            </w:pPr>
            <w:r w:rsidRPr="0013396E">
              <w:rPr>
                <w:b/>
                <w:iCs/>
                <w:sz w:val="20"/>
              </w:rPr>
              <w:t>Definition</w:t>
            </w:r>
          </w:p>
        </w:tc>
      </w:tr>
      <w:tr w:rsidR="00925E7F" w:rsidRPr="0013396E" w14:paraId="56D69343" w14:textId="77777777" w:rsidTr="00CB43C2">
        <w:trPr>
          <w:cantSplit/>
        </w:trPr>
        <w:tc>
          <w:tcPr>
            <w:tcW w:w="2335" w:type="dxa"/>
          </w:tcPr>
          <w:p w14:paraId="6DCD9673" w14:textId="77777777" w:rsidR="00925E7F" w:rsidRPr="0013396E" w:rsidRDefault="00925E7F" w:rsidP="00925E7F">
            <w:pPr>
              <w:spacing w:after="60"/>
              <w:rPr>
                <w:iCs/>
                <w:sz w:val="20"/>
              </w:rPr>
            </w:pPr>
            <w:r w:rsidRPr="0013396E">
              <w:rPr>
                <w:iCs/>
                <w:sz w:val="20"/>
              </w:rPr>
              <w:t xml:space="preserve">RTESOGAMTQSETOT </w:t>
            </w:r>
            <w:r w:rsidRPr="0013396E">
              <w:rPr>
                <w:i/>
                <w:iCs/>
                <w:sz w:val="20"/>
                <w:vertAlign w:val="subscript"/>
              </w:rPr>
              <w:t>q</w:t>
            </w:r>
          </w:p>
        </w:tc>
        <w:tc>
          <w:tcPr>
            <w:tcW w:w="700" w:type="dxa"/>
          </w:tcPr>
          <w:p w14:paraId="0311BE7B" w14:textId="77777777" w:rsidR="00925E7F" w:rsidRPr="0013396E" w:rsidRDefault="00925E7F" w:rsidP="00925E7F">
            <w:pPr>
              <w:spacing w:after="60"/>
              <w:rPr>
                <w:iCs/>
                <w:sz w:val="20"/>
              </w:rPr>
            </w:pPr>
            <w:r w:rsidRPr="0013396E">
              <w:rPr>
                <w:iCs/>
                <w:sz w:val="20"/>
              </w:rPr>
              <w:t>$</w:t>
            </w:r>
          </w:p>
        </w:tc>
        <w:tc>
          <w:tcPr>
            <w:tcW w:w="6036" w:type="dxa"/>
          </w:tcPr>
          <w:p w14:paraId="5AC51C2B" w14:textId="77777777" w:rsidR="00925E7F" w:rsidRPr="0013396E" w:rsidRDefault="00925E7F" w:rsidP="00925E7F">
            <w:pPr>
              <w:spacing w:after="60"/>
              <w:rPr>
                <w:iCs/>
                <w:sz w:val="20"/>
              </w:rPr>
            </w:pPr>
            <w:r w:rsidRPr="0013396E">
              <w:rPr>
                <w:i/>
                <w:iCs/>
                <w:sz w:val="20"/>
              </w:rPr>
              <w:t xml:space="preserve">Real-Time Energy Payment or Charge per QSE for Energy from SODGs and SOTGs </w:t>
            </w:r>
            <w:r w:rsidRPr="0013396E">
              <w:rPr>
                <w:iCs/>
                <w:sz w:val="20"/>
              </w:rPr>
              <w:t xml:space="preserve">—The payment or charge to QSE </w:t>
            </w:r>
            <w:r w:rsidRPr="0013396E">
              <w:rPr>
                <w:i/>
                <w:iCs/>
                <w:sz w:val="20"/>
              </w:rPr>
              <w:t>q</w:t>
            </w:r>
            <w:r w:rsidRPr="0013396E">
              <w:rPr>
                <w:iCs/>
                <w:sz w:val="20"/>
              </w:rPr>
              <w:t xml:space="preserve"> for Real-Time energy from SODGs and SOTGs, for the 15-minute Settlement Interval.</w:t>
            </w:r>
          </w:p>
        </w:tc>
      </w:tr>
      <w:tr w:rsidR="00925E7F" w:rsidRPr="0013396E" w14:paraId="18D8A7AF" w14:textId="77777777" w:rsidTr="00CB43C2">
        <w:trPr>
          <w:cantSplit/>
        </w:trPr>
        <w:tc>
          <w:tcPr>
            <w:tcW w:w="2335" w:type="dxa"/>
          </w:tcPr>
          <w:p w14:paraId="00DC4291" w14:textId="77777777" w:rsidR="00925E7F" w:rsidRPr="0013396E" w:rsidRDefault="00925E7F" w:rsidP="00925E7F">
            <w:pPr>
              <w:spacing w:after="60"/>
              <w:rPr>
                <w:iCs/>
                <w:sz w:val="20"/>
              </w:rPr>
            </w:pPr>
            <w:r w:rsidRPr="0013396E">
              <w:rPr>
                <w:iCs/>
                <w:sz w:val="20"/>
              </w:rPr>
              <w:t xml:space="preserve">RTESOGSAMT </w:t>
            </w:r>
            <w:r w:rsidRPr="0013396E">
              <w:rPr>
                <w:i/>
                <w:iCs/>
                <w:sz w:val="20"/>
                <w:vertAlign w:val="subscript"/>
              </w:rPr>
              <w:t>q, gsc</w:t>
            </w:r>
          </w:p>
        </w:tc>
        <w:tc>
          <w:tcPr>
            <w:tcW w:w="700" w:type="dxa"/>
          </w:tcPr>
          <w:p w14:paraId="1CF26442" w14:textId="77777777" w:rsidR="00925E7F" w:rsidRPr="0013396E" w:rsidRDefault="00925E7F" w:rsidP="00925E7F">
            <w:pPr>
              <w:spacing w:after="60"/>
              <w:rPr>
                <w:iCs/>
                <w:sz w:val="20"/>
              </w:rPr>
            </w:pPr>
            <w:r w:rsidRPr="0013396E">
              <w:rPr>
                <w:iCs/>
                <w:sz w:val="20"/>
              </w:rPr>
              <w:t>$</w:t>
            </w:r>
          </w:p>
        </w:tc>
        <w:tc>
          <w:tcPr>
            <w:tcW w:w="6036" w:type="dxa"/>
          </w:tcPr>
          <w:p w14:paraId="19FCF892" w14:textId="77777777" w:rsidR="00925E7F" w:rsidRPr="0013396E" w:rsidRDefault="00925E7F" w:rsidP="00925E7F">
            <w:pPr>
              <w:spacing w:after="60"/>
              <w:rPr>
                <w:iCs/>
                <w:sz w:val="20"/>
              </w:rPr>
            </w:pPr>
            <w:r w:rsidRPr="0013396E">
              <w:rPr>
                <w:i/>
                <w:iCs/>
                <w:sz w:val="20"/>
              </w:rPr>
              <w:t>Real-Time Energy for SODG and SOTG Site Amount</w:t>
            </w:r>
            <w:r w:rsidRPr="0013396E" w:rsidDel="006C2DC2">
              <w:rPr>
                <w:i/>
                <w:iCs/>
                <w:sz w:val="20"/>
              </w:rPr>
              <w:t xml:space="preserve"> </w:t>
            </w:r>
            <w:r w:rsidRPr="0013396E">
              <w:rPr>
                <w:iCs/>
                <w:sz w:val="20"/>
              </w:rPr>
              <w:t xml:space="preserve">—The total payment or charge to QSE </w:t>
            </w:r>
            <w:r w:rsidRPr="0013396E">
              <w:rPr>
                <w:i/>
                <w:iCs/>
                <w:sz w:val="20"/>
              </w:rPr>
              <w:t>q</w:t>
            </w:r>
            <w:r w:rsidRPr="0013396E">
              <w:rPr>
                <w:iCs/>
                <w:sz w:val="20"/>
              </w:rPr>
              <w:t xml:space="preserve"> for an SODG or SOTG site</w:t>
            </w:r>
            <w:r w:rsidRPr="0013396E">
              <w:rPr>
                <w:i/>
                <w:iCs/>
                <w:sz w:val="20"/>
              </w:rPr>
              <w:t xml:space="preserve"> gsc</w:t>
            </w:r>
            <w:r w:rsidRPr="0013396E">
              <w:rPr>
                <w:iCs/>
                <w:sz w:val="20"/>
              </w:rPr>
              <w:t xml:space="preserve"> for the 15-minute Settlement Interval.</w:t>
            </w:r>
          </w:p>
        </w:tc>
      </w:tr>
      <w:tr w:rsidR="00925E7F" w:rsidRPr="0013396E" w14:paraId="1D9D6F1A" w14:textId="77777777" w:rsidTr="00CB43C2">
        <w:trPr>
          <w:cantSplit/>
        </w:trPr>
        <w:tc>
          <w:tcPr>
            <w:tcW w:w="2335" w:type="dxa"/>
            <w:tcBorders>
              <w:top w:val="single" w:sz="4" w:space="0" w:color="auto"/>
              <w:left w:val="single" w:sz="4" w:space="0" w:color="auto"/>
              <w:bottom w:val="single" w:sz="4" w:space="0" w:color="auto"/>
              <w:right w:val="single" w:sz="4" w:space="0" w:color="auto"/>
            </w:tcBorders>
          </w:tcPr>
          <w:p w14:paraId="4AA5ADF7" w14:textId="77777777" w:rsidR="00925E7F" w:rsidRPr="0013396E" w:rsidRDefault="00925E7F" w:rsidP="00925E7F">
            <w:pPr>
              <w:spacing w:after="60"/>
              <w:rPr>
                <w:i/>
                <w:iCs/>
                <w:sz w:val="20"/>
              </w:rPr>
            </w:pPr>
            <w:r w:rsidRPr="0013396E">
              <w:rPr>
                <w:i/>
                <w:iCs/>
                <w:sz w:val="20"/>
              </w:rPr>
              <w:t>q</w:t>
            </w:r>
          </w:p>
        </w:tc>
        <w:tc>
          <w:tcPr>
            <w:tcW w:w="700" w:type="dxa"/>
            <w:tcBorders>
              <w:top w:val="single" w:sz="4" w:space="0" w:color="auto"/>
              <w:left w:val="single" w:sz="4" w:space="0" w:color="auto"/>
              <w:bottom w:val="single" w:sz="4" w:space="0" w:color="auto"/>
              <w:right w:val="single" w:sz="4" w:space="0" w:color="auto"/>
            </w:tcBorders>
          </w:tcPr>
          <w:p w14:paraId="510FC691" w14:textId="77777777" w:rsidR="00925E7F" w:rsidRPr="0013396E" w:rsidRDefault="00925E7F" w:rsidP="00925E7F">
            <w:pPr>
              <w:spacing w:after="60"/>
              <w:rPr>
                <w:iCs/>
                <w:sz w:val="20"/>
              </w:rPr>
            </w:pPr>
            <w:r w:rsidRPr="0013396E">
              <w:rPr>
                <w:iCs/>
                <w:sz w:val="20"/>
              </w:rPr>
              <w:t>none</w:t>
            </w:r>
          </w:p>
        </w:tc>
        <w:tc>
          <w:tcPr>
            <w:tcW w:w="6036" w:type="dxa"/>
            <w:tcBorders>
              <w:top w:val="single" w:sz="4" w:space="0" w:color="auto"/>
              <w:left w:val="single" w:sz="4" w:space="0" w:color="auto"/>
              <w:bottom w:val="single" w:sz="4" w:space="0" w:color="auto"/>
              <w:right w:val="single" w:sz="4" w:space="0" w:color="auto"/>
            </w:tcBorders>
          </w:tcPr>
          <w:p w14:paraId="65418523" w14:textId="77777777" w:rsidR="00925E7F" w:rsidRPr="0013396E" w:rsidRDefault="00925E7F" w:rsidP="00925E7F">
            <w:pPr>
              <w:spacing w:after="60"/>
              <w:rPr>
                <w:iCs/>
                <w:sz w:val="20"/>
              </w:rPr>
            </w:pPr>
            <w:r w:rsidRPr="0013396E">
              <w:rPr>
                <w:iCs/>
                <w:sz w:val="20"/>
              </w:rPr>
              <w:t>A QSE.</w:t>
            </w:r>
          </w:p>
        </w:tc>
      </w:tr>
      <w:tr w:rsidR="00925E7F" w:rsidRPr="0013396E" w14:paraId="568DDEEF" w14:textId="77777777" w:rsidTr="00CB43C2">
        <w:trPr>
          <w:cantSplit/>
        </w:trPr>
        <w:tc>
          <w:tcPr>
            <w:tcW w:w="2335" w:type="dxa"/>
            <w:tcBorders>
              <w:top w:val="single" w:sz="4" w:space="0" w:color="auto"/>
              <w:left w:val="single" w:sz="4" w:space="0" w:color="auto"/>
              <w:bottom w:val="single" w:sz="4" w:space="0" w:color="auto"/>
              <w:right w:val="single" w:sz="4" w:space="0" w:color="auto"/>
            </w:tcBorders>
          </w:tcPr>
          <w:p w14:paraId="3BBBF4B0" w14:textId="77777777" w:rsidR="00925E7F" w:rsidRPr="0013396E" w:rsidRDefault="00925E7F" w:rsidP="00925E7F">
            <w:pPr>
              <w:spacing w:after="60"/>
              <w:rPr>
                <w:i/>
                <w:iCs/>
                <w:sz w:val="20"/>
              </w:rPr>
            </w:pPr>
            <w:r w:rsidRPr="0013396E">
              <w:rPr>
                <w:i/>
                <w:iCs/>
                <w:sz w:val="20"/>
              </w:rPr>
              <w:t>gsc</w:t>
            </w:r>
          </w:p>
        </w:tc>
        <w:tc>
          <w:tcPr>
            <w:tcW w:w="700" w:type="dxa"/>
            <w:tcBorders>
              <w:top w:val="single" w:sz="4" w:space="0" w:color="auto"/>
              <w:left w:val="single" w:sz="4" w:space="0" w:color="auto"/>
              <w:bottom w:val="single" w:sz="4" w:space="0" w:color="auto"/>
              <w:right w:val="single" w:sz="4" w:space="0" w:color="auto"/>
            </w:tcBorders>
          </w:tcPr>
          <w:p w14:paraId="34A6DF47" w14:textId="77777777" w:rsidR="00925E7F" w:rsidRPr="0013396E" w:rsidRDefault="00925E7F" w:rsidP="00925E7F">
            <w:pPr>
              <w:spacing w:after="60"/>
              <w:rPr>
                <w:iCs/>
                <w:sz w:val="20"/>
              </w:rPr>
            </w:pPr>
            <w:r w:rsidRPr="0013396E">
              <w:rPr>
                <w:iCs/>
                <w:sz w:val="20"/>
              </w:rPr>
              <w:t>none</w:t>
            </w:r>
          </w:p>
        </w:tc>
        <w:tc>
          <w:tcPr>
            <w:tcW w:w="6036" w:type="dxa"/>
            <w:tcBorders>
              <w:top w:val="single" w:sz="4" w:space="0" w:color="auto"/>
              <w:left w:val="single" w:sz="4" w:space="0" w:color="auto"/>
              <w:bottom w:val="single" w:sz="4" w:space="0" w:color="auto"/>
              <w:right w:val="single" w:sz="4" w:space="0" w:color="auto"/>
            </w:tcBorders>
          </w:tcPr>
          <w:p w14:paraId="00D06A62" w14:textId="77777777" w:rsidR="00925E7F" w:rsidRPr="0013396E" w:rsidRDefault="00925E7F" w:rsidP="00925E7F">
            <w:pPr>
              <w:spacing w:after="60"/>
              <w:rPr>
                <w:iCs/>
                <w:sz w:val="20"/>
              </w:rPr>
            </w:pPr>
            <w:r w:rsidRPr="0013396E">
              <w:rPr>
                <w:iCs/>
                <w:sz w:val="20"/>
              </w:rPr>
              <w:t>A generation site code.</w:t>
            </w:r>
          </w:p>
        </w:tc>
      </w:tr>
    </w:tbl>
    <w:p w14:paraId="1BAE4C8C" w14:textId="77777777" w:rsidR="00925E7F" w:rsidRPr="0013396E" w:rsidRDefault="00925E7F" w:rsidP="00925E7F">
      <w:pPr>
        <w:widowControl w:val="0"/>
        <w:spacing w:before="240" w:after="240"/>
        <w:ind w:left="720" w:hanging="720"/>
      </w:pPr>
      <w:r w:rsidRPr="0013396E">
        <w:rPr>
          <w:bCs/>
        </w:rPr>
        <w:t xml:space="preserve">(5) </w:t>
      </w:r>
      <w:r w:rsidRPr="0013396E">
        <w:rPr>
          <w:bCs/>
        </w:rPr>
        <w:tab/>
        <w:t xml:space="preserve">Notwithstanding anything else in this Section except paragraphs (6) and (7) below, a Resource Entity may opt out of nodal pricing and continue Load Zone Settlement for any </w:t>
      </w:r>
      <w:r w:rsidRPr="0013396E">
        <w:t xml:space="preserve">SODG or SOTG if, by January 1, 2019, the SODG or SOTG was operational or was subject to a Power Purchase or Tolling Agreement (PPA) or Transmission and/or Distribution Service Provider (TDSP) interconnection agreement, or had an executed agreement with a developer.  By December 31, 2019, the Resource Entity must submit a </w:t>
      </w:r>
      <w:r w:rsidRPr="0013396E">
        <w:lastRenderedPageBreak/>
        <w:t xml:space="preserve">properly completed Section 23, Form N, Pricing Election for Settlement Only Distribution Generators and Settlement Only Transmission Generators.  Any SODG or SOTG relying on a PPA or TDSP interconnection agreement or agreement with a developer must also have achieved Initial Synchronization for the full Resource capacity before June 1, 2020 to be eligible to opt out of nodal pricing.  A Resource Entity must provide ERCOT documented proof of any PPA, TDSP interconnection agreement, or developer agreement that it relies on as a basis for any election under this paragraph.  This election is valid through the earlier of December 31, 2029 or the date on which the election is revoked pursuant to paragraph (8) of this Section.  On January 1, 2030, all SODGs and SOTGs will be subject to nodal pricing.  </w:t>
      </w:r>
    </w:p>
    <w:p w14:paraId="08BB4E03" w14:textId="77777777" w:rsidR="00925E7F" w:rsidRPr="0013396E" w:rsidRDefault="00925E7F" w:rsidP="00925E7F">
      <w:pPr>
        <w:widowControl w:val="0"/>
        <w:spacing w:after="240"/>
        <w:ind w:left="720" w:hanging="720"/>
      </w:pPr>
      <w:r w:rsidRPr="0013396E">
        <w:t>(6)</w:t>
      </w:r>
      <w:r w:rsidRPr="0013396E">
        <w:tab/>
        <w:t>For any SODG or SOTG for which the applicable Resource Entity has elected to opt out of nodal pricing, ERCOT shall settle the output of the SODG or SOTG using the Load Zone Settlement Point Price for the duration of the opt-out period so long as the SODG or SOTG is not physically modified for any purpose, including to increase the capacity of the unit or change the fuel type of the unit, except as necessary for routine maintenance or repairs to address normal wear and tear.</w:t>
      </w:r>
    </w:p>
    <w:p w14:paraId="14AC7094" w14:textId="77777777" w:rsidR="00925E7F" w:rsidRPr="0013396E" w:rsidRDefault="00925E7F" w:rsidP="00925E7F">
      <w:pPr>
        <w:widowControl w:val="0"/>
        <w:spacing w:after="240"/>
        <w:ind w:left="720" w:hanging="720"/>
      </w:pPr>
      <w:r w:rsidRPr="0013396E">
        <w:t>(7)</w:t>
      </w:r>
      <w:r w:rsidRPr="0013396E">
        <w:tab/>
        <w:t>If at any time ERCOT determines that the SODG or SOTG fails to meet the opt-out conditions in paragraph (6) above, ERCOT shall settle the output of the SODG or SOTG at the applicable nodal price as soon as practicable after providing written notice to the affected Resource Entity.</w:t>
      </w:r>
    </w:p>
    <w:p w14:paraId="32413C71" w14:textId="3667AD0A" w:rsidR="009058F4" w:rsidRPr="0013396E" w:rsidRDefault="00925E7F" w:rsidP="00925E7F">
      <w:pPr>
        <w:widowControl w:val="0"/>
        <w:spacing w:after="240"/>
        <w:ind w:left="720" w:hanging="720"/>
      </w:pPr>
      <w:r w:rsidRPr="0013396E">
        <w:rPr>
          <w:szCs w:val="24"/>
        </w:rPr>
        <w:t>(8)</w:t>
      </w:r>
      <w:r w:rsidRPr="0013396E">
        <w:rPr>
          <w:szCs w:val="24"/>
        </w:rPr>
        <w:tab/>
        <w:t xml:space="preserve">A Resource Entity that has opted out of nodal pricing for one or more SODGs or SOTGs pursuant to </w:t>
      </w:r>
      <w:r w:rsidRPr="0013396E">
        <w:t>paragraph</w:t>
      </w:r>
      <w:r w:rsidRPr="0013396E">
        <w:rPr>
          <w:szCs w:val="24"/>
        </w:rPr>
        <w:t xml:space="preserve"> (5) of this Section may withdraw that election and begin receiving applicable nodal pricing for one or more such generators by submitting a properly completed election form (Section 23, Form N).  An election of nodal pricing is irrevocable.  ERCOT will effectuate the transition of an SODG or SOTG to nodal </w:t>
      </w:r>
      <w:r w:rsidRPr="0013396E">
        <w:t>pricing</w:t>
      </w:r>
      <w:r w:rsidRPr="0013396E">
        <w:rPr>
          <w:szCs w:val="24"/>
        </w:rPr>
        <w:t xml:space="preserve"> in ERCOT Settlement systems as soon as practicable.</w:t>
      </w:r>
    </w:p>
    <w:tbl>
      <w:tblPr>
        <w:tblW w:w="957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9058F4" w:rsidRPr="0013396E" w14:paraId="1D13C691" w14:textId="77777777" w:rsidTr="009058F4">
        <w:trPr>
          <w:trHeight w:val="206"/>
        </w:trPr>
        <w:tc>
          <w:tcPr>
            <w:tcW w:w="9576" w:type="dxa"/>
            <w:shd w:val="pct12" w:color="auto" w:fill="auto"/>
          </w:tcPr>
          <w:p w14:paraId="0BB89857" w14:textId="37A2065D" w:rsidR="009058F4" w:rsidRPr="0013396E" w:rsidRDefault="009058F4" w:rsidP="008B123E">
            <w:pPr>
              <w:pStyle w:val="Instructions"/>
              <w:spacing w:before="120"/>
            </w:pPr>
            <w:bookmarkStart w:id="1683" w:name="_Toc448142325"/>
            <w:bookmarkStart w:id="1684" w:name="_Toc448142482"/>
            <w:bookmarkStart w:id="1685" w:name="_Toc458770323"/>
            <w:bookmarkStart w:id="1686" w:name="_Toc459294291"/>
            <w:bookmarkStart w:id="1687" w:name="_Toc463262784"/>
            <w:bookmarkStart w:id="1688" w:name="_Toc468286857"/>
            <w:bookmarkStart w:id="1689" w:name="_Toc481502897"/>
            <w:bookmarkStart w:id="1690" w:name="_Toc496080065"/>
            <w:r w:rsidRPr="0013396E">
              <w:t>[</w:t>
            </w:r>
            <w:r w:rsidR="00031AC3" w:rsidRPr="0013396E">
              <w:t>NPRR995</w:t>
            </w:r>
            <w:r w:rsidRPr="0013396E">
              <w:t xml:space="preserve">:  </w:t>
            </w:r>
            <w:r w:rsidR="0024071F" w:rsidRPr="0013396E">
              <w:t>Replace</w:t>
            </w:r>
            <w:r w:rsidRPr="0013396E">
              <w:t xml:space="preserve"> Section 6.6.3.</w:t>
            </w:r>
            <w:r w:rsidR="00720B34" w:rsidRPr="0013396E">
              <w:t>8</w:t>
            </w:r>
            <w:r w:rsidRPr="0013396E">
              <w:t xml:space="preserve"> </w:t>
            </w:r>
            <w:r w:rsidR="0024071F" w:rsidRPr="0013396E">
              <w:t>above with the following</w:t>
            </w:r>
            <w:r w:rsidRPr="0013396E">
              <w:t xml:space="preserve"> upon system implementation:]</w:t>
            </w:r>
          </w:p>
          <w:p w14:paraId="43B8FA8D" w14:textId="76F41A11" w:rsidR="009058F4" w:rsidRPr="0013396E" w:rsidRDefault="009058F4" w:rsidP="009058F4">
            <w:pPr>
              <w:pStyle w:val="H4"/>
              <w:spacing w:before="480"/>
            </w:pPr>
            <w:bookmarkStart w:id="1691" w:name="_Toc17798734"/>
            <w:bookmarkStart w:id="1692" w:name="_Toc112417648"/>
            <w:bookmarkStart w:id="1693" w:name="_Toc119310317"/>
            <w:bookmarkStart w:id="1694" w:name="_Toc125966250"/>
            <w:bookmarkStart w:id="1695" w:name="_Toc135992348"/>
            <w:bookmarkStart w:id="1696" w:name="_Toc170303544"/>
            <w:bookmarkStart w:id="1697" w:name="_Toc175157448"/>
            <w:bookmarkStart w:id="1698" w:name="_Toc236220184"/>
            <w:r w:rsidRPr="0013396E">
              <w:t>6.6.3.</w:t>
            </w:r>
            <w:r w:rsidR="00720B34" w:rsidRPr="0013396E">
              <w:t>8</w:t>
            </w:r>
            <w:r w:rsidRPr="0013396E">
              <w:tab/>
              <w:t>Real-Time Payment or Charge for Energy from a Settlement Only Distribution Generator (SODG)</w:t>
            </w:r>
            <w:r w:rsidR="00031AC3" w:rsidRPr="0013396E">
              <w:t>,</w:t>
            </w:r>
            <w:r w:rsidRPr="0013396E">
              <w:t xml:space="preserve"> Settlement Only Transmission Generator (SOTG)</w:t>
            </w:r>
            <w:bookmarkEnd w:id="1691"/>
            <w:r w:rsidR="00031AC3" w:rsidRPr="0013396E">
              <w:t>, Settlement Only Distribution Energy Storage System (SODESS), or Settlement Only Transmission Energy Storage System (SOTESS)</w:t>
            </w:r>
            <w:bookmarkEnd w:id="1692"/>
            <w:bookmarkEnd w:id="1693"/>
            <w:bookmarkEnd w:id="1694"/>
            <w:bookmarkEnd w:id="1695"/>
            <w:bookmarkEnd w:id="1696"/>
            <w:bookmarkEnd w:id="1697"/>
            <w:bookmarkEnd w:id="1698"/>
            <w:r w:rsidRPr="0013396E">
              <w:t xml:space="preserve"> </w:t>
            </w:r>
          </w:p>
          <w:p w14:paraId="25D9D0F0" w14:textId="61E8D199" w:rsidR="007332D0" w:rsidRPr="0013396E" w:rsidRDefault="009058F4" w:rsidP="00985A9C">
            <w:pPr>
              <w:pStyle w:val="BodyTextNumbered"/>
              <w:widowControl w:val="0"/>
            </w:pPr>
            <w:r w:rsidRPr="0013396E">
              <w:t>(1)</w:t>
            </w:r>
            <w:r w:rsidRPr="0013396E">
              <w:tab/>
            </w:r>
            <w:r w:rsidR="007332D0" w:rsidRPr="0013396E">
              <w:t>T</w:t>
            </w:r>
            <w:r w:rsidRPr="0013396E">
              <w:t>he payment or charge to each QSE for energy from an SODG</w:t>
            </w:r>
            <w:r w:rsidR="00031AC3" w:rsidRPr="0013396E">
              <w:t>,</w:t>
            </w:r>
            <w:r w:rsidRPr="0013396E">
              <w:t xml:space="preserve"> SOTG</w:t>
            </w:r>
            <w:r w:rsidR="00031AC3" w:rsidRPr="0013396E">
              <w:t>, SODESS, or SOTESS</w:t>
            </w:r>
            <w:r w:rsidRPr="0013396E">
              <w:t xml:space="preserve"> shall be based on an identified nodal energy price, RTESOPR, as described in this subsection</w:t>
            </w:r>
            <w:r w:rsidR="007332D0" w:rsidRPr="0013396E">
              <w:t>, with the exception</w:t>
            </w:r>
            <w:r w:rsidR="00031AC3" w:rsidRPr="0013396E">
              <w:t xml:space="preserve"> of a</w:t>
            </w:r>
            <w:r w:rsidR="007332D0" w:rsidRPr="0013396E">
              <w:t>n SODG or SOTG that has opted out of nodal pricing as described in paragraph (</w:t>
            </w:r>
            <w:r w:rsidR="00031AC3" w:rsidRPr="0013396E">
              <w:t>7</w:t>
            </w:r>
            <w:r w:rsidR="007332D0" w:rsidRPr="0013396E">
              <w:t>) below</w:t>
            </w:r>
            <w:r w:rsidR="00031AC3" w:rsidRPr="0013396E">
              <w:t>.</w:t>
            </w:r>
          </w:p>
          <w:p w14:paraId="44BCAD61" w14:textId="0FB55B4B" w:rsidR="009058F4" w:rsidRPr="0013396E" w:rsidRDefault="009058F4" w:rsidP="007332D0">
            <w:pPr>
              <w:pStyle w:val="BodyTextNumbered"/>
              <w:widowControl w:val="0"/>
            </w:pPr>
            <w:r w:rsidRPr="0013396E">
              <w:t>(2)</w:t>
            </w:r>
            <w:r w:rsidRPr="0013396E">
              <w:tab/>
              <w:t>For an SODG</w:t>
            </w:r>
            <w:r w:rsidR="00031AC3" w:rsidRPr="0013396E">
              <w:t xml:space="preserve"> or an SODESS</w:t>
            </w:r>
            <w:r w:rsidRPr="0013396E">
              <w:t>, the price used as the basis for the 15-minute Real-Time price calculation is the time-weighted price at the Electrical Bus associated with this mapped Load in the Network Operations Model.  For an SOTG</w:t>
            </w:r>
            <w:r w:rsidR="00EC6A86" w:rsidRPr="0013396E">
              <w:t xml:space="preserve"> or an SOTESS</w:t>
            </w:r>
            <w:r w:rsidRPr="0013396E">
              <w:t xml:space="preserve">, the price </w:t>
            </w:r>
            <w:r w:rsidRPr="0013396E">
              <w:lastRenderedPageBreak/>
              <w:t xml:space="preserve">used as the basis for the 15-minute Real-Time price calculation is the time-weighted price at the Electrical Bus as determined by ERCOT in review of the meter location of the SOTG </w:t>
            </w:r>
            <w:r w:rsidR="00EC6A86" w:rsidRPr="0013396E">
              <w:t xml:space="preserve">or SOTESS </w:t>
            </w:r>
            <w:r w:rsidRPr="0013396E">
              <w:t xml:space="preserve">in the Network Operations Model.  </w:t>
            </w:r>
            <w:r w:rsidR="00EC6A86" w:rsidRPr="0013396E">
              <w:t xml:space="preserve">Load that is not WSL will be included in the Real-Time AML per QSE.  Each </w:t>
            </w:r>
            <w:r w:rsidRPr="0013396E">
              <w:t>SODG</w:t>
            </w:r>
            <w:r w:rsidR="00EC6A86" w:rsidRPr="0013396E">
              <w:t>,</w:t>
            </w:r>
            <w:r w:rsidRPr="0013396E">
              <w:t xml:space="preserve"> SOTG</w:t>
            </w:r>
            <w:r w:rsidR="00EC6A86" w:rsidRPr="0013396E">
              <w:t>, SODESS, and SOTESS</w:t>
            </w:r>
            <w:r w:rsidRPr="0013396E">
              <w:t xml:space="preserve"> site will be represented as a single unit in the ERCOT Settlement system.</w:t>
            </w:r>
          </w:p>
          <w:p w14:paraId="15544BD1" w14:textId="3B7C166D" w:rsidR="009058F4" w:rsidRPr="0013396E" w:rsidRDefault="009058F4" w:rsidP="009058F4">
            <w:pPr>
              <w:pStyle w:val="BodyTextNumbered"/>
              <w:widowControl w:val="0"/>
            </w:pPr>
            <w:r w:rsidRPr="0013396E">
              <w:t>(3)</w:t>
            </w:r>
            <w:r w:rsidRPr="0013396E">
              <w:tab/>
              <w:t>For an SODG</w:t>
            </w:r>
            <w:r w:rsidR="00EC6A86" w:rsidRPr="0013396E">
              <w:t>,</w:t>
            </w:r>
            <w:r w:rsidRPr="0013396E">
              <w:t xml:space="preserve"> SOTG, </w:t>
            </w:r>
            <w:r w:rsidR="00EC6A86" w:rsidRPr="0013396E">
              <w:t xml:space="preserve">SODESS, or SOTESS, </w:t>
            </w:r>
            <w:r w:rsidRPr="0013396E">
              <w:t>the total payment or charge for each 15-minute Settlement Interval shall be calculated as follows:</w:t>
            </w:r>
          </w:p>
          <w:p w14:paraId="4B4D46C0" w14:textId="77777777" w:rsidR="009C2EEB" w:rsidRPr="0013396E" w:rsidRDefault="009C2EEB" w:rsidP="009C2EEB">
            <w:pPr>
              <w:pStyle w:val="FormulaBold"/>
            </w:pPr>
            <w:r w:rsidRPr="0013396E">
              <w:t>MEBSOGNET</w:t>
            </w:r>
            <w:r w:rsidRPr="0013396E">
              <w:rPr>
                <w:i/>
                <w:sz w:val="28"/>
                <w:szCs w:val="28"/>
                <w:vertAlign w:val="subscript"/>
              </w:rPr>
              <w:t xml:space="preserve"> q,</w:t>
            </w:r>
            <w:r w:rsidRPr="0013396E">
              <w:t xml:space="preserve"> </w:t>
            </w:r>
            <w:r w:rsidRPr="0013396E">
              <w:rPr>
                <w:i/>
                <w:sz w:val="28"/>
                <w:szCs w:val="28"/>
                <w:vertAlign w:val="subscript"/>
              </w:rPr>
              <w:t>gsc</w:t>
            </w:r>
            <w:r w:rsidRPr="0013396E">
              <w:t xml:space="preserve"> =   Max(0, </w:t>
            </w:r>
            <w:r w:rsidRPr="0013396E">
              <w:rPr>
                <w:position w:val="-20"/>
              </w:rPr>
              <w:object w:dxaOrig="225" w:dyaOrig="435" w14:anchorId="7E317B1F">
                <v:shape id="_x0000_i1140" type="#_x0000_t75" style="width:12pt;height:24pt" o:ole="">
                  <v:imagedata r:id="rId159" o:title=""/>
                </v:shape>
                <o:OLEObject Type="Embed" ProgID="Equation.3" ShapeID="_x0000_i1140" DrawAspect="Content" ObjectID="_1849065771" r:id="rId168"/>
              </w:object>
            </w:r>
            <w:r w:rsidRPr="0013396E">
              <w:t>MEBSOG</w:t>
            </w:r>
            <w:r w:rsidRPr="0013396E">
              <w:rPr>
                <w:i/>
                <w:vertAlign w:val="subscript"/>
              </w:rPr>
              <w:t xml:space="preserve"> q, gsc, b</w:t>
            </w:r>
            <w:r w:rsidRPr="0013396E">
              <w:t>)</w:t>
            </w:r>
          </w:p>
          <w:p w14:paraId="6EA02291" w14:textId="77777777" w:rsidR="009C2EEB" w:rsidRPr="0013396E" w:rsidRDefault="009C2EEB" w:rsidP="009C2EEB">
            <w:pPr>
              <w:pStyle w:val="BodyTextNumbered"/>
              <w:widowControl w:val="0"/>
              <w:ind w:firstLine="0"/>
            </w:pPr>
            <w:r w:rsidRPr="0013396E">
              <w:t>If MEBSOGNET</w:t>
            </w:r>
            <w:r w:rsidRPr="0013396E">
              <w:rPr>
                <w:i/>
                <w:sz w:val="28"/>
                <w:szCs w:val="28"/>
                <w:vertAlign w:val="subscript"/>
              </w:rPr>
              <w:t xml:space="preserve"> </w:t>
            </w:r>
            <w:r w:rsidRPr="0013396E">
              <w:rPr>
                <w:i/>
                <w:vertAlign w:val="subscript"/>
              </w:rPr>
              <w:t>q, gsc</w:t>
            </w:r>
            <w:r w:rsidRPr="0013396E">
              <w:t xml:space="preserve"> = 0 for a 15-minute Settlement Interval, then</w:t>
            </w:r>
          </w:p>
          <w:p w14:paraId="105B0752" w14:textId="227526B2" w:rsidR="009C2EEB" w:rsidRPr="0013396E" w:rsidRDefault="009C2EEB" w:rsidP="009C2EEB">
            <w:pPr>
              <w:pStyle w:val="BodyTextNumbered"/>
              <w:widowControl w:val="0"/>
              <w:ind w:firstLine="0"/>
            </w:pPr>
            <w:r w:rsidRPr="0013396E">
              <w:t>The Load is included in the Real-Time AML per QSE</w:t>
            </w:r>
            <w:r w:rsidR="00EC6A86" w:rsidRPr="0013396E">
              <w:t>, excluding WSL</w:t>
            </w:r>
            <w:r w:rsidRPr="0013396E">
              <w:t>.</w:t>
            </w:r>
          </w:p>
          <w:p w14:paraId="0F3484F9" w14:textId="77777777" w:rsidR="009C2EEB" w:rsidRPr="0013396E" w:rsidRDefault="009C2EEB" w:rsidP="009C2EEB">
            <w:pPr>
              <w:pStyle w:val="FormulaBold"/>
            </w:pPr>
            <w:r w:rsidRPr="0013396E">
              <w:rPr>
                <w:b w:val="0"/>
                <w:bCs w:val="0"/>
                <w:szCs w:val="20"/>
              </w:rPr>
              <w:t>Otherwise, when MEBSOGNET</w:t>
            </w:r>
            <w:r w:rsidRPr="0013396E">
              <w:rPr>
                <w:i/>
                <w:vertAlign w:val="subscript"/>
              </w:rPr>
              <w:t xml:space="preserve"> q, gsc</w:t>
            </w:r>
            <w:r w:rsidRPr="0013396E">
              <w:rPr>
                <w:b w:val="0"/>
              </w:rPr>
              <w:t xml:space="preserve"> &gt; 0 for a 15-minute Settlement Interval, then</w:t>
            </w:r>
          </w:p>
          <w:p w14:paraId="5DED41C7" w14:textId="18726C8B" w:rsidR="009058F4" w:rsidRPr="0013396E" w:rsidRDefault="009058F4" w:rsidP="009058F4">
            <w:pPr>
              <w:pStyle w:val="FormulaBold"/>
              <w:rPr>
                <w:rStyle w:val="BodyTextChar"/>
                <w:iCs/>
              </w:rPr>
            </w:pPr>
            <w:r w:rsidRPr="0013396E">
              <w:t>RT</w:t>
            </w:r>
            <w:r w:rsidR="00EC6A86" w:rsidRPr="0013396E">
              <w:t>G</w:t>
            </w:r>
            <w:r w:rsidRPr="0013396E">
              <w:t xml:space="preserve">SOAMT </w:t>
            </w:r>
            <w:r w:rsidRPr="0013396E">
              <w:rPr>
                <w:i/>
                <w:sz w:val="28"/>
                <w:szCs w:val="28"/>
                <w:vertAlign w:val="subscript"/>
              </w:rPr>
              <w:t>q,</w:t>
            </w:r>
            <w:r w:rsidRPr="0013396E">
              <w:t xml:space="preserve"> </w:t>
            </w:r>
            <w:r w:rsidRPr="0013396E">
              <w:rPr>
                <w:i/>
                <w:sz w:val="28"/>
                <w:szCs w:val="28"/>
                <w:vertAlign w:val="subscript"/>
              </w:rPr>
              <w:t>gsc</w:t>
            </w:r>
            <w:r w:rsidRPr="0013396E">
              <w:tab/>
              <w:t>=</w:t>
            </w:r>
            <w:r w:rsidRPr="0013396E">
              <w:tab/>
              <w:t>(-1) * [</w:t>
            </w:r>
            <w:r w:rsidRPr="0013396E">
              <w:rPr>
                <w:position w:val="-20"/>
              </w:rPr>
              <w:object w:dxaOrig="225" w:dyaOrig="435" w14:anchorId="74E8ECBE">
                <v:shape id="_x0000_i1141" type="#_x0000_t75" style="width:12pt;height:18pt" o:ole="">
                  <v:imagedata r:id="rId159" o:title=""/>
                </v:shape>
                <o:OLEObject Type="Embed" ProgID="Equation.3" ShapeID="_x0000_i1141" DrawAspect="Content" ObjectID="_1849065772" r:id="rId169"/>
              </w:object>
            </w:r>
            <w:r w:rsidRPr="0013396E">
              <w:t xml:space="preserve">(RTESOPR </w:t>
            </w:r>
            <w:r w:rsidRPr="0013396E">
              <w:rPr>
                <w:i/>
                <w:vertAlign w:val="subscript"/>
              </w:rPr>
              <w:t xml:space="preserve">b </w:t>
            </w:r>
            <w:r w:rsidRPr="0013396E">
              <w:t xml:space="preserve">* </w:t>
            </w:r>
            <w:r w:rsidR="009C2EEB" w:rsidRPr="0013396E">
              <w:t>MEB</w:t>
            </w:r>
            <w:r w:rsidRPr="0013396E">
              <w:t xml:space="preserve">SOG </w:t>
            </w:r>
            <w:r w:rsidRPr="0013396E">
              <w:rPr>
                <w:i/>
                <w:vertAlign w:val="subscript"/>
              </w:rPr>
              <w:t>q, gsc, b</w:t>
            </w:r>
            <w:r w:rsidRPr="0013396E">
              <w:t xml:space="preserve">)] </w:t>
            </w:r>
          </w:p>
          <w:p w14:paraId="226270A0" w14:textId="77777777" w:rsidR="00EC6A86" w:rsidRPr="0013396E" w:rsidRDefault="00EC6A86" w:rsidP="00EC6A86">
            <w:pPr>
              <w:widowControl w:val="0"/>
              <w:spacing w:after="240"/>
              <w:ind w:left="720" w:hanging="720"/>
            </w:pPr>
            <w:r w:rsidRPr="0013396E">
              <w:t>(4)</w:t>
            </w:r>
            <w:r w:rsidRPr="0013396E">
              <w:tab/>
              <w:t>For an SODESS or SOTESS, the total payment or charge for each 15-minute Settlement Interval shall be calculated as follows:</w:t>
            </w:r>
          </w:p>
          <w:p w14:paraId="358764B8" w14:textId="4674E49E" w:rsidR="00EC6A86" w:rsidRPr="0013396E" w:rsidRDefault="00EC6A86" w:rsidP="00EC6A86">
            <w:pPr>
              <w:tabs>
                <w:tab w:val="left" w:pos="2250"/>
                <w:tab w:val="left" w:pos="3150"/>
                <w:tab w:val="left" w:pos="4027"/>
              </w:tabs>
              <w:spacing w:after="240"/>
              <w:ind w:left="3960" w:hanging="3240"/>
              <w:rPr>
                <w:b/>
                <w:bCs/>
                <w:szCs w:val="24"/>
              </w:rPr>
            </w:pPr>
            <w:r w:rsidRPr="0013396E">
              <w:rPr>
                <w:b/>
                <w:bCs/>
              </w:rPr>
              <w:t xml:space="preserve">RTWSLSOAMT </w:t>
            </w:r>
            <w:r w:rsidRPr="0013396E">
              <w:rPr>
                <w:b/>
                <w:bCs/>
                <w:i/>
                <w:vertAlign w:val="subscript"/>
              </w:rPr>
              <w:t>q, gsc</w:t>
            </w:r>
            <w:r w:rsidRPr="0013396E">
              <w:rPr>
                <w:b/>
                <w:bCs/>
              </w:rPr>
              <w:tab/>
              <w:t>=           (-1) * [</w:t>
            </w:r>
            <w:r w:rsidRPr="0013396E">
              <w:rPr>
                <w:b/>
                <w:noProof/>
                <w:position w:val="-20"/>
              </w:rPr>
              <w:drawing>
                <wp:inline distT="0" distB="0" distL="0" distR="0" wp14:anchorId="68A2DEBD" wp14:editId="425C4D9E">
                  <wp:extent cx="182880" cy="27051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82880" cy="270510"/>
                          </a:xfrm>
                          <a:prstGeom prst="rect">
                            <a:avLst/>
                          </a:prstGeom>
                          <a:noFill/>
                          <a:ln>
                            <a:noFill/>
                          </a:ln>
                        </pic:spPr>
                      </pic:pic>
                    </a:graphicData>
                  </a:graphic>
                </wp:inline>
              </w:drawing>
            </w:r>
            <w:r w:rsidRPr="0013396E">
              <w:rPr>
                <w:b/>
                <w:bCs/>
              </w:rPr>
              <w:t xml:space="preserve">(RTESOPR </w:t>
            </w:r>
            <w:r w:rsidRPr="0013396E">
              <w:rPr>
                <w:b/>
                <w:bCs/>
                <w:i/>
                <w:vertAlign w:val="subscript"/>
              </w:rPr>
              <w:t>b</w:t>
            </w:r>
            <w:r w:rsidRPr="0013396E">
              <w:rPr>
                <w:b/>
                <w:bCs/>
              </w:rPr>
              <w:t xml:space="preserve"> * WSOL </w:t>
            </w:r>
            <w:r w:rsidRPr="0013396E">
              <w:rPr>
                <w:b/>
                <w:bCs/>
                <w:i/>
                <w:vertAlign w:val="subscript"/>
              </w:rPr>
              <w:t>q, gsc, b</w:t>
            </w:r>
            <w:r w:rsidRPr="0013396E">
              <w:rPr>
                <w:b/>
                <w:bCs/>
              </w:rPr>
              <w:t>)]</w:t>
            </w:r>
          </w:p>
          <w:p w14:paraId="262FC255" w14:textId="0D735B64" w:rsidR="00EC6A86" w:rsidRPr="0013396E" w:rsidRDefault="00EC6A86" w:rsidP="00EC6A86">
            <w:pPr>
              <w:tabs>
                <w:tab w:val="left" w:pos="2250"/>
                <w:tab w:val="left" w:pos="3150"/>
                <w:tab w:val="left" w:pos="3960"/>
              </w:tabs>
              <w:spacing w:after="240"/>
              <w:ind w:left="3960" w:hanging="3240"/>
              <w:rPr>
                <w:b/>
                <w:bCs/>
              </w:rPr>
            </w:pPr>
            <w:r w:rsidRPr="0013396E">
              <w:rPr>
                <w:b/>
                <w:bCs/>
              </w:rPr>
              <w:t xml:space="preserve">RTNWSLSOAMT </w:t>
            </w:r>
            <w:r w:rsidRPr="0013396E">
              <w:rPr>
                <w:b/>
                <w:bCs/>
                <w:i/>
                <w:vertAlign w:val="subscript"/>
              </w:rPr>
              <w:t>q, gsc</w:t>
            </w:r>
            <w:r w:rsidRPr="0013396E">
              <w:rPr>
                <w:b/>
                <w:bCs/>
                <w:vertAlign w:val="subscript"/>
              </w:rPr>
              <w:t xml:space="preserve">  </w:t>
            </w:r>
            <w:r w:rsidRPr="0013396E">
              <w:rPr>
                <w:b/>
                <w:bCs/>
              </w:rPr>
              <w:t>=          (-1) * [</w:t>
            </w:r>
            <w:r w:rsidRPr="0013396E">
              <w:rPr>
                <w:b/>
                <w:noProof/>
                <w:position w:val="-20"/>
              </w:rPr>
              <w:drawing>
                <wp:inline distT="0" distB="0" distL="0" distR="0" wp14:anchorId="4B47F3D8" wp14:editId="55BE8CBC">
                  <wp:extent cx="182880" cy="27051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82880" cy="270510"/>
                          </a:xfrm>
                          <a:prstGeom prst="rect">
                            <a:avLst/>
                          </a:prstGeom>
                          <a:noFill/>
                          <a:ln>
                            <a:noFill/>
                          </a:ln>
                        </pic:spPr>
                      </pic:pic>
                    </a:graphicData>
                  </a:graphic>
                </wp:inline>
              </w:drawing>
            </w:r>
            <w:r w:rsidRPr="0013396E">
              <w:rPr>
                <w:b/>
                <w:bCs/>
              </w:rPr>
              <w:t xml:space="preserve">(RTESOPR </w:t>
            </w:r>
            <w:r w:rsidRPr="0013396E">
              <w:rPr>
                <w:b/>
                <w:bCs/>
                <w:i/>
                <w:vertAlign w:val="subscript"/>
              </w:rPr>
              <w:t>b</w:t>
            </w:r>
            <w:r w:rsidRPr="0013396E">
              <w:rPr>
                <w:b/>
                <w:bCs/>
              </w:rPr>
              <w:t xml:space="preserve"> * NWSOL </w:t>
            </w:r>
            <w:r w:rsidRPr="0013396E">
              <w:rPr>
                <w:b/>
                <w:bCs/>
                <w:i/>
                <w:vertAlign w:val="subscript"/>
              </w:rPr>
              <w:t>q, gsc, b</w:t>
            </w:r>
            <w:r w:rsidRPr="0013396E">
              <w:rPr>
                <w:b/>
                <w:bCs/>
              </w:rPr>
              <w:t>)]</w:t>
            </w:r>
          </w:p>
          <w:p w14:paraId="7201599D" w14:textId="7D5DFBAA" w:rsidR="009058F4" w:rsidRPr="0013396E" w:rsidRDefault="00EC6A86" w:rsidP="00EC6A86">
            <w:pPr>
              <w:widowControl w:val="0"/>
              <w:spacing w:after="240"/>
              <w:ind w:left="720" w:hanging="720"/>
              <w:rPr>
                <w:iCs/>
              </w:rPr>
            </w:pPr>
            <w:r w:rsidRPr="0013396E">
              <w:rPr>
                <w:rStyle w:val="BodyTextChar"/>
                <w:bCs/>
                <w:iCs/>
              </w:rPr>
              <w:t>(5)</w:t>
            </w:r>
            <w:r w:rsidRPr="0013396E">
              <w:t xml:space="preserve"> </w:t>
            </w:r>
            <w:r w:rsidRPr="0013396E">
              <w:tab/>
              <w:t>T</w:t>
            </w:r>
            <w:r w:rsidR="009058F4" w:rsidRPr="0013396E">
              <w:t>he</w:t>
            </w:r>
            <w:r w:rsidR="009058F4" w:rsidRPr="0013396E">
              <w:rPr>
                <w:rStyle w:val="BodyTextChar"/>
              </w:rPr>
              <w:t xml:space="preserve"> price for the SOTG</w:t>
            </w:r>
            <w:r w:rsidRPr="0013396E">
              <w:rPr>
                <w:rStyle w:val="BodyTextChar"/>
              </w:rPr>
              <w:t>,</w:t>
            </w:r>
            <w:r w:rsidR="009058F4" w:rsidRPr="0013396E">
              <w:rPr>
                <w:rStyle w:val="BodyTextChar"/>
              </w:rPr>
              <w:t xml:space="preserve"> SODG</w:t>
            </w:r>
            <w:r w:rsidRPr="0013396E">
              <w:rPr>
                <w:bCs/>
              </w:rPr>
              <w:t>, SODESS, or SOTESS</w:t>
            </w:r>
            <w:r w:rsidR="009058F4" w:rsidRPr="0013396E">
              <w:rPr>
                <w:rStyle w:val="BodyTextChar"/>
              </w:rPr>
              <w:t xml:space="preserve"> is determined as follows:</w:t>
            </w:r>
          </w:p>
          <w:p w14:paraId="38D7D293" w14:textId="198CB207" w:rsidR="009058F4" w:rsidRPr="0013396E" w:rsidRDefault="009058F4" w:rsidP="009058F4">
            <w:pPr>
              <w:pStyle w:val="FormulaBold"/>
            </w:pPr>
            <w:r w:rsidRPr="0013396E">
              <w:t>RTESOPR</w:t>
            </w:r>
            <w:r w:rsidRPr="0013396E">
              <w:rPr>
                <w:i/>
                <w:iCs/>
                <w:vertAlign w:val="subscript"/>
              </w:rPr>
              <w:t xml:space="preserve"> b</w:t>
            </w:r>
            <w:r w:rsidRPr="0013396E">
              <w:t xml:space="preserve"> </w:t>
            </w:r>
            <w:r w:rsidRPr="0013396E">
              <w:tab/>
              <w:t>=</w:t>
            </w:r>
            <w:r w:rsidRPr="0013396E">
              <w:tab/>
              <w:t xml:space="preserve">Max [-$251, </w:t>
            </w:r>
            <w:r w:rsidRPr="0013396E">
              <w:rPr>
                <w:position w:val="-22"/>
              </w:rPr>
              <w:object w:dxaOrig="225" w:dyaOrig="465" w14:anchorId="26CF221F">
                <v:shape id="_x0000_i1142" type="#_x0000_t75" style="width:12pt;height:29.4pt" o:ole="">
                  <v:imagedata r:id="rId162" o:title=""/>
                </v:shape>
                <o:OLEObject Type="Embed" ProgID="Equation.3" ShapeID="_x0000_i1142" DrawAspect="Content" ObjectID="_1849065773" r:id="rId171"/>
              </w:object>
            </w:r>
            <w:r w:rsidRPr="0013396E">
              <w:t>((SDWF</w:t>
            </w:r>
            <w:r w:rsidRPr="0013396E">
              <w:rPr>
                <w:i/>
                <w:iCs/>
                <w:vertAlign w:val="subscript"/>
              </w:rPr>
              <w:t xml:space="preserve"> y </w:t>
            </w:r>
            <w:r w:rsidRPr="0013396E">
              <w:t xml:space="preserve">* RTLMP </w:t>
            </w:r>
            <w:r w:rsidRPr="0013396E">
              <w:rPr>
                <w:i/>
                <w:iCs/>
                <w:vertAlign w:val="subscript"/>
              </w:rPr>
              <w:t>b, y</w:t>
            </w:r>
            <w:r w:rsidRPr="0013396E">
              <w:t>) + RTRDP)]</w:t>
            </w:r>
          </w:p>
          <w:p w14:paraId="4AB612AA" w14:textId="77777777" w:rsidR="009058F4" w:rsidRPr="0013396E" w:rsidRDefault="009058F4" w:rsidP="009058F4">
            <w:pPr>
              <w:pStyle w:val="Char3"/>
              <w:widowControl w:val="0"/>
              <w:spacing w:after="240"/>
              <w:ind w:firstLine="720"/>
              <w:rPr>
                <w:szCs w:val="24"/>
              </w:rPr>
            </w:pPr>
            <w:r w:rsidRPr="0013396E">
              <w:rPr>
                <w:rFonts w:ascii="Times New Roman" w:hAnsi="Times New Roman"/>
                <w:sz w:val="24"/>
                <w:szCs w:val="24"/>
              </w:rPr>
              <w:t>Where:</w:t>
            </w:r>
          </w:p>
          <w:p w14:paraId="2BD39A6B" w14:textId="38D53761" w:rsidR="009058F4" w:rsidRPr="0013396E" w:rsidRDefault="009058F4" w:rsidP="00EC6A86">
            <w:pPr>
              <w:spacing w:after="240"/>
              <w:ind w:left="720"/>
            </w:pPr>
            <w:r w:rsidRPr="0013396E">
              <w:tab/>
              <w:t>RTRDP</w:t>
            </w:r>
            <w:r w:rsidRPr="0013396E">
              <w:tab/>
              <w:t>=</w:t>
            </w:r>
            <w:r w:rsidRPr="0013396E">
              <w:tab/>
            </w:r>
            <w:r w:rsidRPr="0013396E">
              <w:rPr>
                <w:position w:val="-22"/>
              </w:rPr>
              <w:object w:dxaOrig="225" w:dyaOrig="465" w14:anchorId="48F3AF4B">
                <v:shape id="_x0000_i1143" type="#_x0000_t75" style="width:12pt;height:29.4pt" o:ole="">
                  <v:imagedata r:id="rId162" o:title=""/>
                </v:shape>
                <o:OLEObject Type="Embed" ProgID="Equation.3" ShapeID="_x0000_i1143" DrawAspect="Content" ObjectID="_1849065774" r:id="rId172"/>
              </w:object>
            </w:r>
            <w:r w:rsidRPr="0013396E">
              <w:t>(SDWF</w:t>
            </w:r>
            <w:r w:rsidRPr="0013396E">
              <w:rPr>
                <w:i/>
                <w:iCs/>
                <w:vertAlign w:val="subscript"/>
              </w:rPr>
              <w:t xml:space="preserve"> y </w:t>
            </w:r>
            <w:r w:rsidRPr="0013396E">
              <w:t>* RTRDPA</w:t>
            </w:r>
            <w:r w:rsidRPr="0013396E">
              <w:rPr>
                <w:i/>
                <w:iCs/>
                <w:vertAlign w:val="subscript"/>
              </w:rPr>
              <w:t xml:space="preserve"> y</w:t>
            </w:r>
            <w:r w:rsidRPr="0013396E">
              <w:t>)</w:t>
            </w:r>
          </w:p>
          <w:p w14:paraId="6FD7C14D" w14:textId="77777777" w:rsidR="009058F4" w:rsidRPr="0013396E" w:rsidRDefault="009058F4" w:rsidP="009058F4">
            <w:pPr>
              <w:pStyle w:val="formula0"/>
              <w:widowControl w:val="0"/>
              <w:spacing w:after="240"/>
              <w:ind w:firstLine="0"/>
              <w:rPr>
                <w:lang w:val="es-ES"/>
              </w:rPr>
            </w:pPr>
            <w:r w:rsidRPr="0013396E">
              <w:tab/>
              <w:t xml:space="preserve">SDWF </w:t>
            </w:r>
            <w:r w:rsidRPr="0013396E">
              <w:rPr>
                <w:i/>
                <w:vertAlign w:val="subscript"/>
              </w:rPr>
              <w:t>y</w:t>
            </w:r>
            <w:r w:rsidRPr="0013396E">
              <w:rPr>
                <w:i/>
                <w:vertAlign w:val="subscript"/>
              </w:rPr>
              <w:tab/>
            </w:r>
            <w:r w:rsidRPr="0013396E">
              <w:t>=</w:t>
            </w:r>
            <w:r w:rsidRPr="0013396E">
              <w:tab/>
              <w:t xml:space="preserve">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rPr>
              <w:object w:dxaOrig="225" w:dyaOrig="465" w14:anchorId="4798B22D">
                <v:shape id="_x0000_i1144" type="#_x0000_t75" style="width:12pt;height:29.4pt" o:ole="">
                  <v:imagedata r:id="rId162" o:title=""/>
                </v:shape>
                <o:OLEObject Type="Embed" ProgID="Equation.3" ShapeID="_x0000_i1144" DrawAspect="Content" ObjectID="_1849065775" r:id="rId173"/>
              </w:object>
            </w:r>
            <w:r w:rsidRPr="0013396E">
              <w:t xml:space="preserve">TLMP </w:t>
            </w:r>
            <w:r w:rsidRPr="0013396E">
              <w:rPr>
                <w:i/>
                <w:vertAlign w:val="subscript"/>
              </w:rPr>
              <w:t>y</w:t>
            </w:r>
          </w:p>
          <w:p w14:paraId="431F9D49" w14:textId="77777777" w:rsidR="009058F4" w:rsidRPr="0013396E" w:rsidRDefault="009058F4" w:rsidP="009058F4">
            <w:pPr>
              <w:widowControl w:val="0"/>
            </w:pPr>
            <w:r w:rsidRPr="0013396E">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38"/>
              <w:gridCol w:w="1260"/>
              <w:gridCol w:w="5936"/>
            </w:tblGrid>
            <w:tr w:rsidR="00760B74" w:rsidRPr="0013396E" w14:paraId="75EC28EE" w14:textId="77777777" w:rsidTr="008B123E">
              <w:trPr>
                <w:cantSplit/>
                <w:tblHeader/>
              </w:trPr>
              <w:tc>
                <w:tcPr>
                  <w:tcW w:w="1145" w:type="pct"/>
                </w:tcPr>
                <w:p w14:paraId="2EE1CC2B" w14:textId="77777777" w:rsidR="00760B74" w:rsidRPr="0013396E" w:rsidRDefault="00760B74" w:rsidP="00760B74">
                  <w:pPr>
                    <w:pStyle w:val="TableHead"/>
                    <w:widowControl w:val="0"/>
                  </w:pPr>
                  <w:r w:rsidRPr="0013396E">
                    <w:t>Variable</w:t>
                  </w:r>
                </w:p>
              </w:tc>
              <w:tc>
                <w:tcPr>
                  <w:tcW w:w="675" w:type="pct"/>
                </w:tcPr>
                <w:p w14:paraId="27624E83" w14:textId="77777777" w:rsidR="00760B74" w:rsidRPr="0013396E" w:rsidRDefault="00760B74" w:rsidP="00760B74">
                  <w:pPr>
                    <w:pStyle w:val="TableHead"/>
                    <w:widowControl w:val="0"/>
                  </w:pPr>
                  <w:r w:rsidRPr="0013396E">
                    <w:t>Unit</w:t>
                  </w:r>
                </w:p>
              </w:tc>
              <w:tc>
                <w:tcPr>
                  <w:tcW w:w="3180" w:type="pct"/>
                </w:tcPr>
                <w:p w14:paraId="016AB69C" w14:textId="77777777" w:rsidR="00760B74" w:rsidRPr="0013396E" w:rsidRDefault="00760B74" w:rsidP="00760B74">
                  <w:pPr>
                    <w:pStyle w:val="TableHead"/>
                    <w:widowControl w:val="0"/>
                  </w:pPr>
                  <w:r w:rsidRPr="0013396E">
                    <w:t>Description</w:t>
                  </w:r>
                </w:p>
              </w:tc>
            </w:tr>
            <w:tr w:rsidR="00760B74" w:rsidRPr="0013396E" w14:paraId="6B740C55" w14:textId="77777777" w:rsidTr="008B123E">
              <w:trPr>
                <w:cantSplit/>
              </w:trPr>
              <w:tc>
                <w:tcPr>
                  <w:tcW w:w="1145" w:type="pct"/>
                </w:tcPr>
                <w:p w14:paraId="7FEB1D62" w14:textId="3AD4E0CB" w:rsidR="00760B74" w:rsidRPr="0013396E" w:rsidRDefault="00760B74" w:rsidP="00760B74">
                  <w:pPr>
                    <w:pStyle w:val="tablebody0"/>
                    <w:widowControl w:val="0"/>
                  </w:pPr>
                  <w:r w:rsidRPr="0013396E">
                    <w:t>RT</w:t>
                  </w:r>
                  <w:r w:rsidR="00EC6A86" w:rsidRPr="0013396E">
                    <w:t>G</w:t>
                  </w:r>
                  <w:r w:rsidRPr="0013396E">
                    <w:t>SOAMT</w:t>
                  </w:r>
                  <w:r w:rsidRPr="0013396E">
                    <w:rPr>
                      <w:vertAlign w:val="subscript"/>
                    </w:rPr>
                    <w:t xml:space="preserve"> </w:t>
                  </w:r>
                  <w:r w:rsidRPr="0013396E">
                    <w:rPr>
                      <w:i/>
                      <w:vertAlign w:val="subscript"/>
                    </w:rPr>
                    <w:t>q,</w:t>
                  </w:r>
                  <w:r w:rsidRPr="0013396E">
                    <w:rPr>
                      <w:vertAlign w:val="subscript"/>
                    </w:rPr>
                    <w:t xml:space="preserve"> </w:t>
                  </w:r>
                  <w:r w:rsidRPr="0013396E">
                    <w:rPr>
                      <w:i/>
                      <w:vertAlign w:val="subscript"/>
                    </w:rPr>
                    <w:t>gsc</w:t>
                  </w:r>
                </w:p>
              </w:tc>
              <w:tc>
                <w:tcPr>
                  <w:tcW w:w="675" w:type="pct"/>
                </w:tcPr>
                <w:p w14:paraId="79D325C5" w14:textId="77777777" w:rsidR="00760B74" w:rsidRPr="0013396E" w:rsidRDefault="00760B74" w:rsidP="00760B74">
                  <w:pPr>
                    <w:pStyle w:val="tablebody0"/>
                    <w:widowControl w:val="0"/>
                  </w:pPr>
                  <w:r w:rsidRPr="0013396E">
                    <w:t>$</w:t>
                  </w:r>
                </w:p>
              </w:tc>
              <w:tc>
                <w:tcPr>
                  <w:tcW w:w="3180" w:type="pct"/>
                </w:tcPr>
                <w:p w14:paraId="345CE96F" w14:textId="5632A86D" w:rsidR="00760B74" w:rsidRPr="0013396E" w:rsidRDefault="00760B74" w:rsidP="00760B74">
                  <w:pPr>
                    <w:pStyle w:val="tablebody0"/>
                    <w:widowControl w:val="0"/>
                    <w:rPr>
                      <w:i/>
                    </w:rPr>
                  </w:pPr>
                  <w:r w:rsidRPr="0013396E">
                    <w:rPr>
                      <w:i/>
                    </w:rPr>
                    <w:t xml:space="preserve">Real-Time </w:t>
                  </w:r>
                  <w:r w:rsidR="00EC6A86" w:rsidRPr="0013396E">
                    <w:rPr>
                      <w:i/>
                    </w:rPr>
                    <w:t>Generation</w:t>
                  </w:r>
                  <w:r w:rsidRPr="0013396E">
                    <w:rPr>
                      <w:i/>
                    </w:rPr>
                    <w:t xml:space="preserve"> for SODG</w:t>
                  </w:r>
                  <w:r w:rsidR="00EC6A86" w:rsidRPr="0013396E">
                    <w:rPr>
                      <w:i/>
                    </w:rPr>
                    <w:t>,</w:t>
                  </w:r>
                  <w:r w:rsidRPr="0013396E">
                    <w:rPr>
                      <w:i/>
                    </w:rPr>
                    <w:t xml:space="preserve"> SOTG</w:t>
                  </w:r>
                  <w:r w:rsidR="00EC6A86" w:rsidRPr="0013396E">
                    <w:rPr>
                      <w:i/>
                    </w:rPr>
                    <w:t>, SODESS, or SOTESS</w:t>
                  </w:r>
                  <w:r w:rsidRPr="0013396E">
                    <w:rPr>
                      <w:i/>
                    </w:rPr>
                    <w:t xml:space="preserve"> Site Amount</w:t>
                  </w:r>
                  <w:r w:rsidRPr="0013396E" w:rsidDel="006C2DC2">
                    <w:rPr>
                      <w:i/>
                    </w:rPr>
                    <w:t xml:space="preserve"> </w:t>
                  </w:r>
                  <w:r w:rsidRPr="0013396E">
                    <w:t xml:space="preserve">—The total payment or charge </w:t>
                  </w:r>
                  <w:r w:rsidR="00EC6A86" w:rsidRPr="0013396E">
                    <w:t xml:space="preserve">for generation </w:t>
                  </w:r>
                  <w:r w:rsidRPr="0013396E">
                    <w:t xml:space="preserve">to QSE </w:t>
                  </w:r>
                  <w:r w:rsidRPr="0013396E">
                    <w:rPr>
                      <w:i/>
                    </w:rPr>
                    <w:t>q</w:t>
                  </w:r>
                  <w:r w:rsidRPr="0013396E">
                    <w:t xml:space="preserve"> for SODG</w:t>
                  </w:r>
                  <w:r w:rsidR="00EC6A86" w:rsidRPr="0013396E">
                    <w:t>,</w:t>
                  </w:r>
                  <w:r w:rsidRPr="0013396E">
                    <w:t xml:space="preserve"> SOTG</w:t>
                  </w:r>
                  <w:r w:rsidR="00EC6A86" w:rsidRPr="0013396E">
                    <w:t>, SODESS, or SOTESS</w:t>
                  </w:r>
                  <w:r w:rsidRPr="0013396E">
                    <w:t xml:space="preserve"> site</w:t>
                  </w:r>
                  <w:r w:rsidRPr="0013396E">
                    <w:rPr>
                      <w:i/>
                    </w:rPr>
                    <w:t xml:space="preserve"> gsc</w:t>
                  </w:r>
                  <w:r w:rsidRPr="0013396E">
                    <w:t xml:space="preserve"> for the 15-minute Settlement Interval.</w:t>
                  </w:r>
                </w:p>
              </w:tc>
            </w:tr>
            <w:tr w:rsidR="009032F5" w:rsidRPr="0013396E" w14:paraId="7EB16B7B" w14:textId="77777777" w:rsidTr="008B123E">
              <w:trPr>
                <w:cantSplit/>
              </w:trPr>
              <w:tc>
                <w:tcPr>
                  <w:tcW w:w="1145" w:type="pct"/>
                </w:tcPr>
                <w:p w14:paraId="14665E48" w14:textId="08C2692C" w:rsidR="009032F5" w:rsidRPr="0013396E" w:rsidRDefault="009032F5" w:rsidP="009032F5">
                  <w:pPr>
                    <w:pStyle w:val="tablebody0"/>
                    <w:widowControl w:val="0"/>
                  </w:pPr>
                  <w:r w:rsidRPr="0013396E">
                    <w:lastRenderedPageBreak/>
                    <w:t>RTWSLSOAMT</w:t>
                  </w:r>
                  <w:r w:rsidRPr="0013396E">
                    <w:rPr>
                      <w:vertAlign w:val="subscript"/>
                    </w:rPr>
                    <w:t xml:space="preserve"> </w:t>
                  </w:r>
                  <w:r w:rsidRPr="0013396E">
                    <w:rPr>
                      <w:i/>
                      <w:vertAlign w:val="subscript"/>
                    </w:rPr>
                    <w:t>q,</w:t>
                  </w:r>
                  <w:r w:rsidRPr="0013396E">
                    <w:rPr>
                      <w:vertAlign w:val="subscript"/>
                    </w:rPr>
                    <w:t xml:space="preserve"> </w:t>
                  </w:r>
                  <w:r w:rsidRPr="0013396E">
                    <w:rPr>
                      <w:i/>
                      <w:vertAlign w:val="subscript"/>
                    </w:rPr>
                    <w:t>gsc</w:t>
                  </w:r>
                </w:p>
              </w:tc>
              <w:tc>
                <w:tcPr>
                  <w:tcW w:w="675" w:type="pct"/>
                </w:tcPr>
                <w:p w14:paraId="363BB52B" w14:textId="25496E5D" w:rsidR="009032F5" w:rsidRPr="0013396E" w:rsidRDefault="009032F5" w:rsidP="009032F5">
                  <w:pPr>
                    <w:pStyle w:val="tablebody0"/>
                    <w:widowControl w:val="0"/>
                  </w:pPr>
                  <w:r w:rsidRPr="0013396E">
                    <w:t>$</w:t>
                  </w:r>
                </w:p>
              </w:tc>
              <w:tc>
                <w:tcPr>
                  <w:tcW w:w="3180" w:type="pct"/>
                </w:tcPr>
                <w:p w14:paraId="2BA1F143" w14:textId="0D1BB42A" w:rsidR="009032F5" w:rsidRPr="0013396E" w:rsidRDefault="009032F5" w:rsidP="009032F5">
                  <w:pPr>
                    <w:pStyle w:val="tablebody0"/>
                    <w:widowControl w:val="0"/>
                    <w:rPr>
                      <w:i/>
                    </w:rPr>
                  </w:pPr>
                  <w:r w:rsidRPr="0013396E">
                    <w:rPr>
                      <w:i/>
                    </w:rPr>
                    <w:t xml:space="preserve">Real-Time WSL for SODESS or SOTESS Site Amount </w:t>
                  </w:r>
                  <w:r w:rsidRPr="0013396E">
                    <w:t xml:space="preserve">—The total payment or charge for WSL to QSE </w:t>
                  </w:r>
                  <w:r w:rsidRPr="0013396E">
                    <w:rPr>
                      <w:i/>
                    </w:rPr>
                    <w:t>q</w:t>
                  </w:r>
                  <w:r w:rsidRPr="0013396E">
                    <w:t xml:space="preserve"> for the SODESS or SOTESS site</w:t>
                  </w:r>
                  <w:r w:rsidRPr="0013396E">
                    <w:rPr>
                      <w:i/>
                    </w:rPr>
                    <w:t xml:space="preserve"> gsc</w:t>
                  </w:r>
                  <w:r w:rsidRPr="0013396E">
                    <w:t xml:space="preserve"> for the 15-minute Settlement Interval. </w:t>
                  </w:r>
                </w:p>
              </w:tc>
            </w:tr>
            <w:tr w:rsidR="009032F5" w:rsidRPr="0013396E" w14:paraId="2F0F78D0" w14:textId="77777777" w:rsidTr="008B123E">
              <w:trPr>
                <w:cantSplit/>
              </w:trPr>
              <w:tc>
                <w:tcPr>
                  <w:tcW w:w="1145" w:type="pct"/>
                </w:tcPr>
                <w:p w14:paraId="55FCA1CD" w14:textId="7ADB6295" w:rsidR="009032F5" w:rsidRPr="0013396E" w:rsidRDefault="009032F5" w:rsidP="009032F5">
                  <w:pPr>
                    <w:pStyle w:val="tablebody0"/>
                    <w:widowControl w:val="0"/>
                  </w:pPr>
                  <w:r w:rsidRPr="0013396E">
                    <w:t>RTNWSLSOAMT</w:t>
                  </w:r>
                  <w:r w:rsidRPr="0013396E">
                    <w:rPr>
                      <w:vertAlign w:val="subscript"/>
                    </w:rPr>
                    <w:t xml:space="preserve"> </w:t>
                  </w:r>
                  <w:r w:rsidRPr="0013396E">
                    <w:rPr>
                      <w:i/>
                      <w:vertAlign w:val="subscript"/>
                    </w:rPr>
                    <w:t>q,</w:t>
                  </w:r>
                  <w:r w:rsidRPr="0013396E">
                    <w:rPr>
                      <w:vertAlign w:val="subscript"/>
                    </w:rPr>
                    <w:t xml:space="preserve"> </w:t>
                  </w:r>
                  <w:r w:rsidRPr="0013396E">
                    <w:rPr>
                      <w:i/>
                      <w:vertAlign w:val="subscript"/>
                    </w:rPr>
                    <w:t>gsc</w:t>
                  </w:r>
                </w:p>
              </w:tc>
              <w:tc>
                <w:tcPr>
                  <w:tcW w:w="675" w:type="pct"/>
                </w:tcPr>
                <w:p w14:paraId="57D80B1D" w14:textId="4D61D83A" w:rsidR="009032F5" w:rsidRPr="0013396E" w:rsidRDefault="009032F5" w:rsidP="009032F5">
                  <w:pPr>
                    <w:pStyle w:val="tablebody0"/>
                    <w:widowControl w:val="0"/>
                  </w:pPr>
                  <w:r w:rsidRPr="0013396E">
                    <w:t>$</w:t>
                  </w:r>
                </w:p>
              </w:tc>
              <w:tc>
                <w:tcPr>
                  <w:tcW w:w="3180" w:type="pct"/>
                </w:tcPr>
                <w:p w14:paraId="162F48FB" w14:textId="3DB10AB4" w:rsidR="009032F5" w:rsidRPr="0013396E" w:rsidRDefault="009032F5" w:rsidP="009032F5">
                  <w:pPr>
                    <w:pStyle w:val="tablebody0"/>
                    <w:widowControl w:val="0"/>
                    <w:rPr>
                      <w:i/>
                    </w:rPr>
                  </w:pPr>
                  <w:r w:rsidRPr="0013396E">
                    <w:rPr>
                      <w:i/>
                    </w:rPr>
                    <w:t xml:space="preserve">Real-Time Non-WSL for SODESS or SOTESS Site Amount </w:t>
                  </w:r>
                  <w:r w:rsidRPr="0013396E">
                    <w:t xml:space="preserve">—The total payment or charge for Non-WSL Settlement Only Charging Load to QSE </w:t>
                  </w:r>
                  <w:r w:rsidRPr="0013396E">
                    <w:rPr>
                      <w:i/>
                    </w:rPr>
                    <w:t>q</w:t>
                  </w:r>
                  <w:r w:rsidRPr="0013396E">
                    <w:t xml:space="preserve"> for the SODESS or SOTESS site</w:t>
                  </w:r>
                  <w:r w:rsidRPr="0013396E">
                    <w:rPr>
                      <w:i/>
                    </w:rPr>
                    <w:t xml:space="preserve"> gsc</w:t>
                  </w:r>
                  <w:r w:rsidRPr="0013396E">
                    <w:t xml:space="preserve"> for the 15-minute Settlement Interval. </w:t>
                  </w:r>
                </w:p>
              </w:tc>
            </w:tr>
            <w:tr w:rsidR="00760B74" w:rsidRPr="0013396E" w14:paraId="0B116769" w14:textId="77777777" w:rsidTr="008B123E">
              <w:trPr>
                <w:cantSplit/>
              </w:trPr>
              <w:tc>
                <w:tcPr>
                  <w:tcW w:w="1145" w:type="pct"/>
                </w:tcPr>
                <w:p w14:paraId="5E09FDE1" w14:textId="70743AF5" w:rsidR="00760B74" w:rsidRPr="0013396E" w:rsidRDefault="00760B74" w:rsidP="00760B74">
                  <w:pPr>
                    <w:pStyle w:val="tablebody0"/>
                    <w:widowControl w:val="0"/>
                  </w:pPr>
                  <w:r w:rsidRPr="0013396E">
                    <w:t xml:space="preserve">RTESOPR </w:t>
                  </w:r>
                  <w:r w:rsidRPr="0013396E">
                    <w:rPr>
                      <w:i/>
                      <w:vertAlign w:val="subscript"/>
                    </w:rPr>
                    <w:t>b</w:t>
                  </w:r>
                </w:p>
              </w:tc>
              <w:tc>
                <w:tcPr>
                  <w:tcW w:w="675" w:type="pct"/>
                </w:tcPr>
                <w:p w14:paraId="405D9B3F" w14:textId="77777777" w:rsidR="00760B74" w:rsidRPr="0013396E" w:rsidRDefault="00760B74" w:rsidP="00760B74">
                  <w:pPr>
                    <w:pStyle w:val="tablebody0"/>
                    <w:widowControl w:val="0"/>
                    <w:rPr>
                      <w:i/>
                    </w:rPr>
                  </w:pPr>
                  <w:r w:rsidRPr="0013396E">
                    <w:t>$/MWh</w:t>
                  </w:r>
                </w:p>
              </w:tc>
              <w:tc>
                <w:tcPr>
                  <w:tcW w:w="3180" w:type="pct"/>
                </w:tcPr>
                <w:p w14:paraId="6219990D" w14:textId="397F34C0" w:rsidR="00760B74" w:rsidRPr="0013396E" w:rsidRDefault="00760B74" w:rsidP="00760B74">
                  <w:pPr>
                    <w:pStyle w:val="tablebody0"/>
                    <w:widowControl w:val="0"/>
                  </w:pPr>
                  <w:r w:rsidRPr="0013396E">
                    <w:rPr>
                      <w:i/>
                    </w:rPr>
                    <w:t>Real-Time Price for the Energy Metered for each SODG</w:t>
                  </w:r>
                  <w:r w:rsidR="009032F5" w:rsidRPr="0013396E">
                    <w:rPr>
                      <w:i/>
                    </w:rPr>
                    <w:t>,</w:t>
                  </w:r>
                  <w:r w:rsidRPr="0013396E">
                    <w:rPr>
                      <w:i/>
                    </w:rPr>
                    <w:t xml:space="preserve"> SOTG</w:t>
                  </w:r>
                  <w:r w:rsidR="009032F5" w:rsidRPr="0013396E">
                    <w:rPr>
                      <w:i/>
                    </w:rPr>
                    <w:t>, SODESS, or SOTESS</w:t>
                  </w:r>
                  <w:r w:rsidRPr="0013396E">
                    <w:rPr>
                      <w:i/>
                    </w:rPr>
                    <w:t xml:space="preserve"> Site </w:t>
                  </w:r>
                  <w:r w:rsidRPr="0013396E">
                    <w:sym w:font="Symbol" w:char="F0BE"/>
                  </w:r>
                  <w:r w:rsidRPr="0013396E">
                    <w:t xml:space="preserve">The Real-Time price at Electrical Bus </w:t>
                  </w:r>
                  <w:r w:rsidRPr="0013396E">
                    <w:rPr>
                      <w:i/>
                    </w:rPr>
                    <w:t>b</w:t>
                  </w:r>
                  <w:r w:rsidRPr="0013396E">
                    <w:t xml:space="preserve"> for the Settlement Meter for the SODG</w:t>
                  </w:r>
                  <w:r w:rsidR="009032F5" w:rsidRPr="0013396E">
                    <w:t>,</w:t>
                  </w:r>
                  <w:r w:rsidRPr="0013396E">
                    <w:t xml:space="preserve"> SOTG</w:t>
                  </w:r>
                  <w:r w:rsidR="009032F5" w:rsidRPr="0013396E">
                    <w:t>, SODESS</w:t>
                  </w:r>
                  <w:r w:rsidR="009032F5" w:rsidRPr="0013396E">
                    <w:rPr>
                      <w:i/>
                    </w:rPr>
                    <w:t xml:space="preserve">, </w:t>
                  </w:r>
                  <w:r w:rsidR="009032F5" w:rsidRPr="0013396E">
                    <w:t>or SOTESS</w:t>
                  </w:r>
                  <w:r w:rsidRPr="0013396E">
                    <w:t xml:space="preserve"> site for the 15-minute Settlement Interval.</w:t>
                  </w:r>
                </w:p>
              </w:tc>
            </w:tr>
            <w:tr w:rsidR="009C2EEB" w:rsidRPr="0013396E" w14:paraId="09241B62" w14:textId="77777777" w:rsidTr="008B123E">
              <w:trPr>
                <w:cantSplit/>
              </w:trPr>
              <w:tc>
                <w:tcPr>
                  <w:tcW w:w="1145" w:type="pct"/>
                </w:tcPr>
                <w:p w14:paraId="753B75BC" w14:textId="068BDE92" w:rsidR="009C2EEB" w:rsidRPr="0013396E" w:rsidRDefault="009C2EEB" w:rsidP="009C2EEB">
                  <w:pPr>
                    <w:pStyle w:val="tablebody0"/>
                    <w:widowControl w:val="0"/>
                  </w:pPr>
                  <w:r w:rsidRPr="0013396E">
                    <w:t>MEBSOGNET</w:t>
                  </w:r>
                  <w:r w:rsidRPr="0013396E">
                    <w:rPr>
                      <w:i/>
                      <w:vertAlign w:val="subscript"/>
                    </w:rPr>
                    <w:t xml:space="preserve"> q, gsc</w:t>
                  </w:r>
                </w:p>
              </w:tc>
              <w:tc>
                <w:tcPr>
                  <w:tcW w:w="675" w:type="pct"/>
                </w:tcPr>
                <w:p w14:paraId="05209AFF" w14:textId="3EE6374B" w:rsidR="009C2EEB" w:rsidRPr="0013396E" w:rsidRDefault="009C2EEB" w:rsidP="009C2EEB">
                  <w:pPr>
                    <w:pStyle w:val="tablebody0"/>
                    <w:widowControl w:val="0"/>
                  </w:pPr>
                  <w:r w:rsidRPr="0013396E">
                    <w:t>MWh</w:t>
                  </w:r>
                </w:p>
              </w:tc>
              <w:tc>
                <w:tcPr>
                  <w:tcW w:w="3180" w:type="pct"/>
                </w:tcPr>
                <w:p w14:paraId="4EE6D91D" w14:textId="7D51955E" w:rsidR="009C2EEB" w:rsidRPr="0013396E" w:rsidRDefault="009C2EEB" w:rsidP="009C2EEB">
                  <w:pPr>
                    <w:pStyle w:val="tablebody0"/>
                    <w:widowControl w:val="0"/>
                    <w:rPr>
                      <w:i/>
                    </w:rPr>
                  </w:pPr>
                  <w:r w:rsidRPr="0013396E">
                    <w:rPr>
                      <w:i/>
                    </w:rPr>
                    <w:t>Net Metered energy at gsc for an SODG</w:t>
                  </w:r>
                  <w:r w:rsidR="009032F5" w:rsidRPr="0013396E">
                    <w:rPr>
                      <w:i/>
                    </w:rPr>
                    <w:t>,</w:t>
                  </w:r>
                  <w:r w:rsidRPr="0013396E">
                    <w:rPr>
                      <w:i/>
                    </w:rPr>
                    <w:t xml:space="preserve"> SOTG</w:t>
                  </w:r>
                  <w:r w:rsidR="009032F5" w:rsidRPr="0013396E">
                    <w:rPr>
                      <w:i/>
                    </w:rPr>
                    <w:t>, SODESS or SOTESS</w:t>
                  </w:r>
                  <w:r w:rsidRPr="0013396E">
                    <w:rPr>
                      <w:i/>
                    </w:rPr>
                    <w:t xml:space="preserve"> Site </w:t>
                  </w:r>
                  <w:r w:rsidRPr="0013396E">
                    <w:sym w:font="Symbol" w:char="F0BE"/>
                  </w:r>
                  <w:r w:rsidRPr="0013396E">
                    <w:t>The net sum for all Settlement Meters for SODG</w:t>
                  </w:r>
                  <w:r w:rsidR="009032F5" w:rsidRPr="0013396E">
                    <w:t>,</w:t>
                  </w:r>
                  <w:r w:rsidRPr="0013396E">
                    <w:t xml:space="preserve"> SOTG</w:t>
                  </w:r>
                  <w:r w:rsidR="009032F5" w:rsidRPr="0013396E">
                    <w:t>, SODESS, or SOTESS</w:t>
                  </w:r>
                  <w:r w:rsidRPr="0013396E">
                    <w:t xml:space="preserve"> site</w:t>
                  </w:r>
                  <w:r w:rsidRPr="0013396E">
                    <w:rPr>
                      <w:i/>
                    </w:rPr>
                    <w:t xml:space="preserve"> gsc</w:t>
                  </w:r>
                  <w:r w:rsidRPr="0013396E">
                    <w:t xml:space="preserve"> represented by QSE </w:t>
                  </w:r>
                  <w:r w:rsidRPr="0013396E">
                    <w:rPr>
                      <w:i/>
                    </w:rPr>
                    <w:t>q</w:t>
                  </w:r>
                  <w:r w:rsidRPr="0013396E">
                    <w:t>.  A positive value indicates an injection of power to the ERCOT System.</w:t>
                  </w:r>
                </w:p>
              </w:tc>
            </w:tr>
            <w:tr w:rsidR="00760B74" w:rsidRPr="0013396E" w14:paraId="26C7840B" w14:textId="77777777" w:rsidTr="008B123E">
              <w:trPr>
                <w:cantSplit/>
              </w:trPr>
              <w:tc>
                <w:tcPr>
                  <w:tcW w:w="1145" w:type="pct"/>
                </w:tcPr>
                <w:p w14:paraId="35B8D8E6" w14:textId="35647FE2" w:rsidR="00760B74" w:rsidRPr="0013396E" w:rsidRDefault="009C2EEB" w:rsidP="009C2EEB">
                  <w:pPr>
                    <w:pStyle w:val="tablebody0"/>
                    <w:widowControl w:val="0"/>
                  </w:pPr>
                  <w:r w:rsidRPr="0013396E">
                    <w:t>MEB</w:t>
                  </w:r>
                  <w:r w:rsidR="00760B74" w:rsidRPr="0013396E">
                    <w:t xml:space="preserve">SOG </w:t>
                  </w:r>
                  <w:r w:rsidR="00760B74" w:rsidRPr="0013396E">
                    <w:rPr>
                      <w:i/>
                      <w:vertAlign w:val="subscript"/>
                    </w:rPr>
                    <w:t>q,</w:t>
                  </w:r>
                  <w:r w:rsidR="00760B74" w:rsidRPr="0013396E">
                    <w:t xml:space="preserve"> </w:t>
                  </w:r>
                  <w:r w:rsidR="00760B74" w:rsidRPr="0013396E">
                    <w:rPr>
                      <w:i/>
                      <w:vertAlign w:val="subscript"/>
                    </w:rPr>
                    <w:t>gsc, b</w:t>
                  </w:r>
                </w:p>
              </w:tc>
              <w:tc>
                <w:tcPr>
                  <w:tcW w:w="675" w:type="pct"/>
                </w:tcPr>
                <w:p w14:paraId="0F65BA69" w14:textId="77777777" w:rsidR="00760B74" w:rsidRPr="0013396E" w:rsidRDefault="00760B74" w:rsidP="00760B74">
                  <w:pPr>
                    <w:pStyle w:val="tablebody0"/>
                    <w:widowControl w:val="0"/>
                  </w:pPr>
                  <w:r w:rsidRPr="0013396E">
                    <w:t>MWh</w:t>
                  </w:r>
                </w:p>
              </w:tc>
              <w:tc>
                <w:tcPr>
                  <w:tcW w:w="3180" w:type="pct"/>
                </w:tcPr>
                <w:p w14:paraId="4CAD133A" w14:textId="40D790F6" w:rsidR="00760B74" w:rsidRPr="0013396E" w:rsidRDefault="009C2EEB" w:rsidP="006612C7">
                  <w:pPr>
                    <w:pStyle w:val="tablebody0"/>
                    <w:widowControl w:val="0"/>
                    <w:rPr>
                      <w:i/>
                    </w:rPr>
                  </w:pPr>
                  <w:r w:rsidRPr="0013396E">
                    <w:rPr>
                      <w:i/>
                    </w:rPr>
                    <w:t>Metered energy at bus</w:t>
                  </w:r>
                  <w:r w:rsidR="00760B74" w:rsidRPr="0013396E">
                    <w:rPr>
                      <w:i/>
                    </w:rPr>
                    <w:t xml:space="preserve"> for an SODG</w:t>
                  </w:r>
                  <w:r w:rsidR="009032F5" w:rsidRPr="0013396E">
                    <w:rPr>
                      <w:i/>
                    </w:rPr>
                    <w:t>,</w:t>
                  </w:r>
                  <w:r w:rsidR="00760B74" w:rsidRPr="0013396E">
                    <w:rPr>
                      <w:i/>
                    </w:rPr>
                    <w:t xml:space="preserve"> SOTG</w:t>
                  </w:r>
                  <w:r w:rsidR="009032F5" w:rsidRPr="0013396E">
                    <w:rPr>
                      <w:i/>
                    </w:rPr>
                    <w:t>, SODESS, or SOTESS</w:t>
                  </w:r>
                  <w:r w:rsidR="00760B74" w:rsidRPr="0013396E">
                    <w:rPr>
                      <w:i/>
                    </w:rPr>
                    <w:t xml:space="preserve"> Site </w:t>
                  </w:r>
                  <w:r w:rsidR="00760B74" w:rsidRPr="0013396E">
                    <w:sym w:font="Symbol" w:char="F0BE"/>
                  </w:r>
                  <w:r w:rsidR="00760B74" w:rsidRPr="0013396E">
                    <w:t xml:space="preserve">The </w:t>
                  </w:r>
                  <w:r w:rsidRPr="0013396E">
                    <w:t>metered energy</w:t>
                  </w:r>
                  <w:r w:rsidR="00760B74" w:rsidRPr="0013396E">
                    <w:t xml:space="preserve"> by the Settlement Meter(s) at Electrical Bus </w:t>
                  </w:r>
                  <w:r w:rsidR="00760B74" w:rsidRPr="0013396E">
                    <w:rPr>
                      <w:i/>
                    </w:rPr>
                    <w:t>b</w:t>
                  </w:r>
                  <w:r w:rsidR="00760B74" w:rsidRPr="0013396E">
                    <w:t xml:space="preserve"> for SODG</w:t>
                  </w:r>
                  <w:r w:rsidR="009032F5" w:rsidRPr="0013396E">
                    <w:t>,</w:t>
                  </w:r>
                  <w:r w:rsidR="00760B74" w:rsidRPr="0013396E">
                    <w:t xml:space="preserve"> SOTG</w:t>
                  </w:r>
                  <w:r w:rsidR="00851766" w:rsidRPr="0013396E">
                    <w:t>, SODESS</w:t>
                  </w:r>
                  <w:r w:rsidR="00851766" w:rsidRPr="0013396E">
                    <w:rPr>
                      <w:i/>
                    </w:rPr>
                    <w:t xml:space="preserve">, </w:t>
                  </w:r>
                  <w:r w:rsidR="00851766" w:rsidRPr="0013396E">
                    <w:t>or</w:t>
                  </w:r>
                  <w:r w:rsidR="00851766" w:rsidRPr="0013396E">
                    <w:rPr>
                      <w:i/>
                    </w:rPr>
                    <w:t xml:space="preserve"> </w:t>
                  </w:r>
                  <w:r w:rsidR="00851766" w:rsidRPr="0013396E">
                    <w:t>SOTESS</w:t>
                  </w:r>
                  <w:r w:rsidR="00760B74" w:rsidRPr="0013396E">
                    <w:t xml:space="preserve"> site</w:t>
                  </w:r>
                  <w:r w:rsidR="00760B74" w:rsidRPr="0013396E">
                    <w:rPr>
                      <w:i/>
                    </w:rPr>
                    <w:t xml:space="preserve"> gsc</w:t>
                  </w:r>
                  <w:r w:rsidR="00760B74" w:rsidRPr="0013396E">
                    <w:t xml:space="preserve"> represented by QSE </w:t>
                  </w:r>
                  <w:r w:rsidR="00760B74" w:rsidRPr="0013396E">
                    <w:rPr>
                      <w:i/>
                    </w:rPr>
                    <w:t>q</w:t>
                  </w:r>
                  <w:r w:rsidR="00851766" w:rsidRPr="0013396E">
                    <w:t xml:space="preserve"> for the 15-minute Settlement Interval</w:t>
                  </w:r>
                  <w:r w:rsidR="00760B74" w:rsidRPr="0013396E">
                    <w:t>.</w:t>
                  </w:r>
                  <w:r w:rsidRPr="0013396E">
                    <w:t xml:space="preserve">  A positive value represents energy produced, and a negative value represents energy consumed.</w:t>
                  </w:r>
                </w:p>
              </w:tc>
            </w:tr>
            <w:tr w:rsidR="00851766" w:rsidRPr="0013396E" w14:paraId="275E213C" w14:textId="77777777" w:rsidTr="008B123E">
              <w:trPr>
                <w:cantSplit/>
              </w:trPr>
              <w:tc>
                <w:tcPr>
                  <w:tcW w:w="1145" w:type="pct"/>
                </w:tcPr>
                <w:p w14:paraId="6AE6D68A" w14:textId="541D13D1" w:rsidR="00851766" w:rsidRPr="0013396E" w:rsidRDefault="00851766" w:rsidP="00851766">
                  <w:pPr>
                    <w:pStyle w:val="tablebody0"/>
                    <w:widowControl w:val="0"/>
                  </w:pPr>
                  <w:r w:rsidRPr="0013396E">
                    <w:t xml:space="preserve">WSOL </w:t>
                  </w:r>
                  <w:r w:rsidRPr="0013396E">
                    <w:rPr>
                      <w:i/>
                      <w:vertAlign w:val="subscript"/>
                    </w:rPr>
                    <w:t>q, gsc, b</w:t>
                  </w:r>
                  <w:r w:rsidRPr="0013396E">
                    <w:t xml:space="preserve">  </w:t>
                  </w:r>
                </w:p>
              </w:tc>
              <w:tc>
                <w:tcPr>
                  <w:tcW w:w="675" w:type="pct"/>
                </w:tcPr>
                <w:p w14:paraId="34C14AB1" w14:textId="7A8E17C8" w:rsidR="00851766" w:rsidRPr="0013396E" w:rsidRDefault="00851766" w:rsidP="00851766">
                  <w:pPr>
                    <w:pStyle w:val="tablebody0"/>
                    <w:widowControl w:val="0"/>
                  </w:pPr>
                  <w:r w:rsidRPr="0013396E">
                    <w:t>MWh</w:t>
                  </w:r>
                </w:p>
              </w:tc>
              <w:tc>
                <w:tcPr>
                  <w:tcW w:w="3180" w:type="pct"/>
                </w:tcPr>
                <w:p w14:paraId="765B4B21" w14:textId="435DDCE0" w:rsidR="00851766" w:rsidRPr="0013396E" w:rsidRDefault="00851766" w:rsidP="00851766">
                  <w:pPr>
                    <w:pStyle w:val="tablebody0"/>
                    <w:widowControl w:val="0"/>
                    <w:rPr>
                      <w:i/>
                    </w:rPr>
                  </w:pPr>
                  <w:r w:rsidRPr="0013396E">
                    <w:rPr>
                      <w:i/>
                    </w:rPr>
                    <w:t>WSL for an SODESS or SOTESS Site</w:t>
                  </w:r>
                  <w:r w:rsidR="006465B2" w:rsidRPr="0013396E">
                    <w:sym w:font="Symbol" w:char="F0BE"/>
                  </w:r>
                  <w:r w:rsidRPr="0013396E">
                    <w:t xml:space="preserve">The WSL as measured for an SODESS or SOTESS site </w:t>
                  </w:r>
                  <w:r w:rsidRPr="0013396E">
                    <w:rPr>
                      <w:i/>
                    </w:rPr>
                    <w:t>gsc</w:t>
                  </w:r>
                  <w:r w:rsidRPr="0013396E">
                    <w:t xml:space="preserve"> at Electrical Bus </w:t>
                  </w:r>
                  <w:r w:rsidRPr="0013396E">
                    <w:rPr>
                      <w:i/>
                    </w:rPr>
                    <w:t>b</w:t>
                  </w:r>
                  <w:r w:rsidRPr="0013396E">
                    <w:t xml:space="preserve">, represented by QSE </w:t>
                  </w:r>
                  <w:r w:rsidRPr="0013396E">
                    <w:rPr>
                      <w:i/>
                    </w:rPr>
                    <w:t>q,</w:t>
                  </w:r>
                  <w:r w:rsidRPr="0013396E">
                    <w:t xml:space="preserve"> represented as a negative value, for the 15-minute Settlement Interval.</w:t>
                  </w:r>
                </w:p>
              </w:tc>
            </w:tr>
            <w:tr w:rsidR="00851766" w:rsidRPr="0013396E" w14:paraId="322D60B6" w14:textId="77777777" w:rsidTr="008B123E">
              <w:trPr>
                <w:cantSplit/>
              </w:trPr>
              <w:tc>
                <w:tcPr>
                  <w:tcW w:w="1145" w:type="pct"/>
                </w:tcPr>
                <w:p w14:paraId="677EEF37" w14:textId="23E5B384" w:rsidR="00851766" w:rsidRPr="0013396E" w:rsidRDefault="00851766" w:rsidP="00851766">
                  <w:pPr>
                    <w:pStyle w:val="tablebody0"/>
                    <w:widowControl w:val="0"/>
                  </w:pPr>
                  <w:r w:rsidRPr="0013396E">
                    <w:t xml:space="preserve">NWSOL </w:t>
                  </w:r>
                  <w:r w:rsidRPr="0013396E">
                    <w:rPr>
                      <w:i/>
                      <w:vertAlign w:val="subscript"/>
                    </w:rPr>
                    <w:t>q, gsc, b</w:t>
                  </w:r>
                  <w:r w:rsidRPr="0013396E">
                    <w:t xml:space="preserve">  </w:t>
                  </w:r>
                </w:p>
              </w:tc>
              <w:tc>
                <w:tcPr>
                  <w:tcW w:w="675" w:type="pct"/>
                </w:tcPr>
                <w:p w14:paraId="0BAC09B2" w14:textId="3E2496E2" w:rsidR="00851766" w:rsidRPr="0013396E" w:rsidRDefault="00851766" w:rsidP="00851766">
                  <w:pPr>
                    <w:pStyle w:val="tablebody0"/>
                    <w:widowControl w:val="0"/>
                  </w:pPr>
                  <w:r w:rsidRPr="0013396E">
                    <w:t>MWh</w:t>
                  </w:r>
                </w:p>
              </w:tc>
              <w:tc>
                <w:tcPr>
                  <w:tcW w:w="3180" w:type="pct"/>
                </w:tcPr>
                <w:p w14:paraId="61FC96AD" w14:textId="47CFBB2C" w:rsidR="00851766" w:rsidRPr="0013396E" w:rsidRDefault="00851766" w:rsidP="00851766">
                  <w:pPr>
                    <w:pStyle w:val="tablebody0"/>
                    <w:widowControl w:val="0"/>
                    <w:rPr>
                      <w:i/>
                    </w:rPr>
                  </w:pPr>
                  <w:r w:rsidRPr="0013396E">
                    <w:rPr>
                      <w:i/>
                    </w:rPr>
                    <w:t>Non-WSL Settlement Only Charging Load for an SODESS or SOTESS Site</w:t>
                  </w:r>
                  <w:r w:rsidR="006465B2" w:rsidRPr="0013396E">
                    <w:sym w:font="Symbol" w:char="F0BE"/>
                  </w:r>
                  <w:r w:rsidRPr="0013396E">
                    <w:t xml:space="preserve">The Non-WSL Settlement Only Charging Load as measured for an SODESS or SOTESS site </w:t>
                  </w:r>
                  <w:r w:rsidRPr="0013396E">
                    <w:rPr>
                      <w:i/>
                    </w:rPr>
                    <w:t>gsc</w:t>
                  </w:r>
                  <w:r w:rsidRPr="0013396E">
                    <w:t xml:space="preserve"> at Electrical Bus </w:t>
                  </w:r>
                  <w:r w:rsidRPr="0013396E">
                    <w:rPr>
                      <w:i/>
                    </w:rPr>
                    <w:t>b</w:t>
                  </w:r>
                  <w:r w:rsidRPr="0013396E">
                    <w:t xml:space="preserve">, represented by QSE </w:t>
                  </w:r>
                  <w:r w:rsidRPr="0013396E">
                    <w:rPr>
                      <w:i/>
                    </w:rPr>
                    <w:t>q,</w:t>
                  </w:r>
                  <w:r w:rsidRPr="0013396E">
                    <w:t xml:space="preserve"> represented as a negative value, for the 15-minute Settlement Interval.</w:t>
                  </w:r>
                </w:p>
              </w:tc>
            </w:tr>
            <w:tr w:rsidR="00760B74" w:rsidRPr="0013396E" w14:paraId="1D16B6B8" w14:textId="77777777" w:rsidTr="008B123E">
              <w:trPr>
                <w:cantSplit/>
              </w:trPr>
              <w:tc>
                <w:tcPr>
                  <w:tcW w:w="1145" w:type="pct"/>
                </w:tcPr>
                <w:p w14:paraId="23AD967F" w14:textId="77777777" w:rsidR="00760B74" w:rsidRPr="0013396E" w:rsidRDefault="00760B74" w:rsidP="00760B74">
                  <w:pPr>
                    <w:pStyle w:val="tablebody0"/>
                    <w:widowControl w:val="0"/>
                  </w:pPr>
                  <w:r w:rsidRPr="0013396E">
                    <w:t>RTRDP</w:t>
                  </w:r>
                </w:p>
              </w:tc>
              <w:tc>
                <w:tcPr>
                  <w:tcW w:w="675" w:type="pct"/>
                </w:tcPr>
                <w:p w14:paraId="557351E3" w14:textId="77777777" w:rsidR="00760B74" w:rsidRPr="0013396E" w:rsidRDefault="00760B74" w:rsidP="00760B74">
                  <w:pPr>
                    <w:pStyle w:val="tablebody0"/>
                    <w:widowControl w:val="0"/>
                  </w:pPr>
                  <w:r w:rsidRPr="0013396E">
                    <w:t>$/MWh</w:t>
                  </w:r>
                </w:p>
              </w:tc>
              <w:tc>
                <w:tcPr>
                  <w:tcW w:w="3180" w:type="pct"/>
                </w:tcPr>
                <w:p w14:paraId="441963CE" w14:textId="527F6F0B" w:rsidR="00760B74" w:rsidRPr="0013396E" w:rsidRDefault="00760B74" w:rsidP="001A78EC">
                  <w:pPr>
                    <w:pStyle w:val="tablebody0"/>
                    <w:widowControl w:val="0"/>
                    <w:rPr>
                      <w:i/>
                    </w:rPr>
                  </w:pPr>
                  <w:r w:rsidRPr="0013396E">
                    <w:rPr>
                      <w:i/>
                    </w:rPr>
                    <w:t>Real-Time Reliability Deployment Price</w:t>
                  </w:r>
                  <w:r w:rsidR="001A78EC" w:rsidRPr="0013396E">
                    <w:rPr>
                      <w:i/>
                    </w:rPr>
                    <w:t xml:space="preserve"> for Energy</w:t>
                  </w:r>
                  <w:r w:rsidRPr="0013396E">
                    <w:rPr>
                      <w:i/>
                    </w:rPr>
                    <w:t xml:space="preserve"> </w:t>
                  </w:r>
                  <w:r w:rsidRPr="0013396E">
                    <w:sym w:font="Symbol" w:char="F0BE"/>
                  </w:r>
                  <w:r w:rsidRPr="0013396E">
                    <w:t xml:space="preserve">The Real-Time price for the 15-minute Settlement Interval, reflecting the impact of reliability deployments on energy prices that is calculated </w:t>
                  </w:r>
                  <w:r w:rsidRPr="0013396E">
                    <w:rPr>
                      <w:bCs/>
                    </w:rPr>
                    <w:t>from the Real-Time Reliability Deployment Price Adder</w:t>
                  </w:r>
                  <w:r w:rsidR="001A78EC" w:rsidRPr="0013396E">
                    <w:rPr>
                      <w:bCs/>
                    </w:rPr>
                    <w:t xml:space="preserve"> for Energy</w:t>
                  </w:r>
                  <w:r w:rsidRPr="0013396E">
                    <w:t>.</w:t>
                  </w:r>
                </w:p>
              </w:tc>
            </w:tr>
            <w:tr w:rsidR="00760B74" w:rsidRPr="0013396E" w14:paraId="73B76A9E" w14:textId="77777777" w:rsidTr="008B123E">
              <w:trPr>
                <w:cantSplit/>
              </w:trPr>
              <w:tc>
                <w:tcPr>
                  <w:tcW w:w="1145" w:type="pct"/>
                </w:tcPr>
                <w:p w14:paraId="0B6C855E" w14:textId="7DD3C8A4" w:rsidR="00760B74" w:rsidRPr="0013396E" w:rsidRDefault="00760B74" w:rsidP="00760B74">
                  <w:pPr>
                    <w:pStyle w:val="tablebody0"/>
                    <w:widowControl w:val="0"/>
                  </w:pPr>
                  <w:r w:rsidRPr="0013396E">
                    <w:t>RTRDPA</w:t>
                  </w:r>
                  <w:r w:rsidRPr="0013396E">
                    <w:rPr>
                      <w:vertAlign w:val="subscript"/>
                    </w:rPr>
                    <w:t xml:space="preserve"> </w:t>
                  </w:r>
                  <w:r w:rsidRPr="0013396E">
                    <w:rPr>
                      <w:i/>
                      <w:vertAlign w:val="subscript"/>
                    </w:rPr>
                    <w:t>y</w:t>
                  </w:r>
                </w:p>
              </w:tc>
              <w:tc>
                <w:tcPr>
                  <w:tcW w:w="675" w:type="pct"/>
                </w:tcPr>
                <w:p w14:paraId="5D45166D" w14:textId="77777777" w:rsidR="00760B74" w:rsidRPr="0013396E" w:rsidRDefault="00760B74" w:rsidP="00760B74">
                  <w:pPr>
                    <w:pStyle w:val="tablebody0"/>
                    <w:widowControl w:val="0"/>
                  </w:pPr>
                  <w:r w:rsidRPr="0013396E">
                    <w:t>$/MWh</w:t>
                  </w:r>
                </w:p>
              </w:tc>
              <w:tc>
                <w:tcPr>
                  <w:tcW w:w="3180" w:type="pct"/>
                </w:tcPr>
                <w:p w14:paraId="3E7A450A" w14:textId="55E4ADF2" w:rsidR="00760B74" w:rsidRPr="0013396E" w:rsidRDefault="00760B74" w:rsidP="001A78EC">
                  <w:pPr>
                    <w:pStyle w:val="tablebody0"/>
                    <w:widowControl w:val="0"/>
                    <w:rPr>
                      <w:i/>
                    </w:rPr>
                  </w:pPr>
                  <w:r w:rsidRPr="0013396E">
                    <w:rPr>
                      <w:i/>
                    </w:rPr>
                    <w:t>Real-Time Reliability Deployment Price Adder</w:t>
                  </w:r>
                  <w:r w:rsidR="001A78EC" w:rsidRPr="0013396E">
                    <w:rPr>
                      <w:i/>
                    </w:rPr>
                    <w:t xml:space="preserve"> for Energy</w:t>
                  </w:r>
                  <w:r w:rsidRPr="0013396E">
                    <w:rPr>
                      <w:i/>
                    </w:rPr>
                    <w:t xml:space="preserve"> </w:t>
                  </w:r>
                  <w:r w:rsidRPr="0013396E">
                    <w:sym w:font="Symbol" w:char="F0BE"/>
                  </w:r>
                  <w:r w:rsidRPr="0013396E">
                    <w:t xml:space="preserve">The Real-Time </w:t>
                  </w:r>
                  <w:r w:rsidR="001A78EC" w:rsidRPr="0013396E">
                    <w:t>p</w:t>
                  </w:r>
                  <w:r w:rsidRPr="0013396E">
                    <w:t xml:space="preserve">rice </w:t>
                  </w:r>
                  <w:r w:rsidR="001A78EC" w:rsidRPr="0013396E">
                    <w:t>a</w:t>
                  </w:r>
                  <w:r w:rsidRPr="0013396E">
                    <w:t xml:space="preserve">dder that captures the impact of reliability deployments on energy prices for the SCED interval </w:t>
                  </w:r>
                  <w:r w:rsidRPr="0013396E">
                    <w:rPr>
                      <w:i/>
                    </w:rPr>
                    <w:t>y</w:t>
                  </w:r>
                  <w:r w:rsidRPr="0013396E">
                    <w:t>.</w:t>
                  </w:r>
                </w:p>
              </w:tc>
            </w:tr>
            <w:tr w:rsidR="00760B74" w:rsidRPr="0013396E" w14:paraId="55CA9938" w14:textId="77777777" w:rsidTr="008B123E">
              <w:trPr>
                <w:cantSplit/>
              </w:trPr>
              <w:tc>
                <w:tcPr>
                  <w:tcW w:w="1145" w:type="pct"/>
                </w:tcPr>
                <w:p w14:paraId="5E82355E" w14:textId="77777777" w:rsidR="00760B74" w:rsidRPr="0013396E" w:rsidRDefault="00760B74" w:rsidP="00760B74">
                  <w:pPr>
                    <w:pStyle w:val="tablebody0"/>
                    <w:widowControl w:val="0"/>
                  </w:pPr>
                  <w:r w:rsidRPr="0013396E">
                    <w:t>SDWF</w:t>
                  </w:r>
                  <w:r w:rsidRPr="0013396E">
                    <w:rPr>
                      <w:i/>
                    </w:rPr>
                    <w:t xml:space="preserve"> </w:t>
                  </w:r>
                  <w:r w:rsidRPr="0013396E">
                    <w:rPr>
                      <w:i/>
                      <w:vertAlign w:val="subscript"/>
                    </w:rPr>
                    <w:t>y</w:t>
                  </w:r>
                </w:p>
              </w:tc>
              <w:tc>
                <w:tcPr>
                  <w:tcW w:w="675" w:type="pct"/>
                </w:tcPr>
                <w:p w14:paraId="44464EA9" w14:textId="77777777" w:rsidR="00760B74" w:rsidRPr="0013396E" w:rsidRDefault="00C5632E" w:rsidP="00760B74">
                  <w:pPr>
                    <w:pStyle w:val="tablebody0"/>
                    <w:widowControl w:val="0"/>
                  </w:pPr>
                  <w:r w:rsidRPr="0013396E">
                    <w:t>N</w:t>
                  </w:r>
                  <w:r w:rsidR="00760B74" w:rsidRPr="0013396E">
                    <w:t>one</w:t>
                  </w:r>
                </w:p>
              </w:tc>
              <w:tc>
                <w:tcPr>
                  <w:tcW w:w="3180" w:type="pct"/>
                </w:tcPr>
                <w:p w14:paraId="5844785E" w14:textId="28E10BA1" w:rsidR="00760B74" w:rsidRPr="0013396E" w:rsidRDefault="00760B74" w:rsidP="00760B74">
                  <w:pPr>
                    <w:pStyle w:val="tablebody0"/>
                    <w:widowControl w:val="0"/>
                    <w:rPr>
                      <w:i/>
                    </w:rPr>
                  </w:pPr>
                  <w:r w:rsidRPr="0013396E">
                    <w:rPr>
                      <w:i/>
                    </w:rPr>
                    <w:t>SCED Duration Weighting Factor per interval</w:t>
                  </w:r>
                  <w:r w:rsidR="00E87687" w:rsidRPr="0013396E">
                    <w:rPr>
                      <w:i/>
                    </w:rPr>
                    <w:t xml:space="preserve"> </w:t>
                  </w:r>
                  <w:r w:rsidRPr="0013396E">
                    <w:sym w:font="Symbol" w:char="F0BE"/>
                  </w:r>
                  <w:r w:rsidRPr="0013396E">
                    <w:t>The weight used in the SODG</w:t>
                  </w:r>
                  <w:r w:rsidR="00851766" w:rsidRPr="0013396E">
                    <w:t>,</w:t>
                  </w:r>
                  <w:r w:rsidRPr="0013396E">
                    <w:t xml:space="preserve"> SOTG</w:t>
                  </w:r>
                  <w:r w:rsidR="00851766" w:rsidRPr="0013396E">
                    <w:t>, SODESS, or SOTESS</w:t>
                  </w:r>
                  <w:r w:rsidRPr="0013396E">
                    <w:t xml:space="preserve"> price calculation for the portion of the SCED interval </w:t>
                  </w:r>
                  <w:r w:rsidRPr="0013396E">
                    <w:rPr>
                      <w:i/>
                    </w:rPr>
                    <w:t>y</w:t>
                  </w:r>
                  <w:r w:rsidRPr="0013396E">
                    <w:t xml:space="preserve"> within the Settlement Interval.</w:t>
                  </w:r>
                </w:p>
              </w:tc>
            </w:tr>
            <w:tr w:rsidR="00760B74" w:rsidRPr="0013396E" w14:paraId="52059E1E" w14:textId="77777777" w:rsidTr="008B123E">
              <w:trPr>
                <w:cantSplit/>
              </w:trPr>
              <w:tc>
                <w:tcPr>
                  <w:tcW w:w="1145" w:type="pct"/>
                </w:tcPr>
                <w:p w14:paraId="5864E8D6" w14:textId="77777777" w:rsidR="00760B74" w:rsidRPr="0013396E" w:rsidRDefault="00760B74" w:rsidP="00760B74">
                  <w:pPr>
                    <w:pStyle w:val="tablebody0"/>
                    <w:widowControl w:val="0"/>
                  </w:pPr>
                  <w:r w:rsidRPr="0013396E">
                    <w:t xml:space="preserve">RTLMP </w:t>
                  </w:r>
                  <w:r w:rsidRPr="0013396E">
                    <w:rPr>
                      <w:i/>
                      <w:vertAlign w:val="subscript"/>
                    </w:rPr>
                    <w:t>b, y</w:t>
                  </w:r>
                </w:p>
              </w:tc>
              <w:tc>
                <w:tcPr>
                  <w:tcW w:w="675" w:type="pct"/>
                </w:tcPr>
                <w:p w14:paraId="32453E5F" w14:textId="77777777" w:rsidR="00760B74" w:rsidRPr="0013396E" w:rsidRDefault="00760B74" w:rsidP="00760B74">
                  <w:pPr>
                    <w:pStyle w:val="tablebody0"/>
                    <w:widowControl w:val="0"/>
                  </w:pPr>
                  <w:r w:rsidRPr="0013396E">
                    <w:t>$/MWh</w:t>
                  </w:r>
                </w:p>
              </w:tc>
              <w:tc>
                <w:tcPr>
                  <w:tcW w:w="3180" w:type="pct"/>
                </w:tcPr>
                <w:p w14:paraId="25769A2E" w14:textId="3ACC11EA" w:rsidR="00760B74" w:rsidRPr="0013396E" w:rsidRDefault="00760B74" w:rsidP="00760B74">
                  <w:pPr>
                    <w:pStyle w:val="tablebody0"/>
                    <w:widowControl w:val="0"/>
                  </w:pPr>
                  <w:r w:rsidRPr="0013396E">
                    <w:rPr>
                      <w:i/>
                    </w:rPr>
                    <w:t>Real-Time Locational Marginal Price at bus per interval</w:t>
                  </w:r>
                  <w:r w:rsidR="00E87687" w:rsidRPr="0013396E">
                    <w:rPr>
                      <w:i/>
                    </w:rPr>
                    <w:t xml:space="preserve"> </w:t>
                  </w:r>
                  <w:r w:rsidRPr="0013396E">
                    <w:sym w:font="Symbol" w:char="F0BE"/>
                  </w:r>
                  <w:r w:rsidRPr="0013396E">
                    <w:t xml:space="preserve">The Real-Time LMP at Electrical Bus </w:t>
                  </w:r>
                  <w:r w:rsidRPr="0013396E">
                    <w:rPr>
                      <w:i/>
                    </w:rPr>
                    <w:t>b</w:t>
                  </w:r>
                  <w:r w:rsidRPr="0013396E">
                    <w:t xml:space="preserve">, for the SCED interval </w:t>
                  </w:r>
                  <w:r w:rsidRPr="0013396E">
                    <w:rPr>
                      <w:i/>
                    </w:rPr>
                    <w:t>y</w:t>
                  </w:r>
                  <w:r w:rsidRPr="0013396E">
                    <w:t>.</w:t>
                  </w:r>
                </w:p>
              </w:tc>
            </w:tr>
            <w:tr w:rsidR="00760B74" w:rsidRPr="0013396E" w14:paraId="12933831" w14:textId="77777777" w:rsidTr="008B123E">
              <w:trPr>
                <w:cantSplit/>
              </w:trPr>
              <w:tc>
                <w:tcPr>
                  <w:tcW w:w="1145" w:type="pct"/>
                </w:tcPr>
                <w:p w14:paraId="3C8FC2B6" w14:textId="77777777" w:rsidR="00760B74" w:rsidRPr="0013396E" w:rsidRDefault="00760B74" w:rsidP="00760B74">
                  <w:pPr>
                    <w:pStyle w:val="tablebody0"/>
                    <w:widowControl w:val="0"/>
                  </w:pPr>
                  <w:r w:rsidRPr="0013396E">
                    <w:t xml:space="preserve">TLMP </w:t>
                  </w:r>
                  <w:r w:rsidRPr="0013396E">
                    <w:rPr>
                      <w:i/>
                      <w:vertAlign w:val="subscript"/>
                    </w:rPr>
                    <w:t>y</w:t>
                  </w:r>
                </w:p>
              </w:tc>
              <w:tc>
                <w:tcPr>
                  <w:tcW w:w="675" w:type="pct"/>
                </w:tcPr>
                <w:p w14:paraId="722D837A" w14:textId="77777777" w:rsidR="00760B74" w:rsidRPr="0013396E" w:rsidRDefault="00760B74" w:rsidP="00760B74">
                  <w:pPr>
                    <w:pStyle w:val="tablebody0"/>
                    <w:widowControl w:val="0"/>
                    <w:rPr>
                      <w:iCs/>
                    </w:rPr>
                  </w:pPr>
                  <w:r w:rsidRPr="0013396E">
                    <w:t>second</w:t>
                  </w:r>
                </w:p>
              </w:tc>
              <w:tc>
                <w:tcPr>
                  <w:tcW w:w="3180" w:type="pct"/>
                </w:tcPr>
                <w:p w14:paraId="5719C479" w14:textId="1A11F1C4" w:rsidR="00760B74" w:rsidRPr="0013396E" w:rsidRDefault="00760B74" w:rsidP="00760B74">
                  <w:pPr>
                    <w:pStyle w:val="tablebody0"/>
                    <w:widowControl w:val="0"/>
                  </w:pPr>
                  <w:r w:rsidRPr="0013396E">
                    <w:rPr>
                      <w:i/>
                      <w:iCs/>
                    </w:rPr>
                    <w:t xml:space="preserve">Duration of </w:t>
                  </w:r>
                  <w:r w:rsidRPr="0013396E">
                    <w:rPr>
                      <w:i/>
                    </w:rPr>
                    <w:t>SCED</w:t>
                  </w:r>
                  <w:r w:rsidRPr="0013396E">
                    <w:rPr>
                      <w:i/>
                      <w:iCs/>
                    </w:rPr>
                    <w:t xml:space="preserve"> interval per interval</w:t>
                  </w:r>
                  <w:r w:rsidR="00E87687" w:rsidRPr="0013396E">
                    <w:rPr>
                      <w:i/>
                      <w:iCs/>
                    </w:rPr>
                    <w:t xml:space="preserve"> </w:t>
                  </w:r>
                  <w:r w:rsidRPr="0013396E">
                    <w:sym w:font="Symbol" w:char="F0BE"/>
                  </w:r>
                  <w:r w:rsidRPr="0013396E">
                    <w:t xml:space="preserve">The duration of the SCED interval </w:t>
                  </w:r>
                  <w:r w:rsidRPr="0013396E">
                    <w:rPr>
                      <w:i/>
                      <w:iCs/>
                    </w:rPr>
                    <w:t xml:space="preserve">y </w:t>
                  </w:r>
                  <w:r w:rsidRPr="0013396E">
                    <w:rPr>
                      <w:iCs/>
                    </w:rPr>
                    <w:t>within the Settlement Interval</w:t>
                  </w:r>
                  <w:r w:rsidRPr="0013396E">
                    <w:t>.</w:t>
                  </w:r>
                </w:p>
              </w:tc>
            </w:tr>
            <w:tr w:rsidR="00760B74" w:rsidRPr="0013396E" w14:paraId="6897A192" w14:textId="77777777" w:rsidTr="008B123E">
              <w:trPr>
                <w:cantSplit/>
              </w:trPr>
              <w:tc>
                <w:tcPr>
                  <w:tcW w:w="1145" w:type="pct"/>
                </w:tcPr>
                <w:p w14:paraId="34DF684C" w14:textId="77777777" w:rsidR="00760B74" w:rsidRPr="0013396E" w:rsidRDefault="00760B74" w:rsidP="00760B74">
                  <w:pPr>
                    <w:pStyle w:val="tablebody0"/>
                    <w:widowControl w:val="0"/>
                    <w:rPr>
                      <w:i/>
                    </w:rPr>
                  </w:pPr>
                  <w:r w:rsidRPr="0013396E">
                    <w:rPr>
                      <w:i/>
                    </w:rPr>
                    <w:t>gsc</w:t>
                  </w:r>
                </w:p>
              </w:tc>
              <w:tc>
                <w:tcPr>
                  <w:tcW w:w="675" w:type="pct"/>
                </w:tcPr>
                <w:p w14:paraId="79B103CC" w14:textId="77777777" w:rsidR="00760B74" w:rsidRPr="0013396E" w:rsidRDefault="00760B74" w:rsidP="00760B74">
                  <w:pPr>
                    <w:pStyle w:val="tablebody0"/>
                    <w:widowControl w:val="0"/>
                  </w:pPr>
                  <w:r w:rsidRPr="0013396E">
                    <w:t>none</w:t>
                  </w:r>
                </w:p>
              </w:tc>
              <w:tc>
                <w:tcPr>
                  <w:tcW w:w="3180" w:type="pct"/>
                </w:tcPr>
                <w:p w14:paraId="16EBA14C" w14:textId="77777777" w:rsidR="00760B74" w:rsidRPr="0013396E" w:rsidRDefault="00760B74" w:rsidP="00760B74">
                  <w:pPr>
                    <w:pStyle w:val="tablebody0"/>
                    <w:widowControl w:val="0"/>
                  </w:pPr>
                  <w:r w:rsidRPr="0013396E">
                    <w:t>A generation site code.</w:t>
                  </w:r>
                </w:p>
              </w:tc>
            </w:tr>
            <w:tr w:rsidR="00760B74" w:rsidRPr="0013396E" w14:paraId="47807D14" w14:textId="77777777" w:rsidTr="008B123E">
              <w:trPr>
                <w:cantSplit/>
              </w:trPr>
              <w:tc>
                <w:tcPr>
                  <w:tcW w:w="1145" w:type="pct"/>
                </w:tcPr>
                <w:p w14:paraId="1C1E4A63" w14:textId="77777777" w:rsidR="00760B74" w:rsidRPr="0013396E" w:rsidRDefault="00760B74" w:rsidP="00760B74">
                  <w:pPr>
                    <w:pStyle w:val="tablebody0"/>
                    <w:widowControl w:val="0"/>
                    <w:rPr>
                      <w:i/>
                    </w:rPr>
                  </w:pPr>
                  <w:r w:rsidRPr="0013396E">
                    <w:rPr>
                      <w:i/>
                    </w:rPr>
                    <w:t>b</w:t>
                  </w:r>
                </w:p>
              </w:tc>
              <w:tc>
                <w:tcPr>
                  <w:tcW w:w="675" w:type="pct"/>
                </w:tcPr>
                <w:p w14:paraId="51188477" w14:textId="77777777" w:rsidR="00760B74" w:rsidRPr="0013396E" w:rsidRDefault="00760B74" w:rsidP="00760B74">
                  <w:pPr>
                    <w:pStyle w:val="tablebody0"/>
                    <w:widowControl w:val="0"/>
                  </w:pPr>
                  <w:r w:rsidRPr="0013396E">
                    <w:t>none</w:t>
                  </w:r>
                </w:p>
              </w:tc>
              <w:tc>
                <w:tcPr>
                  <w:tcW w:w="3180" w:type="pct"/>
                </w:tcPr>
                <w:p w14:paraId="349EB487" w14:textId="77777777" w:rsidR="00760B74" w:rsidRPr="0013396E" w:rsidRDefault="00760B74" w:rsidP="00760B74">
                  <w:pPr>
                    <w:pStyle w:val="tablebody0"/>
                    <w:widowControl w:val="0"/>
                  </w:pPr>
                  <w:r w:rsidRPr="0013396E">
                    <w:t>An Electrical Bus.</w:t>
                  </w:r>
                </w:p>
              </w:tc>
            </w:tr>
            <w:tr w:rsidR="00760B74" w:rsidRPr="0013396E" w14:paraId="614909DE" w14:textId="77777777" w:rsidTr="008B123E">
              <w:trPr>
                <w:cantSplit/>
              </w:trPr>
              <w:tc>
                <w:tcPr>
                  <w:tcW w:w="1145" w:type="pct"/>
                </w:tcPr>
                <w:p w14:paraId="274B4088" w14:textId="77777777" w:rsidR="00760B74" w:rsidRPr="0013396E" w:rsidRDefault="00760B74" w:rsidP="00760B74">
                  <w:pPr>
                    <w:pStyle w:val="tablebody0"/>
                    <w:widowControl w:val="0"/>
                    <w:rPr>
                      <w:i/>
                    </w:rPr>
                  </w:pPr>
                  <w:r w:rsidRPr="0013396E">
                    <w:rPr>
                      <w:i/>
                    </w:rPr>
                    <w:t>y</w:t>
                  </w:r>
                </w:p>
              </w:tc>
              <w:tc>
                <w:tcPr>
                  <w:tcW w:w="675" w:type="pct"/>
                </w:tcPr>
                <w:p w14:paraId="0CF77A33" w14:textId="77777777" w:rsidR="00760B74" w:rsidRPr="0013396E" w:rsidRDefault="00760B74" w:rsidP="00760B74">
                  <w:pPr>
                    <w:pStyle w:val="tablebody0"/>
                    <w:widowControl w:val="0"/>
                  </w:pPr>
                  <w:r w:rsidRPr="0013396E">
                    <w:t>None</w:t>
                  </w:r>
                </w:p>
              </w:tc>
              <w:tc>
                <w:tcPr>
                  <w:tcW w:w="3180" w:type="pct"/>
                </w:tcPr>
                <w:p w14:paraId="0D17B35F" w14:textId="77777777" w:rsidR="00760B74" w:rsidRPr="0013396E" w:rsidRDefault="00760B74" w:rsidP="00760B74">
                  <w:pPr>
                    <w:pStyle w:val="tablebody0"/>
                    <w:widowControl w:val="0"/>
                  </w:pPr>
                  <w:r w:rsidRPr="0013396E">
                    <w:t>A SCED interval in the 15-minute Settlement Interval.  The summation is over the total number of SCED runs that cover the 15-minute Settlement Interval.</w:t>
                  </w:r>
                </w:p>
              </w:tc>
            </w:tr>
          </w:tbl>
          <w:p w14:paraId="4A0C78FE" w14:textId="649ABE09" w:rsidR="00760B74" w:rsidRPr="0013396E" w:rsidRDefault="00760B74" w:rsidP="00760B74">
            <w:pPr>
              <w:pStyle w:val="BodyTextNumbered"/>
              <w:spacing w:before="240"/>
            </w:pPr>
            <w:r w:rsidRPr="0013396E">
              <w:lastRenderedPageBreak/>
              <w:t>(</w:t>
            </w:r>
            <w:r w:rsidR="00851766" w:rsidRPr="0013396E">
              <w:t>6</w:t>
            </w:r>
            <w:r w:rsidRPr="0013396E">
              <w:t>)</w:t>
            </w:r>
            <w:r w:rsidRPr="0013396E">
              <w:tab/>
              <w:t>The total net payments and charges to each QSE for energy from SODGs</w:t>
            </w:r>
            <w:r w:rsidR="00851766" w:rsidRPr="0013396E">
              <w:t>,</w:t>
            </w:r>
            <w:r w:rsidRPr="0013396E">
              <w:t xml:space="preserve"> SOTGs</w:t>
            </w:r>
            <w:r w:rsidR="00851766" w:rsidRPr="0013396E">
              <w:t>, SODESSs, or SOTESSs</w:t>
            </w:r>
            <w:r w:rsidRPr="0013396E">
              <w:t xml:space="preserve"> for the 15-minute Settlement Interval is calculated as follows:</w:t>
            </w:r>
          </w:p>
          <w:p w14:paraId="5B8A7EF7" w14:textId="0191F88E" w:rsidR="00760B74" w:rsidRPr="0013396E" w:rsidRDefault="00760B74" w:rsidP="00760B74">
            <w:pPr>
              <w:pStyle w:val="FormulaBold"/>
            </w:pPr>
            <w:r w:rsidRPr="0013396E">
              <w:t xml:space="preserve">RTESOAMTQSETOT </w:t>
            </w:r>
            <w:r w:rsidRPr="0013396E">
              <w:rPr>
                <w:i/>
                <w:vertAlign w:val="subscript"/>
              </w:rPr>
              <w:t>q</w:t>
            </w:r>
            <w:r w:rsidRPr="0013396E">
              <w:tab/>
              <w:t xml:space="preserve">= </w:t>
            </w:r>
            <w:r w:rsidRPr="0013396E">
              <w:rPr>
                <w:position w:val="-22"/>
              </w:rPr>
              <w:object w:dxaOrig="285" w:dyaOrig="450" w14:anchorId="47F851B2">
                <v:shape id="_x0000_i1145" type="#_x0000_t75" style="width:12pt;height:24pt" o:ole="">
                  <v:imagedata r:id="rId166" o:title=""/>
                </v:shape>
                <o:OLEObject Type="Embed" ProgID="Equation.3" ShapeID="_x0000_i1145" DrawAspect="Content" ObjectID="_1849065776" r:id="rId174"/>
              </w:object>
            </w:r>
            <w:r w:rsidR="00851766" w:rsidRPr="0013396E">
              <w:t>(</w:t>
            </w:r>
            <w:r w:rsidRPr="0013396E">
              <w:t>RT</w:t>
            </w:r>
            <w:r w:rsidR="00851766" w:rsidRPr="0013396E">
              <w:t>G</w:t>
            </w:r>
            <w:r w:rsidRPr="0013396E">
              <w:t xml:space="preserve">SOAMT </w:t>
            </w:r>
            <w:r w:rsidRPr="0013396E">
              <w:rPr>
                <w:i/>
                <w:vertAlign w:val="subscript"/>
              </w:rPr>
              <w:t>q, gsc</w:t>
            </w:r>
            <w:r w:rsidR="00851766" w:rsidRPr="0013396E">
              <w:t xml:space="preserve"> + RTWSLSOAMT </w:t>
            </w:r>
            <w:r w:rsidR="00851766" w:rsidRPr="0013396E">
              <w:rPr>
                <w:i/>
                <w:vertAlign w:val="subscript"/>
              </w:rPr>
              <w:t>q, gsc</w:t>
            </w:r>
            <w:r w:rsidR="00851766" w:rsidRPr="0013396E">
              <w:rPr>
                <w:vertAlign w:val="subscript"/>
              </w:rPr>
              <w:t xml:space="preserve"> </w:t>
            </w:r>
            <w:r w:rsidR="00851766" w:rsidRPr="0013396E">
              <w:t xml:space="preserve">+ RTNWSLSOAMT </w:t>
            </w:r>
            <w:r w:rsidR="00851766" w:rsidRPr="0013396E">
              <w:rPr>
                <w:i/>
                <w:vertAlign w:val="subscript"/>
              </w:rPr>
              <w:t>q, gsc</w:t>
            </w:r>
            <w:r w:rsidR="00851766" w:rsidRPr="0013396E">
              <w:t>)</w:t>
            </w:r>
          </w:p>
          <w:p w14:paraId="6B35A9A3" w14:textId="77777777" w:rsidR="00760B74" w:rsidRPr="0013396E" w:rsidRDefault="00760B74" w:rsidP="00760B74">
            <w:r w:rsidRPr="0013396E">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700"/>
              <w:gridCol w:w="6036"/>
            </w:tblGrid>
            <w:tr w:rsidR="00F55D4D" w:rsidRPr="0013396E" w14:paraId="2E5925AD" w14:textId="77777777" w:rsidTr="008B123E">
              <w:trPr>
                <w:cantSplit/>
                <w:tblHeader/>
              </w:trPr>
              <w:tc>
                <w:tcPr>
                  <w:tcW w:w="2335" w:type="dxa"/>
                </w:tcPr>
                <w:p w14:paraId="04B9BF3D" w14:textId="77777777" w:rsidR="00F55D4D" w:rsidRPr="0013396E" w:rsidRDefault="00F55D4D" w:rsidP="00F55D4D">
                  <w:pPr>
                    <w:pStyle w:val="TableHead"/>
                  </w:pPr>
                  <w:r w:rsidRPr="0013396E">
                    <w:t>Variable</w:t>
                  </w:r>
                </w:p>
              </w:tc>
              <w:tc>
                <w:tcPr>
                  <w:tcW w:w="700" w:type="dxa"/>
                </w:tcPr>
                <w:p w14:paraId="64EA45B9" w14:textId="77777777" w:rsidR="00F55D4D" w:rsidRPr="0013396E" w:rsidRDefault="00F55D4D" w:rsidP="00F55D4D">
                  <w:pPr>
                    <w:pStyle w:val="TableHead"/>
                  </w:pPr>
                  <w:r w:rsidRPr="0013396E">
                    <w:t>Unit</w:t>
                  </w:r>
                </w:p>
              </w:tc>
              <w:tc>
                <w:tcPr>
                  <w:tcW w:w="6036" w:type="dxa"/>
                </w:tcPr>
                <w:p w14:paraId="0A81BDC0" w14:textId="77777777" w:rsidR="00F55D4D" w:rsidRPr="0013396E" w:rsidRDefault="00F55D4D" w:rsidP="00F55D4D">
                  <w:pPr>
                    <w:pStyle w:val="TableHead"/>
                  </w:pPr>
                  <w:r w:rsidRPr="0013396E">
                    <w:t>Definition</w:t>
                  </w:r>
                </w:p>
              </w:tc>
            </w:tr>
            <w:tr w:rsidR="00F55D4D" w:rsidRPr="0013396E" w14:paraId="59054906" w14:textId="77777777" w:rsidTr="008B123E">
              <w:trPr>
                <w:cantSplit/>
              </w:trPr>
              <w:tc>
                <w:tcPr>
                  <w:tcW w:w="2335" w:type="dxa"/>
                </w:tcPr>
                <w:p w14:paraId="2D0716CB" w14:textId="57F91588" w:rsidR="00F55D4D" w:rsidRPr="0013396E" w:rsidRDefault="00F55D4D" w:rsidP="00F55D4D">
                  <w:pPr>
                    <w:pStyle w:val="TableBody"/>
                  </w:pPr>
                  <w:r w:rsidRPr="0013396E">
                    <w:t xml:space="preserve">RTESOAMTQSETOT </w:t>
                  </w:r>
                  <w:r w:rsidRPr="0013396E">
                    <w:rPr>
                      <w:i/>
                      <w:vertAlign w:val="subscript"/>
                    </w:rPr>
                    <w:t>q</w:t>
                  </w:r>
                </w:p>
              </w:tc>
              <w:tc>
                <w:tcPr>
                  <w:tcW w:w="700" w:type="dxa"/>
                </w:tcPr>
                <w:p w14:paraId="04024563" w14:textId="77777777" w:rsidR="00F55D4D" w:rsidRPr="0013396E" w:rsidRDefault="00F55D4D" w:rsidP="00F55D4D">
                  <w:pPr>
                    <w:pStyle w:val="TableBody"/>
                  </w:pPr>
                  <w:r w:rsidRPr="0013396E">
                    <w:t>$</w:t>
                  </w:r>
                </w:p>
              </w:tc>
              <w:tc>
                <w:tcPr>
                  <w:tcW w:w="6036" w:type="dxa"/>
                </w:tcPr>
                <w:p w14:paraId="662CA00F" w14:textId="09AD3DD2" w:rsidR="00F55D4D" w:rsidRPr="0013396E" w:rsidRDefault="00F55D4D" w:rsidP="00F55D4D">
                  <w:pPr>
                    <w:pStyle w:val="TableBody"/>
                  </w:pPr>
                  <w:r w:rsidRPr="0013396E">
                    <w:rPr>
                      <w:i/>
                    </w:rPr>
                    <w:t>Real-Time Energy Payment or Charge per QSE for SODGs</w:t>
                  </w:r>
                  <w:r w:rsidR="00851766" w:rsidRPr="0013396E">
                    <w:rPr>
                      <w:i/>
                    </w:rPr>
                    <w:t>,</w:t>
                  </w:r>
                  <w:r w:rsidRPr="0013396E">
                    <w:rPr>
                      <w:i/>
                    </w:rPr>
                    <w:t xml:space="preserve"> SOTGs</w:t>
                  </w:r>
                  <w:r w:rsidR="00851766" w:rsidRPr="0013396E">
                    <w:rPr>
                      <w:i/>
                      <w:iCs w:val="0"/>
                    </w:rPr>
                    <w:t xml:space="preserve">, </w:t>
                  </w:r>
                  <w:r w:rsidR="00851766" w:rsidRPr="0013396E">
                    <w:rPr>
                      <w:i/>
                    </w:rPr>
                    <w:t>SODESSs, or SOTESSs</w:t>
                  </w:r>
                  <w:r w:rsidRPr="0013396E">
                    <w:rPr>
                      <w:i/>
                    </w:rPr>
                    <w:t xml:space="preserve"> </w:t>
                  </w:r>
                  <w:r w:rsidRPr="0013396E">
                    <w:t xml:space="preserve">—The payment or charge to QSE </w:t>
                  </w:r>
                  <w:r w:rsidRPr="0013396E">
                    <w:rPr>
                      <w:i/>
                    </w:rPr>
                    <w:t>q</w:t>
                  </w:r>
                  <w:r w:rsidRPr="0013396E">
                    <w:t xml:space="preserve"> for Real-Time energy from SODGs</w:t>
                  </w:r>
                  <w:r w:rsidR="00851766" w:rsidRPr="0013396E">
                    <w:t>,</w:t>
                  </w:r>
                  <w:r w:rsidRPr="0013396E">
                    <w:t xml:space="preserve"> SOTGs</w:t>
                  </w:r>
                  <w:r w:rsidR="00851766" w:rsidRPr="0013396E">
                    <w:t>, SODESSs, or SOTESSs</w:t>
                  </w:r>
                  <w:r w:rsidRPr="0013396E">
                    <w:t>, for the 15-minute Settlement Interval.</w:t>
                  </w:r>
                </w:p>
              </w:tc>
            </w:tr>
            <w:tr w:rsidR="00F55D4D" w:rsidRPr="0013396E" w14:paraId="15D5859B" w14:textId="77777777" w:rsidTr="008B123E">
              <w:trPr>
                <w:cantSplit/>
              </w:trPr>
              <w:tc>
                <w:tcPr>
                  <w:tcW w:w="2335" w:type="dxa"/>
                </w:tcPr>
                <w:p w14:paraId="3ACF4266" w14:textId="0B9CE9C2" w:rsidR="00F55D4D" w:rsidRPr="0013396E" w:rsidRDefault="00F55D4D" w:rsidP="00F55D4D">
                  <w:pPr>
                    <w:pStyle w:val="TableBody"/>
                  </w:pPr>
                  <w:r w:rsidRPr="0013396E">
                    <w:t>RT</w:t>
                  </w:r>
                  <w:r w:rsidR="00851766" w:rsidRPr="0013396E">
                    <w:t>G</w:t>
                  </w:r>
                  <w:r w:rsidRPr="0013396E">
                    <w:t xml:space="preserve">SOAMT </w:t>
                  </w:r>
                  <w:r w:rsidRPr="0013396E">
                    <w:rPr>
                      <w:i/>
                      <w:vertAlign w:val="subscript"/>
                    </w:rPr>
                    <w:t>q, gsc</w:t>
                  </w:r>
                </w:p>
              </w:tc>
              <w:tc>
                <w:tcPr>
                  <w:tcW w:w="700" w:type="dxa"/>
                </w:tcPr>
                <w:p w14:paraId="3C330704" w14:textId="77777777" w:rsidR="00F55D4D" w:rsidRPr="0013396E" w:rsidRDefault="00F55D4D" w:rsidP="00F55D4D">
                  <w:pPr>
                    <w:pStyle w:val="TableBody"/>
                  </w:pPr>
                  <w:r w:rsidRPr="0013396E">
                    <w:t>$</w:t>
                  </w:r>
                </w:p>
              </w:tc>
              <w:tc>
                <w:tcPr>
                  <w:tcW w:w="6036" w:type="dxa"/>
                </w:tcPr>
                <w:p w14:paraId="0CA0F4A1" w14:textId="2F71D87D" w:rsidR="00F55D4D" w:rsidRPr="0013396E" w:rsidRDefault="00F55D4D" w:rsidP="00F55D4D">
                  <w:pPr>
                    <w:pStyle w:val="TableBody"/>
                  </w:pPr>
                  <w:r w:rsidRPr="0013396E">
                    <w:rPr>
                      <w:i/>
                    </w:rPr>
                    <w:t xml:space="preserve">Real-Time </w:t>
                  </w:r>
                  <w:r w:rsidR="00851766" w:rsidRPr="0013396E">
                    <w:rPr>
                      <w:i/>
                    </w:rPr>
                    <w:t>Generation</w:t>
                  </w:r>
                  <w:r w:rsidRPr="0013396E">
                    <w:rPr>
                      <w:i/>
                    </w:rPr>
                    <w:t xml:space="preserve"> for SODG</w:t>
                  </w:r>
                  <w:r w:rsidR="00851766" w:rsidRPr="0013396E">
                    <w:rPr>
                      <w:i/>
                    </w:rPr>
                    <w:t>,</w:t>
                  </w:r>
                  <w:r w:rsidRPr="0013396E">
                    <w:rPr>
                      <w:i/>
                    </w:rPr>
                    <w:t xml:space="preserve"> SOTG</w:t>
                  </w:r>
                  <w:r w:rsidR="00851766" w:rsidRPr="0013396E">
                    <w:rPr>
                      <w:i/>
                      <w:iCs w:val="0"/>
                    </w:rPr>
                    <w:t xml:space="preserve">, </w:t>
                  </w:r>
                  <w:r w:rsidR="00851766" w:rsidRPr="0013396E">
                    <w:rPr>
                      <w:i/>
                    </w:rPr>
                    <w:t>SODESS, or SOTESS</w:t>
                  </w:r>
                  <w:r w:rsidRPr="0013396E">
                    <w:rPr>
                      <w:i/>
                    </w:rPr>
                    <w:t xml:space="preserve"> Site Amount</w:t>
                  </w:r>
                  <w:r w:rsidRPr="0013396E" w:rsidDel="006C2DC2">
                    <w:rPr>
                      <w:i/>
                    </w:rPr>
                    <w:t xml:space="preserve"> </w:t>
                  </w:r>
                  <w:r w:rsidRPr="0013396E">
                    <w:t xml:space="preserve">—The total payment or charge </w:t>
                  </w:r>
                  <w:r w:rsidR="00851766" w:rsidRPr="0013396E">
                    <w:t xml:space="preserve">for generation </w:t>
                  </w:r>
                  <w:r w:rsidRPr="0013396E">
                    <w:t xml:space="preserve">to QSE </w:t>
                  </w:r>
                  <w:r w:rsidRPr="0013396E">
                    <w:rPr>
                      <w:i/>
                    </w:rPr>
                    <w:t>q</w:t>
                  </w:r>
                  <w:r w:rsidRPr="0013396E">
                    <w:t xml:space="preserve"> for SODG</w:t>
                  </w:r>
                  <w:r w:rsidR="00851766" w:rsidRPr="0013396E">
                    <w:t>,</w:t>
                  </w:r>
                  <w:r w:rsidRPr="0013396E">
                    <w:t xml:space="preserve"> SOTG</w:t>
                  </w:r>
                  <w:r w:rsidR="00851766" w:rsidRPr="0013396E">
                    <w:rPr>
                      <w:iCs w:val="0"/>
                    </w:rPr>
                    <w:t xml:space="preserve">, </w:t>
                  </w:r>
                  <w:r w:rsidR="00851766" w:rsidRPr="0013396E">
                    <w:t>SODESS, or SOTESS</w:t>
                  </w:r>
                  <w:r w:rsidRPr="0013396E">
                    <w:t xml:space="preserve"> site</w:t>
                  </w:r>
                  <w:r w:rsidRPr="0013396E">
                    <w:rPr>
                      <w:i/>
                    </w:rPr>
                    <w:t xml:space="preserve"> gsc</w:t>
                  </w:r>
                  <w:r w:rsidRPr="0013396E">
                    <w:t xml:space="preserve"> for the 15-minute Settlement Interval.</w:t>
                  </w:r>
                </w:p>
              </w:tc>
            </w:tr>
            <w:tr w:rsidR="00851766" w:rsidRPr="0013396E" w14:paraId="178A746A" w14:textId="77777777" w:rsidTr="008B123E">
              <w:trPr>
                <w:cantSplit/>
              </w:trPr>
              <w:tc>
                <w:tcPr>
                  <w:tcW w:w="2335" w:type="dxa"/>
                </w:tcPr>
                <w:p w14:paraId="7D800659" w14:textId="3F783B30" w:rsidR="00851766" w:rsidRPr="0013396E" w:rsidRDefault="00851766" w:rsidP="00851766">
                  <w:pPr>
                    <w:pStyle w:val="TableBody"/>
                  </w:pPr>
                  <w:r w:rsidRPr="0013396E">
                    <w:t>RTWSLSOAMT</w:t>
                  </w:r>
                  <w:r w:rsidRPr="0013396E">
                    <w:rPr>
                      <w:vertAlign w:val="subscript"/>
                    </w:rPr>
                    <w:t xml:space="preserve"> </w:t>
                  </w:r>
                  <w:r w:rsidRPr="0013396E">
                    <w:rPr>
                      <w:i/>
                      <w:vertAlign w:val="subscript"/>
                    </w:rPr>
                    <w:t>q,</w:t>
                  </w:r>
                  <w:r w:rsidRPr="0013396E">
                    <w:rPr>
                      <w:vertAlign w:val="subscript"/>
                    </w:rPr>
                    <w:t xml:space="preserve"> </w:t>
                  </w:r>
                  <w:r w:rsidRPr="0013396E">
                    <w:rPr>
                      <w:i/>
                      <w:vertAlign w:val="subscript"/>
                    </w:rPr>
                    <w:t>gsc</w:t>
                  </w:r>
                </w:p>
              </w:tc>
              <w:tc>
                <w:tcPr>
                  <w:tcW w:w="700" w:type="dxa"/>
                </w:tcPr>
                <w:p w14:paraId="33807B78" w14:textId="028364DA" w:rsidR="00851766" w:rsidRPr="0013396E" w:rsidRDefault="00851766" w:rsidP="00851766">
                  <w:pPr>
                    <w:pStyle w:val="TableBody"/>
                  </w:pPr>
                  <w:r w:rsidRPr="0013396E">
                    <w:t>$</w:t>
                  </w:r>
                </w:p>
              </w:tc>
              <w:tc>
                <w:tcPr>
                  <w:tcW w:w="6036" w:type="dxa"/>
                </w:tcPr>
                <w:p w14:paraId="630D7D3D" w14:textId="05C0AC75" w:rsidR="00851766" w:rsidRPr="0013396E" w:rsidRDefault="00851766" w:rsidP="00851766">
                  <w:pPr>
                    <w:pStyle w:val="TableBody"/>
                    <w:rPr>
                      <w:i/>
                    </w:rPr>
                  </w:pPr>
                  <w:r w:rsidRPr="0013396E">
                    <w:rPr>
                      <w:i/>
                    </w:rPr>
                    <w:t xml:space="preserve">Real-Time WSL for SODESS or SOTESS Site Amount </w:t>
                  </w:r>
                  <w:r w:rsidRPr="0013396E">
                    <w:t xml:space="preserve">—The total payment or charge for WSL to QSE </w:t>
                  </w:r>
                  <w:r w:rsidRPr="0013396E">
                    <w:rPr>
                      <w:i/>
                    </w:rPr>
                    <w:t>q</w:t>
                  </w:r>
                  <w:r w:rsidRPr="0013396E">
                    <w:t xml:space="preserve"> for the SODESS or SOTESS site</w:t>
                  </w:r>
                  <w:r w:rsidRPr="0013396E">
                    <w:rPr>
                      <w:i/>
                    </w:rPr>
                    <w:t xml:space="preserve"> gsc</w:t>
                  </w:r>
                  <w:r w:rsidRPr="0013396E">
                    <w:t xml:space="preserve"> for the 15-minute Settlement Interval. </w:t>
                  </w:r>
                </w:p>
              </w:tc>
            </w:tr>
            <w:tr w:rsidR="00851766" w:rsidRPr="0013396E" w14:paraId="188F681E" w14:textId="77777777" w:rsidTr="008B123E">
              <w:trPr>
                <w:cantSplit/>
              </w:trPr>
              <w:tc>
                <w:tcPr>
                  <w:tcW w:w="2335" w:type="dxa"/>
                </w:tcPr>
                <w:p w14:paraId="0BF94F5F" w14:textId="4BA4ACE4" w:rsidR="00851766" w:rsidRPr="0013396E" w:rsidRDefault="00851766" w:rsidP="00851766">
                  <w:pPr>
                    <w:pStyle w:val="TableBody"/>
                  </w:pPr>
                  <w:r w:rsidRPr="0013396E">
                    <w:t>RTNWSLSOAMT</w:t>
                  </w:r>
                  <w:r w:rsidRPr="0013396E">
                    <w:rPr>
                      <w:vertAlign w:val="subscript"/>
                    </w:rPr>
                    <w:t xml:space="preserve"> </w:t>
                  </w:r>
                  <w:r w:rsidRPr="0013396E">
                    <w:rPr>
                      <w:i/>
                      <w:vertAlign w:val="subscript"/>
                    </w:rPr>
                    <w:t>q,</w:t>
                  </w:r>
                  <w:r w:rsidRPr="0013396E">
                    <w:rPr>
                      <w:vertAlign w:val="subscript"/>
                    </w:rPr>
                    <w:t xml:space="preserve"> </w:t>
                  </w:r>
                  <w:r w:rsidRPr="0013396E">
                    <w:rPr>
                      <w:i/>
                      <w:vertAlign w:val="subscript"/>
                    </w:rPr>
                    <w:t>gsc</w:t>
                  </w:r>
                </w:p>
              </w:tc>
              <w:tc>
                <w:tcPr>
                  <w:tcW w:w="700" w:type="dxa"/>
                </w:tcPr>
                <w:p w14:paraId="7666A4A2" w14:textId="078993FE" w:rsidR="00851766" w:rsidRPr="0013396E" w:rsidRDefault="00851766" w:rsidP="00851766">
                  <w:pPr>
                    <w:pStyle w:val="TableBody"/>
                  </w:pPr>
                  <w:r w:rsidRPr="0013396E">
                    <w:t>$</w:t>
                  </w:r>
                </w:p>
              </w:tc>
              <w:tc>
                <w:tcPr>
                  <w:tcW w:w="6036" w:type="dxa"/>
                </w:tcPr>
                <w:p w14:paraId="5AC6D2BC" w14:textId="43FF346A" w:rsidR="00851766" w:rsidRPr="0013396E" w:rsidRDefault="00851766" w:rsidP="00851766">
                  <w:pPr>
                    <w:pStyle w:val="TableBody"/>
                    <w:rPr>
                      <w:i/>
                    </w:rPr>
                  </w:pPr>
                  <w:r w:rsidRPr="0013396E">
                    <w:rPr>
                      <w:i/>
                    </w:rPr>
                    <w:t xml:space="preserve">Real-Time Non-WSL for SODESS or SOTESS Site Amount </w:t>
                  </w:r>
                  <w:r w:rsidRPr="0013396E">
                    <w:t xml:space="preserve">—The total payment or charge for Non-WSL Settlement Only Charging Load to QSE </w:t>
                  </w:r>
                  <w:r w:rsidRPr="0013396E">
                    <w:rPr>
                      <w:i/>
                    </w:rPr>
                    <w:t>q</w:t>
                  </w:r>
                  <w:r w:rsidRPr="0013396E">
                    <w:t xml:space="preserve"> for the SODESS or SOTESS site</w:t>
                  </w:r>
                  <w:r w:rsidRPr="0013396E">
                    <w:rPr>
                      <w:i/>
                    </w:rPr>
                    <w:t xml:space="preserve"> gsc</w:t>
                  </w:r>
                  <w:r w:rsidRPr="0013396E">
                    <w:t xml:space="preserve"> for the 15-minute Settlement Interval. </w:t>
                  </w:r>
                </w:p>
              </w:tc>
            </w:tr>
            <w:tr w:rsidR="00F55D4D" w:rsidRPr="0013396E" w14:paraId="2F98BD82" w14:textId="77777777" w:rsidTr="008B123E">
              <w:trPr>
                <w:cantSplit/>
              </w:trPr>
              <w:tc>
                <w:tcPr>
                  <w:tcW w:w="2335" w:type="dxa"/>
                  <w:tcBorders>
                    <w:top w:val="single" w:sz="4" w:space="0" w:color="auto"/>
                    <w:left w:val="single" w:sz="4" w:space="0" w:color="auto"/>
                    <w:bottom w:val="single" w:sz="4" w:space="0" w:color="auto"/>
                    <w:right w:val="single" w:sz="4" w:space="0" w:color="auto"/>
                  </w:tcBorders>
                </w:tcPr>
                <w:p w14:paraId="3B7338DE" w14:textId="77777777" w:rsidR="00F55D4D" w:rsidRPr="0013396E" w:rsidRDefault="00F55D4D" w:rsidP="00F55D4D">
                  <w:pPr>
                    <w:pStyle w:val="TableBody"/>
                    <w:rPr>
                      <w:i/>
                    </w:rPr>
                  </w:pPr>
                  <w:r w:rsidRPr="0013396E">
                    <w:rPr>
                      <w:i/>
                    </w:rPr>
                    <w:t>q</w:t>
                  </w:r>
                </w:p>
              </w:tc>
              <w:tc>
                <w:tcPr>
                  <w:tcW w:w="700" w:type="dxa"/>
                  <w:tcBorders>
                    <w:top w:val="single" w:sz="4" w:space="0" w:color="auto"/>
                    <w:left w:val="single" w:sz="4" w:space="0" w:color="auto"/>
                    <w:bottom w:val="single" w:sz="4" w:space="0" w:color="auto"/>
                    <w:right w:val="single" w:sz="4" w:space="0" w:color="auto"/>
                  </w:tcBorders>
                </w:tcPr>
                <w:p w14:paraId="4E5960E8" w14:textId="77777777" w:rsidR="00F55D4D" w:rsidRPr="0013396E" w:rsidRDefault="00F55D4D" w:rsidP="00F55D4D">
                  <w:pPr>
                    <w:pStyle w:val="TableBody"/>
                  </w:pPr>
                  <w:r w:rsidRPr="0013396E">
                    <w:t>none</w:t>
                  </w:r>
                </w:p>
              </w:tc>
              <w:tc>
                <w:tcPr>
                  <w:tcW w:w="6036" w:type="dxa"/>
                  <w:tcBorders>
                    <w:top w:val="single" w:sz="4" w:space="0" w:color="auto"/>
                    <w:left w:val="single" w:sz="4" w:space="0" w:color="auto"/>
                    <w:bottom w:val="single" w:sz="4" w:space="0" w:color="auto"/>
                    <w:right w:val="single" w:sz="4" w:space="0" w:color="auto"/>
                  </w:tcBorders>
                </w:tcPr>
                <w:p w14:paraId="55E79054" w14:textId="77777777" w:rsidR="00F55D4D" w:rsidRPr="0013396E" w:rsidRDefault="00F55D4D" w:rsidP="00F55D4D">
                  <w:pPr>
                    <w:pStyle w:val="TableBody"/>
                  </w:pPr>
                  <w:r w:rsidRPr="0013396E">
                    <w:t>A QSE.</w:t>
                  </w:r>
                </w:p>
              </w:tc>
            </w:tr>
            <w:tr w:rsidR="00F55D4D" w:rsidRPr="0013396E" w14:paraId="366DFDF8" w14:textId="77777777" w:rsidTr="008B123E">
              <w:trPr>
                <w:cantSplit/>
              </w:trPr>
              <w:tc>
                <w:tcPr>
                  <w:tcW w:w="2335" w:type="dxa"/>
                  <w:tcBorders>
                    <w:top w:val="single" w:sz="4" w:space="0" w:color="auto"/>
                    <w:left w:val="single" w:sz="4" w:space="0" w:color="auto"/>
                    <w:bottom w:val="single" w:sz="4" w:space="0" w:color="auto"/>
                    <w:right w:val="single" w:sz="4" w:space="0" w:color="auto"/>
                  </w:tcBorders>
                </w:tcPr>
                <w:p w14:paraId="11AAF9A6" w14:textId="77777777" w:rsidR="00F55D4D" w:rsidRPr="0013396E" w:rsidRDefault="00F55D4D" w:rsidP="00F55D4D">
                  <w:pPr>
                    <w:pStyle w:val="TableBody"/>
                    <w:rPr>
                      <w:i/>
                    </w:rPr>
                  </w:pPr>
                  <w:r w:rsidRPr="0013396E">
                    <w:rPr>
                      <w:i/>
                    </w:rPr>
                    <w:t>gsc</w:t>
                  </w:r>
                </w:p>
              </w:tc>
              <w:tc>
                <w:tcPr>
                  <w:tcW w:w="700" w:type="dxa"/>
                  <w:tcBorders>
                    <w:top w:val="single" w:sz="4" w:space="0" w:color="auto"/>
                    <w:left w:val="single" w:sz="4" w:space="0" w:color="auto"/>
                    <w:bottom w:val="single" w:sz="4" w:space="0" w:color="auto"/>
                    <w:right w:val="single" w:sz="4" w:space="0" w:color="auto"/>
                  </w:tcBorders>
                </w:tcPr>
                <w:p w14:paraId="67380B7A" w14:textId="77777777" w:rsidR="00F55D4D" w:rsidRPr="0013396E" w:rsidRDefault="00F55D4D" w:rsidP="00F55D4D">
                  <w:pPr>
                    <w:pStyle w:val="TableBody"/>
                  </w:pPr>
                  <w:r w:rsidRPr="0013396E">
                    <w:t>none</w:t>
                  </w:r>
                </w:p>
              </w:tc>
              <w:tc>
                <w:tcPr>
                  <w:tcW w:w="6036" w:type="dxa"/>
                  <w:tcBorders>
                    <w:top w:val="single" w:sz="4" w:space="0" w:color="auto"/>
                    <w:left w:val="single" w:sz="4" w:space="0" w:color="auto"/>
                    <w:bottom w:val="single" w:sz="4" w:space="0" w:color="auto"/>
                    <w:right w:val="single" w:sz="4" w:space="0" w:color="auto"/>
                  </w:tcBorders>
                </w:tcPr>
                <w:p w14:paraId="6C1D2DAC" w14:textId="77777777" w:rsidR="00F55D4D" w:rsidRPr="0013396E" w:rsidRDefault="00F55D4D" w:rsidP="00F55D4D">
                  <w:pPr>
                    <w:pStyle w:val="TableBody"/>
                  </w:pPr>
                  <w:r w:rsidRPr="0013396E">
                    <w:t>A generation site code.</w:t>
                  </w:r>
                </w:p>
              </w:tc>
            </w:tr>
          </w:tbl>
          <w:p w14:paraId="34B4EEE2" w14:textId="3884A0A2" w:rsidR="00F55D4D" w:rsidRPr="0013396E" w:rsidRDefault="00F55D4D" w:rsidP="00F55D4D">
            <w:pPr>
              <w:widowControl w:val="0"/>
              <w:spacing w:before="240" w:after="240"/>
              <w:ind w:left="720" w:hanging="720"/>
            </w:pPr>
            <w:r w:rsidRPr="0013396E">
              <w:rPr>
                <w:bCs/>
              </w:rPr>
              <w:t>(</w:t>
            </w:r>
            <w:r w:rsidR="00851766" w:rsidRPr="0013396E">
              <w:rPr>
                <w:bCs/>
              </w:rPr>
              <w:t>7</w:t>
            </w:r>
            <w:r w:rsidRPr="0013396E">
              <w:rPr>
                <w:bCs/>
              </w:rPr>
              <w:t xml:space="preserve">) </w:t>
            </w:r>
            <w:r w:rsidRPr="0013396E">
              <w:rPr>
                <w:bCs/>
              </w:rPr>
              <w:tab/>
              <w:t>Notwithstanding anything else in this Section except paragraphs (</w:t>
            </w:r>
            <w:r w:rsidR="00851766" w:rsidRPr="0013396E">
              <w:rPr>
                <w:bCs/>
              </w:rPr>
              <w:t>8</w:t>
            </w:r>
            <w:r w:rsidRPr="0013396E">
              <w:rPr>
                <w:bCs/>
              </w:rPr>
              <w:t>) and (</w:t>
            </w:r>
            <w:r w:rsidR="00851766" w:rsidRPr="0013396E">
              <w:rPr>
                <w:bCs/>
              </w:rPr>
              <w:t>9</w:t>
            </w:r>
            <w:r w:rsidRPr="0013396E">
              <w:rPr>
                <w:bCs/>
              </w:rPr>
              <w:t xml:space="preserve">) below, a Resource Entity may opt out of nodal pricing and continue Load Zone Settlement for any </w:t>
            </w:r>
            <w:r w:rsidRPr="0013396E">
              <w:t>SODG or SOTG if, by January 1, 2019, the SODG or SOTG was operational or was subject to a Power Purchase or Tolling Agreement (PPA) or Transmission and/or Distribution Service Provider (TDSP) interconnection agreement, or had an executed agreement with a developer.  By December 31, 2019, the Resource Entity must submit a properly completed Section 23, Form N, Pricing Election for Settlement Only Distribution Generators and Settlement Only Transmission Generators.  Any SODG or SOTG relying on a PPA or TDSP interconnection agreement or agreement with a developer must also have achieved Initial Synchronization for the full Resource capacity before June 1, 2020 to be eligible to opt out of nodal pricing.  A Resource Entity must provide ERCOT documented proof of any PPA, TDSP interconnection agreement, or developer agreement that it relies on as a basis for any election under this paragraph.  This election is valid through the earlier of December 31, 2029 or the date on which the election is revoked pursuant to paragraph (</w:t>
            </w:r>
            <w:r w:rsidR="00851766" w:rsidRPr="0013396E">
              <w:t>10</w:t>
            </w:r>
            <w:r w:rsidRPr="0013396E">
              <w:t xml:space="preserve">) of this Section.  On January 1, 2030, all SODGs and SOTGs will be subject to nodal pricing.  </w:t>
            </w:r>
          </w:p>
          <w:p w14:paraId="1C3D1B23" w14:textId="531344A9" w:rsidR="00F55D4D" w:rsidRPr="0013396E" w:rsidRDefault="00F55D4D" w:rsidP="00F55D4D">
            <w:pPr>
              <w:widowControl w:val="0"/>
              <w:spacing w:after="240"/>
              <w:ind w:left="720" w:hanging="720"/>
            </w:pPr>
            <w:r w:rsidRPr="0013396E">
              <w:t>(</w:t>
            </w:r>
            <w:r w:rsidR="00851766" w:rsidRPr="0013396E">
              <w:t>8</w:t>
            </w:r>
            <w:r w:rsidRPr="0013396E">
              <w:t>)</w:t>
            </w:r>
            <w:r w:rsidRPr="0013396E">
              <w:tab/>
              <w:t xml:space="preserve">For any SODG or SOTG for which the applicable Resource Entity has elected to opt out of nodal pricing, ERCOT shall settle the output of the SODG or SOTG using the Load Zone Settlement Point Price for the duration of the opt-out period so long as the SODG </w:t>
            </w:r>
            <w:r w:rsidRPr="0013396E">
              <w:lastRenderedPageBreak/>
              <w:t>or SOTG is not physically modified for any purpose, including to increase the capacity of the unit or change the fuel type of the unit, except as necessary for routine maintenance or repairs to address normal wear and tear.</w:t>
            </w:r>
          </w:p>
          <w:p w14:paraId="6F46C8AE" w14:textId="5457F10D" w:rsidR="00F55D4D" w:rsidRPr="0013396E" w:rsidRDefault="00F55D4D" w:rsidP="00F55D4D">
            <w:pPr>
              <w:widowControl w:val="0"/>
              <w:spacing w:after="240"/>
              <w:ind w:left="720" w:hanging="720"/>
            </w:pPr>
            <w:r w:rsidRPr="0013396E">
              <w:t>(</w:t>
            </w:r>
            <w:r w:rsidR="00851766" w:rsidRPr="0013396E">
              <w:t>9</w:t>
            </w:r>
            <w:r w:rsidRPr="0013396E">
              <w:t>)</w:t>
            </w:r>
            <w:r w:rsidRPr="0013396E">
              <w:tab/>
              <w:t>If at any time ERCOT determines that the SODG or SOTG fails to meet the opt-out conditions in paragraph (</w:t>
            </w:r>
            <w:r w:rsidR="00851766" w:rsidRPr="0013396E">
              <w:t>8</w:t>
            </w:r>
            <w:r w:rsidRPr="0013396E">
              <w:t>) above, ERCOT shall settle the output of the SODG or SOTG at the applicable nodal price as soon as practicable after providing written notice to the affected Resource Entity.</w:t>
            </w:r>
          </w:p>
          <w:p w14:paraId="098DB98B" w14:textId="17FFECC3" w:rsidR="009058F4" w:rsidRPr="0013396E" w:rsidRDefault="00F55D4D" w:rsidP="00F55D4D">
            <w:pPr>
              <w:widowControl w:val="0"/>
              <w:spacing w:after="240"/>
              <w:ind w:left="720" w:hanging="720"/>
            </w:pPr>
            <w:r w:rsidRPr="0013396E">
              <w:rPr>
                <w:szCs w:val="24"/>
              </w:rPr>
              <w:t>(</w:t>
            </w:r>
            <w:r w:rsidR="00851766" w:rsidRPr="0013396E">
              <w:rPr>
                <w:szCs w:val="24"/>
              </w:rPr>
              <w:t>10</w:t>
            </w:r>
            <w:r w:rsidRPr="0013396E">
              <w:rPr>
                <w:szCs w:val="24"/>
              </w:rPr>
              <w:t>)</w:t>
            </w:r>
            <w:r w:rsidRPr="0013396E">
              <w:rPr>
                <w:szCs w:val="24"/>
              </w:rPr>
              <w:tab/>
              <w:t>A Resource Entity that has opted out of nodal pricing for one or more SODGs or SOTGs pursuant to paragraph (</w:t>
            </w:r>
            <w:r w:rsidR="00851766" w:rsidRPr="0013396E">
              <w:rPr>
                <w:szCs w:val="24"/>
              </w:rPr>
              <w:t>7</w:t>
            </w:r>
            <w:r w:rsidRPr="0013396E">
              <w:rPr>
                <w:szCs w:val="24"/>
              </w:rPr>
              <w:t xml:space="preserve">) of this Section may withdraw that election and begin receiving applicable nodal pricing for one or more such generators by submitting a properly completed election form (Section 23, Form N).  An election of nodal pricing is irrevocable.  ERCOT will effectuate the transition of an SODG or SOTG to nodal </w:t>
            </w:r>
            <w:r w:rsidRPr="0013396E">
              <w:t>pricing</w:t>
            </w:r>
            <w:r w:rsidRPr="0013396E">
              <w:rPr>
                <w:szCs w:val="24"/>
              </w:rPr>
              <w:t xml:space="preserve"> in ERCOT Settlement systems as soon as practicable.</w:t>
            </w:r>
          </w:p>
        </w:tc>
      </w:tr>
    </w:tbl>
    <w:p w14:paraId="75AB124B" w14:textId="77777777" w:rsidR="00B6651E" w:rsidRPr="0013396E" w:rsidRDefault="00B6651E" w:rsidP="00E7745B">
      <w:pPr>
        <w:keepNext/>
        <w:widowControl w:val="0"/>
        <w:tabs>
          <w:tab w:val="left" w:pos="1260"/>
        </w:tabs>
        <w:spacing w:before="480" w:after="240"/>
        <w:ind w:left="1267" w:hanging="1267"/>
        <w:outlineLvl w:val="3"/>
        <w:rPr>
          <w:b/>
          <w:szCs w:val="24"/>
        </w:rPr>
      </w:pPr>
      <w:bookmarkStart w:id="1699" w:name="_Toc236220185"/>
      <w:bookmarkStart w:id="1700" w:name="_Hlk204327310"/>
      <w:r w:rsidRPr="0013396E">
        <w:rPr>
          <w:b/>
          <w:szCs w:val="24"/>
        </w:rPr>
        <w:lastRenderedPageBreak/>
        <w:t>6.6.3.9</w:t>
      </w:r>
      <w:r w:rsidRPr="0013396E">
        <w:rPr>
          <w:b/>
          <w:szCs w:val="24"/>
        </w:rPr>
        <w:tab/>
        <w:t>Real-Time Constraint Management Plan Cost Recovery Payment</w:t>
      </w:r>
      <w:bookmarkEnd w:id="1699"/>
      <w:r w:rsidRPr="0013396E">
        <w:rPr>
          <w:b/>
          <w:szCs w:val="24"/>
        </w:rPr>
        <w:t xml:space="preserve"> </w:t>
      </w:r>
    </w:p>
    <w:p w14:paraId="3EE9B923" w14:textId="63563174" w:rsidR="00B6651E" w:rsidRPr="0013396E" w:rsidRDefault="00B6651E" w:rsidP="00FF2663">
      <w:pPr>
        <w:spacing w:after="240"/>
        <w:ind w:left="720" w:hanging="720"/>
        <w:rPr>
          <w:color w:val="000000"/>
          <w:szCs w:val="24"/>
        </w:rPr>
      </w:pPr>
      <w:r w:rsidRPr="0013396E">
        <w:rPr>
          <w:color w:val="000000"/>
          <w:szCs w:val="24"/>
        </w:rPr>
        <w:t>(1)</w:t>
      </w:r>
      <w:r w:rsidRPr="0013396E">
        <w:rPr>
          <w:color w:val="000000"/>
          <w:szCs w:val="24"/>
        </w:rPr>
        <w:tab/>
        <w:t>If a Generation Resource trips Off-Line from a transmission equipment operation that would have normally not tripped the unit Off-Line but for the activation of a Constraint Management Plan (CMP) or a VDI issued by ERCOT</w:t>
      </w:r>
      <w:r w:rsidRPr="0013396E" w:rsidDel="000C1C0B">
        <w:rPr>
          <w:color w:val="000000"/>
          <w:szCs w:val="24"/>
        </w:rPr>
        <w:t xml:space="preserve"> </w:t>
      </w:r>
      <w:r w:rsidRPr="0013396E">
        <w:rPr>
          <w:color w:val="000000"/>
          <w:szCs w:val="24"/>
        </w:rPr>
        <w:t xml:space="preserve">which subjects a Generation Resource to N-1 contingency that could trip the Generation Resource Off-Line the QSE may be eligible for a Real-Time Constraint Management Plan Cost Recovery Payment, as calculated in paragraph (6) below, upon providing documented proof of the financial and repair cost.  A Generation Resource impacted by the CMP or VDI shall not be eligible for a CMP cost recovery payment under any of the following two conditions: </w:t>
      </w:r>
    </w:p>
    <w:p w14:paraId="27705127" w14:textId="77777777" w:rsidR="00B6651E" w:rsidRPr="0013396E" w:rsidRDefault="00B6651E" w:rsidP="00FF2663">
      <w:pPr>
        <w:spacing w:after="240"/>
        <w:ind w:left="1440" w:hanging="720"/>
        <w:rPr>
          <w:color w:val="000000"/>
          <w:szCs w:val="24"/>
        </w:rPr>
      </w:pPr>
      <w:r w:rsidRPr="0013396E">
        <w:rPr>
          <w:color w:val="000000"/>
          <w:szCs w:val="24"/>
        </w:rPr>
        <w:t>(a)</w:t>
      </w:r>
      <w:r w:rsidRPr="0013396E">
        <w:rPr>
          <w:color w:val="000000"/>
          <w:szCs w:val="24"/>
        </w:rPr>
        <w:tab/>
        <w:t xml:space="preserve">If the Resource Entity for this Generation Resource agreed with the CMP to subject the Generation </w:t>
      </w:r>
      <w:r w:rsidRPr="0013396E">
        <w:rPr>
          <w:szCs w:val="24"/>
        </w:rPr>
        <w:t>Resource</w:t>
      </w:r>
      <w:r w:rsidRPr="0013396E">
        <w:rPr>
          <w:color w:val="000000"/>
          <w:szCs w:val="24"/>
        </w:rPr>
        <w:t xml:space="preserve"> to the N-0 condition.  </w:t>
      </w:r>
    </w:p>
    <w:p w14:paraId="1AE60C0D" w14:textId="77777777" w:rsidR="00B6651E" w:rsidRPr="0013396E" w:rsidRDefault="00B6651E" w:rsidP="00FF2663">
      <w:pPr>
        <w:spacing w:after="240"/>
        <w:ind w:left="1440" w:hanging="720"/>
        <w:rPr>
          <w:szCs w:val="24"/>
        </w:rPr>
      </w:pPr>
      <w:r w:rsidRPr="0013396E">
        <w:rPr>
          <w:color w:val="000000"/>
          <w:szCs w:val="24"/>
        </w:rPr>
        <w:t>(b)</w:t>
      </w:r>
      <w:r w:rsidRPr="0013396E">
        <w:rPr>
          <w:color w:val="000000"/>
          <w:szCs w:val="24"/>
        </w:rPr>
        <w:tab/>
        <w:t>If ERCOT must issue a VDI to open the Generation Resource’s breaker due to the Generation Resource improperly following ERCOT instructions without notifying ERCOT that the CMP or VDI would physically harm the Resource.</w:t>
      </w:r>
    </w:p>
    <w:p w14:paraId="0669221F" w14:textId="77777777" w:rsidR="00B6651E" w:rsidRPr="0013396E" w:rsidRDefault="00B6651E" w:rsidP="00FF2663">
      <w:pPr>
        <w:spacing w:after="240"/>
        <w:ind w:left="720" w:hanging="720"/>
        <w:rPr>
          <w:szCs w:val="24"/>
        </w:rPr>
      </w:pPr>
      <w:r w:rsidRPr="0013396E">
        <w:rPr>
          <w:color w:val="000000"/>
          <w:szCs w:val="24"/>
        </w:rPr>
        <w:t>(2)</w:t>
      </w:r>
      <w:r w:rsidRPr="0013396E">
        <w:rPr>
          <w:color w:val="000000"/>
          <w:szCs w:val="24"/>
        </w:rPr>
        <w:tab/>
        <w:t>To qualify for a Constraint Management Plan Cost Recovery Payment the following conditions must be met:</w:t>
      </w:r>
    </w:p>
    <w:p w14:paraId="0A4EB91C" w14:textId="77777777" w:rsidR="00B6651E" w:rsidRPr="0013396E" w:rsidRDefault="00B6651E" w:rsidP="00FF2663">
      <w:pPr>
        <w:spacing w:after="240"/>
        <w:ind w:left="1440" w:hanging="720"/>
        <w:rPr>
          <w:szCs w:val="24"/>
        </w:rPr>
      </w:pPr>
      <w:r w:rsidRPr="0013396E">
        <w:rPr>
          <w:szCs w:val="24"/>
        </w:rPr>
        <w:t>(a)</w:t>
      </w:r>
      <w:r w:rsidRPr="0013396E">
        <w:rPr>
          <w:szCs w:val="24"/>
        </w:rPr>
        <w:tab/>
        <w:t xml:space="preserve">The </w:t>
      </w:r>
      <w:r w:rsidRPr="0013396E">
        <w:rPr>
          <w:color w:val="000000"/>
          <w:szCs w:val="24"/>
        </w:rPr>
        <w:t>CMP</w:t>
      </w:r>
      <w:r w:rsidRPr="0013396E">
        <w:rPr>
          <w:szCs w:val="24"/>
        </w:rPr>
        <w:t xml:space="preserve"> or VDI must have financially impacted the Generation Resource that tripped Off-Line;</w:t>
      </w:r>
    </w:p>
    <w:p w14:paraId="09202358" w14:textId="009DB033" w:rsidR="00B6651E" w:rsidRPr="0013396E" w:rsidRDefault="00B6651E" w:rsidP="00FF2663">
      <w:pPr>
        <w:spacing w:after="240"/>
        <w:ind w:left="1440" w:hanging="720"/>
        <w:rPr>
          <w:szCs w:val="24"/>
        </w:rPr>
      </w:pPr>
      <w:r w:rsidRPr="0013396E">
        <w:rPr>
          <w:szCs w:val="24"/>
        </w:rPr>
        <w:t>(b)</w:t>
      </w:r>
      <w:r w:rsidRPr="0013396E">
        <w:rPr>
          <w:szCs w:val="24"/>
        </w:rPr>
        <w:tab/>
        <w:t xml:space="preserve">The Generation Resource must have tripped Off-Line from a transmission equipment operation in an N-1 contingency following activation of a CMP directly impacting transmission equipment connected to the Generation Resource or an equivalent VDI issued by ERCOT to the Generation Resource or its Transmission Operator </w:t>
      </w:r>
      <w:r w:rsidR="002A367C" w:rsidRPr="0013396E">
        <w:rPr>
          <w:szCs w:val="24"/>
        </w:rPr>
        <w:t xml:space="preserve">(TO) </w:t>
      </w:r>
      <w:r w:rsidRPr="0013396E">
        <w:rPr>
          <w:szCs w:val="24"/>
        </w:rPr>
        <w:t>to operate equipment to produce the same effect; and</w:t>
      </w:r>
    </w:p>
    <w:p w14:paraId="30F894FA" w14:textId="77777777" w:rsidR="00B6651E" w:rsidRPr="0013396E" w:rsidRDefault="00B6651E" w:rsidP="00FF2663">
      <w:pPr>
        <w:spacing w:after="240"/>
        <w:ind w:left="1440" w:hanging="720"/>
        <w:rPr>
          <w:szCs w:val="24"/>
        </w:rPr>
      </w:pPr>
      <w:r w:rsidRPr="0013396E">
        <w:rPr>
          <w:szCs w:val="24"/>
        </w:rPr>
        <w:lastRenderedPageBreak/>
        <w:t>(c)</w:t>
      </w:r>
      <w:r w:rsidRPr="0013396E">
        <w:rPr>
          <w:szCs w:val="24"/>
        </w:rPr>
        <w:tab/>
      </w:r>
      <w:bookmarkStart w:id="1701" w:name="_Hlk204410987"/>
      <w:r w:rsidRPr="0013396E">
        <w:rPr>
          <w:szCs w:val="24"/>
        </w:rPr>
        <w:t xml:space="preserve">The QSE must file a timely Settlement and billing dispute, including the following items: </w:t>
      </w:r>
      <w:bookmarkEnd w:id="1701"/>
    </w:p>
    <w:p w14:paraId="4B780287" w14:textId="77777777" w:rsidR="00B6651E" w:rsidRPr="0013396E" w:rsidRDefault="00B6651E" w:rsidP="00FF2663">
      <w:pPr>
        <w:spacing w:after="240"/>
        <w:ind w:left="2160" w:hanging="720"/>
        <w:rPr>
          <w:szCs w:val="24"/>
        </w:rPr>
      </w:pPr>
      <w:r w:rsidRPr="0013396E">
        <w:rPr>
          <w:szCs w:val="24"/>
        </w:rPr>
        <w:t>(i)</w:t>
      </w:r>
      <w:r w:rsidRPr="0013396E">
        <w:rPr>
          <w:szCs w:val="24"/>
        </w:rPr>
        <w:tab/>
        <w:t>An attestation signed by an officer or executive with authority to bind the QSE;</w:t>
      </w:r>
    </w:p>
    <w:p w14:paraId="5605C85D" w14:textId="77777777" w:rsidR="00B6651E" w:rsidRPr="0013396E" w:rsidRDefault="00B6651E" w:rsidP="00FF2663">
      <w:pPr>
        <w:spacing w:after="240"/>
        <w:ind w:left="2160" w:hanging="720"/>
        <w:rPr>
          <w:szCs w:val="24"/>
        </w:rPr>
      </w:pPr>
      <w:r w:rsidRPr="0013396E">
        <w:rPr>
          <w:szCs w:val="24"/>
        </w:rPr>
        <w:t>(ii)</w:t>
      </w:r>
      <w:r w:rsidRPr="0013396E">
        <w:rPr>
          <w:szCs w:val="24"/>
        </w:rPr>
        <w:tab/>
        <w:t>The dollar amount and calculation of the demonstrable financial loss by Settlement Interval and the total repair cost for the CMP event, including:</w:t>
      </w:r>
    </w:p>
    <w:p w14:paraId="36E47107" w14:textId="77777777" w:rsidR="00B6651E" w:rsidRPr="0013396E" w:rsidRDefault="00B6651E" w:rsidP="00E7745B">
      <w:pPr>
        <w:spacing w:after="240"/>
        <w:ind w:left="2880" w:hanging="720"/>
        <w:rPr>
          <w:szCs w:val="24"/>
        </w:rPr>
      </w:pPr>
      <w:r w:rsidRPr="0013396E">
        <w:rPr>
          <w:szCs w:val="24"/>
        </w:rPr>
        <w:t>(A)</w:t>
      </w:r>
      <w:r w:rsidRPr="0013396E">
        <w:rPr>
          <w:szCs w:val="24"/>
        </w:rPr>
        <w:tab/>
        <w:t xml:space="preserve">Demonstrable financial losses (excluding lost opportunity costs) while Resource is in an Outage caused by the CMP or equivalent VDI unit trip Off-Line and with a Resource Status of OUT, associated with one of the following: </w:t>
      </w:r>
    </w:p>
    <w:p w14:paraId="74D0D9D4" w14:textId="77777777" w:rsidR="00B6651E" w:rsidRPr="0013396E" w:rsidRDefault="00B6651E" w:rsidP="00E7745B">
      <w:pPr>
        <w:spacing w:after="240"/>
        <w:ind w:left="3600" w:hanging="720"/>
        <w:rPr>
          <w:szCs w:val="24"/>
        </w:rPr>
      </w:pPr>
      <w:r w:rsidRPr="0013396E">
        <w:rPr>
          <w:szCs w:val="24"/>
        </w:rPr>
        <w:t>(1)</w:t>
      </w:r>
      <w:r w:rsidRPr="0013396E">
        <w:rPr>
          <w:szCs w:val="24"/>
        </w:rPr>
        <w:tab/>
        <w:t xml:space="preserve">QSEs representing Generation Resources in their portfolio with a bilateral contract to sell energy at its Resource Node; or </w:t>
      </w:r>
    </w:p>
    <w:p w14:paraId="0B419461" w14:textId="18D562B5" w:rsidR="00B6651E" w:rsidRPr="0013396E" w:rsidRDefault="00B6651E" w:rsidP="00E7745B">
      <w:pPr>
        <w:spacing w:after="240"/>
        <w:ind w:left="3600" w:hanging="720"/>
        <w:rPr>
          <w:szCs w:val="24"/>
        </w:rPr>
      </w:pPr>
      <w:r w:rsidRPr="0013396E">
        <w:rPr>
          <w:szCs w:val="24"/>
        </w:rPr>
        <w:t>(2)</w:t>
      </w:r>
      <w:r w:rsidRPr="0013396E">
        <w:rPr>
          <w:szCs w:val="24"/>
        </w:rPr>
        <w:tab/>
        <w:t xml:space="preserve">Incremental costs incurred by a QSE in the RTM to serve its Load if the </w:t>
      </w:r>
      <w:r w:rsidR="00E7745B" w:rsidRPr="0013396E">
        <w:rPr>
          <w:szCs w:val="24"/>
        </w:rPr>
        <w:t>O</w:t>
      </w:r>
      <w:r w:rsidRPr="0013396E">
        <w:rPr>
          <w:szCs w:val="24"/>
        </w:rPr>
        <w:t xml:space="preserve">utage for the Resource is in the same QSE portfolio as the Load, and causes the QSE to be short energy compared to its Load for the intervals affected by the </w:t>
      </w:r>
      <w:r w:rsidR="00E7745B" w:rsidRPr="0013396E">
        <w:rPr>
          <w:szCs w:val="24"/>
        </w:rPr>
        <w:t>O</w:t>
      </w:r>
      <w:r w:rsidRPr="0013396E">
        <w:rPr>
          <w:szCs w:val="24"/>
        </w:rPr>
        <w:t>utage; or</w:t>
      </w:r>
    </w:p>
    <w:p w14:paraId="6DE5F22D" w14:textId="77777777" w:rsidR="00B6651E" w:rsidRPr="0013396E" w:rsidRDefault="00B6651E" w:rsidP="00E7745B">
      <w:pPr>
        <w:spacing w:after="240"/>
        <w:ind w:left="3600" w:hanging="720"/>
        <w:rPr>
          <w:szCs w:val="24"/>
        </w:rPr>
      </w:pPr>
      <w:r w:rsidRPr="0013396E">
        <w:rPr>
          <w:szCs w:val="24"/>
        </w:rPr>
        <w:t>(3)</w:t>
      </w:r>
      <w:r w:rsidRPr="0013396E">
        <w:rPr>
          <w:szCs w:val="24"/>
        </w:rPr>
        <w:tab/>
        <w:t xml:space="preserve">Variable cost components of DAM obligations; and </w:t>
      </w:r>
    </w:p>
    <w:p w14:paraId="2988973E" w14:textId="77777777" w:rsidR="00B6651E" w:rsidRPr="0013396E" w:rsidRDefault="00B6651E" w:rsidP="00E7745B">
      <w:pPr>
        <w:spacing w:after="240"/>
        <w:ind w:left="2880" w:hanging="720"/>
        <w:rPr>
          <w:rFonts w:ascii="Aptos" w:hAnsi="Aptos"/>
          <w:szCs w:val="24"/>
        </w:rPr>
      </w:pPr>
      <w:r w:rsidRPr="0013396E">
        <w:rPr>
          <w:szCs w:val="24"/>
        </w:rPr>
        <w:t>(B)</w:t>
      </w:r>
      <w:r w:rsidRPr="0013396E">
        <w:rPr>
          <w:szCs w:val="24"/>
        </w:rPr>
        <w:tab/>
        <w:t>Actual costs incurred to repair the plant equipment directly attributable to the Forced Outage caused by the CMP activation or equivalent VDI.  The maximum amount recoverable shall be capped at $500,000 per event.  Such costs include, but are not limited to:</w:t>
      </w:r>
    </w:p>
    <w:p w14:paraId="781EF8C4" w14:textId="77777777" w:rsidR="00B6651E" w:rsidRPr="0013396E" w:rsidRDefault="00B6651E" w:rsidP="00E7745B">
      <w:pPr>
        <w:spacing w:after="240"/>
        <w:ind w:left="3600" w:hanging="720"/>
        <w:rPr>
          <w:szCs w:val="24"/>
        </w:rPr>
      </w:pPr>
      <w:r w:rsidRPr="0013396E">
        <w:rPr>
          <w:szCs w:val="24"/>
        </w:rPr>
        <w:t>(1)</w:t>
      </w:r>
      <w:r w:rsidRPr="0013396E">
        <w:rPr>
          <w:szCs w:val="24"/>
        </w:rPr>
        <w:tab/>
        <w:t>Costs associated with a Forced Outage if the result of the trip is due to the implementation of the CMP or equivalent VDI;</w:t>
      </w:r>
    </w:p>
    <w:p w14:paraId="573A6FD6" w14:textId="77777777" w:rsidR="00B6651E" w:rsidRPr="0013396E" w:rsidRDefault="00B6651E" w:rsidP="00E7745B">
      <w:pPr>
        <w:spacing w:after="240"/>
        <w:ind w:left="3600" w:hanging="720"/>
        <w:rPr>
          <w:szCs w:val="24"/>
        </w:rPr>
      </w:pPr>
      <w:r w:rsidRPr="0013396E">
        <w:rPr>
          <w:szCs w:val="24"/>
        </w:rPr>
        <w:t>(2)</w:t>
      </w:r>
      <w:r w:rsidRPr="0013396E">
        <w:rPr>
          <w:szCs w:val="24"/>
        </w:rPr>
        <w:tab/>
        <w:t>Additional staff or contractor time as a result of the Forced Outage;</w:t>
      </w:r>
    </w:p>
    <w:p w14:paraId="77E14FA9" w14:textId="77777777" w:rsidR="00B6651E" w:rsidRPr="0013396E" w:rsidRDefault="00B6651E" w:rsidP="00E7745B">
      <w:pPr>
        <w:spacing w:after="240"/>
        <w:ind w:left="3600" w:hanging="720"/>
        <w:rPr>
          <w:szCs w:val="24"/>
        </w:rPr>
      </w:pPr>
      <w:r w:rsidRPr="0013396E">
        <w:rPr>
          <w:szCs w:val="24"/>
        </w:rPr>
        <w:t>(3)</w:t>
      </w:r>
      <w:r w:rsidRPr="0013396E">
        <w:rPr>
          <w:szCs w:val="24"/>
        </w:rPr>
        <w:tab/>
        <w:t>Costs of equipment rental (including but not limited to cranes, manlifts, welding machines, etc.);</w:t>
      </w:r>
    </w:p>
    <w:p w14:paraId="19BA0E51" w14:textId="77777777" w:rsidR="00B6651E" w:rsidRPr="0013396E" w:rsidRDefault="00B6651E" w:rsidP="00E7745B">
      <w:pPr>
        <w:spacing w:after="240"/>
        <w:ind w:left="3600" w:hanging="720"/>
        <w:rPr>
          <w:szCs w:val="24"/>
        </w:rPr>
      </w:pPr>
      <w:r w:rsidRPr="0013396E">
        <w:rPr>
          <w:szCs w:val="24"/>
        </w:rPr>
        <w:t>(4)</w:t>
      </w:r>
      <w:r w:rsidRPr="0013396E">
        <w:rPr>
          <w:szCs w:val="24"/>
        </w:rPr>
        <w:tab/>
        <w:t>Costs of facility rentals and other incidental incremental costs incurred by the Resource or its QSE created by the Forced Outage; and</w:t>
      </w:r>
    </w:p>
    <w:p w14:paraId="11C40016" w14:textId="77777777" w:rsidR="00B6651E" w:rsidRPr="0013396E" w:rsidRDefault="00B6651E" w:rsidP="00E7745B">
      <w:pPr>
        <w:spacing w:after="240"/>
        <w:ind w:left="3600" w:hanging="720"/>
        <w:rPr>
          <w:szCs w:val="24"/>
        </w:rPr>
      </w:pPr>
      <w:r w:rsidRPr="0013396E">
        <w:rPr>
          <w:szCs w:val="24"/>
        </w:rPr>
        <w:t>(5)</w:t>
      </w:r>
      <w:r w:rsidRPr="0013396E">
        <w:rPr>
          <w:szCs w:val="24"/>
        </w:rPr>
        <w:tab/>
        <w:t>The cost of materials to be repaired that is a direct result of the Forced Outage.</w:t>
      </w:r>
    </w:p>
    <w:p w14:paraId="27440A7C" w14:textId="77777777" w:rsidR="00B6651E" w:rsidRPr="0013396E" w:rsidRDefault="00B6651E" w:rsidP="00E7745B">
      <w:pPr>
        <w:spacing w:after="240"/>
        <w:ind w:left="2880" w:hanging="720"/>
        <w:rPr>
          <w:szCs w:val="24"/>
        </w:rPr>
      </w:pPr>
      <w:r w:rsidRPr="0013396E">
        <w:rPr>
          <w:szCs w:val="24"/>
        </w:rPr>
        <w:lastRenderedPageBreak/>
        <w:t>(C)</w:t>
      </w:r>
      <w:r w:rsidRPr="0013396E">
        <w:rPr>
          <w:szCs w:val="24"/>
        </w:rPr>
        <w:tab/>
        <w:t>Costs covered under paragraphs (A) and (B) above do not include:</w:t>
      </w:r>
    </w:p>
    <w:p w14:paraId="7852FD40" w14:textId="77777777" w:rsidR="00B6651E" w:rsidRPr="0013396E" w:rsidRDefault="00B6651E" w:rsidP="00E7745B">
      <w:pPr>
        <w:spacing w:after="240"/>
        <w:ind w:left="3600" w:hanging="720"/>
        <w:rPr>
          <w:szCs w:val="24"/>
        </w:rPr>
      </w:pPr>
      <w:r w:rsidRPr="0013396E">
        <w:rPr>
          <w:szCs w:val="24"/>
        </w:rPr>
        <w:t>(1)</w:t>
      </w:r>
      <w:r w:rsidRPr="0013396E">
        <w:rPr>
          <w:szCs w:val="24"/>
        </w:rPr>
        <w:tab/>
        <w:t>Capital expenditures.</w:t>
      </w:r>
    </w:p>
    <w:p w14:paraId="22CA8806" w14:textId="77777777" w:rsidR="00B6651E" w:rsidRPr="0013396E" w:rsidRDefault="00B6651E" w:rsidP="00FF2663">
      <w:pPr>
        <w:spacing w:after="240"/>
        <w:ind w:left="2160" w:hanging="720"/>
        <w:rPr>
          <w:szCs w:val="24"/>
        </w:rPr>
      </w:pPr>
      <w:r w:rsidRPr="0013396E">
        <w:rPr>
          <w:szCs w:val="24"/>
        </w:rPr>
        <w:t>(iii)</w:t>
      </w:r>
      <w:r w:rsidRPr="0013396E">
        <w:rPr>
          <w:szCs w:val="24"/>
        </w:rPr>
        <w:tab/>
        <w:t xml:space="preserve">An explanation of the nature of the loss and how it was attributable to the CMP or equivalent VDI issued by ERCOT; and </w:t>
      </w:r>
    </w:p>
    <w:p w14:paraId="4ED106C0" w14:textId="77777777" w:rsidR="00B6651E" w:rsidRPr="0013396E" w:rsidRDefault="00B6651E" w:rsidP="00FF2663">
      <w:pPr>
        <w:spacing w:after="240"/>
        <w:ind w:left="2160" w:hanging="720"/>
        <w:rPr>
          <w:szCs w:val="24"/>
        </w:rPr>
      </w:pPr>
      <w:r w:rsidRPr="0013396E">
        <w:rPr>
          <w:szCs w:val="24"/>
        </w:rPr>
        <w:t>(iv)</w:t>
      </w:r>
      <w:r w:rsidRPr="0013396E">
        <w:rPr>
          <w:szCs w:val="24"/>
        </w:rPr>
        <w:tab/>
        <w:t>Sufficient documentation to support the QSE’s calculation of the amount of the financial loss.</w:t>
      </w:r>
    </w:p>
    <w:p w14:paraId="43FCD2E9" w14:textId="75B34859" w:rsidR="00B6651E" w:rsidRPr="0013396E" w:rsidRDefault="00B6651E" w:rsidP="00B6651E">
      <w:pPr>
        <w:spacing w:after="240"/>
        <w:ind w:left="720" w:hanging="720"/>
        <w:rPr>
          <w:szCs w:val="24"/>
        </w:rPr>
      </w:pPr>
      <w:r w:rsidRPr="0013396E">
        <w:rPr>
          <w:szCs w:val="24"/>
        </w:rPr>
        <w:t>(3)</w:t>
      </w:r>
      <w:r w:rsidRPr="0013396E">
        <w:rPr>
          <w:szCs w:val="24"/>
        </w:rPr>
        <w:tab/>
        <w:t xml:space="preserve">If the total Settlement amount of demonstrable financial losses included within </w:t>
      </w:r>
      <w:r w:rsidRPr="0013396E">
        <w:rPr>
          <w:color w:val="000000"/>
          <w:szCs w:val="24"/>
        </w:rPr>
        <w:t>Constraint Management Plan Cost Recovery Payments</w:t>
      </w:r>
      <w:r w:rsidRPr="0013396E">
        <w:rPr>
          <w:szCs w:val="24"/>
        </w:rPr>
        <w:t>, as defined in paragraph (2)(c)(ii)(A) above, exceeds $1.5 million in a calendar year, ERCOT will report to the TAC the causes of the payments and provide recommendations on how to reduce the costs based on the eligible demonstrable financial loss criteria in paragraph (2)(c)(ii)(A) above.</w:t>
      </w:r>
    </w:p>
    <w:p w14:paraId="55340258" w14:textId="77777777" w:rsidR="00B6651E" w:rsidRPr="0013396E" w:rsidRDefault="00B6651E" w:rsidP="00B6651E">
      <w:pPr>
        <w:spacing w:after="240"/>
        <w:ind w:left="720" w:hanging="720"/>
        <w:rPr>
          <w:szCs w:val="24"/>
        </w:rPr>
      </w:pPr>
      <w:r w:rsidRPr="0013396E">
        <w:rPr>
          <w:szCs w:val="24"/>
        </w:rPr>
        <w:t>(4)</w:t>
      </w:r>
      <w:r w:rsidRPr="0013396E">
        <w:rPr>
          <w:szCs w:val="24"/>
        </w:rPr>
        <w:tab/>
        <w:t>The period used to calculate the Constraint Management Plan Cost Recovery Payment calculation will start at the Settlement Interval of initial trip and will conclude in the Settlement Interval at the soonest of:</w:t>
      </w:r>
    </w:p>
    <w:p w14:paraId="474AD1AB" w14:textId="77777777" w:rsidR="00B6651E" w:rsidRPr="0013396E" w:rsidRDefault="00B6651E" w:rsidP="00B6651E">
      <w:pPr>
        <w:spacing w:after="240"/>
        <w:ind w:left="1440" w:hanging="720"/>
        <w:rPr>
          <w:szCs w:val="24"/>
        </w:rPr>
      </w:pPr>
      <w:r w:rsidRPr="0013396E">
        <w:rPr>
          <w:color w:val="000000"/>
          <w:szCs w:val="24"/>
        </w:rPr>
        <w:t>(a)</w:t>
      </w:r>
      <w:r w:rsidRPr="0013396E">
        <w:rPr>
          <w:color w:val="000000"/>
          <w:szCs w:val="24"/>
        </w:rPr>
        <w:tab/>
      </w:r>
      <w:r w:rsidRPr="0013396E">
        <w:rPr>
          <w:szCs w:val="24"/>
        </w:rPr>
        <w:t>The Generation Resource is On-Line and available for Dispatch as per telemetry; or</w:t>
      </w:r>
    </w:p>
    <w:p w14:paraId="1C5A75F3" w14:textId="77777777" w:rsidR="00B6651E" w:rsidRPr="0013396E" w:rsidRDefault="00B6651E" w:rsidP="00B6651E">
      <w:pPr>
        <w:spacing w:after="240"/>
        <w:ind w:left="1440" w:hanging="720"/>
        <w:rPr>
          <w:szCs w:val="24"/>
        </w:rPr>
      </w:pPr>
      <w:r w:rsidRPr="0013396E">
        <w:rPr>
          <w:szCs w:val="24"/>
        </w:rPr>
        <w:t>(b)</w:t>
      </w:r>
      <w:r w:rsidRPr="0013396E">
        <w:rPr>
          <w:szCs w:val="24"/>
        </w:rPr>
        <w:tab/>
        <w:t>Ninety-six Operating Hours after the Resource trips Off-Line.</w:t>
      </w:r>
    </w:p>
    <w:p w14:paraId="556BA32C" w14:textId="77777777" w:rsidR="00B6651E" w:rsidRPr="0013396E" w:rsidRDefault="00B6651E" w:rsidP="00B6651E">
      <w:pPr>
        <w:spacing w:after="240"/>
        <w:ind w:left="720" w:hanging="720"/>
        <w:rPr>
          <w:color w:val="000000"/>
          <w:szCs w:val="24"/>
        </w:rPr>
      </w:pPr>
      <w:r w:rsidRPr="0013396E">
        <w:rPr>
          <w:color w:val="000000"/>
          <w:szCs w:val="24"/>
        </w:rPr>
        <w:t>(5)</w:t>
      </w:r>
      <w:r w:rsidRPr="0013396E">
        <w:rPr>
          <w:color w:val="000000"/>
          <w:szCs w:val="24"/>
        </w:rPr>
        <w:tab/>
        <w:t xml:space="preserve">ERCOT may request additional supporting documentation or explanation with respect to the submitted materials within 60 Business Days of receipt.  Additional information requested by ERCOT must be provided by the QSE within 15 Business Days of ERCOT’s request.  ERCOT will provide Notice of its acceptance or rejection of the claim for the Real-Time Constraint Management Plan Energy Payment within 15 Business Days of the updated submission, or request additional clarification as needed. </w:t>
      </w:r>
    </w:p>
    <w:p w14:paraId="1D5FBC28" w14:textId="74829D4D" w:rsidR="00B6651E" w:rsidRPr="0013396E" w:rsidRDefault="00B6651E" w:rsidP="00B6651E">
      <w:pPr>
        <w:spacing w:after="240"/>
        <w:ind w:left="720" w:hanging="720"/>
        <w:rPr>
          <w:color w:val="000000"/>
          <w:szCs w:val="24"/>
        </w:rPr>
      </w:pPr>
      <w:r w:rsidRPr="0013396E">
        <w:rPr>
          <w:color w:val="000000"/>
          <w:szCs w:val="24"/>
        </w:rPr>
        <w:t>(6)</w:t>
      </w:r>
      <w:r w:rsidRPr="0013396E">
        <w:rPr>
          <w:color w:val="000000"/>
          <w:szCs w:val="24"/>
        </w:rPr>
        <w:tab/>
        <w:t xml:space="preserve">The Startup </w:t>
      </w:r>
      <w:r w:rsidR="00494238" w:rsidRPr="0013396E">
        <w:rPr>
          <w:color w:val="000000"/>
          <w:szCs w:val="24"/>
        </w:rPr>
        <w:t>C</w:t>
      </w:r>
      <w:r w:rsidRPr="0013396E">
        <w:rPr>
          <w:color w:val="000000"/>
          <w:szCs w:val="24"/>
        </w:rPr>
        <w:t xml:space="preserve">osts available for the Generation Resource will be based on the Resource’s Category Startup Offer Generic Cap unless ERCOT has approved verifiable unit-specific Startup Costs for the Resource.  If applicable, the calculated Verifiable Startup </w:t>
      </w:r>
      <w:r w:rsidR="00494238" w:rsidRPr="0013396E">
        <w:rPr>
          <w:color w:val="000000"/>
          <w:szCs w:val="24"/>
        </w:rPr>
        <w:t>C</w:t>
      </w:r>
      <w:r w:rsidRPr="0013396E">
        <w:rPr>
          <w:color w:val="000000"/>
          <w:szCs w:val="24"/>
        </w:rPr>
        <w:t xml:space="preserve">osts will be based on </w:t>
      </w:r>
      <w:r w:rsidR="00D013D7" w:rsidRPr="0013396E">
        <w:rPr>
          <w:color w:val="000000"/>
          <w:szCs w:val="24"/>
        </w:rPr>
        <w:t>Fuel Index Price (</w:t>
      </w:r>
      <w:r w:rsidRPr="0013396E">
        <w:rPr>
          <w:color w:val="000000"/>
          <w:szCs w:val="24"/>
        </w:rPr>
        <w:t>FIP</w:t>
      </w:r>
      <w:r w:rsidR="00D013D7" w:rsidRPr="0013396E">
        <w:rPr>
          <w:color w:val="000000"/>
          <w:szCs w:val="24"/>
        </w:rPr>
        <w:t>)</w:t>
      </w:r>
      <w:r w:rsidRPr="0013396E">
        <w:rPr>
          <w:color w:val="000000"/>
          <w:szCs w:val="24"/>
        </w:rPr>
        <w:t xml:space="preserve"> or </w:t>
      </w:r>
      <w:r w:rsidR="00D013D7" w:rsidRPr="0013396E">
        <w:rPr>
          <w:color w:val="000000"/>
          <w:szCs w:val="24"/>
        </w:rPr>
        <w:t>Fuel Oil Price (</w:t>
      </w:r>
      <w:r w:rsidRPr="0013396E">
        <w:rPr>
          <w:color w:val="000000"/>
          <w:szCs w:val="24"/>
        </w:rPr>
        <w:t>FOP</w:t>
      </w:r>
      <w:r w:rsidR="00D013D7" w:rsidRPr="0013396E">
        <w:rPr>
          <w:color w:val="000000"/>
          <w:szCs w:val="24"/>
        </w:rPr>
        <w:t>)</w:t>
      </w:r>
      <w:r w:rsidRPr="0013396E">
        <w:rPr>
          <w:color w:val="000000"/>
          <w:szCs w:val="24"/>
        </w:rPr>
        <w:t xml:space="preserve"> fuel prices for the Operating Day when the Resource tripped Off-Line.</w:t>
      </w:r>
    </w:p>
    <w:p w14:paraId="7CC216F4" w14:textId="77777777" w:rsidR="00B6651E" w:rsidRPr="0013396E" w:rsidRDefault="00B6651E" w:rsidP="00B6651E">
      <w:pPr>
        <w:spacing w:after="240"/>
        <w:ind w:left="720" w:hanging="720"/>
        <w:rPr>
          <w:color w:val="000000"/>
          <w:szCs w:val="24"/>
        </w:rPr>
      </w:pPr>
      <w:r w:rsidRPr="0013396E">
        <w:rPr>
          <w:color w:val="000000"/>
          <w:szCs w:val="24"/>
        </w:rPr>
        <w:t>(7)</w:t>
      </w:r>
      <w:r w:rsidRPr="0013396E">
        <w:rPr>
          <w:color w:val="000000"/>
          <w:szCs w:val="24"/>
        </w:rPr>
        <w:tab/>
        <w:t xml:space="preserve">The Constraint Management Plan Cost Recovery Payment shall be calculated for the period described in paragraph (4) above as follows:  </w:t>
      </w:r>
    </w:p>
    <w:p w14:paraId="3CF79955" w14:textId="79762E73" w:rsidR="00B6651E" w:rsidRPr="0013396E" w:rsidRDefault="00B6651E" w:rsidP="00B6651E">
      <w:pPr>
        <w:spacing w:after="240"/>
        <w:ind w:left="2160" w:hanging="1440"/>
        <w:rPr>
          <w:b/>
          <w:bCs/>
          <w:color w:val="000000"/>
          <w:szCs w:val="24"/>
        </w:rPr>
      </w:pPr>
      <w:r w:rsidRPr="0013396E">
        <w:rPr>
          <w:b/>
          <w:bCs/>
          <w:color w:val="000000"/>
          <w:szCs w:val="24"/>
        </w:rPr>
        <w:t>CMPCRAMT</w:t>
      </w:r>
      <w:r w:rsidRPr="0013396E">
        <w:rPr>
          <w:b/>
          <w:bCs/>
          <w:i/>
          <w:iCs/>
          <w:kern w:val="2"/>
          <w:sz w:val="20"/>
          <w:szCs w:val="24"/>
          <w:vertAlign w:val="subscript"/>
        </w:rPr>
        <w:t xml:space="preserve"> q, r, p, i</w:t>
      </w:r>
      <w:r w:rsidRPr="0013396E">
        <w:rPr>
          <w:b/>
          <w:bCs/>
          <w:color w:val="000000"/>
          <w:szCs w:val="24"/>
        </w:rPr>
        <w:t xml:space="preserve"> = (-1) * (</w:t>
      </w:r>
      <w:r w:rsidRPr="0013396E">
        <w:rPr>
          <w:b/>
          <w:bCs/>
          <w:szCs w:val="24"/>
        </w:rPr>
        <w:t xml:space="preserve">CMPFALA </w:t>
      </w:r>
      <w:r w:rsidRPr="0013396E">
        <w:rPr>
          <w:b/>
          <w:bCs/>
          <w:i/>
          <w:iCs/>
          <w:kern w:val="2"/>
          <w:sz w:val="20"/>
          <w:szCs w:val="24"/>
          <w:vertAlign w:val="subscript"/>
        </w:rPr>
        <w:t>q, r, p, i</w:t>
      </w:r>
      <w:r w:rsidRPr="0013396E">
        <w:rPr>
          <w:b/>
          <w:bCs/>
          <w:i/>
          <w:iCs/>
          <w:color w:val="000000"/>
          <w:szCs w:val="24"/>
          <w:vertAlign w:val="subscript"/>
        </w:rPr>
        <w:t xml:space="preserve"> </w:t>
      </w:r>
      <w:r w:rsidRPr="0013396E">
        <w:rPr>
          <w:b/>
          <w:bCs/>
          <w:color w:val="000000"/>
          <w:szCs w:val="24"/>
        </w:rPr>
        <w:t xml:space="preserve">+ </w:t>
      </w:r>
      <w:r w:rsidRPr="0013396E">
        <w:rPr>
          <w:b/>
          <w:bCs/>
          <w:szCs w:val="24"/>
        </w:rPr>
        <w:t xml:space="preserve">CMPRALA </w:t>
      </w:r>
      <w:r w:rsidRPr="0013396E">
        <w:rPr>
          <w:b/>
          <w:bCs/>
          <w:i/>
          <w:iCs/>
          <w:kern w:val="2"/>
          <w:sz w:val="20"/>
          <w:szCs w:val="24"/>
          <w:vertAlign w:val="subscript"/>
        </w:rPr>
        <w:t>q, r, p, i</w:t>
      </w:r>
      <w:r w:rsidRPr="0013396E" w:rsidDel="00613720">
        <w:rPr>
          <w:b/>
          <w:bCs/>
          <w:i/>
          <w:iCs/>
          <w:color w:val="000000"/>
          <w:szCs w:val="24"/>
          <w:vertAlign w:val="subscript"/>
        </w:rPr>
        <w:t xml:space="preserve"> </w:t>
      </w:r>
      <w:r w:rsidRPr="0013396E">
        <w:rPr>
          <w:b/>
          <w:bCs/>
          <w:color w:val="000000"/>
          <w:szCs w:val="24"/>
        </w:rPr>
        <w:t>+ CMPSUPR</w:t>
      </w:r>
      <w:r w:rsidRPr="0013396E">
        <w:rPr>
          <w:b/>
          <w:bCs/>
          <w:color w:val="000000"/>
          <w:szCs w:val="24"/>
          <w:vertAlign w:val="subscript"/>
        </w:rPr>
        <w:t xml:space="preserve"> </w:t>
      </w:r>
      <w:r w:rsidRPr="0013396E">
        <w:rPr>
          <w:b/>
          <w:bCs/>
          <w:i/>
          <w:iCs/>
          <w:kern w:val="2"/>
          <w:sz w:val="20"/>
          <w:szCs w:val="24"/>
          <w:vertAlign w:val="subscript"/>
        </w:rPr>
        <w:t>q, r, p, i</w:t>
      </w:r>
      <w:r w:rsidRPr="0013396E">
        <w:rPr>
          <w:b/>
          <w:bCs/>
          <w:color w:val="000000"/>
          <w:szCs w:val="24"/>
        </w:rPr>
        <w:t>)</w:t>
      </w:r>
    </w:p>
    <w:p w14:paraId="01C2341D" w14:textId="77777777" w:rsidR="00B6651E" w:rsidRPr="0013396E" w:rsidRDefault="00B6651E" w:rsidP="00494238">
      <w:pPr>
        <w:tabs>
          <w:tab w:val="left" w:pos="1440"/>
          <w:tab w:val="left" w:pos="2340"/>
        </w:tabs>
        <w:spacing w:after="240"/>
        <w:ind w:left="3420" w:hanging="2700"/>
        <w:rPr>
          <w:szCs w:val="24"/>
          <w:lang w:val="pt-BR"/>
        </w:rPr>
      </w:pPr>
      <w:r w:rsidRPr="0013396E">
        <w:rPr>
          <w:szCs w:val="24"/>
          <w:lang w:val="pt-BR"/>
        </w:rPr>
        <w:t xml:space="preserve">Where: </w:t>
      </w:r>
    </w:p>
    <w:p w14:paraId="1255F509" w14:textId="48380F3A" w:rsidR="00B6651E" w:rsidRPr="0013396E" w:rsidRDefault="00B6651E" w:rsidP="00494238">
      <w:pPr>
        <w:tabs>
          <w:tab w:val="left" w:pos="1440"/>
          <w:tab w:val="left" w:pos="2340"/>
        </w:tabs>
        <w:spacing w:after="240"/>
        <w:ind w:left="3420" w:hanging="2700"/>
        <w:rPr>
          <w:szCs w:val="24"/>
          <w:lang w:val="pt-BR"/>
        </w:rPr>
      </w:pPr>
      <w:r w:rsidRPr="0013396E">
        <w:rPr>
          <w:szCs w:val="24"/>
          <w:lang w:val="pt-BR"/>
        </w:rPr>
        <w:t xml:space="preserve">CMPFALA </w:t>
      </w:r>
      <w:r w:rsidRPr="0013396E">
        <w:rPr>
          <w:i/>
          <w:iCs/>
          <w:kern w:val="2"/>
          <w:sz w:val="20"/>
          <w:szCs w:val="24"/>
          <w:vertAlign w:val="subscript"/>
          <w:lang w:val="pt-BR"/>
        </w:rPr>
        <w:t>q, r, p, i</w:t>
      </w:r>
      <w:r w:rsidRPr="0013396E">
        <w:rPr>
          <w:i/>
          <w:szCs w:val="24"/>
          <w:vertAlign w:val="subscript"/>
          <w:lang w:val="pt-BR"/>
        </w:rPr>
        <w:t xml:space="preserve"> </w:t>
      </w:r>
      <w:r w:rsidRPr="0013396E">
        <w:rPr>
          <w:szCs w:val="24"/>
          <w:lang w:val="pt-BR"/>
        </w:rPr>
        <w:t xml:space="preserve">= Min (CMPFAL </w:t>
      </w:r>
      <w:r w:rsidRPr="0013396E">
        <w:rPr>
          <w:i/>
          <w:iCs/>
          <w:kern w:val="2"/>
          <w:sz w:val="20"/>
          <w:szCs w:val="24"/>
          <w:vertAlign w:val="subscript"/>
          <w:lang w:val="pt-BR"/>
        </w:rPr>
        <w:t>q, r, p, i</w:t>
      </w:r>
      <w:r w:rsidRPr="0013396E">
        <w:rPr>
          <w:i/>
          <w:iCs/>
          <w:sz w:val="20"/>
          <w:vertAlign w:val="subscript"/>
          <w:lang w:val="pt-BR"/>
        </w:rPr>
        <w:t>,</w:t>
      </w:r>
      <w:r w:rsidRPr="0013396E">
        <w:rPr>
          <w:szCs w:val="24"/>
          <w:lang w:val="pt-BR"/>
        </w:rPr>
        <w:t xml:space="preserve"> Max (0, (RTSPP </w:t>
      </w:r>
      <w:r w:rsidRPr="0013396E">
        <w:rPr>
          <w:i/>
          <w:iCs/>
          <w:kern w:val="2"/>
          <w:sz w:val="20"/>
          <w:szCs w:val="24"/>
          <w:vertAlign w:val="subscript"/>
          <w:lang w:val="pt-BR"/>
        </w:rPr>
        <w:t>p, i</w:t>
      </w:r>
      <w:r w:rsidRPr="0013396E" w:rsidDel="00613720">
        <w:rPr>
          <w:i/>
          <w:szCs w:val="24"/>
          <w:vertAlign w:val="subscript"/>
          <w:lang w:val="pt-BR"/>
        </w:rPr>
        <w:t xml:space="preserve"> </w:t>
      </w:r>
      <w:r w:rsidRPr="0013396E">
        <w:rPr>
          <w:szCs w:val="24"/>
          <w:lang w:val="pt-BR"/>
        </w:rPr>
        <w:t>– RTRSVPOR</w:t>
      </w:r>
      <w:r w:rsidRPr="0013396E">
        <w:rPr>
          <w:i/>
          <w:szCs w:val="24"/>
          <w:vertAlign w:val="subscript"/>
          <w:lang w:val="pt-BR"/>
        </w:rPr>
        <w:t xml:space="preserve"> </w:t>
      </w:r>
      <w:r w:rsidRPr="0013396E">
        <w:rPr>
          <w:i/>
          <w:iCs/>
          <w:kern w:val="2"/>
          <w:sz w:val="20"/>
          <w:szCs w:val="24"/>
          <w:vertAlign w:val="subscript"/>
          <w:lang w:val="pt-BR"/>
        </w:rPr>
        <w:t>i</w:t>
      </w:r>
      <w:r w:rsidRPr="0013396E" w:rsidDel="00613720">
        <w:rPr>
          <w:i/>
          <w:szCs w:val="24"/>
          <w:vertAlign w:val="subscript"/>
          <w:lang w:val="pt-BR"/>
        </w:rPr>
        <w:t xml:space="preserve"> </w:t>
      </w:r>
      <w:r w:rsidRPr="0013396E">
        <w:rPr>
          <w:szCs w:val="24"/>
          <w:lang w:val="pt-BR"/>
        </w:rPr>
        <w:t>– RTRDP</w:t>
      </w:r>
      <w:r w:rsidRPr="0013396E">
        <w:rPr>
          <w:i/>
          <w:szCs w:val="24"/>
          <w:vertAlign w:val="subscript"/>
          <w:lang w:val="pt-BR"/>
        </w:rPr>
        <w:t xml:space="preserve"> </w:t>
      </w:r>
      <w:r w:rsidRPr="0013396E">
        <w:rPr>
          <w:i/>
          <w:iCs/>
          <w:kern w:val="2"/>
          <w:sz w:val="20"/>
          <w:szCs w:val="24"/>
          <w:vertAlign w:val="subscript"/>
          <w:lang w:val="pt-BR"/>
        </w:rPr>
        <w:t>i</w:t>
      </w:r>
      <w:r w:rsidRPr="0013396E" w:rsidDel="00613720">
        <w:rPr>
          <w:i/>
          <w:szCs w:val="24"/>
          <w:vertAlign w:val="subscript"/>
          <w:lang w:val="pt-BR"/>
        </w:rPr>
        <w:t xml:space="preserve"> </w:t>
      </w:r>
      <w:r w:rsidRPr="0013396E">
        <w:rPr>
          <w:szCs w:val="24"/>
          <w:lang w:val="pt-BR"/>
        </w:rPr>
        <w:t xml:space="preserve">– RTEOCOST </w:t>
      </w:r>
      <w:r w:rsidRPr="0013396E">
        <w:rPr>
          <w:i/>
          <w:iCs/>
          <w:kern w:val="2"/>
          <w:sz w:val="20"/>
          <w:szCs w:val="24"/>
          <w:vertAlign w:val="subscript"/>
          <w:lang w:val="pt-BR"/>
        </w:rPr>
        <w:t>q, r, p, i</w:t>
      </w:r>
      <w:r w:rsidRPr="0013396E">
        <w:rPr>
          <w:szCs w:val="24"/>
          <w:lang w:val="pt-BR"/>
        </w:rPr>
        <w:t>) * (1/4) * CMPHSL</w:t>
      </w:r>
      <w:r w:rsidRPr="0013396E">
        <w:rPr>
          <w:i/>
          <w:szCs w:val="24"/>
          <w:vertAlign w:val="subscript"/>
          <w:lang w:val="pt-BR"/>
        </w:rPr>
        <w:t xml:space="preserve"> </w:t>
      </w:r>
      <w:r w:rsidRPr="0013396E">
        <w:rPr>
          <w:i/>
          <w:iCs/>
          <w:kern w:val="2"/>
          <w:sz w:val="20"/>
          <w:szCs w:val="24"/>
          <w:vertAlign w:val="subscript"/>
          <w:lang w:val="pt-BR"/>
        </w:rPr>
        <w:t>q, r, p, h</w:t>
      </w:r>
      <w:r w:rsidRPr="0013396E">
        <w:rPr>
          <w:szCs w:val="24"/>
          <w:lang w:val="pt-BR"/>
        </w:rPr>
        <w:t>))</w:t>
      </w:r>
    </w:p>
    <w:p w14:paraId="06A60C1A" w14:textId="77777777" w:rsidR="00B6651E" w:rsidRPr="0013396E" w:rsidRDefault="00B6651E" w:rsidP="00494238">
      <w:pPr>
        <w:tabs>
          <w:tab w:val="left" w:pos="1440"/>
          <w:tab w:val="left" w:pos="2340"/>
        </w:tabs>
        <w:spacing w:after="240"/>
        <w:ind w:left="3420" w:hanging="2700"/>
        <w:rPr>
          <w:szCs w:val="24"/>
        </w:rPr>
      </w:pPr>
      <w:r w:rsidRPr="0013396E">
        <w:rPr>
          <w:szCs w:val="24"/>
        </w:rPr>
        <w:lastRenderedPageBreak/>
        <w:t xml:space="preserve">And, </w:t>
      </w:r>
    </w:p>
    <w:p w14:paraId="2B2B03E9" w14:textId="77777777" w:rsidR="00B6651E" w:rsidRPr="0013396E" w:rsidRDefault="00B6651E" w:rsidP="00494238">
      <w:pPr>
        <w:tabs>
          <w:tab w:val="left" w:pos="1440"/>
          <w:tab w:val="left" w:pos="2340"/>
        </w:tabs>
        <w:spacing w:after="240"/>
        <w:ind w:left="720"/>
        <w:rPr>
          <w:color w:val="000000"/>
          <w:szCs w:val="24"/>
        </w:rPr>
      </w:pPr>
      <w:r w:rsidRPr="0013396E">
        <w:rPr>
          <w:color w:val="000000"/>
          <w:szCs w:val="24"/>
        </w:rPr>
        <w:t>Where the repair costs are allocated equally over the intervals corresponding to the period determined in paragraph (4) above:</w:t>
      </w:r>
    </w:p>
    <w:p w14:paraId="2C41B98B" w14:textId="03E5855C" w:rsidR="00B6651E" w:rsidRPr="0013396E" w:rsidRDefault="00B6651E" w:rsidP="00494238">
      <w:pPr>
        <w:tabs>
          <w:tab w:val="left" w:pos="1440"/>
          <w:tab w:val="left" w:pos="2340"/>
        </w:tabs>
        <w:spacing w:after="240"/>
        <w:ind w:left="3420" w:hanging="2700"/>
        <w:rPr>
          <w:szCs w:val="24"/>
        </w:rPr>
      </w:pPr>
      <w:r w:rsidRPr="0013396E">
        <w:rPr>
          <w:szCs w:val="24"/>
        </w:rPr>
        <w:t xml:space="preserve">CMPRALA </w:t>
      </w:r>
      <w:r w:rsidRPr="0013396E">
        <w:rPr>
          <w:i/>
          <w:iCs/>
          <w:kern w:val="2"/>
          <w:sz w:val="20"/>
          <w:szCs w:val="24"/>
          <w:vertAlign w:val="subscript"/>
        </w:rPr>
        <w:t>q, r, p, i</w:t>
      </w:r>
      <w:r w:rsidRPr="0013396E">
        <w:rPr>
          <w:i/>
          <w:szCs w:val="24"/>
          <w:vertAlign w:val="subscript"/>
        </w:rPr>
        <w:t xml:space="preserve"> </w:t>
      </w:r>
      <w:r w:rsidRPr="0013396E">
        <w:rPr>
          <w:szCs w:val="24"/>
          <w:lang w:val="pt-BR"/>
        </w:rPr>
        <w:t xml:space="preserve">= </w:t>
      </w:r>
      <w:r w:rsidRPr="0013396E">
        <w:rPr>
          <w:szCs w:val="24"/>
        </w:rPr>
        <w:t>Min ($500,000</w:t>
      </w:r>
      <w:r w:rsidRPr="0013396E">
        <w:rPr>
          <w:i/>
          <w:iCs/>
          <w:szCs w:val="24"/>
        </w:rPr>
        <w:t xml:space="preserve">, </w:t>
      </w:r>
      <w:r w:rsidRPr="0013396E">
        <w:rPr>
          <w:szCs w:val="24"/>
        </w:rPr>
        <w:t xml:space="preserve">CMPRAL </w:t>
      </w:r>
      <w:r w:rsidRPr="0013396E">
        <w:rPr>
          <w:i/>
          <w:iCs/>
          <w:kern w:val="2"/>
          <w:sz w:val="20"/>
          <w:szCs w:val="24"/>
          <w:vertAlign w:val="subscript"/>
        </w:rPr>
        <w:t>q, r, p</w:t>
      </w:r>
      <w:r w:rsidRPr="0013396E">
        <w:rPr>
          <w:szCs w:val="24"/>
        </w:rPr>
        <w:t>) / Total number of intervals in CMP period</w:t>
      </w:r>
    </w:p>
    <w:p w14:paraId="7077D04D" w14:textId="77777777" w:rsidR="00B6651E" w:rsidRPr="0013396E" w:rsidRDefault="00B6651E" w:rsidP="00494238">
      <w:pPr>
        <w:tabs>
          <w:tab w:val="left" w:pos="1440"/>
          <w:tab w:val="left" w:pos="2340"/>
        </w:tabs>
        <w:spacing w:after="240"/>
        <w:ind w:left="3420" w:hanging="2700"/>
        <w:rPr>
          <w:szCs w:val="24"/>
        </w:rPr>
      </w:pPr>
      <w:r w:rsidRPr="0013396E">
        <w:rPr>
          <w:szCs w:val="24"/>
        </w:rPr>
        <w:t xml:space="preserve">And, </w:t>
      </w:r>
    </w:p>
    <w:p w14:paraId="3F7F0CC3" w14:textId="0867D879" w:rsidR="00B6651E" w:rsidRPr="0013396E" w:rsidRDefault="00B6651E" w:rsidP="00494238">
      <w:pPr>
        <w:tabs>
          <w:tab w:val="left" w:pos="1440"/>
          <w:tab w:val="left" w:pos="2340"/>
        </w:tabs>
        <w:spacing w:after="240"/>
        <w:ind w:left="720"/>
        <w:rPr>
          <w:color w:val="000000"/>
          <w:szCs w:val="24"/>
        </w:rPr>
      </w:pPr>
      <w:r w:rsidRPr="0013396E">
        <w:rPr>
          <w:color w:val="000000"/>
          <w:szCs w:val="24"/>
        </w:rPr>
        <w:t xml:space="preserve">Where on the first Operating Day of the period determined in paragraph (4) above, a cold </w:t>
      </w:r>
      <w:r w:rsidR="00494238" w:rsidRPr="0013396E">
        <w:rPr>
          <w:color w:val="000000"/>
          <w:szCs w:val="24"/>
        </w:rPr>
        <w:t>S</w:t>
      </w:r>
      <w:r w:rsidRPr="0013396E">
        <w:rPr>
          <w:color w:val="000000"/>
          <w:szCs w:val="24"/>
        </w:rPr>
        <w:t xml:space="preserve">tartup </w:t>
      </w:r>
      <w:r w:rsidR="00494238" w:rsidRPr="0013396E">
        <w:rPr>
          <w:color w:val="000000"/>
          <w:szCs w:val="24"/>
        </w:rPr>
        <w:t>C</w:t>
      </w:r>
      <w:r w:rsidRPr="0013396E">
        <w:rPr>
          <w:color w:val="000000"/>
          <w:szCs w:val="24"/>
        </w:rPr>
        <w:t xml:space="preserve">ost is allocated evenly across the CMP event intervals.  Subsequent Operating Days in the CMP event will not have </w:t>
      </w:r>
      <w:r w:rsidR="00494238" w:rsidRPr="0013396E">
        <w:rPr>
          <w:color w:val="000000"/>
          <w:szCs w:val="24"/>
        </w:rPr>
        <w:t>S</w:t>
      </w:r>
      <w:r w:rsidRPr="0013396E">
        <w:rPr>
          <w:color w:val="000000"/>
          <w:szCs w:val="24"/>
        </w:rPr>
        <w:t xml:space="preserve">tartup </w:t>
      </w:r>
      <w:r w:rsidR="00494238" w:rsidRPr="0013396E">
        <w:rPr>
          <w:color w:val="000000"/>
          <w:szCs w:val="24"/>
        </w:rPr>
        <w:t>C</w:t>
      </w:r>
      <w:r w:rsidRPr="0013396E">
        <w:rPr>
          <w:color w:val="000000"/>
          <w:szCs w:val="24"/>
        </w:rPr>
        <w:t>ost allocations.</w:t>
      </w:r>
    </w:p>
    <w:p w14:paraId="0819792C" w14:textId="249C7C70" w:rsidR="00B6651E" w:rsidRPr="0013396E" w:rsidRDefault="00B6651E" w:rsidP="00494238">
      <w:pPr>
        <w:tabs>
          <w:tab w:val="left" w:pos="1440"/>
          <w:tab w:val="left" w:pos="2340"/>
        </w:tabs>
        <w:spacing w:after="240"/>
        <w:ind w:left="3420" w:hanging="2700"/>
        <w:rPr>
          <w:szCs w:val="24"/>
        </w:rPr>
      </w:pPr>
      <w:r w:rsidRPr="0013396E">
        <w:rPr>
          <w:szCs w:val="24"/>
        </w:rPr>
        <w:t xml:space="preserve">CMPSUPR </w:t>
      </w:r>
      <w:r w:rsidRPr="0013396E">
        <w:rPr>
          <w:i/>
          <w:iCs/>
          <w:kern w:val="2"/>
          <w:sz w:val="20"/>
          <w:szCs w:val="24"/>
          <w:vertAlign w:val="subscript"/>
        </w:rPr>
        <w:t>q, r, p, i</w:t>
      </w:r>
      <w:r w:rsidRPr="0013396E">
        <w:rPr>
          <w:kern w:val="2"/>
          <w:sz w:val="20"/>
          <w:szCs w:val="24"/>
        </w:rPr>
        <w:t xml:space="preserve"> </w:t>
      </w:r>
      <w:r w:rsidRPr="0013396E">
        <w:rPr>
          <w:szCs w:val="24"/>
          <w:lang w:val="pt-BR"/>
        </w:rPr>
        <w:t xml:space="preserve">= </w:t>
      </w:r>
      <w:r w:rsidRPr="0013396E">
        <w:rPr>
          <w:szCs w:val="24"/>
        </w:rPr>
        <w:t>CMPSUCAP</w:t>
      </w:r>
      <w:r w:rsidRPr="0013396E">
        <w:rPr>
          <w:bCs/>
          <w:iCs/>
          <w:szCs w:val="24"/>
        </w:rPr>
        <w:t xml:space="preserve"> </w:t>
      </w:r>
      <w:r w:rsidRPr="0013396E">
        <w:rPr>
          <w:bCs/>
          <w:i/>
          <w:iCs/>
          <w:kern w:val="2"/>
          <w:sz w:val="20"/>
          <w:szCs w:val="24"/>
          <w:vertAlign w:val="subscript"/>
        </w:rPr>
        <w:t>q, r, p, cold</w:t>
      </w:r>
      <w:r w:rsidRPr="0013396E">
        <w:rPr>
          <w:szCs w:val="24"/>
        </w:rPr>
        <w:t xml:space="preserve"> / Total number of CMP period intervals in the first Operating Day of the CMP event</w:t>
      </w:r>
    </w:p>
    <w:p w14:paraId="544A48C7" w14:textId="77777777" w:rsidR="00B6651E" w:rsidRPr="0013396E" w:rsidRDefault="00B6651E" w:rsidP="00B6651E">
      <w:pPr>
        <w:rPr>
          <w:color w:val="000000"/>
          <w:szCs w:val="24"/>
        </w:rPr>
      </w:pPr>
      <w:r w:rsidRPr="0013396E">
        <w:rPr>
          <w:color w:val="000000"/>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3"/>
        <w:gridCol w:w="860"/>
        <w:gridCol w:w="6627"/>
      </w:tblGrid>
      <w:tr w:rsidR="00B6651E" w:rsidRPr="0013396E" w14:paraId="0A5FCAFF" w14:textId="77777777" w:rsidTr="00E844EE">
        <w:trPr>
          <w:cantSplit/>
          <w:trHeight w:val="146"/>
          <w:tblHeader/>
        </w:trPr>
        <w:tc>
          <w:tcPr>
            <w:tcW w:w="996" w:type="pct"/>
            <w:tcBorders>
              <w:top w:val="single" w:sz="4" w:space="0" w:color="auto"/>
              <w:left w:val="single" w:sz="4" w:space="0" w:color="auto"/>
              <w:bottom w:val="single" w:sz="4" w:space="0" w:color="auto"/>
              <w:right w:val="single" w:sz="4" w:space="0" w:color="auto"/>
            </w:tcBorders>
            <w:hideMark/>
          </w:tcPr>
          <w:p w14:paraId="40D6D22F" w14:textId="77777777" w:rsidR="00B6651E" w:rsidRPr="0013396E" w:rsidRDefault="00B6651E" w:rsidP="00494238">
            <w:pPr>
              <w:spacing w:after="240"/>
              <w:rPr>
                <w:b/>
                <w:iCs/>
                <w:kern w:val="2"/>
                <w:sz w:val="20"/>
                <w:szCs w:val="24"/>
              </w:rPr>
            </w:pPr>
            <w:r w:rsidRPr="0013396E">
              <w:rPr>
                <w:b/>
                <w:iCs/>
                <w:kern w:val="2"/>
                <w:sz w:val="20"/>
                <w:szCs w:val="24"/>
              </w:rPr>
              <w:t>Variable</w:t>
            </w:r>
          </w:p>
        </w:tc>
        <w:tc>
          <w:tcPr>
            <w:tcW w:w="460" w:type="pct"/>
            <w:tcBorders>
              <w:top w:val="single" w:sz="4" w:space="0" w:color="auto"/>
              <w:left w:val="single" w:sz="4" w:space="0" w:color="auto"/>
              <w:bottom w:val="single" w:sz="4" w:space="0" w:color="auto"/>
              <w:right w:val="single" w:sz="4" w:space="0" w:color="auto"/>
            </w:tcBorders>
            <w:hideMark/>
          </w:tcPr>
          <w:p w14:paraId="0C4A3164" w14:textId="77777777" w:rsidR="00B6651E" w:rsidRPr="0013396E" w:rsidRDefault="00B6651E" w:rsidP="00494238">
            <w:pPr>
              <w:spacing w:after="240"/>
              <w:rPr>
                <w:b/>
                <w:iCs/>
                <w:kern w:val="2"/>
                <w:sz w:val="20"/>
                <w:szCs w:val="24"/>
              </w:rPr>
            </w:pPr>
            <w:r w:rsidRPr="0013396E">
              <w:rPr>
                <w:b/>
                <w:iCs/>
                <w:kern w:val="2"/>
                <w:sz w:val="20"/>
                <w:szCs w:val="24"/>
              </w:rPr>
              <w:t>Unit</w:t>
            </w:r>
          </w:p>
        </w:tc>
        <w:tc>
          <w:tcPr>
            <w:tcW w:w="3544" w:type="pct"/>
            <w:tcBorders>
              <w:top w:val="single" w:sz="4" w:space="0" w:color="auto"/>
              <w:left w:val="single" w:sz="4" w:space="0" w:color="auto"/>
              <w:bottom w:val="single" w:sz="4" w:space="0" w:color="auto"/>
              <w:right w:val="single" w:sz="4" w:space="0" w:color="auto"/>
            </w:tcBorders>
            <w:hideMark/>
          </w:tcPr>
          <w:p w14:paraId="1555746A" w14:textId="77777777" w:rsidR="00B6651E" w:rsidRPr="0013396E" w:rsidRDefault="00B6651E" w:rsidP="00494238">
            <w:pPr>
              <w:spacing w:after="240"/>
              <w:rPr>
                <w:b/>
                <w:iCs/>
                <w:kern w:val="2"/>
                <w:sz w:val="20"/>
                <w:szCs w:val="24"/>
              </w:rPr>
            </w:pPr>
            <w:r w:rsidRPr="0013396E">
              <w:rPr>
                <w:b/>
                <w:iCs/>
                <w:kern w:val="2"/>
                <w:sz w:val="20"/>
                <w:szCs w:val="24"/>
              </w:rPr>
              <w:t>Definition</w:t>
            </w:r>
          </w:p>
        </w:tc>
      </w:tr>
      <w:tr w:rsidR="00B6651E" w:rsidRPr="0013396E" w14:paraId="5A6E8231"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17FB4CDD" w14:textId="77777777" w:rsidR="00B6651E" w:rsidRPr="0013396E" w:rsidRDefault="00B6651E" w:rsidP="00494238">
            <w:pPr>
              <w:spacing w:after="60"/>
              <w:rPr>
                <w:iCs/>
                <w:kern w:val="2"/>
                <w:sz w:val="20"/>
                <w:szCs w:val="24"/>
              </w:rPr>
            </w:pPr>
            <w:r w:rsidRPr="0013396E">
              <w:rPr>
                <w:iCs/>
                <w:kern w:val="2"/>
                <w:sz w:val="20"/>
                <w:szCs w:val="24"/>
              </w:rPr>
              <w:t>CMPCRAMT</w:t>
            </w:r>
            <w:r w:rsidRPr="0013396E">
              <w:rPr>
                <w:bCs/>
                <w:i/>
                <w:iCs/>
                <w:kern w:val="2"/>
                <w:sz w:val="20"/>
                <w:szCs w:val="24"/>
                <w:vertAlign w:val="subscript"/>
              </w:rPr>
              <w:t xml:space="preserve"> q, r, p, i</w:t>
            </w:r>
          </w:p>
        </w:tc>
        <w:tc>
          <w:tcPr>
            <w:tcW w:w="460" w:type="pct"/>
            <w:tcBorders>
              <w:top w:val="single" w:sz="4" w:space="0" w:color="auto"/>
              <w:left w:val="single" w:sz="4" w:space="0" w:color="auto"/>
              <w:bottom w:val="single" w:sz="4" w:space="0" w:color="auto"/>
              <w:right w:val="single" w:sz="4" w:space="0" w:color="auto"/>
            </w:tcBorders>
          </w:tcPr>
          <w:p w14:paraId="1EC084EB" w14:textId="77777777" w:rsidR="00B6651E" w:rsidRPr="0013396E" w:rsidRDefault="00B6651E" w:rsidP="00494238">
            <w:pPr>
              <w:spacing w:after="60"/>
              <w:rPr>
                <w:iCs/>
                <w:kern w:val="2"/>
                <w:sz w:val="20"/>
                <w:szCs w:val="24"/>
              </w:rPr>
            </w:pPr>
            <w:r w:rsidRPr="0013396E">
              <w:rPr>
                <w:szCs w:val="24"/>
              </w:rPr>
              <w:t>$</w:t>
            </w:r>
          </w:p>
        </w:tc>
        <w:tc>
          <w:tcPr>
            <w:tcW w:w="3544" w:type="pct"/>
            <w:tcBorders>
              <w:top w:val="single" w:sz="4" w:space="0" w:color="auto"/>
              <w:left w:val="single" w:sz="4" w:space="0" w:color="auto"/>
              <w:bottom w:val="single" w:sz="4" w:space="0" w:color="auto"/>
              <w:right w:val="single" w:sz="4" w:space="0" w:color="auto"/>
            </w:tcBorders>
          </w:tcPr>
          <w:p w14:paraId="5AB7DB8C" w14:textId="18FA64AE" w:rsidR="00B6651E" w:rsidRPr="0013396E" w:rsidRDefault="00B6651E" w:rsidP="00494238">
            <w:pPr>
              <w:spacing w:after="60"/>
              <w:rPr>
                <w:i/>
                <w:iCs/>
                <w:kern w:val="2"/>
                <w:sz w:val="20"/>
                <w:szCs w:val="24"/>
              </w:rPr>
            </w:pPr>
            <w:r w:rsidRPr="0013396E">
              <w:rPr>
                <w:i/>
                <w:iCs/>
                <w:kern w:val="2"/>
                <w:sz w:val="20"/>
              </w:rPr>
              <w:t>Constraint Management Plan Cost Recovery Amount</w:t>
            </w:r>
            <w:r w:rsidRPr="0013396E">
              <w:rPr>
                <w:szCs w:val="24"/>
              </w:rPr>
              <w:t xml:space="preserve"> </w:t>
            </w:r>
            <w:r w:rsidRPr="0013396E">
              <w:rPr>
                <w:i/>
                <w:iCs/>
                <w:sz w:val="20"/>
              </w:rPr>
              <w:t>per QSE per Generation Resource</w:t>
            </w:r>
            <w:r w:rsidRPr="0013396E">
              <w:rPr>
                <w:sz w:val="20"/>
              </w:rPr>
              <w:t xml:space="preserve">—The payment to QSE </w:t>
            </w:r>
            <w:r w:rsidRPr="0013396E">
              <w:rPr>
                <w:i/>
                <w:iCs/>
                <w:sz w:val="20"/>
              </w:rPr>
              <w:t>q</w:t>
            </w:r>
            <w:r w:rsidRPr="0013396E">
              <w:rPr>
                <w:sz w:val="20"/>
              </w:rPr>
              <w:t xml:space="preserve"> during eligible intervals of a Resource</w:t>
            </w:r>
            <w:r w:rsidR="00891503" w:rsidRPr="0013396E">
              <w:rPr>
                <w:sz w:val="20"/>
              </w:rPr>
              <w:t xml:space="preserve"> </w:t>
            </w:r>
            <w:r w:rsidRPr="0013396E">
              <w:rPr>
                <w:sz w:val="20"/>
              </w:rPr>
              <w:t xml:space="preserve">trip offline from an </w:t>
            </w:r>
            <w:r w:rsidRPr="0013396E">
              <w:rPr>
                <w:iCs/>
                <w:kern w:val="2"/>
                <w:sz w:val="20"/>
                <w:szCs w:val="24"/>
              </w:rPr>
              <w:t>ERCOT-issued</w:t>
            </w:r>
            <w:r w:rsidRPr="0013396E">
              <w:rPr>
                <w:sz w:val="20"/>
              </w:rPr>
              <w:t xml:space="preserve"> CMP unit trip or equivalent VDI for Resource </w:t>
            </w:r>
            <w:r w:rsidRPr="0013396E">
              <w:rPr>
                <w:i/>
                <w:iCs/>
                <w:sz w:val="20"/>
              </w:rPr>
              <w:t>r</w:t>
            </w:r>
            <w:r w:rsidRPr="0013396E">
              <w:rPr>
                <w:sz w:val="20"/>
              </w:rPr>
              <w:t xml:space="preserve">, at Settlement Point </w:t>
            </w:r>
            <w:r w:rsidRPr="0013396E">
              <w:rPr>
                <w:i/>
                <w:iCs/>
                <w:sz w:val="20"/>
              </w:rPr>
              <w:t>p</w:t>
            </w:r>
            <w:r w:rsidRPr="0013396E">
              <w:rPr>
                <w:sz w:val="20"/>
              </w:rPr>
              <w:t xml:space="preserve"> for the 15-minute Settlement Interval </w:t>
            </w:r>
            <w:r w:rsidRPr="0013396E">
              <w:rPr>
                <w:i/>
                <w:iCs/>
                <w:sz w:val="20"/>
              </w:rPr>
              <w:t>i</w:t>
            </w:r>
            <w:r w:rsidRPr="0013396E">
              <w:rPr>
                <w:sz w:val="20"/>
              </w:rPr>
              <w:t xml:space="preserve">.  Where, for a Combined Cycle Resource, </w:t>
            </w:r>
            <w:r w:rsidRPr="0013396E">
              <w:rPr>
                <w:i/>
                <w:iCs/>
                <w:sz w:val="20"/>
              </w:rPr>
              <w:t>r</w:t>
            </w:r>
            <w:r w:rsidRPr="0013396E">
              <w:rPr>
                <w:sz w:val="20"/>
              </w:rPr>
              <w:t xml:space="preserve"> is a Combined Cycle Train.</w:t>
            </w:r>
          </w:p>
        </w:tc>
      </w:tr>
      <w:tr w:rsidR="00B6651E" w:rsidRPr="0013396E" w14:paraId="00272005"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5C858710" w14:textId="77777777" w:rsidR="00B6651E" w:rsidRPr="0013396E" w:rsidRDefault="00B6651E" w:rsidP="00494238">
            <w:pPr>
              <w:spacing w:after="60"/>
              <w:rPr>
                <w:iCs/>
                <w:kern w:val="2"/>
                <w:sz w:val="20"/>
                <w:szCs w:val="24"/>
              </w:rPr>
            </w:pPr>
            <w:r w:rsidRPr="0013396E">
              <w:rPr>
                <w:iCs/>
                <w:kern w:val="2"/>
                <w:sz w:val="20"/>
                <w:szCs w:val="24"/>
              </w:rPr>
              <w:t>CMPFALA</w:t>
            </w:r>
            <w:r w:rsidRPr="0013396E">
              <w:rPr>
                <w:szCs w:val="24"/>
              </w:rPr>
              <w:t xml:space="preserve"> </w:t>
            </w:r>
            <w:r w:rsidRPr="0013396E">
              <w:rPr>
                <w:bCs/>
                <w:i/>
                <w:iCs/>
                <w:kern w:val="2"/>
                <w:sz w:val="20"/>
                <w:szCs w:val="24"/>
                <w:vertAlign w:val="subscript"/>
              </w:rPr>
              <w:t>q, r, p, i</w:t>
            </w:r>
          </w:p>
        </w:tc>
        <w:tc>
          <w:tcPr>
            <w:tcW w:w="460" w:type="pct"/>
            <w:tcBorders>
              <w:top w:val="single" w:sz="4" w:space="0" w:color="auto"/>
              <w:left w:val="single" w:sz="4" w:space="0" w:color="auto"/>
              <w:bottom w:val="single" w:sz="4" w:space="0" w:color="auto"/>
              <w:right w:val="single" w:sz="4" w:space="0" w:color="auto"/>
            </w:tcBorders>
          </w:tcPr>
          <w:p w14:paraId="099B54EC" w14:textId="77777777" w:rsidR="00B6651E" w:rsidRPr="0013396E" w:rsidRDefault="00B6651E" w:rsidP="00494238">
            <w:pPr>
              <w:spacing w:after="60"/>
              <w:rPr>
                <w:szCs w:val="24"/>
              </w:rPr>
            </w:pPr>
            <w:r w:rsidRPr="0013396E">
              <w:rPr>
                <w:szCs w:val="24"/>
              </w:rPr>
              <w:t>$</w:t>
            </w:r>
          </w:p>
        </w:tc>
        <w:tc>
          <w:tcPr>
            <w:tcW w:w="3544" w:type="pct"/>
            <w:tcBorders>
              <w:top w:val="single" w:sz="4" w:space="0" w:color="auto"/>
              <w:left w:val="single" w:sz="4" w:space="0" w:color="auto"/>
              <w:bottom w:val="single" w:sz="4" w:space="0" w:color="auto"/>
              <w:right w:val="single" w:sz="4" w:space="0" w:color="auto"/>
            </w:tcBorders>
          </w:tcPr>
          <w:p w14:paraId="271588A0" w14:textId="08B96210" w:rsidR="00B6651E" w:rsidRPr="0013396E" w:rsidRDefault="00B6651E" w:rsidP="00494238">
            <w:pPr>
              <w:spacing w:after="60"/>
              <w:rPr>
                <w:i/>
                <w:iCs/>
                <w:kern w:val="2"/>
                <w:sz w:val="20"/>
              </w:rPr>
            </w:pPr>
            <w:r w:rsidRPr="0013396E">
              <w:rPr>
                <w:i/>
                <w:iCs/>
                <w:sz w:val="20"/>
              </w:rPr>
              <w:t xml:space="preserve">Constraint Management Plan Financial </w:t>
            </w:r>
            <w:r w:rsidRPr="0013396E">
              <w:rPr>
                <w:i/>
                <w:iCs/>
                <w:kern w:val="2"/>
                <w:sz w:val="20"/>
              </w:rPr>
              <w:t>Attested Losses</w:t>
            </w:r>
            <w:r w:rsidRPr="0013396E">
              <w:rPr>
                <w:i/>
                <w:iCs/>
                <w:sz w:val="20"/>
              </w:rPr>
              <w:t xml:space="preserve"> Allowed per QSE per Generation Resource</w:t>
            </w:r>
            <w:r w:rsidRPr="0013396E">
              <w:rPr>
                <w:sz w:val="20"/>
              </w:rPr>
              <w:t>—</w:t>
            </w:r>
            <w:r w:rsidRPr="0013396E">
              <w:rPr>
                <w:iCs/>
                <w:sz w:val="20"/>
                <w:szCs w:val="24"/>
              </w:rPr>
              <w:t xml:space="preserve">The payment for financial attested losses to QSE </w:t>
            </w:r>
            <w:r w:rsidRPr="0013396E">
              <w:rPr>
                <w:i/>
                <w:iCs/>
                <w:sz w:val="20"/>
                <w:szCs w:val="24"/>
              </w:rPr>
              <w:t>q</w:t>
            </w:r>
            <w:r w:rsidRPr="0013396E">
              <w:rPr>
                <w:iCs/>
                <w:sz w:val="20"/>
                <w:szCs w:val="24"/>
              </w:rPr>
              <w:t xml:space="preserve"> for an </w:t>
            </w:r>
            <w:r w:rsidRPr="0013396E">
              <w:rPr>
                <w:iCs/>
                <w:kern w:val="2"/>
                <w:sz w:val="20"/>
                <w:szCs w:val="24"/>
              </w:rPr>
              <w:t>ERCOT-issued</w:t>
            </w:r>
            <w:r w:rsidRPr="0013396E">
              <w:rPr>
                <w:iCs/>
                <w:sz w:val="20"/>
                <w:szCs w:val="24"/>
              </w:rPr>
              <w:t xml:space="preserve"> CMP unit trip or equivalent VDI for Generation Resource </w:t>
            </w:r>
            <w:r w:rsidRPr="0013396E">
              <w:rPr>
                <w:i/>
                <w:iCs/>
                <w:sz w:val="20"/>
                <w:szCs w:val="24"/>
              </w:rPr>
              <w:t>r,</w:t>
            </w:r>
            <w:r w:rsidRPr="0013396E">
              <w:rPr>
                <w:iCs/>
                <w:sz w:val="20"/>
                <w:szCs w:val="24"/>
              </w:rPr>
              <w:t xml:space="preserve"> at Settlement Point </w:t>
            </w:r>
            <w:r w:rsidRPr="0013396E">
              <w:rPr>
                <w:i/>
                <w:iCs/>
                <w:sz w:val="20"/>
                <w:szCs w:val="24"/>
              </w:rPr>
              <w:t xml:space="preserve">p </w:t>
            </w:r>
            <w:r w:rsidRPr="0013396E">
              <w:rPr>
                <w:iCs/>
                <w:sz w:val="20"/>
                <w:szCs w:val="24"/>
              </w:rPr>
              <w:t xml:space="preserve">for the 15-minute Settlement Interval </w:t>
            </w:r>
            <w:r w:rsidRPr="0013396E">
              <w:rPr>
                <w:i/>
                <w:iCs/>
                <w:sz w:val="20"/>
                <w:szCs w:val="24"/>
              </w:rPr>
              <w:t>i</w:t>
            </w:r>
            <w:r w:rsidRPr="0013396E">
              <w:rPr>
                <w:iCs/>
                <w:sz w:val="20"/>
                <w:szCs w:val="24"/>
              </w:rPr>
              <w:t xml:space="preserve">.  Where, for a Combined Cycle Resource, </w:t>
            </w:r>
            <w:r w:rsidRPr="0013396E">
              <w:rPr>
                <w:i/>
                <w:iCs/>
                <w:sz w:val="20"/>
                <w:szCs w:val="24"/>
              </w:rPr>
              <w:t>r</w:t>
            </w:r>
            <w:r w:rsidRPr="0013396E">
              <w:rPr>
                <w:iCs/>
                <w:sz w:val="20"/>
                <w:szCs w:val="24"/>
              </w:rPr>
              <w:t xml:space="preserve"> is a Combined Cycle Train.</w:t>
            </w:r>
          </w:p>
        </w:tc>
      </w:tr>
      <w:tr w:rsidR="00B6651E" w:rsidRPr="0013396E" w14:paraId="05AABEE3"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780414A3" w14:textId="77777777" w:rsidR="00B6651E" w:rsidRPr="0013396E" w:rsidRDefault="00B6651E" w:rsidP="00494238">
            <w:pPr>
              <w:spacing w:after="60"/>
              <w:rPr>
                <w:iCs/>
                <w:kern w:val="2"/>
                <w:sz w:val="20"/>
                <w:szCs w:val="24"/>
              </w:rPr>
            </w:pPr>
            <w:r w:rsidRPr="0013396E">
              <w:rPr>
                <w:sz w:val="20"/>
              </w:rPr>
              <w:t>CMPFAL</w:t>
            </w:r>
            <w:r w:rsidRPr="0013396E">
              <w:rPr>
                <w:szCs w:val="24"/>
              </w:rPr>
              <w:t xml:space="preserve"> </w:t>
            </w:r>
            <w:r w:rsidRPr="0013396E">
              <w:rPr>
                <w:bCs/>
                <w:i/>
                <w:iCs/>
                <w:kern w:val="2"/>
                <w:sz w:val="20"/>
                <w:szCs w:val="24"/>
                <w:vertAlign w:val="subscript"/>
              </w:rPr>
              <w:t>q, r, p, i</w:t>
            </w:r>
          </w:p>
        </w:tc>
        <w:tc>
          <w:tcPr>
            <w:tcW w:w="460" w:type="pct"/>
            <w:tcBorders>
              <w:top w:val="single" w:sz="4" w:space="0" w:color="auto"/>
              <w:left w:val="single" w:sz="4" w:space="0" w:color="auto"/>
              <w:bottom w:val="single" w:sz="4" w:space="0" w:color="auto"/>
              <w:right w:val="single" w:sz="4" w:space="0" w:color="auto"/>
            </w:tcBorders>
          </w:tcPr>
          <w:p w14:paraId="4F98B397" w14:textId="77777777" w:rsidR="00B6651E" w:rsidRPr="0013396E" w:rsidRDefault="00B6651E" w:rsidP="00494238">
            <w:pPr>
              <w:spacing w:after="60"/>
              <w:rPr>
                <w:iCs/>
                <w:kern w:val="2"/>
                <w:sz w:val="20"/>
                <w:szCs w:val="24"/>
              </w:rPr>
            </w:pPr>
            <w:r w:rsidRPr="0013396E">
              <w:rPr>
                <w:szCs w:val="24"/>
              </w:rPr>
              <w:t>$</w:t>
            </w:r>
          </w:p>
        </w:tc>
        <w:tc>
          <w:tcPr>
            <w:tcW w:w="3544" w:type="pct"/>
            <w:tcBorders>
              <w:top w:val="single" w:sz="4" w:space="0" w:color="auto"/>
              <w:left w:val="single" w:sz="4" w:space="0" w:color="auto"/>
              <w:bottom w:val="single" w:sz="4" w:space="0" w:color="auto"/>
              <w:right w:val="single" w:sz="4" w:space="0" w:color="auto"/>
            </w:tcBorders>
          </w:tcPr>
          <w:p w14:paraId="302E922E" w14:textId="044EF758" w:rsidR="00B6651E" w:rsidRPr="0013396E" w:rsidRDefault="00B6651E" w:rsidP="00494238">
            <w:pPr>
              <w:spacing w:after="60"/>
              <w:rPr>
                <w:i/>
                <w:iCs/>
                <w:kern w:val="2"/>
                <w:sz w:val="20"/>
              </w:rPr>
            </w:pPr>
            <w:r w:rsidRPr="0013396E">
              <w:rPr>
                <w:i/>
                <w:iCs/>
                <w:kern w:val="2"/>
                <w:sz w:val="20"/>
              </w:rPr>
              <w:t>Constraint Management Plan Demonstrable Financial Attested Losses</w:t>
            </w:r>
            <w:r w:rsidRPr="0013396E">
              <w:rPr>
                <w:sz w:val="20"/>
              </w:rPr>
              <w:t xml:space="preserve">—The demonstrable financial loss to QSE </w:t>
            </w:r>
            <w:r w:rsidRPr="0013396E">
              <w:rPr>
                <w:i/>
                <w:iCs/>
                <w:sz w:val="20"/>
              </w:rPr>
              <w:t>q</w:t>
            </w:r>
            <w:r w:rsidRPr="0013396E">
              <w:rPr>
                <w:sz w:val="20"/>
              </w:rPr>
              <w:t xml:space="preserve"> for Resource </w:t>
            </w:r>
            <w:r w:rsidRPr="0013396E">
              <w:rPr>
                <w:i/>
                <w:iCs/>
                <w:sz w:val="20"/>
              </w:rPr>
              <w:t xml:space="preserve">r, </w:t>
            </w:r>
            <w:r w:rsidRPr="0013396E">
              <w:rPr>
                <w:sz w:val="20"/>
              </w:rPr>
              <w:t xml:space="preserve">at Settlement Point </w:t>
            </w:r>
            <w:r w:rsidRPr="0013396E">
              <w:rPr>
                <w:i/>
                <w:iCs/>
                <w:sz w:val="20"/>
              </w:rPr>
              <w:t>p</w:t>
            </w:r>
            <w:r w:rsidRPr="0013396E">
              <w:rPr>
                <w:sz w:val="20"/>
              </w:rPr>
              <w:t xml:space="preserve"> due to </w:t>
            </w:r>
            <w:r w:rsidRPr="0013396E">
              <w:rPr>
                <w:iCs/>
                <w:sz w:val="20"/>
                <w:szCs w:val="24"/>
              </w:rPr>
              <w:t xml:space="preserve">an </w:t>
            </w:r>
            <w:r w:rsidRPr="0013396E">
              <w:rPr>
                <w:iCs/>
                <w:kern w:val="2"/>
                <w:sz w:val="20"/>
                <w:szCs w:val="24"/>
              </w:rPr>
              <w:t>ERCOT-issued</w:t>
            </w:r>
            <w:r w:rsidRPr="0013396E">
              <w:rPr>
                <w:iCs/>
                <w:sz w:val="20"/>
                <w:szCs w:val="24"/>
              </w:rPr>
              <w:t xml:space="preserve"> CMP unit trip or equivalent VDI, </w:t>
            </w:r>
            <w:r w:rsidRPr="0013396E">
              <w:rPr>
                <w:sz w:val="20"/>
              </w:rPr>
              <w:t>as attested by the QSE</w:t>
            </w:r>
            <w:r w:rsidR="004E28B2" w:rsidRPr="0013396E">
              <w:rPr>
                <w:sz w:val="20"/>
              </w:rPr>
              <w:t xml:space="preserve"> </w:t>
            </w:r>
            <w:r w:rsidRPr="0013396E">
              <w:rPr>
                <w:sz w:val="20"/>
              </w:rPr>
              <w:t xml:space="preserve">, and in accordance with costs described in paragraph (2)(c)(ii)(A) above, for the 15-minute Settlement Interval </w:t>
            </w:r>
            <w:r w:rsidRPr="0013396E">
              <w:rPr>
                <w:i/>
                <w:iCs/>
                <w:sz w:val="20"/>
              </w:rPr>
              <w:t>i</w:t>
            </w:r>
            <w:r w:rsidRPr="0013396E">
              <w:rPr>
                <w:sz w:val="20"/>
              </w:rPr>
              <w:t xml:space="preserve">. </w:t>
            </w:r>
            <w:r w:rsidR="00693022" w:rsidRPr="0013396E">
              <w:rPr>
                <w:sz w:val="20"/>
              </w:rPr>
              <w:t xml:space="preserve"> </w:t>
            </w:r>
            <w:r w:rsidRPr="0013396E">
              <w:rPr>
                <w:iCs/>
                <w:sz w:val="20"/>
                <w:szCs w:val="24"/>
              </w:rPr>
              <w:t xml:space="preserve">Where, for a </w:t>
            </w:r>
            <w:r w:rsidR="00446DBD" w:rsidRPr="0013396E">
              <w:rPr>
                <w:iCs/>
                <w:sz w:val="20"/>
                <w:szCs w:val="24"/>
              </w:rPr>
              <w:t>c</w:t>
            </w:r>
            <w:r w:rsidRPr="0013396E">
              <w:rPr>
                <w:iCs/>
                <w:sz w:val="20"/>
                <w:szCs w:val="24"/>
              </w:rPr>
              <w:t xml:space="preserve">ombined </w:t>
            </w:r>
            <w:r w:rsidR="00446DBD" w:rsidRPr="0013396E">
              <w:rPr>
                <w:iCs/>
                <w:sz w:val="20"/>
                <w:szCs w:val="24"/>
              </w:rPr>
              <w:t>c</w:t>
            </w:r>
            <w:r w:rsidRPr="0013396E">
              <w:rPr>
                <w:iCs/>
                <w:sz w:val="20"/>
                <w:szCs w:val="24"/>
              </w:rPr>
              <w:t xml:space="preserve">ycle Resource </w:t>
            </w:r>
            <w:r w:rsidRPr="0013396E">
              <w:rPr>
                <w:i/>
                <w:iCs/>
                <w:sz w:val="20"/>
                <w:szCs w:val="24"/>
              </w:rPr>
              <w:t>r</w:t>
            </w:r>
            <w:r w:rsidRPr="0013396E">
              <w:rPr>
                <w:iCs/>
                <w:sz w:val="20"/>
                <w:szCs w:val="24"/>
              </w:rPr>
              <w:t xml:space="preserve"> is a Combined Cycle Train.</w:t>
            </w:r>
          </w:p>
        </w:tc>
      </w:tr>
      <w:tr w:rsidR="00B6651E" w:rsidRPr="0013396E" w14:paraId="30865537"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0269CB95" w14:textId="77777777" w:rsidR="00B6651E" w:rsidRPr="0013396E" w:rsidRDefault="00B6651E" w:rsidP="00494238">
            <w:pPr>
              <w:spacing w:after="60"/>
              <w:rPr>
                <w:sz w:val="20"/>
              </w:rPr>
            </w:pPr>
            <w:r w:rsidRPr="0013396E">
              <w:rPr>
                <w:sz w:val="20"/>
              </w:rPr>
              <w:t>CMPRALA</w:t>
            </w:r>
            <w:r w:rsidRPr="0013396E">
              <w:rPr>
                <w:szCs w:val="24"/>
              </w:rPr>
              <w:t xml:space="preserve"> </w:t>
            </w:r>
            <w:r w:rsidRPr="0013396E">
              <w:rPr>
                <w:bCs/>
                <w:i/>
                <w:iCs/>
                <w:kern w:val="2"/>
                <w:sz w:val="20"/>
                <w:szCs w:val="24"/>
                <w:vertAlign w:val="subscript"/>
              </w:rPr>
              <w:t>q, r, p, i</w:t>
            </w:r>
          </w:p>
        </w:tc>
        <w:tc>
          <w:tcPr>
            <w:tcW w:w="460" w:type="pct"/>
            <w:tcBorders>
              <w:top w:val="single" w:sz="4" w:space="0" w:color="auto"/>
              <w:left w:val="single" w:sz="4" w:space="0" w:color="auto"/>
              <w:bottom w:val="single" w:sz="4" w:space="0" w:color="auto"/>
              <w:right w:val="single" w:sz="4" w:space="0" w:color="auto"/>
            </w:tcBorders>
          </w:tcPr>
          <w:p w14:paraId="2FB3C0B0" w14:textId="77777777" w:rsidR="00B6651E" w:rsidRPr="0013396E" w:rsidRDefault="00B6651E" w:rsidP="00494238">
            <w:pPr>
              <w:spacing w:after="60"/>
              <w:rPr>
                <w:szCs w:val="24"/>
              </w:rPr>
            </w:pPr>
            <w:r w:rsidRPr="0013396E">
              <w:rPr>
                <w:szCs w:val="24"/>
              </w:rPr>
              <w:t>$</w:t>
            </w:r>
          </w:p>
        </w:tc>
        <w:tc>
          <w:tcPr>
            <w:tcW w:w="3544" w:type="pct"/>
            <w:tcBorders>
              <w:top w:val="single" w:sz="4" w:space="0" w:color="auto"/>
              <w:left w:val="single" w:sz="4" w:space="0" w:color="auto"/>
              <w:bottom w:val="single" w:sz="4" w:space="0" w:color="auto"/>
              <w:right w:val="single" w:sz="4" w:space="0" w:color="auto"/>
            </w:tcBorders>
          </w:tcPr>
          <w:p w14:paraId="1DF3E434" w14:textId="6282C11F" w:rsidR="00B6651E" w:rsidRPr="0013396E" w:rsidRDefault="00B6651E" w:rsidP="00494238">
            <w:pPr>
              <w:spacing w:after="60"/>
              <w:rPr>
                <w:i/>
                <w:iCs/>
                <w:kern w:val="2"/>
                <w:sz w:val="20"/>
              </w:rPr>
            </w:pPr>
            <w:r w:rsidRPr="0013396E">
              <w:rPr>
                <w:i/>
                <w:iCs/>
                <w:kern w:val="2"/>
                <w:sz w:val="20"/>
              </w:rPr>
              <w:t>Constraint Management Plan Repair Cost Attested Losses Allowed per QSE per Generation Resource—</w:t>
            </w:r>
            <w:r w:rsidRPr="0013396E">
              <w:rPr>
                <w:kern w:val="2"/>
                <w:sz w:val="20"/>
              </w:rPr>
              <w:t xml:space="preserve">The payment for repair costs attested losses to QSE </w:t>
            </w:r>
            <w:r w:rsidRPr="0013396E">
              <w:rPr>
                <w:i/>
                <w:iCs/>
                <w:kern w:val="2"/>
                <w:sz w:val="20"/>
              </w:rPr>
              <w:t>q</w:t>
            </w:r>
            <w:r w:rsidRPr="0013396E">
              <w:rPr>
                <w:kern w:val="2"/>
                <w:sz w:val="20"/>
              </w:rPr>
              <w:t xml:space="preserve"> for an ERCOT-issued CMP unit trip or equivalent VDI for Generation Resource </w:t>
            </w:r>
            <w:r w:rsidRPr="0013396E">
              <w:rPr>
                <w:i/>
                <w:iCs/>
                <w:kern w:val="2"/>
                <w:sz w:val="20"/>
              </w:rPr>
              <w:t>r</w:t>
            </w:r>
            <w:r w:rsidRPr="0013396E">
              <w:rPr>
                <w:kern w:val="2"/>
                <w:sz w:val="20"/>
              </w:rPr>
              <w:t xml:space="preserve">, at Settlement Point </w:t>
            </w:r>
            <w:r w:rsidRPr="0013396E">
              <w:rPr>
                <w:i/>
                <w:iCs/>
                <w:kern w:val="2"/>
                <w:sz w:val="20"/>
              </w:rPr>
              <w:t>p</w:t>
            </w:r>
            <w:r w:rsidRPr="0013396E">
              <w:rPr>
                <w:kern w:val="2"/>
                <w:sz w:val="20"/>
              </w:rPr>
              <w:t xml:space="preserve"> for the 15-minute Settlement Interval </w:t>
            </w:r>
            <w:r w:rsidRPr="0013396E">
              <w:rPr>
                <w:i/>
                <w:iCs/>
                <w:kern w:val="2"/>
                <w:sz w:val="20"/>
              </w:rPr>
              <w:t>i</w:t>
            </w:r>
            <w:r w:rsidRPr="0013396E">
              <w:rPr>
                <w:kern w:val="2"/>
                <w:sz w:val="20"/>
              </w:rPr>
              <w:t xml:space="preserve">.  Where for a </w:t>
            </w:r>
            <w:r w:rsidR="00446DBD" w:rsidRPr="0013396E">
              <w:rPr>
                <w:kern w:val="2"/>
                <w:sz w:val="20"/>
              </w:rPr>
              <w:t>c</w:t>
            </w:r>
            <w:r w:rsidRPr="0013396E">
              <w:rPr>
                <w:kern w:val="2"/>
                <w:sz w:val="20"/>
              </w:rPr>
              <w:t xml:space="preserve">ombined </w:t>
            </w:r>
            <w:r w:rsidR="00446DBD" w:rsidRPr="0013396E">
              <w:rPr>
                <w:kern w:val="2"/>
                <w:sz w:val="20"/>
              </w:rPr>
              <w:t>c</w:t>
            </w:r>
            <w:r w:rsidRPr="0013396E">
              <w:rPr>
                <w:kern w:val="2"/>
                <w:sz w:val="20"/>
              </w:rPr>
              <w:t xml:space="preserve">ycle Resource, </w:t>
            </w:r>
            <w:r w:rsidRPr="0013396E">
              <w:rPr>
                <w:i/>
                <w:iCs/>
                <w:kern w:val="2"/>
                <w:sz w:val="20"/>
              </w:rPr>
              <w:t>r</w:t>
            </w:r>
            <w:r w:rsidRPr="0013396E">
              <w:rPr>
                <w:kern w:val="2"/>
                <w:sz w:val="20"/>
              </w:rPr>
              <w:t xml:space="preserve"> is a Combined Cycle Train.</w:t>
            </w:r>
          </w:p>
        </w:tc>
      </w:tr>
      <w:tr w:rsidR="00B6651E" w:rsidRPr="0013396E" w14:paraId="0FC15777"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2C7FECE8" w14:textId="77777777" w:rsidR="00B6651E" w:rsidRPr="0013396E" w:rsidRDefault="00B6651E" w:rsidP="00494238">
            <w:pPr>
              <w:spacing w:after="60"/>
              <w:rPr>
                <w:sz w:val="20"/>
              </w:rPr>
            </w:pPr>
            <w:r w:rsidRPr="0013396E">
              <w:rPr>
                <w:sz w:val="20"/>
              </w:rPr>
              <w:t>CMPRAL</w:t>
            </w:r>
            <w:r w:rsidRPr="0013396E">
              <w:rPr>
                <w:szCs w:val="24"/>
              </w:rPr>
              <w:t xml:space="preserve"> </w:t>
            </w:r>
            <w:r w:rsidRPr="0013396E">
              <w:rPr>
                <w:bCs/>
                <w:i/>
                <w:iCs/>
                <w:kern w:val="2"/>
                <w:sz w:val="20"/>
                <w:szCs w:val="24"/>
                <w:vertAlign w:val="subscript"/>
              </w:rPr>
              <w:t>q, r, p</w:t>
            </w:r>
          </w:p>
        </w:tc>
        <w:tc>
          <w:tcPr>
            <w:tcW w:w="460" w:type="pct"/>
            <w:tcBorders>
              <w:top w:val="single" w:sz="4" w:space="0" w:color="auto"/>
              <w:left w:val="single" w:sz="4" w:space="0" w:color="auto"/>
              <w:bottom w:val="single" w:sz="4" w:space="0" w:color="auto"/>
              <w:right w:val="single" w:sz="4" w:space="0" w:color="auto"/>
            </w:tcBorders>
          </w:tcPr>
          <w:p w14:paraId="42B05686" w14:textId="77777777" w:rsidR="00B6651E" w:rsidRPr="0013396E" w:rsidRDefault="00B6651E" w:rsidP="00494238">
            <w:pPr>
              <w:spacing w:after="60"/>
              <w:rPr>
                <w:szCs w:val="24"/>
              </w:rPr>
            </w:pPr>
            <w:r w:rsidRPr="0013396E">
              <w:rPr>
                <w:szCs w:val="24"/>
              </w:rPr>
              <w:t>$</w:t>
            </w:r>
          </w:p>
        </w:tc>
        <w:tc>
          <w:tcPr>
            <w:tcW w:w="3544" w:type="pct"/>
            <w:tcBorders>
              <w:top w:val="single" w:sz="4" w:space="0" w:color="auto"/>
              <w:left w:val="single" w:sz="4" w:space="0" w:color="auto"/>
              <w:bottom w:val="single" w:sz="4" w:space="0" w:color="auto"/>
              <w:right w:val="single" w:sz="4" w:space="0" w:color="auto"/>
            </w:tcBorders>
          </w:tcPr>
          <w:p w14:paraId="01F42F25" w14:textId="166A18DF" w:rsidR="00B6651E" w:rsidRPr="0013396E" w:rsidRDefault="00B6651E" w:rsidP="00494238">
            <w:pPr>
              <w:spacing w:after="60"/>
              <w:rPr>
                <w:kern w:val="2"/>
                <w:sz w:val="20"/>
              </w:rPr>
            </w:pPr>
            <w:r w:rsidRPr="0013396E">
              <w:rPr>
                <w:i/>
                <w:iCs/>
                <w:kern w:val="2"/>
                <w:sz w:val="20"/>
              </w:rPr>
              <w:t>Constraint Management Plan Repair Attested Losses</w:t>
            </w:r>
            <w:r w:rsidRPr="0013396E">
              <w:rPr>
                <w:kern w:val="2"/>
                <w:sz w:val="20"/>
              </w:rPr>
              <w:t xml:space="preserve">—The total Generation Resource </w:t>
            </w:r>
            <w:r w:rsidR="00847330" w:rsidRPr="0013396E">
              <w:rPr>
                <w:kern w:val="2"/>
                <w:sz w:val="20"/>
              </w:rPr>
              <w:t xml:space="preserve"> </w:t>
            </w:r>
            <w:r w:rsidRPr="0013396E">
              <w:rPr>
                <w:kern w:val="2"/>
                <w:sz w:val="20"/>
              </w:rPr>
              <w:t xml:space="preserve">repair cost due to trip </w:t>
            </w:r>
            <w:r w:rsidR="00494238" w:rsidRPr="0013396E">
              <w:rPr>
                <w:kern w:val="2"/>
                <w:sz w:val="20"/>
              </w:rPr>
              <w:t>O</w:t>
            </w:r>
            <w:r w:rsidRPr="0013396E">
              <w:rPr>
                <w:kern w:val="2"/>
                <w:sz w:val="20"/>
              </w:rPr>
              <w:t xml:space="preserve">ff-Line of Resource following implementation of an ERCOT-issued CMP or equivalent VDI as attested by the QSE </w:t>
            </w:r>
            <w:r w:rsidRPr="0013396E">
              <w:rPr>
                <w:i/>
                <w:iCs/>
                <w:kern w:val="2"/>
                <w:sz w:val="20"/>
              </w:rPr>
              <w:t>q</w:t>
            </w:r>
            <w:r w:rsidRPr="0013396E">
              <w:rPr>
                <w:kern w:val="2"/>
                <w:sz w:val="20"/>
              </w:rPr>
              <w:t xml:space="preserve"> and in accordance with costs described in paragraph (2)(c)(ii)(B) above.  For a </w:t>
            </w:r>
            <w:r w:rsidR="00683CF9" w:rsidRPr="0013396E">
              <w:rPr>
                <w:kern w:val="2"/>
                <w:sz w:val="20"/>
              </w:rPr>
              <w:t>C</w:t>
            </w:r>
            <w:r w:rsidRPr="0013396E">
              <w:rPr>
                <w:kern w:val="2"/>
                <w:sz w:val="20"/>
              </w:rPr>
              <w:t xml:space="preserve">ombined </w:t>
            </w:r>
            <w:r w:rsidR="00683CF9" w:rsidRPr="0013396E">
              <w:rPr>
                <w:kern w:val="2"/>
                <w:sz w:val="20"/>
              </w:rPr>
              <w:t>C</w:t>
            </w:r>
            <w:r w:rsidRPr="0013396E">
              <w:rPr>
                <w:kern w:val="2"/>
                <w:sz w:val="20"/>
              </w:rPr>
              <w:t xml:space="preserve">ycle Resource </w:t>
            </w:r>
            <w:r w:rsidRPr="0013396E">
              <w:rPr>
                <w:i/>
                <w:iCs/>
                <w:kern w:val="2"/>
                <w:sz w:val="20"/>
              </w:rPr>
              <w:t>r</w:t>
            </w:r>
            <w:r w:rsidRPr="0013396E">
              <w:rPr>
                <w:kern w:val="2"/>
                <w:sz w:val="20"/>
              </w:rPr>
              <w:t xml:space="preserve"> is a Combined Cycle Train.</w:t>
            </w:r>
          </w:p>
        </w:tc>
      </w:tr>
      <w:tr w:rsidR="00B6651E" w:rsidRPr="0013396E" w14:paraId="28ECFA4B"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07452C7B" w14:textId="77777777" w:rsidR="00B6651E" w:rsidRPr="0013396E" w:rsidRDefault="00B6651E" w:rsidP="00494238">
            <w:pPr>
              <w:spacing w:after="60"/>
              <w:rPr>
                <w:iCs/>
                <w:kern w:val="2"/>
                <w:sz w:val="20"/>
                <w:szCs w:val="24"/>
              </w:rPr>
            </w:pPr>
            <w:r w:rsidRPr="0013396E">
              <w:rPr>
                <w:iCs/>
                <w:kern w:val="2"/>
                <w:sz w:val="20"/>
                <w:szCs w:val="24"/>
              </w:rPr>
              <w:t xml:space="preserve">CMPSUPR </w:t>
            </w:r>
            <w:r w:rsidRPr="0013396E">
              <w:rPr>
                <w:bCs/>
                <w:i/>
                <w:iCs/>
                <w:kern w:val="2"/>
                <w:sz w:val="20"/>
                <w:szCs w:val="24"/>
                <w:vertAlign w:val="subscript"/>
              </w:rPr>
              <w:t>q, r, p, i</w:t>
            </w:r>
          </w:p>
        </w:tc>
        <w:tc>
          <w:tcPr>
            <w:tcW w:w="460" w:type="pct"/>
            <w:tcBorders>
              <w:top w:val="single" w:sz="4" w:space="0" w:color="auto"/>
              <w:left w:val="single" w:sz="4" w:space="0" w:color="auto"/>
              <w:bottom w:val="single" w:sz="4" w:space="0" w:color="auto"/>
              <w:right w:val="single" w:sz="4" w:space="0" w:color="auto"/>
            </w:tcBorders>
          </w:tcPr>
          <w:p w14:paraId="03C8104D" w14:textId="77777777" w:rsidR="00B6651E" w:rsidRPr="0013396E" w:rsidRDefault="00B6651E" w:rsidP="00494238">
            <w:pPr>
              <w:spacing w:after="60"/>
              <w:rPr>
                <w:iCs/>
                <w:kern w:val="2"/>
                <w:sz w:val="20"/>
                <w:szCs w:val="24"/>
              </w:rPr>
            </w:pPr>
            <w:r w:rsidRPr="0013396E">
              <w:rPr>
                <w:szCs w:val="24"/>
              </w:rPr>
              <w:t>$/Start</w:t>
            </w:r>
          </w:p>
        </w:tc>
        <w:tc>
          <w:tcPr>
            <w:tcW w:w="3544" w:type="pct"/>
            <w:tcBorders>
              <w:top w:val="single" w:sz="4" w:space="0" w:color="auto"/>
              <w:left w:val="single" w:sz="4" w:space="0" w:color="auto"/>
              <w:bottom w:val="single" w:sz="4" w:space="0" w:color="auto"/>
              <w:right w:val="single" w:sz="4" w:space="0" w:color="auto"/>
            </w:tcBorders>
          </w:tcPr>
          <w:p w14:paraId="2D26147E" w14:textId="67852F24" w:rsidR="00B6651E" w:rsidRPr="0013396E" w:rsidRDefault="00B6651E" w:rsidP="00494238">
            <w:pPr>
              <w:spacing w:after="60"/>
              <w:rPr>
                <w:i/>
                <w:iCs/>
                <w:kern w:val="2"/>
                <w:sz w:val="20"/>
                <w:szCs w:val="24"/>
              </w:rPr>
            </w:pPr>
            <w:r w:rsidRPr="0013396E">
              <w:rPr>
                <w:i/>
                <w:iCs/>
                <w:kern w:val="2"/>
                <w:sz w:val="20"/>
              </w:rPr>
              <w:t xml:space="preserve">Startup Price per </w:t>
            </w:r>
            <w:r w:rsidR="00D95082" w:rsidRPr="0013396E">
              <w:rPr>
                <w:i/>
                <w:iCs/>
                <w:kern w:val="2"/>
                <w:sz w:val="20"/>
              </w:rPr>
              <w:t>S</w:t>
            </w:r>
            <w:r w:rsidRPr="0013396E">
              <w:rPr>
                <w:i/>
                <w:iCs/>
                <w:kern w:val="2"/>
                <w:sz w:val="20"/>
              </w:rPr>
              <w:t>tart</w:t>
            </w:r>
            <w:r w:rsidRPr="0013396E">
              <w:rPr>
                <w:szCs w:val="24"/>
              </w:rPr>
              <w:t>—</w:t>
            </w:r>
            <w:r w:rsidRPr="0013396E">
              <w:rPr>
                <w:kern w:val="2"/>
                <w:sz w:val="20"/>
              </w:rPr>
              <w:t xml:space="preserve">The Settlement price for Resource </w:t>
            </w:r>
            <w:r w:rsidRPr="0013396E">
              <w:rPr>
                <w:i/>
                <w:iCs/>
                <w:kern w:val="2"/>
                <w:sz w:val="20"/>
              </w:rPr>
              <w:t>r</w:t>
            </w:r>
            <w:r w:rsidRPr="0013396E">
              <w:rPr>
                <w:kern w:val="2"/>
                <w:sz w:val="20"/>
              </w:rPr>
              <w:t xml:space="preserve"> represented by QSE </w:t>
            </w:r>
            <w:r w:rsidRPr="0013396E">
              <w:rPr>
                <w:i/>
                <w:iCs/>
                <w:kern w:val="2"/>
                <w:sz w:val="20"/>
              </w:rPr>
              <w:t>q</w:t>
            </w:r>
            <w:r w:rsidRPr="0013396E">
              <w:rPr>
                <w:kern w:val="2"/>
                <w:sz w:val="20"/>
              </w:rPr>
              <w:t xml:space="preserve"> for the cold start, for the 15-minute Settlement Interval</w:t>
            </w:r>
            <w:r w:rsidR="00446DBD" w:rsidRPr="0013396E">
              <w:rPr>
                <w:kern w:val="2"/>
                <w:sz w:val="20"/>
              </w:rPr>
              <w:t>.</w:t>
            </w:r>
            <w:r w:rsidRPr="0013396E">
              <w:rPr>
                <w:kern w:val="2"/>
                <w:sz w:val="20"/>
              </w:rPr>
              <w:t xml:space="preserve">  Where for a Combined Cycle Train, the Resource </w:t>
            </w:r>
            <w:r w:rsidRPr="0013396E">
              <w:rPr>
                <w:i/>
                <w:iCs/>
                <w:kern w:val="2"/>
                <w:sz w:val="20"/>
              </w:rPr>
              <w:t>r</w:t>
            </w:r>
            <w:r w:rsidRPr="0013396E">
              <w:rPr>
                <w:kern w:val="2"/>
                <w:sz w:val="20"/>
              </w:rPr>
              <w:t xml:space="preserve"> is a Combined Cycle Generation Resource within the Combined Cycle Train.</w:t>
            </w:r>
          </w:p>
        </w:tc>
      </w:tr>
      <w:tr w:rsidR="00B6651E" w:rsidRPr="0013396E" w14:paraId="082D6DAE"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264AE4E4" w14:textId="77777777" w:rsidR="00B6651E" w:rsidRPr="0013396E" w:rsidRDefault="00B6651E" w:rsidP="00494238">
            <w:pPr>
              <w:spacing w:after="60"/>
              <w:rPr>
                <w:iCs/>
                <w:kern w:val="2"/>
                <w:sz w:val="20"/>
                <w:szCs w:val="24"/>
              </w:rPr>
            </w:pPr>
            <w:r w:rsidRPr="0013396E">
              <w:rPr>
                <w:iCs/>
                <w:kern w:val="2"/>
                <w:sz w:val="20"/>
                <w:szCs w:val="24"/>
              </w:rPr>
              <w:lastRenderedPageBreak/>
              <w:t xml:space="preserve">RTEOCOST </w:t>
            </w:r>
            <w:r w:rsidRPr="0013396E">
              <w:rPr>
                <w:bCs/>
                <w:i/>
                <w:iCs/>
                <w:kern w:val="2"/>
                <w:sz w:val="20"/>
                <w:szCs w:val="24"/>
                <w:vertAlign w:val="subscript"/>
              </w:rPr>
              <w:t>q, r, p, i</w:t>
            </w:r>
          </w:p>
        </w:tc>
        <w:tc>
          <w:tcPr>
            <w:tcW w:w="460" w:type="pct"/>
            <w:tcBorders>
              <w:top w:val="single" w:sz="4" w:space="0" w:color="auto"/>
              <w:left w:val="single" w:sz="4" w:space="0" w:color="auto"/>
              <w:bottom w:val="single" w:sz="4" w:space="0" w:color="auto"/>
              <w:right w:val="single" w:sz="4" w:space="0" w:color="auto"/>
            </w:tcBorders>
          </w:tcPr>
          <w:p w14:paraId="223BC9E9" w14:textId="77777777" w:rsidR="00B6651E" w:rsidRPr="0013396E" w:rsidRDefault="00B6651E" w:rsidP="00494238">
            <w:pPr>
              <w:spacing w:after="60"/>
              <w:rPr>
                <w:iCs/>
                <w:kern w:val="2"/>
                <w:sz w:val="20"/>
                <w:szCs w:val="24"/>
              </w:rPr>
            </w:pPr>
            <w:r w:rsidRPr="0013396E">
              <w:rPr>
                <w:iCs/>
                <w:kern w:val="2"/>
                <w:sz w:val="20"/>
                <w:szCs w:val="24"/>
              </w:rPr>
              <w:t>$/MWh</w:t>
            </w:r>
          </w:p>
        </w:tc>
        <w:tc>
          <w:tcPr>
            <w:tcW w:w="3544" w:type="pct"/>
            <w:tcBorders>
              <w:top w:val="single" w:sz="4" w:space="0" w:color="auto"/>
              <w:left w:val="single" w:sz="4" w:space="0" w:color="auto"/>
              <w:bottom w:val="single" w:sz="4" w:space="0" w:color="auto"/>
              <w:right w:val="single" w:sz="4" w:space="0" w:color="auto"/>
            </w:tcBorders>
          </w:tcPr>
          <w:p w14:paraId="6ABDA345" w14:textId="4AA9D649" w:rsidR="00B6651E" w:rsidRPr="0013396E" w:rsidRDefault="00B6651E" w:rsidP="00494238">
            <w:pPr>
              <w:spacing w:after="60"/>
              <w:rPr>
                <w:iCs/>
                <w:kern w:val="2"/>
                <w:sz w:val="20"/>
                <w:szCs w:val="24"/>
              </w:rPr>
            </w:pPr>
            <w:r w:rsidRPr="0013396E">
              <w:rPr>
                <w:i/>
                <w:iCs/>
                <w:kern w:val="2"/>
                <w:sz w:val="20"/>
                <w:szCs w:val="24"/>
              </w:rPr>
              <w:t>Real-Time Energy Offer Curve Cost Cap</w:t>
            </w:r>
            <w:r w:rsidRPr="0013396E">
              <w:rPr>
                <w:iCs/>
                <w:kern w:val="2"/>
                <w:sz w:val="20"/>
                <w:szCs w:val="24"/>
              </w:rPr>
              <w:t xml:space="preserve">—The Energy Offer Curve Cost Cap for Resource </w:t>
            </w:r>
            <w:r w:rsidRPr="0013396E">
              <w:rPr>
                <w:i/>
                <w:kern w:val="2"/>
                <w:sz w:val="20"/>
                <w:szCs w:val="24"/>
              </w:rPr>
              <w:t>r</w:t>
            </w:r>
            <w:r w:rsidRPr="0013396E">
              <w:rPr>
                <w:iCs/>
                <w:kern w:val="2"/>
                <w:sz w:val="20"/>
                <w:szCs w:val="24"/>
              </w:rPr>
              <w:t xml:space="preserve"> represented by QSE </w:t>
            </w:r>
            <w:r w:rsidRPr="0013396E">
              <w:rPr>
                <w:i/>
                <w:kern w:val="2"/>
                <w:sz w:val="20"/>
                <w:szCs w:val="24"/>
              </w:rPr>
              <w:t>q</w:t>
            </w:r>
            <w:r w:rsidRPr="0013396E">
              <w:rPr>
                <w:iCs/>
                <w:kern w:val="2"/>
                <w:sz w:val="20"/>
                <w:szCs w:val="24"/>
              </w:rPr>
              <w:t>, for the Resource’s</w:t>
            </w:r>
            <w:r w:rsidR="00B2483C" w:rsidRPr="0013396E">
              <w:rPr>
                <w:iCs/>
                <w:kern w:val="2"/>
                <w:sz w:val="20"/>
                <w:szCs w:val="24"/>
              </w:rPr>
              <w:t xml:space="preserve"> </w:t>
            </w:r>
            <w:r w:rsidRPr="0013396E">
              <w:rPr>
                <w:iCs/>
                <w:kern w:val="2"/>
                <w:sz w:val="20"/>
                <w:szCs w:val="24"/>
              </w:rPr>
              <w:t xml:space="preserve">generation above the LSL for the Settlement Interval </w:t>
            </w:r>
            <w:r w:rsidRPr="0013396E">
              <w:rPr>
                <w:i/>
                <w:kern w:val="2"/>
                <w:sz w:val="20"/>
                <w:szCs w:val="24"/>
              </w:rPr>
              <w:t>i</w:t>
            </w:r>
            <w:r w:rsidRPr="0013396E">
              <w:rPr>
                <w:iCs/>
                <w:kern w:val="2"/>
                <w:sz w:val="20"/>
                <w:szCs w:val="24"/>
              </w:rPr>
              <w:t xml:space="preserve">.  See Section 4.4.9.3.3, Energy Offer Curve Cost Caps.  Where for a Combined Cycle Train, the Resource </w:t>
            </w:r>
            <w:r w:rsidRPr="0013396E">
              <w:rPr>
                <w:i/>
                <w:kern w:val="2"/>
                <w:sz w:val="20"/>
                <w:szCs w:val="24"/>
              </w:rPr>
              <w:t>r</w:t>
            </w:r>
            <w:r w:rsidRPr="0013396E">
              <w:rPr>
                <w:iCs/>
                <w:kern w:val="2"/>
                <w:sz w:val="20"/>
                <w:szCs w:val="24"/>
              </w:rPr>
              <w:t xml:space="preserve"> is the Combined Cycle Train.</w:t>
            </w:r>
          </w:p>
        </w:tc>
      </w:tr>
      <w:tr w:rsidR="00B6651E" w:rsidRPr="0013396E" w14:paraId="41954285"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51D556FF" w14:textId="77777777" w:rsidR="00B6651E" w:rsidRPr="0013396E" w:rsidDel="0018361F" w:rsidRDefault="00B6651E" w:rsidP="00494238">
            <w:pPr>
              <w:spacing w:after="60"/>
              <w:rPr>
                <w:iCs/>
                <w:kern w:val="2"/>
                <w:sz w:val="20"/>
                <w:szCs w:val="24"/>
              </w:rPr>
            </w:pPr>
            <w:r w:rsidRPr="0013396E">
              <w:rPr>
                <w:iCs/>
                <w:sz w:val="20"/>
                <w:szCs w:val="24"/>
              </w:rPr>
              <w:t xml:space="preserve">CMPHSL </w:t>
            </w:r>
            <w:r w:rsidRPr="0013396E">
              <w:rPr>
                <w:i/>
                <w:iCs/>
                <w:sz w:val="20"/>
                <w:szCs w:val="24"/>
                <w:vertAlign w:val="subscript"/>
              </w:rPr>
              <w:t>q, r, p, h</w:t>
            </w:r>
          </w:p>
        </w:tc>
        <w:tc>
          <w:tcPr>
            <w:tcW w:w="460" w:type="pct"/>
            <w:tcBorders>
              <w:top w:val="single" w:sz="4" w:space="0" w:color="auto"/>
              <w:left w:val="single" w:sz="4" w:space="0" w:color="auto"/>
              <w:bottom w:val="single" w:sz="4" w:space="0" w:color="auto"/>
              <w:right w:val="single" w:sz="4" w:space="0" w:color="auto"/>
            </w:tcBorders>
          </w:tcPr>
          <w:p w14:paraId="0077439E" w14:textId="77777777" w:rsidR="00B6651E" w:rsidRPr="0013396E" w:rsidDel="0018361F" w:rsidRDefault="00B6651E" w:rsidP="00494238">
            <w:pPr>
              <w:spacing w:after="60"/>
              <w:rPr>
                <w:iCs/>
                <w:kern w:val="2"/>
                <w:sz w:val="20"/>
                <w:szCs w:val="24"/>
              </w:rPr>
            </w:pPr>
            <w:r w:rsidRPr="0013396E">
              <w:rPr>
                <w:iCs/>
                <w:sz w:val="20"/>
                <w:szCs w:val="24"/>
              </w:rPr>
              <w:t>MW</w:t>
            </w:r>
          </w:p>
        </w:tc>
        <w:tc>
          <w:tcPr>
            <w:tcW w:w="3544" w:type="pct"/>
            <w:tcBorders>
              <w:top w:val="single" w:sz="4" w:space="0" w:color="auto"/>
              <w:left w:val="single" w:sz="4" w:space="0" w:color="auto"/>
              <w:bottom w:val="single" w:sz="4" w:space="0" w:color="auto"/>
              <w:right w:val="single" w:sz="4" w:space="0" w:color="auto"/>
            </w:tcBorders>
          </w:tcPr>
          <w:p w14:paraId="7A69A2BE" w14:textId="73D5A142" w:rsidR="00B6651E" w:rsidRPr="0013396E" w:rsidDel="0018361F" w:rsidRDefault="00B6651E" w:rsidP="00494238">
            <w:pPr>
              <w:spacing w:after="60"/>
              <w:rPr>
                <w:i/>
                <w:iCs/>
                <w:kern w:val="2"/>
                <w:sz w:val="20"/>
                <w:szCs w:val="24"/>
              </w:rPr>
            </w:pPr>
            <w:r w:rsidRPr="0013396E">
              <w:rPr>
                <w:i/>
                <w:iCs/>
                <w:sz w:val="20"/>
              </w:rPr>
              <w:t xml:space="preserve">Constraint Management Plan </w:t>
            </w:r>
            <w:r w:rsidRPr="0013396E">
              <w:rPr>
                <w:i/>
                <w:iCs/>
                <w:sz w:val="20"/>
                <w:szCs w:val="24"/>
              </w:rPr>
              <w:t>High Sustained Limit</w:t>
            </w:r>
            <w:r w:rsidRPr="0013396E">
              <w:rPr>
                <w:iCs/>
                <w:sz w:val="20"/>
                <w:szCs w:val="24"/>
              </w:rPr>
              <w:t>—</w:t>
            </w:r>
            <w:r w:rsidRPr="0013396E">
              <w:rPr>
                <w:iCs/>
                <w:kern w:val="2"/>
                <w:sz w:val="20"/>
                <w:szCs w:val="24"/>
              </w:rPr>
              <w:t xml:space="preserve">The High Sustained Limit (HSL) of Generation Resource </w:t>
            </w:r>
            <w:r w:rsidRPr="0013396E">
              <w:rPr>
                <w:i/>
                <w:kern w:val="2"/>
                <w:sz w:val="20"/>
                <w:szCs w:val="24"/>
              </w:rPr>
              <w:t>r</w:t>
            </w:r>
            <w:r w:rsidRPr="0013396E">
              <w:rPr>
                <w:iCs/>
                <w:kern w:val="2"/>
                <w:sz w:val="20"/>
                <w:szCs w:val="24"/>
              </w:rPr>
              <w:t xml:space="preserve"> represented by QSE </w:t>
            </w:r>
            <w:r w:rsidRPr="0013396E">
              <w:rPr>
                <w:i/>
                <w:kern w:val="2"/>
                <w:sz w:val="20"/>
                <w:szCs w:val="24"/>
              </w:rPr>
              <w:t>q</w:t>
            </w:r>
            <w:r w:rsidRPr="0013396E">
              <w:rPr>
                <w:iCs/>
                <w:kern w:val="2"/>
                <w:sz w:val="20"/>
                <w:szCs w:val="24"/>
              </w:rPr>
              <w:t xml:space="preserve">, as submitted in the Current Operating Plan (COP), for the hour </w:t>
            </w:r>
            <w:r w:rsidR="00494238" w:rsidRPr="0013396E">
              <w:rPr>
                <w:i/>
                <w:kern w:val="2"/>
                <w:sz w:val="20"/>
                <w:szCs w:val="24"/>
              </w:rPr>
              <w:t>h</w:t>
            </w:r>
            <w:r w:rsidR="00494238" w:rsidRPr="0013396E">
              <w:rPr>
                <w:iCs/>
                <w:kern w:val="2"/>
                <w:sz w:val="20"/>
                <w:szCs w:val="24"/>
              </w:rPr>
              <w:t xml:space="preserve"> </w:t>
            </w:r>
            <w:r w:rsidRPr="0013396E">
              <w:rPr>
                <w:iCs/>
                <w:kern w:val="2"/>
                <w:sz w:val="20"/>
                <w:szCs w:val="24"/>
              </w:rPr>
              <w:t>the Resource</w:t>
            </w:r>
            <w:r w:rsidR="00B2483C" w:rsidRPr="0013396E">
              <w:rPr>
                <w:iCs/>
                <w:kern w:val="2"/>
                <w:sz w:val="20"/>
                <w:szCs w:val="24"/>
              </w:rPr>
              <w:t xml:space="preserve"> </w:t>
            </w:r>
            <w:r w:rsidRPr="0013396E">
              <w:rPr>
                <w:iCs/>
                <w:kern w:val="2"/>
                <w:sz w:val="20"/>
                <w:szCs w:val="24"/>
              </w:rPr>
              <w:t xml:space="preserve">tripped </w:t>
            </w:r>
            <w:r w:rsidR="00494238" w:rsidRPr="0013396E">
              <w:rPr>
                <w:iCs/>
                <w:kern w:val="2"/>
                <w:sz w:val="20"/>
                <w:szCs w:val="24"/>
              </w:rPr>
              <w:t>O</w:t>
            </w:r>
            <w:r w:rsidRPr="0013396E">
              <w:rPr>
                <w:iCs/>
                <w:kern w:val="2"/>
                <w:sz w:val="20"/>
                <w:szCs w:val="24"/>
              </w:rPr>
              <w:t>ff-</w:t>
            </w:r>
            <w:r w:rsidR="00494238" w:rsidRPr="0013396E">
              <w:rPr>
                <w:iCs/>
                <w:kern w:val="2"/>
                <w:sz w:val="20"/>
                <w:szCs w:val="24"/>
              </w:rPr>
              <w:t>L</w:t>
            </w:r>
            <w:r w:rsidRPr="0013396E">
              <w:rPr>
                <w:iCs/>
                <w:kern w:val="2"/>
                <w:sz w:val="20"/>
                <w:szCs w:val="24"/>
              </w:rPr>
              <w:t xml:space="preserve">ine. </w:t>
            </w:r>
            <w:r w:rsidR="006D7B7D" w:rsidRPr="0013396E">
              <w:rPr>
                <w:iCs/>
                <w:kern w:val="2"/>
                <w:sz w:val="20"/>
                <w:szCs w:val="24"/>
              </w:rPr>
              <w:t xml:space="preserve"> </w:t>
            </w:r>
            <w:r w:rsidRPr="0013396E">
              <w:rPr>
                <w:iCs/>
                <w:kern w:val="2"/>
                <w:sz w:val="20"/>
                <w:szCs w:val="24"/>
              </w:rPr>
              <w:t xml:space="preserve">Where for a </w:t>
            </w:r>
            <w:r w:rsidR="00446DBD" w:rsidRPr="0013396E">
              <w:rPr>
                <w:iCs/>
                <w:kern w:val="2"/>
                <w:sz w:val="20"/>
                <w:szCs w:val="24"/>
              </w:rPr>
              <w:t>c</w:t>
            </w:r>
            <w:r w:rsidRPr="0013396E">
              <w:rPr>
                <w:iCs/>
                <w:kern w:val="2"/>
                <w:sz w:val="20"/>
                <w:szCs w:val="24"/>
              </w:rPr>
              <w:t xml:space="preserve">ombined </w:t>
            </w:r>
            <w:r w:rsidR="00446DBD" w:rsidRPr="0013396E">
              <w:rPr>
                <w:iCs/>
                <w:kern w:val="2"/>
                <w:sz w:val="20"/>
                <w:szCs w:val="24"/>
              </w:rPr>
              <w:t>c</w:t>
            </w:r>
            <w:r w:rsidRPr="0013396E">
              <w:rPr>
                <w:iCs/>
                <w:kern w:val="2"/>
                <w:sz w:val="20"/>
                <w:szCs w:val="24"/>
              </w:rPr>
              <w:t xml:space="preserve">ycle Resource </w:t>
            </w:r>
            <w:r w:rsidRPr="0013396E">
              <w:rPr>
                <w:i/>
                <w:kern w:val="2"/>
                <w:sz w:val="20"/>
                <w:szCs w:val="24"/>
              </w:rPr>
              <w:t>r</w:t>
            </w:r>
            <w:r w:rsidRPr="0013396E">
              <w:rPr>
                <w:iCs/>
                <w:kern w:val="2"/>
                <w:sz w:val="20"/>
                <w:szCs w:val="24"/>
              </w:rPr>
              <w:t xml:space="preserve"> is the Combined Cycle Generation Resource within the Combined Cycle Train that was online when the Resource tripped Off-Line.</w:t>
            </w:r>
          </w:p>
        </w:tc>
      </w:tr>
      <w:tr w:rsidR="00B6651E" w:rsidRPr="0013396E" w14:paraId="69C63AFD"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1625B220" w14:textId="77777777" w:rsidR="00B6651E" w:rsidRPr="0013396E" w:rsidRDefault="00B6651E" w:rsidP="00494238">
            <w:pPr>
              <w:spacing w:after="60"/>
              <w:rPr>
                <w:iCs/>
                <w:kern w:val="2"/>
                <w:sz w:val="20"/>
                <w:szCs w:val="24"/>
              </w:rPr>
            </w:pPr>
            <w:r w:rsidRPr="0013396E">
              <w:rPr>
                <w:iCs/>
                <w:kern w:val="2"/>
                <w:sz w:val="20"/>
                <w:szCs w:val="24"/>
              </w:rPr>
              <w:t xml:space="preserve">RTSPP </w:t>
            </w:r>
            <w:r w:rsidRPr="0013396E">
              <w:rPr>
                <w:bCs/>
                <w:i/>
                <w:iCs/>
                <w:kern w:val="2"/>
                <w:sz w:val="20"/>
                <w:szCs w:val="24"/>
                <w:vertAlign w:val="subscript"/>
              </w:rPr>
              <w:t>p, i</w:t>
            </w:r>
          </w:p>
        </w:tc>
        <w:tc>
          <w:tcPr>
            <w:tcW w:w="460" w:type="pct"/>
            <w:tcBorders>
              <w:top w:val="single" w:sz="4" w:space="0" w:color="auto"/>
              <w:left w:val="single" w:sz="4" w:space="0" w:color="auto"/>
              <w:bottom w:val="single" w:sz="4" w:space="0" w:color="auto"/>
              <w:right w:val="single" w:sz="4" w:space="0" w:color="auto"/>
            </w:tcBorders>
          </w:tcPr>
          <w:p w14:paraId="3F2F25E1" w14:textId="77777777" w:rsidR="00B6651E" w:rsidRPr="0013396E" w:rsidRDefault="00B6651E" w:rsidP="00494238">
            <w:pPr>
              <w:spacing w:after="60"/>
              <w:rPr>
                <w:iCs/>
                <w:kern w:val="2"/>
                <w:sz w:val="20"/>
                <w:szCs w:val="24"/>
              </w:rPr>
            </w:pPr>
            <w:r w:rsidRPr="0013396E">
              <w:rPr>
                <w:iCs/>
                <w:kern w:val="2"/>
                <w:sz w:val="20"/>
                <w:szCs w:val="24"/>
              </w:rPr>
              <w:t>$/MWh</w:t>
            </w:r>
          </w:p>
        </w:tc>
        <w:tc>
          <w:tcPr>
            <w:tcW w:w="3544" w:type="pct"/>
            <w:tcBorders>
              <w:top w:val="single" w:sz="4" w:space="0" w:color="auto"/>
              <w:left w:val="single" w:sz="4" w:space="0" w:color="auto"/>
              <w:bottom w:val="single" w:sz="4" w:space="0" w:color="auto"/>
              <w:right w:val="single" w:sz="4" w:space="0" w:color="auto"/>
            </w:tcBorders>
          </w:tcPr>
          <w:p w14:paraId="0ECD01AE" w14:textId="77777777" w:rsidR="00B6651E" w:rsidRPr="0013396E" w:rsidRDefault="00B6651E" w:rsidP="00494238">
            <w:pPr>
              <w:spacing w:after="60"/>
              <w:rPr>
                <w:iCs/>
                <w:kern w:val="2"/>
                <w:sz w:val="20"/>
                <w:szCs w:val="24"/>
              </w:rPr>
            </w:pPr>
            <w:r w:rsidRPr="0013396E">
              <w:rPr>
                <w:i/>
                <w:kern w:val="2"/>
                <w:sz w:val="20"/>
                <w:szCs w:val="24"/>
              </w:rPr>
              <w:t>Real-Time Settlement Point Price per Settlement Point</w:t>
            </w:r>
            <w:r w:rsidRPr="0013396E">
              <w:rPr>
                <w:iCs/>
                <w:kern w:val="2"/>
                <w:sz w:val="20"/>
                <w:szCs w:val="24"/>
              </w:rPr>
              <w:t xml:space="preserve">—The Real-Time Settlement Point Price at Settlement Point </w:t>
            </w:r>
            <w:r w:rsidRPr="0013396E">
              <w:rPr>
                <w:i/>
                <w:kern w:val="2"/>
                <w:sz w:val="20"/>
                <w:szCs w:val="24"/>
              </w:rPr>
              <w:t>p</w:t>
            </w:r>
            <w:r w:rsidRPr="0013396E">
              <w:rPr>
                <w:iCs/>
                <w:kern w:val="2"/>
                <w:sz w:val="20"/>
                <w:szCs w:val="24"/>
              </w:rPr>
              <w:t xml:space="preserve">, for the 15-minute Settlement Interval </w:t>
            </w:r>
            <w:r w:rsidRPr="0013396E">
              <w:rPr>
                <w:i/>
                <w:kern w:val="2"/>
                <w:sz w:val="20"/>
                <w:szCs w:val="24"/>
              </w:rPr>
              <w:t>i</w:t>
            </w:r>
            <w:r w:rsidRPr="0013396E">
              <w:rPr>
                <w:iCs/>
                <w:kern w:val="2"/>
                <w:sz w:val="20"/>
                <w:szCs w:val="24"/>
              </w:rPr>
              <w:t>.</w:t>
            </w:r>
          </w:p>
        </w:tc>
      </w:tr>
      <w:tr w:rsidR="00B6651E" w:rsidRPr="0013396E" w14:paraId="0ED8E525"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74D1E063" w14:textId="77777777" w:rsidR="00B6651E" w:rsidRPr="0013396E" w:rsidRDefault="00B6651E" w:rsidP="00494238">
            <w:pPr>
              <w:spacing w:after="60"/>
              <w:rPr>
                <w:iCs/>
                <w:kern w:val="2"/>
                <w:sz w:val="20"/>
                <w:szCs w:val="24"/>
              </w:rPr>
            </w:pPr>
            <w:r w:rsidRPr="0013396E">
              <w:rPr>
                <w:iCs/>
                <w:kern w:val="2"/>
                <w:sz w:val="20"/>
                <w:szCs w:val="24"/>
              </w:rPr>
              <w:t xml:space="preserve">RTRSVPOR </w:t>
            </w:r>
            <w:r w:rsidRPr="0013396E">
              <w:rPr>
                <w:bCs/>
                <w:i/>
                <w:iCs/>
                <w:kern w:val="2"/>
                <w:sz w:val="20"/>
                <w:szCs w:val="24"/>
                <w:vertAlign w:val="subscript"/>
              </w:rPr>
              <w:t>i</w:t>
            </w:r>
          </w:p>
        </w:tc>
        <w:tc>
          <w:tcPr>
            <w:tcW w:w="460" w:type="pct"/>
            <w:tcBorders>
              <w:top w:val="single" w:sz="4" w:space="0" w:color="auto"/>
              <w:left w:val="single" w:sz="4" w:space="0" w:color="auto"/>
              <w:bottom w:val="single" w:sz="4" w:space="0" w:color="auto"/>
              <w:right w:val="single" w:sz="4" w:space="0" w:color="auto"/>
            </w:tcBorders>
          </w:tcPr>
          <w:p w14:paraId="329A260F" w14:textId="77777777" w:rsidR="00B6651E" w:rsidRPr="0013396E" w:rsidRDefault="00B6651E" w:rsidP="00494238">
            <w:pPr>
              <w:spacing w:after="60"/>
              <w:rPr>
                <w:iCs/>
                <w:kern w:val="2"/>
                <w:sz w:val="20"/>
                <w:szCs w:val="24"/>
              </w:rPr>
            </w:pPr>
            <w:r w:rsidRPr="0013396E">
              <w:rPr>
                <w:iCs/>
                <w:kern w:val="2"/>
                <w:sz w:val="20"/>
                <w:szCs w:val="24"/>
              </w:rPr>
              <w:t>$/MWh</w:t>
            </w:r>
          </w:p>
        </w:tc>
        <w:tc>
          <w:tcPr>
            <w:tcW w:w="3544" w:type="pct"/>
            <w:tcBorders>
              <w:top w:val="single" w:sz="4" w:space="0" w:color="auto"/>
              <w:left w:val="single" w:sz="4" w:space="0" w:color="auto"/>
              <w:bottom w:val="single" w:sz="4" w:space="0" w:color="auto"/>
              <w:right w:val="single" w:sz="4" w:space="0" w:color="auto"/>
            </w:tcBorders>
          </w:tcPr>
          <w:p w14:paraId="5EB2DD19" w14:textId="61CBB11E" w:rsidR="00B6651E" w:rsidRPr="0013396E" w:rsidRDefault="00B6651E" w:rsidP="00494238">
            <w:pPr>
              <w:spacing w:after="60"/>
              <w:rPr>
                <w:iCs/>
                <w:kern w:val="2"/>
                <w:sz w:val="20"/>
                <w:szCs w:val="24"/>
              </w:rPr>
            </w:pPr>
            <w:r w:rsidRPr="0013396E">
              <w:rPr>
                <w:i/>
                <w:kern w:val="2"/>
                <w:sz w:val="20"/>
                <w:szCs w:val="24"/>
              </w:rPr>
              <w:t>Real-Time Reserve Price for On-Line Reserves</w:t>
            </w:r>
            <w:r w:rsidR="00384047" w:rsidRPr="0013396E">
              <w:rPr>
                <w:iCs/>
                <w:kern w:val="2"/>
                <w:sz w:val="20"/>
                <w:szCs w:val="24"/>
              </w:rPr>
              <w:t>—</w:t>
            </w:r>
            <w:r w:rsidRPr="0013396E">
              <w:rPr>
                <w:iCs/>
                <w:kern w:val="2"/>
                <w:sz w:val="20"/>
                <w:szCs w:val="24"/>
              </w:rPr>
              <w:t xml:space="preserve">The Real-Time Reserve Price for On-Line Reserves for the 15-minute Settlement Interval </w:t>
            </w:r>
            <w:r w:rsidRPr="0013396E">
              <w:rPr>
                <w:i/>
                <w:kern w:val="2"/>
                <w:sz w:val="20"/>
                <w:szCs w:val="24"/>
              </w:rPr>
              <w:t>i</w:t>
            </w:r>
            <w:r w:rsidRPr="0013396E">
              <w:rPr>
                <w:iCs/>
                <w:kern w:val="2"/>
                <w:sz w:val="20"/>
                <w:szCs w:val="24"/>
              </w:rPr>
              <w:t>.</w:t>
            </w:r>
          </w:p>
        </w:tc>
      </w:tr>
      <w:tr w:rsidR="00B6651E" w:rsidRPr="0013396E" w14:paraId="72CEE13C"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31DB86D9" w14:textId="77777777" w:rsidR="00B6651E" w:rsidRPr="0013396E" w:rsidRDefault="00B6651E" w:rsidP="00494238">
            <w:pPr>
              <w:spacing w:after="60"/>
              <w:rPr>
                <w:iCs/>
                <w:kern w:val="2"/>
                <w:sz w:val="20"/>
                <w:szCs w:val="24"/>
              </w:rPr>
            </w:pPr>
            <w:r w:rsidRPr="0013396E">
              <w:rPr>
                <w:iCs/>
                <w:kern w:val="2"/>
                <w:sz w:val="20"/>
                <w:szCs w:val="24"/>
              </w:rPr>
              <w:t>RTRDP</w:t>
            </w:r>
            <w:r w:rsidRPr="0013396E">
              <w:rPr>
                <w:bCs/>
                <w:i/>
                <w:iCs/>
                <w:kern w:val="2"/>
                <w:sz w:val="20"/>
                <w:szCs w:val="24"/>
                <w:vertAlign w:val="subscript"/>
              </w:rPr>
              <w:t xml:space="preserve"> i</w:t>
            </w:r>
          </w:p>
        </w:tc>
        <w:tc>
          <w:tcPr>
            <w:tcW w:w="460" w:type="pct"/>
            <w:tcBorders>
              <w:top w:val="single" w:sz="4" w:space="0" w:color="auto"/>
              <w:left w:val="single" w:sz="4" w:space="0" w:color="auto"/>
              <w:bottom w:val="single" w:sz="4" w:space="0" w:color="auto"/>
              <w:right w:val="single" w:sz="4" w:space="0" w:color="auto"/>
            </w:tcBorders>
          </w:tcPr>
          <w:p w14:paraId="4DD0F478" w14:textId="77777777" w:rsidR="00B6651E" w:rsidRPr="0013396E" w:rsidRDefault="00B6651E" w:rsidP="00494238">
            <w:pPr>
              <w:spacing w:after="60"/>
              <w:rPr>
                <w:iCs/>
                <w:kern w:val="2"/>
                <w:sz w:val="20"/>
                <w:szCs w:val="24"/>
              </w:rPr>
            </w:pPr>
            <w:r w:rsidRPr="0013396E">
              <w:rPr>
                <w:iCs/>
                <w:kern w:val="2"/>
                <w:sz w:val="20"/>
                <w:szCs w:val="24"/>
              </w:rPr>
              <w:t>$/MWh</w:t>
            </w:r>
          </w:p>
        </w:tc>
        <w:tc>
          <w:tcPr>
            <w:tcW w:w="3544" w:type="pct"/>
            <w:tcBorders>
              <w:top w:val="single" w:sz="4" w:space="0" w:color="auto"/>
              <w:left w:val="single" w:sz="4" w:space="0" w:color="auto"/>
              <w:bottom w:val="single" w:sz="4" w:space="0" w:color="auto"/>
              <w:right w:val="single" w:sz="4" w:space="0" w:color="auto"/>
            </w:tcBorders>
          </w:tcPr>
          <w:p w14:paraId="643F7DED" w14:textId="0D9951BD" w:rsidR="00B6651E" w:rsidRPr="0013396E" w:rsidRDefault="00B6651E" w:rsidP="00494238">
            <w:pPr>
              <w:spacing w:after="60"/>
              <w:rPr>
                <w:iCs/>
                <w:kern w:val="2"/>
                <w:sz w:val="20"/>
                <w:szCs w:val="24"/>
              </w:rPr>
            </w:pPr>
            <w:r w:rsidRPr="0013396E">
              <w:rPr>
                <w:i/>
                <w:kern w:val="2"/>
                <w:sz w:val="20"/>
                <w:szCs w:val="24"/>
              </w:rPr>
              <w:t>Real-Time On-Line Reliability Deployment Price</w:t>
            </w:r>
            <w:r w:rsidR="00D4102A" w:rsidRPr="0013396E">
              <w:rPr>
                <w:iCs/>
                <w:kern w:val="2"/>
                <w:sz w:val="20"/>
                <w:szCs w:val="24"/>
              </w:rPr>
              <w:t>—</w:t>
            </w:r>
            <w:r w:rsidRPr="0013396E">
              <w:rPr>
                <w:iCs/>
                <w:kern w:val="2"/>
                <w:sz w:val="20"/>
                <w:szCs w:val="24"/>
              </w:rPr>
              <w:t xml:space="preserve">The Real-Time price for the 15-minute Settlement Interval </w:t>
            </w:r>
            <w:r w:rsidRPr="0013396E">
              <w:rPr>
                <w:i/>
                <w:kern w:val="2"/>
                <w:sz w:val="20"/>
                <w:szCs w:val="24"/>
              </w:rPr>
              <w:t>i</w:t>
            </w:r>
            <w:r w:rsidRPr="0013396E">
              <w:rPr>
                <w:iCs/>
                <w:kern w:val="2"/>
                <w:sz w:val="20"/>
                <w:szCs w:val="24"/>
              </w:rPr>
              <w:t>, reflecting the impact of reliability deployments on energy prices that is calculated from the Real-Time On-Line Reliability Deployment Price Adder.</w:t>
            </w:r>
          </w:p>
        </w:tc>
      </w:tr>
      <w:tr w:rsidR="00B6651E" w:rsidRPr="0013396E" w14:paraId="67FCFD0B" w14:textId="77777777" w:rsidTr="00E844EE">
        <w:trPr>
          <w:cantSplit/>
          <w:trHeight w:val="146"/>
        </w:trPr>
        <w:tc>
          <w:tcPr>
            <w:tcW w:w="996" w:type="pct"/>
            <w:tcBorders>
              <w:top w:val="single" w:sz="4" w:space="0" w:color="auto"/>
              <w:left w:val="single" w:sz="4" w:space="0" w:color="auto"/>
              <w:bottom w:val="single" w:sz="4" w:space="0" w:color="auto"/>
              <w:right w:val="single" w:sz="4" w:space="0" w:color="auto"/>
            </w:tcBorders>
          </w:tcPr>
          <w:p w14:paraId="05A3A978" w14:textId="77777777" w:rsidR="00B6651E" w:rsidRPr="0013396E" w:rsidRDefault="00B6651E" w:rsidP="00494238">
            <w:pPr>
              <w:spacing w:after="60"/>
              <w:rPr>
                <w:iCs/>
                <w:kern w:val="2"/>
                <w:sz w:val="20"/>
                <w:szCs w:val="24"/>
              </w:rPr>
            </w:pPr>
            <w:r w:rsidRPr="0013396E">
              <w:rPr>
                <w:iCs/>
                <w:kern w:val="2"/>
                <w:sz w:val="20"/>
                <w:szCs w:val="24"/>
              </w:rPr>
              <w:t xml:space="preserve">CMPSUCAP </w:t>
            </w:r>
            <w:r w:rsidRPr="0013396E">
              <w:rPr>
                <w:bCs/>
                <w:i/>
                <w:iCs/>
                <w:kern w:val="2"/>
                <w:sz w:val="20"/>
                <w:szCs w:val="24"/>
                <w:vertAlign w:val="subscript"/>
              </w:rPr>
              <w:t>q, r, p, s</w:t>
            </w:r>
          </w:p>
        </w:tc>
        <w:tc>
          <w:tcPr>
            <w:tcW w:w="460" w:type="pct"/>
            <w:tcBorders>
              <w:top w:val="single" w:sz="4" w:space="0" w:color="auto"/>
              <w:left w:val="single" w:sz="4" w:space="0" w:color="auto"/>
              <w:bottom w:val="single" w:sz="4" w:space="0" w:color="auto"/>
              <w:right w:val="single" w:sz="4" w:space="0" w:color="auto"/>
            </w:tcBorders>
          </w:tcPr>
          <w:p w14:paraId="72A91F02" w14:textId="77777777" w:rsidR="00B6651E" w:rsidRPr="0013396E" w:rsidRDefault="00B6651E" w:rsidP="00494238">
            <w:pPr>
              <w:spacing w:after="60"/>
              <w:rPr>
                <w:iCs/>
                <w:kern w:val="2"/>
                <w:sz w:val="20"/>
                <w:szCs w:val="24"/>
              </w:rPr>
            </w:pPr>
            <w:r w:rsidRPr="0013396E">
              <w:rPr>
                <w:iCs/>
                <w:kern w:val="2"/>
                <w:sz w:val="20"/>
                <w:szCs w:val="24"/>
              </w:rPr>
              <w:t>$/Start</w:t>
            </w:r>
          </w:p>
        </w:tc>
        <w:tc>
          <w:tcPr>
            <w:tcW w:w="3544" w:type="pct"/>
            <w:tcBorders>
              <w:top w:val="single" w:sz="4" w:space="0" w:color="auto"/>
              <w:left w:val="single" w:sz="4" w:space="0" w:color="auto"/>
              <w:bottom w:val="single" w:sz="4" w:space="0" w:color="auto"/>
              <w:right w:val="single" w:sz="4" w:space="0" w:color="auto"/>
            </w:tcBorders>
          </w:tcPr>
          <w:p w14:paraId="5D177554" w14:textId="4C0F864C" w:rsidR="00B6651E" w:rsidRPr="0013396E" w:rsidRDefault="00B6651E" w:rsidP="00494238">
            <w:pPr>
              <w:spacing w:after="60"/>
              <w:rPr>
                <w:iCs/>
                <w:kern w:val="2"/>
                <w:sz w:val="20"/>
                <w:szCs w:val="24"/>
              </w:rPr>
            </w:pPr>
            <w:r w:rsidRPr="0013396E">
              <w:rPr>
                <w:i/>
                <w:iCs/>
                <w:sz w:val="20"/>
              </w:rPr>
              <w:t xml:space="preserve">Constraint Management Plan </w:t>
            </w:r>
            <w:r w:rsidRPr="0013396E">
              <w:rPr>
                <w:i/>
                <w:kern w:val="2"/>
                <w:sz w:val="20"/>
                <w:szCs w:val="24"/>
              </w:rPr>
              <w:t>Startup Cap</w:t>
            </w:r>
            <w:r w:rsidRPr="0013396E">
              <w:rPr>
                <w:iCs/>
                <w:kern w:val="2"/>
                <w:sz w:val="20"/>
                <w:szCs w:val="24"/>
              </w:rPr>
              <w:t>—The CMP cap is the Resource Category Startup Offer Generic Cap (RCGSC) unless ERCOT has approved verifiable unit-specific Startup Costs for that Resource, in which case the CMP startup cap will be verifiable unit-specific Startup Cost determined as described in Section 5.6.1</w:t>
            </w:r>
            <w:r w:rsidR="00C40597" w:rsidRPr="0013396E">
              <w:rPr>
                <w:iCs/>
                <w:kern w:val="2"/>
                <w:sz w:val="20"/>
                <w:szCs w:val="24"/>
              </w:rPr>
              <w:t>, Verifiable Costs</w:t>
            </w:r>
            <w:r w:rsidRPr="0013396E">
              <w:rPr>
                <w:iCs/>
                <w:kern w:val="2"/>
                <w:sz w:val="20"/>
                <w:szCs w:val="24"/>
              </w:rPr>
              <w:t xml:space="preserve">.  Where for a Combined Cycle Train, the Resource </w:t>
            </w:r>
            <w:r w:rsidRPr="0013396E">
              <w:rPr>
                <w:i/>
                <w:kern w:val="2"/>
                <w:sz w:val="20"/>
                <w:szCs w:val="24"/>
              </w:rPr>
              <w:t>r</w:t>
            </w:r>
            <w:r w:rsidRPr="0013396E">
              <w:rPr>
                <w:iCs/>
                <w:kern w:val="2"/>
                <w:sz w:val="20"/>
                <w:szCs w:val="24"/>
              </w:rPr>
              <w:t xml:space="preserve"> is a Combined Cycle Generation Resource within the Combined Cycle Train.</w:t>
            </w:r>
          </w:p>
        </w:tc>
      </w:tr>
      <w:tr w:rsidR="00B6651E" w:rsidRPr="0013396E" w14:paraId="35D7146D" w14:textId="77777777" w:rsidTr="00E844EE">
        <w:trPr>
          <w:cantSplit/>
          <w:trHeight w:val="289"/>
        </w:trPr>
        <w:tc>
          <w:tcPr>
            <w:tcW w:w="996" w:type="pct"/>
            <w:tcBorders>
              <w:top w:val="single" w:sz="4" w:space="0" w:color="auto"/>
              <w:left w:val="single" w:sz="4" w:space="0" w:color="auto"/>
              <w:bottom w:val="single" w:sz="4" w:space="0" w:color="auto"/>
              <w:right w:val="single" w:sz="4" w:space="0" w:color="auto"/>
            </w:tcBorders>
            <w:hideMark/>
          </w:tcPr>
          <w:p w14:paraId="6F846D8E" w14:textId="77777777" w:rsidR="00B6651E" w:rsidRPr="0013396E" w:rsidRDefault="00B6651E" w:rsidP="00494238">
            <w:pPr>
              <w:spacing w:after="60"/>
              <w:rPr>
                <w:i/>
                <w:iCs/>
                <w:kern w:val="2"/>
                <w:sz w:val="20"/>
                <w:szCs w:val="24"/>
              </w:rPr>
            </w:pPr>
            <w:r w:rsidRPr="0013396E">
              <w:rPr>
                <w:i/>
                <w:iCs/>
                <w:kern w:val="2"/>
                <w:sz w:val="20"/>
                <w:szCs w:val="24"/>
              </w:rPr>
              <w:t>q</w:t>
            </w:r>
          </w:p>
        </w:tc>
        <w:tc>
          <w:tcPr>
            <w:tcW w:w="460" w:type="pct"/>
            <w:tcBorders>
              <w:top w:val="single" w:sz="4" w:space="0" w:color="auto"/>
              <w:left w:val="single" w:sz="4" w:space="0" w:color="auto"/>
              <w:bottom w:val="single" w:sz="4" w:space="0" w:color="auto"/>
              <w:right w:val="single" w:sz="4" w:space="0" w:color="auto"/>
            </w:tcBorders>
            <w:hideMark/>
          </w:tcPr>
          <w:p w14:paraId="466BC344" w14:textId="77777777" w:rsidR="00B6651E" w:rsidRPr="0013396E" w:rsidRDefault="00B6651E" w:rsidP="00494238">
            <w:pPr>
              <w:spacing w:after="60"/>
              <w:rPr>
                <w:iCs/>
                <w:kern w:val="2"/>
                <w:sz w:val="20"/>
                <w:szCs w:val="24"/>
              </w:rPr>
            </w:pPr>
            <w:r w:rsidRPr="0013396E">
              <w:rPr>
                <w:iCs/>
                <w:kern w:val="2"/>
                <w:sz w:val="20"/>
                <w:szCs w:val="24"/>
              </w:rPr>
              <w:t>None</w:t>
            </w:r>
          </w:p>
        </w:tc>
        <w:tc>
          <w:tcPr>
            <w:tcW w:w="3544" w:type="pct"/>
            <w:tcBorders>
              <w:top w:val="single" w:sz="4" w:space="0" w:color="auto"/>
              <w:left w:val="single" w:sz="4" w:space="0" w:color="auto"/>
              <w:bottom w:val="single" w:sz="4" w:space="0" w:color="auto"/>
              <w:right w:val="single" w:sz="4" w:space="0" w:color="auto"/>
            </w:tcBorders>
            <w:hideMark/>
          </w:tcPr>
          <w:p w14:paraId="2F2EEA16" w14:textId="77777777" w:rsidR="00B6651E" w:rsidRPr="0013396E" w:rsidRDefault="00B6651E" w:rsidP="00494238">
            <w:pPr>
              <w:spacing w:after="60"/>
              <w:rPr>
                <w:i/>
                <w:kern w:val="2"/>
                <w:sz w:val="20"/>
                <w:szCs w:val="24"/>
              </w:rPr>
            </w:pPr>
            <w:r w:rsidRPr="0013396E">
              <w:rPr>
                <w:iCs/>
                <w:kern w:val="2"/>
                <w:sz w:val="20"/>
                <w:szCs w:val="24"/>
              </w:rPr>
              <w:t>A QSE.</w:t>
            </w:r>
          </w:p>
        </w:tc>
      </w:tr>
      <w:tr w:rsidR="00B6651E" w:rsidRPr="0013396E" w14:paraId="4E68A206" w14:textId="77777777" w:rsidTr="00E844EE">
        <w:trPr>
          <w:cantSplit/>
          <w:trHeight w:val="289"/>
        </w:trPr>
        <w:tc>
          <w:tcPr>
            <w:tcW w:w="996" w:type="pct"/>
            <w:tcBorders>
              <w:top w:val="single" w:sz="4" w:space="0" w:color="auto"/>
              <w:left w:val="single" w:sz="4" w:space="0" w:color="auto"/>
              <w:bottom w:val="single" w:sz="4" w:space="0" w:color="auto"/>
              <w:right w:val="single" w:sz="4" w:space="0" w:color="auto"/>
            </w:tcBorders>
            <w:hideMark/>
          </w:tcPr>
          <w:p w14:paraId="1737698D" w14:textId="77777777" w:rsidR="00B6651E" w:rsidRPr="0013396E" w:rsidRDefault="00B6651E" w:rsidP="00494238">
            <w:pPr>
              <w:spacing w:after="60"/>
              <w:rPr>
                <w:i/>
                <w:iCs/>
                <w:kern w:val="2"/>
                <w:sz w:val="20"/>
                <w:szCs w:val="24"/>
              </w:rPr>
            </w:pPr>
            <w:r w:rsidRPr="0013396E">
              <w:rPr>
                <w:i/>
                <w:iCs/>
                <w:kern w:val="2"/>
                <w:sz w:val="20"/>
                <w:szCs w:val="24"/>
              </w:rPr>
              <w:t>r</w:t>
            </w:r>
          </w:p>
        </w:tc>
        <w:tc>
          <w:tcPr>
            <w:tcW w:w="460" w:type="pct"/>
            <w:tcBorders>
              <w:top w:val="single" w:sz="4" w:space="0" w:color="auto"/>
              <w:left w:val="single" w:sz="4" w:space="0" w:color="auto"/>
              <w:bottom w:val="single" w:sz="4" w:space="0" w:color="auto"/>
              <w:right w:val="single" w:sz="4" w:space="0" w:color="auto"/>
            </w:tcBorders>
            <w:hideMark/>
          </w:tcPr>
          <w:p w14:paraId="43D8F26E" w14:textId="77777777" w:rsidR="00B6651E" w:rsidRPr="0013396E" w:rsidRDefault="00B6651E" w:rsidP="00494238">
            <w:pPr>
              <w:spacing w:after="60"/>
              <w:rPr>
                <w:iCs/>
                <w:kern w:val="2"/>
                <w:sz w:val="20"/>
                <w:szCs w:val="24"/>
              </w:rPr>
            </w:pPr>
            <w:r w:rsidRPr="0013396E">
              <w:rPr>
                <w:iCs/>
                <w:kern w:val="2"/>
                <w:sz w:val="20"/>
                <w:szCs w:val="24"/>
              </w:rPr>
              <w:t>None</w:t>
            </w:r>
          </w:p>
        </w:tc>
        <w:tc>
          <w:tcPr>
            <w:tcW w:w="3544" w:type="pct"/>
            <w:tcBorders>
              <w:top w:val="single" w:sz="4" w:space="0" w:color="auto"/>
              <w:left w:val="single" w:sz="4" w:space="0" w:color="auto"/>
              <w:bottom w:val="single" w:sz="4" w:space="0" w:color="auto"/>
              <w:right w:val="single" w:sz="4" w:space="0" w:color="auto"/>
            </w:tcBorders>
            <w:hideMark/>
          </w:tcPr>
          <w:p w14:paraId="74D9463E" w14:textId="77777777" w:rsidR="00B6651E" w:rsidRPr="0013396E" w:rsidRDefault="00B6651E" w:rsidP="00494238">
            <w:pPr>
              <w:spacing w:after="60"/>
              <w:rPr>
                <w:i/>
                <w:kern w:val="2"/>
                <w:sz w:val="20"/>
                <w:szCs w:val="24"/>
              </w:rPr>
            </w:pPr>
            <w:r w:rsidRPr="0013396E">
              <w:rPr>
                <w:iCs/>
                <w:kern w:val="2"/>
                <w:sz w:val="20"/>
                <w:szCs w:val="24"/>
              </w:rPr>
              <w:t>A Generation Resource.</w:t>
            </w:r>
          </w:p>
        </w:tc>
      </w:tr>
      <w:tr w:rsidR="00B6651E" w:rsidRPr="0013396E" w14:paraId="52070BBE" w14:textId="77777777" w:rsidTr="00E844EE">
        <w:trPr>
          <w:cantSplit/>
          <w:trHeight w:val="289"/>
        </w:trPr>
        <w:tc>
          <w:tcPr>
            <w:tcW w:w="996" w:type="pct"/>
            <w:tcBorders>
              <w:top w:val="single" w:sz="4" w:space="0" w:color="auto"/>
              <w:left w:val="single" w:sz="4" w:space="0" w:color="auto"/>
              <w:bottom w:val="single" w:sz="4" w:space="0" w:color="auto"/>
              <w:right w:val="single" w:sz="4" w:space="0" w:color="auto"/>
            </w:tcBorders>
            <w:hideMark/>
          </w:tcPr>
          <w:p w14:paraId="1F1C906E" w14:textId="77777777" w:rsidR="00B6651E" w:rsidRPr="0013396E" w:rsidRDefault="00B6651E" w:rsidP="00494238">
            <w:pPr>
              <w:spacing w:after="60"/>
              <w:rPr>
                <w:i/>
                <w:iCs/>
                <w:kern w:val="2"/>
                <w:sz w:val="20"/>
                <w:szCs w:val="24"/>
              </w:rPr>
            </w:pPr>
            <w:r w:rsidRPr="0013396E">
              <w:rPr>
                <w:i/>
                <w:iCs/>
                <w:kern w:val="2"/>
                <w:sz w:val="20"/>
                <w:szCs w:val="24"/>
              </w:rPr>
              <w:t>p</w:t>
            </w:r>
          </w:p>
        </w:tc>
        <w:tc>
          <w:tcPr>
            <w:tcW w:w="460" w:type="pct"/>
            <w:tcBorders>
              <w:top w:val="single" w:sz="4" w:space="0" w:color="auto"/>
              <w:left w:val="single" w:sz="4" w:space="0" w:color="auto"/>
              <w:bottom w:val="single" w:sz="4" w:space="0" w:color="auto"/>
              <w:right w:val="single" w:sz="4" w:space="0" w:color="auto"/>
            </w:tcBorders>
            <w:hideMark/>
          </w:tcPr>
          <w:p w14:paraId="25DD940B" w14:textId="77777777" w:rsidR="00B6651E" w:rsidRPr="0013396E" w:rsidRDefault="00B6651E" w:rsidP="00494238">
            <w:pPr>
              <w:spacing w:after="60"/>
              <w:rPr>
                <w:iCs/>
                <w:kern w:val="2"/>
                <w:sz w:val="20"/>
                <w:szCs w:val="24"/>
              </w:rPr>
            </w:pPr>
            <w:r w:rsidRPr="0013396E">
              <w:rPr>
                <w:iCs/>
                <w:kern w:val="2"/>
                <w:sz w:val="20"/>
                <w:szCs w:val="24"/>
              </w:rPr>
              <w:t>None</w:t>
            </w:r>
          </w:p>
        </w:tc>
        <w:tc>
          <w:tcPr>
            <w:tcW w:w="3544" w:type="pct"/>
            <w:tcBorders>
              <w:top w:val="single" w:sz="4" w:space="0" w:color="auto"/>
              <w:left w:val="single" w:sz="4" w:space="0" w:color="auto"/>
              <w:bottom w:val="single" w:sz="4" w:space="0" w:color="auto"/>
              <w:right w:val="single" w:sz="4" w:space="0" w:color="auto"/>
            </w:tcBorders>
            <w:hideMark/>
          </w:tcPr>
          <w:p w14:paraId="408539CC" w14:textId="77777777" w:rsidR="00B6651E" w:rsidRPr="0013396E" w:rsidRDefault="00B6651E" w:rsidP="00494238">
            <w:pPr>
              <w:spacing w:after="60"/>
              <w:rPr>
                <w:iCs/>
                <w:kern w:val="2"/>
                <w:sz w:val="20"/>
                <w:szCs w:val="24"/>
              </w:rPr>
            </w:pPr>
            <w:r w:rsidRPr="0013396E">
              <w:rPr>
                <w:iCs/>
                <w:kern w:val="2"/>
                <w:sz w:val="20"/>
                <w:szCs w:val="24"/>
              </w:rPr>
              <w:t>A Resource Node Settlement Point.</w:t>
            </w:r>
          </w:p>
        </w:tc>
      </w:tr>
      <w:tr w:rsidR="00B6651E" w:rsidRPr="0013396E" w14:paraId="027FA47B" w14:textId="77777777" w:rsidTr="00E844EE">
        <w:trPr>
          <w:cantSplit/>
          <w:trHeight w:val="242"/>
        </w:trPr>
        <w:tc>
          <w:tcPr>
            <w:tcW w:w="996" w:type="pct"/>
            <w:tcBorders>
              <w:top w:val="single" w:sz="4" w:space="0" w:color="auto"/>
              <w:left w:val="single" w:sz="4" w:space="0" w:color="auto"/>
              <w:bottom w:val="single" w:sz="4" w:space="0" w:color="auto"/>
              <w:right w:val="single" w:sz="4" w:space="0" w:color="auto"/>
            </w:tcBorders>
            <w:hideMark/>
          </w:tcPr>
          <w:p w14:paraId="735A608C" w14:textId="77777777" w:rsidR="00B6651E" w:rsidRPr="0013396E" w:rsidRDefault="00B6651E" w:rsidP="00494238">
            <w:pPr>
              <w:spacing w:after="60"/>
              <w:rPr>
                <w:i/>
                <w:iCs/>
                <w:kern w:val="2"/>
                <w:sz w:val="20"/>
                <w:szCs w:val="24"/>
              </w:rPr>
            </w:pPr>
            <w:r w:rsidRPr="0013396E">
              <w:rPr>
                <w:i/>
                <w:iCs/>
                <w:kern w:val="2"/>
                <w:sz w:val="20"/>
                <w:szCs w:val="24"/>
              </w:rPr>
              <w:t>i</w:t>
            </w:r>
          </w:p>
        </w:tc>
        <w:tc>
          <w:tcPr>
            <w:tcW w:w="460" w:type="pct"/>
            <w:tcBorders>
              <w:top w:val="single" w:sz="4" w:space="0" w:color="auto"/>
              <w:left w:val="single" w:sz="4" w:space="0" w:color="auto"/>
              <w:bottom w:val="single" w:sz="4" w:space="0" w:color="auto"/>
              <w:right w:val="single" w:sz="4" w:space="0" w:color="auto"/>
            </w:tcBorders>
            <w:hideMark/>
          </w:tcPr>
          <w:p w14:paraId="6D36C39B" w14:textId="77777777" w:rsidR="00B6651E" w:rsidRPr="0013396E" w:rsidRDefault="00B6651E" w:rsidP="00494238">
            <w:pPr>
              <w:spacing w:after="60"/>
              <w:rPr>
                <w:iCs/>
                <w:kern w:val="2"/>
                <w:sz w:val="20"/>
                <w:szCs w:val="24"/>
              </w:rPr>
            </w:pPr>
            <w:r w:rsidRPr="0013396E">
              <w:rPr>
                <w:iCs/>
                <w:kern w:val="2"/>
                <w:sz w:val="20"/>
                <w:szCs w:val="24"/>
              </w:rPr>
              <w:t>None</w:t>
            </w:r>
          </w:p>
        </w:tc>
        <w:tc>
          <w:tcPr>
            <w:tcW w:w="3544" w:type="pct"/>
            <w:tcBorders>
              <w:top w:val="single" w:sz="4" w:space="0" w:color="auto"/>
              <w:left w:val="single" w:sz="4" w:space="0" w:color="auto"/>
              <w:bottom w:val="single" w:sz="4" w:space="0" w:color="auto"/>
              <w:right w:val="single" w:sz="4" w:space="0" w:color="auto"/>
            </w:tcBorders>
            <w:hideMark/>
          </w:tcPr>
          <w:p w14:paraId="68FB0F1C" w14:textId="77777777" w:rsidR="00B6651E" w:rsidRPr="0013396E" w:rsidRDefault="00B6651E" w:rsidP="00494238">
            <w:pPr>
              <w:spacing w:after="60"/>
              <w:rPr>
                <w:iCs/>
                <w:kern w:val="2"/>
                <w:sz w:val="20"/>
                <w:szCs w:val="24"/>
              </w:rPr>
            </w:pPr>
            <w:r w:rsidRPr="0013396E">
              <w:rPr>
                <w:iCs/>
                <w:kern w:val="2"/>
                <w:sz w:val="20"/>
                <w:szCs w:val="24"/>
              </w:rPr>
              <w:t>A 15-minute Settlement Interval.</w:t>
            </w:r>
          </w:p>
        </w:tc>
      </w:tr>
      <w:tr w:rsidR="00B6651E" w:rsidRPr="0013396E" w14:paraId="15FC51F2" w14:textId="77777777" w:rsidTr="00E844EE">
        <w:trPr>
          <w:cantSplit/>
          <w:trHeight w:val="242"/>
        </w:trPr>
        <w:tc>
          <w:tcPr>
            <w:tcW w:w="996" w:type="pct"/>
            <w:tcBorders>
              <w:top w:val="single" w:sz="4" w:space="0" w:color="auto"/>
              <w:left w:val="single" w:sz="4" w:space="0" w:color="auto"/>
              <w:bottom w:val="single" w:sz="4" w:space="0" w:color="auto"/>
              <w:right w:val="single" w:sz="4" w:space="0" w:color="auto"/>
            </w:tcBorders>
            <w:hideMark/>
          </w:tcPr>
          <w:p w14:paraId="75D5A719" w14:textId="77777777" w:rsidR="00B6651E" w:rsidRPr="0013396E" w:rsidRDefault="00B6651E" w:rsidP="00494238">
            <w:pPr>
              <w:spacing w:after="60"/>
              <w:rPr>
                <w:i/>
                <w:iCs/>
                <w:kern w:val="2"/>
                <w:sz w:val="20"/>
                <w:szCs w:val="24"/>
              </w:rPr>
            </w:pPr>
            <w:r w:rsidRPr="0013396E">
              <w:rPr>
                <w:i/>
                <w:iCs/>
                <w:kern w:val="2"/>
                <w:sz w:val="20"/>
                <w:szCs w:val="24"/>
              </w:rPr>
              <w:t>h</w:t>
            </w:r>
          </w:p>
        </w:tc>
        <w:tc>
          <w:tcPr>
            <w:tcW w:w="460" w:type="pct"/>
            <w:tcBorders>
              <w:top w:val="single" w:sz="4" w:space="0" w:color="auto"/>
              <w:left w:val="single" w:sz="4" w:space="0" w:color="auto"/>
              <w:bottom w:val="single" w:sz="4" w:space="0" w:color="auto"/>
              <w:right w:val="single" w:sz="4" w:space="0" w:color="auto"/>
            </w:tcBorders>
            <w:hideMark/>
          </w:tcPr>
          <w:p w14:paraId="20784E91" w14:textId="77777777" w:rsidR="00B6651E" w:rsidRPr="0013396E" w:rsidRDefault="00B6651E" w:rsidP="00494238">
            <w:pPr>
              <w:spacing w:after="60"/>
              <w:rPr>
                <w:iCs/>
                <w:kern w:val="2"/>
                <w:sz w:val="20"/>
                <w:szCs w:val="24"/>
              </w:rPr>
            </w:pPr>
            <w:r w:rsidRPr="0013396E">
              <w:rPr>
                <w:iCs/>
                <w:kern w:val="2"/>
                <w:sz w:val="20"/>
                <w:szCs w:val="24"/>
              </w:rPr>
              <w:t>None</w:t>
            </w:r>
          </w:p>
        </w:tc>
        <w:tc>
          <w:tcPr>
            <w:tcW w:w="3544" w:type="pct"/>
            <w:tcBorders>
              <w:top w:val="single" w:sz="4" w:space="0" w:color="auto"/>
              <w:left w:val="single" w:sz="4" w:space="0" w:color="auto"/>
              <w:bottom w:val="single" w:sz="4" w:space="0" w:color="auto"/>
              <w:right w:val="single" w:sz="4" w:space="0" w:color="auto"/>
            </w:tcBorders>
            <w:hideMark/>
          </w:tcPr>
          <w:p w14:paraId="426ACB0C" w14:textId="77777777" w:rsidR="00B6651E" w:rsidRPr="0013396E" w:rsidRDefault="00B6651E" w:rsidP="00494238">
            <w:pPr>
              <w:spacing w:after="60"/>
              <w:rPr>
                <w:iCs/>
                <w:kern w:val="2"/>
                <w:sz w:val="20"/>
                <w:szCs w:val="24"/>
              </w:rPr>
            </w:pPr>
            <w:r w:rsidRPr="0013396E">
              <w:rPr>
                <w:iCs/>
                <w:kern w:val="2"/>
                <w:sz w:val="20"/>
                <w:szCs w:val="24"/>
              </w:rPr>
              <w:t>An Operating Hour.</w:t>
            </w:r>
          </w:p>
        </w:tc>
      </w:tr>
      <w:tr w:rsidR="00B6651E" w:rsidRPr="0013396E" w14:paraId="00823C82" w14:textId="77777777" w:rsidTr="00E844EE">
        <w:trPr>
          <w:cantSplit/>
          <w:trHeight w:val="242"/>
        </w:trPr>
        <w:tc>
          <w:tcPr>
            <w:tcW w:w="996" w:type="pct"/>
            <w:tcBorders>
              <w:top w:val="single" w:sz="4" w:space="0" w:color="auto"/>
              <w:left w:val="single" w:sz="4" w:space="0" w:color="auto"/>
              <w:bottom w:val="single" w:sz="4" w:space="0" w:color="auto"/>
              <w:right w:val="single" w:sz="4" w:space="0" w:color="auto"/>
            </w:tcBorders>
          </w:tcPr>
          <w:p w14:paraId="0BE06870" w14:textId="77777777" w:rsidR="00B6651E" w:rsidRPr="0013396E" w:rsidRDefault="00B6651E" w:rsidP="00494238">
            <w:pPr>
              <w:spacing w:after="60"/>
              <w:rPr>
                <w:i/>
                <w:iCs/>
                <w:kern w:val="2"/>
                <w:sz w:val="20"/>
                <w:szCs w:val="24"/>
              </w:rPr>
            </w:pPr>
            <w:r w:rsidRPr="0013396E">
              <w:rPr>
                <w:i/>
                <w:iCs/>
                <w:kern w:val="2"/>
                <w:sz w:val="20"/>
                <w:szCs w:val="24"/>
              </w:rPr>
              <w:t>cold</w:t>
            </w:r>
          </w:p>
        </w:tc>
        <w:tc>
          <w:tcPr>
            <w:tcW w:w="460" w:type="pct"/>
            <w:tcBorders>
              <w:top w:val="single" w:sz="4" w:space="0" w:color="auto"/>
              <w:left w:val="single" w:sz="4" w:space="0" w:color="auto"/>
              <w:bottom w:val="single" w:sz="4" w:space="0" w:color="auto"/>
              <w:right w:val="single" w:sz="4" w:space="0" w:color="auto"/>
            </w:tcBorders>
          </w:tcPr>
          <w:p w14:paraId="3B135B04" w14:textId="77777777" w:rsidR="00B6651E" w:rsidRPr="0013396E" w:rsidRDefault="00B6651E" w:rsidP="00494238">
            <w:pPr>
              <w:spacing w:after="60"/>
              <w:rPr>
                <w:iCs/>
                <w:kern w:val="2"/>
                <w:sz w:val="20"/>
                <w:szCs w:val="24"/>
              </w:rPr>
            </w:pPr>
            <w:r w:rsidRPr="0013396E">
              <w:rPr>
                <w:iCs/>
                <w:kern w:val="2"/>
                <w:sz w:val="20"/>
                <w:szCs w:val="24"/>
              </w:rPr>
              <w:t>None</w:t>
            </w:r>
          </w:p>
        </w:tc>
        <w:tc>
          <w:tcPr>
            <w:tcW w:w="3544" w:type="pct"/>
            <w:tcBorders>
              <w:top w:val="single" w:sz="4" w:space="0" w:color="auto"/>
              <w:left w:val="single" w:sz="4" w:space="0" w:color="auto"/>
              <w:bottom w:val="single" w:sz="4" w:space="0" w:color="auto"/>
              <w:right w:val="single" w:sz="4" w:space="0" w:color="auto"/>
            </w:tcBorders>
          </w:tcPr>
          <w:p w14:paraId="7097897C" w14:textId="2F2B6933" w:rsidR="00B6651E" w:rsidRPr="0013396E" w:rsidRDefault="00B6651E" w:rsidP="00494238">
            <w:pPr>
              <w:spacing w:after="60"/>
              <w:rPr>
                <w:iCs/>
                <w:kern w:val="2"/>
                <w:sz w:val="20"/>
                <w:szCs w:val="24"/>
              </w:rPr>
            </w:pPr>
            <w:r w:rsidRPr="0013396E">
              <w:rPr>
                <w:sz w:val="20"/>
              </w:rPr>
              <w:t>A cold start</w:t>
            </w:r>
            <w:r w:rsidR="00B94C14" w:rsidRPr="0013396E">
              <w:rPr>
                <w:sz w:val="20"/>
              </w:rPr>
              <w:t>.</w:t>
            </w:r>
            <w:r w:rsidRPr="0013396E">
              <w:rPr>
                <w:sz w:val="20"/>
              </w:rPr>
              <w:t xml:space="preserve"> </w:t>
            </w:r>
          </w:p>
        </w:tc>
      </w:tr>
    </w:tbl>
    <w:p w14:paraId="1F57EE6B" w14:textId="77777777" w:rsidR="00B6651E" w:rsidRPr="0013396E" w:rsidRDefault="00B6651E" w:rsidP="00B6651E">
      <w:pPr>
        <w:spacing w:before="240" w:after="240"/>
        <w:ind w:left="720" w:hanging="720"/>
        <w:rPr>
          <w:szCs w:val="24"/>
        </w:rPr>
      </w:pPr>
      <w:r w:rsidRPr="0013396E">
        <w:rPr>
          <w:szCs w:val="24"/>
        </w:rPr>
        <w:t>(8)</w:t>
      </w:r>
      <w:r w:rsidRPr="0013396E">
        <w:rPr>
          <w:szCs w:val="24"/>
        </w:rPr>
        <w:tab/>
        <w:t>The total compensation to each QSE for a trip Off-Line due to ERCOT CMP or equivalent VDI for the 15-minute Settlement Interval is calculated as follows:</w:t>
      </w:r>
    </w:p>
    <w:p w14:paraId="0B623247" w14:textId="77777777" w:rsidR="00B6651E" w:rsidRPr="0013396E" w:rsidRDefault="00B6651E" w:rsidP="00B6651E">
      <w:pPr>
        <w:spacing w:after="240"/>
        <w:ind w:left="720" w:firstLine="630"/>
        <w:rPr>
          <w:bCs/>
          <w:iCs/>
          <w:szCs w:val="24"/>
        </w:rPr>
      </w:pPr>
      <w:r w:rsidRPr="0013396E">
        <w:rPr>
          <w:b/>
          <w:szCs w:val="24"/>
        </w:rPr>
        <w:t>CMPCRAMTQSETOT</w:t>
      </w:r>
      <w:r w:rsidRPr="0013396E">
        <w:rPr>
          <w:b/>
          <w:i/>
          <w:szCs w:val="24"/>
          <w:vertAlign w:val="subscript"/>
        </w:rPr>
        <w:t xml:space="preserve"> q, i</w:t>
      </w:r>
      <w:r w:rsidRPr="0013396E">
        <w:rPr>
          <w:b/>
          <w:szCs w:val="24"/>
        </w:rPr>
        <w:t xml:space="preserve"> = </w:t>
      </w:r>
      <w:r w:rsidRPr="0013396E">
        <w:rPr>
          <w:b/>
          <w:noProof/>
          <w:position w:val="-28"/>
          <w:szCs w:val="24"/>
        </w:rPr>
        <w:drawing>
          <wp:inline distT="0" distB="0" distL="0" distR="0" wp14:anchorId="189847C3" wp14:editId="2505D1EB">
            <wp:extent cx="295275" cy="419100"/>
            <wp:effectExtent l="0" t="0" r="0" b="0"/>
            <wp:docPr id="110130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r w:rsidRPr="0013396E">
        <w:rPr>
          <w:b/>
          <w:noProof/>
          <w:position w:val="-30"/>
          <w:szCs w:val="24"/>
        </w:rPr>
        <w:drawing>
          <wp:inline distT="0" distB="0" distL="0" distR="0" wp14:anchorId="6B52E22F" wp14:editId="65BC1FA8">
            <wp:extent cx="295275" cy="457200"/>
            <wp:effectExtent l="0" t="0" r="0" b="0"/>
            <wp:docPr id="1939986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95275" cy="457200"/>
                    </a:xfrm>
                    <a:prstGeom prst="rect">
                      <a:avLst/>
                    </a:prstGeom>
                    <a:noFill/>
                    <a:ln>
                      <a:noFill/>
                    </a:ln>
                  </pic:spPr>
                </pic:pic>
              </a:graphicData>
            </a:graphic>
          </wp:inline>
        </w:drawing>
      </w:r>
      <w:r w:rsidRPr="0013396E">
        <w:rPr>
          <w:b/>
          <w:szCs w:val="24"/>
        </w:rPr>
        <w:t>CMPCRAMT</w:t>
      </w:r>
      <w:r w:rsidRPr="0013396E">
        <w:rPr>
          <w:b/>
          <w:i/>
          <w:szCs w:val="24"/>
          <w:vertAlign w:val="subscript"/>
        </w:rPr>
        <w:t xml:space="preserve"> q, r, p, i</w:t>
      </w:r>
    </w:p>
    <w:p w14:paraId="512F7DA2" w14:textId="77777777" w:rsidR="00B6651E" w:rsidRPr="0013396E" w:rsidRDefault="00B6651E" w:rsidP="00B6651E">
      <w:pPr>
        <w:spacing w:before="120"/>
        <w:rPr>
          <w:szCs w:val="24"/>
        </w:rPr>
      </w:pPr>
      <w:r w:rsidRPr="0013396E">
        <w:rPr>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886"/>
        <w:gridCol w:w="6162"/>
      </w:tblGrid>
      <w:tr w:rsidR="00B6651E" w:rsidRPr="0013396E" w14:paraId="4FA398B0" w14:textId="77777777" w:rsidTr="00E844EE">
        <w:trPr>
          <w:cantSplit/>
          <w:tblHeader/>
        </w:trPr>
        <w:tc>
          <w:tcPr>
            <w:tcW w:w="1231" w:type="pct"/>
            <w:tcBorders>
              <w:top w:val="single" w:sz="4" w:space="0" w:color="auto"/>
              <w:left w:val="single" w:sz="4" w:space="0" w:color="auto"/>
              <w:bottom w:val="single" w:sz="4" w:space="0" w:color="auto"/>
              <w:right w:val="single" w:sz="4" w:space="0" w:color="auto"/>
            </w:tcBorders>
            <w:hideMark/>
          </w:tcPr>
          <w:p w14:paraId="25F39C03" w14:textId="77777777" w:rsidR="00B6651E" w:rsidRPr="0013396E" w:rsidRDefault="00B6651E" w:rsidP="00494238">
            <w:pPr>
              <w:spacing w:after="240"/>
              <w:rPr>
                <w:b/>
                <w:iCs/>
                <w:kern w:val="2"/>
                <w:sz w:val="20"/>
                <w:szCs w:val="24"/>
              </w:rPr>
            </w:pPr>
            <w:r w:rsidRPr="0013396E">
              <w:rPr>
                <w:b/>
                <w:iCs/>
                <w:kern w:val="2"/>
                <w:sz w:val="20"/>
                <w:szCs w:val="24"/>
              </w:rPr>
              <w:lastRenderedPageBreak/>
              <w:t>Variable</w:t>
            </w:r>
          </w:p>
        </w:tc>
        <w:tc>
          <w:tcPr>
            <w:tcW w:w="474" w:type="pct"/>
            <w:tcBorders>
              <w:top w:val="single" w:sz="4" w:space="0" w:color="auto"/>
              <w:left w:val="single" w:sz="4" w:space="0" w:color="auto"/>
              <w:bottom w:val="single" w:sz="4" w:space="0" w:color="auto"/>
              <w:right w:val="single" w:sz="4" w:space="0" w:color="auto"/>
            </w:tcBorders>
            <w:hideMark/>
          </w:tcPr>
          <w:p w14:paraId="0DB4ED52" w14:textId="77777777" w:rsidR="00B6651E" w:rsidRPr="0013396E" w:rsidRDefault="00B6651E" w:rsidP="00494238">
            <w:pPr>
              <w:spacing w:after="240"/>
              <w:rPr>
                <w:b/>
                <w:iCs/>
                <w:kern w:val="2"/>
                <w:sz w:val="20"/>
                <w:szCs w:val="24"/>
              </w:rPr>
            </w:pPr>
            <w:r w:rsidRPr="0013396E">
              <w:rPr>
                <w:b/>
                <w:iCs/>
                <w:kern w:val="2"/>
                <w:sz w:val="20"/>
                <w:szCs w:val="24"/>
              </w:rPr>
              <w:t>Unit</w:t>
            </w:r>
          </w:p>
        </w:tc>
        <w:tc>
          <w:tcPr>
            <w:tcW w:w="3295" w:type="pct"/>
            <w:tcBorders>
              <w:top w:val="single" w:sz="4" w:space="0" w:color="auto"/>
              <w:left w:val="single" w:sz="4" w:space="0" w:color="auto"/>
              <w:bottom w:val="single" w:sz="4" w:space="0" w:color="auto"/>
              <w:right w:val="single" w:sz="4" w:space="0" w:color="auto"/>
            </w:tcBorders>
            <w:hideMark/>
          </w:tcPr>
          <w:p w14:paraId="7101082D" w14:textId="77777777" w:rsidR="00B6651E" w:rsidRPr="0013396E" w:rsidRDefault="00B6651E" w:rsidP="00494238">
            <w:pPr>
              <w:spacing w:after="240"/>
              <w:rPr>
                <w:b/>
                <w:iCs/>
                <w:kern w:val="2"/>
                <w:sz w:val="20"/>
                <w:szCs w:val="24"/>
              </w:rPr>
            </w:pPr>
            <w:r w:rsidRPr="0013396E">
              <w:rPr>
                <w:b/>
                <w:iCs/>
                <w:kern w:val="2"/>
                <w:sz w:val="20"/>
                <w:szCs w:val="24"/>
              </w:rPr>
              <w:t>Definition</w:t>
            </w:r>
          </w:p>
        </w:tc>
      </w:tr>
      <w:tr w:rsidR="00B6651E" w:rsidRPr="0013396E" w14:paraId="096EFFF5" w14:textId="77777777" w:rsidTr="00E844EE">
        <w:trPr>
          <w:cantSplit/>
        </w:trPr>
        <w:tc>
          <w:tcPr>
            <w:tcW w:w="1231" w:type="pct"/>
            <w:tcBorders>
              <w:top w:val="single" w:sz="4" w:space="0" w:color="auto"/>
              <w:left w:val="single" w:sz="4" w:space="0" w:color="auto"/>
              <w:bottom w:val="single" w:sz="4" w:space="0" w:color="auto"/>
              <w:right w:val="single" w:sz="4" w:space="0" w:color="auto"/>
            </w:tcBorders>
            <w:hideMark/>
          </w:tcPr>
          <w:p w14:paraId="522578F8" w14:textId="77777777" w:rsidR="00B6651E" w:rsidRPr="0013396E" w:rsidRDefault="00B6651E" w:rsidP="00494238">
            <w:pPr>
              <w:spacing w:after="60"/>
              <w:rPr>
                <w:iCs/>
                <w:kern w:val="2"/>
                <w:sz w:val="20"/>
                <w:szCs w:val="24"/>
              </w:rPr>
            </w:pPr>
            <w:r w:rsidRPr="0013396E">
              <w:rPr>
                <w:iCs/>
                <w:kern w:val="2"/>
                <w:sz w:val="20"/>
                <w:szCs w:val="24"/>
              </w:rPr>
              <w:t xml:space="preserve">CMPCRAMT </w:t>
            </w:r>
            <w:r w:rsidRPr="0013396E">
              <w:rPr>
                <w:i/>
                <w:iCs/>
                <w:kern w:val="2"/>
                <w:sz w:val="20"/>
                <w:szCs w:val="24"/>
                <w:vertAlign w:val="subscript"/>
              </w:rPr>
              <w:t>q, r, p, i</w:t>
            </w:r>
          </w:p>
        </w:tc>
        <w:tc>
          <w:tcPr>
            <w:tcW w:w="474" w:type="pct"/>
            <w:tcBorders>
              <w:top w:val="single" w:sz="4" w:space="0" w:color="auto"/>
              <w:left w:val="single" w:sz="4" w:space="0" w:color="auto"/>
              <w:bottom w:val="single" w:sz="4" w:space="0" w:color="auto"/>
              <w:right w:val="single" w:sz="4" w:space="0" w:color="auto"/>
            </w:tcBorders>
            <w:hideMark/>
          </w:tcPr>
          <w:p w14:paraId="029EA48E" w14:textId="77777777" w:rsidR="00B6651E" w:rsidRPr="0013396E" w:rsidRDefault="00B6651E" w:rsidP="00494238">
            <w:pPr>
              <w:spacing w:after="60"/>
              <w:rPr>
                <w:iCs/>
                <w:kern w:val="2"/>
                <w:sz w:val="20"/>
                <w:szCs w:val="24"/>
              </w:rPr>
            </w:pPr>
            <w:r w:rsidRPr="0013396E">
              <w:rPr>
                <w:iCs/>
                <w:kern w:val="2"/>
                <w:sz w:val="20"/>
                <w:szCs w:val="24"/>
              </w:rPr>
              <w:t>$</w:t>
            </w:r>
          </w:p>
        </w:tc>
        <w:tc>
          <w:tcPr>
            <w:tcW w:w="3295" w:type="pct"/>
            <w:tcBorders>
              <w:top w:val="single" w:sz="4" w:space="0" w:color="auto"/>
              <w:left w:val="single" w:sz="4" w:space="0" w:color="auto"/>
              <w:bottom w:val="single" w:sz="4" w:space="0" w:color="auto"/>
              <w:right w:val="single" w:sz="4" w:space="0" w:color="auto"/>
            </w:tcBorders>
            <w:hideMark/>
          </w:tcPr>
          <w:p w14:paraId="1B1B82A0" w14:textId="069CBFBF" w:rsidR="00B6651E" w:rsidRPr="0013396E" w:rsidRDefault="00B6651E" w:rsidP="00494238">
            <w:pPr>
              <w:spacing w:after="60"/>
              <w:rPr>
                <w:iCs/>
                <w:kern w:val="2"/>
                <w:sz w:val="20"/>
                <w:szCs w:val="24"/>
              </w:rPr>
            </w:pPr>
            <w:r w:rsidRPr="0013396E">
              <w:rPr>
                <w:i/>
                <w:iCs/>
                <w:kern w:val="2"/>
                <w:sz w:val="20"/>
                <w:szCs w:val="24"/>
              </w:rPr>
              <w:t>Constraint Management Plan Cost Recovery Amount per QSE per Generation Resource</w:t>
            </w:r>
            <w:r w:rsidRPr="0013396E">
              <w:rPr>
                <w:iCs/>
                <w:kern w:val="2"/>
                <w:sz w:val="20"/>
                <w:szCs w:val="24"/>
              </w:rPr>
              <w:t xml:space="preserve">—The payment to QSE </w:t>
            </w:r>
            <w:r w:rsidRPr="0013396E">
              <w:rPr>
                <w:i/>
                <w:iCs/>
                <w:kern w:val="2"/>
                <w:sz w:val="20"/>
                <w:szCs w:val="24"/>
              </w:rPr>
              <w:t>q</w:t>
            </w:r>
            <w:r w:rsidRPr="0013396E">
              <w:rPr>
                <w:iCs/>
                <w:kern w:val="2"/>
                <w:sz w:val="20"/>
                <w:szCs w:val="24"/>
              </w:rPr>
              <w:t xml:space="preserve"> during eligible hours of a Resource trip Off-Line from an ERCOT-issued CMP unit trip or equivalent VDI for Generation Resource </w:t>
            </w:r>
            <w:r w:rsidRPr="0013396E">
              <w:rPr>
                <w:i/>
                <w:iCs/>
                <w:kern w:val="2"/>
                <w:sz w:val="20"/>
                <w:szCs w:val="24"/>
              </w:rPr>
              <w:t>r</w:t>
            </w:r>
            <w:r w:rsidRPr="0013396E">
              <w:rPr>
                <w:iCs/>
                <w:kern w:val="2"/>
                <w:sz w:val="20"/>
                <w:szCs w:val="24"/>
              </w:rPr>
              <w:t xml:space="preserve"> at Settlement Point </w:t>
            </w:r>
            <w:r w:rsidRPr="0013396E">
              <w:rPr>
                <w:i/>
                <w:iCs/>
                <w:kern w:val="2"/>
                <w:sz w:val="20"/>
                <w:szCs w:val="24"/>
              </w:rPr>
              <w:t xml:space="preserve">p </w:t>
            </w:r>
            <w:r w:rsidRPr="0013396E">
              <w:rPr>
                <w:iCs/>
                <w:kern w:val="2"/>
                <w:sz w:val="20"/>
                <w:szCs w:val="24"/>
              </w:rPr>
              <w:t xml:space="preserve">for the 15-minute Settlement Interval </w:t>
            </w:r>
            <w:r w:rsidRPr="0013396E">
              <w:rPr>
                <w:i/>
                <w:iCs/>
                <w:kern w:val="2"/>
                <w:sz w:val="20"/>
                <w:szCs w:val="24"/>
              </w:rPr>
              <w:t>i</w:t>
            </w:r>
            <w:r w:rsidRPr="0013396E">
              <w:rPr>
                <w:iCs/>
                <w:kern w:val="2"/>
                <w:sz w:val="20"/>
                <w:szCs w:val="24"/>
              </w:rPr>
              <w:t xml:space="preserve">.  For a </w:t>
            </w:r>
            <w:r w:rsidR="002A7971" w:rsidRPr="0013396E">
              <w:rPr>
                <w:iCs/>
                <w:kern w:val="2"/>
                <w:sz w:val="20"/>
                <w:szCs w:val="24"/>
              </w:rPr>
              <w:t>c</w:t>
            </w:r>
            <w:r w:rsidRPr="0013396E">
              <w:rPr>
                <w:iCs/>
                <w:kern w:val="2"/>
                <w:sz w:val="20"/>
                <w:szCs w:val="24"/>
              </w:rPr>
              <w:t xml:space="preserve">ombined </w:t>
            </w:r>
            <w:r w:rsidR="002A7971" w:rsidRPr="0013396E">
              <w:rPr>
                <w:iCs/>
                <w:kern w:val="2"/>
                <w:sz w:val="20"/>
                <w:szCs w:val="24"/>
              </w:rPr>
              <w:t>c</w:t>
            </w:r>
            <w:r w:rsidRPr="0013396E">
              <w:rPr>
                <w:iCs/>
                <w:kern w:val="2"/>
                <w:sz w:val="20"/>
                <w:szCs w:val="24"/>
              </w:rPr>
              <w:t xml:space="preserve">ycle Resource </w:t>
            </w:r>
            <w:r w:rsidRPr="0013396E">
              <w:rPr>
                <w:i/>
                <w:iCs/>
                <w:kern w:val="2"/>
                <w:sz w:val="20"/>
                <w:szCs w:val="24"/>
              </w:rPr>
              <w:t>r</w:t>
            </w:r>
            <w:r w:rsidRPr="0013396E">
              <w:rPr>
                <w:iCs/>
                <w:kern w:val="2"/>
                <w:sz w:val="20"/>
                <w:szCs w:val="24"/>
              </w:rPr>
              <w:t xml:space="preserve"> is a Combined Cycle Train.</w:t>
            </w:r>
          </w:p>
        </w:tc>
      </w:tr>
      <w:tr w:rsidR="00B6651E" w:rsidRPr="0013396E" w14:paraId="020409AE" w14:textId="77777777" w:rsidTr="00E844EE">
        <w:trPr>
          <w:cantSplit/>
        </w:trPr>
        <w:tc>
          <w:tcPr>
            <w:tcW w:w="1231" w:type="pct"/>
            <w:tcBorders>
              <w:top w:val="single" w:sz="4" w:space="0" w:color="auto"/>
              <w:left w:val="single" w:sz="4" w:space="0" w:color="auto"/>
              <w:bottom w:val="single" w:sz="4" w:space="0" w:color="auto"/>
              <w:right w:val="single" w:sz="4" w:space="0" w:color="auto"/>
            </w:tcBorders>
            <w:hideMark/>
          </w:tcPr>
          <w:p w14:paraId="025E1D98" w14:textId="77777777" w:rsidR="00B6651E" w:rsidRPr="0013396E" w:rsidRDefault="00B6651E" w:rsidP="00494238">
            <w:pPr>
              <w:spacing w:after="60"/>
              <w:rPr>
                <w:iCs/>
                <w:kern w:val="2"/>
                <w:sz w:val="20"/>
                <w:szCs w:val="24"/>
              </w:rPr>
            </w:pPr>
            <w:r w:rsidRPr="0013396E">
              <w:rPr>
                <w:iCs/>
                <w:kern w:val="2"/>
                <w:sz w:val="20"/>
                <w:szCs w:val="24"/>
              </w:rPr>
              <w:t>CMPCRAMTQSETOT</w:t>
            </w:r>
            <w:r w:rsidRPr="0013396E">
              <w:rPr>
                <w:iCs/>
                <w:kern w:val="2"/>
                <w:sz w:val="20"/>
                <w:szCs w:val="24"/>
                <w:vertAlign w:val="subscript"/>
              </w:rPr>
              <w:t xml:space="preserve"> </w:t>
            </w:r>
            <w:r w:rsidRPr="0013396E">
              <w:rPr>
                <w:i/>
                <w:kern w:val="2"/>
                <w:sz w:val="20"/>
                <w:szCs w:val="24"/>
                <w:vertAlign w:val="subscript"/>
              </w:rPr>
              <w:t>q</w:t>
            </w:r>
            <w:r w:rsidRPr="0013396E">
              <w:rPr>
                <w:rFonts w:ascii="Times New Roman Bold" w:hAnsi="Times New Roman Bold"/>
                <w:i/>
                <w:iCs/>
                <w:kern w:val="2"/>
                <w:sz w:val="20"/>
                <w:szCs w:val="24"/>
                <w:vertAlign w:val="subscript"/>
              </w:rPr>
              <w:t xml:space="preserve">, </w:t>
            </w:r>
            <w:r w:rsidRPr="0013396E">
              <w:rPr>
                <w:i/>
                <w:iCs/>
                <w:kern w:val="2"/>
                <w:sz w:val="20"/>
                <w:szCs w:val="24"/>
                <w:vertAlign w:val="subscript"/>
              </w:rPr>
              <w:t>i</w:t>
            </w:r>
          </w:p>
        </w:tc>
        <w:tc>
          <w:tcPr>
            <w:tcW w:w="474" w:type="pct"/>
            <w:tcBorders>
              <w:top w:val="single" w:sz="4" w:space="0" w:color="auto"/>
              <w:left w:val="single" w:sz="4" w:space="0" w:color="auto"/>
              <w:bottom w:val="single" w:sz="4" w:space="0" w:color="auto"/>
              <w:right w:val="single" w:sz="4" w:space="0" w:color="auto"/>
            </w:tcBorders>
            <w:hideMark/>
          </w:tcPr>
          <w:p w14:paraId="6FA1FD8C" w14:textId="77777777" w:rsidR="00B6651E" w:rsidRPr="0013396E" w:rsidRDefault="00B6651E" w:rsidP="00494238">
            <w:pPr>
              <w:spacing w:after="60"/>
              <w:rPr>
                <w:i/>
                <w:iCs/>
                <w:kern w:val="2"/>
                <w:sz w:val="20"/>
                <w:szCs w:val="24"/>
              </w:rPr>
            </w:pPr>
            <w:r w:rsidRPr="0013396E">
              <w:rPr>
                <w:iCs/>
                <w:kern w:val="2"/>
                <w:sz w:val="20"/>
                <w:szCs w:val="24"/>
              </w:rPr>
              <w:t>$</w:t>
            </w:r>
          </w:p>
        </w:tc>
        <w:tc>
          <w:tcPr>
            <w:tcW w:w="3295" w:type="pct"/>
            <w:tcBorders>
              <w:top w:val="single" w:sz="4" w:space="0" w:color="auto"/>
              <w:left w:val="single" w:sz="4" w:space="0" w:color="auto"/>
              <w:bottom w:val="single" w:sz="4" w:space="0" w:color="auto"/>
              <w:right w:val="single" w:sz="4" w:space="0" w:color="auto"/>
            </w:tcBorders>
            <w:hideMark/>
          </w:tcPr>
          <w:p w14:paraId="3488DFF2" w14:textId="77777777" w:rsidR="00B6651E" w:rsidRPr="0013396E" w:rsidRDefault="00B6651E" w:rsidP="00494238">
            <w:pPr>
              <w:spacing w:after="60"/>
              <w:rPr>
                <w:iCs/>
                <w:kern w:val="2"/>
                <w:sz w:val="20"/>
                <w:szCs w:val="24"/>
              </w:rPr>
            </w:pPr>
            <w:r w:rsidRPr="0013396E">
              <w:rPr>
                <w:i/>
                <w:iCs/>
                <w:kern w:val="2"/>
                <w:sz w:val="20"/>
                <w:szCs w:val="24"/>
              </w:rPr>
              <w:t>Constraint Management Plan Cost Recovery Amount QSE Total per QSE</w:t>
            </w:r>
            <w:r w:rsidRPr="0013396E">
              <w:rPr>
                <w:iCs/>
                <w:kern w:val="2"/>
                <w:sz w:val="20"/>
                <w:szCs w:val="24"/>
              </w:rPr>
              <w:t xml:space="preserve">—The total of the cost recovery payments to QSE </w:t>
            </w:r>
            <w:r w:rsidRPr="0013396E">
              <w:rPr>
                <w:i/>
                <w:iCs/>
                <w:kern w:val="2"/>
                <w:sz w:val="20"/>
                <w:szCs w:val="24"/>
              </w:rPr>
              <w:t>q</w:t>
            </w:r>
            <w:r w:rsidRPr="0013396E">
              <w:rPr>
                <w:iCs/>
                <w:kern w:val="2"/>
                <w:sz w:val="20"/>
                <w:szCs w:val="24"/>
              </w:rPr>
              <w:t xml:space="preserve"> due to an ERCOT-issued CMP or equivalent VDI for the 15-minute Settlement Interval </w:t>
            </w:r>
            <w:r w:rsidRPr="0013396E">
              <w:rPr>
                <w:i/>
                <w:iCs/>
                <w:kern w:val="2"/>
                <w:sz w:val="20"/>
                <w:szCs w:val="24"/>
              </w:rPr>
              <w:t>i</w:t>
            </w:r>
            <w:r w:rsidRPr="0013396E">
              <w:rPr>
                <w:iCs/>
                <w:kern w:val="2"/>
                <w:sz w:val="20"/>
                <w:szCs w:val="24"/>
              </w:rPr>
              <w:t>.</w:t>
            </w:r>
          </w:p>
        </w:tc>
      </w:tr>
      <w:tr w:rsidR="00B6651E" w:rsidRPr="0013396E" w14:paraId="09700DFD" w14:textId="77777777" w:rsidTr="00E844EE">
        <w:trPr>
          <w:cantSplit/>
        </w:trPr>
        <w:tc>
          <w:tcPr>
            <w:tcW w:w="1231" w:type="pct"/>
            <w:tcBorders>
              <w:top w:val="single" w:sz="4" w:space="0" w:color="auto"/>
              <w:left w:val="single" w:sz="4" w:space="0" w:color="auto"/>
              <w:bottom w:val="single" w:sz="4" w:space="0" w:color="auto"/>
              <w:right w:val="single" w:sz="4" w:space="0" w:color="auto"/>
            </w:tcBorders>
            <w:hideMark/>
          </w:tcPr>
          <w:p w14:paraId="6FF4059D" w14:textId="77777777" w:rsidR="00B6651E" w:rsidRPr="0013396E" w:rsidRDefault="00B6651E" w:rsidP="00494238">
            <w:pPr>
              <w:spacing w:after="60"/>
              <w:rPr>
                <w:i/>
                <w:iCs/>
                <w:kern w:val="2"/>
                <w:sz w:val="20"/>
                <w:szCs w:val="24"/>
              </w:rPr>
            </w:pPr>
            <w:r w:rsidRPr="0013396E">
              <w:rPr>
                <w:i/>
                <w:iCs/>
                <w:kern w:val="2"/>
                <w:sz w:val="20"/>
                <w:szCs w:val="24"/>
              </w:rPr>
              <w:t>q</w:t>
            </w:r>
          </w:p>
        </w:tc>
        <w:tc>
          <w:tcPr>
            <w:tcW w:w="474" w:type="pct"/>
            <w:tcBorders>
              <w:top w:val="single" w:sz="4" w:space="0" w:color="auto"/>
              <w:left w:val="single" w:sz="4" w:space="0" w:color="auto"/>
              <w:bottom w:val="single" w:sz="4" w:space="0" w:color="auto"/>
              <w:right w:val="single" w:sz="4" w:space="0" w:color="auto"/>
            </w:tcBorders>
            <w:hideMark/>
          </w:tcPr>
          <w:p w14:paraId="7F885B15" w14:textId="77777777" w:rsidR="00B6651E" w:rsidRPr="0013396E" w:rsidRDefault="00B6651E" w:rsidP="00494238">
            <w:pPr>
              <w:spacing w:after="60"/>
              <w:rPr>
                <w:iCs/>
                <w:kern w:val="2"/>
                <w:sz w:val="20"/>
                <w:szCs w:val="24"/>
              </w:rPr>
            </w:pPr>
            <w:r w:rsidRPr="0013396E">
              <w:rPr>
                <w:iCs/>
                <w:kern w:val="2"/>
                <w:sz w:val="20"/>
                <w:szCs w:val="24"/>
              </w:rPr>
              <w:t>none</w:t>
            </w:r>
          </w:p>
        </w:tc>
        <w:tc>
          <w:tcPr>
            <w:tcW w:w="3295" w:type="pct"/>
            <w:tcBorders>
              <w:top w:val="single" w:sz="4" w:space="0" w:color="auto"/>
              <w:left w:val="single" w:sz="4" w:space="0" w:color="auto"/>
              <w:bottom w:val="single" w:sz="4" w:space="0" w:color="auto"/>
              <w:right w:val="single" w:sz="4" w:space="0" w:color="auto"/>
            </w:tcBorders>
            <w:hideMark/>
          </w:tcPr>
          <w:p w14:paraId="2D1B3FEC" w14:textId="77777777" w:rsidR="00B6651E" w:rsidRPr="0013396E" w:rsidRDefault="00B6651E" w:rsidP="00494238">
            <w:pPr>
              <w:spacing w:after="60"/>
              <w:rPr>
                <w:iCs/>
                <w:kern w:val="2"/>
                <w:sz w:val="20"/>
                <w:szCs w:val="24"/>
              </w:rPr>
            </w:pPr>
            <w:r w:rsidRPr="0013396E">
              <w:rPr>
                <w:iCs/>
                <w:kern w:val="2"/>
                <w:sz w:val="20"/>
                <w:szCs w:val="24"/>
              </w:rPr>
              <w:t>A QSE.</w:t>
            </w:r>
          </w:p>
        </w:tc>
      </w:tr>
      <w:tr w:rsidR="00B6651E" w:rsidRPr="0013396E" w14:paraId="79DDCFB7" w14:textId="77777777" w:rsidTr="00E844EE">
        <w:trPr>
          <w:cantSplit/>
        </w:trPr>
        <w:tc>
          <w:tcPr>
            <w:tcW w:w="1231" w:type="pct"/>
            <w:tcBorders>
              <w:top w:val="single" w:sz="4" w:space="0" w:color="auto"/>
              <w:left w:val="single" w:sz="4" w:space="0" w:color="auto"/>
              <w:bottom w:val="single" w:sz="4" w:space="0" w:color="auto"/>
              <w:right w:val="single" w:sz="4" w:space="0" w:color="auto"/>
            </w:tcBorders>
            <w:hideMark/>
          </w:tcPr>
          <w:p w14:paraId="2AD560CD" w14:textId="77777777" w:rsidR="00B6651E" w:rsidRPr="0013396E" w:rsidRDefault="00B6651E" w:rsidP="00494238">
            <w:pPr>
              <w:spacing w:after="60"/>
              <w:rPr>
                <w:i/>
                <w:iCs/>
                <w:kern w:val="2"/>
                <w:sz w:val="20"/>
                <w:szCs w:val="24"/>
              </w:rPr>
            </w:pPr>
            <w:r w:rsidRPr="0013396E">
              <w:rPr>
                <w:i/>
                <w:iCs/>
                <w:kern w:val="2"/>
                <w:sz w:val="20"/>
                <w:szCs w:val="24"/>
              </w:rPr>
              <w:t>r</w:t>
            </w:r>
          </w:p>
        </w:tc>
        <w:tc>
          <w:tcPr>
            <w:tcW w:w="474" w:type="pct"/>
            <w:tcBorders>
              <w:top w:val="single" w:sz="4" w:space="0" w:color="auto"/>
              <w:left w:val="single" w:sz="4" w:space="0" w:color="auto"/>
              <w:bottom w:val="single" w:sz="4" w:space="0" w:color="auto"/>
              <w:right w:val="single" w:sz="4" w:space="0" w:color="auto"/>
            </w:tcBorders>
            <w:hideMark/>
          </w:tcPr>
          <w:p w14:paraId="56EF73A9" w14:textId="77777777" w:rsidR="00B6651E" w:rsidRPr="0013396E" w:rsidRDefault="00B6651E" w:rsidP="00494238">
            <w:pPr>
              <w:spacing w:after="60"/>
              <w:rPr>
                <w:iCs/>
                <w:kern w:val="2"/>
                <w:sz w:val="20"/>
                <w:szCs w:val="24"/>
              </w:rPr>
            </w:pPr>
            <w:r w:rsidRPr="0013396E">
              <w:rPr>
                <w:iCs/>
                <w:kern w:val="2"/>
                <w:sz w:val="20"/>
                <w:szCs w:val="24"/>
              </w:rPr>
              <w:t>none</w:t>
            </w:r>
          </w:p>
        </w:tc>
        <w:tc>
          <w:tcPr>
            <w:tcW w:w="3295" w:type="pct"/>
            <w:tcBorders>
              <w:top w:val="single" w:sz="4" w:space="0" w:color="auto"/>
              <w:left w:val="single" w:sz="4" w:space="0" w:color="auto"/>
              <w:bottom w:val="single" w:sz="4" w:space="0" w:color="auto"/>
              <w:right w:val="single" w:sz="4" w:space="0" w:color="auto"/>
            </w:tcBorders>
            <w:hideMark/>
          </w:tcPr>
          <w:p w14:paraId="3B34F668" w14:textId="77777777" w:rsidR="00B6651E" w:rsidRPr="0013396E" w:rsidRDefault="00B6651E" w:rsidP="00494238">
            <w:pPr>
              <w:spacing w:after="60"/>
              <w:rPr>
                <w:iCs/>
                <w:kern w:val="2"/>
                <w:sz w:val="20"/>
                <w:szCs w:val="24"/>
              </w:rPr>
            </w:pPr>
            <w:r w:rsidRPr="0013396E">
              <w:rPr>
                <w:iCs/>
                <w:kern w:val="2"/>
                <w:sz w:val="20"/>
                <w:szCs w:val="24"/>
              </w:rPr>
              <w:t>A Generation Resource.</w:t>
            </w:r>
          </w:p>
        </w:tc>
      </w:tr>
      <w:tr w:rsidR="00B6651E" w:rsidRPr="0013396E" w14:paraId="5DA8889E" w14:textId="77777777" w:rsidTr="00E844EE">
        <w:trPr>
          <w:cantSplit/>
        </w:trPr>
        <w:tc>
          <w:tcPr>
            <w:tcW w:w="1231" w:type="pct"/>
            <w:tcBorders>
              <w:top w:val="single" w:sz="4" w:space="0" w:color="auto"/>
              <w:left w:val="single" w:sz="4" w:space="0" w:color="auto"/>
              <w:bottom w:val="single" w:sz="4" w:space="0" w:color="auto"/>
              <w:right w:val="single" w:sz="4" w:space="0" w:color="auto"/>
            </w:tcBorders>
            <w:hideMark/>
          </w:tcPr>
          <w:p w14:paraId="4D769AD0" w14:textId="77777777" w:rsidR="00B6651E" w:rsidRPr="0013396E" w:rsidRDefault="00B6651E" w:rsidP="00494238">
            <w:pPr>
              <w:spacing w:after="60"/>
              <w:rPr>
                <w:i/>
                <w:iCs/>
                <w:kern w:val="2"/>
                <w:sz w:val="20"/>
                <w:szCs w:val="24"/>
              </w:rPr>
            </w:pPr>
            <w:r w:rsidRPr="0013396E">
              <w:rPr>
                <w:i/>
                <w:iCs/>
                <w:kern w:val="2"/>
                <w:sz w:val="20"/>
                <w:szCs w:val="24"/>
              </w:rPr>
              <w:t>p</w:t>
            </w:r>
          </w:p>
        </w:tc>
        <w:tc>
          <w:tcPr>
            <w:tcW w:w="474" w:type="pct"/>
            <w:tcBorders>
              <w:top w:val="single" w:sz="4" w:space="0" w:color="auto"/>
              <w:left w:val="single" w:sz="4" w:space="0" w:color="auto"/>
              <w:bottom w:val="single" w:sz="4" w:space="0" w:color="auto"/>
              <w:right w:val="single" w:sz="4" w:space="0" w:color="auto"/>
            </w:tcBorders>
            <w:hideMark/>
          </w:tcPr>
          <w:p w14:paraId="5A1DF6CD" w14:textId="77777777" w:rsidR="00B6651E" w:rsidRPr="0013396E" w:rsidRDefault="00B6651E" w:rsidP="00494238">
            <w:pPr>
              <w:spacing w:after="60"/>
              <w:rPr>
                <w:iCs/>
                <w:kern w:val="2"/>
                <w:sz w:val="20"/>
                <w:szCs w:val="24"/>
              </w:rPr>
            </w:pPr>
            <w:r w:rsidRPr="0013396E">
              <w:rPr>
                <w:iCs/>
                <w:kern w:val="2"/>
                <w:sz w:val="20"/>
                <w:szCs w:val="24"/>
              </w:rPr>
              <w:t>none</w:t>
            </w:r>
          </w:p>
        </w:tc>
        <w:tc>
          <w:tcPr>
            <w:tcW w:w="3295" w:type="pct"/>
            <w:tcBorders>
              <w:top w:val="single" w:sz="4" w:space="0" w:color="auto"/>
              <w:left w:val="single" w:sz="4" w:space="0" w:color="auto"/>
              <w:bottom w:val="single" w:sz="4" w:space="0" w:color="auto"/>
              <w:right w:val="single" w:sz="4" w:space="0" w:color="auto"/>
            </w:tcBorders>
            <w:hideMark/>
          </w:tcPr>
          <w:p w14:paraId="4A91FD20" w14:textId="77777777" w:rsidR="00B6651E" w:rsidRPr="0013396E" w:rsidRDefault="00B6651E" w:rsidP="00494238">
            <w:pPr>
              <w:spacing w:after="60"/>
              <w:rPr>
                <w:iCs/>
                <w:kern w:val="2"/>
                <w:sz w:val="18"/>
                <w:szCs w:val="18"/>
              </w:rPr>
            </w:pPr>
            <w:r w:rsidRPr="0013396E">
              <w:rPr>
                <w:iCs/>
                <w:kern w:val="2"/>
                <w:sz w:val="20"/>
                <w:szCs w:val="24"/>
              </w:rPr>
              <w:t>A Resource Node Settlement Point.</w:t>
            </w:r>
          </w:p>
        </w:tc>
      </w:tr>
      <w:tr w:rsidR="00B6651E" w:rsidRPr="0013396E" w14:paraId="15A0E012" w14:textId="77777777" w:rsidTr="00E844EE">
        <w:trPr>
          <w:cantSplit/>
        </w:trPr>
        <w:tc>
          <w:tcPr>
            <w:tcW w:w="1231" w:type="pct"/>
            <w:tcBorders>
              <w:top w:val="single" w:sz="4" w:space="0" w:color="auto"/>
              <w:left w:val="single" w:sz="4" w:space="0" w:color="auto"/>
              <w:bottom w:val="single" w:sz="4" w:space="0" w:color="auto"/>
              <w:right w:val="single" w:sz="4" w:space="0" w:color="auto"/>
            </w:tcBorders>
            <w:hideMark/>
          </w:tcPr>
          <w:p w14:paraId="258E06FE" w14:textId="77777777" w:rsidR="00B6651E" w:rsidRPr="0013396E" w:rsidRDefault="00B6651E" w:rsidP="00494238">
            <w:pPr>
              <w:spacing w:after="60"/>
              <w:rPr>
                <w:i/>
                <w:iCs/>
                <w:kern w:val="2"/>
                <w:sz w:val="20"/>
                <w:szCs w:val="24"/>
              </w:rPr>
            </w:pPr>
            <w:r w:rsidRPr="0013396E">
              <w:rPr>
                <w:i/>
                <w:iCs/>
                <w:kern w:val="2"/>
                <w:sz w:val="20"/>
                <w:szCs w:val="24"/>
              </w:rPr>
              <w:t>i</w:t>
            </w:r>
          </w:p>
        </w:tc>
        <w:tc>
          <w:tcPr>
            <w:tcW w:w="474" w:type="pct"/>
            <w:tcBorders>
              <w:top w:val="single" w:sz="4" w:space="0" w:color="auto"/>
              <w:left w:val="single" w:sz="4" w:space="0" w:color="auto"/>
              <w:bottom w:val="single" w:sz="4" w:space="0" w:color="auto"/>
              <w:right w:val="single" w:sz="4" w:space="0" w:color="auto"/>
            </w:tcBorders>
            <w:hideMark/>
          </w:tcPr>
          <w:p w14:paraId="54AEFFD6" w14:textId="77777777" w:rsidR="00B6651E" w:rsidRPr="0013396E" w:rsidRDefault="00B6651E" w:rsidP="00494238">
            <w:pPr>
              <w:spacing w:after="60"/>
              <w:rPr>
                <w:iCs/>
                <w:kern w:val="2"/>
                <w:sz w:val="20"/>
                <w:szCs w:val="24"/>
              </w:rPr>
            </w:pPr>
            <w:r w:rsidRPr="0013396E">
              <w:rPr>
                <w:iCs/>
                <w:kern w:val="2"/>
                <w:sz w:val="20"/>
                <w:szCs w:val="24"/>
              </w:rPr>
              <w:t>none</w:t>
            </w:r>
          </w:p>
        </w:tc>
        <w:tc>
          <w:tcPr>
            <w:tcW w:w="3295" w:type="pct"/>
            <w:tcBorders>
              <w:top w:val="single" w:sz="4" w:space="0" w:color="auto"/>
              <w:left w:val="single" w:sz="4" w:space="0" w:color="auto"/>
              <w:bottom w:val="single" w:sz="4" w:space="0" w:color="auto"/>
              <w:right w:val="single" w:sz="4" w:space="0" w:color="auto"/>
            </w:tcBorders>
            <w:hideMark/>
          </w:tcPr>
          <w:p w14:paraId="58998C1B" w14:textId="77777777" w:rsidR="00B6651E" w:rsidRPr="0013396E" w:rsidRDefault="00B6651E" w:rsidP="00494238">
            <w:pPr>
              <w:spacing w:after="60"/>
              <w:rPr>
                <w:iCs/>
                <w:kern w:val="2"/>
                <w:sz w:val="20"/>
                <w:szCs w:val="24"/>
              </w:rPr>
            </w:pPr>
            <w:r w:rsidRPr="0013396E">
              <w:rPr>
                <w:iCs/>
                <w:kern w:val="2"/>
                <w:sz w:val="20"/>
                <w:szCs w:val="24"/>
              </w:rPr>
              <w:t>A 15-minute Settlement Interval.</w:t>
            </w:r>
          </w:p>
        </w:tc>
      </w:tr>
    </w:tbl>
    <w:p w14:paraId="57C0DA78" w14:textId="77777777" w:rsidR="00B6651E" w:rsidRPr="0013396E" w:rsidRDefault="00B6651E" w:rsidP="00B6651E">
      <w:pPr>
        <w:keepNext/>
        <w:widowControl w:val="0"/>
        <w:tabs>
          <w:tab w:val="left" w:pos="1260"/>
        </w:tabs>
        <w:spacing w:before="480" w:after="240"/>
        <w:ind w:left="1260" w:hanging="1260"/>
        <w:outlineLvl w:val="3"/>
        <w:rPr>
          <w:b/>
          <w:bCs/>
          <w:snapToGrid w:val="0"/>
        </w:rPr>
      </w:pPr>
      <w:bookmarkStart w:id="1702" w:name="_Toc236220186"/>
      <w:r w:rsidRPr="0013396E">
        <w:rPr>
          <w:b/>
          <w:bCs/>
          <w:snapToGrid w:val="0"/>
        </w:rPr>
        <w:t>6.6.3.10</w:t>
      </w:r>
      <w:r w:rsidRPr="0013396E">
        <w:rPr>
          <w:b/>
          <w:bCs/>
          <w:snapToGrid w:val="0"/>
        </w:rPr>
        <w:tab/>
        <w:t>Real-Time Constraint Management Plan Cost Recovery Charge</w:t>
      </w:r>
      <w:bookmarkEnd w:id="1702"/>
      <w:r w:rsidRPr="0013396E">
        <w:rPr>
          <w:b/>
          <w:bCs/>
          <w:snapToGrid w:val="0"/>
        </w:rPr>
        <w:t xml:space="preserve"> </w:t>
      </w:r>
    </w:p>
    <w:p w14:paraId="1C8A15D2" w14:textId="546CD4EA" w:rsidR="00B6651E" w:rsidRPr="0013396E" w:rsidRDefault="00B6651E" w:rsidP="00B6651E">
      <w:pPr>
        <w:spacing w:after="240"/>
        <w:ind w:left="720" w:hanging="720"/>
        <w:rPr>
          <w:szCs w:val="24"/>
        </w:rPr>
      </w:pPr>
      <w:r w:rsidRPr="0013396E">
        <w:rPr>
          <w:szCs w:val="24"/>
        </w:rPr>
        <w:t>(1)</w:t>
      </w:r>
      <w:r w:rsidRPr="0013396E">
        <w:rPr>
          <w:szCs w:val="24"/>
        </w:rPr>
        <w:tab/>
        <w:t>ERCOT shall allocate to QSEs on an LRS basis the total amount of the payment specified in Section 6.6.3.9, Real-Time Constraint Management Plan Cost Recovery Payment.  The charge to each QSE for a given 15-minute Settlement Interval is calculated as follows:</w:t>
      </w:r>
    </w:p>
    <w:p w14:paraId="7873E62A" w14:textId="3E53882A" w:rsidR="00B6651E" w:rsidRPr="0013396E" w:rsidRDefault="00B6651E" w:rsidP="00B6651E">
      <w:pPr>
        <w:tabs>
          <w:tab w:val="left" w:pos="2340"/>
          <w:tab w:val="left" w:pos="3420"/>
        </w:tabs>
        <w:spacing w:after="240"/>
        <w:ind w:left="3420" w:hanging="2700"/>
        <w:rPr>
          <w:b/>
          <w:bCs/>
          <w:szCs w:val="24"/>
        </w:rPr>
      </w:pPr>
      <w:r w:rsidRPr="0013396E">
        <w:rPr>
          <w:b/>
          <w:bCs/>
          <w:szCs w:val="24"/>
        </w:rPr>
        <w:t>LACMPCRAMT</w:t>
      </w:r>
      <w:r w:rsidRPr="0013396E">
        <w:rPr>
          <w:b/>
          <w:bCs/>
          <w:i/>
          <w:szCs w:val="24"/>
          <w:vertAlign w:val="subscript"/>
        </w:rPr>
        <w:t xml:space="preserve"> q, i</w:t>
      </w:r>
      <w:r w:rsidRPr="0013396E">
        <w:rPr>
          <w:b/>
          <w:bCs/>
          <w:szCs w:val="24"/>
        </w:rPr>
        <w:t xml:space="preserve"> =</w:t>
      </w:r>
      <w:r w:rsidRPr="0013396E">
        <w:rPr>
          <w:b/>
          <w:bCs/>
          <w:szCs w:val="24"/>
        </w:rPr>
        <w:tab/>
        <w:t>(-1) * CMPCRAMTTOT</w:t>
      </w:r>
      <w:r w:rsidRPr="0013396E">
        <w:rPr>
          <w:b/>
          <w:bCs/>
          <w:i/>
          <w:szCs w:val="24"/>
          <w:vertAlign w:val="subscript"/>
        </w:rPr>
        <w:t xml:space="preserve"> i</w:t>
      </w:r>
      <w:r w:rsidRPr="0013396E">
        <w:rPr>
          <w:b/>
          <w:bCs/>
          <w:szCs w:val="24"/>
        </w:rPr>
        <w:t xml:space="preserve"> * LRS </w:t>
      </w:r>
      <w:r w:rsidRPr="0013396E">
        <w:rPr>
          <w:b/>
          <w:bCs/>
          <w:i/>
          <w:szCs w:val="24"/>
          <w:vertAlign w:val="subscript"/>
        </w:rPr>
        <w:t xml:space="preserve">q, i </w:t>
      </w:r>
      <w:r w:rsidRPr="0013396E">
        <w:rPr>
          <w:b/>
          <w:bCs/>
          <w:szCs w:val="24"/>
        </w:rPr>
        <w:t xml:space="preserve"> </w:t>
      </w:r>
    </w:p>
    <w:p w14:paraId="1151C109" w14:textId="77777777" w:rsidR="00B6651E" w:rsidRPr="0013396E" w:rsidRDefault="00B6651E" w:rsidP="00B6651E">
      <w:pPr>
        <w:spacing w:before="120" w:after="120"/>
        <w:ind w:left="720"/>
        <w:rPr>
          <w:szCs w:val="24"/>
        </w:rPr>
      </w:pPr>
      <w:r w:rsidRPr="0013396E">
        <w:rPr>
          <w:szCs w:val="24"/>
        </w:rPr>
        <w:t>Where:</w:t>
      </w:r>
    </w:p>
    <w:p w14:paraId="08673FC7" w14:textId="68767F12" w:rsidR="00B6651E" w:rsidRPr="0013396E" w:rsidRDefault="00B6651E" w:rsidP="00B6651E">
      <w:pPr>
        <w:tabs>
          <w:tab w:val="left" w:pos="2340"/>
          <w:tab w:val="left" w:pos="3420"/>
        </w:tabs>
        <w:spacing w:after="240"/>
        <w:ind w:left="2160" w:hanging="1440"/>
        <w:rPr>
          <w:bCs/>
          <w:i/>
          <w:szCs w:val="24"/>
          <w:vertAlign w:val="subscript"/>
        </w:rPr>
      </w:pPr>
      <w:r w:rsidRPr="0013396E">
        <w:rPr>
          <w:bCs/>
          <w:szCs w:val="24"/>
        </w:rPr>
        <w:t xml:space="preserve">CMPCRAMTTOT </w:t>
      </w:r>
      <w:r w:rsidRPr="0013396E">
        <w:rPr>
          <w:bCs/>
          <w:i/>
          <w:szCs w:val="24"/>
          <w:vertAlign w:val="subscript"/>
        </w:rPr>
        <w:t>i</w:t>
      </w:r>
      <w:r w:rsidRPr="0013396E">
        <w:rPr>
          <w:bCs/>
          <w:szCs w:val="24"/>
        </w:rPr>
        <w:t xml:space="preserve"> =</w:t>
      </w:r>
      <w:r w:rsidRPr="0013396E">
        <w:rPr>
          <w:bCs/>
          <w:szCs w:val="24"/>
        </w:rPr>
        <w:tab/>
      </w:r>
      <w:r w:rsidRPr="0013396E">
        <w:rPr>
          <w:bCs/>
          <w:position w:val="-22"/>
          <w:szCs w:val="24"/>
        </w:rPr>
        <w:object w:dxaOrig="120" w:dyaOrig="360" w14:anchorId="1A8EDC6D">
          <v:shape id="_x0000_i1146" type="#_x0000_t75" style="width:12pt;height:30pt" o:ole="">
            <v:imagedata r:id="rId157" o:title=""/>
          </v:shape>
          <o:OLEObject Type="Embed" ProgID="Equation.3" ShapeID="_x0000_i1146" DrawAspect="Content" ObjectID="_1849065777" r:id="rId175"/>
        </w:object>
      </w:r>
      <w:r w:rsidRPr="0013396E">
        <w:rPr>
          <w:bCs/>
          <w:szCs w:val="24"/>
        </w:rPr>
        <w:t xml:space="preserve"> CMPCRAMTQSETOT</w:t>
      </w:r>
      <w:r w:rsidRPr="0013396E">
        <w:rPr>
          <w:bCs/>
          <w:i/>
          <w:szCs w:val="24"/>
          <w:vertAlign w:val="subscript"/>
        </w:rPr>
        <w:t xml:space="preserve"> q, i</w:t>
      </w:r>
      <w:r w:rsidRPr="0013396E">
        <w:rPr>
          <w:b/>
          <w:bCs/>
          <w:i/>
          <w:szCs w:val="24"/>
          <w:vertAlign w:val="subscript"/>
        </w:rPr>
        <w:t xml:space="preserve"> </w:t>
      </w:r>
      <w:r w:rsidRPr="0013396E">
        <w:rPr>
          <w:b/>
          <w:bCs/>
          <w:szCs w:val="24"/>
        </w:rPr>
        <w:t xml:space="preserve"> </w:t>
      </w:r>
    </w:p>
    <w:p w14:paraId="7C067009" w14:textId="77777777" w:rsidR="00B6651E" w:rsidRPr="0013396E" w:rsidRDefault="00B6651E" w:rsidP="00B6651E">
      <w:pPr>
        <w:rPr>
          <w:szCs w:val="24"/>
        </w:rPr>
      </w:pPr>
      <w:r w:rsidRPr="0013396E">
        <w:rPr>
          <w:szCs w:val="24"/>
        </w:rPr>
        <w:t>The above variables are defined as follows:</w:t>
      </w:r>
    </w:p>
    <w:tbl>
      <w:tblPr>
        <w:tblW w:w="957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737"/>
        <w:gridCol w:w="6425"/>
      </w:tblGrid>
      <w:tr w:rsidR="00B6651E" w:rsidRPr="0013396E" w14:paraId="5A0F1F36" w14:textId="77777777" w:rsidTr="00E844EE">
        <w:trPr>
          <w:tblHeader/>
        </w:trPr>
        <w:tc>
          <w:tcPr>
            <w:tcW w:w="2414" w:type="dxa"/>
            <w:tcBorders>
              <w:top w:val="single" w:sz="4" w:space="0" w:color="auto"/>
              <w:left w:val="single" w:sz="4" w:space="0" w:color="auto"/>
              <w:bottom w:val="single" w:sz="4" w:space="0" w:color="auto"/>
              <w:right w:val="single" w:sz="4" w:space="0" w:color="auto"/>
            </w:tcBorders>
            <w:hideMark/>
          </w:tcPr>
          <w:p w14:paraId="1E04F2B2" w14:textId="77777777" w:rsidR="00B6651E" w:rsidRPr="0013396E" w:rsidRDefault="00B6651E" w:rsidP="00B6651E">
            <w:pPr>
              <w:spacing w:after="120"/>
              <w:rPr>
                <w:b/>
                <w:iCs/>
                <w:sz w:val="20"/>
                <w:szCs w:val="24"/>
              </w:rPr>
            </w:pPr>
            <w:r w:rsidRPr="0013396E">
              <w:rPr>
                <w:b/>
                <w:iCs/>
                <w:sz w:val="20"/>
                <w:szCs w:val="24"/>
              </w:rPr>
              <w:t>Variable</w:t>
            </w:r>
          </w:p>
        </w:tc>
        <w:tc>
          <w:tcPr>
            <w:tcW w:w="737" w:type="dxa"/>
            <w:tcBorders>
              <w:top w:val="single" w:sz="4" w:space="0" w:color="auto"/>
              <w:left w:val="single" w:sz="4" w:space="0" w:color="auto"/>
              <w:bottom w:val="single" w:sz="4" w:space="0" w:color="auto"/>
              <w:right w:val="single" w:sz="4" w:space="0" w:color="auto"/>
            </w:tcBorders>
            <w:hideMark/>
          </w:tcPr>
          <w:p w14:paraId="3EDF6005" w14:textId="77777777" w:rsidR="00B6651E" w:rsidRPr="0013396E" w:rsidRDefault="00B6651E" w:rsidP="00B6651E">
            <w:pPr>
              <w:spacing w:after="120"/>
              <w:rPr>
                <w:b/>
                <w:iCs/>
                <w:sz w:val="20"/>
                <w:szCs w:val="24"/>
              </w:rPr>
            </w:pPr>
            <w:r w:rsidRPr="0013396E">
              <w:rPr>
                <w:b/>
                <w:iCs/>
                <w:sz w:val="20"/>
                <w:szCs w:val="24"/>
              </w:rPr>
              <w:t>Unit</w:t>
            </w:r>
          </w:p>
        </w:tc>
        <w:tc>
          <w:tcPr>
            <w:tcW w:w="6425" w:type="dxa"/>
            <w:tcBorders>
              <w:top w:val="single" w:sz="4" w:space="0" w:color="auto"/>
              <w:left w:val="single" w:sz="4" w:space="0" w:color="auto"/>
              <w:bottom w:val="single" w:sz="4" w:space="0" w:color="auto"/>
              <w:right w:val="single" w:sz="4" w:space="0" w:color="auto"/>
            </w:tcBorders>
            <w:hideMark/>
          </w:tcPr>
          <w:p w14:paraId="1A7372FD" w14:textId="77777777" w:rsidR="00B6651E" w:rsidRPr="0013396E" w:rsidRDefault="00B6651E" w:rsidP="00B6651E">
            <w:pPr>
              <w:spacing w:after="120"/>
              <w:rPr>
                <w:b/>
                <w:iCs/>
                <w:sz w:val="20"/>
                <w:szCs w:val="24"/>
              </w:rPr>
            </w:pPr>
            <w:r w:rsidRPr="0013396E">
              <w:rPr>
                <w:b/>
                <w:iCs/>
                <w:sz w:val="20"/>
                <w:szCs w:val="24"/>
              </w:rPr>
              <w:t>Definition</w:t>
            </w:r>
          </w:p>
        </w:tc>
      </w:tr>
      <w:tr w:rsidR="00B6651E" w:rsidRPr="0013396E" w14:paraId="543DB2DD" w14:textId="77777777" w:rsidTr="00E844EE">
        <w:trPr>
          <w:cantSplit/>
        </w:trPr>
        <w:tc>
          <w:tcPr>
            <w:tcW w:w="2414" w:type="dxa"/>
            <w:tcBorders>
              <w:top w:val="single" w:sz="4" w:space="0" w:color="auto"/>
              <w:left w:val="single" w:sz="4" w:space="0" w:color="auto"/>
              <w:bottom w:val="single" w:sz="4" w:space="0" w:color="auto"/>
              <w:right w:val="single" w:sz="4" w:space="0" w:color="auto"/>
            </w:tcBorders>
            <w:hideMark/>
          </w:tcPr>
          <w:p w14:paraId="112D4984" w14:textId="77777777" w:rsidR="00B6651E" w:rsidRPr="0013396E" w:rsidRDefault="00B6651E" w:rsidP="00B6651E">
            <w:pPr>
              <w:spacing w:after="60"/>
              <w:rPr>
                <w:iCs/>
                <w:sz w:val="20"/>
                <w:szCs w:val="24"/>
              </w:rPr>
            </w:pPr>
            <w:r w:rsidRPr="0013396E">
              <w:rPr>
                <w:iCs/>
                <w:sz w:val="20"/>
                <w:szCs w:val="24"/>
              </w:rPr>
              <w:t xml:space="preserve">LACMPCRAMT </w:t>
            </w:r>
            <w:r w:rsidRPr="0013396E">
              <w:rPr>
                <w:i/>
                <w:iCs/>
                <w:sz w:val="20"/>
                <w:szCs w:val="24"/>
                <w:vertAlign w:val="subscript"/>
              </w:rPr>
              <w:t>q, i</w:t>
            </w:r>
            <w:r w:rsidRPr="0013396E">
              <w:rPr>
                <w:iCs/>
                <w:sz w:val="20"/>
                <w:szCs w:val="24"/>
                <w:vertAlign w:val="subscript"/>
              </w:rPr>
              <w:t xml:space="preserve"> </w:t>
            </w:r>
          </w:p>
        </w:tc>
        <w:tc>
          <w:tcPr>
            <w:tcW w:w="737" w:type="dxa"/>
            <w:tcBorders>
              <w:top w:val="single" w:sz="4" w:space="0" w:color="auto"/>
              <w:left w:val="single" w:sz="4" w:space="0" w:color="auto"/>
              <w:bottom w:val="single" w:sz="4" w:space="0" w:color="auto"/>
              <w:right w:val="single" w:sz="4" w:space="0" w:color="auto"/>
            </w:tcBorders>
            <w:hideMark/>
          </w:tcPr>
          <w:p w14:paraId="1169F9D7" w14:textId="77777777" w:rsidR="00B6651E" w:rsidRPr="0013396E" w:rsidRDefault="00B6651E" w:rsidP="00B6651E">
            <w:pPr>
              <w:spacing w:after="60"/>
              <w:rPr>
                <w:iCs/>
                <w:sz w:val="20"/>
                <w:szCs w:val="24"/>
              </w:rPr>
            </w:pPr>
            <w:r w:rsidRPr="0013396E">
              <w:rPr>
                <w:iCs/>
                <w:sz w:val="20"/>
                <w:szCs w:val="24"/>
              </w:rPr>
              <w:t>$</w:t>
            </w:r>
          </w:p>
        </w:tc>
        <w:tc>
          <w:tcPr>
            <w:tcW w:w="6425" w:type="dxa"/>
            <w:tcBorders>
              <w:top w:val="single" w:sz="4" w:space="0" w:color="auto"/>
              <w:left w:val="single" w:sz="4" w:space="0" w:color="auto"/>
              <w:bottom w:val="single" w:sz="4" w:space="0" w:color="auto"/>
              <w:right w:val="single" w:sz="4" w:space="0" w:color="auto"/>
            </w:tcBorders>
            <w:hideMark/>
          </w:tcPr>
          <w:p w14:paraId="29A25904" w14:textId="77777777" w:rsidR="00B6651E" w:rsidRPr="0013396E" w:rsidRDefault="00B6651E" w:rsidP="00B6651E">
            <w:pPr>
              <w:spacing w:after="60"/>
              <w:rPr>
                <w:iCs/>
                <w:sz w:val="20"/>
                <w:szCs w:val="24"/>
              </w:rPr>
            </w:pPr>
            <w:r w:rsidRPr="0013396E">
              <w:rPr>
                <w:i/>
                <w:iCs/>
                <w:sz w:val="20"/>
                <w:szCs w:val="24"/>
              </w:rPr>
              <w:t>Load-Allocated Constraint Management Plan Cost Recovery Amount per QSE</w:t>
            </w:r>
            <w:r w:rsidRPr="0013396E">
              <w:rPr>
                <w:iCs/>
                <w:sz w:val="20"/>
                <w:szCs w:val="24"/>
              </w:rPr>
              <w:t xml:space="preserve">—The charge to QSE </w:t>
            </w:r>
            <w:r w:rsidRPr="0013396E">
              <w:rPr>
                <w:i/>
                <w:iCs/>
                <w:sz w:val="20"/>
                <w:szCs w:val="24"/>
              </w:rPr>
              <w:t>q</w:t>
            </w:r>
            <w:r w:rsidRPr="0013396E">
              <w:rPr>
                <w:iCs/>
                <w:sz w:val="20"/>
                <w:szCs w:val="24"/>
              </w:rPr>
              <w:t xml:space="preserve"> for Constraint Management Plan Cost Recovery Payment as identified in Section 6.6.3.9, for the 15-minute Settlement Interval </w:t>
            </w:r>
            <w:r w:rsidRPr="0013396E">
              <w:rPr>
                <w:i/>
                <w:sz w:val="20"/>
                <w:szCs w:val="24"/>
              </w:rPr>
              <w:t>i</w:t>
            </w:r>
            <w:r w:rsidRPr="0013396E">
              <w:rPr>
                <w:iCs/>
                <w:sz w:val="20"/>
                <w:szCs w:val="24"/>
              </w:rPr>
              <w:t>.</w:t>
            </w:r>
          </w:p>
        </w:tc>
      </w:tr>
      <w:tr w:rsidR="00B6651E" w:rsidRPr="0013396E" w14:paraId="118A6566" w14:textId="77777777" w:rsidTr="00E844EE">
        <w:trPr>
          <w:cantSplit/>
        </w:trPr>
        <w:tc>
          <w:tcPr>
            <w:tcW w:w="2414" w:type="dxa"/>
            <w:tcBorders>
              <w:top w:val="single" w:sz="4" w:space="0" w:color="auto"/>
              <w:left w:val="single" w:sz="4" w:space="0" w:color="auto"/>
              <w:bottom w:val="single" w:sz="4" w:space="0" w:color="auto"/>
              <w:right w:val="single" w:sz="4" w:space="0" w:color="auto"/>
            </w:tcBorders>
            <w:hideMark/>
          </w:tcPr>
          <w:p w14:paraId="5E039BE7" w14:textId="77777777" w:rsidR="00B6651E" w:rsidRPr="0013396E" w:rsidRDefault="00B6651E" w:rsidP="00B6651E">
            <w:pPr>
              <w:spacing w:after="60"/>
              <w:rPr>
                <w:iCs/>
                <w:sz w:val="20"/>
                <w:szCs w:val="24"/>
              </w:rPr>
            </w:pPr>
            <w:r w:rsidRPr="0013396E">
              <w:rPr>
                <w:iCs/>
                <w:sz w:val="20"/>
                <w:szCs w:val="24"/>
              </w:rPr>
              <w:t>CMPCRAMTTOT</w:t>
            </w:r>
            <w:r w:rsidRPr="0013396E">
              <w:rPr>
                <w:i/>
                <w:iCs/>
                <w:sz w:val="20"/>
                <w:szCs w:val="24"/>
                <w:vertAlign w:val="subscript"/>
                <w:lang w:val="es-ES"/>
              </w:rPr>
              <w:t xml:space="preserve"> i</w:t>
            </w:r>
            <w:r w:rsidRPr="0013396E">
              <w:rPr>
                <w:b/>
                <w:i/>
                <w:iCs/>
                <w:sz w:val="20"/>
                <w:szCs w:val="24"/>
                <w:vertAlign w:val="subscript"/>
                <w:lang w:val="es-ES"/>
              </w:rPr>
              <w:t xml:space="preserve"> </w:t>
            </w:r>
            <w:r w:rsidRPr="0013396E">
              <w:rPr>
                <w:b/>
                <w:iCs/>
                <w:sz w:val="20"/>
                <w:szCs w:val="24"/>
                <w:lang w:val="es-ES"/>
              </w:rPr>
              <w:t xml:space="preserve"> </w:t>
            </w:r>
          </w:p>
        </w:tc>
        <w:tc>
          <w:tcPr>
            <w:tcW w:w="737" w:type="dxa"/>
            <w:tcBorders>
              <w:top w:val="single" w:sz="4" w:space="0" w:color="auto"/>
              <w:left w:val="single" w:sz="4" w:space="0" w:color="auto"/>
              <w:bottom w:val="single" w:sz="4" w:space="0" w:color="auto"/>
              <w:right w:val="single" w:sz="4" w:space="0" w:color="auto"/>
            </w:tcBorders>
            <w:hideMark/>
          </w:tcPr>
          <w:p w14:paraId="4B80E208" w14:textId="77777777" w:rsidR="00B6651E" w:rsidRPr="0013396E" w:rsidRDefault="00B6651E" w:rsidP="00B6651E">
            <w:pPr>
              <w:spacing w:after="60"/>
              <w:rPr>
                <w:iCs/>
                <w:sz w:val="20"/>
                <w:szCs w:val="24"/>
              </w:rPr>
            </w:pPr>
            <w:r w:rsidRPr="0013396E">
              <w:rPr>
                <w:iCs/>
                <w:sz w:val="20"/>
                <w:szCs w:val="24"/>
              </w:rPr>
              <w:t>$</w:t>
            </w:r>
          </w:p>
        </w:tc>
        <w:tc>
          <w:tcPr>
            <w:tcW w:w="6425" w:type="dxa"/>
            <w:tcBorders>
              <w:top w:val="single" w:sz="4" w:space="0" w:color="auto"/>
              <w:left w:val="single" w:sz="4" w:space="0" w:color="auto"/>
              <w:bottom w:val="single" w:sz="4" w:space="0" w:color="auto"/>
              <w:right w:val="single" w:sz="4" w:space="0" w:color="auto"/>
            </w:tcBorders>
            <w:hideMark/>
          </w:tcPr>
          <w:p w14:paraId="2A6C2313" w14:textId="53D2660E" w:rsidR="00B6651E" w:rsidRPr="0013396E" w:rsidRDefault="00B6651E" w:rsidP="00B6651E">
            <w:pPr>
              <w:spacing w:after="60"/>
              <w:rPr>
                <w:i/>
                <w:iCs/>
                <w:sz w:val="20"/>
                <w:szCs w:val="24"/>
              </w:rPr>
            </w:pPr>
            <w:r w:rsidRPr="0013396E">
              <w:rPr>
                <w:i/>
                <w:iCs/>
                <w:sz w:val="20"/>
                <w:szCs w:val="24"/>
              </w:rPr>
              <w:t xml:space="preserve">Constraint Management Plan Cost Recovery Amount </w:t>
            </w:r>
            <w:r w:rsidR="00C01872" w:rsidRPr="0013396E">
              <w:rPr>
                <w:i/>
                <w:iCs/>
                <w:sz w:val="20"/>
                <w:szCs w:val="24"/>
              </w:rPr>
              <w:t>T</w:t>
            </w:r>
            <w:r w:rsidRPr="0013396E">
              <w:rPr>
                <w:i/>
                <w:iCs/>
                <w:sz w:val="20"/>
                <w:szCs w:val="24"/>
              </w:rPr>
              <w:t>otal</w:t>
            </w:r>
            <w:r w:rsidRPr="0013396E">
              <w:rPr>
                <w:iCs/>
                <w:sz w:val="20"/>
                <w:szCs w:val="24"/>
              </w:rPr>
              <w:t>—The total of payments to all QSEs</w:t>
            </w:r>
            <w:r w:rsidR="00FF7091" w:rsidRPr="0013396E">
              <w:rPr>
                <w:iCs/>
                <w:sz w:val="20"/>
                <w:szCs w:val="24"/>
              </w:rPr>
              <w:t xml:space="preserve"> </w:t>
            </w:r>
            <w:r w:rsidRPr="0013396E">
              <w:rPr>
                <w:iCs/>
                <w:sz w:val="20"/>
                <w:szCs w:val="24"/>
              </w:rPr>
              <w:t xml:space="preserve">Constraint Management Plan Cost Recovery Payments, for the 15-minute Settlement Interval </w:t>
            </w:r>
            <w:r w:rsidRPr="0013396E">
              <w:rPr>
                <w:i/>
                <w:iCs/>
                <w:sz w:val="20"/>
                <w:szCs w:val="24"/>
              </w:rPr>
              <w:t>i</w:t>
            </w:r>
            <w:r w:rsidRPr="0013396E">
              <w:rPr>
                <w:iCs/>
                <w:sz w:val="20"/>
                <w:szCs w:val="24"/>
              </w:rPr>
              <w:t>.</w:t>
            </w:r>
          </w:p>
        </w:tc>
      </w:tr>
      <w:tr w:rsidR="00B6651E" w:rsidRPr="0013396E" w14:paraId="092F496B" w14:textId="77777777" w:rsidTr="00E844EE">
        <w:trPr>
          <w:cantSplit/>
        </w:trPr>
        <w:tc>
          <w:tcPr>
            <w:tcW w:w="2414" w:type="dxa"/>
            <w:tcBorders>
              <w:top w:val="single" w:sz="4" w:space="0" w:color="auto"/>
              <w:left w:val="single" w:sz="4" w:space="0" w:color="auto"/>
              <w:bottom w:val="single" w:sz="4" w:space="0" w:color="auto"/>
              <w:right w:val="single" w:sz="4" w:space="0" w:color="auto"/>
            </w:tcBorders>
            <w:hideMark/>
          </w:tcPr>
          <w:p w14:paraId="0560B733" w14:textId="77777777" w:rsidR="00B6651E" w:rsidRPr="0013396E" w:rsidRDefault="00B6651E" w:rsidP="00B6651E">
            <w:pPr>
              <w:spacing w:after="60"/>
              <w:rPr>
                <w:iCs/>
                <w:sz w:val="20"/>
                <w:szCs w:val="24"/>
              </w:rPr>
            </w:pPr>
            <w:r w:rsidRPr="0013396E">
              <w:rPr>
                <w:iCs/>
                <w:sz w:val="20"/>
                <w:szCs w:val="24"/>
              </w:rPr>
              <w:t xml:space="preserve">CMPCRAMTQSETOT </w:t>
            </w:r>
            <w:r w:rsidRPr="0013396E">
              <w:rPr>
                <w:i/>
                <w:iCs/>
                <w:sz w:val="20"/>
                <w:szCs w:val="24"/>
                <w:vertAlign w:val="subscript"/>
                <w:lang w:val="es-ES"/>
              </w:rPr>
              <w:t>q, i</w:t>
            </w:r>
            <w:r w:rsidRPr="0013396E">
              <w:rPr>
                <w:b/>
                <w:i/>
                <w:iCs/>
                <w:sz w:val="20"/>
                <w:szCs w:val="24"/>
                <w:vertAlign w:val="subscript"/>
                <w:lang w:val="es-ES"/>
              </w:rPr>
              <w:t xml:space="preserve"> </w:t>
            </w:r>
            <w:r w:rsidRPr="0013396E">
              <w:rPr>
                <w:b/>
                <w:iCs/>
                <w:sz w:val="20"/>
                <w:szCs w:val="24"/>
                <w:lang w:val="es-ES"/>
              </w:rPr>
              <w:t xml:space="preserve"> </w:t>
            </w:r>
          </w:p>
        </w:tc>
        <w:tc>
          <w:tcPr>
            <w:tcW w:w="737" w:type="dxa"/>
            <w:tcBorders>
              <w:top w:val="single" w:sz="4" w:space="0" w:color="auto"/>
              <w:left w:val="single" w:sz="4" w:space="0" w:color="auto"/>
              <w:bottom w:val="single" w:sz="4" w:space="0" w:color="auto"/>
              <w:right w:val="single" w:sz="4" w:space="0" w:color="auto"/>
            </w:tcBorders>
            <w:hideMark/>
          </w:tcPr>
          <w:p w14:paraId="6A60DB65" w14:textId="77777777" w:rsidR="00B6651E" w:rsidRPr="0013396E" w:rsidRDefault="00B6651E" w:rsidP="00B6651E">
            <w:pPr>
              <w:spacing w:after="60"/>
              <w:rPr>
                <w:iCs/>
                <w:sz w:val="20"/>
                <w:szCs w:val="24"/>
              </w:rPr>
            </w:pPr>
            <w:r w:rsidRPr="0013396E">
              <w:rPr>
                <w:iCs/>
                <w:sz w:val="20"/>
                <w:szCs w:val="24"/>
              </w:rPr>
              <w:t>$</w:t>
            </w:r>
          </w:p>
        </w:tc>
        <w:tc>
          <w:tcPr>
            <w:tcW w:w="6425" w:type="dxa"/>
            <w:tcBorders>
              <w:top w:val="single" w:sz="4" w:space="0" w:color="auto"/>
              <w:left w:val="single" w:sz="4" w:space="0" w:color="auto"/>
              <w:bottom w:val="single" w:sz="4" w:space="0" w:color="auto"/>
              <w:right w:val="single" w:sz="4" w:space="0" w:color="auto"/>
            </w:tcBorders>
            <w:hideMark/>
          </w:tcPr>
          <w:p w14:paraId="20CD908E" w14:textId="7A675ECC" w:rsidR="00B6651E" w:rsidRPr="0013396E" w:rsidRDefault="00B6651E" w:rsidP="00B6651E">
            <w:pPr>
              <w:spacing w:after="60"/>
              <w:rPr>
                <w:i/>
                <w:iCs/>
                <w:sz w:val="20"/>
                <w:szCs w:val="24"/>
              </w:rPr>
            </w:pPr>
            <w:r w:rsidRPr="0013396E">
              <w:rPr>
                <w:i/>
                <w:iCs/>
                <w:sz w:val="20"/>
                <w:szCs w:val="24"/>
              </w:rPr>
              <w:t xml:space="preserve">Constraint Management Plan Cost Recovery Amount QSE </w:t>
            </w:r>
            <w:r w:rsidR="00C01872" w:rsidRPr="0013396E">
              <w:rPr>
                <w:i/>
                <w:iCs/>
                <w:sz w:val="20"/>
                <w:szCs w:val="24"/>
              </w:rPr>
              <w:t>T</w:t>
            </w:r>
            <w:r w:rsidRPr="0013396E">
              <w:rPr>
                <w:i/>
                <w:iCs/>
                <w:sz w:val="20"/>
                <w:szCs w:val="24"/>
              </w:rPr>
              <w:t>otal per QSE</w:t>
            </w:r>
            <w:r w:rsidRPr="0013396E">
              <w:rPr>
                <w:iCs/>
                <w:sz w:val="20"/>
                <w:szCs w:val="24"/>
              </w:rPr>
              <w:t xml:space="preserve">—The total of the Constraint Management Plan Cost Recovery Payments to QSE </w:t>
            </w:r>
            <w:r w:rsidRPr="0013396E">
              <w:rPr>
                <w:i/>
                <w:iCs/>
                <w:sz w:val="20"/>
                <w:szCs w:val="24"/>
              </w:rPr>
              <w:t>q</w:t>
            </w:r>
            <w:r w:rsidRPr="0013396E">
              <w:rPr>
                <w:iCs/>
                <w:sz w:val="20"/>
                <w:szCs w:val="24"/>
              </w:rPr>
              <w:t xml:space="preserve"> </w:t>
            </w:r>
            <w:r w:rsidRPr="0013396E">
              <w:rPr>
                <w:iCs/>
                <w:kern w:val="2"/>
                <w:sz w:val="20"/>
                <w:szCs w:val="24"/>
              </w:rPr>
              <w:t>due to an ERCOT-issued CMP or equivalent VDI</w:t>
            </w:r>
            <w:r w:rsidRPr="0013396E">
              <w:rPr>
                <w:iCs/>
                <w:sz w:val="20"/>
                <w:szCs w:val="24"/>
              </w:rPr>
              <w:t xml:space="preserve"> for the 15-minute Settlement Interval </w:t>
            </w:r>
            <w:r w:rsidRPr="0013396E">
              <w:rPr>
                <w:i/>
                <w:iCs/>
                <w:sz w:val="20"/>
                <w:szCs w:val="24"/>
              </w:rPr>
              <w:t>i</w:t>
            </w:r>
            <w:r w:rsidRPr="0013396E">
              <w:rPr>
                <w:iCs/>
                <w:sz w:val="20"/>
                <w:szCs w:val="24"/>
              </w:rPr>
              <w:t>.</w:t>
            </w:r>
          </w:p>
        </w:tc>
      </w:tr>
      <w:tr w:rsidR="00B6651E" w:rsidRPr="0013396E" w14:paraId="7F546482" w14:textId="77777777" w:rsidTr="00E844EE">
        <w:trPr>
          <w:cantSplit/>
        </w:trPr>
        <w:tc>
          <w:tcPr>
            <w:tcW w:w="2414" w:type="dxa"/>
            <w:tcBorders>
              <w:top w:val="single" w:sz="4" w:space="0" w:color="auto"/>
              <w:left w:val="single" w:sz="4" w:space="0" w:color="auto"/>
              <w:bottom w:val="single" w:sz="4" w:space="0" w:color="auto"/>
              <w:right w:val="single" w:sz="4" w:space="0" w:color="auto"/>
            </w:tcBorders>
            <w:hideMark/>
          </w:tcPr>
          <w:p w14:paraId="76203954" w14:textId="77777777" w:rsidR="00B6651E" w:rsidRPr="0013396E" w:rsidRDefault="00B6651E" w:rsidP="00B6651E">
            <w:pPr>
              <w:spacing w:after="60"/>
              <w:rPr>
                <w:iCs/>
                <w:sz w:val="20"/>
                <w:szCs w:val="24"/>
              </w:rPr>
            </w:pPr>
            <w:r w:rsidRPr="0013396E">
              <w:rPr>
                <w:iCs/>
                <w:sz w:val="20"/>
                <w:szCs w:val="24"/>
              </w:rPr>
              <w:t xml:space="preserve">LRS </w:t>
            </w:r>
            <w:r w:rsidRPr="0013396E">
              <w:rPr>
                <w:i/>
                <w:iCs/>
                <w:sz w:val="20"/>
                <w:szCs w:val="24"/>
                <w:vertAlign w:val="subscript"/>
                <w:lang w:val="es-ES"/>
              </w:rPr>
              <w:t>q, i</w:t>
            </w:r>
            <w:r w:rsidRPr="0013396E">
              <w:rPr>
                <w:b/>
                <w:i/>
                <w:iCs/>
                <w:sz w:val="20"/>
                <w:szCs w:val="24"/>
                <w:vertAlign w:val="subscript"/>
                <w:lang w:val="es-ES"/>
              </w:rPr>
              <w:t xml:space="preserve"> </w:t>
            </w:r>
            <w:r w:rsidRPr="0013396E">
              <w:rPr>
                <w:b/>
                <w:iCs/>
                <w:sz w:val="20"/>
                <w:szCs w:val="24"/>
                <w:lang w:val="es-ES"/>
              </w:rPr>
              <w:t xml:space="preserve"> </w:t>
            </w:r>
          </w:p>
        </w:tc>
        <w:tc>
          <w:tcPr>
            <w:tcW w:w="737" w:type="dxa"/>
            <w:tcBorders>
              <w:top w:val="single" w:sz="4" w:space="0" w:color="auto"/>
              <w:left w:val="single" w:sz="4" w:space="0" w:color="auto"/>
              <w:bottom w:val="single" w:sz="4" w:space="0" w:color="auto"/>
              <w:right w:val="single" w:sz="4" w:space="0" w:color="auto"/>
            </w:tcBorders>
            <w:hideMark/>
          </w:tcPr>
          <w:p w14:paraId="4D4432D7" w14:textId="77777777" w:rsidR="00B6651E" w:rsidRPr="0013396E" w:rsidRDefault="00B6651E" w:rsidP="00B6651E">
            <w:pPr>
              <w:spacing w:after="60"/>
              <w:rPr>
                <w:iCs/>
                <w:sz w:val="20"/>
                <w:szCs w:val="24"/>
              </w:rPr>
            </w:pPr>
            <w:r w:rsidRPr="0013396E">
              <w:rPr>
                <w:iCs/>
                <w:sz w:val="20"/>
                <w:szCs w:val="24"/>
              </w:rPr>
              <w:t>none</w:t>
            </w:r>
          </w:p>
        </w:tc>
        <w:tc>
          <w:tcPr>
            <w:tcW w:w="6425" w:type="dxa"/>
            <w:tcBorders>
              <w:top w:val="single" w:sz="4" w:space="0" w:color="auto"/>
              <w:left w:val="single" w:sz="4" w:space="0" w:color="auto"/>
              <w:bottom w:val="single" w:sz="4" w:space="0" w:color="auto"/>
              <w:right w:val="single" w:sz="4" w:space="0" w:color="auto"/>
            </w:tcBorders>
            <w:hideMark/>
          </w:tcPr>
          <w:p w14:paraId="4C5F4E87" w14:textId="77777777" w:rsidR="00B6651E" w:rsidRPr="0013396E" w:rsidRDefault="00B6651E" w:rsidP="00B6651E">
            <w:pPr>
              <w:spacing w:after="60"/>
              <w:rPr>
                <w:iCs/>
                <w:sz w:val="20"/>
                <w:szCs w:val="24"/>
              </w:rPr>
            </w:pPr>
            <w:r w:rsidRPr="0013396E">
              <w:rPr>
                <w:i/>
                <w:iCs/>
                <w:sz w:val="20"/>
                <w:szCs w:val="24"/>
              </w:rPr>
              <w:t>The Load Ratio Share</w:t>
            </w:r>
            <w:r w:rsidRPr="0013396E">
              <w:rPr>
                <w:iCs/>
                <w:sz w:val="20"/>
                <w:szCs w:val="24"/>
              </w:rPr>
              <w:t xml:space="preserve"> calculated for QSE </w:t>
            </w:r>
            <w:r w:rsidRPr="0013396E">
              <w:rPr>
                <w:i/>
                <w:iCs/>
                <w:sz w:val="20"/>
                <w:szCs w:val="24"/>
              </w:rPr>
              <w:t>q</w:t>
            </w:r>
            <w:r w:rsidRPr="0013396E">
              <w:rPr>
                <w:iCs/>
                <w:sz w:val="20"/>
                <w:szCs w:val="24"/>
              </w:rPr>
              <w:t xml:space="preserve"> for the 15-minute Settlement Interval </w:t>
            </w:r>
            <w:r w:rsidRPr="0013396E">
              <w:rPr>
                <w:i/>
                <w:iCs/>
                <w:sz w:val="20"/>
                <w:szCs w:val="24"/>
              </w:rPr>
              <w:t>i</w:t>
            </w:r>
            <w:r w:rsidRPr="0013396E">
              <w:rPr>
                <w:iCs/>
                <w:sz w:val="20"/>
                <w:szCs w:val="24"/>
              </w:rPr>
              <w:t>.  See Section 6.6.2.2, QSE Load Ratio Share for a 15-Minute Settlement Interval.</w:t>
            </w:r>
          </w:p>
        </w:tc>
      </w:tr>
      <w:tr w:rsidR="00B6651E" w:rsidRPr="0013396E" w14:paraId="435F66BB" w14:textId="77777777" w:rsidTr="00E844EE">
        <w:trPr>
          <w:cantSplit/>
        </w:trPr>
        <w:tc>
          <w:tcPr>
            <w:tcW w:w="2414" w:type="dxa"/>
            <w:tcBorders>
              <w:top w:val="single" w:sz="4" w:space="0" w:color="auto"/>
              <w:left w:val="single" w:sz="4" w:space="0" w:color="auto"/>
              <w:bottom w:val="single" w:sz="4" w:space="0" w:color="auto"/>
              <w:right w:val="single" w:sz="4" w:space="0" w:color="auto"/>
            </w:tcBorders>
            <w:hideMark/>
          </w:tcPr>
          <w:p w14:paraId="63A0DCC4" w14:textId="77777777" w:rsidR="00B6651E" w:rsidRPr="0013396E" w:rsidRDefault="00B6651E" w:rsidP="00B6651E">
            <w:pPr>
              <w:spacing w:after="60"/>
              <w:rPr>
                <w:i/>
                <w:iCs/>
                <w:sz w:val="20"/>
                <w:szCs w:val="24"/>
              </w:rPr>
            </w:pPr>
            <w:r w:rsidRPr="0013396E">
              <w:rPr>
                <w:i/>
                <w:iCs/>
                <w:sz w:val="20"/>
                <w:szCs w:val="24"/>
              </w:rPr>
              <w:t>q</w:t>
            </w:r>
          </w:p>
        </w:tc>
        <w:tc>
          <w:tcPr>
            <w:tcW w:w="737" w:type="dxa"/>
            <w:tcBorders>
              <w:top w:val="single" w:sz="4" w:space="0" w:color="auto"/>
              <w:left w:val="single" w:sz="4" w:space="0" w:color="auto"/>
              <w:bottom w:val="single" w:sz="4" w:space="0" w:color="auto"/>
              <w:right w:val="single" w:sz="4" w:space="0" w:color="auto"/>
            </w:tcBorders>
            <w:hideMark/>
          </w:tcPr>
          <w:p w14:paraId="2D4229B0" w14:textId="77777777" w:rsidR="00B6651E" w:rsidRPr="0013396E" w:rsidRDefault="00B6651E" w:rsidP="00B6651E">
            <w:pPr>
              <w:spacing w:after="60"/>
              <w:rPr>
                <w:iCs/>
                <w:sz w:val="20"/>
                <w:szCs w:val="24"/>
              </w:rPr>
            </w:pPr>
            <w:r w:rsidRPr="0013396E">
              <w:rPr>
                <w:iCs/>
                <w:sz w:val="20"/>
                <w:szCs w:val="24"/>
              </w:rPr>
              <w:t>none</w:t>
            </w:r>
          </w:p>
        </w:tc>
        <w:tc>
          <w:tcPr>
            <w:tcW w:w="6425" w:type="dxa"/>
            <w:tcBorders>
              <w:top w:val="single" w:sz="4" w:space="0" w:color="auto"/>
              <w:left w:val="single" w:sz="4" w:space="0" w:color="auto"/>
              <w:bottom w:val="single" w:sz="4" w:space="0" w:color="auto"/>
              <w:right w:val="single" w:sz="4" w:space="0" w:color="auto"/>
            </w:tcBorders>
            <w:hideMark/>
          </w:tcPr>
          <w:p w14:paraId="5E4620A6" w14:textId="77777777" w:rsidR="00B6651E" w:rsidRPr="0013396E" w:rsidRDefault="00B6651E" w:rsidP="00B6651E">
            <w:pPr>
              <w:spacing w:after="60"/>
              <w:rPr>
                <w:iCs/>
                <w:sz w:val="20"/>
                <w:szCs w:val="24"/>
              </w:rPr>
            </w:pPr>
            <w:r w:rsidRPr="0013396E">
              <w:rPr>
                <w:iCs/>
                <w:sz w:val="20"/>
                <w:szCs w:val="24"/>
              </w:rPr>
              <w:t>A QSE.</w:t>
            </w:r>
          </w:p>
        </w:tc>
      </w:tr>
      <w:tr w:rsidR="00B6651E" w:rsidRPr="0013396E" w14:paraId="271F1FE6" w14:textId="77777777" w:rsidTr="00E844EE">
        <w:trPr>
          <w:cantSplit/>
        </w:trPr>
        <w:tc>
          <w:tcPr>
            <w:tcW w:w="2414" w:type="dxa"/>
            <w:tcBorders>
              <w:top w:val="single" w:sz="4" w:space="0" w:color="auto"/>
              <w:left w:val="single" w:sz="4" w:space="0" w:color="auto"/>
              <w:bottom w:val="single" w:sz="4" w:space="0" w:color="auto"/>
              <w:right w:val="single" w:sz="4" w:space="0" w:color="auto"/>
            </w:tcBorders>
            <w:hideMark/>
          </w:tcPr>
          <w:p w14:paraId="3DF4F963" w14:textId="77777777" w:rsidR="00B6651E" w:rsidRPr="0013396E" w:rsidRDefault="00B6651E" w:rsidP="00B6651E">
            <w:pPr>
              <w:spacing w:after="60"/>
              <w:rPr>
                <w:iCs/>
                <w:sz w:val="20"/>
                <w:szCs w:val="24"/>
              </w:rPr>
            </w:pPr>
            <w:r w:rsidRPr="0013396E">
              <w:rPr>
                <w:i/>
                <w:iCs/>
                <w:sz w:val="20"/>
                <w:szCs w:val="24"/>
              </w:rPr>
              <w:t>i</w:t>
            </w:r>
          </w:p>
        </w:tc>
        <w:tc>
          <w:tcPr>
            <w:tcW w:w="737" w:type="dxa"/>
            <w:tcBorders>
              <w:top w:val="single" w:sz="4" w:space="0" w:color="auto"/>
              <w:left w:val="single" w:sz="4" w:space="0" w:color="auto"/>
              <w:bottom w:val="single" w:sz="4" w:space="0" w:color="auto"/>
              <w:right w:val="single" w:sz="4" w:space="0" w:color="auto"/>
            </w:tcBorders>
            <w:hideMark/>
          </w:tcPr>
          <w:p w14:paraId="7A10228E" w14:textId="77777777" w:rsidR="00B6651E" w:rsidRPr="0013396E" w:rsidRDefault="00B6651E" w:rsidP="00B6651E">
            <w:pPr>
              <w:spacing w:after="60"/>
              <w:rPr>
                <w:iCs/>
                <w:sz w:val="20"/>
                <w:szCs w:val="24"/>
              </w:rPr>
            </w:pPr>
            <w:r w:rsidRPr="0013396E">
              <w:rPr>
                <w:iCs/>
                <w:sz w:val="20"/>
                <w:szCs w:val="24"/>
              </w:rPr>
              <w:t>none</w:t>
            </w:r>
          </w:p>
        </w:tc>
        <w:tc>
          <w:tcPr>
            <w:tcW w:w="6425" w:type="dxa"/>
            <w:tcBorders>
              <w:top w:val="single" w:sz="4" w:space="0" w:color="auto"/>
              <w:left w:val="single" w:sz="4" w:space="0" w:color="auto"/>
              <w:bottom w:val="single" w:sz="4" w:space="0" w:color="auto"/>
              <w:right w:val="single" w:sz="4" w:space="0" w:color="auto"/>
            </w:tcBorders>
            <w:hideMark/>
          </w:tcPr>
          <w:p w14:paraId="580A8863" w14:textId="77777777" w:rsidR="00B6651E" w:rsidRPr="0013396E" w:rsidRDefault="00B6651E" w:rsidP="00B6651E">
            <w:pPr>
              <w:spacing w:after="60"/>
              <w:rPr>
                <w:iCs/>
                <w:sz w:val="20"/>
                <w:szCs w:val="24"/>
              </w:rPr>
            </w:pPr>
            <w:r w:rsidRPr="0013396E">
              <w:rPr>
                <w:iCs/>
                <w:sz w:val="20"/>
                <w:szCs w:val="24"/>
              </w:rPr>
              <w:t>A 15-minute Settlement Interval.</w:t>
            </w:r>
          </w:p>
        </w:tc>
      </w:tr>
    </w:tbl>
    <w:p w14:paraId="70177D8A" w14:textId="77777777" w:rsidR="00B6651E" w:rsidRPr="0013396E" w:rsidRDefault="00B6651E" w:rsidP="00B6651E">
      <w:pPr>
        <w:keepNext/>
        <w:widowControl w:val="0"/>
        <w:tabs>
          <w:tab w:val="left" w:pos="1260"/>
        </w:tabs>
        <w:spacing w:before="480" w:after="240"/>
        <w:ind w:left="1260" w:hanging="1260"/>
        <w:outlineLvl w:val="3"/>
        <w:rPr>
          <w:b/>
          <w:bCs/>
          <w:snapToGrid w:val="0"/>
        </w:rPr>
      </w:pPr>
      <w:bookmarkStart w:id="1703" w:name="_Toc135992440"/>
      <w:bookmarkStart w:id="1704" w:name="_Toc236220187"/>
      <w:r w:rsidRPr="0013396E">
        <w:rPr>
          <w:b/>
          <w:bCs/>
          <w:snapToGrid w:val="0"/>
        </w:rPr>
        <w:lastRenderedPageBreak/>
        <w:t>6.6.3.11</w:t>
      </w:r>
      <w:r w:rsidRPr="0013396E">
        <w:rPr>
          <w:b/>
          <w:bCs/>
          <w:snapToGrid w:val="0"/>
        </w:rPr>
        <w:tab/>
        <w:t xml:space="preserve">Miscellaneous Invoice for Cost Recovery Payments and Charges for </w:t>
      </w:r>
      <w:bookmarkEnd w:id="1703"/>
      <w:r w:rsidRPr="0013396E">
        <w:rPr>
          <w:b/>
          <w:bCs/>
          <w:snapToGrid w:val="0"/>
        </w:rPr>
        <w:t>a Real-Time Constraint Management Plan</w:t>
      </w:r>
      <w:bookmarkEnd w:id="1704"/>
      <w:r w:rsidRPr="0013396E">
        <w:rPr>
          <w:b/>
          <w:bCs/>
          <w:snapToGrid w:val="0"/>
        </w:rPr>
        <w:t xml:space="preserve">   </w:t>
      </w:r>
    </w:p>
    <w:p w14:paraId="5037FFCF" w14:textId="77777777" w:rsidR="00B6651E" w:rsidRPr="0013396E" w:rsidRDefault="00B6651E" w:rsidP="00B6651E">
      <w:pPr>
        <w:spacing w:after="240"/>
        <w:ind w:left="720" w:hanging="720"/>
        <w:rPr>
          <w:bCs/>
          <w:iCs/>
          <w:szCs w:val="24"/>
        </w:rPr>
      </w:pPr>
      <w:r w:rsidRPr="0013396E">
        <w:rPr>
          <w:bCs/>
          <w:iCs/>
          <w:szCs w:val="24"/>
        </w:rPr>
        <w:t>(1)</w:t>
      </w:r>
      <w:r w:rsidRPr="0013396E">
        <w:rPr>
          <w:bCs/>
          <w:iCs/>
          <w:szCs w:val="24"/>
        </w:rPr>
        <w:tab/>
        <w:t>Each</w:t>
      </w:r>
      <w:r w:rsidRPr="0013396E">
        <w:rPr>
          <w:szCs w:val="24"/>
        </w:rPr>
        <w:t xml:space="preserve"> approved dispute shall be settled as described in Section 9.14.2, Notice of Dispute</w:t>
      </w:r>
      <w:r w:rsidRPr="0013396E">
        <w:rPr>
          <w:bCs/>
          <w:iCs/>
          <w:szCs w:val="24"/>
        </w:rPr>
        <w:t>.</w:t>
      </w:r>
    </w:p>
    <w:p w14:paraId="0F5D789A" w14:textId="5618A7E2" w:rsidR="00B6651E" w:rsidRPr="0013396E" w:rsidRDefault="00B6651E" w:rsidP="00B6651E">
      <w:pPr>
        <w:spacing w:after="240"/>
        <w:ind w:left="720" w:hanging="720"/>
        <w:rPr>
          <w:bCs/>
          <w:szCs w:val="24"/>
        </w:rPr>
      </w:pPr>
      <w:r w:rsidRPr="0013396E">
        <w:rPr>
          <w:bCs/>
          <w:iCs/>
          <w:szCs w:val="24"/>
        </w:rPr>
        <w:t>(2)</w:t>
      </w:r>
      <w:r w:rsidRPr="0013396E">
        <w:rPr>
          <w:bCs/>
          <w:iCs/>
          <w:szCs w:val="24"/>
        </w:rPr>
        <w:tab/>
        <w:t xml:space="preserve">ERCOT shall issue a miscellaneous Invoice to the </w:t>
      </w:r>
      <w:r w:rsidRPr="0013396E">
        <w:rPr>
          <w:szCs w:val="24"/>
        </w:rPr>
        <w:t>QSE</w:t>
      </w:r>
      <w:r w:rsidRPr="0013396E">
        <w:rPr>
          <w:bCs/>
          <w:iCs/>
          <w:szCs w:val="24"/>
        </w:rPr>
        <w:t xml:space="preserve"> representing the Resource that has received a </w:t>
      </w:r>
      <w:r w:rsidR="003D016F" w:rsidRPr="0013396E">
        <w:rPr>
          <w:bCs/>
          <w:iCs/>
          <w:szCs w:val="24"/>
        </w:rPr>
        <w:t xml:space="preserve">CMP </w:t>
      </w:r>
      <w:r w:rsidRPr="0013396E">
        <w:rPr>
          <w:bCs/>
          <w:iCs/>
          <w:szCs w:val="24"/>
        </w:rPr>
        <w:t xml:space="preserve">payment, </w:t>
      </w:r>
      <w:r w:rsidRPr="0013396E">
        <w:rPr>
          <w:bCs/>
          <w:szCs w:val="24"/>
        </w:rPr>
        <w:t xml:space="preserve">as described in Section 6.6.3.9, Real-Time Constraint Management Plan </w:t>
      </w:r>
      <w:r w:rsidRPr="0013396E">
        <w:rPr>
          <w:bCs/>
          <w:iCs/>
          <w:szCs w:val="24"/>
        </w:rPr>
        <w:t>Cost Recovery</w:t>
      </w:r>
      <w:r w:rsidRPr="0013396E">
        <w:rPr>
          <w:bCs/>
          <w:szCs w:val="24"/>
        </w:rPr>
        <w:t xml:space="preserve"> Payment.</w:t>
      </w:r>
    </w:p>
    <w:p w14:paraId="0FE85B9A" w14:textId="77777777" w:rsidR="00B6651E" w:rsidRPr="0013396E" w:rsidRDefault="00B6651E" w:rsidP="00B6651E">
      <w:pPr>
        <w:spacing w:after="240"/>
        <w:ind w:left="720" w:hanging="720"/>
        <w:rPr>
          <w:bCs/>
          <w:iCs/>
          <w:szCs w:val="24"/>
        </w:rPr>
      </w:pPr>
      <w:r w:rsidRPr="0013396E">
        <w:rPr>
          <w:bCs/>
          <w:iCs/>
          <w:szCs w:val="24"/>
        </w:rPr>
        <w:t>(3)</w:t>
      </w:r>
      <w:r w:rsidRPr="0013396E">
        <w:rPr>
          <w:bCs/>
          <w:iCs/>
          <w:szCs w:val="24"/>
        </w:rPr>
        <w:tab/>
        <w:t xml:space="preserve">ERCOT shall issue a miscellaneous Invoice to the QSE representing Load based on the LRS as described in Section 6.6.3.10, Real-Time Constraint Management Plan Cost Recovery Charge. </w:t>
      </w:r>
    </w:p>
    <w:p w14:paraId="600EEA80" w14:textId="77777777" w:rsidR="00B6651E" w:rsidRPr="0013396E" w:rsidRDefault="00B6651E" w:rsidP="00B6651E">
      <w:pPr>
        <w:spacing w:after="240"/>
        <w:ind w:left="720" w:hanging="720"/>
        <w:rPr>
          <w:bCs/>
          <w:iCs/>
          <w:szCs w:val="24"/>
        </w:rPr>
      </w:pPr>
      <w:r w:rsidRPr="0013396E">
        <w:rPr>
          <w:bCs/>
          <w:iCs/>
          <w:szCs w:val="24"/>
        </w:rPr>
        <w:t>(4)</w:t>
      </w:r>
      <w:r w:rsidRPr="0013396E">
        <w:rPr>
          <w:bCs/>
          <w:iCs/>
          <w:szCs w:val="24"/>
        </w:rPr>
        <w:tab/>
        <w:t xml:space="preserve">ERCOT shall issue a one-time miscellaneous Invoice encompassing all Operating Days in each approved dispute using the most recent available Settlement data at the time the Invoices were issued. </w:t>
      </w:r>
    </w:p>
    <w:p w14:paraId="37471C3F" w14:textId="77777777" w:rsidR="00B6651E" w:rsidRPr="0013396E" w:rsidRDefault="00B6651E" w:rsidP="00B6651E">
      <w:pPr>
        <w:spacing w:after="240"/>
        <w:ind w:left="720" w:hanging="720"/>
        <w:rPr>
          <w:szCs w:val="24"/>
        </w:rPr>
      </w:pPr>
      <w:r w:rsidRPr="0013396E">
        <w:rPr>
          <w:szCs w:val="24"/>
        </w:rPr>
        <w:t>(5)</w:t>
      </w:r>
      <w:r w:rsidRPr="0013396E">
        <w:rPr>
          <w:szCs w:val="24"/>
        </w:rPr>
        <w:tab/>
        <w:t xml:space="preserve">ERCOT </w:t>
      </w:r>
      <w:r w:rsidRPr="0013396E">
        <w:rPr>
          <w:bCs/>
          <w:szCs w:val="24"/>
        </w:rPr>
        <w:t>shall</w:t>
      </w:r>
      <w:r w:rsidRPr="0013396E">
        <w:rPr>
          <w:szCs w:val="24"/>
        </w:rPr>
        <w:t xml:space="preserve"> issue a Market Notice in conjunction with the issuance of miscellaneous Invoices for payments or charges for Real-Time Constraint Management Plan Settlement.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6651E" w:rsidRPr="0013396E" w14:paraId="0CE3C20E" w14:textId="77777777" w:rsidTr="00E844EE">
        <w:trPr>
          <w:trHeight w:val="386"/>
        </w:trPr>
        <w:tc>
          <w:tcPr>
            <w:tcW w:w="9350" w:type="dxa"/>
            <w:shd w:val="pct12" w:color="auto" w:fill="auto"/>
          </w:tcPr>
          <w:p w14:paraId="3E137E5E" w14:textId="77777777" w:rsidR="00B6651E" w:rsidRPr="0013396E" w:rsidRDefault="00B6651E" w:rsidP="00B6651E">
            <w:pPr>
              <w:spacing w:before="120" w:after="240"/>
              <w:rPr>
                <w:b/>
                <w:i/>
                <w:iCs/>
                <w:szCs w:val="24"/>
              </w:rPr>
            </w:pPr>
            <w:r w:rsidRPr="0013396E">
              <w:rPr>
                <w:b/>
                <w:i/>
                <w:iCs/>
                <w:szCs w:val="24"/>
              </w:rPr>
              <w:t>[NPRR1229:  Delete Section 6.6.3.11 above upon system implementation.]</w:t>
            </w:r>
          </w:p>
        </w:tc>
      </w:tr>
    </w:tbl>
    <w:p w14:paraId="1AB55D94" w14:textId="77777777" w:rsidR="001F04FD" w:rsidRPr="0013396E" w:rsidRDefault="001F04FD" w:rsidP="00020E00">
      <w:pPr>
        <w:pStyle w:val="H3"/>
        <w:spacing w:before="480"/>
      </w:pPr>
      <w:bookmarkStart w:id="1705" w:name="_Toc236220188"/>
      <w:bookmarkEnd w:id="1700"/>
      <w:r w:rsidRPr="0013396E">
        <w:t>6.6.4</w:t>
      </w:r>
      <w:r w:rsidRPr="0013396E">
        <w:tab/>
        <w:t>Real-Time Congestion Payment or Charge for Self-Schedules</w:t>
      </w:r>
      <w:bookmarkEnd w:id="1669"/>
      <w:bookmarkEnd w:id="1670"/>
      <w:bookmarkEnd w:id="1671"/>
      <w:bookmarkEnd w:id="1672"/>
      <w:bookmarkEnd w:id="1673"/>
      <w:bookmarkEnd w:id="1674"/>
      <w:bookmarkEnd w:id="1675"/>
      <w:bookmarkEnd w:id="1676"/>
      <w:bookmarkEnd w:id="1683"/>
      <w:bookmarkEnd w:id="1684"/>
      <w:bookmarkEnd w:id="1685"/>
      <w:bookmarkEnd w:id="1686"/>
      <w:bookmarkEnd w:id="1687"/>
      <w:bookmarkEnd w:id="1688"/>
      <w:bookmarkEnd w:id="1689"/>
      <w:bookmarkEnd w:id="1690"/>
      <w:bookmarkEnd w:id="1705"/>
      <w:r w:rsidRPr="0013396E">
        <w:t xml:space="preserve"> </w:t>
      </w:r>
    </w:p>
    <w:p w14:paraId="3AD3B362" w14:textId="02633EC8" w:rsidR="001F04FD" w:rsidRPr="0013396E" w:rsidRDefault="001F04FD" w:rsidP="001F04FD">
      <w:pPr>
        <w:pStyle w:val="BodyTextNumbered"/>
      </w:pPr>
      <w:r w:rsidRPr="0013396E">
        <w:t>(1)</w:t>
      </w:r>
      <w:r w:rsidRPr="0013396E">
        <w:tab/>
        <w:t>The congestion payment or charge to each QSE submitting a Self-Schedule calculated based on the difference in Real-Time S</w:t>
      </w:r>
      <w:r w:rsidR="008B66B5" w:rsidRPr="0013396E">
        <w:t xml:space="preserve">ettlement </w:t>
      </w:r>
      <w:r w:rsidRPr="0013396E">
        <w:t>P</w:t>
      </w:r>
      <w:r w:rsidR="008B66B5" w:rsidRPr="0013396E">
        <w:t xml:space="preserve">oint </w:t>
      </w:r>
      <w:r w:rsidRPr="0013396E">
        <w:t>P</w:t>
      </w:r>
      <w:r w:rsidR="008B66B5" w:rsidRPr="0013396E">
        <w:t>rice</w:t>
      </w:r>
      <w:r w:rsidRPr="0013396E">
        <w:t>s at the specified sink and the source of the Self-Schedule multiplied by the amount of the Self-Schedule.  The congestion charge to each QSE for each of its Self-Schedule for a given 15-minute Settlement Interval is calculated as follows:</w:t>
      </w:r>
    </w:p>
    <w:p w14:paraId="66958E6A" w14:textId="77777777" w:rsidR="001F04FD" w:rsidRPr="0013396E" w:rsidRDefault="001F04FD" w:rsidP="001F04FD">
      <w:pPr>
        <w:pStyle w:val="FormulaBold"/>
      </w:pPr>
      <w:r w:rsidRPr="0013396E">
        <w:t xml:space="preserve">RTCCAMT </w:t>
      </w:r>
      <w:r w:rsidRPr="0013396E">
        <w:rPr>
          <w:i/>
          <w:vertAlign w:val="subscript"/>
        </w:rPr>
        <w:t xml:space="preserve">q, s </w:t>
      </w:r>
      <w:r w:rsidRPr="0013396E">
        <w:tab/>
        <w:t>=</w:t>
      </w:r>
      <w:r w:rsidRPr="0013396E">
        <w:tab/>
        <w:t xml:space="preserve">(RTSPP </w:t>
      </w:r>
      <w:r w:rsidRPr="0013396E">
        <w:rPr>
          <w:i/>
          <w:vertAlign w:val="subscript"/>
        </w:rPr>
        <w:t>sink, s</w:t>
      </w:r>
      <w:r w:rsidRPr="0013396E">
        <w:t xml:space="preserve"> – RTSPP </w:t>
      </w:r>
      <w:r w:rsidRPr="0013396E">
        <w:rPr>
          <w:i/>
          <w:vertAlign w:val="subscript"/>
        </w:rPr>
        <w:t>source, s</w:t>
      </w:r>
      <w:r w:rsidRPr="0013396E">
        <w:t xml:space="preserve">) * (SSQ </w:t>
      </w:r>
      <w:r w:rsidRPr="0013396E">
        <w:rPr>
          <w:i/>
          <w:vertAlign w:val="subscript"/>
        </w:rPr>
        <w:t>q, s</w:t>
      </w:r>
      <w:r w:rsidRPr="0013396E">
        <w:t xml:space="preserve"> * ¼) </w:t>
      </w:r>
    </w:p>
    <w:p w14:paraId="12857438" w14:textId="77777777" w:rsidR="001F04FD" w:rsidRPr="0013396E" w:rsidRDefault="001F04FD" w:rsidP="001F04FD">
      <w:r w:rsidRPr="0013396E">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30"/>
        <w:gridCol w:w="853"/>
        <w:gridCol w:w="7357"/>
      </w:tblGrid>
      <w:tr w:rsidR="001F04FD" w:rsidRPr="0013396E" w14:paraId="66EA9B24" w14:textId="77777777" w:rsidTr="00AC4DEE">
        <w:tc>
          <w:tcPr>
            <w:tcW w:w="1630" w:type="dxa"/>
          </w:tcPr>
          <w:p w14:paraId="24C8378D" w14:textId="77777777" w:rsidR="001F04FD" w:rsidRPr="0013396E" w:rsidRDefault="001F04FD" w:rsidP="00AC4DEE">
            <w:pPr>
              <w:pStyle w:val="TableHead"/>
            </w:pPr>
            <w:r w:rsidRPr="0013396E">
              <w:t>Variable</w:t>
            </w:r>
          </w:p>
        </w:tc>
        <w:tc>
          <w:tcPr>
            <w:tcW w:w="0" w:type="auto"/>
          </w:tcPr>
          <w:p w14:paraId="3007E055" w14:textId="77777777" w:rsidR="001F04FD" w:rsidRPr="0013396E" w:rsidRDefault="001F04FD" w:rsidP="00AC4DEE">
            <w:pPr>
              <w:pStyle w:val="TableHead"/>
            </w:pPr>
            <w:r w:rsidRPr="0013396E">
              <w:t>Unit</w:t>
            </w:r>
          </w:p>
        </w:tc>
        <w:tc>
          <w:tcPr>
            <w:tcW w:w="0" w:type="auto"/>
          </w:tcPr>
          <w:p w14:paraId="3935FAFD" w14:textId="77777777" w:rsidR="001F04FD" w:rsidRPr="0013396E" w:rsidRDefault="001F04FD" w:rsidP="00AC4DEE">
            <w:pPr>
              <w:pStyle w:val="TableHead"/>
            </w:pPr>
            <w:r w:rsidRPr="0013396E">
              <w:t>Description</w:t>
            </w:r>
          </w:p>
        </w:tc>
      </w:tr>
      <w:tr w:rsidR="001F04FD" w:rsidRPr="0013396E" w14:paraId="7D556303" w14:textId="77777777" w:rsidTr="00AC4DEE">
        <w:tc>
          <w:tcPr>
            <w:tcW w:w="1630" w:type="dxa"/>
          </w:tcPr>
          <w:p w14:paraId="514EAF1C" w14:textId="77777777" w:rsidR="001F04FD" w:rsidRPr="0013396E" w:rsidRDefault="001F04FD" w:rsidP="00AC4DEE">
            <w:pPr>
              <w:pStyle w:val="TableBody"/>
            </w:pPr>
            <w:r w:rsidRPr="0013396E">
              <w:t xml:space="preserve">RTCCAMT </w:t>
            </w:r>
            <w:r w:rsidRPr="0013396E">
              <w:rPr>
                <w:i/>
                <w:vertAlign w:val="subscript"/>
              </w:rPr>
              <w:t>q, s</w:t>
            </w:r>
          </w:p>
        </w:tc>
        <w:tc>
          <w:tcPr>
            <w:tcW w:w="0" w:type="auto"/>
          </w:tcPr>
          <w:p w14:paraId="52A0A8C0" w14:textId="77777777" w:rsidR="001F04FD" w:rsidRPr="0013396E" w:rsidRDefault="001F04FD" w:rsidP="00AC4DEE">
            <w:pPr>
              <w:pStyle w:val="TableBody"/>
            </w:pPr>
            <w:r w:rsidRPr="0013396E">
              <w:t>$</w:t>
            </w:r>
          </w:p>
        </w:tc>
        <w:tc>
          <w:tcPr>
            <w:tcW w:w="0" w:type="auto"/>
          </w:tcPr>
          <w:p w14:paraId="7876B6F2" w14:textId="77777777" w:rsidR="001F04FD" w:rsidRPr="0013396E" w:rsidRDefault="001F04FD" w:rsidP="00AC4DEE">
            <w:pPr>
              <w:pStyle w:val="TableBody"/>
            </w:pPr>
            <w:r w:rsidRPr="0013396E">
              <w:rPr>
                <w:i/>
              </w:rPr>
              <w:t>Real-Time Congestion Cost Amount per QSE per Self-Schedule</w:t>
            </w:r>
            <w:r w:rsidRPr="0013396E">
              <w:t xml:space="preserve">—The congestion charge to QSE </w:t>
            </w:r>
            <w:r w:rsidRPr="0013396E">
              <w:rPr>
                <w:i/>
              </w:rPr>
              <w:t>q</w:t>
            </w:r>
            <w:r w:rsidRPr="0013396E">
              <w:t xml:space="preserve"> for its Self-Schedule </w:t>
            </w:r>
            <w:r w:rsidRPr="0013396E">
              <w:rPr>
                <w:i/>
              </w:rPr>
              <w:t>s</w:t>
            </w:r>
            <w:r w:rsidRPr="0013396E">
              <w:t>, for the 15-minute Settlement Interval.</w:t>
            </w:r>
          </w:p>
        </w:tc>
      </w:tr>
      <w:tr w:rsidR="001F04FD" w:rsidRPr="0013396E" w14:paraId="31604DB6" w14:textId="77777777" w:rsidTr="00AC4DEE">
        <w:tc>
          <w:tcPr>
            <w:tcW w:w="1630" w:type="dxa"/>
          </w:tcPr>
          <w:p w14:paraId="4FC46918" w14:textId="77777777" w:rsidR="001F04FD" w:rsidRPr="0013396E" w:rsidRDefault="001F04FD" w:rsidP="00AC4DEE">
            <w:pPr>
              <w:pStyle w:val="TableBody"/>
            </w:pPr>
            <w:r w:rsidRPr="0013396E">
              <w:t xml:space="preserve">RTSPP </w:t>
            </w:r>
            <w:r w:rsidRPr="0013396E">
              <w:rPr>
                <w:i/>
                <w:vertAlign w:val="subscript"/>
              </w:rPr>
              <w:t>sink, s</w:t>
            </w:r>
          </w:p>
        </w:tc>
        <w:tc>
          <w:tcPr>
            <w:tcW w:w="0" w:type="auto"/>
          </w:tcPr>
          <w:p w14:paraId="3D009310" w14:textId="77777777" w:rsidR="001F04FD" w:rsidRPr="0013396E" w:rsidRDefault="001F04FD" w:rsidP="00AC4DEE">
            <w:pPr>
              <w:pStyle w:val="TableBody"/>
            </w:pPr>
            <w:r w:rsidRPr="0013396E">
              <w:t>$/MWh</w:t>
            </w:r>
          </w:p>
        </w:tc>
        <w:tc>
          <w:tcPr>
            <w:tcW w:w="0" w:type="auto"/>
          </w:tcPr>
          <w:p w14:paraId="5A16A261" w14:textId="29F9B40A" w:rsidR="001F04FD" w:rsidRPr="0013396E" w:rsidRDefault="001F04FD" w:rsidP="00AC4DEE">
            <w:pPr>
              <w:pStyle w:val="TableBody"/>
            </w:pPr>
            <w:r w:rsidRPr="0013396E">
              <w:rPr>
                <w:i/>
              </w:rPr>
              <w:t>Real-Time Settlement Point Price at the Sink of Self-Schedule</w:t>
            </w:r>
            <w:r w:rsidRPr="0013396E">
              <w:t>—The Real-Time S</w:t>
            </w:r>
            <w:r w:rsidR="008B66B5" w:rsidRPr="0013396E">
              <w:t xml:space="preserve">ettlement </w:t>
            </w:r>
            <w:r w:rsidRPr="0013396E">
              <w:t>P</w:t>
            </w:r>
            <w:r w:rsidR="008B66B5" w:rsidRPr="0013396E">
              <w:t xml:space="preserve">oint </w:t>
            </w:r>
            <w:r w:rsidRPr="0013396E">
              <w:t>P</w:t>
            </w:r>
            <w:r w:rsidR="008B66B5" w:rsidRPr="0013396E">
              <w:t>rice</w:t>
            </w:r>
            <w:r w:rsidRPr="0013396E">
              <w:t xml:space="preserve"> at the sink of the Self-Schedule </w:t>
            </w:r>
            <w:r w:rsidRPr="0013396E">
              <w:rPr>
                <w:i/>
              </w:rPr>
              <w:t>s</w:t>
            </w:r>
            <w:r w:rsidRPr="0013396E">
              <w:t>, for the 15-minute Settlement Interval.</w:t>
            </w:r>
          </w:p>
        </w:tc>
      </w:tr>
      <w:tr w:rsidR="001F04FD" w:rsidRPr="0013396E" w14:paraId="7473FBF1" w14:textId="77777777" w:rsidTr="00AC4DEE">
        <w:tc>
          <w:tcPr>
            <w:tcW w:w="1630" w:type="dxa"/>
          </w:tcPr>
          <w:p w14:paraId="56921D3A" w14:textId="77777777" w:rsidR="001F04FD" w:rsidRPr="0013396E" w:rsidRDefault="001F04FD" w:rsidP="00AC4DEE">
            <w:pPr>
              <w:pStyle w:val="TableBody"/>
            </w:pPr>
            <w:r w:rsidRPr="0013396E">
              <w:t xml:space="preserve">RTSPP </w:t>
            </w:r>
            <w:r w:rsidRPr="0013396E">
              <w:rPr>
                <w:i/>
                <w:vertAlign w:val="subscript"/>
              </w:rPr>
              <w:t>source, s</w:t>
            </w:r>
          </w:p>
        </w:tc>
        <w:tc>
          <w:tcPr>
            <w:tcW w:w="0" w:type="auto"/>
          </w:tcPr>
          <w:p w14:paraId="3E78194E" w14:textId="77777777" w:rsidR="001F04FD" w:rsidRPr="0013396E" w:rsidRDefault="001F04FD" w:rsidP="00AC4DEE">
            <w:pPr>
              <w:pStyle w:val="TableBody"/>
            </w:pPr>
            <w:r w:rsidRPr="0013396E">
              <w:t>$/MWh</w:t>
            </w:r>
          </w:p>
        </w:tc>
        <w:tc>
          <w:tcPr>
            <w:tcW w:w="0" w:type="auto"/>
          </w:tcPr>
          <w:p w14:paraId="206F9A02" w14:textId="44DC1805" w:rsidR="001F04FD" w:rsidRPr="0013396E" w:rsidRDefault="001F04FD" w:rsidP="00AC4DEE">
            <w:pPr>
              <w:pStyle w:val="TableBody"/>
            </w:pPr>
            <w:r w:rsidRPr="0013396E">
              <w:rPr>
                <w:i/>
              </w:rPr>
              <w:t>Real-Time Settlement Point Price at the Source of Self-Schedule</w:t>
            </w:r>
            <w:r w:rsidRPr="0013396E">
              <w:t>—The Real-Time S</w:t>
            </w:r>
            <w:r w:rsidR="008B66B5" w:rsidRPr="0013396E">
              <w:t xml:space="preserve">ettlement </w:t>
            </w:r>
            <w:r w:rsidRPr="0013396E">
              <w:t>P</w:t>
            </w:r>
            <w:r w:rsidR="008B66B5" w:rsidRPr="0013396E">
              <w:t xml:space="preserve">oint </w:t>
            </w:r>
            <w:r w:rsidRPr="0013396E">
              <w:t>P</w:t>
            </w:r>
            <w:r w:rsidR="008B66B5" w:rsidRPr="0013396E">
              <w:t>rice</w:t>
            </w:r>
            <w:r w:rsidRPr="0013396E">
              <w:t xml:space="preserve"> at the source of the Self-Schedule </w:t>
            </w:r>
            <w:r w:rsidRPr="0013396E">
              <w:rPr>
                <w:i/>
              </w:rPr>
              <w:t>s</w:t>
            </w:r>
            <w:r w:rsidRPr="0013396E">
              <w:t>, for the 15-minute Settlement Interval.</w:t>
            </w:r>
          </w:p>
        </w:tc>
      </w:tr>
      <w:tr w:rsidR="001F04FD" w:rsidRPr="0013396E" w14:paraId="779D551E" w14:textId="77777777" w:rsidTr="00AC4DEE">
        <w:tc>
          <w:tcPr>
            <w:tcW w:w="1630" w:type="dxa"/>
          </w:tcPr>
          <w:p w14:paraId="209535C1" w14:textId="77777777" w:rsidR="001F04FD" w:rsidRPr="0013396E" w:rsidRDefault="001F04FD" w:rsidP="00AC4DEE">
            <w:pPr>
              <w:pStyle w:val="TableBody"/>
            </w:pPr>
            <w:r w:rsidRPr="0013396E">
              <w:t xml:space="preserve">SSQ </w:t>
            </w:r>
            <w:r w:rsidRPr="0013396E">
              <w:rPr>
                <w:i/>
                <w:vertAlign w:val="subscript"/>
              </w:rPr>
              <w:t>q,s</w:t>
            </w:r>
          </w:p>
        </w:tc>
        <w:tc>
          <w:tcPr>
            <w:tcW w:w="0" w:type="auto"/>
          </w:tcPr>
          <w:p w14:paraId="173BE17E" w14:textId="77777777" w:rsidR="001F04FD" w:rsidRPr="0013396E" w:rsidRDefault="001F04FD" w:rsidP="00AC4DEE">
            <w:pPr>
              <w:pStyle w:val="TableBody"/>
            </w:pPr>
            <w:r w:rsidRPr="0013396E">
              <w:t>MW</w:t>
            </w:r>
          </w:p>
        </w:tc>
        <w:tc>
          <w:tcPr>
            <w:tcW w:w="0" w:type="auto"/>
          </w:tcPr>
          <w:p w14:paraId="6F4650F9" w14:textId="77777777" w:rsidR="001F04FD" w:rsidRPr="0013396E" w:rsidRDefault="001F04FD" w:rsidP="00AC4DEE">
            <w:pPr>
              <w:pStyle w:val="TableBody"/>
            </w:pPr>
            <w:r w:rsidRPr="0013396E">
              <w:rPr>
                <w:i/>
              </w:rPr>
              <w:t>Self-Schedule Quantity per Self-Schedule</w:t>
            </w:r>
            <w:r w:rsidRPr="0013396E">
              <w:t xml:space="preserve">—The QSE </w:t>
            </w:r>
            <w:r w:rsidRPr="0013396E">
              <w:rPr>
                <w:i/>
              </w:rPr>
              <w:t>q</w:t>
            </w:r>
            <w:r w:rsidRPr="0013396E">
              <w:t xml:space="preserve">’s Self Schedule MW quantity for Self-Schedule </w:t>
            </w:r>
            <w:r w:rsidRPr="0013396E">
              <w:rPr>
                <w:i/>
              </w:rPr>
              <w:t>s</w:t>
            </w:r>
            <w:r w:rsidRPr="0013396E">
              <w:t>, for the 15-minute Settlement Interval.</w:t>
            </w:r>
          </w:p>
        </w:tc>
      </w:tr>
      <w:tr w:rsidR="001F04FD" w:rsidRPr="0013396E" w14:paraId="502562F0" w14:textId="77777777" w:rsidTr="00AC4DEE">
        <w:tc>
          <w:tcPr>
            <w:tcW w:w="1630" w:type="dxa"/>
          </w:tcPr>
          <w:p w14:paraId="69D7590E" w14:textId="77777777" w:rsidR="001F04FD" w:rsidRPr="0013396E" w:rsidRDefault="001F04FD" w:rsidP="00AC4DEE">
            <w:pPr>
              <w:pStyle w:val="TableBody"/>
              <w:rPr>
                <w:i/>
              </w:rPr>
            </w:pPr>
            <w:r w:rsidRPr="0013396E">
              <w:rPr>
                <w:i/>
              </w:rPr>
              <w:t>q</w:t>
            </w:r>
          </w:p>
        </w:tc>
        <w:tc>
          <w:tcPr>
            <w:tcW w:w="0" w:type="auto"/>
          </w:tcPr>
          <w:p w14:paraId="0580635A" w14:textId="77777777" w:rsidR="001F04FD" w:rsidRPr="0013396E" w:rsidRDefault="001F04FD" w:rsidP="00AC4DEE">
            <w:pPr>
              <w:pStyle w:val="TableBody"/>
            </w:pPr>
            <w:r w:rsidRPr="0013396E">
              <w:t>none</w:t>
            </w:r>
          </w:p>
        </w:tc>
        <w:tc>
          <w:tcPr>
            <w:tcW w:w="0" w:type="auto"/>
          </w:tcPr>
          <w:p w14:paraId="29703170" w14:textId="77777777" w:rsidR="001F04FD" w:rsidRPr="0013396E" w:rsidRDefault="001F04FD" w:rsidP="00AC4DEE">
            <w:pPr>
              <w:pStyle w:val="TableBody"/>
            </w:pPr>
            <w:r w:rsidRPr="0013396E">
              <w:t>A QSE.</w:t>
            </w:r>
          </w:p>
        </w:tc>
      </w:tr>
      <w:tr w:rsidR="001F04FD" w:rsidRPr="0013396E" w14:paraId="219656EC" w14:textId="77777777" w:rsidTr="00AC4DEE">
        <w:tc>
          <w:tcPr>
            <w:tcW w:w="1630" w:type="dxa"/>
          </w:tcPr>
          <w:p w14:paraId="45517571" w14:textId="77777777" w:rsidR="001F04FD" w:rsidRPr="0013396E" w:rsidRDefault="001F04FD" w:rsidP="00AC4DEE">
            <w:pPr>
              <w:pStyle w:val="TableBody"/>
              <w:rPr>
                <w:i/>
              </w:rPr>
            </w:pPr>
            <w:r w:rsidRPr="0013396E">
              <w:rPr>
                <w:i/>
              </w:rPr>
              <w:lastRenderedPageBreak/>
              <w:t>s</w:t>
            </w:r>
          </w:p>
        </w:tc>
        <w:tc>
          <w:tcPr>
            <w:tcW w:w="0" w:type="auto"/>
          </w:tcPr>
          <w:p w14:paraId="61134B3D" w14:textId="77777777" w:rsidR="001F04FD" w:rsidRPr="0013396E" w:rsidRDefault="001F04FD" w:rsidP="00AC4DEE">
            <w:pPr>
              <w:pStyle w:val="TableBody"/>
            </w:pPr>
            <w:r w:rsidRPr="0013396E">
              <w:t>none</w:t>
            </w:r>
          </w:p>
        </w:tc>
        <w:tc>
          <w:tcPr>
            <w:tcW w:w="0" w:type="auto"/>
          </w:tcPr>
          <w:p w14:paraId="3C3A3F2C" w14:textId="77777777" w:rsidR="001F04FD" w:rsidRPr="0013396E" w:rsidRDefault="001F04FD" w:rsidP="00AC4DEE">
            <w:pPr>
              <w:pStyle w:val="TableBody"/>
            </w:pPr>
            <w:r w:rsidRPr="0013396E">
              <w:t>A Self-Schedule.</w:t>
            </w:r>
          </w:p>
        </w:tc>
      </w:tr>
      <w:tr w:rsidR="001F04FD" w:rsidRPr="0013396E" w14:paraId="0DA8024B" w14:textId="77777777" w:rsidTr="00AC4DEE">
        <w:tc>
          <w:tcPr>
            <w:tcW w:w="1630" w:type="dxa"/>
            <w:tcBorders>
              <w:top w:val="single" w:sz="4" w:space="0" w:color="auto"/>
              <w:left w:val="single" w:sz="4" w:space="0" w:color="auto"/>
              <w:bottom w:val="single" w:sz="4" w:space="0" w:color="auto"/>
              <w:right w:val="single" w:sz="4" w:space="0" w:color="auto"/>
            </w:tcBorders>
          </w:tcPr>
          <w:p w14:paraId="1F9170B5" w14:textId="77777777" w:rsidR="001F04FD" w:rsidRPr="0013396E" w:rsidRDefault="001F04FD" w:rsidP="00AC4DEE">
            <w:pPr>
              <w:pStyle w:val="TableBody"/>
              <w:rPr>
                <w:i/>
              </w:rPr>
            </w:pPr>
            <w:r w:rsidRPr="0013396E">
              <w:rPr>
                <w:i/>
              </w:rPr>
              <w:t>sink</w:t>
            </w:r>
          </w:p>
        </w:tc>
        <w:tc>
          <w:tcPr>
            <w:tcW w:w="0" w:type="auto"/>
            <w:tcBorders>
              <w:top w:val="single" w:sz="4" w:space="0" w:color="auto"/>
              <w:left w:val="single" w:sz="4" w:space="0" w:color="auto"/>
              <w:bottom w:val="single" w:sz="4" w:space="0" w:color="auto"/>
              <w:right w:val="single" w:sz="4" w:space="0" w:color="auto"/>
            </w:tcBorders>
          </w:tcPr>
          <w:p w14:paraId="299D827B" w14:textId="77777777" w:rsidR="001F04FD" w:rsidRPr="0013396E" w:rsidRDefault="001F04FD" w:rsidP="00AC4DEE">
            <w:pPr>
              <w:pStyle w:val="TableBody"/>
            </w:pPr>
            <w:r w:rsidRPr="0013396E">
              <w:t>none</w:t>
            </w:r>
          </w:p>
        </w:tc>
        <w:tc>
          <w:tcPr>
            <w:tcW w:w="0" w:type="auto"/>
            <w:tcBorders>
              <w:top w:val="single" w:sz="4" w:space="0" w:color="auto"/>
              <w:left w:val="single" w:sz="4" w:space="0" w:color="auto"/>
              <w:bottom w:val="single" w:sz="4" w:space="0" w:color="auto"/>
              <w:right w:val="single" w:sz="4" w:space="0" w:color="auto"/>
            </w:tcBorders>
          </w:tcPr>
          <w:p w14:paraId="1AA38167" w14:textId="77777777" w:rsidR="001F04FD" w:rsidRPr="0013396E" w:rsidRDefault="001F04FD" w:rsidP="00AC4DEE">
            <w:pPr>
              <w:pStyle w:val="TableBody"/>
            </w:pPr>
            <w:r w:rsidRPr="0013396E">
              <w:t>Sink Settlement Point</w:t>
            </w:r>
          </w:p>
        </w:tc>
      </w:tr>
      <w:tr w:rsidR="001F04FD" w:rsidRPr="0013396E" w14:paraId="19AC52EE" w14:textId="77777777" w:rsidTr="00AC4DEE">
        <w:tc>
          <w:tcPr>
            <w:tcW w:w="1630" w:type="dxa"/>
            <w:tcBorders>
              <w:top w:val="single" w:sz="4" w:space="0" w:color="auto"/>
              <w:left w:val="single" w:sz="4" w:space="0" w:color="auto"/>
              <w:bottom w:val="single" w:sz="4" w:space="0" w:color="auto"/>
              <w:right w:val="single" w:sz="4" w:space="0" w:color="auto"/>
            </w:tcBorders>
          </w:tcPr>
          <w:p w14:paraId="016CC1BB" w14:textId="77777777" w:rsidR="001F04FD" w:rsidRPr="0013396E" w:rsidRDefault="001F04FD" w:rsidP="00AC4DEE">
            <w:pPr>
              <w:pStyle w:val="TableBody"/>
              <w:rPr>
                <w:i/>
              </w:rPr>
            </w:pPr>
            <w:r w:rsidRPr="0013396E">
              <w:rPr>
                <w:i/>
              </w:rPr>
              <w:t>source</w:t>
            </w:r>
          </w:p>
        </w:tc>
        <w:tc>
          <w:tcPr>
            <w:tcW w:w="0" w:type="auto"/>
            <w:tcBorders>
              <w:top w:val="single" w:sz="4" w:space="0" w:color="auto"/>
              <w:left w:val="single" w:sz="4" w:space="0" w:color="auto"/>
              <w:bottom w:val="single" w:sz="4" w:space="0" w:color="auto"/>
              <w:right w:val="single" w:sz="4" w:space="0" w:color="auto"/>
            </w:tcBorders>
          </w:tcPr>
          <w:p w14:paraId="4450C52D" w14:textId="77777777" w:rsidR="001F04FD" w:rsidRPr="0013396E" w:rsidRDefault="001F04FD" w:rsidP="00AC4DEE">
            <w:pPr>
              <w:pStyle w:val="TableBody"/>
            </w:pPr>
            <w:r w:rsidRPr="0013396E">
              <w:t>none</w:t>
            </w:r>
          </w:p>
        </w:tc>
        <w:tc>
          <w:tcPr>
            <w:tcW w:w="0" w:type="auto"/>
            <w:tcBorders>
              <w:top w:val="single" w:sz="4" w:space="0" w:color="auto"/>
              <w:left w:val="single" w:sz="4" w:space="0" w:color="auto"/>
              <w:bottom w:val="single" w:sz="4" w:space="0" w:color="auto"/>
              <w:right w:val="single" w:sz="4" w:space="0" w:color="auto"/>
            </w:tcBorders>
          </w:tcPr>
          <w:p w14:paraId="69A9298F" w14:textId="77777777" w:rsidR="001F04FD" w:rsidRPr="0013396E" w:rsidRDefault="001F04FD" w:rsidP="00AC4DEE">
            <w:pPr>
              <w:pStyle w:val="TableBody"/>
            </w:pPr>
            <w:r w:rsidRPr="0013396E">
              <w:t>Source Settlement Point</w:t>
            </w:r>
          </w:p>
        </w:tc>
      </w:tr>
    </w:tbl>
    <w:p w14:paraId="02F6313B" w14:textId="77777777" w:rsidR="001F04FD" w:rsidRPr="0013396E" w:rsidRDefault="001F04FD" w:rsidP="001F04FD"/>
    <w:p w14:paraId="39CB63D3" w14:textId="77777777" w:rsidR="001F04FD" w:rsidRPr="0013396E" w:rsidRDefault="001F04FD" w:rsidP="001F04FD">
      <w:pPr>
        <w:pStyle w:val="BodyTextNumbered"/>
      </w:pPr>
      <w:r w:rsidRPr="0013396E">
        <w:t>(2)</w:t>
      </w:r>
      <w:r w:rsidRPr="0013396E">
        <w:tab/>
        <w:t>The total net congestion payments and charges to each QSE for all its Self-Schedules for the 15-minute Settlement Interval is calculated as follows:</w:t>
      </w:r>
    </w:p>
    <w:p w14:paraId="4AC162C1" w14:textId="77777777" w:rsidR="001F04FD" w:rsidRPr="0013396E" w:rsidRDefault="001F04FD" w:rsidP="001F04FD">
      <w:pPr>
        <w:pStyle w:val="FormulaBold"/>
      </w:pPr>
      <w:r w:rsidRPr="0013396E">
        <w:t xml:space="preserve">RTCCAMTQSETOT </w:t>
      </w:r>
      <w:r w:rsidRPr="0013396E">
        <w:rPr>
          <w:i/>
          <w:vertAlign w:val="subscript"/>
        </w:rPr>
        <w:t>q</w:t>
      </w:r>
      <w:r w:rsidRPr="0013396E">
        <w:tab/>
        <w:t>=</w:t>
      </w:r>
      <w:r w:rsidRPr="0013396E">
        <w:tab/>
      </w:r>
      <w:r w:rsidRPr="0013396E">
        <w:rPr>
          <w:position w:val="-20"/>
        </w:rPr>
        <w:object w:dxaOrig="225" w:dyaOrig="435" w14:anchorId="1C630257">
          <v:shape id="_x0000_i1147" type="#_x0000_t75" style="width:12pt;height:18pt" o:ole="">
            <v:imagedata r:id="rId176" o:title=""/>
          </v:shape>
          <o:OLEObject Type="Embed" ProgID="Equation.3" ShapeID="_x0000_i1147" DrawAspect="Content" ObjectID="_1849065778" r:id="rId177"/>
        </w:object>
      </w:r>
      <w:r w:rsidRPr="0013396E">
        <w:t xml:space="preserve">RTCCAMT </w:t>
      </w:r>
      <w:r w:rsidRPr="0013396E">
        <w:rPr>
          <w:i/>
          <w:vertAlign w:val="subscript"/>
        </w:rPr>
        <w:t>q, s</w:t>
      </w:r>
    </w:p>
    <w:p w14:paraId="77F6736E" w14:textId="77777777" w:rsidR="001F04FD" w:rsidRPr="0013396E" w:rsidRDefault="001F04FD" w:rsidP="001F04FD">
      <w:r w:rsidRPr="0013396E">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074"/>
      </w:tblGrid>
      <w:tr w:rsidR="001F04FD" w:rsidRPr="0013396E" w14:paraId="217B60A0" w14:textId="77777777" w:rsidTr="00AC4DEE">
        <w:trPr>
          <w:tblHeader/>
        </w:trPr>
        <w:tc>
          <w:tcPr>
            <w:tcW w:w="2165" w:type="dxa"/>
          </w:tcPr>
          <w:p w14:paraId="44B743B0" w14:textId="77777777" w:rsidR="001F04FD" w:rsidRPr="0013396E" w:rsidRDefault="001F04FD" w:rsidP="00AC4DEE">
            <w:pPr>
              <w:pStyle w:val="TableHead"/>
            </w:pPr>
            <w:r w:rsidRPr="0013396E">
              <w:t>Variable</w:t>
            </w:r>
          </w:p>
        </w:tc>
        <w:tc>
          <w:tcPr>
            <w:tcW w:w="832" w:type="dxa"/>
          </w:tcPr>
          <w:p w14:paraId="45AC932D" w14:textId="77777777" w:rsidR="001F04FD" w:rsidRPr="0013396E" w:rsidRDefault="001F04FD" w:rsidP="00AC4DEE">
            <w:pPr>
              <w:pStyle w:val="TableHead"/>
            </w:pPr>
            <w:r w:rsidRPr="0013396E">
              <w:t>Unit</w:t>
            </w:r>
          </w:p>
        </w:tc>
        <w:tc>
          <w:tcPr>
            <w:tcW w:w="6074" w:type="dxa"/>
          </w:tcPr>
          <w:p w14:paraId="0896EFD5" w14:textId="77777777" w:rsidR="001F04FD" w:rsidRPr="0013396E" w:rsidRDefault="001F04FD" w:rsidP="00AC4DEE">
            <w:pPr>
              <w:pStyle w:val="TableHead"/>
            </w:pPr>
            <w:r w:rsidRPr="0013396E">
              <w:t>Definition</w:t>
            </w:r>
          </w:p>
        </w:tc>
      </w:tr>
      <w:tr w:rsidR="001F04FD" w:rsidRPr="0013396E" w14:paraId="5D49E09F" w14:textId="77777777" w:rsidTr="00AC4DEE">
        <w:tc>
          <w:tcPr>
            <w:tcW w:w="2165" w:type="dxa"/>
          </w:tcPr>
          <w:p w14:paraId="15368DFA" w14:textId="77777777" w:rsidR="001F04FD" w:rsidRPr="0013396E" w:rsidRDefault="001F04FD" w:rsidP="00AC4DEE">
            <w:pPr>
              <w:pStyle w:val="TableBody"/>
            </w:pPr>
            <w:r w:rsidRPr="0013396E">
              <w:t xml:space="preserve">RTCCAMTQSETOT </w:t>
            </w:r>
            <w:r w:rsidRPr="0013396E">
              <w:rPr>
                <w:i/>
                <w:vertAlign w:val="subscript"/>
              </w:rPr>
              <w:t>q</w:t>
            </w:r>
          </w:p>
        </w:tc>
        <w:tc>
          <w:tcPr>
            <w:tcW w:w="832" w:type="dxa"/>
          </w:tcPr>
          <w:p w14:paraId="68F17DF8" w14:textId="77777777" w:rsidR="001F04FD" w:rsidRPr="0013396E" w:rsidRDefault="001F04FD" w:rsidP="00AC4DEE">
            <w:pPr>
              <w:pStyle w:val="TableBody"/>
            </w:pPr>
            <w:r w:rsidRPr="0013396E">
              <w:t>$</w:t>
            </w:r>
          </w:p>
        </w:tc>
        <w:tc>
          <w:tcPr>
            <w:tcW w:w="6074" w:type="dxa"/>
          </w:tcPr>
          <w:p w14:paraId="137A7E3F" w14:textId="77777777" w:rsidR="001F04FD" w:rsidRPr="0013396E" w:rsidRDefault="001F04FD" w:rsidP="00AC4DEE">
            <w:pPr>
              <w:pStyle w:val="TableBody"/>
            </w:pPr>
            <w:r w:rsidRPr="0013396E">
              <w:rPr>
                <w:i/>
              </w:rPr>
              <w:t>Real-Time Congestion Cost Amount QSE Total per QSE</w:t>
            </w:r>
            <w:r w:rsidRPr="0013396E">
              <w:sym w:font="Symbol" w:char="F0BE"/>
            </w:r>
            <w:r w:rsidRPr="0013396E">
              <w:t xml:space="preserve">The total net congestion payments and charges to QSE </w:t>
            </w:r>
            <w:r w:rsidRPr="0013396E">
              <w:rPr>
                <w:i/>
              </w:rPr>
              <w:t>q</w:t>
            </w:r>
            <w:r w:rsidRPr="0013396E">
              <w:t xml:space="preserve"> for its Self-Schedules for the 15-minute Settlement Interval.</w:t>
            </w:r>
          </w:p>
        </w:tc>
      </w:tr>
      <w:tr w:rsidR="001F04FD" w:rsidRPr="0013396E" w14:paraId="5B6D9186" w14:textId="77777777" w:rsidTr="00AC4DEE">
        <w:tc>
          <w:tcPr>
            <w:tcW w:w="2165" w:type="dxa"/>
          </w:tcPr>
          <w:p w14:paraId="763B1444" w14:textId="77777777" w:rsidR="001F04FD" w:rsidRPr="0013396E" w:rsidRDefault="001F04FD" w:rsidP="00AC4DEE">
            <w:pPr>
              <w:pStyle w:val="TableBody"/>
            </w:pPr>
            <w:r w:rsidRPr="0013396E">
              <w:t xml:space="preserve">RTCCAMT </w:t>
            </w:r>
            <w:r w:rsidRPr="0013396E">
              <w:rPr>
                <w:i/>
                <w:vertAlign w:val="subscript"/>
              </w:rPr>
              <w:t>q, s</w:t>
            </w:r>
          </w:p>
        </w:tc>
        <w:tc>
          <w:tcPr>
            <w:tcW w:w="832" w:type="dxa"/>
          </w:tcPr>
          <w:p w14:paraId="5385731B" w14:textId="77777777" w:rsidR="001F04FD" w:rsidRPr="0013396E" w:rsidRDefault="001F04FD" w:rsidP="00AC4DEE">
            <w:pPr>
              <w:pStyle w:val="TableBody"/>
            </w:pPr>
            <w:r w:rsidRPr="0013396E">
              <w:t>$</w:t>
            </w:r>
          </w:p>
        </w:tc>
        <w:tc>
          <w:tcPr>
            <w:tcW w:w="6074" w:type="dxa"/>
          </w:tcPr>
          <w:p w14:paraId="419DBD22" w14:textId="77777777" w:rsidR="001F04FD" w:rsidRPr="0013396E" w:rsidRDefault="001F04FD" w:rsidP="00AC4DEE">
            <w:pPr>
              <w:pStyle w:val="TableBody"/>
            </w:pPr>
            <w:r w:rsidRPr="0013396E">
              <w:rPr>
                <w:i/>
              </w:rPr>
              <w:t>Real-Time Congestion Cost Amount per QSE per Self-Schedule</w:t>
            </w:r>
            <w:r w:rsidRPr="0013396E">
              <w:t xml:space="preserve">—The congestion payment or charge to QSE </w:t>
            </w:r>
            <w:r w:rsidRPr="0013396E">
              <w:rPr>
                <w:i/>
              </w:rPr>
              <w:t>q</w:t>
            </w:r>
            <w:r w:rsidRPr="0013396E">
              <w:t xml:space="preserve"> for its Self-Schedule </w:t>
            </w:r>
            <w:r w:rsidRPr="0013396E">
              <w:rPr>
                <w:i/>
              </w:rPr>
              <w:t>s</w:t>
            </w:r>
            <w:r w:rsidRPr="0013396E">
              <w:t>, for the 15-minute Settlement Interval.</w:t>
            </w:r>
          </w:p>
        </w:tc>
      </w:tr>
      <w:tr w:rsidR="001F04FD" w:rsidRPr="0013396E" w14:paraId="1DD4321B" w14:textId="77777777" w:rsidTr="00AC4DEE">
        <w:tc>
          <w:tcPr>
            <w:tcW w:w="2165" w:type="dxa"/>
            <w:tcBorders>
              <w:top w:val="single" w:sz="4" w:space="0" w:color="auto"/>
              <w:left w:val="single" w:sz="4" w:space="0" w:color="auto"/>
              <w:bottom w:val="single" w:sz="4" w:space="0" w:color="auto"/>
              <w:right w:val="single" w:sz="4" w:space="0" w:color="auto"/>
            </w:tcBorders>
          </w:tcPr>
          <w:p w14:paraId="1574A929" w14:textId="77777777" w:rsidR="001F04FD" w:rsidRPr="0013396E" w:rsidRDefault="001F04FD" w:rsidP="00AC4DE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378A3774"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4C7E2166" w14:textId="77777777" w:rsidR="001F04FD" w:rsidRPr="0013396E" w:rsidRDefault="001F04FD" w:rsidP="00AC4DEE">
            <w:pPr>
              <w:pStyle w:val="TableBody"/>
            </w:pPr>
            <w:r w:rsidRPr="0013396E">
              <w:t>A QSE.</w:t>
            </w:r>
          </w:p>
        </w:tc>
      </w:tr>
      <w:tr w:rsidR="001F04FD" w:rsidRPr="0013396E" w14:paraId="0523EA53" w14:textId="77777777" w:rsidTr="00AC4DEE">
        <w:tc>
          <w:tcPr>
            <w:tcW w:w="2165" w:type="dxa"/>
            <w:tcBorders>
              <w:top w:val="single" w:sz="4" w:space="0" w:color="auto"/>
              <w:left w:val="single" w:sz="4" w:space="0" w:color="auto"/>
              <w:bottom w:val="single" w:sz="4" w:space="0" w:color="auto"/>
              <w:right w:val="single" w:sz="4" w:space="0" w:color="auto"/>
            </w:tcBorders>
          </w:tcPr>
          <w:p w14:paraId="7092E66F" w14:textId="77777777" w:rsidR="001F04FD" w:rsidRPr="0013396E" w:rsidRDefault="001F04FD" w:rsidP="00AC4DEE">
            <w:pPr>
              <w:pStyle w:val="TableBody"/>
              <w:rPr>
                <w:i/>
              </w:rPr>
            </w:pPr>
            <w:r w:rsidRPr="0013396E">
              <w:rPr>
                <w:i/>
              </w:rPr>
              <w:t>s</w:t>
            </w:r>
          </w:p>
        </w:tc>
        <w:tc>
          <w:tcPr>
            <w:tcW w:w="832" w:type="dxa"/>
            <w:tcBorders>
              <w:top w:val="single" w:sz="4" w:space="0" w:color="auto"/>
              <w:left w:val="single" w:sz="4" w:space="0" w:color="auto"/>
              <w:bottom w:val="single" w:sz="4" w:space="0" w:color="auto"/>
              <w:right w:val="single" w:sz="4" w:space="0" w:color="auto"/>
            </w:tcBorders>
          </w:tcPr>
          <w:p w14:paraId="4E9F2C1B"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4B6BE458" w14:textId="77777777" w:rsidR="001F04FD" w:rsidRPr="0013396E" w:rsidRDefault="001F04FD" w:rsidP="00AC4DEE">
            <w:pPr>
              <w:pStyle w:val="TableBody"/>
            </w:pPr>
            <w:r w:rsidRPr="0013396E">
              <w:t>A Self-Schedule.</w:t>
            </w:r>
          </w:p>
        </w:tc>
      </w:tr>
    </w:tbl>
    <w:p w14:paraId="4DE12A46" w14:textId="5876E69D" w:rsidR="001F04FD" w:rsidRPr="0013396E" w:rsidRDefault="001F04FD" w:rsidP="001F04FD">
      <w:pPr>
        <w:pStyle w:val="H3"/>
        <w:spacing w:before="480"/>
        <w:rPr>
          <w:lang w:val="fr-FR"/>
        </w:rPr>
      </w:pPr>
      <w:bookmarkStart w:id="1706" w:name="_Toc397505020"/>
      <w:bookmarkStart w:id="1707" w:name="_Toc402357148"/>
      <w:bookmarkStart w:id="1708" w:name="_Toc422486528"/>
      <w:bookmarkStart w:id="1709" w:name="_Toc433093381"/>
      <w:bookmarkStart w:id="1710" w:name="_Toc433093539"/>
      <w:bookmarkStart w:id="1711" w:name="_Toc440874769"/>
      <w:bookmarkStart w:id="1712" w:name="_Toc448142326"/>
      <w:bookmarkStart w:id="1713" w:name="_Toc448142483"/>
      <w:bookmarkStart w:id="1714" w:name="_Toc458770324"/>
      <w:bookmarkStart w:id="1715" w:name="_Toc459294292"/>
      <w:bookmarkStart w:id="1716" w:name="_Toc463262785"/>
      <w:bookmarkStart w:id="1717" w:name="_Toc468286858"/>
      <w:bookmarkStart w:id="1718" w:name="_Toc481502898"/>
      <w:bookmarkStart w:id="1719" w:name="_Toc496080066"/>
      <w:bookmarkStart w:id="1720" w:name="_Toc236220189"/>
      <w:bookmarkStart w:id="1721" w:name="_Toc87951795"/>
      <w:bookmarkStart w:id="1722" w:name="_Toc109009401"/>
      <w:bookmarkEnd w:id="1677"/>
      <w:bookmarkEnd w:id="1678"/>
      <w:r w:rsidRPr="0013396E">
        <w:rPr>
          <w:lang w:val="fr-FR"/>
        </w:rPr>
        <w:t>6.6.5</w:t>
      </w:r>
      <w:r w:rsidRPr="0013396E">
        <w:rPr>
          <w:lang w:val="fr-FR"/>
        </w:rPr>
        <w:tab/>
      </w:r>
      <w:r w:rsidR="005A7D8E">
        <w:rPr>
          <w:lang w:val="fr-FR"/>
        </w:rPr>
        <w:t>Set</w:t>
      </w:r>
      <w:r w:rsidRPr="0013396E">
        <w:rPr>
          <w:lang w:val="fr-FR"/>
        </w:rPr>
        <w:t xml:space="preserve"> Point Deviation Charge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521F9B24" w14:textId="450F7DFF" w:rsidR="001F04FD" w:rsidRPr="0013396E" w:rsidRDefault="001F04FD" w:rsidP="005A7D8E">
      <w:pPr>
        <w:pStyle w:val="H3"/>
        <w:outlineLvl w:val="3"/>
        <w:rPr>
          <w:i w:val="0"/>
          <w:lang w:val="fr-FR"/>
        </w:rPr>
      </w:pPr>
      <w:bookmarkStart w:id="1723" w:name="_Toc397505021"/>
      <w:bookmarkStart w:id="1724" w:name="_Toc402357149"/>
      <w:bookmarkStart w:id="1725" w:name="_Toc422486529"/>
      <w:bookmarkStart w:id="1726" w:name="_Toc433093382"/>
      <w:bookmarkStart w:id="1727" w:name="_Toc433093540"/>
      <w:bookmarkStart w:id="1728" w:name="_Toc440874770"/>
      <w:bookmarkStart w:id="1729" w:name="_Toc448142327"/>
      <w:bookmarkStart w:id="1730" w:name="_Toc448142484"/>
      <w:bookmarkStart w:id="1731" w:name="_Toc458770325"/>
      <w:bookmarkStart w:id="1732" w:name="_Toc459294293"/>
      <w:bookmarkStart w:id="1733" w:name="_Toc463262786"/>
      <w:bookmarkStart w:id="1734" w:name="_Toc468286859"/>
      <w:bookmarkStart w:id="1735" w:name="_Toc481502899"/>
      <w:bookmarkStart w:id="1736" w:name="_Toc496080067"/>
      <w:bookmarkStart w:id="1737" w:name="_Toc236220190"/>
      <w:bookmarkStart w:id="1738" w:name="_Hlk214544823"/>
      <w:r w:rsidRPr="0013396E">
        <w:rPr>
          <w:i w:val="0"/>
          <w:lang w:val="fr-FR"/>
        </w:rPr>
        <w:t>6.6.5.1</w:t>
      </w:r>
      <w:r w:rsidRPr="0013396E">
        <w:rPr>
          <w:i w:val="0"/>
          <w:lang w:val="fr-FR"/>
        </w:rPr>
        <w:tab/>
        <w:t xml:space="preserve">Resource </w:t>
      </w:r>
      <w:r w:rsidR="00341943">
        <w:rPr>
          <w:i w:val="0"/>
          <w:lang w:val="fr-FR"/>
        </w:rPr>
        <w:t>Set</w:t>
      </w:r>
      <w:r w:rsidRPr="0013396E">
        <w:rPr>
          <w:i w:val="0"/>
          <w:lang w:val="fr-FR"/>
        </w:rPr>
        <w:t xml:space="preserve"> Point Deviation Charge</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14:paraId="7BDA54E2" w14:textId="77777777" w:rsidR="00430C7E" w:rsidRDefault="001F04FD" w:rsidP="001F04FD">
      <w:pPr>
        <w:pStyle w:val="List"/>
        <w:ind w:left="720"/>
      </w:pPr>
      <w:r w:rsidRPr="0013396E">
        <w:t>(1)</w:t>
      </w:r>
      <w:r w:rsidRPr="0013396E">
        <w:tab/>
        <w:t>A QSE for a Generation Resource</w:t>
      </w:r>
      <w:r w:rsidR="00C4655F">
        <w:t>, ESR,</w:t>
      </w:r>
      <w:r w:rsidRPr="0013396E">
        <w:t xml:space="preserve"> or Controllable Load Resource </w:t>
      </w:r>
      <w:r w:rsidR="004874DF">
        <w:t xml:space="preserve">(CLR) </w:t>
      </w:r>
      <w:r w:rsidRPr="0013396E">
        <w:t xml:space="preserve">shall pay a </w:t>
      </w:r>
      <w:r w:rsidR="00341943">
        <w:t>Set</w:t>
      </w:r>
      <w:r w:rsidRPr="0013396E">
        <w:t xml:space="preserve"> Point Deviation Charge if the Resource did not follow </w:t>
      </w:r>
      <w:r w:rsidR="00341943">
        <w:t>Updated Desired Set Points (UDSPs)</w:t>
      </w:r>
      <w:r w:rsidRPr="0013396E">
        <w:t xml:space="preserve"> within defined tolerances, except when the </w:t>
      </w:r>
      <w:r w:rsidR="00341943">
        <w:t>UDSPs</w:t>
      </w:r>
      <w:r w:rsidRPr="0013396E">
        <w:t xml:space="preserve"> violate the Resource Parameters.  </w:t>
      </w:r>
    </w:p>
    <w:p w14:paraId="218F9A82" w14:textId="6285F2B2" w:rsidR="001F04FD" w:rsidRPr="0013396E" w:rsidRDefault="00430C7E" w:rsidP="001F04FD">
      <w:pPr>
        <w:pStyle w:val="List"/>
        <w:ind w:left="720"/>
      </w:pPr>
      <w:r>
        <w:t>(2)</w:t>
      </w:r>
      <w:r>
        <w:tab/>
      </w:r>
      <w:r w:rsidR="001F04FD" w:rsidRPr="0013396E">
        <w:t>The desired output from a Generation Resource</w:t>
      </w:r>
      <w:r w:rsidR="00C4655F">
        <w:t>, ESR,</w:t>
      </w:r>
      <w:r w:rsidR="001F04FD" w:rsidRPr="0013396E">
        <w:t xml:space="preserve"> or </w:t>
      </w:r>
      <w:r w:rsidR="00C4655F">
        <w:t>C</w:t>
      </w:r>
      <w:r w:rsidR="006B5869">
        <w:t>LR</w:t>
      </w:r>
      <w:r w:rsidR="001F04FD" w:rsidRPr="0013396E">
        <w:t xml:space="preserve"> during a 15-minute Settlement Interval is calculated as follows: </w:t>
      </w:r>
    </w:p>
    <w:p w14:paraId="1D272C52" w14:textId="65D06C52" w:rsidR="001F04FD" w:rsidRPr="0013396E" w:rsidRDefault="001F04FD" w:rsidP="000E5916">
      <w:pPr>
        <w:pStyle w:val="FormulaBold"/>
        <w:spacing w:before="240"/>
      </w:pPr>
      <w:r w:rsidRPr="0013396E">
        <w:t>AA</w:t>
      </w:r>
      <w:r w:rsidR="00341943">
        <w:t>S</w:t>
      </w:r>
      <w:r w:rsidRPr="0013396E">
        <w:t>P</w:t>
      </w:r>
      <w:r w:rsidRPr="0013396E">
        <w:rPr>
          <w:vertAlign w:val="subscript"/>
        </w:rPr>
        <w:t xml:space="preserve"> </w:t>
      </w:r>
      <w:r w:rsidRPr="0013396E">
        <w:rPr>
          <w:i/>
          <w:vertAlign w:val="subscript"/>
        </w:rPr>
        <w:t>q, r, p, i</w:t>
      </w:r>
      <w:r w:rsidRPr="0013396E">
        <w:tab/>
        <w:t>=</w:t>
      </w:r>
      <w:r w:rsidRPr="0013396E">
        <w:tab/>
      </w:r>
      <w:r w:rsidR="000F7537" w:rsidRPr="0013396E">
        <w:rPr>
          <w:b w:val="0"/>
          <w:position w:val="-22"/>
        </w:rPr>
        <w:object w:dxaOrig="210" w:dyaOrig="450" w14:anchorId="0DA99333">
          <v:shape id="_x0000_i1148" type="#_x0000_t75" style="width:11.4pt;height:24.6pt" o:ole="">
            <v:imagedata r:id="rId178" o:title=""/>
          </v:shape>
          <o:OLEObject Type="Embed" ProgID="Equation.3" ShapeID="_x0000_i1148" DrawAspect="Content" ObjectID="_1849065779" r:id="rId179"/>
        </w:object>
      </w:r>
      <w:r w:rsidRPr="0013396E">
        <w:t>AVG</w:t>
      </w:r>
      <w:r w:rsidR="00341943">
        <w:t>S</w:t>
      </w:r>
      <w:r w:rsidRPr="0013396E">
        <w:t>P</w:t>
      </w:r>
      <w:r w:rsidR="00341943">
        <w:t>5M</w:t>
      </w:r>
      <w:r w:rsidRPr="0013396E">
        <w:rPr>
          <w:vertAlign w:val="subscript"/>
        </w:rPr>
        <w:t xml:space="preserve"> </w:t>
      </w:r>
      <w:r w:rsidRPr="0013396E">
        <w:rPr>
          <w:i/>
          <w:vertAlign w:val="subscript"/>
        </w:rPr>
        <w:t>q, r, p, i</w:t>
      </w:r>
      <w:r w:rsidR="00341943">
        <w:rPr>
          <w:i/>
          <w:vertAlign w:val="subscript"/>
        </w:rPr>
        <w:t>, y</w:t>
      </w:r>
      <w:r w:rsidRPr="0013396E">
        <w:rPr>
          <w:vertAlign w:val="subscript"/>
        </w:rPr>
        <w:t xml:space="preserve"> </w:t>
      </w:r>
      <w:r w:rsidR="00341943" w:rsidRPr="0013396E">
        <w:rPr>
          <w:b w:val="0"/>
        </w:rPr>
        <w:t>/ 3</w:t>
      </w:r>
      <w:r w:rsidRPr="0013396E">
        <w:rPr>
          <w:vertAlign w:val="subscript"/>
        </w:rPr>
        <w:t xml:space="preserve">  </w:t>
      </w:r>
    </w:p>
    <w:p w14:paraId="5E4E6670" w14:textId="77777777" w:rsidR="001F04FD" w:rsidRPr="0013396E" w:rsidRDefault="001F04FD" w:rsidP="001F04FD">
      <w:r w:rsidRPr="0013396E">
        <w:t>The above variables are defined as follows:</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720"/>
        <w:gridCol w:w="6845"/>
      </w:tblGrid>
      <w:tr w:rsidR="001F04FD" w:rsidRPr="0013396E" w14:paraId="311741FF" w14:textId="77777777" w:rsidTr="00FA433F">
        <w:trPr>
          <w:cantSplit/>
          <w:tblHeader/>
        </w:trPr>
        <w:tc>
          <w:tcPr>
            <w:tcW w:w="2155" w:type="dxa"/>
          </w:tcPr>
          <w:p w14:paraId="00BCCE34" w14:textId="77777777" w:rsidR="001F04FD" w:rsidRPr="0013396E" w:rsidRDefault="001F04FD" w:rsidP="00AC4DEE">
            <w:pPr>
              <w:pStyle w:val="TableHead"/>
            </w:pPr>
            <w:r w:rsidRPr="0013396E">
              <w:t>Variable</w:t>
            </w:r>
          </w:p>
        </w:tc>
        <w:tc>
          <w:tcPr>
            <w:tcW w:w="720" w:type="dxa"/>
          </w:tcPr>
          <w:p w14:paraId="663F4980" w14:textId="77777777" w:rsidR="001F04FD" w:rsidRPr="0013396E" w:rsidRDefault="001F04FD" w:rsidP="00AC4DEE">
            <w:pPr>
              <w:pStyle w:val="TableHead"/>
            </w:pPr>
            <w:r w:rsidRPr="0013396E">
              <w:t>Unit</w:t>
            </w:r>
          </w:p>
        </w:tc>
        <w:tc>
          <w:tcPr>
            <w:tcW w:w="6845" w:type="dxa"/>
          </w:tcPr>
          <w:p w14:paraId="24F39E93" w14:textId="77777777" w:rsidR="001F04FD" w:rsidRPr="0013396E" w:rsidRDefault="001F04FD" w:rsidP="00AC4DEE">
            <w:pPr>
              <w:pStyle w:val="TableHead"/>
            </w:pPr>
            <w:r w:rsidRPr="0013396E">
              <w:t>Definition</w:t>
            </w:r>
          </w:p>
        </w:tc>
      </w:tr>
      <w:tr w:rsidR="001F04FD" w:rsidRPr="0013396E" w14:paraId="18C4867D" w14:textId="77777777" w:rsidTr="00FA433F">
        <w:trPr>
          <w:cantSplit/>
        </w:trPr>
        <w:tc>
          <w:tcPr>
            <w:tcW w:w="2155" w:type="dxa"/>
          </w:tcPr>
          <w:p w14:paraId="644BB03F" w14:textId="59D333A7" w:rsidR="001F04FD" w:rsidRPr="0013396E" w:rsidRDefault="001F04FD" w:rsidP="00AC4DEE">
            <w:pPr>
              <w:pStyle w:val="TableBody"/>
              <w:rPr>
                <w:i/>
                <w:vertAlign w:val="subscript"/>
              </w:rPr>
            </w:pPr>
            <w:r w:rsidRPr="0013396E">
              <w:t>AA</w:t>
            </w:r>
            <w:r w:rsidR="00341943">
              <w:t>S</w:t>
            </w:r>
            <w:r w:rsidRPr="0013396E">
              <w:t xml:space="preserve">P </w:t>
            </w:r>
            <w:r w:rsidRPr="0013396E">
              <w:rPr>
                <w:i/>
                <w:vertAlign w:val="subscript"/>
              </w:rPr>
              <w:t>q, r, p, i</w:t>
            </w:r>
          </w:p>
        </w:tc>
        <w:tc>
          <w:tcPr>
            <w:tcW w:w="720" w:type="dxa"/>
          </w:tcPr>
          <w:p w14:paraId="46B54E35" w14:textId="77777777" w:rsidR="001F04FD" w:rsidRPr="0013396E" w:rsidRDefault="001F04FD" w:rsidP="00AC4DEE">
            <w:pPr>
              <w:pStyle w:val="TableBody"/>
            </w:pPr>
            <w:r w:rsidRPr="0013396E">
              <w:t>MW</w:t>
            </w:r>
          </w:p>
        </w:tc>
        <w:tc>
          <w:tcPr>
            <w:tcW w:w="6845" w:type="dxa"/>
          </w:tcPr>
          <w:p w14:paraId="3486219E" w14:textId="58985335" w:rsidR="001F04FD" w:rsidRPr="0013396E" w:rsidRDefault="00341943" w:rsidP="00AC4DEE">
            <w:pPr>
              <w:pStyle w:val="TableBody"/>
            </w:pPr>
            <w:r>
              <w:rPr>
                <w:i/>
              </w:rPr>
              <w:t>Average</w:t>
            </w:r>
            <w:r w:rsidR="001F04FD" w:rsidRPr="0013396E">
              <w:rPr>
                <w:i/>
              </w:rPr>
              <w:t xml:space="preserve"> Aggregated </w:t>
            </w:r>
            <w:r>
              <w:rPr>
                <w:i/>
              </w:rPr>
              <w:t>Set</w:t>
            </w:r>
            <w:r w:rsidR="001F04FD" w:rsidRPr="0013396E">
              <w:rPr>
                <w:i/>
              </w:rPr>
              <w:t xml:space="preserve"> Point per QSE per Settlement Point per Resource</w:t>
            </w:r>
            <w:r w:rsidR="001F04FD" w:rsidRPr="0013396E">
              <w:t xml:space="preserve">—The </w:t>
            </w:r>
            <w:r>
              <w:t xml:space="preserve">average of the </w:t>
            </w:r>
            <w:r w:rsidRPr="009612A9">
              <w:t>Average Five Minute Clock Interval Set Point (AVGSP5M)</w:t>
            </w:r>
            <w:r w:rsidR="001F04FD" w:rsidRPr="0013396E">
              <w:t xml:space="preserve"> of Resource </w:t>
            </w:r>
            <w:r w:rsidR="001F04FD" w:rsidRPr="0013396E">
              <w:rPr>
                <w:i/>
              </w:rPr>
              <w:t>r</w:t>
            </w:r>
            <w:r w:rsidR="001F04FD" w:rsidRPr="0013396E">
              <w:t xml:space="preserve"> represented by QSE </w:t>
            </w:r>
            <w:r w:rsidR="001F04FD" w:rsidRPr="0013396E">
              <w:rPr>
                <w:i/>
              </w:rPr>
              <w:t xml:space="preserve">q </w:t>
            </w:r>
            <w:r w:rsidR="001F04FD" w:rsidRPr="0013396E">
              <w:t xml:space="preserve">at Settlement Point </w:t>
            </w:r>
            <w:r w:rsidR="001F04FD" w:rsidRPr="0013396E">
              <w:rPr>
                <w:i/>
              </w:rPr>
              <w:t>p</w:t>
            </w:r>
            <w:r w:rsidR="001F04FD" w:rsidRPr="0013396E">
              <w:t xml:space="preserve">, for the 15-minute Settlement Interval </w:t>
            </w:r>
            <w:r w:rsidR="001F04FD" w:rsidRPr="0013396E">
              <w:rPr>
                <w:i/>
              </w:rPr>
              <w:t>i</w:t>
            </w:r>
            <w:r w:rsidR="001F04FD" w:rsidRPr="0013396E">
              <w:t>.  Where for a Combined Cycle Train, AA</w:t>
            </w:r>
            <w:r>
              <w:t>S</w:t>
            </w:r>
            <w:r w:rsidR="001F04FD" w:rsidRPr="0013396E">
              <w:t xml:space="preserve">P is calculated for the Combined Cycle Train considering all </w:t>
            </w:r>
            <w:r>
              <w:t>UDSPs</w:t>
            </w:r>
            <w:r w:rsidR="001F04FD" w:rsidRPr="0013396E">
              <w:t xml:space="preserve"> to any Combined Cycle Generation Resources within the Combined Cycle Train.</w:t>
            </w:r>
          </w:p>
        </w:tc>
      </w:tr>
      <w:tr w:rsidR="00341943" w:rsidRPr="0013396E" w14:paraId="33E2CCA8" w14:textId="77777777" w:rsidTr="00FA433F">
        <w:trPr>
          <w:cantSplit/>
        </w:trPr>
        <w:tc>
          <w:tcPr>
            <w:tcW w:w="2155" w:type="dxa"/>
          </w:tcPr>
          <w:p w14:paraId="02A399E4" w14:textId="1E6749D1" w:rsidR="00341943" w:rsidRPr="0013396E" w:rsidRDefault="00341943" w:rsidP="00341943">
            <w:pPr>
              <w:pStyle w:val="TableBody"/>
              <w:rPr>
                <w:lang w:val="es-MX"/>
              </w:rPr>
            </w:pPr>
            <w:r w:rsidRPr="00453D26">
              <w:lastRenderedPageBreak/>
              <w:t>AVGSP5M</w:t>
            </w:r>
            <w:r w:rsidRPr="00453D26">
              <w:rPr>
                <w:i/>
                <w:vertAlign w:val="subscript"/>
              </w:rPr>
              <w:t xml:space="preserve"> q, r, p, i, y</w:t>
            </w:r>
          </w:p>
        </w:tc>
        <w:tc>
          <w:tcPr>
            <w:tcW w:w="720" w:type="dxa"/>
          </w:tcPr>
          <w:p w14:paraId="59535FBF" w14:textId="7B87933D" w:rsidR="00341943" w:rsidRPr="0013396E" w:rsidRDefault="00341943" w:rsidP="00341943">
            <w:pPr>
              <w:pStyle w:val="TableBody"/>
            </w:pPr>
            <w:r w:rsidRPr="00453D26">
              <w:t>MW</w:t>
            </w:r>
          </w:p>
        </w:tc>
        <w:tc>
          <w:tcPr>
            <w:tcW w:w="6845" w:type="dxa"/>
          </w:tcPr>
          <w:p w14:paraId="6E8D0AC3" w14:textId="2878259E" w:rsidR="00341943" w:rsidRPr="0013396E" w:rsidRDefault="00341943" w:rsidP="00341943">
            <w:pPr>
              <w:pStyle w:val="TableBody"/>
              <w:spacing w:after="0"/>
              <w:rPr>
                <w:i/>
                <w:iCs w:val="0"/>
              </w:rPr>
            </w:pPr>
            <w:r>
              <w:rPr>
                <w:i/>
              </w:rPr>
              <w:t>Average Five Minute Clock Interval Set Point per QSE per Settlement Point per Resource –</w:t>
            </w:r>
            <w:r>
              <w:t xml:space="preserve">The time-weighted average of the Updated Desired Set Point (UDSP) that Resource </w:t>
            </w:r>
            <w:r>
              <w:rPr>
                <w:i/>
              </w:rPr>
              <w:t xml:space="preserve">r </w:t>
            </w:r>
            <w:r>
              <w:t xml:space="preserve">for QSE </w:t>
            </w:r>
            <w:r>
              <w:rPr>
                <w:i/>
              </w:rPr>
              <w:t xml:space="preserve">q </w:t>
            </w:r>
            <w:r>
              <w:t xml:space="preserve">at Settlement Point </w:t>
            </w:r>
            <w:r>
              <w:rPr>
                <w:i/>
              </w:rPr>
              <w:t xml:space="preserve">p </w:t>
            </w:r>
            <w:r>
              <w:t xml:space="preserve">should have produced, for the five-minute clock interval </w:t>
            </w:r>
            <w:r>
              <w:rPr>
                <w:i/>
              </w:rPr>
              <w:t xml:space="preserve">y </w:t>
            </w:r>
            <w:r>
              <w:t xml:space="preserve">within the 15-minute Settlement Interval </w:t>
            </w:r>
            <w:r>
              <w:rPr>
                <w:i/>
              </w:rPr>
              <w:t>i</w:t>
            </w:r>
            <w:r>
              <w:t>.  AVGSP5M is equal to the ASP value calculated for use in Generation Resource Energy Deployment Performance (GREDP)</w:t>
            </w:r>
            <w:r w:rsidR="00FF3B9A">
              <w:t>,</w:t>
            </w:r>
            <w:r>
              <w:t xml:space="preserve"> Controllable Load Resource Energy Deployment Performance (CLREDP), </w:t>
            </w:r>
            <w:r w:rsidR="00FF3B9A" w:rsidRPr="0092346E">
              <w:t>or Energy Storage Resource Energy Deployment Performance (ESREDP),</w:t>
            </w:r>
            <w:r w:rsidR="00FF3B9A">
              <w:t xml:space="preserve"> </w:t>
            </w:r>
            <w:r>
              <w:t>as described in Section 8.1.1.4.1, Regulation Service and Generation Resource/Controllable Load Resource</w:t>
            </w:r>
            <w:r w:rsidR="00FF3B9A">
              <w:t>/Energy Storage Resource</w:t>
            </w:r>
            <w:r>
              <w:t xml:space="preserve"> Energy Deployment Performance.</w:t>
            </w:r>
          </w:p>
        </w:tc>
      </w:tr>
      <w:tr w:rsidR="001F04FD" w:rsidRPr="0013396E" w14:paraId="29C1B6A3" w14:textId="77777777" w:rsidTr="00FA433F">
        <w:trPr>
          <w:cantSplit/>
        </w:trPr>
        <w:tc>
          <w:tcPr>
            <w:tcW w:w="2155" w:type="dxa"/>
          </w:tcPr>
          <w:p w14:paraId="18C46E00" w14:textId="77777777" w:rsidR="001F04FD" w:rsidRPr="0013396E" w:rsidRDefault="001F04FD" w:rsidP="00AC4DEE">
            <w:pPr>
              <w:pStyle w:val="TableBody"/>
              <w:rPr>
                <w:i/>
              </w:rPr>
            </w:pPr>
            <w:r w:rsidRPr="0013396E">
              <w:rPr>
                <w:i/>
              </w:rPr>
              <w:t>q</w:t>
            </w:r>
          </w:p>
        </w:tc>
        <w:tc>
          <w:tcPr>
            <w:tcW w:w="720" w:type="dxa"/>
          </w:tcPr>
          <w:p w14:paraId="42BCACEC" w14:textId="77777777" w:rsidR="001F04FD" w:rsidRPr="0013396E" w:rsidRDefault="001F04FD" w:rsidP="00AC4DEE">
            <w:pPr>
              <w:pStyle w:val="TableBody"/>
            </w:pPr>
            <w:r w:rsidRPr="0013396E">
              <w:t>none</w:t>
            </w:r>
          </w:p>
        </w:tc>
        <w:tc>
          <w:tcPr>
            <w:tcW w:w="6845" w:type="dxa"/>
          </w:tcPr>
          <w:p w14:paraId="5B42B90B" w14:textId="77777777" w:rsidR="001F04FD" w:rsidRPr="0013396E" w:rsidRDefault="001F04FD" w:rsidP="00AC4DEE">
            <w:pPr>
              <w:pStyle w:val="TableBody"/>
            </w:pPr>
            <w:r w:rsidRPr="0013396E">
              <w:t>A QSE.</w:t>
            </w:r>
          </w:p>
        </w:tc>
      </w:tr>
      <w:tr w:rsidR="001F04FD" w:rsidRPr="0013396E" w14:paraId="5C0F3C43" w14:textId="77777777" w:rsidTr="00FA433F">
        <w:trPr>
          <w:cantSplit/>
        </w:trPr>
        <w:tc>
          <w:tcPr>
            <w:tcW w:w="2155" w:type="dxa"/>
          </w:tcPr>
          <w:p w14:paraId="07884450" w14:textId="77777777" w:rsidR="001F04FD" w:rsidRPr="0013396E" w:rsidRDefault="001F04FD" w:rsidP="00AC4DEE">
            <w:pPr>
              <w:pStyle w:val="TableBody"/>
              <w:rPr>
                <w:i/>
              </w:rPr>
            </w:pPr>
            <w:r w:rsidRPr="0013396E">
              <w:rPr>
                <w:i/>
              </w:rPr>
              <w:t>p</w:t>
            </w:r>
          </w:p>
        </w:tc>
        <w:tc>
          <w:tcPr>
            <w:tcW w:w="720" w:type="dxa"/>
          </w:tcPr>
          <w:p w14:paraId="11B17447" w14:textId="77777777" w:rsidR="001F04FD" w:rsidRPr="0013396E" w:rsidRDefault="001F04FD" w:rsidP="00AC4DEE">
            <w:pPr>
              <w:pStyle w:val="TableBody"/>
            </w:pPr>
            <w:r w:rsidRPr="0013396E">
              <w:t>none</w:t>
            </w:r>
          </w:p>
        </w:tc>
        <w:tc>
          <w:tcPr>
            <w:tcW w:w="6845" w:type="dxa"/>
          </w:tcPr>
          <w:p w14:paraId="5FC678A5" w14:textId="77777777" w:rsidR="001F04FD" w:rsidRPr="0013396E" w:rsidRDefault="001F04FD" w:rsidP="00AC4DEE">
            <w:pPr>
              <w:pStyle w:val="TableBody"/>
            </w:pPr>
            <w:r w:rsidRPr="0013396E">
              <w:t>A Settlement Point.</w:t>
            </w:r>
          </w:p>
        </w:tc>
      </w:tr>
      <w:tr w:rsidR="001F04FD" w:rsidRPr="0013396E" w14:paraId="328D9A29" w14:textId="77777777" w:rsidTr="00FA433F">
        <w:trPr>
          <w:cantSplit/>
        </w:trPr>
        <w:tc>
          <w:tcPr>
            <w:tcW w:w="2155" w:type="dxa"/>
          </w:tcPr>
          <w:p w14:paraId="4F87CCE0" w14:textId="77777777" w:rsidR="001F04FD" w:rsidRPr="0013396E" w:rsidRDefault="001F04FD" w:rsidP="00AC4DEE">
            <w:pPr>
              <w:pStyle w:val="TableBody"/>
              <w:rPr>
                <w:i/>
              </w:rPr>
            </w:pPr>
            <w:r w:rsidRPr="0013396E">
              <w:rPr>
                <w:i/>
              </w:rPr>
              <w:t>r</w:t>
            </w:r>
          </w:p>
        </w:tc>
        <w:tc>
          <w:tcPr>
            <w:tcW w:w="720" w:type="dxa"/>
          </w:tcPr>
          <w:p w14:paraId="27CB94DA" w14:textId="77777777" w:rsidR="001F04FD" w:rsidRPr="0013396E" w:rsidRDefault="001F04FD" w:rsidP="00AC4DEE">
            <w:pPr>
              <w:pStyle w:val="TableBody"/>
            </w:pPr>
            <w:r w:rsidRPr="0013396E">
              <w:t>none</w:t>
            </w:r>
          </w:p>
        </w:tc>
        <w:tc>
          <w:tcPr>
            <w:tcW w:w="6845" w:type="dxa"/>
          </w:tcPr>
          <w:p w14:paraId="481A431D" w14:textId="2DA03C5C" w:rsidR="001F04FD" w:rsidRPr="0013396E" w:rsidRDefault="001F04FD" w:rsidP="00AC4DEE">
            <w:pPr>
              <w:pStyle w:val="TableBody"/>
            </w:pPr>
            <w:r w:rsidRPr="0013396E">
              <w:rPr>
                <w:lang w:val="fr-FR"/>
              </w:rPr>
              <w:t>A Generation Resource</w:t>
            </w:r>
            <w:r w:rsidR="00FF3B9A">
              <w:rPr>
                <w:lang w:val="fr-FR"/>
              </w:rPr>
              <w:t>, ESR,</w:t>
            </w:r>
            <w:r w:rsidRPr="0013396E">
              <w:rPr>
                <w:lang w:val="fr-FR"/>
              </w:rPr>
              <w:t xml:space="preserve"> or Controllable Load Resource.</w:t>
            </w:r>
          </w:p>
        </w:tc>
      </w:tr>
      <w:tr w:rsidR="001F04FD" w:rsidRPr="0013396E" w14:paraId="00E6689A" w14:textId="77777777" w:rsidTr="00FA433F">
        <w:trPr>
          <w:cantSplit/>
        </w:trPr>
        <w:tc>
          <w:tcPr>
            <w:tcW w:w="2155" w:type="dxa"/>
          </w:tcPr>
          <w:p w14:paraId="7D5FDC93" w14:textId="77777777" w:rsidR="001F04FD" w:rsidRPr="0013396E" w:rsidRDefault="001F04FD" w:rsidP="00AC4DEE">
            <w:pPr>
              <w:pStyle w:val="TableBody"/>
              <w:rPr>
                <w:i/>
              </w:rPr>
            </w:pPr>
            <w:r w:rsidRPr="0013396E">
              <w:rPr>
                <w:i/>
              </w:rPr>
              <w:t>i</w:t>
            </w:r>
          </w:p>
        </w:tc>
        <w:tc>
          <w:tcPr>
            <w:tcW w:w="720" w:type="dxa"/>
          </w:tcPr>
          <w:p w14:paraId="619DF0C1" w14:textId="77777777" w:rsidR="001F04FD" w:rsidRPr="0013396E" w:rsidRDefault="001F04FD" w:rsidP="00AC4DEE">
            <w:pPr>
              <w:pStyle w:val="TableBody"/>
            </w:pPr>
            <w:r w:rsidRPr="0013396E">
              <w:t>None</w:t>
            </w:r>
          </w:p>
        </w:tc>
        <w:tc>
          <w:tcPr>
            <w:tcW w:w="6845" w:type="dxa"/>
          </w:tcPr>
          <w:p w14:paraId="032A17F9" w14:textId="0E197999" w:rsidR="001F04FD" w:rsidRPr="0013396E" w:rsidRDefault="001F04FD" w:rsidP="00AC4DEE">
            <w:pPr>
              <w:pStyle w:val="TableBody"/>
            </w:pPr>
            <w:r w:rsidRPr="0013396E">
              <w:t>A 15-minute Settlement Interval</w:t>
            </w:r>
          </w:p>
        </w:tc>
      </w:tr>
      <w:tr w:rsidR="001F04FD" w:rsidRPr="0013396E" w14:paraId="56D94F1C" w14:textId="77777777" w:rsidTr="00FA433F">
        <w:trPr>
          <w:cantSplit/>
        </w:trPr>
        <w:tc>
          <w:tcPr>
            <w:tcW w:w="2155" w:type="dxa"/>
          </w:tcPr>
          <w:p w14:paraId="224797D1" w14:textId="77777777" w:rsidR="001F04FD" w:rsidRPr="0013396E" w:rsidRDefault="001F04FD" w:rsidP="00AC4DEE">
            <w:pPr>
              <w:pStyle w:val="TableBody"/>
              <w:rPr>
                <w:i/>
              </w:rPr>
            </w:pPr>
            <w:r w:rsidRPr="0013396E">
              <w:rPr>
                <w:i/>
              </w:rPr>
              <w:t>y</w:t>
            </w:r>
          </w:p>
        </w:tc>
        <w:tc>
          <w:tcPr>
            <w:tcW w:w="720" w:type="dxa"/>
          </w:tcPr>
          <w:p w14:paraId="2F97FC6C" w14:textId="77777777" w:rsidR="001F04FD" w:rsidRPr="0013396E" w:rsidRDefault="001F04FD" w:rsidP="00AC4DEE">
            <w:pPr>
              <w:pStyle w:val="TableBody"/>
            </w:pPr>
            <w:r w:rsidRPr="0013396E">
              <w:t>none</w:t>
            </w:r>
          </w:p>
        </w:tc>
        <w:tc>
          <w:tcPr>
            <w:tcW w:w="6845" w:type="dxa"/>
          </w:tcPr>
          <w:p w14:paraId="74BB7736" w14:textId="77777777" w:rsidR="001F04FD" w:rsidRPr="0013396E" w:rsidRDefault="001F04FD" w:rsidP="00AC4DEE">
            <w:pPr>
              <w:pStyle w:val="TableBody"/>
            </w:pPr>
            <w:r w:rsidRPr="0013396E">
              <w:t xml:space="preserve">A five-minute clock interval in the Settlement Interval.  </w:t>
            </w:r>
          </w:p>
        </w:tc>
      </w:tr>
    </w:tbl>
    <w:p w14:paraId="388736AA" w14:textId="77777777" w:rsidR="0006793C" w:rsidRPr="00576B1F" w:rsidRDefault="0006793C" w:rsidP="00576B1F">
      <w:pPr>
        <w:pStyle w:val="H3"/>
        <w:outlineLvl w:val="3"/>
        <w:rPr>
          <w:i w:val="0"/>
          <w:lang w:val="fr-FR"/>
        </w:rPr>
      </w:pPr>
      <w:bookmarkStart w:id="1739" w:name="_Toc236220191"/>
      <w:bookmarkStart w:id="1740" w:name="_Toc402357151"/>
      <w:bookmarkStart w:id="1741" w:name="_Toc422486531"/>
      <w:bookmarkStart w:id="1742" w:name="_Toc433093384"/>
      <w:bookmarkStart w:id="1743" w:name="_Toc433093542"/>
      <w:bookmarkStart w:id="1744" w:name="_Toc440874772"/>
      <w:bookmarkStart w:id="1745" w:name="_Toc448142329"/>
      <w:bookmarkStart w:id="1746" w:name="_Toc448142486"/>
      <w:bookmarkStart w:id="1747" w:name="_Toc458770327"/>
      <w:bookmarkStart w:id="1748" w:name="_Toc459294295"/>
      <w:bookmarkStart w:id="1749" w:name="_Toc463262788"/>
      <w:bookmarkStart w:id="1750" w:name="_Toc468286861"/>
      <w:bookmarkStart w:id="1751" w:name="_Toc481502901"/>
      <w:bookmarkStart w:id="1752" w:name="_Toc496080069"/>
      <w:bookmarkEnd w:id="1721"/>
      <w:bookmarkEnd w:id="1722"/>
      <w:bookmarkEnd w:id="1738"/>
      <w:r w:rsidRPr="00576B1F">
        <w:rPr>
          <w:i w:val="0"/>
          <w:lang w:val="fr-FR"/>
        </w:rPr>
        <w:t>6.6.5.2</w:t>
      </w:r>
      <w:r w:rsidRPr="00576B1F">
        <w:rPr>
          <w:i w:val="0"/>
          <w:lang w:val="fr-FR"/>
        </w:rPr>
        <w:tab/>
        <w:t>Set Point Deviation Charge for Over Generation</w:t>
      </w:r>
      <w:bookmarkEnd w:id="1739"/>
    </w:p>
    <w:p w14:paraId="3648F86B" w14:textId="1FCC08DF" w:rsidR="0006793C" w:rsidRPr="0013396E" w:rsidRDefault="0006793C" w:rsidP="0006793C">
      <w:pPr>
        <w:pStyle w:val="BodyTextNumbered"/>
      </w:pPr>
      <w:r w:rsidRPr="0013396E">
        <w:t>(1)</w:t>
      </w:r>
      <w:r w:rsidRPr="0013396E">
        <w:tab/>
        <w:t>ERCOT shall charge a QSE for a Generation Resource for over-generation that exceeds the following tolerance.  The tolerance is the greater of:</w:t>
      </w:r>
    </w:p>
    <w:p w14:paraId="286EE07D" w14:textId="77777777" w:rsidR="0006793C" w:rsidRPr="0013396E" w:rsidRDefault="0006793C" w:rsidP="0006793C">
      <w:pPr>
        <w:pStyle w:val="BodyTextNumbered"/>
        <w:ind w:left="1440"/>
      </w:pPr>
      <w:r w:rsidRPr="0013396E">
        <w:t>(a)</w:t>
      </w:r>
      <w:r w:rsidRPr="0013396E">
        <w:tab/>
        <w:t>5% of the AASP in the Settlement Interval; or</w:t>
      </w:r>
    </w:p>
    <w:p w14:paraId="40A6D70E" w14:textId="77777777" w:rsidR="0006793C" w:rsidRPr="0013396E" w:rsidRDefault="0006793C" w:rsidP="0006793C">
      <w:pPr>
        <w:pStyle w:val="BodyTextNumbered"/>
        <w:ind w:left="1440"/>
      </w:pPr>
      <w:r w:rsidRPr="0013396E">
        <w:t>(b)</w:t>
      </w:r>
      <w:r w:rsidRPr="0013396E">
        <w:tab/>
        <w:t xml:space="preserve">Five MW above the AASP in the Settlement Interval. </w:t>
      </w:r>
    </w:p>
    <w:p w14:paraId="7DE2AA2F" w14:textId="5914C363" w:rsidR="0006793C" w:rsidRPr="0013396E" w:rsidRDefault="0006793C" w:rsidP="0006793C">
      <w:pPr>
        <w:pStyle w:val="BodyTextNumbered"/>
        <w:rPr>
          <w:iCs/>
        </w:rPr>
      </w:pPr>
      <w:r w:rsidRPr="0013396E">
        <w:rPr>
          <w:iCs/>
        </w:rPr>
        <w:t>(</w:t>
      </w:r>
      <w:r w:rsidR="000F78EE">
        <w:rPr>
          <w:iCs/>
        </w:rPr>
        <w:t>2</w:t>
      </w:r>
      <w:r w:rsidRPr="0013396E">
        <w:rPr>
          <w:iCs/>
        </w:rPr>
        <w:t>)</w:t>
      </w:r>
      <w:r w:rsidRPr="0013396E">
        <w:rPr>
          <w:iCs/>
        </w:rPr>
        <w:tab/>
        <w:t>The over-generation charge to each QSE for each Generation Resource at each Resource Node Settlement Point is calculated as follows:</w:t>
      </w:r>
    </w:p>
    <w:p w14:paraId="7BA7C422" w14:textId="77777777" w:rsidR="0006793C" w:rsidRPr="0013396E" w:rsidRDefault="0006793C" w:rsidP="0006793C">
      <w:pPr>
        <w:pStyle w:val="FormulaBold"/>
      </w:pPr>
      <w:r w:rsidRPr="0013396E">
        <w:t xml:space="preserve">SPDAMT </w:t>
      </w:r>
      <w:r w:rsidRPr="0013396E">
        <w:rPr>
          <w:i/>
          <w:iCs/>
          <w:vertAlign w:val="subscript"/>
          <w:lang w:val="es-ES"/>
        </w:rPr>
        <w:t xml:space="preserve">q, r, p, i </w:t>
      </w:r>
      <w:r w:rsidRPr="0013396E">
        <w:tab/>
        <w:t>=</w:t>
      </w:r>
      <w:r w:rsidRPr="0013396E">
        <w:tab/>
        <w:t xml:space="preserve">Max (PR1, RTSPP </w:t>
      </w:r>
      <w:r w:rsidRPr="0013396E">
        <w:rPr>
          <w:i/>
          <w:vertAlign w:val="subscript"/>
        </w:rPr>
        <w:t>p, i</w:t>
      </w:r>
      <w:r w:rsidRPr="0013396E">
        <w:t>) * OGEN</w:t>
      </w:r>
      <w:r w:rsidRPr="0013396E">
        <w:rPr>
          <w:i/>
          <w:iCs/>
          <w:vertAlign w:val="subscript"/>
          <w:lang w:val="es-ES"/>
        </w:rPr>
        <w:t xml:space="preserve"> q, r, p, i </w:t>
      </w:r>
      <w:r w:rsidRPr="0013396E">
        <w:rPr>
          <w:rFonts w:ascii="Times New Roman Bold" w:hAnsi="Times New Roman Bold"/>
          <w:iCs/>
          <w:lang w:val="es-ES"/>
        </w:rPr>
        <w:t xml:space="preserve"> </w:t>
      </w:r>
    </w:p>
    <w:p w14:paraId="6E1C3E51" w14:textId="77777777" w:rsidR="0006793C" w:rsidRPr="0013396E" w:rsidRDefault="0006793C" w:rsidP="0006793C">
      <w:pPr>
        <w:pStyle w:val="FormulaBold"/>
        <w:rPr>
          <w:b w:val="0"/>
        </w:rPr>
      </w:pPr>
      <w:r w:rsidRPr="0013396E">
        <w:rPr>
          <w:b w:val="0"/>
        </w:rPr>
        <w:t>Where:</w:t>
      </w:r>
    </w:p>
    <w:p w14:paraId="4C8F8DE7" w14:textId="77777777" w:rsidR="0006793C" w:rsidRPr="0013396E" w:rsidRDefault="0006793C" w:rsidP="0006793C">
      <w:pPr>
        <w:pStyle w:val="FormulaBold"/>
        <w:rPr>
          <w:b w:val="0"/>
          <w:caps/>
        </w:rPr>
      </w:pPr>
      <w:r w:rsidRPr="0013396E">
        <w:rPr>
          <w:b w:val="0"/>
        </w:rPr>
        <w:t>OGEN</w:t>
      </w:r>
      <w:r w:rsidRPr="0013396E">
        <w:rPr>
          <w:b w:val="0"/>
          <w:i/>
          <w:iCs/>
          <w:vertAlign w:val="subscript"/>
          <w:lang w:val="es-ES"/>
        </w:rPr>
        <w:t xml:space="preserve"> q, r, p, i </w:t>
      </w:r>
      <w:r w:rsidRPr="0013396E">
        <w:rPr>
          <w:b w:val="0"/>
        </w:rPr>
        <w:t xml:space="preserve"> = Max [0, (TWTG </w:t>
      </w:r>
      <w:r w:rsidRPr="0013396E">
        <w:rPr>
          <w:b w:val="0"/>
          <w:i/>
          <w:iCs/>
          <w:vertAlign w:val="subscript"/>
          <w:lang w:val="es-ES"/>
        </w:rPr>
        <w:t xml:space="preserve">q, r, p, i </w:t>
      </w:r>
      <w:r w:rsidRPr="0013396E">
        <w:rPr>
          <w:b w:val="0"/>
        </w:rPr>
        <w:t xml:space="preserve"> – ¼ * Max (((1 + K1) * AASP</w:t>
      </w:r>
      <w:r w:rsidRPr="0013396E">
        <w:rPr>
          <w:b w:val="0"/>
          <w:i/>
          <w:iCs/>
          <w:vertAlign w:val="subscript"/>
          <w:lang w:val="es-ES"/>
        </w:rPr>
        <w:t xml:space="preserve"> q, r, p, i</w:t>
      </w:r>
      <w:r w:rsidRPr="0013396E">
        <w:rPr>
          <w:rFonts w:ascii="Times New Roman Bold" w:hAnsi="Times New Roman Bold"/>
          <w:b w:val="0"/>
          <w:iCs/>
          <w:lang w:val="es-ES"/>
        </w:rPr>
        <w:t>)</w:t>
      </w:r>
      <w:r w:rsidRPr="0013396E">
        <w:rPr>
          <w:b w:val="0"/>
        </w:rPr>
        <w:t>, (AASP</w:t>
      </w:r>
      <w:r w:rsidRPr="0013396E">
        <w:rPr>
          <w:b w:val="0"/>
          <w:i/>
          <w:iCs/>
          <w:vertAlign w:val="subscript"/>
          <w:lang w:val="es-ES"/>
        </w:rPr>
        <w:t xml:space="preserve"> q, r, p, i </w:t>
      </w:r>
      <w:r w:rsidRPr="0013396E">
        <w:rPr>
          <w:b w:val="0"/>
        </w:rPr>
        <w:t>+ Q1)))]</w:t>
      </w:r>
    </w:p>
    <w:p w14:paraId="3A43C716" w14:textId="6D0403DC" w:rsidR="0006793C" w:rsidRPr="0013396E" w:rsidRDefault="0006793C" w:rsidP="0006793C">
      <w:pPr>
        <w:pStyle w:val="BodyTextNumbered"/>
        <w:ind w:left="1440"/>
      </w:pPr>
      <w:r w:rsidRPr="0013396E">
        <w:t>TWTG</w:t>
      </w:r>
      <w:r w:rsidRPr="0013396E">
        <w:rPr>
          <w:i/>
          <w:vertAlign w:val="subscript"/>
        </w:rPr>
        <w:t xml:space="preserve"> q, r, p, i</w:t>
      </w:r>
      <w:r w:rsidRPr="0013396E">
        <w:rPr>
          <w:i/>
          <w:vertAlign w:val="subscript"/>
        </w:rPr>
        <w:tab/>
        <w:t>=</w:t>
      </w:r>
      <w:r w:rsidRPr="0013396E">
        <w:rPr>
          <w:i/>
          <w:vertAlign w:val="subscript"/>
        </w:rPr>
        <w:tab/>
      </w:r>
      <w:r w:rsidRPr="0013396E">
        <w:t>(</w:t>
      </w:r>
      <w:r w:rsidR="00457C20" w:rsidRPr="0013396E">
        <w:rPr>
          <w:position w:val="-22"/>
        </w:rPr>
        <w:object w:dxaOrig="210" w:dyaOrig="450" w14:anchorId="6BFC7728">
          <v:shape id="_x0000_i1149" type="#_x0000_t75" style="width:10.8pt;height:24pt" o:ole="">
            <v:imagedata r:id="rId178" o:title=""/>
          </v:shape>
          <o:OLEObject Type="Embed" ProgID="Equation.3" ShapeID="_x0000_i1149" DrawAspect="Content" ObjectID="_1849065780" r:id="rId180"/>
        </w:object>
      </w:r>
      <w:r w:rsidRPr="0013396E">
        <w:t xml:space="preserve"> (AVGTG5M</w:t>
      </w:r>
      <w:r w:rsidRPr="0013396E">
        <w:rPr>
          <w:i/>
          <w:vertAlign w:val="subscript"/>
        </w:rPr>
        <w:t xml:space="preserve"> q, r, p, i, y</w:t>
      </w:r>
      <w:r w:rsidRPr="0013396E">
        <w:t>)</w:t>
      </w:r>
      <w:r w:rsidRPr="0013396E">
        <w:rPr>
          <w:rFonts w:ascii="Times New Roman Bold" w:hAnsi="Times New Roman Bold"/>
        </w:rPr>
        <w:t xml:space="preserve"> / </w:t>
      </w:r>
      <w:r w:rsidRPr="0013396E">
        <w:t>3)</w:t>
      </w:r>
      <w:r w:rsidRPr="0013396E">
        <w:rPr>
          <w:rFonts w:ascii="Times New Roman Bold" w:hAnsi="Times New Roman Bold"/>
        </w:rPr>
        <w:t xml:space="preserve"> </w:t>
      </w:r>
      <w:r w:rsidRPr="0013396E">
        <w:t>*</w:t>
      </w:r>
      <w:r w:rsidRPr="0013396E">
        <w:rPr>
          <w:rFonts w:ascii="Times New Roman Bold" w:hAnsi="Times New Roman Bold"/>
        </w:rPr>
        <w:t xml:space="preserve"> </w:t>
      </w:r>
      <w:r w:rsidRPr="0013396E">
        <w:rPr>
          <w:rFonts w:hint="eastAsia"/>
        </w:rPr>
        <w:t>¼</w:t>
      </w:r>
    </w:p>
    <w:p w14:paraId="00A26E64" w14:textId="64937BCF" w:rsidR="0006793C" w:rsidRPr="0013396E" w:rsidRDefault="0006793C" w:rsidP="0006793C">
      <w:r w:rsidRPr="0013396E">
        <w:t>The above variables are defined as follows:</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1459"/>
        <w:gridCol w:w="5942"/>
      </w:tblGrid>
      <w:tr w:rsidR="0006793C" w:rsidRPr="0013396E" w14:paraId="02C79181" w14:textId="77777777" w:rsidTr="0099759E">
        <w:trPr>
          <w:cantSplit/>
          <w:tblHeader/>
        </w:trPr>
        <w:tc>
          <w:tcPr>
            <w:tcW w:w="2428" w:type="dxa"/>
          </w:tcPr>
          <w:p w14:paraId="7271B071" w14:textId="77777777" w:rsidR="0006793C" w:rsidRPr="0013396E" w:rsidRDefault="0006793C" w:rsidP="0099759E">
            <w:pPr>
              <w:pStyle w:val="TableHead"/>
              <w:tabs>
                <w:tab w:val="right" w:pos="9360"/>
              </w:tabs>
            </w:pPr>
            <w:r w:rsidRPr="0013396E">
              <w:t>Variable</w:t>
            </w:r>
          </w:p>
        </w:tc>
        <w:tc>
          <w:tcPr>
            <w:tcW w:w="1459" w:type="dxa"/>
          </w:tcPr>
          <w:p w14:paraId="0E8ACF26" w14:textId="77777777" w:rsidR="0006793C" w:rsidRPr="0013396E" w:rsidRDefault="0006793C" w:rsidP="0099759E">
            <w:pPr>
              <w:pStyle w:val="TableHead"/>
              <w:tabs>
                <w:tab w:val="right" w:pos="9360"/>
              </w:tabs>
            </w:pPr>
            <w:r w:rsidRPr="0013396E">
              <w:t>Unit</w:t>
            </w:r>
          </w:p>
        </w:tc>
        <w:tc>
          <w:tcPr>
            <w:tcW w:w="5942" w:type="dxa"/>
          </w:tcPr>
          <w:p w14:paraId="7E3999A0" w14:textId="77777777" w:rsidR="0006793C" w:rsidRPr="0013396E" w:rsidRDefault="0006793C" w:rsidP="0099759E">
            <w:pPr>
              <w:pStyle w:val="TableHead"/>
              <w:tabs>
                <w:tab w:val="right" w:pos="9360"/>
              </w:tabs>
            </w:pPr>
            <w:r w:rsidRPr="0013396E">
              <w:t>Definition</w:t>
            </w:r>
          </w:p>
        </w:tc>
      </w:tr>
      <w:tr w:rsidR="0006793C" w:rsidRPr="0013396E" w14:paraId="6815FC46" w14:textId="77777777" w:rsidTr="0099759E">
        <w:trPr>
          <w:cantSplit/>
        </w:trPr>
        <w:tc>
          <w:tcPr>
            <w:tcW w:w="2428" w:type="dxa"/>
          </w:tcPr>
          <w:p w14:paraId="3D25B770" w14:textId="77777777" w:rsidR="0006793C" w:rsidRPr="0013396E" w:rsidRDefault="0006793C" w:rsidP="0099759E">
            <w:pPr>
              <w:pStyle w:val="TableBody"/>
            </w:pPr>
            <w:r w:rsidRPr="0013396E">
              <w:t xml:space="preserve">SPDAMT </w:t>
            </w:r>
            <w:r w:rsidRPr="0013396E">
              <w:rPr>
                <w:i/>
                <w:vertAlign w:val="subscript"/>
              </w:rPr>
              <w:t>q, r, p, i</w:t>
            </w:r>
          </w:p>
        </w:tc>
        <w:tc>
          <w:tcPr>
            <w:tcW w:w="1459" w:type="dxa"/>
          </w:tcPr>
          <w:p w14:paraId="6AFB18A8" w14:textId="77777777" w:rsidR="0006793C" w:rsidRPr="0013396E" w:rsidRDefault="0006793C" w:rsidP="0099759E">
            <w:pPr>
              <w:pStyle w:val="TableBody"/>
            </w:pPr>
            <w:r w:rsidRPr="0013396E">
              <w:t>$</w:t>
            </w:r>
          </w:p>
        </w:tc>
        <w:tc>
          <w:tcPr>
            <w:tcW w:w="5942" w:type="dxa"/>
          </w:tcPr>
          <w:p w14:paraId="3DEDD520" w14:textId="77777777" w:rsidR="0006793C" w:rsidRPr="0013396E" w:rsidRDefault="0006793C"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Generation Resource </w:t>
            </w:r>
            <w:r w:rsidRPr="0013396E">
              <w:rPr>
                <w:i/>
              </w:rPr>
              <w:t>r</w:t>
            </w:r>
            <w:r w:rsidRPr="0013396E">
              <w:t xml:space="preserve"> at Resource Node </w:t>
            </w:r>
            <w:r w:rsidRPr="0013396E">
              <w:rPr>
                <w:i/>
              </w:rPr>
              <w:t>p</w:t>
            </w:r>
            <w:r w:rsidRPr="0013396E">
              <w:t xml:space="preserve">, for its deviation from AASP, for the 15-minute Settlement Interval </w:t>
            </w:r>
            <w:r w:rsidRPr="0013396E">
              <w:rPr>
                <w:i/>
              </w:rPr>
              <w:t>i</w:t>
            </w:r>
            <w:r w:rsidRPr="0013396E">
              <w:t>.  The Set Point Deviation Charge is charged to the Combined Cycle Train for all Combined Cycle Generation Resources.</w:t>
            </w:r>
          </w:p>
        </w:tc>
      </w:tr>
      <w:tr w:rsidR="0006793C" w:rsidRPr="0013396E" w14:paraId="23D70CAB" w14:textId="77777777" w:rsidTr="0099759E">
        <w:trPr>
          <w:cantSplit/>
        </w:trPr>
        <w:tc>
          <w:tcPr>
            <w:tcW w:w="2428" w:type="dxa"/>
          </w:tcPr>
          <w:p w14:paraId="2E7BE67E" w14:textId="77777777" w:rsidR="0006793C" w:rsidRPr="0013396E" w:rsidRDefault="0006793C" w:rsidP="0099759E">
            <w:pPr>
              <w:pStyle w:val="TableBody"/>
            </w:pPr>
            <w:r w:rsidRPr="0013396E">
              <w:t xml:space="preserve">RTSPP </w:t>
            </w:r>
            <w:r w:rsidRPr="0013396E">
              <w:rPr>
                <w:i/>
                <w:vertAlign w:val="subscript"/>
              </w:rPr>
              <w:t>p, i</w:t>
            </w:r>
          </w:p>
        </w:tc>
        <w:tc>
          <w:tcPr>
            <w:tcW w:w="1459" w:type="dxa"/>
          </w:tcPr>
          <w:p w14:paraId="62463A2D" w14:textId="77777777" w:rsidR="0006793C" w:rsidRPr="0013396E" w:rsidRDefault="0006793C" w:rsidP="0099759E">
            <w:pPr>
              <w:pStyle w:val="TableBody"/>
            </w:pPr>
            <w:r w:rsidRPr="0013396E">
              <w:t>$/MWh</w:t>
            </w:r>
          </w:p>
        </w:tc>
        <w:tc>
          <w:tcPr>
            <w:tcW w:w="5942" w:type="dxa"/>
          </w:tcPr>
          <w:p w14:paraId="3B32B859" w14:textId="77777777" w:rsidR="0006793C" w:rsidRPr="0013396E" w:rsidRDefault="0006793C" w:rsidP="0099759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06793C" w:rsidRPr="0013396E" w14:paraId="305E28C3" w14:textId="77777777" w:rsidTr="0099759E">
        <w:trPr>
          <w:cantSplit/>
        </w:trPr>
        <w:tc>
          <w:tcPr>
            <w:tcW w:w="2428" w:type="dxa"/>
          </w:tcPr>
          <w:p w14:paraId="0C0DC9E6" w14:textId="77777777" w:rsidR="0006793C" w:rsidRPr="0013396E" w:rsidRDefault="0006793C" w:rsidP="0099759E">
            <w:pPr>
              <w:pStyle w:val="TableBody"/>
            </w:pPr>
            <w:r w:rsidRPr="0013396E">
              <w:lastRenderedPageBreak/>
              <w:t xml:space="preserve">TWTG </w:t>
            </w:r>
            <w:r w:rsidRPr="0013396E">
              <w:rPr>
                <w:i/>
                <w:vertAlign w:val="subscript"/>
              </w:rPr>
              <w:t>q, r, p, i</w:t>
            </w:r>
          </w:p>
        </w:tc>
        <w:tc>
          <w:tcPr>
            <w:tcW w:w="1459" w:type="dxa"/>
          </w:tcPr>
          <w:p w14:paraId="080744DD" w14:textId="77777777" w:rsidR="0006793C" w:rsidRPr="0013396E" w:rsidRDefault="0006793C" w:rsidP="0099759E">
            <w:pPr>
              <w:pStyle w:val="TableBody"/>
            </w:pPr>
            <w:r w:rsidRPr="0013396E">
              <w:t>MWh</w:t>
            </w:r>
          </w:p>
        </w:tc>
        <w:tc>
          <w:tcPr>
            <w:tcW w:w="5942" w:type="dxa"/>
          </w:tcPr>
          <w:p w14:paraId="19E990A1" w14:textId="77777777" w:rsidR="0006793C" w:rsidRPr="0013396E" w:rsidRDefault="0006793C" w:rsidP="0099759E">
            <w:pPr>
              <w:pStyle w:val="TableBody"/>
              <w:rPr>
                <w:i/>
              </w:rPr>
            </w:pPr>
            <w:r w:rsidRPr="0013396E">
              <w:rPr>
                <w:i/>
              </w:rPr>
              <w:t>Time-Weighted Telemetered Generation per QSE per Settlement Point per Resource</w:t>
            </w:r>
            <w:r w:rsidRPr="0013396E">
              <w:t xml:space="preserve">—The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 xml:space="preserve">.  Where for a Combined Cycle Train, the Resource </w:t>
            </w:r>
            <w:r w:rsidRPr="0013396E">
              <w:rPr>
                <w:i/>
              </w:rPr>
              <w:t xml:space="preserve">r </w:t>
            </w:r>
            <w:r w:rsidRPr="0013396E">
              <w:t>is the Combined Cycle Train.</w:t>
            </w:r>
          </w:p>
        </w:tc>
      </w:tr>
      <w:tr w:rsidR="0006793C" w:rsidRPr="0013396E" w14:paraId="483DE3F7" w14:textId="77777777" w:rsidTr="0099759E">
        <w:trPr>
          <w:cantSplit/>
        </w:trPr>
        <w:tc>
          <w:tcPr>
            <w:tcW w:w="2428" w:type="dxa"/>
          </w:tcPr>
          <w:p w14:paraId="274E8421" w14:textId="77777777" w:rsidR="0006793C" w:rsidRPr="0013396E" w:rsidRDefault="0006793C" w:rsidP="0099759E">
            <w:pPr>
              <w:pStyle w:val="TableBody"/>
            </w:pPr>
            <w:r w:rsidRPr="0013396E">
              <w:t>AASP</w:t>
            </w:r>
            <w:r w:rsidRPr="0013396E">
              <w:rPr>
                <w:i/>
                <w:vertAlign w:val="subscript"/>
              </w:rPr>
              <w:t xml:space="preserve"> q, r, p, i</w:t>
            </w:r>
          </w:p>
        </w:tc>
        <w:tc>
          <w:tcPr>
            <w:tcW w:w="1459" w:type="dxa"/>
          </w:tcPr>
          <w:p w14:paraId="0A2F9DD0" w14:textId="77777777" w:rsidR="0006793C" w:rsidRPr="0013396E" w:rsidRDefault="0006793C" w:rsidP="0099759E">
            <w:pPr>
              <w:pStyle w:val="TableBody"/>
            </w:pPr>
            <w:r w:rsidRPr="0013396E">
              <w:t>MW</w:t>
            </w:r>
          </w:p>
        </w:tc>
        <w:tc>
          <w:tcPr>
            <w:tcW w:w="5942" w:type="dxa"/>
          </w:tcPr>
          <w:p w14:paraId="5FC5F466" w14:textId="77777777" w:rsidR="0006793C" w:rsidRPr="0013396E" w:rsidRDefault="0006793C" w:rsidP="0099759E">
            <w:pPr>
              <w:pStyle w:val="TableBody"/>
              <w:rPr>
                <w:i/>
              </w:rPr>
            </w:pPr>
            <w:r w:rsidRPr="0013396E">
              <w:rPr>
                <w:i/>
              </w:rPr>
              <w:t>Average Aggregated Set Point per QSE per Settlement Point per Resource</w:t>
            </w:r>
            <w:r w:rsidRPr="0013396E">
              <w:t xml:space="preserve">—The average of the Average Five Minute Clock Interval Set Point (AVGSP5M) of Generation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w:t>
            </w:r>
            <w:r w:rsidRPr="0013396E">
              <w:rPr>
                <w:i/>
              </w:rPr>
              <w:t xml:space="preserve"> i</w:t>
            </w:r>
            <w:r w:rsidRPr="0013396E">
              <w:t>.  Where for a Combined Cycle Train, AASP is calculated for the Combined Cycle Train considering all UDSPs to any Combined Cycle Generation Resources within the Combined Cycle Train.</w:t>
            </w:r>
          </w:p>
        </w:tc>
      </w:tr>
      <w:tr w:rsidR="0006793C" w:rsidRPr="0013396E" w14:paraId="48B03DD3" w14:textId="77777777" w:rsidTr="0099759E">
        <w:trPr>
          <w:cantSplit/>
        </w:trPr>
        <w:tc>
          <w:tcPr>
            <w:tcW w:w="2428" w:type="dxa"/>
          </w:tcPr>
          <w:p w14:paraId="095F5EB0" w14:textId="77777777" w:rsidR="0006793C" w:rsidRPr="0013396E" w:rsidRDefault="0006793C" w:rsidP="0099759E">
            <w:pPr>
              <w:pStyle w:val="TableBody"/>
            </w:pPr>
            <w:r w:rsidRPr="0013396E">
              <w:t>AVGTG5M</w:t>
            </w:r>
            <w:r w:rsidRPr="0013396E">
              <w:rPr>
                <w:i/>
                <w:vertAlign w:val="subscript"/>
                <w:lang w:val="fr-FR"/>
              </w:rPr>
              <w:t xml:space="preserve"> q, r, p, i, y</w:t>
            </w:r>
          </w:p>
        </w:tc>
        <w:tc>
          <w:tcPr>
            <w:tcW w:w="1459" w:type="dxa"/>
          </w:tcPr>
          <w:p w14:paraId="2AC04541" w14:textId="77777777" w:rsidR="0006793C" w:rsidRPr="0013396E" w:rsidRDefault="0006793C" w:rsidP="0099759E">
            <w:pPr>
              <w:pStyle w:val="TableBody"/>
            </w:pPr>
            <w:r w:rsidRPr="0013396E">
              <w:t>MW</w:t>
            </w:r>
          </w:p>
        </w:tc>
        <w:tc>
          <w:tcPr>
            <w:tcW w:w="5942" w:type="dxa"/>
          </w:tcPr>
          <w:p w14:paraId="2D2D94BF" w14:textId="77777777" w:rsidR="0006793C" w:rsidRPr="0013396E" w:rsidRDefault="0006793C" w:rsidP="0099759E">
            <w:pPr>
              <w:pStyle w:val="TableBody"/>
            </w:pPr>
            <w:r w:rsidRPr="0013396E">
              <w:rPr>
                <w:i/>
              </w:rPr>
              <w:t>Average Telemetered Generation for the 5 Minutes</w:t>
            </w:r>
            <w:r w:rsidRPr="0013396E">
              <w:t xml:space="preserve">—The average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06793C" w:rsidRPr="0013396E" w14:paraId="4A1F5C00" w14:textId="77777777" w:rsidTr="0099759E">
        <w:trPr>
          <w:cantSplit/>
        </w:trPr>
        <w:tc>
          <w:tcPr>
            <w:tcW w:w="2428" w:type="dxa"/>
          </w:tcPr>
          <w:p w14:paraId="2C40AAB6" w14:textId="77777777" w:rsidR="0006793C" w:rsidRPr="0013396E" w:rsidRDefault="0006793C" w:rsidP="0099759E">
            <w:pPr>
              <w:pStyle w:val="TableBody"/>
            </w:pPr>
            <w:r w:rsidRPr="0013396E">
              <w:t xml:space="preserve">OGEN </w:t>
            </w:r>
            <w:r w:rsidRPr="0013396E">
              <w:rPr>
                <w:i/>
                <w:vertAlign w:val="subscript"/>
              </w:rPr>
              <w:t>q, r, p, i</w:t>
            </w:r>
          </w:p>
        </w:tc>
        <w:tc>
          <w:tcPr>
            <w:tcW w:w="1459" w:type="dxa"/>
          </w:tcPr>
          <w:p w14:paraId="47E1C08A" w14:textId="77777777" w:rsidR="0006793C" w:rsidRPr="0013396E" w:rsidRDefault="0006793C" w:rsidP="0099759E">
            <w:pPr>
              <w:pStyle w:val="TableBody"/>
            </w:pPr>
            <w:r w:rsidRPr="0013396E">
              <w:t>MWh</w:t>
            </w:r>
          </w:p>
        </w:tc>
        <w:tc>
          <w:tcPr>
            <w:tcW w:w="5942" w:type="dxa"/>
          </w:tcPr>
          <w:p w14:paraId="3AA43F5B" w14:textId="77777777" w:rsidR="0006793C" w:rsidRPr="0013396E" w:rsidRDefault="0006793C" w:rsidP="0099759E">
            <w:pPr>
              <w:pStyle w:val="TableBody"/>
            </w:pPr>
            <w:r w:rsidRPr="0013396E">
              <w:rPr>
                <w:i/>
              </w:rPr>
              <w:t>Over Generation Volumes per QSE per Settlement Point per Resource</w:t>
            </w:r>
            <w:r w:rsidRPr="0013396E">
              <w:t xml:space="preserve">—The amount over-generated by the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w:t>
            </w:r>
          </w:p>
        </w:tc>
      </w:tr>
      <w:tr w:rsidR="0006793C" w:rsidRPr="0013396E" w14:paraId="6A9B6448" w14:textId="77777777" w:rsidTr="0099759E">
        <w:trPr>
          <w:cantSplit/>
        </w:trPr>
        <w:tc>
          <w:tcPr>
            <w:tcW w:w="2428" w:type="dxa"/>
          </w:tcPr>
          <w:p w14:paraId="301952F4" w14:textId="77777777" w:rsidR="0006793C" w:rsidRPr="0013396E" w:rsidRDefault="0006793C" w:rsidP="0099759E">
            <w:pPr>
              <w:pStyle w:val="TableBody"/>
            </w:pPr>
            <w:r w:rsidRPr="0013396E">
              <w:t>PR1</w:t>
            </w:r>
          </w:p>
        </w:tc>
        <w:tc>
          <w:tcPr>
            <w:tcW w:w="1459" w:type="dxa"/>
          </w:tcPr>
          <w:p w14:paraId="56902425" w14:textId="77777777" w:rsidR="0006793C" w:rsidRPr="0013396E" w:rsidRDefault="0006793C" w:rsidP="0099759E">
            <w:pPr>
              <w:pStyle w:val="TableBody"/>
            </w:pPr>
            <w:r w:rsidRPr="0013396E">
              <w:t>$/MWh</w:t>
            </w:r>
          </w:p>
        </w:tc>
        <w:tc>
          <w:tcPr>
            <w:tcW w:w="5942" w:type="dxa"/>
          </w:tcPr>
          <w:p w14:paraId="72C7808C" w14:textId="77777777" w:rsidR="0006793C" w:rsidRPr="0013396E" w:rsidRDefault="0006793C" w:rsidP="0099759E">
            <w:pPr>
              <w:pStyle w:val="TableBody"/>
            </w:pPr>
            <w:r w:rsidRPr="0013396E">
              <w:t xml:space="preserve">The price to use for the Set Point Deviation Charge for over-generation when RTSPP is less than $20/MWh, $20/MWh.  </w:t>
            </w:r>
          </w:p>
        </w:tc>
      </w:tr>
      <w:tr w:rsidR="0006793C" w:rsidRPr="0013396E" w14:paraId="4613C6CA" w14:textId="77777777" w:rsidTr="0099759E">
        <w:trPr>
          <w:cantSplit/>
        </w:trPr>
        <w:tc>
          <w:tcPr>
            <w:tcW w:w="2428" w:type="dxa"/>
          </w:tcPr>
          <w:p w14:paraId="66630DDF" w14:textId="77777777" w:rsidR="0006793C" w:rsidRPr="0013396E" w:rsidRDefault="0006793C" w:rsidP="0099759E">
            <w:pPr>
              <w:pStyle w:val="TableBody"/>
            </w:pPr>
            <w:r w:rsidRPr="0013396E">
              <w:t>K1</w:t>
            </w:r>
          </w:p>
        </w:tc>
        <w:tc>
          <w:tcPr>
            <w:tcW w:w="1459" w:type="dxa"/>
          </w:tcPr>
          <w:p w14:paraId="01181D8D" w14:textId="77777777" w:rsidR="0006793C" w:rsidRPr="0013396E" w:rsidRDefault="0006793C" w:rsidP="0099759E">
            <w:pPr>
              <w:pStyle w:val="TableBody"/>
            </w:pPr>
            <w:r w:rsidRPr="0013396E">
              <w:t>none</w:t>
            </w:r>
          </w:p>
        </w:tc>
        <w:tc>
          <w:tcPr>
            <w:tcW w:w="5942" w:type="dxa"/>
          </w:tcPr>
          <w:p w14:paraId="15324F2A" w14:textId="77777777" w:rsidR="0006793C" w:rsidRPr="0013396E" w:rsidRDefault="0006793C" w:rsidP="0099759E">
            <w:pPr>
              <w:pStyle w:val="TableBody"/>
            </w:pPr>
            <w:r w:rsidRPr="0013396E">
              <w:t xml:space="preserve">The percentage tolerance for over-generation, 5%.  </w:t>
            </w:r>
          </w:p>
        </w:tc>
      </w:tr>
      <w:tr w:rsidR="0006793C" w:rsidRPr="0013396E" w14:paraId="30627FAF" w14:textId="77777777" w:rsidTr="0099759E">
        <w:trPr>
          <w:cantSplit/>
        </w:trPr>
        <w:tc>
          <w:tcPr>
            <w:tcW w:w="2428" w:type="dxa"/>
          </w:tcPr>
          <w:p w14:paraId="7FBE1220" w14:textId="77777777" w:rsidR="0006793C" w:rsidRPr="0013396E" w:rsidRDefault="0006793C" w:rsidP="0099759E">
            <w:pPr>
              <w:pStyle w:val="TableBody"/>
            </w:pPr>
            <w:r w:rsidRPr="0013396E">
              <w:t>Q1</w:t>
            </w:r>
          </w:p>
        </w:tc>
        <w:tc>
          <w:tcPr>
            <w:tcW w:w="1459" w:type="dxa"/>
          </w:tcPr>
          <w:p w14:paraId="39CA5CF2" w14:textId="77777777" w:rsidR="0006793C" w:rsidRPr="0013396E" w:rsidRDefault="0006793C" w:rsidP="0099759E">
            <w:pPr>
              <w:pStyle w:val="TableBody"/>
            </w:pPr>
            <w:r w:rsidRPr="0013396E">
              <w:t>MW</w:t>
            </w:r>
          </w:p>
        </w:tc>
        <w:tc>
          <w:tcPr>
            <w:tcW w:w="5942" w:type="dxa"/>
          </w:tcPr>
          <w:p w14:paraId="235C8B8E" w14:textId="77777777" w:rsidR="0006793C" w:rsidRPr="0013396E" w:rsidRDefault="0006793C" w:rsidP="0099759E">
            <w:pPr>
              <w:pStyle w:val="TableBody"/>
            </w:pPr>
            <w:r w:rsidRPr="0013396E">
              <w:t>The MW tolerance for over-generation, five MW.</w:t>
            </w:r>
          </w:p>
        </w:tc>
      </w:tr>
      <w:tr w:rsidR="0006793C" w:rsidRPr="0013396E" w14:paraId="7AF57E6F" w14:textId="77777777" w:rsidTr="0099759E">
        <w:trPr>
          <w:cantSplit/>
        </w:trPr>
        <w:tc>
          <w:tcPr>
            <w:tcW w:w="2428" w:type="dxa"/>
          </w:tcPr>
          <w:p w14:paraId="4DC91FC9" w14:textId="77777777" w:rsidR="0006793C" w:rsidRPr="0013396E" w:rsidRDefault="0006793C" w:rsidP="0099759E">
            <w:pPr>
              <w:spacing w:after="60"/>
              <w:rPr>
                <w:iCs/>
                <w:sz w:val="20"/>
              </w:rPr>
            </w:pPr>
            <w:r w:rsidRPr="0013396E">
              <w:rPr>
                <w:iCs/>
                <w:sz w:val="20"/>
              </w:rPr>
              <w:t>N</w:t>
            </w:r>
          </w:p>
        </w:tc>
        <w:tc>
          <w:tcPr>
            <w:tcW w:w="1459" w:type="dxa"/>
          </w:tcPr>
          <w:p w14:paraId="37D5393D" w14:textId="77777777" w:rsidR="0006793C" w:rsidRPr="0013396E" w:rsidRDefault="0006793C" w:rsidP="0099759E">
            <w:pPr>
              <w:spacing w:after="60"/>
              <w:rPr>
                <w:iCs/>
                <w:sz w:val="20"/>
              </w:rPr>
            </w:pPr>
            <w:r w:rsidRPr="0013396E">
              <w:rPr>
                <w:iCs/>
                <w:sz w:val="20"/>
              </w:rPr>
              <w:t>none</w:t>
            </w:r>
          </w:p>
        </w:tc>
        <w:tc>
          <w:tcPr>
            <w:tcW w:w="5942" w:type="dxa"/>
          </w:tcPr>
          <w:p w14:paraId="0A019D20" w14:textId="77777777" w:rsidR="0006793C" w:rsidRPr="0013396E" w:rsidRDefault="0006793C" w:rsidP="0099759E">
            <w:pPr>
              <w:spacing w:after="60"/>
              <w:rPr>
                <w:iCs/>
                <w:sz w:val="20"/>
              </w:rPr>
            </w:pPr>
            <w:r w:rsidRPr="0013396E">
              <w:rPr>
                <w:iCs/>
                <w:sz w:val="20"/>
              </w:rPr>
              <w:t>The number of IRRs within an IRR Group.</w:t>
            </w:r>
          </w:p>
        </w:tc>
      </w:tr>
      <w:tr w:rsidR="0006793C" w:rsidRPr="0013396E" w14:paraId="6404C536" w14:textId="77777777" w:rsidTr="0099759E">
        <w:trPr>
          <w:cantSplit/>
        </w:trPr>
        <w:tc>
          <w:tcPr>
            <w:tcW w:w="2428" w:type="dxa"/>
          </w:tcPr>
          <w:p w14:paraId="37004FCD" w14:textId="77777777" w:rsidR="0006793C" w:rsidRPr="0013396E" w:rsidRDefault="0006793C" w:rsidP="0099759E">
            <w:pPr>
              <w:pStyle w:val="TableBody"/>
              <w:rPr>
                <w:i/>
              </w:rPr>
            </w:pPr>
            <w:r w:rsidRPr="0013396E">
              <w:rPr>
                <w:i/>
              </w:rPr>
              <w:t>q</w:t>
            </w:r>
          </w:p>
        </w:tc>
        <w:tc>
          <w:tcPr>
            <w:tcW w:w="1459" w:type="dxa"/>
          </w:tcPr>
          <w:p w14:paraId="22023F78" w14:textId="77777777" w:rsidR="0006793C" w:rsidRPr="0013396E" w:rsidRDefault="0006793C" w:rsidP="0099759E">
            <w:pPr>
              <w:pStyle w:val="TableBody"/>
            </w:pPr>
            <w:r w:rsidRPr="0013396E">
              <w:t>none</w:t>
            </w:r>
          </w:p>
        </w:tc>
        <w:tc>
          <w:tcPr>
            <w:tcW w:w="5942" w:type="dxa"/>
          </w:tcPr>
          <w:p w14:paraId="4B49A9D2" w14:textId="77777777" w:rsidR="0006793C" w:rsidRPr="0013396E" w:rsidRDefault="0006793C" w:rsidP="0099759E">
            <w:pPr>
              <w:pStyle w:val="TableBody"/>
            </w:pPr>
            <w:r w:rsidRPr="0013396E">
              <w:t>A QSE.</w:t>
            </w:r>
          </w:p>
        </w:tc>
      </w:tr>
      <w:tr w:rsidR="0006793C" w:rsidRPr="0013396E" w14:paraId="189A4103" w14:textId="77777777" w:rsidTr="0099759E">
        <w:trPr>
          <w:cantSplit/>
        </w:trPr>
        <w:tc>
          <w:tcPr>
            <w:tcW w:w="2428" w:type="dxa"/>
          </w:tcPr>
          <w:p w14:paraId="260EA659" w14:textId="77777777" w:rsidR="0006793C" w:rsidRPr="0013396E" w:rsidRDefault="0006793C" w:rsidP="0099759E">
            <w:pPr>
              <w:pStyle w:val="TableBody"/>
              <w:rPr>
                <w:i/>
              </w:rPr>
            </w:pPr>
            <w:r w:rsidRPr="0013396E">
              <w:rPr>
                <w:i/>
              </w:rPr>
              <w:t>p</w:t>
            </w:r>
          </w:p>
        </w:tc>
        <w:tc>
          <w:tcPr>
            <w:tcW w:w="1459" w:type="dxa"/>
          </w:tcPr>
          <w:p w14:paraId="1B10763B" w14:textId="77777777" w:rsidR="0006793C" w:rsidRPr="0013396E" w:rsidRDefault="0006793C" w:rsidP="0099759E">
            <w:pPr>
              <w:pStyle w:val="TableBody"/>
            </w:pPr>
            <w:r w:rsidRPr="0013396E">
              <w:t>none</w:t>
            </w:r>
          </w:p>
        </w:tc>
        <w:tc>
          <w:tcPr>
            <w:tcW w:w="5942" w:type="dxa"/>
          </w:tcPr>
          <w:p w14:paraId="61947D5D" w14:textId="77777777" w:rsidR="0006793C" w:rsidRPr="0013396E" w:rsidRDefault="0006793C" w:rsidP="0099759E">
            <w:pPr>
              <w:pStyle w:val="TableBody"/>
            </w:pPr>
            <w:r w:rsidRPr="0013396E">
              <w:t>A Settlement Point.</w:t>
            </w:r>
          </w:p>
        </w:tc>
      </w:tr>
      <w:tr w:rsidR="0006793C" w:rsidRPr="0013396E" w14:paraId="5D3A6A0A" w14:textId="77777777" w:rsidTr="0099759E">
        <w:trPr>
          <w:cantSplit/>
        </w:trPr>
        <w:tc>
          <w:tcPr>
            <w:tcW w:w="2428" w:type="dxa"/>
          </w:tcPr>
          <w:p w14:paraId="70BCDCF7" w14:textId="77777777" w:rsidR="0006793C" w:rsidRPr="0013396E" w:rsidRDefault="0006793C" w:rsidP="0099759E">
            <w:pPr>
              <w:pStyle w:val="TableBody"/>
              <w:tabs>
                <w:tab w:val="right" w:pos="9360"/>
              </w:tabs>
              <w:rPr>
                <w:i/>
              </w:rPr>
            </w:pPr>
            <w:r w:rsidRPr="0013396E">
              <w:rPr>
                <w:i/>
              </w:rPr>
              <w:t>r</w:t>
            </w:r>
          </w:p>
        </w:tc>
        <w:tc>
          <w:tcPr>
            <w:tcW w:w="1459" w:type="dxa"/>
          </w:tcPr>
          <w:p w14:paraId="1875D782" w14:textId="77777777" w:rsidR="0006793C" w:rsidRPr="0013396E" w:rsidRDefault="0006793C" w:rsidP="0099759E">
            <w:pPr>
              <w:pStyle w:val="TableBody"/>
              <w:tabs>
                <w:tab w:val="right" w:pos="9360"/>
              </w:tabs>
            </w:pPr>
            <w:r w:rsidRPr="0013396E">
              <w:t>none</w:t>
            </w:r>
          </w:p>
        </w:tc>
        <w:tc>
          <w:tcPr>
            <w:tcW w:w="5942" w:type="dxa"/>
          </w:tcPr>
          <w:p w14:paraId="7BD95FBA" w14:textId="77777777" w:rsidR="0006793C" w:rsidRPr="0013396E" w:rsidRDefault="0006793C" w:rsidP="0099759E">
            <w:pPr>
              <w:pStyle w:val="TableBody"/>
              <w:tabs>
                <w:tab w:val="right" w:pos="9360"/>
              </w:tabs>
              <w:rPr>
                <w:lang w:val="fr-FR"/>
              </w:rPr>
            </w:pPr>
            <w:r w:rsidRPr="0013396E">
              <w:rPr>
                <w:lang w:val="fr-FR"/>
              </w:rPr>
              <w:t>A non-exempt Generation Resource.</w:t>
            </w:r>
          </w:p>
        </w:tc>
      </w:tr>
      <w:tr w:rsidR="0006793C" w:rsidRPr="0013396E" w14:paraId="096E3738" w14:textId="77777777" w:rsidTr="0099759E">
        <w:trPr>
          <w:cantSplit/>
        </w:trPr>
        <w:tc>
          <w:tcPr>
            <w:tcW w:w="2428" w:type="dxa"/>
            <w:tcBorders>
              <w:top w:val="single" w:sz="4" w:space="0" w:color="auto"/>
              <w:left w:val="single" w:sz="4" w:space="0" w:color="auto"/>
              <w:bottom w:val="single" w:sz="4" w:space="0" w:color="auto"/>
              <w:right w:val="single" w:sz="4" w:space="0" w:color="auto"/>
            </w:tcBorders>
          </w:tcPr>
          <w:p w14:paraId="2502EB0F" w14:textId="77777777" w:rsidR="0006793C" w:rsidRPr="0013396E" w:rsidRDefault="0006793C" w:rsidP="0099759E">
            <w:pPr>
              <w:pStyle w:val="TableBody"/>
              <w:rPr>
                <w:i/>
              </w:rPr>
            </w:pPr>
            <w:r w:rsidRPr="0013396E">
              <w:rPr>
                <w:i/>
              </w:rPr>
              <w:t xml:space="preserve">y </w:t>
            </w:r>
          </w:p>
        </w:tc>
        <w:tc>
          <w:tcPr>
            <w:tcW w:w="1459" w:type="dxa"/>
            <w:tcBorders>
              <w:top w:val="single" w:sz="4" w:space="0" w:color="auto"/>
              <w:left w:val="single" w:sz="4" w:space="0" w:color="auto"/>
              <w:bottom w:val="single" w:sz="4" w:space="0" w:color="auto"/>
              <w:right w:val="single" w:sz="4" w:space="0" w:color="auto"/>
            </w:tcBorders>
          </w:tcPr>
          <w:p w14:paraId="7C0067BA" w14:textId="77777777" w:rsidR="0006793C" w:rsidRPr="0013396E" w:rsidRDefault="0006793C" w:rsidP="0099759E">
            <w:pPr>
              <w:pStyle w:val="TableBody"/>
            </w:pPr>
            <w:r w:rsidRPr="0013396E">
              <w:t>none</w:t>
            </w:r>
          </w:p>
        </w:tc>
        <w:tc>
          <w:tcPr>
            <w:tcW w:w="5942" w:type="dxa"/>
            <w:tcBorders>
              <w:top w:val="single" w:sz="4" w:space="0" w:color="auto"/>
              <w:left w:val="single" w:sz="4" w:space="0" w:color="auto"/>
              <w:bottom w:val="single" w:sz="4" w:space="0" w:color="auto"/>
              <w:right w:val="single" w:sz="4" w:space="0" w:color="auto"/>
            </w:tcBorders>
          </w:tcPr>
          <w:p w14:paraId="36983D23" w14:textId="77777777" w:rsidR="0006793C" w:rsidRPr="0013396E" w:rsidRDefault="0006793C" w:rsidP="0099759E">
            <w:pPr>
              <w:pStyle w:val="TableBody"/>
            </w:pPr>
            <w:r w:rsidRPr="0013396E">
              <w:t xml:space="preserve">A five-minute clock interval in the Settlement Interval. </w:t>
            </w:r>
          </w:p>
        </w:tc>
      </w:tr>
      <w:tr w:rsidR="0006793C" w:rsidRPr="0013396E" w14:paraId="65C3DCB4" w14:textId="77777777" w:rsidTr="0099759E">
        <w:trPr>
          <w:cantSplit/>
        </w:trPr>
        <w:tc>
          <w:tcPr>
            <w:tcW w:w="2428" w:type="dxa"/>
            <w:tcBorders>
              <w:top w:val="single" w:sz="4" w:space="0" w:color="auto"/>
              <w:left w:val="single" w:sz="4" w:space="0" w:color="auto"/>
              <w:bottom w:val="single" w:sz="4" w:space="0" w:color="auto"/>
              <w:right w:val="single" w:sz="4" w:space="0" w:color="auto"/>
            </w:tcBorders>
          </w:tcPr>
          <w:p w14:paraId="6449081A" w14:textId="77777777" w:rsidR="0006793C" w:rsidRPr="0013396E" w:rsidDel="00714336" w:rsidRDefault="0006793C" w:rsidP="0099759E">
            <w:pPr>
              <w:pStyle w:val="TableBody"/>
              <w:rPr>
                <w:i/>
              </w:rPr>
            </w:pPr>
            <w:r w:rsidRPr="0013396E">
              <w:rPr>
                <w:i/>
              </w:rPr>
              <w:t>i</w:t>
            </w:r>
          </w:p>
        </w:tc>
        <w:tc>
          <w:tcPr>
            <w:tcW w:w="1459" w:type="dxa"/>
            <w:tcBorders>
              <w:top w:val="single" w:sz="4" w:space="0" w:color="auto"/>
              <w:left w:val="single" w:sz="4" w:space="0" w:color="auto"/>
              <w:bottom w:val="single" w:sz="4" w:space="0" w:color="auto"/>
              <w:right w:val="single" w:sz="4" w:space="0" w:color="auto"/>
            </w:tcBorders>
          </w:tcPr>
          <w:p w14:paraId="60C8C674" w14:textId="77777777" w:rsidR="0006793C" w:rsidRPr="0013396E" w:rsidDel="00714336" w:rsidRDefault="0006793C" w:rsidP="0099759E">
            <w:pPr>
              <w:pStyle w:val="TableBody"/>
            </w:pPr>
            <w:r w:rsidRPr="0013396E">
              <w:t>none</w:t>
            </w:r>
          </w:p>
        </w:tc>
        <w:tc>
          <w:tcPr>
            <w:tcW w:w="5942" w:type="dxa"/>
            <w:tcBorders>
              <w:top w:val="single" w:sz="4" w:space="0" w:color="auto"/>
              <w:left w:val="single" w:sz="4" w:space="0" w:color="auto"/>
              <w:bottom w:val="single" w:sz="4" w:space="0" w:color="auto"/>
              <w:right w:val="single" w:sz="4" w:space="0" w:color="auto"/>
            </w:tcBorders>
          </w:tcPr>
          <w:p w14:paraId="11723765" w14:textId="77777777" w:rsidR="0006793C" w:rsidRPr="0013396E" w:rsidDel="00714336" w:rsidRDefault="0006793C" w:rsidP="0099759E">
            <w:pPr>
              <w:pStyle w:val="TableBody"/>
            </w:pPr>
            <w:r w:rsidRPr="0013396E">
              <w:t>A 15-minute Settlement Interval.</w:t>
            </w:r>
          </w:p>
        </w:tc>
      </w:tr>
      <w:tr w:rsidR="0006793C" w:rsidRPr="0013396E" w14:paraId="3DFBEEA1" w14:textId="77777777" w:rsidTr="0099759E">
        <w:trPr>
          <w:cantSplit/>
        </w:trPr>
        <w:tc>
          <w:tcPr>
            <w:tcW w:w="2428" w:type="dxa"/>
            <w:tcBorders>
              <w:top w:val="single" w:sz="4" w:space="0" w:color="auto"/>
              <w:left w:val="single" w:sz="4" w:space="0" w:color="auto"/>
              <w:bottom w:val="single" w:sz="4" w:space="0" w:color="auto"/>
              <w:right w:val="single" w:sz="4" w:space="0" w:color="auto"/>
            </w:tcBorders>
          </w:tcPr>
          <w:p w14:paraId="25F6DC61" w14:textId="77777777" w:rsidR="0006793C" w:rsidRPr="0013396E" w:rsidRDefault="0006793C" w:rsidP="0099759E">
            <w:pPr>
              <w:spacing w:after="60"/>
              <w:rPr>
                <w:iCs/>
                <w:sz w:val="20"/>
              </w:rPr>
            </w:pPr>
            <w:r w:rsidRPr="0013396E">
              <w:rPr>
                <w:i/>
                <w:iCs/>
                <w:sz w:val="20"/>
              </w:rPr>
              <w:t>wg</w:t>
            </w:r>
          </w:p>
        </w:tc>
        <w:tc>
          <w:tcPr>
            <w:tcW w:w="1459" w:type="dxa"/>
            <w:tcBorders>
              <w:top w:val="single" w:sz="4" w:space="0" w:color="auto"/>
              <w:left w:val="single" w:sz="4" w:space="0" w:color="auto"/>
              <w:bottom w:val="single" w:sz="4" w:space="0" w:color="auto"/>
              <w:right w:val="single" w:sz="4" w:space="0" w:color="auto"/>
            </w:tcBorders>
          </w:tcPr>
          <w:p w14:paraId="0A7139CD" w14:textId="77777777" w:rsidR="0006793C" w:rsidRPr="0013396E" w:rsidRDefault="0006793C" w:rsidP="0099759E">
            <w:pPr>
              <w:spacing w:after="60"/>
              <w:rPr>
                <w:iCs/>
                <w:sz w:val="20"/>
              </w:rPr>
            </w:pPr>
            <w:r w:rsidRPr="0013396E">
              <w:rPr>
                <w:iCs/>
                <w:sz w:val="20"/>
              </w:rPr>
              <w:t>none</w:t>
            </w:r>
          </w:p>
        </w:tc>
        <w:tc>
          <w:tcPr>
            <w:tcW w:w="5942" w:type="dxa"/>
            <w:tcBorders>
              <w:top w:val="single" w:sz="4" w:space="0" w:color="auto"/>
              <w:left w:val="single" w:sz="4" w:space="0" w:color="auto"/>
              <w:bottom w:val="single" w:sz="4" w:space="0" w:color="auto"/>
              <w:right w:val="single" w:sz="4" w:space="0" w:color="auto"/>
            </w:tcBorders>
          </w:tcPr>
          <w:p w14:paraId="34C328AB" w14:textId="77777777" w:rsidR="0006793C" w:rsidRPr="0013396E" w:rsidRDefault="0006793C" w:rsidP="0099759E">
            <w:pPr>
              <w:spacing w:after="60"/>
              <w:rPr>
                <w:iCs/>
                <w:sz w:val="20"/>
              </w:rPr>
            </w:pPr>
            <w:r w:rsidRPr="0013396E">
              <w:rPr>
                <w:iCs/>
                <w:sz w:val="20"/>
              </w:rPr>
              <w:t>An IRR Group.</w:t>
            </w:r>
          </w:p>
        </w:tc>
      </w:tr>
      <w:bookmarkEnd w:id="1740"/>
      <w:bookmarkEnd w:id="1741"/>
      <w:bookmarkEnd w:id="1742"/>
      <w:bookmarkEnd w:id="1743"/>
      <w:bookmarkEnd w:id="1744"/>
      <w:bookmarkEnd w:id="1745"/>
      <w:bookmarkEnd w:id="1746"/>
      <w:bookmarkEnd w:id="1747"/>
      <w:bookmarkEnd w:id="1748"/>
      <w:bookmarkEnd w:id="1749"/>
      <w:bookmarkEnd w:id="1750"/>
      <w:bookmarkEnd w:id="1751"/>
      <w:bookmarkEnd w:id="1752"/>
    </w:tbl>
    <w:p w14:paraId="73FB311C" w14:textId="77777777" w:rsidR="00E21852" w:rsidRPr="0013396E" w:rsidRDefault="00E21852"/>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5"/>
      </w:tblGrid>
      <w:tr w:rsidR="00E21852" w:rsidRPr="0013396E" w14:paraId="58C8C9FF" w14:textId="72232574" w:rsidTr="000F78EE">
        <w:tc>
          <w:tcPr>
            <w:tcW w:w="9829" w:type="dxa"/>
            <w:tcBorders>
              <w:top w:val="single" w:sz="4" w:space="0" w:color="auto"/>
              <w:left w:val="single" w:sz="4" w:space="0" w:color="auto"/>
              <w:bottom w:val="single" w:sz="4" w:space="0" w:color="auto"/>
              <w:right w:val="single" w:sz="4" w:space="0" w:color="auto"/>
            </w:tcBorders>
            <w:shd w:val="pct12" w:color="auto" w:fill="auto"/>
          </w:tcPr>
          <w:p w14:paraId="0A51A145" w14:textId="4BF3558C" w:rsidR="00E21852" w:rsidRPr="0013396E" w:rsidRDefault="00E21852" w:rsidP="00AB2BB6">
            <w:pPr>
              <w:pStyle w:val="Instructions"/>
              <w:spacing w:before="120"/>
            </w:pPr>
            <w:bookmarkStart w:id="1753" w:name="_Toc402357152"/>
            <w:bookmarkStart w:id="1754" w:name="_Toc422486532"/>
            <w:bookmarkStart w:id="1755" w:name="_Toc433093385"/>
            <w:bookmarkStart w:id="1756" w:name="_Toc433093543"/>
            <w:bookmarkStart w:id="1757" w:name="_Toc440874773"/>
            <w:bookmarkStart w:id="1758" w:name="_Toc448142330"/>
            <w:bookmarkStart w:id="1759" w:name="_Toc448142487"/>
            <w:bookmarkStart w:id="1760" w:name="_Toc458770328"/>
            <w:bookmarkStart w:id="1761" w:name="_Toc459294296"/>
            <w:bookmarkStart w:id="1762" w:name="_Toc463262789"/>
            <w:bookmarkStart w:id="1763" w:name="_Toc468286862"/>
            <w:bookmarkStart w:id="1764" w:name="_Toc481502902"/>
            <w:bookmarkStart w:id="1765" w:name="_Toc496080070"/>
            <w:r w:rsidRPr="0013396E">
              <w:t>[NPRR879</w:t>
            </w:r>
            <w:r w:rsidR="000F78EE">
              <w:t xml:space="preserve"> and</w:t>
            </w:r>
            <w:r w:rsidRPr="0013396E">
              <w:t xml:space="preserve"> NPRR963:  Replace applicable portions of Section 6.6.5.</w:t>
            </w:r>
            <w:r w:rsidR="000F78EE">
              <w:t>2</w:t>
            </w:r>
            <w:r w:rsidRPr="0013396E">
              <w:t xml:space="preserve"> above with the following upon system implementation:]</w:t>
            </w:r>
          </w:p>
          <w:p w14:paraId="61999CE9" w14:textId="773BC74C" w:rsidR="00E21852" w:rsidRPr="00576B1F" w:rsidRDefault="00E21852" w:rsidP="00576B1F">
            <w:pPr>
              <w:pStyle w:val="H3"/>
              <w:outlineLvl w:val="3"/>
              <w:rPr>
                <w:i w:val="0"/>
                <w:lang w:val="fr-FR"/>
              </w:rPr>
            </w:pPr>
            <w:bookmarkStart w:id="1766" w:name="_Toc60040691"/>
            <w:bookmarkStart w:id="1767" w:name="_Toc65151750"/>
            <w:bookmarkStart w:id="1768" w:name="_Toc80174776"/>
            <w:bookmarkStart w:id="1769" w:name="_Toc112417656"/>
            <w:bookmarkStart w:id="1770" w:name="_Toc119310325"/>
            <w:bookmarkStart w:id="1771" w:name="_Toc125966258"/>
            <w:bookmarkStart w:id="1772" w:name="_Toc135992356"/>
            <w:bookmarkStart w:id="1773" w:name="_Toc170303552"/>
            <w:bookmarkStart w:id="1774" w:name="_Toc175157456"/>
            <w:bookmarkStart w:id="1775" w:name="_Toc236220192"/>
            <w:r w:rsidRPr="00576B1F">
              <w:rPr>
                <w:i w:val="0"/>
                <w:lang w:val="fr-FR"/>
              </w:rPr>
              <w:t>6.6.5.2</w:t>
            </w:r>
            <w:r w:rsidRPr="00576B1F">
              <w:rPr>
                <w:i w:val="0"/>
                <w:lang w:val="fr-FR"/>
              </w:rPr>
              <w:tab/>
            </w:r>
            <w:r w:rsidR="005F232E" w:rsidRPr="00576B1F">
              <w:rPr>
                <w:i w:val="0"/>
                <w:lang w:val="fr-FR"/>
              </w:rPr>
              <w:t>Set</w:t>
            </w:r>
            <w:r w:rsidRPr="00576B1F">
              <w:rPr>
                <w:i w:val="0"/>
                <w:lang w:val="fr-FR"/>
              </w:rPr>
              <w:t xml:space="preserve"> Point Deviation Charge for Over Generation</w:t>
            </w:r>
            <w:bookmarkEnd w:id="1766"/>
            <w:bookmarkEnd w:id="1767"/>
            <w:bookmarkEnd w:id="1768"/>
            <w:bookmarkEnd w:id="1769"/>
            <w:bookmarkEnd w:id="1770"/>
            <w:bookmarkEnd w:id="1771"/>
            <w:bookmarkEnd w:id="1772"/>
            <w:bookmarkEnd w:id="1773"/>
            <w:bookmarkEnd w:id="1774"/>
            <w:bookmarkEnd w:id="1775"/>
          </w:p>
          <w:p w14:paraId="5D258C95" w14:textId="5C982B6B" w:rsidR="00E21852" w:rsidRPr="0013396E" w:rsidRDefault="00E21852" w:rsidP="00E21852">
            <w:pPr>
              <w:pStyle w:val="BodyTextNumbered"/>
            </w:pPr>
            <w:r w:rsidRPr="0013396E">
              <w:t>(1)</w:t>
            </w:r>
            <w:r w:rsidRPr="0013396E">
              <w:tab/>
              <w:t xml:space="preserve">ERCOT shall charge a QSE for a Generation Resource, including an Intermittent Renewable Resource (IRR) </w:t>
            </w:r>
            <w:r w:rsidR="005F232E" w:rsidRPr="0013396E">
              <w:t>with</w:t>
            </w:r>
            <w:r w:rsidRPr="0013396E">
              <w:t xml:space="preserve"> an Ancillary Service </w:t>
            </w:r>
            <w:r w:rsidR="005F232E" w:rsidRPr="0013396E">
              <w:t>award</w:t>
            </w:r>
            <w:r w:rsidRPr="0013396E">
              <w:t xml:space="preserve"> for at least one SCED interval within the 15-minute Settlement Interval, for over-generation that exceeds the following tolerance.  The tolerance is the greater of:</w:t>
            </w:r>
          </w:p>
          <w:p w14:paraId="048F063A" w14:textId="5221D08B" w:rsidR="00E21852" w:rsidRPr="0013396E" w:rsidRDefault="00E21852" w:rsidP="00E21852">
            <w:pPr>
              <w:pStyle w:val="BodyTextNumbered"/>
              <w:ind w:left="1440"/>
            </w:pPr>
            <w:r w:rsidRPr="0013396E">
              <w:t>(a)</w:t>
            </w:r>
            <w:r w:rsidRPr="0013396E">
              <w:tab/>
              <w:t xml:space="preserve">5% of the </w:t>
            </w:r>
            <w:r w:rsidR="005F232E" w:rsidRPr="0013396E">
              <w:t>AASP</w:t>
            </w:r>
            <w:r w:rsidRPr="0013396E">
              <w:t xml:space="preserve"> in the Settlement Interval; or</w:t>
            </w:r>
          </w:p>
          <w:p w14:paraId="7DEE873A" w14:textId="1DD84C50" w:rsidR="00E21852" w:rsidRPr="0013396E" w:rsidRDefault="00E21852" w:rsidP="00E21852">
            <w:pPr>
              <w:pStyle w:val="BodyTextNumbered"/>
              <w:ind w:left="1440"/>
            </w:pPr>
            <w:r w:rsidRPr="0013396E">
              <w:t>(b)</w:t>
            </w:r>
            <w:r w:rsidRPr="0013396E">
              <w:tab/>
              <w:t xml:space="preserve">Five MW above the </w:t>
            </w:r>
            <w:r w:rsidR="005F232E" w:rsidRPr="0013396E">
              <w:t>AASP</w:t>
            </w:r>
            <w:r w:rsidRPr="0013396E">
              <w:t xml:space="preserve"> in the Settlement Interval. </w:t>
            </w:r>
          </w:p>
          <w:p w14:paraId="42C6CA0F" w14:textId="4DB5A300" w:rsidR="00E21852" w:rsidRPr="0013396E" w:rsidRDefault="00E21852" w:rsidP="00E21852">
            <w:pPr>
              <w:pStyle w:val="BodyTextNumbered"/>
            </w:pPr>
            <w:r w:rsidRPr="0013396E">
              <w:rPr>
                <w:iCs/>
              </w:rPr>
              <w:lastRenderedPageBreak/>
              <w:t>(2)</w:t>
            </w:r>
            <w:r w:rsidRPr="0013396E">
              <w:rPr>
                <w:iCs/>
              </w:rPr>
              <w:tab/>
              <w:t xml:space="preserve">For instances in which an IRR </w:t>
            </w:r>
            <w:r w:rsidR="005F232E" w:rsidRPr="0013396E">
              <w:rPr>
                <w:iCs/>
              </w:rPr>
              <w:t>has not received</w:t>
            </w:r>
            <w:r w:rsidRPr="0013396E">
              <w:rPr>
                <w:iCs/>
              </w:rPr>
              <w:t xml:space="preserve"> an Ancillary Service </w:t>
            </w:r>
            <w:r w:rsidR="005F232E" w:rsidRPr="0013396E">
              <w:rPr>
                <w:iCs/>
              </w:rPr>
              <w:t>award</w:t>
            </w:r>
            <w:r w:rsidRPr="0013396E">
              <w:rPr>
                <w:iCs/>
              </w:rPr>
              <w:t xml:space="preserve"> or is </w:t>
            </w:r>
            <w:r w:rsidR="005F232E" w:rsidRPr="0013396E">
              <w:rPr>
                <w:iCs/>
              </w:rPr>
              <w:t xml:space="preserve">not </w:t>
            </w:r>
            <w:r w:rsidRPr="0013396E">
              <w:rPr>
                <w:iCs/>
              </w:rPr>
              <w:t xml:space="preserve">part of an IRR Group in which </w:t>
            </w:r>
            <w:r w:rsidR="005F232E" w:rsidRPr="0013396E">
              <w:rPr>
                <w:iCs/>
              </w:rPr>
              <w:t>an</w:t>
            </w:r>
            <w:r w:rsidRPr="0013396E">
              <w:rPr>
                <w:iCs/>
              </w:rPr>
              <w:t xml:space="preserve"> IRR </w:t>
            </w:r>
            <w:r w:rsidR="005F232E" w:rsidRPr="0013396E">
              <w:rPr>
                <w:iCs/>
              </w:rPr>
              <w:t>receives</w:t>
            </w:r>
            <w:r w:rsidRPr="0013396E">
              <w:rPr>
                <w:iCs/>
              </w:rPr>
              <w:t xml:space="preserve"> an Ancillary </w:t>
            </w:r>
            <w:r w:rsidRPr="0013396E">
              <w:t>Service</w:t>
            </w:r>
            <w:r w:rsidRPr="0013396E">
              <w:rPr>
                <w:iCs/>
              </w:rPr>
              <w:t xml:space="preserve"> </w:t>
            </w:r>
            <w:r w:rsidR="005F232E" w:rsidRPr="0013396E">
              <w:rPr>
                <w:iCs/>
              </w:rPr>
              <w:t>award</w:t>
            </w:r>
            <w:r w:rsidRPr="0013396E">
              <w:rPr>
                <w:iCs/>
              </w:rPr>
              <w:t xml:space="preserve"> for </w:t>
            </w:r>
            <w:r w:rsidR="005F232E" w:rsidRPr="0013396E">
              <w:rPr>
                <w:iCs/>
              </w:rPr>
              <w:t>any</w:t>
            </w:r>
            <w:r w:rsidRPr="0013396E">
              <w:rPr>
                <w:iCs/>
              </w:rPr>
              <w:t xml:space="preserve"> SCED interval within the 15-minute Settlement Interval, </w:t>
            </w:r>
            <w:r w:rsidR="005F232E" w:rsidRPr="0013396E">
              <w:rPr>
                <w:iCs/>
              </w:rPr>
              <w:t>Set</w:t>
            </w:r>
            <w:r w:rsidRPr="0013396E">
              <w:rPr>
                <w:iCs/>
              </w:rPr>
              <w:t xml:space="preserve"> Point Deviation Charges will be determined per Section 6.6.5.4, IRR Generation Resource </w:t>
            </w:r>
            <w:r w:rsidR="005F232E" w:rsidRPr="0013396E">
              <w:rPr>
                <w:iCs/>
              </w:rPr>
              <w:t>Set</w:t>
            </w:r>
            <w:r w:rsidRPr="0013396E">
              <w:rPr>
                <w:iCs/>
              </w:rPr>
              <w:t xml:space="preserve"> Point Deviation Charge.</w:t>
            </w:r>
          </w:p>
          <w:p w14:paraId="5F428361" w14:textId="3B0D4CB4" w:rsidR="00E21852" w:rsidRPr="0013396E" w:rsidRDefault="00E21852" w:rsidP="00E21852">
            <w:pPr>
              <w:pStyle w:val="BodyTextNumbered"/>
              <w:rPr>
                <w:iCs/>
              </w:rPr>
            </w:pPr>
            <w:r w:rsidRPr="0013396E">
              <w:rPr>
                <w:iCs/>
              </w:rPr>
              <w:t>(3)</w:t>
            </w:r>
            <w:r w:rsidRPr="0013396E">
              <w:rPr>
                <w:iCs/>
              </w:rPr>
              <w:tab/>
              <w:t>The over-generation charge to each QSE for each Generation Resource, that is not part of an IRR Group, at each Resource Node Settlement Point is calculated as follows:</w:t>
            </w:r>
          </w:p>
          <w:p w14:paraId="15B70997" w14:textId="7E19397B" w:rsidR="00E21852" w:rsidRPr="0013396E" w:rsidRDefault="005F232E" w:rsidP="00E21852">
            <w:pPr>
              <w:pStyle w:val="FormulaBold"/>
            </w:pPr>
            <w:r w:rsidRPr="0013396E">
              <w:t>S</w:t>
            </w:r>
            <w:r w:rsidR="00E21852" w:rsidRPr="0013396E">
              <w:t xml:space="preserve">PDAMT </w:t>
            </w:r>
            <w:r w:rsidR="00E21852" w:rsidRPr="0013396E">
              <w:rPr>
                <w:i/>
                <w:iCs/>
                <w:vertAlign w:val="subscript"/>
                <w:lang w:val="es-ES"/>
              </w:rPr>
              <w:t xml:space="preserve">q, r, p, i </w:t>
            </w:r>
            <w:r w:rsidR="00E21852" w:rsidRPr="0013396E">
              <w:tab/>
              <w:t>=</w:t>
            </w:r>
            <w:r w:rsidR="00E21852" w:rsidRPr="0013396E">
              <w:tab/>
              <w:t xml:space="preserve">Max (PR1, RTSPP </w:t>
            </w:r>
            <w:r w:rsidR="00E21852" w:rsidRPr="0013396E">
              <w:rPr>
                <w:i/>
                <w:vertAlign w:val="subscript"/>
              </w:rPr>
              <w:t>p, i</w:t>
            </w:r>
            <w:r w:rsidR="00E21852" w:rsidRPr="0013396E">
              <w:t>) * OGEN</w:t>
            </w:r>
            <w:r w:rsidR="00E21852" w:rsidRPr="0013396E">
              <w:rPr>
                <w:i/>
                <w:iCs/>
                <w:vertAlign w:val="subscript"/>
                <w:lang w:val="es-ES"/>
              </w:rPr>
              <w:t xml:space="preserve"> q, r, p, i </w:t>
            </w:r>
            <w:r w:rsidR="00E21852" w:rsidRPr="0013396E">
              <w:rPr>
                <w:rFonts w:ascii="Times New Roman Bold" w:hAnsi="Times New Roman Bold"/>
                <w:iCs/>
                <w:lang w:val="es-ES"/>
              </w:rPr>
              <w:t xml:space="preserve"> </w:t>
            </w:r>
          </w:p>
          <w:p w14:paraId="29F7A82B" w14:textId="458BE756" w:rsidR="00E21852" w:rsidRPr="0013396E" w:rsidRDefault="00E21852" w:rsidP="00E21852">
            <w:pPr>
              <w:pStyle w:val="FormulaBold"/>
              <w:rPr>
                <w:b w:val="0"/>
              </w:rPr>
            </w:pPr>
            <w:r w:rsidRPr="0013396E">
              <w:rPr>
                <w:b w:val="0"/>
              </w:rPr>
              <w:t>Where:</w:t>
            </w:r>
          </w:p>
          <w:p w14:paraId="1CFB49F2" w14:textId="286D4EB9" w:rsidR="00E21852" w:rsidRPr="0013396E" w:rsidRDefault="00E21852" w:rsidP="00E21852">
            <w:pPr>
              <w:pStyle w:val="FormulaBold"/>
              <w:rPr>
                <w:b w:val="0"/>
                <w:caps/>
              </w:rPr>
            </w:pPr>
            <w:r w:rsidRPr="0013396E">
              <w:rPr>
                <w:b w:val="0"/>
              </w:rPr>
              <w:t>OGEN</w:t>
            </w:r>
            <w:r w:rsidRPr="0013396E">
              <w:rPr>
                <w:b w:val="0"/>
                <w:i/>
                <w:iCs/>
                <w:vertAlign w:val="subscript"/>
                <w:lang w:val="es-ES"/>
              </w:rPr>
              <w:t xml:space="preserve"> q, r, p, i </w:t>
            </w:r>
            <w:r w:rsidRPr="0013396E">
              <w:rPr>
                <w:b w:val="0"/>
              </w:rPr>
              <w:t xml:space="preserve"> = Max [0, (TWTG </w:t>
            </w:r>
            <w:r w:rsidRPr="0013396E">
              <w:rPr>
                <w:b w:val="0"/>
                <w:i/>
                <w:iCs/>
                <w:vertAlign w:val="subscript"/>
                <w:lang w:val="es-ES"/>
              </w:rPr>
              <w:t xml:space="preserve">q, r, p, i </w:t>
            </w:r>
            <w:r w:rsidRPr="0013396E">
              <w:rPr>
                <w:b w:val="0"/>
              </w:rPr>
              <w:t xml:space="preserve"> – ¼ * Max (((1 + K1) * AA</w:t>
            </w:r>
            <w:r w:rsidR="005F232E" w:rsidRPr="0013396E">
              <w:rPr>
                <w:b w:val="0"/>
              </w:rPr>
              <w:t>S</w:t>
            </w:r>
            <w:r w:rsidRPr="0013396E">
              <w:rPr>
                <w:b w:val="0"/>
              </w:rPr>
              <w:t>P</w:t>
            </w:r>
            <w:r w:rsidRPr="0013396E">
              <w:rPr>
                <w:b w:val="0"/>
                <w:i/>
                <w:iCs/>
                <w:vertAlign w:val="subscript"/>
                <w:lang w:val="es-ES"/>
              </w:rPr>
              <w:t xml:space="preserve"> q, r, p, i</w:t>
            </w:r>
            <w:r w:rsidRPr="0013396E">
              <w:rPr>
                <w:rFonts w:ascii="Times New Roman Bold" w:hAnsi="Times New Roman Bold"/>
                <w:b w:val="0"/>
                <w:iCs/>
                <w:lang w:val="es-ES"/>
              </w:rPr>
              <w:t>)</w:t>
            </w:r>
            <w:r w:rsidRPr="0013396E">
              <w:rPr>
                <w:b w:val="0"/>
              </w:rPr>
              <w:t>, (AA</w:t>
            </w:r>
            <w:r w:rsidR="005F232E" w:rsidRPr="0013396E">
              <w:rPr>
                <w:b w:val="0"/>
              </w:rPr>
              <w:t>S</w:t>
            </w:r>
            <w:r w:rsidRPr="0013396E">
              <w:rPr>
                <w:b w:val="0"/>
              </w:rPr>
              <w:t>P</w:t>
            </w:r>
            <w:r w:rsidRPr="0013396E">
              <w:rPr>
                <w:b w:val="0"/>
                <w:i/>
                <w:iCs/>
                <w:vertAlign w:val="subscript"/>
                <w:lang w:val="es-ES"/>
              </w:rPr>
              <w:t xml:space="preserve"> q, r, p, i </w:t>
            </w:r>
            <w:r w:rsidRPr="0013396E">
              <w:rPr>
                <w:b w:val="0"/>
              </w:rPr>
              <w:t>+ Q1)))]</w:t>
            </w:r>
          </w:p>
          <w:p w14:paraId="6F5097F6" w14:textId="72404691" w:rsidR="00E21852" w:rsidRPr="0013396E" w:rsidRDefault="00E21852" w:rsidP="00E21852">
            <w:pPr>
              <w:pStyle w:val="BodyTextNumbered"/>
              <w:ind w:left="1440"/>
            </w:pPr>
            <w:r w:rsidRPr="0013396E">
              <w:t>TWTG</w:t>
            </w:r>
            <w:r w:rsidRPr="0013396E">
              <w:rPr>
                <w:i/>
                <w:vertAlign w:val="subscript"/>
              </w:rPr>
              <w:t xml:space="preserve"> q, r, p, i</w:t>
            </w:r>
            <w:r w:rsidRPr="0013396E">
              <w:rPr>
                <w:i/>
                <w:vertAlign w:val="subscript"/>
              </w:rPr>
              <w:tab/>
              <w:t>=</w:t>
            </w:r>
            <w:r w:rsidRPr="0013396E">
              <w:rPr>
                <w:i/>
                <w:vertAlign w:val="subscript"/>
              </w:rPr>
              <w:tab/>
            </w:r>
            <w:r w:rsidRPr="0013396E">
              <w:t>(</w:t>
            </w:r>
            <w:r w:rsidRPr="0013396E">
              <w:rPr>
                <w:position w:val="-22"/>
              </w:rPr>
              <w:object w:dxaOrig="210" w:dyaOrig="450" w14:anchorId="65C0AF23">
                <v:shape id="_x0000_i1150" type="#_x0000_t75" style="width:6pt;height:24pt" o:ole="">
                  <v:imagedata r:id="rId178" o:title=""/>
                </v:shape>
                <o:OLEObject Type="Embed" ProgID="Equation.3" ShapeID="_x0000_i1150" DrawAspect="Content" ObjectID="_1849065781" r:id="rId181"/>
              </w:object>
            </w:r>
            <w:r w:rsidRPr="0013396E">
              <w:t xml:space="preserve"> (AVGTG5M</w:t>
            </w:r>
            <w:r w:rsidRPr="0013396E">
              <w:rPr>
                <w:i/>
                <w:vertAlign w:val="subscript"/>
              </w:rPr>
              <w:t xml:space="preserve"> q, r, p, i, y</w:t>
            </w:r>
            <w:r w:rsidRPr="0013396E">
              <w:t>)</w:t>
            </w:r>
            <w:r w:rsidRPr="0013396E">
              <w:rPr>
                <w:rFonts w:ascii="Times New Roman Bold" w:hAnsi="Times New Roman Bold"/>
              </w:rPr>
              <w:t xml:space="preserve"> / </w:t>
            </w:r>
            <w:r w:rsidRPr="0013396E">
              <w:t>3)</w:t>
            </w:r>
            <w:r w:rsidRPr="0013396E">
              <w:rPr>
                <w:rFonts w:ascii="Times New Roman Bold" w:hAnsi="Times New Roman Bold"/>
              </w:rPr>
              <w:t xml:space="preserve"> </w:t>
            </w:r>
            <w:r w:rsidRPr="0013396E">
              <w:t>*</w:t>
            </w:r>
            <w:r w:rsidRPr="0013396E">
              <w:rPr>
                <w:rFonts w:ascii="Times New Roman Bold" w:hAnsi="Times New Roman Bold"/>
              </w:rPr>
              <w:t xml:space="preserve"> </w:t>
            </w:r>
            <w:r w:rsidRPr="0013396E">
              <w:rPr>
                <w:rFonts w:hint="eastAsia"/>
              </w:rPr>
              <w:t>¼</w:t>
            </w:r>
          </w:p>
          <w:p w14:paraId="01E2AA6A" w14:textId="48E83338" w:rsidR="00E21852" w:rsidRPr="0013396E" w:rsidRDefault="00E21852" w:rsidP="00E21852">
            <w:pPr>
              <w:spacing w:after="240"/>
              <w:ind w:left="720" w:hanging="720"/>
              <w:rPr>
                <w:lang w:val="pt-BR"/>
              </w:rPr>
            </w:pPr>
            <w:r w:rsidRPr="0013396E">
              <w:rPr>
                <w:iCs/>
              </w:rPr>
              <w:t>(4)</w:t>
            </w:r>
            <w:r w:rsidRPr="0013396E">
              <w:rPr>
                <w:iCs/>
              </w:rPr>
              <w:tab/>
            </w:r>
            <w:r w:rsidRPr="0013396E">
              <w:rPr>
                <w:lang w:val="pt-BR"/>
              </w:rPr>
              <w:t xml:space="preserve">If any IRR in an IRR Group is </w:t>
            </w:r>
            <w:r w:rsidR="005F232E" w:rsidRPr="0013396E">
              <w:rPr>
                <w:lang w:val="pt-BR"/>
              </w:rPr>
              <w:t>awarded</w:t>
            </w:r>
            <w:r w:rsidRPr="0013396E">
              <w:rPr>
                <w:lang w:val="pt-BR"/>
              </w:rPr>
              <w:t xml:space="preserve"> Ancillary Service</w:t>
            </w:r>
            <w:r w:rsidR="005F232E" w:rsidRPr="0013396E">
              <w:rPr>
                <w:lang w:val="pt-BR"/>
              </w:rPr>
              <w:t>s</w:t>
            </w:r>
            <w:r w:rsidRPr="0013396E">
              <w:rPr>
                <w:lang w:val="pt-BR"/>
              </w:rPr>
              <w:t xml:space="preserve"> for at least one SCED interval within the 15-minute Settlement Interval, then the deviation penalty is determined for the IRR Group and evenly allocated and charged to each IRR within that IRR Group as follows:</w:t>
            </w:r>
          </w:p>
          <w:p w14:paraId="6FB0434D" w14:textId="101BFA4F" w:rsidR="00E21852" w:rsidRPr="0013396E" w:rsidRDefault="005F232E" w:rsidP="00E21852">
            <w:pPr>
              <w:pStyle w:val="FormulaBold"/>
            </w:pPr>
            <w:r w:rsidRPr="0013396E">
              <w:t>S</w:t>
            </w:r>
            <w:r w:rsidR="00E21852" w:rsidRPr="0013396E">
              <w:t xml:space="preserve">PDAMT </w:t>
            </w:r>
            <w:r w:rsidR="00E21852" w:rsidRPr="0013396E">
              <w:rPr>
                <w:i/>
                <w:iCs/>
                <w:vertAlign w:val="subscript"/>
                <w:lang w:val="es-ES"/>
              </w:rPr>
              <w:t xml:space="preserve">q, r, p, i        </w:t>
            </w:r>
            <w:r w:rsidR="00E21852" w:rsidRPr="0013396E">
              <w:t xml:space="preserve">=      Max (PR1, RTSPP </w:t>
            </w:r>
            <w:r w:rsidR="00E21852" w:rsidRPr="0013396E">
              <w:rPr>
                <w:i/>
                <w:vertAlign w:val="subscript"/>
              </w:rPr>
              <w:t>p, i</w:t>
            </w:r>
            <w:r w:rsidR="00E21852" w:rsidRPr="0013396E">
              <w:t>) * OGEN</w:t>
            </w:r>
            <w:r w:rsidR="00E21852" w:rsidRPr="0013396E">
              <w:rPr>
                <w:i/>
                <w:iCs/>
                <w:vertAlign w:val="subscript"/>
                <w:lang w:val="es-ES"/>
              </w:rPr>
              <w:t xml:space="preserve"> q, r, p, i </w:t>
            </w:r>
            <w:r w:rsidR="00E21852" w:rsidRPr="0013396E">
              <w:rPr>
                <w:rFonts w:ascii="Times New Roman Bold" w:hAnsi="Times New Roman Bold"/>
                <w:iCs/>
                <w:lang w:val="es-ES"/>
              </w:rPr>
              <w:t xml:space="preserve"> </w:t>
            </w:r>
          </w:p>
          <w:p w14:paraId="5812D3EA" w14:textId="6D11045A" w:rsidR="00E21852" w:rsidRPr="0013396E" w:rsidRDefault="00E21852" w:rsidP="00E21852">
            <w:pPr>
              <w:pStyle w:val="FormulaBold"/>
              <w:rPr>
                <w:b w:val="0"/>
              </w:rPr>
            </w:pPr>
            <w:r w:rsidRPr="0013396E">
              <w:rPr>
                <w:b w:val="0"/>
              </w:rPr>
              <w:t>Where:</w:t>
            </w:r>
          </w:p>
          <w:p w14:paraId="65589AFC" w14:textId="46D23CA3" w:rsidR="00E21852" w:rsidRPr="0013396E" w:rsidRDefault="00E21852" w:rsidP="00E21852">
            <w:pPr>
              <w:pStyle w:val="FormulaBold"/>
              <w:spacing w:after="120"/>
              <w:rPr>
                <w:b w:val="0"/>
              </w:rPr>
            </w:pPr>
            <w:r w:rsidRPr="0013396E">
              <w:rPr>
                <w:b w:val="0"/>
              </w:rPr>
              <w:t>OGEN</w:t>
            </w:r>
            <w:r w:rsidRPr="0013396E">
              <w:rPr>
                <w:b w:val="0"/>
                <w:i/>
                <w:iCs/>
                <w:vertAlign w:val="subscript"/>
                <w:lang w:val="es-ES"/>
              </w:rPr>
              <w:t xml:space="preserve"> q, r, p, i </w:t>
            </w:r>
            <w:r w:rsidRPr="0013396E">
              <w:rPr>
                <w:b w:val="0"/>
              </w:rPr>
              <w:t xml:space="preserve"> = Max [0, (TWTG </w:t>
            </w:r>
            <w:r w:rsidRPr="0013396E">
              <w:rPr>
                <w:b w:val="0"/>
                <w:i/>
                <w:iCs/>
                <w:vertAlign w:val="subscript"/>
                <w:lang w:val="es-ES"/>
              </w:rPr>
              <w:t xml:space="preserve">q, wg, p, i </w:t>
            </w:r>
            <w:r w:rsidRPr="0013396E">
              <w:rPr>
                <w:b w:val="0"/>
              </w:rPr>
              <w:t xml:space="preserve"> – ¼ * Max (((1 + K1) * AA</w:t>
            </w:r>
            <w:r w:rsidR="005F232E" w:rsidRPr="0013396E">
              <w:rPr>
                <w:b w:val="0"/>
              </w:rPr>
              <w:t>S</w:t>
            </w:r>
            <w:r w:rsidRPr="0013396E">
              <w:rPr>
                <w:b w:val="0"/>
              </w:rPr>
              <w:t>P</w:t>
            </w:r>
            <w:r w:rsidRPr="0013396E">
              <w:rPr>
                <w:b w:val="0"/>
                <w:i/>
                <w:iCs/>
                <w:vertAlign w:val="subscript"/>
                <w:lang w:val="es-ES"/>
              </w:rPr>
              <w:t xml:space="preserve"> q, wg, p, i</w:t>
            </w:r>
            <w:r w:rsidRPr="0013396E">
              <w:rPr>
                <w:rFonts w:ascii="Times New Roman Bold" w:hAnsi="Times New Roman Bold"/>
                <w:b w:val="0"/>
                <w:iCs/>
                <w:lang w:val="es-ES"/>
              </w:rPr>
              <w:t>)</w:t>
            </w:r>
            <w:r w:rsidRPr="0013396E">
              <w:rPr>
                <w:b w:val="0"/>
              </w:rPr>
              <w:t xml:space="preserve">, </w:t>
            </w:r>
          </w:p>
          <w:p w14:paraId="133EB3BB" w14:textId="50068B0D" w:rsidR="00E21852" w:rsidRPr="0013396E" w:rsidRDefault="00E21852" w:rsidP="00E21852">
            <w:pPr>
              <w:pStyle w:val="FormulaBold"/>
              <w:rPr>
                <w:b w:val="0"/>
                <w:caps/>
              </w:rPr>
            </w:pPr>
            <w:r w:rsidRPr="0013396E">
              <w:rPr>
                <w:b w:val="0"/>
              </w:rPr>
              <w:tab/>
              <w:t>(AA</w:t>
            </w:r>
            <w:r w:rsidR="005F232E" w:rsidRPr="0013396E">
              <w:rPr>
                <w:b w:val="0"/>
              </w:rPr>
              <w:t>S</w:t>
            </w:r>
            <w:r w:rsidRPr="0013396E">
              <w:rPr>
                <w:b w:val="0"/>
              </w:rPr>
              <w:t>P</w:t>
            </w:r>
            <w:r w:rsidRPr="0013396E">
              <w:rPr>
                <w:b w:val="0"/>
                <w:i/>
                <w:iCs/>
                <w:vertAlign w:val="subscript"/>
                <w:lang w:val="es-ES"/>
              </w:rPr>
              <w:t xml:space="preserve"> q, wg, p, i </w:t>
            </w:r>
            <w:r w:rsidRPr="0013396E">
              <w:rPr>
                <w:b w:val="0"/>
              </w:rPr>
              <w:t>+ Q1)))] / N</w:t>
            </w:r>
          </w:p>
          <w:p w14:paraId="6781BBE9" w14:textId="57AAB5F1" w:rsidR="00E21852" w:rsidRPr="0013396E" w:rsidRDefault="00E21852" w:rsidP="00E21852">
            <w:pPr>
              <w:pStyle w:val="BodyTextNumbered"/>
              <w:ind w:left="1440"/>
            </w:pPr>
            <w:r w:rsidRPr="0013396E">
              <w:t>TWTG</w:t>
            </w:r>
            <w:r w:rsidRPr="0013396E">
              <w:rPr>
                <w:i/>
                <w:vertAlign w:val="subscript"/>
              </w:rPr>
              <w:t xml:space="preserve"> q, wg, p, i</w:t>
            </w:r>
            <w:r w:rsidRPr="0013396E">
              <w:rPr>
                <w:i/>
                <w:vertAlign w:val="subscript"/>
              </w:rPr>
              <w:tab/>
            </w:r>
            <w:r w:rsidRPr="0013396E">
              <w:rPr>
                <w:lang w:val="pt-BR"/>
              </w:rPr>
              <w:t xml:space="preserve">= </w:t>
            </w:r>
            <w:r w:rsidRPr="0013396E">
              <w:rPr>
                <w:noProof/>
                <w:position w:val="-18"/>
              </w:rPr>
              <w:drawing>
                <wp:inline distT="0" distB="0" distL="0" distR="0" wp14:anchorId="2C0BBA2B" wp14:editId="5602FD8F">
                  <wp:extent cx="135255" cy="246380"/>
                  <wp:effectExtent l="0" t="0" r="0" b="1270"/>
                  <wp:docPr id="3291" name="Picture 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t xml:space="preserve"> (</w:t>
            </w:r>
            <w:r w:rsidRPr="0013396E">
              <w:rPr>
                <w:position w:val="-22"/>
              </w:rPr>
              <w:object w:dxaOrig="210" w:dyaOrig="450" w14:anchorId="58F1BF0A">
                <v:shape id="_x0000_i1151" type="#_x0000_t75" style="width:6pt;height:24pt" o:ole="">
                  <v:imagedata r:id="rId178" o:title=""/>
                </v:shape>
                <o:OLEObject Type="Embed" ProgID="Equation.3" ShapeID="_x0000_i1151" DrawAspect="Content" ObjectID="_1849065782" r:id="rId183"/>
              </w:object>
            </w:r>
            <w:r w:rsidRPr="0013396E">
              <w:t xml:space="preserve"> (AVGTG5M</w:t>
            </w:r>
            <w:r w:rsidRPr="0013396E">
              <w:rPr>
                <w:i/>
                <w:vertAlign w:val="subscript"/>
              </w:rPr>
              <w:t xml:space="preserve"> q, r, p, i, y</w:t>
            </w:r>
            <w:r w:rsidRPr="0013396E">
              <w:t>)</w:t>
            </w:r>
            <w:r w:rsidRPr="0013396E">
              <w:rPr>
                <w:rFonts w:ascii="Times New Roman Bold" w:hAnsi="Times New Roman Bold"/>
              </w:rPr>
              <w:t xml:space="preserve"> / </w:t>
            </w:r>
            <w:r w:rsidRPr="0013396E">
              <w:t>3)</w:t>
            </w:r>
            <w:r w:rsidRPr="0013396E">
              <w:rPr>
                <w:rFonts w:ascii="Times New Roman Bold" w:hAnsi="Times New Roman Bold"/>
              </w:rPr>
              <w:t xml:space="preserve"> </w:t>
            </w:r>
            <w:r w:rsidRPr="0013396E">
              <w:t>*</w:t>
            </w:r>
            <w:r w:rsidRPr="0013396E">
              <w:rPr>
                <w:rFonts w:ascii="Times New Roman Bold" w:hAnsi="Times New Roman Bold"/>
              </w:rPr>
              <w:t xml:space="preserve"> </w:t>
            </w:r>
            <w:r w:rsidRPr="0013396E">
              <w:rPr>
                <w:rFonts w:hint="eastAsia"/>
              </w:rPr>
              <w:t>¼</w:t>
            </w:r>
          </w:p>
          <w:p w14:paraId="7712D593" w14:textId="3B4F4020" w:rsidR="00E21852" w:rsidRPr="0013396E" w:rsidRDefault="00E21852" w:rsidP="00E21852">
            <w:pPr>
              <w:pStyle w:val="BodyTextNumbered"/>
              <w:ind w:left="1440"/>
              <w:rPr>
                <w:rFonts w:ascii="Times New Roman Bold" w:hAnsi="Times New Roman Bold"/>
              </w:rPr>
            </w:pPr>
            <w:r w:rsidRPr="0013396E">
              <w:rPr>
                <w:lang w:val="es-ES"/>
              </w:rPr>
              <w:t>AA</w:t>
            </w:r>
            <w:r w:rsidR="005F232E" w:rsidRPr="0013396E">
              <w:rPr>
                <w:lang w:val="es-ES"/>
              </w:rPr>
              <w:t>S</w:t>
            </w:r>
            <w:r w:rsidRPr="0013396E">
              <w:rPr>
                <w:lang w:val="es-ES"/>
              </w:rPr>
              <w:t>P</w:t>
            </w:r>
            <w:r w:rsidRPr="0013396E">
              <w:rPr>
                <w:i/>
                <w:vertAlign w:val="subscript"/>
                <w:lang w:val="pt-BR"/>
              </w:rPr>
              <w:t xml:space="preserve"> q, wg, p, i  </w:t>
            </w:r>
            <w:r w:rsidRPr="0013396E">
              <w:rPr>
                <w:lang w:val="pt-BR"/>
              </w:rPr>
              <w:t xml:space="preserve">= </w:t>
            </w:r>
            <w:r w:rsidRPr="0013396E">
              <w:rPr>
                <w:noProof/>
                <w:position w:val="-18"/>
              </w:rPr>
              <w:drawing>
                <wp:inline distT="0" distB="0" distL="0" distR="0" wp14:anchorId="4D3ABE0B" wp14:editId="00D06970">
                  <wp:extent cx="135255" cy="246380"/>
                  <wp:effectExtent l="0" t="0" r="0" b="1270"/>
                  <wp:docPr id="3290" name="Picture 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lang w:val="es-ES"/>
              </w:rPr>
              <w:t>(</w:t>
            </w:r>
            <w:r w:rsidRPr="0013396E">
              <w:rPr>
                <w:lang w:val="pt-BR"/>
              </w:rPr>
              <w:t>AA</w:t>
            </w:r>
            <w:r w:rsidR="005F232E" w:rsidRPr="0013396E">
              <w:rPr>
                <w:lang w:val="pt-BR"/>
              </w:rPr>
              <w:t>S</w:t>
            </w:r>
            <w:r w:rsidRPr="0013396E">
              <w:rPr>
                <w:lang w:val="pt-BR"/>
              </w:rPr>
              <w:t>P</w:t>
            </w:r>
            <w:r w:rsidRPr="0013396E">
              <w:rPr>
                <w:i/>
                <w:vertAlign w:val="subscript"/>
                <w:lang w:val="pt-BR"/>
              </w:rPr>
              <w:t xml:space="preserve"> q,</w:t>
            </w:r>
            <w:r w:rsidR="0045796A" w:rsidRPr="0013396E">
              <w:rPr>
                <w:i/>
                <w:vertAlign w:val="subscript"/>
                <w:lang w:val="pt-BR"/>
              </w:rPr>
              <w:t xml:space="preserve"> </w:t>
            </w:r>
            <w:r w:rsidRPr="0013396E">
              <w:rPr>
                <w:i/>
                <w:vertAlign w:val="subscript"/>
                <w:lang w:val="pt-BR"/>
              </w:rPr>
              <w:t>r, p, i</w:t>
            </w:r>
            <w:r w:rsidRPr="0013396E">
              <w:rPr>
                <w:lang w:val="pt-BR"/>
              </w:rPr>
              <w:t>)</w:t>
            </w:r>
          </w:p>
          <w:p w14:paraId="289852E1" w14:textId="5F0C5F9B" w:rsidR="00E21852" w:rsidRPr="0013396E" w:rsidRDefault="00E21852" w:rsidP="00E21852">
            <w:r w:rsidRPr="0013396E">
              <w:t>The above variables are defined as follows:</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1459"/>
              <w:gridCol w:w="5942"/>
            </w:tblGrid>
            <w:tr w:rsidR="0045796A" w:rsidRPr="0013396E" w14:paraId="0CED3DE2" w14:textId="5D570FE7" w:rsidTr="000F78EE">
              <w:trPr>
                <w:cantSplit/>
                <w:tblHeader/>
              </w:trPr>
              <w:tc>
                <w:tcPr>
                  <w:tcW w:w="2428" w:type="dxa"/>
                </w:tcPr>
                <w:p w14:paraId="0C892B77" w14:textId="75CE80AC" w:rsidR="0045796A" w:rsidRPr="0013396E" w:rsidRDefault="0045796A" w:rsidP="0045796A">
                  <w:pPr>
                    <w:pStyle w:val="TableHead"/>
                    <w:tabs>
                      <w:tab w:val="right" w:pos="9360"/>
                    </w:tabs>
                  </w:pPr>
                  <w:r w:rsidRPr="0013396E">
                    <w:t>Variable</w:t>
                  </w:r>
                </w:p>
              </w:tc>
              <w:tc>
                <w:tcPr>
                  <w:tcW w:w="1459" w:type="dxa"/>
                </w:tcPr>
                <w:p w14:paraId="05552C95" w14:textId="2C356BD8" w:rsidR="0045796A" w:rsidRPr="0013396E" w:rsidRDefault="0045796A" w:rsidP="0045796A">
                  <w:pPr>
                    <w:pStyle w:val="TableHead"/>
                    <w:tabs>
                      <w:tab w:val="right" w:pos="9360"/>
                    </w:tabs>
                  </w:pPr>
                  <w:r w:rsidRPr="0013396E">
                    <w:t>Unit</w:t>
                  </w:r>
                </w:p>
              </w:tc>
              <w:tc>
                <w:tcPr>
                  <w:tcW w:w="5942" w:type="dxa"/>
                </w:tcPr>
                <w:p w14:paraId="2F9BF405" w14:textId="279013DF" w:rsidR="0045796A" w:rsidRPr="0013396E" w:rsidRDefault="0045796A" w:rsidP="0045796A">
                  <w:pPr>
                    <w:pStyle w:val="TableHead"/>
                    <w:tabs>
                      <w:tab w:val="right" w:pos="9360"/>
                    </w:tabs>
                  </w:pPr>
                  <w:r w:rsidRPr="0013396E">
                    <w:t>Definition</w:t>
                  </w:r>
                </w:p>
              </w:tc>
            </w:tr>
            <w:tr w:rsidR="0045796A" w:rsidRPr="0013396E" w14:paraId="7EB4C2F5" w14:textId="2F5E57A8" w:rsidTr="000F78EE">
              <w:trPr>
                <w:cantSplit/>
              </w:trPr>
              <w:tc>
                <w:tcPr>
                  <w:tcW w:w="2428" w:type="dxa"/>
                </w:tcPr>
                <w:p w14:paraId="046BC752" w14:textId="170A050B" w:rsidR="0045796A" w:rsidRPr="0013396E" w:rsidRDefault="005F232E" w:rsidP="0045796A">
                  <w:pPr>
                    <w:pStyle w:val="TableBody"/>
                  </w:pPr>
                  <w:r w:rsidRPr="0013396E">
                    <w:t>S</w:t>
                  </w:r>
                  <w:r w:rsidR="0045796A" w:rsidRPr="0013396E">
                    <w:t xml:space="preserve">PDAMT </w:t>
                  </w:r>
                  <w:r w:rsidR="0045796A" w:rsidRPr="0013396E">
                    <w:rPr>
                      <w:i/>
                      <w:vertAlign w:val="subscript"/>
                    </w:rPr>
                    <w:t>q, r, p, i</w:t>
                  </w:r>
                </w:p>
              </w:tc>
              <w:tc>
                <w:tcPr>
                  <w:tcW w:w="1459" w:type="dxa"/>
                </w:tcPr>
                <w:p w14:paraId="35CA3B74" w14:textId="47FD76EC" w:rsidR="0045796A" w:rsidRPr="0013396E" w:rsidRDefault="0045796A" w:rsidP="0045796A">
                  <w:pPr>
                    <w:pStyle w:val="TableBody"/>
                  </w:pPr>
                  <w:r w:rsidRPr="0013396E">
                    <w:t>$</w:t>
                  </w:r>
                </w:p>
              </w:tc>
              <w:tc>
                <w:tcPr>
                  <w:tcW w:w="5942" w:type="dxa"/>
                </w:tcPr>
                <w:p w14:paraId="2A57A07E" w14:textId="6108F2FA" w:rsidR="0045796A" w:rsidRPr="0013396E" w:rsidRDefault="005F232E" w:rsidP="005F232E">
                  <w:pPr>
                    <w:pStyle w:val="TableBody"/>
                  </w:pPr>
                  <w:r w:rsidRPr="0013396E">
                    <w:rPr>
                      <w:i/>
                    </w:rPr>
                    <w:t>Set</w:t>
                  </w:r>
                  <w:r w:rsidR="0045796A" w:rsidRPr="0013396E">
                    <w:rPr>
                      <w:i/>
                    </w:rPr>
                    <w:t xml:space="preserve"> Point Deviation Charge per QSE per Settlement Point per Resource</w:t>
                  </w:r>
                  <w:r w:rsidR="0045796A" w:rsidRPr="0013396E">
                    <w:t xml:space="preserve">—The charge to QSE </w:t>
                  </w:r>
                  <w:r w:rsidR="0045796A" w:rsidRPr="0013396E">
                    <w:rPr>
                      <w:i/>
                    </w:rPr>
                    <w:t>q</w:t>
                  </w:r>
                  <w:r w:rsidR="0045796A" w:rsidRPr="0013396E">
                    <w:t xml:space="preserve"> for Generation Resource </w:t>
                  </w:r>
                  <w:r w:rsidR="0045796A" w:rsidRPr="0013396E">
                    <w:rPr>
                      <w:i/>
                    </w:rPr>
                    <w:t>r</w:t>
                  </w:r>
                  <w:r w:rsidR="0045796A" w:rsidRPr="0013396E">
                    <w:t xml:space="preserve"> at Resource Node </w:t>
                  </w:r>
                  <w:r w:rsidR="0045796A" w:rsidRPr="0013396E">
                    <w:rPr>
                      <w:i/>
                    </w:rPr>
                    <w:t>p</w:t>
                  </w:r>
                  <w:r w:rsidR="0045796A" w:rsidRPr="0013396E">
                    <w:t xml:space="preserve">, for its deviation from </w:t>
                  </w:r>
                  <w:r w:rsidRPr="0013396E">
                    <w:t>AASP</w:t>
                  </w:r>
                  <w:r w:rsidR="0045796A" w:rsidRPr="0013396E">
                    <w:t xml:space="preserve">, for the 15-minute Settlement Interval </w:t>
                  </w:r>
                  <w:r w:rsidR="0045796A" w:rsidRPr="0013396E">
                    <w:rPr>
                      <w:i/>
                    </w:rPr>
                    <w:t>i</w:t>
                  </w:r>
                  <w:r w:rsidR="0045796A" w:rsidRPr="0013396E">
                    <w:t xml:space="preserve">.  The </w:t>
                  </w:r>
                  <w:r w:rsidRPr="0013396E">
                    <w:t>Set</w:t>
                  </w:r>
                  <w:r w:rsidR="0045796A" w:rsidRPr="0013396E">
                    <w:t xml:space="preserve"> Point Deviation Charge is charged to the Combined Cycle Train for all Combined Cycle Generation Resources.</w:t>
                  </w:r>
                </w:p>
              </w:tc>
            </w:tr>
            <w:tr w:rsidR="0045796A" w:rsidRPr="0013396E" w14:paraId="3A0C463C" w14:textId="647E1BEB" w:rsidTr="000F78EE">
              <w:trPr>
                <w:cantSplit/>
              </w:trPr>
              <w:tc>
                <w:tcPr>
                  <w:tcW w:w="2428" w:type="dxa"/>
                </w:tcPr>
                <w:p w14:paraId="77A83241" w14:textId="2280A760" w:rsidR="0045796A" w:rsidRPr="0013396E" w:rsidRDefault="0045796A" w:rsidP="0045796A">
                  <w:pPr>
                    <w:pStyle w:val="TableBody"/>
                  </w:pPr>
                  <w:r w:rsidRPr="0013396E">
                    <w:t xml:space="preserve">RTSPP </w:t>
                  </w:r>
                  <w:r w:rsidRPr="0013396E">
                    <w:rPr>
                      <w:i/>
                      <w:vertAlign w:val="subscript"/>
                    </w:rPr>
                    <w:t>p, i</w:t>
                  </w:r>
                </w:p>
              </w:tc>
              <w:tc>
                <w:tcPr>
                  <w:tcW w:w="1459" w:type="dxa"/>
                </w:tcPr>
                <w:p w14:paraId="0A9CCE32" w14:textId="25218442" w:rsidR="0045796A" w:rsidRPr="0013396E" w:rsidRDefault="0045796A" w:rsidP="0045796A">
                  <w:pPr>
                    <w:pStyle w:val="TableBody"/>
                  </w:pPr>
                  <w:r w:rsidRPr="0013396E">
                    <w:t>$/MWh</w:t>
                  </w:r>
                </w:p>
              </w:tc>
              <w:tc>
                <w:tcPr>
                  <w:tcW w:w="5942" w:type="dxa"/>
                </w:tcPr>
                <w:p w14:paraId="3C9EFAE7" w14:textId="6528ACE8" w:rsidR="0045796A" w:rsidRPr="0013396E" w:rsidRDefault="0045796A" w:rsidP="0045796A">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45796A" w:rsidRPr="0013396E" w14:paraId="07C209BE" w14:textId="38440B9A" w:rsidTr="000F78EE">
              <w:trPr>
                <w:cantSplit/>
              </w:trPr>
              <w:tc>
                <w:tcPr>
                  <w:tcW w:w="2428" w:type="dxa"/>
                </w:tcPr>
                <w:p w14:paraId="03EF4F3B" w14:textId="1BC07B13" w:rsidR="0045796A" w:rsidRPr="0013396E" w:rsidRDefault="0045796A" w:rsidP="0045796A">
                  <w:pPr>
                    <w:pStyle w:val="TableBody"/>
                  </w:pPr>
                  <w:r w:rsidRPr="0013396E">
                    <w:t xml:space="preserve">TWTG </w:t>
                  </w:r>
                  <w:r w:rsidRPr="0013396E">
                    <w:rPr>
                      <w:i/>
                      <w:vertAlign w:val="subscript"/>
                    </w:rPr>
                    <w:t>q, r, p, i</w:t>
                  </w:r>
                </w:p>
              </w:tc>
              <w:tc>
                <w:tcPr>
                  <w:tcW w:w="1459" w:type="dxa"/>
                </w:tcPr>
                <w:p w14:paraId="0EBF3F56" w14:textId="6AF12D75" w:rsidR="0045796A" w:rsidRPr="0013396E" w:rsidRDefault="0045796A" w:rsidP="0045796A">
                  <w:pPr>
                    <w:pStyle w:val="TableBody"/>
                  </w:pPr>
                  <w:r w:rsidRPr="0013396E">
                    <w:t>MWh</w:t>
                  </w:r>
                </w:p>
              </w:tc>
              <w:tc>
                <w:tcPr>
                  <w:tcW w:w="5942" w:type="dxa"/>
                </w:tcPr>
                <w:p w14:paraId="59ED82DC" w14:textId="46AEBAE0" w:rsidR="0045796A" w:rsidRPr="0013396E" w:rsidRDefault="0045796A" w:rsidP="0045796A">
                  <w:pPr>
                    <w:pStyle w:val="TableBody"/>
                    <w:rPr>
                      <w:i/>
                    </w:rPr>
                  </w:pPr>
                  <w:r w:rsidRPr="0013396E">
                    <w:rPr>
                      <w:i/>
                    </w:rPr>
                    <w:t>Time-Weighted Telemetered Generation per QSE per Settlement Point per Resource</w:t>
                  </w:r>
                  <w:r w:rsidRPr="0013396E">
                    <w:t xml:space="preserve">—The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 xml:space="preserve">.  Where for a Combined Cycle Train, the Resource </w:t>
                  </w:r>
                  <w:r w:rsidRPr="0013396E">
                    <w:rPr>
                      <w:i/>
                    </w:rPr>
                    <w:t xml:space="preserve">r </w:t>
                  </w:r>
                  <w:r w:rsidRPr="0013396E">
                    <w:t>is the Combined Cycle Train.</w:t>
                  </w:r>
                </w:p>
              </w:tc>
            </w:tr>
            <w:tr w:rsidR="0045796A" w:rsidRPr="0013396E" w14:paraId="7764A6EE" w14:textId="63D9CCF0" w:rsidTr="000F78EE">
              <w:trPr>
                <w:cantSplit/>
              </w:trPr>
              <w:tc>
                <w:tcPr>
                  <w:tcW w:w="2428" w:type="dxa"/>
                </w:tcPr>
                <w:p w14:paraId="39FC6D01" w14:textId="4155F2F6" w:rsidR="0045796A" w:rsidRPr="0013396E" w:rsidRDefault="0045796A" w:rsidP="005F232E">
                  <w:pPr>
                    <w:pStyle w:val="TableBody"/>
                  </w:pPr>
                  <w:r w:rsidRPr="0013396E">
                    <w:lastRenderedPageBreak/>
                    <w:t>AA</w:t>
                  </w:r>
                  <w:r w:rsidR="005F232E" w:rsidRPr="0013396E">
                    <w:t>S</w:t>
                  </w:r>
                  <w:r w:rsidRPr="0013396E">
                    <w:t>P</w:t>
                  </w:r>
                  <w:r w:rsidRPr="0013396E">
                    <w:rPr>
                      <w:i/>
                      <w:vertAlign w:val="subscript"/>
                    </w:rPr>
                    <w:t xml:space="preserve"> q, r, p, i</w:t>
                  </w:r>
                </w:p>
              </w:tc>
              <w:tc>
                <w:tcPr>
                  <w:tcW w:w="1459" w:type="dxa"/>
                </w:tcPr>
                <w:p w14:paraId="23EE94EF" w14:textId="28E99D28" w:rsidR="0045796A" w:rsidRPr="0013396E" w:rsidRDefault="0045796A" w:rsidP="0045796A">
                  <w:pPr>
                    <w:pStyle w:val="TableBody"/>
                  </w:pPr>
                  <w:r w:rsidRPr="0013396E">
                    <w:t>MW</w:t>
                  </w:r>
                </w:p>
              </w:tc>
              <w:tc>
                <w:tcPr>
                  <w:tcW w:w="5942" w:type="dxa"/>
                </w:tcPr>
                <w:p w14:paraId="12D458F0" w14:textId="3E9B38AB" w:rsidR="0045796A" w:rsidRPr="0013396E" w:rsidRDefault="005F232E" w:rsidP="005F232E">
                  <w:pPr>
                    <w:pStyle w:val="TableBody"/>
                    <w:rPr>
                      <w:i/>
                    </w:rPr>
                  </w:pPr>
                  <w:r w:rsidRPr="0013396E">
                    <w:rPr>
                      <w:i/>
                    </w:rPr>
                    <w:t>Average</w:t>
                  </w:r>
                  <w:r w:rsidR="0045796A" w:rsidRPr="0013396E">
                    <w:rPr>
                      <w:i/>
                    </w:rPr>
                    <w:t xml:space="preserve"> Aggregated </w:t>
                  </w:r>
                  <w:r w:rsidRPr="0013396E">
                    <w:rPr>
                      <w:i/>
                    </w:rPr>
                    <w:t>Set</w:t>
                  </w:r>
                  <w:r w:rsidR="0045796A" w:rsidRPr="0013396E">
                    <w:rPr>
                      <w:i/>
                    </w:rPr>
                    <w:t xml:space="preserve"> Point per QSE per Settlement Point per Resource</w:t>
                  </w:r>
                  <w:r w:rsidR="0045796A" w:rsidRPr="0013396E">
                    <w:t xml:space="preserve">—The </w:t>
                  </w:r>
                  <w:r w:rsidRPr="0013396E">
                    <w:t>average of the Average Five Minute Clock Interval Set Point (AVGSP5M)</w:t>
                  </w:r>
                  <w:r w:rsidR="0045796A" w:rsidRPr="0013396E">
                    <w:t xml:space="preserve"> of Generation Resource </w:t>
                  </w:r>
                  <w:r w:rsidR="0045796A" w:rsidRPr="0013396E">
                    <w:rPr>
                      <w:i/>
                    </w:rPr>
                    <w:t>r</w:t>
                  </w:r>
                  <w:r w:rsidR="0045796A" w:rsidRPr="0013396E">
                    <w:t xml:space="preserve"> represented by QSE </w:t>
                  </w:r>
                  <w:r w:rsidR="0045796A" w:rsidRPr="0013396E">
                    <w:rPr>
                      <w:i/>
                    </w:rPr>
                    <w:t>q</w:t>
                  </w:r>
                  <w:r w:rsidR="0045796A" w:rsidRPr="0013396E">
                    <w:t xml:space="preserve"> at Settlement Point </w:t>
                  </w:r>
                  <w:r w:rsidR="0045796A" w:rsidRPr="0013396E">
                    <w:rPr>
                      <w:i/>
                    </w:rPr>
                    <w:t>p,</w:t>
                  </w:r>
                  <w:r w:rsidR="0045796A" w:rsidRPr="0013396E">
                    <w:t xml:space="preserve"> for the 15-minute Settlement Interval</w:t>
                  </w:r>
                  <w:r w:rsidR="0045796A" w:rsidRPr="0013396E">
                    <w:rPr>
                      <w:i/>
                    </w:rPr>
                    <w:t xml:space="preserve"> i</w:t>
                  </w:r>
                  <w:r w:rsidR="0045796A" w:rsidRPr="0013396E">
                    <w:t>.  Where for a Combined Cycle Train, AA</w:t>
                  </w:r>
                  <w:r w:rsidRPr="0013396E">
                    <w:t>S</w:t>
                  </w:r>
                  <w:r w:rsidR="0045796A" w:rsidRPr="0013396E">
                    <w:t xml:space="preserve">P is calculated for the Combined Cycle Train considering all </w:t>
                  </w:r>
                  <w:r w:rsidRPr="0013396E">
                    <w:t>UDSPs</w:t>
                  </w:r>
                  <w:r w:rsidR="0045796A" w:rsidRPr="0013396E">
                    <w:t xml:space="preserve"> to any Combined Cycle Generation Resources within the Combined Cycle Train.</w:t>
                  </w:r>
                </w:p>
              </w:tc>
            </w:tr>
            <w:tr w:rsidR="0045796A" w:rsidRPr="0013396E" w14:paraId="1948BF49" w14:textId="2550D7A6" w:rsidTr="000F78EE">
              <w:trPr>
                <w:cantSplit/>
              </w:trPr>
              <w:tc>
                <w:tcPr>
                  <w:tcW w:w="2428" w:type="dxa"/>
                </w:tcPr>
                <w:p w14:paraId="6B64FE0E" w14:textId="2E3F87D2" w:rsidR="0045796A" w:rsidRPr="0013396E" w:rsidRDefault="0045796A" w:rsidP="0045796A">
                  <w:pPr>
                    <w:pStyle w:val="TableBody"/>
                  </w:pPr>
                  <w:r w:rsidRPr="0013396E">
                    <w:t>AVGTG5M</w:t>
                  </w:r>
                  <w:r w:rsidRPr="0013396E">
                    <w:rPr>
                      <w:i/>
                      <w:vertAlign w:val="subscript"/>
                      <w:lang w:val="fr-FR"/>
                    </w:rPr>
                    <w:t xml:space="preserve"> q, r, p, i, y</w:t>
                  </w:r>
                </w:p>
              </w:tc>
              <w:tc>
                <w:tcPr>
                  <w:tcW w:w="1459" w:type="dxa"/>
                </w:tcPr>
                <w:p w14:paraId="1C735A32" w14:textId="7CA47B03" w:rsidR="0045796A" w:rsidRPr="0013396E" w:rsidRDefault="0045796A" w:rsidP="0045796A">
                  <w:pPr>
                    <w:pStyle w:val="TableBody"/>
                  </w:pPr>
                  <w:r w:rsidRPr="0013396E">
                    <w:t>MW</w:t>
                  </w:r>
                </w:p>
              </w:tc>
              <w:tc>
                <w:tcPr>
                  <w:tcW w:w="5942" w:type="dxa"/>
                </w:tcPr>
                <w:p w14:paraId="1057F46D" w14:textId="47BC7E94" w:rsidR="0045796A" w:rsidRPr="0013396E" w:rsidRDefault="0045796A" w:rsidP="0045796A">
                  <w:pPr>
                    <w:pStyle w:val="TableBody"/>
                  </w:pPr>
                  <w:r w:rsidRPr="0013396E">
                    <w:rPr>
                      <w:i/>
                    </w:rPr>
                    <w:t>Average Telemetered Generation for the 5 Minutes</w:t>
                  </w:r>
                  <w:r w:rsidRPr="0013396E">
                    <w:t xml:space="preserve">—The average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45796A" w:rsidRPr="0013396E" w14:paraId="40D8AEE0" w14:textId="46B02FC4" w:rsidTr="000F78EE">
              <w:trPr>
                <w:cantSplit/>
              </w:trPr>
              <w:tc>
                <w:tcPr>
                  <w:tcW w:w="2428" w:type="dxa"/>
                </w:tcPr>
                <w:p w14:paraId="16DF0427" w14:textId="261552CD" w:rsidR="0045796A" w:rsidRPr="0013396E" w:rsidRDefault="0045796A" w:rsidP="0045796A">
                  <w:pPr>
                    <w:pStyle w:val="TableBody"/>
                  </w:pPr>
                  <w:r w:rsidRPr="0013396E">
                    <w:t xml:space="preserve">OGEN </w:t>
                  </w:r>
                  <w:r w:rsidRPr="0013396E">
                    <w:rPr>
                      <w:i/>
                      <w:vertAlign w:val="subscript"/>
                    </w:rPr>
                    <w:t>q, r, p, i</w:t>
                  </w:r>
                </w:p>
              </w:tc>
              <w:tc>
                <w:tcPr>
                  <w:tcW w:w="1459" w:type="dxa"/>
                </w:tcPr>
                <w:p w14:paraId="04AEFB3A" w14:textId="16B574DD" w:rsidR="0045796A" w:rsidRPr="0013396E" w:rsidRDefault="0045796A" w:rsidP="0045796A">
                  <w:pPr>
                    <w:pStyle w:val="TableBody"/>
                  </w:pPr>
                  <w:r w:rsidRPr="0013396E">
                    <w:t>MWh</w:t>
                  </w:r>
                </w:p>
              </w:tc>
              <w:tc>
                <w:tcPr>
                  <w:tcW w:w="5942" w:type="dxa"/>
                </w:tcPr>
                <w:p w14:paraId="47E8963E" w14:textId="0F9E4B01" w:rsidR="0045796A" w:rsidRPr="0013396E" w:rsidRDefault="0045796A" w:rsidP="00523F79">
                  <w:pPr>
                    <w:pStyle w:val="TableBody"/>
                  </w:pPr>
                  <w:r w:rsidRPr="0013396E">
                    <w:rPr>
                      <w:i/>
                    </w:rPr>
                    <w:t>Over Generation Volumes per QSE per Settlement Point per Resource</w:t>
                  </w:r>
                  <w:r w:rsidRPr="0013396E">
                    <w:t xml:space="preserve">—The amount over-generated by the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w:t>
                  </w:r>
                </w:p>
              </w:tc>
            </w:tr>
            <w:tr w:rsidR="0045796A" w:rsidRPr="0013396E" w14:paraId="3F90C63F" w14:textId="19D90762" w:rsidTr="000F78EE">
              <w:trPr>
                <w:cantSplit/>
              </w:trPr>
              <w:tc>
                <w:tcPr>
                  <w:tcW w:w="2428" w:type="dxa"/>
                </w:tcPr>
                <w:p w14:paraId="53B9A5DC" w14:textId="64025B39" w:rsidR="0045796A" w:rsidRPr="0013396E" w:rsidRDefault="0045796A" w:rsidP="0045796A">
                  <w:pPr>
                    <w:pStyle w:val="TableBody"/>
                  </w:pPr>
                  <w:r w:rsidRPr="0013396E">
                    <w:t>PR1</w:t>
                  </w:r>
                </w:p>
              </w:tc>
              <w:tc>
                <w:tcPr>
                  <w:tcW w:w="1459" w:type="dxa"/>
                </w:tcPr>
                <w:p w14:paraId="141CC4A3" w14:textId="4ABB6602" w:rsidR="0045796A" w:rsidRPr="0013396E" w:rsidRDefault="0045796A" w:rsidP="0045796A">
                  <w:pPr>
                    <w:pStyle w:val="TableBody"/>
                  </w:pPr>
                  <w:r w:rsidRPr="0013396E">
                    <w:t>$/MWh</w:t>
                  </w:r>
                </w:p>
              </w:tc>
              <w:tc>
                <w:tcPr>
                  <w:tcW w:w="5942" w:type="dxa"/>
                </w:tcPr>
                <w:p w14:paraId="2EB06148" w14:textId="4FEB884E" w:rsidR="0045796A" w:rsidRPr="0013396E" w:rsidRDefault="0045796A" w:rsidP="005F232E">
                  <w:pPr>
                    <w:pStyle w:val="TableBody"/>
                  </w:pPr>
                  <w:r w:rsidRPr="0013396E">
                    <w:t xml:space="preserve">The price to use for the </w:t>
                  </w:r>
                  <w:r w:rsidR="005F232E" w:rsidRPr="0013396E">
                    <w:t>Set</w:t>
                  </w:r>
                  <w:r w:rsidRPr="0013396E">
                    <w:t xml:space="preserve"> Point Deviation Charge for over-generation when RTSPP is less than $20/MWh, $20/MWh.  </w:t>
                  </w:r>
                </w:p>
              </w:tc>
            </w:tr>
            <w:tr w:rsidR="0045796A" w:rsidRPr="0013396E" w14:paraId="19364127" w14:textId="314EF735" w:rsidTr="000F78EE">
              <w:trPr>
                <w:cantSplit/>
              </w:trPr>
              <w:tc>
                <w:tcPr>
                  <w:tcW w:w="2428" w:type="dxa"/>
                </w:tcPr>
                <w:p w14:paraId="3012367B" w14:textId="445FFA43" w:rsidR="0045796A" w:rsidRPr="0013396E" w:rsidRDefault="0045796A" w:rsidP="0045796A">
                  <w:pPr>
                    <w:pStyle w:val="TableBody"/>
                  </w:pPr>
                  <w:r w:rsidRPr="0013396E">
                    <w:t>K1</w:t>
                  </w:r>
                </w:p>
              </w:tc>
              <w:tc>
                <w:tcPr>
                  <w:tcW w:w="1459" w:type="dxa"/>
                </w:tcPr>
                <w:p w14:paraId="45C0CD1F" w14:textId="6BD035DC" w:rsidR="0045796A" w:rsidRPr="0013396E" w:rsidRDefault="0045796A" w:rsidP="0045796A">
                  <w:pPr>
                    <w:pStyle w:val="TableBody"/>
                  </w:pPr>
                  <w:r w:rsidRPr="0013396E">
                    <w:t>none</w:t>
                  </w:r>
                </w:p>
              </w:tc>
              <w:tc>
                <w:tcPr>
                  <w:tcW w:w="5942" w:type="dxa"/>
                </w:tcPr>
                <w:p w14:paraId="108A0032" w14:textId="3418AA6D" w:rsidR="0045796A" w:rsidRPr="0013396E" w:rsidRDefault="0045796A" w:rsidP="0045796A">
                  <w:pPr>
                    <w:pStyle w:val="TableBody"/>
                  </w:pPr>
                  <w:r w:rsidRPr="0013396E">
                    <w:t xml:space="preserve">The percentage tolerance for over-generation, 5%.  </w:t>
                  </w:r>
                </w:p>
              </w:tc>
            </w:tr>
            <w:tr w:rsidR="0045796A" w:rsidRPr="0013396E" w14:paraId="4619F6F8" w14:textId="7DA28EAB" w:rsidTr="000F78EE">
              <w:trPr>
                <w:cantSplit/>
              </w:trPr>
              <w:tc>
                <w:tcPr>
                  <w:tcW w:w="2428" w:type="dxa"/>
                </w:tcPr>
                <w:p w14:paraId="516E377B" w14:textId="52CDA764" w:rsidR="0045796A" w:rsidRPr="0013396E" w:rsidRDefault="0045796A" w:rsidP="0045796A">
                  <w:pPr>
                    <w:pStyle w:val="TableBody"/>
                  </w:pPr>
                  <w:r w:rsidRPr="0013396E">
                    <w:t>Q1</w:t>
                  </w:r>
                </w:p>
              </w:tc>
              <w:tc>
                <w:tcPr>
                  <w:tcW w:w="1459" w:type="dxa"/>
                </w:tcPr>
                <w:p w14:paraId="0C533A03" w14:textId="094C428D" w:rsidR="0045796A" w:rsidRPr="0013396E" w:rsidRDefault="0045796A" w:rsidP="0045796A">
                  <w:pPr>
                    <w:pStyle w:val="TableBody"/>
                  </w:pPr>
                  <w:r w:rsidRPr="0013396E">
                    <w:t>MW</w:t>
                  </w:r>
                </w:p>
              </w:tc>
              <w:tc>
                <w:tcPr>
                  <w:tcW w:w="5942" w:type="dxa"/>
                </w:tcPr>
                <w:p w14:paraId="6FE52DC6" w14:textId="55216813" w:rsidR="0045796A" w:rsidRPr="0013396E" w:rsidRDefault="0045796A" w:rsidP="0045796A">
                  <w:pPr>
                    <w:pStyle w:val="TableBody"/>
                  </w:pPr>
                  <w:r w:rsidRPr="0013396E">
                    <w:t>The MW tolerance for over-generation, five MW.</w:t>
                  </w:r>
                </w:p>
              </w:tc>
            </w:tr>
            <w:tr w:rsidR="0045796A" w:rsidRPr="0013396E" w14:paraId="5AC28CDC" w14:textId="176E8E8A" w:rsidTr="000F78EE">
              <w:trPr>
                <w:cantSplit/>
              </w:trPr>
              <w:tc>
                <w:tcPr>
                  <w:tcW w:w="2428" w:type="dxa"/>
                </w:tcPr>
                <w:p w14:paraId="6D24739D" w14:textId="4DF138F8" w:rsidR="0045796A" w:rsidRPr="0013396E" w:rsidRDefault="0045796A" w:rsidP="0045796A">
                  <w:pPr>
                    <w:spacing w:after="60"/>
                    <w:rPr>
                      <w:iCs/>
                      <w:sz w:val="20"/>
                    </w:rPr>
                  </w:pPr>
                  <w:r w:rsidRPr="0013396E">
                    <w:rPr>
                      <w:iCs/>
                      <w:sz w:val="20"/>
                    </w:rPr>
                    <w:t>N</w:t>
                  </w:r>
                </w:p>
              </w:tc>
              <w:tc>
                <w:tcPr>
                  <w:tcW w:w="1459" w:type="dxa"/>
                </w:tcPr>
                <w:p w14:paraId="2A7440FA" w14:textId="7B3CBDF7" w:rsidR="0045796A" w:rsidRPr="0013396E" w:rsidRDefault="0045796A" w:rsidP="0045796A">
                  <w:pPr>
                    <w:spacing w:after="60"/>
                    <w:rPr>
                      <w:iCs/>
                      <w:sz w:val="20"/>
                    </w:rPr>
                  </w:pPr>
                  <w:r w:rsidRPr="0013396E">
                    <w:rPr>
                      <w:iCs/>
                      <w:sz w:val="20"/>
                    </w:rPr>
                    <w:t>none</w:t>
                  </w:r>
                </w:p>
              </w:tc>
              <w:tc>
                <w:tcPr>
                  <w:tcW w:w="5942" w:type="dxa"/>
                </w:tcPr>
                <w:p w14:paraId="48ED82DF" w14:textId="04B10DE4" w:rsidR="0045796A" w:rsidRPr="0013396E" w:rsidRDefault="0045796A" w:rsidP="0045796A">
                  <w:pPr>
                    <w:spacing w:after="60"/>
                    <w:rPr>
                      <w:iCs/>
                      <w:sz w:val="20"/>
                    </w:rPr>
                  </w:pPr>
                  <w:r w:rsidRPr="0013396E">
                    <w:rPr>
                      <w:iCs/>
                      <w:sz w:val="20"/>
                    </w:rPr>
                    <w:t>The number of IRRs within an IRR Group.</w:t>
                  </w:r>
                </w:p>
              </w:tc>
            </w:tr>
            <w:tr w:rsidR="0045796A" w:rsidRPr="0013396E" w14:paraId="09E4E6AE" w14:textId="3D89A0CD" w:rsidTr="000F78EE">
              <w:trPr>
                <w:cantSplit/>
              </w:trPr>
              <w:tc>
                <w:tcPr>
                  <w:tcW w:w="2428" w:type="dxa"/>
                </w:tcPr>
                <w:p w14:paraId="74A2CAAE" w14:textId="646189E8" w:rsidR="0045796A" w:rsidRPr="0013396E" w:rsidRDefault="0045796A" w:rsidP="0045796A">
                  <w:pPr>
                    <w:pStyle w:val="TableBody"/>
                    <w:rPr>
                      <w:i/>
                    </w:rPr>
                  </w:pPr>
                  <w:r w:rsidRPr="0013396E">
                    <w:rPr>
                      <w:i/>
                    </w:rPr>
                    <w:t>q</w:t>
                  </w:r>
                </w:p>
              </w:tc>
              <w:tc>
                <w:tcPr>
                  <w:tcW w:w="1459" w:type="dxa"/>
                </w:tcPr>
                <w:p w14:paraId="24467198" w14:textId="19BBC935" w:rsidR="0045796A" w:rsidRPr="0013396E" w:rsidRDefault="0045796A" w:rsidP="0045796A">
                  <w:pPr>
                    <w:pStyle w:val="TableBody"/>
                  </w:pPr>
                  <w:r w:rsidRPr="0013396E">
                    <w:t>none</w:t>
                  </w:r>
                </w:p>
              </w:tc>
              <w:tc>
                <w:tcPr>
                  <w:tcW w:w="5942" w:type="dxa"/>
                </w:tcPr>
                <w:p w14:paraId="3D809BC7" w14:textId="53995CCA" w:rsidR="0045796A" w:rsidRPr="0013396E" w:rsidRDefault="0045796A" w:rsidP="0045796A">
                  <w:pPr>
                    <w:pStyle w:val="TableBody"/>
                  </w:pPr>
                  <w:r w:rsidRPr="0013396E">
                    <w:t>A QSE.</w:t>
                  </w:r>
                </w:p>
              </w:tc>
            </w:tr>
            <w:tr w:rsidR="0045796A" w:rsidRPr="0013396E" w14:paraId="690A57B8" w14:textId="0751B9F0" w:rsidTr="000F78EE">
              <w:trPr>
                <w:cantSplit/>
              </w:trPr>
              <w:tc>
                <w:tcPr>
                  <w:tcW w:w="2428" w:type="dxa"/>
                </w:tcPr>
                <w:p w14:paraId="2D725C55" w14:textId="3E5A1224" w:rsidR="0045796A" w:rsidRPr="0013396E" w:rsidRDefault="0045796A" w:rsidP="0045796A">
                  <w:pPr>
                    <w:pStyle w:val="TableBody"/>
                    <w:rPr>
                      <w:i/>
                    </w:rPr>
                  </w:pPr>
                  <w:r w:rsidRPr="0013396E">
                    <w:rPr>
                      <w:i/>
                    </w:rPr>
                    <w:t>p</w:t>
                  </w:r>
                </w:p>
              </w:tc>
              <w:tc>
                <w:tcPr>
                  <w:tcW w:w="1459" w:type="dxa"/>
                </w:tcPr>
                <w:p w14:paraId="174CE86C" w14:textId="05353182" w:rsidR="0045796A" w:rsidRPr="0013396E" w:rsidRDefault="0045796A" w:rsidP="0045796A">
                  <w:pPr>
                    <w:pStyle w:val="TableBody"/>
                  </w:pPr>
                  <w:r w:rsidRPr="0013396E">
                    <w:t>none</w:t>
                  </w:r>
                </w:p>
              </w:tc>
              <w:tc>
                <w:tcPr>
                  <w:tcW w:w="5942" w:type="dxa"/>
                </w:tcPr>
                <w:p w14:paraId="7C7D2BE8" w14:textId="27551D4C" w:rsidR="0045796A" w:rsidRPr="0013396E" w:rsidRDefault="0045796A" w:rsidP="0045796A">
                  <w:pPr>
                    <w:pStyle w:val="TableBody"/>
                  </w:pPr>
                  <w:r w:rsidRPr="0013396E">
                    <w:t>A Settlement Point.</w:t>
                  </w:r>
                </w:p>
              </w:tc>
            </w:tr>
            <w:tr w:rsidR="0045796A" w:rsidRPr="0013396E" w14:paraId="534AF67B" w14:textId="65FB6FA3" w:rsidTr="000F78EE">
              <w:trPr>
                <w:cantSplit/>
              </w:trPr>
              <w:tc>
                <w:tcPr>
                  <w:tcW w:w="2428" w:type="dxa"/>
                </w:tcPr>
                <w:p w14:paraId="4CD4122C" w14:textId="536A306D" w:rsidR="0045796A" w:rsidRPr="0013396E" w:rsidRDefault="0045796A" w:rsidP="0045796A">
                  <w:pPr>
                    <w:pStyle w:val="TableBody"/>
                    <w:tabs>
                      <w:tab w:val="right" w:pos="9360"/>
                    </w:tabs>
                    <w:rPr>
                      <w:i/>
                    </w:rPr>
                  </w:pPr>
                  <w:r w:rsidRPr="0013396E">
                    <w:rPr>
                      <w:i/>
                    </w:rPr>
                    <w:t>r</w:t>
                  </w:r>
                </w:p>
              </w:tc>
              <w:tc>
                <w:tcPr>
                  <w:tcW w:w="1459" w:type="dxa"/>
                </w:tcPr>
                <w:p w14:paraId="7ECA0423" w14:textId="7DE318F5" w:rsidR="0045796A" w:rsidRPr="0013396E" w:rsidRDefault="0045796A" w:rsidP="0045796A">
                  <w:pPr>
                    <w:pStyle w:val="TableBody"/>
                    <w:tabs>
                      <w:tab w:val="right" w:pos="9360"/>
                    </w:tabs>
                  </w:pPr>
                  <w:r w:rsidRPr="0013396E">
                    <w:t>none</w:t>
                  </w:r>
                </w:p>
              </w:tc>
              <w:tc>
                <w:tcPr>
                  <w:tcW w:w="5942" w:type="dxa"/>
                </w:tcPr>
                <w:p w14:paraId="270DB0F9" w14:textId="7C911C66" w:rsidR="0045796A" w:rsidRPr="0013396E" w:rsidRDefault="0045796A" w:rsidP="0045796A">
                  <w:pPr>
                    <w:pStyle w:val="TableBody"/>
                    <w:tabs>
                      <w:tab w:val="right" w:pos="9360"/>
                    </w:tabs>
                    <w:rPr>
                      <w:lang w:val="fr-FR"/>
                    </w:rPr>
                  </w:pPr>
                  <w:r w:rsidRPr="0013396E">
                    <w:rPr>
                      <w:lang w:val="fr-FR"/>
                    </w:rPr>
                    <w:t xml:space="preserve">A non-exempt </w:t>
                  </w:r>
                  <w:r w:rsidR="008152FC" w:rsidRPr="0013396E">
                    <w:rPr>
                      <w:lang w:val="fr-FR"/>
                    </w:rPr>
                    <w:t xml:space="preserve">Generation </w:t>
                  </w:r>
                  <w:r w:rsidRPr="0013396E">
                    <w:rPr>
                      <w:lang w:val="fr-FR"/>
                    </w:rPr>
                    <w:t>Resource.</w:t>
                  </w:r>
                </w:p>
              </w:tc>
            </w:tr>
            <w:tr w:rsidR="0045796A" w:rsidRPr="0013396E" w14:paraId="076A183D" w14:textId="136A2F54" w:rsidTr="000F78EE">
              <w:trPr>
                <w:cantSplit/>
              </w:trPr>
              <w:tc>
                <w:tcPr>
                  <w:tcW w:w="2428" w:type="dxa"/>
                  <w:tcBorders>
                    <w:top w:val="single" w:sz="4" w:space="0" w:color="auto"/>
                    <w:left w:val="single" w:sz="4" w:space="0" w:color="auto"/>
                    <w:bottom w:val="single" w:sz="4" w:space="0" w:color="auto"/>
                    <w:right w:val="single" w:sz="4" w:space="0" w:color="auto"/>
                  </w:tcBorders>
                </w:tcPr>
                <w:p w14:paraId="7DDEA518" w14:textId="057251E6" w:rsidR="0045796A" w:rsidRPr="0013396E" w:rsidRDefault="0045796A" w:rsidP="0045796A">
                  <w:pPr>
                    <w:pStyle w:val="TableBody"/>
                    <w:rPr>
                      <w:i/>
                    </w:rPr>
                  </w:pPr>
                  <w:r w:rsidRPr="0013396E">
                    <w:rPr>
                      <w:i/>
                    </w:rPr>
                    <w:t xml:space="preserve">y </w:t>
                  </w:r>
                </w:p>
              </w:tc>
              <w:tc>
                <w:tcPr>
                  <w:tcW w:w="1459" w:type="dxa"/>
                  <w:tcBorders>
                    <w:top w:val="single" w:sz="4" w:space="0" w:color="auto"/>
                    <w:left w:val="single" w:sz="4" w:space="0" w:color="auto"/>
                    <w:bottom w:val="single" w:sz="4" w:space="0" w:color="auto"/>
                    <w:right w:val="single" w:sz="4" w:space="0" w:color="auto"/>
                  </w:tcBorders>
                </w:tcPr>
                <w:p w14:paraId="617096CF" w14:textId="16F33EA6" w:rsidR="0045796A" w:rsidRPr="0013396E" w:rsidRDefault="0045796A" w:rsidP="0045796A">
                  <w:pPr>
                    <w:pStyle w:val="TableBody"/>
                  </w:pPr>
                  <w:r w:rsidRPr="0013396E">
                    <w:t>none</w:t>
                  </w:r>
                </w:p>
              </w:tc>
              <w:tc>
                <w:tcPr>
                  <w:tcW w:w="5942" w:type="dxa"/>
                  <w:tcBorders>
                    <w:top w:val="single" w:sz="4" w:space="0" w:color="auto"/>
                    <w:left w:val="single" w:sz="4" w:space="0" w:color="auto"/>
                    <w:bottom w:val="single" w:sz="4" w:space="0" w:color="auto"/>
                    <w:right w:val="single" w:sz="4" w:space="0" w:color="auto"/>
                  </w:tcBorders>
                </w:tcPr>
                <w:p w14:paraId="37565E3D" w14:textId="6B757083" w:rsidR="0045796A" w:rsidRPr="0013396E" w:rsidRDefault="0045796A" w:rsidP="0045796A">
                  <w:pPr>
                    <w:pStyle w:val="TableBody"/>
                  </w:pPr>
                  <w:r w:rsidRPr="0013396E">
                    <w:t xml:space="preserve">A five-minute clock interval in the Settlement Interval. </w:t>
                  </w:r>
                </w:p>
              </w:tc>
            </w:tr>
            <w:tr w:rsidR="0045796A" w:rsidRPr="0013396E" w14:paraId="51D39DC4" w14:textId="51925553" w:rsidTr="000F78EE">
              <w:trPr>
                <w:cantSplit/>
              </w:trPr>
              <w:tc>
                <w:tcPr>
                  <w:tcW w:w="2428" w:type="dxa"/>
                  <w:tcBorders>
                    <w:top w:val="single" w:sz="4" w:space="0" w:color="auto"/>
                    <w:left w:val="single" w:sz="4" w:space="0" w:color="auto"/>
                    <w:bottom w:val="single" w:sz="4" w:space="0" w:color="auto"/>
                    <w:right w:val="single" w:sz="4" w:space="0" w:color="auto"/>
                  </w:tcBorders>
                </w:tcPr>
                <w:p w14:paraId="0C3099FB" w14:textId="69A33E6D" w:rsidR="0045796A" w:rsidRPr="0013396E" w:rsidRDefault="0045796A" w:rsidP="0045796A">
                  <w:pPr>
                    <w:pStyle w:val="TableBody"/>
                    <w:rPr>
                      <w:i/>
                    </w:rPr>
                  </w:pPr>
                  <w:r w:rsidRPr="0013396E">
                    <w:rPr>
                      <w:i/>
                    </w:rPr>
                    <w:t>i</w:t>
                  </w:r>
                </w:p>
              </w:tc>
              <w:tc>
                <w:tcPr>
                  <w:tcW w:w="1459" w:type="dxa"/>
                  <w:tcBorders>
                    <w:top w:val="single" w:sz="4" w:space="0" w:color="auto"/>
                    <w:left w:val="single" w:sz="4" w:space="0" w:color="auto"/>
                    <w:bottom w:val="single" w:sz="4" w:space="0" w:color="auto"/>
                    <w:right w:val="single" w:sz="4" w:space="0" w:color="auto"/>
                  </w:tcBorders>
                </w:tcPr>
                <w:p w14:paraId="3F8FE00A" w14:textId="0238D4A3" w:rsidR="0045796A" w:rsidRPr="0013396E" w:rsidRDefault="0045796A" w:rsidP="0045796A">
                  <w:pPr>
                    <w:pStyle w:val="TableBody"/>
                  </w:pPr>
                  <w:r w:rsidRPr="0013396E">
                    <w:t>none</w:t>
                  </w:r>
                </w:p>
              </w:tc>
              <w:tc>
                <w:tcPr>
                  <w:tcW w:w="5942" w:type="dxa"/>
                  <w:tcBorders>
                    <w:top w:val="single" w:sz="4" w:space="0" w:color="auto"/>
                    <w:left w:val="single" w:sz="4" w:space="0" w:color="auto"/>
                    <w:bottom w:val="single" w:sz="4" w:space="0" w:color="auto"/>
                    <w:right w:val="single" w:sz="4" w:space="0" w:color="auto"/>
                  </w:tcBorders>
                </w:tcPr>
                <w:p w14:paraId="0D92BFC5" w14:textId="5BD69155" w:rsidR="0045796A" w:rsidRPr="0013396E" w:rsidRDefault="0045796A" w:rsidP="0045796A">
                  <w:pPr>
                    <w:pStyle w:val="TableBody"/>
                  </w:pPr>
                  <w:r w:rsidRPr="0013396E">
                    <w:t>A 15-minute Settlement Interval.</w:t>
                  </w:r>
                </w:p>
              </w:tc>
            </w:tr>
            <w:tr w:rsidR="0045796A" w:rsidRPr="0013396E" w14:paraId="39327A2A" w14:textId="6939406E" w:rsidTr="000F78EE">
              <w:trPr>
                <w:cantSplit/>
              </w:trPr>
              <w:tc>
                <w:tcPr>
                  <w:tcW w:w="2428" w:type="dxa"/>
                  <w:tcBorders>
                    <w:top w:val="single" w:sz="4" w:space="0" w:color="auto"/>
                    <w:left w:val="single" w:sz="4" w:space="0" w:color="auto"/>
                    <w:bottom w:val="single" w:sz="4" w:space="0" w:color="auto"/>
                    <w:right w:val="single" w:sz="4" w:space="0" w:color="auto"/>
                  </w:tcBorders>
                </w:tcPr>
                <w:p w14:paraId="3E5840B2" w14:textId="3695C4A6" w:rsidR="0045796A" w:rsidRPr="0013396E" w:rsidRDefault="0045796A" w:rsidP="0045796A">
                  <w:pPr>
                    <w:spacing w:after="60"/>
                    <w:rPr>
                      <w:iCs/>
                      <w:sz w:val="20"/>
                    </w:rPr>
                  </w:pPr>
                  <w:r w:rsidRPr="0013396E">
                    <w:rPr>
                      <w:i/>
                      <w:iCs/>
                      <w:sz w:val="20"/>
                    </w:rPr>
                    <w:t>wg</w:t>
                  </w:r>
                </w:p>
              </w:tc>
              <w:tc>
                <w:tcPr>
                  <w:tcW w:w="1459" w:type="dxa"/>
                  <w:tcBorders>
                    <w:top w:val="single" w:sz="4" w:space="0" w:color="auto"/>
                    <w:left w:val="single" w:sz="4" w:space="0" w:color="auto"/>
                    <w:bottom w:val="single" w:sz="4" w:space="0" w:color="auto"/>
                    <w:right w:val="single" w:sz="4" w:space="0" w:color="auto"/>
                  </w:tcBorders>
                </w:tcPr>
                <w:p w14:paraId="5AB6B3FF" w14:textId="3AA253A2" w:rsidR="0045796A" w:rsidRPr="0013396E" w:rsidRDefault="0045796A" w:rsidP="0045796A">
                  <w:pPr>
                    <w:spacing w:after="60"/>
                    <w:rPr>
                      <w:iCs/>
                      <w:sz w:val="20"/>
                    </w:rPr>
                  </w:pPr>
                  <w:r w:rsidRPr="0013396E">
                    <w:rPr>
                      <w:iCs/>
                      <w:sz w:val="20"/>
                    </w:rPr>
                    <w:t>none</w:t>
                  </w:r>
                </w:p>
              </w:tc>
              <w:tc>
                <w:tcPr>
                  <w:tcW w:w="5942" w:type="dxa"/>
                  <w:tcBorders>
                    <w:top w:val="single" w:sz="4" w:space="0" w:color="auto"/>
                    <w:left w:val="single" w:sz="4" w:space="0" w:color="auto"/>
                    <w:bottom w:val="single" w:sz="4" w:space="0" w:color="auto"/>
                    <w:right w:val="single" w:sz="4" w:space="0" w:color="auto"/>
                  </w:tcBorders>
                </w:tcPr>
                <w:p w14:paraId="2E24147B" w14:textId="44C58983" w:rsidR="0045796A" w:rsidRPr="0013396E" w:rsidRDefault="0045796A" w:rsidP="0045796A">
                  <w:pPr>
                    <w:spacing w:after="60"/>
                    <w:rPr>
                      <w:iCs/>
                      <w:sz w:val="20"/>
                    </w:rPr>
                  </w:pPr>
                  <w:r w:rsidRPr="0013396E">
                    <w:rPr>
                      <w:iCs/>
                      <w:sz w:val="20"/>
                    </w:rPr>
                    <w:t>An IRR Group.</w:t>
                  </w:r>
                </w:p>
              </w:tc>
            </w:tr>
          </w:tbl>
          <w:p w14:paraId="78A47927" w14:textId="54699919" w:rsidR="00E21852" w:rsidRPr="0013396E" w:rsidRDefault="00E21852" w:rsidP="00AB2BB6">
            <w:pPr>
              <w:pStyle w:val="H3"/>
            </w:pPr>
          </w:p>
        </w:tc>
      </w:tr>
    </w:tbl>
    <w:p w14:paraId="20464D2F" w14:textId="77777777" w:rsidR="005E0EE9" w:rsidRPr="0013396E" w:rsidRDefault="005E0EE9" w:rsidP="005E0EE9">
      <w:pPr>
        <w:keepNext/>
        <w:widowControl w:val="0"/>
        <w:tabs>
          <w:tab w:val="left" w:pos="1620"/>
        </w:tabs>
        <w:spacing w:before="480" w:after="240"/>
        <w:ind w:left="1627" w:hanging="1627"/>
        <w:outlineLvl w:val="4"/>
        <w:rPr>
          <w:b/>
          <w:bCs/>
          <w:snapToGrid w:val="0"/>
        </w:rPr>
      </w:pPr>
      <w:bookmarkStart w:id="1776" w:name="_Toc236220193"/>
      <w:r w:rsidRPr="0013396E">
        <w:rPr>
          <w:b/>
          <w:bCs/>
          <w:snapToGrid w:val="0"/>
        </w:rPr>
        <w:lastRenderedPageBreak/>
        <w:t>6.6.5.2.1</w:t>
      </w:r>
      <w:r w:rsidRPr="0013396E">
        <w:rPr>
          <w:b/>
          <w:bCs/>
          <w:snapToGrid w:val="0"/>
        </w:rPr>
        <w:tab/>
        <w:t>Set Point Deviation Charge for Under Generation</w:t>
      </w:r>
      <w:bookmarkEnd w:id="1776"/>
    </w:p>
    <w:p w14:paraId="440BBE25" w14:textId="0B49FF40" w:rsidR="005E0EE9" w:rsidRPr="0013396E" w:rsidRDefault="005E0EE9" w:rsidP="005E0EE9">
      <w:pPr>
        <w:spacing w:after="240"/>
        <w:ind w:left="720" w:hanging="720"/>
      </w:pPr>
      <w:r w:rsidRPr="0013396E">
        <w:t>(1)</w:t>
      </w:r>
      <w:r w:rsidRPr="0013396E">
        <w:tab/>
        <w:t>ERCOT shall charge a QSE for a Generation Resource for under-generation if the telemetered generation is below the lesser of:</w:t>
      </w:r>
    </w:p>
    <w:p w14:paraId="118A6284" w14:textId="77777777" w:rsidR="005E0EE9" w:rsidRPr="0013396E" w:rsidRDefault="005E0EE9" w:rsidP="005E0EE9">
      <w:pPr>
        <w:spacing w:after="240"/>
        <w:ind w:left="1440" w:hanging="720"/>
      </w:pPr>
      <w:r w:rsidRPr="0013396E">
        <w:t>(a)</w:t>
      </w:r>
      <w:r w:rsidRPr="0013396E">
        <w:tab/>
        <w:t>95% of the AASP in the Settlement Interval; or</w:t>
      </w:r>
    </w:p>
    <w:p w14:paraId="04F229F7" w14:textId="77777777" w:rsidR="005E0EE9" w:rsidRPr="0013396E" w:rsidRDefault="005E0EE9" w:rsidP="005E0EE9">
      <w:pPr>
        <w:spacing w:after="240"/>
        <w:ind w:left="1440" w:hanging="720"/>
      </w:pPr>
      <w:r w:rsidRPr="0013396E">
        <w:t>(b)</w:t>
      </w:r>
      <w:r w:rsidRPr="0013396E">
        <w:tab/>
        <w:t>The AASP in the Settlement Interval minus five MW.</w:t>
      </w:r>
    </w:p>
    <w:p w14:paraId="1C28EC49" w14:textId="45A2542B" w:rsidR="005E0EE9" w:rsidRPr="0013396E" w:rsidRDefault="005E0EE9" w:rsidP="005E0EE9">
      <w:pPr>
        <w:spacing w:after="240"/>
        <w:ind w:left="720" w:hanging="720"/>
        <w:rPr>
          <w:iCs/>
        </w:rPr>
      </w:pPr>
      <w:r w:rsidRPr="0013396E">
        <w:rPr>
          <w:iCs/>
        </w:rPr>
        <w:t>(</w:t>
      </w:r>
      <w:r w:rsidR="00073C0E">
        <w:rPr>
          <w:iCs/>
        </w:rPr>
        <w:t>2</w:t>
      </w:r>
      <w:r w:rsidRPr="0013396E">
        <w:rPr>
          <w:iCs/>
        </w:rPr>
        <w:t>)</w:t>
      </w:r>
      <w:r w:rsidRPr="0013396E">
        <w:rPr>
          <w:iCs/>
        </w:rPr>
        <w:tab/>
        <w:t>The under-generation charge to each QSE for each Generation Resource at each Resource Node Settlement Point for a given 15-minute Settlement Interval is calculated as follows:</w:t>
      </w:r>
    </w:p>
    <w:p w14:paraId="68FD6E4E" w14:textId="77777777" w:rsidR="005E0EE9" w:rsidRPr="0013396E" w:rsidRDefault="005E0EE9" w:rsidP="005E0EE9">
      <w:pPr>
        <w:tabs>
          <w:tab w:val="left" w:pos="2160"/>
          <w:tab w:val="left" w:pos="2880"/>
        </w:tabs>
        <w:spacing w:after="240"/>
        <w:ind w:leftChars="300" w:left="3611" w:hangingChars="1200" w:hanging="2891"/>
        <w:rPr>
          <w:b/>
          <w:bCs/>
          <w:szCs w:val="24"/>
        </w:rPr>
      </w:pPr>
      <w:r w:rsidRPr="0013396E">
        <w:rPr>
          <w:b/>
          <w:bCs/>
          <w:szCs w:val="24"/>
        </w:rPr>
        <w:t xml:space="preserve">SPDAMT </w:t>
      </w:r>
      <w:r w:rsidRPr="0013396E">
        <w:rPr>
          <w:b/>
          <w:bCs/>
          <w:i/>
          <w:iCs/>
          <w:szCs w:val="24"/>
          <w:vertAlign w:val="subscript"/>
          <w:lang w:val="es-ES"/>
        </w:rPr>
        <w:t>q, r, p, i</w:t>
      </w:r>
      <w:r w:rsidRPr="0013396E">
        <w:rPr>
          <w:b/>
          <w:bCs/>
          <w:szCs w:val="24"/>
        </w:rPr>
        <w:tab/>
        <w:t>=</w:t>
      </w:r>
      <w:r w:rsidRPr="0013396E">
        <w:rPr>
          <w:b/>
          <w:bCs/>
          <w:szCs w:val="24"/>
        </w:rPr>
        <w:tab/>
        <w:t xml:space="preserve">-1 * Min (PR2, RTSPP </w:t>
      </w:r>
      <w:r w:rsidRPr="0013396E">
        <w:rPr>
          <w:b/>
          <w:bCs/>
          <w:i/>
          <w:szCs w:val="24"/>
          <w:vertAlign w:val="subscript"/>
        </w:rPr>
        <w:t>p, i</w:t>
      </w:r>
      <w:r w:rsidRPr="0013396E">
        <w:rPr>
          <w:b/>
          <w:bCs/>
          <w:szCs w:val="24"/>
        </w:rPr>
        <w:t>) * Min (1, KP) * UGEN</w:t>
      </w:r>
      <w:r w:rsidRPr="0013396E">
        <w:rPr>
          <w:b/>
          <w:bCs/>
          <w:i/>
          <w:iCs/>
          <w:szCs w:val="24"/>
          <w:vertAlign w:val="subscript"/>
          <w:lang w:val="es-ES"/>
        </w:rPr>
        <w:t xml:space="preserve"> q, r, p, i </w:t>
      </w:r>
      <w:r w:rsidRPr="0013396E">
        <w:rPr>
          <w:rFonts w:ascii="Times New Roman Bold" w:hAnsi="Times New Roman Bold"/>
          <w:b/>
          <w:bCs/>
          <w:iCs/>
          <w:szCs w:val="24"/>
          <w:lang w:val="es-ES"/>
        </w:rPr>
        <w:t xml:space="preserve"> </w:t>
      </w:r>
    </w:p>
    <w:p w14:paraId="5D7D929B" w14:textId="77777777" w:rsidR="005E0EE9" w:rsidRPr="0013396E" w:rsidRDefault="005E0EE9" w:rsidP="005E0EE9">
      <w:pPr>
        <w:tabs>
          <w:tab w:val="left" w:pos="2250"/>
          <w:tab w:val="left" w:pos="3150"/>
          <w:tab w:val="left" w:pos="3960"/>
        </w:tabs>
        <w:spacing w:after="240"/>
        <w:ind w:left="3960" w:hanging="3240"/>
        <w:rPr>
          <w:bCs/>
          <w:szCs w:val="24"/>
        </w:rPr>
      </w:pPr>
      <w:r w:rsidRPr="0013396E">
        <w:rPr>
          <w:bCs/>
          <w:szCs w:val="24"/>
        </w:rPr>
        <w:t>Where:</w:t>
      </w:r>
    </w:p>
    <w:p w14:paraId="356E3035" w14:textId="77777777" w:rsidR="005E0EE9" w:rsidRPr="0013396E" w:rsidRDefault="005E0EE9" w:rsidP="005E0EE9">
      <w:pPr>
        <w:spacing w:after="240"/>
        <w:ind w:left="720"/>
        <w:rPr>
          <w:i/>
          <w:iCs/>
          <w:vertAlign w:val="subscript"/>
          <w:lang w:val="es-ES"/>
        </w:rPr>
      </w:pPr>
      <w:r w:rsidRPr="0013396E">
        <w:rPr>
          <w:iCs/>
        </w:rPr>
        <w:t>UGEN</w:t>
      </w:r>
      <w:r w:rsidRPr="0013396E">
        <w:rPr>
          <w:i/>
          <w:iCs/>
          <w:vertAlign w:val="subscript"/>
          <w:lang w:val="es-ES"/>
        </w:rPr>
        <w:t xml:space="preserve"> q, r, p, i</w:t>
      </w:r>
      <w:r w:rsidRPr="0013396E">
        <w:rPr>
          <w:iCs/>
        </w:rPr>
        <w:t xml:space="preserve">  =  Max [0, [Min ((1- K2) * ¼* AASP</w:t>
      </w:r>
      <w:r w:rsidRPr="0013396E">
        <w:rPr>
          <w:i/>
          <w:iCs/>
          <w:vertAlign w:val="subscript"/>
          <w:lang w:val="es-ES"/>
        </w:rPr>
        <w:t xml:space="preserve"> q, r, p, i </w:t>
      </w:r>
      <w:r w:rsidRPr="0013396E">
        <w:rPr>
          <w:iCs/>
        </w:rPr>
        <w:t>,</w:t>
      </w:r>
      <w:r w:rsidRPr="0013396E">
        <w:rPr>
          <w:i/>
          <w:iCs/>
          <w:vertAlign w:val="subscript"/>
          <w:lang w:val="es-ES"/>
        </w:rPr>
        <w:t xml:space="preserve">   </w:t>
      </w:r>
    </w:p>
    <w:p w14:paraId="5F3C2A4F" w14:textId="77777777" w:rsidR="005E0EE9" w:rsidRPr="0013396E" w:rsidRDefault="005E0EE9" w:rsidP="005E0EE9">
      <w:pPr>
        <w:spacing w:after="240"/>
        <w:ind w:left="720" w:hanging="720"/>
        <w:rPr>
          <w:iCs/>
        </w:rPr>
      </w:pPr>
      <w:r w:rsidRPr="0013396E">
        <w:rPr>
          <w:iCs/>
          <w:lang w:val="es-MX"/>
        </w:rPr>
        <w:t xml:space="preserve">                                              ¼ * (AASP</w:t>
      </w:r>
      <w:r w:rsidRPr="0013396E">
        <w:rPr>
          <w:i/>
          <w:vertAlign w:val="subscript"/>
          <w:lang w:val="es-ES"/>
        </w:rPr>
        <w:t xml:space="preserve"> q, r, p, i  </w:t>
      </w:r>
      <w:r w:rsidRPr="0013396E">
        <w:rPr>
          <w:iCs/>
        </w:rPr>
        <w:t xml:space="preserve">- Q2)) - TWTG </w:t>
      </w:r>
      <w:r w:rsidRPr="0013396E">
        <w:rPr>
          <w:i/>
          <w:vertAlign w:val="subscript"/>
          <w:lang w:val="es-ES"/>
        </w:rPr>
        <w:t>q, r, p, i</w:t>
      </w:r>
      <w:r w:rsidRPr="0013396E">
        <w:rPr>
          <w:iCs/>
        </w:rPr>
        <w:t>]]</w:t>
      </w:r>
    </w:p>
    <w:p w14:paraId="222FF65D" w14:textId="30E9D6EC" w:rsidR="005E0EE9" w:rsidRPr="0013396E" w:rsidRDefault="005E0EE9" w:rsidP="005E0EE9">
      <w:pPr>
        <w:tabs>
          <w:tab w:val="left" w:pos="2160"/>
          <w:tab w:val="left" w:pos="2880"/>
        </w:tabs>
        <w:spacing w:after="240"/>
        <w:ind w:leftChars="300" w:left="2880" w:hangingChars="900" w:hanging="2160"/>
        <w:rPr>
          <w:bCs/>
          <w:iCs/>
          <w:szCs w:val="24"/>
        </w:rPr>
      </w:pPr>
      <w:r w:rsidRPr="0013396E">
        <w:rPr>
          <w:bCs/>
          <w:szCs w:val="24"/>
        </w:rPr>
        <w:lastRenderedPageBreak/>
        <w:t>TWTG</w:t>
      </w:r>
      <w:r w:rsidRPr="0013396E">
        <w:rPr>
          <w:bCs/>
          <w:i/>
          <w:szCs w:val="24"/>
          <w:vertAlign w:val="subscript"/>
        </w:rPr>
        <w:t xml:space="preserve"> q, r, p, i</w:t>
      </w:r>
      <w:r w:rsidRPr="0013396E">
        <w:rPr>
          <w:bCs/>
          <w:i/>
          <w:szCs w:val="24"/>
          <w:vertAlign w:val="subscript"/>
        </w:rPr>
        <w:tab/>
        <w:t>=</w:t>
      </w:r>
      <w:r w:rsidRPr="0013396E">
        <w:rPr>
          <w:bCs/>
          <w:i/>
          <w:szCs w:val="24"/>
          <w:vertAlign w:val="subscript"/>
        </w:rPr>
        <w:tab/>
      </w:r>
      <w:r w:rsidRPr="0013396E">
        <w:rPr>
          <w:bCs/>
          <w:szCs w:val="24"/>
        </w:rPr>
        <w:t>(</w:t>
      </w:r>
      <w:r w:rsidR="00457C20" w:rsidRPr="0013396E">
        <w:rPr>
          <w:bCs/>
          <w:position w:val="-22"/>
          <w:szCs w:val="24"/>
        </w:rPr>
        <w:object w:dxaOrig="210" w:dyaOrig="450" w14:anchorId="75F7034B">
          <v:shape id="_x0000_i1152" type="#_x0000_t75" style="width:11.4pt;height:24pt" o:ole="">
            <v:imagedata r:id="rId178" o:title=""/>
          </v:shape>
          <o:OLEObject Type="Embed" ProgID="Equation.3" ShapeID="_x0000_i1152" DrawAspect="Content" ObjectID="_1849065783" r:id="rId184"/>
        </w:object>
      </w:r>
      <w:r w:rsidRPr="0013396E">
        <w:rPr>
          <w:bCs/>
          <w:szCs w:val="24"/>
        </w:rPr>
        <w:t xml:space="preserve"> (AVGTG5M</w:t>
      </w:r>
      <w:r w:rsidRPr="0013396E">
        <w:rPr>
          <w:bCs/>
          <w:i/>
          <w:szCs w:val="24"/>
          <w:vertAlign w:val="subscript"/>
        </w:rPr>
        <w:t xml:space="preserve"> q, r, p, i, y</w:t>
      </w:r>
      <w:r w:rsidRPr="0013396E">
        <w:rPr>
          <w:bCs/>
          <w:szCs w:val="24"/>
        </w:rPr>
        <w:t xml:space="preserve">) / 3) * </w:t>
      </w:r>
      <w:r w:rsidRPr="0013396E">
        <w:rPr>
          <w:bCs/>
          <w:iCs/>
          <w:szCs w:val="24"/>
        </w:rPr>
        <w:t>¼</w:t>
      </w:r>
    </w:p>
    <w:p w14:paraId="4BEB2562" w14:textId="77777777" w:rsidR="005E0EE9" w:rsidRPr="0013396E" w:rsidRDefault="005E0EE9" w:rsidP="005E0EE9">
      <w:pPr>
        <w:rPr>
          <w:szCs w:val="24"/>
        </w:rPr>
      </w:pPr>
      <w:r w:rsidRPr="0013396E">
        <w:rPr>
          <w:szCs w:val="24"/>
        </w:rPr>
        <w:t>The above variables are defined as follows:</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1372"/>
        <w:gridCol w:w="5869"/>
      </w:tblGrid>
      <w:tr w:rsidR="005E0EE9" w:rsidRPr="0013396E" w14:paraId="18ECBE80" w14:textId="77777777" w:rsidTr="0099759E">
        <w:tc>
          <w:tcPr>
            <w:tcW w:w="2588" w:type="dxa"/>
          </w:tcPr>
          <w:p w14:paraId="1705FCEB" w14:textId="77777777" w:rsidR="005E0EE9" w:rsidRPr="0013396E" w:rsidRDefault="005E0EE9" w:rsidP="0099759E">
            <w:pPr>
              <w:pStyle w:val="TableHead"/>
            </w:pPr>
            <w:r w:rsidRPr="0013396E">
              <w:t>Variable</w:t>
            </w:r>
          </w:p>
        </w:tc>
        <w:tc>
          <w:tcPr>
            <w:tcW w:w="1372" w:type="dxa"/>
          </w:tcPr>
          <w:p w14:paraId="5BC46E74" w14:textId="77777777" w:rsidR="005E0EE9" w:rsidRPr="0013396E" w:rsidRDefault="005E0EE9" w:rsidP="0099759E">
            <w:pPr>
              <w:pStyle w:val="TableHead"/>
            </w:pPr>
            <w:r w:rsidRPr="0013396E">
              <w:t>Unit</w:t>
            </w:r>
          </w:p>
        </w:tc>
        <w:tc>
          <w:tcPr>
            <w:tcW w:w="5869" w:type="dxa"/>
          </w:tcPr>
          <w:p w14:paraId="19CE42FE" w14:textId="77777777" w:rsidR="005E0EE9" w:rsidRPr="0013396E" w:rsidRDefault="005E0EE9" w:rsidP="0099759E">
            <w:pPr>
              <w:pStyle w:val="TableHead"/>
            </w:pPr>
            <w:r w:rsidRPr="0013396E">
              <w:t>Definition</w:t>
            </w:r>
          </w:p>
        </w:tc>
      </w:tr>
      <w:tr w:rsidR="005E0EE9" w:rsidRPr="0013396E" w14:paraId="143BE224" w14:textId="77777777" w:rsidTr="0099759E">
        <w:trPr>
          <w:cantSplit/>
        </w:trPr>
        <w:tc>
          <w:tcPr>
            <w:tcW w:w="2588" w:type="dxa"/>
          </w:tcPr>
          <w:p w14:paraId="4D54FF21" w14:textId="77777777" w:rsidR="005E0EE9" w:rsidRPr="0013396E" w:rsidRDefault="005E0EE9" w:rsidP="0099759E">
            <w:pPr>
              <w:pStyle w:val="TableBody"/>
            </w:pPr>
            <w:r w:rsidRPr="0013396E">
              <w:t xml:space="preserve">SPDAMT </w:t>
            </w:r>
            <w:r w:rsidRPr="0013396E">
              <w:rPr>
                <w:i/>
                <w:vertAlign w:val="subscript"/>
              </w:rPr>
              <w:t>q, r, p, i</w:t>
            </w:r>
          </w:p>
        </w:tc>
        <w:tc>
          <w:tcPr>
            <w:tcW w:w="1372" w:type="dxa"/>
          </w:tcPr>
          <w:p w14:paraId="50CC6B88" w14:textId="77777777" w:rsidR="005E0EE9" w:rsidRPr="0013396E" w:rsidRDefault="005E0EE9" w:rsidP="0099759E">
            <w:pPr>
              <w:pStyle w:val="TableBody"/>
            </w:pPr>
            <w:r w:rsidRPr="0013396E">
              <w:t>$</w:t>
            </w:r>
          </w:p>
        </w:tc>
        <w:tc>
          <w:tcPr>
            <w:tcW w:w="5869" w:type="dxa"/>
          </w:tcPr>
          <w:p w14:paraId="4D461261" w14:textId="77777777" w:rsidR="005E0EE9" w:rsidRPr="0013396E" w:rsidRDefault="005E0EE9"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Generation Resource </w:t>
            </w:r>
            <w:r w:rsidRPr="0013396E">
              <w:rPr>
                <w:i/>
              </w:rPr>
              <w:t>r</w:t>
            </w:r>
            <w:r w:rsidRPr="0013396E">
              <w:t xml:space="preserve"> at Resource Node </w:t>
            </w:r>
            <w:r w:rsidRPr="0013396E">
              <w:rPr>
                <w:i/>
              </w:rPr>
              <w:t>p</w:t>
            </w:r>
            <w:r w:rsidRPr="0013396E">
              <w:t xml:space="preserve">, for its deviation from AASP, for the 15-minute Settlement Interval </w:t>
            </w:r>
            <w:r w:rsidRPr="0013396E">
              <w:rPr>
                <w:i/>
              </w:rPr>
              <w:t>i</w:t>
            </w:r>
            <w:r w:rsidRPr="0013396E">
              <w:t>.  A Set Point Deviation Charge is charged to the Combined Cycle Train for all Combined Cycle Generation Resources.</w:t>
            </w:r>
          </w:p>
        </w:tc>
      </w:tr>
      <w:tr w:rsidR="005E0EE9" w:rsidRPr="0013396E" w14:paraId="06691428" w14:textId="77777777" w:rsidTr="0099759E">
        <w:trPr>
          <w:cantSplit/>
        </w:trPr>
        <w:tc>
          <w:tcPr>
            <w:tcW w:w="2588" w:type="dxa"/>
          </w:tcPr>
          <w:p w14:paraId="585F3CD1" w14:textId="77777777" w:rsidR="005E0EE9" w:rsidRPr="0013396E" w:rsidRDefault="005E0EE9" w:rsidP="0099759E">
            <w:pPr>
              <w:pStyle w:val="TableBody"/>
            </w:pPr>
            <w:r w:rsidRPr="0013396E">
              <w:t xml:space="preserve">RTSPP </w:t>
            </w:r>
            <w:r w:rsidRPr="0013396E">
              <w:rPr>
                <w:i/>
                <w:vertAlign w:val="subscript"/>
              </w:rPr>
              <w:t>p, i</w:t>
            </w:r>
          </w:p>
        </w:tc>
        <w:tc>
          <w:tcPr>
            <w:tcW w:w="1372" w:type="dxa"/>
          </w:tcPr>
          <w:p w14:paraId="58AD118A" w14:textId="77777777" w:rsidR="005E0EE9" w:rsidRPr="0013396E" w:rsidRDefault="005E0EE9" w:rsidP="0099759E">
            <w:pPr>
              <w:pStyle w:val="TableBody"/>
            </w:pPr>
            <w:r w:rsidRPr="0013396E">
              <w:t>$/MWh</w:t>
            </w:r>
          </w:p>
        </w:tc>
        <w:tc>
          <w:tcPr>
            <w:tcW w:w="5869" w:type="dxa"/>
          </w:tcPr>
          <w:p w14:paraId="0286BF64" w14:textId="77777777" w:rsidR="005E0EE9" w:rsidRPr="0013396E" w:rsidRDefault="005E0EE9" w:rsidP="0099759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5E0EE9" w:rsidRPr="0013396E" w14:paraId="5B64DEBA" w14:textId="77777777" w:rsidTr="0099759E">
        <w:trPr>
          <w:cantSplit/>
        </w:trPr>
        <w:tc>
          <w:tcPr>
            <w:tcW w:w="2588" w:type="dxa"/>
          </w:tcPr>
          <w:p w14:paraId="0836F830" w14:textId="77777777" w:rsidR="005E0EE9" w:rsidRPr="0013396E" w:rsidRDefault="005E0EE9" w:rsidP="0099759E">
            <w:pPr>
              <w:pStyle w:val="TableBody"/>
            </w:pPr>
            <w:r w:rsidRPr="0013396E">
              <w:t xml:space="preserve">TWTG </w:t>
            </w:r>
            <w:r w:rsidRPr="0013396E">
              <w:rPr>
                <w:i/>
                <w:vertAlign w:val="subscript"/>
              </w:rPr>
              <w:t>q, r, p, i</w:t>
            </w:r>
          </w:p>
        </w:tc>
        <w:tc>
          <w:tcPr>
            <w:tcW w:w="1372" w:type="dxa"/>
          </w:tcPr>
          <w:p w14:paraId="3FDBEFA4" w14:textId="77777777" w:rsidR="005E0EE9" w:rsidRPr="0013396E" w:rsidRDefault="005E0EE9" w:rsidP="0099759E">
            <w:pPr>
              <w:pStyle w:val="TableBody"/>
            </w:pPr>
            <w:r w:rsidRPr="0013396E">
              <w:t>MWh</w:t>
            </w:r>
          </w:p>
        </w:tc>
        <w:tc>
          <w:tcPr>
            <w:tcW w:w="5869" w:type="dxa"/>
          </w:tcPr>
          <w:p w14:paraId="73854995" w14:textId="77777777" w:rsidR="005E0EE9" w:rsidRPr="0013396E" w:rsidRDefault="005E0EE9" w:rsidP="0099759E">
            <w:pPr>
              <w:pStyle w:val="TableBody"/>
              <w:rPr>
                <w:i/>
              </w:rPr>
            </w:pPr>
            <w:r w:rsidRPr="0013396E">
              <w:rPr>
                <w:i/>
              </w:rPr>
              <w:t>Time-Weighted Telemetered Generation per QSE per Settlement Point per Resource</w:t>
            </w:r>
            <w:r w:rsidRPr="0013396E">
              <w:t xml:space="preserve">—The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 xml:space="preserve">.  Where for a Combined Cycle Train, the Resource </w:t>
            </w:r>
            <w:r w:rsidRPr="0013396E">
              <w:rPr>
                <w:i/>
              </w:rPr>
              <w:t xml:space="preserve">r </w:t>
            </w:r>
            <w:r w:rsidRPr="0013396E">
              <w:t>is the Combined Cycle Train.</w:t>
            </w:r>
          </w:p>
        </w:tc>
      </w:tr>
      <w:tr w:rsidR="005E0EE9" w:rsidRPr="0013396E" w14:paraId="7EC3D2DC" w14:textId="77777777" w:rsidTr="0099759E">
        <w:trPr>
          <w:cantSplit/>
        </w:trPr>
        <w:tc>
          <w:tcPr>
            <w:tcW w:w="2588" w:type="dxa"/>
          </w:tcPr>
          <w:p w14:paraId="47C15A50" w14:textId="77777777" w:rsidR="005E0EE9" w:rsidRPr="0013396E" w:rsidRDefault="005E0EE9" w:rsidP="0099759E">
            <w:pPr>
              <w:pStyle w:val="TableBody"/>
            </w:pPr>
            <w:r w:rsidRPr="0013396E">
              <w:t>AASP</w:t>
            </w:r>
            <w:r w:rsidRPr="0013396E">
              <w:rPr>
                <w:vertAlign w:val="subscript"/>
              </w:rPr>
              <w:t xml:space="preserve"> </w:t>
            </w:r>
            <w:r w:rsidRPr="0013396E">
              <w:rPr>
                <w:i/>
                <w:vertAlign w:val="subscript"/>
              </w:rPr>
              <w:t>q, r, p, i</w:t>
            </w:r>
          </w:p>
        </w:tc>
        <w:tc>
          <w:tcPr>
            <w:tcW w:w="1372" w:type="dxa"/>
          </w:tcPr>
          <w:p w14:paraId="5FB2999C" w14:textId="77777777" w:rsidR="005E0EE9" w:rsidRPr="0013396E" w:rsidRDefault="005E0EE9" w:rsidP="0099759E">
            <w:pPr>
              <w:pStyle w:val="TableBody"/>
            </w:pPr>
            <w:r w:rsidRPr="0013396E">
              <w:t>MW</w:t>
            </w:r>
          </w:p>
        </w:tc>
        <w:tc>
          <w:tcPr>
            <w:tcW w:w="5869" w:type="dxa"/>
          </w:tcPr>
          <w:p w14:paraId="61BBDAC0" w14:textId="77777777" w:rsidR="005E0EE9" w:rsidRPr="0013396E" w:rsidRDefault="005E0EE9" w:rsidP="0099759E">
            <w:pPr>
              <w:pStyle w:val="TableBody"/>
              <w:rPr>
                <w:i/>
              </w:rPr>
            </w:pPr>
            <w:r w:rsidRPr="0013396E">
              <w:rPr>
                <w:i/>
              </w:rPr>
              <w:t>Average Aggregated Set Point</w:t>
            </w:r>
            <w:r w:rsidRPr="0013396E">
              <w:t xml:space="preserve">—The average of the Average Five Minute Clock Interval Set Point (AVGSP5M) of Generation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 </w:t>
            </w:r>
            <w:r w:rsidRPr="0013396E">
              <w:rPr>
                <w:i/>
              </w:rPr>
              <w:t>i</w:t>
            </w:r>
            <w:r w:rsidRPr="0013396E">
              <w:t>.  Where for a Combined Cycle Train, AASP is calculated for the Combined Cycle Train considering all UDSPs to any Combined Cycle Generation Resources within the Combined Cycle Train.</w:t>
            </w:r>
          </w:p>
        </w:tc>
      </w:tr>
      <w:tr w:rsidR="005E0EE9" w:rsidRPr="0013396E" w14:paraId="6CDAE323" w14:textId="77777777" w:rsidTr="0099759E">
        <w:trPr>
          <w:cantSplit/>
        </w:trPr>
        <w:tc>
          <w:tcPr>
            <w:tcW w:w="2588" w:type="dxa"/>
          </w:tcPr>
          <w:p w14:paraId="397D3D54" w14:textId="77777777" w:rsidR="005E0EE9" w:rsidRPr="0013396E" w:rsidRDefault="005E0EE9" w:rsidP="0099759E">
            <w:pPr>
              <w:pStyle w:val="TableBody"/>
            </w:pPr>
            <w:r w:rsidRPr="0013396E">
              <w:t>AVGTG5M</w:t>
            </w:r>
            <w:r w:rsidRPr="0013396E">
              <w:rPr>
                <w:i/>
                <w:vertAlign w:val="subscript"/>
                <w:lang w:val="fr-FR"/>
              </w:rPr>
              <w:t xml:space="preserve">  q, r, p, i, y</w:t>
            </w:r>
          </w:p>
        </w:tc>
        <w:tc>
          <w:tcPr>
            <w:tcW w:w="1372" w:type="dxa"/>
          </w:tcPr>
          <w:p w14:paraId="14A69FA7" w14:textId="77777777" w:rsidR="005E0EE9" w:rsidRPr="0013396E" w:rsidRDefault="005E0EE9" w:rsidP="0099759E">
            <w:pPr>
              <w:pStyle w:val="TableBody"/>
            </w:pPr>
            <w:r w:rsidRPr="0013396E">
              <w:t>MW</w:t>
            </w:r>
          </w:p>
        </w:tc>
        <w:tc>
          <w:tcPr>
            <w:tcW w:w="5869" w:type="dxa"/>
          </w:tcPr>
          <w:p w14:paraId="57477EDE" w14:textId="77777777" w:rsidR="005E0EE9" w:rsidRPr="0013396E" w:rsidRDefault="005E0EE9" w:rsidP="0099759E">
            <w:pPr>
              <w:pStyle w:val="TableBody"/>
            </w:pPr>
            <w:r w:rsidRPr="0013396E">
              <w:rPr>
                <w:i/>
              </w:rPr>
              <w:t>Average Telemetered Generation for the 5 Minutes</w:t>
            </w:r>
            <w:r w:rsidRPr="0013396E">
              <w:t xml:space="preserve"> —The average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5E0EE9" w:rsidRPr="0013396E" w14:paraId="1FC7FF1C" w14:textId="77777777" w:rsidTr="0099759E">
        <w:trPr>
          <w:cantSplit/>
        </w:trPr>
        <w:tc>
          <w:tcPr>
            <w:tcW w:w="2588" w:type="dxa"/>
          </w:tcPr>
          <w:p w14:paraId="2448A369" w14:textId="77777777" w:rsidR="005E0EE9" w:rsidRPr="0013396E" w:rsidRDefault="005E0EE9" w:rsidP="0099759E">
            <w:pPr>
              <w:pStyle w:val="TableBody"/>
            </w:pPr>
            <w:r w:rsidRPr="0013396E">
              <w:t xml:space="preserve">UGEN </w:t>
            </w:r>
            <w:r w:rsidRPr="0013396E">
              <w:rPr>
                <w:i/>
                <w:vertAlign w:val="subscript"/>
              </w:rPr>
              <w:t>q, r, p, i</w:t>
            </w:r>
          </w:p>
        </w:tc>
        <w:tc>
          <w:tcPr>
            <w:tcW w:w="1372" w:type="dxa"/>
          </w:tcPr>
          <w:p w14:paraId="11B1C9FD" w14:textId="77777777" w:rsidR="005E0EE9" w:rsidRPr="0013396E" w:rsidRDefault="005E0EE9" w:rsidP="0099759E">
            <w:pPr>
              <w:pStyle w:val="TableBody"/>
            </w:pPr>
            <w:r w:rsidRPr="0013396E">
              <w:t>MWh</w:t>
            </w:r>
          </w:p>
        </w:tc>
        <w:tc>
          <w:tcPr>
            <w:tcW w:w="5869" w:type="dxa"/>
          </w:tcPr>
          <w:p w14:paraId="6C9EB664" w14:textId="77777777" w:rsidR="005E0EE9" w:rsidRPr="0013396E" w:rsidRDefault="005E0EE9" w:rsidP="0099759E">
            <w:pPr>
              <w:pStyle w:val="TableBody"/>
            </w:pPr>
            <w:r w:rsidRPr="0013396E">
              <w:rPr>
                <w:i/>
              </w:rPr>
              <w:t>Under-Generation Volumes per QSE per Settlement Point per Resource</w:t>
            </w:r>
            <w:r w:rsidRPr="0013396E">
              <w:t xml:space="preserve">—The amount under-generated by the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w:t>
            </w:r>
          </w:p>
        </w:tc>
      </w:tr>
      <w:tr w:rsidR="005E0EE9" w:rsidRPr="0013396E" w14:paraId="73B716E0" w14:textId="77777777" w:rsidTr="0099759E">
        <w:trPr>
          <w:cantSplit/>
        </w:trPr>
        <w:tc>
          <w:tcPr>
            <w:tcW w:w="2588" w:type="dxa"/>
          </w:tcPr>
          <w:p w14:paraId="5692947C" w14:textId="77777777" w:rsidR="005E0EE9" w:rsidRPr="0013396E" w:rsidRDefault="005E0EE9" w:rsidP="0099759E">
            <w:pPr>
              <w:pStyle w:val="TableBody"/>
            </w:pPr>
            <w:r w:rsidRPr="0013396E">
              <w:t>KP</w:t>
            </w:r>
          </w:p>
        </w:tc>
        <w:tc>
          <w:tcPr>
            <w:tcW w:w="1372" w:type="dxa"/>
          </w:tcPr>
          <w:p w14:paraId="5057458B" w14:textId="77777777" w:rsidR="005E0EE9" w:rsidRPr="0013396E" w:rsidRDefault="005E0EE9" w:rsidP="0099759E">
            <w:pPr>
              <w:pStyle w:val="TableBody"/>
            </w:pPr>
            <w:r w:rsidRPr="0013396E">
              <w:t>none</w:t>
            </w:r>
          </w:p>
        </w:tc>
        <w:tc>
          <w:tcPr>
            <w:tcW w:w="5869" w:type="dxa"/>
          </w:tcPr>
          <w:p w14:paraId="3F13BFEF" w14:textId="77777777" w:rsidR="005E0EE9" w:rsidRPr="0013396E" w:rsidRDefault="005E0EE9" w:rsidP="0099759E">
            <w:pPr>
              <w:pStyle w:val="TableBody"/>
            </w:pPr>
            <w:r w:rsidRPr="0013396E">
              <w:t>The coefficient applied to the Settlement Point Price for under-generation charge, 1.0.</w:t>
            </w:r>
          </w:p>
        </w:tc>
      </w:tr>
      <w:tr w:rsidR="005E0EE9" w:rsidRPr="0013396E" w14:paraId="5713C0C3" w14:textId="77777777" w:rsidTr="0099759E">
        <w:trPr>
          <w:cantSplit/>
        </w:trPr>
        <w:tc>
          <w:tcPr>
            <w:tcW w:w="2588" w:type="dxa"/>
          </w:tcPr>
          <w:p w14:paraId="51F59486" w14:textId="77777777" w:rsidR="005E0EE9" w:rsidRPr="0013396E" w:rsidRDefault="005E0EE9" w:rsidP="0099759E">
            <w:pPr>
              <w:pStyle w:val="TableBody"/>
            </w:pPr>
            <w:r w:rsidRPr="0013396E">
              <w:t>PR2</w:t>
            </w:r>
          </w:p>
        </w:tc>
        <w:tc>
          <w:tcPr>
            <w:tcW w:w="1372" w:type="dxa"/>
          </w:tcPr>
          <w:p w14:paraId="554FA9FA" w14:textId="77777777" w:rsidR="005E0EE9" w:rsidRPr="0013396E" w:rsidRDefault="005E0EE9" w:rsidP="0099759E">
            <w:pPr>
              <w:pStyle w:val="TableBody"/>
            </w:pPr>
            <w:r w:rsidRPr="0013396E">
              <w:t>$/MWh</w:t>
            </w:r>
          </w:p>
        </w:tc>
        <w:tc>
          <w:tcPr>
            <w:tcW w:w="5869" w:type="dxa"/>
          </w:tcPr>
          <w:p w14:paraId="6C38B8BB" w14:textId="77777777" w:rsidR="005E0EE9" w:rsidRPr="0013396E" w:rsidRDefault="005E0EE9" w:rsidP="0099759E">
            <w:pPr>
              <w:pStyle w:val="TableBody"/>
            </w:pPr>
            <w:r w:rsidRPr="0013396E">
              <w:t xml:space="preserve">The price to use for the Set Point Deviation Charge for under-generation calculation when RTSPP is greater than -$20/MWh, -$20/MWh.  </w:t>
            </w:r>
          </w:p>
        </w:tc>
      </w:tr>
      <w:tr w:rsidR="005E0EE9" w:rsidRPr="0013396E" w14:paraId="30CF45E8" w14:textId="77777777" w:rsidTr="0099759E">
        <w:trPr>
          <w:cantSplit/>
        </w:trPr>
        <w:tc>
          <w:tcPr>
            <w:tcW w:w="2588" w:type="dxa"/>
          </w:tcPr>
          <w:p w14:paraId="2BD6E929" w14:textId="77777777" w:rsidR="005E0EE9" w:rsidRPr="0013396E" w:rsidRDefault="005E0EE9" w:rsidP="0099759E">
            <w:pPr>
              <w:pStyle w:val="TableBody"/>
            </w:pPr>
            <w:r w:rsidRPr="0013396E">
              <w:t>K2</w:t>
            </w:r>
          </w:p>
        </w:tc>
        <w:tc>
          <w:tcPr>
            <w:tcW w:w="1372" w:type="dxa"/>
          </w:tcPr>
          <w:p w14:paraId="6EBB8815" w14:textId="77777777" w:rsidR="005E0EE9" w:rsidRPr="0013396E" w:rsidRDefault="005E0EE9" w:rsidP="0099759E">
            <w:pPr>
              <w:pStyle w:val="TableBody"/>
            </w:pPr>
            <w:r w:rsidRPr="0013396E">
              <w:t>none</w:t>
            </w:r>
          </w:p>
        </w:tc>
        <w:tc>
          <w:tcPr>
            <w:tcW w:w="5869" w:type="dxa"/>
          </w:tcPr>
          <w:p w14:paraId="2B6084B1" w14:textId="77777777" w:rsidR="005E0EE9" w:rsidRPr="0013396E" w:rsidRDefault="005E0EE9" w:rsidP="0099759E">
            <w:pPr>
              <w:pStyle w:val="TableBody"/>
            </w:pPr>
            <w:r w:rsidRPr="0013396E">
              <w:t xml:space="preserve">The percentage tolerance for under-generation, 5%. </w:t>
            </w:r>
          </w:p>
        </w:tc>
      </w:tr>
      <w:tr w:rsidR="005E0EE9" w:rsidRPr="0013396E" w14:paraId="6F92A3FA" w14:textId="77777777" w:rsidTr="0099759E">
        <w:trPr>
          <w:cantSplit/>
        </w:trPr>
        <w:tc>
          <w:tcPr>
            <w:tcW w:w="2588" w:type="dxa"/>
          </w:tcPr>
          <w:p w14:paraId="1AB99353" w14:textId="77777777" w:rsidR="005E0EE9" w:rsidRPr="0013396E" w:rsidRDefault="005E0EE9" w:rsidP="0099759E">
            <w:pPr>
              <w:pStyle w:val="TableBody"/>
            </w:pPr>
            <w:r w:rsidRPr="0013396E">
              <w:t>Q2</w:t>
            </w:r>
          </w:p>
        </w:tc>
        <w:tc>
          <w:tcPr>
            <w:tcW w:w="1372" w:type="dxa"/>
          </w:tcPr>
          <w:p w14:paraId="5C5599E9" w14:textId="77777777" w:rsidR="005E0EE9" w:rsidRPr="0013396E" w:rsidRDefault="005E0EE9" w:rsidP="0099759E">
            <w:pPr>
              <w:pStyle w:val="TableBody"/>
            </w:pPr>
            <w:r w:rsidRPr="0013396E">
              <w:t>MW</w:t>
            </w:r>
          </w:p>
        </w:tc>
        <w:tc>
          <w:tcPr>
            <w:tcW w:w="5869" w:type="dxa"/>
          </w:tcPr>
          <w:p w14:paraId="5AFE79C7" w14:textId="77777777" w:rsidR="005E0EE9" w:rsidRPr="0013396E" w:rsidRDefault="005E0EE9" w:rsidP="0099759E">
            <w:pPr>
              <w:pStyle w:val="TableBody"/>
            </w:pPr>
            <w:r w:rsidRPr="0013396E">
              <w:t>The MW tolerance for under-generation, five MW.</w:t>
            </w:r>
          </w:p>
        </w:tc>
      </w:tr>
      <w:tr w:rsidR="005E0EE9" w:rsidRPr="0013396E" w14:paraId="16FE81A1" w14:textId="77777777" w:rsidTr="0099759E">
        <w:trPr>
          <w:cantSplit/>
        </w:trPr>
        <w:tc>
          <w:tcPr>
            <w:tcW w:w="2588" w:type="dxa"/>
          </w:tcPr>
          <w:p w14:paraId="67A9A21B" w14:textId="77777777" w:rsidR="005E0EE9" w:rsidRPr="0013396E" w:rsidRDefault="005E0EE9" w:rsidP="0099759E">
            <w:pPr>
              <w:spacing w:after="60"/>
              <w:rPr>
                <w:iCs/>
                <w:sz w:val="20"/>
              </w:rPr>
            </w:pPr>
            <w:r w:rsidRPr="0013396E">
              <w:rPr>
                <w:iCs/>
                <w:sz w:val="20"/>
              </w:rPr>
              <w:t>N</w:t>
            </w:r>
          </w:p>
        </w:tc>
        <w:tc>
          <w:tcPr>
            <w:tcW w:w="1372" w:type="dxa"/>
          </w:tcPr>
          <w:p w14:paraId="71BCE269" w14:textId="77777777" w:rsidR="005E0EE9" w:rsidRPr="0013396E" w:rsidRDefault="005E0EE9" w:rsidP="0099759E">
            <w:pPr>
              <w:spacing w:after="60"/>
              <w:rPr>
                <w:iCs/>
                <w:sz w:val="20"/>
              </w:rPr>
            </w:pPr>
            <w:r w:rsidRPr="0013396E">
              <w:rPr>
                <w:iCs/>
                <w:sz w:val="20"/>
              </w:rPr>
              <w:t>none</w:t>
            </w:r>
          </w:p>
        </w:tc>
        <w:tc>
          <w:tcPr>
            <w:tcW w:w="5869" w:type="dxa"/>
          </w:tcPr>
          <w:p w14:paraId="7646D8F7" w14:textId="77777777" w:rsidR="005E0EE9" w:rsidRPr="0013396E" w:rsidRDefault="005E0EE9" w:rsidP="0099759E">
            <w:pPr>
              <w:spacing w:after="60"/>
              <w:rPr>
                <w:iCs/>
                <w:sz w:val="20"/>
              </w:rPr>
            </w:pPr>
            <w:r w:rsidRPr="0013396E">
              <w:rPr>
                <w:iCs/>
                <w:sz w:val="20"/>
              </w:rPr>
              <w:t>The number of IRRs within an IRR Group.</w:t>
            </w:r>
          </w:p>
        </w:tc>
      </w:tr>
      <w:tr w:rsidR="005E0EE9" w:rsidRPr="0013396E" w14:paraId="2260E611" w14:textId="77777777" w:rsidTr="0099759E">
        <w:trPr>
          <w:cantSplit/>
        </w:trPr>
        <w:tc>
          <w:tcPr>
            <w:tcW w:w="2588" w:type="dxa"/>
          </w:tcPr>
          <w:p w14:paraId="3CBFC7BE" w14:textId="77777777" w:rsidR="005E0EE9" w:rsidRPr="0013396E" w:rsidRDefault="005E0EE9" w:rsidP="0099759E">
            <w:pPr>
              <w:pStyle w:val="TableBody"/>
              <w:rPr>
                <w:i/>
              </w:rPr>
            </w:pPr>
            <w:r w:rsidRPr="0013396E">
              <w:rPr>
                <w:i/>
              </w:rPr>
              <w:t>q</w:t>
            </w:r>
          </w:p>
        </w:tc>
        <w:tc>
          <w:tcPr>
            <w:tcW w:w="1372" w:type="dxa"/>
          </w:tcPr>
          <w:p w14:paraId="245E9E17" w14:textId="77777777" w:rsidR="005E0EE9" w:rsidRPr="0013396E" w:rsidRDefault="005E0EE9" w:rsidP="0099759E">
            <w:pPr>
              <w:pStyle w:val="TableBody"/>
            </w:pPr>
            <w:r w:rsidRPr="0013396E">
              <w:t>none</w:t>
            </w:r>
          </w:p>
        </w:tc>
        <w:tc>
          <w:tcPr>
            <w:tcW w:w="5869" w:type="dxa"/>
          </w:tcPr>
          <w:p w14:paraId="5CE39891" w14:textId="77777777" w:rsidR="005E0EE9" w:rsidRPr="0013396E" w:rsidRDefault="005E0EE9" w:rsidP="0099759E">
            <w:pPr>
              <w:pStyle w:val="TableBody"/>
            </w:pPr>
            <w:r w:rsidRPr="0013396E">
              <w:t>A QSE.</w:t>
            </w:r>
          </w:p>
        </w:tc>
      </w:tr>
      <w:tr w:rsidR="005E0EE9" w:rsidRPr="0013396E" w14:paraId="2A690309" w14:textId="77777777" w:rsidTr="0099759E">
        <w:trPr>
          <w:cantSplit/>
        </w:trPr>
        <w:tc>
          <w:tcPr>
            <w:tcW w:w="2588" w:type="dxa"/>
          </w:tcPr>
          <w:p w14:paraId="7A66E986" w14:textId="77777777" w:rsidR="005E0EE9" w:rsidRPr="0013396E" w:rsidRDefault="005E0EE9" w:rsidP="0099759E">
            <w:pPr>
              <w:pStyle w:val="TableBody"/>
              <w:rPr>
                <w:i/>
              </w:rPr>
            </w:pPr>
            <w:r w:rsidRPr="0013396E">
              <w:rPr>
                <w:i/>
              </w:rPr>
              <w:t>p</w:t>
            </w:r>
          </w:p>
        </w:tc>
        <w:tc>
          <w:tcPr>
            <w:tcW w:w="1372" w:type="dxa"/>
          </w:tcPr>
          <w:p w14:paraId="5919A13B" w14:textId="77777777" w:rsidR="005E0EE9" w:rsidRPr="0013396E" w:rsidRDefault="005E0EE9" w:rsidP="0099759E">
            <w:pPr>
              <w:pStyle w:val="TableBody"/>
            </w:pPr>
            <w:r w:rsidRPr="0013396E">
              <w:t>none</w:t>
            </w:r>
          </w:p>
        </w:tc>
        <w:tc>
          <w:tcPr>
            <w:tcW w:w="5869" w:type="dxa"/>
          </w:tcPr>
          <w:p w14:paraId="474B2F79" w14:textId="77777777" w:rsidR="005E0EE9" w:rsidRPr="0013396E" w:rsidRDefault="005E0EE9" w:rsidP="0099759E">
            <w:pPr>
              <w:pStyle w:val="TableBody"/>
            </w:pPr>
            <w:r w:rsidRPr="0013396E">
              <w:t>A Settlement Point.</w:t>
            </w:r>
          </w:p>
        </w:tc>
      </w:tr>
      <w:tr w:rsidR="005E0EE9" w:rsidRPr="0013396E" w14:paraId="53E96250" w14:textId="77777777" w:rsidTr="0099759E">
        <w:trPr>
          <w:cantSplit/>
        </w:trPr>
        <w:tc>
          <w:tcPr>
            <w:tcW w:w="2588" w:type="dxa"/>
          </w:tcPr>
          <w:p w14:paraId="19A62E17" w14:textId="77777777" w:rsidR="005E0EE9" w:rsidRPr="0013396E" w:rsidRDefault="005E0EE9" w:rsidP="0099759E">
            <w:pPr>
              <w:pStyle w:val="TableBody"/>
              <w:rPr>
                <w:i/>
              </w:rPr>
            </w:pPr>
            <w:r w:rsidRPr="0013396E">
              <w:rPr>
                <w:i/>
              </w:rPr>
              <w:t>r</w:t>
            </w:r>
          </w:p>
        </w:tc>
        <w:tc>
          <w:tcPr>
            <w:tcW w:w="1372" w:type="dxa"/>
          </w:tcPr>
          <w:p w14:paraId="1742D637" w14:textId="77777777" w:rsidR="005E0EE9" w:rsidRPr="0013396E" w:rsidRDefault="005E0EE9" w:rsidP="0099759E">
            <w:pPr>
              <w:pStyle w:val="TableBody"/>
            </w:pPr>
            <w:r w:rsidRPr="0013396E">
              <w:t>none</w:t>
            </w:r>
          </w:p>
        </w:tc>
        <w:tc>
          <w:tcPr>
            <w:tcW w:w="5869" w:type="dxa"/>
          </w:tcPr>
          <w:p w14:paraId="7A20B5BF" w14:textId="77777777" w:rsidR="005E0EE9" w:rsidRPr="0013396E" w:rsidRDefault="005E0EE9" w:rsidP="0099759E">
            <w:pPr>
              <w:pStyle w:val="TableBody"/>
              <w:rPr>
                <w:lang w:val="fr-FR"/>
              </w:rPr>
            </w:pPr>
            <w:r w:rsidRPr="0013396E">
              <w:rPr>
                <w:lang w:val="fr-FR"/>
              </w:rPr>
              <w:t>A non-exempt Generation Resource.</w:t>
            </w:r>
          </w:p>
        </w:tc>
      </w:tr>
      <w:tr w:rsidR="005E0EE9" w:rsidRPr="0013396E" w14:paraId="2D24E4F2" w14:textId="77777777" w:rsidTr="0099759E">
        <w:trPr>
          <w:cantSplit/>
        </w:trPr>
        <w:tc>
          <w:tcPr>
            <w:tcW w:w="2588" w:type="dxa"/>
          </w:tcPr>
          <w:p w14:paraId="3B6D6FB4" w14:textId="77777777" w:rsidR="005E0EE9" w:rsidRPr="0013396E" w:rsidRDefault="005E0EE9" w:rsidP="0099759E">
            <w:pPr>
              <w:pStyle w:val="TableBody"/>
              <w:rPr>
                <w:i/>
              </w:rPr>
            </w:pPr>
            <w:r w:rsidRPr="0013396E">
              <w:rPr>
                <w:i/>
              </w:rPr>
              <w:t>y</w:t>
            </w:r>
          </w:p>
        </w:tc>
        <w:tc>
          <w:tcPr>
            <w:tcW w:w="1372" w:type="dxa"/>
          </w:tcPr>
          <w:p w14:paraId="706321A8" w14:textId="77777777" w:rsidR="005E0EE9" w:rsidRPr="0013396E" w:rsidRDefault="005E0EE9" w:rsidP="0099759E">
            <w:pPr>
              <w:pStyle w:val="TableBody"/>
            </w:pPr>
            <w:r w:rsidRPr="0013396E">
              <w:t>none</w:t>
            </w:r>
          </w:p>
        </w:tc>
        <w:tc>
          <w:tcPr>
            <w:tcW w:w="5869" w:type="dxa"/>
          </w:tcPr>
          <w:p w14:paraId="260F1EFF" w14:textId="77777777" w:rsidR="005E0EE9" w:rsidRPr="0013396E" w:rsidRDefault="005E0EE9" w:rsidP="0099759E">
            <w:pPr>
              <w:pStyle w:val="TableBody"/>
              <w:rPr>
                <w:lang w:val="fr-FR"/>
              </w:rPr>
            </w:pPr>
            <w:r w:rsidRPr="0013396E">
              <w:t xml:space="preserve">A five-minute clock interval in the Settlement Interval. </w:t>
            </w:r>
          </w:p>
        </w:tc>
      </w:tr>
      <w:tr w:rsidR="005E0EE9" w:rsidRPr="0013396E" w14:paraId="47EAA1D3" w14:textId="77777777" w:rsidTr="0099759E">
        <w:trPr>
          <w:cantSplit/>
        </w:trPr>
        <w:tc>
          <w:tcPr>
            <w:tcW w:w="2588" w:type="dxa"/>
          </w:tcPr>
          <w:p w14:paraId="7B6FD640" w14:textId="77777777" w:rsidR="005E0EE9" w:rsidRPr="0013396E" w:rsidRDefault="005E0EE9" w:rsidP="0099759E">
            <w:pPr>
              <w:pStyle w:val="TableBody"/>
              <w:rPr>
                <w:i/>
              </w:rPr>
            </w:pPr>
            <w:r w:rsidRPr="0013396E">
              <w:rPr>
                <w:i/>
              </w:rPr>
              <w:t>i</w:t>
            </w:r>
          </w:p>
        </w:tc>
        <w:tc>
          <w:tcPr>
            <w:tcW w:w="1372" w:type="dxa"/>
          </w:tcPr>
          <w:p w14:paraId="0C7B5A40" w14:textId="77777777" w:rsidR="005E0EE9" w:rsidRPr="0013396E" w:rsidRDefault="005E0EE9" w:rsidP="0099759E">
            <w:pPr>
              <w:pStyle w:val="TableBody"/>
            </w:pPr>
            <w:r w:rsidRPr="0013396E">
              <w:t>none</w:t>
            </w:r>
          </w:p>
        </w:tc>
        <w:tc>
          <w:tcPr>
            <w:tcW w:w="5869" w:type="dxa"/>
          </w:tcPr>
          <w:p w14:paraId="73420C9C" w14:textId="77777777" w:rsidR="005E0EE9" w:rsidRPr="0013396E" w:rsidRDefault="005E0EE9" w:rsidP="0099759E">
            <w:pPr>
              <w:pStyle w:val="TableBody"/>
            </w:pPr>
            <w:r w:rsidRPr="0013396E">
              <w:t>A 15-minute Settlement Interval.</w:t>
            </w:r>
          </w:p>
        </w:tc>
      </w:tr>
      <w:tr w:rsidR="005E0EE9" w:rsidRPr="0013396E" w14:paraId="02BF8DC6" w14:textId="77777777" w:rsidTr="0099759E">
        <w:trPr>
          <w:cantSplit/>
        </w:trPr>
        <w:tc>
          <w:tcPr>
            <w:tcW w:w="2588" w:type="dxa"/>
          </w:tcPr>
          <w:p w14:paraId="0F4EFDE3" w14:textId="77777777" w:rsidR="005E0EE9" w:rsidRPr="0013396E" w:rsidRDefault="005E0EE9" w:rsidP="0099759E">
            <w:pPr>
              <w:spacing w:after="60"/>
              <w:rPr>
                <w:iCs/>
                <w:sz w:val="20"/>
              </w:rPr>
            </w:pPr>
            <w:r w:rsidRPr="0013396E">
              <w:rPr>
                <w:i/>
                <w:iCs/>
                <w:sz w:val="20"/>
              </w:rPr>
              <w:t>wg</w:t>
            </w:r>
          </w:p>
        </w:tc>
        <w:tc>
          <w:tcPr>
            <w:tcW w:w="1372" w:type="dxa"/>
          </w:tcPr>
          <w:p w14:paraId="646EA5F5" w14:textId="77777777" w:rsidR="005E0EE9" w:rsidRPr="0013396E" w:rsidRDefault="005E0EE9" w:rsidP="0099759E">
            <w:pPr>
              <w:spacing w:after="60"/>
              <w:rPr>
                <w:iCs/>
                <w:sz w:val="20"/>
              </w:rPr>
            </w:pPr>
            <w:r w:rsidRPr="0013396E">
              <w:rPr>
                <w:iCs/>
                <w:sz w:val="20"/>
              </w:rPr>
              <w:t>none</w:t>
            </w:r>
          </w:p>
        </w:tc>
        <w:tc>
          <w:tcPr>
            <w:tcW w:w="5869" w:type="dxa"/>
          </w:tcPr>
          <w:p w14:paraId="03E1A690" w14:textId="77777777" w:rsidR="005E0EE9" w:rsidRPr="0013396E" w:rsidRDefault="005E0EE9" w:rsidP="0099759E">
            <w:pPr>
              <w:spacing w:after="60"/>
              <w:rPr>
                <w:iCs/>
                <w:sz w:val="20"/>
              </w:rPr>
            </w:pPr>
            <w:r w:rsidRPr="0013396E">
              <w:rPr>
                <w:iCs/>
                <w:sz w:val="20"/>
              </w:rPr>
              <w:t>An IRR Group.</w:t>
            </w:r>
          </w:p>
        </w:tc>
      </w:tr>
    </w:tbl>
    <w:p w14:paraId="490DB689" w14:textId="77777777" w:rsidR="005A7D8E" w:rsidRDefault="005A7D8E"/>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5"/>
      </w:tblGrid>
      <w:tr w:rsidR="00AC1609" w:rsidRPr="0013396E" w14:paraId="40255D88" w14:textId="05613722" w:rsidTr="005A7D8E">
        <w:tc>
          <w:tcPr>
            <w:tcW w:w="10055" w:type="dxa"/>
            <w:tcBorders>
              <w:top w:val="single" w:sz="4" w:space="0" w:color="auto"/>
              <w:left w:val="single" w:sz="4" w:space="0" w:color="auto"/>
              <w:bottom w:val="single" w:sz="4" w:space="0" w:color="auto"/>
              <w:right w:val="single" w:sz="4" w:space="0" w:color="auto"/>
            </w:tcBorders>
            <w:shd w:val="pct12" w:color="auto" w:fill="auto"/>
          </w:tcPr>
          <w:p w14:paraId="5052EA9E" w14:textId="3764C7F7" w:rsidR="00AC1609" w:rsidRPr="0013396E" w:rsidRDefault="00AC1609" w:rsidP="00AB2BB6">
            <w:pPr>
              <w:pStyle w:val="Instructions"/>
              <w:spacing w:before="120"/>
            </w:pPr>
            <w:bookmarkStart w:id="1777" w:name="_Toc402357153"/>
            <w:bookmarkStart w:id="1778" w:name="_Toc422486533"/>
            <w:bookmarkStart w:id="1779" w:name="_Toc433093386"/>
            <w:bookmarkStart w:id="1780" w:name="_Toc433093544"/>
            <w:bookmarkStart w:id="1781" w:name="_Toc440874774"/>
            <w:bookmarkStart w:id="1782" w:name="_Toc448142331"/>
            <w:bookmarkStart w:id="1783" w:name="_Toc448142488"/>
            <w:bookmarkStart w:id="1784" w:name="_Toc458770329"/>
            <w:bookmarkStart w:id="1785" w:name="_Toc459294297"/>
            <w:bookmarkStart w:id="1786" w:name="_Toc463262790"/>
            <w:bookmarkStart w:id="1787" w:name="_Toc468286863"/>
            <w:bookmarkStart w:id="1788" w:name="_Toc481502903"/>
            <w:bookmarkStart w:id="1789" w:name="_Toc496080071"/>
            <w:bookmarkEnd w:id="1753"/>
            <w:bookmarkEnd w:id="1754"/>
            <w:bookmarkEnd w:id="1755"/>
            <w:bookmarkEnd w:id="1756"/>
            <w:bookmarkEnd w:id="1757"/>
            <w:bookmarkEnd w:id="1758"/>
            <w:bookmarkEnd w:id="1759"/>
            <w:bookmarkEnd w:id="1760"/>
            <w:bookmarkEnd w:id="1761"/>
            <w:bookmarkEnd w:id="1762"/>
            <w:bookmarkEnd w:id="1763"/>
            <w:bookmarkEnd w:id="1764"/>
            <w:bookmarkEnd w:id="1765"/>
            <w:r w:rsidRPr="0013396E">
              <w:lastRenderedPageBreak/>
              <w:t>[NPRR879</w:t>
            </w:r>
            <w:r w:rsidR="00073C0E">
              <w:t xml:space="preserve"> and</w:t>
            </w:r>
            <w:r w:rsidRPr="0013396E">
              <w:t xml:space="preserve"> NPRR963:  Replace applicable portions of Section 6.6.5.</w:t>
            </w:r>
            <w:r w:rsidR="00F048B5">
              <w:t>2.1</w:t>
            </w:r>
            <w:r w:rsidRPr="0013396E">
              <w:t xml:space="preserve"> above with the following upon system implementation:]</w:t>
            </w:r>
          </w:p>
          <w:p w14:paraId="568F2BBB" w14:textId="231F25B2" w:rsidR="00AC1609" w:rsidRPr="0013396E" w:rsidRDefault="00AC1609" w:rsidP="00936A4B">
            <w:pPr>
              <w:keepNext/>
              <w:widowControl w:val="0"/>
              <w:tabs>
                <w:tab w:val="left" w:pos="1620"/>
              </w:tabs>
              <w:spacing w:before="240" w:after="240"/>
              <w:ind w:left="1627" w:hanging="1627"/>
              <w:outlineLvl w:val="4"/>
              <w:rPr>
                <w:b/>
                <w:bCs/>
                <w:snapToGrid w:val="0"/>
              </w:rPr>
            </w:pPr>
            <w:bookmarkStart w:id="1790" w:name="_Toc60040693"/>
            <w:bookmarkStart w:id="1791" w:name="_Toc65151752"/>
            <w:bookmarkStart w:id="1792" w:name="_Toc80174778"/>
            <w:bookmarkStart w:id="1793" w:name="_Toc112417658"/>
            <w:bookmarkStart w:id="1794" w:name="_Toc119310327"/>
            <w:bookmarkStart w:id="1795" w:name="_Toc125966260"/>
            <w:bookmarkStart w:id="1796" w:name="_Toc135992358"/>
            <w:bookmarkStart w:id="1797" w:name="_Toc170303554"/>
            <w:bookmarkStart w:id="1798" w:name="_Toc175157458"/>
            <w:bookmarkStart w:id="1799" w:name="_Toc236220194"/>
            <w:r w:rsidRPr="0013396E">
              <w:rPr>
                <w:b/>
                <w:bCs/>
                <w:snapToGrid w:val="0"/>
              </w:rPr>
              <w:t>6.6.5.2.1</w:t>
            </w:r>
            <w:r w:rsidRPr="0013396E">
              <w:rPr>
                <w:b/>
                <w:bCs/>
                <w:snapToGrid w:val="0"/>
              </w:rPr>
              <w:tab/>
            </w:r>
            <w:r w:rsidR="00057FF4" w:rsidRPr="0013396E">
              <w:rPr>
                <w:b/>
                <w:bCs/>
                <w:snapToGrid w:val="0"/>
              </w:rPr>
              <w:t>Set</w:t>
            </w:r>
            <w:r w:rsidRPr="0013396E">
              <w:rPr>
                <w:b/>
                <w:bCs/>
                <w:snapToGrid w:val="0"/>
              </w:rPr>
              <w:t xml:space="preserve"> Point Deviation Charge for Under Generation</w:t>
            </w:r>
            <w:bookmarkEnd w:id="1790"/>
            <w:bookmarkEnd w:id="1791"/>
            <w:bookmarkEnd w:id="1792"/>
            <w:bookmarkEnd w:id="1793"/>
            <w:bookmarkEnd w:id="1794"/>
            <w:bookmarkEnd w:id="1795"/>
            <w:bookmarkEnd w:id="1796"/>
            <w:bookmarkEnd w:id="1797"/>
            <w:bookmarkEnd w:id="1798"/>
            <w:bookmarkEnd w:id="1799"/>
          </w:p>
          <w:p w14:paraId="4D8D92B4" w14:textId="70885891" w:rsidR="00AC1609" w:rsidRPr="0013396E" w:rsidRDefault="00AC1609" w:rsidP="00AC1609">
            <w:pPr>
              <w:spacing w:after="240"/>
              <w:ind w:left="720" w:hanging="720"/>
            </w:pPr>
            <w:r w:rsidRPr="0013396E">
              <w:t>(1)</w:t>
            </w:r>
            <w:r w:rsidRPr="0013396E">
              <w:tab/>
              <w:t xml:space="preserve">ERCOT shall charge a QSE for a Generation Resource, including an IRR </w:t>
            </w:r>
            <w:r w:rsidR="00E0443F" w:rsidRPr="0013396E">
              <w:t>awarded</w:t>
            </w:r>
            <w:r w:rsidRPr="0013396E">
              <w:t xml:space="preserve"> Ancillary Service for at least one SCED interval within the 15-minute Settlement Interval, for under-generation if the telemetered generation is below the lesser of:</w:t>
            </w:r>
          </w:p>
          <w:p w14:paraId="4B41E133" w14:textId="447FD827" w:rsidR="00AC1609" w:rsidRPr="0013396E" w:rsidRDefault="00AC1609" w:rsidP="00AC1609">
            <w:pPr>
              <w:spacing w:after="240"/>
              <w:ind w:left="1440" w:hanging="720"/>
            </w:pPr>
            <w:r w:rsidRPr="0013396E">
              <w:t>(a)</w:t>
            </w:r>
            <w:r w:rsidRPr="0013396E">
              <w:tab/>
              <w:t xml:space="preserve">95% of the </w:t>
            </w:r>
            <w:r w:rsidR="00E0443F" w:rsidRPr="0013396E">
              <w:t>AASP</w:t>
            </w:r>
            <w:r w:rsidRPr="0013396E">
              <w:t xml:space="preserve"> in the Settlement Interval; or</w:t>
            </w:r>
          </w:p>
          <w:p w14:paraId="39694B40" w14:textId="2DA31DAE" w:rsidR="00AC1609" w:rsidRPr="0013396E" w:rsidRDefault="00AC1609" w:rsidP="00AC1609">
            <w:pPr>
              <w:spacing w:after="240"/>
              <w:ind w:left="1440" w:hanging="720"/>
            </w:pPr>
            <w:r w:rsidRPr="0013396E">
              <w:t>(b)</w:t>
            </w:r>
            <w:r w:rsidRPr="0013396E">
              <w:tab/>
              <w:t xml:space="preserve">The </w:t>
            </w:r>
            <w:r w:rsidR="00E0443F" w:rsidRPr="0013396E">
              <w:t>AASP</w:t>
            </w:r>
            <w:r w:rsidRPr="0013396E">
              <w:t xml:space="preserve"> in the Settlement Interval minus five MW.</w:t>
            </w:r>
          </w:p>
          <w:p w14:paraId="1778BB68" w14:textId="5D3337F0" w:rsidR="00AC1609" w:rsidRPr="0013396E" w:rsidRDefault="00AC1609" w:rsidP="00AC1609">
            <w:pPr>
              <w:spacing w:after="240"/>
              <w:ind w:left="720" w:hanging="720"/>
            </w:pPr>
            <w:r w:rsidRPr="0013396E">
              <w:rPr>
                <w:iCs/>
              </w:rPr>
              <w:t>(2)</w:t>
            </w:r>
            <w:r w:rsidRPr="0013396E">
              <w:rPr>
                <w:iCs/>
              </w:rPr>
              <w:tab/>
              <w:t xml:space="preserve">For instances in which an IRR is not </w:t>
            </w:r>
            <w:r w:rsidR="00E0443F" w:rsidRPr="0013396E">
              <w:rPr>
                <w:iCs/>
              </w:rPr>
              <w:t>awarded</w:t>
            </w:r>
            <w:r w:rsidRPr="0013396E">
              <w:rPr>
                <w:iCs/>
              </w:rPr>
              <w:t xml:space="preserve"> Ancillary Service or is </w:t>
            </w:r>
            <w:r w:rsidR="00E0443F" w:rsidRPr="0013396E">
              <w:rPr>
                <w:iCs/>
              </w:rPr>
              <w:t xml:space="preserve">not </w:t>
            </w:r>
            <w:r w:rsidRPr="0013396E">
              <w:rPr>
                <w:iCs/>
              </w:rPr>
              <w:t xml:space="preserve">part of an IRR Group in which </w:t>
            </w:r>
            <w:r w:rsidR="00E0443F" w:rsidRPr="0013396E">
              <w:rPr>
                <w:iCs/>
              </w:rPr>
              <w:t>an</w:t>
            </w:r>
            <w:r w:rsidRPr="0013396E">
              <w:rPr>
                <w:iCs/>
              </w:rPr>
              <w:t xml:space="preserve"> IRR is </w:t>
            </w:r>
            <w:r w:rsidR="00E0443F" w:rsidRPr="0013396E">
              <w:rPr>
                <w:iCs/>
              </w:rPr>
              <w:t>awarded</w:t>
            </w:r>
            <w:r w:rsidRPr="0013396E">
              <w:rPr>
                <w:iCs/>
              </w:rPr>
              <w:t xml:space="preserve"> Ancillary </w:t>
            </w:r>
            <w:r w:rsidRPr="0013396E">
              <w:t>Service</w:t>
            </w:r>
            <w:r w:rsidRPr="0013396E">
              <w:rPr>
                <w:iCs/>
              </w:rPr>
              <w:t xml:space="preserve"> for </w:t>
            </w:r>
            <w:r w:rsidR="00E0443F" w:rsidRPr="0013396E">
              <w:rPr>
                <w:iCs/>
              </w:rPr>
              <w:t>any</w:t>
            </w:r>
            <w:r w:rsidRPr="0013396E">
              <w:rPr>
                <w:iCs/>
              </w:rPr>
              <w:t xml:space="preserve"> SCED interval within the 15-minute Settlement Interval, </w:t>
            </w:r>
            <w:r w:rsidR="00E0443F" w:rsidRPr="0013396E">
              <w:rPr>
                <w:iCs/>
              </w:rPr>
              <w:t>Set</w:t>
            </w:r>
            <w:r w:rsidRPr="0013396E">
              <w:rPr>
                <w:iCs/>
              </w:rPr>
              <w:t xml:space="preserve"> Point Deviation Charges will be determined per Section 6.6.5.4, IRR Generation Resource </w:t>
            </w:r>
            <w:r w:rsidR="00E0443F" w:rsidRPr="0013396E">
              <w:rPr>
                <w:iCs/>
              </w:rPr>
              <w:t>Set</w:t>
            </w:r>
            <w:r w:rsidRPr="0013396E">
              <w:rPr>
                <w:iCs/>
              </w:rPr>
              <w:t xml:space="preserve"> Point Deviation Charge.</w:t>
            </w:r>
          </w:p>
          <w:p w14:paraId="0DBA4081" w14:textId="4216A967" w:rsidR="00AC1609" w:rsidRPr="0013396E" w:rsidRDefault="00AC1609" w:rsidP="00AC1609">
            <w:pPr>
              <w:spacing w:after="240"/>
              <w:ind w:left="720" w:hanging="720"/>
              <w:rPr>
                <w:iCs/>
              </w:rPr>
            </w:pPr>
            <w:r w:rsidRPr="0013396E">
              <w:rPr>
                <w:iCs/>
              </w:rPr>
              <w:t>(3)</w:t>
            </w:r>
            <w:r w:rsidRPr="0013396E">
              <w:rPr>
                <w:iCs/>
              </w:rPr>
              <w:tab/>
              <w:t>The under-generation charge to each QSE for each Generation Resource, that is not part of an IRR Group, at each Resource Node Settlement Point for a given 15-minute Settlement Interval is calculated as follows:</w:t>
            </w:r>
          </w:p>
          <w:p w14:paraId="3D493F6C" w14:textId="258351D1" w:rsidR="00AC1609" w:rsidRPr="0013396E" w:rsidRDefault="00E0443F" w:rsidP="00AC1609">
            <w:pPr>
              <w:tabs>
                <w:tab w:val="left" w:pos="2160"/>
                <w:tab w:val="left" w:pos="2880"/>
              </w:tabs>
              <w:spacing w:after="240"/>
              <w:ind w:leftChars="300" w:left="3611" w:hangingChars="1200" w:hanging="2891"/>
              <w:rPr>
                <w:b/>
                <w:bCs/>
                <w:szCs w:val="24"/>
              </w:rPr>
            </w:pPr>
            <w:r w:rsidRPr="0013396E">
              <w:rPr>
                <w:b/>
                <w:bCs/>
                <w:szCs w:val="24"/>
              </w:rPr>
              <w:t>S</w:t>
            </w:r>
            <w:r w:rsidR="00AC1609" w:rsidRPr="0013396E">
              <w:rPr>
                <w:b/>
                <w:bCs/>
                <w:szCs w:val="24"/>
              </w:rPr>
              <w:t xml:space="preserve">PDAMT </w:t>
            </w:r>
            <w:r w:rsidR="00AC1609" w:rsidRPr="0013396E">
              <w:rPr>
                <w:b/>
                <w:bCs/>
                <w:i/>
                <w:iCs/>
                <w:szCs w:val="24"/>
                <w:vertAlign w:val="subscript"/>
                <w:lang w:val="es-ES"/>
              </w:rPr>
              <w:t>q, r, p, i</w:t>
            </w:r>
            <w:r w:rsidR="00AC1609" w:rsidRPr="0013396E">
              <w:rPr>
                <w:b/>
                <w:bCs/>
                <w:szCs w:val="24"/>
              </w:rPr>
              <w:tab/>
              <w:t>=</w:t>
            </w:r>
            <w:r w:rsidR="00AC1609" w:rsidRPr="0013396E">
              <w:rPr>
                <w:b/>
                <w:bCs/>
                <w:szCs w:val="24"/>
              </w:rPr>
              <w:tab/>
              <w:t xml:space="preserve">-1 * Min (PR2, RTSPP </w:t>
            </w:r>
            <w:r w:rsidR="00AC1609" w:rsidRPr="0013396E">
              <w:rPr>
                <w:b/>
                <w:bCs/>
                <w:i/>
                <w:szCs w:val="24"/>
                <w:vertAlign w:val="subscript"/>
              </w:rPr>
              <w:t>p, i</w:t>
            </w:r>
            <w:r w:rsidR="00AC1609" w:rsidRPr="0013396E">
              <w:rPr>
                <w:b/>
                <w:bCs/>
                <w:szCs w:val="24"/>
              </w:rPr>
              <w:t>) * Min (1, KP) * UGEN</w:t>
            </w:r>
            <w:r w:rsidR="00AC1609" w:rsidRPr="0013396E">
              <w:rPr>
                <w:b/>
                <w:bCs/>
                <w:i/>
                <w:iCs/>
                <w:szCs w:val="24"/>
                <w:vertAlign w:val="subscript"/>
                <w:lang w:val="es-ES"/>
              </w:rPr>
              <w:t xml:space="preserve"> q, r, p, i </w:t>
            </w:r>
            <w:r w:rsidR="00AC1609" w:rsidRPr="0013396E">
              <w:rPr>
                <w:rFonts w:ascii="Times New Roman Bold" w:hAnsi="Times New Roman Bold"/>
                <w:b/>
                <w:bCs/>
                <w:iCs/>
                <w:szCs w:val="24"/>
                <w:lang w:val="es-ES"/>
              </w:rPr>
              <w:t xml:space="preserve"> </w:t>
            </w:r>
          </w:p>
          <w:p w14:paraId="3E12F2AB" w14:textId="5C5A6193" w:rsidR="00AC1609" w:rsidRPr="0013396E" w:rsidRDefault="00AC1609" w:rsidP="00AC1609">
            <w:pPr>
              <w:tabs>
                <w:tab w:val="left" w:pos="2250"/>
                <w:tab w:val="left" w:pos="3150"/>
                <w:tab w:val="left" w:pos="3960"/>
              </w:tabs>
              <w:spacing w:after="240"/>
              <w:ind w:left="3960" w:hanging="3240"/>
              <w:rPr>
                <w:bCs/>
                <w:szCs w:val="24"/>
              </w:rPr>
            </w:pPr>
            <w:r w:rsidRPr="0013396E">
              <w:rPr>
                <w:bCs/>
                <w:szCs w:val="24"/>
              </w:rPr>
              <w:t>Where:</w:t>
            </w:r>
          </w:p>
          <w:p w14:paraId="77F45B31" w14:textId="104A970F" w:rsidR="00AC1609" w:rsidRPr="0013396E" w:rsidRDefault="00AC1609" w:rsidP="00AC1609">
            <w:pPr>
              <w:spacing w:after="240"/>
              <w:ind w:left="720"/>
              <w:rPr>
                <w:i/>
                <w:iCs/>
                <w:vertAlign w:val="subscript"/>
                <w:lang w:val="es-ES"/>
              </w:rPr>
            </w:pPr>
            <w:r w:rsidRPr="0013396E">
              <w:rPr>
                <w:iCs/>
              </w:rPr>
              <w:t>UGEN</w:t>
            </w:r>
            <w:r w:rsidRPr="0013396E">
              <w:rPr>
                <w:i/>
                <w:iCs/>
                <w:vertAlign w:val="subscript"/>
                <w:lang w:val="es-ES"/>
              </w:rPr>
              <w:t xml:space="preserve"> q, r, p, i</w:t>
            </w:r>
            <w:r w:rsidRPr="0013396E">
              <w:rPr>
                <w:iCs/>
              </w:rPr>
              <w:t xml:space="preserve">  =  Max [0, [Min ((1- K2) * ¼* AA</w:t>
            </w:r>
            <w:r w:rsidR="00E0443F" w:rsidRPr="0013396E">
              <w:rPr>
                <w:iCs/>
              </w:rPr>
              <w:t>S</w:t>
            </w:r>
            <w:r w:rsidRPr="0013396E">
              <w:rPr>
                <w:iCs/>
              </w:rPr>
              <w:t>P</w:t>
            </w:r>
            <w:r w:rsidRPr="0013396E">
              <w:rPr>
                <w:i/>
                <w:iCs/>
                <w:vertAlign w:val="subscript"/>
                <w:lang w:val="es-ES"/>
              </w:rPr>
              <w:t xml:space="preserve"> q, r, p, i </w:t>
            </w:r>
            <w:r w:rsidRPr="0013396E">
              <w:rPr>
                <w:iCs/>
              </w:rPr>
              <w:t>,</w:t>
            </w:r>
            <w:r w:rsidRPr="0013396E">
              <w:rPr>
                <w:i/>
                <w:iCs/>
                <w:vertAlign w:val="subscript"/>
                <w:lang w:val="es-ES"/>
              </w:rPr>
              <w:t xml:space="preserve">   </w:t>
            </w:r>
          </w:p>
          <w:p w14:paraId="745B552B" w14:textId="6FC42540" w:rsidR="00AC1609" w:rsidRPr="0013396E" w:rsidRDefault="00AC1609" w:rsidP="00AC1609">
            <w:pPr>
              <w:spacing w:after="240"/>
              <w:ind w:left="720" w:hanging="720"/>
              <w:rPr>
                <w:iCs/>
              </w:rPr>
            </w:pPr>
            <w:r w:rsidRPr="0013396E">
              <w:rPr>
                <w:iCs/>
                <w:lang w:val="es-MX"/>
              </w:rPr>
              <w:t xml:space="preserve">                                              ¼ * (AA</w:t>
            </w:r>
            <w:r w:rsidR="00E0443F" w:rsidRPr="0013396E">
              <w:rPr>
                <w:iCs/>
                <w:lang w:val="es-MX"/>
              </w:rPr>
              <w:t>S</w:t>
            </w:r>
            <w:r w:rsidRPr="0013396E">
              <w:rPr>
                <w:iCs/>
                <w:lang w:val="es-MX"/>
              </w:rPr>
              <w:t>P</w:t>
            </w:r>
            <w:r w:rsidRPr="0013396E">
              <w:rPr>
                <w:i/>
                <w:vertAlign w:val="subscript"/>
                <w:lang w:val="es-ES"/>
              </w:rPr>
              <w:t xml:space="preserve"> q, r, p, i  </w:t>
            </w:r>
            <w:r w:rsidRPr="0013396E">
              <w:rPr>
                <w:iCs/>
              </w:rPr>
              <w:t xml:space="preserve">- Q2)) - TWTG </w:t>
            </w:r>
            <w:r w:rsidRPr="0013396E">
              <w:rPr>
                <w:i/>
                <w:vertAlign w:val="subscript"/>
                <w:lang w:val="es-ES"/>
              </w:rPr>
              <w:t>q, r, p, i</w:t>
            </w:r>
            <w:r w:rsidRPr="0013396E">
              <w:rPr>
                <w:iCs/>
              </w:rPr>
              <w:t>]]</w:t>
            </w:r>
          </w:p>
          <w:p w14:paraId="6EDF41E3" w14:textId="525580E4" w:rsidR="00AC1609" w:rsidRPr="0013396E" w:rsidRDefault="00AC1609" w:rsidP="00AC1609">
            <w:pPr>
              <w:tabs>
                <w:tab w:val="left" w:pos="2160"/>
                <w:tab w:val="left" w:pos="2880"/>
              </w:tabs>
              <w:spacing w:after="240"/>
              <w:ind w:leftChars="300" w:left="2880" w:hangingChars="900" w:hanging="2160"/>
              <w:rPr>
                <w:bCs/>
                <w:iCs/>
                <w:szCs w:val="24"/>
              </w:rPr>
            </w:pPr>
            <w:r w:rsidRPr="0013396E">
              <w:rPr>
                <w:bCs/>
                <w:szCs w:val="24"/>
              </w:rPr>
              <w:t>TWTG</w:t>
            </w:r>
            <w:r w:rsidRPr="0013396E">
              <w:rPr>
                <w:bCs/>
                <w:i/>
                <w:szCs w:val="24"/>
                <w:vertAlign w:val="subscript"/>
              </w:rPr>
              <w:t xml:space="preserve"> q, r, p, i</w:t>
            </w:r>
            <w:r w:rsidRPr="0013396E">
              <w:rPr>
                <w:bCs/>
                <w:i/>
                <w:szCs w:val="24"/>
                <w:vertAlign w:val="subscript"/>
              </w:rPr>
              <w:tab/>
              <w:t>=</w:t>
            </w:r>
            <w:r w:rsidRPr="0013396E">
              <w:rPr>
                <w:bCs/>
                <w:i/>
                <w:szCs w:val="24"/>
                <w:vertAlign w:val="subscript"/>
              </w:rPr>
              <w:tab/>
            </w:r>
            <w:r w:rsidRPr="0013396E">
              <w:rPr>
                <w:bCs/>
                <w:szCs w:val="24"/>
              </w:rPr>
              <w:t>(</w:t>
            </w:r>
            <w:r w:rsidRPr="0013396E">
              <w:rPr>
                <w:bCs/>
                <w:position w:val="-22"/>
                <w:szCs w:val="24"/>
              </w:rPr>
              <w:object w:dxaOrig="210" w:dyaOrig="450" w14:anchorId="46B0428C">
                <v:shape id="_x0000_i1153" type="#_x0000_t75" style="width:6pt;height:24pt" o:ole="">
                  <v:imagedata r:id="rId178" o:title=""/>
                </v:shape>
                <o:OLEObject Type="Embed" ProgID="Equation.3" ShapeID="_x0000_i1153" DrawAspect="Content" ObjectID="_1849065784" r:id="rId185"/>
              </w:object>
            </w:r>
            <w:r w:rsidRPr="0013396E">
              <w:rPr>
                <w:bCs/>
                <w:szCs w:val="24"/>
              </w:rPr>
              <w:t xml:space="preserve"> (AVGTG5M</w:t>
            </w:r>
            <w:r w:rsidRPr="0013396E">
              <w:rPr>
                <w:bCs/>
                <w:i/>
                <w:szCs w:val="24"/>
                <w:vertAlign w:val="subscript"/>
              </w:rPr>
              <w:t xml:space="preserve"> q, r, p, i, y</w:t>
            </w:r>
            <w:r w:rsidRPr="0013396E">
              <w:rPr>
                <w:bCs/>
                <w:szCs w:val="24"/>
              </w:rPr>
              <w:t xml:space="preserve">) / 3) * </w:t>
            </w:r>
            <w:r w:rsidRPr="0013396E">
              <w:rPr>
                <w:bCs/>
                <w:iCs/>
                <w:szCs w:val="24"/>
              </w:rPr>
              <w:t>¼</w:t>
            </w:r>
          </w:p>
          <w:p w14:paraId="05EF97A1" w14:textId="6A36288A" w:rsidR="00AC1609" w:rsidRPr="0013396E" w:rsidRDefault="00AC1609" w:rsidP="00AC1609">
            <w:pPr>
              <w:spacing w:after="240"/>
              <w:ind w:left="720" w:hanging="720"/>
              <w:rPr>
                <w:szCs w:val="24"/>
                <w:lang w:val="pt-BR"/>
              </w:rPr>
            </w:pPr>
            <w:r w:rsidRPr="0013396E">
              <w:rPr>
                <w:iCs/>
                <w:szCs w:val="24"/>
              </w:rPr>
              <w:t>(4)</w:t>
            </w:r>
            <w:r w:rsidRPr="0013396E">
              <w:rPr>
                <w:iCs/>
                <w:szCs w:val="24"/>
              </w:rPr>
              <w:tab/>
            </w:r>
            <w:r w:rsidRPr="0013396E">
              <w:rPr>
                <w:szCs w:val="24"/>
                <w:lang w:val="pt-BR"/>
              </w:rPr>
              <w:t xml:space="preserve">If any IRR in an IRR Group is </w:t>
            </w:r>
            <w:r w:rsidR="00E0443F" w:rsidRPr="0013396E">
              <w:rPr>
                <w:szCs w:val="24"/>
                <w:lang w:val="pt-BR"/>
              </w:rPr>
              <w:t>awarded</w:t>
            </w:r>
            <w:r w:rsidRPr="0013396E">
              <w:rPr>
                <w:szCs w:val="24"/>
                <w:lang w:val="pt-BR"/>
              </w:rPr>
              <w:t xml:space="preserve"> Ancillary Service</w:t>
            </w:r>
            <w:r w:rsidRPr="0013396E">
              <w:rPr>
                <w:szCs w:val="24"/>
              </w:rPr>
              <w:t xml:space="preserve"> for at least one SCED interval within the 15-minute Settlement Interval</w:t>
            </w:r>
            <w:r w:rsidRPr="0013396E">
              <w:rPr>
                <w:szCs w:val="24"/>
                <w:lang w:val="pt-BR"/>
              </w:rPr>
              <w:t>, then the deviation penalty is determined for the IRR Group and evenly allocated and charged to each IRR within that IRR Group as follows:</w:t>
            </w:r>
          </w:p>
          <w:p w14:paraId="5398C032" w14:textId="50EAF5F7" w:rsidR="00AC1609" w:rsidRPr="0013396E" w:rsidRDefault="00E0443F" w:rsidP="00AC1609">
            <w:pPr>
              <w:tabs>
                <w:tab w:val="left" w:pos="2340"/>
                <w:tab w:val="left" w:pos="3420"/>
              </w:tabs>
              <w:spacing w:after="240"/>
              <w:ind w:left="3420" w:hanging="2700"/>
              <w:rPr>
                <w:b/>
                <w:bCs/>
                <w:szCs w:val="24"/>
              </w:rPr>
            </w:pPr>
            <w:r w:rsidRPr="0013396E">
              <w:rPr>
                <w:b/>
                <w:bCs/>
                <w:szCs w:val="24"/>
              </w:rPr>
              <w:t>S</w:t>
            </w:r>
            <w:r w:rsidR="00AC1609" w:rsidRPr="0013396E">
              <w:rPr>
                <w:b/>
                <w:bCs/>
                <w:szCs w:val="24"/>
              </w:rPr>
              <w:t xml:space="preserve">PDAMT </w:t>
            </w:r>
            <w:r w:rsidR="00AC1609" w:rsidRPr="0013396E">
              <w:rPr>
                <w:b/>
                <w:bCs/>
                <w:i/>
                <w:iCs/>
                <w:szCs w:val="24"/>
                <w:vertAlign w:val="subscript"/>
                <w:lang w:val="es-ES"/>
              </w:rPr>
              <w:t xml:space="preserve">q, r, p, i   </w:t>
            </w:r>
            <w:r w:rsidR="00AC1609" w:rsidRPr="0013396E">
              <w:rPr>
                <w:b/>
                <w:bCs/>
                <w:szCs w:val="24"/>
              </w:rPr>
              <w:t xml:space="preserve">   =</w:t>
            </w:r>
            <w:r w:rsidR="00AC1609" w:rsidRPr="0013396E">
              <w:rPr>
                <w:b/>
                <w:bCs/>
                <w:szCs w:val="24"/>
              </w:rPr>
              <w:tab/>
              <w:t xml:space="preserve">-1 * Min (PR2, RTSPP </w:t>
            </w:r>
            <w:r w:rsidR="00AC1609" w:rsidRPr="0013396E">
              <w:rPr>
                <w:b/>
                <w:bCs/>
                <w:i/>
                <w:szCs w:val="24"/>
                <w:vertAlign w:val="subscript"/>
              </w:rPr>
              <w:t>p, i</w:t>
            </w:r>
            <w:r w:rsidR="00AC1609" w:rsidRPr="0013396E">
              <w:rPr>
                <w:b/>
                <w:bCs/>
                <w:szCs w:val="24"/>
              </w:rPr>
              <w:t>) * Min (1, KP) * UGEN</w:t>
            </w:r>
            <w:r w:rsidR="00AC1609" w:rsidRPr="0013396E">
              <w:rPr>
                <w:b/>
                <w:bCs/>
                <w:i/>
                <w:iCs/>
                <w:szCs w:val="24"/>
                <w:vertAlign w:val="subscript"/>
                <w:lang w:val="es-ES"/>
              </w:rPr>
              <w:t xml:space="preserve"> q, r, p, i </w:t>
            </w:r>
            <w:r w:rsidR="00AC1609" w:rsidRPr="0013396E">
              <w:rPr>
                <w:rFonts w:ascii="Times New Roman Bold" w:hAnsi="Times New Roman Bold"/>
                <w:b/>
                <w:bCs/>
                <w:iCs/>
                <w:szCs w:val="24"/>
                <w:lang w:val="es-ES"/>
              </w:rPr>
              <w:t xml:space="preserve">  </w:t>
            </w:r>
          </w:p>
          <w:p w14:paraId="26122DA9" w14:textId="2D43FA65" w:rsidR="00AC1609" w:rsidRPr="0013396E" w:rsidRDefault="00AC1609" w:rsidP="00AC1609">
            <w:pPr>
              <w:tabs>
                <w:tab w:val="left" w:pos="2340"/>
                <w:tab w:val="left" w:pos="3420"/>
              </w:tabs>
              <w:spacing w:after="240"/>
              <w:ind w:left="3420" w:hanging="2700"/>
              <w:rPr>
                <w:bCs/>
                <w:szCs w:val="24"/>
              </w:rPr>
            </w:pPr>
            <w:r w:rsidRPr="0013396E">
              <w:rPr>
                <w:bCs/>
                <w:szCs w:val="24"/>
              </w:rPr>
              <w:t>Where:</w:t>
            </w:r>
          </w:p>
          <w:p w14:paraId="226E6AA9" w14:textId="784C5353" w:rsidR="00AC1609" w:rsidRPr="0013396E" w:rsidRDefault="00AC1609" w:rsidP="00AC1609">
            <w:pPr>
              <w:spacing w:after="240"/>
              <w:ind w:left="720"/>
              <w:rPr>
                <w:i/>
                <w:iCs/>
                <w:szCs w:val="24"/>
                <w:vertAlign w:val="subscript"/>
                <w:lang w:val="es-ES"/>
              </w:rPr>
            </w:pPr>
            <w:r w:rsidRPr="0013396E">
              <w:rPr>
                <w:szCs w:val="24"/>
              </w:rPr>
              <w:t>UGEN</w:t>
            </w:r>
            <w:r w:rsidRPr="0013396E">
              <w:rPr>
                <w:i/>
                <w:iCs/>
                <w:szCs w:val="24"/>
                <w:vertAlign w:val="subscript"/>
                <w:lang w:val="es-ES"/>
              </w:rPr>
              <w:t xml:space="preserve"> q, r, p, i </w:t>
            </w:r>
            <w:r w:rsidRPr="0013396E">
              <w:rPr>
                <w:szCs w:val="24"/>
              </w:rPr>
              <w:t xml:space="preserve">    = </w:t>
            </w:r>
            <w:r w:rsidRPr="0013396E">
              <w:rPr>
                <w:szCs w:val="24"/>
              </w:rPr>
              <w:tab/>
              <w:t xml:space="preserve">Max </w:t>
            </w:r>
            <w:r w:rsidRPr="0013396E">
              <w:rPr>
                <w:iCs/>
                <w:szCs w:val="24"/>
              </w:rPr>
              <w:t>[0, [Min ((1 - K2) * ¼* AA</w:t>
            </w:r>
            <w:r w:rsidR="00E0443F" w:rsidRPr="0013396E">
              <w:rPr>
                <w:iCs/>
                <w:szCs w:val="24"/>
              </w:rPr>
              <w:t>S</w:t>
            </w:r>
            <w:r w:rsidRPr="0013396E">
              <w:rPr>
                <w:iCs/>
                <w:szCs w:val="24"/>
              </w:rPr>
              <w:t>P</w:t>
            </w:r>
            <w:r w:rsidRPr="0013396E">
              <w:rPr>
                <w:i/>
                <w:iCs/>
                <w:szCs w:val="24"/>
                <w:vertAlign w:val="subscript"/>
                <w:lang w:val="es-ES"/>
              </w:rPr>
              <w:t xml:space="preserve"> q, wg, p, i </w:t>
            </w:r>
            <w:r w:rsidRPr="0013396E">
              <w:rPr>
                <w:iCs/>
                <w:szCs w:val="24"/>
              </w:rPr>
              <w:t>,</w:t>
            </w:r>
            <w:r w:rsidRPr="0013396E">
              <w:rPr>
                <w:i/>
                <w:iCs/>
                <w:szCs w:val="24"/>
                <w:vertAlign w:val="subscript"/>
                <w:lang w:val="es-ES"/>
              </w:rPr>
              <w:t xml:space="preserve">   </w:t>
            </w:r>
          </w:p>
          <w:p w14:paraId="00FEAD11" w14:textId="3BA5C2B0" w:rsidR="00AC1609" w:rsidRPr="0013396E" w:rsidRDefault="00AC1609" w:rsidP="00AC1609">
            <w:pPr>
              <w:spacing w:after="240"/>
              <w:ind w:left="720" w:hanging="720"/>
              <w:rPr>
                <w:iCs/>
                <w:szCs w:val="24"/>
              </w:rPr>
            </w:pPr>
            <w:r w:rsidRPr="0013396E">
              <w:rPr>
                <w:iCs/>
                <w:szCs w:val="24"/>
                <w:lang w:val="es-MX"/>
              </w:rPr>
              <w:t xml:space="preserve">                                             </w:t>
            </w:r>
            <w:r w:rsidRPr="0013396E">
              <w:rPr>
                <w:iCs/>
                <w:szCs w:val="24"/>
                <w:lang w:val="es-MX"/>
              </w:rPr>
              <w:tab/>
              <w:t xml:space="preserve"> ¼ * (AA</w:t>
            </w:r>
            <w:r w:rsidR="00E0443F" w:rsidRPr="0013396E">
              <w:rPr>
                <w:iCs/>
                <w:szCs w:val="24"/>
                <w:lang w:val="es-MX"/>
              </w:rPr>
              <w:t>S</w:t>
            </w:r>
            <w:r w:rsidRPr="0013396E">
              <w:rPr>
                <w:iCs/>
                <w:szCs w:val="24"/>
                <w:lang w:val="es-MX"/>
              </w:rPr>
              <w:t>P</w:t>
            </w:r>
            <w:r w:rsidRPr="0013396E">
              <w:rPr>
                <w:i/>
                <w:szCs w:val="24"/>
                <w:vertAlign w:val="subscript"/>
                <w:lang w:val="es-ES"/>
              </w:rPr>
              <w:t xml:space="preserve"> q, wg, p, i  </w:t>
            </w:r>
            <w:r w:rsidRPr="0013396E">
              <w:rPr>
                <w:iCs/>
                <w:szCs w:val="24"/>
              </w:rPr>
              <w:t xml:space="preserve">- Q2)) - TWTG </w:t>
            </w:r>
            <w:r w:rsidRPr="0013396E">
              <w:rPr>
                <w:i/>
                <w:szCs w:val="24"/>
                <w:vertAlign w:val="subscript"/>
                <w:lang w:val="es-ES"/>
              </w:rPr>
              <w:t>q, wg, p, i</w:t>
            </w:r>
            <w:r w:rsidRPr="0013396E">
              <w:rPr>
                <w:iCs/>
                <w:szCs w:val="24"/>
              </w:rPr>
              <w:t>]] / N</w:t>
            </w:r>
          </w:p>
          <w:p w14:paraId="45420638" w14:textId="5E69B58A" w:rsidR="00AC1609" w:rsidRPr="0013396E" w:rsidRDefault="00AC1609" w:rsidP="00AC1609">
            <w:pPr>
              <w:spacing w:after="240"/>
              <w:ind w:left="720"/>
              <w:rPr>
                <w:szCs w:val="24"/>
              </w:rPr>
            </w:pPr>
            <w:r w:rsidRPr="0013396E">
              <w:rPr>
                <w:szCs w:val="24"/>
              </w:rPr>
              <w:t>TWTG</w:t>
            </w:r>
            <w:r w:rsidRPr="0013396E">
              <w:rPr>
                <w:i/>
                <w:szCs w:val="24"/>
                <w:vertAlign w:val="subscript"/>
              </w:rPr>
              <w:t xml:space="preserve"> q, wg, p, i</w:t>
            </w:r>
            <w:r w:rsidRPr="0013396E">
              <w:rPr>
                <w:i/>
                <w:szCs w:val="24"/>
                <w:vertAlign w:val="subscript"/>
              </w:rPr>
              <w:tab/>
              <w:t xml:space="preserve">  </w:t>
            </w:r>
            <w:r w:rsidRPr="0013396E">
              <w:rPr>
                <w:szCs w:val="24"/>
              </w:rPr>
              <w:t>=</w:t>
            </w:r>
            <w:r w:rsidRPr="0013396E">
              <w:rPr>
                <w:i/>
                <w:szCs w:val="24"/>
                <w:vertAlign w:val="subscript"/>
              </w:rPr>
              <w:tab/>
            </w:r>
            <w:r w:rsidRPr="0013396E">
              <w:rPr>
                <w:b/>
                <w:noProof/>
                <w:position w:val="-18"/>
                <w:szCs w:val="24"/>
              </w:rPr>
              <w:drawing>
                <wp:inline distT="0" distB="0" distL="0" distR="0" wp14:anchorId="72F5DFEE" wp14:editId="11E9F14E">
                  <wp:extent cx="135255" cy="246380"/>
                  <wp:effectExtent l="0" t="0" r="0" b="1270"/>
                  <wp:docPr id="2083" name="Picture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szCs w:val="24"/>
              </w:rPr>
              <w:t xml:space="preserve"> (</w:t>
            </w:r>
            <w:r w:rsidRPr="0013396E">
              <w:rPr>
                <w:b/>
                <w:noProof/>
                <w:position w:val="-22"/>
                <w:szCs w:val="24"/>
              </w:rPr>
              <w:drawing>
                <wp:inline distT="0" distB="0" distL="0" distR="0" wp14:anchorId="5D9C9CF4" wp14:editId="27E3E92E">
                  <wp:extent cx="135255" cy="286385"/>
                  <wp:effectExtent l="0" t="0" r="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35255" cy="286385"/>
                          </a:xfrm>
                          <a:prstGeom prst="rect">
                            <a:avLst/>
                          </a:prstGeom>
                          <a:noFill/>
                          <a:ln>
                            <a:noFill/>
                          </a:ln>
                        </pic:spPr>
                      </pic:pic>
                    </a:graphicData>
                  </a:graphic>
                </wp:inline>
              </w:drawing>
            </w:r>
            <w:r w:rsidRPr="0013396E">
              <w:rPr>
                <w:szCs w:val="24"/>
              </w:rPr>
              <w:t xml:space="preserve"> (AVGTG5M</w:t>
            </w:r>
            <w:r w:rsidRPr="0013396E">
              <w:rPr>
                <w:i/>
                <w:szCs w:val="24"/>
                <w:vertAlign w:val="subscript"/>
              </w:rPr>
              <w:t xml:space="preserve"> q, r, p, i, y</w:t>
            </w:r>
            <w:r w:rsidRPr="0013396E">
              <w:rPr>
                <w:szCs w:val="24"/>
              </w:rPr>
              <w:t>)</w:t>
            </w:r>
            <w:r w:rsidRPr="0013396E">
              <w:rPr>
                <w:rFonts w:ascii="Times New Roman Bold" w:hAnsi="Times New Roman Bold"/>
                <w:szCs w:val="24"/>
              </w:rPr>
              <w:t xml:space="preserve"> / </w:t>
            </w:r>
            <w:r w:rsidRPr="0013396E">
              <w:rPr>
                <w:szCs w:val="24"/>
              </w:rPr>
              <w:t>3)</w:t>
            </w:r>
            <w:r w:rsidRPr="0013396E">
              <w:rPr>
                <w:rFonts w:ascii="Times New Roman Bold" w:hAnsi="Times New Roman Bold"/>
                <w:szCs w:val="24"/>
              </w:rPr>
              <w:t xml:space="preserve"> </w:t>
            </w:r>
            <w:r w:rsidRPr="0013396E">
              <w:rPr>
                <w:szCs w:val="24"/>
              </w:rPr>
              <w:t>*</w:t>
            </w:r>
            <w:r w:rsidRPr="0013396E">
              <w:rPr>
                <w:rFonts w:ascii="Times New Roman Bold" w:hAnsi="Times New Roman Bold"/>
                <w:szCs w:val="24"/>
              </w:rPr>
              <w:t xml:space="preserve"> </w:t>
            </w:r>
            <w:r w:rsidRPr="0013396E">
              <w:rPr>
                <w:rFonts w:hint="eastAsia"/>
                <w:szCs w:val="24"/>
              </w:rPr>
              <w:t>¼</w:t>
            </w:r>
          </w:p>
          <w:p w14:paraId="10F57029" w14:textId="0BCA3236" w:rsidR="00AC1609" w:rsidRPr="0013396E" w:rsidRDefault="00AC1609" w:rsidP="00AC1609">
            <w:pPr>
              <w:tabs>
                <w:tab w:val="left" w:pos="2160"/>
                <w:tab w:val="left" w:pos="2880"/>
              </w:tabs>
              <w:spacing w:after="240"/>
              <w:ind w:leftChars="300" w:left="2880" w:hangingChars="900" w:hanging="2160"/>
              <w:rPr>
                <w:bCs/>
                <w:szCs w:val="24"/>
              </w:rPr>
            </w:pPr>
            <w:r w:rsidRPr="0013396E">
              <w:rPr>
                <w:bCs/>
                <w:szCs w:val="24"/>
                <w:lang w:val="es-ES"/>
              </w:rPr>
              <w:lastRenderedPageBreak/>
              <w:t>AA</w:t>
            </w:r>
            <w:r w:rsidR="00E0443F" w:rsidRPr="0013396E">
              <w:rPr>
                <w:bCs/>
                <w:szCs w:val="24"/>
                <w:lang w:val="es-ES"/>
              </w:rPr>
              <w:t>S</w:t>
            </w:r>
            <w:r w:rsidRPr="0013396E">
              <w:rPr>
                <w:bCs/>
                <w:szCs w:val="24"/>
                <w:lang w:val="es-ES"/>
              </w:rPr>
              <w:t>P</w:t>
            </w:r>
            <w:r w:rsidRPr="0013396E">
              <w:rPr>
                <w:bCs/>
                <w:i/>
                <w:szCs w:val="24"/>
                <w:vertAlign w:val="subscript"/>
                <w:lang w:val="pt-BR"/>
              </w:rPr>
              <w:t xml:space="preserve"> q, wg, p, i       </w:t>
            </w:r>
            <w:r w:rsidRPr="0013396E">
              <w:rPr>
                <w:bCs/>
                <w:szCs w:val="24"/>
                <w:lang w:val="pt-BR"/>
              </w:rPr>
              <w:t xml:space="preserve">= </w:t>
            </w:r>
            <w:r w:rsidRPr="0013396E">
              <w:rPr>
                <w:bCs/>
                <w:szCs w:val="24"/>
                <w:lang w:val="pt-BR"/>
              </w:rPr>
              <w:tab/>
            </w:r>
            <w:r w:rsidRPr="0013396E">
              <w:rPr>
                <w:bCs/>
                <w:noProof/>
                <w:position w:val="-18"/>
                <w:szCs w:val="24"/>
              </w:rPr>
              <w:drawing>
                <wp:inline distT="0" distB="0" distL="0" distR="0" wp14:anchorId="5C3E2145" wp14:editId="36423204">
                  <wp:extent cx="135255" cy="246380"/>
                  <wp:effectExtent l="0" t="0" r="0" b="127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bCs/>
                <w:szCs w:val="24"/>
                <w:lang w:val="es-ES"/>
              </w:rPr>
              <w:t>(</w:t>
            </w:r>
            <w:r w:rsidRPr="0013396E">
              <w:rPr>
                <w:bCs/>
                <w:szCs w:val="24"/>
                <w:lang w:val="pt-BR"/>
              </w:rPr>
              <w:t>AA</w:t>
            </w:r>
            <w:r w:rsidR="00E0443F" w:rsidRPr="0013396E">
              <w:rPr>
                <w:bCs/>
                <w:szCs w:val="24"/>
                <w:lang w:val="pt-BR"/>
              </w:rPr>
              <w:t>S</w:t>
            </w:r>
            <w:r w:rsidRPr="0013396E">
              <w:rPr>
                <w:bCs/>
                <w:szCs w:val="24"/>
                <w:lang w:val="pt-BR"/>
              </w:rPr>
              <w:t>P</w:t>
            </w:r>
            <w:r w:rsidRPr="0013396E">
              <w:rPr>
                <w:bCs/>
                <w:i/>
                <w:szCs w:val="24"/>
                <w:vertAlign w:val="subscript"/>
                <w:lang w:val="pt-BR"/>
              </w:rPr>
              <w:t xml:space="preserve"> q, r, p, i</w:t>
            </w:r>
            <w:r w:rsidRPr="0013396E">
              <w:rPr>
                <w:bCs/>
                <w:szCs w:val="24"/>
                <w:lang w:val="pt-BR"/>
              </w:rPr>
              <w:t>)</w:t>
            </w:r>
          </w:p>
          <w:p w14:paraId="32DC7D5B" w14:textId="5C9F8015" w:rsidR="00AC1609" w:rsidRPr="0013396E" w:rsidRDefault="00AC1609" w:rsidP="00AC1609">
            <w:pPr>
              <w:rPr>
                <w:szCs w:val="24"/>
              </w:rPr>
            </w:pPr>
            <w:r w:rsidRPr="0013396E">
              <w:rPr>
                <w:szCs w:val="24"/>
              </w:rPr>
              <w:t>The above variables are defined as follows:</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1372"/>
              <w:gridCol w:w="5869"/>
            </w:tblGrid>
            <w:tr w:rsidR="00175930" w:rsidRPr="0013396E" w14:paraId="2602A569" w14:textId="402D9454" w:rsidTr="00AB2BB6">
              <w:tc>
                <w:tcPr>
                  <w:tcW w:w="2588" w:type="dxa"/>
                </w:tcPr>
                <w:p w14:paraId="33D752AA" w14:textId="4B86A4A0" w:rsidR="00175930" w:rsidRPr="0013396E" w:rsidRDefault="00175930" w:rsidP="00175930">
                  <w:pPr>
                    <w:pStyle w:val="TableHead"/>
                  </w:pPr>
                  <w:r w:rsidRPr="0013396E">
                    <w:t>Variable</w:t>
                  </w:r>
                </w:p>
              </w:tc>
              <w:tc>
                <w:tcPr>
                  <w:tcW w:w="1372" w:type="dxa"/>
                </w:tcPr>
                <w:p w14:paraId="668B1BF2" w14:textId="0086AB32" w:rsidR="00175930" w:rsidRPr="0013396E" w:rsidRDefault="00175930" w:rsidP="00175930">
                  <w:pPr>
                    <w:pStyle w:val="TableHead"/>
                  </w:pPr>
                  <w:r w:rsidRPr="0013396E">
                    <w:t>Unit</w:t>
                  </w:r>
                </w:p>
              </w:tc>
              <w:tc>
                <w:tcPr>
                  <w:tcW w:w="5869" w:type="dxa"/>
                </w:tcPr>
                <w:p w14:paraId="01BC0B1A" w14:textId="5DDE9CAD" w:rsidR="00175930" w:rsidRPr="0013396E" w:rsidRDefault="00175930" w:rsidP="00175930">
                  <w:pPr>
                    <w:pStyle w:val="TableHead"/>
                  </w:pPr>
                  <w:r w:rsidRPr="0013396E">
                    <w:t>Definition</w:t>
                  </w:r>
                </w:p>
              </w:tc>
            </w:tr>
            <w:tr w:rsidR="00175930" w:rsidRPr="0013396E" w14:paraId="2E9AB539" w14:textId="5B97AADA" w:rsidTr="00AB2BB6">
              <w:trPr>
                <w:cantSplit/>
              </w:trPr>
              <w:tc>
                <w:tcPr>
                  <w:tcW w:w="2588" w:type="dxa"/>
                </w:tcPr>
                <w:p w14:paraId="4E907321" w14:textId="1CAD7D11" w:rsidR="00175930" w:rsidRPr="0013396E" w:rsidRDefault="00E0443F" w:rsidP="00175930">
                  <w:pPr>
                    <w:pStyle w:val="TableBody"/>
                  </w:pPr>
                  <w:r w:rsidRPr="0013396E">
                    <w:t>S</w:t>
                  </w:r>
                  <w:r w:rsidR="00175930" w:rsidRPr="0013396E">
                    <w:t xml:space="preserve">PDAMT </w:t>
                  </w:r>
                  <w:r w:rsidR="00175930" w:rsidRPr="0013396E">
                    <w:rPr>
                      <w:i/>
                      <w:vertAlign w:val="subscript"/>
                    </w:rPr>
                    <w:t>q, r, p, i</w:t>
                  </w:r>
                </w:p>
              </w:tc>
              <w:tc>
                <w:tcPr>
                  <w:tcW w:w="1372" w:type="dxa"/>
                </w:tcPr>
                <w:p w14:paraId="169D9C7F" w14:textId="124740CA" w:rsidR="00175930" w:rsidRPr="0013396E" w:rsidRDefault="00175930" w:rsidP="00175930">
                  <w:pPr>
                    <w:pStyle w:val="TableBody"/>
                  </w:pPr>
                  <w:r w:rsidRPr="0013396E">
                    <w:t>$</w:t>
                  </w:r>
                </w:p>
              </w:tc>
              <w:tc>
                <w:tcPr>
                  <w:tcW w:w="5869" w:type="dxa"/>
                </w:tcPr>
                <w:p w14:paraId="37897001" w14:textId="5025F793" w:rsidR="00175930" w:rsidRPr="0013396E" w:rsidRDefault="00E0443F" w:rsidP="00E0443F">
                  <w:pPr>
                    <w:pStyle w:val="TableBody"/>
                  </w:pPr>
                  <w:r w:rsidRPr="0013396E">
                    <w:rPr>
                      <w:i/>
                    </w:rPr>
                    <w:t>Set</w:t>
                  </w:r>
                  <w:r w:rsidR="00175930" w:rsidRPr="0013396E">
                    <w:rPr>
                      <w:i/>
                    </w:rPr>
                    <w:t xml:space="preserve"> Point Deviation Charge per QSE per Settlement Point per Resource</w:t>
                  </w:r>
                  <w:r w:rsidR="00175930" w:rsidRPr="0013396E">
                    <w:t xml:space="preserve">—The charge to QSE </w:t>
                  </w:r>
                  <w:r w:rsidR="00175930" w:rsidRPr="0013396E">
                    <w:rPr>
                      <w:i/>
                    </w:rPr>
                    <w:t>q</w:t>
                  </w:r>
                  <w:r w:rsidR="00175930" w:rsidRPr="0013396E">
                    <w:t xml:space="preserve"> for Generation Resource </w:t>
                  </w:r>
                  <w:r w:rsidR="00175930" w:rsidRPr="0013396E">
                    <w:rPr>
                      <w:i/>
                    </w:rPr>
                    <w:t>r</w:t>
                  </w:r>
                  <w:r w:rsidR="00175930" w:rsidRPr="0013396E">
                    <w:t xml:space="preserve"> at Resource Node </w:t>
                  </w:r>
                  <w:r w:rsidR="00175930" w:rsidRPr="0013396E">
                    <w:rPr>
                      <w:i/>
                    </w:rPr>
                    <w:t>p</w:t>
                  </w:r>
                  <w:r w:rsidR="00175930" w:rsidRPr="0013396E">
                    <w:t xml:space="preserve">, for its deviation from </w:t>
                  </w:r>
                  <w:r w:rsidRPr="0013396E">
                    <w:t>AASP</w:t>
                  </w:r>
                  <w:r w:rsidR="00175930" w:rsidRPr="0013396E">
                    <w:t xml:space="preserve">, for the 15-minute Settlement Interval </w:t>
                  </w:r>
                  <w:r w:rsidR="00175930" w:rsidRPr="0013396E">
                    <w:rPr>
                      <w:i/>
                    </w:rPr>
                    <w:t>i</w:t>
                  </w:r>
                  <w:r w:rsidR="00175930" w:rsidRPr="0013396E">
                    <w:t xml:space="preserve">.  A </w:t>
                  </w:r>
                  <w:r w:rsidRPr="0013396E">
                    <w:t>Set</w:t>
                  </w:r>
                  <w:r w:rsidR="00175930" w:rsidRPr="0013396E">
                    <w:t xml:space="preserve"> Point Deviation Charge is charged to the Combined Cycle Train for all Combined Cycle Generation Resources.</w:t>
                  </w:r>
                </w:p>
              </w:tc>
            </w:tr>
            <w:tr w:rsidR="00175930" w:rsidRPr="0013396E" w14:paraId="261B8156" w14:textId="611D9CEA" w:rsidTr="00AB2BB6">
              <w:trPr>
                <w:cantSplit/>
              </w:trPr>
              <w:tc>
                <w:tcPr>
                  <w:tcW w:w="2588" w:type="dxa"/>
                </w:tcPr>
                <w:p w14:paraId="002723E7" w14:textId="446ED05A" w:rsidR="00175930" w:rsidRPr="0013396E" w:rsidRDefault="00175930" w:rsidP="00175930">
                  <w:pPr>
                    <w:pStyle w:val="TableBody"/>
                  </w:pPr>
                  <w:r w:rsidRPr="0013396E">
                    <w:t xml:space="preserve">RTSPP </w:t>
                  </w:r>
                  <w:r w:rsidRPr="0013396E">
                    <w:rPr>
                      <w:i/>
                      <w:vertAlign w:val="subscript"/>
                    </w:rPr>
                    <w:t>p, i</w:t>
                  </w:r>
                </w:p>
              </w:tc>
              <w:tc>
                <w:tcPr>
                  <w:tcW w:w="1372" w:type="dxa"/>
                </w:tcPr>
                <w:p w14:paraId="78990060" w14:textId="1580F908" w:rsidR="00175930" w:rsidRPr="0013396E" w:rsidRDefault="00175930" w:rsidP="00175930">
                  <w:pPr>
                    <w:pStyle w:val="TableBody"/>
                  </w:pPr>
                  <w:r w:rsidRPr="0013396E">
                    <w:t>$/MWh</w:t>
                  </w:r>
                </w:p>
              </w:tc>
              <w:tc>
                <w:tcPr>
                  <w:tcW w:w="5869" w:type="dxa"/>
                </w:tcPr>
                <w:p w14:paraId="20B04A34" w14:textId="13814415" w:rsidR="00175930" w:rsidRPr="0013396E" w:rsidRDefault="00175930" w:rsidP="00175930">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175930" w:rsidRPr="0013396E" w14:paraId="2FA5F7CD" w14:textId="214E7AE7" w:rsidTr="00AB2BB6">
              <w:trPr>
                <w:cantSplit/>
              </w:trPr>
              <w:tc>
                <w:tcPr>
                  <w:tcW w:w="2588" w:type="dxa"/>
                </w:tcPr>
                <w:p w14:paraId="083D8EEC" w14:textId="1B252FEA" w:rsidR="00175930" w:rsidRPr="0013396E" w:rsidRDefault="00175930" w:rsidP="00175930">
                  <w:pPr>
                    <w:pStyle w:val="TableBody"/>
                  </w:pPr>
                  <w:r w:rsidRPr="0013396E">
                    <w:t xml:space="preserve">TWTG </w:t>
                  </w:r>
                  <w:r w:rsidRPr="0013396E">
                    <w:rPr>
                      <w:i/>
                      <w:vertAlign w:val="subscript"/>
                    </w:rPr>
                    <w:t>q, r, p, i</w:t>
                  </w:r>
                </w:p>
              </w:tc>
              <w:tc>
                <w:tcPr>
                  <w:tcW w:w="1372" w:type="dxa"/>
                </w:tcPr>
                <w:p w14:paraId="3CA09C92" w14:textId="68FA9042" w:rsidR="00175930" w:rsidRPr="0013396E" w:rsidRDefault="00175930" w:rsidP="00175930">
                  <w:pPr>
                    <w:pStyle w:val="TableBody"/>
                  </w:pPr>
                  <w:r w:rsidRPr="0013396E">
                    <w:t>MWh</w:t>
                  </w:r>
                </w:p>
              </w:tc>
              <w:tc>
                <w:tcPr>
                  <w:tcW w:w="5869" w:type="dxa"/>
                </w:tcPr>
                <w:p w14:paraId="78A366A6" w14:textId="37145004" w:rsidR="00175930" w:rsidRPr="0013396E" w:rsidRDefault="00175930" w:rsidP="00175930">
                  <w:pPr>
                    <w:pStyle w:val="TableBody"/>
                    <w:rPr>
                      <w:i/>
                    </w:rPr>
                  </w:pPr>
                  <w:r w:rsidRPr="0013396E">
                    <w:rPr>
                      <w:i/>
                    </w:rPr>
                    <w:t>Time-Weighted Telemetered Generation per QSE per Settlement Point per Resource</w:t>
                  </w:r>
                  <w:r w:rsidRPr="0013396E">
                    <w:t xml:space="preserve">—The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 xml:space="preserve">.  Where for a Combined Cycle Train, the Resource </w:t>
                  </w:r>
                  <w:r w:rsidRPr="0013396E">
                    <w:rPr>
                      <w:i/>
                    </w:rPr>
                    <w:t xml:space="preserve">r </w:t>
                  </w:r>
                  <w:r w:rsidRPr="0013396E">
                    <w:t>is the Combined Cycle Train.</w:t>
                  </w:r>
                </w:p>
              </w:tc>
            </w:tr>
            <w:tr w:rsidR="00175930" w:rsidRPr="0013396E" w14:paraId="4436F6CA" w14:textId="769C8602" w:rsidTr="00AB2BB6">
              <w:trPr>
                <w:cantSplit/>
              </w:trPr>
              <w:tc>
                <w:tcPr>
                  <w:tcW w:w="2588" w:type="dxa"/>
                </w:tcPr>
                <w:p w14:paraId="0D2032F1" w14:textId="580DB945" w:rsidR="00175930" w:rsidRPr="0013396E" w:rsidRDefault="00175930" w:rsidP="00E0443F">
                  <w:pPr>
                    <w:pStyle w:val="TableBody"/>
                  </w:pPr>
                  <w:r w:rsidRPr="0013396E">
                    <w:t>AA</w:t>
                  </w:r>
                  <w:r w:rsidR="00E0443F" w:rsidRPr="0013396E">
                    <w:t>S</w:t>
                  </w:r>
                  <w:r w:rsidRPr="0013396E">
                    <w:t>P</w:t>
                  </w:r>
                  <w:r w:rsidRPr="0013396E">
                    <w:rPr>
                      <w:vertAlign w:val="subscript"/>
                    </w:rPr>
                    <w:t xml:space="preserve"> </w:t>
                  </w:r>
                  <w:r w:rsidRPr="0013396E">
                    <w:rPr>
                      <w:i/>
                      <w:vertAlign w:val="subscript"/>
                    </w:rPr>
                    <w:t>q, r, p, i</w:t>
                  </w:r>
                </w:p>
              </w:tc>
              <w:tc>
                <w:tcPr>
                  <w:tcW w:w="1372" w:type="dxa"/>
                </w:tcPr>
                <w:p w14:paraId="274EF542" w14:textId="30A3F51B" w:rsidR="00175930" w:rsidRPr="0013396E" w:rsidRDefault="00175930" w:rsidP="00175930">
                  <w:pPr>
                    <w:pStyle w:val="TableBody"/>
                  </w:pPr>
                  <w:r w:rsidRPr="0013396E">
                    <w:t>MW</w:t>
                  </w:r>
                </w:p>
              </w:tc>
              <w:tc>
                <w:tcPr>
                  <w:tcW w:w="5869" w:type="dxa"/>
                </w:tcPr>
                <w:p w14:paraId="1B23B72D" w14:textId="6E881BB9" w:rsidR="00175930" w:rsidRPr="0013396E" w:rsidRDefault="00E0443F" w:rsidP="00537E31">
                  <w:pPr>
                    <w:pStyle w:val="TableBody"/>
                    <w:rPr>
                      <w:i/>
                    </w:rPr>
                  </w:pPr>
                  <w:r w:rsidRPr="0013396E">
                    <w:rPr>
                      <w:i/>
                    </w:rPr>
                    <w:t>Average</w:t>
                  </w:r>
                  <w:r w:rsidR="00175930" w:rsidRPr="0013396E">
                    <w:rPr>
                      <w:i/>
                    </w:rPr>
                    <w:t xml:space="preserve"> Aggregated </w:t>
                  </w:r>
                  <w:r w:rsidRPr="0013396E">
                    <w:rPr>
                      <w:i/>
                    </w:rPr>
                    <w:t>Set</w:t>
                  </w:r>
                  <w:r w:rsidR="00175930" w:rsidRPr="0013396E">
                    <w:rPr>
                      <w:i/>
                    </w:rPr>
                    <w:t xml:space="preserve"> Point</w:t>
                  </w:r>
                  <w:r w:rsidR="00175930" w:rsidRPr="0013396E">
                    <w:t xml:space="preserve">—The </w:t>
                  </w:r>
                  <w:r w:rsidRPr="0013396E">
                    <w:t>average of the Average Five Minute Clock Interval Set Point (AVGSP5M)</w:t>
                  </w:r>
                  <w:r w:rsidR="00175930" w:rsidRPr="0013396E">
                    <w:t xml:space="preserve"> of Generation Resource </w:t>
                  </w:r>
                  <w:r w:rsidR="00175930" w:rsidRPr="0013396E">
                    <w:rPr>
                      <w:i/>
                    </w:rPr>
                    <w:t>r</w:t>
                  </w:r>
                  <w:r w:rsidR="00175930" w:rsidRPr="0013396E">
                    <w:t xml:space="preserve"> represented by QSE </w:t>
                  </w:r>
                  <w:r w:rsidR="00175930" w:rsidRPr="0013396E">
                    <w:rPr>
                      <w:i/>
                    </w:rPr>
                    <w:t>q</w:t>
                  </w:r>
                  <w:r w:rsidR="00175930" w:rsidRPr="0013396E">
                    <w:t xml:space="preserve"> at Settlement Point </w:t>
                  </w:r>
                  <w:r w:rsidR="00175930" w:rsidRPr="0013396E">
                    <w:rPr>
                      <w:i/>
                    </w:rPr>
                    <w:t>p</w:t>
                  </w:r>
                  <w:r w:rsidR="00175930" w:rsidRPr="0013396E">
                    <w:t xml:space="preserve">, for the 15-minute Settlement Interval </w:t>
                  </w:r>
                  <w:r w:rsidR="00175930" w:rsidRPr="0013396E">
                    <w:rPr>
                      <w:i/>
                    </w:rPr>
                    <w:t>i</w:t>
                  </w:r>
                  <w:r w:rsidR="00175930" w:rsidRPr="0013396E">
                    <w:t>.  Where for a Combined Cycle Train, AA</w:t>
                  </w:r>
                  <w:r w:rsidR="00537E31" w:rsidRPr="0013396E">
                    <w:t>S</w:t>
                  </w:r>
                  <w:r w:rsidR="00175930" w:rsidRPr="0013396E">
                    <w:t xml:space="preserve">P is calculated for the Combined Cycle Train considering all </w:t>
                  </w:r>
                  <w:r w:rsidR="00537E31" w:rsidRPr="0013396E">
                    <w:t>UDSPs</w:t>
                  </w:r>
                  <w:r w:rsidR="00175930" w:rsidRPr="0013396E">
                    <w:t xml:space="preserve"> to any Combined Cycle Generation Resources within the Combined Cycle Train.</w:t>
                  </w:r>
                </w:p>
              </w:tc>
            </w:tr>
            <w:tr w:rsidR="00175930" w:rsidRPr="0013396E" w14:paraId="27E4700A" w14:textId="6A431252" w:rsidTr="00AB2BB6">
              <w:trPr>
                <w:cantSplit/>
              </w:trPr>
              <w:tc>
                <w:tcPr>
                  <w:tcW w:w="2588" w:type="dxa"/>
                </w:tcPr>
                <w:p w14:paraId="0BA67B21" w14:textId="6C3C8EAA" w:rsidR="00175930" w:rsidRPr="0013396E" w:rsidRDefault="00175930" w:rsidP="00175930">
                  <w:pPr>
                    <w:pStyle w:val="TableBody"/>
                  </w:pPr>
                  <w:r w:rsidRPr="0013396E">
                    <w:t>AVGTG5M</w:t>
                  </w:r>
                  <w:r w:rsidRPr="0013396E">
                    <w:rPr>
                      <w:i/>
                      <w:vertAlign w:val="subscript"/>
                      <w:lang w:val="fr-FR"/>
                    </w:rPr>
                    <w:t xml:space="preserve">  q, r, p, i, y</w:t>
                  </w:r>
                </w:p>
              </w:tc>
              <w:tc>
                <w:tcPr>
                  <w:tcW w:w="1372" w:type="dxa"/>
                </w:tcPr>
                <w:p w14:paraId="0CCE4901" w14:textId="508601E9" w:rsidR="00175930" w:rsidRPr="0013396E" w:rsidRDefault="00175930" w:rsidP="00175930">
                  <w:pPr>
                    <w:pStyle w:val="TableBody"/>
                  </w:pPr>
                  <w:r w:rsidRPr="0013396E">
                    <w:t>MW</w:t>
                  </w:r>
                </w:p>
              </w:tc>
              <w:tc>
                <w:tcPr>
                  <w:tcW w:w="5869" w:type="dxa"/>
                </w:tcPr>
                <w:p w14:paraId="60D35EB0" w14:textId="7DDEDFF7" w:rsidR="00175930" w:rsidRPr="0013396E" w:rsidRDefault="00175930" w:rsidP="00175930">
                  <w:pPr>
                    <w:pStyle w:val="TableBody"/>
                  </w:pPr>
                  <w:r w:rsidRPr="0013396E">
                    <w:rPr>
                      <w:i/>
                    </w:rPr>
                    <w:t>Average Telemetered Generation for the 5 Minutes</w:t>
                  </w:r>
                  <w:r w:rsidRPr="0013396E">
                    <w:t xml:space="preserve"> —The average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175930" w:rsidRPr="0013396E" w14:paraId="3706373D" w14:textId="67AD1C06" w:rsidTr="00AB2BB6">
              <w:trPr>
                <w:cantSplit/>
              </w:trPr>
              <w:tc>
                <w:tcPr>
                  <w:tcW w:w="2588" w:type="dxa"/>
                </w:tcPr>
                <w:p w14:paraId="01AAEAE8" w14:textId="157A1EFB" w:rsidR="00175930" w:rsidRPr="0013396E" w:rsidRDefault="00175930" w:rsidP="00175930">
                  <w:pPr>
                    <w:pStyle w:val="TableBody"/>
                  </w:pPr>
                  <w:r w:rsidRPr="0013396E">
                    <w:t xml:space="preserve">UGEN </w:t>
                  </w:r>
                  <w:r w:rsidRPr="0013396E">
                    <w:rPr>
                      <w:i/>
                      <w:vertAlign w:val="subscript"/>
                    </w:rPr>
                    <w:t>q, r, p, i</w:t>
                  </w:r>
                </w:p>
              </w:tc>
              <w:tc>
                <w:tcPr>
                  <w:tcW w:w="1372" w:type="dxa"/>
                </w:tcPr>
                <w:p w14:paraId="15026D66" w14:textId="5F4B756A" w:rsidR="00175930" w:rsidRPr="0013396E" w:rsidRDefault="00175930" w:rsidP="00175930">
                  <w:pPr>
                    <w:pStyle w:val="TableBody"/>
                  </w:pPr>
                  <w:r w:rsidRPr="0013396E">
                    <w:t>MWh</w:t>
                  </w:r>
                </w:p>
              </w:tc>
              <w:tc>
                <w:tcPr>
                  <w:tcW w:w="5869" w:type="dxa"/>
                </w:tcPr>
                <w:p w14:paraId="192B8E7E" w14:textId="21EEF802" w:rsidR="00175930" w:rsidRPr="0013396E" w:rsidRDefault="00175930" w:rsidP="00754931">
                  <w:pPr>
                    <w:pStyle w:val="TableBody"/>
                  </w:pPr>
                  <w:r w:rsidRPr="0013396E">
                    <w:rPr>
                      <w:i/>
                    </w:rPr>
                    <w:t>Under-Generation Volumes per QSE per Settlement Point per Resource</w:t>
                  </w:r>
                  <w:r w:rsidRPr="0013396E">
                    <w:t xml:space="preserve">—The amount under-generated by the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w:t>
                  </w:r>
                </w:p>
              </w:tc>
            </w:tr>
            <w:tr w:rsidR="00175930" w:rsidRPr="0013396E" w14:paraId="344AF8FD" w14:textId="3EE8A4E4" w:rsidTr="00AB2BB6">
              <w:trPr>
                <w:cantSplit/>
              </w:trPr>
              <w:tc>
                <w:tcPr>
                  <w:tcW w:w="2588" w:type="dxa"/>
                </w:tcPr>
                <w:p w14:paraId="0481F33C" w14:textId="126E0A21" w:rsidR="00175930" w:rsidRPr="0013396E" w:rsidRDefault="00175930" w:rsidP="00175930">
                  <w:pPr>
                    <w:pStyle w:val="TableBody"/>
                  </w:pPr>
                  <w:r w:rsidRPr="0013396E">
                    <w:t>KP</w:t>
                  </w:r>
                </w:p>
              </w:tc>
              <w:tc>
                <w:tcPr>
                  <w:tcW w:w="1372" w:type="dxa"/>
                </w:tcPr>
                <w:p w14:paraId="085CF0A2" w14:textId="0A18E161" w:rsidR="00175930" w:rsidRPr="0013396E" w:rsidRDefault="00175930" w:rsidP="00175930">
                  <w:pPr>
                    <w:pStyle w:val="TableBody"/>
                  </w:pPr>
                  <w:r w:rsidRPr="0013396E">
                    <w:t>none</w:t>
                  </w:r>
                </w:p>
              </w:tc>
              <w:tc>
                <w:tcPr>
                  <w:tcW w:w="5869" w:type="dxa"/>
                </w:tcPr>
                <w:p w14:paraId="7088344A" w14:textId="27BAA8C0" w:rsidR="00175930" w:rsidRPr="0013396E" w:rsidRDefault="00175930" w:rsidP="00175930">
                  <w:pPr>
                    <w:pStyle w:val="TableBody"/>
                  </w:pPr>
                  <w:r w:rsidRPr="0013396E">
                    <w:t>The coefficient applied to the Settlement Point Price for under-generation charge, 1.0.</w:t>
                  </w:r>
                </w:p>
              </w:tc>
            </w:tr>
            <w:tr w:rsidR="00175930" w:rsidRPr="0013396E" w14:paraId="4405E79B" w14:textId="5CF4CBD7" w:rsidTr="00AB2BB6">
              <w:trPr>
                <w:cantSplit/>
              </w:trPr>
              <w:tc>
                <w:tcPr>
                  <w:tcW w:w="2588" w:type="dxa"/>
                </w:tcPr>
                <w:p w14:paraId="3B3ED05C" w14:textId="78FCB95E" w:rsidR="00175930" w:rsidRPr="0013396E" w:rsidRDefault="00175930" w:rsidP="00175930">
                  <w:pPr>
                    <w:pStyle w:val="TableBody"/>
                  </w:pPr>
                  <w:r w:rsidRPr="0013396E">
                    <w:t>PR2</w:t>
                  </w:r>
                </w:p>
              </w:tc>
              <w:tc>
                <w:tcPr>
                  <w:tcW w:w="1372" w:type="dxa"/>
                </w:tcPr>
                <w:p w14:paraId="73CC3A14" w14:textId="0F7778A4" w:rsidR="00175930" w:rsidRPr="0013396E" w:rsidRDefault="00175930" w:rsidP="00175930">
                  <w:pPr>
                    <w:pStyle w:val="TableBody"/>
                  </w:pPr>
                  <w:r w:rsidRPr="0013396E">
                    <w:t>$/MWh</w:t>
                  </w:r>
                </w:p>
              </w:tc>
              <w:tc>
                <w:tcPr>
                  <w:tcW w:w="5869" w:type="dxa"/>
                </w:tcPr>
                <w:p w14:paraId="7CDCF73D" w14:textId="3A0495D4" w:rsidR="00175930" w:rsidRPr="0013396E" w:rsidRDefault="00175930" w:rsidP="00537E31">
                  <w:pPr>
                    <w:pStyle w:val="TableBody"/>
                  </w:pPr>
                  <w:r w:rsidRPr="0013396E">
                    <w:t xml:space="preserve">The price to use for the </w:t>
                  </w:r>
                  <w:r w:rsidR="00537E31" w:rsidRPr="0013396E">
                    <w:t>Set</w:t>
                  </w:r>
                  <w:r w:rsidRPr="0013396E">
                    <w:t xml:space="preserve"> Point Deviation Charge for under-generation calculation when RTSPP is greater than -$20/MWh, -$20/MWh.  </w:t>
                  </w:r>
                </w:p>
              </w:tc>
            </w:tr>
            <w:tr w:rsidR="00175930" w:rsidRPr="0013396E" w14:paraId="3486EF7E" w14:textId="580AD4CE" w:rsidTr="00AB2BB6">
              <w:trPr>
                <w:cantSplit/>
              </w:trPr>
              <w:tc>
                <w:tcPr>
                  <w:tcW w:w="2588" w:type="dxa"/>
                </w:tcPr>
                <w:p w14:paraId="3192F64F" w14:textId="5B0B0D54" w:rsidR="00175930" w:rsidRPr="0013396E" w:rsidRDefault="00175930" w:rsidP="00175930">
                  <w:pPr>
                    <w:pStyle w:val="TableBody"/>
                  </w:pPr>
                  <w:r w:rsidRPr="0013396E">
                    <w:t>K2</w:t>
                  </w:r>
                </w:p>
              </w:tc>
              <w:tc>
                <w:tcPr>
                  <w:tcW w:w="1372" w:type="dxa"/>
                </w:tcPr>
                <w:p w14:paraId="6DFFF5BC" w14:textId="6A9A37C7" w:rsidR="00175930" w:rsidRPr="0013396E" w:rsidRDefault="00175930" w:rsidP="00175930">
                  <w:pPr>
                    <w:pStyle w:val="TableBody"/>
                  </w:pPr>
                  <w:r w:rsidRPr="0013396E">
                    <w:t>none</w:t>
                  </w:r>
                </w:p>
              </w:tc>
              <w:tc>
                <w:tcPr>
                  <w:tcW w:w="5869" w:type="dxa"/>
                </w:tcPr>
                <w:p w14:paraId="0F83209D" w14:textId="6B849311" w:rsidR="00175930" w:rsidRPr="0013396E" w:rsidRDefault="00175930" w:rsidP="00175930">
                  <w:pPr>
                    <w:pStyle w:val="TableBody"/>
                  </w:pPr>
                  <w:r w:rsidRPr="0013396E">
                    <w:t xml:space="preserve">The percentage tolerance for under-generation, 5%. </w:t>
                  </w:r>
                </w:p>
              </w:tc>
            </w:tr>
            <w:tr w:rsidR="00175930" w:rsidRPr="0013396E" w14:paraId="5E22F7F7" w14:textId="078A3AE5" w:rsidTr="00AB2BB6">
              <w:trPr>
                <w:cantSplit/>
              </w:trPr>
              <w:tc>
                <w:tcPr>
                  <w:tcW w:w="2588" w:type="dxa"/>
                </w:tcPr>
                <w:p w14:paraId="379E810D" w14:textId="46455D84" w:rsidR="00175930" w:rsidRPr="0013396E" w:rsidRDefault="00175930" w:rsidP="00175930">
                  <w:pPr>
                    <w:pStyle w:val="TableBody"/>
                  </w:pPr>
                  <w:r w:rsidRPr="0013396E">
                    <w:t>Q2</w:t>
                  </w:r>
                </w:p>
              </w:tc>
              <w:tc>
                <w:tcPr>
                  <w:tcW w:w="1372" w:type="dxa"/>
                </w:tcPr>
                <w:p w14:paraId="56C9A61D" w14:textId="10C6198C" w:rsidR="00175930" w:rsidRPr="0013396E" w:rsidRDefault="00175930" w:rsidP="00175930">
                  <w:pPr>
                    <w:pStyle w:val="TableBody"/>
                  </w:pPr>
                  <w:r w:rsidRPr="0013396E">
                    <w:t>MW</w:t>
                  </w:r>
                </w:p>
              </w:tc>
              <w:tc>
                <w:tcPr>
                  <w:tcW w:w="5869" w:type="dxa"/>
                </w:tcPr>
                <w:p w14:paraId="10F690F0" w14:textId="075CA09C" w:rsidR="00175930" w:rsidRPr="0013396E" w:rsidRDefault="00175930" w:rsidP="00175930">
                  <w:pPr>
                    <w:pStyle w:val="TableBody"/>
                  </w:pPr>
                  <w:r w:rsidRPr="0013396E">
                    <w:t>The MW tolerance for under-generation, five MW.</w:t>
                  </w:r>
                </w:p>
              </w:tc>
            </w:tr>
            <w:tr w:rsidR="00175930" w:rsidRPr="0013396E" w14:paraId="3961F013" w14:textId="2AE0F99B" w:rsidTr="00AB2BB6">
              <w:trPr>
                <w:cantSplit/>
              </w:trPr>
              <w:tc>
                <w:tcPr>
                  <w:tcW w:w="2588" w:type="dxa"/>
                </w:tcPr>
                <w:p w14:paraId="7E8FA215" w14:textId="34F2C6DF" w:rsidR="00175930" w:rsidRPr="0013396E" w:rsidRDefault="00175930" w:rsidP="00175930">
                  <w:pPr>
                    <w:spacing w:after="60"/>
                    <w:rPr>
                      <w:iCs/>
                      <w:sz w:val="20"/>
                    </w:rPr>
                  </w:pPr>
                  <w:r w:rsidRPr="0013396E">
                    <w:rPr>
                      <w:iCs/>
                      <w:sz w:val="20"/>
                    </w:rPr>
                    <w:t>N</w:t>
                  </w:r>
                </w:p>
              </w:tc>
              <w:tc>
                <w:tcPr>
                  <w:tcW w:w="1372" w:type="dxa"/>
                </w:tcPr>
                <w:p w14:paraId="6749FA49" w14:textId="5F6FE2EE" w:rsidR="00175930" w:rsidRPr="0013396E" w:rsidRDefault="00175930" w:rsidP="00175930">
                  <w:pPr>
                    <w:spacing w:after="60"/>
                    <w:rPr>
                      <w:iCs/>
                      <w:sz w:val="20"/>
                    </w:rPr>
                  </w:pPr>
                  <w:r w:rsidRPr="0013396E">
                    <w:rPr>
                      <w:iCs/>
                      <w:sz w:val="20"/>
                    </w:rPr>
                    <w:t>none</w:t>
                  </w:r>
                </w:p>
              </w:tc>
              <w:tc>
                <w:tcPr>
                  <w:tcW w:w="5869" w:type="dxa"/>
                </w:tcPr>
                <w:p w14:paraId="1C13A9B3" w14:textId="57BA8DDB" w:rsidR="00175930" w:rsidRPr="0013396E" w:rsidRDefault="00175930" w:rsidP="00175930">
                  <w:pPr>
                    <w:spacing w:after="60"/>
                    <w:rPr>
                      <w:iCs/>
                      <w:sz w:val="20"/>
                    </w:rPr>
                  </w:pPr>
                  <w:r w:rsidRPr="0013396E">
                    <w:rPr>
                      <w:iCs/>
                      <w:sz w:val="20"/>
                    </w:rPr>
                    <w:t>The number of IRRs within an IRR Group.</w:t>
                  </w:r>
                </w:p>
              </w:tc>
            </w:tr>
            <w:tr w:rsidR="00175930" w:rsidRPr="0013396E" w14:paraId="3BFF8B44" w14:textId="48328D03" w:rsidTr="00AB2BB6">
              <w:trPr>
                <w:cantSplit/>
              </w:trPr>
              <w:tc>
                <w:tcPr>
                  <w:tcW w:w="2588" w:type="dxa"/>
                </w:tcPr>
                <w:p w14:paraId="7D43DDA5" w14:textId="56F83E04" w:rsidR="00175930" w:rsidRPr="0013396E" w:rsidRDefault="00175930" w:rsidP="00175930">
                  <w:pPr>
                    <w:pStyle w:val="TableBody"/>
                    <w:rPr>
                      <w:i/>
                    </w:rPr>
                  </w:pPr>
                  <w:r w:rsidRPr="0013396E">
                    <w:rPr>
                      <w:i/>
                    </w:rPr>
                    <w:t>q</w:t>
                  </w:r>
                </w:p>
              </w:tc>
              <w:tc>
                <w:tcPr>
                  <w:tcW w:w="1372" w:type="dxa"/>
                </w:tcPr>
                <w:p w14:paraId="2F9AED7E" w14:textId="4161E566" w:rsidR="00175930" w:rsidRPr="0013396E" w:rsidRDefault="00175930" w:rsidP="00175930">
                  <w:pPr>
                    <w:pStyle w:val="TableBody"/>
                  </w:pPr>
                  <w:r w:rsidRPr="0013396E">
                    <w:t>none</w:t>
                  </w:r>
                </w:p>
              </w:tc>
              <w:tc>
                <w:tcPr>
                  <w:tcW w:w="5869" w:type="dxa"/>
                </w:tcPr>
                <w:p w14:paraId="6595B9A3" w14:textId="164AA1EC" w:rsidR="00175930" w:rsidRPr="0013396E" w:rsidRDefault="00175930" w:rsidP="00175930">
                  <w:pPr>
                    <w:pStyle w:val="TableBody"/>
                  </w:pPr>
                  <w:r w:rsidRPr="0013396E">
                    <w:t>A QSE.</w:t>
                  </w:r>
                </w:p>
              </w:tc>
            </w:tr>
            <w:tr w:rsidR="00175930" w:rsidRPr="0013396E" w14:paraId="011D000A" w14:textId="700372CE" w:rsidTr="00AB2BB6">
              <w:trPr>
                <w:cantSplit/>
              </w:trPr>
              <w:tc>
                <w:tcPr>
                  <w:tcW w:w="2588" w:type="dxa"/>
                </w:tcPr>
                <w:p w14:paraId="558E7C81" w14:textId="1C677506" w:rsidR="00175930" w:rsidRPr="0013396E" w:rsidRDefault="00175930" w:rsidP="00175930">
                  <w:pPr>
                    <w:pStyle w:val="TableBody"/>
                    <w:rPr>
                      <w:i/>
                    </w:rPr>
                  </w:pPr>
                  <w:r w:rsidRPr="0013396E">
                    <w:rPr>
                      <w:i/>
                    </w:rPr>
                    <w:t>p</w:t>
                  </w:r>
                </w:p>
              </w:tc>
              <w:tc>
                <w:tcPr>
                  <w:tcW w:w="1372" w:type="dxa"/>
                </w:tcPr>
                <w:p w14:paraId="564B41AB" w14:textId="7084ACE1" w:rsidR="00175930" w:rsidRPr="0013396E" w:rsidRDefault="00175930" w:rsidP="00175930">
                  <w:pPr>
                    <w:pStyle w:val="TableBody"/>
                  </w:pPr>
                  <w:r w:rsidRPr="0013396E">
                    <w:t>none</w:t>
                  </w:r>
                </w:p>
              </w:tc>
              <w:tc>
                <w:tcPr>
                  <w:tcW w:w="5869" w:type="dxa"/>
                </w:tcPr>
                <w:p w14:paraId="2023310A" w14:textId="0510C934" w:rsidR="00175930" w:rsidRPr="0013396E" w:rsidRDefault="00175930" w:rsidP="00175930">
                  <w:pPr>
                    <w:pStyle w:val="TableBody"/>
                  </w:pPr>
                  <w:r w:rsidRPr="0013396E">
                    <w:t>A Settlement Point.</w:t>
                  </w:r>
                </w:p>
              </w:tc>
            </w:tr>
            <w:tr w:rsidR="00175930" w:rsidRPr="0013396E" w14:paraId="60A39E66" w14:textId="7E78434B" w:rsidTr="00AB2BB6">
              <w:trPr>
                <w:cantSplit/>
              </w:trPr>
              <w:tc>
                <w:tcPr>
                  <w:tcW w:w="2588" w:type="dxa"/>
                </w:tcPr>
                <w:p w14:paraId="509723F9" w14:textId="06EBADEC" w:rsidR="00175930" w:rsidRPr="0013396E" w:rsidRDefault="00175930" w:rsidP="00175930">
                  <w:pPr>
                    <w:pStyle w:val="TableBody"/>
                    <w:rPr>
                      <w:i/>
                    </w:rPr>
                  </w:pPr>
                  <w:r w:rsidRPr="0013396E">
                    <w:rPr>
                      <w:i/>
                    </w:rPr>
                    <w:t>r</w:t>
                  </w:r>
                </w:p>
              </w:tc>
              <w:tc>
                <w:tcPr>
                  <w:tcW w:w="1372" w:type="dxa"/>
                </w:tcPr>
                <w:p w14:paraId="514BE4F8" w14:textId="1D39DDC9" w:rsidR="00175930" w:rsidRPr="0013396E" w:rsidRDefault="00175930" w:rsidP="00175930">
                  <w:pPr>
                    <w:pStyle w:val="TableBody"/>
                  </w:pPr>
                  <w:r w:rsidRPr="0013396E">
                    <w:t>none</w:t>
                  </w:r>
                </w:p>
              </w:tc>
              <w:tc>
                <w:tcPr>
                  <w:tcW w:w="5869" w:type="dxa"/>
                </w:tcPr>
                <w:p w14:paraId="679BD768" w14:textId="169F75D6" w:rsidR="00175930" w:rsidRPr="0013396E" w:rsidRDefault="00175930" w:rsidP="00175930">
                  <w:pPr>
                    <w:pStyle w:val="TableBody"/>
                    <w:rPr>
                      <w:lang w:val="fr-FR"/>
                    </w:rPr>
                  </w:pPr>
                  <w:r w:rsidRPr="0013396E">
                    <w:rPr>
                      <w:lang w:val="fr-FR"/>
                    </w:rPr>
                    <w:t xml:space="preserve">A non-exempt </w:t>
                  </w:r>
                  <w:r w:rsidR="008152FC" w:rsidRPr="0013396E">
                    <w:rPr>
                      <w:lang w:val="fr-FR"/>
                    </w:rPr>
                    <w:t xml:space="preserve">Generation </w:t>
                  </w:r>
                  <w:r w:rsidRPr="0013396E">
                    <w:rPr>
                      <w:lang w:val="fr-FR"/>
                    </w:rPr>
                    <w:t>Resource.</w:t>
                  </w:r>
                </w:p>
              </w:tc>
            </w:tr>
            <w:tr w:rsidR="00175930" w:rsidRPr="0013396E" w14:paraId="33DC9AB6" w14:textId="447C22E8" w:rsidTr="00AB2BB6">
              <w:trPr>
                <w:cantSplit/>
              </w:trPr>
              <w:tc>
                <w:tcPr>
                  <w:tcW w:w="2588" w:type="dxa"/>
                </w:tcPr>
                <w:p w14:paraId="0000A54C" w14:textId="1D28E52F" w:rsidR="00175930" w:rsidRPr="0013396E" w:rsidRDefault="00175930" w:rsidP="00175930">
                  <w:pPr>
                    <w:pStyle w:val="TableBody"/>
                    <w:rPr>
                      <w:i/>
                    </w:rPr>
                  </w:pPr>
                  <w:r w:rsidRPr="0013396E">
                    <w:rPr>
                      <w:i/>
                    </w:rPr>
                    <w:t>y</w:t>
                  </w:r>
                </w:p>
              </w:tc>
              <w:tc>
                <w:tcPr>
                  <w:tcW w:w="1372" w:type="dxa"/>
                </w:tcPr>
                <w:p w14:paraId="33D1F9DA" w14:textId="538BC4EA" w:rsidR="00175930" w:rsidRPr="0013396E" w:rsidRDefault="00175930" w:rsidP="00175930">
                  <w:pPr>
                    <w:pStyle w:val="TableBody"/>
                  </w:pPr>
                  <w:r w:rsidRPr="0013396E">
                    <w:t>none</w:t>
                  </w:r>
                </w:p>
              </w:tc>
              <w:tc>
                <w:tcPr>
                  <w:tcW w:w="5869" w:type="dxa"/>
                </w:tcPr>
                <w:p w14:paraId="196ADE3D" w14:textId="202EF510" w:rsidR="00175930" w:rsidRPr="0013396E" w:rsidRDefault="00175930" w:rsidP="00175930">
                  <w:pPr>
                    <w:pStyle w:val="TableBody"/>
                    <w:rPr>
                      <w:lang w:val="fr-FR"/>
                    </w:rPr>
                  </w:pPr>
                  <w:r w:rsidRPr="0013396E">
                    <w:t xml:space="preserve">A five-minute clock interval in the Settlement Interval. </w:t>
                  </w:r>
                </w:p>
              </w:tc>
            </w:tr>
            <w:tr w:rsidR="00175930" w:rsidRPr="0013396E" w14:paraId="0789E0F2" w14:textId="7B45D9A1" w:rsidTr="00AB2BB6">
              <w:trPr>
                <w:cantSplit/>
              </w:trPr>
              <w:tc>
                <w:tcPr>
                  <w:tcW w:w="2588" w:type="dxa"/>
                </w:tcPr>
                <w:p w14:paraId="3127F5B6" w14:textId="53856467" w:rsidR="00175930" w:rsidRPr="0013396E" w:rsidRDefault="00175930" w:rsidP="00175930">
                  <w:pPr>
                    <w:pStyle w:val="TableBody"/>
                    <w:rPr>
                      <w:i/>
                    </w:rPr>
                  </w:pPr>
                  <w:r w:rsidRPr="0013396E">
                    <w:rPr>
                      <w:i/>
                    </w:rPr>
                    <w:t>i</w:t>
                  </w:r>
                </w:p>
              </w:tc>
              <w:tc>
                <w:tcPr>
                  <w:tcW w:w="1372" w:type="dxa"/>
                </w:tcPr>
                <w:p w14:paraId="650A066E" w14:textId="50BA4A8C" w:rsidR="00175930" w:rsidRPr="0013396E" w:rsidRDefault="00175930" w:rsidP="00175930">
                  <w:pPr>
                    <w:pStyle w:val="TableBody"/>
                  </w:pPr>
                  <w:r w:rsidRPr="0013396E">
                    <w:t>none</w:t>
                  </w:r>
                </w:p>
              </w:tc>
              <w:tc>
                <w:tcPr>
                  <w:tcW w:w="5869" w:type="dxa"/>
                </w:tcPr>
                <w:p w14:paraId="4CA59675" w14:textId="1C120B3D" w:rsidR="00175930" w:rsidRPr="0013396E" w:rsidRDefault="00175930" w:rsidP="00175930">
                  <w:pPr>
                    <w:pStyle w:val="TableBody"/>
                  </w:pPr>
                  <w:r w:rsidRPr="0013396E">
                    <w:t>A 15-minute Settlement Interval.</w:t>
                  </w:r>
                </w:p>
              </w:tc>
            </w:tr>
            <w:tr w:rsidR="00175930" w:rsidRPr="0013396E" w14:paraId="6D2E997E" w14:textId="3BA6A084" w:rsidTr="00AB2BB6">
              <w:trPr>
                <w:cantSplit/>
              </w:trPr>
              <w:tc>
                <w:tcPr>
                  <w:tcW w:w="2588" w:type="dxa"/>
                </w:tcPr>
                <w:p w14:paraId="4F87609B" w14:textId="3CBDF5A2" w:rsidR="00175930" w:rsidRPr="0013396E" w:rsidRDefault="00175930" w:rsidP="00175930">
                  <w:pPr>
                    <w:spacing w:after="60"/>
                    <w:rPr>
                      <w:iCs/>
                      <w:sz w:val="20"/>
                    </w:rPr>
                  </w:pPr>
                  <w:r w:rsidRPr="0013396E">
                    <w:rPr>
                      <w:i/>
                      <w:iCs/>
                      <w:sz w:val="20"/>
                    </w:rPr>
                    <w:t>wg</w:t>
                  </w:r>
                </w:p>
              </w:tc>
              <w:tc>
                <w:tcPr>
                  <w:tcW w:w="1372" w:type="dxa"/>
                </w:tcPr>
                <w:p w14:paraId="1791F918" w14:textId="31429950" w:rsidR="00175930" w:rsidRPr="0013396E" w:rsidRDefault="00175930" w:rsidP="00175930">
                  <w:pPr>
                    <w:spacing w:after="60"/>
                    <w:rPr>
                      <w:iCs/>
                      <w:sz w:val="20"/>
                    </w:rPr>
                  </w:pPr>
                  <w:r w:rsidRPr="0013396E">
                    <w:rPr>
                      <w:iCs/>
                      <w:sz w:val="20"/>
                    </w:rPr>
                    <w:t>none</w:t>
                  </w:r>
                </w:p>
              </w:tc>
              <w:tc>
                <w:tcPr>
                  <w:tcW w:w="5869" w:type="dxa"/>
                </w:tcPr>
                <w:p w14:paraId="560DDEF1" w14:textId="23382315" w:rsidR="00175930" w:rsidRPr="0013396E" w:rsidRDefault="00175930" w:rsidP="00175930">
                  <w:pPr>
                    <w:spacing w:after="60"/>
                    <w:rPr>
                      <w:iCs/>
                      <w:sz w:val="20"/>
                    </w:rPr>
                  </w:pPr>
                  <w:r w:rsidRPr="0013396E">
                    <w:rPr>
                      <w:iCs/>
                      <w:sz w:val="20"/>
                    </w:rPr>
                    <w:t>An IRR Group.</w:t>
                  </w:r>
                </w:p>
              </w:tc>
            </w:tr>
          </w:tbl>
          <w:p w14:paraId="2DF8E2E6" w14:textId="0268B12A" w:rsidR="00AC1609" w:rsidRPr="0013396E" w:rsidRDefault="00AC1609" w:rsidP="00AB2BB6">
            <w:pPr>
              <w:pStyle w:val="H3"/>
            </w:pPr>
          </w:p>
        </w:tc>
      </w:tr>
    </w:tbl>
    <w:p w14:paraId="5D5CCFCC" w14:textId="405671E2" w:rsidR="005E0EE9" w:rsidRPr="0013396E" w:rsidRDefault="005E0EE9" w:rsidP="005A7D8E">
      <w:pPr>
        <w:pStyle w:val="H4"/>
        <w:tabs>
          <w:tab w:val="clear" w:pos="1260"/>
          <w:tab w:val="left" w:pos="1620"/>
        </w:tabs>
        <w:spacing w:before="480"/>
        <w:ind w:left="1627" w:hanging="1627"/>
        <w:outlineLvl w:val="4"/>
      </w:pPr>
      <w:bookmarkStart w:id="1800" w:name="_Toc236220195"/>
      <w:r w:rsidRPr="00576B1F">
        <w:rPr>
          <w:snapToGrid/>
          <w:lang w:val="fr-FR"/>
        </w:rPr>
        <w:lastRenderedPageBreak/>
        <w:t>6.6.5.3</w:t>
      </w:r>
      <w:r w:rsidRPr="00576B1F">
        <w:rPr>
          <w:snapToGrid/>
          <w:lang w:val="fr-FR"/>
        </w:rPr>
        <w:tab/>
        <w:t xml:space="preserve">Controllable Load Resource Set Point Deviation Charge for Over </w:t>
      </w:r>
      <w:r w:rsidRPr="0013396E">
        <w:lastRenderedPageBreak/>
        <w:t>Consumption</w:t>
      </w:r>
      <w:bookmarkEnd w:id="1800"/>
    </w:p>
    <w:p w14:paraId="4C9CB2F4" w14:textId="43399493" w:rsidR="005E0EE9" w:rsidRPr="0013396E" w:rsidRDefault="005E0EE9" w:rsidP="005E0EE9">
      <w:pPr>
        <w:pStyle w:val="BodyTextNumbered"/>
      </w:pPr>
      <w:r w:rsidRPr="0013396E">
        <w:t>(1)</w:t>
      </w:r>
      <w:r w:rsidRPr="0013396E">
        <w:tab/>
        <w:t xml:space="preserve">ERCOT shall charge a QSE of a </w:t>
      </w:r>
      <w:r w:rsidR="006B5869">
        <w:t>CLR</w:t>
      </w:r>
      <w:r w:rsidRPr="0013396E">
        <w:t>, for over-consumption that exceeds the following tolerance.  The tolerance is the greater of:</w:t>
      </w:r>
    </w:p>
    <w:p w14:paraId="328A1F6C" w14:textId="77777777" w:rsidR="005E0EE9" w:rsidRPr="0013396E" w:rsidRDefault="005E0EE9" w:rsidP="005E0EE9">
      <w:pPr>
        <w:pStyle w:val="BodyTextNumbered"/>
        <w:ind w:left="1440"/>
      </w:pPr>
      <w:r w:rsidRPr="0013396E">
        <w:t>(a)</w:t>
      </w:r>
      <w:r w:rsidRPr="0013396E">
        <w:tab/>
        <w:t>XO% of the AASP in the Settlement Interval; or</w:t>
      </w:r>
    </w:p>
    <w:p w14:paraId="77E43179" w14:textId="77777777" w:rsidR="005E0EE9" w:rsidRPr="0013396E" w:rsidRDefault="005E0EE9" w:rsidP="005E0EE9">
      <w:pPr>
        <w:pStyle w:val="BodyTextNumbered"/>
        <w:ind w:left="1440"/>
      </w:pPr>
      <w:r w:rsidRPr="0013396E">
        <w:t>(b)</w:t>
      </w:r>
      <w:r w:rsidRPr="0013396E">
        <w:tab/>
        <w:t xml:space="preserve">YO MW above the AASP in the Settlement Interval.  </w:t>
      </w:r>
    </w:p>
    <w:p w14:paraId="084AD47D" w14:textId="1A4114F1" w:rsidR="005E0EE9" w:rsidRPr="0013396E" w:rsidRDefault="005E0EE9" w:rsidP="005E0EE9">
      <w:pPr>
        <w:pStyle w:val="BodyTextNumbered"/>
        <w:rPr>
          <w:iCs/>
        </w:rPr>
      </w:pPr>
      <w:r w:rsidRPr="0013396E">
        <w:rPr>
          <w:iCs/>
        </w:rPr>
        <w:t>(2)</w:t>
      </w:r>
      <w:r w:rsidRPr="0013396E">
        <w:rPr>
          <w:iCs/>
        </w:rPr>
        <w:tab/>
      </w:r>
      <w:r w:rsidRPr="0013396E">
        <w:t xml:space="preserve">The </w:t>
      </w:r>
      <w:r w:rsidR="006B5869">
        <w:t>CLR</w:t>
      </w:r>
      <w:r w:rsidRPr="0013396E">
        <w:t xml:space="preserve"> Set Point Deviation Charge for over-consumption variables XO and YO shall be subject to review and approval by the Technical Advisory Committee (TAC) and shall be posted to the ERCOT website no later than three Business Days after TAC approval.</w:t>
      </w:r>
    </w:p>
    <w:p w14:paraId="39C677AF" w14:textId="2BF8E1FA" w:rsidR="005E0EE9" w:rsidRPr="0013396E" w:rsidRDefault="005E0EE9" w:rsidP="005E0EE9">
      <w:pPr>
        <w:pStyle w:val="BodyTextNumbered"/>
        <w:rPr>
          <w:iCs/>
        </w:rPr>
      </w:pPr>
      <w:r w:rsidRPr="0013396E">
        <w:rPr>
          <w:iCs/>
        </w:rPr>
        <w:t>(3)</w:t>
      </w:r>
      <w:r w:rsidRPr="0013396E">
        <w:rPr>
          <w:iCs/>
        </w:rPr>
        <w:tab/>
        <w:t xml:space="preserve">The charge to each QSE for non-excused over-consumption for each </w:t>
      </w:r>
      <w:r w:rsidR="00E01488">
        <w:t>CLR</w:t>
      </w:r>
      <w:r w:rsidRPr="0013396E">
        <w:t>,</w:t>
      </w:r>
      <w:r w:rsidRPr="0013396E">
        <w:rPr>
          <w:iCs/>
        </w:rPr>
        <w:t xml:space="preserve"> during a 15-minute Settlement Interval is calculated as follows:</w:t>
      </w:r>
    </w:p>
    <w:p w14:paraId="0DEA37DD" w14:textId="77777777" w:rsidR="005E0EE9" w:rsidRPr="0013396E" w:rsidRDefault="005E0EE9" w:rsidP="005E0EE9">
      <w:pPr>
        <w:ind w:left="720"/>
        <w:rPr>
          <w:lang w:val="pt-BR"/>
        </w:rPr>
      </w:pPr>
    </w:p>
    <w:p w14:paraId="6D6DD11B" w14:textId="77777777" w:rsidR="005E0EE9" w:rsidRPr="0013396E" w:rsidRDefault="005E0EE9" w:rsidP="005E0EE9">
      <w:pPr>
        <w:pStyle w:val="FormulaBold"/>
        <w:tabs>
          <w:tab w:val="left" w:pos="720"/>
        </w:tabs>
        <w:ind w:left="2880" w:hanging="2880"/>
        <w:rPr>
          <w:lang w:val="pt-BR"/>
        </w:rPr>
      </w:pPr>
      <w:r w:rsidRPr="0013396E">
        <w:rPr>
          <w:lang w:val="pt-BR"/>
        </w:rPr>
        <w:tab/>
        <w:t>SPDAMT</w:t>
      </w:r>
      <w:r w:rsidRPr="0013396E">
        <w:rPr>
          <w:i/>
          <w:vertAlign w:val="subscript"/>
          <w:lang w:val="pt-BR"/>
        </w:rPr>
        <w:t xml:space="preserve"> q, r, p, i</w:t>
      </w:r>
      <w:r w:rsidRPr="0013396E">
        <w:rPr>
          <w:lang w:val="pt-BR"/>
        </w:rPr>
        <w:t xml:space="preserve"> =</w:t>
      </w:r>
      <w:r w:rsidRPr="0013396E">
        <w:rPr>
          <w:lang w:val="pt-BR"/>
        </w:rPr>
        <w:tab/>
      </w:r>
      <w:r w:rsidRPr="0013396E">
        <w:t xml:space="preserve">-1 * Min (PRZ1, RTSPP </w:t>
      </w:r>
      <w:r w:rsidRPr="0013396E">
        <w:rPr>
          <w:i/>
          <w:vertAlign w:val="subscript"/>
        </w:rPr>
        <w:t>p, i</w:t>
      </w:r>
      <w:r w:rsidRPr="0013396E">
        <w:t>) * Min (1, KP1) * OCONSM</w:t>
      </w:r>
      <w:r w:rsidRPr="0013396E">
        <w:rPr>
          <w:sz w:val="18"/>
          <w:szCs w:val="18"/>
          <w:vertAlign w:val="subscript"/>
        </w:rPr>
        <w:t xml:space="preserve"> </w:t>
      </w:r>
      <w:r w:rsidRPr="0013396E">
        <w:rPr>
          <w:i/>
          <w:vertAlign w:val="subscript"/>
        </w:rPr>
        <w:t>q, r, p, i</w:t>
      </w:r>
    </w:p>
    <w:p w14:paraId="28FBDF03" w14:textId="77777777" w:rsidR="005E0EE9" w:rsidRPr="0013396E" w:rsidRDefault="005E0EE9" w:rsidP="005E0EE9">
      <w:pPr>
        <w:pStyle w:val="FormulaBold"/>
        <w:rPr>
          <w:b w:val="0"/>
        </w:rPr>
      </w:pPr>
      <w:r w:rsidRPr="0013396E">
        <w:rPr>
          <w:b w:val="0"/>
        </w:rPr>
        <w:t>Where:</w:t>
      </w:r>
    </w:p>
    <w:p w14:paraId="61A746A3" w14:textId="77777777" w:rsidR="005E0EE9" w:rsidRPr="0013396E" w:rsidRDefault="005E0EE9" w:rsidP="005E0EE9">
      <w:pPr>
        <w:pStyle w:val="BodyTextNumbered"/>
        <w:ind w:firstLine="0"/>
        <w:rPr>
          <w:iCs/>
        </w:rPr>
      </w:pPr>
      <w:r w:rsidRPr="0013396E">
        <w:t>OCONSM</w:t>
      </w:r>
      <w:r w:rsidRPr="0013396E">
        <w:rPr>
          <w:i/>
          <w:iCs/>
          <w:vertAlign w:val="subscript"/>
          <w:lang w:val="es-ES"/>
        </w:rPr>
        <w:t xml:space="preserve"> q, r, p, i  </w:t>
      </w:r>
      <w:r w:rsidRPr="0013396E">
        <w:t xml:space="preserve"> = </w:t>
      </w:r>
      <w:r w:rsidRPr="0013396E">
        <w:rPr>
          <w:iCs/>
        </w:rPr>
        <w:t xml:space="preserve">Max [0, (ATPC </w:t>
      </w:r>
      <w:r w:rsidRPr="0013396E">
        <w:rPr>
          <w:i/>
          <w:vertAlign w:val="subscript"/>
          <w:lang w:val="es-ES"/>
        </w:rPr>
        <w:t>q, r, p, i</w:t>
      </w:r>
      <w:r w:rsidRPr="0013396E">
        <w:rPr>
          <w:iCs/>
        </w:rPr>
        <w:t xml:space="preserve"> - ¼* </w:t>
      </w:r>
      <w:r w:rsidRPr="0013396E">
        <w:t>Max (((1 + KLR1) * AASP</w:t>
      </w:r>
      <w:r w:rsidRPr="0013396E">
        <w:rPr>
          <w:i/>
          <w:iCs/>
          <w:vertAlign w:val="subscript"/>
          <w:lang w:val="es-ES"/>
        </w:rPr>
        <w:t xml:space="preserve"> q, r, p, i</w:t>
      </w:r>
      <w:r w:rsidRPr="0013396E">
        <w:rPr>
          <w:rFonts w:ascii="Times New Roman Bold" w:hAnsi="Times New Roman Bold"/>
          <w:iCs/>
          <w:lang w:val="es-ES"/>
        </w:rPr>
        <w:t>)</w:t>
      </w:r>
      <w:r w:rsidRPr="0013396E">
        <w:t>, (AASP</w:t>
      </w:r>
      <w:r w:rsidRPr="0013396E">
        <w:rPr>
          <w:i/>
          <w:iCs/>
          <w:vertAlign w:val="subscript"/>
          <w:lang w:val="es-ES"/>
        </w:rPr>
        <w:t xml:space="preserve"> q, r, p, i </w:t>
      </w:r>
      <w:r w:rsidRPr="0013396E">
        <w:t>+ QLR1)))</w:t>
      </w:r>
      <w:r w:rsidRPr="0013396E">
        <w:rPr>
          <w:iCs/>
        </w:rPr>
        <w:t>]</w:t>
      </w:r>
    </w:p>
    <w:p w14:paraId="694DBF2B" w14:textId="13882AAF" w:rsidR="005E0EE9" w:rsidRPr="0013396E" w:rsidRDefault="005E0EE9" w:rsidP="005E0EE9">
      <w:pPr>
        <w:pStyle w:val="BodyTextNumbered"/>
        <w:ind w:left="1440"/>
      </w:pPr>
      <w:r w:rsidRPr="0013396E">
        <w:t>ATPC</w:t>
      </w:r>
      <w:r w:rsidRPr="0013396E">
        <w:rPr>
          <w:i/>
          <w:vertAlign w:val="subscript"/>
        </w:rPr>
        <w:t xml:space="preserve"> q, r, p, i</w:t>
      </w:r>
      <w:r w:rsidRPr="0013396E">
        <w:rPr>
          <w:i/>
          <w:vertAlign w:val="subscript"/>
        </w:rPr>
        <w:tab/>
      </w:r>
      <w:r w:rsidRPr="0013396E">
        <w:t>=</w:t>
      </w:r>
      <w:r w:rsidRPr="0013396E">
        <w:rPr>
          <w:i/>
          <w:vertAlign w:val="subscript"/>
        </w:rPr>
        <w:t xml:space="preserve">      </w:t>
      </w:r>
      <w:r w:rsidRPr="0013396E">
        <w:t xml:space="preserve"> (</w:t>
      </w:r>
      <w:r w:rsidR="00457C20" w:rsidRPr="0013396E">
        <w:rPr>
          <w:position w:val="-22"/>
        </w:rPr>
        <w:object w:dxaOrig="210" w:dyaOrig="450" w14:anchorId="3EC9C379">
          <v:shape id="_x0000_i1154" type="#_x0000_t75" style="width:10.8pt;height:24pt" o:ole="">
            <v:imagedata r:id="rId178" o:title=""/>
          </v:shape>
          <o:OLEObject Type="Embed" ProgID="Equation.3" ShapeID="_x0000_i1154" DrawAspect="Content" ObjectID="_1849065785" r:id="rId187"/>
        </w:object>
      </w:r>
      <w:r w:rsidRPr="0013396E">
        <w:t xml:space="preserve"> (AVGTPC5M</w:t>
      </w:r>
      <w:r w:rsidRPr="0013396E">
        <w:rPr>
          <w:i/>
          <w:vertAlign w:val="subscript"/>
        </w:rPr>
        <w:t xml:space="preserve"> q, r, p,</w:t>
      </w:r>
      <w:r w:rsidRPr="0013396E">
        <w:rPr>
          <w:i/>
          <w:iCs/>
          <w:vertAlign w:val="subscript"/>
          <w:lang w:val="es-ES"/>
        </w:rPr>
        <w:t xml:space="preserve"> i, </w:t>
      </w:r>
      <w:r w:rsidRPr="0013396E">
        <w:rPr>
          <w:i/>
          <w:vertAlign w:val="subscript"/>
        </w:rPr>
        <w:t>y</w:t>
      </w:r>
      <w:r w:rsidRPr="0013396E">
        <w:t>) / 3) * ¼</w:t>
      </w:r>
    </w:p>
    <w:p w14:paraId="66ABBA4C" w14:textId="77777777" w:rsidR="005E0EE9" w:rsidRPr="0013396E" w:rsidRDefault="005E0EE9" w:rsidP="005E0EE9">
      <w:r w:rsidRPr="0013396E">
        <w:t>The above variables are defined as follows:</w:t>
      </w:r>
    </w:p>
    <w:tbl>
      <w:tblPr>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900"/>
        <w:gridCol w:w="6930"/>
        <w:gridCol w:w="12"/>
      </w:tblGrid>
      <w:tr w:rsidR="005E0EE9" w:rsidRPr="0013396E" w14:paraId="36B42356" w14:textId="77777777" w:rsidTr="0099759E">
        <w:tc>
          <w:tcPr>
            <w:tcW w:w="1975" w:type="dxa"/>
          </w:tcPr>
          <w:p w14:paraId="6516E21B" w14:textId="77777777" w:rsidR="005E0EE9" w:rsidRPr="0013396E" w:rsidRDefault="005E0EE9" w:rsidP="0099759E">
            <w:pPr>
              <w:pStyle w:val="TableHead"/>
              <w:rPr>
                <w:sz w:val="18"/>
                <w:szCs w:val="18"/>
              </w:rPr>
            </w:pPr>
            <w:r w:rsidRPr="0013396E">
              <w:rPr>
                <w:sz w:val="18"/>
                <w:szCs w:val="18"/>
              </w:rPr>
              <w:t>Variable</w:t>
            </w:r>
          </w:p>
        </w:tc>
        <w:tc>
          <w:tcPr>
            <w:tcW w:w="900" w:type="dxa"/>
          </w:tcPr>
          <w:p w14:paraId="39ED003F" w14:textId="77777777" w:rsidR="005E0EE9" w:rsidRPr="0013396E" w:rsidRDefault="005E0EE9" w:rsidP="0099759E">
            <w:pPr>
              <w:pStyle w:val="TableHead"/>
              <w:rPr>
                <w:sz w:val="18"/>
                <w:szCs w:val="18"/>
              </w:rPr>
            </w:pPr>
            <w:r w:rsidRPr="0013396E">
              <w:rPr>
                <w:sz w:val="18"/>
                <w:szCs w:val="18"/>
              </w:rPr>
              <w:t>Unit</w:t>
            </w:r>
          </w:p>
        </w:tc>
        <w:tc>
          <w:tcPr>
            <w:tcW w:w="6942" w:type="dxa"/>
            <w:gridSpan w:val="2"/>
          </w:tcPr>
          <w:p w14:paraId="542F53F1" w14:textId="77777777" w:rsidR="005E0EE9" w:rsidRPr="0013396E" w:rsidRDefault="005E0EE9" w:rsidP="0099759E">
            <w:pPr>
              <w:pStyle w:val="TableHead"/>
              <w:rPr>
                <w:sz w:val="18"/>
                <w:szCs w:val="18"/>
              </w:rPr>
            </w:pPr>
            <w:r w:rsidRPr="0013396E">
              <w:rPr>
                <w:sz w:val="18"/>
                <w:szCs w:val="18"/>
              </w:rPr>
              <w:t>Definition</w:t>
            </w:r>
          </w:p>
        </w:tc>
      </w:tr>
      <w:tr w:rsidR="005E0EE9" w:rsidRPr="0013396E" w14:paraId="5592E0B1" w14:textId="77777777" w:rsidTr="0099759E">
        <w:trPr>
          <w:cantSplit/>
        </w:trPr>
        <w:tc>
          <w:tcPr>
            <w:tcW w:w="1975" w:type="dxa"/>
          </w:tcPr>
          <w:p w14:paraId="37BC6B77" w14:textId="77777777" w:rsidR="005E0EE9" w:rsidRPr="0013396E" w:rsidRDefault="005E0EE9" w:rsidP="0099759E">
            <w:pPr>
              <w:pStyle w:val="TableBody"/>
            </w:pPr>
            <w:r w:rsidRPr="0013396E">
              <w:t xml:space="preserve">SPDAMT </w:t>
            </w:r>
            <w:r w:rsidRPr="0013396E">
              <w:rPr>
                <w:i/>
                <w:vertAlign w:val="subscript"/>
              </w:rPr>
              <w:t>q, r, p, i</w:t>
            </w:r>
          </w:p>
        </w:tc>
        <w:tc>
          <w:tcPr>
            <w:tcW w:w="900" w:type="dxa"/>
          </w:tcPr>
          <w:p w14:paraId="52738A2C" w14:textId="77777777" w:rsidR="005E0EE9" w:rsidRPr="0013396E" w:rsidRDefault="005E0EE9" w:rsidP="0099759E">
            <w:pPr>
              <w:pStyle w:val="TableBody"/>
            </w:pPr>
            <w:r w:rsidRPr="0013396E">
              <w:t>$</w:t>
            </w:r>
          </w:p>
        </w:tc>
        <w:tc>
          <w:tcPr>
            <w:tcW w:w="6942" w:type="dxa"/>
            <w:gridSpan w:val="2"/>
          </w:tcPr>
          <w:p w14:paraId="3588A0F0" w14:textId="77777777" w:rsidR="005E0EE9" w:rsidRPr="0013396E" w:rsidRDefault="005E0EE9"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Controllable Load Resource </w:t>
            </w:r>
            <w:r w:rsidRPr="0013396E">
              <w:rPr>
                <w:i/>
              </w:rPr>
              <w:t>r</w:t>
            </w:r>
            <w:r w:rsidRPr="0013396E">
              <w:t xml:space="preserve"> at Settlement Point </w:t>
            </w:r>
            <w:r w:rsidRPr="0013396E">
              <w:rPr>
                <w:i/>
              </w:rPr>
              <w:t>p</w:t>
            </w:r>
            <w:r w:rsidRPr="0013396E">
              <w:t xml:space="preserve">, for its deviation from AASP, for the 15-minute Settlement Interval </w:t>
            </w:r>
            <w:r w:rsidRPr="0013396E">
              <w:rPr>
                <w:i/>
              </w:rPr>
              <w:t>i</w:t>
            </w:r>
            <w:r w:rsidRPr="0013396E">
              <w:t>.</w:t>
            </w:r>
          </w:p>
        </w:tc>
      </w:tr>
      <w:tr w:rsidR="005E0EE9" w:rsidRPr="0013396E" w14:paraId="43B05FD8" w14:textId="77777777" w:rsidTr="0099759E">
        <w:trPr>
          <w:cantSplit/>
        </w:trPr>
        <w:tc>
          <w:tcPr>
            <w:tcW w:w="1975" w:type="dxa"/>
          </w:tcPr>
          <w:p w14:paraId="7EC2C768" w14:textId="77777777" w:rsidR="005E0EE9" w:rsidRPr="0013396E" w:rsidRDefault="005E0EE9" w:rsidP="0099759E">
            <w:pPr>
              <w:pStyle w:val="TableBody"/>
            </w:pPr>
            <w:r w:rsidRPr="0013396E">
              <w:t xml:space="preserve">RTSPP </w:t>
            </w:r>
            <w:r w:rsidRPr="0013396E">
              <w:rPr>
                <w:i/>
                <w:vertAlign w:val="subscript"/>
              </w:rPr>
              <w:t>p, i</w:t>
            </w:r>
          </w:p>
        </w:tc>
        <w:tc>
          <w:tcPr>
            <w:tcW w:w="900" w:type="dxa"/>
          </w:tcPr>
          <w:p w14:paraId="1168CA35" w14:textId="77777777" w:rsidR="005E0EE9" w:rsidRPr="0013396E" w:rsidRDefault="005E0EE9" w:rsidP="0099759E">
            <w:pPr>
              <w:pStyle w:val="TableBody"/>
            </w:pPr>
            <w:r w:rsidRPr="0013396E">
              <w:t>$/MWh</w:t>
            </w:r>
          </w:p>
        </w:tc>
        <w:tc>
          <w:tcPr>
            <w:tcW w:w="6942" w:type="dxa"/>
            <w:gridSpan w:val="2"/>
          </w:tcPr>
          <w:p w14:paraId="7C221C9B" w14:textId="77777777" w:rsidR="005E0EE9" w:rsidRPr="0013396E" w:rsidRDefault="005E0EE9" w:rsidP="0099759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5E0EE9" w:rsidRPr="0013396E" w14:paraId="6F247549" w14:textId="77777777" w:rsidTr="0099759E">
        <w:trPr>
          <w:gridAfter w:val="1"/>
          <w:wAfter w:w="12" w:type="dxa"/>
          <w:cantSplit/>
        </w:trPr>
        <w:tc>
          <w:tcPr>
            <w:tcW w:w="1975" w:type="dxa"/>
          </w:tcPr>
          <w:p w14:paraId="6059ACEB" w14:textId="77777777" w:rsidR="005E0EE9" w:rsidRPr="0013396E" w:rsidRDefault="005E0EE9" w:rsidP="0099759E">
            <w:pPr>
              <w:pStyle w:val="TableBody"/>
            </w:pPr>
            <w:r w:rsidRPr="0013396E">
              <w:t xml:space="preserve">ATPC </w:t>
            </w:r>
            <w:r w:rsidRPr="0013396E">
              <w:rPr>
                <w:i/>
                <w:vertAlign w:val="subscript"/>
              </w:rPr>
              <w:t>q, r, p, i</w:t>
            </w:r>
          </w:p>
        </w:tc>
        <w:tc>
          <w:tcPr>
            <w:tcW w:w="900" w:type="dxa"/>
          </w:tcPr>
          <w:p w14:paraId="6B4BB033" w14:textId="77777777" w:rsidR="005E0EE9" w:rsidRPr="0013396E" w:rsidRDefault="005E0EE9" w:rsidP="0099759E">
            <w:pPr>
              <w:pStyle w:val="TableBody"/>
            </w:pPr>
            <w:r w:rsidRPr="0013396E">
              <w:t>MWh</w:t>
            </w:r>
          </w:p>
        </w:tc>
        <w:tc>
          <w:tcPr>
            <w:tcW w:w="6930" w:type="dxa"/>
          </w:tcPr>
          <w:p w14:paraId="51B385E5" w14:textId="77777777" w:rsidR="005E0EE9" w:rsidRPr="0013396E" w:rsidRDefault="005E0EE9" w:rsidP="0099759E">
            <w:pPr>
              <w:pStyle w:val="TableBody"/>
              <w:rPr>
                <w:i/>
              </w:rPr>
            </w:pPr>
            <w:r w:rsidRPr="0013396E">
              <w:rPr>
                <w:i/>
              </w:rPr>
              <w:t>Average Telemetered Power Consumption per QSE per Settlement Point per Controllable Load Resource</w:t>
            </w:r>
            <w:r w:rsidRPr="0013396E">
              <w:t xml:space="preserve">—The average telemetered power consumption of the Controllable Load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 </w:t>
            </w:r>
            <w:r w:rsidRPr="0013396E">
              <w:rPr>
                <w:i/>
              </w:rPr>
              <w:t>i.</w:t>
            </w:r>
          </w:p>
        </w:tc>
      </w:tr>
      <w:tr w:rsidR="005E0EE9" w:rsidRPr="0013396E" w14:paraId="7B79122B" w14:textId="77777777" w:rsidTr="0099759E">
        <w:trPr>
          <w:gridAfter w:val="1"/>
          <w:wAfter w:w="12" w:type="dxa"/>
          <w:cantSplit/>
        </w:trPr>
        <w:tc>
          <w:tcPr>
            <w:tcW w:w="1975" w:type="dxa"/>
          </w:tcPr>
          <w:p w14:paraId="64B45C37" w14:textId="77777777" w:rsidR="005E0EE9" w:rsidRPr="0013396E" w:rsidRDefault="005E0EE9" w:rsidP="0099759E">
            <w:pPr>
              <w:pStyle w:val="TableBody"/>
            </w:pPr>
            <w:r w:rsidRPr="0013396E">
              <w:t xml:space="preserve">AASP </w:t>
            </w:r>
            <w:r w:rsidRPr="0013396E">
              <w:rPr>
                <w:i/>
                <w:vertAlign w:val="subscript"/>
              </w:rPr>
              <w:t>q, r, p, i</w:t>
            </w:r>
          </w:p>
        </w:tc>
        <w:tc>
          <w:tcPr>
            <w:tcW w:w="900" w:type="dxa"/>
          </w:tcPr>
          <w:p w14:paraId="76429CFE" w14:textId="77777777" w:rsidR="005E0EE9" w:rsidRPr="0013396E" w:rsidRDefault="005E0EE9" w:rsidP="0099759E">
            <w:pPr>
              <w:pStyle w:val="TableBody"/>
            </w:pPr>
            <w:r w:rsidRPr="0013396E">
              <w:t>MW</w:t>
            </w:r>
          </w:p>
        </w:tc>
        <w:tc>
          <w:tcPr>
            <w:tcW w:w="6930" w:type="dxa"/>
          </w:tcPr>
          <w:p w14:paraId="748DB581" w14:textId="77777777" w:rsidR="005E0EE9" w:rsidRPr="0013396E" w:rsidRDefault="005E0EE9" w:rsidP="0099759E">
            <w:pPr>
              <w:pStyle w:val="TableBody"/>
              <w:rPr>
                <w:i/>
              </w:rPr>
            </w:pPr>
            <w:r w:rsidRPr="0013396E">
              <w:rPr>
                <w:i/>
              </w:rPr>
              <w:t>Average Aggregated Set Point for the Resource per QSE per Settlement Point per Resource</w:t>
            </w:r>
            <w:r w:rsidRPr="0013396E">
              <w:t xml:space="preserve">—The </w:t>
            </w:r>
            <w:r w:rsidRPr="0013396E">
              <w:rPr>
                <w:iCs w:val="0"/>
              </w:rPr>
              <w:t>average of the Average Five Minute Clock Interval Set Point (AVGSP5M)</w:t>
            </w:r>
            <w:r w:rsidRPr="0013396E">
              <w:t xml:space="preserve"> of Resource </w:t>
            </w:r>
            <w:r w:rsidRPr="0013396E">
              <w:rPr>
                <w:i/>
              </w:rPr>
              <w:t>r</w:t>
            </w:r>
            <w:r w:rsidRPr="0013396E">
              <w:t xml:space="preserve"> represented by QSE </w:t>
            </w:r>
            <w:r w:rsidRPr="0013396E">
              <w:rPr>
                <w:i/>
              </w:rPr>
              <w:t xml:space="preserve">q </w:t>
            </w:r>
            <w:r w:rsidRPr="0013396E">
              <w:t xml:space="preserve">at Settlement Point </w:t>
            </w:r>
            <w:r w:rsidRPr="0013396E">
              <w:rPr>
                <w:i/>
              </w:rPr>
              <w:t>p</w:t>
            </w:r>
            <w:r w:rsidRPr="0013396E">
              <w:t xml:space="preserve">, for the 15-minute Settlement Interval </w:t>
            </w:r>
            <w:r w:rsidRPr="0013396E">
              <w:rPr>
                <w:i/>
              </w:rPr>
              <w:t>i</w:t>
            </w:r>
            <w:r w:rsidRPr="0013396E">
              <w:t xml:space="preserve">.  </w:t>
            </w:r>
          </w:p>
        </w:tc>
      </w:tr>
      <w:tr w:rsidR="005E0EE9" w:rsidRPr="0013396E" w14:paraId="219A045B" w14:textId="77777777" w:rsidTr="0099759E">
        <w:trPr>
          <w:cantSplit/>
        </w:trPr>
        <w:tc>
          <w:tcPr>
            <w:tcW w:w="1975" w:type="dxa"/>
          </w:tcPr>
          <w:p w14:paraId="6EBAE2A5" w14:textId="77777777" w:rsidR="005E0EE9" w:rsidRPr="0013396E" w:rsidRDefault="005E0EE9" w:rsidP="0099759E">
            <w:pPr>
              <w:pStyle w:val="TableBody"/>
            </w:pPr>
            <w:r w:rsidRPr="0013396E">
              <w:t>AVGTPC5M</w:t>
            </w:r>
            <w:r w:rsidRPr="0013396E">
              <w:rPr>
                <w:i/>
                <w:vertAlign w:val="subscript"/>
                <w:lang w:val="fr-FR"/>
              </w:rPr>
              <w:t xml:space="preserve"> q, r, p, i, y</w:t>
            </w:r>
          </w:p>
        </w:tc>
        <w:tc>
          <w:tcPr>
            <w:tcW w:w="900" w:type="dxa"/>
          </w:tcPr>
          <w:p w14:paraId="1295CADB" w14:textId="77777777" w:rsidR="005E0EE9" w:rsidRPr="0013396E" w:rsidRDefault="005E0EE9" w:rsidP="0099759E">
            <w:pPr>
              <w:pStyle w:val="TableBody"/>
            </w:pPr>
            <w:r w:rsidRPr="0013396E">
              <w:t>MW</w:t>
            </w:r>
          </w:p>
        </w:tc>
        <w:tc>
          <w:tcPr>
            <w:tcW w:w="6942" w:type="dxa"/>
            <w:gridSpan w:val="2"/>
          </w:tcPr>
          <w:p w14:paraId="1793F13A" w14:textId="77777777" w:rsidR="005E0EE9" w:rsidRPr="0013396E" w:rsidRDefault="005E0EE9" w:rsidP="0099759E">
            <w:pPr>
              <w:pStyle w:val="TableBody"/>
            </w:pPr>
            <w:r w:rsidRPr="0013396E">
              <w:rPr>
                <w:i/>
              </w:rPr>
              <w:t>Average Telemetered Power Consumption for the 5 Minutes</w:t>
            </w:r>
            <w:r w:rsidRPr="0013396E">
              <w:t xml:space="preserve">—The average telemetered  power consumption of Controllable Load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5E0EE9" w:rsidRPr="0013396E" w14:paraId="1664FFB1" w14:textId="77777777" w:rsidTr="0099759E">
        <w:trPr>
          <w:cantSplit/>
        </w:trPr>
        <w:tc>
          <w:tcPr>
            <w:tcW w:w="1975" w:type="dxa"/>
          </w:tcPr>
          <w:p w14:paraId="2CA5D912" w14:textId="77777777" w:rsidR="005E0EE9" w:rsidRPr="0013396E" w:rsidRDefault="005E0EE9" w:rsidP="0099759E">
            <w:pPr>
              <w:pStyle w:val="TableBody"/>
            </w:pPr>
            <w:r w:rsidRPr="0013396E">
              <w:t xml:space="preserve">OCONSM </w:t>
            </w:r>
            <w:r w:rsidRPr="0013396E">
              <w:rPr>
                <w:i/>
                <w:vertAlign w:val="subscript"/>
              </w:rPr>
              <w:t>q, r, p, i</w:t>
            </w:r>
          </w:p>
        </w:tc>
        <w:tc>
          <w:tcPr>
            <w:tcW w:w="900" w:type="dxa"/>
          </w:tcPr>
          <w:p w14:paraId="71856259" w14:textId="77777777" w:rsidR="005E0EE9" w:rsidRPr="0013396E" w:rsidRDefault="005E0EE9" w:rsidP="0099759E">
            <w:pPr>
              <w:pStyle w:val="TableBody"/>
            </w:pPr>
            <w:r w:rsidRPr="0013396E">
              <w:t>MWh</w:t>
            </w:r>
          </w:p>
        </w:tc>
        <w:tc>
          <w:tcPr>
            <w:tcW w:w="6942" w:type="dxa"/>
            <w:gridSpan w:val="2"/>
          </w:tcPr>
          <w:p w14:paraId="251AF63B" w14:textId="77777777" w:rsidR="005E0EE9" w:rsidRPr="0013396E" w:rsidRDefault="005E0EE9" w:rsidP="0099759E">
            <w:pPr>
              <w:pStyle w:val="TableBody"/>
            </w:pPr>
            <w:r w:rsidRPr="0013396E">
              <w:rPr>
                <w:i/>
              </w:rPr>
              <w:t>Over-Consumption Volumes per QSE per Settlement Point per Controllable Load Resource</w:t>
            </w:r>
            <w:r w:rsidRPr="0013396E">
              <w:t xml:space="preserve">—The amount over-consumed by the Controllable Load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 </w:t>
            </w:r>
            <w:r w:rsidRPr="0013396E">
              <w:rPr>
                <w:i/>
              </w:rPr>
              <w:t>i</w:t>
            </w:r>
            <w:r w:rsidRPr="0013396E">
              <w:t>.</w:t>
            </w:r>
          </w:p>
        </w:tc>
      </w:tr>
      <w:tr w:rsidR="005E0EE9" w:rsidRPr="0013396E" w14:paraId="4B0BF418" w14:textId="77777777" w:rsidTr="0099759E">
        <w:trPr>
          <w:cantSplit/>
        </w:trPr>
        <w:tc>
          <w:tcPr>
            <w:tcW w:w="1975" w:type="dxa"/>
          </w:tcPr>
          <w:p w14:paraId="3BB1DD00" w14:textId="77777777" w:rsidR="005E0EE9" w:rsidRPr="0013396E" w:rsidRDefault="005E0EE9" w:rsidP="0099759E">
            <w:pPr>
              <w:pStyle w:val="TableBody"/>
            </w:pPr>
            <w:r w:rsidRPr="0013396E">
              <w:lastRenderedPageBreak/>
              <w:t>KP1</w:t>
            </w:r>
          </w:p>
        </w:tc>
        <w:tc>
          <w:tcPr>
            <w:tcW w:w="900" w:type="dxa"/>
          </w:tcPr>
          <w:p w14:paraId="31782F94" w14:textId="77777777" w:rsidR="005E0EE9" w:rsidRPr="0013396E" w:rsidRDefault="005E0EE9" w:rsidP="0099759E">
            <w:pPr>
              <w:pStyle w:val="TableBody"/>
            </w:pPr>
            <w:r w:rsidRPr="0013396E">
              <w:t>none</w:t>
            </w:r>
          </w:p>
        </w:tc>
        <w:tc>
          <w:tcPr>
            <w:tcW w:w="6942" w:type="dxa"/>
            <w:gridSpan w:val="2"/>
          </w:tcPr>
          <w:p w14:paraId="6AC60DCA" w14:textId="77777777" w:rsidR="005E0EE9" w:rsidRPr="0013396E" w:rsidRDefault="005E0EE9" w:rsidP="0099759E">
            <w:pPr>
              <w:pStyle w:val="TableBody"/>
            </w:pPr>
            <w:r w:rsidRPr="0013396E">
              <w:t>The coefficient applied to the Settlement Point Price for over-consumption charge, 1.0.</w:t>
            </w:r>
          </w:p>
        </w:tc>
      </w:tr>
      <w:tr w:rsidR="005E0EE9" w:rsidRPr="0013396E" w14:paraId="49A409B4" w14:textId="77777777" w:rsidTr="0099759E">
        <w:trPr>
          <w:cantSplit/>
        </w:trPr>
        <w:tc>
          <w:tcPr>
            <w:tcW w:w="1975" w:type="dxa"/>
          </w:tcPr>
          <w:p w14:paraId="24A02459" w14:textId="77777777" w:rsidR="005E0EE9" w:rsidRPr="0013396E" w:rsidRDefault="005E0EE9" w:rsidP="0099759E">
            <w:pPr>
              <w:pStyle w:val="TableBody"/>
            </w:pPr>
            <w:r w:rsidRPr="0013396E">
              <w:t>PRZ1</w:t>
            </w:r>
          </w:p>
        </w:tc>
        <w:tc>
          <w:tcPr>
            <w:tcW w:w="900" w:type="dxa"/>
          </w:tcPr>
          <w:p w14:paraId="2E9F25D4" w14:textId="77777777" w:rsidR="005E0EE9" w:rsidRPr="0013396E" w:rsidRDefault="005E0EE9" w:rsidP="0099759E">
            <w:pPr>
              <w:pStyle w:val="TableBody"/>
            </w:pPr>
            <w:r w:rsidRPr="0013396E">
              <w:t>$/MWh</w:t>
            </w:r>
          </w:p>
        </w:tc>
        <w:tc>
          <w:tcPr>
            <w:tcW w:w="6942" w:type="dxa"/>
            <w:gridSpan w:val="2"/>
          </w:tcPr>
          <w:p w14:paraId="2A7AF209" w14:textId="77777777" w:rsidR="005E0EE9" w:rsidRPr="0013396E" w:rsidRDefault="005E0EE9" w:rsidP="0099759E">
            <w:pPr>
              <w:pStyle w:val="TableBody"/>
            </w:pPr>
            <w:r w:rsidRPr="0013396E">
              <w:t xml:space="preserve">The price to use for the charge calculation when RTSPP is greater than -$20, -$20/MWh.  </w:t>
            </w:r>
          </w:p>
        </w:tc>
      </w:tr>
      <w:tr w:rsidR="005E0EE9" w:rsidRPr="0013396E" w14:paraId="63CC71FC" w14:textId="77777777" w:rsidTr="0099759E">
        <w:trPr>
          <w:cantSplit/>
        </w:trPr>
        <w:tc>
          <w:tcPr>
            <w:tcW w:w="1975" w:type="dxa"/>
          </w:tcPr>
          <w:p w14:paraId="35150E57" w14:textId="77777777" w:rsidR="005E0EE9" w:rsidRPr="0013396E" w:rsidRDefault="005E0EE9" w:rsidP="0099759E">
            <w:pPr>
              <w:pStyle w:val="TableBody"/>
            </w:pPr>
            <w:r w:rsidRPr="0013396E">
              <w:t>KLR1</w:t>
            </w:r>
          </w:p>
        </w:tc>
        <w:tc>
          <w:tcPr>
            <w:tcW w:w="900" w:type="dxa"/>
          </w:tcPr>
          <w:p w14:paraId="03D3F22E" w14:textId="77777777" w:rsidR="005E0EE9" w:rsidRPr="0013396E" w:rsidRDefault="005E0EE9" w:rsidP="0099759E">
            <w:pPr>
              <w:pStyle w:val="TableBody"/>
            </w:pPr>
            <w:r w:rsidRPr="0013396E">
              <w:t>none</w:t>
            </w:r>
          </w:p>
        </w:tc>
        <w:tc>
          <w:tcPr>
            <w:tcW w:w="6942" w:type="dxa"/>
            <w:gridSpan w:val="2"/>
          </w:tcPr>
          <w:p w14:paraId="74FE88A1" w14:textId="77777777" w:rsidR="005E0EE9" w:rsidRPr="0013396E" w:rsidRDefault="005E0EE9" w:rsidP="0099759E">
            <w:pPr>
              <w:pStyle w:val="TableBody"/>
            </w:pPr>
            <w:r w:rsidRPr="0013396E">
              <w:t>The percentage tolerance for over-consumption of a Controllable Load Resource, XO%.</w:t>
            </w:r>
          </w:p>
        </w:tc>
      </w:tr>
      <w:tr w:rsidR="005E0EE9" w:rsidRPr="0013396E" w14:paraId="13903566" w14:textId="77777777" w:rsidTr="0099759E">
        <w:trPr>
          <w:cantSplit/>
        </w:trPr>
        <w:tc>
          <w:tcPr>
            <w:tcW w:w="1975" w:type="dxa"/>
          </w:tcPr>
          <w:p w14:paraId="353DC729" w14:textId="77777777" w:rsidR="005E0EE9" w:rsidRPr="0013396E" w:rsidRDefault="005E0EE9" w:rsidP="0099759E">
            <w:pPr>
              <w:pStyle w:val="TableBody"/>
              <w:rPr>
                <w:i/>
              </w:rPr>
            </w:pPr>
            <w:r w:rsidRPr="0013396E">
              <w:t>QLR1</w:t>
            </w:r>
          </w:p>
        </w:tc>
        <w:tc>
          <w:tcPr>
            <w:tcW w:w="900" w:type="dxa"/>
          </w:tcPr>
          <w:p w14:paraId="1E0E37FA" w14:textId="77777777" w:rsidR="005E0EE9" w:rsidRPr="0013396E" w:rsidRDefault="005E0EE9" w:rsidP="0099759E">
            <w:pPr>
              <w:pStyle w:val="TableBody"/>
            </w:pPr>
            <w:r w:rsidRPr="0013396E">
              <w:t>MW</w:t>
            </w:r>
          </w:p>
        </w:tc>
        <w:tc>
          <w:tcPr>
            <w:tcW w:w="6942" w:type="dxa"/>
            <w:gridSpan w:val="2"/>
          </w:tcPr>
          <w:p w14:paraId="2286419F" w14:textId="77777777" w:rsidR="005E0EE9" w:rsidRPr="0013396E" w:rsidRDefault="005E0EE9" w:rsidP="0099759E">
            <w:pPr>
              <w:pStyle w:val="TableBody"/>
            </w:pPr>
            <w:r w:rsidRPr="0013396E">
              <w:t>The MW tolerance for over-consumption of a Controllable Load Resource, YO MW.</w:t>
            </w:r>
          </w:p>
        </w:tc>
      </w:tr>
      <w:tr w:rsidR="005E0EE9" w:rsidRPr="0013396E" w14:paraId="63971712" w14:textId="77777777" w:rsidTr="0099759E">
        <w:trPr>
          <w:cantSplit/>
        </w:trPr>
        <w:tc>
          <w:tcPr>
            <w:tcW w:w="1975" w:type="dxa"/>
          </w:tcPr>
          <w:p w14:paraId="1E5D4C38" w14:textId="77777777" w:rsidR="005E0EE9" w:rsidRPr="0013396E" w:rsidRDefault="005E0EE9" w:rsidP="0099759E">
            <w:pPr>
              <w:pStyle w:val="TableBody"/>
              <w:rPr>
                <w:i/>
              </w:rPr>
            </w:pPr>
            <w:r w:rsidRPr="0013396E">
              <w:rPr>
                <w:i/>
              </w:rPr>
              <w:t>q</w:t>
            </w:r>
          </w:p>
        </w:tc>
        <w:tc>
          <w:tcPr>
            <w:tcW w:w="900" w:type="dxa"/>
          </w:tcPr>
          <w:p w14:paraId="7C41C2BA" w14:textId="77777777" w:rsidR="005E0EE9" w:rsidRPr="0013396E" w:rsidRDefault="005E0EE9" w:rsidP="0099759E">
            <w:pPr>
              <w:pStyle w:val="TableBody"/>
            </w:pPr>
            <w:r w:rsidRPr="0013396E">
              <w:t>none</w:t>
            </w:r>
          </w:p>
        </w:tc>
        <w:tc>
          <w:tcPr>
            <w:tcW w:w="6942" w:type="dxa"/>
            <w:gridSpan w:val="2"/>
          </w:tcPr>
          <w:p w14:paraId="01D8573B" w14:textId="77777777" w:rsidR="005E0EE9" w:rsidRPr="0013396E" w:rsidRDefault="005E0EE9" w:rsidP="0099759E">
            <w:pPr>
              <w:pStyle w:val="TableBody"/>
            </w:pPr>
            <w:r w:rsidRPr="0013396E">
              <w:t>A QSE.</w:t>
            </w:r>
          </w:p>
        </w:tc>
      </w:tr>
      <w:tr w:rsidR="005E0EE9" w:rsidRPr="0013396E" w14:paraId="66A56A4A" w14:textId="77777777" w:rsidTr="0099759E">
        <w:trPr>
          <w:cantSplit/>
        </w:trPr>
        <w:tc>
          <w:tcPr>
            <w:tcW w:w="1975" w:type="dxa"/>
          </w:tcPr>
          <w:p w14:paraId="365D06ED" w14:textId="77777777" w:rsidR="005E0EE9" w:rsidRPr="0013396E" w:rsidRDefault="005E0EE9" w:rsidP="0099759E">
            <w:pPr>
              <w:pStyle w:val="TableBody"/>
              <w:rPr>
                <w:i/>
              </w:rPr>
            </w:pPr>
            <w:r w:rsidRPr="0013396E">
              <w:rPr>
                <w:i/>
              </w:rPr>
              <w:t>p</w:t>
            </w:r>
          </w:p>
        </w:tc>
        <w:tc>
          <w:tcPr>
            <w:tcW w:w="900" w:type="dxa"/>
          </w:tcPr>
          <w:p w14:paraId="29DF8678" w14:textId="77777777" w:rsidR="005E0EE9" w:rsidRPr="0013396E" w:rsidRDefault="005E0EE9" w:rsidP="0099759E">
            <w:pPr>
              <w:pStyle w:val="TableBody"/>
            </w:pPr>
            <w:r w:rsidRPr="0013396E">
              <w:t>none</w:t>
            </w:r>
          </w:p>
        </w:tc>
        <w:tc>
          <w:tcPr>
            <w:tcW w:w="6942" w:type="dxa"/>
            <w:gridSpan w:val="2"/>
          </w:tcPr>
          <w:p w14:paraId="7F36714C" w14:textId="77777777" w:rsidR="005E0EE9" w:rsidRPr="0013396E" w:rsidRDefault="005E0EE9" w:rsidP="0099759E">
            <w:pPr>
              <w:pStyle w:val="TableBody"/>
            </w:pPr>
            <w:r w:rsidRPr="0013396E">
              <w:t>A Settlement Point.</w:t>
            </w:r>
          </w:p>
        </w:tc>
      </w:tr>
      <w:tr w:rsidR="005E0EE9" w:rsidRPr="0013396E" w14:paraId="3F25A726" w14:textId="77777777" w:rsidTr="0099759E">
        <w:trPr>
          <w:cantSplit/>
        </w:trPr>
        <w:tc>
          <w:tcPr>
            <w:tcW w:w="1975" w:type="dxa"/>
          </w:tcPr>
          <w:p w14:paraId="72EB987C" w14:textId="77777777" w:rsidR="005E0EE9" w:rsidRPr="0013396E" w:rsidRDefault="005E0EE9" w:rsidP="0099759E">
            <w:pPr>
              <w:pStyle w:val="TableBody"/>
              <w:rPr>
                <w:i/>
              </w:rPr>
            </w:pPr>
            <w:r w:rsidRPr="0013396E">
              <w:rPr>
                <w:i/>
              </w:rPr>
              <w:t>r</w:t>
            </w:r>
          </w:p>
        </w:tc>
        <w:tc>
          <w:tcPr>
            <w:tcW w:w="900" w:type="dxa"/>
          </w:tcPr>
          <w:p w14:paraId="5345B3B3" w14:textId="77777777" w:rsidR="005E0EE9" w:rsidRPr="0013396E" w:rsidRDefault="005E0EE9" w:rsidP="0099759E">
            <w:pPr>
              <w:pStyle w:val="TableBody"/>
            </w:pPr>
            <w:r w:rsidRPr="0013396E">
              <w:t>none</w:t>
            </w:r>
          </w:p>
        </w:tc>
        <w:tc>
          <w:tcPr>
            <w:tcW w:w="6942" w:type="dxa"/>
            <w:gridSpan w:val="2"/>
          </w:tcPr>
          <w:p w14:paraId="340BAE2C" w14:textId="77777777" w:rsidR="005E0EE9" w:rsidRPr="0013396E" w:rsidRDefault="005E0EE9" w:rsidP="0099759E">
            <w:pPr>
              <w:pStyle w:val="TableBody"/>
            </w:pPr>
            <w:r w:rsidRPr="0013396E">
              <w:t>A Controllable Load Resource.</w:t>
            </w:r>
          </w:p>
        </w:tc>
      </w:tr>
      <w:tr w:rsidR="005E0EE9" w:rsidRPr="0013396E" w14:paraId="44D0A4A3" w14:textId="77777777" w:rsidTr="0099759E">
        <w:trPr>
          <w:cantSplit/>
          <w:trHeight w:val="152"/>
        </w:trPr>
        <w:tc>
          <w:tcPr>
            <w:tcW w:w="1975" w:type="dxa"/>
          </w:tcPr>
          <w:p w14:paraId="228A3C7E" w14:textId="77777777" w:rsidR="005E0EE9" w:rsidRPr="0013396E" w:rsidDel="00B33B6F" w:rsidRDefault="005E0EE9" w:rsidP="0099759E">
            <w:pPr>
              <w:pStyle w:val="TableBody"/>
              <w:rPr>
                <w:i/>
              </w:rPr>
            </w:pPr>
            <w:r w:rsidRPr="0013396E">
              <w:rPr>
                <w:i/>
              </w:rPr>
              <w:t>i</w:t>
            </w:r>
          </w:p>
        </w:tc>
        <w:tc>
          <w:tcPr>
            <w:tcW w:w="900" w:type="dxa"/>
          </w:tcPr>
          <w:p w14:paraId="2C3F5F87" w14:textId="77777777" w:rsidR="005E0EE9" w:rsidRPr="0013396E" w:rsidDel="00B33B6F" w:rsidRDefault="005E0EE9" w:rsidP="0099759E">
            <w:pPr>
              <w:pStyle w:val="TableBody"/>
            </w:pPr>
            <w:r w:rsidRPr="0013396E">
              <w:t>none</w:t>
            </w:r>
          </w:p>
        </w:tc>
        <w:tc>
          <w:tcPr>
            <w:tcW w:w="6942" w:type="dxa"/>
            <w:gridSpan w:val="2"/>
          </w:tcPr>
          <w:p w14:paraId="164088E6" w14:textId="77777777" w:rsidR="005E0EE9" w:rsidRPr="0013396E" w:rsidDel="00B33B6F" w:rsidRDefault="005E0EE9" w:rsidP="0099759E">
            <w:pPr>
              <w:pStyle w:val="TableBody"/>
            </w:pPr>
            <w:r w:rsidRPr="0013396E">
              <w:t>A 15-minute Settlement Interval.</w:t>
            </w:r>
          </w:p>
        </w:tc>
      </w:tr>
      <w:tr w:rsidR="005E0EE9" w:rsidRPr="0013396E" w14:paraId="746A4404" w14:textId="77777777" w:rsidTr="0099759E">
        <w:trPr>
          <w:cantSplit/>
          <w:trHeight w:val="152"/>
        </w:trPr>
        <w:tc>
          <w:tcPr>
            <w:tcW w:w="1975" w:type="dxa"/>
            <w:tcBorders>
              <w:top w:val="single" w:sz="4" w:space="0" w:color="auto"/>
              <w:left w:val="single" w:sz="4" w:space="0" w:color="auto"/>
              <w:bottom w:val="single" w:sz="4" w:space="0" w:color="auto"/>
              <w:right w:val="single" w:sz="4" w:space="0" w:color="auto"/>
            </w:tcBorders>
          </w:tcPr>
          <w:p w14:paraId="1348ED31" w14:textId="77777777" w:rsidR="005E0EE9" w:rsidRPr="0013396E" w:rsidRDefault="005E0EE9" w:rsidP="0099759E">
            <w:pPr>
              <w:pStyle w:val="TableBody"/>
              <w:rPr>
                <w:i/>
              </w:rPr>
            </w:pPr>
            <w:r w:rsidRPr="0013396E">
              <w:rPr>
                <w:i/>
              </w:rPr>
              <w:t>y</w:t>
            </w:r>
          </w:p>
        </w:tc>
        <w:tc>
          <w:tcPr>
            <w:tcW w:w="900" w:type="dxa"/>
            <w:tcBorders>
              <w:top w:val="single" w:sz="4" w:space="0" w:color="auto"/>
              <w:left w:val="single" w:sz="4" w:space="0" w:color="auto"/>
              <w:bottom w:val="single" w:sz="4" w:space="0" w:color="auto"/>
              <w:right w:val="single" w:sz="4" w:space="0" w:color="auto"/>
            </w:tcBorders>
          </w:tcPr>
          <w:p w14:paraId="6FC01A75" w14:textId="77777777" w:rsidR="005E0EE9" w:rsidRPr="0013396E" w:rsidRDefault="005E0EE9" w:rsidP="0099759E">
            <w:pPr>
              <w:pStyle w:val="TableBody"/>
            </w:pPr>
            <w:r w:rsidRPr="0013396E">
              <w:t>none</w:t>
            </w:r>
          </w:p>
        </w:tc>
        <w:tc>
          <w:tcPr>
            <w:tcW w:w="6942" w:type="dxa"/>
            <w:gridSpan w:val="2"/>
            <w:tcBorders>
              <w:top w:val="single" w:sz="4" w:space="0" w:color="auto"/>
              <w:left w:val="single" w:sz="4" w:space="0" w:color="auto"/>
              <w:bottom w:val="single" w:sz="4" w:space="0" w:color="auto"/>
              <w:right w:val="single" w:sz="4" w:space="0" w:color="auto"/>
            </w:tcBorders>
          </w:tcPr>
          <w:p w14:paraId="37C3FA68" w14:textId="77777777" w:rsidR="005E0EE9" w:rsidRPr="0013396E" w:rsidRDefault="005E0EE9" w:rsidP="0099759E">
            <w:pPr>
              <w:pStyle w:val="TableBody"/>
            </w:pPr>
            <w:r w:rsidRPr="0013396E">
              <w:t xml:space="preserve">A five-minute clock interval in the Settlement Interval. </w:t>
            </w:r>
          </w:p>
        </w:tc>
      </w:tr>
      <w:bookmarkEnd w:id="1777"/>
      <w:bookmarkEnd w:id="1778"/>
      <w:bookmarkEnd w:id="1779"/>
      <w:bookmarkEnd w:id="1780"/>
      <w:bookmarkEnd w:id="1781"/>
      <w:bookmarkEnd w:id="1782"/>
      <w:bookmarkEnd w:id="1783"/>
      <w:bookmarkEnd w:id="1784"/>
      <w:bookmarkEnd w:id="1785"/>
      <w:bookmarkEnd w:id="1786"/>
      <w:bookmarkEnd w:id="1787"/>
      <w:bookmarkEnd w:id="1788"/>
      <w:bookmarkEnd w:id="1789"/>
    </w:tbl>
    <w:p w14:paraId="5A771FA1" w14:textId="77777777" w:rsidR="00BE3301" w:rsidRPr="0013396E" w:rsidRDefault="00BE3301"/>
    <w:p w14:paraId="6250B2A8" w14:textId="77777777" w:rsidR="005E0EE9" w:rsidRPr="0013396E" w:rsidRDefault="005E0EE9" w:rsidP="005E0EE9">
      <w:pPr>
        <w:pStyle w:val="H4"/>
        <w:tabs>
          <w:tab w:val="clear" w:pos="1260"/>
          <w:tab w:val="left" w:pos="1620"/>
        </w:tabs>
        <w:ind w:left="1627" w:hanging="1627"/>
        <w:outlineLvl w:val="4"/>
      </w:pPr>
      <w:bookmarkStart w:id="1801" w:name="_Toc236220196"/>
      <w:bookmarkStart w:id="1802" w:name="_Toc402357154"/>
      <w:bookmarkStart w:id="1803" w:name="_Toc422486534"/>
      <w:bookmarkStart w:id="1804" w:name="_Toc433093387"/>
      <w:bookmarkStart w:id="1805" w:name="_Toc433093545"/>
      <w:bookmarkStart w:id="1806" w:name="_Toc440874775"/>
      <w:bookmarkStart w:id="1807" w:name="_Toc448142332"/>
      <w:bookmarkStart w:id="1808" w:name="_Toc448142489"/>
      <w:bookmarkStart w:id="1809" w:name="_Toc458770330"/>
      <w:bookmarkStart w:id="1810" w:name="_Toc459294298"/>
      <w:bookmarkStart w:id="1811" w:name="_Toc463262791"/>
      <w:bookmarkStart w:id="1812" w:name="_Toc468286864"/>
      <w:bookmarkStart w:id="1813" w:name="_Toc481502904"/>
      <w:bookmarkStart w:id="1814" w:name="_Toc496080072"/>
      <w:bookmarkStart w:id="1815" w:name="_Toc109009404"/>
      <w:r w:rsidRPr="0013396E">
        <w:t>6.6.5.3.1</w:t>
      </w:r>
      <w:r w:rsidRPr="0013396E">
        <w:tab/>
        <w:t>Controllable Load Resource Set Point Deviation Charge for Under Consumption</w:t>
      </w:r>
      <w:bookmarkEnd w:id="1801"/>
    </w:p>
    <w:p w14:paraId="4CE2D1C3" w14:textId="6BB22D53" w:rsidR="005E0EE9" w:rsidRPr="0013396E" w:rsidRDefault="005E0EE9" w:rsidP="005E0EE9">
      <w:pPr>
        <w:pStyle w:val="BodyTextNumbered"/>
      </w:pPr>
      <w:r w:rsidRPr="0013396E">
        <w:t>(1)</w:t>
      </w:r>
      <w:r w:rsidRPr="0013396E">
        <w:tab/>
        <w:t xml:space="preserve">ERCOT shall charge a QSE for a </w:t>
      </w:r>
      <w:r w:rsidR="00E01488">
        <w:t>CLR</w:t>
      </w:r>
      <w:r w:rsidRPr="0013396E">
        <w:t xml:space="preserve">, for under-consumption if the average telemetered power consumption is below than the lesser of: </w:t>
      </w:r>
    </w:p>
    <w:p w14:paraId="349613E9" w14:textId="77777777" w:rsidR="005E0EE9" w:rsidRPr="0013396E" w:rsidRDefault="005E0EE9" w:rsidP="005E0EE9">
      <w:pPr>
        <w:pStyle w:val="List"/>
      </w:pPr>
      <w:r w:rsidRPr="0013396E">
        <w:t>(a)</w:t>
      </w:r>
      <w:r w:rsidRPr="0013396E">
        <w:tab/>
        <w:t>[100-XU]% of the AASP in the Settlement Interval; or</w:t>
      </w:r>
    </w:p>
    <w:p w14:paraId="7C86A4F6" w14:textId="77777777" w:rsidR="005E0EE9" w:rsidRPr="0013396E" w:rsidRDefault="005E0EE9" w:rsidP="005E0EE9">
      <w:pPr>
        <w:pStyle w:val="List"/>
      </w:pPr>
      <w:r w:rsidRPr="0013396E">
        <w:t>(b)</w:t>
      </w:r>
      <w:r w:rsidRPr="0013396E">
        <w:tab/>
        <w:t>The AASP in the Settlement Interval minus YU MW.</w:t>
      </w:r>
    </w:p>
    <w:p w14:paraId="547370F8" w14:textId="5DE9DFDC" w:rsidR="005E0EE9" w:rsidRPr="0013396E" w:rsidRDefault="005E0EE9" w:rsidP="005E0EE9">
      <w:pPr>
        <w:pStyle w:val="BodyTextNumbered"/>
        <w:rPr>
          <w:iCs/>
        </w:rPr>
      </w:pPr>
      <w:r w:rsidRPr="0013396E">
        <w:rPr>
          <w:iCs/>
        </w:rPr>
        <w:t>(2)</w:t>
      </w:r>
      <w:r w:rsidRPr="0013396E">
        <w:rPr>
          <w:iCs/>
        </w:rPr>
        <w:tab/>
      </w:r>
      <w:r w:rsidRPr="0013396E">
        <w:t xml:space="preserve">The </w:t>
      </w:r>
      <w:r w:rsidR="00E01488">
        <w:t>CLR</w:t>
      </w:r>
      <w:r w:rsidRPr="0013396E">
        <w:t xml:space="preserve"> Set Point Deviation Charge for under-consumption variables XU and YU shall be subject to review and approval by TAC and shall be posted to the ERCOT website no later than three Business Days after TAC approval.</w:t>
      </w:r>
    </w:p>
    <w:p w14:paraId="6BC1C0D1" w14:textId="7F2F346C" w:rsidR="005E0EE9" w:rsidRPr="0013396E" w:rsidRDefault="005E0EE9" w:rsidP="005E0EE9">
      <w:pPr>
        <w:pStyle w:val="BodyTextNumbered"/>
        <w:rPr>
          <w:iCs/>
        </w:rPr>
      </w:pPr>
      <w:r w:rsidRPr="0013396E">
        <w:rPr>
          <w:iCs/>
        </w:rPr>
        <w:t>(3)</w:t>
      </w:r>
      <w:r w:rsidRPr="0013396E">
        <w:rPr>
          <w:iCs/>
        </w:rPr>
        <w:tab/>
        <w:t xml:space="preserve">The charge to each QSE for non-excused under-consumption of each </w:t>
      </w:r>
      <w:r w:rsidR="00E01488">
        <w:t>CLR</w:t>
      </w:r>
      <w:r w:rsidRPr="0013396E">
        <w:t xml:space="preserve">, </w:t>
      </w:r>
      <w:r w:rsidRPr="0013396E">
        <w:rPr>
          <w:iCs/>
        </w:rPr>
        <w:t>during a 15-minute Settlement Interval is calculated as follows:</w:t>
      </w:r>
    </w:p>
    <w:p w14:paraId="030F1342" w14:textId="77777777" w:rsidR="005E0EE9" w:rsidRPr="0013396E" w:rsidRDefault="005E0EE9" w:rsidP="005E0EE9">
      <w:pPr>
        <w:pStyle w:val="FormulaBold"/>
        <w:tabs>
          <w:tab w:val="left" w:pos="720"/>
        </w:tabs>
        <w:ind w:left="2880" w:hanging="2880"/>
        <w:rPr>
          <w:lang w:val="pt-BR"/>
        </w:rPr>
      </w:pPr>
      <w:r w:rsidRPr="0013396E">
        <w:rPr>
          <w:lang w:val="pt-BR"/>
        </w:rPr>
        <w:tab/>
        <w:t>SPDAMT</w:t>
      </w:r>
      <w:r w:rsidRPr="0013396E">
        <w:rPr>
          <w:i/>
          <w:vertAlign w:val="subscript"/>
          <w:lang w:val="pt-BR"/>
        </w:rPr>
        <w:t xml:space="preserve"> q, r, p, i</w:t>
      </w:r>
      <w:r w:rsidRPr="0013396E">
        <w:rPr>
          <w:lang w:val="pt-BR"/>
        </w:rPr>
        <w:t xml:space="preserve"> =</w:t>
      </w:r>
      <w:r w:rsidRPr="0013396E">
        <w:rPr>
          <w:lang w:val="pt-BR"/>
        </w:rPr>
        <w:tab/>
      </w:r>
      <w:r w:rsidRPr="0013396E">
        <w:t xml:space="preserve">Max (PRZ2, RTSPP </w:t>
      </w:r>
      <w:r w:rsidRPr="0013396E">
        <w:rPr>
          <w:i/>
          <w:vertAlign w:val="subscript"/>
        </w:rPr>
        <w:t>p, i</w:t>
      </w:r>
      <w:r w:rsidRPr="0013396E">
        <w:t>) * UCONSM</w:t>
      </w:r>
      <w:r w:rsidRPr="0013396E">
        <w:rPr>
          <w:sz w:val="18"/>
          <w:szCs w:val="18"/>
          <w:vertAlign w:val="subscript"/>
        </w:rPr>
        <w:t xml:space="preserve"> </w:t>
      </w:r>
      <w:r w:rsidRPr="0013396E">
        <w:rPr>
          <w:i/>
          <w:vertAlign w:val="subscript"/>
        </w:rPr>
        <w:t>q, r, p, i</w:t>
      </w:r>
    </w:p>
    <w:p w14:paraId="74626BDE" w14:textId="77777777" w:rsidR="005E0EE9" w:rsidRPr="0013396E" w:rsidRDefault="005E0EE9" w:rsidP="005E0EE9">
      <w:pPr>
        <w:pStyle w:val="FormulaBold"/>
        <w:rPr>
          <w:b w:val="0"/>
        </w:rPr>
      </w:pPr>
      <w:r w:rsidRPr="0013396E">
        <w:rPr>
          <w:b w:val="0"/>
        </w:rPr>
        <w:t>Where:</w:t>
      </w:r>
    </w:p>
    <w:p w14:paraId="7ED119E2" w14:textId="77777777" w:rsidR="005E0EE9" w:rsidRPr="0013396E" w:rsidRDefault="005E0EE9" w:rsidP="005E0EE9">
      <w:pPr>
        <w:pStyle w:val="BodyTextNumbered"/>
        <w:ind w:firstLine="0"/>
        <w:rPr>
          <w:iCs/>
        </w:rPr>
      </w:pPr>
      <w:r w:rsidRPr="0013396E">
        <w:t>UCONSM</w:t>
      </w:r>
      <w:r w:rsidRPr="0013396E">
        <w:rPr>
          <w:i/>
          <w:iCs/>
          <w:vertAlign w:val="subscript"/>
          <w:lang w:val="es-ES"/>
        </w:rPr>
        <w:t xml:space="preserve"> q, r, p, i  </w:t>
      </w:r>
      <w:r w:rsidRPr="0013396E">
        <w:t xml:space="preserve"> = </w:t>
      </w:r>
      <w:r w:rsidRPr="0013396E">
        <w:rPr>
          <w:iCs/>
        </w:rPr>
        <w:t>Max [0, [Min ((1 – KLR2) * ¼* AASP</w:t>
      </w:r>
      <w:r w:rsidRPr="0013396E">
        <w:rPr>
          <w:i/>
          <w:iCs/>
          <w:vertAlign w:val="subscript"/>
          <w:lang w:val="es-ES"/>
        </w:rPr>
        <w:t xml:space="preserve"> q, r, p, i </w:t>
      </w:r>
      <w:r w:rsidRPr="0013396E">
        <w:rPr>
          <w:iCs/>
        </w:rPr>
        <w:t>,</w:t>
      </w:r>
      <w:r w:rsidRPr="0013396E">
        <w:rPr>
          <w:i/>
          <w:iCs/>
          <w:vertAlign w:val="subscript"/>
          <w:lang w:val="es-ES"/>
        </w:rPr>
        <w:t xml:space="preserve"> </w:t>
      </w:r>
      <w:r w:rsidRPr="0013396E">
        <w:rPr>
          <w:iCs/>
          <w:lang w:val="es-MX"/>
        </w:rPr>
        <w:t>¼ * (AASP</w:t>
      </w:r>
      <w:r w:rsidRPr="0013396E">
        <w:rPr>
          <w:i/>
          <w:vertAlign w:val="subscript"/>
          <w:lang w:val="es-ES"/>
        </w:rPr>
        <w:t xml:space="preserve"> q, r, p, i</w:t>
      </w:r>
      <w:r w:rsidRPr="0013396E">
        <w:rPr>
          <w:iCs/>
        </w:rPr>
        <w:t xml:space="preserve"> – QLR2)) – ATPC </w:t>
      </w:r>
      <w:r w:rsidRPr="0013396E">
        <w:rPr>
          <w:i/>
          <w:vertAlign w:val="subscript"/>
          <w:lang w:val="es-ES"/>
        </w:rPr>
        <w:t>q, r, p, i</w:t>
      </w:r>
      <w:r w:rsidRPr="0013396E">
        <w:rPr>
          <w:iCs/>
        </w:rPr>
        <w:t>]]</w:t>
      </w:r>
    </w:p>
    <w:p w14:paraId="36DAFC25" w14:textId="77777777" w:rsidR="005E0EE9" w:rsidRPr="0013396E" w:rsidRDefault="005E0EE9" w:rsidP="005E0EE9">
      <w:pPr>
        <w:pStyle w:val="BodyTextNumbered"/>
        <w:ind w:left="1440"/>
      </w:pPr>
      <w:r w:rsidRPr="0013396E">
        <w:rPr>
          <w:iCs/>
        </w:rPr>
        <w:t>ATPC</w:t>
      </w:r>
      <w:r w:rsidRPr="0013396E">
        <w:rPr>
          <w:i/>
          <w:vertAlign w:val="subscript"/>
        </w:rPr>
        <w:t xml:space="preserve"> q, r, p, i</w:t>
      </w:r>
      <w:r w:rsidRPr="0013396E">
        <w:rPr>
          <w:i/>
          <w:vertAlign w:val="subscript"/>
        </w:rPr>
        <w:tab/>
        <w:t xml:space="preserve">=      </w:t>
      </w:r>
      <w:r w:rsidRPr="0013396E">
        <w:t xml:space="preserve"> (</w:t>
      </w:r>
      <w:r w:rsidRPr="0013396E">
        <w:rPr>
          <w:position w:val="-22"/>
        </w:rPr>
        <w:object w:dxaOrig="210" w:dyaOrig="450" w14:anchorId="5E93AC95">
          <v:shape id="_x0000_i1155" type="#_x0000_t75" style="width:6pt;height:24pt" o:ole="">
            <v:imagedata r:id="rId178" o:title=""/>
          </v:shape>
          <o:OLEObject Type="Embed" ProgID="Equation.3" ShapeID="_x0000_i1155" DrawAspect="Content" ObjectID="_1849065786" r:id="rId188"/>
        </w:object>
      </w:r>
      <w:r w:rsidRPr="0013396E">
        <w:t xml:space="preserve"> (AVGTPC5M</w:t>
      </w:r>
      <w:r w:rsidRPr="0013396E">
        <w:rPr>
          <w:i/>
          <w:vertAlign w:val="subscript"/>
        </w:rPr>
        <w:t xml:space="preserve"> q, r, p,</w:t>
      </w:r>
      <w:r w:rsidRPr="0013396E">
        <w:rPr>
          <w:i/>
          <w:iCs/>
          <w:vertAlign w:val="subscript"/>
          <w:lang w:val="es-ES"/>
        </w:rPr>
        <w:t xml:space="preserve"> i, </w:t>
      </w:r>
      <w:r w:rsidRPr="0013396E">
        <w:rPr>
          <w:i/>
          <w:vertAlign w:val="subscript"/>
        </w:rPr>
        <w:t>y</w:t>
      </w:r>
      <w:r w:rsidRPr="0013396E">
        <w:t>) / 3) * ¼</w:t>
      </w:r>
    </w:p>
    <w:p w14:paraId="0A07F9D3" w14:textId="77777777" w:rsidR="005E0EE9" w:rsidRPr="0013396E" w:rsidRDefault="005E0EE9" w:rsidP="005E0EE9">
      <w:r w:rsidRPr="0013396E">
        <w:t>The above variables are defined as follows:</w:t>
      </w:r>
    </w:p>
    <w:tbl>
      <w:tblPr>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900"/>
        <w:gridCol w:w="6930"/>
        <w:gridCol w:w="12"/>
      </w:tblGrid>
      <w:tr w:rsidR="005E0EE9" w:rsidRPr="0013396E" w14:paraId="03870A6B" w14:textId="77777777" w:rsidTr="0099759E">
        <w:tc>
          <w:tcPr>
            <w:tcW w:w="1975" w:type="dxa"/>
          </w:tcPr>
          <w:p w14:paraId="6F07DA15" w14:textId="77777777" w:rsidR="005E0EE9" w:rsidRPr="0013396E" w:rsidRDefault="005E0EE9" w:rsidP="0099759E">
            <w:pPr>
              <w:pStyle w:val="TableHead"/>
            </w:pPr>
            <w:r w:rsidRPr="0013396E">
              <w:t>Variable</w:t>
            </w:r>
          </w:p>
        </w:tc>
        <w:tc>
          <w:tcPr>
            <w:tcW w:w="900" w:type="dxa"/>
          </w:tcPr>
          <w:p w14:paraId="1B464DF1" w14:textId="77777777" w:rsidR="005E0EE9" w:rsidRPr="0013396E" w:rsidRDefault="005E0EE9" w:rsidP="0099759E">
            <w:pPr>
              <w:pStyle w:val="TableHead"/>
            </w:pPr>
            <w:r w:rsidRPr="0013396E">
              <w:t>Unit</w:t>
            </w:r>
          </w:p>
        </w:tc>
        <w:tc>
          <w:tcPr>
            <w:tcW w:w="6942" w:type="dxa"/>
            <w:gridSpan w:val="2"/>
          </w:tcPr>
          <w:p w14:paraId="7328E932" w14:textId="77777777" w:rsidR="005E0EE9" w:rsidRPr="0013396E" w:rsidRDefault="005E0EE9" w:rsidP="0099759E">
            <w:pPr>
              <w:pStyle w:val="TableHead"/>
            </w:pPr>
            <w:r w:rsidRPr="0013396E">
              <w:t>Definition</w:t>
            </w:r>
          </w:p>
        </w:tc>
      </w:tr>
      <w:tr w:rsidR="005E0EE9" w:rsidRPr="0013396E" w14:paraId="33093AB6" w14:textId="77777777" w:rsidTr="0099759E">
        <w:trPr>
          <w:cantSplit/>
        </w:trPr>
        <w:tc>
          <w:tcPr>
            <w:tcW w:w="1975" w:type="dxa"/>
          </w:tcPr>
          <w:p w14:paraId="6EA76A08" w14:textId="77777777" w:rsidR="005E0EE9" w:rsidRPr="0013396E" w:rsidRDefault="005E0EE9" w:rsidP="0099759E">
            <w:pPr>
              <w:pStyle w:val="TableBody"/>
            </w:pPr>
            <w:r w:rsidRPr="0013396E">
              <w:t xml:space="preserve">SPDAMT </w:t>
            </w:r>
            <w:r w:rsidRPr="0013396E">
              <w:rPr>
                <w:i/>
                <w:vertAlign w:val="subscript"/>
              </w:rPr>
              <w:t>q, r, p, i</w:t>
            </w:r>
          </w:p>
        </w:tc>
        <w:tc>
          <w:tcPr>
            <w:tcW w:w="900" w:type="dxa"/>
          </w:tcPr>
          <w:p w14:paraId="279BB9D5" w14:textId="77777777" w:rsidR="005E0EE9" w:rsidRPr="0013396E" w:rsidRDefault="005E0EE9" w:rsidP="0099759E">
            <w:pPr>
              <w:pStyle w:val="TableBody"/>
            </w:pPr>
            <w:r w:rsidRPr="0013396E">
              <w:t>$</w:t>
            </w:r>
          </w:p>
        </w:tc>
        <w:tc>
          <w:tcPr>
            <w:tcW w:w="6942" w:type="dxa"/>
            <w:gridSpan w:val="2"/>
          </w:tcPr>
          <w:p w14:paraId="1C34DCD9" w14:textId="77777777" w:rsidR="005E0EE9" w:rsidRPr="0013396E" w:rsidRDefault="005E0EE9"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Controllable Load Resource </w:t>
            </w:r>
            <w:r w:rsidRPr="0013396E">
              <w:rPr>
                <w:i/>
              </w:rPr>
              <w:t>r</w:t>
            </w:r>
            <w:r w:rsidRPr="0013396E">
              <w:t xml:space="preserve"> at Settlement Point </w:t>
            </w:r>
            <w:r w:rsidRPr="0013396E">
              <w:rPr>
                <w:i/>
              </w:rPr>
              <w:t>p</w:t>
            </w:r>
            <w:r w:rsidRPr="0013396E">
              <w:t xml:space="preserve">, for its deviation from AASP, for the 15-minute Settlement Interval </w:t>
            </w:r>
            <w:r w:rsidRPr="0013396E">
              <w:rPr>
                <w:i/>
              </w:rPr>
              <w:t>i</w:t>
            </w:r>
            <w:r w:rsidRPr="0013396E">
              <w:t>.</w:t>
            </w:r>
          </w:p>
        </w:tc>
      </w:tr>
      <w:tr w:rsidR="005E0EE9" w:rsidRPr="0013396E" w14:paraId="4FA24786" w14:textId="77777777" w:rsidTr="0099759E">
        <w:trPr>
          <w:cantSplit/>
        </w:trPr>
        <w:tc>
          <w:tcPr>
            <w:tcW w:w="1975" w:type="dxa"/>
          </w:tcPr>
          <w:p w14:paraId="041E35B5" w14:textId="77777777" w:rsidR="005E0EE9" w:rsidRPr="0013396E" w:rsidRDefault="005E0EE9" w:rsidP="0099759E">
            <w:pPr>
              <w:pStyle w:val="TableBody"/>
            </w:pPr>
            <w:r w:rsidRPr="0013396E">
              <w:lastRenderedPageBreak/>
              <w:t xml:space="preserve">RTSPP </w:t>
            </w:r>
            <w:r w:rsidRPr="0013396E">
              <w:rPr>
                <w:i/>
                <w:vertAlign w:val="subscript"/>
              </w:rPr>
              <w:t>p, i</w:t>
            </w:r>
          </w:p>
        </w:tc>
        <w:tc>
          <w:tcPr>
            <w:tcW w:w="900" w:type="dxa"/>
          </w:tcPr>
          <w:p w14:paraId="15FF0F36" w14:textId="77777777" w:rsidR="005E0EE9" w:rsidRPr="0013396E" w:rsidRDefault="005E0EE9" w:rsidP="0099759E">
            <w:pPr>
              <w:pStyle w:val="TableBody"/>
            </w:pPr>
            <w:r w:rsidRPr="0013396E">
              <w:t>$/MWh</w:t>
            </w:r>
          </w:p>
        </w:tc>
        <w:tc>
          <w:tcPr>
            <w:tcW w:w="6942" w:type="dxa"/>
            <w:gridSpan w:val="2"/>
          </w:tcPr>
          <w:p w14:paraId="74F755C4" w14:textId="77777777" w:rsidR="005E0EE9" w:rsidRPr="0013396E" w:rsidRDefault="005E0EE9" w:rsidP="0099759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5E0EE9" w:rsidRPr="0013396E" w14:paraId="68FD4810" w14:textId="77777777" w:rsidTr="0099759E">
        <w:trPr>
          <w:gridAfter w:val="1"/>
          <w:wAfter w:w="12" w:type="dxa"/>
          <w:cantSplit/>
        </w:trPr>
        <w:tc>
          <w:tcPr>
            <w:tcW w:w="1975" w:type="dxa"/>
          </w:tcPr>
          <w:p w14:paraId="1F9EBB52" w14:textId="77777777" w:rsidR="005E0EE9" w:rsidRPr="0013396E" w:rsidRDefault="005E0EE9" w:rsidP="0099759E">
            <w:pPr>
              <w:pStyle w:val="TableBody"/>
            </w:pPr>
            <w:r w:rsidRPr="0013396E">
              <w:t xml:space="preserve">ATPC </w:t>
            </w:r>
            <w:r w:rsidRPr="0013396E">
              <w:rPr>
                <w:i/>
                <w:vertAlign w:val="subscript"/>
              </w:rPr>
              <w:t>q, r, p, i</w:t>
            </w:r>
          </w:p>
        </w:tc>
        <w:tc>
          <w:tcPr>
            <w:tcW w:w="900" w:type="dxa"/>
          </w:tcPr>
          <w:p w14:paraId="2784F1E3" w14:textId="77777777" w:rsidR="005E0EE9" w:rsidRPr="0013396E" w:rsidRDefault="005E0EE9" w:rsidP="0099759E">
            <w:pPr>
              <w:pStyle w:val="TableBody"/>
            </w:pPr>
            <w:r w:rsidRPr="0013396E">
              <w:t>MWh</w:t>
            </w:r>
          </w:p>
        </w:tc>
        <w:tc>
          <w:tcPr>
            <w:tcW w:w="6930" w:type="dxa"/>
          </w:tcPr>
          <w:p w14:paraId="324054AD" w14:textId="77777777" w:rsidR="005E0EE9" w:rsidRPr="0013396E" w:rsidRDefault="005E0EE9" w:rsidP="0099759E">
            <w:pPr>
              <w:pStyle w:val="TableBody"/>
              <w:rPr>
                <w:i/>
              </w:rPr>
            </w:pPr>
            <w:r w:rsidRPr="0013396E">
              <w:rPr>
                <w:i/>
              </w:rPr>
              <w:t>Average Telemetered Power Consumption per QSE per Settlement Point per Controllable Load Resource</w:t>
            </w:r>
            <w:r w:rsidRPr="0013396E">
              <w:t xml:space="preserve">—The average telemetered power consumption of the Controllable Load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 </w:t>
            </w:r>
            <w:r w:rsidRPr="0013396E">
              <w:rPr>
                <w:i/>
              </w:rPr>
              <w:t>i.</w:t>
            </w:r>
          </w:p>
        </w:tc>
      </w:tr>
      <w:tr w:rsidR="005E0EE9" w:rsidRPr="0013396E" w14:paraId="062DA679" w14:textId="77777777" w:rsidTr="0099759E">
        <w:trPr>
          <w:gridAfter w:val="1"/>
          <w:wAfter w:w="12" w:type="dxa"/>
          <w:cantSplit/>
        </w:trPr>
        <w:tc>
          <w:tcPr>
            <w:tcW w:w="1975" w:type="dxa"/>
          </w:tcPr>
          <w:p w14:paraId="57C27822" w14:textId="77777777" w:rsidR="005E0EE9" w:rsidRPr="0013396E" w:rsidRDefault="005E0EE9" w:rsidP="0099759E">
            <w:pPr>
              <w:pStyle w:val="TableBody"/>
            </w:pPr>
            <w:r w:rsidRPr="0013396E">
              <w:t xml:space="preserve">AASP </w:t>
            </w:r>
            <w:r w:rsidRPr="0013396E">
              <w:rPr>
                <w:i/>
                <w:vertAlign w:val="subscript"/>
              </w:rPr>
              <w:t>q, r, p, i</w:t>
            </w:r>
          </w:p>
        </w:tc>
        <w:tc>
          <w:tcPr>
            <w:tcW w:w="900" w:type="dxa"/>
          </w:tcPr>
          <w:p w14:paraId="5A87A6E3" w14:textId="77777777" w:rsidR="005E0EE9" w:rsidRPr="0013396E" w:rsidRDefault="005E0EE9" w:rsidP="0099759E">
            <w:pPr>
              <w:pStyle w:val="TableBody"/>
            </w:pPr>
            <w:r w:rsidRPr="0013396E">
              <w:t>MW</w:t>
            </w:r>
          </w:p>
        </w:tc>
        <w:tc>
          <w:tcPr>
            <w:tcW w:w="6930" w:type="dxa"/>
          </w:tcPr>
          <w:p w14:paraId="211A39F1" w14:textId="77777777" w:rsidR="005E0EE9" w:rsidRPr="0013396E" w:rsidRDefault="005E0EE9" w:rsidP="0099759E">
            <w:pPr>
              <w:pStyle w:val="TableBody"/>
              <w:rPr>
                <w:i/>
              </w:rPr>
            </w:pPr>
            <w:r w:rsidRPr="0013396E">
              <w:rPr>
                <w:i/>
              </w:rPr>
              <w:t>Average Aggregated Set Point for the Resource per QSE per Settlement Point per Resource</w:t>
            </w:r>
            <w:r w:rsidRPr="0013396E">
              <w:t xml:space="preserve">—The </w:t>
            </w:r>
            <w:r w:rsidRPr="0013396E">
              <w:rPr>
                <w:iCs w:val="0"/>
              </w:rPr>
              <w:t>average of the Average Five Minute Clock Interval Set Point (AVGSP5M)</w:t>
            </w:r>
            <w:r w:rsidRPr="0013396E">
              <w:t xml:space="preserve"> of Resource </w:t>
            </w:r>
            <w:r w:rsidRPr="0013396E">
              <w:rPr>
                <w:i/>
              </w:rPr>
              <w:t>r</w:t>
            </w:r>
            <w:r w:rsidRPr="0013396E">
              <w:t xml:space="preserve"> represented by QSE </w:t>
            </w:r>
            <w:r w:rsidRPr="0013396E">
              <w:rPr>
                <w:i/>
              </w:rPr>
              <w:t xml:space="preserve">q </w:t>
            </w:r>
            <w:r w:rsidRPr="0013396E">
              <w:t xml:space="preserve">at Settlement Point </w:t>
            </w:r>
            <w:r w:rsidRPr="0013396E">
              <w:rPr>
                <w:i/>
              </w:rPr>
              <w:t>p</w:t>
            </w:r>
            <w:r w:rsidRPr="0013396E">
              <w:t xml:space="preserve">, for the 15-minute Settlement Interval </w:t>
            </w:r>
            <w:r w:rsidRPr="0013396E">
              <w:rPr>
                <w:i/>
              </w:rPr>
              <w:t>i</w:t>
            </w:r>
            <w:r w:rsidRPr="0013396E">
              <w:t xml:space="preserve">.  </w:t>
            </w:r>
          </w:p>
        </w:tc>
      </w:tr>
      <w:tr w:rsidR="005E0EE9" w:rsidRPr="0013396E" w14:paraId="1ED7D244" w14:textId="77777777" w:rsidTr="0099759E">
        <w:trPr>
          <w:cantSplit/>
        </w:trPr>
        <w:tc>
          <w:tcPr>
            <w:tcW w:w="1975" w:type="dxa"/>
          </w:tcPr>
          <w:p w14:paraId="20583438" w14:textId="77777777" w:rsidR="005E0EE9" w:rsidRPr="0013396E" w:rsidRDefault="005E0EE9" w:rsidP="0099759E">
            <w:pPr>
              <w:pStyle w:val="TableBody"/>
            </w:pPr>
            <w:r w:rsidRPr="0013396E">
              <w:t>AVGTPC5M</w:t>
            </w:r>
            <w:r w:rsidRPr="0013396E">
              <w:rPr>
                <w:i/>
                <w:vertAlign w:val="subscript"/>
                <w:lang w:val="fr-FR"/>
              </w:rPr>
              <w:t xml:space="preserve"> q, r, p, i, y</w:t>
            </w:r>
          </w:p>
        </w:tc>
        <w:tc>
          <w:tcPr>
            <w:tcW w:w="900" w:type="dxa"/>
          </w:tcPr>
          <w:p w14:paraId="72D80E06" w14:textId="77777777" w:rsidR="005E0EE9" w:rsidRPr="0013396E" w:rsidRDefault="005E0EE9" w:rsidP="0099759E">
            <w:pPr>
              <w:pStyle w:val="TableBody"/>
            </w:pPr>
            <w:r w:rsidRPr="0013396E">
              <w:t>MW</w:t>
            </w:r>
          </w:p>
        </w:tc>
        <w:tc>
          <w:tcPr>
            <w:tcW w:w="6942" w:type="dxa"/>
            <w:gridSpan w:val="2"/>
          </w:tcPr>
          <w:p w14:paraId="659EF988" w14:textId="77777777" w:rsidR="005E0EE9" w:rsidRPr="0013396E" w:rsidRDefault="005E0EE9" w:rsidP="0099759E">
            <w:pPr>
              <w:pStyle w:val="TableBody"/>
            </w:pPr>
            <w:r w:rsidRPr="0013396E">
              <w:rPr>
                <w:i/>
              </w:rPr>
              <w:t>Average Telemetered Power Consumption for the 5 Minutes</w:t>
            </w:r>
            <w:r w:rsidRPr="0013396E">
              <w:t xml:space="preserve">—The average telemetered  power consumption of Controllable Load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5E0EE9" w:rsidRPr="0013396E" w14:paraId="66F27CA7" w14:textId="77777777" w:rsidTr="0099759E">
        <w:trPr>
          <w:cantSplit/>
        </w:trPr>
        <w:tc>
          <w:tcPr>
            <w:tcW w:w="1975" w:type="dxa"/>
          </w:tcPr>
          <w:p w14:paraId="58AA37D8" w14:textId="77777777" w:rsidR="005E0EE9" w:rsidRPr="0013396E" w:rsidRDefault="005E0EE9" w:rsidP="0099759E">
            <w:pPr>
              <w:pStyle w:val="TableBody"/>
            </w:pPr>
            <w:r w:rsidRPr="0013396E">
              <w:t xml:space="preserve">UCONSM </w:t>
            </w:r>
            <w:r w:rsidRPr="0013396E">
              <w:rPr>
                <w:i/>
                <w:vertAlign w:val="subscript"/>
              </w:rPr>
              <w:t>q, r, p, i</w:t>
            </w:r>
          </w:p>
        </w:tc>
        <w:tc>
          <w:tcPr>
            <w:tcW w:w="900" w:type="dxa"/>
          </w:tcPr>
          <w:p w14:paraId="152D3BB4" w14:textId="77777777" w:rsidR="005E0EE9" w:rsidRPr="0013396E" w:rsidRDefault="005E0EE9" w:rsidP="0099759E">
            <w:pPr>
              <w:pStyle w:val="TableBody"/>
            </w:pPr>
            <w:r w:rsidRPr="0013396E">
              <w:t>MWh</w:t>
            </w:r>
          </w:p>
        </w:tc>
        <w:tc>
          <w:tcPr>
            <w:tcW w:w="6942" w:type="dxa"/>
            <w:gridSpan w:val="2"/>
          </w:tcPr>
          <w:p w14:paraId="035820E4" w14:textId="77777777" w:rsidR="005E0EE9" w:rsidRPr="0013396E" w:rsidRDefault="005E0EE9" w:rsidP="0099759E">
            <w:pPr>
              <w:pStyle w:val="TableBody"/>
            </w:pPr>
            <w:r w:rsidRPr="0013396E">
              <w:rPr>
                <w:i/>
              </w:rPr>
              <w:t>Under-Consumption Volumes per QSE per Settlement Point per Controllable Load Resource</w:t>
            </w:r>
            <w:r w:rsidRPr="0013396E">
              <w:t xml:space="preserve">—The amount under-consumed by the Controllable Load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 </w:t>
            </w:r>
            <w:r w:rsidRPr="0013396E">
              <w:rPr>
                <w:i/>
              </w:rPr>
              <w:t>i</w:t>
            </w:r>
            <w:r w:rsidRPr="0013396E">
              <w:t>.</w:t>
            </w:r>
          </w:p>
        </w:tc>
      </w:tr>
      <w:tr w:rsidR="005E0EE9" w:rsidRPr="0013396E" w14:paraId="6C0F2C34" w14:textId="77777777" w:rsidTr="0099759E">
        <w:trPr>
          <w:cantSplit/>
        </w:trPr>
        <w:tc>
          <w:tcPr>
            <w:tcW w:w="1975" w:type="dxa"/>
          </w:tcPr>
          <w:p w14:paraId="7FA50AD9" w14:textId="77777777" w:rsidR="005E0EE9" w:rsidRPr="0013396E" w:rsidRDefault="005E0EE9" w:rsidP="0099759E">
            <w:pPr>
              <w:pStyle w:val="TableBody"/>
            </w:pPr>
            <w:r w:rsidRPr="0013396E">
              <w:t>PRZ2</w:t>
            </w:r>
          </w:p>
        </w:tc>
        <w:tc>
          <w:tcPr>
            <w:tcW w:w="900" w:type="dxa"/>
          </w:tcPr>
          <w:p w14:paraId="799E3485" w14:textId="77777777" w:rsidR="005E0EE9" w:rsidRPr="0013396E" w:rsidRDefault="005E0EE9" w:rsidP="0099759E">
            <w:pPr>
              <w:pStyle w:val="TableBody"/>
            </w:pPr>
            <w:r w:rsidRPr="0013396E">
              <w:t>$/MWh</w:t>
            </w:r>
          </w:p>
        </w:tc>
        <w:tc>
          <w:tcPr>
            <w:tcW w:w="6942" w:type="dxa"/>
            <w:gridSpan w:val="2"/>
          </w:tcPr>
          <w:p w14:paraId="4551BEBD" w14:textId="77777777" w:rsidR="005E0EE9" w:rsidRPr="0013396E" w:rsidRDefault="005E0EE9" w:rsidP="0099759E">
            <w:pPr>
              <w:pStyle w:val="TableBody"/>
            </w:pPr>
            <w:r w:rsidRPr="0013396E">
              <w:t xml:space="preserve">The price to use for the Set Point Deviation Charge for under-consumption calculation when RTSPP is less than $20/MWh, $20/MWh.  </w:t>
            </w:r>
          </w:p>
        </w:tc>
      </w:tr>
      <w:tr w:rsidR="005E0EE9" w:rsidRPr="0013396E" w14:paraId="35D431FC" w14:textId="77777777" w:rsidTr="0099759E">
        <w:trPr>
          <w:cantSplit/>
        </w:trPr>
        <w:tc>
          <w:tcPr>
            <w:tcW w:w="1975" w:type="dxa"/>
          </w:tcPr>
          <w:p w14:paraId="1D1FB50A" w14:textId="77777777" w:rsidR="005E0EE9" w:rsidRPr="0013396E" w:rsidRDefault="005E0EE9" w:rsidP="0099759E">
            <w:pPr>
              <w:pStyle w:val="TableBody"/>
            </w:pPr>
            <w:r w:rsidRPr="0013396E">
              <w:t>KLR2</w:t>
            </w:r>
          </w:p>
        </w:tc>
        <w:tc>
          <w:tcPr>
            <w:tcW w:w="900" w:type="dxa"/>
          </w:tcPr>
          <w:p w14:paraId="6470F4B5" w14:textId="77777777" w:rsidR="005E0EE9" w:rsidRPr="0013396E" w:rsidRDefault="005E0EE9" w:rsidP="0099759E">
            <w:pPr>
              <w:pStyle w:val="TableBody"/>
            </w:pPr>
          </w:p>
        </w:tc>
        <w:tc>
          <w:tcPr>
            <w:tcW w:w="6942" w:type="dxa"/>
            <w:gridSpan w:val="2"/>
          </w:tcPr>
          <w:p w14:paraId="5C68A6CF" w14:textId="77777777" w:rsidR="005E0EE9" w:rsidRPr="0013396E" w:rsidRDefault="005E0EE9" w:rsidP="0099759E">
            <w:pPr>
              <w:pStyle w:val="TableBody"/>
            </w:pPr>
            <w:r w:rsidRPr="0013396E">
              <w:t>The percentage tolerance for under-consumption of a Controllable Load Resource, XU%.</w:t>
            </w:r>
          </w:p>
        </w:tc>
      </w:tr>
      <w:tr w:rsidR="005E0EE9" w:rsidRPr="0013396E" w14:paraId="3C63A05E" w14:textId="77777777" w:rsidTr="0099759E">
        <w:trPr>
          <w:cantSplit/>
        </w:trPr>
        <w:tc>
          <w:tcPr>
            <w:tcW w:w="1975" w:type="dxa"/>
          </w:tcPr>
          <w:p w14:paraId="288E61C5" w14:textId="77777777" w:rsidR="005E0EE9" w:rsidRPr="0013396E" w:rsidRDefault="005E0EE9" w:rsidP="0099759E">
            <w:pPr>
              <w:pStyle w:val="TableBody"/>
              <w:rPr>
                <w:i/>
              </w:rPr>
            </w:pPr>
            <w:r w:rsidRPr="0013396E">
              <w:t>QLR2</w:t>
            </w:r>
          </w:p>
        </w:tc>
        <w:tc>
          <w:tcPr>
            <w:tcW w:w="900" w:type="dxa"/>
          </w:tcPr>
          <w:p w14:paraId="79499882" w14:textId="77777777" w:rsidR="005E0EE9" w:rsidRPr="0013396E" w:rsidRDefault="005E0EE9" w:rsidP="0099759E">
            <w:pPr>
              <w:pStyle w:val="TableBody"/>
            </w:pPr>
            <w:r w:rsidRPr="0013396E">
              <w:t>MW</w:t>
            </w:r>
          </w:p>
        </w:tc>
        <w:tc>
          <w:tcPr>
            <w:tcW w:w="6942" w:type="dxa"/>
            <w:gridSpan w:val="2"/>
          </w:tcPr>
          <w:p w14:paraId="176C9A2E" w14:textId="77777777" w:rsidR="005E0EE9" w:rsidRPr="0013396E" w:rsidRDefault="005E0EE9" w:rsidP="0099759E">
            <w:pPr>
              <w:pStyle w:val="TableBody"/>
            </w:pPr>
            <w:r w:rsidRPr="0013396E">
              <w:t>The MW tolerance for under-consumption of a Controllable Load Resource, YU MW.</w:t>
            </w:r>
          </w:p>
        </w:tc>
      </w:tr>
      <w:tr w:rsidR="005E0EE9" w:rsidRPr="0013396E" w14:paraId="022A751D" w14:textId="77777777" w:rsidTr="0099759E">
        <w:trPr>
          <w:cantSplit/>
        </w:trPr>
        <w:tc>
          <w:tcPr>
            <w:tcW w:w="1975" w:type="dxa"/>
          </w:tcPr>
          <w:p w14:paraId="550BFED4" w14:textId="77777777" w:rsidR="005E0EE9" w:rsidRPr="0013396E" w:rsidRDefault="005E0EE9" w:rsidP="0099759E">
            <w:pPr>
              <w:pStyle w:val="TableBody"/>
              <w:rPr>
                <w:i/>
              </w:rPr>
            </w:pPr>
            <w:r w:rsidRPr="0013396E">
              <w:rPr>
                <w:i/>
              </w:rPr>
              <w:t>q</w:t>
            </w:r>
          </w:p>
        </w:tc>
        <w:tc>
          <w:tcPr>
            <w:tcW w:w="900" w:type="dxa"/>
          </w:tcPr>
          <w:p w14:paraId="483BEC33" w14:textId="77777777" w:rsidR="005E0EE9" w:rsidRPr="0013396E" w:rsidRDefault="005E0EE9" w:rsidP="0099759E">
            <w:pPr>
              <w:pStyle w:val="TableBody"/>
            </w:pPr>
            <w:r w:rsidRPr="0013396E">
              <w:t>none</w:t>
            </w:r>
          </w:p>
        </w:tc>
        <w:tc>
          <w:tcPr>
            <w:tcW w:w="6942" w:type="dxa"/>
            <w:gridSpan w:val="2"/>
          </w:tcPr>
          <w:p w14:paraId="3DE12A8F" w14:textId="77777777" w:rsidR="005E0EE9" w:rsidRPr="0013396E" w:rsidRDefault="005E0EE9" w:rsidP="0099759E">
            <w:pPr>
              <w:pStyle w:val="TableBody"/>
            </w:pPr>
            <w:r w:rsidRPr="0013396E">
              <w:t>A QSE.</w:t>
            </w:r>
          </w:p>
        </w:tc>
      </w:tr>
      <w:tr w:rsidR="005E0EE9" w:rsidRPr="0013396E" w14:paraId="6EC95910" w14:textId="77777777" w:rsidTr="0099759E">
        <w:trPr>
          <w:cantSplit/>
        </w:trPr>
        <w:tc>
          <w:tcPr>
            <w:tcW w:w="1975" w:type="dxa"/>
          </w:tcPr>
          <w:p w14:paraId="31DB7FC0" w14:textId="77777777" w:rsidR="005E0EE9" w:rsidRPr="0013396E" w:rsidRDefault="005E0EE9" w:rsidP="0099759E">
            <w:pPr>
              <w:pStyle w:val="TableBody"/>
              <w:rPr>
                <w:i/>
              </w:rPr>
            </w:pPr>
            <w:r w:rsidRPr="0013396E">
              <w:rPr>
                <w:i/>
              </w:rPr>
              <w:t>p</w:t>
            </w:r>
          </w:p>
        </w:tc>
        <w:tc>
          <w:tcPr>
            <w:tcW w:w="900" w:type="dxa"/>
          </w:tcPr>
          <w:p w14:paraId="4CC0B4A7" w14:textId="77777777" w:rsidR="005E0EE9" w:rsidRPr="0013396E" w:rsidRDefault="005E0EE9" w:rsidP="0099759E">
            <w:pPr>
              <w:pStyle w:val="TableBody"/>
            </w:pPr>
            <w:r w:rsidRPr="0013396E">
              <w:t>none</w:t>
            </w:r>
          </w:p>
        </w:tc>
        <w:tc>
          <w:tcPr>
            <w:tcW w:w="6942" w:type="dxa"/>
            <w:gridSpan w:val="2"/>
          </w:tcPr>
          <w:p w14:paraId="17DF5B96" w14:textId="77777777" w:rsidR="005E0EE9" w:rsidRPr="0013396E" w:rsidRDefault="005E0EE9" w:rsidP="0099759E">
            <w:pPr>
              <w:pStyle w:val="TableBody"/>
            </w:pPr>
            <w:r w:rsidRPr="0013396E">
              <w:t>A Settlement Point.</w:t>
            </w:r>
          </w:p>
        </w:tc>
      </w:tr>
      <w:tr w:rsidR="005E0EE9" w:rsidRPr="0013396E" w14:paraId="0908C26F" w14:textId="77777777" w:rsidTr="0099759E">
        <w:trPr>
          <w:cantSplit/>
        </w:trPr>
        <w:tc>
          <w:tcPr>
            <w:tcW w:w="1975" w:type="dxa"/>
          </w:tcPr>
          <w:p w14:paraId="3D6AB745" w14:textId="77777777" w:rsidR="005E0EE9" w:rsidRPr="0013396E" w:rsidRDefault="005E0EE9" w:rsidP="0099759E">
            <w:pPr>
              <w:pStyle w:val="TableBody"/>
              <w:rPr>
                <w:i/>
              </w:rPr>
            </w:pPr>
            <w:r w:rsidRPr="0013396E">
              <w:rPr>
                <w:i/>
              </w:rPr>
              <w:t>r</w:t>
            </w:r>
          </w:p>
        </w:tc>
        <w:tc>
          <w:tcPr>
            <w:tcW w:w="900" w:type="dxa"/>
          </w:tcPr>
          <w:p w14:paraId="4205A0AB" w14:textId="77777777" w:rsidR="005E0EE9" w:rsidRPr="0013396E" w:rsidRDefault="005E0EE9" w:rsidP="0099759E">
            <w:pPr>
              <w:pStyle w:val="TableBody"/>
            </w:pPr>
            <w:r w:rsidRPr="0013396E">
              <w:t>none</w:t>
            </w:r>
          </w:p>
        </w:tc>
        <w:tc>
          <w:tcPr>
            <w:tcW w:w="6942" w:type="dxa"/>
            <w:gridSpan w:val="2"/>
          </w:tcPr>
          <w:p w14:paraId="6CF18859" w14:textId="77777777" w:rsidR="005E0EE9" w:rsidRPr="0013396E" w:rsidRDefault="005E0EE9" w:rsidP="0099759E">
            <w:pPr>
              <w:pStyle w:val="TableBody"/>
            </w:pPr>
            <w:r w:rsidRPr="0013396E">
              <w:t>A Controllable Load Resource.</w:t>
            </w:r>
          </w:p>
        </w:tc>
      </w:tr>
      <w:tr w:rsidR="005E0EE9" w:rsidRPr="0013396E" w14:paraId="4EB90AEF" w14:textId="77777777" w:rsidTr="0099759E">
        <w:trPr>
          <w:cantSplit/>
          <w:trHeight w:val="152"/>
        </w:trPr>
        <w:tc>
          <w:tcPr>
            <w:tcW w:w="1975" w:type="dxa"/>
          </w:tcPr>
          <w:p w14:paraId="3017D8CB" w14:textId="77777777" w:rsidR="005E0EE9" w:rsidRPr="0013396E" w:rsidDel="00B33B6F" w:rsidRDefault="005E0EE9" w:rsidP="0099759E">
            <w:pPr>
              <w:pStyle w:val="TableBody"/>
              <w:rPr>
                <w:i/>
              </w:rPr>
            </w:pPr>
            <w:r w:rsidRPr="0013396E">
              <w:rPr>
                <w:i/>
              </w:rPr>
              <w:t>i</w:t>
            </w:r>
          </w:p>
        </w:tc>
        <w:tc>
          <w:tcPr>
            <w:tcW w:w="900" w:type="dxa"/>
          </w:tcPr>
          <w:p w14:paraId="1DE4ADA1" w14:textId="77777777" w:rsidR="005E0EE9" w:rsidRPr="0013396E" w:rsidDel="00B33B6F" w:rsidRDefault="005E0EE9" w:rsidP="0099759E">
            <w:pPr>
              <w:pStyle w:val="TableBody"/>
            </w:pPr>
            <w:r w:rsidRPr="0013396E">
              <w:t>none</w:t>
            </w:r>
          </w:p>
        </w:tc>
        <w:tc>
          <w:tcPr>
            <w:tcW w:w="6942" w:type="dxa"/>
            <w:gridSpan w:val="2"/>
          </w:tcPr>
          <w:p w14:paraId="68E5B0B5" w14:textId="77777777" w:rsidR="005E0EE9" w:rsidRPr="0013396E" w:rsidDel="00B33B6F" w:rsidRDefault="005E0EE9" w:rsidP="0099759E">
            <w:pPr>
              <w:pStyle w:val="TableBody"/>
            </w:pPr>
            <w:r w:rsidRPr="0013396E">
              <w:t>A 15-minute Settlement Interval.</w:t>
            </w:r>
          </w:p>
        </w:tc>
      </w:tr>
      <w:tr w:rsidR="005E0EE9" w:rsidRPr="0013396E" w14:paraId="0FDD8AFF" w14:textId="77777777" w:rsidTr="0099759E">
        <w:trPr>
          <w:cantSplit/>
          <w:trHeight w:val="152"/>
        </w:trPr>
        <w:tc>
          <w:tcPr>
            <w:tcW w:w="1975" w:type="dxa"/>
            <w:tcBorders>
              <w:top w:val="single" w:sz="4" w:space="0" w:color="auto"/>
              <w:left w:val="single" w:sz="4" w:space="0" w:color="auto"/>
              <w:bottom w:val="single" w:sz="4" w:space="0" w:color="auto"/>
              <w:right w:val="single" w:sz="4" w:space="0" w:color="auto"/>
            </w:tcBorders>
          </w:tcPr>
          <w:p w14:paraId="2BE56458" w14:textId="77777777" w:rsidR="005E0EE9" w:rsidRPr="0013396E" w:rsidRDefault="005E0EE9" w:rsidP="0099759E">
            <w:pPr>
              <w:pStyle w:val="TableBody"/>
              <w:rPr>
                <w:i/>
              </w:rPr>
            </w:pPr>
            <w:r w:rsidRPr="0013396E">
              <w:rPr>
                <w:i/>
              </w:rPr>
              <w:t>y</w:t>
            </w:r>
          </w:p>
        </w:tc>
        <w:tc>
          <w:tcPr>
            <w:tcW w:w="900" w:type="dxa"/>
            <w:tcBorders>
              <w:top w:val="single" w:sz="4" w:space="0" w:color="auto"/>
              <w:left w:val="single" w:sz="4" w:space="0" w:color="auto"/>
              <w:bottom w:val="single" w:sz="4" w:space="0" w:color="auto"/>
              <w:right w:val="single" w:sz="4" w:space="0" w:color="auto"/>
            </w:tcBorders>
          </w:tcPr>
          <w:p w14:paraId="1A473E91" w14:textId="77777777" w:rsidR="005E0EE9" w:rsidRPr="0013396E" w:rsidRDefault="005E0EE9" w:rsidP="0099759E">
            <w:pPr>
              <w:pStyle w:val="TableBody"/>
            </w:pPr>
            <w:r w:rsidRPr="0013396E">
              <w:t>none</w:t>
            </w:r>
          </w:p>
        </w:tc>
        <w:tc>
          <w:tcPr>
            <w:tcW w:w="6942" w:type="dxa"/>
            <w:gridSpan w:val="2"/>
            <w:tcBorders>
              <w:top w:val="single" w:sz="4" w:space="0" w:color="auto"/>
              <w:left w:val="single" w:sz="4" w:space="0" w:color="auto"/>
              <w:bottom w:val="single" w:sz="4" w:space="0" w:color="auto"/>
              <w:right w:val="single" w:sz="4" w:space="0" w:color="auto"/>
            </w:tcBorders>
          </w:tcPr>
          <w:p w14:paraId="3A37F5CD" w14:textId="77777777" w:rsidR="005E0EE9" w:rsidRPr="0013396E" w:rsidRDefault="005E0EE9" w:rsidP="0099759E">
            <w:pPr>
              <w:pStyle w:val="TableBody"/>
            </w:pPr>
            <w:r w:rsidRPr="0013396E">
              <w:t xml:space="preserve">A five-minute clock interval in the Settlement Interval. </w:t>
            </w:r>
          </w:p>
        </w:tc>
      </w:tr>
    </w:tbl>
    <w:p w14:paraId="2F7080D8" w14:textId="77777777" w:rsidR="005E0EE9" w:rsidRPr="0013396E" w:rsidRDefault="005E0EE9" w:rsidP="005E0EE9">
      <w:pPr>
        <w:pStyle w:val="BodyText"/>
        <w:tabs>
          <w:tab w:val="left" w:pos="1230"/>
        </w:tabs>
        <w:spacing w:before="480"/>
        <w:outlineLvl w:val="3"/>
        <w:rPr>
          <w:b/>
          <w:lang w:val="fr-FR"/>
        </w:rPr>
      </w:pPr>
      <w:bookmarkStart w:id="1816" w:name="_Toc236220197"/>
      <w:bookmarkStart w:id="1817" w:name="_Toc397505023"/>
      <w:bookmarkStart w:id="1818" w:name="_Toc402357155"/>
      <w:bookmarkStart w:id="1819" w:name="_Toc422486535"/>
      <w:bookmarkStart w:id="1820" w:name="_Toc433093388"/>
      <w:bookmarkStart w:id="1821" w:name="_Toc433093546"/>
      <w:bookmarkStart w:id="1822" w:name="_Toc440874776"/>
      <w:bookmarkStart w:id="1823" w:name="_Toc448142333"/>
      <w:bookmarkStart w:id="1824" w:name="_Toc448142490"/>
      <w:bookmarkStart w:id="1825" w:name="_Toc458770331"/>
      <w:bookmarkStart w:id="1826" w:name="_Toc459294299"/>
      <w:bookmarkStart w:id="1827" w:name="_Toc463262792"/>
      <w:bookmarkStart w:id="1828" w:name="_Toc468286865"/>
      <w:bookmarkStart w:id="1829" w:name="_Toc481502905"/>
      <w:bookmarkStart w:id="1830" w:name="_Toc496080073"/>
      <w:bookmarkEnd w:id="1802"/>
      <w:bookmarkEnd w:id="1803"/>
      <w:bookmarkEnd w:id="1804"/>
      <w:bookmarkEnd w:id="1805"/>
      <w:bookmarkEnd w:id="1806"/>
      <w:bookmarkEnd w:id="1807"/>
      <w:bookmarkEnd w:id="1808"/>
      <w:bookmarkEnd w:id="1809"/>
      <w:bookmarkEnd w:id="1810"/>
      <w:bookmarkEnd w:id="1811"/>
      <w:bookmarkEnd w:id="1812"/>
      <w:bookmarkEnd w:id="1813"/>
      <w:bookmarkEnd w:id="1814"/>
      <w:r w:rsidRPr="0013396E">
        <w:rPr>
          <w:b/>
          <w:lang w:val="fr-FR"/>
        </w:rPr>
        <w:t>6.6.5.4</w:t>
      </w:r>
      <w:r w:rsidRPr="0013396E">
        <w:rPr>
          <w:b/>
          <w:lang w:val="fr-FR"/>
        </w:rPr>
        <w:tab/>
        <w:t>IRR Generation Resource Set Point Deviation Charge</w:t>
      </w:r>
      <w:bookmarkEnd w:id="1816"/>
    </w:p>
    <w:p w14:paraId="7AAB2E68" w14:textId="47874D72" w:rsidR="005E0EE9" w:rsidRPr="0013396E" w:rsidRDefault="005E0EE9" w:rsidP="00245F93">
      <w:pPr>
        <w:pStyle w:val="BodyTextNumbered"/>
      </w:pPr>
      <w:r w:rsidRPr="0013396E">
        <w:t>(1)</w:t>
      </w:r>
      <w:r w:rsidRPr="0013396E">
        <w:tab/>
        <w:t>ERCOT shall charge a QSE for an IRR a Set Point Deviation Charge if the IRR metered generation is more than 5% above its AASP, the flag signifying that the IRR has received a Base Point below the HDL used by SCED has been received.</w:t>
      </w:r>
    </w:p>
    <w:p w14:paraId="142054D4" w14:textId="101D9E43" w:rsidR="005E0EE9" w:rsidRPr="0013396E" w:rsidRDefault="005E0EE9" w:rsidP="005E0EE9">
      <w:pPr>
        <w:pStyle w:val="BodyTextNumbered"/>
        <w:rPr>
          <w:iCs/>
        </w:rPr>
      </w:pPr>
      <w:r w:rsidRPr="0013396E">
        <w:rPr>
          <w:iCs/>
        </w:rPr>
        <w:t>(</w:t>
      </w:r>
      <w:r w:rsidR="00245F93">
        <w:rPr>
          <w:iCs/>
        </w:rPr>
        <w:t>2</w:t>
      </w:r>
      <w:r w:rsidRPr="0013396E">
        <w:rPr>
          <w:iCs/>
        </w:rPr>
        <w:t>)</w:t>
      </w:r>
      <w:r w:rsidRPr="0013396E">
        <w:rPr>
          <w:iCs/>
        </w:rPr>
        <w:tab/>
        <w:t>The charge to each QSE for non-excused over-generation of each IRR that is not included in an IRR Group at each Resource Node Settlement Point during a 15-minute Settlement Interval, is calculated as follows:</w:t>
      </w:r>
    </w:p>
    <w:p w14:paraId="37630509" w14:textId="77777777" w:rsidR="005E0EE9" w:rsidRPr="0013396E" w:rsidRDefault="005E0EE9" w:rsidP="005E0EE9">
      <w:pPr>
        <w:ind w:left="720"/>
        <w:rPr>
          <w:lang w:val="pt-BR"/>
        </w:rPr>
      </w:pPr>
      <w:r w:rsidRPr="0013396E">
        <w:rPr>
          <w:lang w:val="pt-BR"/>
        </w:rPr>
        <w:t xml:space="preserve">If </w:t>
      </w:r>
      <w:r w:rsidRPr="0013396E">
        <w:t xml:space="preserve">the flag signifying that the IRR has received a Base Point below the HDL used by SCED or the IRR has been instructed not to exceed its Base Point is not set </w:t>
      </w:r>
      <w:r w:rsidRPr="0013396E">
        <w:rPr>
          <w:lang w:val="pt-BR"/>
        </w:rPr>
        <w:t>in all SCED intervals within the 15-minute Settlement Interval:</w:t>
      </w:r>
    </w:p>
    <w:p w14:paraId="6CC4F0B3" w14:textId="77777777" w:rsidR="005E0EE9" w:rsidRPr="0013396E" w:rsidRDefault="005E0EE9" w:rsidP="005E0EE9">
      <w:pPr>
        <w:pStyle w:val="FormulaBold"/>
        <w:spacing w:before="120"/>
        <w:ind w:left="720" w:firstLine="0"/>
        <w:rPr>
          <w:lang w:val="pt-BR"/>
        </w:rPr>
      </w:pPr>
      <w:r w:rsidRPr="0013396E">
        <w:rPr>
          <w:lang w:val="pt-BR"/>
        </w:rPr>
        <w:t xml:space="preserve">SPDAMT </w:t>
      </w:r>
      <w:r w:rsidRPr="0013396E">
        <w:rPr>
          <w:i/>
          <w:vertAlign w:val="subscript"/>
          <w:lang w:val="pt-BR"/>
        </w:rPr>
        <w:t>q, r, p, i</w:t>
      </w:r>
      <w:r w:rsidRPr="0013396E">
        <w:rPr>
          <w:lang w:val="pt-BR"/>
        </w:rPr>
        <w:t xml:space="preserve"> =</w:t>
      </w:r>
      <w:r w:rsidRPr="0013396E">
        <w:rPr>
          <w:lang w:val="pt-BR"/>
        </w:rPr>
        <w:tab/>
        <w:t>0</w:t>
      </w:r>
    </w:p>
    <w:p w14:paraId="5A52F956" w14:textId="77777777" w:rsidR="005E0EE9" w:rsidRPr="0013396E" w:rsidRDefault="005E0EE9" w:rsidP="005E0EE9">
      <w:pPr>
        <w:ind w:left="720"/>
        <w:rPr>
          <w:lang w:val="pt-BR"/>
        </w:rPr>
      </w:pPr>
      <w:r w:rsidRPr="0013396E">
        <w:rPr>
          <w:lang w:val="pt-BR"/>
        </w:rPr>
        <w:t xml:space="preserve">Otherwise, if </w:t>
      </w:r>
      <w:r w:rsidRPr="0013396E">
        <w:t xml:space="preserve">the flag signifying that the IRR has received a Base Point below the HDL used by SCED or the IRR has been instructed not to exceed its Base Point is set </w:t>
      </w:r>
      <w:r w:rsidRPr="0013396E">
        <w:rPr>
          <w:lang w:val="pt-BR"/>
        </w:rPr>
        <w:t>in all SCED intervals within the 15-minute Settlement Interval:</w:t>
      </w:r>
    </w:p>
    <w:p w14:paraId="3C345140" w14:textId="77777777" w:rsidR="005E0EE9" w:rsidRPr="0013396E" w:rsidRDefault="005E0EE9" w:rsidP="005E0EE9">
      <w:pPr>
        <w:ind w:left="720"/>
        <w:rPr>
          <w:lang w:val="pt-BR"/>
        </w:rPr>
      </w:pPr>
    </w:p>
    <w:p w14:paraId="3E1DEB80" w14:textId="77777777" w:rsidR="005E0EE9" w:rsidRPr="0013396E" w:rsidRDefault="005E0EE9" w:rsidP="005E0EE9">
      <w:pPr>
        <w:pStyle w:val="FormulaBold"/>
        <w:tabs>
          <w:tab w:val="clear" w:pos="2250"/>
          <w:tab w:val="clear" w:pos="3150"/>
          <w:tab w:val="left" w:pos="720"/>
        </w:tabs>
        <w:ind w:left="2880" w:hanging="2880"/>
        <w:rPr>
          <w:lang w:val="pt-BR"/>
        </w:rPr>
      </w:pPr>
      <w:r w:rsidRPr="0013396E">
        <w:rPr>
          <w:lang w:val="pt-BR"/>
        </w:rPr>
        <w:tab/>
        <w:t>SPDAMT</w:t>
      </w:r>
      <w:r w:rsidRPr="0013396E">
        <w:rPr>
          <w:i/>
          <w:vertAlign w:val="subscript"/>
          <w:lang w:val="pt-BR"/>
        </w:rPr>
        <w:t xml:space="preserve"> q, r, p, i</w:t>
      </w:r>
      <w:r w:rsidRPr="0013396E">
        <w:rPr>
          <w:lang w:val="pt-BR"/>
        </w:rPr>
        <w:t xml:space="preserve"> =</w:t>
      </w:r>
      <w:r w:rsidRPr="0013396E">
        <w:rPr>
          <w:lang w:val="pt-BR"/>
        </w:rPr>
        <w:tab/>
      </w:r>
      <w:r w:rsidRPr="0013396E">
        <w:t xml:space="preserve">Max (PR1, RTSPP </w:t>
      </w:r>
      <w:r w:rsidRPr="0013396E">
        <w:rPr>
          <w:i/>
          <w:vertAlign w:val="subscript"/>
        </w:rPr>
        <w:t>p, i</w:t>
      </w:r>
      <w:r w:rsidRPr="0013396E">
        <w:t>) * OGENIRR</w:t>
      </w:r>
      <w:r w:rsidRPr="0013396E">
        <w:rPr>
          <w:sz w:val="18"/>
          <w:szCs w:val="18"/>
          <w:vertAlign w:val="subscript"/>
        </w:rPr>
        <w:t xml:space="preserve"> </w:t>
      </w:r>
      <w:r w:rsidRPr="0013396E">
        <w:rPr>
          <w:i/>
          <w:vertAlign w:val="subscript"/>
        </w:rPr>
        <w:t>q, r, p, i</w:t>
      </w:r>
    </w:p>
    <w:p w14:paraId="1CE072E1" w14:textId="77777777" w:rsidR="005E0EE9" w:rsidRPr="0013396E" w:rsidRDefault="005E0EE9" w:rsidP="005E0EE9">
      <w:pPr>
        <w:pStyle w:val="FormulaBold"/>
        <w:rPr>
          <w:b w:val="0"/>
        </w:rPr>
      </w:pPr>
      <w:r w:rsidRPr="0013396E">
        <w:rPr>
          <w:b w:val="0"/>
        </w:rPr>
        <w:t>Where:</w:t>
      </w:r>
    </w:p>
    <w:p w14:paraId="69A3F25C" w14:textId="77777777" w:rsidR="005E0EE9" w:rsidRPr="0013396E" w:rsidRDefault="005E0EE9" w:rsidP="005E0EE9">
      <w:pPr>
        <w:pStyle w:val="FormulaBold"/>
        <w:rPr>
          <w:b w:val="0"/>
        </w:rPr>
      </w:pPr>
      <w:r w:rsidRPr="0013396E">
        <w:rPr>
          <w:b w:val="0"/>
        </w:rPr>
        <w:t>OGENIRR</w:t>
      </w:r>
      <w:r w:rsidRPr="0013396E">
        <w:rPr>
          <w:b w:val="0"/>
          <w:i/>
          <w:iCs/>
          <w:vertAlign w:val="subscript"/>
          <w:lang w:val="es-ES"/>
        </w:rPr>
        <w:t xml:space="preserve"> q, r, p, i  </w:t>
      </w:r>
      <w:r w:rsidRPr="0013396E">
        <w:rPr>
          <w:b w:val="0"/>
        </w:rPr>
        <w:t xml:space="preserve"> = Max [0, TWTG</w:t>
      </w:r>
      <w:r w:rsidRPr="0013396E">
        <w:rPr>
          <w:b w:val="0"/>
          <w:i/>
          <w:iCs/>
          <w:vertAlign w:val="subscript"/>
          <w:lang w:val="es-ES"/>
        </w:rPr>
        <w:t xml:space="preserve"> q, r, p, i </w:t>
      </w:r>
      <w:r w:rsidRPr="0013396E">
        <w:rPr>
          <w:b w:val="0"/>
        </w:rPr>
        <w:t xml:space="preserve"> – ¼ * AASP</w:t>
      </w:r>
      <w:r w:rsidRPr="0013396E">
        <w:rPr>
          <w:b w:val="0"/>
          <w:i/>
          <w:iCs/>
          <w:vertAlign w:val="subscript"/>
          <w:lang w:val="es-ES"/>
        </w:rPr>
        <w:t xml:space="preserve"> q, r, p, i * </w:t>
      </w:r>
      <w:r w:rsidRPr="0013396E">
        <w:rPr>
          <w:b w:val="0"/>
        </w:rPr>
        <w:t xml:space="preserve"> (1 + KIRR)]</w:t>
      </w:r>
    </w:p>
    <w:p w14:paraId="51959E58" w14:textId="21D1111D" w:rsidR="005E0EE9" w:rsidRPr="0013396E" w:rsidRDefault="005E0EE9" w:rsidP="005E0EE9">
      <w:pPr>
        <w:pStyle w:val="Formula"/>
        <w:ind w:left="2880" w:hanging="2160"/>
      </w:pPr>
      <w:r w:rsidRPr="0013396E">
        <w:t>TWTG</w:t>
      </w:r>
      <w:r w:rsidRPr="0013396E">
        <w:rPr>
          <w:i/>
          <w:vertAlign w:val="subscript"/>
        </w:rPr>
        <w:t xml:space="preserve"> q, r, p, i</w:t>
      </w:r>
      <w:r w:rsidRPr="0013396E">
        <w:rPr>
          <w:i/>
          <w:vertAlign w:val="subscript"/>
        </w:rPr>
        <w:tab/>
        <w:t xml:space="preserve">=      </w:t>
      </w:r>
      <w:r w:rsidRPr="0013396E">
        <w:t xml:space="preserve"> (</w:t>
      </w:r>
      <w:r w:rsidR="00457C20" w:rsidRPr="0013396E">
        <w:rPr>
          <w:position w:val="-22"/>
        </w:rPr>
        <w:object w:dxaOrig="210" w:dyaOrig="450" w14:anchorId="37F43A62">
          <v:shape id="_x0000_i1156" type="#_x0000_t75" style="width:11.4pt;height:24pt" o:ole="">
            <v:imagedata r:id="rId178" o:title=""/>
          </v:shape>
          <o:OLEObject Type="Embed" ProgID="Equation.3" ShapeID="_x0000_i1156" DrawAspect="Content" ObjectID="_1849065787" r:id="rId189"/>
        </w:object>
      </w:r>
      <w:r w:rsidRPr="0013396E">
        <w:t xml:space="preserve"> (AVGTG5M</w:t>
      </w:r>
      <w:r w:rsidRPr="0013396E">
        <w:rPr>
          <w:i/>
          <w:vertAlign w:val="subscript"/>
        </w:rPr>
        <w:t xml:space="preserve"> q, r, p, i, y</w:t>
      </w:r>
      <w:r w:rsidRPr="0013396E">
        <w:t>) / 3) * ¼</w:t>
      </w:r>
    </w:p>
    <w:p w14:paraId="73E87786" w14:textId="1F054CD0" w:rsidR="005E0EE9" w:rsidRPr="0013396E" w:rsidRDefault="005E0EE9" w:rsidP="005E0EE9">
      <w:pPr>
        <w:spacing w:after="240"/>
        <w:ind w:left="720" w:hanging="720"/>
        <w:rPr>
          <w:iCs/>
        </w:rPr>
      </w:pPr>
      <w:r w:rsidRPr="0013396E">
        <w:rPr>
          <w:iCs/>
        </w:rPr>
        <w:t>(</w:t>
      </w:r>
      <w:r w:rsidR="00245F93">
        <w:rPr>
          <w:iCs/>
        </w:rPr>
        <w:t>3</w:t>
      </w:r>
      <w:r w:rsidRPr="0013396E">
        <w:rPr>
          <w:iCs/>
        </w:rPr>
        <w:t>)</w:t>
      </w:r>
      <w:r w:rsidRPr="0013396E">
        <w:rPr>
          <w:iCs/>
        </w:rPr>
        <w:tab/>
        <w:t xml:space="preserve">The charge to each QSE for non-excused over-generation of each IRR that is included in an IRR Group, at each Resource Node Settlement Point, if the </w:t>
      </w:r>
      <w:r w:rsidR="00245F93">
        <w:rPr>
          <w:iCs/>
        </w:rPr>
        <w:t xml:space="preserve">Real-Time </w:t>
      </w:r>
      <w:r w:rsidRPr="0013396E">
        <w:rPr>
          <w:iCs/>
        </w:rPr>
        <w:t>metered generation is greater than the upper tolerance during a 15-minute Settlement Interval, is calculated as follows:</w:t>
      </w:r>
    </w:p>
    <w:p w14:paraId="383E3C8D" w14:textId="77777777" w:rsidR="005E0EE9" w:rsidRPr="0013396E" w:rsidRDefault="005E0EE9" w:rsidP="005E0EE9">
      <w:pPr>
        <w:ind w:left="720"/>
        <w:rPr>
          <w:lang w:val="pt-BR"/>
        </w:rPr>
      </w:pPr>
      <w:r w:rsidRPr="0013396E">
        <w:rPr>
          <w:lang w:val="pt-BR"/>
        </w:rPr>
        <w:t xml:space="preserve">If </w:t>
      </w:r>
      <w:r w:rsidRPr="0013396E">
        <w:t xml:space="preserve">the flag signifying that the IRR has received a Base Point below the HDL used by SCED or the IRR has been instructed not to exceed its Base Point is not set </w:t>
      </w:r>
      <w:r w:rsidRPr="0013396E">
        <w:rPr>
          <w:lang w:val="pt-BR"/>
        </w:rPr>
        <w:t>in all SCED intervals within the 15-minute Settlement Interval for any of the IRRs within an IRR Group, then for all IRRs within an IRR Group:</w:t>
      </w:r>
    </w:p>
    <w:p w14:paraId="46A5C437" w14:textId="77777777" w:rsidR="005E0EE9" w:rsidRPr="0013396E" w:rsidRDefault="005E0EE9" w:rsidP="005E0EE9">
      <w:pPr>
        <w:tabs>
          <w:tab w:val="left" w:pos="2340"/>
          <w:tab w:val="left" w:pos="3420"/>
        </w:tabs>
        <w:spacing w:before="120" w:after="240"/>
        <w:ind w:left="720"/>
        <w:rPr>
          <w:b/>
          <w:bCs/>
          <w:lang w:val="pt-BR"/>
        </w:rPr>
      </w:pPr>
      <w:r w:rsidRPr="0013396E">
        <w:rPr>
          <w:b/>
          <w:bCs/>
          <w:lang w:val="pt-BR"/>
        </w:rPr>
        <w:t xml:space="preserve">SPDAMT </w:t>
      </w:r>
      <w:r w:rsidRPr="0013396E">
        <w:rPr>
          <w:b/>
          <w:bCs/>
          <w:i/>
          <w:vertAlign w:val="subscript"/>
          <w:lang w:val="pt-BR"/>
        </w:rPr>
        <w:t>q, r, p</w:t>
      </w:r>
      <w:r w:rsidRPr="0013396E">
        <w:rPr>
          <w:b/>
          <w:bCs/>
          <w:lang w:val="pt-BR"/>
        </w:rPr>
        <w:t xml:space="preserve"> =</w:t>
      </w:r>
      <w:r w:rsidRPr="0013396E">
        <w:rPr>
          <w:b/>
          <w:bCs/>
          <w:lang w:val="pt-BR"/>
        </w:rPr>
        <w:tab/>
        <w:t>0</w:t>
      </w:r>
    </w:p>
    <w:p w14:paraId="60654766" w14:textId="77777777" w:rsidR="005E0EE9" w:rsidRPr="0013396E" w:rsidRDefault="005E0EE9" w:rsidP="005E0EE9">
      <w:pPr>
        <w:ind w:left="720"/>
        <w:rPr>
          <w:lang w:val="pt-BR"/>
        </w:rPr>
      </w:pPr>
      <w:r w:rsidRPr="0013396E">
        <w:rPr>
          <w:lang w:val="pt-BR"/>
        </w:rPr>
        <w:t xml:space="preserve">If </w:t>
      </w:r>
      <w:r w:rsidRPr="0013396E">
        <w:t xml:space="preserve">the flag signifying that the IRR has received a Base Point below the HDL used by SCED or the IRR has been instructed not to exceed its Base Point is set </w:t>
      </w:r>
      <w:r w:rsidRPr="0013396E">
        <w:rPr>
          <w:lang w:val="pt-BR"/>
        </w:rPr>
        <w:t>in all SCED intervals within the 15-minute Settlement Interval for any of the IRRs within an IRR Group, then the deviation penalty is determined for the IRR Group and evenly allocated and charged to each IRR within that IRR Group:</w:t>
      </w:r>
    </w:p>
    <w:p w14:paraId="2870F098" w14:textId="77777777" w:rsidR="005E0EE9" w:rsidRPr="0013396E" w:rsidRDefault="005E0EE9" w:rsidP="005E0EE9">
      <w:pPr>
        <w:rPr>
          <w:lang w:val="pt-BR"/>
        </w:rPr>
      </w:pPr>
    </w:p>
    <w:p w14:paraId="0FCAB736" w14:textId="4C991559" w:rsidR="005E0EE9" w:rsidRPr="0013396E" w:rsidRDefault="005E0EE9" w:rsidP="005E0EE9">
      <w:pPr>
        <w:tabs>
          <w:tab w:val="left" w:pos="720"/>
          <w:tab w:val="left" w:pos="2340"/>
          <w:tab w:val="left" w:pos="3420"/>
        </w:tabs>
        <w:spacing w:after="240"/>
        <w:ind w:left="2880" w:hanging="2880"/>
        <w:rPr>
          <w:b/>
          <w:bCs/>
          <w:lang w:val="pt-BR"/>
        </w:rPr>
      </w:pPr>
      <w:r w:rsidRPr="0013396E">
        <w:rPr>
          <w:b/>
          <w:bCs/>
          <w:lang w:val="pt-BR"/>
        </w:rPr>
        <w:tab/>
        <w:t>SPDAMT</w:t>
      </w:r>
      <w:r w:rsidRPr="0013396E">
        <w:rPr>
          <w:b/>
          <w:bCs/>
          <w:i/>
          <w:vertAlign w:val="subscript"/>
          <w:lang w:val="pt-BR"/>
        </w:rPr>
        <w:t xml:space="preserve"> q, r, p</w:t>
      </w:r>
      <w:r w:rsidRPr="0013396E">
        <w:rPr>
          <w:b/>
          <w:bCs/>
          <w:lang w:val="pt-BR"/>
        </w:rPr>
        <w:t xml:space="preserve"> = </w:t>
      </w:r>
      <w:r w:rsidR="00245F93">
        <w:rPr>
          <w:b/>
          <w:bCs/>
          <w:lang w:val="pt-BR"/>
        </w:rPr>
        <w:t>[</w:t>
      </w:r>
      <w:r w:rsidRPr="0013396E">
        <w:rPr>
          <w:b/>
          <w:bCs/>
          <w:lang w:val="pt-BR"/>
        </w:rPr>
        <w:t xml:space="preserve">Max (PR1, RTSPP </w:t>
      </w:r>
      <w:r w:rsidRPr="0013396E">
        <w:rPr>
          <w:b/>
          <w:bCs/>
          <w:i/>
          <w:vertAlign w:val="subscript"/>
          <w:lang w:val="pt-BR"/>
        </w:rPr>
        <w:t>p</w:t>
      </w:r>
      <w:r w:rsidRPr="0013396E">
        <w:rPr>
          <w:b/>
          <w:bCs/>
          <w:lang w:val="pt-BR"/>
        </w:rPr>
        <w:t xml:space="preserve">) * OGENIRR </w:t>
      </w:r>
      <w:r w:rsidRPr="0013396E">
        <w:rPr>
          <w:rFonts w:ascii="Times New Roman Bold" w:hAnsi="Times New Roman Bold"/>
          <w:b/>
          <w:bCs/>
          <w:i/>
          <w:vertAlign w:val="subscript"/>
          <w:lang w:val="pt-BR"/>
        </w:rPr>
        <w:t xml:space="preserve">q, r, i </w:t>
      </w:r>
      <w:r w:rsidR="00245F93" w:rsidRPr="00245F93">
        <w:rPr>
          <w:rFonts w:ascii="Times New Roman Bold" w:hAnsi="Times New Roman Bold"/>
          <w:iCs/>
          <w:lang w:val="pt-BR"/>
        </w:rPr>
        <w:t>]</w:t>
      </w:r>
      <w:r w:rsidR="00245F93">
        <w:rPr>
          <w:rFonts w:ascii="Times New Roman Bold" w:hAnsi="Times New Roman Bold"/>
          <w:iCs/>
          <w:lang w:val="pt-BR"/>
        </w:rPr>
        <w:t xml:space="preserve"> / N</w:t>
      </w:r>
    </w:p>
    <w:p w14:paraId="6EE34ABC" w14:textId="77777777" w:rsidR="005E0EE9" w:rsidRPr="0013396E" w:rsidRDefault="005E0EE9" w:rsidP="005E0EE9">
      <w:pPr>
        <w:tabs>
          <w:tab w:val="left" w:pos="2340"/>
          <w:tab w:val="left" w:pos="3420"/>
          <w:tab w:val="right" w:pos="9360"/>
        </w:tabs>
        <w:spacing w:after="240"/>
        <w:ind w:left="3420" w:hanging="2700"/>
        <w:rPr>
          <w:bCs/>
        </w:rPr>
      </w:pPr>
      <w:r w:rsidRPr="0013396E">
        <w:rPr>
          <w:bCs/>
        </w:rPr>
        <w:t>Where:</w:t>
      </w:r>
    </w:p>
    <w:p w14:paraId="20B71060" w14:textId="10AA0CD6" w:rsidR="005E0EE9" w:rsidRPr="0013396E" w:rsidRDefault="005E0EE9" w:rsidP="005E0EE9">
      <w:pPr>
        <w:tabs>
          <w:tab w:val="left" w:pos="2340"/>
          <w:tab w:val="left" w:pos="3420"/>
          <w:tab w:val="right" w:pos="9360"/>
        </w:tabs>
        <w:spacing w:after="240"/>
        <w:ind w:left="3420" w:hanging="2700"/>
        <w:rPr>
          <w:bCs/>
        </w:rPr>
      </w:pPr>
      <w:r w:rsidRPr="0013396E">
        <w:rPr>
          <w:bCs/>
        </w:rPr>
        <w:t>OGENIRR</w:t>
      </w:r>
      <w:r w:rsidRPr="0013396E">
        <w:rPr>
          <w:bCs/>
          <w:i/>
          <w:iCs/>
          <w:vertAlign w:val="subscript"/>
          <w:lang w:val="es-ES"/>
        </w:rPr>
        <w:t xml:space="preserve"> q, r, i  </w:t>
      </w:r>
      <w:r w:rsidRPr="0013396E">
        <w:rPr>
          <w:bCs/>
        </w:rPr>
        <w:t xml:space="preserve"> = Max [0, TWTG</w:t>
      </w:r>
      <w:r w:rsidRPr="0013396E">
        <w:rPr>
          <w:bCs/>
          <w:i/>
          <w:iCs/>
          <w:vertAlign w:val="subscript"/>
          <w:lang w:val="es-ES"/>
        </w:rPr>
        <w:t xml:space="preserve"> q, wg, i </w:t>
      </w:r>
      <w:r w:rsidRPr="0013396E">
        <w:rPr>
          <w:bCs/>
        </w:rPr>
        <w:t xml:space="preserve"> – ¼ * AASP</w:t>
      </w:r>
      <w:r w:rsidRPr="0013396E">
        <w:rPr>
          <w:bCs/>
          <w:i/>
          <w:iCs/>
          <w:vertAlign w:val="subscript"/>
          <w:lang w:val="es-ES"/>
        </w:rPr>
        <w:t xml:space="preserve"> q, wg, i * </w:t>
      </w:r>
      <w:r w:rsidRPr="0013396E">
        <w:rPr>
          <w:bCs/>
        </w:rPr>
        <w:t xml:space="preserve"> (1 + KIRR)]</w:t>
      </w:r>
    </w:p>
    <w:p w14:paraId="29FBF2F1" w14:textId="77777777" w:rsidR="005E0EE9" w:rsidRPr="0013396E" w:rsidRDefault="005E0EE9" w:rsidP="005E0EE9">
      <w:pPr>
        <w:pStyle w:val="Formula"/>
        <w:ind w:left="2880" w:hanging="2160"/>
      </w:pPr>
      <w:r w:rsidRPr="0013396E">
        <w:t>TWTG</w:t>
      </w:r>
      <w:r w:rsidRPr="0013396E">
        <w:rPr>
          <w:i/>
          <w:vertAlign w:val="subscript"/>
        </w:rPr>
        <w:t xml:space="preserve"> q, wg, i</w:t>
      </w:r>
      <w:r w:rsidRPr="0013396E">
        <w:rPr>
          <w:i/>
          <w:vertAlign w:val="subscript"/>
        </w:rPr>
        <w:tab/>
        <w:t xml:space="preserve">=     </w:t>
      </w:r>
      <w:r w:rsidRPr="0013396E">
        <w:t xml:space="preserve"> </w:t>
      </w:r>
      <w:r w:rsidRPr="0013396E">
        <w:rPr>
          <w:noProof/>
          <w:position w:val="-18"/>
        </w:rPr>
        <w:drawing>
          <wp:inline distT="0" distB="0" distL="0" distR="0" wp14:anchorId="480784BA" wp14:editId="637BB44D">
            <wp:extent cx="135255" cy="246380"/>
            <wp:effectExtent l="0" t="0" r="0" b="1270"/>
            <wp:docPr id="1751678669" name="Picture 1751678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bCs w:val="0"/>
          <w:lang w:val="es-ES"/>
        </w:rPr>
        <w:t>(</w:t>
      </w:r>
      <w:r w:rsidRPr="0013396E">
        <w:t>TWTG</w:t>
      </w:r>
      <w:r w:rsidRPr="0013396E">
        <w:rPr>
          <w:i/>
          <w:iCs/>
          <w:vertAlign w:val="subscript"/>
          <w:lang w:val="es-ES"/>
        </w:rPr>
        <w:t xml:space="preserve"> q, r, p, i</w:t>
      </w:r>
      <w:r w:rsidRPr="0013396E">
        <w:t>)</w:t>
      </w:r>
    </w:p>
    <w:p w14:paraId="41A3C6A4" w14:textId="77777777" w:rsidR="005E0EE9" w:rsidRPr="0013396E" w:rsidRDefault="005E0EE9" w:rsidP="005E0EE9">
      <w:pPr>
        <w:tabs>
          <w:tab w:val="left" w:pos="2340"/>
          <w:tab w:val="left" w:pos="3420"/>
        </w:tabs>
        <w:spacing w:after="240"/>
        <w:ind w:leftChars="300" w:left="2880" w:hangingChars="900" w:hanging="2160"/>
        <w:rPr>
          <w:b/>
          <w:bCs/>
          <w:i/>
          <w:iCs/>
          <w:sz w:val="26"/>
          <w:szCs w:val="26"/>
        </w:rPr>
      </w:pPr>
      <w:r w:rsidRPr="0013396E">
        <w:rPr>
          <w:lang w:val="es-ES"/>
        </w:rPr>
        <w:t>AASP</w:t>
      </w:r>
      <w:r w:rsidRPr="0013396E">
        <w:rPr>
          <w:i/>
          <w:vertAlign w:val="subscript"/>
          <w:lang w:val="pt-BR"/>
        </w:rPr>
        <w:t xml:space="preserve"> q, wg, i </w:t>
      </w:r>
      <w:r w:rsidRPr="0013396E">
        <w:rPr>
          <w:lang w:val="pt-BR"/>
        </w:rPr>
        <w:t xml:space="preserve">= </w:t>
      </w:r>
      <w:r w:rsidRPr="0013396E">
        <w:rPr>
          <w:noProof/>
          <w:position w:val="-18"/>
        </w:rPr>
        <w:drawing>
          <wp:inline distT="0" distB="0" distL="0" distR="0" wp14:anchorId="1BC0DAEC" wp14:editId="509B4741">
            <wp:extent cx="135255" cy="246380"/>
            <wp:effectExtent l="0" t="0" r="0" b="1270"/>
            <wp:docPr id="1161647467" name="Picture 116164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lang w:val="es-ES"/>
        </w:rPr>
        <w:t>(</w:t>
      </w:r>
      <w:r w:rsidRPr="0013396E">
        <w:rPr>
          <w:lang w:val="pt-BR"/>
        </w:rPr>
        <w:t>AASP</w:t>
      </w:r>
      <w:r w:rsidRPr="0013396E">
        <w:rPr>
          <w:i/>
          <w:vertAlign w:val="subscript"/>
          <w:lang w:val="pt-BR"/>
        </w:rPr>
        <w:t xml:space="preserve"> q, r, p, i</w:t>
      </w:r>
      <w:r w:rsidRPr="0013396E">
        <w:rPr>
          <w:lang w:val="pt-BR"/>
        </w:rPr>
        <w:t>)</w:t>
      </w:r>
    </w:p>
    <w:p w14:paraId="4308592B" w14:textId="77777777" w:rsidR="005E0EE9" w:rsidRPr="0013396E" w:rsidRDefault="005E0EE9" w:rsidP="005E0EE9">
      <w:r w:rsidRPr="0013396E">
        <w:t>The above variables are defined as follows:</w:t>
      </w:r>
    </w:p>
    <w:tbl>
      <w:tblPr>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900"/>
        <w:gridCol w:w="6930"/>
        <w:gridCol w:w="12"/>
      </w:tblGrid>
      <w:tr w:rsidR="005E0EE9" w:rsidRPr="0013396E" w14:paraId="1AF5C0FD" w14:textId="77777777" w:rsidTr="0099759E">
        <w:tc>
          <w:tcPr>
            <w:tcW w:w="1975" w:type="dxa"/>
          </w:tcPr>
          <w:p w14:paraId="3251AD6D" w14:textId="77777777" w:rsidR="005E0EE9" w:rsidRPr="0013396E" w:rsidRDefault="005E0EE9" w:rsidP="0099759E">
            <w:pPr>
              <w:pStyle w:val="TableHead"/>
              <w:rPr>
                <w:sz w:val="18"/>
                <w:szCs w:val="18"/>
              </w:rPr>
            </w:pPr>
            <w:r w:rsidRPr="0013396E">
              <w:rPr>
                <w:sz w:val="18"/>
                <w:szCs w:val="18"/>
              </w:rPr>
              <w:t>Variable</w:t>
            </w:r>
          </w:p>
        </w:tc>
        <w:tc>
          <w:tcPr>
            <w:tcW w:w="900" w:type="dxa"/>
          </w:tcPr>
          <w:p w14:paraId="0276EA2B" w14:textId="77777777" w:rsidR="005E0EE9" w:rsidRPr="0013396E" w:rsidRDefault="005E0EE9" w:rsidP="0099759E">
            <w:pPr>
              <w:pStyle w:val="TableHead"/>
              <w:rPr>
                <w:sz w:val="18"/>
                <w:szCs w:val="18"/>
              </w:rPr>
            </w:pPr>
            <w:r w:rsidRPr="0013396E">
              <w:rPr>
                <w:sz w:val="18"/>
                <w:szCs w:val="18"/>
              </w:rPr>
              <w:t>Unit</w:t>
            </w:r>
          </w:p>
        </w:tc>
        <w:tc>
          <w:tcPr>
            <w:tcW w:w="6942" w:type="dxa"/>
            <w:gridSpan w:val="2"/>
          </w:tcPr>
          <w:p w14:paraId="2702369C" w14:textId="77777777" w:rsidR="005E0EE9" w:rsidRPr="0013396E" w:rsidRDefault="005E0EE9" w:rsidP="0099759E">
            <w:pPr>
              <w:pStyle w:val="TableHead"/>
              <w:rPr>
                <w:sz w:val="18"/>
                <w:szCs w:val="18"/>
              </w:rPr>
            </w:pPr>
            <w:r w:rsidRPr="0013396E">
              <w:rPr>
                <w:sz w:val="18"/>
                <w:szCs w:val="18"/>
              </w:rPr>
              <w:t>Definition</w:t>
            </w:r>
          </w:p>
        </w:tc>
      </w:tr>
      <w:tr w:rsidR="005E0EE9" w:rsidRPr="0013396E" w14:paraId="7A42CB07" w14:textId="77777777" w:rsidTr="0099759E">
        <w:trPr>
          <w:cantSplit/>
        </w:trPr>
        <w:tc>
          <w:tcPr>
            <w:tcW w:w="1975" w:type="dxa"/>
          </w:tcPr>
          <w:p w14:paraId="60F96ADF" w14:textId="77777777" w:rsidR="005E0EE9" w:rsidRPr="0013396E" w:rsidRDefault="005E0EE9" w:rsidP="0099759E">
            <w:pPr>
              <w:pStyle w:val="TableBody"/>
            </w:pPr>
            <w:r w:rsidRPr="0013396E">
              <w:t xml:space="preserve">SPDAMT </w:t>
            </w:r>
            <w:r w:rsidRPr="0013396E">
              <w:rPr>
                <w:i/>
                <w:vertAlign w:val="subscript"/>
              </w:rPr>
              <w:t>q, r, p, i</w:t>
            </w:r>
          </w:p>
        </w:tc>
        <w:tc>
          <w:tcPr>
            <w:tcW w:w="900" w:type="dxa"/>
          </w:tcPr>
          <w:p w14:paraId="5B85D95B" w14:textId="77777777" w:rsidR="005E0EE9" w:rsidRPr="0013396E" w:rsidRDefault="005E0EE9" w:rsidP="0099759E">
            <w:pPr>
              <w:pStyle w:val="TableBody"/>
            </w:pPr>
            <w:r w:rsidRPr="0013396E">
              <w:t>$</w:t>
            </w:r>
          </w:p>
        </w:tc>
        <w:tc>
          <w:tcPr>
            <w:tcW w:w="6942" w:type="dxa"/>
            <w:gridSpan w:val="2"/>
          </w:tcPr>
          <w:p w14:paraId="38F06AED" w14:textId="77777777" w:rsidR="005E0EE9" w:rsidRPr="0013396E" w:rsidRDefault="005E0EE9"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Generation Resource </w:t>
            </w:r>
            <w:r w:rsidRPr="0013396E">
              <w:rPr>
                <w:i/>
              </w:rPr>
              <w:t>r</w:t>
            </w:r>
            <w:r w:rsidRPr="0013396E">
              <w:t xml:space="preserve"> at Resource Node </w:t>
            </w:r>
            <w:r w:rsidRPr="0013396E">
              <w:rPr>
                <w:i/>
              </w:rPr>
              <w:t>p</w:t>
            </w:r>
            <w:r w:rsidRPr="0013396E">
              <w:t xml:space="preserve">, for its deviation from AASP, for the 15-minute Settlement Interval </w:t>
            </w:r>
            <w:r w:rsidRPr="0013396E">
              <w:rPr>
                <w:i/>
              </w:rPr>
              <w:t>i</w:t>
            </w:r>
            <w:r w:rsidRPr="0013396E">
              <w:t>.</w:t>
            </w:r>
          </w:p>
        </w:tc>
      </w:tr>
      <w:tr w:rsidR="005E0EE9" w:rsidRPr="0013396E" w14:paraId="04054373" w14:textId="77777777" w:rsidTr="0099759E">
        <w:trPr>
          <w:cantSplit/>
        </w:trPr>
        <w:tc>
          <w:tcPr>
            <w:tcW w:w="1975" w:type="dxa"/>
          </w:tcPr>
          <w:p w14:paraId="6F73CFF0" w14:textId="77777777" w:rsidR="005E0EE9" w:rsidRPr="0013396E" w:rsidRDefault="005E0EE9" w:rsidP="0099759E">
            <w:pPr>
              <w:pStyle w:val="TableBody"/>
            </w:pPr>
            <w:r w:rsidRPr="0013396E">
              <w:t xml:space="preserve">RTSPP </w:t>
            </w:r>
            <w:r w:rsidRPr="0013396E">
              <w:rPr>
                <w:i/>
                <w:vertAlign w:val="subscript"/>
              </w:rPr>
              <w:t>p, i</w:t>
            </w:r>
          </w:p>
        </w:tc>
        <w:tc>
          <w:tcPr>
            <w:tcW w:w="900" w:type="dxa"/>
          </w:tcPr>
          <w:p w14:paraId="48FD28E4" w14:textId="77777777" w:rsidR="005E0EE9" w:rsidRPr="0013396E" w:rsidRDefault="005E0EE9" w:rsidP="0099759E">
            <w:pPr>
              <w:pStyle w:val="TableBody"/>
            </w:pPr>
            <w:r w:rsidRPr="0013396E">
              <w:t>$/MWh</w:t>
            </w:r>
          </w:p>
        </w:tc>
        <w:tc>
          <w:tcPr>
            <w:tcW w:w="6942" w:type="dxa"/>
            <w:gridSpan w:val="2"/>
          </w:tcPr>
          <w:p w14:paraId="331692AA" w14:textId="77777777" w:rsidR="005E0EE9" w:rsidRPr="0013396E" w:rsidRDefault="005E0EE9" w:rsidP="0099759E">
            <w:pPr>
              <w:pStyle w:val="TableBody"/>
            </w:pPr>
            <w:r w:rsidRPr="0013396E">
              <w:rPr>
                <w:i/>
              </w:rPr>
              <w:t>Real-Time Settlement Point Price per Settlement Point</w:t>
            </w:r>
            <w:r w:rsidRPr="0013396E">
              <w:t xml:space="preserve">—The Real-Time Settlement Point Price at Resource Node </w:t>
            </w:r>
            <w:r w:rsidRPr="0013396E">
              <w:rPr>
                <w:i/>
              </w:rPr>
              <w:t>p</w:t>
            </w:r>
            <w:r w:rsidRPr="0013396E">
              <w:t xml:space="preserve">, for the 15-minute Settlement Interval </w:t>
            </w:r>
            <w:r w:rsidRPr="0013396E">
              <w:rPr>
                <w:i/>
              </w:rPr>
              <w:t>i</w:t>
            </w:r>
            <w:r w:rsidRPr="0013396E">
              <w:t>.</w:t>
            </w:r>
          </w:p>
        </w:tc>
      </w:tr>
      <w:tr w:rsidR="005E0EE9" w:rsidRPr="0013396E" w14:paraId="5FB8ABE7" w14:textId="77777777" w:rsidTr="0099759E">
        <w:trPr>
          <w:gridAfter w:val="1"/>
          <w:wAfter w:w="12" w:type="dxa"/>
          <w:cantSplit/>
        </w:trPr>
        <w:tc>
          <w:tcPr>
            <w:tcW w:w="1975" w:type="dxa"/>
          </w:tcPr>
          <w:p w14:paraId="58F95563" w14:textId="77777777" w:rsidR="005E0EE9" w:rsidRPr="0013396E" w:rsidRDefault="005E0EE9" w:rsidP="0099759E">
            <w:pPr>
              <w:pStyle w:val="TableBody"/>
            </w:pPr>
            <w:r w:rsidRPr="0013396E">
              <w:t xml:space="preserve">TWTG </w:t>
            </w:r>
            <w:r w:rsidRPr="0013396E">
              <w:rPr>
                <w:i/>
                <w:vertAlign w:val="subscript"/>
              </w:rPr>
              <w:t>q, r, p, i</w:t>
            </w:r>
          </w:p>
        </w:tc>
        <w:tc>
          <w:tcPr>
            <w:tcW w:w="900" w:type="dxa"/>
          </w:tcPr>
          <w:p w14:paraId="704DA329" w14:textId="77777777" w:rsidR="005E0EE9" w:rsidRPr="0013396E" w:rsidRDefault="005E0EE9" w:rsidP="0099759E">
            <w:pPr>
              <w:pStyle w:val="TableBody"/>
            </w:pPr>
            <w:r w:rsidRPr="0013396E">
              <w:t>MWh</w:t>
            </w:r>
          </w:p>
        </w:tc>
        <w:tc>
          <w:tcPr>
            <w:tcW w:w="6930" w:type="dxa"/>
          </w:tcPr>
          <w:p w14:paraId="6D7940D2" w14:textId="77777777" w:rsidR="005E0EE9" w:rsidRPr="0013396E" w:rsidRDefault="005E0EE9" w:rsidP="0099759E">
            <w:pPr>
              <w:pStyle w:val="TableBody"/>
              <w:rPr>
                <w:i/>
              </w:rPr>
            </w:pPr>
            <w:r w:rsidRPr="0013396E">
              <w:rPr>
                <w:i/>
              </w:rPr>
              <w:t>Time-Weighted Telemetered Generation per QSE per Settlement Point per Resource</w:t>
            </w:r>
            <w:r w:rsidRPr="0013396E">
              <w:t xml:space="preserve">—The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p>
        </w:tc>
      </w:tr>
      <w:tr w:rsidR="005E0EE9" w:rsidRPr="0013396E" w14:paraId="60DC99C6" w14:textId="77777777" w:rsidTr="0099759E">
        <w:trPr>
          <w:gridAfter w:val="1"/>
          <w:wAfter w:w="12" w:type="dxa"/>
          <w:cantSplit/>
        </w:trPr>
        <w:tc>
          <w:tcPr>
            <w:tcW w:w="1975" w:type="dxa"/>
          </w:tcPr>
          <w:p w14:paraId="4AA7A13F" w14:textId="77777777" w:rsidR="005E0EE9" w:rsidRPr="0013396E" w:rsidRDefault="005E0EE9" w:rsidP="0099759E">
            <w:pPr>
              <w:pStyle w:val="TableBody"/>
            </w:pPr>
            <w:r w:rsidRPr="0013396E">
              <w:lastRenderedPageBreak/>
              <w:t xml:space="preserve">AASP </w:t>
            </w:r>
            <w:r w:rsidRPr="0013396E">
              <w:rPr>
                <w:i/>
                <w:vertAlign w:val="subscript"/>
              </w:rPr>
              <w:t>q, r, p, i</w:t>
            </w:r>
          </w:p>
        </w:tc>
        <w:tc>
          <w:tcPr>
            <w:tcW w:w="900" w:type="dxa"/>
          </w:tcPr>
          <w:p w14:paraId="1BE1D00C" w14:textId="77777777" w:rsidR="005E0EE9" w:rsidRPr="0013396E" w:rsidRDefault="005E0EE9" w:rsidP="0099759E">
            <w:pPr>
              <w:pStyle w:val="TableBody"/>
            </w:pPr>
            <w:r w:rsidRPr="0013396E">
              <w:t>MW</w:t>
            </w:r>
          </w:p>
        </w:tc>
        <w:tc>
          <w:tcPr>
            <w:tcW w:w="6930" w:type="dxa"/>
          </w:tcPr>
          <w:p w14:paraId="40F70DE3" w14:textId="04425415" w:rsidR="005E0EE9" w:rsidRPr="0013396E" w:rsidRDefault="005E0EE9" w:rsidP="0099759E">
            <w:pPr>
              <w:pStyle w:val="TableBody"/>
              <w:rPr>
                <w:i/>
              </w:rPr>
            </w:pPr>
            <w:r w:rsidRPr="0013396E">
              <w:rPr>
                <w:i/>
              </w:rPr>
              <w:t>Average Aggregated Set Point Generation per QSE per Settlement Point per Resource</w:t>
            </w:r>
            <w:r w:rsidRPr="0013396E">
              <w:t>—The average of the Average Five Minute Clock Interval Set Point (AVGSP5M) of Generation Resource</w:t>
            </w:r>
            <w:r w:rsidR="00245F93">
              <w:t xml:space="preserve"> or CLR</w:t>
            </w:r>
            <w:r w:rsidRPr="0013396E">
              <w:t xml:space="preserv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 </w:t>
            </w:r>
            <w:r w:rsidRPr="0013396E">
              <w:rPr>
                <w:i/>
              </w:rPr>
              <w:t>i.</w:t>
            </w:r>
          </w:p>
        </w:tc>
      </w:tr>
      <w:tr w:rsidR="005E0EE9" w:rsidRPr="0013396E" w14:paraId="30C7FA8E" w14:textId="77777777" w:rsidTr="0099759E">
        <w:trPr>
          <w:cantSplit/>
        </w:trPr>
        <w:tc>
          <w:tcPr>
            <w:tcW w:w="1975" w:type="dxa"/>
          </w:tcPr>
          <w:p w14:paraId="0A0438BE" w14:textId="77777777" w:rsidR="005E0EE9" w:rsidRPr="0013396E" w:rsidRDefault="005E0EE9" w:rsidP="0099759E">
            <w:pPr>
              <w:pStyle w:val="TableBody"/>
            </w:pPr>
            <w:r w:rsidRPr="0013396E">
              <w:t>AVGTG5M</w:t>
            </w:r>
            <w:r w:rsidRPr="0013396E">
              <w:rPr>
                <w:i/>
                <w:vertAlign w:val="subscript"/>
                <w:lang w:val="fr-FR"/>
              </w:rPr>
              <w:t xml:space="preserve"> q, r, p, i, y</w:t>
            </w:r>
          </w:p>
        </w:tc>
        <w:tc>
          <w:tcPr>
            <w:tcW w:w="900" w:type="dxa"/>
          </w:tcPr>
          <w:p w14:paraId="5F019582" w14:textId="77777777" w:rsidR="005E0EE9" w:rsidRPr="0013396E" w:rsidRDefault="005E0EE9" w:rsidP="0099759E">
            <w:pPr>
              <w:pStyle w:val="TableBody"/>
            </w:pPr>
            <w:r w:rsidRPr="0013396E">
              <w:t>MW</w:t>
            </w:r>
          </w:p>
        </w:tc>
        <w:tc>
          <w:tcPr>
            <w:tcW w:w="6942" w:type="dxa"/>
            <w:gridSpan w:val="2"/>
          </w:tcPr>
          <w:p w14:paraId="5AD176D0" w14:textId="77777777" w:rsidR="005E0EE9" w:rsidRPr="0013396E" w:rsidRDefault="005E0EE9" w:rsidP="0099759E">
            <w:pPr>
              <w:pStyle w:val="TableBody"/>
            </w:pPr>
            <w:r w:rsidRPr="0013396E">
              <w:rPr>
                <w:i/>
              </w:rPr>
              <w:t>Average Telemetered Generation for the 5 Minutes</w:t>
            </w:r>
            <w:r w:rsidRPr="0013396E">
              <w:t xml:space="preserve">—The average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5E0EE9" w:rsidRPr="0013396E" w14:paraId="288772D0" w14:textId="77777777" w:rsidTr="0099759E">
        <w:trPr>
          <w:cantSplit/>
        </w:trPr>
        <w:tc>
          <w:tcPr>
            <w:tcW w:w="1975" w:type="dxa"/>
          </w:tcPr>
          <w:p w14:paraId="02E3F022" w14:textId="77777777" w:rsidR="005E0EE9" w:rsidRPr="0013396E" w:rsidRDefault="005E0EE9" w:rsidP="0099759E">
            <w:pPr>
              <w:pStyle w:val="TableBody"/>
            </w:pPr>
            <w:r w:rsidRPr="0013396E">
              <w:t xml:space="preserve">OGENIRR </w:t>
            </w:r>
            <w:r w:rsidRPr="0013396E">
              <w:rPr>
                <w:i/>
                <w:vertAlign w:val="subscript"/>
              </w:rPr>
              <w:t>q, r, p, i</w:t>
            </w:r>
          </w:p>
        </w:tc>
        <w:tc>
          <w:tcPr>
            <w:tcW w:w="900" w:type="dxa"/>
          </w:tcPr>
          <w:p w14:paraId="7D7FF3F5" w14:textId="77777777" w:rsidR="005E0EE9" w:rsidRPr="0013396E" w:rsidRDefault="005E0EE9" w:rsidP="0099759E">
            <w:pPr>
              <w:pStyle w:val="TableBody"/>
            </w:pPr>
            <w:r w:rsidRPr="0013396E">
              <w:t>MWh</w:t>
            </w:r>
          </w:p>
        </w:tc>
        <w:tc>
          <w:tcPr>
            <w:tcW w:w="6942" w:type="dxa"/>
            <w:gridSpan w:val="2"/>
          </w:tcPr>
          <w:p w14:paraId="30BEF345" w14:textId="77777777" w:rsidR="005E0EE9" w:rsidRPr="0013396E" w:rsidRDefault="005E0EE9" w:rsidP="0099759E">
            <w:pPr>
              <w:pStyle w:val="TableBody"/>
            </w:pPr>
            <w:r w:rsidRPr="0013396E">
              <w:rPr>
                <w:i/>
              </w:rPr>
              <w:t>Over Generation Volumes per QSE per Settlement Point per IRR Generation Resource</w:t>
            </w:r>
            <w:r w:rsidRPr="0013396E">
              <w:t xml:space="preserve">—The amount over generated by the IRR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w:t>
            </w:r>
          </w:p>
        </w:tc>
      </w:tr>
      <w:tr w:rsidR="005E0EE9" w:rsidRPr="0013396E" w14:paraId="267535E3" w14:textId="77777777" w:rsidTr="0099759E">
        <w:trPr>
          <w:cantSplit/>
        </w:trPr>
        <w:tc>
          <w:tcPr>
            <w:tcW w:w="1975" w:type="dxa"/>
          </w:tcPr>
          <w:p w14:paraId="6F4C59BF" w14:textId="77777777" w:rsidR="005E0EE9" w:rsidRPr="0013396E" w:rsidRDefault="005E0EE9" w:rsidP="0099759E">
            <w:pPr>
              <w:pStyle w:val="TableBody"/>
            </w:pPr>
            <w:r w:rsidRPr="0013396E">
              <w:t>PR1</w:t>
            </w:r>
          </w:p>
        </w:tc>
        <w:tc>
          <w:tcPr>
            <w:tcW w:w="900" w:type="dxa"/>
          </w:tcPr>
          <w:p w14:paraId="5F1BD977" w14:textId="77777777" w:rsidR="005E0EE9" w:rsidRPr="0013396E" w:rsidRDefault="005E0EE9" w:rsidP="0099759E">
            <w:pPr>
              <w:pStyle w:val="TableBody"/>
            </w:pPr>
            <w:r w:rsidRPr="0013396E">
              <w:t>$/MWh</w:t>
            </w:r>
          </w:p>
        </w:tc>
        <w:tc>
          <w:tcPr>
            <w:tcW w:w="6942" w:type="dxa"/>
            <w:gridSpan w:val="2"/>
          </w:tcPr>
          <w:p w14:paraId="4A72856B" w14:textId="77777777" w:rsidR="005E0EE9" w:rsidRPr="0013396E" w:rsidRDefault="005E0EE9" w:rsidP="0099759E">
            <w:pPr>
              <w:pStyle w:val="TableBody"/>
            </w:pPr>
            <w:r w:rsidRPr="0013396E">
              <w:t xml:space="preserve">The price to use for the charge calculation when RTSPP is less than $20/MWh, $20/MWh.  </w:t>
            </w:r>
          </w:p>
        </w:tc>
      </w:tr>
      <w:tr w:rsidR="005E0EE9" w:rsidRPr="0013396E" w14:paraId="4FCFE5BA" w14:textId="77777777" w:rsidTr="0099759E">
        <w:trPr>
          <w:cantSplit/>
        </w:trPr>
        <w:tc>
          <w:tcPr>
            <w:tcW w:w="1975" w:type="dxa"/>
          </w:tcPr>
          <w:p w14:paraId="79A0FB09" w14:textId="77777777" w:rsidR="005E0EE9" w:rsidRPr="0013396E" w:rsidRDefault="005E0EE9" w:rsidP="0099759E">
            <w:pPr>
              <w:pStyle w:val="TableBody"/>
            </w:pPr>
            <w:r w:rsidRPr="0013396E">
              <w:t>KIRR</w:t>
            </w:r>
          </w:p>
        </w:tc>
        <w:tc>
          <w:tcPr>
            <w:tcW w:w="900" w:type="dxa"/>
          </w:tcPr>
          <w:p w14:paraId="2FCB839A" w14:textId="77777777" w:rsidR="005E0EE9" w:rsidRPr="0013396E" w:rsidRDefault="005E0EE9" w:rsidP="0099759E">
            <w:pPr>
              <w:pStyle w:val="TableBody"/>
            </w:pPr>
            <w:r w:rsidRPr="0013396E">
              <w:t>none</w:t>
            </w:r>
          </w:p>
        </w:tc>
        <w:tc>
          <w:tcPr>
            <w:tcW w:w="6942" w:type="dxa"/>
            <w:gridSpan w:val="2"/>
          </w:tcPr>
          <w:p w14:paraId="2D848430" w14:textId="77777777" w:rsidR="005E0EE9" w:rsidRPr="0013396E" w:rsidRDefault="005E0EE9" w:rsidP="0099759E">
            <w:pPr>
              <w:pStyle w:val="TableBody"/>
            </w:pPr>
            <w:r w:rsidRPr="0013396E">
              <w:t>The percentage tolerance for over-generation of an IRR, 5%.</w:t>
            </w:r>
          </w:p>
        </w:tc>
      </w:tr>
      <w:tr w:rsidR="005E0EE9" w:rsidRPr="0013396E" w14:paraId="58FA67D5" w14:textId="77777777" w:rsidTr="0099759E">
        <w:trPr>
          <w:cantSplit/>
        </w:trPr>
        <w:tc>
          <w:tcPr>
            <w:tcW w:w="1975" w:type="dxa"/>
          </w:tcPr>
          <w:p w14:paraId="75ACE490" w14:textId="77777777" w:rsidR="005E0EE9" w:rsidRPr="0013396E" w:rsidRDefault="005E0EE9" w:rsidP="0099759E">
            <w:pPr>
              <w:pStyle w:val="TableBody"/>
            </w:pPr>
            <w:r w:rsidRPr="0013396E">
              <w:t>N</w:t>
            </w:r>
          </w:p>
        </w:tc>
        <w:tc>
          <w:tcPr>
            <w:tcW w:w="900" w:type="dxa"/>
          </w:tcPr>
          <w:p w14:paraId="04C959E8" w14:textId="77777777" w:rsidR="005E0EE9" w:rsidRPr="0013396E" w:rsidRDefault="005E0EE9" w:rsidP="0099759E">
            <w:pPr>
              <w:pStyle w:val="TableBody"/>
            </w:pPr>
            <w:r w:rsidRPr="0013396E">
              <w:t>none</w:t>
            </w:r>
          </w:p>
        </w:tc>
        <w:tc>
          <w:tcPr>
            <w:tcW w:w="6942" w:type="dxa"/>
            <w:gridSpan w:val="2"/>
          </w:tcPr>
          <w:p w14:paraId="3B8ADAD8" w14:textId="77777777" w:rsidR="005E0EE9" w:rsidRPr="0013396E" w:rsidRDefault="005E0EE9" w:rsidP="0099759E">
            <w:pPr>
              <w:pStyle w:val="TableBody"/>
            </w:pPr>
            <w:r w:rsidRPr="0013396E">
              <w:t>The number of IRRs within an IRR Group.</w:t>
            </w:r>
          </w:p>
        </w:tc>
      </w:tr>
      <w:tr w:rsidR="005E0EE9" w:rsidRPr="0013396E" w14:paraId="042F1F05" w14:textId="77777777" w:rsidTr="0099759E">
        <w:trPr>
          <w:cantSplit/>
        </w:trPr>
        <w:tc>
          <w:tcPr>
            <w:tcW w:w="1975" w:type="dxa"/>
          </w:tcPr>
          <w:p w14:paraId="196E4EA4" w14:textId="77777777" w:rsidR="005E0EE9" w:rsidRPr="0013396E" w:rsidRDefault="005E0EE9" w:rsidP="0099759E">
            <w:pPr>
              <w:pStyle w:val="TableBody"/>
              <w:rPr>
                <w:i/>
              </w:rPr>
            </w:pPr>
            <w:r w:rsidRPr="0013396E">
              <w:rPr>
                <w:i/>
              </w:rPr>
              <w:t>q</w:t>
            </w:r>
          </w:p>
        </w:tc>
        <w:tc>
          <w:tcPr>
            <w:tcW w:w="900" w:type="dxa"/>
          </w:tcPr>
          <w:p w14:paraId="37CBB183" w14:textId="77777777" w:rsidR="005E0EE9" w:rsidRPr="0013396E" w:rsidRDefault="005E0EE9" w:rsidP="0099759E">
            <w:pPr>
              <w:pStyle w:val="TableBody"/>
            </w:pPr>
            <w:r w:rsidRPr="0013396E">
              <w:t>none</w:t>
            </w:r>
          </w:p>
        </w:tc>
        <w:tc>
          <w:tcPr>
            <w:tcW w:w="6942" w:type="dxa"/>
            <w:gridSpan w:val="2"/>
          </w:tcPr>
          <w:p w14:paraId="1C65B074" w14:textId="77777777" w:rsidR="005E0EE9" w:rsidRPr="0013396E" w:rsidRDefault="005E0EE9" w:rsidP="0099759E">
            <w:pPr>
              <w:pStyle w:val="TableBody"/>
            </w:pPr>
            <w:r w:rsidRPr="0013396E">
              <w:t>A QSE.</w:t>
            </w:r>
          </w:p>
        </w:tc>
      </w:tr>
      <w:tr w:rsidR="005E0EE9" w:rsidRPr="0013396E" w14:paraId="0FB7A8C8" w14:textId="77777777" w:rsidTr="0099759E">
        <w:trPr>
          <w:cantSplit/>
        </w:trPr>
        <w:tc>
          <w:tcPr>
            <w:tcW w:w="1975" w:type="dxa"/>
          </w:tcPr>
          <w:p w14:paraId="1EC5C43B" w14:textId="77777777" w:rsidR="005E0EE9" w:rsidRPr="0013396E" w:rsidRDefault="005E0EE9" w:rsidP="0099759E">
            <w:pPr>
              <w:pStyle w:val="TableBody"/>
              <w:rPr>
                <w:i/>
              </w:rPr>
            </w:pPr>
            <w:r w:rsidRPr="0013396E">
              <w:rPr>
                <w:i/>
              </w:rPr>
              <w:t>p</w:t>
            </w:r>
          </w:p>
        </w:tc>
        <w:tc>
          <w:tcPr>
            <w:tcW w:w="900" w:type="dxa"/>
          </w:tcPr>
          <w:p w14:paraId="2405D4DE" w14:textId="77777777" w:rsidR="005E0EE9" w:rsidRPr="0013396E" w:rsidRDefault="005E0EE9" w:rsidP="0099759E">
            <w:pPr>
              <w:pStyle w:val="TableBody"/>
            </w:pPr>
            <w:r w:rsidRPr="0013396E">
              <w:t>none</w:t>
            </w:r>
          </w:p>
        </w:tc>
        <w:tc>
          <w:tcPr>
            <w:tcW w:w="6942" w:type="dxa"/>
            <w:gridSpan w:val="2"/>
          </w:tcPr>
          <w:p w14:paraId="0EC3FC6D" w14:textId="77777777" w:rsidR="005E0EE9" w:rsidRPr="0013396E" w:rsidRDefault="005E0EE9" w:rsidP="0099759E">
            <w:pPr>
              <w:pStyle w:val="TableBody"/>
            </w:pPr>
            <w:r w:rsidRPr="0013396E">
              <w:t>A Settlement Point.</w:t>
            </w:r>
          </w:p>
        </w:tc>
      </w:tr>
      <w:tr w:rsidR="005E0EE9" w:rsidRPr="0013396E" w14:paraId="154CEA42" w14:textId="77777777" w:rsidTr="0099759E">
        <w:trPr>
          <w:cantSplit/>
        </w:trPr>
        <w:tc>
          <w:tcPr>
            <w:tcW w:w="1975" w:type="dxa"/>
          </w:tcPr>
          <w:p w14:paraId="13D2C991" w14:textId="77777777" w:rsidR="005E0EE9" w:rsidRPr="0013396E" w:rsidRDefault="005E0EE9" w:rsidP="0099759E">
            <w:pPr>
              <w:pStyle w:val="TableBody"/>
              <w:rPr>
                <w:i/>
              </w:rPr>
            </w:pPr>
            <w:r w:rsidRPr="0013396E">
              <w:rPr>
                <w:i/>
              </w:rPr>
              <w:t>r</w:t>
            </w:r>
          </w:p>
        </w:tc>
        <w:tc>
          <w:tcPr>
            <w:tcW w:w="900" w:type="dxa"/>
          </w:tcPr>
          <w:p w14:paraId="188B690A" w14:textId="77777777" w:rsidR="005E0EE9" w:rsidRPr="0013396E" w:rsidRDefault="005E0EE9" w:rsidP="0099759E">
            <w:pPr>
              <w:pStyle w:val="TableBody"/>
            </w:pPr>
            <w:r w:rsidRPr="0013396E">
              <w:t>none</w:t>
            </w:r>
          </w:p>
        </w:tc>
        <w:tc>
          <w:tcPr>
            <w:tcW w:w="6942" w:type="dxa"/>
            <w:gridSpan w:val="2"/>
          </w:tcPr>
          <w:p w14:paraId="3749624D" w14:textId="26C05D6D" w:rsidR="005E0EE9" w:rsidRPr="0013396E" w:rsidRDefault="005E0EE9" w:rsidP="0099759E">
            <w:pPr>
              <w:pStyle w:val="TableBody"/>
            </w:pPr>
            <w:r w:rsidRPr="0013396E">
              <w:rPr>
                <w:iCs w:val="0"/>
              </w:rPr>
              <w:t>An IRR Generation Resource</w:t>
            </w:r>
            <w:r w:rsidRPr="0013396E">
              <w:t xml:space="preserve"> </w:t>
            </w:r>
            <w:r w:rsidRPr="0013396E">
              <w:rPr>
                <w:iCs w:val="0"/>
              </w:rPr>
              <w:t>or an IRR within an IRR Group.</w:t>
            </w:r>
          </w:p>
        </w:tc>
      </w:tr>
      <w:tr w:rsidR="005E0EE9" w:rsidRPr="0013396E" w14:paraId="5E52A233" w14:textId="77777777" w:rsidTr="0099759E">
        <w:trPr>
          <w:cantSplit/>
          <w:trHeight w:val="152"/>
        </w:trPr>
        <w:tc>
          <w:tcPr>
            <w:tcW w:w="1975" w:type="dxa"/>
          </w:tcPr>
          <w:p w14:paraId="42C3A7FD" w14:textId="77777777" w:rsidR="005E0EE9" w:rsidRPr="0013396E" w:rsidDel="00B33B6F" w:rsidRDefault="005E0EE9" w:rsidP="0099759E">
            <w:pPr>
              <w:pStyle w:val="TableBody"/>
              <w:rPr>
                <w:i/>
              </w:rPr>
            </w:pPr>
            <w:r w:rsidRPr="0013396E">
              <w:rPr>
                <w:i/>
              </w:rPr>
              <w:t>i</w:t>
            </w:r>
          </w:p>
        </w:tc>
        <w:tc>
          <w:tcPr>
            <w:tcW w:w="900" w:type="dxa"/>
          </w:tcPr>
          <w:p w14:paraId="67106FB9" w14:textId="77777777" w:rsidR="005E0EE9" w:rsidRPr="0013396E" w:rsidDel="00B33B6F" w:rsidRDefault="005E0EE9" w:rsidP="0099759E">
            <w:pPr>
              <w:pStyle w:val="TableBody"/>
            </w:pPr>
            <w:r w:rsidRPr="0013396E">
              <w:t>none</w:t>
            </w:r>
          </w:p>
        </w:tc>
        <w:tc>
          <w:tcPr>
            <w:tcW w:w="6942" w:type="dxa"/>
            <w:gridSpan w:val="2"/>
          </w:tcPr>
          <w:p w14:paraId="7C9AEBBD" w14:textId="77777777" w:rsidR="005E0EE9" w:rsidRPr="0013396E" w:rsidDel="00B33B6F" w:rsidRDefault="005E0EE9" w:rsidP="0099759E">
            <w:pPr>
              <w:pStyle w:val="TableBody"/>
            </w:pPr>
            <w:r w:rsidRPr="0013396E">
              <w:t>A 15-minute Settlement Interval.</w:t>
            </w:r>
          </w:p>
        </w:tc>
      </w:tr>
      <w:tr w:rsidR="005E0EE9" w:rsidRPr="0013396E" w14:paraId="66D03B7B" w14:textId="77777777" w:rsidTr="0099759E">
        <w:trPr>
          <w:cantSplit/>
          <w:trHeight w:val="152"/>
        </w:trPr>
        <w:tc>
          <w:tcPr>
            <w:tcW w:w="1975" w:type="dxa"/>
            <w:tcBorders>
              <w:top w:val="single" w:sz="4" w:space="0" w:color="auto"/>
              <w:left w:val="single" w:sz="4" w:space="0" w:color="auto"/>
              <w:bottom w:val="single" w:sz="4" w:space="0" w:color="auto"/>
              <w:right w:val="single" w:sz="4" w:space="0" w:color="auto"/>
            </w:tcBorders>
          </w:tcPr>
          <w:p w14:paraId="23257823" w14:textId="77777777" w:rsidR="005E0EE9" w:rsidRPr="0013396E" w:rsidRDefault="005E0EE9" w:rsidP="0099759E">
            <w:pPr>
              <w:pStyle w:val="TableBody"/>
              <w:rPr>
                <w:i/>
              </w:rPr>
            </w:pPr>
            <w:r w:rsidRPr="0013396E">
              <w:rPr>
                <w:i/>
              </w:rPr>
              <w:t>y</w:t>
            </w:r>
          </w:p>
        </w:tc>
        <w:tc>
          <w:tcPr>
            <w:tcW w:w="900" w:type="dxa"/>
            <w:tcBorders>
              <w:top w:val="single" w:sz="4" w:space="0" w:color="auto"/>
              <w:left w:val="single" w:sz="4" w:space="0" w:color="auto"/>
              <w:bottom w:val="single" w:sz="4" w:space="0" w:color="auto"/>
              <w:right w:val="single" w:sz="4" w:space="0" w:color="auto"/>
            </w:tcBorders>
          </w:tcPr>
          <w:p w14:paraId="6F7EA8FC" w14:textId="77777777" w:rsidR="005E0EE9" w:rsidRPr="0013396E" w:rsidRDefault="005E0EE9" w:rsidP="0099759E">
            <w:pPr>
              <w:pStyle w:val="TableBody"/>
            </w:pPr>
            <w:r w:rsidRPr="0013396E">
              <w:t>none</w:t>
            </w:r>
          </w:p>
        </w:tc>
        <w:tc>
          <w:tcPr>
            <w:tcW w:w="6942" w:type="dxa"/>
            <w:gridSpan w:val="2"/>
            <w:tcBorders>
              <w:top w:val="single" w:sz="4" w:space="0" w:color="auto"/>
              <w:left w:val="single" w:sz="4" w:space="0" w:color="auto"/>
              <w:bottom w:val="single" w:sz="4" w:space="0" w:color="auto"/>
              <w:right w:val="single" w:sz="4" w:space="0" w:color="auto"/>
            </w:tcBorders>
          </w:tcPr>
          <w:p w14:paraId="6925B651" w14:textId="77777777" w:rsidR="005E0EE9" w:rsidRPr="0013396E" w:rsidRDefault="005E0EE9" w:rsidP="0099759E">
            <w:pPr>
              <w:pStyle w:val="TableBody"/>
            </w:pPr>
            <w:r w:rsidRPr="0013396E">
              <w:t xml:space="preserve">A five-minute clock interval in the Settlement Interval. </w:t>
            </w:r>
          </w:p>
        </w:tc>
      </w:tr>
      <w:tr w:rsidR="005E0EE9" w:rsidRPr="0013396E" w14:paraId="57DCADE1" w14:textId="77777777" w:rsidTr="0099759E">
        <w:trPr>
          <w:cantSplit/>
          <w:trHeight w:val="152"/>
        </w:trPr>
        <w:tc>
          <w:tcPr>
            <w:tcW w:w="1975" w:type="dxa"/>
            <w:tcBorders>
              <w:top w:val="single" w:sz="4" w:space="0" w:color="auto"/>
              <w:left w:val="single" w:sz="4" w:space="0" w:color="auto"/>
              <w:bottom w:val="single" w:sz="4" w:space="0" w:color="auto"/>
              <w:right w:val="single" w:sz="4" w:space="0" w:color="auto"/>
            </w:tcBorders>
          </w:tcPr>
          <w:p w14:paraId="5D86D9C3" w14:textId="77777777" w:rsidR="005E0EE9" w:rsidRPr="0013396E" w:rsidRDefault="005E0EE9" w:rsidP="0099759E">
            <w:pPr>
              <w:pStyle w:val="TableBody"/>
              <w:rPr>
                <w:i/>
              </w:rPr>
            </w:pPr>
            <w:r w:rsidRPr="0013396E">
              <w:rPr>
                <w:i/>
              </w:rPr>
              <w:t>wg</w:t>
            </w:r>
          </w:p>
        </w:tc>
        <w:tc>
          <w:tcPr>
            <w:tcW w:w="900" w:type="dxa"/>
            <w:tcBorders>
              <w:top w:val="single" w:sz="4" w:space="0" w:color="auto"/>
              <w:left w:val="single" w:sz="4" w:space="0" w:color="auto"/>
              <w:bottom w:val="single" w:sz="4" w:space="0" w:color="auto"/>
              <w:right w:val="single" w:sz="4" w:space="0" w:color="auto"/>
            </w:tcBorders>
          </w:tcPr>
          <w:p w14:paraId="195D0641" w14:textId="77777777" w:rsidR="005E0EE9" w:rsidRPr="0013396E" w:rsidRDefault="005E0EE9" w:rsidP="0099759E">
            <w:pPr>
              <w:pStyle w:val="TableBody"/>
            </w:pPr>
            <w:r w:rsidRPr="0013396E">
              <w:t>none</w:t>
            </w:r>
          </w:p>
        </w:tc>
        <w:tc>
          <w:tcPr>
            <w:tcW w:w="6942" w:type="dxa"/>
            <w:gridSpan w:val="2"/>
            <w:tcBorders>
              <w:top w:val="single" w:sz="4" w:space="0" w:color="auto"/>
              <w:left w:val="single" w:sz="4" w:space="0" w:color="auto"/>
              <w:bottom w:val="single" w:sz="4" w:space="0" w:color="auto"/>
              <w:right w:val="single" w:sz="4" w:space="0" w:color="auto"/>
            </w:tcBorders>
          </w:tcPr>
          <w:p w14:paraId="20C59B1F" w14:textId="77777777" w:rsidR="005E0EE9" w:rsidRPr="0013396E" w:rsidRDefault="005E0EE9" w:rsidP="0099759E">
            <w:pPr>
              <w:pStyle w:val="TableBody"/>
            </w:pPr>
            <w:r w:rsidRPr="0013396E">
              <w:t>An IRR Group.</w:t>
            </w:r>
          </w:p>
        </w:tc>
      </w:t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tbl>
    <w:p w14:paraId="7FA255B3" w14:textId="77777777" w:rsidR="00FC616C" w:rsidRPr="0013396E" w:rsidRDefault="00FC616C"/>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5"/>
      </w:tblGrid>
      <w:tr w:rsidR="00C22690" w:rsidRPr="0013396E" w14:paraId="5247AA1C" w14:textId="2D0BD00D" w:rsidTr="002401F7">
        <w:tc>
          <w:tcPr>
            <w:tcW w:w="10055" w:type="dxa"/>
            <w:tcBorders>
              <w:top w:val="single" w:sz="4" w:space="0" w:color="auto"/>
              <w:left w:val="single" w:sz="4" w:space="0" w:color="auto"/>
              <w:bottom w:val="single" w:sz="4" w:space="0" w:color="auto"/>
              <w:right w:val="single" w:sz="4" w:space="0" w:color="auto"/>
            </w:tcBorders>
            <w:shd w:val="pct12" w:color="auto" w:fill="auto"/>
          </w:tcPr>
          <w:p w14:paraId="68302B46" w14:textId="14C0BA0B" w:rsidR="00C22690" w:rsidRPr="0013396E" w:rsidRDefault="00C22690" w:rsidP="001B737D">
            <w:pPr>
              <w:pStyle w:val="Instructions"/>
              <w:spacing w:before="120"/>
            </w:pPr>
            <w:bookmarkStart w:id="1831" w:name="_Toc109009405"/>
            <w:bookmarkStart w:id="1832" w:name="_Toc397505024"/>
            <w:bookmarkStart w:id="1833" w:name="_Toc402357156"/>
            <w:bookmarkStart w:id="1834" w:name="_Toc422486536"/>
            <w:bookmarkStart w:id="1835" w:name="_Toc433093389"/>
            <w:bookmarkStart w:id="1836" w:name="_Toc433093547"/>
            <w:bookmarkStart w:id="1837" w:name="_Toc440874777"/>
            <w:bookmarkStart w:id="1838" w:name="_Toc448142334"/>
            <w:bookmarkStart w:id="1839" w:name="_Toc448142491"/>
            <w:bookmarkStart w:id="1840" w:name="_Toc458770332"/>
            <w:bookmarkStart w:id="1841" w:name="_Toc459294300"/>
            <w:bookmarkStart w:id="1842" w:name="_Toc463262793"/>
            <w:bookmarkStart w:id="1843" w:name="_Toc468286866"/>
            <w:bookmarkStart w:id="1844" w:name="_Toc481502906"/>
            <w:bookmarkStart w:id="1845" w:name="_Toc496080074"/>
            <w:bookmarkEnd w:id="1815"/>
            <w:r w:rsidRPr="0013396E">
              <w:t>[NPRR879</w:t>
            </w:r>
            <w:r w:rsidR="00FC616C">
              <w:t xml:space="preserve"> and</w:t>
            </w:r>
            <w:r w:rsidRPr="0013396E">
              <w:t xml:space="preserve"> NPRR963:  Replace applicable portions of Section 6.6.5.</w:t>
            </w:r>
            <w:r w:rsidR="00FC616C">
              <w:t>4</w:t>
            </w:r>
            <w:r w:rsidRPr="0013396E">
              <w:t xml:space="preserve"> above with the following upon system implementation:]</w:t>
            </w:r>
          </w:p>
          <w:p w14:paraId="41624720" w14:textId="50E2B143" w:rsidR="00C22690" w:rsidRPr="0013396E" w:rsidRDefault="00C22690" w:rsidP="00C22690">
            <w:pPr>
              <w:pStyle w:val="BodyText"/>
              <w:tabs>
                <w:tab w:val="left" w:pos="1230"/>
              </w:tabs>
              <w:spacing w:before="480"/>
              <w:outlineLvl w:val="3"/>
              <w:rPr>
                <w:b/>
                <w:lang w:val="fr-FR"/>
              </w:rPr>
            </w:pPr>
            <w:bookmarkStart w:id="1846" w:name="_Toc60040699"/>
            <w:bookmarkStart w:id="1847" w:name="_Toc65151758"/>
            <w:bookmarkStart w:id="1848" w:name="_Toc80174784"/>
            <w:bookmarkStart w:id="1849" w:name="_Toc112417664"/>
            <w:bookmarkStart w:id="1850" w:name="_Toc119310333"/>
            <w:bookmarkStart w:id="1851" w:name="_Toc125966266"/>
            <w:bookmarkStart w:id="1852" w:name="_Toc135992364"/>
            <w:bookmarkStart w:id="1853" w:name="_Toc170303560"/>
            <w:bookmarkStart w:id="1854" w:name="_Toc175157464"/>
            <w:bookmarkStart w:id="1855" w:name="_Toc236220198"/>
            <w:r w:rsidRPr="0013396E">
              <w:rPr>
                <w:b/>
                <w:lang w:val="fr-FR"/>
              </w:rPr>
              <w:t>6.6.5.4</w:t>
            </w:r>
            <w:r w:rsidRPr="0013396E">
              <w:rPr>
                <w:b/>
                <w:lang w:val="fr-FR"/>
              </w:rPr>
              <w:tab/>
              <w:t xml:space="preserve">IRR Generation Resource </w:t>
            </w:r>
            <w:r w:rsidR="008844A7" w:rsidRPr="0013396E">
              <w:rPr>
                <w:b/>
                <w:lang w:val="fr-FR"/>
              </w:rPr>
              <w:t>Set</w:t>
            </w:r>
            <w:r w:rsidRPr="0013396E">
              <w:rPr>
                <w:b/>
                <w:lang w:val="fr-FR"/>
              </w:rPr>
              <w:t xml:space="preserve"> Point Deviation Charge</w:t>
            </w:r>
            <w:bookmarkEnd w:id="1846"/>
            <w:bookmarkEnd w:id="1847"/>
            <w:bookmarkEnd w:id="1848"/>
            <w:bookmarkEnd w:id="1849"/>
            <w:bookmarkEnd w:id="1850"/>
            <w:bookmarkEnd w:id="1851"/>
            <w:bookmarkEnd w:id="1852"/>
            <w:bookmarkEnd w:id="1853"/>
            <w:bookmarkEnd w:id="1854"/>
            <w:bookmarkEnd w:id="1855"/>
          </w:p>
          <w:p w14:paraId="724F6C1E" w14:textId="6A404E3C" w:rsidR="00C22690" w:rsidRPr="0013396E" w:rsidRDefault="00C22690" w:rsidP="00C22690">
            <w:pPr>
              <w:pStyle w:val="BodyTextNumbered"/>
            </w:pPr>
            <w:r w:rsidRPr="0013396E">
              <w:t>(1)</w:t>
            </w:r>
            <w:r w:rsidRPr="0013396E">
              <w:tab/>
              <w:t xml:space="preserve">ERCOT shall charge a QSE for an IRR a </w:t>
            </w:r>
            <w:r w:rsidR="008844A7" w:rsidRPr="0013396E">
              <w:t>Set</w:t>
            </w:r>
            <w:r w:rsidRPr="0013396E">
              <w:t xml:space="preserve"> Point Deviation Charge if the IRR telemetered generation is more than </w:t>
            </w:r>
            <w:r w:rsidR="00C4333E" w:rsidRPr="0013396E">
              <w:t>5</w:t>
            </w:r>
            <w:r w:rsidRPr="0013396E">
              <w:t xml:space="preserve">% above its </w:t>
            </w:r>
            <w:r w:rsidR="008844A7" w:rsidRPr="0013396E">
              <w:t>AASP</w:t>
            </w:r>
            <w:r w:rsidRPr="0013396E">
              <w:t>, the flag signifying that the IRR has received a Base Point below the HDL used by SCED has been received</w:t>
            </w:r>
            <w:r w:rsidR="00C4333E" w:rsidRPr="0013396E">
              <w:t xml:space="preserve"> or the IRR has been instructed not to exceed its Base Point</w:t>
            </w:r>
            <w:r w:rsidRPr="0013396E">
              <w:t xml:space="preserve">, and the IRR is not </w:t>
            </w:r>
            <w:r w:rsidR="008844A7" w:rsidRPr="0013396E">
              <w:t>awarded</w:t>
            </w:r>
            <w:r w:rsidRPr="0013396E">
              <w:t xml:space="preserve"> Ancillary Service and is not part of an IRR Group in which at least one IRR is </w:t>
            </w:r>
            <w:r w:rsidR="008844A7" w:rsidRPr="0013396E">
              <w:t>awarded</w:t>
            </w:r>
            <w:r w:rsidRPr="0013396E">
              <w:t xml:space="preserve"> Ancillary Service for at least one SCED interval within the 15-minute Settlement Interval.</w:t>
            </w:r>
          </w:p>
          <w:p w14:paraId="6BF39E67" w14:textId="07B3E68D" w:rsidR="00C22690" w:rsidRPr="0013396E" w:rsidRDefault="00C22690" w:rsidP="00C22690">
            <w:pPr>
              <w:pStyle w:val="BodyTextNumbered"/>
            </w:pPr>
            <w:r w:rsidRPr="0013396E">
              <w:t>(2)</w:t>
            </w:r>
            <w:r w:rsidRPr="0013396E">
              <w:tab/>
              <w:t xml:space="preserve">For instances in which an IRR is </w:t>
            </w:r>
            <w:r w:rsidR="008844A7" w:rsidRPr="0013396E">
              <w:t>awarded</w:t>
            </w:r>
            <w:r w:rsidRPr="0013396E">
              <w:t xml:space="preserve"> Ancillary Service or is part of an IRR Group in which at least one IRR is </w:t>
            </w:r>
            <w:r w:rsidR="008844A7" w:rsidRPr="0013396E">
              <w:t>awarded</w:t>
            </w:r>
            <w:r w:rsidRPr="0013396E">
              <w:t xml:space="preserve"> Ancillary Service for at least one SCED interval within the 15-minute Settlement Interval, </w:t>
            </w:r>
            <w:r w:rsidR="008844A7" w:rsidRPr="0013396E">
              <w:t>Set</w:t>
            </w:r>
            <w:r w:rsidRPr="0013396E">
              <w:t xml:space="preserve"> Point Deviation Charges will be determined per Section 6.6.5.2, </w:t>
            </w:r>
            <w:r w:rsidR="008844A7" w:rsidRPr="0013396E">
              <w:t>Set</w:t>
            </w:r>
            <w:r w:rsidRPr="0013396E">
              <w:t xml:space="preserve"> Point Deviation Charge for Over Generation, and Section 6.6.5.2.1, </w:t>
            </w:r>
            <w:r w:rsidR="008844A7" w:rsidRPr="0013396E">
              <w:t>Set</w:t>
            </w:r>
            <w:r w:rsidRPr="0013396E">
              <w:t xml:space="preserve"> Point Deviation Charge for Under Generation.</w:t>
            </w:r>
          </w:p>
          <w:p w14:paraId="7C10B7A5" w14:textId="4648B3D9" w:rsidR="00C22690" w:rsidRPr="0013396E" w:rsidRDefault="00C22690" w:rsidP="00C22690">
            <w:pPr>
              <w:pStyle w:val="BodyTextNumbered"/>
              <w:rPr>
                <w:iCs/>
              </w:rPr>
            </w:pPr>
            <w:r w:rsidRPr="0013396E">
              <w:rPr>
                <w:iCs/>
              </w:rPr>
              <w:t>(3)</w:t>
            </w:r>
            <w:r w:rsidRPr="0013396E">
              <w:rPr>
                <w:iCs/>
              </w:rPr>
              <w:tab/>
              <w:t>The charge to each QSE for non-excused over-generation of each IRR that is not included in an IRR Group at each Resource Node Settlement Point during a 15-minute Settlement Interval, is calculated as follows:</w:t>
            </w:r>
          </w:p>
          <w:p w14:paraId="28623A3E" w14:textId="1DE2EC06" w:rsidR="00C22690" w:rsidRPr="0013396E" w:rsidRDefault="00C22690" w:rsidP="00C22690">
            <w:pPr>
              <w:ind w:left="720"/>
              <w:rPr>
                <w:lang w:val="pt-BR"/>
              </w:rPr>
            </w:pPr>
            <w:r w:rsidRPr="0013396E">
              <w:rPr>
                <w:lang w:val="pt-BR"/>
              </w:rPr>
              <w:t xml:space="preserve">If </w:t>
            </w:r>
            <w:r w:rsidRPr="0013396E">
              <w:t>the flag signifying that the IRR has received a Base Point below the HDL used by SCED</w:t>
            </w:r>
            <w:r w:rsidR="00C4333E" w:rsidRPr="0013396E">
              <w:t xml:space="preserve"> or the IRR has been instructed not to exceed its Base Point</w:t>
            </w:r>
            <w:r w:rsidRPr="0013396E">
              <w:t xml:space="preserve"> is not set </w:t>
            </w:r>
            <w:r w:rsidRPr="0013396E">
              <w:rPr>
                <w:lang w:val="pt-BR"/>
              </w:rPr>
              <w:t>in all SCED intervals within the 15-minute Settlement Interval:</w:t>
            </w:r>
          </w:p>
          <w:p w14:paraId="5B611565" w14:textId="458DE6C9" w:rsidR="00C22690" w:rsidRPr="0013396E" w:rsidRDefault="008844A7" w:rsidP="00C22690">
            <w:pPr>
              <w:pStyle w:val="FormulaBold"/>
              <w:spacing w:before="120"/>
              <w:ind w:left="720" w:firstLine="0"/>
              <w:rPr>
                <w:lang w:val="pt-BR"/>
              </w:rPr>
            </w:pPr>
            <w:r w:rsidRPr="0013396E">
              <w:rPr>
                <w:lang w:val="pt-BR"/>
              </w:rPr>
              <w:lastRenderedPageBreak/>
              <w:t>S</w:t>
            </w:r>
            <w:r w:rsidR="00C22690" w:rsidRPr="0013396E">
              <w:rPr>
                <w:lang w:val="pt-BR"/>
              </w:rPr>
              <w:t xml:space="preserve">PDAMT </w:t>
            </w:r>
            <w:r w:rsidR="00C22690" w:rsidRPr="0013396E">
              <w:rPr>
                <w:i/>
                <w:vertAlign w:val="subscript"/>
                <w:lang w:val="pt-BR"/>
              </w:rPr>
              <w:t>q, r, p, i</w:t>
            </w:r>
            <w:r w:rsidR="00C22690" w:rsidRPr="0013396E">
              <w:rPr>
                <w:lang w:val="pt-BR"/>
              </w:rPr>
              <w:t xml:space="preserve"> =</w:t>
            </w:r>
            <w:r w:rsidR="00C22690" w:rsidRPr="0013396E">
              <w:rPr>
                <w:lang w:val="pt-BR"/>
              </w:rPr>
              <w:tab/>
              <w:t>0</w:t>
            </w:r>
          </w:p>
          <w:p w14:paraId="367E985C" w14:textId="1D18C036" w:rsidR="00C22690" w:rsidRPr="0013396E" w:rsidRDefault="00C22690" w:rsidP="00C22690">
            <w:pPr>
              <w:ind w:left="720"/>
              <w:rPr>
                <w:lang w:val="pt-BR"/>
              </w:rPr>
            </w:pPr>
            <w:r w:rsidRPr="0013396E">
              <w:rPr>
                <w:lang w:val="pt-BR"/>
              </w:rPr>
              <w:t xml:space="preserve">Otherwise, if </w:t>
            </w:r>
            <w:r w:rsidRPr="0013396E">
              <w:t xml:space="preserve">the flag signifying that the IRR has received a Base Point below the HDL used by SCED </w:t>
            </w:r>
            <w:r w:rsidR="00C4333E" w:rsidRPr="0013396E">
              <w:t xml:space="preserve">or the IRR has been instructed not to exceed its Base Point </w:t>
            </w:r>
            <w:r w:rsidRPr="0013396E">
              <w:t xml:space="preserve">is set </w:t>
            </w:r>
            <w:r w:rsidRPr="0013396E">
              <w:rPr>
                <w:lang w:val="pt-BR"/>
              </w:rPr>
              <w:t>in all SCED intervals within the 15-minute Settlement Interval:</w:t>
            </w:r>
          </w:p>
          <w:p w14:paraId="31A7E501" w14:textId="5992A398" w:rsidR="00C22690" w:rsidRPr="0013396E" w:rsidRDefault="00C22690" w:rsidP="00C22690">
            <w:pPr>
              <w:ind w:left="720"/>
              <w:rPr>
                <w:lang w:val="pt-BR"/>
              </w:rPr>
            </w:pPr>
          </w:p>
          <w:p w14:paraId="11091A34" w14:textId="5A0E817D" w:rsidR="00C22690" w:rsidRPr="0013396E" w:rsidRDefault="00C22690" w:rsidP="00C22690">
            <w:pPr>
              <w:pStyle w:val="FormulaBold"/>
              <w:tabs>
                <w:tab w:val="clear" w:pos="2250"/>
                <w:tab w:val="clear" w:pos="3150"/>
                <w:tab w:val="left" w:pos="720"/>
              </w:tabs>
              <w:ind w:left="2880" w:hanging="2880"/>
              <w:rPr>
                <w:lang w:val="pt-BR"/>
              </w:rPr>
            </w:pPr>
            <w:r w:rsidRPr="0013396E">
              <w:rPr>
                <w:lang w:val="pt-BR"/>
              </w:rPr>
              <w:tab/>
            </w:r>
            <w:r w:rsidR="008844A7" w:rsidRPr="0013396E">
              <w:rPr>
                <w:lang w:val="pt-BR"/>
              </w:rPr>
              <w:t>S</w:t>
            </w:r>
            <w:r w:rsidRPr="0013396E">
              <w:rPr>
                <w:lang w:val="pt-BR"/>
              </w:rPr>
              <w:t>PDAMT</w:t>
            </w:r>
            <w:r w:rsidRPr="0013396E">
              <w:rPr>
                <w:i/>
                <w:vertAlign w:val="subscript"/>
                <w:lang w:val="pt-BR"/>
              </w:rPr>
              <w:t xml:space="preserve"> q, r, p, i</w:t>
            </w:r>
            <w:r w:rsidRPr="0013396E">
              <w:rPr>
                <w:lang w:val="pt-BR"/>
              </w:rPr>
              <w:t xml:space="preserve"> =</w:t>
            </w:r>
            <w:r w:rsidRPr="0013396E">
              <w:rPr>
                <w:lang w:val="pt-BR"/>
              </w:rPr>
              <w:tab/>
            </w:r>
            <w:r w:rsidRPr="0013396E">
              <w:t xml:space="preserve">Max (PR1, RTSPP </w:t>
            </w:r>
            <w:r w:rsidRPr="0013396E">
              <w:rPr>
                <w:i/>
                <w:vertAlign w:val="subscript"/>
              </w:rPr>
              <w:t>p, i</w:t>
            </w:r>
            <w:r w:rsidRPr="0013396E">
              <w:t>) * OGENIRR</w:t>
            </w:r>
            <w:r w:rsidRPr="0013396E">
              <w:rPr>
                <w:sz w:val="18"/>
                <w:szCs w:val="18"/>
                <w:vertAlign w:val="subscript"/>
              </w:rPr>
              <w:t xml:space="preserve"> </w:t>
            </w:r>
            <w:r w:rsidRPr="0013396E">
              <w:rPr>
                <w:i/>
                <w:vertAlign w:val="subscript"/>
              </w:rPr>
              <w:t>q, r, p, i</w:t>
            </w:r>
          </w:p>
          <w:p w14:paraId="253EF144" w14:textId="50C941DA" w:rsidR="00C22690" w:rsidRPr="0013396E" w:rsidRDefault="00C22690" w:rsidP="00C22690">
            <w:pPr>
              <w:pStyle w:val="FormulaBold"/>
              <w:rPr>
                <w:b w:val="0"/>
              </w:rPr>
            </w:pPr>
            <w:r w:rsidRPr="0013396E">
              <w:rPr>
                <w:b w:val="0"/>
              </w:rPr>
              <w:t>Where:</w:t>
            </w:r>
          </w:p>
          <w:p w14:paraId="7ABA9644" w14:textId="4A4A9D6E" w:rsidR="00C22690" w:rsidRPr="0013396E" w:rsidRDefault="00C22690" w:rsidP="00C22690">
            <w:pPr>
              <w:pStyle w:val="FormulaBold"/>
              <w:rPr>
                <w:b w:val="0"/>
              </w:rPr>
            </w:pPr>
            <w:r w:rsidRPr="0013396E">
              <w:rPr>
                <w:b w:val="0"/>
              </w:rPr>
              <w:t>OGENIRR</w:t>
            </w:r>
            <w:r w:rsidRPr="0013396E">
              <w:rPr>
                <w:b w:val="0"/>
                <w:i/>
                <w:iCs/>
                <w:vertAlign w:val="subscript"/>
                <w:lang w:val="es-ES"/>
              </w:rPr>
              <w:t xml:space="preserve"> q, r, p, i  </w:t>
            </w:r>
            <w:r w:rsidRPr="0013396E">
              <w:rPr>
                <w:b w:val="0"/>
              </w:rPr>
              <w:t xml:space="preserve"> = Max [0, TWTG</w:t>
            </w:r>
            <w:r w:rsidRPr="0013396E">
              <w:rPr>
                <w:b w:val="0"/>
                <w:i/>
                <w:iCs/>
                <w:vertAlign w:val="subscript"/>
                <w:lang w:val="es-ES"/>
              </w:rPr>
              <w:t xml:space="preserve"> q, r, p, i </w:t>
            </w:r>
            <w:r w:rsidRPr="0013396E">
              <w:rPr>
                <w:b w:val="0"/>
              </w:rPr>
              <w:t xml:space="preserve"> – ¼ * AA</w:t>
            </w:r>
            <w:r w:rsidR="008844A7" w:rsidRPr="0013396E">
              <w:rPr>
                <w:b w:val="0"/>
              </w:rPr>
              <w:t>S</w:t>
            </w:r>
            <w:r w:rsidRPr="0013396E">
              <w:rPr>
                <w:b w:val="0"/>
              </w:rPr>
              <w:t>P</w:t>
            </w:r>
            <w:r w:rsidRPr="0013396E">
              <w:rPr>
                <w:b w:val="0"/>
                <w:i/>
                <w:iCs/>
                <w:vertAlign w:val="subscript"/>
                <w:lang w:val="es-ES"/>
              </w:rPr>
              <w:t xml:space="preserve"> q, r, p, i * </w:t>
            </w:r>
            <w:r w:rsidRPr="0013396E">
              <w:rPr>
                <w:b w:val="0"/>
              </w:rPr>
              <w:t xml:space="preserve"> (1 + KIRR)]</w:t>
            </w:r>
          </w:p>
          <w:p w14:paraId="6323A35D" w14:textId="32F54809" w:rsidR="00C22690" w:rsidRPr="0013396E" w:rsidRDefault="00C22690" w:rsidP="00C22690">
            <w:pPr>
              <w:pStyle w:val="Formula"/>
              <w:ind w:left="2880" w:hanging="2160"/>
            </w:pPr>
            <w:r w:rsidRPr="0013396E">
              <w:t>TWTG</w:t>
            </w:r>
            <w:r w:rsidRPr="0013396E">
              <w:rPr>
                <w:i/>
                <w:vertAlign w:val="subscript"/>
              </w:rPr>
              <w:t xml:space="preserve"> q, r, p, i</w:t>
            </w:r>
            <w:r w:rsidRPr="0013396E">
              <w:rPr>
                <w:i/>
                <w:vertAlign w:val="subscript"/>
              </w:rPr>
              <w:tab/>
              <w:t xml:space="preserve">=      </w:t>
            </w:r>
            <w:r w:rsidRPr="0013396E">
              <w:t xml:space="preserve"> (</w:t>
            </w:r>
            <w:r w:rsidRPr="0013396E">
              <w:rPr>
                <w:position w:val="-22"/>
              </w:rPr>
              <w:object w:dxaOrig="210" w:dyaOrig="450" w14:anchorId="7E3F8545">
                <v:shape id="_x0000_i1157" type="#_x0000_t75" style="width:6pt;height:24pt" o:ole="">
                  <v:imagedata r:id="rId178" o:title=""/>
                </v:shape>
                <o:OLEObject Type="Embed" ProgID="Equation.3" ShapeID="_x0000_i1157" DrawAspect="Content" ObjectID="_1849065788" r:id="rId190"/>
              </w:object>
            </w:r>
            <w:r w:rsidRPr="0013396E">
              <w:t xml:space="preserve"> (AVGTG5M</w:t>
            </w:r>
            <w:r w:rsidRPr="0013396E">
              <w:rPr>
                <w:i/>
                <w:vertAlign w:val="subscript"/>
              </w:rPr>
              <w:t xml:space="preserve"> q, r, p, i, y</w:t>
            </w:r>
            <w:r w:rsidRPr="0013396E">
              <w:t>) / 3) * ¼</w:t>
            </w:r>
          </w:p>
          <w:p w14:paraId="693F1FF1" w14:textId="1F8D57BF" w:rsidR="00C22690" w:rsidRPr="0013396E" w:rsidRDefault="00C22690" w:rsidP="00C22690">
            <w:pPr>
              <w:spacing w:after="240"/>
              <w:ind w:left="720" w:hanging="720"/>
              <w:rPr>
                <w:iCs/>
              </w:rPr>
            </w:pPr>
            <w:r w:rsidRPr="0013396E">
              <w:rPr>
                <w:iCs/>
              </w:rPr>
              <w:t>(4)</w:t>
            </w:r>
            <w:r w:rsidRPr="0013396E">
              <w:rPr>
                <w:iCs/>
              </w:rPr>
              <w:tab/>
              <w:t>The charge to each QSE for non-excused over-generation of each IRR that is included in an IRR Group, at each Resource Node Settlement Point, if the telemetered generation is greater than the upper tolerance during a 15-minute Settlement Interval, is calculated as follows:</w:t>
            </w:r>
          </w:p>
          <w:p w14:paraId="35B955BD" w14:textId="49ED399A" w:rsidR="00C22690" w:rsidRPr="0013396E" w:rsidRDefault="00C22690" w:rsidP="00C22690">
            <w:pPr>
              <w:ind w:left="720"/>
              <w:rPr>
                <w:lang w:val="pt-BR"/>
              </w:rPr>
            </w:pPr>
            <w:r w:rsidRPr="0013396E">
              <w:rPr>
                <w:lang w:val="pt-BR"/>
              </w:rPr>
              <w:t xml:space="preserve">If </w:t>
            </w:r>
            <w:r w:rsidRPr="0013396E">
              <w:t>the flag signifying that the IRR has received a Base Point below the HDL used by SCED</w:t>
            </w:r>
            <w:r w:rsidR="00C4333E" w:rsidRPr="0013396E">
              <w:t xml:space="preserve"> or the IRR has been instructed not to exceed its Base Point</w:t>
            </w:r>
            <w:r w:rsidRPr="0013396E">
              <w:t xml:space="preserve"> is not set </w:t>
            </w:r>
            <w:r w:rsidRPr="0013396E">
              <w:rPr>
                <w:lang w:val="pt-BR"/>
              </w:rPr>
              <w:t>in all SCED intervals within the 15-minute Settlement Interval for any of the IRRs within an IRR Group, then for all IRRs within an IRR Group:</w:t>
            </w:r>
          </w:p>
          <w:p w14:paraId="221B10CC" w14:textId="71494BAA" w:rsidR="00C22690" w:rsidRPr="0013396E" w:rsidRDefault="008844A7" w:rsidP="00C22690">
            <w:pPr>
              <w:tabs>
                <w:tab w:val="left" w:pos="2340"/>
                <w:tab w:val="left" w:pos="3420"/>
              </w:tabs>
              <w:spacing w:before="120" w:after="240"/>
              <w:ind w:left="720"/>
              <w:rPr>
                <w:b/>
                <w:bCs/>
                <w:lang w:val="pt-BR"/>
              </w:rPr>
            </w:pPr>
            <w:r w:rsidRPr="0013396E">
              <w:rPr>
                <w:b/>
                <w:bCs/>
                <w:lang w:val="pt-BR"/>
              </w:rPr>
              <w:t>S</w:t>
            </w:r>
            <w:r w:rsidR="00C22690" w:rsidRPr="0013396E">
              <w:rPr>
                <w:b/>
                <w:bCs/>
                <w:lang w:val="pt-BR"/>
              </w:rPr>
              <w:t xml:space="preserve">PDAMT </w:t>
            </w:r>
            <w:r w:rsidR="00C22690" w:rsidRPr="0013396E">
              <w:rPr>
                <w:b/>
                <w:bCs/>
                <w:i/>
                <w:vertAlign w:val="subscript"/>
                <w:lang w:val="pt-BR"/>
              </w:rPr>
              <w:t>q, r, p</w:t>
            </w:r>
            <w:r w:rsidR="00C22690" w:rsidRPr="0013396E">
              <w:rPr>
                <w:b/>
                <w:bCs/>
                <w:lang w:val="pt-BR"/>
              </w:rPr>
              <w:t xml:space="preserve"> =</w:t>
            </w:r>
            <w:r w:rsidR="00C22690" w:rsidRPr="0013396E">
              <w:rPr>
                <w:b/>
                <w:bCs/>
                <w:lang w:val="pt-BR"/>
              </w:rPr>
              <w:tab/>
              <w:t>0</w:t>
            </w:r>
          </w:p>
          <w:p w14:paraId="0360337C" w14:textId="7A06B233" w:rsidR="00C22690" w:rsidRPr="0013396E" w:rsidRDefault="00C22690" w:rsidP="00C22690">
            <w:pPr>
              <w:ind w:left="720"/>
              <w:rPr>
                <w:lang w:val="pt-BR"/>
              </w:rPr>
            </w:pPr>
            <w:r w:rsidRPr="0013396E">
              <w:rPr>
                <w:lang w:val="pt-BR"/>
              </w:rPr>
              <w:t xml:space="preserve">If </w:t>
            </w:r>
            <w:r w:rsidRPr="0013396E">
              <w:t>the flag signifying that the IRR has received a Base Point below the HDL used by SCED</w:t>
            </w:r>
            <w:r w:rsidR="00045FBB" w:rsidRPr="0013396E">
              <w:t xml:space="preserve"> or the IRR has been instructed not to exceed its Base Point</w:t>
            </w:r>
            <w:r w:rsidRPr="0013396E">
              <w:t xml:space="preserve"> is set </w:t>
            </w:r>
            <w:r w:rsidRPr="0013396E">
              <w:rPr>
                <w:lang w:val="pt-BR"/>
              </w:rPr>
              <w:t>in all SCED intervals within the 15-minute Settlement Interval for any of the IRRs within an IRR Group, then the deviation penalty is determined for the IRR Group and evenly allocated and charged to each IRR within that IRR Group:</w:t>
            </w:r>
          </w:p>
          <w:p w14:paraId="1CA3D991" w14:textId="6DEF49B5" w:rsidR="00C22690" w:rsidRPr="0013396E" w:rsidRDefault="00C22690" w:rsidP="00C22690">
            <w:pPr>
              <w:rPr>
                <w:lang w:val="pt-BR"/>
              </w:rPr>
            </w:pPr>
          </w:p>
          <w:p w14:paraId="54DE4805" w14:textId="76CC117E" w:rsidR="00C22690" w:rsidRPr="0013396E" w:rsidRDefault="00C22690" w:rsidP="00C22690">
            <w:pPr>
              <w:tabs>
                <w:tab w:val="left" w:pos="720"/>
                <w:tab w:val="left" w:pos="2340"/>
                <w:tab w:val="left" w:pos="3420"/>
              </w:tabs>
              <w:spacing w:after="240"/>
              <w:ind w:left="2880" w:hanging="2880"/>
              <w:rPr>
                <w:b/>
                <w:bCs/>
                <w:lang w:val="pt-BR"/>
              </w:rPr>
            </w:pPr>
            <w:r w:rsidRPr="0013396E">
              <w:rPr>
                <w:b/>
                <w:bCs/>
                <w:lang w:val="pt-BR"/>
              </w:rPr>
              <w:tab/>
            </w:r>
            <w:r w:rsidR="008844A7" w:rsidRPr="0013396E">
              <w:rPr>
                <w:b/>
                <w:bCs/>
                <w:lang w:val="pt-BR"/>
              </w:rPr>
              <w:t>S</w:t>
            </w:r>
            <w:r w:rsidRPr="0013396E">
              <w:rPr>
                <w:b/>
                <w:bCs/>
                <w:lang w:val="pt-BR"/>
              </w:rPr>
              <w:t>PDAMT</w:t>
            </w:r>
            <w:r w:rsidRPr="0013396E">
              <w:rPr>
                <w:b/>
                <w:bCs/>
                <w:i/>
                <w:vertAlign w:val="subscript"/>
                <w:lang w:val="pt-BR"/>
              </w:rPr>
              <w:t xml:space="preserve"> q, r, p</w:t>
            </w:r>
            <w:r w:rsidRPr="0013396E">
              <w:rPr>
                <w:b/>
                <w:bCs/>
                <w:lang w:val="pt-BR"/>
              </w:rPr>
              <w:t xml:space="preserve"> = Max (PR1, RTSPP </w:t>
            </w:r>
            <w:r w:rsidRPr="0013396E">
              <w:rPr>
                <w:b/>
                <w:bCs/>
                <w:i/>
                <w:vertAlign w:val="subscript"/>
                <w:lang w:val="pt-BR"/>
              </w:rPr>
              <w:t>p</w:t>
            </w:r>
            <w:r w:rsidRPr="0013396E">
              <w:rPr>
                <w:b/>
                <w:bCs/>
                <w:lang w:val="pt-BR"/>
              </w:rPr>
              <w:t xml:space="preserve">) * OGENIRR </w:t>
            </w:r>
            <w:r w:rsidRPr="0013396E">
              <w:rPr>
                <w:rFonts w:ascii="Times New Roman Bold" w:hAnsi="Times New Roman Bold"/>
                <w:b/>
                <w:bCs/>
                <w:i/>
                <w:vertAlign w:val="subscript"/>
                <w:lang w:val="pt-BR"/>
              </w:rPr>
              <w:t xml:space="preserve">q, r, i </w:t>
            </w:r>
          </w:p>
          <w:p w14:paraId="6E7DD86E" w14:textId="4C165F78" w:rsidR="00C22690" w:rsidRPr="0013396E" w:rsidRDefault="00C22690" w:rsidP="00C22690">
            <w:pPr>
              <w:tabs>
                <w:tab w:val="left" w:pos="2340"/>
                <w:tab w:val="left" w:pos="3420"/>
                <w:tab w:val="right" w:pos="9360"/>
              </w:tabs>
              <w:spacing w:after="240"/>
              <w:ind w:left="3420" w:hanging="2700"/>
              <w:rPr>
                <w:bCs/>
              </w:rPr>
            </w:pPr>
            <w:r w:rsidRPr="0013396E">
              <w:rPr>
                <w:bCs/>
              </w:rPr>
              <w:t>Where:</w:t>
            </w:r>
          </w:p>
          <w:p w14:paraId="6CE4F463" w14:textId="5BBC74F8" w:rsidR="00C22690" w:rsidRPr="0013396E" w:rsidRDefault="00C22690" w:rsidP="00C22690">
            <w:pPr>
              <w:tabs>
                <w:tab w:val="left" w:pos="2340"/>
                <w:tab w:val="left" w:pos="3420"/>
                <w:tab w:val="right" w:pos="9360"/>
              </w:tabs>
              <w:spacing w:after="240"/>
              <w:ind w:left="3420" w:hanging="2700"/>
              <w:rPr>
                <w:bCs/>
              </w:rPr>
            </w:pPr>
            <w:r w:rsidRPr="0013396E">
              <w:rPr>
                <w:bCs/>
              </w:rPr>
              <w:t>OGENIRR</w:t>
            </w:r>
            <w:r w:rsidRPr="0013396E">
              <w:rPr>
                <w:bCs/>
                <w:i/>
                <w:iCs/>
                <w:vertAlign w:val="subscript"/>
                <w:lang w:val="es-ES"/>
              </w:rPr>
              <w:t xml:space="preserve"> q, r, i  </w:t>
            </w:r>
            <w:r w:rsidRPr="0013396E">
              <w:rPr>
                <w:bCs/>
              </w:rPr>
              <w:t xml:space="preserve"> = Max [0, TWTG</w:t>
            </w:r>
            <w:r w:rsidRPr="0013396E">
              <w:rPr>
                <w:bCs/>
                <w:i/>
                <w:iCs/>
                <w:vertAlign w:val="subscript"/>
                <w:lang w:val="es-ES"/>
              </w:rPr>
              <w:t xml:space="preserve"> q, wg, i </w:t>
            </w:r>
            <w:r w:rsidRPr="0013396E">
              <w:rPr>
                <w:bCs/>
              </w:rPr>
              <w:t xml:space="preserve"> – ¼ * AA</w:t>
            </w:r>
            <w:r w:rsidR="008844A7" w:rsidRPr="0013396E">
              <w:rPr>
                <w:bCs/>
              </w:rPr>
              <w:t>S</w:t>
            </w:r>
            <w:r w:rsidRPr="0013396E">
              <w:rPr>
                <w:bCs/>
              </w:rPr>
              <w:t>P</w:t>
            </w:r>
            <w:r w:rsidRPr="0013396E">
              <w:rPr>
                <w:bCs/>
                <w:i/>
                <w:iCs/>
                <w:vertAlign w:val="subscript"/>
                <w:lang w:val="es-ES"/>
              </w:rPr>
              <w:t xml:space="preserve"> q, wg, i * </w:t>
            </w:r>
            <w:r w:rsidRPr="0013396E">
              <w:rPr>
                <w:bCs/>
              </w:rPr>
              <w:t xml:space="preserve"> (1 + KIRR)] / N</w:t>
            </w:r>
          </w:p>
          <w:p w14:paraId="268060B2" w14:textId="2398D34B" w:rsidR="00C22690" w:rsidRPr="0013396E" w:rsidRDefault="00C22690" w:rsidP="00C22690">
            <w:pPr>
              <w:pStyle w:val="Formula"/>
              <w:ind w:left="2880" w:hanging="2160"/>
            </w:pPr>
            <w:r w:rsidRPr="0013396E">
              <w:t>TWTG</w:t>
            </w:r>
            <w:r w:rsidRPr="0013396E">
              <w:rPr>
                <w:i/>
                <w:vertAlign w:val="subscript"/>
              </w:rPr>
              <w:t xml:space="preserve"> q, wg, i</w:t>
            </w:r>
            <w:r w:rsidRPr="0013396E">
              <w:rPr>
                <w:i/>
                <w:vertAlign w:val="subscript"/>
              </w:rPr>
              <w:tab/>
              <w:t xml:space="preserve">=     </w:t>
            </w:r>
            <w:r w:rsidRPr="0013396E">
              <w:t xml:space="preserve"> </w:t>
            </w:r>
            <w:r w:rsidRPr="0013396E">
              <w:rPr>
                <w:bCs w:val="0"/>
                <w:noProof/>
                <w:position w:val="-18"/>
              </w:rPr>
              <w:drawing>
                <wp:inline distT="0" distB="0" distL="0" distR="0" wp14:anchorId="65E8A20C" wp14:editId="2FA56C84">
                  <wp:extent cx="135255" cy="246380"/>
                  <wp:effectExtent l="0" t="0" r="0" b="1270"/>
                  <wp:docPr id="3293" name="Picture 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bCs w:val="0"/>
                <w:lang w:val="es-ES"/>
              </w:rPr>
              <w:t>(</w:t>
            </w:r>
            <w:r w:rsidRPr="0013396E">
              <w:t>TWTG</w:t>
            </w:r>
            <w:r w:rsidRPr="0013396E">
              <w:rPr>
                <w:i/>
                <w:iCs/>
                <w:vertAlign w:val="subscript"/>
                <w:lang w:val="es-ES"/>
              </w:rPr>
              <w:t xml:space="preserve"> q, r, p, i</w:t>
            </w:r>
            <w:r w:rsidRPr="0013396E">
              <w:t>)</w:t>
            </w:r>
          </w:p>
          <w:p w14:paraId="260A4157" w14:textId="27467999" w:rsidR="00C22690" w:rsidRPr="0013396E" w:rsidRDefault="00C22690" w:rsidP="00C22690">
            <w:pPr>
              <w:tabs>
                <w:tab w:val="left" w:pos="2340"/>
                <w:tab w:val="left" w:pos="3420"/>
              </w:tabs>
              <w:spacing w:after="240"/>
              <w:ind w:leftChars="300" w:left="2880" w:hangingChars="900" w:hanging="2160"/>
              <w:rPr>
                <w:b/>
                <w:bCs/>
                <w:i/>
                <w:iCs/>
                <w:sz w:val="26"/>
                <w:szCs w:val="26"/>
              </w:rPr>
            </w:pPr>
            <w:r w:rsidRPr="0013396E">
              <w:rPr>
                <w:lang w:val="es-ES"/>
              </w:rPr>
              <w:t>AA</w:t>
            </w:r>
            <w:r w:rsidR="008844A7" w:rsidRPr="0013396E">
              <w:rPr>
                <w:lang w:val="es-ES"/>
              </w:rPr>
              <w:t>S</w:t>
            </w:r>
            <w:r w:rsidRPr="0013396E">
              <w:rPr>
                <w:lang w:val="es-ES"/>
              </w:rPr>
              <w:t>P</w:t>
            </w:r>
            <w:r w:rsidRPr="0013396E">
              <w:rPr>
                <w:i/>
                <w:vertAlign w:val="subscript"/>
                <w:lang w:val="pt-BR"/>
              </w:rPr>
              <w:t xml:space="preserve"> q, wg, i </w:t>
            </w:r>
            <w:r w:rsidRPr="0013396E">
              <w:rPr>
                <w:lang w:val="pt-BR"/>
              </w:rPr>
              <w:t xml:space="preserve">= </w:t>
            </w:r>
            <w:r w:rsidRPr="0013396E">
              <w:rPr>
                <w:noProof/>
                <w:position w:val="-18"/>
              </w:rPr>
              <w:drawing>
                <wp:inline distT="0" distB="0" distL="0" distR="0" wp14:anchorId="289D9B79" wp14:editId="4D165EBA">
                  <wp:extent cx="135255" cy="246380"/>
                  <wp:effectExtent l="0" t="0" r="0" b="1270"/>
                  <wp:docPr id="3292" name="Picture 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5255" cy="246380"/>
                          </a:xfrm>
                          <a:prstGeom prst="rect">
                            <a:avLst/>
                          </a:prstGeom>
                          <a:noFill/>
                          <a:ln>
                            <a:noFill/>
                          </a:ln>
                        </pic:spPr>
                      </pic:pic>
                    </a:graphicData>
                  </a:graphic>
                </wp:inline>
              </w:drawing>
            </w:r>
            <w:r w:rsidRPr="0013396E">
              <w:rPr>
                <w:lang w:val="es-ES"/>
              </w:rPr>
              <w:t>(</w:t>
            </w:r>
            <w:r w:rsidRPr="0013396E">
              <w:rPr>
                <w:lang w:val="pt-BR"/>
              </w:rPr>
              <w:t>AA</w:t>
            </w:r>
            <w:r w:rsidR="008844A7" w:rsidRPr="0013396E">
              <w:rPr>
                <w:lang w:val="pt-BR"/>
              </w:rPr>
              <w:t>S</w:t>
            </w:r>
            <w:r w:rsidRPr="0013396E">
              <w:rPr>
                <w:lang w:val="pt-BR"/>
              </w:rPr>
              <w:t>P</w:t>
            </w:r>
            <w:r w:rsidRPr="0013396E">
              <w:rPr>
                <w:i/>
                <w:vertAlign w:val="subscript"/>
                <w:lang w:val="pt-BR"/>
              </w:rPr>
              <w:t xml:space="preserve"> q, r, p, i</w:t>
            </w:r>
            <w:r w:rsidRPr="0013396E">
              <w:rPr>
                <w:lang w:val="pt-BR"/>
              </w:rPr>
              <w:t>)</w:t>
            </w:r>
          </w:p>
          <w:p w14:paraId="727974AE" w14:textId="6A8FB592" w:rsidR="00C22690" w:rsidRPr="0013396E" w:rsidRDefault="00C22690" w:rsidP="00C22690">
            <w:r w:rsidRPr="0013396E">
              <w:t>The above variables are defined as follows:</w:t>
            </w:r>
          </w:p>
          <w:tbl>
            <w:tblPr>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900"/>
              <w:gridCol w:w="6930"/>
              <w:gridCol w:w="12"/>
            </w:tblGrid>
            <w:tr w:rsidR="00C56A02" w:rsidRPr="0013396E" w14:paraId="62017E6B" w14:textId="304B3FE5" w:rsidTr="001B737D">
              <w:tc>
                <w:tcPr>
                  <w:tcW w:w="1975" w:type="dxa"/>
                </w:tcPr>
                <w:p w14:paraId="0FF43FCF" w14:textId="6DEF4C1F" w:rsidR="00C56A02" w:rsidRPr="0013396E" w:rsidRDefault="00C56A02" w:rsidP="00C56A02">
                  <w:pPr>
                    <w:pStyle w:val="TableHead"/>
                    <w:rPr>
                      <w:sz w:val="18"/>
                      <w:szCs w:val="18"/>
                    </w:rPr>
                  </w:pPr>
                  <w:r w:rsidRPr="0013396E">
                    <w:rPr>
                      <w:sz w:val="18"/>
                      <w:szCs w:val="18"/>
                    </w:rPr>
                    <w:t>Variable</w:t>
                  </w:r>
                </w:p>
              </w:tc>
              <w:tc>
                <w:tcPr>
                  <w:tcW w:w="900" w:type="dxa"/>
                </w:tcPr>
                <w:p w14:paraId="28408F8A" w14:textId="3DC53242" w:rsidR="00C56A02" w:rsidRPr="0013396E" w:rsidRDefault="00C56A02" w:rsidP="00C56A02">
                  <w:pPr>
                    <w:pStyle w:val="TableHead"/>
                    <w:rPr>
                      <w:sz w:val="18"/>
                      <w:szCs w:val="18"/>
                    </w:rPr>
                  </w:pPr>
                  <w:r w:rsidRPr="0013396E">
                    <w:rPr>
                      <w:sz w:val="18"/>
                      <w:szCs w:val="18"/>
                    </w:rPr>
                    <w:t>Unit</w:t>
                  </w:r>
                </w:p>
              </w:tc>
              <w:tc>
                <w:tcPr>
                  <w:tcW w:w="6942" w:type="dxa"/>
                  <w:gridSpan w:val="2"/>
                </w:tcPr>
                <w:p w14:paraId="4FCF6278" w14:textId="35B9B46B" w:rsidR="00C56A02" w:rsidRPr="0013396E" w:rsidRDefault="00C56A02" w:rsidP="00C56A02">
                  <w:pPr>
                    <w:pStyle w:val="TableHead"/>
                    <w:rPr>
                      <w:sz w:val="18"/>
                      <w:szCs w:val="18"/>
                    </w:rPr>
                  </w:pPr>
                  <w:r w:rsidRPr="0013396E">
                    <w:rPr>
                      <w:sz w:val="18"/>
                      <w:szCs w:val="18"/>
                    </w:rPr>
                    <w:t>Definition</w:t>
                  </w:r>
                </w:p>
              </w:tc>
            </w:tr>
            <w:tr w:rsidR="00C56A02" w:rsidRPr="0013396E" w14:paraId="726112FC" w14:textId="3989AB66" w:rsidTr="001B737D">
              <w:trPr>
                <w:cantSplit/>
              </w:trPr>
              <w:tc>
                <w:tcPr>
                  <w:tcW w:w="1975" w:type="dxa"/>
                </w:tcPr>
                <w:p w14:paraId="6E5BAD21" w14:textId="3DCFB4C8" w:rsidR="00C56A02" w:rsidRPr="0013396E" w:rsidRDefault="008844A7" w:rsidP="00C56A02">
                  <w:pPr>
                    <w:pStyle w:val="TableBody"/>
                  </w:pPr>
                  <w:r w:rsidRPr="0013396E">
                    <w:t>S</w:t>
                  </w:r>
                  <w:r w:rsidR="00C56A02" w:rsidRPr="0013396E">
                    <w:t xml:space="preserve">PDAMT </w:t>
                  </w:r>
                  <w:r w:rsidR="00C56A02" w:rsidRPr="0013396E">
                    <w:rPr>
                      <w:i/>
                      <w:vertAlign w:val="subscript"/>
                    </w:rPr>
                    <w:t>q, r, p, i</w:t>
                  </w:r>
                </w:p>
              </w:tc>
              <w:tc>
                <w:tcPr>
                  <w:tcW w:w="900" w:type="dxa"/>
                </w:tcPr>
                <w:p w14:paraId="4E0DB829" w14:textId="7F14EBDA" w:rsidR="00C56A02" w:rsidRPr="0013396E" w:rsidRDefault="00C56A02" w:rsidP="00C56A02">
                  <w:pPr>
                    <w:pStyle w:val="TableBody"/>
                  </w:pPr>
                  <w:r w:rsidRPr="0013396E">
                    <w:t>$</w:t>
                  </w:r>
                </w:p>
              </w:tc>
              <w:tc>
                <w:tcPr>
                  <w:tcW w:w="6942" w:type="dxa"/>
                  <w:gridSpan w:val="2"/>
                </w:tcPr>
                <w:p w14:paraId="7F5EC965" w14:textId="5F32C3AD" w:rsidR="00C56A02" w:rsidRPr="0013396E" w:rsidRDefault="008844A7" w:rsidP="008844A7">
                  <w:pPr>
                    <w:pStyle w:val="TableBody"/>
                  </w:pPr>
                  <w:r w:rsidRPr="0013396E">
                    <w:rPr>
                      <w:i/>
                    </w:rPr>
                    <w:t>Set</w:t>
                  </w:r>
                  <w:r w:rsidR="00C56A02" w:rsidRPr="0013396E">
                    <w:rPr>
                      <w:i/>
                    </w:rPr>
                    <w:t xml:space="preserve"> Point Deviation Charge per QSE per Settlement Point per Resource</w:t>
                  </w:r>
                  <w:r w:rsidR="00C56A02" w:rsidRPr="0013396E">
                    <w:t xml:space="preserve">—The charge to QSE </w:t>
                  </w:r>
                  <w:r w:rsidR="00C56A02" w:rsidRPr="0013396E">
                    <w:rPr>
                      <w:i/>
                    </w:rPr>
                    <w:t>q</w:t>
                  </w:r>
                  <w:r w:rsidR="00C56A02" w:rsidRPr="0013396E">
                    <w:t xml:space="preserve"> for Generation Resource </w:t>
                  </w:r>
                  <w:r w:rsidR="00C56A02" w:rsidRPr="0013396E">
                    <w:rPr>
                      <w:i/>
                    </w:rPr>
                    <w:t>r</w:t>
                  </w:r>
                  <w:r w:rsidR="00C56A02" w:rsidRPr="0013396E">
                    <w:t xml:space="preserve"> at Resource Node </w:t>
                  </w:r>
                  <w:r w:rsidR="00C56A02" w:rsidRPr="0013396E">
                    <w:rPr>
                      <w:i/>
                    </w:rPr>
                    <w:t>p</w:t>
                  </w:r>
                  <w:r w:rsidR="00C56A02" w:rsidRPr="0013396E">
                    <w:t xml:space="preserve">, for its deviation from </w:t>
                  </w:r>
                  <w:r w:rsidRPr="0013396E">
                    <w:t>AASP</w:t>
                  </w:r>
                  <w:r w:rsidR="00C56A02" w:rsidRPr="0013396E">
                    <w:t xml:space="preserve">, for the 15-minute Settlement Interval </w:t>
                  </w:r>
                  <w:r w:rsidR="00C56A02" w:rsidRPr="0013396E">
                    <w:rPr>
                      <w:i/>
                    </w:rPr>
                    <w:t>i</w:t>
                  </w:r>
                  <w:r w:rsidR="00C56A02" w:rsidRPr="0013396E">
                    <w:t>.</w:t>
                  </w:r>
                </w:p>
              </w:tc>
            </w:tr>
            <w:tr w:rsidR="00C56A02" w:rsidRPr="0013396E" w14:paraId="34CEB5BF" w14:textId="5413D16C" w:rsidTr="001B737D">
              <w:trPr>
                <w:cantSplit/>
              </w:trPr>
              <w:tc>
                <w:tcPr>
                  <w:tcW w:w="1975" w:type="dxa"/>
                </w:tcPr>
                <w:p w14:paraId="112251F3" w14:textId="0CAC2526" w:rsidR="00C56A02" w:rsidRPr="0013396E" w:rsidRDefault="00C56A02" w:rsidP="00C56A02">
                  <w:pPr>
                    <w:pStyle w:val="TableBody"/>
                  </w:pPr>
                  <w:r w:rsidRPr="0013396E">
                    <w:lastRenderedPageBreak/>
                    <w:t xml:space="preserve">RTSPP </w:t>
                  </w:r>
                  <w:r w:rsidRPr="0013396E">
                    <w:rPr>
                      <w:i/>
                      <w:vertAlign w:val="subscript"/>
                    </w:rPr>
                    <w:t>p, i</w:t>
                  </w:r>
                </w:p>
              </w:tc>
              <w:tc>
                <w:tcPr>
                  <w:tcW w:w="900" w:type="dxa"/>
                </w:tcPr>
                <w:p w14:paraId="6CAE8941" w14:textId="504A04D2" w:rsidR="00C56A02" w:rsidRPr="0013396E" w:rsidRDefault="00C56A02" w:rsidP="00C56A02">
                  <w:pPr>
                    <w:pStyle w:val="TableBody"/>
                  </w:pPr>
                  <w:r w:rsidRPr="0013396E">
                    <w:t>$/MWh</w:t>
                  </w:r>
                </w:p>
              </w:tc>
              <w:tc>
                <w:tcPr>
                  <w:tcW w:w="6942" w:type="dxa"/>
                  <w:gridSpan w:val="2"/>
                </w:tcPr>
                <w:p w14:paraId="7ED4625E" w14:textId="0E46FAE5" w:rsidR="00C56A02" w:rsidRPr="0013396E" w:rsidRDefault="00C56A02" w:rsidP="00C56A02">
                  <w:pPr>
                    <w:pStyle w:val="TableBody"/>
                  </w:pPr>
                  <w:r w:rsidRPr="0013396E">
                    <w:rPr>
                      <w:i/>
                    </w:rPr>
                    <w:t>Real-Time Settlement Point Price per Settlement Point</w:t>
                  </w:r>
                  <w:r w:rsidRPr="0013396E">
                    <w:t xml:space="preserve">—The Real-Time Settlement Point Price at Resource Node </w:t>
                  </w:r>
                  <w:r w:rsidRPr="0013396E">
                    <w:rPr>
                      <w:i/>
                    </w:rPr>
                    <w:t>p</w:t>
                  </w:r>
                  <w:r w:rsidRPr="0013396E">
                    <w:t xml:space="preserve">, for the 15-minute Settlement Interval </w:t>
                  </w:r>
                  <w:r w:rsidRPr="0013396E">
                    <w:rPr>
                      <w:i/>
                    </w:rPr>
                    <w:t>i</w:t>
                  </w:r>
                  <w:r w:rsidRPr="0013396E">
                    <w:t>.</w:t>
                  </w:r>
                </w:p>
              </w:tc>
            </w:tr>
            <w:tr w:rsidR="00C56A02" w:rsidRPr="0013396E" w14:paraId="6ED520AF" w14:textId="77946465" w:rsidTr="001B737D">
              <w:trPr>
                <w:gridAfter w:val="1"/>
                <w:wAfter w:w="12" w:type="dxa"/>
                <w:cantSplit/>
              </w:trPr>
              <w:tc>
                <w:tcPr>
                  <w:tcW w:w="1975" w:type="dxa"/>
                </w:tcPr>
                <w:p w14:paraId="791F3521" w14:textId="065916C0" w:rsidR="00C56A02" w:rsidRPr="0013396E" w:rsidRDefault="00C56A02" w:rsidP="00C56A02">
                  <w:pPr>
                    <w:pStyle w:val="TableBody"/>
                  </w:pPr>
                  <w:r w:rsidRPr="0013396E">
                    <w:t xml:space="preserve">TWTG </w:t>
                  </w:r>
                  <w:r w:rsidRPr="0013396E">
                    <w:rPr>
                      <w:i/>
                      <w:vertAlign w:val="subscript"/>
                    </w:rPr>
                    <w:t>q, r, p, i</w:t>
                  </w:r>
                </w:p>
              </w:tc>
              <w:tc>
                <w:tcPr>
                  <w:tcW w:w="900" w:type="dxa"/>
                </w:tcPr>
                <w:p w14:paraId="3D461D89" w14:textId="4CA2F9DD" w:rsidR="00C56A02" w:rsidRPr="0013396E" w:rsidRDefault="00C56A02" w:rsidP="00C56A02">
                  <w:pPr>
                    <w:pStyle w:val="TableBody"/>
                  </w:pPr>
                  <w:r w:rsidRPr="0013396E">
                    <w:t>MWh</w:t>
                  </w:r>
                </w:p>
              </w:tc>
              <w:tc>
                <w:tcPr>
                  <w:tcW w:w="6930" w:type="dxa"/>
                </w:tcPr>
                <w:p w14:paraId="45E7F5FF" w14:textId="3EF5D25F" w:rsidR="00C56A02" w:rsidRPr="0013396E" w:rsidRDefault="00C56A02" w:rsidP="00C56A02">
                  <w:pPr>
                    <w:pStyle w:val="TableBody"/>
                    <w:rPr>
                      <w:i/>
                    </w:rPr>
                  </w:pPr>
                  <w:r w:rsidRPr="0013396E">
                    <w:rPr>
                      <w:i/>
                    </w:rPr>
                    <w:t>Time-Weighted Telemetered Generation per QSE per Settlement Point per Resource</w:t>
                  </w:r>
                  <w:r w:rsidRPr="0013396E">
                    <w:t xml:space="preserve">—The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p>
              </w:tc>
            </w:tr>
            <w:tr w:rsidR="00C56A02" w:rsidRPr="0013396E" w14:paraId="6260E699" w14:textId="549EE15A" w:rsidTr="001B737D">
              <w:trPr>
                <w:gridAfter w:val="1"/>
                <w:wAfter w:w="12" w:type="dxa"/>
                <w:cantSplit/>
              </w:trPr>
              <w:tc>
                <w:tcPr>
                  <w:tcW w:w="1975" w:type="dxa"/>
                </w:tcPr>
                <w:p w14:paraId="0153CCBE" w14:textId="25395D5A" w:rsidR="00C56A02" w:rsidRPr="0013396E" w:rsidRDefault="00C56A02" w:rsidP="008844A7">
                  <w:pPr>
                    <w:pStyle w:val="TableBody"/>
                  </w:pPr>
                  <w:r w:rsidRPr="0013396E">
                    <w:t>AA</w:t>
                  </w:r>
                  <w:r w:rsidR="008844A7" w:rsidRPr="0013396E">
                    <w:t>S</w:t>
                  </w:r>
                  <w:r w:rsidRPr="0013396E">
                    <w:t xml:space="preserve">P </w:t>
                  </w:r>
                  <w:r w:rsidRPr="0013396E">
                    <w:rPr>
                      <w:i/>
                      <w:vertAlign w:val="subscript"/>
                    </w:rPr>
                    <w:t>q, r, p, i</w:t>
                  </w:r>
                </w:p>
              </w:tc>
              <w:tc>
                <w:tcPr>
                  <w:tcW w:w="900" w:type="dxa"/>
                </w:tcPr>
                <w:p w14:paraId="06E24F8C" w14:textId="4D6CCA07" w:rsidR="00C56A02" w:rsidRPr="0013396E" w:rsidRDefault="00C56A02" w:rsidP="00C56A02">
                  <w:pPr>
                    <w:pStyle w:val="TableBody"/>
                  </w:pPr>
                  <w:r w:rsidRPr="0013396E">
                    <w:t>MW</w:t>
                  </w:r>
                </w:p>
              </w:tc>
              <w:tc>
                <w:tcPr>
                  <w:tcW w:w="6930" w:type="dxa"/>
                </w:tcPr>
                <w:p w14:paraId="33125C04" w14:textId="19365671" w:rsidR="00C56A02" w:rsidRPr="0013396E" w:rsidRDefault="008844A7" w:rsidP="008844A7">
                  <w:pPr>
                    <w:pStyle w:val="TableBody"/>
                    <w:rPr>
                      <w:i/>
                    </w:rPr>
                  </w:pPr>
                  <w:r w:rsidRPr="0013396E">
                    <w:rPr>
                      <w:i/>
                    </w:rPr>
                    <w:t>Average</w:t>
                  </w:r>
                  <w:r w:rsidR="00C56A02" w:rsidRPr="0013396E">
                    <w:rPr>
                      <w:i/>
                    </w:rPr>
                    <w:t xml:space="preserve"> Aggregated </w:t>
                  </w:r>
                  <w:r w:rsidRPr="0013396E">
                    <w:rPr>
                      <w:i/>
                    </w:rPr>
                    <w:t>Set</w:t>
                  </w:r>
                  <w:r w:rsidR="00C56A02" w:rsidRPr="0013396E">
                    <w:rPr>
                      <w:i/>
                    </w:rPr>
                    <w:t xml:space="preserve"> Point Generation per QSE per Settlement Point per Resource</w:t>
                  </w:r>
                  <w:r w:rsidR="00C56A02" w:rsidRPr="0013396E">
                    <w:t xml:space="preserve">—The </w:t>
                  </w:r>
                  <w:r w:rsidRPr="0013396E">
                    <w:t>average of the Average Five Minute Clock Interval Set Point (AVGSP5M)</w:t>
                  </w:r>
                  <w:r w:rsidR="00C56A02" w:rsidRPr="0013396E">
                    <w:t xml:space="preserve"> of Generation Resource </w:t>
                  </w:r>
                  <w:r w:rsidR="00C56A02" w:rsidRPr="0013396E">
                    <w:rPr>
                      <w:i/>
                    </w:rPr>
                    <w:t>r</w:t>
                  </w:r>
                  <w:r w:rsidR="00C56A02" w:rsidRPr="0013396E">
                    <w:t xml:space="preserve"> represented by QSE </w:t>
                  </w:r>
                  <w:r w:rsidR="00C56A02" w:rsidRPr="0013396E">
                    <w:rPr>
                      <w:i/>
                    </w:rPr>
                    <w:t>q</w:t>
                  </w:r>
                  <w:r w:rsidR="00C56A02" w:rsidRPr="0013396E">
                    <w:t xml:space="preserve"> at Settlement Point </w:t>
                  </w:r>
                  <w:r w:rsidR="00C56A02" w:rsidRPr="0013396E">
                    <w:rPr>
                      <w:i/>
                    </w:rPr>
                    <w:t>p</w:t>
                  </w:r>
                  <w:r w:rsidR="00C56A02" w:rsidRPr="0013396E">
                    <w:t xml:space="preserve">, for the 15-minute Settlement Interval </w:t>
                  </w:r>
                  <w:r w:rsidR="00C56A02" w:rsidRPr="0013396E">
                    <w:rPr>
                      <w:i/>
                    </w:rPr>
                    <w:t>i.</w:t>
                  </w:r>
                </w:p>
              </w:tc>
            </w:tr>
            <w:tr w:rsidR="00C56A02" w:rsidRPr="0013396E" w14:paraId="51409976" w14:textId="5816B7AD" w:rsidTr="001B737D">
              <w:trPr>
                <w:cantSplit/>
              </w:trPr>
              <w:tc>
                <w:tcPr>
                  <w:tcW w:w="1975" w:type="dxa"/>
                </w:tcPr>
                <w:p w14:paraId="3A7B554F" w14:textId="243D8878" w:rsidR="00C56A02" w:rsidRPr="0013396E" w:rsidRDefault="00C56A02" w:rsidP="00C56A02">
                  <w:pPr>
                    <w:pStyle w:val="TableBody"/>
                  </w:pPr>
                  <w:r w:rsidRPr="0013396E">
                    <w:t>AVGTG5M</w:t>
                  </w:r>
                  <w:r w:rsidRPr="0013396E">
                    <w:rPr>
                      <w:i/>
                      <w:vertAlign w:val="subscript"/>
                      <w:lang w:val="fr-FR"/>
                    </w:rPr>
                    <w:t xml:space="preserve"> q, r, p, i, y</w:t>
                  </w:r>
                </w:p>
              </w:tc>
              <w:tc>
                <w:tcPr>
                  <w:tcW w:w="900" w:type="dxa"/>
                </w:tcPr>
                <w:p w14:paraId="28849211" w14:textId="607EB5D3" w:rsidR="00C56A02" w:rsidRPr="0013396E" w:rsidRDefault="00C56A02" w:rsidP="00C56A02">
                  <w:pPr>
                    <w:pStyle w:val="TableBody"/>
                  </w:pPr>
                  <w:r w:rsidRPr="0013396E">
                    <w:t>MW</w:t>
                  </w:r>
                </w:p>
              </w:tc>
              <w:tc>
                <w:tcPr>
                  <w:tcW w:w="6942" w:type="dxa"/>
                  <w:gridSpan w:val="2"/>
                </w:tcPr>
                <w:p w14:paraId="00E44BE7" w14:textId="5920BD9B" w:rsidR="00C56A02" w:rsidRPr="0013396E" w:rsidRDefault="00C56A02" w:rsidP="00C56A02">
                  <w:pPr>
                    <w:pStyle w:val="TableBody"/>
                  </w:pPr>
                  <w:r w:rsidRPr="0013396E">
                    <w:rPr>
                      <w:i/>
                    </w:rPr>
                    <w:t>Average Telemetered Generation for the 5 Minutes</w:t>
                  </w:r>
                  <w:r w:rsidRPr="0013396E">
                    <w:t xml:space="preserve">—The average telemetered generation of Generation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C56A02" w:rsidRPr="0013396E" w14:paraId="315DE913" w14:textId="43652F67" w:rsidTr="001B737D">
              <w:trPr>
                <w:cantSplit/>
              </w:trPr>
              <w:tc>
                <w:tcPr>
                  <w:tcW w:w="1975" w:type="dxa"/>
                </w:tcPr>
                <w:p w14:paraId="364C14B8" w14:textId="0FF3BE8B" w:rsidR="00C56A02" w:rsidRPr="0013396E" w:rsidRDefault="00C56A02" w:rsidP="00C56A02">
                  <w:pPr>
                    <w:pStyle w:val="TableBody"/>
                  </w:pPr>
                  <w:r w:rsidRPr="0013396E">
                    <w:t xml:space="preserve">OGENIRR </w:t>
                  </w:r>
                  <w:r w:rsidRPr="0013396E">
                    <w:rPr>
                      <w:i/>
                      <w:vertAlign w:val="subscript"/>
                    </w:rPr>
                    <w:t>q, r, p, i</w:t>
                  </w:r>
                </w:p>
              </w:tc>
              <w:tc>
                <w:tcPr>
                  <w:tcW w:w="900" w:type="dxa"/>
                </w:tcPr>
                <w:p w14:paraId="1FC39569" w14:textId="2DFBE504" w:rsidR="00C56A02" w:rsidRPr="0013396E" w:rsidRDefault="00C56A02" w:rsidP="00C56A02">
                  <w:pPr>
                    <w:pStyle w:val="TableBody"/>
                  </w:pPr>
                  <w:r w:rsidRPr="0013396E">
                    <w:t>MWh</w:t>
                  </w:r>
                </w:p>
              </w:tc>
              <w:tc>
                <w:tcPr>
                  <w:tcW w:w="6942" w:type="dxa"/>
                  <w:gridSpan w:val="2"/>
                </w:tcPr>
                <w:p w14:paraId="2D47AA52" w14:textId="05951577" w:rsidR="00C56A02" w:rsidRPr="0013396E" w:rsidRDefault="00C56A02" w:rsidP="00C56A02">
                  <w:pPr>
                    <w:pStyle w:val="TableBody"/>
                  </w:pPr>
                  <w:r w:rsidRPr="0013396E">
                    <w:rPr>
                      <w:i/>
                    </w:rPr>
                    <w:t>Over Generation Volumes per QSE per Settlement Point per IRR Generation Resource</w:t>
                  </w:r>
                  <w:r w:rsidRPr="0013396E">
                    <w:t xml:space="preserve">—The amount over generated by the IRR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w:t>
                  </w:r>
                </w:p>
              </w:tc>
            </w:tr>
            <w:tr w:rsidR="00C56A02" w:rsidRPr="0013396E" w14:paraId="02EA20FD" w14:textId="3942CA69" w:rsidTr="001B737D">
              <w:trPr>
                <w:cantSplit/>
              </w:trPr>
              <w:tc>
                <w:tcPr>
                  <w:tcW w:w="1975" w:type="dxa"/>
                </w:tcPr>
                <w:p w14:paraId="7AC35D35" w14:textId="53FF5CAD" w:rsidR="00C56A02" w:rsidRPr="0013396E" w:rsidRDefault="00C56A02" w:rsidP="00C56A02">
                  <w:pPr>
                    <w:pStyle w:val="TableBody"/>
                  </w:pPr>
                  <w:r w:rsidRPr="0013396E">
                    <w:t>PR1</w:t>
                  </w:r>
                </w:p>
              </w:tc>
              <w:tc>
                <w:tcPr>
                  <w:tcW w:w="900" w:type="dxa"/>
                </w:tcPr>
                <w:p w14:paraId="33DBBC41" w14:textId="5A931E82" w:rsidR="00C56A02" w:rsidRPr="0013396E" w:rsidRDefault="00C56A02" w:rsidP="00C56A02">
                  <w:pPr>
                    <w:pStyle w:val="TableBody"/>
                  </w:pPr>
                  <w:r w:rsidRPr="0013396E">
                    <w:t>$/MWh</w:t>
                  </w:r>
                </w:p>
              </w:tc>
              <w:tc>
                <w:tcPr>
                  <w:tcW w:w="6942" w:type="dxa"/>
                  <w:gridSpan w:val="2"/>
                </w:tcPr>
                <w:p w14:paraId="0FD1E926" w14:textId="63C936A9" w:rsidR="00C56A02" w:rsidRPr="0013396E" w:rsidRDefault="00C56A02" w:rsidP="00C56A02">
                  <w:pPr>
                    <w:pStyle w:val="TableBody"/>
                  </w:pPr>
                  <w:r w:rsidRPr="0013396E">
                    <w:t xml:space="preserve">The price to use for the charge calculation when RTSPP is less than $20/MWh, $20/MWh.  </w:t>
                  </w:r>
                </w:p>
              </w:tc>
            </w:tr>
            <w:tr w:rsidR="00C56A02" w:rsidRPr="0013396E" w14:paraId="345DEC75" w14:textId="468967BE" w:rsidTr="001B737D">
              <w:trPr>
                <w:cantSplit/>
              </w:trPr>
              <w:tc>
                <w:tcPr>
                  <w:tcW w:w="1975" w:type="dxa"/>
                </w:tcPr>
                <w:p w14:paraId="6B0036A4" w14:textId="2C0EDE30" w:rsidR="00C56A02" w:rsidRPr="0013396E" w:rsidRDefault="00C56A02" w:rsidP="00C56A02">
                  <w:pPr>
                    <w:pStyle w:val="TableBody"/>
                  </w:pPr>
                  <w:r w:rsidRPr="0013396E">
                    <w:t>KIRR</w:t>
                  </w:r>
                </w:p>
              </w:tc>
              <w:tc>
                <w:tcPr>
                  <w:tcW w:w="900" w:type="dxa"/>
                </w:tcPr>
                <w:p w14:paraId="023D1C48" w14:textId="1C381DA0" w:rsidR="00C56A02" w:rsidRPr="0013396E" w:rsidRDefault="00C56A02" w:rsidP="00C56A02">
                  <w:pPr>
                    <w:pStyle w:val="TableBody"/>
                  </w:pPr>
                  <w:r w:rsidRPr="0013396E">
                    <w:t>none</w:t>
                  </w:r>
                </w:p>
              </w:tc>
              <w:tc>
                <w:tcPr>
                  <w:tcW w:w="6942" w:type="dxa"/>
                  <w:gridSpan w:val="2"/>
                </w:tcPr>
                <w:p w14:paraId="7D72B385" w14:textId="2C655562" w:rsidR="00C56A02" w:rsidRPr="0013396E" w:rsidRDefault="00C56A02" w:rsidP="00C56A02">
                  <w:pPr>
                    <w:pStyle w:val="TableBody"/>
                  </w:pPr>
                  <w:r w:rsidRPr="0013396E">
                    <w:t xml:space="preserve">The percentage tolerance for over-generation of an IRR, </w:t>
                  </w:r>
                  <w:r w:rsidR="00045FBB" w:rsidRPr="0013396E">
                    <w:t>5</w:t>
                  </w:r>
                  <w:r w:rsidRPr="0013396E">
                    <w:t>%.</w:t>
                  </w:r>
                </w:p>
              </w:tc>
            </w:tr>
            <w:tr w:rsidR="00C56A02" w:rsidRPr="0013396E" w14:paraId="6FBCF628" w14:textId="4E5A7685" w:rsidTr="001B737D">
              <w:trPr>
                <w:cantSplit/>
              </w:trPr>
              <w:tc>
                <w:tcPr>
                  <w:tcW w:w="1975" w:type="dxa"/>
                </w:tcPr>
                <w:p w14:paraId="124507B8" w14:textId="48B6A888" w:rsidR="00C56A02" w:rsidRPr="0013396E" w:rsidRDefault="00C56A02" w:rsidP="00C56A02">
                  <w:pPr>
                    <w:pStyle w:val="TableBody"/>
                  </w:pPr>
                  <w:r w:rsidRPr="0013396E">
                    <w:t>N</w:t>
                  </w:r>
                </w:p>
              </w:tc>
              <w:tc>
                <w:tcPr>
                  <w:tcW w:w="900" w:type="dxa"/>
                </w:tcPr>
                <w:p w14:paraId="7D45CEB2" w14:textId="305962AB" w:rsidR="00C56A02" w:rsidRPr="0013396E" w:rsidRDefault="00C56A02" w:rsidP="00C56A02">
                  <w:pPr>
                    <w:pStyle w:val="TableBody"/>
                  </w:pPr>
                  <w:r w:rsidRPr="0013396E">
                    <w:t>none</w:t>
                  </w:r>
                </w:p>
              </w:tc>
              <w:tc>
                <w:tcPr>
                  <w:tcW w:w="6942" w:type="dxa"/>
                  <w:gridSpan w:val="2"/>
                </w:tcPr>
                <w:p w14:paraId="7A176CFC" w14:textId="3F8437B8" w:rsidR="00C56A02" w:rsidRPr="0013396E" w:rsidRDefault="00C56A02" w:rsidP="00C56A02">
                  <w:pPr>
                    <w:pStyle w:val="TableBody"/>
                  </w:pPr>
                  <w:r w:rsidRPr="0013396E">
                    <w:t>The number of IRRs within an IRR Group.</w:t>
                  </w:r>
                </w:p>
              </w:tc>
            </w:tr>
            <w:tr w:rsidR="00C56A02" w:rsidRPr="0013396E" w14:paraId="5DAE654F" w14:textId="209A45E8" w:rsidTr="001B737D">
              <w:trPr>
                <w:cantSplit/>
              </w:trPr>
              <w:tc>
                <w:tcPr>
                  <w:tcW w:w="1975" w:type="dxa"/>
                </w:tcPr>
                <w:p w14:paraId="3F3C4B0D" w14:textId="2A630EA1" w:rsidR="00C56A02" w:rsidRPr="0013396E" w:rsidRDefault="00C56A02" w:rsidP="00C56A02">
                  <w:pPr>
                    <w:pStyle w:val="TableBody"/>
                    <w:rPr>
                      <w:i/>
                    </w:rPr>
                  </w:pPr>
                  <w:r w:rsidRPr="0013396E">
                    <w:rPr>
                      <w:i/>
                    </w:rPr>
                    <w:t>q</w:t>
                  </w:r>
                </w:p>
              </w:tc>
              <w:tc>
                <w:tcPr>
                  <w:tcW w:w="900" w:type="dxa"/>
                </w:tcPr>
                <w:p w14:paraId="07180891" w14:textId="4DA3D080" w:rsidR="00C56A02" w:rsidRPr="0013396E" w:rsidRDefault="00C56A02" w:rsidP="00C56A02">
                  <w:pPr>
                    <w:pStyle w:val="TableBody"/>
                  </w:pPr>
                  <w:r w:rsidRPr="0013396E">
                    <w:t>none</w:t>
                  </w:r>
                </w:p>
              </w:tc>
              <w:tc>
                <w:tcPr>
                  <w:tcW w:w="6942" w:type="dxa"/>
                  <w:gridSpan w:val="2"/>
                </w:tcPr>
                <w:p w14:paraId="400D6A28" w14:textId="4E29471F" w:rsidR="00C56A02" w:rsidRPr="0013396E" w:rsidRDefault="00C56A02" w:rsidP="00C56A02">
                  <w:pPr>
                    <w:pStyle w:val="TableBody"/>
                  </w:pPr>
                  <w:r w:rsidRPr="0013396E">
                    <w:t>A QSE.</w:t>
                  </w:r>
                </w:p>
              </w:tc>
            </w:tr>
            <w:tr w:rsidR="00C56A02" w:rsidRPr="0013396E" w14:paraId="6D232321" w14:textId="6F0873EB" w:rsidTr="001B737D">
              <w:trPr>
                <w:cantSplit/>
              </w:trPr>
              <w:tc>
                <w:tcPr>
                  <w:tcW w:w="1975" w:type="dxa"/>
                </w:tcPr>
                <w:p w14:paraId="06716D4E" w14:textId="03ACC36A" w:rsidR="00C56A02" w:rsidRPr="0013396E" w:rsidRDefault="00C56A02" w:rsidP="00C56A02">
                  <w:pPr>
                    <w:pStyle w:val="TableBody"/>
                    <w:rPr>
                      <w:i/>
                    </w:rPr>
                  </w:pPr>
                  <w:r w:rsidRPr="0013396E">
                    <w:rPr>
                      <w:i/>
                    </w:rPr>
                    <w:t>p</w:t>
                  </w:r>
                </w:p>
              </w:tc>
              <w:tc>
                <w:tcPr>
                  <w:tcW w:w="900" w:type="dxa"/>
                </w:tcPr>
                <w:p w14:paraId="487B0880" w14:textId="1F2C2743" w:rsidR="00C56A02" w:rsidRPr="0013396E" w:rsidRDefault="00C56A02" w:rsidP="00C56A02">
                  <w:pPr>
                    <w:pStyle w:val="TableBody"/>
                  </w:pPr>
                  <w:r w:rsidRPr="0013396E">
                    <w:t>none</w:t>
                  </w:r>
                </w:p>
              </w:tc>
              <w:tc>
                <w:tcPr>
                  <w:tcW w:w="6942" w:type="dxa"/>
                  <w:gridSpan w:val="2"/>
                </w:tcPr>
                <w:p w14:paraId="3301F510" w14:textId="02115C24" w:rsidR="00C56A02" w:rsidRPr="0013396E" w:rsidRDefault="00C56A02" w:rsidP="00C56A02">
                  <w:pPr>
                    <w:pStyle w:val="TableBody"/>
                  </w:pPr>
                  <w:r w:rsidRPr="0013396E">
                    <w:t>A Settlement Point.</w:t>
                  </w:r>
                </w:p>
              </w:tc>
            </w:tr>
            <w:tr w:rsidR="00C56A02" w:rsidRPr="0013396E" w14:paraId="45F6B086" w14:textId="5E1A1034" w:rsidTr="001B737D">
              <w:trPr>
                <w:cantSplit/>
              </w:trPr>
              <w:tc>
                <w:tcPr>
                  <w:tcW w:w="1975" w:type="dxa"/>
                </w:tcPr>
                <w:p w14:paraId="78078B4B" w14:textId="5843B9B7" w:rsidR="00C56A02" w:rsidRPr="0013396E" w:rsidRDefault="00C56A02" w:rsidP="00C56A02">
                  <w:pPr>
                    <w:pStyle w:val="TableBody"/>
                    <w:rPr>
                      <w:i/>
                    </w:rPr>
                  </w:pPr>
                  <w:r w:rsidRPr="0013396E">
                    <w:rPr>
                      <w:i/>
                    </w:rPr>
                    <w:t>r</w:t>
                  </w:r>
                </w:p>
              </w:tc>
              <w:tc>
                <w:tcPr>
                  <w:tcW w:w="900" w:type="dxa"/>
                </w:tcPr>
                <w:p w14:paraId="5477A213" w14:textId="499A4B09" w:rsidR="00C56A02" w:rsidRPr="0013396E" w:rsidRDefault="00C56A02" w:rsidP="00C56A02">
                  <w:pPr>
                    <w:pStyle w:val="TableBody"/>
                  </w:pPr>
                  <w:r w:rsidRPr="0013396E">
                    <w:t>none</w:t>
                  </w:r>
                </w:p>
              </w:tc>
              <w:tc>
                <w:tcPr>
                  <w:tcW w:w="6942" w:type="dxa"/>
                  <w:gridSpan w:val="2"/>
                </w:tcPr>
                <w:p w14:paraId="0C91870D" w14:textId="7F6B9AAE" w:rsidR="00C56A02" w:rsidRPr="0013396E" w:rsidRDefault="00C56A02" w:rsidP="008844A7">
                  <w:pPr>
                    <w:pStyle w:val="TableBody"/>
                  </w:pPr>
                  <w:r w:rsidRPr="0013396E">
                    <w:rPr>
                      <w:iCs w:val="0"/>
                    </w:rPr>
                    <w:t>An IRR Generation Resource</w:t>
                  </w:r>
                  <w:r w:rsidRPr="0013396E">
                    <w:t xml:space="preserve"> not </w:t>
                  </w:r>
                  <w:r w:rsidR="008844A7" w:rsidRPr="0013396E">
                    <w:t>awarded</w:t>
                  </w:r>
                  <w:r w:rsidRPr="0013396E">
                    <w:t xml:space="preserve"> Ancillary Service</w:t>
                  </w:r>
                  <w:r w:rsidRPr="0013396E">
                    <w:rPr>
                      <w:iCs w:val="0"/>
                    </w:rPr>
                    <w:t xml:space="preserve"> or an IRR within an IRR Group</w:t>
                  </w:r>
                  <w:r w:rsidRPr="0013396E">
                    <w:t xml:space="preserve"> where no member of the IRR Group </w:t>
                  </w:r>
                  <w:r w:rsidR="008844A7" w:rsidRPr="0013396E">
                    <w:t>was awarded</w:t>
                  </w:r>
                  <w:r w:rsidRPr="0013396E">
                    <w:t xml:space="preserve"> Ancillary Service</w:t>
                  </w:r>
                  <w:r w:rsidRPr="0013396E">
                    <w:rPr>
                      <w:iCs w:val="0"/>
                    </w:rPr>
                    <w:t>.</w:t>
                  </w:r>
                </w:p>
              </w:tc>
            </w:tr>
            <w:tr w:rsidR="00C56A02" w:rsidRPr="0013396E" w14:paraId="4C3EEC03" w14:textId="7CA73A20" w:rsidTr="001B737D">
              <w:trPr>
                <w:cantSplit/>
                <w:trHeight w:val="152"/>
              </w:trPr>
              <w:tc>
                <w:tcPr>
                  <w:tcW w:w="1975" w:type="dxa"/>
                </w:tcPr>
                <w:p w14:paraId="23DEE45D" w14:textId="11F67F3B" w:rsidR="00C56A02" w:rsidRPr="0013396E" w:rsidRDefault="00C56A02" w:rsidP="00C56A02">
                  <w:pPr>
                    <w:pStyle w:val="TableBody"/>
                    <w:rPr>
                      <w:i/>
                    </w:rPr>
                  </w:pPr>
                  <w:r w:rsidRPr="0013396E">
                    <w:rPr>
                      <w:i/>
                    </w:rPr>
                    <w:t>i</w:t>
                  </w:r>
                </w:p>
              </w:tc>
              <w:tc>
                <w:tcPr>
                  <w:tcW w:w="900" w:type="dxa"/>
                </w:tcPr>
                <w:p w14:paraId="38EB9BE7" w14:textId="7BC5D592" w:rsidR="00C56A02" w:rsidRPr="0013396E" w:rsidRDefault="00C56A02" w:rsidP="00C56A02">
                  <w:pPr>
                    <w:pStyle w:val="TableBody"/>
                  </w:pPr>
                  <w:r w:rsidRPr="0013396E">
                    <w:t>none</w:t>
                  </w:r>
                </w:p>
              </w:tc>
              <w:tc>
                <w:tcPr>
                  <w:tcW w:w="6942" w:type="dxa"/>
                  <w:gridSpan w:val="2"/>
                </w:tcPr>
                <w:p w14:paraId="41C8B7C6" w14:textId="4CE808D2" w:rsidR="00C56A02" w:rsidRPr="0013396E" w:rsidRDefault="00C56A02" w:rsidP="00C56A02">
                  <w:pPr>
                    <w:pStyle w:val="TableBody"/>
                  </w:pPr>
                  <w:r w:rsidRPr="0013396E">
                    <w:t>A 15-minute Settlement Interval.</w:t>
                  </w:r>
                </w:p>
              </w:tc>
            </w:tr>
            <w:tr w:rsidR="00C56A02" w:rsidRPr="0013396E" w14:paraId="002A2953" w14:textId="18E4A701" w:rsidTr="001B737D">
              <w:trPr>
                <w:cantSplit/>
                <w:trHeight w:val="152"/>
              </w:trPr>
              <w:tc>
                <w:tcPr>
                  <w:tcW w:w="1975" w:type="dxa"/>
                  <w:tcBorders>
                    <w:top w:val="single" w:sz="4" w:space="0" w:color="auto"/>
                    <w:left w:val="single" w:sz="4" w:space="0" w:color="auto"/>
                    <w:bottom w:val="single" w:sz="4" w:space="0" w:color="auto"/>
                    <w:right w:val="single" w:sz="4" w:space="0" w:color="auto"/>
                  </w:tcBorders>
                </w:tcPr>
                <w:p w14:paraId="24F11B10" w14:textId="2EAA8DEF" w:rsidR="00C56A02" w:rsidRPr="0013396E" w:rsidRDefault="00C56A02" w:rsidP="00C56A02">
                  <w:pPr>
                    <w:pStyle w:val="TableBody"/>
                    <w:rPr>
                      <w:i/>
                    </w:rPr>
                  </w:pPr>
                  <w:r w:rsidRPr="0013396E">
                    <w:rPr>
                      <w:i/>
                    </w:rPr>
                    <w:t>y</w:t>
                  </w:r>
                </w:p>
              </w:tc>
              <w:tc>
                <w:tcPr>
                  <w:tcW w:w="900" w:type="dxa"/>
                  <w:tcBorders>
                    <w:top w:val="single" w:sz="4" w:space="0" w:color="auto"/>
                    <w:left w:val="single" w:sz="4" w:space="0" w:color="auto"/>
                    <w:bottom w:val="single" w:sz="4" w:space="0" w:color="auto"/>
                    <w:right w:val="single" w:sz="4" w:space="0" w:color="auto"/>
                  </w:tcBorders>
                </w:tcPr>
                <w:p w14:paraId="50A804D6" w14:textId="766ADE6B" w:rsidR="00C56A02" w:rsidRPr="0013396E" w:rsidRDefault="00C56A02" w:rsidP="00C56A02">
                  <w:pPr>
                    <w:pStyle w:val="TableBody"/>
                  </w:pPr>
                  <w:r w:rsidRPr="0013396E">
                    <w:t>none</w:t>
                  </w:r>
                </w:p>
              </w:tc>
              <w:tc>
                <w:tcPr>
                  <w:tcW w:w="6942" w:type="dxa"/>
                  <w:gridSpan w:val="2"/>
                  <w:tcBorders>
                    <w:top w:val="single" w:sz="4" w:space="0" w:color="auto"/>
                    <w:left w:val="single" w:sz="4" w:space="0" w:color="auto"/>
                    <w:bottom w:val="single" w:sz="4" w:space="0" w:color="auto"/>
                    <w:right w:val="single" w:sz="4" w:space="0" w:color="auto"/>
                  </w:tcBorders>
                </w:tcPr>
                <w:p w14:paraId="58CE5F48" w14:textId="43C93435" w:rsidR="00C56A02" w:rsidRPr="0013396E" w:rsidRDefault="00C56A02" w:rsidP="00C56A02">
                  <w:pPr>
                    <w:pStyle w:val="TableBody"/>
                  </w:pPr>
                  <w:r w:rsidRPr="0013396E">
                    <w:t xml:space="preserve">A five-minute clock interval in the Settlement Interval. </w:t>
                  </w:r>
                </w:p>
              </w:tc>
            </w:tr>
            <w:tr w:rsidR="00C56A02" w:rsidRPr="0013396E" w14:paraId="4F70B97D" w14:textId="301DFEAE" w:rsidTr="001B737D">
              <w:trPr>
                <w:cantSplit/>
                <w:trHeight w:val="152"/>
              </w:trPr>
              <w:tc>
                <w:tcPr>
                  <w:tcW w:w="1975" w:type="dxa"/>
                  <w:tcBorders>
                    <w:top w:val="single" w:sz="4" w:space="0" w:color="auto"/>
                    <w:left w:val="single" w:sz="4" w:space="0" w:color="auto"/>
                    <w:bottom w:val="single" w:sz="4" w:space="0" w:color="auto"/>
                    <w:right w:val="single" w:sz="4" w:space="0" w:color="auto"/>
                  </w:tcBorders>
                </w:tcPr>
                <w:p w14:paraId="6C7FF24C" w14:textId="4BDA1287" w:rsidR="00C56A02" w:rsidRPr="0013396E" w:rsidRDefault="00C56A02" w:rsidP="00C56A02">
                  <w:pPr>
                    <w:pStyle w:val="TableBody"/>
                    <w:rPr>
                      <w:i/>
                    </w:rPr>
                  </w:pPr>
                  <w:r w:rsidRPr="0013396E">
                    <w:rPr>
                      <w:i/>
                    </w:rPr>
                    <w:t>wg</w:t>
                  </w:r>
                </w:p>
              </w:tc>
              <w:tc>
                <w:tcPr>
                  <w:tcW w:w="900" w:type="dxa"/>
                  <w:tcBorders>
                    <w:top w:val="single" w:sz="4" w:space="0" w:color="auto"/>
                    <w:left w:val="single" w:sz="4" w:space="0" w:color="auto"/>
                    <w:bottom w:val="single" w:sz="4" w:space="0" w:color="auto"/>
                    <w:right w:val="single" w:sz="4" w:space="0" w:color="auto"/>
                  </w:tcBorders>
                </w:tcPr>
                <w:p w14:paraId="037F40B4" w14:textId="589F0D70" w:rsidR="00C56A02" w:rsidRPr="0013396E" w:rsidRDefault="00C56A02" w:rsidP="00C56A02">
                  <w:pPr>
                    <w:pStyle w:val="TableBody"/>
                  </w:pPr>
                  <w:r w:rsidRPr="0013396E">
                    <w:t>none</w:t>
                  </w:r>
                </w:p>
              </w:tc>
              <w:tc>
                <w:tcPr>
                  <w:tcW w:w="6942" w:type="dxa"/>
                  <w:gridSpan w:val="2"/>
                  <w:tcBorders>
                    <w:top w:val="single" w:sz="4" w:space="0" w:color="auto"/>
                    <w:left w:val="single" w:sz="4" w:space="0" w:color="auto"/>
                    <w:bottom w:val="single" w:sz="4" w:space="0" w:color="auto"/>
                    <w:right w:val="single" w:sz="4" w:space="0" w:color="auto"/>
                  </w:tcBorders>
                </w:tcPr>
                <w:p w14:paraId="43E1FB41" w14:textId="132290E9" w:rsidR="00C56A02" w:rsidRPr="0013396E" w:rsidRDefault="00C56A02" w:rsidP="00C56A02">
                  <w:pPr>
                    <w:pStyle w:val="TableBody"/>
                  </w:pPr>
                  <w:r w:rsidRPr="0013396E">
                    <w:t>An IRR Group.</w:t>
                  </w:r>
                </w:p>
              </w:tc>
            </w:tr>
          </w:tbl>
          <w:p w14:paraId="747F4A05" w14:textId="09C0305B" w:rsidR="00C22690" w:rsidRPr="0013396E" w:rsidRDefault="00C22690" w:rsidP="001B737D"/>
        </w:tc>
      </w:tr>
    </w:tbl>
    <w:p w14:paraId="425D666A" w14:textId="77777777" w:rsidR="005E0EE9" w:rsidRPr="0013396E" w:rsidRDefault="005E0EE9" w:rsidP="005A7D8E">
      <w:pPr>
        <w:pStyle w:val="BodyText"/>
        <w:tabs>
          <w:tab w:val="left" w:pos="1230"/>
        </w:tabs>
        <w:spacing w:before="480"/>
        <w:ind w:left="1166" w:hanging="1166"/>
        <w:outlineLvl w:val="3"/>
        <w:rPr>
          <w:b/>
          <w:lang w:val="fr-FR"/>
        </w:rPr>
      </w:pPr>
      <w:bookmarkStart w:id="1856" w:name="_Toc236220199"/>
      <w:r w:rsidRPr="0013396E">
        <w:rPr>
          <w:b/>
          <w:lang w:val="fr-FR"/>
        </w:rPr>
        <w:lastRenderedPageBreak/>
        <w:t>6.6.5.5</w:t>
      </w:r>
      <w:r w:rsidRPr="0013396E">
        <w:rPr>
          <w:b/>
          <w:lang w:val="fr-FR"/>
        </w:rPr>
        <w:tab/>
        <w:t>Energy Storage Resource Set Point Deviation Charge for Over Performance</w:t>
      </w:r>
      <w:bookmarkEnd w:id="1856"/>
    </w:p>
    <w:p w14:paraId="142EC0C2" w14:textId="77777777" w:rsidR="005E0EE9" w:rsidRPr="0013396E" w:rsidRDefault="005E0EE9" w:rsidP="005E0EE9">
      <w:pPr>
        <w:pStyle w:val="BodyTextNumbered"/>
      </w:pPr>
      <w:r w:rsidRPr="0013396E">
        <w:t>(1)</w:t>
      </w:r>
      <w:r w:rsidRPr="0013396E">
        <w:tab/>
        <w:t xml:space="preserve">ERCOT shall charge a QSE for an ESR a Set Point Deviation Charge for over-performance if the telemetered generation or consumption exceeds the specified tolerance.  </w:t>
      </w:r>
    </w:p>
    <w:p w14:paraId="165F9D63" w14:textId="3E8C2894" w:rsidR="005E0EE9" w:rsidRPr="0013396E" w:rsidRDefault="005E0EE9" w:rsidP="00CE78B5">
      <w:pPr>
        <w:pStyle w:val="BodyTextNumbered"/>
        <w:rPr>
          <w:iCs/>
        </w:rPr>
      </w:pPr>
      <w:r w:rsidRPr="0013396E">
        <w:t>(2)</w:t>
      </w:r>
      <w:r w:rsidRPr="0013396E">
        <w:tab/>
        <w:t>The tolerance is the greater of 3% of the AASP for the ESR in the Settlement Interval, or three MW above the AASP for the ESR in the Settlement Interval</w:t>
      </w:r>
      <w:r w:rsidR="00CE78B5">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40A5D" w:rsidRPr="0013396E" w14:paraId="73FF9CD6" w14:textId="77777777" w:rsidTr="00E3121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2D3697CF" w14:textId="58CF3E02" w:rsidR="00640A5D" w:rsidRPr="0013396E" w:rsidRDefault="00640A5D" w:rsidP="00E31211">
            <w:pPr>
              <w:spacing w:before="120" w:after="240"/>
              <w:rPr>
                <w:b/>
                <w:i/>
                <w:iCs/>
                <w:szCs w:val="24"/>
              </w:rPr>
            </w:pPr>
            <w:r w:rsidRPr="0013396E">
              <w:rPr>
                <w:b/>
                <w:i/>
                <w:iCs/>
                <w:szCs w:val="24"/>
              </w:rPr>
              <w:t>[NPRR</w:t>
            </w:r>
            <w:r>
              <w:rPr>
                <w:b/>
                <w:i/>
                <w:iCs/>
                <w:szCs w:val="24"/>
              </w:rPr>
              <w:t>1014 and NPRR1029</w:t>
            </w:r>
            <w:r w:rsidRPr="0013396E">
              <w:rPr>
                <w:b/>
                <w:i/>
                <w:iCs/>
                <w:szCs w:val="24"/>
              </w:rPr>
              <w:t xml:space="preserve">:  Replace </w:t>
            </w:r>
            <w:r>
              <w:rPr>
                <w:b/>
                <w:i/>
                <w:iCs/>
                <w:szCs w:val="24"/>
              </w:rPr>
              <w:t xml:space="preserve">applicable portions of </w:t>
            </w:r>
            <w:r w:rsidRPr="0013396E">
              <w:rPr>
                <w:b/>
                <w:i/>
                <w:iCs/>
                <w:szCs w:val="24"/>
              </w:rPr>
              <w:t>paragraph (</w:t>
            </w:r>
            <w:r>
              <w:rPr>
                <w:b/>
                <w:i/>
                <w:iCs/>
                <w:szCs w:val="24"/>
              </w:rPr>
              <w:t>2</w:t>
            </w:r>
            <w:r w:rsidRPr="0013396E">
              <w:rPr>
                <w:b/>
                <w:i/>
                <w:iCs/>
                <w:szCs w:val="24"/>
              </w:rPr>
              <w:t>) above with the following upon system implementation</w:t>
            </w:r>
            <w:r w:rsidR="00CE78B5">
              <w:rPr>
                <w:b/>
                <w:i/>
                <w:iCs/>
                <w:szCs w:val="24"/>
              </w:rPr>
              <w:t xml:space="preserve"> and renumber accordingly</w:t>
            </w:r>
            <w:r w:rsidRPr="0013396E">
              <w:rPr>
                <w:b/>
                <w:i/>
                <w:iCs/>
                <w:szCs w:val="24"/>
              </w:rPr>
              <w:t>:]</w:t>
            </w:r>
          </w:p>
          <w:p w14:paraId="653351E0" w14:textId="77777777" w:rsidR="00640A5D" w:rsidRPr="0013396E" w:rsidRDefault="00640A5D" w:rsidP="00640A5D">
            <w:pPr>
              <w:pStyle w:val="BodyTextNumbered"/>
            </w:pPr>
            <w:r w:rsidRPr="0013396E">
              <w:t>(2)</w:t>
            </w:r>
            <w:r w:rsidRPr="0013396E">
              <w:tab/>
              <w:t>The tolerance is the greater of 3% of the AASP for the ESR in the Settlement Interval, or three MW above the AASP for the ESR in the Settlement Interval if the Resource meets the following conditions:</w:t>
            </w:r>
          </w:p>
          <w:p w14:paraId="7CD8F249" w14:textId="77777777" w:rsidR="00640A5D" w:rsidRPr="0013396E" w:rsidRDefault="00640A5D" w:rsidP="00640A5D">
            <w:pPr>
              <w:pStyle w:val="BodyTextNumbered"/>
              <w:ind w:left="1440"/>
            </w:pPr>
            <w:r w:rsidRPr="0013396E">
              <w:t>(a)</w:t>
            </w:r>
            <w:r w:rsidRPr="0013396E">
              <w:rPr>
                <w:iCs/>
              </w:rPr>
              <w:tab/>
            </w:r>
            <w:r w:rsidRPr="0013396E">
              <w:t xml:space="preserve">The ESR is not a DC-Coupled Resource; or </w:t>
            </w:r>
          </w:p>
          <w:p w14:paraId="6344033B" w14:textId="77777777" w:rsidR="00640A5D" w:rsidRDefault="00640A5D" w:rsidP="00640A5D">
            <w:pPr>
              <w:pStyle w:val="BodyTextNumbered"/>
              <w:ind w:left="1440"/>
            </w:pPr>
            <w:r w:rsidRPr="0013396E">
              <w:lastRenderedPageBreak/>
              <w:t>(b)</w:t>
            </w:r>
            <w:r w:rsidRPr="0013396E">
              <w:rPr>
                <w:iCs/>
              </w:rPr>
              <w:tab/>
            </w:r>
            <w:r w:rsidRPr="0013396E">
              <w:t>The ESR is a DC-</w:t>
            </w:r>
            <w:r w:rsidRPr="0013396E">
              <w:rPr>
                <w:iCs/>
              </w:rPr>
              <w:t>Coupled</w:t>
            </w:r>
            <w:r w:rsidRPr="0013396E">
              <w:t xml:space="preserve"> Resource and meets the conditions to be treated in the same manner as an ESR as specified in paragraph (1) of Section 3.8.7, DC-Coupled Resources, anytime during the Settlement Interval.</w:t>
            </w:r>
          </w:p>
          <w:p w14:paraId="226ABDC9" w14:textId="2EEAFAFB" w:rsidR="00CE78B5" w:rsidRPr="00CE78B5" w:rsidRDefault="00CE78B5" w:rsidP="00CE78B5">
            <w:pPr>
              <w:pStyle w:val="BodyTextNumbered"/>
            </w:pPr>
            <w:r w:rsidRPr="0013396E">
              <w:t>(3)</w:t>
            </w:r>
            <w:r w:rsidRPr="0013396E">
              <w:rPr>
                <w:iCs/>
              </w:rPr>
              <w:tab/>
            </w:r>
            <w:r w:rsidRPr="0013396E">
              <w:t xml:space="preserve">The tolerance will be 5% of the AASP for a DC-Coupled Resource in the Settlement Interval if the ESR meets the conditions </w:t>
            </w:r>
            <w:r w:rsidRPr="0013396E">
              <w:rPr>
                <w:iCs/>
              </w:rPr>
              <w:t xml:space="preserve">to be treated in the same manner as an IRR as </w:t>
            </w:r>
            <w:r w:rsidRPr="0013396E">
              <w:t>specified in paragraph (2) of Section 3.8.7.</w:t>
            </w:r>
          </w:p>
        </w:tc>
      </w:tr>
    </w:tbl>
    <w:p w14:paraId="57A33160" w14:textId="4E2C1EBC" w:rsidR="005E0EE9" w:rsidRPr="0013396E" w:rsidRDefault="005E0EE9" w:rsidP="00CE78B5">
      <w:pPr>
        <w:pStyle w:val="BodyTextNumbered"/>
        <w:spacing w:before="240"/>
        <w:rPr>
          <w:iCs/>
        </w:rPr>
      </w:pPr>
      <w:r w:rsidRPr="0013396E">
        <w:rPr>
          <w:iCs/>
        </w:rPr>
        <w:lastRenderedPageBreak/>
        <w:t>(</w:t>
      </w:r>
      <w:r w:rsidR="00CE78B5">
        <w:rPr>
          <w:iCs/>
        </w:rPr>
        <w:t>3</w:t>
      </w:r>
      <w:r w:rsidRPr="0013396E">
        <w:rPr>
          <w:iCs/>
        </w:rPr>
        <w:t>)</w:t>
      </w:r>
      <w:r w:rsidRPr="0013396E">
        <w:rPr>
          <w:iCs/>
        </w:rPr>
        <w:tab/>
        <w:t xml:space="preserve">The deviation charge for over-performance for each QSE for each ESR at each Resource Node Settlement Point will be calculated as follows: </w:t>
      </w:r>
    </w:p>
    <w:p w14:paraId="2F615DB0" w14:textId="1C24D39D" w:rsidR="005E0EE9" w:rsidRPr="0013396E" w:rsidRDefault="005E0EE9" w:rsidP="00CE78B5">
      <w:pPr>
        <w:pStyle w:val="BodyTextNumbered"/>
        <w:rPr>
          <w:b/>
          <w:i/>
          <w:vertAlign w:val="subscript"/>
        </w:rPr>
      </w:pPr>
      <w:r w:rsidRPr="0013396E">
        <w:rPr>
          <w:iCs/>
        </w:rPr>
        <w:tab/>
      </w:r>
      <w:r w:rsidRPr="0013396E">
        <w:rPr>
          <w:b/>
          <w:lang w:val="pt-BR"/>
        </w:rPr>
        <w:t>SPDAMT</w:t>
      </w:r>
      <w:r w:rsidRPr="0013396E">
        <w:rPr>
          <w:b/>
          <w:i/>
          <w:vertAlign w:val="subscript"/>
          <w:lang w:val="pt-BR"/>
        </w:rPr>
        <w:t xml:space="preserve"> q, r, p, i</w:t>
      </w:r>
      <w:r w:rsidRPr="0013396E">
        <w:rPr>
          <w:b/>
          <w:lang w:val="pt-BR"/>
        </w:rPr>
        <w:t xml:space="preserve"> =</w:t>
      </w:r>
      <w:r w:rsidRPr="0013396E">
        <w:rPr>
          <w:b/>
          <w:lang w:val="pt-BR"/>
        </w:rPr>
        <w:tab/>
      </w:r>
      <w:r w:rsidRPr="0013396E">
        <w:rPr>
          <w:b/>
        </w:rPr>
        <w:t xml:space="preserve">Max (PR3, RTSPP </w:t>
      </w:r>
      <w:r w:rsidRPr="0013396E">
        <w:rPr>
          <w:b/>
          <w:i/>
          <w:vertAlign w:val="subscript"/>
        </w:rPr>
        <w:t>p, i</w:t>
      </w:r>
      <w:r w:rsidRPr="0013396E">
        <w:rPr>
          <w:b/>
        </w:rPr>
        <w:t>) * OPESR</w:t>
      </w:r>
      <w:r w:rsidRPr="0013396E">
        <w:rPr>
          <w:b/>
          <w:sz w:val="18"/>
          <w:szCs w:val="18"/>
          <w:vertAlign w:val="subscript"/>
        </w:rPr>
        <w:t xml:space="preserve"> </w:t>
      </w:r>
      <w:r w:rsidRPr="0013396E">
        <w:rPr>
          <w:b/>
          <w:i/>
          <w:vertAlign w:val="subscript"/>
        </w:rPr>
        <w:t>q, r, p, i</w:t>
      </w:r>
    </w:p>
    <w:p w14:paraId="4553F24B" w14:textId="77777777" w:rsidR="005E0EE9" w:rsidRPr="0013396E" w:rsidRDefault="005E0EE9" w:rsidP="005E0EE9">
      <w:pPr>
        <w:pStyle w:val="BodyTextNumbered"/>
        <w:ind w:left="1440"/>
        <w:rPr>
          <w:lang w:val="pt-BR"/>
        </w:rPr>
      </w:pPr>
      <w:r w:rsidRPr="0013396E">
        <w:rPr>
          <w:lang w:val="pt-BR"/>
        </w:rPr>
        <w:t xml:space="preserve">Where: </w:t>
      </w:r>
    </w:p>
    <w:p w14:paraId="7BCDA62C" w14:textId="77777777" w:rsidR="005E0EE9" w:rsidRPr="0013396E" w:rsidRDefault="005E0EE9" w:rsidP="005E0EE9">
      <w:pPr>
        <w:pStyle w:val="BodyTextNumbered"/>
        <w:ind w:left="2880" w:hanging="2160"/>
        <w:rPr>
          <w:lang w:val="pt-BR"/>
        </w:rPr>
      </w:pPr>
      <w:r w:rsidRPr="0013396E">
        <w:t>OPESR</w:t>
      </w:r>
      <w:r w:rsidRPr="0013396E">
        <w:rPr>
          <w:i/>
          <w:vertAlign w:val="subscript"/>
        </w:rPr>
        <w:t xml:space="preserve"> q, r, p, i </w:t>
      </w:r>
      <w:r w:rsidRPr="0013396E">
        <w:t xml:space="preserve">    = </w:t>
      </w:r>
      <w:r w:rsidRPr="0013396E">
        <w:tab/>
        <w:t xml:space="preserve">Max [0, (TWTG </w:t>
      </w:r>
      <w:r w:rsidRPr="0013396E">
        <w:rPr>
          <w:i/>
          <w:vertAlign w:val="subscript"/>
        </w:rPr>
        <w:t xml:space="preserve">q, r, p, i </w:t>
      </w:r>
      <w:r w:rsidRPr="0013396E">
        <w:t>– ¼ * Max [(AASP</w:t>
      </w:r>
      <w:r w:rsidRPr="0013396E">
        <w:rPr>
          <w:i/>
          <w:vertAlign w:val="subscript"/>
          <w:lang w:val="pt-BR"/>
        </w:rPr>
        <w:t xml:space="preserve"> q, r, p, i  </w:t>
      </w:r>
      <w:r w:rsidRPr="0013396E">
        <w:rPr>
          <w:i/>
          <w:lang w:val="pt-BR"/>
        </w:rPr>
        <w:t>+</w:t>
      </w:r>
      <w:r w:rsidRPr="0013396E">
        <w:rPr>
          <w:lang w:val="pt-BR"/>
        </w:rPr>
        <w:t xml:space="preserve"> ABS </w:t>
      </w:r>
      <w:r w:rsidRPr="0013396E">
        <w:t>(K3* AASP</w:t>
      </w:r>
      <w:r w:rsidRPr="0013396E">
        <w:rPr>
          <w:i/>
          <w:vertAlign w:val="subscript"/>
          <w:lang w:val="pt-BR"/>
        </w:rPr>
        <w:t xml:space="preserve"> q, r, p, i</w:t>
      </w:r>
      <w:r w:rsidRPr="0013396E">
        <w:rPr>
          <w:lang w:val="pt-BR"/>
        </w:rPr>
        <w:t>))</w:t>
      </w:r>
      <w:r w:rsidRPr="0013396E">
        <w:rPr>
          <w:i/>
          <w:lang w:val="pt-BR"/>
        </w:rPr>
        <w:t>,</w:t>
      </w:r>
      <w:r w:rsidRPr="0013396E">
        <w:t xml:space="preserve"> (AASP</w:t>
      </w:r>
      <w:r w:rsidRPr="0013396E">
        <w:rPr>
          <w:i/>
          <w:vertAlign w:val="subscript"/>
          <w:lang w:val="pt-BR"/>
        </w:rPr>
        <w:t xml:space="preserve"> q, r, p, i </w:t>
      </w:r>
      <w:r w:rsidRPr="0013396E">
        <w:rPr>
          <w:lang w:val="pt-BR"/>
        </w:rPr>
        <w:t xml:space="preserve">+ Q3)])] </w:t>
      </w:r>
    </w:p>
    <w:p w14:paraId="708D2BD1" w14:textId="718275B8" w:rsidR="005E0EE9" w:rsidRPr="0013396E" w:rsidRDefault="005E0EE9" w:rsidP="005E0EE9">
      <w:pPr>
        <w:tabs>
          <w:tab w:val="left" w:pos="2340"/>
          <w:tab w:val="left" w:pos="3420"/>
        </w:tabs>
        <w:spacing w:after="240"/>
        <w:ind w:left="2340" w:hangingChars="975" w:hanging="2340"/>
        <w:rPr>
          <w:lang w:val="es-ES"/>
        </w:rPr>
      </w:pPr>
      <w:r w:rsidRPr="0013396E">
        <w:rPr>
          <w:lang w:val="es-ES"/>
        </w:rPr>
        <w:t xml:space="preserve">            Where:</w:t>
      </w:r>
    </w:p>
    <w:p w14:paraId="72D6DBB2" w14:textId="77777777" w:rsidR="005E0EE9" w:rsidRPr="0013396E" w:rsidRDefault="005E0EE9" w:rsidP="005E0EE9">
      <w:pPr>
        <w:pStyle w:val="Formula"/>
        <w:tabs>
          <w:tab w:val="clear" w:pos="2160"/>
          <w:tab w:val="left" w:pos="2340"/>
        </w:tabs>
        <w:ind w:left="2880" w:hanging="2160"/>
      </w:pPr>
      <w:r w:rsidRPr="0013396E">
        <w:t>TWTG</w:t>
      </w:r>
      <w:r w:rsidRPr="0013396E">
        <w:rPr>
          <w:i/>
          <w:vertAlign w:val="subscript"/>
        </w:rPr>
        <w:t xml:space="preserve"> q, r, p, i</w:t>
      </w:r>
      <w:r w:rsidRPr="0013396E">
        <w:rPr>
          <w:i/>
          <w:vertAlign w:val="subscript"/>
        </w:rPr>
        <w:tab/>
      </w:r>
      <w:r w:rsidRPr="0013396E">
        <w:rPr>
          <w:i/>
        </w:rPr>
        <w:t xml:space="preserve">= </w:t>
      </w:r>
      <w:r w:rsidRPr="0013396E">
        <w:rPr>
          <w:i/>
          <w:vertAlign w:val="subscript"/>
        </w:rPr>
        <w:t xml:space="preserve">     </w:t>
      </w:r>
      <w:r w:rsidRPr="0013396E">
        <w:t xml:space="preserve"> (</w:t>
      </w:r>
      <w:r w:rsidRPr="0013396E">
        <w:rPr>
          <w:position w:val="-22"/>
        </w:rPr>
        <w:object w:dxaOrig="210" w:dyaOrig="450" w14:anchorId="7D33AC14">
          <v:shape id="_x0000_i1158" type="#_x0000_t75" style="width:6pt;height:24pt" o:ole="">
            <v:imagedata r:id="rId178" o:title=""/>
          </v:shape>
          <o:OLEObject Type="Embed" ProgID="Equation.3" ShapeID="_x0000_i1158" DrawAspect="Content" ObjectID="_1849065789" r:id="rId191"/>
        </w:object>
      </w:r>
      <w:r w:rsidRPr="0013396E">
        <w:t xml:space="preserve"> (AVGTG5M</w:t>
      </w:r>
      <w:r w:rsidRPr="0013396E">
        <w:rPr>
          <w:i/>
          <w:vertAlign w:val="subscript"/>
        </w:rPr>
        <w:t xml:space="preserve"> q, r, p, i, y</w:t>
      </w:r>
      <w:r w:rsidRPr="0013396E">
        <w:t>) / 3) * ¼</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CE78B5" w:rsidRPr="0013396E" w14:paraId="1E5D4B32" w14:textId="77777777" w:rsidTr="00E3121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4F9ABD3F" w14:textId="0A60CDDA" w:rsidR="00CE78B5" w:rsidRPr="0013396E" w:rsidRDefault="00CE78B5" w:rsidP="00E31211">
            <w:pPr>
              <w:spacing w:before="120" w:after="240"/>
              <w:rPr>
                <w:b/>
                <w:i/>
                <w:iCs/>
                <w:szCs w:val="24"/>
              </w:rPr>
            </w:pPr>
            <w:r w:rsidRPr="0013396E">
              <w:rPr>
                <w:b/>
                <w:i/>
                <w:iCs/>
                <w:szCs w:val="24"/>
              </w:rPr>
              <w:t>[NPRR</w:t>
            </w:r>
            <w:r>
              <w:rPr>
                <w:b/>
                <w:i/>
                <w:iCs/>
                <w:szCs w:val="24"/>
              </w:rPr>
              <w:t>1014 and NPRR1029</w:t>
            </w:r>
            <w:r w:rsidRPr="0013396E">
              <w:rPr>
                <w:b/>
                <w:i/>
                <w:iCs/>
                <w:szCs w:val="24"/>
              </w:rPr>
              <w:t xml:space="preserve">:  Replace </w:t>
            </w:r>
            <w:r>
              <w:rPr>
                <w:b/>
                <w:i/>
                <w:iCs/>
                <w:szCs w:val="24"/>
              </w:rPr>
              <w:t xml:space="preserve">applicable portions of </w:t>
            </w:r>
            <w:r w:rsidRPr="0013396E">
              <w:rPr>
                <w:b/>
                <w:i/>
                <w:iCs/>
                <w:szCs w:val="24"/>
              </w:rPr>
              <w:t>paragraph (</w:t>
            </w:r>
            <w:r>
              <w:rPr>
                <w:b/>
                <w:i/>
                <w:iCs/>
                <w:szCs w:val="24"/>
              </w:rPr>
              <w:t>3</w:t>
            </w:r>
            <w:r w:rsidRPr="0013396E">
              <w:rPr>
                <w:b/>
                <w:i/>
                <w:iCs/>
                <w:szCs w:val="24"/>
              </w:rPr>
              <w:t>) above with the following upon system implementation:]</w:t>
            </w:r>
          </w:p>
          <w:p w14:paraId="43D8A6C6" w14:textId="77777777" w:rsidR="00CE78B5" w:rsidRPr="0013396E" w:rsidRDefault="00CE78B5" w:rsidP="00CE78B5">
            <w:pPr>
              <w:pStyle w:val="BodyTextNumbered"/>
              <w:spacing w:before="240"/>
              <w:rPr>
                <w:iCs/>
              </w:rPr>
            </w:pPr>
            <w:r w:rsidRPr="0013396E">
              <w:rPr>
                <w:iCs/>
              </w:rPr>
              <w:t>(</w:t>
            </w:r>
            <w:r>
              <w:rPr>
                <w:iCs/>
              </w:rPr>
              <w:t>3</w:t>
            </w:r>
            <w:r w:rsidRPr="0013396E">
              <w:rPr>
                <w:iCs/>
              </w:rPr>
              <w:t>)</w:t>
            </w:r>
            <w:r w:rsidRPr="0013396E">
              <w:rPr>
                <w:iCs/>
              </w:rPr>
              <w:tab/>
              <w:t xml:space="preserve">The deviation charge for over-performance for each QSE for each ESR at each Resource Node Settlement Point will be calculated as follows: </w:t>
            </w:r>
          </w:p>
          <w:p w14:paraId="6982DB8F" w14:textId="77777777" w:rsidR="00CE78B5" w:rsidRPr="0013396E" w:rsidRDefault="00CE78B5" w:rsidP="00CE78B5">
            <w:pPr>
              <w:pStyle w:val="BodyTextNumbered"/>
              <w:rPr>
                <w:b/>
                <w:iCs/>
                <w:lang w:val="pt-BR"/>
              </w:rPr>
            </w:pPr>
            <w:r w:rsidRPr="0013396E">
              <w:rPr>
                <w:iCs/>
              </w:rPr>
              <w:tab/>
              <w:t>If the ESR meets the conditions of paragraph (3) above and a flag signifying that the DC-Coupled Resource has received a Base Point below the HDL used by SCED</w:t>
            </w:r>
            <w:r w:rsidRPr="0013396E">
              <w:t xml:space="preserve"> or it has been instructed not to exceed its Base Point</w:t>
            </w:r>
            <w:r w:rsidRPr="0013396E">
              <w:rPr>
                <w:iCs/>
              </w:rPr>
              <w:t xml:space="preserve"> is not set in all SCED intervals within the 15-minute Settlement Interval, then:</w:t>
            </w:r>
            <w:r w:rsidRPr="0013396E">
              <w:rPr>
                <w:b/>
                <w:iCs/>
                <w:lang w:val="pt-BR"/>
              </w:rPr>
              <w:t xml:space="preserve"> </w:t>
            </w:r>
          </w:p>
          <w:p w14:paraId="5C2DF0C9" w14:textId="77777777" w:rsidR="00CE78B5" w:rsidRPr="0013396E" w:rsidRDefault="00CE78B5" w:rsidP="00CE78B5">
            <w:pPr>
              <w:spacing w:after="240"/>
              <w:ind w:left="697" w:firstLine="23"/>
              <w:rPr>
                <w:b/>
                <w:iCs/>
              </w:rPr>
            </w:pPr>
            <w:r w:rsidRPr="0013396E">
              <w:rPr>
                <w:b/>
                <w:iCs/>
                <w:lang w:val="pt-BR"/>
              </w:rPr>
              <w:t>SPDAMT</w:t>
            </w:r>
            <w:r w:rsidRPr="0013396E">
              <w:rPr>
                <w:b/>
                <w:i/>
                <w:iCs/>
                <w:vertAlign w:val="subscript"/>
                <w:lang w:val="pt-BR"/>
              </w:rPr>
              <w:t xml:space="preserve"> q, r, p, i</w:t>
            </w:r>
            <w:r w:rsidRPr="0013396E">
              <w:rPr>
                <w:b/>
                <w:iCs/>
                <w:lang w:val="pt-BR"/>
              </w:rPr>
              <w:t xml:space="preserve"> =</w:t>
            </w:r>
            <w:r w:rsidRPr="0013396E">
              <w:rPr>
                <w:b/>
                <w:iCs/>
                <w:lang w:val="pt-BR"/>
              </w:rPr>
              <w:tab/>
            </w:r>
            <w:r w:rsidRPr="0013396E">
              <w:rPr>
                <w:b/>
                <w:iCs/>
              </w:rPr>
              <w:t>0</w:t>
            </w:r>
          </w:p>
          <w:p w14:paraId="697B482D" w14:textId="77777777" w:rsidR="00CE78B5" w:rsidRPr="0013396E" w:rsidRDefault="00CE78B5" w:rsidP="00CE78B5">
            <w:pPr>
              <w:spacing w:after="240"/>
              <w:ind w:left="697" w:firstLine="23"/>
              <w:rPr>
                <w:i/>
                <w:iCs/>
                <w:vertAlign w:val="subscript"/>
              </w:rPr>
            </w:pPr>
            <w:r w:rsidRPr="0013396E">
              <w:rPr>
                <w:iCs/>
              </w:rPr>
              <w:t xml:space="preserve">Otherwise: </w:t>
            </w:r>
          </w:p>
          <w:p w14:paraId="398CDB89" w14:textId="77777777" w:rsidR="00CE78B5" w:rsidRPr="0013396E" w:rsidRDefault="00CE78B5" w:rsidP="00CE78B5">
            <w:pPr>
              <w:pStyle w:val="BodyTextNumbered"/>
              <w:ind w:left="1440"/>
              <w:rPr>
                <w:b/>
                <w:i/>
                <w:vertAlign w:val="subscript"/>
              </w:rPr>
            </w:pPr>
            <w:r w:rsidRPr="0013396E">
              <w:rPr>
                <w:b/>
                <w:lang w:val="pt-BR"/>
              </w:rPr>
              <w:t>SPDAMT</w:t>
            </w:r>
            <w:r w:rsidRPr="0013396E">
              <w:rPr>
                <w:b/>
                <w:i/>
                <w:vertAlign w:val="subscript"/>
                <w:lang w:val="pt-BR"/>
              </w:rPr>
              <w:t xml:space="preserve"> q, r, p, i</w:t>
            </w:r>
            <w:r w:rsidRPr="0013396E">
              <w:rPr>
                <w:b/>
                <w:lang w:val="pt-BR"/>
              </w:rPr>
              <w:t xml:space="preserve"> =</w:t>
            </w:r>
            <w:r w:rsidRPr="0013396E">
              <w:rPr>
                <w:b/>
                <w:lang w:val="pt-BR"/>
              </w:rPr>
              <w:tab/>
            </w:r>
            <w:r w:rsidRPr="0013396E">
              <w:rPr>
                <w:b/>
              </w:rPr>
              <w:t xml:space="preserve">Max (PR3, RTSPP </w:t>
            </w:r>
            <w:r w:rsidRPr="0013396E">
              <w:rPr>
                <w:b/>
                <w:i/>
                <w:vertAlign w:val="subscript"/>
              </w:rPr>
              <w:t>p, i</w:t>
            </w:r>
            <w:r w:rsidRPr="0013396E">
              <w:rPr>
                <w:b/>
              </w:rPr>
              <w:t>) * OPESR</w:t>
            </w:r>
            <w:r w:rsidRPr="0013396E">
              <w:rPr>
                <w:b/>
                <w:sz w:val="18"/>
                <w:szCs w:val="18"/>
                <w:vertAlign w:val="subscript"/>
              </w:rPr>
              <w:t xml:space="preserve"> </w:t>
            </w:r>
            <w:r w:rsidRPr="0013396E">
              <w:rPr>
                <w:b/>
                <w:i/>
                <w:vertAlign w:val="subscript"/>
              </w:rPr>
              <w:t>q, r, p, i</w:t>
            </w:r>
          </w:p>
          <w:p w14:paraId="6BCEF3E7" w14:textId="77777777" w:rsidR="00CE78B5" w:rsidRPr="0013396E" w:rsidRDefault="00CE78B5" w:rsidP="00CE78B5">
            <w:pPr>
              <w:pStyle w:val="BodyTextNumbered"/>
              <w:ind w:left="1440"/>
              <w:rPr>
                <w:lang w:val="pt-BR"/>
              </w:rPr>
            </w:pPr>
            <w:r w:rsidRPr="0013396E">
              <w:rPr>
                <w:lang w:val="pt-BR"/>
              </w:rPr>
              <w:t xml:space="preserve">Where: </w:t>
            </w:r>
          </w:p>
          <w:p w14:paraId="7D6FDCA6" w14:textId="77777777" w:rsidR="00CE78B5" w:rsidRPr="0013396E" w:rsidRDefault="00CE78B5" w:rsidP="00CE78B5">
            <w:pPr>
              <w:spacing w:after="240"/>
              <w:ind w:left="1440" w:hanging="720"/>
              <w:rPr>
                <w:lang w:val="pt-BR"/>
              </w:rPr>
            </w:pPr>
            <w:r w:rsidRPr="0013396E">
              <w:rPr>
                <w:iCs/>
                <w:lang w:val="pt-BR"/>
              </w:rPr>
              <w:t xml:space="preserve">If the ESR meets the conditions of paragraph (2) above, then: </w:t>
            </w:r>
          </w:p>
          <w:p w14:paraId="4770D6B2" w14:textId="77777777" w:rsidR="00CE78B5" w:rsidRPr="0013396E" w:rsidRDefault="00CE78B5" w:rsidP="00CE78B5">
            <w:pPr>
              <w:pStyle w:val="BodyTextNumbered"/>
              <w:ind w:left="2880" w:hanging="2160"/>
              <w:rPr>
                <w:lang w:val="pt-BR"/>
              </w:rPr>
            </w:pPr>
            <w:r w:rsidRPr="0013396E">
              <w:lastRenderedPageBreak/>
              <w:t>OPESR</w:t>
            </w:r>
            <w:r w:rsidRPr="0013396E">
              <w:rPr>
                <w:i/>
                <w:vertAlign w:val="subscript"/>
              </w:rPr>
              <w:t xml:space="preserve"> q, r, p, i </w:t>
            </w:r>
            <w:r w:rsidRPr="0013396E">
              <w:t xml:space="preserve">    = </w:t>
            </w:r>
            <w:r w:rsidRPr="0013396E">
              <w:tab/>
              <w:t xml:space="preserve">Max [0, (TWTG </w:t>
            </w:r>
            <w:r w:rsidRPr="0013396E">
              <w:rPr>
                <w:i/>
                <w:vertAlign w:val="subscript"/>
              </w:rPr>
              <w:t xml:space="preserve">q, r, p, i </w:t>
            </w:r>
            <w:r w:rsidRPr="0013396E">
              <w:t>– ¼ * Max [(AASP</w:t>
            </w:r>
            <w:r w:rsidRPr="0013396E">
              <w:rPr>
                <w:i/>
                <w:vertAlign w:val="subscript"/>
                <w:lang w:val="pt-BR"/>
              </w:rPr>
              <w:t xml:space="preserve"> q, r, p, i  </w:t>
            </w:r>
            <w:r w:rsidRPr="0013396E">
              <w:rPr>
                <w:i/>
                <w:lang w:val="pt-BR"/>
              </w:rPr>
              <w:t>+</w:t>
            </w:r>
            <w:r w:rsidRPr="0013396E">
              <w:rPr>
                <w:lang w:val="pt-BR"/>
              </w:rPr>
              <w:t xml:space="preserve"> ABS </w:t>
            </w:r>
            <w:r w:rsidRPr="0013396E">
              <w:t>(K3* AASP</w:t>
            </w:r>
            <w:r w:rsidRPr="0013396E">
              <w:rPr>
                <w:i/>
                <w:vertAlign w:val="subscript"/>
                <w:lang w:val="pt-BR"/>
              </w:rPr>
              <w:t xml:space="preserve"> q, r, p, i</w:t>
            </w:r>
            <w:r w:rsidRPr="0013396E">
              <w:rPr>
                <w:lang w:val="pt-BR"/>
              </w:rPr>
              <w:t>))</w:t>
            </w:r>
            <w:r w:rsidRPr="0013396E">
              <w:rPr>
                <w:i/>
                <w:lang w:val="pt-BR"/>
              </w:rPr>
              <w:t>,</w:t>
            </w:r>
            <w:r w:rsidRPr="0013396E">
              <w:t xml:space="preserve"> (AASP</w:t>
            </w:r>
            <w:r w:rsidRPr="0013396E">
              <w:rPr>
                <w:i/>
                <w:vertAlign w:val="subscript"/>
                <w:lang w:val="pt-BR"/>
              </w:rPr>
              <w:t xml:space="preserve"> q, r, p, i </w:t>
            </w:r>
            <w:r w:rsidRPr="0013396E">
              <w:rPr>
                <w:lang w:val="pt-BR"/>
              </w:rPr>
              <w:t xml:space="preserve">+ Q3)])] </w:t>
            </w:r>
          </w:p>
          <w:p w14:paraId="4EE95762" w14:textId="77777777" w:rsidR="00CE78B5" w:rsidRPr="0013396E" w:rsidRDefault="00CE78B5" w:rsidP="00CE78B5">
            <w:pPr>
              <w:tabs>
                <w:tab w:val="left" w:pos="2340"/>
                <w:tab w:val="left" w:pos="3420"/>
              </w:tabs>
              <w:spacing w:after="240"/>
              <w:ind w:left="2340" w:hangingChars="975" w:hanging="2340"/>
              <w:rPr>
                <w:iCs/>
                <w:lang w:val="es-ES"/>
              </w:rPr>
            </w:pPr>
            <w:r w:rsidRPr="0013396E">
              <w:rPr>
                <w:lang w:val="es-ES"/>
              </w:rPr>
              <w:t xml:space="preserve">          </w:t>
            </w:r>
            <w:r w:rsidRPr="0013396E">
              <w:rPr>
                <w:iCs/>
                <w:lang w:val="es-ES"/>
              </w:rPr>
              <w:t>If the ESR meets the conditions of paragraph (3) above,</w:t>
            </w:r>
            <w:r w:rsidRPr="0013396E">
              <w:rPr>
                <w:iCs/>
              </w:rPr>
              <w:t xml:space="preserve"> </w:t>
            </w:r>
            <w:r w:rsidRPr="0013396E">
              <w:rPr>
                <w:iCs/>
                <w:lang w:val="es-ES"/>
              </w:rPr>
              <w:t xml:space="preserve">then: </w:t>
            </w:r>
          </w:p>
          <w:p w14:paraId="68CA39F1" w14:textId="77777777" w:rsidR="00CE78B5" w:rsidRPr="0013396E" w:rsidRDefault="00CE78B5" w:rsidP="00CE78B5">
            <w:pPr>
              <w:spacing w:after="240"/>
              <w:ind w:left="2880" w:hanging="2160"/>
              <w:rPr>
                <w:iCs/>
                <w:lang w:val="pt-BR"/>
              </w:rPr>
            </w:pPr>
            <w:r w:rsidRPr="0013396E">
              <w:rPr>
                <w:iCs/>
              </w:rPr>
              <w:t>OPESR</w:t>
            </w:r>
            <w:r w:rsidRPr="0013396E">
              <w:rPr>
                <w:i/>
                <w:iCs/>
                <w:vertAlign w:val="subscript"/>
              </w:rPr>
              <w:t xml:space="preserve"> q, r, p, i </w:t>
            </w:r>
            <w:r w:rsidRPr="0013396E">
              <w:rPr>
                <w:iCs/>
              </w:rPr>
              <w:t xml:space="preserve">    = </w:t>
            </w:r>
            <w:r w:rsidRPr="0013396E">
              <w:rPr>
                <w:iCs/>
              </w:rPr>
              <w:tab/>
              <w:t xml:space="preserve">Max [0, (TWTG </w:t>
            </w:r>
            <w:r w:rsidRPr="0013396E">
              <w:rPr>
                <w:i/>
                <w:iCs/>
                <w:vertAlign w:val="subscript"/>
              </w:rPr>
              <w:t xml:space="preserve">q, r, p, i </w:t>
            </w:r>
            <w:r w:rsidRPr="0013396E">
              <w:rPr>
                <w:iCs/>
              </w:rPr>
              <w:t>– ¼ * (AASP</w:t>
            </w:r>
            <w:r w:rsidRPr="0013396E">
              <w:rPr>
                <w:i/>
                <w:iCs/>
                <w:vertAlign w:val="subscript"/>
                <w:lang w:val="pt-BR"/>
              </w:rPr>
              <w:t xml:space="preserve"> q, r, p, i  </w:t>
            </w:r>
            <w:r w:rsidRPr="0013396E">
              <w:rPr>
                <w:i/>
                <w:iCs/>
                <w:lang w:val="pt-BR"/>
              </w:rPr>
              <w:t>+</w:t>
            </w:r>
            <w:r w:rsidRPr="0013396E">
              <w:rPr>
                <w:iCs/>
                <w:lang w:val="pt-BR"/>
              </w:rPr>
              <w:t xml:space="preserve"> ABS </w:t>
            </w:r>
            <w:r w:rsidRPr="0013396E">
              <w:rPr>
                <w:iCs/>
              </w:rPr>
              <w:t>(K5* AASP</w:t>
            </w:r>
            <w:r w:rsidRPr="0013396E">
              <w:rPr>
                <w:i/>
                <w:iCs/>
                <w:vertAlign w:val="subscript"/>
                <w:lang w:val="pt-BR"/>
              </w:rPr>
              <w:t xml:space="preserve"> q, r, p, i</w:t>
            </w:r>
            <w:r w:rsidRPr="0013396E">
              <w:rPr>
                <w:iCs/>
                <w:lang w:val="pt-BR"/>
              </w:rPr>
              <w:t>)))]</w:t>
            </w:r>
          </w:p>
          <w:p w14:paraId="311DCF9B" w14:textId="77777777" w:rsidR="00CE78B5" w:rsidRPr="0013396E" w:rsidRDefault="00CE78B5" w:rsidP="00CE78B5">
            <w:pPr>
              <w:tabs>
                <w:tab w:val="left" w:pos="2340"/>
                <w:tab w:val="left" w:pos="3420"/>
              </w:tabs>
              <w:spacing w:after="240"/>
              <w:ind w:left="2340" w:hangingChars="975" w:hanging="2340"/>
              <w:rPr>
                <w:lang w:val="es-ES"/>
              </w:rPr>
            </w:pPr>
            <w:r w:rsidRPr="0013396E">
              <w:rPr>
                <w:lang w:val="es-ES"/>
              </w:rPr>
              <w:t xml:space="preserve">           Where:</w:t>
            </w:r>
          </w:p>
          <w:p w14:paraId="3BF0C25D" w14:textId="56492400" w:rsidR="00CE78B5" w:rsidRPr="00CE78B5" w:rsidRDefault="00CE78B5" w:rsidP="00CE78B5">
            <w:pPr>
              <w:pStyle w:val="Formula"/>
              <w:tabs>
                <w:tab w:val="clear" w:pos="2160"/>
                <w:tab w:val="left" w:pos="2340"/>
              </w:tabs>
              <w:ind w:left="2880" w:hanging="2160"/>
            </w:pPr>
            <w:r w:rsidRPr="0013396E">
              <w:t>TWTG</w:t>
            </w:r>
            <w:r w:rsidRPr="0013396E">
              <w:rPr>
                <w:i/>
                <w:vertAlign w:val="subscript"/>
              </w:rPr>
              <w:t xml:space="preserve"> q, r, p, i</w:t>
            </w:r>
            <w:r w:rsidRPr="0013396E">
              <w:rPr>
                <w:i/>
                <w:vertAlign w:val="subscript"/>
              </w:rPr>
              <w:tab/>
            </w:r>
            <w:r w:rsidRPr="0013396E">
              <w:rPr>
                <w:i/>
              </w:rPr>
              <w:t xml:space="preserve">= </w:t>
            </w:r>
            <w:r w:rsidRPr="0013396E">
              <w:rPr>
                <w:i/>
                <w:vertAlign w:val="subscript"/>
              </w:rPr>
              <w:t xml:space="preserve">     </w:t>
            </w:r>
            <w:r w:rsidRPr="0013396E">
              <w:t xml:space="preserve"> (</w:t>
            </w:r>
            <w:r w:rsidRPr="0013396E">
              <w:rPr>
                <w:position w:val="-22"/>
              </w:rPr>
              <w:object w:dxaOrig="210" w:dyaOrig="450" w14:anchorId="57E9EA91">
                <v:shape id="_x0000_i1159" type="#_x0000_t75" style="width:6pt;height:24pt" o:ole="">
                  <v:imagedata r:id="rId178" o:title=""/>
                </v:shape>
                <o:OLEObject Type="Embed" ProgID="Equation.3" ShapeID="_x0000_i1159" DrawAspect="Content" ObjectID="_1849065790" r:id="rId192"/>
              </w:object>
            </w:r>
            <w:r w:rsidRPr="0013396E">
              <w:t xml:space="preserve"> (AVGTG5M</w:t>
            </w:r>
            <w:r w:rsidRPr="0013396E">
              <w:rPr>
                <w:i/>
                <w:vertAlign w:val="subscript"/>
              </w:rPr>
              <w:t xml:space="preserve"> q, r, p, i, y</w:t>
            </w:r>
            <w:r w:rsidRPr="0013396E">
              <w:t>) / 3) * ¼</w:t>
            </w:r>
          </w:p>
        </w:tc>
      </w:tr>
    </w:tbl>
    <w:p w14:paraId="37B735B9" w14:textId="77777777" w:rsidR="005E0EE9" w:rsidRPr="0013396E" w:rsidRDefault="005E0EE9" w:rsidP="00CE78B5">
      <w:pPr>
        <w:spacing w:before="240"/>
      </w:pPr>
      <w:r w:rsidRPr="0013396E">
        <w:lastRenderedPageBreak/>
        <w:t>The above variables are defined as follows:</w:t>
      </w:r>
    </w:p>
    <w:tbl>
      <w:tblPr>
        <w:tblW w:w="9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892"/>
        <w:gridCol w:w="6695"/>
      </w:tblGrid>
      <w:tr w:rsidR="005E0EE9" w:rsidRPr="0013396E" w14:paraId="7489D4E2" w14:textId="77777777" w:rsidTr="0099759E">
        <w:trPr>
          <w:cantSplit/>
          <w:tblHeader/>
        </w:trPr>
        <w:tc>
          <w:tcPr>
            <w:tcW w:w="1776" w:type="dxa"/>
          </w:tcPr>
          <w:p w14:paraId="0A94D001" w14:textId="77777777" w:rsidR="005E0EE9" w:rsidRPr="0013396E" w:rsidRDefault="005E0EE9" w:rsidP="0099759E">
            <w:pPr>
              <w:pStyle w:val="TableHead"/>
              <w:tabs>
                <w:tab w:val="right" w:pos="9360"/>
              </w:tabs>
            </w:pPr>
            <w:r w:rsidRPr="0013396E">
              <w:t>Variable</w:t>
            </w:r>
          </w:p>
        </w:tc>
        <w:tc>
          <w:tcPr>
            <w:tcW w:w="892" w:type="dxa"/>
          </w:tcPr>
          <w:p w14:paraId="09FC6905" w14:textId="77777777" w:rsidR="005E0EE9" w:rsidRPr="0013396E" w:rsidRDefault="005E0EE9" w:rsidP="0099759E">
            <w:pPr>
              <w:pStyle w:val="TableHead"/>
              <w:tabs>
                <w:tab w:val="right" w:pos="9360"/>
              </w:tabs>
            </w:pPr>
            <w:r w:rsidRPr="0013396E">
              <w:t>Unit</w:t>
            </w:r>
          </w:p>
        </w:tc>
        <w:tc>
          <w:tcPr>
            <w:tcW w:w="6695" w:type="dxa"/>
          </w:tcPr>
          <w:p w14:paraId="33559033" w14:textId="77777777" w:rsidR="005E0EE9" w:rsidRPr="0013396E" w:rsidRDefault="005E0EE9" w:rsidP="0099759E">
            <w:pPr>
              <w:pStyle w:val="TableHead"/>
              <w:tabs>
                <w:tab w:val="right" w:pos="9360"/>
              </w:tabs>
            </w:pPr>
            <w:r w:rsidRPr="0013396E">
              <w:t>Definition</w:t>
            </w:r>
          </w:p>
        </w:tc>
      </w:tr>
      <w:tr w:rsidR="005E0EE9" w:rsidRPr="0013396E" w14:paraId="308D366F" w14:textId="77777777" w:rsidTr="0099759E">
        <w:trPr>
          <w:cantSplit/>
        </w:trPr>
        <w:tc>
          <w:tcPr>
            <w:tcW w:w="1776" w:type="dxa"/>
          </w:tcPr>
          <w:p w14:paraId="66B8D291" w14:textId="77777777" w:rsidR="005E0EE9" w:rsidRPr="0013396E" w:rsidRDefault="005E0EE9" w:rsidP="0099759E">
            <w:pPr>
              <w:pStyle w:val="TableBody"/>
            </w:pPr>
            <w:r w:rsidRPr="0013396E">
              <w:t xml:space="preserve">SPDAMT </w:t>
            </w:r>
            <w:r w:rsidRPr="0013396E">
              <w:rPr>
                <w:i/>
                <w:vertAlign w:val="subscript"/>
              </w:rPr>
              <w:t>q, r, p, i</w:t>
            </w:r>
          </w:p>
        </w:tc>
        <w:tc>
          <w:tcPr>
            <w:tcW w:w="892" w:type="dxa"/>
          </w:tcPr>
          <w:p w14:paraId="5B72F73D" w14:textId="77777777" w:rsidR="005E0EE9" w:rsidRPr="0013396E" w:rsidRDefault="005E0EE9" w:rsidP="0099759E">
            <w:pPr>
              <w:pStyle w:val="TableBody"/>
            </w:pPr>
            <w:r w:rsidRPr="0013396E">
              <w:t>$</w:t>
            </w:r>
          </w:p>
        </w:tc>
        <w:tc>
          <w:tcPr>
            <w:tcW w:w="6695" w:type="dxa"/>
          </w:tcPr>
          <w:p w14:paraId="6483D4F2" w14:textId="77777777" w:rsidR="005E0EE9" w:rsidRPr="0013396E" w:rsidRDefault="005E0EE9"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Resource </w:t>
            </w:r>
            <w:r w:rsidRPr="0013396E">
              <w:rPr>
                <w:i/>
              </w:rPr>
              <w:t xml:space="preserve">r </w:t>
            </w:r>
            <w:r w:rsidRPr="0013396E">
              <w:t xml:space="preserve">at Resource Node </w:t>
            </w:r>
            <w:r w:rsidRPr="0013396E">
              <w:rPr>
                <w:i/>
              </w:rPr>
              <w:t>p</w:t>
            </w:r>
            <w:r w:rsidRPr="0013396E">
              <w:t xml:space="preserve">, for its deviation from AASP, for the 15-minute Settlement Interval </w:t>
            </w:r>
            <w:r w:rsidRPr="0013396E">
              <w:rPr>
                <w:i/>
              </w:rPr>
              <w:t>i</w:t>
            </w:r>
            <w:r w:rsidRPr="0013396E">
              <w:t xml:space="preserve">.  </w:t>
            </w:r>
          </w:p>
        </w:tc>
      </w:tr>
      <w:tr w:rsidR="005E0EE9" w:rsidRPr="0013396E" w14:paraId="6229B61B" w14:textId="77777777" w:rsidTr="0099759E">
        <w:trPr>
          <w:cantSplit/>
        </w:trPr>
        <w:tc>
          <w:tcPr>
            <w:tcW w:w="1776" w:type="dxa"/>
          </w:tcPr>
          <w:p w14:paraId="346E1718" w14:textId="77777777" w:rsidR="005E0EE9" w:rsidRPr="0013396E" w:rsidRDefault="005E0EE9" w:rsidP="0099759E">
            <w:pPr>
              <w:pStyle w:val="TableBody"/>
            </w:pPr>
            <w:r w:rsidRPr="0013396E">
              <w:t xml:space="preserve">RTSPP </w:t>
            </w:r>
            <w:r w:rsidRPr="0013396E">
              <w:rPr>
                <w:i/>
                <w:vertAlign w:val="subscript"/>
              </w:rPr>
              <w:t>p, i</w:t>
            </w:r>
          </w:p>
        </w:tc>
        <w:tc>
          <w:tcPr>
            <w:tcW w:w="892" w:type="dxa"/>
          </w:tcPr>
          <w:p w14:paraId="7E78B43B" w14:textId="77777777" w:rsidR="005E0EE9" w:rsidRPr="0013396E" w:rsidRDefault="005E0EE9" w:rsidP="0099759E">
            <w:pPr>
              <w:pStyle w:val="TableBody"/>
            </w:pPr>
            <w:r w:rsidRPr="0013396E">
              <w:t>$/MWh</w:t>
            </w:r>
          </w:p>
        </w:tc>
        <w:tc>
          <w:tcPr>
            <w:tcW w:w="6695" w:type="dxa"/>
          </w:tcPr>
          <w:p w14:paraId="77A72455" w14:textId="77777777" w:rsidR="005E0EE9" w:rsidRPr="0013396E" w:rsidRDefault="005E0EE9" w:rsidP="0099759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5E0EE9" w:rsidRPr="0013396E" w14:paraId="6DDAA6F2" w14:textId="77777777" w:rsidTr="0099759E">
        <w:trPr>
          <w:cantSplit/>
        </w:trPr>
        <w:tc>
          <w:tcPr>
            <w:tcW w:w="1776" w:type="dxa"/>
          </w:tcPr>
          <w:p w14:paraId="753C12EE" w14:textId="77777777" w:rsidR="005E0EE9" w:rsidRPr="0013396E" w:rsidRDefault="005E0EE9" w:rsidP="0099759E">
            <w:pPr>
              <w:pStyle w:val="TableBody"/>
            </w:pPr>
            <w:r w:rsidRPr="0013396E">
              <w:t xml:space="preserve">TWTG </w:t>
            </w:r>
            <w:r w:rsidRPr="0013396E">
              <w:rPr>
                <w:i/>
                <w:vertAlign w:val="subscript"/>
              </w:rPr>
              <w:t>q, r, p, i</w:t>
            </w:r>
          </w:p>
        </w:tc>
        <w:tc>
          <w:tcPr>
            <w:tcW w:w="892" w:type="dxa"/>
          </w:tcPr>
          <w:p w14:paraId="1CAF2E99" w14:textId="77777777" w:rsidR="005E0EE9" w:rsidRPr="0013396E" w:rsidRDefault="005E0EE9" w:rsidP="0099759E">
            <w:pPr>
              <w:pStyle w:val="TableBody"/>
            </w:pPr>
            <w:r w:rsidRPr="0013396E">
              <w:t>MWh</w:t>
            </w:r>
          </w:p>
        </w:tc>
        <w:tc>
          <w:tcPr>
            <w:tcW w:w="6695" w:type="dxa"/>
          </w:tcPr>
          <w:p w14:paraId="079B5A0F" w14:textId="77777777" w:rsidR="005E0EE9" w:rsidRPr="0013396E" w:rsidRDefault="005E0EE9" w:rsidP="0099759E">
            <w:pPr>
              <w:pStyle w:val="TableBody"/>
              <w:rPr>
                <w:i/>
              </w:rPr>
            </w:pPr>
            <w:r w:rsidRPr="0013396E">
              <w:rPr>
                <w:i/>
              </w:rPr>
              <w:t>Time-Weighted Telemetered Generation per QSE per Settlement Point per Resource</w:t>
            </w:r>
            <w:r w:rsidRPr="0013396E">
              <w:t xml:space="preserve">—The telemetered generation or consumption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 xml:space="preserve">.  </w:t>
            </w:r>
          </w:p>
        </w:tc>
      </w:tr>
      <w:tr w:rsidR="005E0EE9" w:rsidRPr="0013396E" w14:paraId="35904FE9" w14:textId="77777777" w:rsidTr="0099759E">
        <w:trPr>
          <w:cantSplit/>
        </w:trPr>
        <w:tc>
          <w:tcPr>
            <w:tcW w:w="1776" w:type="dxa"/>
          </w:tcPr>
          <w:p w14:paraId="78438646" w14:textId="77777777" w:rsidR="005E0EE9" w:rsidRPr="0013396E" w:rsidRDefault="005E0EE9" w:rsidP="0099759E">
            <w:pPr>
              <w:pStyle w:val="TableBody"/>
            </w:pPr>
            <w:r w:rsidRPr="0013396E">
              <w:t xml:space="preserve">AASP </w:t>
            </w:r>
            <w:r w:rsidRPr="0013396E">
              <w:rPr>
                <w:i/>
                <w:vertAlign w:val="subscript"/>
              </w:rPr>
              <w:t>q, r, p, i</w:t>
            </w:r>
          </w:p>
        </w:tc>
        <w:tc>
          <w:tcPr>
            <w:tcW w:w="892" w:type="dxa"/>
          </w:tcPr>
          <w:p w14:paraId="51832F14" w14:textId="77777777" w:rsidR="005E0EE9" w:rsidRPr="0013396E" w:rsidRDefault="005E0EE9" w:rsidP="0099759E">
            <w:pPr>
              <w:pStyle w:val="TableBody"/>
            </w:pPr>
            <w:r w:rsidRPr="0013396E">
              <w:t>MW</w:t>
            </w:r>
          </w:p>
        </w:tc>
        <w:tc>
          <w:tcPr>
            <w:tcW w:w="6695" w:type="dxa"/>
          </w:tcPr>
          <w:p w14:paraId="30B1F1A7" w14:textId="77777777" w:rsidR="005E0EE9" w:rsidRPr="0013396E" w:rsidRDefault="005E0EE9" w:rsidP="0099759E">
            <w:pPr>
              <w:pStyle w:val="TableBody"/>
              <w:rPr>
                <w:i/>
              </w:rPr>
            </w:pPr>
            <w:r w:rsidRPr="0013396E">
              <w:rPr>
                <w:i/>
              </w:rPr>
              <w:t>Average Aggregated Set Point per QSE per Settlement Point per Resource</w:t>
            </w:r>
            <w:r w:rsidRPr="0013396E">
              <w:t xml:space="preserve">—The </w:t>
            </w:r>
            <w:r w:rsidRPr="0013396E">
              <w:rPr>
                <w:iCs w:val="0"/>
              </w:rPr>
              <w:t>average of the Average Five Minute Clock Interval Set Point (AVGSP5M)</w:t>
            </w:r>
            <w:r w:rsidRPr="0013396E">
              <w:t xml:space="preserve"> of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w:t>
            </w:r>
            <w:r w:rsidRPr="0013396E">
              <w:rPr>
                <w:i/>
              </w:rPr>
              <w:t xml:space="preserve"> i</w:t>
            </w:r>
            <w:r w:rsidRPr="0013396E">
              <w:t xml:space="preserve">.  </w:t>
            </w:r>
          </w:p>
        </w:tc>
      </w:tr>
      <w:tr w:rsidR="005E0EE9" w:rsidRPr="0013396E" w14:paraId="5E6674D1" w14:textId="77777777" w:rsidTr="0099759E">
        <w:trPr>
          <w:cantSplit/>
        </w:trPr>
        <w:tc>
          <w:tcPr>
            <w:tcW w:w="1776" w:type="dxa"/>
          </w:tcPr>
          <w:p w14:paraId="7C5678FB" w14:textId="77777777" w:rsidR="005E0EE9" w:rsidRPr="0013396E" w:rsidRDefault="005E0EE9" w:rsidP="0099759E">
            <w:pPr>
              <w:pStyle w:val="TableBody"/>
            </w:pPr>
            <w:r w:rsidRPr="0013396E">
              <w:t xml:space="preserve">AVGTG5M </w:t>
            </w:r>
            <w:r w:rsidRPr="0013396E">
              <w:rPr>
                <w:i/>
                <w:vertAlign w:val="subscript"/>
                <w:lang w:val="fr-FR"/>
              </w:rPr>
              <w:t>q, r, p, i, y</w:t>
            </w:r>
          </w:p>
        </w:tc>
        <w:tc>
          <w:tcPr>
            <w:tcW w:w="892" w:type="dxa"/>
          </w:tcPr>
          <w:p w14:paraId="1C6C1F22" w14:textId="77777777" w:rsidR="005E0EE9" w:rsidRPr="0013396E" w:rsidRDefault="005E0EE9" w:rsidP="0099759E">
            <w:pPr>
              <w:pStyle w:val="TableBody"/>
            </w:pPr>
            <w:r w:rsidRPr="0013396E">
              <w:t>MW</w:t>
            </w:r>
          </w:p>
        </w:tc>
        <w:tc>
          <w:tcPr>
            <w:tcW w:w="6695" w:type="dxa"/>
          </w:tcPr>
          <w:p w14:paraId="7AF32F31" w14:textId="77777777" w:rsidR="005E0EE9" w:rsidRPr="0013396E" w:rsidRDefault="005E0EE9" w:rsidP="0099759E">
            <w:pPr>
              <w:pStyle w:val="TableBody"/>
            </w:pPr>
            <w:r w:rsidRPr="0013396E">
              <w:rPr>
                <w:i/>
              </w:rPr>
              <w:t>Average Telemetered Generation for the 5 Minutes</w:t>
            </w:r>
            <w:r w:rsidRPr="0013396E">
              <w:t xml:space="preserve">—The average telemetered generation or consumption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5E0EE9" w:rsidRPr="0013396E" w14:paraId="4A85E742" w14:textId="77777777" w:rsidTr="0099759E">
        <w:trPr>
          <w:cantSplit/>
        </w:trPr>
        <w:tc>
          <w:tcPr>
            <w:tcW w:w="1776" w:type="dxa"/>
          </w:tcPr>
          <w:p w14:paraId="1B9C663F" w14:textId="77777777" w:rsidR="005E0EE9" w:rsidRPr="0013396E" w:rsidRDefault="005E0EE9" w:rsidP="0099759E">
            <w:pPr>
              <w:pStyle w:val="TableBody"/>
            </w:pPr>
            <w:r w:rsidRPr="0013396E">
              <w:t xml:space="preserve">OPESR </w:t>
            </w:r>
            <w:r w:rsidRPr="0013396E">
              <w:rPr>
                <w:i/>
                <w:vertAlign w:val="subscript"/>
              </w:rPr>
              <w:t>q, r, p, i</w:t>
            </w:r>
          </w:p>
        </w:tc>
        <w:tc>
          <w:tcPr>
            <w:tcW w:w="892" w:type="dxa"/>
          </w:tcPr>
          <w:p w14:paraId="5A0B3D13" w14:textId="77777777" w:rsidR="005E0EE9" w:rsidRPr="0013396E" w:rsidRDefault="005E0EE9" w:rsidP="0099759E">
            <w:pPr>
              <w:pStyle w:val="TableBody"/>
            </w:pPr>
            <w:r w:rsidRPr="0013396E">
              <w:t>MWh</w:t>
            </w:r>
          </w:p>
        </w:tc>
        <w:tc>
          <w:tcPr>
            <w:tcW w:w="6695" w:type="dxa"/>
          </w:tcPr>
          <w:p w14:paraId="7C32F8F6" w14:textId="77777777" w:rsidR="005E0EE9" w:rsidRPr="0013396E" w:rsidRDefault="005E0EE9" w:rsidP="0099759E">
            <w:pPr>
              <w:pStyle w:val="TableBody"/>
            </w:pPr>
            <w:r w:rsidRPr="0013396E">
              <w:rPr>
                <w:i/>
              </w:rPr>
              <w:t>Over-Performance Volumes per QSE per Settlement Point per Resource</w:t>
            </w:r>
            <w:r w:rsidRPr="0013396E">
              <w:t xml:space="preserve">—The amount the ESR </w:t>
            </w:r>
            <w:r w:rsidRPr="0013396E">
              <w:rPr>
                <w:i/>
              </w:rPr>
              <w:t>r</w:t>
            </w:r>
            <w:r w:rsidRPr="0013396E">
              <w:t xml:space="preserve"> over-performed</w:t>
            </w:r>
            <w:r w:rsidRPr="0013396E">
              <w:rPr>
                <w:i/>
              </w:rPr>
              <w:t xml:space="preserve">, </w:t>
            </w:r>
            <w:r w:rsidRPr="0013396E">
              <w:t xml:space="preserve">represented by QSE </w:t>
            </w:r>
            <w:r w:rsidRPr="0013396E">
              <w:rPr>
                <w:i/>
              </w:rPr>
              <w:t>q</w:t>
            </w:r>
            <w:r w:rsidRPr="0013396E">
              <w:t xml:space="preserve"> at Resource Node </w:t>
            </w:r>
            <w:r w:rsidRPr="0013396E">
              <w:rPr>
                <w:i/>
              </w:rPr>
              <w:t xml:space="preserve">p, </w:t>
            </w:r>
            <w:r w:rsidRPr="0013396E">
              <w:t xml:space="preserve">for the 15-minute Settlement Interval </w:t>
            </w:r>
            <w:r w:rsidRPr="0013396E">
              <w:rPr>
                <w:i/>
              </w:rPr>
              <w:t>i</w:t>
            </w:r>
            <w:r w:rsidRPr="0013396E">
              <w:t>.</w:t>
            </w:r>
          </w:p>
        </w:tc>
      </w:tr>
      <w:tr w:rsidR="005E0EE9" w:rsidRPr="0013396E" w14:paraId="16BED96B" w14:textId="77777777" w:rsidTr="0099759E">
        <w:trPr>
          <w:cantSplit/>
        </w:trPr>
        <w:tc>
          <w:tcPr>
            <w:tcW w:w="1776" w:type="dxa"/>
          </w:tcPr>
          <w:p w14:paraId="0E05AC6A" w14:textId="77777777" w:rsidR="005E0EE9" w:rsidRPr="0013396E" w:rsidRDefault="005E0EE9" w:rsidP="0099759E">
            <w:pPr>
              <w:pStyle w:val="TableBody"/>
            </w:pPr>
            <w:r w:rsidRPr="0013396E">
              <w:t>PR3</w:t>
            </w:r>
          </w:p>
        </w:tc>
        <w:tc>
          <w:tcPr>
            <w:tcW w:w="892" w:type="dxa"/>
          </w:tcPr>
          <w:p w14:paraId="0AB42565" w14:textId="77777777" w:rsidR="005E0EE9" w:rsidRPr="0013396E" w:rsidRDefault="005E0EE9" w:rsidP="0099759E">
            <w:pPr>
              <w:pStyle w:val="TableBody"/>
            </w:pPr>
            <w:r w:rsidRPr="0013396E">
              <w:t>$/MWh</w:t>
            </w:r>
          </w:p>
        </w:tc>
        <w:tc>
          <w:tcPr>
            <w:tcW w:w="6695" w:type="dxa"/>
          </w:tcPr>
          <w:p w14:paraId="3C0B40B9" w14:textId="77777777" w:rsidR="005E0EE9" w:rsidRPr="0013396E" w:rsidRDefault="005E0EE9" w:rsidP="0099759E">
            <w:pPr>
              <w:pStyle w:val="TableBody"/>
            </w:pPr>
            <w:r w:rsidRPr="0013396E">
              <w:t xml:space="preserve">The price to use for the Set Point Deviation Charge for over-performance when RTSPP is less than $20/MWh, $20/MWh.  </w:t>
            </w:r>
          </w:p>
        </w:tc>
      </w:tr>
      <w:tr w:rsidR="005E0EE9" w:rsidRPr="0013396E" w14:paraId="33EFF1DC" w14:textId="77777777" w:rsidTr="0099759E">
        <w:trPr>
          <w:cantSplit/>
        </w:trPr>
        <w:tc>
          <w:tcPr>
            <w:tcW w:w="1776" w:type="dxa"/>
          </w:tcPr>
          <w:p w14:paraId="32A79A0A" w14:textId="77777777" w:rsidR="005E0EE9" w:rsidRPr="0013396E" w:rsidRDefault="005E0EE9" w:rsidP="0099759E">
            <w:pPr>
              <w:pStyle w:val="TableBody"/>
            </w:pPr>
            <w:r w:rsidRPr="0013396E">
              <w:t>K3</w:t>
            </w:r>
          </w:p>
        </w:tc>
        <w:tc>
          <w:tcPr>
            <w:tcW w:w="892" w:type="dxa"/>
          </w:tcPr>
          <w:p w14:paraId="62CD4600" w14:textId="77777777" w:rsidR="005E0EE9" w:rsidRPr="0013396E" w:rsidRDefault="005E0EE9" w:rsidP="0099759E">
            <w:pPr>
              <w:pStyle w:val="TableBody"/>
            </w:pPr>
            <w:r w:rsidRPr="0013396E">
              <w:t>none</w:t>
            </w:r>
          </w:p>
        </w:tc>
        <w:tc>
          <w:tcPr>
            <w:tcW w:w="6695" w:type="dxa"/>
          </w:tcPr>
          <w:p w14:paraId="78035C11" w14:textId="77777777" w:rsidR="005E0EE9" w:rsidRPr="0013396E" w:rsidRDefault="005E0EE9" w:rsidP="0099759E">
            <w:pPr>
              <w:pStyle w:val="TableBody"/>
            </w:pPr>
            <w:r w:rsidRPr="0013396E">
              <w:t xml:space="preserve">The percentage tolerance for over-performance per paragraph (2) above, 3%.  </w:t>
            </w:r>
          </w:p>
        </w:tc>
      </w:tr>
      <w:tr w:rsidR="005E0EE9" w:rsidRPr="0013396E" w14:paraId="2823EBCA" w14:textId="77777777" w:rsidTr="0099759E">
        <w:trPr>
          <w:cantSplit/>
        </w:trPr>
        <w:tc>
          <w:tcPr>
            <w:tcW w:w="1776" w:type="dxa"/>
          </w:tcPr>
          <w:p w14:paraId="171E5E2A" w14:textId="77777777" w:rsidR="005E0EE9" w:rsidRPr="0013396E" w:rsidRDefault="005E0EE9" w:rsidP="0099759E">
            <w:pPr>
              <w:pStyle w:val="TableBody"/>
            </w:pPr>
            <w:r w:rsidRPr="0013396E">
              <w:t>K5</w:t>
            </w:r>
          </w:p>
        </w:tc>
        <w:tc>
          <w:tcPr>
            <w:tcW w:w="892" w:type="dxa"/>
          </w:tcPr>
          <w:p w14:paraId="030F318D" w14:textId="77777777" w:rsidR="005E0EE9" w:rsidRPr="0013396E" w:rsidRDefault="005E0EE9" w:rsidP="0099759E">
            <w:pPr>
              <w:pStyle w:val="TableBody"/>
            </w:pPr>
            <w:r w:rsidRPr="0013396E">
              <w:t>none</w:t>
            </w:r>
          </w:p>
        </w:tc>
        <w:tc>
          <w:tcPr>
            <w:tcW w:w="6695" w:type="dxa"/>
          </w:tcPr>
          <w:p w14:paraId="78EC9BDA" w14:textId="77777777" w:rsidR="005E0EE9" w:rsidRPr="0013396E" w:rsidRDefault="005E0EE9" w:rsidP="0099759E">
            <w:pPr>
              <w:pStyle w:val="TableBody"/>
            </w:pPr>
            <w:r w:rsidRPr="0013396E">
              <w:t>The percentage tolerance for over-performance per paragraph (3) above, 5%.</w:t>
            </w:r>
          </w:p>
        </w:tc>
      </w:tr>
      <w:tr w:rsidR="005E0EE9" w:rsidRPr="0013396E" w14:paraId="5A7F3778" w14:textId="77777777" w:rsidTr="0099759E">
        <w:trPr>
          <w:cantSplit/>
        </w:trPr>
        <w:tc>
          <w:tcPr>
            <w:tcW w:w="1776" w:type="dxa"/>
          </w:tcPr>
          <w:p w14:paraId="05197D07" w14:textId="77777777" w:rsidR="005E0EE9" w:rsidRPr="0013396E" w:rsidRDefault="005E0EE9" w:rsidP="0099759E">
            <w:pPr>
              <w:pStyle w:val="TableBody"/>
            </w:pPr>
            <w:r w:rsidRPr="0013396E">
              <w:t>Q3</w:t>
            </w:r>
          </w:p>
        </w:tc>
        <w:tc>
          <w:tcPr>
            <w:tcW w:w="892" w:type="dxa"/>
          </w:tcPr>
          <w:p w14:paraId="3DDE2473" w14:textId="77777777" w:rsidR="005E0EE9" w:rsidRPr="0013396E" w:rsidRDefault="005E0EE9" w:rsidP="0099759E">
            <w:pPr>
              <w:pStyle w:val="TableBody"/>
            </w:pPr>
            <w:r w:rsidRPr="0013396E">
              <w:t>MW</w:t>
            </w:r>
          </w:p>
        </w:tc>
        <w:tc>
          <w:tcPr>
            <w:tcW w:w="6695" w:type="dxa"/>
          </w:tcPr>
          <w:p w14:paraId="0E291E61" w14:textId="77777777" w:rsidR="005E0EE9" w:rsidRPr="0013396E" w:rsidRDefault="005E0EE9" w:rsidP="0099759E">
            <w:pPr>
              <w:pStyle w:val="TableBody"/>
            </w:pPr>
            <w:r w:rsidRPr="0013396E">
              <w:t>The MW tolerance for over-performance, three MW.</w:t>
            </w:r>
          </w:p>
        </w:tc>
      </w:tr>
      <w:tr w:rsidR="005E0EE9" w:rsidRPr="0013396E" w14:paraId="2F805050" w14:textId="77777777" w:rsidTr="0099759E">
        <w:trPr>
          <w:cantSplit/>
        </w:trPr>
        <w:tc>
          <w:tcPr>
            <w:tcW w:w="1776" w:type="dxa"/>
          </w:tcPr>
          <w:p w14:paraId="5D7FD454" w14:textId="77777777" w:rsidR="005E0EE9" w:rsidRPr="0013396E" w:rsidRDefault="005E0EE9" w:rsidP="0099759E">
            <w:pPr>
              <w:pStyle w:val="TableBody"/>
              <w:rPr>
                <w:i/>
              </w:rPr>
            </w:pPr>
            <w:r w:rsidRPr="0013396E">
              <w:rPr>
                <w:i/>
              </w:rPr>
              <w:t>q</w:t>
            </w:r>
          </w:p>
        </w:tc>
        <w:tc>
          <w:tcPr>
            <w:tcW w:w="892" w:type="dxa"/>
          </w:tcPr>
          <w:p w14:paraId="0C017D46" w14:textId="77777777" w:rsidR="005E0EE9" w:rsidRPr="0013396E" w:rsidRDefault="005E0EE9" w:rsidP="0099759E">
            <w:pPr>
              <w:pStyle w:val="TableBody"/>
            </w:pPr>
            <w:r w:rsidRPr="0013396E">
              <w:t>none</w:t>
            </w:r>
          </w:p>
        </w:tc>
        <w:tc>
          <w:tcPr>
            <w:tcW w:w="6695" w:type="dxa"/>
          </w:tcPr>
          <w:p w14:paraId="302FA958" w14:textId="77777777" w:rsidR="005E0EE9" w:rsidRPr="0013396E" w:rsidRDefault="005E0EE9" w:rsidP="0099759E">
            <w:pPr>
              <w:pStyle w:val="TableBody"/>
            </w:pPr>
            <w:r w:rsidRPr="0013396E">
              <w:t>A QSE.</w:t>
            </w:r>
          </w:p>
        </w:tc>
      </w:tr>
      <w:tr w:rsidR="005E0EE9" w:rsidRPr="0013396E" w14:paraId="346DA784" w14:textId="77777777" w:rsidTr="0099759E">
        <w:trPr>
          <w:cantSplit/>
        </w:trPr>
        <w:tc>
          <w:tcPr>
            <w:tcW w:w="1776" w:type="dxa"/>
          </w:tcPr>
          <w:p w14:paraId="6895E181" w14:textId="77777777" w:rsidR="005E0EE9" w:rsidRPr="0013396E" w:rsidRDefault="005E0EE9" w:rsidP="0099759E">
            <w:pPr>
              <w:pStyle w:val="TableBody"/>
              <w:rPr>
                <w:i/>
              </w:rPr>
            </w:pPr>
            <w:r w:rsidRPr="0013396E">
              <w:rPr>
                <w:i/>
              </w:rPr>
              <w:t>p</w:t>
            </w:r>
          </w:p>
        </w:tc>
        <w:tc>
          <w:tcPr>
            <w:tcW w:w="892" w:type="dxa"/>
          </w:tcPr>
          <w:p w14:paraId="58F906E6" w14:textId="77777777" w:rsidR="005E0EE9" w:rsidRPr="0013396E" w:rsidRDefault="005E0EE9" w:rsidP="0099759E">
            <w:pPr>
              <w:pStyle w:val="TableBody"/>
            </w:pPr>
            <w:r w:rsidRPr="0013396E">
              <w:t>none</w:t>
            </w:r>
          </w:p>
        </w:tc>
        <w:tc>
          <w:tcPr>
            <w:tcW w:w="6695" w:type="dxa"/>
          </w:tcPr>
          <w:p w14:paraId="648A9B1E" w14:textId="77777777" w:rsidR="005E0EE9" w:rsidRPr="0013396E" w:rsidRDefault="005E0EE9" w:rsidP="0099759E">
            <w:pPr>
              <w:pStyle w:val="TableBody"/>
            </w:pPr>
            <w:r w:rsidRPr="0013396E">
              <w:t>A Settlement Point.</w:t>
            </w:r>
          </w:p>
        </w:tc>
      </w:tr>
      <w:tr w:rsidR="005E0EE9" w:rsidRPr="0013396E" w14:paraId="069A84A3" w14:textId="77777777" w:rsidTr="0099759E">
        <w:trPr>
          <w:cantSplit/>
        </w:trPr>
        <w:tc>
          <w:tcPr>
            <w:tcW w:w="1776" w:type="dxa"/>
          </w:tcPr>
          <w:p w14:paraId="6DC02FB8" w14:textId="77777777" w:rsidR="005E0EE9" w:rsidRPr="0013396E" w:rsidRDefault="005E0EE9" w:rsidP="0099759E">
            <w:pPr>
              <w:pStyle w:val="TableBody"/>
              <w:tabs>
                <w:tab w:val="right" w:pos="9360"/>
              </w:tabs>
              <w:rPr>
                <w:i/>
              </w:rPr>
            </w:pPr>
            <w:r w:rsidRPr="0013396E">
              <w:rPr>
                <w:i/>
              </w:rPr>
              <w:t>r</w:t>
            </w:r>
          </w:p>
        </w:tc>
        <w:tc>
          <w:tcPr>
            <w:tcW w:w="892" w:type="dxa"/>
          </w:tcPr>
          <w:p w14:paraId="00F38B9A" w14:textId="77777777" w:rsidR="005E0EE9" w:rsidRPr="0013396E" w:rsidRDefault="005E0EE9" w:rsidP="0099759E">
            <w:pPr>
              <w:pStyle w:val="TableBody"/>
              <w:tabs>
                <w:tab w:val="right" w:pos="9360"/>
              </w:tabs>
            </w:pPr>
            <w:r w:rsidRPr="0013396E">
              <w:t>none</w:t>
            </w:r>
          </w:p>
        </w:tc>
        <w:tc>
          <w:tcPr>
            <w:tcW w:w="6695" w:type="dxa"/>
          </w:tcPr>
          <w:p w14:paraId="1A3F39D6" w14:textId="77777777" w:rsidR="005E0EE9" w:rsidRPr="0013396E" w:rsidRDefault="005E0EE9" w:rsidP="0099759E">
            <w:pPr>
              <w:pStyle w:val="TableBody"/>
              <w:tabs>
                <w:tab w:val="right" w:pos="9360"/>
              </w:tabs>
              <w:rPr>
                <w:lang w:val="fr-FR"/>
              </w:rPr>
            </w:pPr>
            <w:r w:rsidRPr="0013396E">
              <w:rPr>
                <w:lang w:val="fr-FR"/>
              </w:rPr>
              <w:t xml:space="preserve">An ESR. </w:t>
            </w:r>
          </w:p>
        </w:tc>
      </w:tr>
      <w:tr w:rsidR="005E0EE9" w:rsidRPr="0013396E" w14:paraId="223715C5" w14:textId="77777777" w:rsidTr="0099759E">
        <w:trPr>
          <w:cantSplit/>
        </w:trPr>
        <w:tc>
          <w:tcPr>
            <w:tcW w:w="1776" w:type="dxa"/>
            <w:tcBorders>
              <w:top w:val="single" w:sz="4" w:space="0" w:color="auto"/>
              <w:left w:val="single" w:sz="4" w:space="0" w:color="auto"/>
              <w:bottom w:val="single" w:sz="4" w:space="0" w:color="auto"/>
              <w:right w:val="single" w:sz="4" w:space="0" w:color="auto"/>
            </w:tcBorders>
          </w:tcPr>
          <w:p w14:paraId="70DF218A" w14:textId="77777777" w:rsidR="005E0EE9" w:rsidRPr="0013396E" w:rsidRDefault="005E0EE9" w:rsidP="0099759E">
            <w:pPr>
              <w:pStyle w:val="TableBody"/>
              <w:rPr>
                <w:i/>
              </w:rPr>
            </w:pPr>
            <w:r w:rsidRPr="0013396E">
              <w:rPr>
                <w:i/>
              </w:rPr>
              <w:t xml:space="preserve">y </w:t>
            </w:r>
          </w:p>
        </w:tc>
        <w:tc>
          <w:tcPr>
            <w:tcW w:w="892" w:type="dxa"/>
            <w:tcBorders>
              <w:top w:val="single" w:sz="4" w:space="0" w:color="auto"/>
              <w:left w:val="single" w:sz="4" w:space="0" w:color="auto"/>
              <w:bottom w:val="single" w:sz="4" w:space="0" w:color="auto"/>
              <w:right w:val="single" w:sz="4" w:space="0" w:color="auto"/>
            </w:tcBorders>
          </w:tcPr>
          <w:p w14:paraId="3B1695CB" w14:textId="77777777" w:rsidR="005E0EE9" w:rsidRPr="0013396E" w:rsidRDefault="005E0EE9" w:rsidP="0099759E">
            <w:pPr>
              <w:pStyle w:val="TableBody"/>
            </w:pPr>
            <w:r w:rsidRPr="0013396E">
              <w:t>none</w:t>
            </w:r>
          </w:p>
        </w:tc>
        <w:tc>
          <w:tcPr>
            <w:tcW w:w="6695" w:type="dxa"/>
            <w:tcBorders>
              <w:top w:val="single" w:sz="4" w:space="0" w:color="auto"/>
              <w:left w:val="single" w:sz="4" w:space="0" w:color="auto"/>
              <w:bottom w:val="single" w:sz="4" w:space="0" w:color="auto"/>
              <w:right w:val="single" w:sz="4" w:space="0" w:color="auto"/>
            </w:tcBorders>
          </w:tcPr>
          <w:p w14:paraId="6C7D6921" w14:textId="77777777" w:rsidR="005E0EE9" w:rsidRPr="0013396E" w:rsidRDefault="005E0EE9" w:rsidP="0099759E">
            <w:pPr>
              <w:pStyle w:val="TableBody"/>
            </w:pPr>
            <w:r w:rsidRPr="0013396E">
              <w:t xml:space="preserve">A five-minute clock interval in the Settlement Interval. </w:t>
            </w:r>
          </w:p>
        </w:tc>
      </w:tr>
      <w:tr w:rsidR="005E0EE9" w:rsidRPr="0013396E" w14:paraId="5252F8C4" w14:textId="77777777" w:rsidTr="0099759E">
        <w:trPr>
          <w:cantSplit/>
        </w:trPr>
        <w:tc>
          <w:tcPr>
            <w:tcW w:w="1776" w:type="dxa"/>
            <w:tcBorders>
              <w:top w:val="single" w:sz="4" w:space="0" w:color="auto"/>
              <w:left w:val="single" w:sz="4" w:space="0" w:color="auto"/>
              <w:bottom w:val="single" w:sz="4" w:space="0" w:color="auto"/>
              <w:right w:val="single" w:sz="4" w:space="0" w:color="auto"/>
            </w:tcBorders>
          </w:tcPr>
          <w:p w14:paraId="364AE6EE" w14:textId="77777777" w:rsidR="005E0EE9" w:rsidRPr="0013396E" w:rsidDel="00714336" w:rsidRDefault="005E0EE9" w:rsidP="0099759E">
            <w:pPr>
              <w:pStyle w:val="TableBody"/>
              <w:rPr>
                <w:i/>
              </w:rPr>
            </w:pPr>
            <w:r w:rsidRPr="0013396E">
              <w:rPr>
                <w:i/>
              </w:rPr>
              <w:t>i</w:t>
            </w:r>
          </w:p>
        </w:tc>
        <w:tc>
          <w:tcPr>
            <w:tcW w:w="892" w:type="dxa"/>
            <w:tcBorders>
              <w:top w:val="single" w:sz="4" w:space="0" w:color="auto"/>
              <w:left w:val="single" w:sz="4" w:space="0" w:color="auto"/>
              <w:bottom w:val="single" w:sz="4" w:space="0" w:color="auto"/>
              <w:right w:val="single" w:sz="4" w:space="0" w:color="auto"/>
            </w:tcBorders>
          </w:tcPr>
          <w:p w14:paraId="728A136C" w14:textId="77777777" w:rsidR="005E0EE9" w:rsidRPr="0013396E" w:rsidDel="00714336" w:rsidRDefault="005E0EE9" w:rsidP="0099759E">
            <w:pPr>
              <w:pStyle w:val="TableBody"/>
            </w:pPr>
            <w:r w:rsidRPr="0013396E">
              <w:t>none</w:t>
            </w:r>
          </w:p>
        </w:tc>
        <w:tc>
          <w:tcPr>
            <w:tcW w:w="6695" w:type="dxa"/>
            <w:tcBorders>
              <w:top w:val="single" w:sz="4" w:space="0" w:color="auto"/>
              <w:left w:val="single" w:sz="4" w:space="0" w:color="auto"/>
              <w:bottom w:val="single" w:sz="4" w:space="0" w:color="auto"/>
              <w:right w:val="single" w:sz="4" w:space="0" w:color="auto"/>
            </w:tcBorders>
          </w:tcPr>
          <w:p w14:paraId="361803B5" w14:textId="77777777" w:rsidR="005E0EE9" w:rsidRPr="0013396E" w:rsidDel="00714336" w:rsidRDefault="005E0EE9" w:rsidP="0099759E">
            <w:pPr>
              <w:pStyle w:val="TableBody"/>
            </w:pPr>
            <w:r w:rsidRPr="0013396E">
              <w:t>A 15-minute Settlement Interval.</w:t>
            </w:r>
          </w:p>
        </w:tc>
      </w:tr>
    </w:tbl>
    <w:p w14:paraId="31BD12A8" w14:textId="77777777" w:rsidR="005E0EE9" w:rsidRPr="0013396E" w:rsidRDefault="005E0EE9" w:rsidP="005E0EE9">
      <w:pPr>
        <w:pStyle w:val="BodyText"/>
        <w:tabs>
          <w:tab w:val="left" w:pos="1230"/>
        </w:tabs>
        <w:spacing w:before="480"/>
        <w:ind w:left="1166" w:hanging="1166"/>
        <w:outlineLvl w:val="3"/>
        <w:rPr>
          <w:b/>
          <w:lang w:val="fr-FR"/>
        </w:rPr>
      </w:pPr>
      <w:bookmarkStart w:id="1857" w:name="_Toc236220200"/>
      <w:r w:rsidRPr="0013396E">
        <w:rPr>
          <w:b/>
          <w:lang w:val="fr-FR"/>
        </w:rPr>
        <w:lastRenderedPageBreak/>
        <w:t>6.6.5.5.1</w:t>
      </w:r>
      <w:r w:rsidRPr="0013396E">
        <w:rPr>
          <w:b/>
          <w:lang w:val="fr-FR"/>
        </w:rPr>
        <w:tab/>
        <w:t>Energy Storage Resource Set Point Deviation Charge for Under Performance</w:t>
      </w:r>
      <w:bookmarkEnd w:id="1857"/>
    </w:p>
    <w:p w14:paraId="3D818F86" w14:textId="77777777" w:rsidR="005E0EE9" w:rsidRPr="0013396E" w:rsidRDefault="005E0EE9" w:rsidP="005E0EE9">
      <w:pPr>
        <w:pStyle w:val="BodyTextNumbered"/>
      </w:pPr>
      <w:r w:rsidRPr="0013396E">
        <w:t>(1)</w:t>
      </w:r>
      <w:r w:rsidRPr="0013396E">
        <w:tab/>
        <w:t xml:space="preserve">ERCOT shall charge a QSE for an ESR a Set Point Deviation Charge for under-performance if the telemetered generation or consumption is below the specified tolerance.  </w:t>
      </w:r>
    </w:p>
    <w:p w14:paraId="6352A44E" w14:textId="3E79A91D" w:rsidR="005E0EE9" w:rsidRPr="0013396E" w:rsidRDefault="005E0EE9" w:rsidP="000F7537">
      <w:pPr>
        <w:pStyle w:val="BodyTextNumbered"/>
      </w:pPr>
      <w:r w:rsidRPr="0013396E">
        <w:t xml:space="preserve">(2) </w:t>
      </w:r>
      <w:r w:rsidRPr="0013396E">
        <w:tab/>
        <w:t>The tolerance is the lesser of 3% of the AASP for the ESR in the Settlement Interval, or three MW below the AASP for the ESR in the Settlement Interval</w:t>
      </w:r>
      <w:r w:rsidR="000F7537">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F7537" w:rsidRPr="0013396E" w14:paraId="3CFC36AE" w14:textId="77777777" w:rsidTr="00E3121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94C2397" w14:textId="5454EB2D" w:rsidR="000F7537" w:rsidRPr="0013396E" w:rsidRDefault="000F7537" w:rsidP="00E31211">
            <w:pPr>
              <w:spacing w:before="120" w:after="240"/>
              <w:rPr>
                <w:b/>
                <w:i/>
                <w:iCs/>
                <w:szCs w:val="24"/>
              </w:rPr>
            </w:pPr>
            <w:r w:rsidRPr="0013396E">
              <w:rPr>
                <w:b/>
                <w:i/>
                <w:iCs/>
                <w:szCs w:val="24"/>
              </w:rPr>
              <w:t>[NPRR</w:t>
            </w:r>
            <w:r>
              <w:rPr>
                <w:b/>
                <w:i/>
                <w:iCs/>
                <w:szCs w:val="24"/>
              </w:rPr>
              <w:t>1014 and NPRR1029</w:t>
            </w:r>
            <w:r w:rsidRPr="0013396E">
              <w:rPr>
                <w:b/>
                <w:i/>
                <w:iCs/>
                <w:szCs w:val="24"/>
              </w:rPr>
              <w:t xml:space="preserve">:  Replace </w:t>
            </w:r>
            <w:r>
              <w:rPr>
                <w:b/>
                <w:i/>
                <w:iCs/>
                <w:szCs w:val="24"/>
              </w:rPr>
              <w:t xml:space="preserve">applicable portions of </w:t>
            </w:r>
            <w:r w:rsidRPr="0013396E">
              <w:rPr>
                <w:b/>
                <w:i/>
                <w:iCs/>
                <w:szCs w:val="24"/>
              </w:rPr>
              <w:t>paragraph (</w:t>
            </w:r>
            <w:r>
              <w:rPr>
                <w:b/>
                <w:i/>
                <w:iCs/>
                <w:szCs w:val="24"/>
              </w:rPr>
              <w:t>2</w:t>
            </w:r>
            <w:r w:rsidRPr="0013396E">
              <w:rPr>
                <w:b/>
                <w:i/>
                <w:iCs/>
                <w:szCs w:val="24"/>
              </w:rPr>
              <w:t>) above with the following upon system implementation:]</w:t>
            </w:r>
          </w:p>
          <w:p w14:paraId="5BE70F18" w14:textId="77777777" w:rsidR="000F7537" w:rsidRPr="0013396E" w:rsidRDefault="000F7537" w:rsidP="000F7537">
            <w:pPr>
              <w:pStyle w:val="BodyTextNumbered"/>
            </w:pPr>
            <w:r w:rsidRPr="0013396E">
              <w:t xml:space="preserve">(2) </w:t>
            </w:r>
            <w:r w:rsidRPr="0013396E">
              <w:tab/>
              <w:t>The tolerance is the lesser of 3% of the AASP for the ESR in the Settlement Interval, or three MW below the AASP for the ESR in the Settlement Interval, if the Resource meets the following conditions:</w:t>
            </w:r>
          </w:p>
          <w:p w14:paraId="4A3AFF68" w14:textId="77777777" w:rsidR="000F7537" w:rsidRPr="0013396E" w:rsidRDefault="000F7537" w:rsidP="000F7537">
            <w:pPr>
              <w:pStyle w:val="BodyTextNumbered"/>
              <w:ind w:left="1440"/>
            </w:pPr>
            <w:r w:rsidRPr="0013396E">
              <w:t>(a)</w:t>
            </w:r>
            <w:r w:rsidRPr="0013396E">
              <w:rPr>
                <w:iCs/>
              </w:rPr>
              <w:tab/>
            </w:r>
            <w:r w:rsidRPr="0013396E">
              <w:t xml:space="preserve">The ESR is not a DC-Coupled Resource; or </w:t>
            </w:r>
          </w:p>
          <w:p w14:paraId="574CEBBB" w14:textId="27608559" w:rsidR="000F7537" w:rsidRPr="00CE78B5" w:rsidRDefault="000F7537" w:rsidP="000F7537">
            <w:pPr>
              <w:pStyle w:val="BodyTextNumbered"/>
              <w:ind w:left="1440"/>
            </w:pPr>
            <w:r w:rsidRPr="0013396E">
              <w:t>(b)</w:t>
            </w:r>
            <w:r w:rsidRPr="0013396E">
              <w:rPr>
                <w:iCs/>
              </w:rPr>
              <w:tab/>
            </w:r>
            <w:r w:rsidRPr="0013396E">
              <w:t>The ESR is a DC-Coupled Resource and meets the conditions to be treated in the same manner as an ESR as specified in paragraph (1) of Section 3.8.7, DC-Coupled Resources, anytime during the Settlement Interval.</w:t>
            </w:r>
          </w:p>
        </w:tc>
      </w:tr>
    </w:tbl>
    <w:p w14:paraId="74762943" w14:textId="203F5825" w:rsidR="005E0EE9" w:rsidRPr="0013396E" w:rsidRDefault="005E0EE9" w:rsidP="000F7537">
      <w:pPr>
        <w:pStyle w:val="BodyTextNumbered"/>
        <w:spacing w:before="240"/>
        <w:rPr>
          <w:iCs/>
        </w:rPr>
      </w:pPr>
      <w:r w:rsidRPr="0013396E">
        <w:rPr>
          <w:iCs/>
        </w:rPr>
        <w:t>(3)</w:t>
      </w:r>
      <w:r w:rsidRPr="0013396E">
        <w:rPr>
          <w:iCs/>
        </w:rPr>
        <w:tab/>
        <w:t>The deviation charge for under-performance for each QSE for each ESR at each Resource Node Settlement Point will be calculated as follows:</w:t>
      </w:r>
    </w:p>
    <w:p w14:paraId="7419E2E0" w14:textId="77777777" w:rsidR="005E0EE9" w:rsidRPr="0013396E" w:rsidRDefault="005E0EE9" w:rsidP="005E0EE9">
      <w:pPr>
        <w:pStyle w:val="BodyTextNumbered"/>
        <w:ind w:left="1440"/>
        <w:rPr>
          <w:b/>
          <w:i/>
          <w:vertAlign w:val="subscript"/>
        </w:rPr>
      </w:pPr>
      <w:r w:rsidRPr="0013396E">
        <w:rPr>
          <w:b/>
          <w:lang w:val="pt-BR"/>
        </w:rPr>
        <w:t>SPDAMT</w:t>
      </w:r>
      <w:r w:rsidRPr="0013396E">
        <w:rPr>
          <w:b/>
          <w:i/>
          <w:vertAlign w:val="subscript"/>
          <w:lang w:val="pt-BR"/>
        </w:rPr>
        <w:t xml:space="preserve"> q, r, p, i</w:t>
      </w:r>
      <w:r w:rsidRPr="0013396E">
        <w:rPr>
          <w:b/>
          <w:lang w:val="pt-BR"/>
        </w:rPr>
        <w:t xml:space="preserve"> =</w:t>
      </w:r>
      <w:r w:rsidRPr="0013396E">
        <w:rPr>
          <w:b/>
          <w:lang w:val="pt-BR"/>
        </w:rPr>
        <w:tab/>
        <w:t xml:space="preserve">(-1) * </w:t>
      </w:r>
      <w:r w:rsidRPr="0013396E">
        <w:rPr>
          <w:b/>
        </w:rPr>
        <w:t xml:space="preserve">Min (PR4, RTSPP </w:t>
      </w:r>
      <w:r w:rsidRPr="0013396E">
        <w:rPr>
          <w:b/>
          <w:i/>
          <w:vertAlign w:val="subscript"/>
        </w:rPr>
        <w:t>p, i</w:t>
      </w:r>
      <w:r w:rsidRPr="0013396E">
        <w:rPr>
          <w:b/>
        </w:rPr>
        <w:t>) * Min (1, KP2) * UPESR</w:t>
      </w:r>
      <w:r w:rsidRPr="0013396E">
        <w:rPr>
          <w:b/>
          <w:sz w:val="18"/>
          <w:szCs w:val="18"/>
          <w:vertAlign w:val="subscript"/>
        </w:rPr>
        <w:t xml:space="preserve"> </w:t>
      </w:r>
      <w:r w:rsidRPr="0013396E">
        <w:rPr>
          <w:b/>
          <w:i/>
          <w:vertAlign w:val="subscript"/>
        </w:rPr>
        <w:t>q, r, p, i</w:t>
      </w:r>
    </w:p>
    <w:p w14:paraId="2021AF2D" w14:textId="77777777" w:rsidR="005E0EE9" w:rsidRPr="0013396E" w:rsidRDefault="005E0EE9" w:rsidP="005E0EE9">
      <w:pPr>
        <w:pStyle w:val="BodyTextNumbered"/>
        <w:ind w:left="1440"/>
        <w:rPr>
          <w:lang w:val="pt-BR"/>
        </w:rPr>
      </w:pPr>
      <w:r w:rsidRPr="0013396E">
        <w:rPr>
          <w:lang w:val="pt-BR"/>
        </w:rPr>
        <w:t xml:space="preserve">Where: </w:t>
      </w:r>
    </w:p>
    <w:p w14:paraId="009342B4" w14:textId="77777777" w:rsidR="005E0EE9" w:rsidRPr="0013396E" w:rsidRDefault="005E0EE9" w:rsidP="005E0EE9">
      <w:pPr>
        <w:pStyle w:val="BodyTextNumbered"/>
        <w:ind w:left="2880" w:hanging="2160"/>
        <w:rPr>
          <w:lang w:val="pt-BR"/>
        </w:rPr>
      </w:pPr>
      <w:r w:rsidRPr="0013396E">
        <w:t>UPESR</w:t>
      </w:r>
      <w:r w:rsidRPr="0013396E">
        <w:rPr>
          <w:i/>
          <w:vertAlign w:val="subscript"/>
        </w:rPr>
        <w:t xml:space="preserve"> q, r, p, i </w:t>
      </w:r>
      <w:r w:rsidRPr="0013396E">
        <w:t xml:space="preserve">    = </w:t>
      </w:r>
      <w:r w:rsidRPr="0013396E">
        <w:tab/>
        <w:t>Max [0, ¼ * Min [(AASP</w:t>
      </w:r>
      <w:r w:rsidRPr="0013396E">
        <w:rPr>
          <w:i/>
          <w:vertAlign w:val="subscript"/>
          <w:lang w:val="pt-BR"/>
        </w:rPr>
        <w:t xml:space="preserve"> q, r, p, i</w:t>
      </w:r>
      <w:r w:rsidRPr="0013396E">
        <w:t xml:space="preserve"> - ABS (K4 * AASP</w:t>
      </w:r>
      <w:r w:rsidRPr="0013396E">
        <w:rPr>
          <w:i/>
          <w:vertAlign w:val="subscript"/>
          <w:lang w:val="pt-BR"/>
        </w:rPr>
        <w:t xml:space="preserve"> q, r, p, i</w:t>
      </w:r>
      <w:r w:rsidRPr="0013396E">
        <w:rPr>
          <w:lang w:val="pt-BR"/>
        </w:rPr>
        <w:t>))</w:t>
      </w:r>
      <w:r w:rsidRPr="0013396E">
        <w:t>, (AASP</w:t>
      </w:r>
      <w:r w:rsidRPr="0013396E">
        <w:rPr>
          <w:i/>
          <w:vertAlign w:val="subscript"/>
          <w:lang w:val="pt-BR"/>
        </w:rPr>
        <w:t xml:space="preserve"> q, r, p, i </w:t>
      </w:r>
      <w:r w:rsidRPr="0013396E">
        <w:rPr>
          <w:lang w:val="pt-BR"/>
        </w:rPr>
        <w:t>- Q4)] -</w:t>
      </w:r>
      <w:r w:rsidRPr="0013396E">
        <w:t xml:space="preserve"> TWTG</w:t>
      </w:r>
      <w:r w:rsidRPr="0013396E">
        <w:rPr>
          <w:i/>
          <w:vertAlign w:val="subscript"/>
        </w:rPr>
        <w:t xml:space="preserve"> q, r, p, i</w:t>
      </w:r>
      <w:r w:rsidRPr="0013396E">
        <w:t>]</w:t>
      </w:r>
      <w:r w:rsidRPr="0013396E">
        <w:rPr>
          <w:lang w:val="pt-BR"/>
        </w:rPr>
        <w:t xml:space="preserve"> </w:t>
      </w:r>
    </w:p>
    <w:p w14:paraId="22EDEB67" w14:textId="77777777" w:rsidR="005E0EE9" w:rsidRPr="0013396E" w:rsidRDefault="005E0EE9" w:rsidP="005E0EE9">
      <w:pPr>
        <w:spacing w:after="240"/>
        <w:ind w:left="2880" w:hanging="2160"/>
        <w:rPr>
          <w:lang w:val="pt-BR"/>
        </w:rPr>
      </w:pPr>
      <w:r w:rsidRPr="0013396E">
        <w:rPr>
          <w:iCs/>
          <w:lang w:val="pt-BR"/>
        </w:rPr>
        <w:t xml:space="preserve">Where: </w:t>
      </w:r>
    </w:p>
    <w:p w14:paraId="1C6C9035" w14:textId="77777777" w:rsidR="005E0EE9" w:rsidRPr="0013396E" w:rsidRDefault="005E0EE9" w:rsidP="005E0EE9">
      <w:pPr>
        <w:pStyle w:val="Formula"/>
        <w:tabs>
          <w:tab w:val="clear" w:pos="2160"/>
          <w:tab w:val="left" w:pos="2340"/>
        </w:tabs>
        <w:ind w:left="2880" w:hanging="2160"/>
      </w:pPr>
      <w:r w:rsidRPr="0013396E">
        <w:t>TWTG</w:t>
      </w:r>
      <w:r w:rsidRPr="0013396E">
        <w:rPr>
          <w:i/>
          <w:vertAlign w:val="subscript"/>
        </w:rPr>
        <w:t xml:space="preserve"> q, r, p, i</w:t>
      </w:r>
      <w:r w:rsidRPr="0013396E">
        <w:rPr>
          <w:i/>
          <w:vertAlign w:val="subscript"/>
        </w:rPr>
        <w:tab/>
      </w:r>
      <w:r w:rsidRPr="0013396E">
        <w:rPr>
          <w:i/>
        </w:rPr>
        <w:t xml:space="preserve">= </w:t>
      </w:r>
      <w:r w:rsidRPr="0013396E">
        <w:rPr>
          <w:i/>
          <w:vertAlign w:val="subscript"/>
        </w:rPr>
        <w:t xml:space="preserve">     </w:t>
      </w:r>
      <w:r w:rsidRPr="0013396E">
        <w:t xml:space="preserve"> (</w:t>
      </w:r>
      <w:r w:rsidRPr="0013396E">
        <w:rPr>
          <w:position w:val="-22"/>
        </w:rPr>
        <w:object w:dxaOrig="210" w:dyaOrig="450" w14:anchorId="0A4C71F9">
          <v:shape id="_x0000_i1160" type="#_x0000_t75" style="width:6pt;height:24pt" o:ole="">
            <v:imagedata r:id="rId178" o:title=""/>
          </v:shape>
          <o:OLEObject Type="Embed" ProgID="Equation.3" ShapeID="_x0000_i1160" DrawAspect="Content" ObjectID="_1849065791" r:id="rId193"/>
        </w:object>
      </w:r>
      <w:r w:rsidRPr="0013396E">
        <w:t xml:space="preserve"> (AVGTG5M</w:t>
      </w:r>
      <w:r w:rsidRPr="0013396E">
        <w:rPr>
          <w:i/>
          <w:vertAlign w:val="subscript"/>
        </w:rPr>
        <w:t xml:space="preserve"> q, r, p, i, y</w:t>
      </w:r>
      <w:r w:rsidRPr="0013396E">
        <w:t>) / 3) * ¼</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F7537" w:rsidRPr="0013396E" w14:paraId="4BBF27FB" w14:textId="77777777" w:rsidTr="00E3121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7056E80" w14:textId="2C8E8A9C" w:rsidR="000F7537" w:rsidRPr="0013396E" w:rsidRDefault="000F7537" w:rsidP="00E31211">
            <w:pPr>
              <w:spacing w:before="120" w:after="240"/>
              <w:rPr>
                <w:b/>
                <w:i/>
                <w:iCs/>
                <w:szCs w:val="24"/>
              </w:rPr>
            </w:pPr>
            <w:r w:rsidRPr="0013396E">
              <w:rPr>
                <w:b/>
                <w:i/>
                <w:iCs/>
                <w:szCs w:val="24"/>
              </w:rPr>
              <w:t>[NPRR</w:t>
            </w:r>
            <w:r>
              <w:rPr>
                <w:b/>
                <w:i/>
                <w:iCs/>
                <w:szCs w:val="24"/>
              </w:rPr>
              <w:t>1014 and NPRR1029</w:t>
            </w:r>
            <w:r w:rsidRPr="0013396E">
              <w:rPr>
                <w:b/>
                <w:i/>
                <w:iCs/>
                <w:szCs w:val="24"/>
              </w:rPr>
              <w:t xml:space="preserve">:  Replace </w:t>
            </w:r>
            <w:r>
              <w:rPr>
                <w:b/>
                <w:i/>
                <w:iCs/>
                <w:szCs w:val="24"/>
              </w:rPr>
              <w:t xml:space="preserve">applicable portions of </w:t>
            </w:r>
            <w:r w:rsidRPr="0013396E">
              <w:rPr>
                <w:b/>
                <w:i/>
                <w:iCs/>
                <w:szCs w:val="24"/>
              </w:rPr>
              <w:t>paragraph (</w:t>
            </w:r>
            <w:r>
              <w:rPr>
                <w:b/>
                <w:i/>
                <w:iCs/>
                <w:szCs w:val="24"/>
              </w:rPr>
              <w:t>3</w:t>
            </w:r>
            <w:r w:rsidRPr="0013396E">
              <w:rPr>
                <w:b/>
                <w:i/>
                <w:iCs/>
                <w:szCs w:val="24"/>
              </w:rPr>
              <w:t>) above with the following upon system implementation:]</w:t>
            </w:r>
          </w:p>
          <w:p w14:paraId="488E425E" w14:textId="77777777" w:rsidR="000F7537" w:rsidRPr="0013396E" w:rsidRDefault="000F7537" w:rsidP="000F7537">
            <w:pPr>
              <w:pStyle w:val="BodyTextNumbered"/>
              <w:spacing w:before="240"/>
              <w:rPr>
                <w:iCs/>
              </w:rPr>
            </w:pPr>
            <w:r w:rsidRPr="0013396E">
              <w:rPr>
                <w:iCs/>
              </w:rPr>
              <w:t>(3)</w:t>
            </w:r>
            <w:r w:rsidRPr="0013396E">
              <w:rPr>
                <w:iCs/>
              </w:rPr>
              <w:tab/>
              <w:t>The deviation charge for under-performance for each QSE for each ESR at each Resource Node Settlement Point will be calculated as follows:</w:t>
            </w:r>
          </w:p>
          <w:p w14:paraId="1494E68B" w14:textId="77777777" w:rsidR="000F7537" w:rsidRPr="0013396E" w:rsidRDefault="000F7537" w:rsidP="000F7537">
            <w:pPr>
              <w:pStyle w:val="BodyTextNumbered"/>
              <w:ind w:left="1440"/>
              <w:rPr>
                <w:b/>
                <w:i/>
                <w:vertAlign w:val="subscript"/>
              </w:rPr>
            </w:pPr>
            <w:r w:rsidRPr="0013396E">
              <w:rPr>
                <w:b/>
                <w:lang w:val="pt-BR"/>
              </w:rPr>
              <w:t>SPDAMT</w:t>
            </w:r>
            <w:r w:rsidRPr="0013396E">
              <w:rPr>
                <w:b/>
                <w:i/>
                <w:vertAlign w:val="subscript"/>
                <w:lang w:val="pt-BR"/>
              </w:rPr>
              <w:t xml:space="preserve"> q, r, p, i</w:t>
            </w:r>
            <w:r w:rsidRPr="0013396E">
              <w:rPr>
                <w:b/>
                <w:lang w:val="pt-BR"/>
              </w:rPr>
              <w:t xml:space="preserve"> =</w:t>
            </w:r>
            <w:r w:rsidRPr="0013396E">
              <w:rPr>
                <w:b/>
                <w:lang w:val="pt-BR"/>
              </w:rPr>
              <w:tab/>
              <w:t xml:space="preserve">(-1) * </w:t>
            </w:r>
            <w:r w:rsidRPr="0013396E">
              <w:rPr>
                <w:b/>
              </w:rPr>
              <w:t xml:space="preserve">Min (PR4, RTSPP </w:t>
            </w:r>
            <w:r w:rsidRPr="0013396E">
              <w:rPr>
                <w:b/>
                <w:i/>
                <w:vertAlign w:val="subscript"/>
              </w:rPr>
              <w:t>p, i</w:t>
            </w:r>
            <w:r w:rsidRPr="0013396E">
              <w:rPr>
                <w:b/>
              </w:rPr>
              <w:t>) * Min (1, KP2) * UPESR</w:t>
            </w:r>
            <w:r w:rsidRPr="0013396E">
              <w:rPr>
                <w:b/>
                <w:sz w:val="18"/>
                <w:szCs w:val="18"/>
                <w:vertAlign w:val="subscript"/>
              </w:rPr>
              <w:t xml:space="preserve"> </w:t>
            </w:r>
            <w:r w:rsidRPr="0013396E">
              <w:rPr>
                <w:b/>
                <w:i/>
                <w:vertAlign w:val="subscript"/>
              </w:rPr>
              <w:t>q, r, p, i</w:t>
            </w:r>
          </w:p>
          <w:p w14:paraId="2F5D2688" w14:textId="77777777" w:rsidR="000F7537" w:rsidRPr="0013396E" w:rsidRDefault="000F7537" w:rsidP="000F7537">
            <w:pPr>
              <w:pStyle w:val="BodyTextNumbered"/>
              <w:ind w:left="1440"/>
              <w:rPr>
                <w:lang w:val="pt-BR"/>
              </w:rPr>
            </w:pPr>
            <w:r w:rsidRPr="0013396E">
              <w:rPr>
                <w:lang w:val="pt-BR"/>
              </w:rPr>
              <w:lastRenderedPageBreak/>
              <w:t xml:space="preserve">Where: </w:t>
            </w:r>
          </w:p>
          <w:p w14:paraId="239C068D" w14:textId="77777777" w:rsidR="000F7537" w:rsidRPr="0013396E" w:rsidRDefault="000F7537" w:rsidP="000F7537">
            <w:pPr>
              <w:spacing w:after="240"/>
              <w:ind w:left="1440" w:hanging="720"/>
              <w:rPr>
                <w:lang w:val="pt-BR"/>
              </w:rPr>
            </w:pPr>
            <w:r w:rsidRPr="0013396E">
              <w:rPr>
                <w:iCs/>
                <w:lang w:val="pt-BR"/>
              </w:rPr>
              <w:t xml:space="preserve">If the ESR meets the conditions of paragraph (2) above, then: </w:t>
            </w:r>
          </w:p>
          <w:p w14:paraId="33B40C37" w14:textId="77777777" w:rsidR="000F7537" w:rsidRPr="0013396E" w:rsidRDefault="000F7537" w:rsidP="000F7537">
            <w:pPr>
              <w:pStyle w:val="BodyTextNumbered"/>
              <w:ind w:left="2880" w:hanging="2160"/>
              <w:rPr>
                <w:lang w:val="pt-BR"/>
              </w:rPr>
            </w:pPr>
            <w:r w:rsidRPr="0013396E">
              <w:t>UPESR</w:t>
            </w:r>
            <w:r w:rsidRPr="0013396E">
              <w:rPr>
                <w:i/>
                <w:vertAlign w:val="subscript"/>
              </w:rPr>
              <w:t xml:space="preserve"> q, r, p, i </w:t>
            </w:r>
            <w:r w:rsidRPr="0013396E">
              <w:t xml:space="preserve">    = </w:t>
            </w:r>
            <w:r w:rsidRPr="0013396E">
              <w:tab/>
              <w:t>Max [0, ¼ * Min [(AASP</w:t>
            </w:r>
            <w:r w:rsidRPr="0013396E">
              <w:rPr>
                <w:i/>
                <w:vertAlign w:val="subscript"/>
                <w:lang w:val="pt-BR"/>
              </w:rPr>
              <w:t xml:space="preserve"> q, r, p, i</w:t>
            </w:r>
            <w:r w:rsidRPr="0013396E">
              <w:t xml:space="preserve"> - ABS (K4 * AASP</w:t>
            </w:r>
            <w:r w:rsidRPr="0013396E">
              <w:rPr>
                <w:i/>
                <w:vertAlign w:val="subscript"/>
                <w:lang w:val="pt-BR"/>
              </w:rPr>
              <w:t xml:space="preserve"> q, r, p, i</w:t>
            </w:r>
            <w:r w:rsidRPr="0013396E">
              <w:rPr>
                <w:lang w:val="pt-BR"/>
              </w:rPr>
              <w:t>))</w:t>
            </w:r>
            <w:r w:rsidRPr="0013396E">
              <w:t>, (AASP</w:t>
            </w:r>
            <w:r w:rsidRPr="0013396E">
              <w:rPr>
                <w:i/>
                <w:vertAlign w:val="subscript"/>
                <w:lang w:val="pt-BR"/>
              </w:rPr>
              <w:t xml:space="preserve"> q, r, p, i </w:t>
            </w:r>
            <w:r w:rsidRPr="0013396E">
              <w:rPr>
                <w:lang w:val="pt-BR"/>
              </w:rPr>
              <w:t>- Q4)] -</w:t>
            </w:r>
            <w:r w:rsidRPr="0013396E">
              <w:t xml:space="preserve"> TWTG</w:t>
            </w:r>
            <w:r w:rsidRPr="0013396E">
              <w:rPr>
                <w:i/>
                <w:vertAlign w:val="subscript"/>
              </w:rPr>
              <w:t xml:space="preserve"> q, r, p, i</w:t>
            </w:r>
            <w:r w:rsidRPr="0013396E">
              <w:t>]</w:t>
            </w:r>
            <w:r w:rsidRPr="0013396E">
              <w:rPr>
                <w:lang w:val="pt-BR"/>
              </w:rPr>
              <w:t xml:space="preserve"> </w:t>
            </w:r>
          </w:p>
          <w:p w14:paraId="1D456E47" w14:textId="77777777" w:rsidR="000F7537" w:rsidRPr="0013396E" w:rsidRDefault="000F7537" w:rsidP="000F7537">
            <w:pPr>
              <w:tabs>
                <w:tab w:val="left" w:pos="2340"/>
                <w:tab w:val="left" w:pos="3420"/>
              </w:tabs>
              <w:spacing w:after="240"/>
              <w:ind w:left="2880" w:hanging="2160"/>
              <w:rPr>
                <w:bCs/>
              </w:rPr>
            </w:pPr>
            <w:r w:rsidRPr="0013396E">
              <w:rPr>
                <w:bCs/>
              </w:rPr>
              <w:t xml:space="preserve">Else: </w:t>
            </w:r>
          </w:p>
          <w:p w14:paraId="0BA45A89" w14:textId="77777777" w:rsidR="000F7537" w:rsidRPr="0013396E" w:rsidRDefault="000F7537" w:rsidP="000F7537">
            <w:pPr>
              <w:spacing w:after="240"/>
              <w:ind w:left="1440" w:hanging="720"/>
              <w:rPr>
                <w:iCs/>
                <w:lang w:val="pt-BR"/>
              </w:rPr>
            </w:pPr>
            <w:r w:rsidRPr="0013396E">
              <w:rPr>
                <w:iCs/>
                <w:lang w:val="pt-BR"/>
              </w:rPr>
              <w:t>UPESR</w:t>
            </w:r>
            <w:r w:rsidRPr="0013396E">
              <w:rPr>
                <w:i/>
                <w:iCs/>
                <w:vertAlign w:val="subscript"/>
              </w:rPr>
              <w:t xml:space="preserve"> q, r, p, i  </w:t>
            </w:r>
            <w:r w:rsidRPr="0013396E">
              <w:rPr>
                <w:iCs/>
                <w:lang w:val="pt-BR"/>
              </w:rPr>
              <w:t>=</w:t>
            </w:r>
            <w:r w:rsidRPr="0013396E">
              <w:rPr>
                <w:iCs/>
                <w:lang w:val="pt-BR"/>
              </w:rPr>
              <w:tab/>
              <w:t>0</w:t>
            </w:r>
          </w:p>
          <w:p w14:paraId="3B31EAD9" w14:textId="77777777" w:rsidR="000F7537" w:rsidRPr="0013396E" w:rsidRDefault="000F7537" w:rsidP="000F7537">
            <w:pPr>
              <w:spacing w:after="240"/>
              <w:ind w:left="2880" w:hanging="2160"/>
              <w:rPr>
                <w:lang w:val="pt-BR"/>
              </w:rPr>
            </w:pPr>
            <w:r w:rsidRPr="0013396E">
              <w:rPr>
                <w:iCs/>
                <w:lang w:val="pt-BR"/>
              </w:rPr>
              <w:t xml:space="preserve">Where: </w:t>
            </w:r>
          </w:p>
          <w:p w14:paraId="0BC6267C" w14:textId="206319D7" w:rsidR="000F7537" w:rsidRPr="00CE78B5" w:rsidRDefault="000F7537" w:rsidP="000F7537">
            <w:pPr>
              <w:pStyle w:val="Formula"/>
              <w:tabs>
                <w:tab w:val="clear" w:pos="2160"/>
                <w:tab w:val="left" w:pos="2340"/>
              </w:tabs>
              <w:ind w:left="2880" w:hanging="2160"/>
            </w:pPr>
            <w:r w:rsidRPr="0013396E">
              <w:t>TWTG</w:t>
            </w:r>
            <w:r w:rsidRPr="0013396E">
              <w:rPr>
                <w:i/>
                <w:vertAlign w:val="subscript"/>
              </w:rPr>
              <w:t xml:space="preserve"> q, r, p, i</w:t>
            </w:r>
            <w:r w:rsidRPr="0013396E">
              <w:rPr>
                <w:i/>
                <w:vertAlign w:val="subscript"/>
              </w:rPr>
              <w:tab/>
            </w:r>
            <w:r w:rsidRPr="0013396E">
              <w:rPr>
                <w:i/>
              </w:rPr>
              <w:t xml:space="preserve">= </w:t>
            </w:r>
            <w:r w:rsidRPr="0013396E">
              <w:rPr>
                <w:i/>
                <w:vertAlign w:val="subscript"/>
              </w:rPr>
              <w:t xml:space="preserve">     </w:t>
            </w:r>
            <w:r w:rsidRPr="0013396E">
              <w:t xml:space="preserve"> (</w:t>
            </w:r>
            <w:r w:rsidRPr="0013396E">
              <w:rPr>
                <w:position w:val="-22"/>
              </w:rPr>
              <w:object w:dxaOrig="210" w:dyaOrig="450" w14:anchorId="6BE4EE13">
                <v:shape id="_x0000_i1161" type="#_x0000_t75" style="width:6pt;height:24pt" o:ole="">
                  <v:imagedata r:id="rId178" o:title=""/>
                </v:shape>
                <o:OLEObject Type="Embed" ProgID="Equation.3" ShapeID="_x0000_i1161" DrawAspect="Content" ObjectID="_1849065792" r:id="rId194"/>
              </w:object>
            </w:r>
            <w:r w:rsidRPr="0013396E">
              <w:t xml:space="preserve"> (AVGTG5M</w:t>
            </w:r>
            <w:r w:rsidRPr="0013396E">
              <w:rPr>
                <w:i/>
                <w:vertAlign w:val="subscript"/>
              </w:rPr>
              <w:t xml:space="preserve"> q, r, p, i, y</w:t>
            </w:r>
            <w:r w:rsidRPr="0013396E">
              <w:t>) / 3) * ¼</w:t>
            </w:r>
          </w:p>
        </w:tc>
      </w:tr>
    </w:tbl>
    <w:p w14:paraId="0BE5072A" w14:textId="77777777" w:rsidR="005E0EE9" w:rsidRPr="0013396E" w:rsidRDefault="005E0EE9" w:rsidP="000F7537">
      <w:pPr>
        <w:spacing w:before="240"/>
      </w:pPr>
      <w:r w:rsidRPr="0013396E">
        <w:lastRenderedPageBreak/>
        <w:t>The above variables are defined as follows:</w:t>
      </w:r>
    </w:p>
    <w:tbl>
      <w:tblPr>
        <w:tblW w:w="9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892"/>
        <w:gridCol w:w="6695"/>
      </w:tblGrid>
      <w:tr w:rsidR="005E0EE9" w:rsidRPr="0013396E" w14:paraId="50292D15" w14:textId="77777777" w:rsidTr="0099759E">
        <w:trPr>
          <w:cantSplit/>
          <w:tblHeader/>
        </w:trPr>
        <w:tc>
          <w:tcPr>
            <w:tcW w:w="1776" w:type="dxa"/>
          </w:tcPr>
          <w:p w14:paraId="6C509BCA" w14:textId="77777777" w:rsidR="005E0EE9" w:rsidRPr="0013396E" w:rsidRDefault="005E0EE9" w:rsidP="0099759E">
            <w:pPr>
              <w:pStyle w:val="TableHead"/>
              <w:tabs>
                <w:tab w:val="right" w:pos="9360"/>
              </w:tabs>
            </w:pPr>
            <w:r w:rsidRPr="0013396E">
              <w:t>Variable</w:t>
            </w:r>
          </w:p>
        </w:tc>
        <w:tc>
          <w:tcPr>
            <w:tcW w:w="892" w:type="dxa"/>
          </w:tcPr>
          <w:p w14:paraId="6B7583CD" w14:textId="77777777" w:rsidR="005E0EE9" w:rsidRPr="0013396E" w:rsidRDefault="005E0EE9" w:rsidP="0099759E">
            <w:pPr>
              <w:pStyle w:val="TableHead"/>
              <w:tabs>
                <w:tab w:val="right" w:pos="9360"/>
              </w:tabs>
            </w:pPr>
            <w:r w:rsidRPr="0013396E">
              <w:t>Unit</w:t>
            </w:r>
          </w:p>
        </w:tc>
        <w:tc>
          <w:tcPr>
            <w:tcW w:w="6695" w:type="dxa"/>
          </w:tcPr>
          <w:p w14:paraId="164E2D36" w14:textId="77777777" w:rsidR="005E0EE9" w:rsidRPr="0013396E" w:rsidRDefault="005E0EE9" w:rsidP="0099759E">
            <w:pPr>
              <w:pStyle w:val="TableHead"/>
              <w:tabs>
                <w:tab w:val="right" w:pos="9360"/>
              </w:tabs>
            </w:pPr>
            <w:r w:rsidRPr="0013396E">
              <w:t>Definition</w:t>
            </w:r>
          </w:p>
        </w:tc>
      </w:tr>
      <w:tr w:rsidR="005E0EE9" w:rsidRPr="0013396E" w14:paraId="09D56293" w14:textId="77777777" w:rsidTr="0099759E">
        <w:trPr>
          <w:cantSplit/>
        </w:trPr>
        <w:tc>
          <w:tcPr>
            <w:tcW w:w="1776" w:type="dxa"/>
          </w:tcPr>
          <w:p w14:paraId="56B36EDF" w14:textId="77777777" w:rsidR="005E0EE9" w:rsidRPr="0013396E" w:rsidRDefault="005E0EE9" w:rsidP="0099759E">
            <w:pPr>
              <w:pStyle w:val="TableBody"/>
            </w:pPr>
            <w:r w:rsidRPr="0013396E">
              <w:t xml:space="preserve">SPDAMT </w:t>
            </w:r>
            <w:r w:rsidRPr="0013396E">
              <w:rPr>
                <w:i/>
                <w:vertAlign w:val="subscript"/>
              </w:rPr>
              <w:t>q, r, p, i</w:t>
            </w:r>
          </w:p>
        </w:tc>
        <w:tc>
          <w:tcPr>
            <w:tcW w:w="892" w:type="dxa"/>
          </w:tcPr>
          <w:p w14:paraId="3CB13E99" w14:textId="77777777" w:rsidR="005E0EE9" w:rsidRPr="0013396E" w:rsidRDefault="005E0EE9" w:rsidP="0099759E">
            <w:pPr>
              <w:pStyle w:val="TableBody"/>
            </w:pPr>
            <w:r w:rsidRPr="0013396E">
              <w:t>$</w:t>
            </w:r>
          </w:p>
        </w:tc>
        <w:tc>
          <w:tcPr>
            <w:tcW w:w="6695" w:type="dxa"/>
          </w:tcPr>
          <w:p w14:paraId="76BB4866" w14:textId="77777777" w:rsidR="005E0EE9" w:rsidRPr="0013396E" w:rsidRDefault="005E0EE9" w:rsidP="0099759E">
            <w:pPr>
              <w:pStyle w:val="TableBody"/>
            </w:pPr>
            <w:r w:rsidRPr="0013396E">
              <w:rPr>
                <w:i/>
              </w:rPr>
              <w:t>Set Point Deviation Charge per QSE per Settlement Point per Resource</w:t>
            </w:r>
            <w:r w:rsidRPr="0013396E">
              <w:t xml:space="preserve">—The charge to QSE </w:t>
            </w:r>
            <w:r w:rsidRPr="0013396E">
              <w:rPr>
                <w:i/>
              </w:rPr>
              <w:t>q</w:t>
            </w:r>
            <w:r w:rsidRPr="0013396E">
              <w:t xml:space="preserve"> for Resource </w:t>
            </w:r>
            <w:r w:rsidRPr="0013396E">
              <w:rPr>
                <w:i/>
              </w:rPr>
              <w:t xml:space="preserve">r </w:t>
            </w:r>
            <w:r w:rsidRPr="0013396E">
              <w:t xml:space="preserve">at Resource Node </w:t>
            </w:r>
            <w:r w:rsidRPr="0013396E">
              <w:rPr>
                <w:i/>
              </w:rPr>
              <w:t>p</w:t>
            </w:r>
            <w:r w:rsidRPr="0013396E">
              <w:t xml:space="preserve">, for its deviation from AASP, for the 15-minute Settlement Interval </w:t>
            </w:r>
            <w:r w:rsidRPr="0013396E">
              <w:rPr>
                <w:i/>
              </w:rPr>
              <w:t>i</w:t>
            </w:r>
            <w:r w:rsidRPr="0013396E">
              <w:t xml:space="preserve">.  </w:t>
            </w:r>
          </w:p>
        </w:tc>
      </w:tr>
      <w:tr w:rsidR="005E0EE9" w:rsidRPr="0013396E" w14:paraId="718EBF88" w14:textId="77777777" w:rsidTr="0099759E">
        <w:trPr>
          <w:cantSplit/>
        </w:trPr>
        <w:tc>
          <w:tcPr>
            <w:tcW w:w="1776" w:type="dxa"/>
          </w:tcPr>
          <w:p w14:paraId="5A335C12" w14:textId="77777777" w:rsidR="005E0EE9" w:rsidRPr="0013396E" w:rsidRDefault="005E0EE9" w:rsidP="0099759E">
            <w:pPr>
              <w:pStyle w:val="TableBody"/>
            </w:pPr>
            <w:r w:rsidRPr="0013396E">
              <w:t xml:space="preserve">RTSPP </w:t>
            </w:r>
            <w:r w:rsidRPr="0013396E">
              <w:rPr>
                <w:i/>
                <w:vertAlign w:val="subscript"/>
              </w:rPr>
              <w:t>p, i</w:t>
            </w:r>
          </w:p>
        </w:tc>
        <w:tc>
          <w:tcPr>
            <w:tcW w:w="892" w:type="dxa"/>
          </w:tcPr>
          <w:p w14:paraId="7F6000FE" w14:textId="77777777" w:rsidR="005E0EE9" w:rsidRPr="0013396E" w:rsidRDefault="005E0EE9" w:rsidP="0099759E">
            <w:pPr>
              <w:pStyle w:val="TableBody"/>
            </w:pPr>
            <w:r w:rsidRPr="0013396E">
              <w:t>$/MWh</w:t>
            </w:r>
          </w:p>
        </w:tc>
        <w:tc>
          <w:tcPr>
            <w:tcW w:w="6695" w:type="dxa"/>
          </w:tcPr>
          <w:p w14:paraId="2113040A" w14:textId="77777777" w:rsidR="005E0EE9" w:rsidRPr="0013396E" w:rsidRDefault="005E0EE9" w:rsidP="0099759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xml:space="preserve">, for the 15-minute Settlement Interval </w:t>
            </w:r>
            <w:r w:rsidRPr="0013396E">
              <w:rPr>
                <w:i/>
              </w:rPr>
              <w:t>i</w:t>
            </w:r>
            <w:r w:rsidRPr="0013396E">
              <w:t>.</w:t>
            </w:r>
          </w:p>
        </w:tc>
      </w:tr>
      <w:tr w:rsidR="005E0EE9" w:rsidRPr="0013396E" w14:paraId="3D594300" w14:textId="77777777" w:rsidTr="0099759E">
        <w:trPr>
          <w:cantSplit/>
        </w:trPr>
        <w:tc>
          <w:tcPr>
            <w:tcW w:w="1776" w:type="dxa"/>
          </w:tcPr>
          <w:p w14:paraId="0C56C4B0" w14:textId="77777777" w:rsidR="005E0EE9" w:rsidRPr="0013396E" w:rsidRDefault="005E0EE9" w:rsidP="0099759E">
            <w:pPr>
              <w:pStyle w:val="TableBody"/>
            </w:pPr>
            <w:r w:rsidRPr="0013396E">
              <w:t xml:space="preserve">TWTG </w:t>
            </w:r>
            <w:r w:rsidRPr="0013396E">
              <w:rPr>
                <w:i/>
                <w:vertAlign w:val="subscript"/>
              </w:rPr>
              <w:t>q, r, p, i</w:t>
            </w:r>
          </w:p>
        </w:tc>
        <w:tc>
          <w:tcPr>
            <w:tcW w:w="892" w:type="dxa"/>
          </w:tcPr>
          <w:p w14:paraId="77C44636" w14:textId="77777777" w:rsidR="005E0EE9" w:rsidRPr="0013396E" w:rsidRDefault="005E0EE9" w:rsidP="0099759E">
            <w:pPr>
              <w:pStyle w:val="TableBody"/>
            </w:pPr>
            <w:r w:rsidRPr="0013396E">
              <w:t>MWh</w:t>
            </w:r>
          </w:p>
        </w:tc>
        <w:tc>
          <w:tcPr>
            <w:tcW w:w="6695" w:type="dxa"/>
          </w:tcPr>
          <w:p w14:paraId="3FC68140" w14:textId="77777777" w:rsidR="005E0EE9" w:rsidRPr="0013396E" w:rsidRDefault="005E0EE9" w:rsidP="0099759E">
            <w:pPr>
              <w:pStyle w:val="TableBody"/>
              <w:rPr>
                <w:i/>
              </w:rPr>
            </w:pPr>
            <w:r w:rsidRPr="0013396E">
              <w:rPr>
                <w:i/>
              </w:rPr>
              <w:t>Time-Weighted Telemetered Generation per QSE per Settlement Point per Resource</w:t>
            </w:r>
            <w:r w:rsidRPr="0013396E">
              <w:t xml:space="preserve">—The telemetered generation or consumption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15-minute Settlement Interval </w:t>
            </w:r>
            <w:r w:rsidRPr="0013396E">
              <w:rPr>
                <w:i/>
              </w:rPr>
              <w:t>i</w:t>
            </w:r>
            <w:r w:rsidRPr="0013396E">
              <w:t xml:space="preserve">.  </w:t>
            </w:r>
          </w:p>
        </w:tc>
      </w:tr>
      <w:tr w:rsidR="005E0EE9" w:rsidRPr="0013396E" w14:paraId="460BCDDD" w14:textId="77777777" w:rsidTr="0099759E">
        <w:trPr>
          <w:cantSplit/>
        </w:trPr>
        <w:tc>
          <w:tcPr>
            <w:tcW w:w="1776" w:type="dxa"/>
          </w:tcPr>
          <w:p w14:paraId="246C2D2B" w14:textId="77777777" w:rsidR="005E0EE9" w:rsidRPr="0013396E" w:rsidRDefault="005E0EE9" w:rsidP="0099759E">
            <w:pPr>
              <w:pStyle w:val="TableBody"/>
            </w:pPr>
            <w:r w:rsidRPr="0013396E">
              <w:t xml:space="preserve">AASP </w:t>
            </w:r>
            <w:r w:rsidRPr="0013396E">
              <w:rPr>
                <w:i/>
                <w:vertAlign w:val="subscript"/>
              </w:rPr>
              <w:t>q, r, p, i</w:t>
            </w:r>
          </w:p>
        </w:tc>
        <w:tc>
          <w:tcPr>
            <w:tcW w:w="892" w:type="dxa"/>
          </w:tcPr>
          <w:p w14:paraId="650DA01D" w14:textId="77777777" w:rsidR="005E0EE9" w:rsidRPr="0013396E" w:rsidRDefault="005E0EE9" w:rsidP="0099759E">
            <w:pPr>
              <w:pStyle w:val="TableBody"/>
            </w:pPr>
            <w:r w:rsidRPr="0013396E">
              <w:t>MW</w:t>
            </w:r>
          </w:p>
        </w:tc>
        <w:tc>
          <w:tcPr>
            <w:tcW w:w="6695" w:type="dxa"/>
          </w:tcPr>
          <w:p w14:paraId="56C45C0A" w14:textId="77777777" w:rsidR="005E0EE9" w:rsidRPr="0013396E" w:rsidRDefault="005E0EE9" w:rsidP="0099759E">
            <w:pPr>
              <w:pStyle w:val="TableBody"/>
              <w:rPr>
                <w:i/>
              </w:rPr>
            </w:pPr>
            <w:r w:rsidRPr="0013396E">
              <w:rPr>
                <w:i/>
              </w:rPr>
              <w:t>Average Aggregated Set Point per QSE per Settlement Point per Resource</w:t>
            </w:r>
            <w:r w:rsidRPr="0013396E">
              <w:t xml:space="preserve">—The </w:t>
            </w:r>
            <w:r w:rsidRPr="0013396E">
              <w:rPr>
                <w:iCs w:val="0"/>
              </w:rPr>
              <w:t>average of the Average Five Minute Clock Interval Set Point (AVGSP5M)</w:t>
            </w:r>
            <w:r w:rsidRPr="0013396E">
              <w:t xml:space="preserve"> of Resource </w:t>
            </w:r>
            <w:r w:rsidRPr="0013396E">
              <w:rPr>
                <w:i/>
              </w:rPr>
              <w:t>r</w:t>
            </w:r>
            <w:r w:rsidRPr="0013396E">
              <w:t xml:space="preserve"> represented by QSE </w:t>
            </w:r>
            <w:r w:rsidRPr="0013396E">
              <w:rPr>
                <w:i/>
              </w:rPr>
              <w:t>q</w:t>
            </w:r>
            <w:r w:rsidRPr="0013396E">
              <w:t xml:space="preserve"> at Settlement Point </w:t>
            </w:r>
            <w:r w:rsidRPr="0013396E">
              <w:rPr>
                <w:i/>
              </w:rPr>
              <w:t>p,</w:t>
            </w:r>
            <w:r w:rsidRPr="0013396E">
              <w:t xml:space="preserve"> for the 15-minute Settlement Interval</w:t>
            </w:r>
            <w:r w:rsidRPr="0013396E">
              <w:rPr>
                <w:i/>
              </w:rPr>
              <w:t xml:space="preserve"> i</w:t>
            </w:r>
            <w:r w:rsidRPr="0013396E">
              <w:t xml:space="preserve">.  </w:t>
            </w:r>
          </w:p>
        </w:tc>
      </w:tr>
      <w:tr w:rsidR="005E0EE9" w:rsidRPr="0013396E" w14:paraId="36626ED0" w14:textId="77777777" w:rsidTr="0099759E">
        <w:trPr>
          <w:cantSplit/>
        </w:trPr>
        <w:tc>
          <w:tcPr>
            <w:tcW w:w="1776" w:type="dxa"/>
          </w:tcPr>
          <w:p w14:paraId="4DE57625" w14:textId="77777777" w:rsidR="005E0EE9" w:rsidRPr="0013396E" w:rsidRDefault="005E0EE9" w:rsidP="0099759E">
            <w:pPr>
              <w:pStyle w:val="TableBody"/>
            </w:pPr>
            <w:r w:rsidRPr="0013396E">
              <w:t xml:space="preserve">AVGTG5M </w:t>
            </w:r>
            <w:r w:rsidRPr="0013396E">
              <w:rPr>
                <w:i/>
                <w:vertAlign w:val="subscript"/>
                <w:lang w:val="fr-FR"/>
              </w:rPr>
              <w:t>q, r, p, i, y</w:t>
            </w:r>
          </w:p>
        </w:tc>
        <w:tc>
          <w:tcPr>
            <w:tcW w:w="892" w:type="dxa"/>
          </w:tcPr>
          <w:p w14:paraId="76F241A1" w14:textId="77777777" w:rsidR="005E0EE9" w:rsidRPr="0013396E" w:rsidRDefault="005E0EE9" w:rsidP="0099759E">
            <w:pPr>
              <w:pStyle w:val="TableBody"/>
            </w:pPr>
            <w:r w:rsidRPr="0013396E">
              <w:t>MW</w:t>
            </w:r>
          </w:p>
        </w:tc>
        <w:tc>
          <w:tcPr>
            <w:tcW w:w="6695" w:type="dxa"/>
          </w:tcPr>
          <w:p w14:paraId="46CCB5AC" w14:textId="77777777" w:rsidR="005E0EE9" w:rsidRPr="0013396E" w:rsidRDefault="005E0EE9" w:rsidP="0099759E">
            <w:pPr>
              <w:pStyle w:val="TableBody"/>
            </w:pPr>
            <w:r w:rsidRPr="0013396E">
              <w:rPr>
                <w:i/>
              </w:rPr>
              <w:t>Average Telemetered Generation for the 5 Minutes</w:t>
            </w:r>
            <w:r w:rsidRPr="0013396E">
              <w:t xml:space="preserve">—The average telemetered generation or consumption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five-minute clock interval </w:t>
            </w:r>
            <w:r w:rsidRPr="0013396E">
              <w:rPr>
                <w:i/>
              </w:rPr>
              <w:t>y</w:t>
            </w:r>
            <w:r w:rsidRPr="0013396E">
              <w:t xml:space="preserve">, within the 15-minute Settlement Interval </w:t>
            </w:r>
            <w:r w:rsidRPr="0013396E">
              <w:rPr>
                <w:i/>
              </w:rPr>
              <w:t>i</w:t>
            </w:r>
            <w:r w:rsidRPr="0013396E">
              <w:t>.</w:t>
            </w:r>
          </w:p>
        </w:tc>
      </w:tr>
      <w:tr w:rsidR="005E0EE9" w:rsidRPr="0013396E" w14:paraId="60C876D3" w14:textId="77777777" w:rsidTr="0099759E">
        <w:trPr>
          <w:cantSplit/>
        </w:trPr>
        <w:tc>
          <w:tcPr>
            <w:tcW w:w="1776" w:type="dxa"/>
          </w:tcPr>
          <w:p w14:paraId="7941E78B" w14:textId="77777777" w:rsidR="005E0EE9" w:rsidRPr="0013396E" w:rsidRDefault="005E0EE9" w:rsidP="0099759E">
            <w:pPr>
              <w:pStyle w:val="TableBody"/>
            </w:pPr>
            <w:r w:rsidRPr="0013396E">
              <w:t xml:space="preserve">UPESR </w:t>
            </w:r>
            <w:r w:rsidRPr="0013396E">
              <w:rPr>
                <w:i/>
                <w:vertAlign w:val="subscript"/>
              </w:rPr>
              <w:t>q, r, p, i</w:t>
            </w:r>
          </w:p>
        </w:tc>
        <w:tc>
          <w:tcPr>
            <w:tcW w:w="892" w:type="dxa"/>
          </w:tcPr>
          <w:p w14:paraId="705CB25C" w14:textId="77777777" w:rsidR="005E0EE9" w:rsidRPr="0013396E" w:rsidRDefault="005E0EE9" w:rsidP="0099759E">
            <w:pPr>
              <w:pStyle w:val="TableBody"/>
            </w:pPr>
            <w:r w:rsidRPr="0013396E">
              <w:t>MWh</w:t>
            </w:r>
          </w:p>
        </w:tc>
        <w:tc>
          <w:tcPr>
            <w:tcW w:w="6695" w:type="dxa"/>
          </w:tcPr>
          <w:p w14:paraId="2F335ECC" w14:textId="77777777" w:rsidR="005E0EE9" w:rsidRPr="0013396E" w:rsidRDefault="005E0EE9" w:rsidP="0099759E">
            <w:pPr>
              <w:pStyle w:val="TableBody"/>
            </w:pPr>
            <w:r w:rsidRPr="0013396E">
              <w:rPr>
                <w:i/>
              </w:rPr>
              <w:t>Under-Performance Volumes per QSE per Settlement Point per Resource</w:t>
            </w:r>
            <w:r w:rsidRPr="0013396E">
              <w:t xml:space="preserve">—The amount the ESR </w:t>
            </w:r>
            <w:r w:rsidRPr="0013396E">
              <w:rPr>
                <w:i/>
              </w:rPr>
              <w:t>r</w:t>
            </w:r>
            <w:r w:rsidRPr="0013396E">
              <w:t xml:space="preserve"> under-performed represented by QSE </w:t>
            </w:r>
            <w:r w:rsidRPr="0013396E">
              <w:rPr>
                <w:i/>
              </w:rPr>
              <w:t>q</w:t>
            </w:r>
            <w:r w:rsidRPr="0013396E">
              <w:t xml:space="preserve"> at Resource Node </w:t>
            </w:r>
            <w:r w:rsidRPr="0013396E">
              <w:rPr>
                <w:i/>
              </w:rPr>
              <w:t xml:space="preserve">p, </w:t>
            </w:r>
            <w:r w:rsidRPr="0013396E">
              <w:t xml:space="preserve">for the 15-minute Settlement Interval </w:t>
            </w:r>
            <w:r w:rsidRPr="0013396E">
              <w:rPr>
                <w:i/>
              </w:rPr>
              <w:t>i</w:t>
            </w:r>
            <w:r w:rsidRPr="0013396E">
              <w:t>.</w:t>
            </w:r>
          </w:p>
        </w:tc>
      </w:tr>
      <w:tr w:rsidR="005E0EE9" w:rsidRPr="0013396E" w14:paraId="773BAF81" w14:textId="77777777" w:rsidTr="0099759E">
        <w:trPr>
          <w:cantSplit/>
        </w:trPr>
        <w:tc>
          <w:tcPr>
            <w:tcW w:w="1776" w:type="dxa"/>
          </w:tcPr>
          <w:p w14:paraId="058357C5" w14:textId="77777777" w:rsidR="005E0EE9" w:rsidRPr="0013396E" w:rsidRDefault="005E0EE9" w:rsidP="0099759E">
            <w:pPr>
              <w:pStyle w:val="TableBody"/>
            </w:pPr>
            <w:r w:rsidRPr="0013396E">
              <w:t>PR4</w:t>
            </w:r>
          </w:p>
        </w:tc>
        <w:tc>
          <w:tcPr>
            <w:tcW w:w="892" w:type="dxa"/>
          </w:tcPr>
          <w:p w14:paraId="1ACACF40" w14:textId="77777777" w:rsidR="005E0EE9" w:rsidRPr="0013396E" w:rsidRDefault="005E0EE9" w:rsidP="0099759E">
            <w:pPr>
              <w:pStyle w:val="TableBody"/>
            </w:pPr>
            <w:r w:rsidRPr="0013396E">
              <w:t>$/MWh</w:t>
            </w:r>
          </w:p>
        </w:tc>
        <w:tc>
          <w:tcPr>
            <w:tcW w:w="6695" w:type="dxa"/>
          </w:tcPr>
          <w:p w14:paraId="717D83F1" w14:textId="77777777" w:rsidR="005E0EE9" w:rsidRPr="0013396E" w:rsidRDefault="005E0EE9" w:rsidP="0099759E">
            <w:pPr>
              <w:pStyle w:val="TableBody"/>
            </w:pPr>
            <w:r w:rsidRPr="0013396E">
              <w:t xml:space="preserve">The price to use for the Set Point Deviation Charge for under-performance when RTSPP is greater than -$20/MWh, -$20/MWh.  </w:t>
            </w:r>
          </w:p>
        </w:tc>
      </w:tr>
      <w:tr w:rsidR="005E0EE9" w:rsidRPr="0013396E" w14:paraId="30045D88" w14:textId="77777777" w:rsidTr="0099759E">
        <w:trPr>
          <w:cantSplit/>
        </w:trPr>
        <w:tc>
          <w:tcPr>
            <w:tcW w:w="1776" w:type="dxa"/>
          </w:tcPr>
          <w:p w14:paraId="47C8EAEA" w14:textId="77777777" w:rsidR="005E0EE9" w:rsidRPr="0013396E" w:rsidRDefault="005E0EE9" w:rsidP="0099759E">
            <w:pPr>
              <w:pStyle w:val="TableBody"/>
            </w:pPr>
            <w:r w:rsidRPr="0013396E">
              <w:t>K4</w:t>
            </w:r>
          </w:p>
        </w:tc>
        <w:tc>
          <w:tcPr>
            <w:tcW w:w="892" w:type="dxa"/>
          </w:tcPr>
          <w:p w14:paraId="01E8E103" w14:textId="77777777" w:rsidR="005E0EE9" w:rsidRPr="0013396E" w:rsidRDefault="005E0EE9" w:rsidP="0099759E">
            <w:pPr>
              <w:pStyle w:val="TableBody"/>
            </w:pPr>
            <w:r w:rsidRPr="0013396E">
              <w:t>none</w:t>
            </w:r>
          </w:p>
        </w:tc>
        <w:tc>
          <w:tcPr>
            <w:tcW w:w="6695" w:type="dxa"/>
          </w:tcPr>
          <w:p w14:paraId="5E0CE6F0" w14:textId="77777777" w:rsidR="005E0EE9" w:rsidRPr="0013396E" w:rsidRDefault="005E0EE9" w:rsidP="0099759E">
            <w:pPr>
              <w:pStyle w:val="TableBody"/>
            </w:pPr>
            <w:r w:rsidRPr="0013396E">
              <w:t xml:space="preserve">The percentage tolerance for under-performance, 3%.  </w:t>
            </w:r>
          </w:p>
        </w:tc>
      </w:tr>
      <w:tr w:rsidR="005E0EE9" w:rsidRPr="0013396E" w14:paraId="12750F49" w14:textId="77777777" w:rsidTr="0099759E">
        <w:trPr>
          <w:cantSplit/>
        </w:trPr>
        <w:tc>
          <w:tcPr>
            <w:tcW w:w="1776" w:type="dxa"/>
          </w:tcPr>
          <w:p w14:paraId="3284FACE" w14:textId="77777777" w:rsidR="005E0EE9" w:rsidRPr="0013396E" w:rsidRDefault="005E0EE9" w:rsidP="0099759E">
            <w:pPr>
              <w:pStyle w:val="TableBody"/>
            </w:pPr>
            <w:r w:rsidRPr="0013396E">
              <w:t>Q4</w:t>
            </w:r>
          </w:p>
        </w:tc>
        <w:tc>
          <w:tcPr>
            <w:tcW w:w="892" w:type="dxa"/>
          </w:tcPr>
          <w:p w14:paraId="329686DB" w14:textId="77777777" w:rsidR="005E0EE9" w:rsidRPr="0013396E" w:rsidRDefault="005E0EE9" w:rsidP="0099759E">
            <w:pPr>
              <w:pStyle w:val="TableBody"/>
            </w:pPr>
            <w:r w:rsidRPr="0013396E">
              <w:t>MW</w:t>
            </w:r>
          </w:p>
        </w:tc>
        <w:tc>
          <w:tcPr>
            <w:tcW w:w="6695" w:type="dxa"/>
          </w:tcPr>
          <w:p w14:paraId="53C0471D" w14:textId="77777777" w:rsidR="005E0EE9" w:rsidRPr="0013396E" w:rsidRDefault="005E0EE9" w:rsidP="0099759E">
            <w:pPr>
              <w:pStyle w:val="TableBody"/>
            </w:pPr>
            <w:r w:rsidRPr="0013396E">
              <w:t>The MW tolerance for under-performance, three MW.</w:t>
            </w:r>
          </w:p>
        </w:tc>
      </w:tr>
      <w:tr w:rsidR="005E0EE9" w:rsidRPr="0013396E" w14:paraId="4FF1DB43" w14:textId="77777777" w:rsidTr="0099759E">
        <w:trPr>
          <w:cantSplit/>
        </w:trPr>
        <w:tc>
          <w:tcPr>
            <w:tcW w:w="1776" w:type="dxa"/>
          </w:tcPr>
          <w:p w14:paraId="2FD81EA4" w14:textId="77777777" w:rsidR="005E0EE9" w:rsidRPr="0013396E" w:rsidRDefault="005E0EE9" w:rsidP="0099759E">
            <w:pPr>
              <w:pStyle w:val="TableBody"/>
            </w:pPr>
            <w:r w:rsidRPr="0013396E">
              <w:t>KP2</w:t>
            </w:r>
          </w:p>
        </w:tc>
        <w:tc>
          <w:tcPr>
            <w:tcW w:w="892" w:type="dxa"/>
          </w:tcPr>
          <w:p w14:paraId="111C391F" w14:textId="77777777" w:rsidR="005E0EE9" w:rsidRPr="0013396E" w:rsidRDefault="005E0EE9" w:rsidP="0099759E">
            <w:pPr>
              <w:pStyle w:val="TableBody"/>
            </w:pPr>
            <w:r w:rsidRPr="0013396E">
              <w:t>none</w:t>
            </w:r>
          </w:p>
        </w:tc>
        <w:tc>
          <w:tcPr>
            <w:tcW w:w="6695" w:type="dxa"/>
          </w:tcPr>
          <w:p w14:paraId="02C80EF1" w14:textId="77777777" w:rsidR="005E0EE9" w:rsidRPr="0013396E" w:rsidRDefault="005E0EE9" w:rsidP="0099759E">
            <w:pPr>
              <w:pStyle w:val="TableBody"/>
            </w:pPr>
            <w:r w:rsidRPr="0013396E">
              <w:t>The coefficient applied to the Settlement Point Price for under-performance charge, 1.0.</w:t>
            </w:r>
          </w:p>
        </w:tc>
      </w:tr>
      <w:tr w:rsidR="005E0EE9" w:rsidRPr="0013396E" w14:paraId="72F2A3E9" w14:textId="77777777" w:rsidTr="0099759E">
        <w:trPr>
          <w:cantSplit/>
        </w:trPr>
        <w:tc>
          <w:tcPr>
            <w:tcW w:w="1776" w:type="dxa"/>
          </w:tcPr>
          <w:p w14:paraId="0C757D86" w14:textId="77777777" w:rsidR="005E0EE9" w:rsidRPr="0013396E" w:rsidRDefault="005E0EE9" w:rsidP="0099759E">
            <w:pPr>
              <w:pStyle w:val="TableBody"/>
              <w:rPr>
                <w:i/>
              </w:rPr>
            </w:pPr>
            <w:r w:rsidRPr="0013396E">
              <w:rPr>
                <w:i/>
              </w:rPr>
              <w:t>q</w:t>
            </w:r>
          </w:p>
        </w:tc>
        <w:tc>
          <w:tcPr>
            <w:tcW w:w="892" w:type="dxa"/>
          </w:tcPr>
          <w:p w14:paraId="125D428B" w14:textId="77777777" w:rsidR="005E0EE9" w:rsidRPr="0013396E" w:rsidRDefault="005E0EE9" w:rsidP="0099759E">
            <w:pPr>
              <w:pStyle w:val="TableBody"/>
            </w:pPr>
            <w:r w:rsidRPr="0013396E">
              <w:t>none</w:t>
            </w:r>
          </w:p>
        </w:tc>
        <w:tc>
          <w:tcPr>
            <w:tcW w:w="6695" w:type="dxa"/>
          </w:tcPr>
          <w:p w14:paraId="1ECE7F34" w14:textId="77777777" w:rsidR="005E0EE9" w:rsidRPr="0013396E" w:rsidRDefault="005E0EE9" w:rsidP="0099759E">
            <w:pPr>
              <w:pStyle w:val="TableBody"/>
            </w:pPr>
            <w:r w:rsidRPr="0013396E">
              <w:t>A QSE.</w:t>
            </w:r>
          </w:p>
        </w:tc>
      </w:tr>
      <w:tr w:rsidR="005E0EE9" w:rsidRPr="0013396E" w14:paraId="237378FD" w14:textId="77777777" w:rsidTr="0099759E">
        <w:trPr>
          <w:cantSplit/>
        </w:trPr>
        <w:tc>
          <w:tcPr>
            <w:tcW w:w="1776" w:type="dxa"/>
          </w:tcPr>
          <w:p w14:paraId="6187206C" w14:textId="77777777" w:rsidR="005E0EE9" w:rsidRPr="0013396E" w:rsidRDefault="005E0EE9" w:rsidP="0099759E">
            <w:pPr>
              <w:pStyle w:val="TableBody"/>
              <w:rPr>
                <w:i/>
              </w:rPr>
            </w:pPr>
            <w:r w:rsidRPr="0013396E">
              <w:rPr>
                <w:i/>
              </w:rPr>
              <w:t>p</w:t>
            </w:r>
          </w:p>
        </w:tc>
        <w:tc>
          <w:tcPr>
            <w:tcW w:w="892" w:type="dxa"/>
          </w:tcPr>
          <w:p w14:paraId="17F3B5F7" w14:textId="77777777" w:rsidR="005E0EE9" w:rsidRPr="0013396E" w:rsidRDefault="005E0EE9" w:rsidP="0099759E">
            <w:pPr>
              <w:pStyle w:val="TableBody"/>
            </w:pPr>
            <w:r w:rsidRPr="0013396E">
              <w:t>none</w:t>
            </w:r>
          </w:p>
        </w:tc>
        <w:tc>
          <w:tcPr>
            <w:tcW w:w="6695" w:type="dxa"/>
          </w:tcPr>
          <w:p w14:paraId="7B987954" w14:textId="77777777" w:rsidR="005E0EE9" w:rsidRPr="0013396E" w:rsidRDefault="005E0EE9" w:rsidP="0099759E">
            <w:pPr>
              <w:pStyle w:val="TableBody"/>
            </w:pPr>
            <w:r w:rsidRPr="0013396E">
              <w:t>A Settlement Point.</w:t>
            </w:r>
          </w:p>
        </w:tc>
      </w:tr>
      <w:tr w:rsidR="005E0EE9" w:rsidRPr="0013396E" w14:paraId="2C1A65DF" w14:textId="77777777" w:rsidTr="0099759E">
        <w:trPr>
          <w:cantSplit/>
        </w:trPr>
        <w:tc>
          <w:tcPr>
            <w:tcW w:w="1776" w:type="dxa"/>
          </w:tcPr>
          <w:p w14:paraId="1FF543ED" w14:textId="77777777" w:rsidR="005E0EE9" w:rsidRPr="0013396E" w:rsidRDefault="005E0EE9" w:rsidP="0099759E">
            <w:pPr>
              <w:pStyle w:val="TableBody"/>
              <w:tabs>
                <w:tab w:val="right" w:pos="9360"/>
              </w:tabs>
              <w:rPr>
                <w:i/>
              </w:rPr>
            </w:pPr>
            <w:r w:rsidRPr="0013396E">
              <w:rPr>
                <w:i/>
              </w:rPr>
              <w:t>r</w:t>
            </w:r>
          </w:p>
        </w:tc>
        <w:tc>
          <w:tcPr>
            <w:tcW w:w="892" w:type="dxa"/>
          </w:tcPr>
          <w:p w14:paraId="1F3B8F8D" w14:textId="77777777" w:rsidR="005E0EE9" w:rsidRPr="0013396E" w:rsidRDefault="005E0EE9" w:rsidP="0099759E">
            <w:pPr>
              <w:pStyle w:val="TableBody"/>
              <w:tabs>
                <w:tab w:val="right" w:pos="9360"/>
              </w:tabs>
            </w:pPr>
            <w:r w:rsidRPr="0013396E">
              <w:t>none</w:t>
            </w:r>
          </w:p>
        </w:tc>
        <w:tc>
          <w:tcPr>
            <w:tcW w:w="6695" w:type="dxa"/>
          </w:tcPr>
          <w:p w14:paraId="4AFECD65" w14:textId="77777777" w:rsidR="005E0EE9" w:rsidRPr="0013396E" w:rsidRDefault="005E0EE9" w:rsidP="0099759E">
            <w:pPr>
              <w:pStyle w:val="TableBody"/>
              <w:tabs>
                <w:tab w:val="right" w:pos="9360"/>
              </w:tabs>
              <w:rPr>
                <w:lang w:val="fr-FR"/>
              </w:rPr>
            </w:pPr>
            <w:r w:rsidRPr="0013396E">
              <w:rPr>
                <w:lang w:val="fr-FR"/>
              </w:rPr>
              <w:t xml:space="preserve">An ESR. </w:t>
            </w:r>
          </w:p>
        </w:tc>
      </w:tr>
      <w:tr w:rsidR="005E0EE9" w:rsidRPr="0013396E" w14:paraId="12E8269D" w14:textId="77777777" w:rsidTr="0099759E">
        <w:trPr>
          <w:cantSplit/>
        </w:trPr>
        <w:tc>
          <w:tcPr>
            <w:tcW w:w="1776" w:type="dxa"/>
            <w:tcBorders>
              <w:top w:val="single" w:sz="4" w:space="0" w:color="auto"/>
              <w:left w:val="single" w:sz="4" w:space="0" w:color="auto"/>
              <w:bottom w:val="single" w:sz="4" w:space="0" w:color="auto"/>
              <w:right w:val="single" w:sz="4" w:space="0" w:color="auto"/>
            </w:tcBorders>
          </w:tcPr>
          <w:p w14:paraId="0BC2EF1C" w14:textId="77777777" w:rsidR="005E0EE9" w:rsidRPr="0013396E" w:rsidRDefault="005E0EE9" w:rsidP="0099759E">
            <w:pPr>
              <w:pStyle w:val="TableBody"/>
              <w:rPr>
                <w:i/>
              </w:rPr>
            </w:pPr>
            <w:r w:rsidRPr="0013396E">
              <w:rPr>
                <w:i/>
              </w:rPr>
              <w:lastRenderedPageBreak/>
              <w:t xml:space="preserve">y </w:t>
            </w:r>
          </w:p>
        </w:tc>
        <w:tc>
          <w:tcPr>
            <w:tcW w:w="892" w:type="dxa"/>
            <w:tcBorders>
              <w:top w:val="single" w:sz="4" w:space="0" w:color="auto"/>
              <w:left w:val="single" w:sz="4" w:space="0" w:color="auto"/>
              <w:bottom w:val="single" w:sz="4" w:space="0" w:color="auto"/>
              <w:right w:val="single" w:sz="4" w:space="0" w:color="auto"/>
            </w:tcBorders>
          </w:tcPr>
          <w:p w14:paraId="505BC981" w14:textId="77777777" w:rsidR="005E0EE9" w:rsidRPr="0013396E" w:rsidRDefault="005E0EE9" w:rsidP="0099759E">
            <w:pPr>
              <w:pStyle w:val="TableBody"/>
            </w:pPr>
            <w:r w:rsidRPr="0013396E">
              <w:t>none</w:t>
            </w:r>
          </w:p>
        </w:tc>
        <w:tc>
          <w:tcPr>
            <w:tcW w:w="6695" w:type="dxa"/>
            <w:tcBorders>
              <w:top w:val="single" w:sz="4" w:space="0" w:color="auto"/>
              <w:left w:val="single" w:sz="4" w:space="0" w:color="auto"/>
              <w:bottom w:val="single" w:sz="4" w:space="0" w:color="auto"/>
              <w:right w:val="single" w:sz="4" w:space="0" w:color="auto"/>
            </w:tcBorders>
          </w:tcPr>
          <w:p w14:paraId="6C4E4CE0" w14:textId="77777777" w:rsidR="005E0EE9" w:rsidRPr="0013396E" w:rsidRDefault="005E0EE9" w:rsidP="0099759E">
            <w:pPr>
              <w:pStyle w:val="TableBody"/>
            </w:pPr>
            <w:r w:rsidRPr="0013396E">
              <w:t xml:space="preserve">A five-minute clock interval in the Settlement Interval. </w:t>
            </w:r>
          </w:p>
        </w:tc>
      </w:tr>
      <w:tr w:rsidR="005E0EE9" w:rsidRPr="0013396E" w14:paraId="74E8336E" w14:textId="77777777" w:rsidTr="0099759E">
        <w:trPr>
          <w:cantSplit/>
        </w:trPr>
        <w:tc>
          <w:tcPr>
            <w:tcW w:w="1776" w:type="dxa"/>
            <w:tcBorders>
              <w:top w:val="single" w:sz="4" w:space="0" w:color="auto"/>
              <w:left w:val="single" w:sz="4" w:space="0" w:color="auto"/>
              <w:bottom w:val="single" w:sz="4" w:space="0" w:color="auto"/>
              <w:right w:val="single" w:sz="4" w:space="0" w:color="auto"/>
            </w:tcBorders>
          </w:tcPr>
          <w:p w14:paraId="6F1E049D" w14:textId="77777777" w:rsidR="005E0EE9" w:rsidRPr="0013396E" w:rsidDel="00714336" w:rsidRDefault="005E0EE9" w:rsidP="0099759E">
            <w:pPr>
              <w:pStyle w:val="TableBody"/>
              <w:rPr>
                <w:i/>
              </w:rPr>
            </w:pPr>
            <w:r w:rsidRPr="0013396E">
              <w:rPr>
                <w:i/>
              </w:rPr>
              <w:t>i</w:t>
            </w:r>
          </w:p>
        </w:tc>
        <w:tc>
          <w:tcPr>
            <w:tcW w:w="892" w:type="dxa"/>
            <w:tcBorders>
              <w:top w:val="single" w:sz="4" w:space="0" w:color="auto"/>
              <w:left w:val="single" w:sz="4" w:space="0" w:color="auto"/>
              <w:bottom w:val="single" w:sz="4" w:space="0" w:color="auto"/>
              <w:right w:val="single" w:sz="4" w:space="0" w:color="auto"/>
            </w:tcBorders>
          </w:tcPr>
          <w:p w14:paraId="6DA3E1FC" w14:textId="77777777" w:rsidR="005E0EE9" w:rsidRPr="0013396E" w:rsidDel="00714336" w:rsidRDefault="005E0EE9" w:rsidP="0099759E">
            <w:pPr>
              <w:pStyle w:val="TableBody"/>
            </w:pPr>
            <w:r w:rsidRPr="0013396E">
              <w:t>none</w:t>
            </w:r>
          </w:p>
        </w:tc>
        <w:tc>
          <w:tcPr>
            <w:tcW w:w="6695" w:type="dxa"/>
            <w:tcBorders>
              <w:top w:val="single" w:sz="4" w:space="0" w:color="auto"/>
              <w:left w:val="single" w:sz="4" w:space="0" w:color="auto"/>
              <w:bottom w:val="single" w:sz="4" w:space="0" w:color="auto"/>
              <w:right w:val="single" w:sz="4" w:space="0" w:color="auto"/>
            </w:tcBorders>
          </w:tcPr>
          <w:p w14:paraId="43217091" w14:textId="77777777" w:rsidR="005E0EE9" w:rsidRPr="0013396E" w:rsidDel="00714336" w:rsidRDefault="005E0EE9" w:rsidP="0099759E">
            <w:pPr>
              <w:pStyle w:val="TableBody"/>
            </w:pPr>
            <w:r w:rsidRPr="0013396E">
              <w:t>A 15-minute Settlement Interval.</w:t>
            </w:r>
          </w:p>
        </w:tc>
      </w:tr>
    </w:tbl>
    <w:p w14:paraId="13858422" w14:textId="77777777" w:rsidR="005E0EE9" w:rsidRPr="0013396E" w:rsidRDefault="005E0EE9" w:rsidP="00457C20">
      <w:pPr>
        <w:pStyle w:val="H4"/>
        <w:spacing w:before="480"/>
        <w:ind w:left="0" w:firstLine="0"/>
      </w:pPr>
      <w:bookmarkStart w:id="1858" w:name="_Toc236220201"/>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r w:rsidRPr="0013396E">
        <w:t>6.6.5.6</w:t>
      </w:r>
      <w:r w:rsidRPr="0013396E">
        <w:tab/>
        <w:t>Resources Exempt from Deviation Charges</w:t>
      </w:r>
      <w:bookmarkEnd w:id="1858"/>
    </w:p>
    <w:p w14:paraId="042ACCCB" w14:textId="77777777" w:rsidR="005E0EE9" w:rsidRPr="0013396E" w:rsidRDefault="005E0EE9" w:rsidP="005E0EE9">
      <w:pPr>
        <w:pStyle w:val="List"/>
        <w:ind w:left="720"/>
      </w:pPr>
      <w:r w:rsidRPr="0013396E">
        <w:t>(1)</w:t>
      </w:r>
      <w:r w:rsidRPr="0013396E">
        <w:tab/>
        <w:t xml:space="preserve">Set Point Deviation Charges do not apply to any QSE for the 15-minute Settlement Interval during the following events: </w:t>
      </w:r>
    </w:p>
    <w:p w14:paraId="78FF4350" w14:textId="77777777" w:rsidR="005E0EE9" w:rsidRPr="0013396E" w:rsidRDefault="005E0EE9" w:rsidP="005E0EE9">
      <w:pPr>
        <w:pStyle w:val="List"/>
      </w:pPr>
      <w:r w:rsidRPr="0013396E">
        <w:t>(a)</w:t>
      </w:r>
      <w:r w:rsidRPr="0013396E">
        <w:tab/>
        <w:t>Responsive Reserve (RRS) was manually deployed by ERCOT;</w:t>
      </w:r>
    </w:p>
    <w:p w14:paraId="73C63D69" w14:textId="77777777" w:rsidR="005E0EE9" w:rsidRPr="0013396E" w:rsidRDefault="005E0EE9" w:rsidP="005E0EE9">
      <w:pPr>
        <w:pStyle w:val="List"/>
      </w:pPr>
      <w:r w:rsidRPr="0013396E">
        <w:t>(b)</w:t>
      </w:r>
      <w:r w:rsidRPr="0013396E">
        <w:tab/>
        <w:t>ERCOT Contingency Reserve Service (ECRS) was deployed; or</w:t>
      </w:r>
    </w:p>
    <w:p w14:paraId="172ECDF9" w14:textId="77777777" w:rsidR="005E0EE9" w:rsidRPr="0013396E" w:rsidRDefault="005E0EE9" w:rsidP="005E0EE9">
      <w:pPr>
        <w:pStyle w:val="List"/>
        <w:spacing w:before="240"/>
      </w:pPr>
      <w:r w:rsidRPr="0013396E">
        <w:t>(c)</w:t>
      </w:r>
      <w:r w:rsidRPr="0013396E">
        <w:tab/>
        <w:t xml:space="preserve">ERCOT System Frequency deviation is both greater than +0.05 Hz and less than -0.05 Hz within the same Settlement Interval. </w:t>
      </w:r>
    </w:p>
    <w:p w14:paraId="79A0816D" w14:textId="77777777" w:rsidR="005E0EE9" w:rsidRPr="0013396E" w:rsidRDefault="005E0EE9" w:rsidP="005E0EE9">
      <w:pPr>
        <w:pStyle w:val="List"/>
        <w:ind w:left="720"/>
      </w:pPr>
      <w:r w:rsidRPr="0013396E">
        <w:t>(2)</w:t>
      </w:r>
      <w:r w:rsidRPr="0013396E">
        <w:tab/>
        <w:t xml:space="preserve">Set Point Deviation Charges do not apply to the QSE for the Resource for the 15-minute Interval for the following: </w:t>
      </w:r>
    </w:p>
    <w:p w14:paraId="1D9226BD" w14:textId="77777777" w:rsidR="005E0EE9" w:rsidRPr="0013396E" w:rsidRDefault="005E0EE9" w:rsidP="005E0EE9">
      <w:pPr>
        <w:pStyle w:val="List"/>
      </w:pPr>
      <w:r w:rsidRPr="0013396E">
        <w:t>(a)</w:t>
      </w:r>
      <w:r w:rsidRPr="0013396E">
        <w:tab/>
        <w:t>The deviation of the Resource over the 15-minute Settlement Interval is in a direction that contributes to frequency corrections that resolve an ERCOT System frequency deviation and ERCOT System frequency deviation is greater than +/-0.05 Hz at any time during the 15-minute Settlement Interval;</w:t>
      </w:r>
    </w:p>
    <w:p w14:paraId="0AE4E91F" w14:textId="77777777" w:rsidR="005E0EE9" w:rsidRPr="0013396E" w:rsidRDefault="005E0EE9" w:rsidP="005E0EE9">
      <w:pPr>
        <w:pStyle w:val="BodyText"/>
        <w:ind w:left="1440" w:hanging="720"/>
      </w:pPr>
      <w:r w:rsidRPr="0013396E">
        <w:t>(b)</w:t>
      </w:r>
      <w:r w:rsidRPr="0013396E">
        <w:tab/>
        <w:t xml:space="preserve">The Resource is a Reliability Must-Run (RMR) Unit; </w:t>
      </w:r>
    </w:p>
    <w:p w14:paraId="0ACFF02E" w14:textId="77777777" w:rsidR="005E0EE9" w:rsidRPr="0013396E" w:rsidRDefault="005E0EE9" w:rsidP="005E0EE9">
      <w:pPr>
        <w:pStyle w:val="BodyText"/>
        <w:ind w:left="1440" w:hanging="720"/>
      </w:pPr>
      <w:r w:rsidRPr="0013396E">
        <w:t>(c)</w:t>
      </w:r>
      <w:r w:rsidRPr="0013396E">
        <w:tab/>
        <w:t>Emergency Base Points were issued to the Resource; or</w:t>
      </w:r>
    </w:p>
    <w:p w14:paraId="663DC4BD" w14:textId="77777777" w:rsidR="005E0EE9" w:rsidRPr="0013396E" w:rsidRDefault="005E0EE9" w:rsidP="005E0EE9">
      <w:pPr>
        <w:pStyle w:val="List"/>
      </w:pPr>
      <w:r w:rsidRPr="0013396E">
        <w:t>(d)</w:t>
      </w:r>
      <w:r w:rsidRPr="0013396E">
        <w:tab/>
        <w:t xml:space="preserve">Resource is operating in Constant Frequency Control (CFC) mode. </w:t>
      </w:r>
    </w:p>
    <w:p w14:paraId="6AB1710E" w14:textId="77777777" w:rsidR="005E0EE9" w:rsidRPr="0013396E" w:rsidRDefault="005E0EE9" w:rsidP="005E0EE9">
      <w:pPr>
        <w:pStyle w:val="List"/>
        <w:ind w:left="720"/>
      </w:pPr>
      <w:r w:rsidRPr="0013396E">
        <w:t>(3)</w:t>
      </w:r>
      <w:r w:rsidRPr="0013396E">
        <w:tab/>
        <w:t xml:space="preserve">In addition to the exemptions listed in paragraph (1) and (2) of this Section, Set Point Deviation Charges do not apply to the QSE for a Generation Resource for the 15-minute Settlement Interval for the following: </w:t>
      </w:r>
    </w:p>
    <w:p w14:paraId="344B2398" w14:textId="77777777" w:rsidR="005E0EE9" w:rsidRPr="0013396E" w:rsidRDefault="005E0EE9" w:rsidP="005E0EE9">
      <w:pPr>
        <w:pStyle w:val="List"/>
      </w:pPr>
      <w:r w:rsidRPr="0013396E">
        <w:t>(a)</w:t>
      </w:r>
      <w:r w:rsidRPr="0013396E">
        <w:tab/>
        <w:t xml:space="preserve">AASP is less than the Resource’s average telemetered LSL; </w:t>
      </w:r>
    </w:p>
    <w:p w14:paraId="41A13B36" w14:textId="77777777" w:rsidR="005E0EE9" w:rsidRPr="0013396E" w:rsidRDefault="005E0EE9" w:rsidP="005E0EE9">
      <w:pPr>
        <w:pStyle w:val="List"/>
      </w:pPr>
      <w:r w:rsidRPr="0013396E">
        <w:t>(b)</w:t>
      </w:r>
      <w:r w:rsidRPr="0013396E">
        <w:tab/>
        <w:t xml:space="preserve">The Generation Resource is telemetering a status of ONTEST or STARTUP anytime during the Settlement Interval; </w:t>
      </w:r>
    </w:p>
    <w:p w14:paraId="61695AE9" w14:textId="77777777" w:rsidR="005E0EE9" w:rsidRPr="0013396E" w:rsidRDefault="005E0EE9" w:rsidP="005E0EE9">
      <w:pPr>
        <w:pStyle w:val="BodyText"/>
        <w:ind w:left="1440" w:hanging="720"/>
      </w:pPr>
      <w:r w:rsidRPr="0013396E">
        <w:t>(c)</w:t>
      </w:r>
      <w:r w:rsidRPr="0013396E">
        <w:tab/>
        <w:t>Qualifying Facilities (QFs) that do not submit an Energy Offer Curve prior to the end of the Adjustment Period for the Settlement Interval;</w:t>
      </w:r>
    </w:p>
    <w:p w14:paraId="21D183BF" w14:textId="77777777" w:rsidR="005E0EE9" w:rsidRPr="0013396E" w:rsidRDefault="005E0EE9" w:rsidP="005E0EE9">
      <w:pPr>
        <w:pStyle w:val="BodyText"/>
        <w:ind w:left="1440" w:hanging="720"/>
      </w:pPr>
      <w:r w:rsidRPr="0013396E">
        <w:t>(d)</w:t>
      </w:r>
      <w:r w:rsidRPr="0013396E">
        <w:tab/>
        <w:t>Quick Start Generation Resources (QSGRs) during the 15-minute Settlement Interval after the start of the first SCED interval in which the QSGR is deployed; or</w:t>
      </w:r>
    </w:p>
    <w:p w14:paraId="7DB80DD3" w14:textId="77777777" w:rsidR="005E0EE9" w:rsidRPr="0013396E" w:rsidRDefault="005E0EE9" w:rsidP="005E0EE9">
      <w:pPr>
        <w:pStyle w:val="BodyText"/>
        <w:ind w:left="1440" w:hanging="720"/>
      </w:pPr>
      <w:r w:rsidRPr="0013396E">
        <w:lastRenderedPageBreak/>
        <w:t>(e)</w:t>
      </w:r>
      <w:r w:rsidRPr="0013396E">
        <w:tab/>
        <w:t xml:space="preserve">The flag signifying that an IRR has received a Base Point below the HDL used by SCED or the IRR has been instructed not to exceed its Base Point is not set in all SCED intervals within the 15-minute Settlement Interval.  For IRR Groups, the flag signifying that an IRR has received a Base Point below the HDL used by SCED or the IRR has been instructed not to exceed its Base Point is not set in all SCED intervals within the 15-minute Settlement Interval for any of the IRRs within the IRR Group. </w:t>
      </w:r>
    </w:p>
    <w:p w14:paraId="18F756E2" w14:textId="18914A90" w:rsidR="005E0EE9" w:rsidRPr="0013396E" w:rsidRDefault="005E0EE9" w:rsidP="005E0EE9">
      <w:pPr>
        <w:pStyle w:val="List"/>
        <w:ind w:left="720"/>
      </w:pPr>
      <w:r w:rsidRPr="0013396E">
        <w:t>(4)</w:t>
      </w:r>
      <w:r w:rsidRPr="0013396E">
        <w:tab/>
        <w:t xml:space="preserve">In addition to the exemptions listed in paragraph (1) and (2) of this Section, Set Point Deviation Charges do not apply to the QSE for the </w:t>
      </w:r>
      <w:r w:rsidR="00E01488">
        <w:t>CLR</w:t>
      </w:r>
      <w:r w:rsidRPr="0013396E">
        <w:t xml:space="preserve"> for the 15-minute Settlement Interval if the following occur: </w:t>
      </w:r>
    </w:p>
    <w:p w14:paraId="63CCE00F" w14:textId="77777777" w:rsidR="005E0EE9" w:rsidRPr="0013396E" w:rsidRDefault="005E0EE9" w:rsidP="005E0EE9">
      <w:pPr>
        <w:pStyle w:val="List"/>
      </w:pPr>
      <w:r w:rsidRPr="0013396E">
        <w:t>(a)</w:t>
      </w:r>
      <w:r w:rsidRPr="0013396E">
        <w:tab/>
        <w:t>The computed Base Point is equal to the snapshot of its telemetered power consumption for all SCED runs during the Settlement Interval; or</w:t>
      </w:r>
    </w:p>
    <w:p w14:paraId="45BC95FC" w14:textId="759A6878" w:rsidR="005E0EE9" w:rsidRPr="0013396E" w:rsidRDefault="005E0EE9" w:rsidP="005E0EE9">
      <w:pPr>
        <w:pStyle w:val="List"/>
      </w:pPr>
      <w:r w:rsidRPr="0013396E">
        <w:t>(b)</w:t>
      </w:r>
      <w:r w:rsidRPr="0013396E">
        <w:tab/>
        <w:t xml:space="preserve">The </w:t>
      </w:r>
      <w:r w:rsidR="00E01488">
        <w:t>CLR</w:t>
      </w:r>
      <w:r w:rsidRPr="0013396E">
        <w:t xml:space="preserve"> is telemetering a status of OUTL anytime during the Settlement Interval.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D7276" w:rsidRPr="0013396E" w14:paraId="56FF7F47" w14:textId="77777777" w:rsidTr="00E31211">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E39FF3A" w14:textId="56336E1C" w:rsidR="000D7276" w:rsidRPr="0013396E" w:rsidRDefault="000D7276" w:rsidP="00E31211">
            <w:pPr>
              <w:spacing w:before="120" w:after="240"/>
              <w:rPr>
                <w:b/>
                <w:i/>
                <w:iCs/>
                <w:szCs w:val="24"/>
              </w:rPr>
            </w:pPr>
            <w:r w:rsidRPr="0013396E">
              <w:rPr>
                <w:b/>
                <w:i/>
                <w:iCs/>
                <w:szCs w:val="24"/>
              </w:rPr>
              <w:t>[NPRR1188:  Replace paragraph (</w:t>
            </w:r>
            <w:r>
              <w:rPr>
                <w:b/>
                <w:i/>
                <w:iCs/>
                <w:szCs w:val="24"/>
              </w:rPr>
              <w:t>b</w:t>
            </w:r>
            <w:r w:rsidRPr="0013396E">
              <w:rPr>
                <w:b/>
                <w:i/>
                <w:iCs/>
                <w:szCs w:val="24"/>
              </w:rPr>
              <w:t>) above with the following upon system implementation:]</w:t>
            </w:r>
          </w:p>
          <w:p w14:paraId="12014D4F" w14:textId="5DDBA2B9" w:rsidR="000D7276" w:rsidRPr="0013396E" w:rsidRDefault="000D7276" w:rsidP="000D7276">
            <w:pPr>
              <w:pStyle w:val="List"/>
            </w:pPr>
            <w:r w:rsidRPr="0013396E">
              <w:t>(b)</w:t>
            </w:r>
            <w:r w:rsidRPr="0013396E">
              <w:tab/>
              <w:t xml:space="preserve">The </w:t>
            </w:r>
            <w:r>
              <w:t>CLR</w:t>
            </w:r>
            <w:r w:rsidRPr="0013396E">
              <w:t xml:space="preserve"> is telemetering a status of OUTL or ONTEST anytime during the Settlement Interval.</w:t>
            </w:r>
          </w:p>
        </w:tc>
      </w:tr>
    </w:tbl>
    <w:p w14:paraId="6ED2CC05" w14:textId="219041E5" w:rsidR="005E0EE9" w:rsidRPr="0013396E" w:rsidRDefault="005E0EE9" w:rsidP="000D7276">
      <w:pPr>
        <w:pStyle w:val="List"/>
        <w:spacing w:before="240"/>
        <w:ind w:left="720"/>
      </w:pPr>
      <w:r w:rsidRPr="0013396E">
        <w:t>(5)</w:t>
      </w:r>
      <w:r w:rsidRPr="0013396E">
        <w:tab/>
        <w:t xml:space="preserve">In addition to the exemptions listed in paragraph (1) and (2) of this Section, Set Point Deviation Charges do not apply to the QSE for the ESR for the 15-minute Settlement Interval if the following occur: </w:t>
      </w:r>
    </w:p>
    <w:p w14:paraId="27E9D61A" w14:textId="77777777" w:rsidR="005E0EE9" w:rsidRPr="0013396E" w:rsidRDefault="005E0EE9" w:rsidP="005E0EE9">
      <w:pPr>
        <w:pStyle w:val="List"/>
      </w:pPr>
      <w:r w:rsidRPr="0013396E">
        <w:t>(a)</w:t>
      </w:r>
      <w:r w:rsidRPr="0013396E">
        <w:tab/>
        <w:t>The ESR is telemetering a status of ONTEST anytime during the Settlement Interval; or</w:t>
      </w:r>
    </w:p>
    <w:p w14:paraId="0001C2F0" w14:textId="7D95BEBC" w:rsidR="001F04FD" w:rsidRPr="0013396E" w:rsidRDefault="005E0EE9" w:rsidP="005E0EE9">
      <w:pPr>
        <w:pStyle w:val="BodyText"/>
        <w:ind w:left="1440" w:hanging="720"/>
      </w:pPr>
      <w:r w:rsidRPr="0013396E">
        <w:t>(b)</w:t>
      </w:r>
      <w:r w:rsidRPr="0013396E">
        <w:tab/>
        <w:t xml:space="preserve">The </w:t>
      </w:r>
      <w:r w:rsidRPr="005E0EE9">
        <w:t>AASP</w:t>
      </w:r>
      <w:r w:rsidRPr="0013396E">
        <w:t xml:space="preserve"> is less than its average telemetered LSL.</w:t>
      </w:r>
    </w:p>
    <w:p w14:paraId="37373BA2" w14:textId="20C4CF3C" w:rsidR="005E0EE9" w:rsidRPr="0013396E" w:rsidRDefault="005E0EE9" w:rsidP="00457C20">
      <w:pPr>
        <w:keepNext/>
        <w:widowControl w:val="0"/>
        <w:tabs>
          <w:tab w:val="left" w:pos="1260"/>
        </w:tabs>
        <w:spacing w:before="240" w:after="240"/>
        <w:ind w:left="1267" w:hanging="1267"/>
        <w:outlineLvl w:val="3"/>
        <w:rPr>
          <w:b/>
          <w:bCs/>
          <w:snapToGrid w:val="0"/>
        </w:rPr>
      </w:pPr>
      <w:bookmarkStart w:id="1859" w:name="_Toc236220202"/>
      <w:bookmarkStart w:id="1860" w:name="_Toc87951796"/>
      <w:bookmarkStart w:id="1861" w:name="_Toc109009406"/>
      <w:bookmarkStart w:id="1862" w:name="_Toc397505025"/>
      <w:bookmarkStart w:id="1863" w:name="_Toc402357157"/>
      <w:bookmarkStart w:id="1864" w:name="_Toc422486537"/>
      <w:bookmarkStart w:id="1865" w:name="_Toc433093390"/>
      <w:bookmarkStart w:id="1866" w:name="_Toc433093548"/>
      <w:bookmarkStart w:id="1867" w:name="_Toc440874778"/>
      <w:bookmarkStart w:id="1868" w:name="_Toc448142335"/>
      <w:bookmarkStart w:id="1869" w:name="_Toc448142492"/>
      <w:bookmarkStart w:id="1870" w:name="_Toc458770333"/>
      <w:bookmarkStart w:id="1871" w:name="_Toc459294301"/>
      <w:bookmarkStart w:id="1872" w:name="_Toc463262794"/>
      <w:bookmarkStart w:id="1873" w:name="_Toc468286867"/>
      <w:bookmarkStart w:id="1874" w:name="_Toc481502907"/>
      <w:bookmarkStart w:id="1875" w:name="_Toc496080075"/>
      <w:bookmarkStart w:id="1876" w:name="_Toc175157469"/>
      <w:r w:rsidRPr="0013396E">
        <w:rPr>
          <w:b/>
          <w:bCs/>
          <w:snapToGrid w:val="0"/>
        </w:rPr>
        <w:t>6.6.5.</w:t>
      </w:r>
      <w:r w:rsidR="00F048B5">
        <w:rPr>
          <w:b/>
          <w:bCs/>
          <w:snapToGrid w:val="0"/>
        </w:rPr>
        <w:t>7</w:t>
      </w:r>
      <w:r w:rsidRPr="0013396E">
        <w:rPr>
          <w:b/>
          <w:bCs/>
          <w:snapToGrid w:val="0"/>
        </w:rPr>
        <w:tab/>
        <w:t>Set Point Deviation Payment</w:t>
      </w:r>
      <w:bookmarkEnd w:id="1859"/>
    </w:p>
    <w:p w14:paraId="5CF78007" w14:textId="77777777" w:rsidR="005E0EE9" w:rsidRPr="0013396E" w:rsidRDefault="005E0EE9" w:rsidP="005E0EE9">
      <w:pPr>
        <w:spacing w:after="240"/>
        <w:ind w:left="720" w:hanging="720"/>
      </w:pPr>
      <w:r w:rsidRPr="0013396E">
        <w:t>(1)</w:t>
      </w:r>
      <w:r w:rsidRPr="0013396E">
        <w:tab/>
        <w:t>ERCOT shall pay the Set Point Deviation Charges collected from the QSEs representing Resources to the QSEs representing Load based on LRS.  The payment to each QSE for a given 15-minute Settlement Interval is calculated as follows:</w:t>
      </w:r>
    </w:p>
    <w:p w14:paraId="1DF78601" w14:textId="77777777" w:rsidR="005E0EE9" w:rsidRPr="0013396E" w:rsidRDefault="005E0EE9" w:rsidP="005E0EE9">
      <w:pPr>
        <w:tabs>
          <w:tab w:val="left" w:pos="2250"/>
          <w:tab w:val="left" w:pos="3150"/>
          <w:tab w:val="left" w:pos="3960"/>
        </w:tabs>
        <w:spacing w:after="240"/>
        <w:ind w:left="3960" w:hanging="3240"/>
        <w:rPr>
          <w:b/>
          <w:bCs/>
          <w:szCs w:val="24"/>
        </w:rPr>
      </w:pPr>
      <w:r w:rsidRPr="0013396E">
        <w:rPr>
          <w:b/>
          <w:bCs/>
        </w:rPr>
        <w:t xml:space="preserve">LASPDAMT </w:t>
      </w:r>
      <w:r w:rsidRPr="0013396E">
        <w:rPr>
          <w:b/>
          <w:bCs/>
          <w:i/>
          <w:vertAlign w:val="subscript"/>
        </w:rPr>
        <w:t>q</w:t>
      </w:r>
      <w:r w:rsidRPr="0013396E">
        <w:rPr>
          <w:b/>
          <w:bCs/>
        </w:rPr>
        <w:tab/>
        <w:t>=</w:t>
      </w:r>
      <w:r w:rsidRPr="0013396E">
        <w:rPr>
          <w:b/>
          <w:bCs/>
        </w:rPr>
        <w:tab/>
        <w:t xml:space="preserve">(-1) * SPDAMTTOT * LRS </w:t>
      </w:r>
      <w:r w:rsidRPr="0013396E">
        <w:rPr>
          <w:b/>
          <w:bCs/>
          <w:i/>
          <w:vertAlign w:val="subscript"/>
        </w:rPr>
        <w:t>q</w:t>
      </w:r>
    </w:p>
    <w:p w14:paraId="3BDC98B3" w14:textId="77777777" w:rsidR="005E0EE9" w:rsidRPr="0013396E" w:rsidRDefault="005E0EE9" w:rsidP="005E0EE9">
      <w:pPr>
        <w:spacing w:after="240"/>
        <w:rPr>
          <w:iCs/>
          <w:vertAlign w:val="subscript"/>
        </w:rPr>
      </w:pPr>
      <w:r w:rsidRPr="0013396E">
        <w:rPr>
          <w:iCs/>
        </w:rPr>
        <w:t>Where:</w:t>
      </w:r>
    </w:p>
    <w:p w14:paraId="18DAD7AF" w14:textId="0DB4B870" w:rsidR="005E0EE9" w:rsidRPr="0013396E" w:rsidRDefault="005E0EE9" w:rsidP="005E0EE9">
      <w:pPr>
        <w:tabs>
          <w:tab w:val="left" w:pos="2160"/>
          <w:tab w:val="left" w:pos="2880"/>
        </w:tabs>
        <w:spacing w:after="240"/>
        <w:ind w:leftChars="300" w:left="2880" w:hangingChars="900" w:hanging="2160"/>
        <w:rPr>
          <w:bCs/>
          <w:szCs w:val="24"/>
        </w:rPr>
      </w:pPr>
      <w:r w:rsidRPr="0013396E">
        <w:rPr>
          <w:bCs/>
        </w:rPr>
        <w:t>SPDAMTTOT</w:t>
      </w:r>
      <w:r w:rsidRPr="0013396E">
        <w:rPr>
          <w:bCs/>
        </w:rPr>
        <w:tab/>
        <w:t>=</w:t>
      </w:r>
      <w:r w:rsidRPr="0013396E">
        <w:rPr>
          <w:bCs/>
        </w:rPr>
        <w:tab/>
      </w:r>
      <w:r w:rsidR="000B7133" w:rsidRPr="0013396E">
        <w:rPr>
          <w:bCs/>
          <w:position w:val="-22"/>
          <w:szCs w:val="24"/>
        </w:rPr>
        <w:object w:dxaOrig="120" w:dyaOrig="360" w14:anchorId="798C12A8">
          <v:shape id="_x0000_i1162" type="#_x0000_t75" style="width:12pt;height:30pt" o:ole="">
            <v:imagedata r:id="rId157" o:title=""/>
          </v:shape>
          <o:OLEObject Type="Embed" ProgID="Equation.3" ShapeID="_x0000_i1162" DrawAspect="Content" ObjectID="_1849065793" r:id="rId195"/>
        </w:object>
      </w:r>
      <w:r w:rsidRPr="0013396E">
        <w:rPr>
          <w:bCs/>
        </w:rPr>
        <w:t xml:space="preserve">SPDAMTQSETOT </w:t>
      </w:r>
      <w:r w:rsidRPr="0013396E">
        <w:rPr>
          <w:bCs/>
          <w:i/>
          <w:vertAlign w:val="subscript"/>
        </w:rPr>
        <w:t>q</w:t>
      </w:r>
    </w:p>
    <w:p w14:paraId="1E910116" w14:textId="0896DF5A" w:rsidR="005E0EE9" w:rsidRPr="0013396E" w:rsidRDefault="005E0EE9" w:rsidP="005E0EE9">
      <w:pPr>
        <w:tabs>
          <w:tab w:val="left" w:pos="2160"/>
          <w:tab w:val="left" w:pos="2880"/>
        </w:tabs>
        <w:spacing w:after="240"/>
        <w:ind w:leftChars="300" w:left="2880" w:hangingChars="900" w:hanging="2160"/>
        <w:rPr>
          <w:bCs/>
        </w:rPr>
      </w:pPr>
      <w:r w:rsidRPr="0013396E">
        <w:rPr>
          <w:bCs/>
        </w:rPr>
        <w:lastRenderedPageBreak/>
        <w:t xml:space="preserve">SPDAMTQSETOT </w:t>
      </w:r>
      <w:r w:rsidRPr="0013396E">
        <w:rPr>
          <w:bCs/>
          <w:i/>
          <w:vertAlign w:val="subscript"/>
        </w:rPr>
        <w:t>q</w:t>
      </w:r>
      <w:r w:rsidRPr="0013396E">
        <w:rPr>
          <w:bCs/>
        </w:rPr>
        <w:tab/>
        <w:t>=</w:t>
      </w:r>
      <w:r w:rsidRPr="0013396E">
        <w:rPr>
          <w:bCs/>
        </w:rPr>
        <w:tab/>
      </w:r>
      <w:r w:rsidR="000B7133" w:rsidRPr="0013396E">
        <w:rPr>
          <w:bCs/>
          <w:position w:val="-22"/>
          <w:szCs w:val="24"/>
        </w:rPr>
        <w:object w:dxaOrig="150" w:dyaOrig="435" w14:anchorId="69739AC0">
          <v:shape id="_x0000_i1163" type="#_x0000_t75" style="width:23.4pt;height:27.6pt" o:ole="">
            <v:imagedata r:id="rId196" o:title=""/>
          </v:shape>
          <o:OLEObject Type="Embed" ProgID="Equation.3" ShapeID="_x0000_i1163" DrawAspect="Content" ObjectID="_1849065794" r:id="rId197"/>
        </w:object>
      </w:r>
      <w:r w:rsidR="000B7133" w:rsidRPr="0013396E">
        <w:rPr>
          <w:bCs/>
          <w:position w:val="-18"/>
          <w:szCs w:val="24"/>
        </w:rPr>
        <w:object w:dxaOrig="150" w:dyaOrig="435" w14:anchorId="1304B8EE">
          <v:shape id="_x0000_i1164" type="#_x0000_t75" style="width:27pt;height:28.2pt" o:ole="">
            <v:imagedata r:id="rId198" o:title=""/>
          </v:shape>
          <o:OLEObject Type="Embed" ProgID="Equation.3" ShapeID="_x0000_i1164" DrawAspect="Content" ObjectID="_1849065795" r:id="rId199"/>
        </w:object>
      </w:r>
      <w:r w:rsidRPr="0013396E">
        <w:rPr>
          <w:bCs/>
        </w:rPr>
        <w:t xml:space="preserve">SPDAMT </w:t>
      </w:r>
      <w:r w:rsidRPr="0013396E">
        <w:rPr>
          <w:bCs/>
          <w:i/>
          <w:vertAlign w:val="subscript"/>
        </w:rPr>
        <w:t>q, r, p</w:t>
      </w:r>
    </w:p>
    <w:p w14:paraId="3BE3586C" w14:textId="77777777" w:rsidR="005E0EE9" w:rsidRPr="0013396E" w:rsidRDefault="005E0EE9" w:rsidP="005E0EE9">
      <w:r w:rsidRPr="0013396E">
        <w:t>The above variables are defined as follows:</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05"/>
        <w:gridCol w:w="6603"/>
      </w:tblGrid>
      <w:tr w:rsidR="005E0EE9" w:rsidRPr="0013396E" w14:paraId="2439A6BE" w14:textId="77777777" w:rsidTr="0099759E">
        <w:trPr>
          <w:cantSplit/>
          <w:tblHeader/>
        </w:trPr>
        <w:tc>
          <w:tcPr>
            <w:tcW w:w="2032" w:type="dxa"/>
            <w:tcBorders>
              <w:top w:val="single" w:sz="4" w:space="0" w:color="auto"/>
              <w:left w:val="single" w:sz="4" w:space="0" w:color="auto"/>
              <w:bottom w:val="single" w:sz="4" w:space="0" w:color="auto"/>
              <w:right w:val="single" w:sz="4" w:space="0" w:color="auto"/>
            </w:tcBorders>
            <w:hideMark/>
          </w:tcPr>
          <w:p w14:paraId="1BC40040" w14:textId="77777777" w:rsidR="005E0EE9" w:rsidRPr="0013396E" w:rsidRDefault="005E0EE9" w:rsidP="0099759E">
            <w:pPr>
              <w:spacing w:after="120"/>
              <w:rPr>
                <w:b/>
                <w:iCs/>
                <w:sz w:val="20"/>
              </w:rPr>
            </w:pPr>
            <w:r w:rsidRPr="0013396E">
              <w:rPr>
                <w:b/>
                <w:iCs/>
                <w:sz w:val="20"/>
              </w:rPr>
              <w:t>Variable</w:t>
            </w:r>
          </w:p>
        </w:tc>
        <w:tc>
          <w:tcPr>
            <w:tcW w:w="0" w:type="auto"/>
            <w:tcBorders>
              <w:top w:val="single" w:sz="4" w:space="0" w:color="auto"/>
              <w:left w:val="single" w:sz="4" w:space="0" w:color="auto"/>
              <w:bottom w:val="single" w:sz="4" w:space="0" w:color="auto"/>
              <w:right w:val="single" w:sz="4" w:space="0" w:color="auto"/>
            </w:tcBorders>
            <w:hideMark/>
          </w:tcPr>
          <w:p w14:paraId="494A68FF" w14:textId="77777777" w:rsidR="005E0EE9" w:rsidRPr="0013396E" w:rsidRDefault="005E0EE9" w:rsidP="0099759E">
            <w:pPr>
              <w:spacing w:after="120"/>
              <w:rPr>
                <w:b/>
                <w:iCs/>
                <w:sz w:val="20"/>
              </w:rPr>
            </w:pPr>
            <w:r w:rsidRPr="0013396E">
              <w:rPr>
                <w:b/>
                <w:iCs/>
                <w:sz w:val="20"/>
              </w:rPr>
              <w:t>Unit</w:t>
            </w:r>
          </w:p>
        </w:tc>
        <w:tc>
          <w:tcPr>
            <w:tcW w:w="6603" w:type="dxa"/>
            <w:tcBorders>
              <w:top w:val="single" w:sz="4" w:space="0" w:color="auto"/>
              <w:left w:val="single" w:sz="4" w:space="0" w:color="auto"/>
              <w:bottom w:val="single" w:sz="4" w:space="0" w:color="auto"/>
              <w:right w:val="single" w:sz="4" w:space="0" w:color="auto"/>
            </w:tcBorders>
            <w:hideMark/>
          </w:tcPr>
          <w:p w14:paraId="46AADEFF" w14:textId="77777777" w:rsidR="005E0EE9" w:rsidRPr="0013396E" w:rsidRDefault="005E0EE9" w:rsidP="0099759E">
            <w:pPr>
              <w:spacing w:after="120"/>
              <w:rPr>
                <w:b/>
                <w:iCs/>
                <w:sz w:val="20"/>
              </w:rPr>
            </w:pPr>
            <w:r w:rsidRPr="0013396E">
              <w:rPr>
                <w:b/>
                <w:iCs/>
                <w:sz w:val="20"/>
              </w:rPr>
              <w:t>Definition</w:t>
            </w:r>
          </w:p>
        </w:tc>
      </w:tr>
      <w:tr w:rsidR="005E0EE9" w:rsidRPr="0013396E" w14:paraId="782CB2F5"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52BE9326" w14:textId="77777777" w:rsidR="005E0EE9" w:rsidRPr="0013396E" w:rsidRDefault="005E0EE9" w:rsidP="0099759E">
            <w:pPr>
              <w:spacing w:after="60"/>
              <w:rPr>
                <w:iCs/>
                <w:sz w:val="20"/>
              </w:rPr>
            </w:pPr>
            <w:r w:rsidRPr="0013396E">
              <w:rPr>
                <w:iCs/>
                <w:sz w:val="20"/>
              </w:rPr>
              <w:t xml:space="preserve">LASPDAMT </w:t>
            </w:r>
            <w:r w:rsidRPr="0013396E">
              <w:rPr>
                <w:i/>
                <w:iCs/>
                <w:sz w:val="20"/>
                <w:vertAlign w:val="subscript"/>
              </w:rPr>
              <w:t>q</w:t>
            </w:r>
          </w:p>
        </w:tc>
        <w:tc>
          <w:tcPr>
            <w:tcW w:w="0" w:type="auto"/>
            <w:tcBorders>
              <w:top w:val="single" w:sz="4" w:space="0" w:color="auto"/>
              <w:left w:val="single" w:sz="4" w:space="0" w:color="auto"/>
              <w:bottom w:val="single" w:sz="4" w:space="0" w:color="auto"/>
              <w:right w:val="single" w:sz="4" w:space="0" w:color="auto"/>
            </w:tcBorders>
            <w:hideMark/>
          </w:tcPr>
          <w:p w14:paraId="7420079F" w14:textId="77777777" w:rsidR="005E0EE9" w:rsidRPr="0013396E" w:rsidRDefault="005E0EE9" w:rsidP="0099759E">
            <w:pPr>
              <w:spacing w:after="60"/>
              <w:rPr>
                <w:iCs/>
                <w:sz w:val="20"/>
              </w:rPr>
            </w:pPr>
            <w:r w:rsidRPr="0013396E">
              <w:rPr>
                <w:iCs/>
                <w:sz w:val="20"/>
              </w:rPr>
              <w:t>$</w:t>
            </w:r>
          </w:p>
        </w:tc>
        <w:tc>
          <w:tcPr>
            <w:tcW w:w="6603" w:type="dxa"/>
            <w:tcBorders>
              <w:top w:val="single" w:sz="4" w:space="0" w:color="auto"/>
              <w:left w:val="single" w:sz="4" w:space="0" w:color="auto"/>
              <w:bottom w:val="single" w:sz="4" w:space="0" w:color="auto"/>
              <w:right w:val="single" w:sz="4" w:space="0" w:color="auto"/>
            </w:tcBorders>
            <w:hideMark/>
          </w:tcPr>
          <w:p w14:paraId="0BD15168" w14:textId="77777777" w:rsidR="005E0EE9" w:rsidRPr="0013396E" w:rsidRDefault="005E0EE9" w:rsidP="0099759E">
            <w:pPr>
              <w:spacing w:after="60"/>
              <w:rPr>
                <w:iCs/>
                <w:sz w:val="20"/>
              </w:rPr>
            </w:pPr>
            <w:r w:rsidRPr="0013396E">
              <w:rPr>
                <w:i/>
                <w:iCs/>
                <w:sz w:val="20"/>
              </w:rPr>
              <w:t>Load-Allocated Set Point Deviation Amount per QSE</w:t>
            </w:r>
            <w:r w:rsidRPr="0013396E">
              <w:rPr>
                <w:iCs/>
                <w:sz w:val="20"/>
              </w:rPr>
              <w:t xml:space="preserve">—QSE </w:t>
            </w:r>
            <w:r w:rsidRPr="0013396E">
              <w:rPr>
                <w:i/>
                <w:iCs/>
                <w:sz w:val="20"/>
              </w:rPr>
              <w:t>q</w:t>
            </w:r>
            <w:r w:rsidRPr="0013396E">
              <w:rPr>
                <w:iCs/>
                <w:sz w:val="20"/>
              </w:rPr>
              <w:t>’s share of the total charge for all Resources’ Set Point deviations, based on LRS for the 15-minute Settlement Interval.</w:t>
            </w:r>
          </w:p>
        </w:tc>
      </w:tr>
      <w:tr w:rsidR="005E0EE9" w:rsidRPr="0013396E" w14:paraId="0C517821"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65DA5956" w14:textId="77777777" w:rsidR="005E0EE9" w:rsidRPr="0013396E" w:rsidRDefault="005E0EE9" w:rsidP="0099759E">
            <w:pPr>
              <w:spacing w:after="60"/>
              <w:rPr>
                <w:iCs/>
                <w:sz w:val="20"/>
              </w:rPr>
            </w:pPr>
            <w:r w:rsidRPr="0013396E">
              <w:rPr>
                <w:iCs/>
                <w:sz w:val="20"/>
              </w:rPr>
              <w:t>SPDAMTTOT</w:t>
            </w:r>
          </w:p>
        </w:tc>
        <w:tc>
          <w:tcPr>
            <w:tcW w:w="0" w:type="auto"/>
            <w:tcBorders>
              <w:top w:val="single" w:sz="4" w:space="0" w:color="auto"/>
              <w:left w:val="single" w:sz="4" w:space="0" w:color="auto"/>
              <w:bottom w:val="single" w:sz="4" w:space="0" w:color="auto"/>
              <w:right w:val="single" w:sz="4" w:space="0" w:color="auto"/>
            </w:tcBorders>
            <w:hideMark/>
          </w:tcPr>
          <w:p w14:paraId="04A22DA9" w14:textId="77777777" w:rsidR="005E0EE9" w:rsidRPr="0013396E" w:rsidRDefault="005E0EE9" w:rsidP="0099759E">
            <w:pPr>
              <w:spacing w:after="60"/>
              <w:rPr>
                <w:iCs/>
                <w:sz w:val="20"/>
              </w:rPr>
            </w:pPr>
            <w:r w:rsidRPr="0013396E">
              <w:rPr>
                <w:iCs/>
                <w:sz w:val="20"/>
              </w:rPr>
              <w:t>$</w:t>
            </w:r>
          </w:p>
        </w:tc>
        <w:tc>
          <w:tcPr>
            <w:tcW w:w="6603" w:type="dxa"/>
            <w:tcBorders>
              <w:top w:val="single" w:sz="4" w:space="0" w:color="auto"/>
              <w:left w:val="single" w:sz="4" w:space="0" w:color="auto"/>
              <w:bottom w:val="single" w:sz="4" w:space="0" w:color="auto"/>
              <w:right w:val="single" w:sz="4" w:space="0" w:color="auto"/>
            </w:tcBorders>
            <w:hideMark/>
          </w:tcPr>
          <w:p w14:paraId="5CBE51B5" w14:textId="77777777" w:rsidR="005E0EE9" w:rsidRPr="0013396E" w:rsidRDefault="005E0EE9" w:rsidP="0099759E">
            <w:pPr>
              <w:spacing w:after="60"/>
              <w:rPr>
                <w:i/>
                <w:iCs/>
                <w:sz w:val="20"/>
              </w:rPr>
            </w:pPr>
            <w:r w:rsidRPr="0013396E">
              <w:rPr>
                <w:i/>
                <w:iCs/>
                <w:sz w:val="20"/>
              </w:rPr>
              <w:t>Set Point Deviation Amount Total</w:t>
            </w:r>
            <w:r w:rsidRPr="0013396E">
              <w:rPr>
                <w:iCs/>
                <w:sz w:val="20"/>
              </w:rPr>
              <w:t>—The total of Set Point Deviation Charges to all QSEs for all Resources, for the 15-minute Settlement Interval.</w:t>
            </w:r>
          </w:p>
        </w:tc>
      </w:tr>
      <w:tr w:rsidR="005E0EE9" w:rsidRPr="0013396E" w14:paraId="5D151523"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2C7A48A1" w14:textId="77777777" w:rsidR="005E0EE9" w:rsidRPr="0013396E" w:rsidRDefault="005E0EE9" w:rsidP="0099759E">
            <w:pPr>
              <w:spacing w:after="60"/>
              <w:rPr>
                <w:iCs/>
                <w:sz w:val="20"/>
              </w:rPr>
            </w:pPr>
            <w:r w:rsidRPr="0013396E">
              <w:rPr>
                <w:iCs/>
                <w:sz w:val="20"/>
              </w:rPr>
              <w:t xml:space="preserve">SPDAMTQSETOT </w:t>
            </w:r>
            <w:r w:rsidRPr="0013396E">
              <w:rPr>
                <w:i/>
                <w:iCs/>
                <w:sz w:val="20"/>
                <w:vertAlign w:val="subscript"/>
              </w:rPr>
              <w:t>q</w:t>
            </w:r>
          </w:p>
        </w:tc>
        <w:tc>
          <w:tcPr>
            <w:tcW w:w="0" w:type="auto"/>
            <w:tcBorders>
              <w:top w:val="single" w:sz="4" w:space="0" w:color="auto"/>
              <w:left w:val="single" w:sz="4" w:space="0" w:color="auto"/>
              <w:bottom w:val="single" w:sz="4" w:space="0" w:color="auto"/>
              <w:right w:val="single" w:sz="4" w:space="0" w:color="auto"/>
            </w:tcBorders>
            <w:hideMark/>
          </w:tcPr>
          <w:p w14:paraId="6A411CA1" w14:textId="77777777" w:rsidR="005E0EE9" w:rsidRPr="0013396E" w:rsidRDefault="005E0EE9" w:rsidP="0099759E">
            <w:pPr>
              <w:spacing w:after="60"/>
              <w:rPr>
                <w:iCs/>
                <w:sz w:val="20"/>
              </w:rPr>
            </w:pPr>
            <w:r w:rsidRPr="0013396E">
              <w:rPr>
                <w:iCs/>
                <w:sz w:val="20"/>
              </w:rPr>
              <w:t>$</w:t>
            </w:r>
          </w:p>
        </w:tc>
        <w:tc>
          <w:tcPr>
            <w:tcW w:w="6603" w:type="dxa"/>
            <w:tcBorders>
              <w:top w:val="single" w:sz="4" w:space="0" w:color="auto"/>
              <w:left w:val="single" w:sz="4" w:space="0" w:color="auto"/>
              <w:bottom w:val="single" w:sz="4" w:space="0" w:color="auto"/>
              <w:right w:val="single" w:sz="4" w:space="0" w:color="auto"/>
            </w:tcBorders>
            <w:hideMark/>
          </w:tcPr>
          <w:p w14:paraId="5EF44C04" w14:textId="77777777" w:rsidR="005E0EE9" w:rsidRPr="0013396E" w:rsidRDefault="005E0EE9" w:rsidP="0099759E">
            <w:pPr>
              <w:spacing w:after="60"/>
              <w:rPr>
                <w:i/>
                <w:iCs/>
                <w:sz w:val="20"/>
              </w:rPr>
            </w:pPr>
            <w:r w:rsidRPr="0013396E">
              <w:rPr>
                <w:i/>
                <w:iCs/>
                <w:sz w:val="20"/>
              </w:rPr>
              <w:t>Set Point Deviation Amount QSE Total per QSE</w:t>
            </w:r>
            <w:r w:rsidRPr="0013396E">
              <w:rPr>
                <w:iCs/>
                <w:sz w:val="20"/>
              </w:rPr>
              <w:t xml:space="preserve">—The total of Set Point Deviation Charges to QSE </w:t>
            </w:r>
            <w:r w:rsidRPr="0013396E">
              <w:rPr>
                <w:i/>
                <w:iCs/>
                <w:sz w:val="20"/>
              </w:rPr>
              <w:t>q</w:t>
            </w:r>
            <w:r w:rsidRPr="0013396E">
              <w:rPr>
                <w:iCs/>
                <w:sz w:val="20"/>
              </w:rPr>
              <w:t xml:space="preserve"> for all Resources represented by this QSE, for the 15-minute Settlement Interval.</w:t>
            </w:r>
          </w:p>
        </w:tc>
      </w:tr>
      <w:tr w:rsidR="005E0EE9" w:rsidRPr="0013396E" w14:paraId="338E96DC"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0CD8B7D5" w14:textId="77777777" w:rsidR="005E0EE9" w:rsidRPr="0013396E" w:rsidRDefault="005E0EE9" w:rsidP="0099759E">
            <w:pPr>
              <w:spacing w:after="60"/>
              <w:rPr>
                <w:iCs/>
                <w:sz w:val="20"/>
              </w:rPr>
            </w:pPr>
            <w:r w:rsidRPr="0013396E">
              <w:rPr>
                <w:iCs/>
                <w:sz w:val="20"/>
              </w:rPr>
              <w:t xml:space="preserve">SPDAMT </w:t>
            </w:r>
            <w:r w:rsidRPr="0013396E">
              <w:rPr>
                <w:i/>
                <w:iCs/>
                <w:sz w:val="20"/>
                <w:vertAlign w:val="subscript"/>
              </w:rPr>
              <w:t>q, r, p</w:t>
            </w:r>
          </w:p>
        </w:tc>
        <w:tc>
          <w:tcPr>
            <w:tcW w:w="0" w:type="auto"/>
            <w:tcBorders>
              <w:top w:val="single" w:sz="4" w:space="0" w:color="auto"/>
              <w:left w:val="single" w:sz="4" w:space="0" w:color="auto"/>
              <w:bottom w:val="single" w:sz="4" w:space="0" w:color="auto"/>
              <w:right w:val="single" w:sz="4" w:space="0" w:color="auto"/>
            </w:tcBorders>
            <w:hideMark/>
          </w:tcPr>
          <w:p w14:paraId="7111313B" w14:textId="77777777" w:rsidR="005E0EE9" w:rsidRPr="0013396E" w:rsidRDefault="005E0EE9" w:rsidP="0099759E">
            <w:pPr>
              <w:spacing w:after="60"/>
              <w:rPr>
                <w:iCs/>
                <w:sz w:val="20"/>
              </w:rPr>
            </w:pPr>
            <w:r w:rsidRPr="0013396E">
              <w:rPr>
                <w:iCs/>
                <w:sz w:val="20"/>
              </w:rPr>
              <w:t>$</w:t>
            </w:r>
          </w:p>
        </w:tc>
        <w:tc>
          <w:tcPr>
            <w:tcW w:w="6603" w:type="dxa"/>
            <w:tcBorders>
              <w:top w:val="single" w:sz="4" w:space="0" w:color="auto"/>
              <w:left w:val="single" w:sz="4" w:space="0" w:color="auto"/>
              <w:bottom w:val="single" w:sz="4" w:space="0" w:color="auto"/>
              <w:right w:val="single" w:sz="4" w:space="0" w:color="auto"/>
            </w:tcBorders>
            <w:hideMark/>
          </w:tcPr>
          <w:p w14:paraId="3B9A8FE2" w14:textId="77777777" w:rsidR="005E0EE9" w:rsidRPr="0013396E" w:rsidRDefault="005E0EE9" w:rsidP="0099759E">
            <w:pPr>
              <w:spacing w:after="60"/>
              <w:ind w:right="-108"/>
              <w:rPr>
                <w:iCs/>
                <w:sz w:val="20"/>
              </w:rPr>
            </w:pPr>
            <w:r w:rsidRPr="0013396E">
              <w:rPr>
                <w:i/>
                <w:iCs/>
                <w:sz w:val="20"/>
              </w:rPr>
              <w:t>Set Point Deviation Charge per QSE per Settlement Point per Resource</w:t>
            </w:r>
            <w:r w:rsidRPr="0013396E">
              <w:rPr>
                <w:iCs/>
                <w:sz w:val="20"/>
              </w:rPr>
              <w:t xml:space="preserve">—The charge to QSE </w:t>
            </w:r>
            <w:r w:rsidRPr="0013396E">
              <w:rPr>
                <w:i/>
                <w:iCs/>
                <w:sz w:val="20"/>
              </w:rPr>
              <w:t>q</w:t>
            </w:r>
            <w:r w:rsidRPr="0013396E">
              <w:rPr>
                <w:iCs/>
                <w:sz w:val="20"/>
              </w:rPr>
              <w:t xml:space="preserve"> for Resource </w:t>
            </w:r>
            <w:r w:rsidRPr="0013396E">
              <w:rPr>
                <w:i/>
                <w:iCs/>
                <w:sz w:val="20"/>
              </w:rPr>
              <w:t>r</w:t>
            </w:r>
            <w:r w:rsidRPr="0013396E">
              <w:rPr>
                <w:iCs/>
                <w:sz w:val="20"/>
              </w:rPr>
              <w:t xml:space="preserve"> at Settlement Node </w:t>
            </w:r>
            <w:r w:rsidRPr="0013396E">
              <w:rPr>
                <w:i/>
                <w:iCs/>
                <w:sz w:val="20"/>
              </w:rPr>
              <w:t>p</w:t>
            </w:r>
            <w:r w:rsidRPr="0013396E">
              <w:rPr>
                <w:iCs/>
                <w:sz w:val="20"/>
              </w:rPr>
              <w:t>, for its deviation from AASP, for the 15-minute Settlement Interval.  A Set Point Deviation Charge is charged to the Combined Cycle Train for all Combined Cycle Generation Resources.</w:t>
            </w:r>
          </w:p>
        </w:tc>
      </w:tr>
      <w:tr w:rsidR="005E0EE9" w:rsidRPr="0013396E" w14:paraId="1CD36BF3"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003E53E3" w14:textId="77777777" w:rsidR="005E0EE9" w:rsidRPr="0013396E" w:rsidRDefault="005E0EE9" w:rsidP="0099759E">
            <w:pPr>
              <w:spacing w:after="60"/>
              <w:rPr>
                <w:iCs/>
                <w:sz w:val="20"/>
              </w:rPr>
            </w:pPr>
            <w:r w:rsidRPr="0013396E">
              <w:rPr>
                <w:iCs/>
                <w:sz w:val="20"/>
              </w:rPr>
              <w:t xml:space="preserve">LRS </w:t>
            </w:r>
            <w:r w:rsidRPr="0013396E">
              <w:rPr>
                <w:i/>
                <w:iCs/>
                <w:sz w:val="20"/>
                <w:vertAlign w:val="subscript"/>
              </w:rPr>
              <w:t>q</w:t>
            </w:r>
          </w:p>
        </w:tc>
        <w:tc>
          <w:tcPr>
            <w:tcW w:w="0" w:type="auto"/>
            <w:tcBorders>
              <w:top w:val="single" w:sz="4" w:space="0" w:color="auto"/>
              <w:left w:val="single" w:sz="4" w:space="0" w:color="auto"/>
              <w:bottom w:val="single" w:sz="4" w:space="0" w:color="auto"/>
              <w:right w:val="single" w:sz="4" w:space="0" w:color="auto"/>
            </w:tcBorders>
            <w:hideMark/>
          </w:tcPr>
          <w:p w14:paraId="7224D665" w14:textId="77777777" w:rsidR="005E0EE9" w:rsidRPr="0013396E" w:rsidRDefault="005E0EE9" w:rsidP="0099759E">
            <w:pPr>
              <w:spacing w:after="60"/>
              <w:rPr>
                <w:iCs/>
                <w:sz w:val="20"/>
              </w:rPr>
            </w:pPr>
            <w:r w:rsidRPr="0013396E">
              <w:rPr>
                <w:iCs/>
                <w:sz w:val="20"/>
              </w:rPr>
              <w:t>none</w:t>
            </w:r>
          </w:p>
        </w:tc>
        <w:tc>
          <w:tcPr>
            <w:tcW w:w="6603" w:type="dxa"/>
            <w:tcBorders>
              <w:top w:val="single" w:sz="4" w:space="0" w:color="auto"/>
              <w:left w:val="single" w:sz="4" w:space="0" w:color="auto"/>
              <w:bottom w:val="single" w:sz="4" w:space="0" w:color="auto"/>
              <w:right w:val="single" w:sz="4" w:space="0" w:color="auto"/>
            </w:tcBorders>
            <w:hideMark/>
          </w:tcPr>
          <w:p w14:paraId="0A41E3F9" w14:textId="77777777" w:rsidR="005E0EE9" w:rsidRPr="0013396E" w:rsidRDefault="005E0EE9" w:rsidP="0099759E">
            <w:pPr>
              <w:spacing w:after="60"/>
              <w:rPr>
                <w:iCs/>
                <w:sz w:val="20"/>
              </w:rPr>
            </w:pPr>
            <w:r w:rsidRPr="0013396E">
              <w:rPr>
                <w:iCs/>
                <w:sz w:val="20"/>
              </w:rPr>
              <w:t xml:space="preserve">The LRS calculated for QSE </w:t>
            </w:r>
            <w:r w:rsidRPr="0013396E">
              <w:rPr>
                <w:i/>
                <w:iCs/>
                <w:sz w:val="20"/>
              </w:rPr>
              <w:t>q</w:t>
            </w:r>
            <w:r w:rsidRPr="0013396E">
              <w:rPr>
                <w:iCs/>
                <w:sz w:val="20"/>
              </w:rPr>
              <w:t xml:space="preserve"> for the 15-minute Settlement Interval.  See Section 6.6.2.2, QSE Load Ratio Share for a 15-Minute Settlement Interval.</w:t>
            </w:r>
          </w:p>
        </w:tc>
      </w:tr>
      <w:tr w:rsidR="005E0EE9" w:rsidRPr="0013396E" w14:paraId="4F2C72E4"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75E10E5C" w14:textId="77777777" w:rsidR="005E0EE9" w:rsidRPr="0013396E" w:rsidRDefault="005E0EE9" w:rsidP="0099759E">
            <w:pPr>
              <w:spacing w:after="60"/>
              <w:rPr>
                <w:i/>
                <w:iCs/>
                <w:sz w:val="20"/>
              </w:rPr>
            </w:pPr>
            <w:r w:rsidRPr="0013396E">
              <w:rPr>
                <w:i/>
                <w:iCs/>
                <w:sz w:val="20"/>
              </w:rPr>
              <w:t>q</w:t>
            </w:r>
          </w:p>
        </w:tc>
        <w:tc>
          <w:tcPr>
            <w:tcW w:w="0" w:type="auto"/>
            <w:tcBorders>
              <w:top w:val="single" w:sz="4" w:space="0" w:color="auto"/>
              <w:left w:val="single" w:sz="4" w:space="0" w:color="auto"/>
              <w:bottom w:val="single" w:sz="4" w:space="0" w:color="auto"/>
              <w:right w:val="single" w:sz="4" w:space="0" w:color="auto"/>
            </w:tcBorders>
            <w:hideMark/>
          </w:tcPr>
          <w:p w14:paraId="55F0CB64" w14:textId="77777777" w:rsidR="005E0EE9" w:rsidRPr="0013396E" w:rsidRDefault="005E0EE9" w:rsidP="0099759E">
            <w:pPr>
              <w:spacing w:after="60"/>
              <w:rPr>
                <w:iCs/>
                <w:sz w:val="20"/>
              </w:rPr>
            </w:pPr>
            <w:r w:rsidRPr="0013396E">
              <w:rPr>
                <w:iCs/>
                <w:sz w:val="20"/>
              </w:rPr>
              <w:t>none</w:t>
            </w:r>
          </w:p>
        </w:tc>
        <w:tc>
          <w:tcPr>
            <w:tcW w:w="6603" w:type="dxa"/>
            <w:tcBorders>
              <w:top w:val="single" w:sz="4" w:space="0" w:color="auto"/>
              <w:left w:val="single" w:sz="4" w:space="0" w:color="auto"/>
              <w:bottom w:val="single" w:sz="4" w:space="0" w:color="auto"/>
              <w:right w:val="single" w:sz="4" w:space="0" w:color="auto"/>
            </w:tcBorders>
            <w:hideMark/>
          </w:tcPr>
          <w:p w14:paraId="11B7B1CB" w14:textId="77777777" w:rsidR="005E0EE9" w:rsidRPr="0013396E" w:rsidRDefault="005E0EE9" w:rsidP="0099759E">
            <w:pPr>
              <w:spacing w:after="60"/>
              <w:rPr>
                <w:iCs/>
                <w:sz w:val="20"/>
              </w:rPr>
            </w:pPr>
            <w:r w:rsidRPr="0013396E">
              <w:rPr>
                <w:iCs/>
                <w:sz w:val="20"/>
              </w:rPr>
              <w:t>A QSE.</w:t>
            </w:r>
          </w:p>
        </w:tc>
      </w:tr>
      <w:tr w:rsidR="005E0EE9" w:rsidRPr="0013396E" w14:paraId="6CB437E3"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77406CDE" w14:textId="77777777" w:rsidR="005E0EE9" w:rsidRPr="0013396E" w:rsidRDefault="005E0EE9" w:rsidP="0099759E">
            <w:pPr>
              <w:spacing w:after="60"/>
              <w:rPr>
                <w:i/>
                <w:iCs/>
                <w:sz w:val="20"/>
              </w:rPr>
            </w:pPr>
            <w:r w:rsidRPr="0013396E">
              <w:rPr>
                <w:i/>
                <w:iCs/>
                <w:sz w:val="20"/>
              </w:rPr>
              <w:t>p</w:t>
            </w:r>
          </w:p>
        </w:tc>
        <w:tc>
          <w:tcPr>
            <w:tcW w:w="0" w:type="auto"/>
            <w:tcBorders>
              <w:top w:val="single" w:sz="4" w:space="0" w:color="auto"/>
              <w:left w:val="single" w:sz="4" w:space="0" w:color="auto"/>
              <w:bottom w:val="single" w:sz="4" w:space="0" w:color="auto"/>
              <w:right w:val="single" w:sz="4" w:space="0" w:color="auto"/>
            </w:tcBorders>
            <w:hideMark/>
          </w:tcPr>
          <w:p w14:paraId="7D9D6AE5" w14:textId="77777777" w:rsidR="005E0EE9" w:rsidRPr="0013396E" w:rsidRDefault="005E0EE9" w:rsidP="0099759E">
            <w:pPr>
              <w:spacing w:after="60"/>
              <w:rPr>
                <w:iCs/>
                <w:sz w:val="20"/>
              </w:rPr>
            </w:pPr>
            <w:r w:rsidRPr="0013396E">
              <w:rPr>
                <w:iCs/>
                <w:sz w:val="20"/>
              </w:rPr>
              <w:t>none</w:t>
            </w:r>
          </w:p>
        </w:tc>
        <w:tc>
          <w:tcPr>
            <w:tcW w:w="6603" w:type="dxa"/>
            <w:tcBorders>
              <w:top w:val="single" w:sz="4" w:space="0" w:color="auto"/>
              <w:left w:val="single" w:sz="4" w:space="0" w:color="auto"/>
              <w:bottom w:val="single" w:sz="4" w:space="0" w:color="auto"/>
              <w:right w:val="single" w:sz="4" w:space="0" w:color="auto"/>
            </w:tcBorders>
            <w:hideMark/>
          </w:tcPr>
          <w:p w14:paraId="1B1AC2E9" w14:textId="77777777" w:rsidR="005E0EE9" w:rsidRPr="0013396E" w:rsidRDefault="005E0EE9" w:rsidP="0099759E">
            <w:pPr>
              <w:spacing w:after="60"/>
              <w:rPr>
                <w:iCs/>
                <w:sz w:val="20"/>
              </w:rPr>
            </w:pPr>
            <w:r w:rsidRPr="0013396E">
              <w:rPr>
                <w:iCs/>
                <w:sz w:val="20"/>
              </w:rPr>
              <w:t>A Settlement Point.</w:t>
            </w:r>
          </w:p>
        </w:tc>
      </w:tr>
      <w:tr w:rsidR="005E0EE9" w:rsidRPr="0013396E" w14:paraId="2762013E" w14:textId="77777777" w:rsidTr="0099759E">
        <w:trPr>
          <w:cantSplit/>
        </w:trPr>
        <w:tc>
          <w:tcPr>
            <w:tcW w:w="2032" w:type="dxa"/>
            <w:tcBorders>
              <w:top w:val="single" w:sz="4" w:space="0" w:color="auto"/>
              <w:left w:val="single" w:sz="4" w:space="0" w:color="auto"/>
              <w:bottom w:val="single" w:sz="4" w:space="0" w:color="auto"/>
              <w:right w:val="single" w:sz="4" w:space="0" w:color="auto"/>
            </w:tcBorders>
            <w:hideMark/>
          </w:tcPr>
          <w:p w14:paraId="58D0F819" w14:textId="77777777" w:rsidR="005E0EE9" w:rsidRPr="0013396E" w:rsidRDefault="005E0EE9" w:rsidP="0099759E">
            <w:pPr>
              <w:spacing w:after="60"/>
              <w:rPr>
                <w:i/>
                <w:iCs/>
                <w:sz w:val="20"/>
              </w:rPr>
            </w:pPr>
            <w:r w:rsidRPr="0013396E">
              <w:rPr>
                <w:i/>
                <w:iCs/>
                <w:sz w:val="20"/>
              </w:rPr>
              <w:t>r</w:t>
            </w:r>
          </w:p>
        </w:tc>
        <w:tc>
          <w:tcPr>
            <w:tcW w:w="0" w:type="auto"/>
            <w:tcBorders>
              <w:top w:val="single" w:sz="4" w:space="0" w:color="auto"/>
              <w:left w:val="single" w:sz="4" w:space="0" w:color="auto"/>
              <w:bottom w:val="single" w:sz="4" w:space="0" w:color="auto"/>
              <w:right w:val="single" w:sz="4" w:space="0" w:color="auto"/>
            </w:tcBorders>
            <w:hideMark/>
          </w:tcPr>
          <w:p w14:paraId="63CAC201" w14:textId="77777777" w:rsidR="005E0EE9" w:rsidRPr="0013396E" w:rsidRDefault="005E0EE9" w:rsidP="0099759E">
            <w:pPr>
              <w:spacing w:after="60"/>
              <w:rPr>
                <w:iCs/>
                <w:sz w:val="20"/>
              </w:rPr>
            </w:pPr>
            <w:r w:rsidRPr="0013396E">
              <w:rPr>
                <w:iCs/>
                <w:sz w:val="20"/>
              </w:rPr>
              <w:t>none</w:t>
            </w:r>
          </w:p>
        </w:tc>
        <w:tc>
          <w:tcPr>
            <w:tcW w:w="6603" w:type="dxa"/>
            <w:tcBorders>
              <w:top w:val="single" w:sz="4" w:space="0" w:color="auto"/>
              <w:left w:val="single" w:sz="4" w:space="0" w:color="auto"/>
              <w:bottom w:val="single" w:sz="4" w:space="0" w:color="auto"/>
              <w:right w:val="single" w:sz="4" w:space="0" w:color="auto"/>
            </w:tcBorders>
            <w:hideMark/>
          </w:tcPr>
          <w:p w14:paraId="748181EB" w14:textId="77777777" w:rsidR="005E0EE9" w:rsidRPr="0013396E" w:rsidRDefault="005E0EE9" w:rsidP="0099759E">
            <w:pPr>
              <w:spacing w:after="60"/>
              <w:rPr>
                <w:iCs/>
                <w:sz w:val="20"/>
              </w:rPr>
            </w:pPr>
            <w:r w:rsidRPr="0013396E">
              <w:rPr>
                <w:iCs/>
                <w:sz w:val="20"/>
              </w:rPr>
              <w:t>A Generation Resource, ESR, or Controllable Load Resource.</w:t>
            </w:r>
          </w:p>
        </w:tc>
      </w:tr>
    </w:tbl>
    <w:p w14:paraId="6F8DC97A" w14:textId="77777777" w:rsidR="00EA6FD7" w:rsidRPr="0013396E" w:rsidRDefault="00EA6FD7" w:rsidP="00EA6FD7">
      <w:pPr>
        <w:pStyle w:val="BodyText"/>
        <w:spacing w:after="0"/>
      </w:pPr>
      <w:bookmarkStart w:id="1877" w:name="_Toc87951797"/>
      <w:bookmarkStart w:id="1878" w:name="_Toc109009407"/>
      <w:bookmarkStart w:id="1879" w:name="_Toc397505026"/>
      <w:bookmarkStart w:id="1880" w:name="_Toc402357158"/>
      <w:bookmarkStart w:id="1881" w:name="_Toc422486538"/>
      <w:bookmarkStart w:id="1882" w:name="_Toc433093391"/>
      <w:bookmarkStart w:id="1883" w:name="_Toc433093549"/>
      <w:bookmarkStart w:id="1884" w:name="_Toc440874779"/>
      <w:bookmarkStart w:id="1885" w:name="_Toc448142336"/>
      <w:bookmarkStart w:id="1886" w:name="_Toc448142493"/>
      <w:bookmarkStart w:id="1887" w:name="_Toc458770334"/>
      <w:bookmarkStart w:id="1888" w:name="_Toc459294302"/>
      <w:bookmarkStart w:id="1889" w:name="_Toc463262795"/>
      <w:bookmarkStart w:id="1890" w:name="_Toc468286868"/>
      <w:bookmarkStart w:id="1891" w:name="_Toc481502908"/>
      <w:bookmarkStart w:id="1892" w:name="_Toc496080076"/>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14:paraId="31FFAA09" w14:textId="69FCA2BB" w:rsidR="001F04FD" w:rsidRPr="0013396E" w:rsidRDefault="001F04FD" w:rsidP="000B7133">
      <w:pPr>
        <w:pStyle w:val="H3"/>
      </w:pPr>
      <w:bookmarkStart w:id="1893" w:name="_Toc236220203"/>
      <w:r w:rsidRPr="0013396E">
        <w:t>6.6.6</w:t>
      </w:r>
      <w:r w:rsidRPr="0013396E">
        <w:tab/>
        <w:t>Reliability Must-Run Settlement</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C6D56" w:rsidRPr="0013396E" w14:paraId="1C295A65" w14:textId="77777777" w:rsidTr="00EA6FD7">
        <w:trPr>
          <w:trHeight w:val="206"/>
        </w:trPr>
        <w:tc>
          <w:tcPr>
            <w:tcW w:w="9350" w:type="dxa"/>
            <w:shd w:val="pct12" w:color="auto" w:fill="auto"/>
          </w:tcPr>
          <w:p w14:paraId="382AF8DB" w14:textId="64AE891E" w:rsidR="005C6D56" w:rsidRPr="0013396E" w:rsidRDefault="005C6D56" w:rsidP="00CE1011">
            <w:pPr>
              <w:pStyle w:val="Instructions"/>
              <w:spacing w:before="120"/>
            </w:pPr>
            <w:bookmarkStart w:id="1894" w:name="_Toc87951798"/>
            <w:bookmarkStart w:id="1895" w:name="_Toc109009408"/>
            <w:bookmarkStart w:id="1896" w:name="_Toc397505027"/>
            <w:bookmarkStart w:id="1897" w:name="_Toc402357159"/>
            <w:bookmarkStart w:id="1898" w:name="_Toc422486539"/>
            <w:bookmarkStart w:id="1899" w:name="_Toc433093392"/>
            <w:bookmarkStart w:id="1900" w:name="_Toc433093550"/>
            <w:bookmarkStart w:id="1901" w:name="_Toc440874780"/>
            <w:bookmarkStart w:id="1902" w:name="_Toc448142337"/>
            <w:bookmarkStart w:id="1903" w:name="_Toc448142494"/>
            <w:bookmarkStart w:id="1904" w:name="_Toc458770335"/>
            <w:bookmarkStart w:id="1905" w:name="_Toc459294303"/>
            <w:bookmarkStart w:id="1906" w:name="_Toc463262796"/>
            <w:bookmarkStart w:id="1907" w:name="_Toc468286869"/>
            <w:bookmarkStart w:id="1908" w:name="_Toc481502909"/>
            <w:bookmarkStart w:id="1909" w:name="_Toc496080077"/>
            <w:r w:rsidRPr="0013396E">
              <w:t>[NPRR885:  Replace Section 6.6.6 above with the following upon system implementation:]</w:t>
            </w:r>
          </w:p>
          <w:p w14:paraId="6399BE60" w14:textId="77777777" w:rsidR="005C6D56" w:rsidRPr="0013396E" w:rsidRDefault="005C6D56" w:rsidP="005C6D56">
            <w:pPr>
              <w:pStyle w:val="H3"/>
            </w:pPr>
            <w:bookmarkStart w:id="1910" w:name="_Toc17798747"/>
            <w:bookmarkStart w:id="1911" w:name="_Toc60040707"/>
            <w:bookmarkStart w:id="1912" w:name="_Toc65151766"/>
            <w:bookmarkStart w:id="1913" w:name="_Toc80174792"/>
            <w:bookmarkStart w:id="1914" w:name="_Toc112417672"/>
            <w:bookmarkStart w:id="1915" w:name="_Toc119310341"/>
            <w:bookmarkStart w:id="1916" w:name="_Toc125966274"/>
            <w:bookmarkStart w:id="1917" w:name="_Toc135992372"/>
            <w:bookmarkStart w:id="1918" w:name="_Toc170303568"/>
            <w:bookmarkStart w:id="1919" w:name="_Toc175157472"/>
            <w:bookmarkStart w:id="1920" w:name="_Toc236220204"/>
            <w:r w:rsidRPr="0013396E">
              <w:t>6.6.6</w:t>
            </w:r>
            <w:r w:rsidRPr="0013396E">
              <w:tab/>
              <w:t>Reliability Must-Run and Must-Run Alternative Settlement</w:t>
            </w:r>
            <w:bookmarkEnd w:id="1910"/>
            <w:bookmarkEnd w:id="1911"/>
            <w:bookmarkEnd w:id="1912"/>
            <w:bookmarkEnd w:id="1913"/>
            <w:bookmarkEnd w:id="1914"/>
            <w:bookmarkEnd w:id="1915"/>
            <w:bookmarkEnd w:id="1916"/>
            <w:bookmarkEnd w:id="1917"/>
            <w:bookmarkEnd w:id="1918"/>
            <w:bookmarkEnd w:id="1919"/>
            <w:bookmarkEnd w:id="1920"/>
            <w:r w:rsidRPr="0013396E">
              <w:t xml:space="preserve"> </w:t>
            </w:r>
          </w:p>
        </w:tc>
      </w:tr>
    </w:tbl>
    <w:p w14:paraId="797D8F48" w14:textId="77777777" w:rsidR="001F04FD" w:rsidRPr="0013396E" w:rsidRDefault="001F04FD" w:rsidP="001F04FD">
      <w:pPr>
        <w:pStyle w:val="H4"/>
      </w:pPr>
      <w:bookmarkStart w:id="1921" w:name="_Toc236220205"/>
      <w:r w:rsidRPr="0013396E">
        <w:t>6.6.6.1</w:t>
      </w:r>
      <w:r w:rsidRPr="0013396E">
        <w:tab/>
        <w:t>RMR Standby Payment</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21"/>
    </w:p>
    <w:p w14:paraId="60EEBF01" w14:textId="77777777" w:rsidR="001F04FD" w:rsidRPr="0013396E" w:rsidRDefault="001F04FD" w:rsidP="001F04FD">
      <w:pPr>
        <w:pStyle w:val="BodyTextNumbered"/>
      </w:pPr>
      <w:r w:rsidRPr="0013396E">
        <w:t>(1)</w:t>
      </w:r>
      <w:r w:rsidRPr="0013396E">
        <w:tab/>
      </w:r>
      <w:r w:rsidR="00326E23" w:rsidRPr="0013396E">
        <w:rPr>
          <w:iCs/>
        </w:rPr>
        <w:t>The Standby Payment for RMR Service is paid to each QSE representing an RMR Unit for each RMR Unit for each contracted hour under performance requirements set forth in Section 22, Attachment B, Standard Form Reliability Must-Run Agreement, and other performance requirements in these Protocols.  For Initial Settlement, the Standby Payment is either the “Initial Standby Cost” stated in the RMR Agreement or the revised Standby Cost calculated in accordance with paragraph (2) of Section 3.14.1.13, Updated Budgets During the Term of an RMR Agreement.  For Final and True-Up Settlements, the Standby Payment is based on the RMR Unit’s actual Eligible Cost, if available.</w:t>
      </w:r>
    </w:p>
    <w:p w14:paraId="42228153" w14:textId="77777777" w:rsidR="001F04FD" w:rsidRPr="0013396E" w:rsidRDefault="001F04FD" w:rsidP="007C7690">
      <w:pPr>
        <w:pStyle w:val="BodyTextNumbered"/>
      </w:pPr>
      <w:r w:rsidRPr="0013396E">
        <w:t>(2)</w:t>
      </w:r>
      <w:r w:rsidRPr="0013396E">
        <w:tab/>
        <w:t xml:space="preserve">The Standby Payment to each QSE for each RMR Unit for each hour is calculated as follows:  </w:t>
      </w:r>
    </w:p>
    <w:p w14:paraId="40C81F93" w14:textId="77777777" w:rsidR="001F04FD" w:rsidRPr="0013396E" w:rsidRDefault="001F04FD" w:rsidP="001F04FD">
      <w:pPr>
        <w:pStyle w:val="FormulaBold"/>
        <w:rPr>
          <w:lang w:val="pt-BR"/>
        </w:rPr>
      </w:pPr>
      <w:r w:rsidRPr="0013396E">
        <w:rPr>
          <w:lang w:val="pt-BR"/>
        </w:rPr>
        <w:t xml:space="preserve">RMRSBAMT </w:t>
      </w:r>
      <w:r w:rsidRPr="0013396E">
        <w:rPr>
          <w:i/>
          <w:vertAlign w:val="subscript"/>
          <w:lang w:val="pt-BR"/>
        </w:rPr>
        <w:t>q, r</w:t>
      </w:r>
      <w:r w:rsidRPr="0013396E">
        <w:rPr>
          <w:lang w:val="pt-BR"/>
        </w:rPr>
        <w:tab/>
        <w:t>=</w:t>
      </w:r>
      <w:r w:rsidRPr="0013396E">
        <w:rPr>
          <w:lang w:val="pt-BR"/>
        </w:rPr>
        <w:tab/>
        <w:t xml:space="preserve">(-1) * RMRSBPR </w:t>
      </w:r>
      <w:r w:rsidRPr="0013396E">
        <w:rPr>
          <w:i/>
          <w:vertAlign w:val="subscript"/>
          <w:lang w:val="pt-BR"/>
        </w:rPr>
        <w:t>q, r</w:t>
      </w:r>
    </w:p>
    <w:p w14:paraId="58701CBF" w14:textId="77777777" w:rsidR="001F04FD" w:rsidRPr="0013396E" w:rsidRDefault="001F04FD" w:rsidP="001F04FD">
      <w:r w:rsidRPr="0013396E">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65"/>
        <w:gridCol w:w="6889"/>
      </w:tblGrid>
      <w:tr w:rsidR="001F04FD" w:rsidRPr="0013396E" w14:paraId="5262B66A" w14:textId="77777777" w:rsidTr="00AC4DEE">
        <w:trPr>
          <w:cantSplit/>
          <w:tblHeader/>
        </w:trPr>
        <w:tc>
          <w:tcPr>
            <w:tcW w:w="907" w:type="pct"/>
          </w:tcPr>
          <w:p w14:paraId="600BBD20" w14:textId="77777777" w:rsidR="001F04FD" w:rsidRPr="0013396E" w:rsidRDefault="001F04FD" w:rsidP="00AC4DEE">
            <w:pPr>
              <w:pStyle w:val="TableHead"/>
            </w:pPr>
            <w:r w:rsidRPr="0013396E">
              <w:t>Variable</w:t>
            </w:r>
          </w:p>
        </w:tc>
        <w:tc>
          <w:tcPr>
            <w:tcW w:w="409" w:type="pct"/>
          </w:tcPr>
          <w:p w14:paraId="3D636A7D" w14:textId="77777777" w:rsidR="001F04FD" w:rsidRPr="0013396E" w:rsidRDefault="001F04FD" w:rsidP="00AC4DEE">
            <w:pPr>
              <w:pStyle w:val="TableHead"/>
            </w:pPr>
            <w:r w:rsidRPr="0013396E">
              <w:t>Unit</w:t>
            </w:r>
          </w:p>
        </w:tc>
        <w:tc>
          <w:tcPr>
            <w:tcW w:w="3684" w:type="pct"/>
          </w:tcPr>
          <w:p w14:paraId="29F90C89" w14:textId="77777777" w:rsidR="001F04FD" w:rsidRPr="0013396E" w:rsidRDefault="001F04FD" w:rsidP="00AC4DEE">
            <w:pPr>
              <w:pStyle w:val="TableHead"/>
            </w:pPr>
            <w:r w:rsidRPr="0013396E">
              <w:t>Definition</w:t>
            </w:r>
          </w:p>
        </w:tc>
      </w:tr>
      <w:tr w:rsidR="001F04FD" w:rsidRPr="0013396E" w14:paraId="426A1BA2" w14:textId="77777777" w:rsidTr="00AC4DEE">
        <w:trPr>
          <w:cantSplit/>
        </w:trPr>
        <w:tc>
          <w:tcPr>
            <w:tcW w:w="907" w:type="pct"/>
          </w:tcPr>
          <w:p w14:paraId="2FFCE7C3" w14:textId="77777777" w:rsidR="001F04FD" w:rsidRPr="0013396E" w:rsidRDefault="001F04FD" w:rsidP="00AC4DEE">
            <w:pPr>
              <w:pStyle w:val="TableBody"/>
              <w:rPr>
                <w:lang w:val="pt-BR"/>
              </w:rPr>
            </w:pPr>
            <w:r w:rsidRPr="0013396E">
              <w:rPr>
                <w:lang w:val="pt-BR"/>
              </w:rPr>
              <w:t xml:space="preserve">RMRSBAMT </w:t>
            </w:r>
            <w:r w:rsidRPr="0013396E">
              <w:rPr>
                <w:i/>
                <w:vertAlign w:val="subscript"/>
                <w:lang w:val="pt-BR"/>
              </w:rPr>
              <w:t>q, r</w:t>
            </w:r>
          </w:p>
        </w:tc>
        <w:tc>
          <w:tcPr>
            <w:tcW w:w="409" w:type="pct"/>
          </w:tcPr>
          <w:p w14:paraId="1453E2DC" w14:textId="77777777" w:rsidR="001F04FD" w:rsidRPr="0013396E" w:rsidRDefault="001F04FD" w:rsidP="00AC4DEE">
            <w:pPr>
              <w:pStyle w:val="TableBody"/>
            </w:pPr>
            <w:r w:rsidRPr="0013396E">
              <w:t>$</w:t>
            </w:r>
          </w:p>
        </w:tc>
        <w:tc>
          <w:tcPr>
            <w:tcW w:w="3684" w:type="pct"/>
          </w:tcPr>
          <w:p w14:paraId="7132BC2E" w14:textId="77777777" w:rsidR="001F04FD" w:rsidRPr="0013396E" w:rsidRDefault="001F04FD" w:rsidP="00AC4DEE">
            <w:pPr>
              <w:pStyle w:val="TableBody"/>
            </w:pPr>
            <w:r w:rsidRPr="0013396E">
              <w:rPr>
                <w:i/>
              </w:rPr>
              <w:t>Reliability Must Run Standby Payment per QSE per Resource by hour</w:t>
            </w:r>
            <w:r w:rsidRPr="0013396E">
              <w:t xml:space="preserve">—The Standby Payment to QSE </w:t>
            </w:r>
            <w:r w:rsidRPr="0013396E">
              <w:rPr>
                <w:i/>
              </w:rPr>
              <w:t>q</w:t>
            </w:r>
            <w:r w:rsidRPr="0013396E">
              <w:t xml:space="preserve"> for RMR Unit </w:t>
            </w:r>
            <w:r w:rsidRPr="0013396E">
              <w:rPr>
                <w:i/>
              </w:rPr>
              <w:t>r</w:t>
            </w:r>
            <w:r w:rsidRPr="0013396E">
              <w:t xml:space="preserve">, for the hour.  Where for a Combined Cycle Train, the Resource </w:t>
            </w:r>
            <w:r w:rsidRPr="0013396E">
              <w:rPr>
                <w:i/>
              </w:rPr>
              <w:t xml:space="preserve">r </w:t>
            </w:r>
            <w:r w:rsidRPr="0013396E">
              <w:t xml:space="preserve">is the Combined Cycle Train. </w:t>
            </w:r>
          </w:p>
        </w:tc>
      </w:tr>
      <w:tr w:rsidR="001F04FD" w:rsidRPr="0013396E" w14:paraId="3DD786E3" w14:textId="77777777" w:rsidTr="00AC4DEE">
        <w:trPr>
          <w:cantSplit/>
        </w:trPr>
        <w:tc>
          <w:tcPr>
            <w:tcW w:w="907" w:type="pct"/>
          </w:tcPr>
          <w:p w14:paraId="7BB2F77B" w14:textId="77777777" w:rsidR="001F04FD" w:rsidRPr="0013396E" w:rsidRDefault="001F04FD" w:rsidP="00AC4DEE">
            <w:pPr>
              <w:pStyle w:val="TableBody"/>
            </w:pPr>
            <w:r w:rsidRPr="0013396E">
              <w:t xml:space="preserve">RMRSBPR </w:t>
            </w:r>
            <w:r w:rsidRPr="0013396E">
              <w:rPr>
                <w:i/>
                <w:vertAlign w:val="subscript"/>
              </w:rPr>
              <w:t>q, r</w:t>
            </w:r>
          </w:p>
        </w:tc>
        <w:tc>
          <w:tcPr>
            <w:tcW w:w="409" w:type="pct"/>
          </w:tcPr>
          <w:p w14:paraId="1BCD1D86" w14:textId="77777777" w:rsidR="001F04FD" w:rsidRPr="0013396E" w:rsidRDefault="001F04FD" w:rsidP="00AC4DEE">
            <w:pPr>
              <w:pStyle w:val="TableBody"/>
            </w:pPr>
            <w:r w:rsidRPr="0013396E">
              <w:t>$ per hour</w:t>
            </w:r>
          </w:p>
        </w:tc>
        <w:tc>
          <w:tcPr>
            <w:tcW w:w="3684" w:type="pct"/>
          </w:tcPr>
          <w:p w14:paraId="26F270A1" w14:textId="77777777" w:rsidR="001F04FD" w:rsidRPr="0013396E" w:rsidRDefault="001F04FD" w:rsidP="00AC4DEE">
            <w:pPr>
              <w:pStyle w:val="TableBody"/>
            </w:pPr>
            <w:r w:rsidRPr="0013396E">
              <w:rPr>
                <w:i/>
              </w:rPr>
              <w:t>Reliability Must Run Standby Price per QSE per Resource by hour</w:t>
            </w:r>
            <w:r w:rsidRPr="0013396E">
              <w:t xml:space="preserve">—The hourly standby cost for RMR Unit </w:t>
            </w:r>
            <w:r w:rsidRPr="0013396E">
              <w:rPr>
                <w:i/>
              </w:rPr>
              <w:t>r</w:t>
            </w:r>
            <w:r w:rsidRPr="0013396E">
              <w:t xml:space="preserve"> represented by QSE </w:t>
            </w:r>
            <w:r w:rsidRPr="0013396E">
              <w:rPr>
                <w:i/>
              </w:rPr>
              <w:t>q</w:t>
            </w:r>
            <w:r w:rsidRPr="0013396E">
              <w:t xml:space="preserve">, for the hour.  See item (3) below.  Where for a Combined Cycle Train, the Resource </w:t>
            </w:r>
            <w:r w:rsidRPr="0013396E">
              <w:rPr>
                <w:i/>
              </w:rPr>
              <w:t xml:space="preserve">r </w:t>
            </w:r>
            <w:r w:rsidRPr="0013396E">
              <w:t xml:space="preserve">is the Combined Cycle Train.   </w:t>
            </w:r>
          </w:p>
        </w:tc>
      </w:tr>
      <w:tr w:rsidR="001F04FD" w:rsidRPr="0013396E" w14:paraId="78403BBD" w14:textId="77777777" w:rsidTr="00AC4DEE">
        <w:trPr>
          <w:cantSplit/>
        </w:trPr>
        <w:tc>
          <w:tcPr>
            <w:tcW w:w="907" w:type="pct"/>
          </w:tcPr>
          <w:p w14:paraId="105E875D" w14:textId="77777777" w:rsidR="001F04FD" w:rsidRPr="0013396E" w:rsidRDefault="001F04FD" w:rsidP="00AC4DEE">
            <w:pPr>
              <w:pStyle w:val="TableBody"/>
              <w:rPr>
                <w:i/>
              </w:rPr>
            </w:pPr>
            <w:r w:rsidRPr="0013396E">
              <w:rPr>
                <w:i/>
              </w:rPr>
              <w:t>q</w:t>
            </w:r>
          </w:p>
        </w:tc>
        <w:tc>
          <w:tcPr>
            <w:tcW w:w="409" w:type="pct"/>
          </w:tcPr>
          <w:p w14:paraId="157BA68C" w14:textId="77777777" w:rsidR="001F04FD" w:rsidRPr="0013396E" w:rsidRDefault="001F04FD" w:rsidP="00AC4DEE">
            <w:pPr>
              <w:pStyle w:val="TableBody"/>
            </w:pPr>
            <w:r w:rsidRPr="0013396E">
              <w:t>none</w:t>
            </w:r>
          </w:p>
        </w:tc>
        <w:tc>
          <w:tcPr>
            <w:tcW w:w="3684" w:type="pct"/>
          </w:tcPr>
          <w:p w14:paraId="43B0FF55" w14:textId="77777777" w:rsidR="001F04FD" w:rsidRPr="0013396E" w:rsidRDefault="001F04FD" w:rsidP="00AC4DEE">
            <w:pPr>
              <w:pStyle w:val="TableBody"/>
            </w:pPr>
            <w:r w:rsidRPr="0013396E">
              <w:t>A QSE.</w:t>
            </w:r>
          </w:p>
        </w:tc>
      </w:tr>
      <w:tr w:rsidR="001F04FD" w:rsidRPr="0013396E" w14:paraId="183996C6" w14:textId="77777777" w:rsidTr="00AC4DEE">
        <w:trPr>
          <w:cantSplit/>
        </w:trPr>
        <w:tc>
          <w:tcPr>
            <w:tcW w:w="907" w:type="pct"/>
          </w:tcPr>
          <w:p w14:paraId="5340B606" w14:textId="77777777" w:rsidR="001F04FD" w:rsidRPr="0013396E" w:rsidRDefault="00F74586" w:rsidP="00AC4DEE">
            <w:pPr>
              <w:pStyle w:val="TableBody"/>
              <w:rPr>
                <w:i/>
              </w:rPr>
            </w:pPr>
            <w:r w:rsidRPr="0013396E">
              <w:rPr>
                <w:i/>
              </w:rPr>
              <w:t>r</w:t>
            </w:r>
          </w:p>
        </w:tc>
        <w:tc>
          <w:tcPr>
            <w:tcW w:w="409" w:type="pct"/>
          </w:tcPr>
          <w:p w14:paraId="7493E176" w14:textId="77777777" w:rsidR="001F04FD" w:rsidRPr="0013396E" w:rsidRDefault="001F04FD" w:rsidP="00AC4DEE">
            <w:pPr>
              <w:pStyle w:val="TableBody"/>
            </w:pPr>
            <w:r w:rsidRPr="0013396E">
              <w:t>none</w:t>
            </w:r>
          </w:p>
        </w:tc>
        <w:tc>
          <w:tcPr>
            <w:tcW w:w="3684" w:type="pct"/>
          </w:tcPr>
          <w:p w14:paraId="683D718A" w14:textId="77777777" w:rsidR="001F04FD" w:rsidRPr="0013396E" w:rsidRDefault="001F04FD" w:rsidP="00AC4DEE">
            <w:pPr>
              <w:pStyle w:val="TableBody"/>
            </w:pPr>
            <w:r w:rsidRPr="0013396E">
              <w:t>An RMR Unit.</w:t>
            </w:r>
          </w:p>
        </w:tc>
      </w:tr>
    </w:tbl>
    <w:p w14:paraId="7459E306" w14:textId="77777777" w:rsidR="00326E23" w:rsidRPr="0013396E" w:rsidRDefault="00326E23" w:rsidP="00326E23">
      <w:pPr>
        <w:spacing w:before="240" w:after="240"/>
        <w:ind w:left="720" w:hanging="720"/>
        <w:rPr>
          <w:iCs/>
        </w:rPr>
      </w:pPr>
      <w:r w:rsidRPr="0013396E">
        <w:rPr>
          <w:iCs/>
        </w:rPr>
        <w:t>(3)</w:t>
      </w:r>
      <w:r w:rsidRPr="0013396E">
        <w:rPr>
          <w:iCs/>
        </w:rPr>
        <w:tab/>
        <w:t>For the Initial Settlement and resettlements executed before true-up and before actual cost data is submitted, the standby price of an RMR Unit is either the “Initial Standby Cost” stated in the RMR Agreement or the revised Standby Cost calculated in accordance with paragraph (2) of Section 3.14.1.13.  For other resettlements, the standby price of an RMR Unit for each hour is calculated as follows:</w:t>
      </w:r>
    </w:p>
    <w:p w14:paraId="376746C1" w14:textId="77777777" w:rsidR="00326E23" w:rsidRPr="0013396E" w:rsidRDefault="00326E23" w:rsidP="00326E23">
      <w:pPr>
        <w:tabs>
          <w:tab w:val="left" w:pos="2340"/>
          <w:tab w:val="left" w:pos="3420"/>
        </w:tabs>
        <w:spacing w:after="240"/>
        <w:ind w:left="3150" w:hanging="2430"/>
        <w:rPr>
          <w:b/>
          <w:bCs/>
          <w:lang w:val="pt-BR"/>
        </w:rPr>
      </w:pPr>
      <w:r w:rsidRPr="0013396E">
        <w:rPr>
          <w:b/>
          <w:bCs/>
          <w:lang w:val="pt-BR"/>
        </w:rPr>
        <w:t xml:space="preserve">RMRSBPR </w:t>
      </w:r>
      <w:r w:rsidRPr="0013396E">
        <w:rPr>
          <w:b/>
          <w:bCs/>
          <w:i/>
          <w:vertAlign w:val="subscript"/>
          <w:lang w:val="pt-BR"/>
        </w:rPr>
        <w:t>q, r</w:t>
      </w:r>
      <w:r w:rsidRPr="0013396E">
        <w:rPr>
          <w:b/>
          <w:bCs/>
          <w:lang w:val="pt-BR"/>
        </w:rPr>
        <w:tab/>
        <w:t>=</w:t>
      </w:r>
      <w:r w:rsidRPr="0013396E">
        <w:rPr>
          <w:b/>
          <w:bCs/>
          <w:lang w:val="pt-BR"/>
        </w:rPr>
        <w:tab/>
        <w:t xml:space="preserve">(RMRMNFNCC </w:t>
      </w:r>
      <w:r w:rsidRPr="0013396E">
        <w:rPr>
          <w:b/>
          <w:bCs/>
          <w:i/>
          <w:vertAlign w:val="subscript"/>
          <w:lang w:val="pt-BR"/>
        </w:rPr>
        <w:t>q, r</w:t>
      </w:r>
      <w:r w:rsidRPr="0013396E">
        <w:rPr>
          <w:b/>
          <w:bCs/>
          <w:lang w:val="pt-BR"/>
        </w:rPr>
        <w:t xml:space="preserve"> * (1 + RMRIF * RMRCRF </w:t>
      </w:r>
      <w:r w:rsidRPr="0013396E">
        <w:rPr>
          <w:b/>
          <w:bCs/>
          <w:i/>
          <w:vertAlign w:val="subscript"/>
          <w:lang w:val="pt-BR"/>
        </w:rPr>
        <w:t>q, r</w:t>
      </w:r>
      <w:r w:rsidRPr="0013396E">
        <w:rPr>
          <w:b/>
          <w:bCs/>
          <w:lang w:val="pt-BR"/>
        </w:rPr>
        <w:t xml:space="preserve"> * RMRARF </w:t>
      </w:r>
      <w:r w:rsidRPr="0013396E">
        <w:rPr>
          <w:b/>
          <w:bCs/>
          <w:i/>
          <w:vertAlign w:val="subscript"/>
          <w:lang w:val="pt-BR"/>
        </w:rPr>
        <w:t>q, r</w:t>
      </w:r>
      <w:r w:rsidRPr="0013396E">
        <w:rPr>
          <w:b/>
          <w:bCs/>
          <w:lang w:val="pt-BR"/>
        </w:rPr>
        <w:t xml:space="preserve">) + RMRMNFCC </w:t>
      </w:r>
      <w:r w:rsidRPr="0013396E">
        <w:rPr>
          <w:b/>
          <w:bCs/>
          <w:i/>
          <w:vertAlign w:val="subscript"/>
          <w:lang w:val="pt-BR"/>
        </w:rPr>
        <w:t>q, r</w:t>
      </w:r>
      <w:r w:rsidRPr="0013396E">
        <w:rPr>
          <w:b/>
          <w:bCs/>
          <w:lang w:val="pt-BR"/>
        </w:rPr>
        <w:t xml:space="preserve">) / MH </w:t>
      </w:r>
      <w:r w:rsidRPr="0013396E">
        <w:rPr>
          <w:b/>
          <w:bCs/>
          <w:i/>
          <w:vertAlign w:val="subscript"/>
          <w:lang w:val="pt-BR"/>
        </w:rPr>
        <w:t>q, r</w:t>
      </w:r>
    </w:p>
    <w:p w14:paraId="10123168" w14:textId="77777777" w:rsidR="00326E23" w:rsidRPr="0013396E" w:rsidRDefault="00326E23" w:rsidP="00326E23">
      <w:pPr>
        <w:spacing w:before="240" w:after="240"/>
      </w:pPr>
      <w:r w:rsidRPr="0013396E">
        <w:t xml:space="preserve">Where: </w:t>
      </w:r>
    </w:p>
    <w:p w14:paraId="24FE2DB6" w14:textId="77777777" w:rsidR="00326E23" w:rsidRPr="0013396E" w:rsidRDefault="00326E23" w:rsidP="00326E23">
      <w:r w:rsidRPr="0013396E">
        <w:t>RMR Capacity Reduction Factor</w:t>
      </w:r>
    </w:p>
    <w:p w14:paraId="462C6B2B" w14:textId="77777777" w:rsidR="00326E23" w:rsidRPr="0013396E" w:rsidRDefault="00326E23" w:rsidP="00326E23">
      <w:pPr>
        <w:tabs>
          <w:tab w:val="left" w:pos="5940"/>
          <w:tab w:val="left" w:pos="6300"/>
          <w:tab w:val="left" w:pos="6840"/>
        </w:tabs>
        <w:ind w:firstLine="360"/>
        <w:rPr>
          <w:lang w:val="pt-BR"/>
        </w:rPr>
      </w:pPr>
      <w:r w:rsidRPr="0013396E">
        <w:t>If (</w:t>
      </w:r>
      <w:r w:rsidRPr="0013396E">
        <w:rPr>
          <w:lang w:val="pt-BR"/>
        </w:rPr>
        <w:t>RMRTCAPA</w:t>
      </w:r>
      <w:r w:rsidRPr="0013396E">
        <w:rPr>
          <w:i/>
          <w:vertAlign w:val="subscript"/>
          <w:lang w:val="pt-BR"/>
        </w:rPr>
        <w:t xml:space="preserve"> q, r</w:t>
      </w:r>
      <w:r w:rsidRPr="0013396E">
        <w:rPr>
          <w:lang w:val="pt-BR"/>
        </w:rPr>
        <w:t xml:space="preserve"> + </w:t>
      </w:r>
      <w:r w:rsidRPr="0013396E">
        <w:t xml:space="preserve">RMRTCAP </w:t>
      </w:r>
      <w:r w:rsidRPr="0013396E">
        <w:rPr>
          <w:i/>
          <w:vertAlign w:val="subscript"/>
        </w:rPr>
        <w:t>q, r</w:t>
      </w:r>
      <w:r w:rsidRPr="0013396E">
        <w:t xml:space="preserve"> ≥ RMRCCAP </w:t>
      </w:r>
      <w:r w:rsidRPr="0013396E">
        <w:rPr>
          <w:i/>
          <w:vertAlign w:val="subscript"/>
        </w:rPr>
        <w:t>q, r</w:t>
      </w:r>
      <w:r w:rsidRPr="0013396E">
        <w:t xml:space="preserve">), then </w:t>
      </w:r>
      <w:r w:rsidRPr="0013396E">
        <w:rPr>
          <w:lang w:val="pt-BR"/>
        </w:rPr>
        <w:t xml:space="preserve">RMRCRF </w:t>
      </w:r>
      <w:r w:rsidRPr="0013396E">
        <w:rPr>
          <w:i/>
          <w:vertAlign w:val="subscript"/>
          <w:lang w:val="pt-BR"/>
        </w:rPr>
        <w:t xml:space="preserve">q, r  </w:t>
      </w:r>
      <w:r w:rsidRPr="0013396E">
        <w:rPr>
          <w:lang w:val="pt-BR"/>
        </w:rPr>
        <w:t>= 1</w:t>
      </w:r>
    </w:p>
    <w:p w14:paraId="31183879" w14:textId="77777777" w:rsidR="00326E23" w:rsidRPr="0013396E" w:rsidRDefault="00326E23" w:rsidP="00326E23">
      <w:pPr>
        <w:ind w:firstLine="360"/>
        <w:rPr>
          <w:lang w:val="pt-BR"/>
        </w:rPr>
      </w:pPr>
    </w:p>
    <w:p w14:paraId="093B4A5C" w14:textId="77777777" w:rsidR="00326E23" w:rsidRPr="0013396E" w:rsidRDefault="00326E23" w:rsidP="00326E23">
      <w:pPr>
        <w:ind w:firstLine="360"/>
        <w:rPr>
          <w:lang w:val="pt-BR"/>
        </w:rPr>
      </w:pPr>
      <w:r w:rsidRPr="0013396E">
        <w:rPr>
          <w:lang w:val="pt-BR"/>
        </w:rPr>
        <w:t>Otherwise</w:t>
      </w:r>
    </w:p>
    <w:p w14:paraId="42A05B14" w14:textId="77777777" w:rsidR="00326E23" w:rsidRPr="0013396E" w:rsidRDefault="00326E23" w:rsidP="00326E23">
      <w:pPr>
        <w:tabs>
          <w:tab w:val="left" w:pos="2700"/>
        </w:tabs>
        <w:ind w:left="2430" w:hanging="1620"/>
        <w:rPr>
          <w:lang w:val="pt-BR"/>
        </w:rPr>
      </w:pPr>
      <w:r w:rsidRPr="0013396E">
        <w:rPr>
          <w:lang w:val="pt-BR"/>
        </w:rPr>
        <w:t xml:space="preserve">RMRCRF </w:t>
      </w:r>
      <w:r w:rsidRPr="0013396E">
        <w:rPr>
          <w:i/>
          <w:vertAlign w:val="subscript"/>
          <w:lang w:val="pt-BR"/>
        </w:rPr>
        <w:t>q, r</w:t>
      </w:r>
      <w:r w:rsidRPr="0013396E">
        <w:rPr>
          <w:lang w:val="pt-BR"/>
        </w:rPr>
        <w:tab/>
        <w:t>=</w:t>
      </w:r>
      <w:r w:rsidRPr="0013396E">
        <w:rPr>
          <w:lang w:val="pt-BR"/>
        </w:rPr>
        <w:tab/>
        <w:t xml:space="preserve">Max (0, 1 – 2 * (RMRCCAP </w:t>
      </w:r>
      <w:r w:rsidRPr="0013396E">
        <w:rPr>
          <w:i/>
          <w:vertAlign w:val="subscript"/>
          <w:lang w:val="pt-BR"/>
        </w:rPr>
        <w:t xml:space="preserve">q, r </w:t>
      </w:r>
      <w:r w:rsidRPr="0013396E">
        <w:rPr>
          <w:lang w:val="pt-BR"/>
        </w:rPr>
        <w:t xml:space="preserve">– RMRTCAP </w:t>
      </w:r>
      <w:r w:rsidRPr="0013396E">
        <w:rPr>
          <w:i/>
          <w:vertAlign w:val="subscript"/>
          <w:lang w:val="pt-BR"/>
        </w:rPr>
        <w:t>q, r</w:t>
      </w:r>
      <w:r w:rsidRPr="0013396E">
        <w:rPr>
          <w:lang w:val="pt-BR"/>
        </w:rPr>
        <w:t xml:space="preserve">) </w:t>
      </w:r>
      <w:r w:rsidRPr="0013396E">
        <w:rPr>
          <w:b/>
          <w:sz w:val="32"/>
          <w:szCs w:val="32"/>
          <w:lang w:val="pt-BR"/>
        </w:rPr>
        <w:t>/</w:t>
      </w:r>
      <w:r w:rsidRPr="0013396E">
        <w:rPr>
          <w:sz w:val="32"/>
          <w:szCs w:val="32"/>
          <w:lang w:val="pt-BR"/>
        </w:rPr>
        <w:t xml:space="preserve"> </w:t>
      </w:r>
      <w:r w:rsidRPr="0013396E">
        <w:rPr>
          <w:lang w:val="pt-BR"/>
        </w:rPr>
        <w:t xml:space="preserve">RMRCCAP </w:t>
      </w:r>
      <w:r w:rsidRPr="0013396E">
        <w:rPr>
          <w:i/>
          <w:vertAlign w:val="subscript"/>
          <w:lang w:val="pt-BR"/>
        </w:rPr>
        <w:t>q, r</w:t>
      </w:r>
      <w:r w:rsidRPr="0013396E">
        <w:rPr>
          <w:lang w:val="pt-BR"/>
        </w:rPr>
        <w:t>)</w:t>
      </w:r>
    </w:p>
    <w:p w14:paraId="1CD2D5D3" w14:textId="77777777" w:rsidR="00326E23" w:rsidRPr="0013396E" w:rsidRDefault="00326E23" w:rsidP="00326E23">
      <w:pPr>
        <w:rPr>
          <w:lang w:val="pt-BR"/>
        </w:rPr>
      </w:pPr>
    </w:p>
    <w:p w14:paraId="5F61C509" w14:textId="77777777" w:rsidR="00326E23" w:rsidRPr="0013396E" w:rsidRDefault="00326E23" w:rsidP="00326E23">
      <w:r w:rsidRPr="0013396E">
        <w:t>RMR Availability Reduction Factor</w:t>
      </w:r>
    </w:p>
    <w:p w14:paraId="44D0CBC0" w14:textId="77777777" w:rsidR="00326E23" w:rsidRPr="0013396E" w:rsidRDefault="00326E23" w:rsidP="00326E23">
      <w:pPr>
        <w:ind w:firstLine="720"/>
        <w:rPr>
          <w:lang w:val="pt-BR"/>
        </w:rPr>
      </w:pPr>
      <w:r w:rsidRPr="0013396E">
        <w:t xml:space="preserve">If (RMRHREAF </w:t>
      </w:r>
      <w:r w:rsidRPr="0013396E">
        <w:rPr>
          <w:i/>
          <w:vertAlign w:val="subscript"/>
        </w:rPr>
        <w:t>q, r</w:t>
      </w:r>
      <w:r w:rsidRPr="0013396E">
        <w:t xml:space="preserve"> ≥ RMRTA </w:t>
      </w:r>
      <w:r w:rsidRPr="0013396E">
        <w:rPr>
          <w:i/>
          <w:vertAlign w:val="subscript"/>
        </w:rPr>
        <w:t>q, r</w:t>
      </w:r>
      <w:r w:rsidRPr="0013396E">
        <w:t xml:space="preserve">), then </w:t>
      </w:r>
      <w:r w:rsidRPr="0013396E">
        <w:rPr>
          <w:lang w:val="pt-BR"/>
        </w:rPr>
        <w:t xml:space="preserve">RMRARF </w:t>
      </w:r>
      <w:r w:rsidRPr="0013396E">
        <w:rPr>
          <w:i/>
          <w:vertAlign w:val="subscript"/>
          <w:lang w:val="pt-BR"/>
        </w:rPr>
        <w:t>q, r</w:t>
      </w:r>
      <w:r w:rsidRPr="0013396E">
        <w:rPr>
          <w:lang w:val="pt-BR"/>
        </w:rPr>
        <w:t xml:space="preserve"> = 1 </w:t>
      </w:r>
    </w:p>
    <w:p w14:paraId="19256AA8" w14:textId="77777777" w:rsidR="00326E23" w:rsidRPr="0013396E" w:rsidRDefault="00326E23" w:rsidP="00326E23">
      <w:pPr>
        <w:ind w:firstLine="720"/>
        <w:rPr>
          <w:lang w:val="pt-BR"/>
        </w:rPr>
      </w:pPr>
    </w:p>
    <w:p w14:paraId="4B7963B5" w14:textId="77777777" w:rsidR="00326E23" w:rsidRPr="0013396E" w:rsidRDefault="00326E23" w:rsidP="00326E23">
      <w:pPr>
        <w:ind w:firstLine="720"/>
        <w:rPr>
          <w:lang w:val="pt-BR"/>
        </w:rPr>
      </w:pPr>
      <w:r w:rsidRPr="0013396E">
        <w:rPr>
          <w:lang w:val="pt-BR"/>
        </w:rPr>
        <w:t>Otherwise</w:t>
      </w:r>
    </w:p>
    <w:p w14:paraId="0AF2E4D5" w14:textId="77777777" w:rsidR="00326E23" w:rsidRPr="0013396E" w:rsidRDefault="00326E23" w:rsidP="00326E23">
      <w:pPr>
        <w:ind w:left="720" w:firstLine="720"/>
        <w:rPr>
          <w:lang w:val="pt-BR"/>
        </w:rPr>
      </w:pPr>
      <w:r w:rsidRPr="0013396E">
        <w:rPr>
          <w:lang w:val="pt-BR"/>
        </w:rPr>
        <w:t xml:space="preserve">RMRARF </w:t>
      </w:r>
      <w:r w:rsidRPr="0013396E">
        <w:rPr>
          <w:i/>
          <w:vertAlign w:val="subscript"/>
          <w:lang w:val="pt-BR"/>
        </w:rPr>
        <w:t>q, r</w:t>
      </w:r>
      <w:r w:rsidRPr="0013396E">
        <w:rPr>
          <w:lang w:val="pt-BR"/>
        </w:rPr>
        <w:tab/>
        <w:t>=</w:t>
      </w:r>
      <w:r w:rsidRPr="0013396E">
        <w:rPr>
          <w:lang w:val="pt-BR"/>
        </w:rPr>
        <w:tab/>
        <w:t xml:space="preserve">Max (0, 1 - (RMRTA </w:t>
      </w:r>
      <w:r w:rsidRPr="0013396E">
        <w:rPr>
          <w:i/>
          <w:vertAlign w:val="subscript"/>
          <w:lang w:val="pt-BR"/>
        </w:rPr>
        <w:t>q, r</w:t>
      </w:r>
      <w:r w:rsidRPr="0013396E">
        <w:rPr>
          <w:lang w:val="pt-BR"/>
        </w:rPr>
        <w:t xml:space="preserve"> – RMRHREAF </w:t>
      </w:r>
      <w:r w:rsidRPr="0013396E">
        <w:rPr>
          <w:i/>
          <w:vertAlign w:val="subscript"/>
          <w:lang w:val="pt-BR"/>
        </w:rPr>
        <w:t>q, r</w:t>
      </w:r>
      <w:r w:rsidRPr="0013396E">
        <w:rPr>
          <w:lang w:val="pt-BR"/>
        </w:rPr>
        <w:t>) * 2)</w:t>
      </w:r>
    </w:p>
    <w:p w14:paraId="23417D32" w14:textId="77777777" w:rsidR="00326E23" w:rsidRPr="0013396E" w:rsidRDefault="00326E23" w:rsidP="00326E23">
      <w:pPr>
        <w:rPr>
          <w:lang w:val="pt-BR"/>
        </w:rPr>
      </w:pPr>
    </w:p>
    <w:p w14:paraId="226CBB63" w14:textId="77777777" w:rsidR="00326E23" w:rsidRPr="0013396E" w:rsidRDefault="00326E23" w:rsidP="00326E23">
      <w:r w:rsidRPr="0013396E">
        <w:t>RMR Hourly Rolling Equivalent Availability Factor</w:t>
      </w:r>
    </w:p>
    <w:p w14:paraId="405D7EBC" w14:textId="551D260C" w:rsidR="00326E23" w:rsidRPr="0013396E" w:rsidRDefault="00326E23" w:rsidP="00326E23">
      <w:pPr>
        <w:ind w:left="2790" w:hanging="2070"/>
        <w:rPr>
          <w:lang w:val="pt-BR"/>
        </w:rPr>
      </w:pPr>
      <w:r w:rsidRPr="0013396E">
        <w:rPr>
          <w:lang w:val="pt-BR"/>
        </w:rPr>
        <w:t xml:space="preserve">RMRHREAF </w:t>
      </w:r>
      <w:r w:rsidRPr="0013396E">
        <w:rPr>
          <w:i/>
          <w:vertAlign w:val="subscript"/>
          <w:lang w:val="pt-BR"/>
        </w:rPr>
        <w:t>q, r</w:t>
      </w:r>
      <w:r w:rsidRPr="0013396E">
        <w:rPr>
          <w:lang w:val="pt-BR"/>
        </w:rPr>
        <w:t xml:space="preserve"> = Min (1, </w:t>
      </w:r>
      <w:r w:rsidR="00A94020" w:rsidRPr="0013396E">
        <w:rPr>
          <w:noProof/>
          <w:position w:val="-20"/>
        </w:rPr>
        <w:drawing>
          <wp:inline distT="0" distB="0" distL="0" distR="0" wp14:anchorId="614E2A1E" wp14:editId="1B563432">
            <wp:extent cx="457200" cy="3619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57200" cy="361950"/>
                    </a:xfrm>
                    <a:prstGeom prst="rect">
                      <a:avLst/>
                    </a:prstGeom>
                    <a:noFill/>
                    <a:ln>
                      <a:noFill/>
                    </a:ln>
                  </pic:spPr>
                </pic:pic>
              </a:graphicData>
            </a:graphic>
          </wp:inline>
        </w:drawing>
      </w:r>
      <w:r w:rsidRPr="0013396E">
        <w:rPr>
          <w:lang w:val="pt-BR"/>
        </w:rPr>
        <w:t xml:space="preserve"> (RMRAFLAG</w:t>
      </w:r>
      <w:r w:rsidRPr="0013396E">
        <w:rPr>
          <w:i/>
          <w:vertAlign w:val="subscript"/>
          <w:lang w:val="pt-BR"/>
        </w:rPr>
        <w:t xml:space="preserve"> q, r, hr</w:t>
      </w:r>
      <w:r w:rsidRPr="0013396E">
        <w:rPr>
          <w:lang w:val="pt-BR"/>
        </w:rPr>
        <w:t xml:space="preserve"> *  HSL</w:t>
      </w:r>
      <w:r w:rsidRPr="0013396E">
        <w:rPr>
          <w:i/>
          <w:vertAlign w:val="subscript"/>
          <w:lang w:val="pt-BR"/>
        </w:rPr>
        <w:t>q, r, hr</w:t>
      </w:r>
      <w:r w:rsidRPr="0013396E">
        <w:rPr>
          <w:lang w:val="pt-BR"/>
        </w:rPr>
        <w:t xml:space="preserve">)  / </w:t>
      </w:r>
      <w:r w:rsidR="00A94020" w:rsidRPr="0013396E">
        <w:rPr>
          <w:noProof/>
          <w:position w:val="-20"/>
        </w:rPr>
        <w:drawing>
          <wp:inline distT="0" distB="0" distL="0" distR="0" wp14:anchorId="0EB2BE42" wp14:editId="6BB3C842">
            <wp:extent cx="457200" cy="3619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57200" cy="361950"/>
                    </a:xfrm>
                    <a:prstGeom prst="rect">
                      <a:avLst/>
                    </a:prstGeom>
                    <a:noFill/>
                    <a:ln>
                      <a:noFill/>
                    </a:ln>
                  </pic:spPr>
                </pic:pic>
              </a:graphicData>
            </a:graphic>
          </wp:inline>
        </w:drawing>
      </w:r>
      <w:r w:rsidRPr="0013396E">
        <w:rPr>
          <w:lang w:val="pt-BR"/>
        </w:rPr>
        <w:t xml:space="preserve"> </w:t>
      </w:r>
      <w:r w:rsidRPr="0013396E">
        <w:t xml:space="preserve">RMRCCAP </w:t>
      </w:r>
      <w:r w:rsidRPr="0013396E">
        <w:rPr>
          <w:i/>
          <w:vertAlign w:val="subscript"/>
          <w:lang w:val="pt-BR"/>
        </w:rPr>
        <w:t>q, r</w:t>
      </w:r>
      <w:r w:rsidRPr="0013396E">
        <w:rPr>
          <w:lang w:val="pt-BR"/>
        </w:rPr>
        <w:t>)</w:t>
      </w:r>
    </w:p>
    <w:p w14:paraId="5DD3CDDC" w14:textId="77777777" w:rsidR="00326E23" w:rsidRPr="0013396E" w:rsidRDefault="00326E23" w:rsidP="00326E23">
      <w:pPr>
        <w:spacing w:after="240"/>
        <w:rPr>
          <w:iCs/>
        </w:rPr>
      </w:pPr>
    </w:p>
    <w:p w14:paraId="218D496A" w14:textId="77777777" w:rsidR="00326E23" w:rsidRPr="0013396E" w:rsidRDefault="00326E23" w:rsidP="00326E23">
      <w:pPr>
        <w:spacing w:after="240"/>
        <w:rPr>
          <w:lang w:val="pt-BR"/>
        </w:rPr>
      </w:pPr>
      <w:r w:rsidRPr="0013396E">
        <w:rPr>
          <w:iCs/>
        </w:rPr>
        <w:t>Availability</w:t>
      </w:r>
      <w:r w:rsidRPr="0013396E">
        <w:t xml:space="preserve"> for a Combined Cycle Train will be determined pursuant to contractual terms but no more than once per hour.</w:t>
      </w:r>
    </w:p>
    <w:p w14:paraId="44462ED7" w14:textId="77777777" w:rsidR="00326E23" w:rsidRPr="0013396E" w:rsidRDefault="00326E23" w:rsidP="00326E23">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780"/>
        <w:gridCol w:w="6865"/>
      </w:tblGrid>
      <w:tr w:rsidR="00326E23" w:rsidRPr="0013396E" w14:paraId="6C6AAB37" w14:textId="77777777" w:rsidTr="009B2773">
        <w:trPr>
          <w:cantSplit/>
          <w:tblHeader/>
        </w:trPr>
        <w:tc>
          <w:tcPr>
            <w:tcW w:w="912" w:type="pct"/>
          </w:tcPr>
          <w:p w14:paraId="537FC4F2" w14:textId="77777777" w:rsidR="00326E23" w:rsidRPr="0013396E" w:rsidRDefault="00326E23" w:rsidP="009B2773">
            <w:pPr>
              <w:spacing w:after="240"/>
              <w:rPr>
                <w:b/>
                <w:iCs/>
                <w:sz w:val="20"/>
              </w:rPr>
            </w:pPr>
            <w:r w:rsidRPr="0013396E">
              <w:rPr>
                <w:b/>
                <w:iCs/>
                <w:sz w:val="20"/>
              </w:rPr>
              <w:lastRenderedPageBreak/>
              <w:t>Variable</w:t>
            </w:r>
          </w:p>
        </w:tc>
        <w:tc>
          <w:tcPr>
            <w:tcW w:w="417" w:type="pct"/>
          </w:tcPr>
          <w:p w14:paraId="67B365C2" w14:textId="77777777" w:rsidR="00326E23" w:rsidRPr="0013396E" w:rsidRDefault="00326E23" w:rsidP="009B2773">
            <w:pPr>
              <w:spacing w:after="240"/>
              <w:rPr>
                <w:b/>
                <w:iCs/>
                <w:sz w:val="20"/>
              </w:rPr>
            </w:pPr>
            <w:r w:rsidRPr="0013396E">
              <w:rPr>
                <w:b/>
                <w:iCs/>
                <w:sz w:val="20"/>
              </w:rPr>
              <w:t>Unit</w:t>
            </w:r>
          </w:p>
        </w:tc>
        <w:tc>
          <w:tcPr>
            <w:tcW w:w="3671" w:type="pct"/>
          </w:tcPr>
          <w:p w14:paraId="6853A841" w14:textId="77777777" w:rsidR="00326E23" w:rsidRPr="0013396E" w:rsidRDefault="00326E23" w:rsidP="009B2773">
            <w:pPr>
              <w:spacing w:after="240"/>
              <w:rPr>
                <w:b/>
                <w:iCs/>
                <w:sz w:val="20"/>
              </w:rPr>
            </w:pPr>
            <w:r w:rsidRPr="0013396E">
              <w:rPr>
                <w:b/>
                <w:iCs/>
                <w:sz w:val="20"/>
              </w:rPr>
              <w:t>Definition</w:t>
            </w:r>
          </w:p>
        </w:tc>
      </w:tr>
      <w:tr w:rsidR="00326E23" w:rsidRPr="0013396E" w14:paraId="10F2A73A" w14:textId="77777777" w:rsidTr="009B2773">
        <w:trPr>
          <w:cantSplit/>
        </w:trPr>
        <w:tc>
          <w:tcPr>
            <w:tcW w:w="912" w:type="pct"/>
          </w:tcPr>
          <w:p w14:paraId="53374282" w14:textId="77777777" w:rsidR="00326E23" w:rsidRPr="0013396E" w:rsidRDefault="00326E23" w:rsidP="009B2773">
            <w:pPr>
              <w:spacing w:after="60"/>
              <w:rPr>
                <w:iCs/>
                <w:sz w:val="20"/>
              </w:rPr>
            </w:pPr>
            <w:r w:rsidRPr="0013396E">
              <w:rPr>
                <w:iCs/>
                <w:sz w:val="20"/>
              </w:rPr>
              <w:t xml:space="preserve">RMRSBPR </w:t>
            </w:r>
            <w:r w:rsidRPr="0013396E">
              <w:rPr>
                <w:i/>
                <w:iCs/>
                <w:sz w:val="20"/>
                <w:vertAlign w:val="subscript"/>
              </w:rPr>
              <w:t>q, r</w:t>
            </w:r>
          </w:p>
        </w:tc>
        <w:tc>
          <w:tcPr>
            <w:tcW w:w="417" w:type="pct"/>
          </w:tcPr>
          <w:p w14:paraId="09FF53DD" w14:textId="77777777" w:rsidR="00326E23" w:rsidRPr="0013396E" w:rsidRDefault="00326E23" w:rsidP="009B2773">
            <w:pPr>
              <w:spacing w:after="60"/>
              <w:rPr>
                <w:i/>
                <w:iCs/>
                <w:sz w:val="20"/>
              </w:rPr>
            </w:pPr>
            <w:r w:rsidRPr="0013396E">
              <w:rPr>
                <w:iCs/>
                <w:sz w:val="20"/>
              </w:rPr>
              <w:t>$ per hour</w:t>
            </w:r>
          </w:p>
        </w:tc>
        <w:tc>
          <w:tcPr>
            <w:tcW w:w="3671" w:type="pct"/>
          </w:tcPr>
          <w:p w14:paraId="23410893" w14:textId="77777777" w:rsidR="00326E23" w:rsidRPr="0013396E" w:rsidRDefault="00326E23" w:rsidP="009B2773">
            <w:pPr>
              <w:spacing w:after="60"/>
              <w:rPr>
                <w:iCs/>
                <w:sz w:val="20"/>
              </w:rPr>
            </w:pPr>
            <w:r w:rsidRPr="0013396E">
              <w:rPr>
                <w:i/>
                <w:iCs/>
                <w:sz w:val="20"/>
              </w:rPr>
              <w:t>Reliability Must-Run Standby Price per QSE per Resource by hour</w:t>
            </w:r>
            <w:r w:rsidRPr="0013396E">
              <w:rPr>
                <w:iCs/>
                <w:sz w:val="20"/>
              </w:rPr>
              <w:t xml:space="preserve">—The hourly standby cost for RMR Unit </w:t>
            </w:r>
            <w:r w:rsidRPr="0013396E">
              <w:rPr>
                <w:i/>
                <w:iCs/>
                <w:sz w:val="20"/>
              </w:rPr>
              <w:t xml:space="preserve">r </w:t>
            </w:r>
            <w:r w:rsidRPr="0013396E">
              <w:rPr>
                <w:iCs/>
                <w:sz w:val="20"/>
              </w:rPr>
              <w:t xml:space="preserve">represented by QSE </w:t>
            </w:r>
            <w:r w:rsidRPr="0013396E">
              <w:rPr>
                <w:i/>
                <w:iCs/>
                <w:sz w:val="20"/>
              </w:rPr>
              <w:t xml:space="preserve">q, </w:t>
            </w:r>
            <w:r w:rsidRPr="0013396E">
              <w:rPr>
                <w:iCs/>
                <w:sz w:val="20"/>
              </w:rPr>
              <w:t xml:space="preserve">for the hour.  Where for a Combined Cycle Train, the Resource </w:t>
            </w:r>
            <w:r w:rsidRPr="0013396E">
              <w:rPr>
                <w:i/>
                <w:iCs/>
                <w:sz w:val="20"/>
              </w:rPr>
              <w:t>r</w:t>
            </w:r>
            <w:r w:rsidRPr="0013396E">
              <w:rPr>
                <w:iCs/>
                <w:sz w:val="20"/>
              </w:rPr>
              <w:t xml:space="preserve"> is the Combined Cycle Train.</w:t>
            </w:r>
          </w:p>
        </w:tc>
      </w:tr>
      <w:tr w:rsidR="00326E23" w:rsidRPr="0013396E" w14:paraId="7B049ACA" w14:textId="77777777" w:rsidTr="009B2773">
        <w:trPr>
          <w:cantSplit/>
        </w:trPr>
        <w:tc>
          <w:tcPr>
            <w:tcW w:w="912" w:type="pct"/>
          </w:tcPr>
          <w:p w14:paraId="48061BE9" w14:textId="77777777" w:rsidR="00326E23" w:rsidRPr="0013396E" w:rsidRDefault="00326E23" w:rsidP="009B2773">
            <w:pPr>
              <w:spacing w:after="60"/>
              <w:rPr>
                <w:iCs/>
                <w:sz w:val="20"/>
              </w:rPr>
            </w:pPr>
            <w:r w:rsidRPr="0013396E">
              <w:rPr>
                <w:iCs/>
                <w:sz w:val="20"/>
              </w:rPr>
              <w:t xml:space="preserve">RMRARF </w:t>
            </w:r>
            <w:r w:rsidRPr="0013396E">
              <w:rPr>
                <w:i/>
                <w:iCs/>
                <w:sz w:val="20"/>
                <w:vertAlign w:val="subscript"/>
              </w:rPr>
              <w:t>q, r</w:t>
            </w:r>
          </w:p>
        </w:tc>
        <w:tc>
          <w:tcPr>
            <w:tcW w:w="417" w:type="pct"/>
          </w:tcPr>
          <w:p w14:paraId="2D698A32" w14:textId="77777777" w:rsidR="00326E23" w:rsidRPr="0013396E" w:rsidRDefault="00326E23" w:rsidP="009B2773">
            <w:pPr>
              <w:spacing w:after="60"/>
              <w:rPr>
                <w:iCs/>
                <w:sz w:val="20"/>
              </w:rPr>
            </w:pPr>
            <w:r w:rsidRPr="0013396E">
              <w:rPr>
                <w:iCs/>
                <w:sz w:val="20"/>
              </w:rPr>
              <w:t>none</w:t>
            </w:r>
          </w:p>
        </w:tc>
        <w:tc>
          <w:tcPr>
            <w:tcW w:w="3671" w:type="pct"/>
          </w:tcPr>
          <w:p w14:paraId="44E75DC1" w14:textId="77777777" w:rsidR="00326E23" w:rsidRPr="0013396E" w:rsidRDefault="00326E23" w:rsidP="009B2773">
            <w:pPr>
              <w:spacing w:after="60"/>
              <w:rPr>
                <w:iCs/>
                <w:sz w:val="20"/>
              </w:rPr>
            </w:pPr>
            <w:r w:rsidRPr="0013396E">
              <w:rPr>
                <w:i/>
                <w:iCs/>
                <w:sz w:val="20"/>
              </w:rPr>
              <w:t>Reliability Must-Run Availability Reduction Factor per QSE per Resource by hour</w:t>
            </w:r>
            <w:r w:rsidRPr="0013396E">
              <w:rPr>
                <w:iCs/>
                <w:sz w:val="20"/>
              </w:rPr>
              <w:t xml:space="preserve">—The availability reduction factor of RMR Unit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hour.  Where for a Combined Cycle Train, the Resource </w:t>
            </w:r>
            <w:r w:rsidRPr="0013396E">
              <w:rPr>
                <w:i/>
                <w:iCs/>
                <w:sz w:val="20"/>
              </w:rPr>
              <w:t xml:space="preserve">r </w:t>
            </w:r>
            <w:r w:rsidRPr="0013396E">
              <w:rPr>
                <w:iCs/>
                <w:sz w:val="20"/>
              </w:rPr>
              <w:t>is the Combined Cycle Train.</w:t>
            </w:r>
          </w:p>
        </w:tc>
      </w:tr>
      <w:tr w:rsidR="00326E23" w:rsidRPr="0013396E" w14:paraId="3458FC13" w14:textId="77777777" w:rsidTr="009B2773">
        <w:trPr>
          <w:cantSplit/>
        </w:trPr>
        <w:tc>
          <w:tcPr>
            <w:tcW w:w="912" w:type="pct"/>
          </w:tcPr>
          <w:p w14:paraId="7AB323E0" w14:textId="77777777" w:rsidR="00326E23" w:rsidRPr="0013396E" w:rsidRDefault="00326E23" w:rsidP="009B2773">
            <w:pPr>
              <w:spacing w:after="60"/>
              <w:rPr>
                <w:iCs/>
                <w:sz w:val="20"/>
              </w:rPr>
            </w:pPr>
            <w:r w:rsidRPr="0013396E">
              <w:rPr>
                <w:iCs/>
                <w:sz w:val="20"/>
              </w:rPr>
              <w:t xml:space="preserve">RMRCRF </w:t>
            </w:r>
            <w:r w:rsidRPr="0013396E">
              <w:rPr>
                <w:i/>
                <w:iCs/>
                <w:sz w:val="20"/>
                <w:vertAlign w:val="subscript"/>
              </w:rPr>
              <w:t>q, r</w:t>
            </w:r>
          </w:p>
        </w:tc>
        <w:tc>
          <w:tcPr>
            <w:tcW w:w="417" w:type="pct"/>
          </w:tcPr>
          <w:p w14:paraId="4574492D" w14:textId="77777777" w:rsidR="00326E23" w:rsidRPr="0013396E" w:rsidRDefault="00326E23" w:rsidP="009B2773">
            <w:pPr>
              <w:spacing w:after="60"/>
              <w:rPr>
                <w:iCs/>
                <w:sz w:val="20"/>
              </w:rPr>
            </w:pPr>
            <w:r w:rsidRPr="0013396E">
              <w:rPr>
                <w:iCs/>
                <w:sz w:val="20"/>
              </w:rPr>
              <w:t>none</w:t>
            </w:r>
          </w:p>
        </w:tc>
        <w:tc>
          <w:tcPr>
            <w:tcW w:w="3671" w:type="pct"/>
          </w:tcPr>
          <w:p w14:paraId="1928267B" w14:textId="77777777" w:rsidR="00326E23" w:rsidRPr="0013396E" w:rsidRDefault="00326E23" w:rsidP="009B2773">
            <w:pPr>
              <w:spacing w:after="60"/>
              <w:rPr>
                <w:i/>
                <w:iCs/>
                <w:sz w:val="20"/>
              </w:rPr>
            </w:pPr>
            <w:r w:rsidRPr="0013396E">
              <w:rPr>
                <w:i/>
                <w:iCs/>
                <w:sz w:val="20"/>
              </w:rPr>
              <w:t>Reliability Must-Run Capacity Reduction Factor per QSE per Resource by hour</w:t>
            </w:r>
            <w:r w:rsidRPr="0013396E">
              <w:rPr>
                <w:iCs/>
                <w:sz w:val="20"/>
              </w:rPr>
              <w:t>—The capacity reduction factor of the RMR Unit</w:t>
            </w:r>
            <w:r w:rsidRPr="0013396E">
              <w:rPr>
                <w:i/>
                <w:sz w:val="20"/>
              </w:rPr>
              <w:t xml:space="preserve"> r </w:t>
            </w:r>
            <w:r w:rsidRPr="0013396E">
              <w:rPr>
                <w:sz w:val="20"/>
              </w:rPr>
              <w:t xml:space="preserve">represented by QSE </w:t>
            </w:r>
            <w:r w:rsidRPr="0013396E">
              <w:rPr>
                <w:i/>
                <w:sz w:val="20"/>
              </w:rPr>
              <w:t>q</w:t>
            </w:r>
            <w:r w:rsidRPr="0013396E">
              <w:rPr>
                <w:iCs/>
                <w:sz w:val="20"/>
              </w:rPr>
              <w:t xml:space="preserve">, for the hour.  See paragraph (2) of Section 3.14.1.17, Incentive Factor.  Where for a Combined Cycle Train, the Resource </w:t>
            </w:r>
            <w:r w:rsidRPr="0013396E">
              <w:rPr>
                <w:i/>
                <w:iCs/>
                <w:sz w:val="20"/>
              </w:rPr>
              <w:t xml:space="preserve">r </w:t>
            </w:r>
            <w:r w:rsidRPr="0013396E">
              <w:rPr>
                <w:iCs/>
                <w:sz w:val="20"/>
              </w:rPr>
              <w:t>is the Combined Cycle Train.</w:t>
            </w:r>
          </w:p>
        </w:tc>
      </w:tr>
      <w:tr w:rsidR="00326E23" w:rsidRPr="0013396E" w14:paraId="3516A2D7" w14:textId="77777777" w:rsidTr="009B2773">
        <w:trPr>
          <w:cantSplit/>
        </w:trPr>
        <w:tc>
          <w:tcPr>
            <w:tcW w:w="912" w:type="pct"/>
          </w:tcPr>
          <w:p w14:paraId="54CB3201" w14:textId="77777777" w:rsidR="00326E23" w:rsidRPr="0013396E" w:rsidRDefault="00326E23" w:rsidP="009B2773">
            <w:pPr>
              <w:spacing w:after="60"/>
              <w:rPr>
                <w:iCs/>
                <w:sz w:val="20"/>
              </w:rPr>
            </w:pPr>
            <w:r w:rsidRPr="0013396E">
              <w:rPr>
                <w:iCs/>
                <w:sz w:val="20"/>
              </w:rPr>
              <w:t xml:space="preserve">RMRCCAP </w:t>
            </w:r>
            <w:r w:rsidRPr="0013396E">
              <w:rPr>
                <w:i/>
                <w:iCs/>
                <w:sz w:val="20"/>
                <w:vertAlign w:val="subscript"/>
              </w:rPr>
              <w:t>q, r</w:t>
            </w:r>
          </w:p>
        </w:tc>
        <w:tc>
          <w:tcPr>
            <w:tcW w:w="417" w:type="pct"/>
          </w:tcPr>
          <w:p w14:paraId="124A26AF" w14:textId="77777777" w:rsidR="00326E23" w:rsidRPr="0013396E" w:rsidRDefault="00326E23" w:rsidP="009B2773">
            <w:pPr>
              <w:spacing w:after="60"/>
              <w:rPr>
                <w:iCs/>
                <w:sz w:val="20"/>
              </w:rPr>
            </w:pPr>
            <w:r w:rsidRPr="0013396E">
              <w:rPr>
                <w:iCs/>
                <w:sz w:val="20"/>
              </w:rPr>
              <w:t>MW</w:t>
            </w:r>
          </w:p>
        </w:tc>
        <w:tc>
          <w:tcPr>
            <w:tcW w:w="3671" w:type="pct"/>
          </w:tcPr>
          <w:p w14:paraId="41BAC4A4" w14:textId="77777777" w:rsidR="00326E23" w:rsidRPr="0013396E" w:rsidRDefault="00326E23" w:rsidP="009B2773">
            <w:pPr>
              <w:spacing w:after="60"/>
              <w:rPr>
                <w:iCs/>
                <w:sz w:val="20"/>
              </w:rPr>
            </w:pPr>
            <w:r w:rsidRPr="0013396E">
              <w:rPr>
                <w:i/>
                <w:iCs/>
                <w:sz w:val="20"/>
              </w:rPr>
              <w:t>Reliability Must-Run Contractual Capacity per QSE per Resource</w:t>
            </w:r>
            <w:r w:rsidRPr="0013396E">
              <w:rPr>
                <w:iCs/>
                <w:sz w:val="20"/>
              </w:rPr>
              <w:t xml:space="preserve">—The seasonal capacity of RMR Unit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specified in the RMR Agreement.  The monthly value is allocated evenly across all hours for all days in the month.  Where for a Combined Cycle Train, the Resource </w:t>
            </w:r>
            <w:r w:rsidRPr="0013396E">
              <w:rPr>
                <w:i/>
                <w:iCs/>
                <w:sz w:val="20"/>
              </w:rPr>
              <w:t xml:space="preserve">r </w:t>
            </w:r>
            <w:r w:rsidRPr="0013396E">
              <w:rPr>
                <w:iCs/>
                <w:sz w:val="20"/>
              </w:rPr>
              <w:t>is the Combined Cycle Train.</w:t>
            </w:r>
          </w:p>
        </w:tc>
      </w:tr>
      <w:tr w:rsidR="00326E23" w:rsidRPr="0013396E" w14:paraId="7B902023" w14:textId="77777777" w:rsidTr="009B2773">
        <w:trPr>
          <w:cantSplit/>
        </w:trPr>
        <w:tc>
          <w:tcPr>
            <w:tcW w:w="912" w:type="pct"/>
          </w:tcPr>
          <w:p w14:paraId="4071F516" w14:textId="77777777" w:rsidR="00326E23" w:rsidRPr="0013396E" w:rsidRDefault="00326E23" w:rsidP="009B2773">
            <w:pPr>
              <w:spacing w:after="60"/>
              <w:rPr>
                <w:iCs/>
                <w:sz w:val="20"/>
              </w:rPr>
            </w:pPr>
            <w:r w:rsidRPr="0013396E">
              <w:rPr>
                <w:iCs/>
                <w:sz w:val="20"/>
              </w:rPr>
              <w:t xml:space="preserve">RMRTCAP </w:t>
            </w:r>
            <w:r w:rsidRPr="0013396E">
              <w:rPr>
                <w:i/>
                <w:iCs/>
                <w:sz w:val="20"/>
                <w:vertAlign w:val="subscript"/>
              </w:rPr>
              <w:t>q, r</w:t>
            </w:r>
          </w:p>
        </w:tc>
        <w:tc>
          <w:tcPr>
            <w:tcW w:w="417" w:type="pct"/>
          </w:tcPr>
          <w:p w14:paraId="6ED424CE" w14:textId="77777777" w:rsidR="00326E23" w:rsidRPr="0013396E" w:rsidRDefault="00326E23" w:rsidP="009B2773">
            <w:pPr>
              <w:spacing w:after="60"/>
              <w:rPr>
                <w:iCs/>
                <w:sz w:val="20"/>
              </w:rPr>
            </w:pPr>
            <w:r w:rsidRPr="0013396E">
              <w:rPr>
                <w:iCs/>
                <w:sz w:val="20"/>
              </w:rPr>
              <w:t>MW</w:t>
            </w:r>
          </w:p>
        </w:tc>
        <w:tc>
          <w:tcPr>
            <w:tcW w:w="3671" w:type="pct"/>
          </w:tcPr>
          <w:p w14:paraId="5B94EE8B" w14:textId="77777777" w:rsidR="00326E23" w:rsidRPr="0013396E" w:rsidRDefault="00326E23" w:rsidP="009B2773">
            <w:pPr>
              <w:spacing w:after="60"/>
              <w:rPr>
                <w:iCs/>
                <w:sz w:val="20"/>
              </w:rPr>
            </w:pPr>
            <w:r w:rsidRPr="0013396E">
              <w:rPr>
                <w:i/>
                <w:iCs/>
                <w:sz w:val="20"/>
              </w:rPr>
              <w:t>Reliability Must-Run Testing Capacity by hour</w:t>
            </w:r>
            <w:r w:rsidRPr="0013396E">
              <w:rPr>
                <w:iCs/>
                <w:sz w:val="20"/>
              </w:rPr>
              <w:t>—The testing capacity of RMR Unit</w:t>
            </w:r>
            <w:r w:rsidRPr="0013396E">
              <w:rPr>
                <w:i/>
                <w:iCs/>
                <w:sz w:val="20"/>
              </w:rPr>
              <w:t xml:space="preserve"> r</w:t>
            </w:r>
            <w:r w:rsidRPr="0013396E">
              <w:rPr>
                <w:iCs/>
                <w:sz w:val="20"/>
              </w:rPr>
              <w:t xml:space="preserve"> represented by QSE </w:t>
            </w:r>
            <w:r w:rsidRPr="0013396E">
              <w:rPr>
                <w:i/>
                <w:iCs/>
                <w:sz w:val="20"/>
              </w:rPr>
              <w:t>q</w:t>
            </w:r>
            <w:r w:rsidRPr="0013396E">
              <w:rPr>
                <w:iCs/>
                <w:sz w:val="20"/>
              </w:rPr>
              <w:t xml:space="preserve">, for the hour.  Where for a Combined Cycle Train, the Resource </w:t>
            </w:r>
            <w:r w:rsidRPr="0013396E">
              <w:rPr>
                <w:i/>
                <w:iCs/>
                <w:sz w:val="20"/>
              </w:rPr>
              <w:t xml:space="preserve">r </w:t>
            </w:r>
            <w:r w:rsidRPr="0013396E">
              <w:rPr>
                <w:iCs/>
                <w:sz w:val="20"/>
              </w:rPr>
              <w:t>is the Combined Cycle Train.</w:t>
            </w:r>
          </w:p>
        </w:tc>
      </w:tr>
      <w:tr w:rsidR="00326E23" w:rsidRPr="0013396E" w14:paraId="2EBE4A2D" w14:textId="77777777" w:rsidTr="009B2773">
        <w:trPr>
          <w:cantSplit/>
        </w:trPr>
        <w:tc>
          <w:tcPr>
            <w:tcW w:w="912" w:type="pct"/>
          </w:tcPr>
          <w:p w14:paraId="632DD028" w14:textId="77777777" w:rsidR="00326E23" w:rsidRPr="0013396E" w:rsidRDefault="00326E23" w:rsidP="009B2773">
            <w:pPr>
              <w:spacing w:after="60"/>
              <w:rPr>
                <w:iCs/>
                <w:sz w:val="20"/>
              </w:rPr>
            </w:pPr>
            <w:r w:rsidRPr="0013396E">
              <w:rPr>
                <w:iCs/>
                <w:sz w:val="20"/>
              </w:rPr>
              <w:t xml:space="preserve">RMRTA </w:t>
            </w:r>
            <w:r w:rsidRPr="0013396E">
              <w:rPr>
                <w:i/>
                <w:iCs/>
                <w:sz w:val="20"/>
                <w:vertAlign w:val="subscript"/>
              </w:rPr>
              <w:t>q, r</w:t>
            </w:r>
          </w:p>
        </w:tc>
        <w:tc>
          <w:tcPr>
            <w:tcW w:w="417" w:type="pct"/>
          </w:tcPr>
          <w:p w14:paraId="6F9768AB" w14:textId="77777777" w:rsidR="00326E23" w:rsidRPr="0013396E" w:rsidRDefault="00326E23" w:rsidP="009B2773">
            <w:pPr>
              <w:spacing w:after="60"/>
              <w:rPr>
                <w:iCs/>
                <w:sz w:val="20"/>
              </w:rPr>
            </w:pPr>
            <w:r w:rsidRPr="0013396E">
              <w:rPr>
                <w:iCs/>
                <w:sz w:val="20"/>
              </w:rPr>
              <w:t>none</w:t>
            </w:r>
          </w:p>
        </w:tc>
        <w:tc>
          <w:tcPr>
            <w:tcW w:w="3671" w:type="pct"/>
          </w:tcPr>
          <w:p w14:paraId="1E9755AB" w14:textId="77777777" w:rsidR="00326E23" w:rsidRPr="0013396E" w:rsidRDefault="00326E23" w:rsidP="009B2773">
            <w:pPr>
              <w:spacing w:after="60"/>
              <w:rPr>
                <w:iCs/>
                <w:sz w:val="20"/>
              </w:rPr>
            </w:pPr>
            <w:r w:rsidRPr="0013396E">
              <w:rPr>
                <w:i/>
                <w:iCs/>
                <w:sz w:val="20"/>
              </w:rPr>
              <w:t>Reliability Must-Run Target Availability per QSE per Resource</w:t>
            </w:r>
            <w:r w:rsidRPr="0013396E">
              <w:rPr>
                <w:iCs/>
                <w:sz w:val="20"/>
              </w:rPr>
              <w:t>—The Target Availability of RMR Unit</w:t>
            </w:r>
            <w:r w:rsidRPr="0013396E">
              <w:rPr>
                <w:i/>
                <w:iCs/>
                <w:sz w:val="20"/>
              </w:rPr>
              <w:t xml:space="preserve"> r</w:t>
            </w:r>
            <w:r w:rsidRPr="0013396E">
              <w:rPr>
                <w:iCs/>
                <w:sz w:val="20"/>
              </w:rPr>
              <w:t xml:space="preserve"> represented by QSE </w:t>
            </w:r>
            <w:r w:rsidRPr="0013396E">
              <w:rPr>
                <w:i/>
                <w:iCs/>
                <w:sz w:val="20"/>
              </w:rPr>
              <w:t>q</w:t>
            </w:r>
            <w:r w:rsidRPr="0013396E">
              <w:rPr>
                <w:iCs/>
                <w:sz w:val="20"/>
              </w:rPr>
              <w:t xml:space="preserve">, as specified in the RMR Agreement and divided by 100 to convert a percentage to a fraction.  Where for a Combined Cycle Train, the Resource </w:t>
            </w:r>
            <w:r w:rsidRPr="0013396E">
              <w:rPr>
                <w:i/>
                <w:iCs/>
                <w:sz w:val="20"/>
              </w:rPr>
              <w:t xml:space="preserve">r </w:t>
            </w:r>
            <w:r w:rsidRPr="0013396E">
              <w:rPr>
                <w:iCs/>
                <w:sz w:val="20"/>
              </w:rPr>
              <w:t>is the Combined Cycle Train.</w:t>
            </w:r>
          </w:p>
        </w:tc>
      </w:tr>
      <w:tr w:rsidR="00326E23" w:rsidRPr="0013396E" w14:paraId="7D5918E0" w14:textId="77777777" w:rsidTr="009B2773">
        <w:trPr>
          <w:cantSplit/>
        </w:trPr>
        <w:tc>
          <w:tcPr>
            <w:tcW w:w="912" w:type="pct"/>
          </w:tcPr>
          <w:p w14:paraId="55307E02" w14:textId="77777777" w:rsidR="00326E23" w:rsidRPr="0013396E" w:rsidRDefault="00326E23" w:rsidP="009B2773">
            <w:pPr>
              <w:spacing w:after="60"/>
              <w:rPr>
                <w:iCs/>
                <w:sz w:val="20"/>
              </w:rPr>
            </w:pPr>
            <w:r w:rsidRPr="0013396E">
              <w:rPr>
                <w:iCs/>
                <w:sz w:val="20"/>
              </w:rPr>
              <w:t xml:space="preserve">RMRHREAF </w:t>
            </w:r>
            <w:r w:rsidRPr="0013396E">
              <w:rPr>
                <w:i/>
                <w:iCs/>
                <w:sz w:val="20"/>
                <w:vertAlign w:val="subscript"/>
              </w:rPr>
              <w:t>q, r</w:t>
            </w:r>
          </w:p>
        </w:tc>
        <w:tc>
          <w:tcPr>
            <w:tcW w:w="417" w:type="pct"/>
          </w:tcPr>
          <w:p w14:paraId="405EEE84" w14:textId="77777777" w:rsidR="00326E23" w:rsidRPr="0013396E" w:rsidRDefault="00326E23" w:rsidP="009B2773">
            <w:pPr>
              <w:spacing w:after="60"/>
              <w:rPr>
                <w:iCs/>
                <w:sz w:val="20"/>
              </w:rPr>
            </w:pPr>
            <w:r w:rsidRPr="0013396E">
              <w:rPr>
                <w:iCs/>
                <w:sz w:val="20"/>
              </w:rPr>
              <w:t>none</w:t>
            </w:r>
          </w:p>
        </w:tc>
        <w:tc>
          <w:tcPr>
            <w:tcW w:w="3671" w:type="pct"/>
          </w:tcPr>
          <w:p w14:paraId="14F104FD" w14:textId="77777777" w:rsidR="00326E23" w:rsidRPr="0013396E" w:rsidRDefault="00326E23" w:rsidP="009B2773">
            <w:pPr>
              <w:spacing w:after="60"/>
              <w:rPr>
                <w:iCs/>
                <w:sz w:val="20"/>
              </w:rPr>
            </w:pPr>
            <w:r w:rsidRPr="0013396E">
              <w:rPr>
                <w:i/>
                <w:iCs/>
                <w:sz w:val="20"/>
              </w:rPr>
              <w:t>Reliability Must-Run Hourly Rolling Equivalent Availability Factor per QSE per Resource by hour</w:t>
            </w:r>
            <w:r w:rsidRPr="0013396E">
              <w:rPr>
                <w:iCs/>
                <w:sz w:val="20"/>
              </w:rPr>
              <w:t xml:space="preserve">—The equivalent availability factor of RMR Unit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over the current hour plus the prior 4379 hours</w:t>
            </w:r>
            <w:r w:rsidRPr="0013396E">
              <w:rPr>
                <w:sz w:val="20"/>
              </w:rPr>
              <w:t xml:space="preserve"> for which availability is required under the RMR Agreement</w:t>
            </w:r>
            <w:r w:rsidRPr="0013396E">
              <w:rPr>
                <w:iCs/>
                <w:sz w:val="20"/>
              </w:rPr>
              <w:t xml:space="preserve">, for the hour.  Where for a Combined Cycle Train, the Resource </w:t>
            </w:r>
            <w:r w:rsidRPr="0013396E">
              <w:rPr>
                <w:i/>
                <w:iCs/>
                <w:sz w:val="20"/>
              </w:rPr>
              <w:t xml:space="preserve">r </w:t>
            </w:r>
            <w:r w:rsidRPr="0013396E">
              <w:rPr>
                <w:iCs/>
                <w:sz w:val="20"/>
              </w:rPr>
              <w:t>is the Combined Cycle Train. The available capacity is calculated in accordance with paragraph (3) of Section 3.14.1.17.</w:t>
            </w:r>
          </w:p>
        </w:tc>
      </w:tr>
      <w:tr w:rsidR="00326E23" w:rsidRPr="0013396E" w14:paraId="654B4A5A" w14:textId="77777777" w:rsidTr="009B2773">
        <w:trPr>
          <w:cantSplit/>
        </w:trPr>
        <w:tc>
          <w:tcPr>
            <w:tcW w:w="912" w:type="pct"/>
          </w:tcPr>
          <w:p w14:paraId="5E1C47B4" w14:textId="77777777" w:rsidR="00326E23" w:rsidRPr="0013396E" w:rsidRDefault="00326E23" w:rsidP="009B2773">
            <w:pPr>
              <w:pStyle w:val="Default"/>
              <w:rPr>
                <w:rFonts w:ascii="Times New Roman" w:hAnsi="Times New Roman" w:cs="Times New Roman"/>
                <w:sz w:val="13"/>
                <w:szCs w:val="13"/>
              </w:rPr>
            </w:pPr>
            <w:r w:rsidRPr="0013396E">
              <w:rPr>
                <w:rFonts w:ascii="Times New Roman" w:hAnsi="Times New Roman" w:cs="Times New Roman"/>
                <w:sz w:val="20"/>
                <w:szCs w:val="20"/>
              </w:rPr>
              <w:t xml:space="preserve">RMRMNFNCC </w:t>
            </w:r>
            <w:r w:rsidRPr="0013396E">
              <w:rPr>
                <w:rFonts w:ascii="Times New Roman" w:hAnsi="Times New Roman" w:cs="Times New Roman"/>
                <w:i/>
                <w:iCs/>
                <w:sz w:val="13"/>
                <w:szCs w:val="13"/>
              </w:rPr>
              <w:t xml:space="preserve">q, r </w:t>
            </w:r>
          </w:p>
        </w:tc>
        <w:tc>
          <w:tcPr>
            <w:tcW w:w="417" w:type="pct"/>
          </w:tcPr>
          <w:p w14:paraId="7DF7A7D1" w14:textId="77777777" w:rsidR="00326E23" w:rsidRPr="0013396E" w:rsidRDefault="00326E23" w:rsidP="009B2773">
            <w:pPr>
              <w:pStyle w:val="Default"/>
              <w:rPr>
                <w:sz w:val="20"/>
                <w:szCs w:val="20"/>
              </w:rPr>
            </w:pPr>
            <w:r w:rsidRPr="0013396E">
              <w:rPr>
                <w:sz w:val="20"/>
                <w:szCs w:val="20"/>
              </w:rPr>
              <w:t xml:space="preserve">$ </w:t>
            </w:r>
          </w:p>
        </w:tc>
        <w:tc>
          <w:tcPr>
            <w:tcW w:w="3671" w:type="pct"/>
          </w:tcPr>
          <w:p w14:paraId="20EDFE8E" w14:textId="77777777" w:rsidR="00326E23" w:rsidRPr="0013396E" w:rsidRDefault="00326E23" w:rsidP="009B2773">
            <w:pPr>
              <w:pStyle w:val="Default"/>
              <w:rPr>
                <w:rFonts w:ascii="Times New Roman" w:hAnsi="Times New Roman" w:cs="Times New Roman"/>
                <w:sz w:val="20"/>
                <w:szCs w:val="20"/>
              </w:rPr>
            </w:pPr>
            <w:r w:rsidRPr="0013396E">
              <w:rPr>
                <w:rFonts w:ascii="Times New Roman" w:hAnsi="Times New Roman" w:cs="Times New Roman"/>
                <w:i/>
                <w:iCs/>
                <w:sz w:val="20"/>
                <w:szCs w:val="20"/>
              </w:rPr>
              <w:t>Reliability Must-Run Monthly Non-Fuel Non-Capital Cost per QSE per Resource</w:t>
            </w:r>
            <w:r w:rsidRPr="0013396E">
              <w:rPr>
                <w:rFonts w:ascii="Times New Roman" w:hAnsi="Times New Roman" w:cs="Times New Roman"/>
                <w:sz w:val="20"/>
                <w:szCs w:val="20"/>
              </w:rPr>
              <w:t xml:space="preserve">—The actual non-capital and non-fuel Eligible Cost of RMR Unit </w:t>
            </w:r>
            <w:r w:rsidRPr="0013396E">
              <w:rPr>
                <w:rFonts w:ascii="Times New Roman" w:hAnsi="Times New Roman" w:cs="Times New Roman"/>
                <w:i/>
                <w:iCs/>
                <w:sz w:val="20"/>
                <w:szCs w:val="20"/>
              </w:rPr>
              <w:t xml:space="preserve">r </w:t>
            </w:r>
            <w:r w:rsidRPr="0013396E">
              <w:rPr>
                <w:rFonts w:ascii="Times New Roman" w:hAnsi="Times New Roman" w:cs="Times New Roman"/>
                <w:sz w:val="20"/>
                <w:szCs w:val="20"/>
              </w:rPr>
              <w:t xml:space="preserve">represented by QSE </w:t>
            </w:r>
            <w:r w:rsidRPr="0013396E">
              <w:rPr>
                <w:rFonts w:ascii="Times New Roman" w:hAnsi="Times New Roman" w:cs="Times New Roman"/>
                <w:i/>
                <w:iCs/>
                <w:sz w:val="20"/>
                <w:szCs w:val="20"/>
              </w:rPr>
              <w:t>q</w:t>
            </w:r>
            <w:r w:rsidRPr="0013396E">
              <w:rPr>
                <w:rFonts w:ascii="Times New Roman" w:hAnsi="Times New Roman" w:cs="Times New Roman"/>
                <w:sz w:val="20"/>
                <w:szCs w:val="20"/>
              </w:rPr>
              <w:t xml:space="preserve">, for the month. Where for a Combined Cycle Train, the Resource </w:t>
            </w:r>
            <w:r w:rsidRPr="0013396E">
              <w:rPr>
                <w:rFonts w:ascii="Times New Roman" w:hAnsi="Times New Roman" w:cs="Times New Roman"/>
                <w:i/>
                <w:iCs/>
                <w:sz w:val="20"/>
                <w:szCs w:val="20"/>
              </w:rPr>
              <w:t xml:space="preserve">r </w:t>
            </w:r>
            <w:r w:rsidRPr="0013396E">
              <w:rPr>
                <w:rFonts w:ascii="Times New Roman" w:hAnsi="Times New Roman" w:cs="Times New Roman"/>
                <w:sz w:val="20"/>
                <w:szCs w:val="20"/>
              </w:rPr>
              <w:t xml:space="preserve">is the Combined Cycle Train. </w:t>
            </w:r>
          </w:p>
        </w:tc>
      </w:tr>
      <w:tr w:rsidR="00326E23" w:rsidRPr="0013396E" w14:paraId="79DA2E83" w14:textId="77777777" w:rsidTr="009B2773">
        <w:trPr>
          <w:cantSplit/>
        </w:trPr>
        <w:tc>
          <w:tcPr>
            <w:tcW w:w="912" w:type="pct"/>
          </w:tcPr>
          <w:p w14:paraId="14704473" w14:textId="77777777" w:rsidR="00326E23" w:rsidRPr="0013396E" w:rsidRDefault="00326E23" w:rsidP="009B2773">
            <w:pPr>
              <w:pStyle w:val="Default"/>
              <w:rPr>
                <w:rFonts w:ascii="Times New Roman" w:hAnsi="Times New Roman" w:cs="Times New Roman"/>
                <w:sz w:val="13"/>
                <w:szCs w:val="13"/>
              </w:rPr>
            </w:pPr>
            <w:r w:rsidRPr="0013396E">
              <w:rPr>
                <w:rFonts w:ascii="Times New Roman" w:hAnsi="Times New Roman" w:cs="Times New Roman"/>
                <w:sz w:val="20"/>
                <w:szCs w:val="20"/>
              </w:rPr>
              <w:t xml:space="preserve">RMRMNFCC </w:t>
            </w:r>
            <w:r w:rsidRPr="0013396E">
              <w:rPr>
                <w:rFonts w:ascii="Times New Roman" w:hAnsi="Times New Roman" w:cs="Times New Roman"/>
                <w:i/>
                <w:iCs/>
                <w:sz w:val="13"/>
                <w:szCs w:val="13"/>
              </w:rPr>
              <w:t xml:space="preserve">q, r </w:t>
            </w:r>
          </w:p>
        </w:tc>
        <w:tc>
          <w:tcPr>
            <w:tcW w:w="417" w:type="pct"/>
          </w:tcPr>
          <w:p w14:paraId="31FEBCE1" w14:textId="77777777" w:rsidR="00326E23" w:rsidRPr="0013396E" w:rsidRDefault="00326E23" w:rsidP="009B2773">
            <w:pPr>
              <w:pStyle w:val="Default"/>
              <w:rPr>
                <w:sz w:val="20"/>
                <w:szCs w:val="20"/>
              </w:rPr>
            </w:pPr>
            <w:r w:rsidRPr="0013396E">
              <w:rPr>
                <w:sz w:val="20"/>
                <w:szCs w:val="20"/>
              </w:rPr>
              <w:t xml:space="preserve">$ </w:t>
            </w:r>
          </w:p>
        </w:tc>
        <w:tc>
          <w:tcPr>
            <w:tcW w:w="3671" w:type="pct"/>
          </w:tcPr>
          <w:p w14:paraId="14A0DA0F" w14:textId="77777777" w:rsidR="00326E23" w:rsidRPr="0013396E" w:rsidRDefault="00326E23" w:rsidP="009B2773">
            <w:pPr>
              <w:pStyle w:val="Default"/>
              <w:rPr>
                <w:rFonts w:ascii="Times New Roman" w:hAnsi="Times New Roman" w:cs="Times New Roman"/>
                <w:sz w:val="20"/>
                <w:szCs w:val="20"/>
              </w:rPr>
            </w:pPr>
            <w:r w:rsidRPr="0013396E">
              <w:rPr>
                <w:rFonts w:ascii="Times New Roman" w:hAnsi="Times New Roman" w:cs="Times New Roman"/>
                <w:i/>
                <w:iCs/>
                <w:sz w:val="20"/>
                <w:szCs w:val="20"/>
              </w:rPr>
              <w:t>Reliability Must-Run Monthly Non-Fuel Capital Cost per QSE per Resource</w:t>
            </w:r>
            <w:r w:rsidRPr="0013396E">
              <w:rPr>
                <w:rFonts w:ascii="Times New Roman" w:hAnsi="Times New Roman" w:cs="Times New Roman"/>
                <w:sz w:val="20"/>
                <w:szCs w:val="20"/>
              </w:rPr>
              <w:t xml:space="preserve">—The actual non-fuel and capital Eligible Cost of RMR Unit </w:t>
            </w:r>
            <w:r w:rsidRPr="0013396E">
              <w:rPr>
                <w:rFonts w:ascii="Times New Roman" w:hAnsi="Times New Roman" w:cs="Times New Roman"/>
                <w:i/>
                <w:iCs/>
                <w:sz w:val="20"/>
                <w:szCs w:val="20"/>
              </w:rPr>
              <w:t xml:space="preserve">r </w:t>
            </w:r>
            <w:r w:rsidRPr="0013396E">
              <w:rPr>
                <w:rFonts w:ascii="Times New Roman" w:hAnsi="Times New Roman" w:cs="Times New Roman"/>
                <w:sz w:val="20"/>
                <w:szCs w:val="20"/>
              </w:rPr>
              <w:t xml:space="preserve">represented by QSE </w:t>
            </w:r>
            <w:r w:rsidRPr="0013396E">
              <w:rPr>
                <w:rFonts w:ascii="Times New Roman" w:hAnsi="Times New Roman" w:cs="Times New Roman"/>
                <w:i/>
                <w:iCs/>
                <w:sz w:val="20"/>
                <w:szCs w:val="20"/>
              </w:rPr>
              <w:t>q</w:t>
            </w:r>
            <w:r w:rsidRPr="0013396E">
              <w:rPr>
                <w:rFonts w:ascii="Times New Roman" w:hAnsi="Times New Roman" w:cs="Times New Roman"/>
                <w:sz w:val="20"/>
                <w:szCs w:val="20"/>
              </w:rPr>
              <w:t xml:space="preserve">, for the month. Where for a Combined Cycle Train, the Resource </w:t>
            </w:r>
            <w:r w:rsidRPr="0013396E">
              <w:rPr>
                <w:rFonts w:ascii="Times New Roman" w:hAnsi="Times New Roman" w:cs="Times New Roman"/>
                <w:i/>
                <w:iCs/>
                <w:sz w:val="20"/>
                <w:szCs w:val="20"/>
              </w:rPr>
              <w:t xml:space="preserve">r </w:t>
            </w:r>
            <w:r w:rsidRPr="0013396E">
              <w:rPr>
                <w:rFonts w:ascii="Times New Roman" w:hAnsi="Times New Roman" w:cs="Times New Roman"/>
                <w:sz w:val="20"/>
                <w:szCs w:val="20"/>
              </w:rPr>
              <w:t>is the Combined Cycle Train. Notwithstanding the above, reservation and transportation costs associated with firm fuel supplies as described in paragraph (1)(a)(vi) of Section 3.14.1.10, Eligible Costs, shall be included herein.</w:t>
            </w:r>
          </w:p>
        </w:tc>
      </w:tr>
      <w:tr w:rsidR="00326E23" w:rsidRPr="0013396E" w14:paraId="59605233" w14:textId="77777777" w:rsidTr="009B2773">
        <w:trPr>
          <w:cantSplit/>
        </w:trPr>
        <w:tc>
          <w:tcPr>
            <w:tcW w:w="912" w:type="pct"/>
            <w:tcBorders>
              <w:top w:val="single" w:sz="4" w:space="0" w:color="auto"/>
              <w:left w:val="single" w:sz="4" w:space="0" w:color="auto"/>
              <w:bottom w:val="single" w:sz="4" w:space="0" w:color="auto"/>
              <w:right w:val="single" w:sz="4" w:space="0" w:color="auto"/>
            </w:tcBorders>
          </w:tcPr>
          <w:p w14:paraId="42375937" w14:textId="77777777" w:rsidR="00326E23" w:rsidRPr="0013396E" w:rsidRDefault="00326E23" w:rsidP="009B2773">
            <w:pPr>
              <w:spacing w:after="60"/>
              <w:rPr>
                <w:iCs/>
                <w:sz w:val="20"/>
              </w:rPr>
            </w:pPr>
            <w:r w:rsidRPr="0013396E">
              <w:rPr>
                <w:iCs/>
                <w:sz w:val="20"/>
              </w:rPr>
              <w:t xml:space="preserve">MH </w:t>
            </w:r>
            <w:r w:rsidRPr="0013396E">
              <w:rPr>
                <w:i/>
                <w:iCs/>
                <w:sz w:val="20"/>
                <w:vertAlign w:val="subscript"/>
              </w:rPr>
              <w:t>q, r</w:t>
            </w:r>
          </w:p>
        </w:tc>
        <w:tc>
          <w:tcPr>
            <w:tcW w:w="417" w:type="pct"/>
            <w:tcBorders>
              <w:top w:val="single" w:sz="4" w:space="0" w:color="auto"/>
              <w:left w:val="single" w:sz="4" w:space="0" w:color="auto"/>
              <w:bottom w:val="single" w:sz="4" w:space="0" w:color="auto"/>
              <w:right w:val="single" w:sz="4" w:space="0" w:color="auto"/>
            </w:tcBorders>
          </w:tcPr>
          <w:p w14:paraId="6066761C" w14:textId="77777777" w:rsidR="00326E23" w:rsidRPr="0013396E" w:rsidRDefault="00326E23" w:rsidP="009B2773">
            <w:pPr>
              <w:spacing w:after="60"/>
              <w:rPr>
                <w:iCs/>
                <w:sz w:val="20"/>
              </w:rPr>
            </w:pPr>
            <w:r w:rsidRPr="0013396E">
              <w:rPr>
                <w:iCs/>
                <w:sz w:val="20"/>
              </w:rPr>
              <w:t>hour</w:t>
            </w:r>
          </w:p>
        </w:tc>
        <w:tc>
          <w:tcPr>
            <w:tcW w:w="3671" w:type="pct"/>
            <w:tcBorders>
              <w:top w:val="single" w:sz="4" w:space="0" w:color="auto"/>
              <w:left w:val="single" w:sz="4" w:space="0" w:color="auto"/>
              <w:bottom w:val="single" w:sz="4" w:space="0" w:color="auto"/>
              <w:right w:val="single" w:sz="4" w:space="0" w:color="auto"/>
            </w:tcBorders>
          </w:tcPr>
          <w:p w14:paraId="55CDF5EC" w14:textId="77777777" w:rsidR="00326E23" w:rsidRPr="0013396E" w:rsidRDefault="00326E23" w:rsidP="009B2773">
            <w:pPr>
              <w:spacing w:after="60"/>
              <w:rPr>
                <w:iCs/>
                <w:sz w:val="20"/>
              </w:rPr>
            </w:pPr>
            <w:r w:rsidRPr="0013396E">
              <w:rPr>
                <w:i/>
                <w:iCs/>
                <w:sz w:val="20"/>
              </w:rPr>
              <w:t>Number of Hours in the Month per QSE per Resource</w:t>
            </w:r>
            <w:r w:rsidRPr="0013396E">
              <w:rPr>
                <w:iCs/>
                <w:sz w:val="20"/>
              </w:rPr>
              <w:t>—The total number of hours of the month, when RMR Unit</w:t>
            </w:r>
            <w:r w:rsidRPr="0013396E">
              <w:rPr>
                <w:i/>
                <w:iCs/>
                <w:sz w:val="20"/>
              </w:rPr>
              <w:t xml:space="preserve"> r</w:t>
            </w:r>
            <w:r w:rsidRPr="0013396E">
              <w:rPr>
                <w:iCs/>
                <w:sz w:val="20"/>
              </w:rPr>
              <w:t xml:space="preserve"> represented by QSE </w:t>
            </w:r>
            <w:r w:rsidRPr="0013396E">
              <w:rPr>
                <w:i/>
                <w:iCs/>
                <w:sz w:val="20"/>
              </w:rPr>
              <w:t>q</w:t>
            </w:r>
            <w:r w:rsidRPr="0013396E">
              <w:rPr>
                <w:iCs/>
                <w:sz w:val="20"/>
              </w:rPr>
              <w:t xml:space="preserve"> is under an RMR Agreement.  Where for a Combined Cycle Train, the Resource </w:t>
            </w:r>
            <w:r w:rsidRPr="0013396E">
              <w:rPr>
                <w:i/>
                <w:iCs/>
                <w:sz w:val="20"/>
              </w:rPr>
              <w:t xml:space="preserve">r </w:t>
            </w:r>
            <w:r w:rsidRPr="0013396E">
              <w:rPr>
                <w:iCs/>
                <w:sz w:val="20"/>
              </w:rPr>
              <w:t>is the Combined Cycle Train.</w:t>
            </w:r>
          </w:p>
        </w:tc>
      </w:tr>
      <w:tr w:rsidR="00326E23" w:rsidRPr="0013396E" w14:paraId="4D655C0E" w14:textId="77777777" w:rsidTr="009B2773">
        <w:trPr>
          <w:cantSplit/>
        </w:trPr>
        <w:tc>
          <w:tcPr>
            <w:tcW w:w="912" w:type="pct"/>
          </w:tcPr>
          <w:p w14:paraId="5F3E44D8" w14:textId="77777777" w:rsidR="00326E23" w:rsidRPr="0013396E" w:rsidRDefault="00326E23" w:rsidP="009B2773">
            <w:pPr>
              <w:spacing w:after="60"/>
              <w:rPr>
                <w:iCs/>
                <w:sz w:val="20"/>
              </w:rPr>
            </w:pPr>
            <w:r w:rsidRPr="0013396E">
              <w:rPr>
                <w:iCs/>
                <w:sz w:val="20"/>
              </w:rPr>
              <w:t>RMRIF</w:t>
            </w:r>
          </w:p>
        </w:tc>
        <w:tc>
          <w:tcPr>
            <w:tcW w:w="417" w:type="pct"/>
          </w:tcPr>
          <w:p w14:paraId="72E3F5E5" w14:textId="77777777" w:rsidR="00326E23" w:rsidRPr="0013396E" w:rsidRDefault="00326E23" w:rsidP="009B2773">
            <w:pPr>
              <w:spacing w:after="60"/>
              <w:rPr>
                <w:iCs/>
                <w:sz w:val="20"/>
              </w:rPr>
            </w:pPr>
            <w:r w:rsidRPr="0013396E">
              <w:rPr>
                <w:iCs/>
                <w:sz w:val="20"/>
              </w:rPr>
              <w:t>none</w:t>
            </w:r>
          </w:p>
        </w:tc>
        <w:tc>
          <w:tcPr>
            <w:tcW w:w="3671" w:type="pct"/>
          </w:tcPr>
          <w:p w14:paraId="2E5D53D2" w14:textId="77777777" w:rsidR="00326E23" w:rsidRPr="0013396E" w:rsidRDefault="00326E23" w:rsidP="009B2773">
            <w:pPr>
              <w:spacing w:after="60"/>
              <w:rPr>
                <w:iCs/>
                <w:sz w:val="20"/>
              </w:rPr>
            </w:pPr>
            <w:r w:rsidRPr="0013396E">
              <w:rPr>
                <w:i/>
                <w:iCs/>
                <w:sz w:val="20"/>
              </w:rPr>
              <w:t>Reliability Must Run Incentive Factor</w:t>
            </w:r>
            <w:r w:rsidRPr="0013396E">
              <w:rPr>
                <w:iCs/>
                <w:sz w:val="20"/>
              </w:rPr>
              <w:t>—The Incentive Factor of RMR Units under RMR Agreement.</w:t>
            </w:r>
          </w:p>
        </w:tc>
      </w:tr>
      <w:tr w:rsidR="00326E23" w:rsidRPr="0013396E" w14:paraId="64C20E78" w14:textId="77777777" w:rsidTr="009B2773">
        <w:trPr>
          <w:cantSplit/>
        </w:trPr>
        <w:tc>
          <w:tcPr>
            <w:tcW w:w="912" w:type="pct"/>
          </w:tcPr>
          <w:p w14:paraId="44896AD7" w14:textId="77777777" w:rsidR="00326E23" w:rsidRPr="0013396E" w:rsidRDefault="00326E23" w:rsidP="009B2773">
            <w:pPr>
              <w:spacing w:after="60"/>
              <w:rPr>
                <w:iCs/>
                <w:sz w:val="20"/>
              </w:rPr>
            </w:pPr>
            <w:r w:rsidRPr="0013396E">
              <w:rPr>
                <w:iCs/>
                <w:sz w:val="20"/>
              </w:rPr>
              <w:t xml:space="preserve">RMRARF </w:t>
            </w:r>
            <w:r w:rsidRPr="0013396E">
              <w:rPr>
                <w:i/>
                <w:iCs/>
                <w:sz w:val="20"/>
                <w:vertAlign w:val="subscript"/>
              </w:rPr>
              <w:t>q, r</w:t>
            </w:r>
          </w:p>
        </w:tc>
        <w:tc>
          <w:tcPr>
            <w:tcW w:w="417" w:type="pct"/>
          </w:tcPr>
          <w:p w14:paraId="66D48734" w14:textId="77777777" w:rsidR="00326E23" w:rsidRPr="0013396E" w:rsidRDefault="00326E23" w:rsidP="009B2773">
            <w:pPr>
              <w:spacing w:after="60"/>
              <w:rPr>
                <w:iCs/>
                <w:sz w:val="20"/>
              </w:rPr>
            </w:pPr>
            <w:r w:rsidRPr="0013396E">
              <w:rPr>
                <w:iCs/>
                <w:sz w:val="20"/>
              </w:rPr>
              <w:t>none</w:t>
            </w:r>
          </w:p>
        </w:tc>
        <w:tc>
          <w:tcPr>
            <w:tcW w:w="3671" w:type="pct"/>
          </w:tcPr>
          <w:p w14:paraId="0253D293" w14:textId="77777777" w:rsidR="00326E23" w:rsidRPr="0013396E" w:rsidRDefault="00326E23" w:rsidP="009B2773">
            <w:pPr>
              <w:spacing w:after="60"/>
              <w:rPr>
                <w:iCs/>
                <w:sz w:val="20"/>
              </w:rPr>
            </w:pPr>
            <w:r w:rsidRPr="0013396E">
              <w:rPr>
                <w:i/>
                <w:iCs/>
                <w:sz w:val="20"/>
              </w:rPr>
              <w:t>Reliability Must-Run Availability Reduction Factor per QSE per Resource by hour</w:t>
            </w:r>
            <w:r w:rsidRPr="0013396E">
              <w:rPr>
                <w:iCs/>
                <w:sz w:val="20"/>
              </w:rPr>
              <w:t xml:space="preserve">—The availability reduction factor of RMR Unit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calculated for the hour.  Where for a Combined Cycle Train, the Resource </w:t>
            </w:r>
            <w:r w:rsidRPr="0013396E">
              <w:rPr>
                <w:i/>
                <w:iCs/>
                <w:sz w:val="20"/>
              </w:rPr>
              <w:t xml:space="preserve">r </w:t>
            </w:r>
            <w:r w:rsidRPr="0013396E">
              <w:rPr>
                <w:iCs/>
                <w:sz w:val="20"/>
              </w:rPr>
              <w:t>is the Combined Cycle Train.</w:t>
            </w:r>
          </w:p>
        </w:tc>
      </w:tr>
      <w:tr w:rsidR="00326E23" w:rsidRPr="0013396E" w14:paraId="262D7D0E" w14:textId="77777777" w:rsidTr="009B2773">
        <w:trPr>
          <w:cantSplit/>
        </w:trPr>
        <w:tc>
          <w:tcPr>
            <w:tcW w:w="912" w:type="pct"/>
          </w:tcPr>
          <w:p w14:paraId="03B1ECDD" w14:textId="77777777" w:rsidR="00326E23" w:rsidRPr="0013396E" w:rsidRDefault="00326E23" w:rsidP="009B2773">
            <w:pPr>
              <w:spacing w:after="60"/>
              <w:rPr>
                <w:iCs/>
                <w:sz w:val="20"/>
              </w:rPr>
            </w:pPr>
            <w:r w:rsidRPr="0013396E">
              <w:rPr>
                <w:iCs/>
                <w:sz w:val="20"/>
              </w:rPr>
              <w:lastRenderedPageBreak/>
              <w:t xml:space="preserve">HSL </w:t>
            </w:r>
            <w:r w:rsidRPr="0013396E">
              <w:rPr>
                <w:i/>
                <w:iCs/>
                <w:sz w:val="20"/>
                <w:vertAlign w:val="subscript"/>
              </w:rPr>
              <w:t>q, r, hr</w:t>
            </w:r>
          </w:p>
        </w:tc>
        <w:tc>
          <w:tcPr>
            <w:tcW w:w="417" w:type="pct"/>
          </w:tcPr>
          <w:p w14:paraId="5BD8878A" w14:textId="77777777" w:rsidR="00326E23" w:rsidRPr="0013396E" w:rsidRDefault="00326E23" w:rsidP="009B2773">
            <w:pPr>
              <w:spacing w:after="60"/>
              <w:rPr>
                <w:iCs/>
                <w:sz w:val="20"/>
              </w:rPr>
            </w:pPr>
            <w:r w:rsidRPr="0013396E">
              <w:rPr>
                <w:iCs/>
                <w:sz w:val="20"/>
              </w:rPr>
              <w:t>MW</w:t>
            </w:r>
          </w:p>
        </w:tc>
        <w:tc>
          <w:tcPr>
            <w:tcW w:w="3671" w:type="pct"/>
          </w:tcPr>
          <w:p w14:paraId="1CD4AE40" w14:textId="1D4ECFC3" w:rsidR="00326E23" w:rsidRPr="0013396E" w:rsidRDefault="00326E23" w:rsidP="009B2773">
            <w:pPr>
              <w:spacing w:after="60"/>
              <w:rPr>
                <w:i/>
                <w:iCs/>
                <w:sz w:val="20"/>
              </w:rPr>
            </w:pPr>
            <w:r w:rsidRPr="0013396E">
              <w:rPr>
                <w:i/>
                <w:iCs/>
                <w:sz w:val="20"/>
              </w:rPr>
              <w:t>High Sustained Limit</w:t>
            </w:r>
            <w:r w:rsidRPr="0013396E">
              <w:rPr>
                <w:iCs/>
                <w:sz w:val="20"/>
              </w:rPr>
              <w:t xml:space="preserve">—The HSL of a Generation Resource as defined in Section 2.1, Definitions, for the hour that includes the Settlement Interval </w:t>
            </w:r>
            <w:r w:rsidRPr="0013396E">
              <w:rPr>
                <w:i/>
                <w:iCs/>
                <w:sz w:val="20"/>
              </w:rPr>
              <w:t>i</w:t>
            </w:r>
            <w:r w:rsidRPr="0013396E">
              <w:rPr>
                <w:iCs/>
                <w:sz w:val="20"/>
              </w:rPr>
              <w:t xml:space="preserve">.  Where for a combined cycle Resource, </w:t>
            </w:r>
            <w:r w:rsidRPr="0013396E">
              <w:rPr>
                <w:i/>
                <w:iCs/>
                <w:sz w:val="20"/>
              </w:rPr>
              <w:t>r</w:t>
            </w:r>
            <w:r w:rsidRPr="0013396E">
              <w:rPr>
                <w:iCs/>
                <w:sz w:val="20"/>
              </w:rPr>
              <w:t xml:space="preserve"> is a Combined Cycle Generation Resource.</w:t>
            </w:r>
          </w:p>
        </w:tc>
      </w:tr>
      <w:tr w:rsidR="00326E23" w:rsidRPr="0013396E" w14:paraId="39BC038B" w14:textId="77777777" w:rsidTr="009B2773">
        <w:trPr>
          <w:cantSplit/>
        </w:trPr>
        <w:tc>
          <w:tcPr>
            <w:tcW w:w="912" w:type="pct"/>
          </w:tcPr>
          <w:p w14:paraId="3A235794" w14:textId="77777777" w:rsidR="00326E23" w:rsidRPr="0013396E" w:rsidRDefault="00326E23" w:rsidP="009B2773">
            <w:pPr>
              <w:spacing w:after="60"/>
              <w:rPr>
                <w:iCs/>
                <w:sz w:val="20"/>
              </w:rPr>
            </w:pPr>
            <w:r w:rsidRPr="0013396E">
              <w:rPr>
                <w:iCs/>
                <w:sz w:val="20"/>
              </w:rPr>
              <w:t xml:space="preserve">RMRAFLAG </w:t>
            </w:r>
            <w:r w:rsidRPr="0013396E">
              <w:rPr>
                <w:i/>
                <w:iCs/>
                <w:sz w:val="20"/>
                <w:vertAlign w:val="subscript"/>
              </w:rPr>
              <w:t>q, r, hr</w:t>
            </w:r>
          </w:p>
        </w:tc>
        <w:tc>
          <w:tcPr>
            <w:tcW w:w="417" w:type="pct"/>
          </w:tcPr>
          <w:p w14:paraId="78E3AC44" w14:textId="77777777" w:rsidR="00326E23" w:rsidRPr="0013396E" w:rsidRDefault="00326E23" w:rsidP="009B2773">
            <w:pPr>
              <w:spacing w:after="60"/>
              <w:rPr>
                <w:iCs/>
                <w:sz w:val="20"/>
              </w:rPr>
            </w:pPr>
            <w:r w:rsidRPr="0013396E">
              <w:rPr>
                <w:iCs/>
                <w:sz w:val="20"/>
              </w:rPr>
              <w:t>none</w:t>
            </w:r>
          </w:p>
        </w:tc>
        <w:tc>
          <w:tcPr>
            <w:tcW w:w="3671" w:type="pct"/>
          </w:tcPr>
          <w:p w14:paraId="5154B54C" w14:textId="7CAE669A" w:rsidR="00326E23" w:rsidRPr="0013396E" w:rsidRDefault="00326E23" w:rsidP="009B2773">
            <w:pPr>
              <w:spacing w:after="60"/>
              <w:rPr>
                <w:i/>
                <w:sz w:val="20"/>
              </w:rPr>
            </w:pPr>
            <w:r w:rsidRPr="0013396E">
              <w:rPr>
                <w:i/>
                <w:iCs/>
                <w:sz w:val="20"/>
              </w:rPr>
              <w:t>RMR Availability Flag per QSE per Resource by hour</w:t>
            </w:r>
            <w:r w:rsidRPr="0013396E">
              <w:rPr>
                <w:iCs/>
                <w:sz w:val="20"/>
              </w:rPr>
              <w:t>—The flag of the availability of RMR Unit</w:t>
            </w:r>
            <w:r w:rsidRPr="0013396E">
              <w:rPr>
                <w:i/>
                <w:iCs/>
                <w:sz w:val="20"/>
              </w:rPr>
              <w:t xml:space="preserve"> r</w:t>
            </w:r>
            <w:r w:rsidRPr="0013396E">
              <w:rPr>
                <w:iCs/>
                <w:sz w:val="20"/>
              </w:rPr>
              <w:t xml:space="preserve"> represented by QSE </w:t>
            </w:r>
            <w:r w:rsidRPr="0013396E">
              <w:rPr>
                <w:i/>
                <w:iCs/>
                <w:sz w:val="20"/>
              </w:rPr>
              <w:t xml:space="preserve">q </w:t>
            </w:r>
            <w:r w:rsidRPr="0013396E">
              <w:rPr>
                <w:iCs/>
                <w:sz w:val="20"/>
              </w:rPr>
              <w:t xml:space="preserve">as determined by the COP, 1 for available and 0 for unavailable, for the hour.  Where for a Combined Cycle Train, the Resource </w:t>
            </w:r>
            <w:r w:rsidRPr="0013396E">
              <w:rPr>
                <w:i/>
                <w:iCs/>
                <w:sz w:val="20"/>
              </w:rPr>
              <w:t xml:space="preserve">r </w:t>
            </w:r>
            <w:r w:rsidRPr="0013396E">
              <w:rPr>
                <w:iCs/>
                <w:sz w:val="20"/>
              </w:rPr>
              <w:t>is a Combined Cycle Generation Resource within the Combined Cycle Train.</w:t>
            </w:r>
          </w:p>
        </w:tc>
      </w:tr>
      <w:tr w:rsidR="00326E23" w:rsidRPr="0013396E" w14:paraId="78CB648B" w14:textId="77777777" w:rsidTr="009B2773">
        <w:trPr>
          <w:cantSplit/>
        </w:trPr>
        <w:tc>
          <w:tcPr>
            <w:tcW w:w="912" w:type="pct"/>
          </w:tcPr>
          <w:p w14:paraId="7CE0CAA7" w14:textId="77777777" w:rsidR="00326E23" w:rsidRPr="0013396E" w:rsidRDefault="00326E23" w:rsidP="009B2773">
            <w:pPr>
              <w:spacing w:after="60"/>
              <w:rPr>
                <w:iCs/>
                <w:sz w:val="20"/>
              </w:rPr>
            </w:pPr>
            <w:r w:rsidRPr="0013396E">
              <w:rPr>
                <w:iCs/>
                <w:sz w:val="20"/>
              </w:rPr>
              <w:t>RMRTCAPA</w:t>
            </w:r>
            <w:r w:rsidRPr="0013396E">
              <w:rPr>
                <w:iCs/>
                <w:sz w:val="20"/>
                <w:vertAlign w:val="subscript"/>
              </w:rPr>
              <w:t xml:space="preserve"> </w:t>
            </w:r>
            <w:r w:rsidRPr="0013396E">
              <w:rPr>
                <w:i/>
                <w:iCs/>
                <w:sz w:val="20"/>
                <w:vertAlign w:val="subscript"/>
              </w:rPr>
              <w:t>q, r</w:t>
            </w:r>
          </w:p>
        </w:tc>
        <w:tc>
          <w:tcPr>
            <w:tcW w:w="417" w:type="pct"/>
          </w:tcPr>
          <w:p w14:paraId="56CB5CBB" w14:textId="77777777" w:rsidR="00326E23" w:rsidRPr="0013396E" w:rsidRDefault="00326E23" w:rsidP="009B2773">
            <w:pPr>
              <w:spacing w:after="60"/>
              <w:rPr>
                <w:iCs/>
                <w:sz w:val="20"/>
              </w:rPr>
            </w:pPr>
            <w:r w:rsidRPr="0013396E">
              <w:rPr>
                <w:iCs/>
                <w:sz w:val="20"/>
              </w:rPr>
              <w:t>MW</w:t>
            </w:r>
          </w:p>
        </w:tc>
        <w:tc>
          <w:tcPr>
            <w:tcW w:w="3671" w:type="pct"/>
          </w:tcPr>
          <w:p w14:paraId="52B159B5" w14:textId="77777777" w:rsidR="00326E23" w:rsidRPr="0013396E" w:rsidRDefault="00326E23" w:rsidP="009B2773">
            <w:pPr>
              <w:spacing w:after="60"/>
              <w:rPr>
                <w:iCs/>
                <w:sz w:val="20"/>
              </w:rPr>
            </w:pPr>
            <w:r w:rsidRPr="0013396E">
              <w:rPr>
                <w:i/>
                <w:iCs/>
                <w:sz w:val="20"/>
              </w:rPr>
              <w:t>Reliability Must-Run Testing Capacity Adjustment by hour</w:t>
            </w:r>
            <w:r w:rsidRPr="0013396E">
              <w:rPr>
                <w:iCs/>
                <w:sz w:val="20"/>
              </w:rPr>
              <w:t>—The testing capacity adjustment factor, in the event an ERCOT Operator has deemed that a RMR Unit’s Tested Capacity did not materially affect the reliability of the ERCOT System, of an RMR Unit</w:t>
            </w:r>
            <w:r w:rsidRPr="0013396E">
              <w:rPr>
                <w:i/>
                <w:iCs/>
                <w:sz w:val="20"/>
              </w:rPr>
              <w:t xml:space="preserve"> r</w:t>
            </w:r>
            <w:r w:rsidRPr="0013396E">
              <w:rPr>
                <w:iCs/>
                <w:sz w:val="20"/>
              </w:rPr>
              <w:t xml:space="preserve"> represented by QSE </w:t>
            </w:r>
            <w:r w:rsidRPr="0013396E">
              <w:rPr>
                <w:i/>
                <w:iCs/>
                <w:sz w:val="20"/>
              </w:rPr>
              <w:t>q</w:t>
            </w:r>
            <w:r w:rsidRPr="0013396E">
              <w:rPr>
                <w:iCs/>
                <w:sz w:val="20"/>
              </w:rPr>
              <w:t xml:space="preserve">, for the hour.  See paragraph (2) of Section 3.14.1.17.  Where for a Combined Cycle Train, the Resource </w:t>
            </w:r>
            <w:r w:rsidRPr="0013396E">
              <w:rPr>
                <w:i/>
                <w:iCs/>
                <w:sz w:val="20"/>
              </w:rPr>
              <w:t xml:space="preserve">r </w:t>
            </w:r>
            <w:r w:rsidRPr="0013396E">
              <w:rPr>
                <w:iCs/>
                <w:sz w:val="20"/>
              </w:rPr>
              <w:t>is the Combined Cycle Train.</w:t>
            </w:r>
          </w:p>
        </w:tc>
      </w:tr>
      <w:tr w:rsidR="00326E23" w:rsidRPr="0013396E" w14:paraId="6E4B89CC" w14:textId="77777777" w:rsidTr="009B2773">
        <w:trPr>
          <w:cantSplit/>
        </w:trPr>
        <w:tc>
          <w:tcPr>
            <w:tcW w:w="912" w:type="pct"/>
          </w:tcPr>
          <w:p w14:paraId="2DDD2900" w14:textId="77777777" w:rsidR="00326E23" w:rsidRPr="0013396E" w:rsidRDefault="00326E23" w:rsidP="009B2773">
            <w:pPr>
              <w:spacing w:after="60"/>
              <w:rPr>
                <w:i/>
                <w:iCs/>
                <w:sz w:val="20"/>
              </w:rPr>
            </w:pPr>
            <w:r w:rsidRPr="0013396E">
              <w:rPr>
                <w:i/>
                <w:iCs/>
                <w:sz w:val="20"/>
              </w:rPr>
              <w:t>q</w:t>
            </w:r>
          </w:p>
        </w:tc>
        <w:tc>
          <w:tcPr>
            <w:tcW w:w="417" w:type="pct"/>
          </w:tcPr>
          <w:p w14:paraId="187AAC42" w14:textId="77777777" w:rsidR="00326E23" w:rsidRPr="0013396E" w:rsidRDefault="00326E23" w:rsidP="009B2773">
            <w:pPr>
              <w:spacing w:after="60"/>
              <w:rPr>
                <w:iCs/>
                <w:sz w:val="20"/>
              </w:rPr>
            </w:pPr>
            <w:r w:rsidRPr="0013396E">
              <w:rPr>
                <w:iCs/>
                <w:sz w:val="20"/>
              </w:rPr>
              <w:t>none</w:t>
            </w:r>
          </w:p>
        </w:tc>
        <w:tc>
          <w:tcPr>
            <w:tcW w:w="3671" w:type="pct"/>
          </w:tcPr>
          <w:p w14:paraId="352F2FDA" w14:textId="77777777" w:rsidR="00326E23" w:rsidRPr="0013396E" w:rsidRDefault="00326E23" w:rsidP="009B2773">
            <w:pPr>
              <w:spacing w:after="60"/>
              <w:rPr>
                <w:iCs/>
                <w:sz w:val="20"/>
              </w:rPr>
            </w:pPr>
            <w:r w:rsidRPr="0013396E">
              <w:rPr>
                <w:iCs/>
                <w:sz w:val="20"/>
              </w:rPr>
              <w:t>A QSE.</w:t>
            </w:r>
          </w:p>
        </w:tc>
      </w:tr>
      <w:tr w:rsidR="00326E23" w:rsidRPr="0013396E" w14:paraId="087734F1" w14:textId="77777777" w:rsidTr="009B2773">
        <w:trPr>
          <w:cantSplit/>
        </w:trPr>
        <w:tc>
          <w:tcPr>
            <w:tcW w:w="912" w:type="pct"/>
          </w:tcPr>
          <w:p w14:paraId="62F23B83" w14:textId="77777777" w:rsidR="00326E23" w:rsidRPr="0013396E" w:rsidRDefault="00326E23" w:rsidP="009B2773">
            <w:pPr>
              <w:spacing w:after="60"/>
              <w:rPr>
                <w:i/>
                <w:iCs/>
                <w:sz w:val="20"/>
              </w:rPr>
            </w:pPr>
            <w:r w:rsidRPr="0013396E">
              <w:rPr>
                <w:i/>
                <w:iCs/>
                <w:sz w:val="20"/>
              </w:rPr>
              <w:t>r</w:t>
            </w:r>
          </w:p>
        </w:tc>
        <w:tc>
          <w:tcPr>
            <w:tcW w:w="417" w:type="pct"/>
          </w:tcPr>
          <w:p w14:paraId="01E1F9B8" w14:textId="77777777" w:rsidR="00326E23" w:rsidRPr="0013396E" w:rsidRDefault="00326E23" w:rsidP="009B2773">
            <w:pPr>
              <w:spacing w:after="60"/>
              <w:rPr>
                <w:iCs/>
                <w:sz w:val="20"/>
              </w:rPr>
            </w:pPr>
            <w:r w:rsidRPr="0013396E">
              <w:rPr>
                <w:iCs/>
                <w:sz w:val="20"/>
              </w:rPr>
              <w:t>none</w:t>
            </w:r>
          </w:p>
        </w:tc>
        <w:tc>
          <w:tcPr>
            <w:tcW w:w="3671" w:type="pct"/>
          </w:tcPr>
          <w:p w14:paraId="5535B540" w14:textId="77777777" w:rsidR="00326E23" w:rsidRPr="0013396E" w:rsidRDefault="00326E23" w:rsidP="009B2773">
            <w:pPr>
              <w:spacing w:after="60"/>
              <w:rPr>
                <w:iCs/>
                <w:sz w:val="20"/>
              </w:rPr>
            </w:pPr>
            <w:r w:rsidRPr="0013396E">
              <w:rPr>
                <w:iCs/>
                <w:sz w:val="20"/>
              </w:rPr>
              <w:t>An RMR Unit.</w:t>
            </w:r>
          </w:p>
        </w:tc>
      </w:tr>
      <w:tr w:rsidR="00326E23" w:rsidRPr="0013396E" w14:paraId="658F9ABF" w14:textId="77777777" w:rsidTr="009B2773">
        <w:trPr>
          <w:cantSplit/>
        </w:trPr>
        <w:tc>
          <w:tcPr>
            <w:tcW w:w="912" w:type="pct"/>
          </w:tcPr>
          <w:p w14:paraId="6036C01D" w14:textId="77777777" w:rsidR="00326E23" w:rsidRPr="0013396E" w:rsidRDefault="00326E23" w:rsidP="009B2773">
            <w:pPr>
              <w:spacing w:after="60"/>
              <w:rPr>
                <w:i/>
                <w:iCs/>
                <w:sz w:val="20"/>
              </w:rPr>
            </w:pPr>
            <w:r w:rsidRPr="0013396E">
              <w:rPr>
                <w:i/>
                <w:iCs/>
                <w:sz w:val="20"/>
              </w:rPr>
              <w:t>hr</w:t>
            </w:r>
          </w:p>
        </w:tc>
        <w:tc>
          <w:tcPr>
            <w:tcW w:w="417" w:type="pct"/>
          </w:tcPr>
          <w:p w14:paraId="2F750C13" w14:textId="77777777" w:rsidR="00326E23" w:rsidRPr="0013396E" w:rsidRDefault="00326E23" w:rsidP="009B2773">
            <w:pPr>
              <w:spacing w:after="60"/>
              <w:rPr>
                <w:iCs/>
                <w:sz w:val="20"/>
              </w:rPr>
            </w:pPr>
            <w:r w:rsidRPr="0013396E">
              <w:rPr>
                <w:iCs/>
                <w:sz w:val="20"/>
              </w:rPr>
              <w:t>none</w:t>
            </w:r>
          </w:p>
        </w:tc>
        <w:tc>
          <w:tcPr>
            <w:tcW w:w="3671" w:type="pct"/>
          </w:tcPr>
          <w:p w14:paraId="385D1230" w14:textId="77777777" w:rsidR="00326E23" w:rsidRPr="0013396E" w:rsidRDefault="00326E23" w:rsidP="009B2773">
            <w:pPr>
              <w:spacing w:after="60"/>
              <w:rPr>
                <w:iCs/>
                <w:sz w:val="20"/>
              </w:rPr>
            </w:pPr>
            <w:r w:rsidRPr="0013396E">
              <w:rPr>
                <w:iCs/>
                <w:sz w:val="20"/>
              </w:rPr>
              <w:t>The index for a given hour and all the previous 4379 hours</w:t>
            </w:r>
            <w:r w:rsidRPr="0013396E">
              <w:rPr>
                <w:sz w:val="20"/>
              </w:rPr>
              <w:t xml:space="preserve"> for which availability is required under the RMR Agreement</w:t>
            </w:r>
            <w:r w:rsidRPr="0013396E">
              <w:rPr>
                <w:iCs/>
                <w:sz w:val="20"/>
              </w:rPr>
              <w:t>.</w:t>
            </w:r>
          </w:p>
        </w:tc>
      </w:tr>
      <w:tr w:rsidR="00326E23" w:rsidRPr="0013396E" w14:paraId="27DA289A" w14:textId="77777777" w:rsidTr="009B2773">
        <w:trPr>
          <w:cantSplit/>
        </w:trPr>
        <w:tc>
          <w:tcPr>
            <w:tcW w:w="912" w:type="pct"/>
          </w:tcPr>
          <w:p w14:paraId="51306D06" w14:textId="77777777" w:rsidR="00326E23" w:rsidRPr="0013396E" w:rsidRDefault="00326E23" w:rsidP="009B2773">
            <w:pPr>
              <w:spacing w:after="60"/>
              <w:rPr>
                <w:iCs/>
                <w:sz w:val="20"/>
              </w:rPr>
            </w:pPr>
            <w:r w:rsidRPr="0013396E">
              <w:rPr>
                <w:iCs/>
                <w:sz w:val="20"/>
              </w:rPr>
              <w:t>4380</w:t>
            </w:r>
          </w:p>
        </w:tc>
        <w:tc>
          <w:tcPr>
            <w:tcW w:w="417" w:type="pct"/>
          </w:tcPr>
          <w:p w14:paraId="49D35EA3" w14:textId="77777777" w:rsidR="00326E23" w:rsidRPr="0013396E" w:rsidRDefault="00326E23" w:rsidP="009B2773">
            <w:pPr>
              <w:spacing w:after="60"/>
              <w:rPr>
                <w:iCs/>
                <w:sz w:val="20"/>
              </w:rPr>
            </w:pPr>
            <w:r w:rsidRPr="0013396E">
              <w:rPr>
                <w:iCs/>
                <w:sz w:val="20"/>
              </w:rPr>
              <w:t>none</w:t>
            </w:r>
          </w:p>
        </w:tc>
        <w:tc>
          <w:tcPr>
            <w:tcW w:w="3671" w:type="pct"/>
          </w:tcPr>
          <w:p w14:paraId="4CE27CCA" w14:textId="77777777" w:rsidR="00326E23" w:rsidRPr="0013396E" w:rsidRDefault="00326E23" w:rsidP="009B2773">
            <w:pPr>
              <w:spacing w:after="60"/>
              <w:rPr>
                <w:iCs/>
                <w:sz w:val="20"/>
              </w:rPr>
            </w:pPr>
            <w:r w:rsidRPr="0013396E">
              <w:rPr>
                <w:iCs/>
                <w:sz w:val="20"/>
              </w:rPr>
              <w:t>The number of hours in a six-month period.</w:t>
            </w:r>
          </w:p>
        </w:tc>
      </w:tr>
    </w:tbl>
    <w:p w14:paraId="77545FE7" w14:textId="77777777" w:rsidR="001F04FD" w:rsidRPr="0013396E" w:rsidRDefault="001F04FD" w:rsidP="0099247E">
      <w:pPr>
        <w:pStyle w:val="BodyTextNumbered"/>
        <w:spacing w:before="240"/>
      </w:pPr>
      <w:bookmarkStart w:id="1922" w:name="_Toc87951799"/>
      <w:bookmarkStart w:id="1923" w:name="_Toc109009409"/>
      <w:r w:rsidRPr="0013396E">
        <w:t>(4)</w:t>
      </w:r>
      <w:r w:rsidRPr="0013396E">
        <w:tab/>
        <w:t>The total of the Standby Payments to each QSE for all RMR Units represented by this QSE for a given hour is calculated as follows:</w:t>
      </w:r>
    </w:p>
    <w:p w14:paraId="7AF01774" w14:textId="77777777" w:rsidR="001F04FD" w:rsidRPr="0013396E" w:rsidRDefault="001F04FD" w:rsidP="001F04FD">
      <w:pPr>
        <w:pStyle w:val="FormulaBold"/>
      </w:pPr>
      <w:r w:rsidRPr="0013396E">
        <w:t xml:space="preserve">RMRSBAMTQSETOT </w:t>
      </w:r>
      <w:r w:rsidRPr="0013396E">
        <w:rPr>
          <w:i/>
          <w:vertAlign w:val="subscript"/>
        </w:rPr>
        <w:t>q</w:t>
      </w:r>
      <w:r w:rsidRPr="0013396E">
        <w:tab/>
        <w:t>=</w:t>
      </w:r>
      <w:r w:rsidRPr="0013396E">
        <w:tab/>
      </w:r>
      <w:r w:rsidRPr="0013396E">
        <w:rPr>
          <w:position w:val="-18"/>
        </w:rPr>
        <w:object w:dxaOrig="225" w:dyaOrig="420" w14:anchorId="7A399907">
          <v:shape id="_x0000_i1165" type="#_x0000_t75" style="width:12pt;height:24pt" o:ole="">
            <v:imagedata r:id="rId201" o:title=""/>
          </v:shape>
          <o:OLEObject Type="Embed" ProgID="Equation.3" ShapeID="_x0000_i1165" DrawAspect="Content" ObjectID="_1849065796" r:id="rId202"/>
        </w:object>
      </w:r>
      <w:r w:rsidRPr="0013396E">
        <w:t xml:space="preserve">RMRSBAMT </w:t>
      </w:r>
      <w:r w:rsidRPr="0013396E">
        <w:rPr>
          <w:i/>
          <w:vertAlign w:val="subscript"/>
        </w:rPr>
        <w:t>q, r</w:t>
      </w:r>
    </w:p>
    <w:p w14:paraId="67C0A4C4" w14:textId="77777777" w:rsidR="001F04FD" w:rsidRPr="0013396E" w:rsidRDefault="001F04FD" w:rsidP="001F04FD">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605"/>
        <w:gridCol w:w="6524"/>
      </w:tblGrid>
      <w:tr w:rsidR="001F04FD" w:rsidRPr="0013396E" w14:paraId="7D15AAB6" w14:textId="77777777" w:rsidTr="00AC4DEE">
        <w:trPr>
          <w:cantSplit/>
          <w:tblHeader/>
        </w:trPr>
        <w:tc>
          <w:tcPr>
            <w:tcW w:w="1197" w:type="pct"/>
          </w:tcPr>
          <w:p w14:paraId="647DD522" w14:textId="77777777" w:rsidR="001F04FD" w:rsidRPr="0013396E" w:rsidRDefault="001F04FD" w:rsidP="00AC4DEE">
            <w:pPr>
              <w:pStyle w:val="TableHead"/>
            </w:pPr>
            <w:r w:rsidRPr="0013396E">
              <w:t>Variable</w:t>
            </w:r>
          </w:p>
        </w:tc>
        <w:tc>
          <w:tcPr>
            <w:tcW w:w="305" w:type="pct"/>
          </w:tcPr>
          <w:p w14:paraId="4A6662B3" w14:textId="77777777" w:rsidR="001F04FD" w:rsidRPr="0013396E" w:rsidRDefault="001F04FD" w:rsidP="00AC4DEE">
            <w:pPr>
              <w:pStyle w:val="TableHead"/>
            </w:pPr>
            <w:r w:rsidRPr="0013396E">
              <w:t>Unit</w:t>
            </w:r>
          </w:p>
        </w:tc>
        <w:tc>
          <w:tcPr>
            <w:tcW w:w="3497" w:type="pct"/>
          </w:tcPr>
          <w:p w14:paraId="54E555B4" w14:textId="77777777" w:rsidR="001F04FD" w:rsidRPr="0013396E" w:rsidRDefault="001F04FD" w:rsidP="00AC4DEE">
            <w:pPr>
              <w:pStyle w:val="TableHead"/>
            </w:pPr>
            <w:r w:rsidRPr="0013396E">
              <w:t>Definition</w:t>
            </w:r>
          </w:p>
        </w:tc>
      </w:tr>
      <w:tr w:rsidR="001F04FD" w:rsidRPr="0013396E" w14:paraId="4BEBC20B" w14:textId="77777777" w:rsidTr="00AC4DEE">
        <w:trPr>
          <w:cantSplit/>
        </w:trPr>
        <w:tc>
          <w:tcPr>
            <w:tcW w:w="1197" w:type="pct"/>
          </w:tcPr>
          <w:p w14:paraId="4342FD88" w14:textId="77777777" w:rsidR="001F04FD" w:rsidRPr="0013396E" w:rsidRDefault="001F04FD" w:rsidP="00AC4DEE">
            <w:pPr>
              <w:pStyle w:val="TableBody"/>
            </w:pPr>
            <w:r w:rsidRPr="0013396E">
              <w:t xml:space="preserve">RMRSBAMTQSETOT </w:t>
            </w:r>
            <w:r w:rsidRPr="0013396E">
              <w:rPr>
                <w:vertAlign w:val="subscript"/>
              </w:rPr>
              <w:t>q</w:t>
            </w:r>
          </w:p>
        </w:tc>
        <w:tc>
          <w:tcPr>
            <w:tcW w:w="305" w:type="pct"/>
          </w:tcPr>
          <w:p w14:paraId="7C051628" w14:textId="77777777" w:rsidR="001F04FD" w:rsidRPr="0013396E" w:rsidRDefault="001F04FD" w:rsidP="00AC4DEE">
            <w:pPr>
              <w:pStyle w:val="TableBody"/>
            </w:pPr>
            <w:r w:rsidRPr="0013396E">
              <w:t>$</w:t>
            </w:r>
          </w:p>
        </w:tc>
        <w:tc>
          <w:tcPr>
            <w:tcW w:w="3497" w:type="pct"/>
          </w:tcPr>
          <w:p w14:paraId="6A2FEEDF" w14:textId="77777777" w:rsidR="001F04FD" w:rsidRPr="0013396E" w:rsidRDefault="001F04FD" w:rsidP="00AC4DEE">
            <w:pPr>
              <w:pStyle w:val="TableBody"/>
            </w:pPr>
            <w:r w:rsidRPr="0013396E">
              <w:rPr>
                <w:i/>
              </w:rPr>
              <w:t>Reliability Must-Run Standby Amount QSE Total per QSE</w:t>
            </w:r>
            <w:r w:rsidRPr="0013396E">
              <w:sym w:font="Symbol" w:char="F0BE"/>
            </w:r>
            <w:r w:rsidRPr="0013396E">
              <w:t xml:space="preserve">The total of the Standby Payments to QSE </w:t>
            </w:r>
            <w:r w:rsidRPr="0013396E">
              <w:rPr>
                <w:i/>
              </w:rPr>
              <w:t>q</w:t>
            </w:r>
            <w:r w:rsidRPr="0013396E">
              <w:t xml:space="preserve"> for all RMR Units represented by this QSE for the hour.</w:t>
            </w:r>
          </w:p>
        </w:tc>
      </w:tr>
      <w:tr w:rsidR="001F04FD" w:rsidRPr="0013396E" w14:paraId="2886541A" w14:textId="77777777" w:rsidTr="00AC4DEE">
        <w:trPr>
          <w:cantSplit/>
        </w:trPr>
        <w:tc>
          <w:tcPr>
            <w:tcW w:w="1197" w:type="pct"/>
          </w:tcPr>
          <w:p w14:paraId="2E800274" w14:textId="77777777" w:rsidR="001F04FD" w:rsidRPr="0013396E" w:rsidRDefault="001F04FD" w:rsidP="00AC4DEE">
            <w:pPr>
              <w:pStyle w:val="TableBody"/>
            </w:pPr>
            <w:r w:rsidRPr="0013396E">
              <w:t xml:space="preserve">RMRSBAMT </w:t>
            </w:r>
            <w:r w:rsidRPr="0013396E">
              <w:rPr>
                <w:vertAlign w:val="subscript"/>
              </w:rPr>
              <w:t>q, r</w:t>
            </w:r>
          </w:p>
        </w:tc>
        <w:tc>
          <w:tcPr>
            <w:tcW w:w="305" w:type="pct"/>
          </w:tcPr>
          <w:p w14:paraId="7FEAE98A" w14:textId="77777777" w:rsidR="001F04FD" w:rsidRPr="0013396E" w:rsidRDefault="001F04FD" w:rsidP="00AC4DEE">
            <w:pPr>
              <w:pStyle w:val="TableBody"/>
            </w:pPr>
            <w:r w:rsidRPr="0013396E">
              <w:t>$</w:t>
            </w:r>
          </w:p>
        </w:tc>
        <w:tc>
          <w:tcPr>
            <w:tcW w:w="3497" w:type="pct"/>
          </w:tcPr>
          <w:p w14:paraId="720E4552" w14:textId="77777777" w:rsidR="001F04FD" w:rsidRPr="0013396E" w:rsidRDefault="001F04FD" w:rsidP="00AC4DEE">
            <w:pPr>
              <w:pStyle w:val="TableBody"/>
            </w:pPr>
            <w:r w:rsidRPr="0013396E">
              <w:rPr>
                <w:i/>
              </w:rPr>
              <w:t>Reliability Must-Run Standby Payment per QSE per Resource</w:t>
            </w:r>
            <w:r w:rsidRPr="0013396E">
              <w:t xml:space="preserve">—The Standby Payment to QSE </w:t>
            </w:r>
            <w:r w:rsidRPr="0013396E">
              <w:rPr>
                <w:i/>
              </w:rPr>
              <w:t>q</w:t>
            </w:r>
            <w:r w:rsidRPr="0013396E">
              <w:t xml:space="preserve"> for RMR Unit </w:t>
            </w:r>
            <w:r w:rsidRPr="0013396E">
              <w:rPr>
                <w:i/>
              </w:rPr>
              <w:t>r</w:t>
            </w:r>
            <w:r w:rsidRPr="0013396E">
              <w:t xml:space="preserve">, for the hour.  Where for a Combined Cycle Train, the Resource </w:t>
            </w:r>
            <w:r w:rsidRPr="0013396E">
              <w:rPr>
                <w:i/>
              </w:rPr>
              <w:t xml:space="preserve">r </w:t>
            </w:r>
            <w:r w:rsidRPr="0013396E">
              <w:t xml:space="preserve">is the Combined Cycle Train.  </w:t>
            </w:r>
          </w:p>
        </w:tc>
      </w:tr>
      <w:tr w:rsidR="001F04FD" w:rsidRPr="0013396E" w14:paraId="14DFB453" w14:textId="77777777" w:rsidTr="00AC4DEE">
        <w:trPr>
          <w:cantSplit/>
        </w:trPr>
        <w:tc>
          <w:tcPr>
            <w:tcW w:w="1197" w:type="pct"/>
            <w:tcBorders>
              <w:top w:val="single" w:sz="4" w:space="0" w:color="auto"/>
              <w:left w:val="single" w:sz="4" w:space="0" w:color="auto"/>
              <w:bottom w:val="single" w:sz="4" w:space="0" w:color="auto"/>
              <w:right w:val="single" w:sz="4" w:space="0" w:color="auto"/>
            </w:tcBorders>
          </w:tcPr>
          <w:p w14:paraId="44551FEB" w14:textId="77777777" w:rsidR="001F04FD" w:rsidRPr="0013396E" w:rsidRDefault="001F04FD" w:rsidP="00AC4DEE">
            <w:pPr>
              <w:pStyle w:val="TableBody"/>
              <w:rPr>
                <w:i/>
              </w:rPr>
            </w:pPr>
            <w:r w:rsidRPr="0013396E">
              <w:rPr>
                <w:i/>
              </w:rPr>
              <w:t>q</w:t>
            </w:r>
          </w:p>
        </w:tc>
        <w:tc>
          <w:tcPr>
            <w:tcW w:w="305" w:type="pct"/>
            <w:tcBorders>
              <w:top w:val="single" w:sz="4" w:space="0" w:color="auto"/>
              <w:left w:val="single" w:sz="4" w:space="0" w:color="auto"/>
              <w:bottom w:val="single" w:sz="4" w:space="0" w:color="auto"/>
              <w:right w:val="single" w:sz="4" w:space="0" w:color="auto"/>
            </w:tcBorders>
          </w:tcPr>
          <w:p w14:paraId="10B6563D" w14:textId="77777777" w:rsidR="001F04FD" w:rsidRPr="0013396E" w:rsidRDefault="001F04FD" w:rsidP="00AC4DEE">
            <w:pPr>
              <w:pStyle w:val="TableBody"/>
            </w:pPr>
            <w:r w:rsidRPr="0013396E">
              <w:t>none</w:t>
            </w:r>
          </w:p>
        </w:tc>
        <w:tc>
          <w:tcPr>
            <w:tcW w:w="3497" w:type="pct"/>
            <w:tcBorders>
              <w:top w:val="single" w:sz="4" w:space="0" w:color="auto"/>
              <w:left w:val="single" w:sz="4" w:space="0" w:color="auto"/>
              <w:bottom w:val="single" w:sz="4" w:space="0" w:color="auto"/>
              <w:right w:val="single" w:sz="4" w:space="0" w:color="auto"/>
            </w:tcBorders>
          </w:tcPr>
          <w:p w14:paraId="3E1709CC" w14:textId="77777777" w:rsidR="001F04FD" w:rsidRPr="0013396E" w:rsidRDefault="001F04FD" w:rsidP="00AC4DEE">
            <w:pPr>
              <w:pStyle w:val="TableBody"/>
            </w:pPr>
            <w:r w:rsidRPr="0013396E">
              <w:t>A QSE.</w:t>
            </w:r>
          </w:p>
        </w:tc>
      </w:tr>
      <w:tr w:rsidR="001F04FD" w:rsidRPr="0013396E" w14:paraId="354B65B1" w14:textId="77777777" w:rsidTr="00AC4DEE">
        <w:trPr>
          <w:cantSplit/>
        </w:trPr>
        <w:tc>
          <w:tcPr>
            <w:tcW w:w="1197" w:type="pct"/>
            <w:tcBorders>
              <w:top w:val="single" w:sz="4" w:space="0" w:color="auto"/>
              <w:left w:val="single" w:sz="4" w:space="0" w:color="auto"/>
              <w:bottom w:val="single" w:sz="4" w:space="0" w:color="auto"/>
              <w:right w:val="single" w:sz="4" w:space="0" w:color="auto"/>
            </w:tcBorders>
          </w:tcPr>
          <w:p w14:paraId="65158621" w14:textId="77777777" w:rsidR="001F04FD" w:rsidRPr="0013396E" w:rsidRDefault="001F04FD" w:rsidP="00AC4DEE">
            <w:pPr>
              <w:pStyle w:val="TableBody"/>
              <w:rPr>
                <w:i/>
              </w:rPr>
            </w:pPr>
            <w:r w:rsidRPr="0013396E">
              <w:rPr>
                <w:i/>
              </w:rPr>
              <w:t>r</w:t>
            </w:r>
          </w:p>
        </w:tc>
        <w:tc>
          <w:tcPr>
            <w:tcW w:w="305" w:type="pct"/>
            <w:tcBorders>
              <w:top w:val="single" w:sz="4" w:space="0" w:color="auto"/>
              <w:left w:val="single" w:sz="4" w:space="0" w:color="auto"/>
              <w:bottom w:val="single" w:sz="4" w:space="0" w:color="auto"/>
              <w:right w:val="single" w:sz="4" w:space="0" w:color="auto"/>
            </w:tcBorders>
          </w:tcPr>
          <w:p w14:paraId="05C77FC0" w14:textId="77777777" w:rsidR="001F04FD" w:rsidRPr="0013396E" w:rsidRDefault="001F04FD" w:rsidP="00AC4DEE">
            <w:pPr>
              <w:pStyle w:val="TableBody"/>
            </w:pPr>
            <w:r w:rsidRPr="0013396E">
              <w:t>none</w:t>
            </w:r>
          </w:p>
        </w:tc>
        <w:tc>
          <w:tcPr>
            <w:tcW w:w="3497" w:type="pct"/>
            <w:tcBorders>
              <w:top w:val="single" w:sz="4" w:space="0" w:color="auto"/>
              <w:left w:val="single" w:sz="4" w:space="0" w:color="auto"/>
              <w:bottom w:val="single" w:sz="4" w:space="0" w:color="auto"/>
              <w:right w:val="single" w:sz="4" w:space="0" w:color="auto"/>
            </w:tcBorders>
          </w:tcPr>
          <w:p w14:paraId="517CA178" w14:textId="77777777" w:rsidR="001F04FD" w:rsidRPr="0013396E" w:rsidRDefault="001F04FD" w:rsidP="00AC4DEE">
            <w:pPr>
              <w:pStyle w:val="TableBody"/>
            </w:pPr>
            <w:r w:rsidRPr="0013396E">
              <w:t>An RMR Unit.</w:t>
            </w:r>
          </w:p>
        </w:tc>
      </w:tr>
    </w:tbl>
    <w:p w14:paraId="2888FCC3" w14:textId="77777777" w:rsidR="001F04FD" w:rsidRPr="0013396E" w:rsidRDefault="001F04FD" w:rsidP="001F04FD">
      <w:pPr>
        <w:pStyle w:val="H4"/>
        <w:spacing w:before="480"/>
        <w:ind w:left="1267" w:hanging="1267"/>
      </w:pPr>
      <w:bookmarkStart w:id="1924" w:name="_Toc397505028"/>
      <w:bookmarkStart w:id="1925" w:name="_Toc402357160"/>
      <w:bookmarkStart w:id="1926" w:name="_Toc422486540"/>
      <w:bookmarkStart w:id="1927" w:name="_Toc433093393"/>
      <w:bookmarkStart w:id="1928" w:name="_Toc433093551"/>
      <w:bookmarkStart w:id="1929" w:name="_Toc440874781"/>
      <w:bookmarkStart w:id="1930" w:name="_Toc448142338"/>
      <w:bookmarkStart w:id="1931" w:name="_Toc448142495"/>
      <w:bookmarkStart w:id="1932" w:name="_Toc458770336"/>
      <w:bookmarkStart w:id="1933" w:name="_Toc459294304"/>
      <w:bookmarkStart w:id="1934" w:name="_Toc463262797"/>
      <w:bookmarkStart w:id="1935" w:name="_Toc468286870"/>
      <w:bookmarkStart w:id="1936" w:name="_Toc481502910"/>
      <w:bookmarkStart w:id="1937" w:name="_Toc496080078"/>
      <w:bookmarkStart w:id="1938" w:name="_Toc236220206"/>
      <w:r w:rsidRPr="0013396E">
        <w:t>6.6.6.2</w:t>
      </w:r>
      <w:r w:rsidRPr="0013396E">
        <w:tab/>
        <w:t>RMR Payment for Energy</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2A5586EE" w14:textId="77777777" w:rsidR="001F04FD" w:rsidRPr="0013396E" w:rsidRDefault="001F04FD" w:rsidP="001F04FD">
      <w:pPr>
        <w:pStyle w:val="BodyTextNumbered"/>
      </w:pPr>
      <w:r w:rsidRPr="0013396E">
        <w:t>(1)</w:t>
      </w:r>
      <w:r w:rsidRPr="0013396E">
        <w:tab/>
        <w:t>Payment for energy on the Initial Settlement and settlements executed before true-up and before actual cost data is submitted must be calculated using the estimated input/output curve and startup fuel as specified in the RMR Agreement, the actual energy produced and the FIP.  The payment for energy for all other settlements must be based on actual fuel costs for the RMR Unit.  The payment for energy for each hour is calculated as follows:</w:t>
      </w:r>
    </w:p>
    <w:p w14:paraId="2E2613E1" w14:textId="77777777" w:rsidR="001F04FD" w:rsidRPr="0013396E" w:rsidRDefault="001F04FD" w:rsidP="001F04FD">
      <w:pPr>
        <w:pStyle w:val="FormulaBold"/>
        <w:tabs>
          <w:tab w:val="clear" w:pos="2250"/>
          <w:tab w:val="clear" w:pos="3960"/>
          <w:tab w:val="left" w:pos="2700"/>
        </w:tabs>
        <w:ind w:left="3150" w:hanging="2430"/>
        <w:rPr>
          <w:lang w:val="pt-BR"/>
        </w:rPr>
      </w:pPr>
      <w:r w:rsidRPr="0013396E">
        <w:rPr>
          <w:lang w:val="pt-BR"/>
        </w:rPr>
        <w:lastRenderedPageBreak/>
        <w:t xml:space="preserve">RMREAMT </w:t>
      </w:r>
      <w:r w:rsidRPr="0013396E">
        <w:rPr>
          <w:i/>
          <w:vertAlign w:val="subscript"/>
          <w:lang w:val="pt-BR"/>
        </w:rPr>
        <w:t>q, r</w:t>
      </w:r>
      <w:r w:rsidRPr="0013396E">
        <w:rPr>
          <w:vertAlign w:val="subscript"/>
          <w:lang w:val="pt-BR"/>
        </w:rPr>
        <w:tab/>
      </w:r>
      <w:r w:rsidRPr="0013396E">
        <w:rPr>
          <w:lang w:val="pt-BR"/>
        </w:rPr>
        <w:t>=</w:t>
      </w:r>
      <w:r w:rsidRPr="0013396E">
        <w:rPr>
          <w:lang w:val="pt-BR"/>
        </w:rPr>
        <w:tab/>
        <w:t>(-1) * (((FIP + RMRCEFA</w:t>
      </w:r>
      <w:r w:rsidRPr="0013396E">
        <w:rPr>
          <w:i/>
          <w:vertAlign w:val="subscript"/>
          <w:lang w:val="pt-BR"/>
        </w:rPr>
        <w:t xml:space="preserve"> q, r</w:t>
      </w:r>
      <w:r w:rsidRPr="0013396E">
        <w:rPr>
          <w:lang w:val="pt-BR"/>
        </w:rPr>
        <w:t xml:space="preserve">) * RMRSUFQ </w:t>
      </w:r>
      <w:r w:rsidRPr="0013396E">
        <w:rPr>
          <w:i/>
          <w:vertAlign w:val="subscript"/>
          <w:lang w:val="pt-BR"/>
        </w:rPr>
        <w:t>q, r</w:t>
      </w:r>
      <w:r w:rsidRPr="0013396E">
        <w:rPr>
          <w:lang w:val="pt-BR"/>
        </w:rPr>
        <w:t xml:space="preserve"> </w:t>
      </w:r>
      <w:r w:rsidRPr="0013396E">
        <w:rPr>
          <w:sz w:val="32"/>
          <w:szCs w:val="32"/>
          <w:lang w:val="pt-BR"/>
        </w:rPr>
        <w:t>/</w:t>
      </w:r>
      <w:r w:rsidRPr="0013396E">
        <w:rPr>
          <w:lang w:val="pt-BR"/>
        </w:rPr>
        <w:t xml:space="preserve"> RMRH </w:t>
      </w:r>
      <w:r w:rsidRPr="0013396E">
        <w:rPr>
          <w:i/>
          <w:vertAlign w:val="subscript"/>
          <w:lang w:val="pt-BR"/>
        </w:rPr>
        <w:t>q, r</w:t>
      </w:r>
      <w:r w:rsidRPr="0013396E">
        <w:rPr>
          <w:lang w:val="pt-BR"/>
        </w:rPr>
        <w:t xml:space="preserve">) * RMRALLOCFLAG </w:t>
      </w:r>
      <w:r w:rsidRPr="0013396E">
        <w:rPr>
          <w:i/>
          <w:vertAlign w:val="subscript"/>
          <w:lang w:val="pt-BR"/>
        </w:rPr>
        <w:t>q, r</w:t>
      </w:r>
      <w:r w:rsidRPr="0013396E">
        <w:rPr>
          <w:lang w:val="pt-BR"/>
        </w:rPr>
        <w:t xml:space="preserve"> + </w:t>
      </w:r>
      <w:r w:rsidRPr="0013396E">
        <w:rPr>
          <w:position w:val="-20"/>
        </w:rPr>
        <w:object w:dxaOrig="255" w:dyaOrig="585" w14:anchorId="0EB0A472">
          <v:shape id="_x0000_i1166" type="#_x0000_t75" style="width:12pt;height:30pt" o:ole="">
            <v:imagedata r:id="rId203" o:title=""/>
          </v:shape>
          <o:OLEObject Type="Embed" ProgID="Equation.3" ShapeID="_x0000_i1166" DrawAspect="Content" ObjectID="_1849065797" r:id="rId204"/>
        </w:object>
      </w:r>
      <w:r w:rsidRPr="0013396E">
        <w:rPr>
          <w:lang w:val="pt-BR"/>
        </w:rPr>
        <w:t>(((FIP + RMRCEFA</w:t>
      </w:r>
      <w:r w:rsidRPr="0013396E">
        <w:rPr>
          <w:i/>
          <w:vertAlign w:val="subscript"/>
          <w:lang w:val="pt-BR"/>
        </w:rPr>
        <w:t xml:space="preserve"> q, r</w:t>
      </w:r>
      <w:r w:rsidRPr="0013396E">
        <w:rPr>
          <w:lang w:val="pt-BR"/>
        </w:rPr>
        <w:t xml:space="preserve">) * RMRHR </w:t>
      </w:r>
      <w:r w:rsidRPr="0013396E">
        <w:rPr>
          <w:i/>
          <w:vertAlign w:val="subscript"/>
          <w:lang w:val="pt-BR"/>
        </w:rPr>
        <w:t>q, r, i</w:t>
      </w:r>
      <w:r w:rsidRPr="0013396E">
        <w:rPr>
          <w:lang w:val="pt-BR"/>
        </w:rPr>
        <w:t xml:space="preserve"> + RMRVCC </w:t>
      </w:r>
      <w:r w:rsidRPr="0013396E">
        <w:rPr>
          <w:i/>
          <w:vertAlign w:val="subscript"/>
          <w:lang w:val="pt-BR"/>
        </w:rPr>
        <w:t>q, r</w:t>
      </w:r>
      <w:r w:rsidRPr="0013396E">
        <w:rPr>
          <w:lang w:val="pt-BR"/>
        </w:rPr>
        <w:t xml:space="preserve">) * RTMG </w:t>
      </w:r>
      <w:r w:rsidRPr="0013396E">
        <w:rPr>
          <w:i/>
          <w:vertAlign w:val="subscript"/>
          <w:lang w:val="pt-BR"/>
        </w:rPr>
        <w:t>q, r, i</w:t>
      </w:r>
      <w:r w:rsidRPr="0013396E">
        <w:rPr>
          <w:lang w:val="pt-BR"/>
        </w:rPr>
        <w:t>))</w:t>
      </w:r>
    </w:p>
    <w:p w14:paraId="05D57A28" w14:textId="77777777" w:rsidR="001F04FD" w:rsidRPr="0013396E" w:rsidRDefault="001F04FD" w:rsidP="001F04FD">
      <w:r w:rsidRPr="0013396E">
        <w:t>The above variables are defined as follows:</w:t>
      </w:r>
    </w:p>
    <w:tbl>
      <w:tblPr>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080"/>
        <w:gridCol w:w="6775"/>
      </w:tblGrid>
      <w:tr w:rsidR="001F04FD" w:rsidRPr="0013396E" w14:paraId="0ED0F647" w14:textId="77777777" w:rsidTr="00AC4DEE">
        <w:trPr>
          <w:cantSplit/>
          <w:tblHeader/>
        </w:trPr>
        <w:tc>
          <w:tcPr>
            <w:tcW w:w="2088" w:type="dxa"/>
          </w:tcPr>
          <w:p w14:paraId="69BBF4B8" w14:textId="77777777" w:rsidR="001F04FD" w:rsidRPr="0013396E" w:rsidRDefault="001F04FD" w:rsidP="00AC4DEE">
            <w:pPr>
              <w:pStyle w:val="TableHead"/>
            </w:pPr>
            <w:r w:rsidRPr="0013396E">
              <w:t>Variable</w:t>
            </w:r>
          </w:p>
        </w:tc>
        <w:tc>
          <w:tcPr>
            <w:tcW w:w="1080" w:type="dxa"/>
          </w:tcPr>
          <w:p w14:paraId="6AA82CC7" w14:textId="77777777" w:rsidR="001F04FD" w:rsidRPr="0013396E" w:rsidRDefault="001F04FD" w:rsidP="00AC4DEE">
            <w:pPr>
              <w:pStyle w:val="TableHead"/>
            </w:pPr>
            <w:r w:rsidRPr="0013396E">
              <w:t>Unit</w:t>
            </w:r>
          </w:p>
        </w:tc>
        <w:tc>
          <w:tcPr>
            <w:tcW w:w="6775" w:type="dxa"/>
          </w:tcPr>
          <w:p w14:paraId="50CACAC0" w14:textId="77777777" w:rsidR="001F04FD" w:rsidRPr="0013396E" w:rsidRDefault="001F04FD" w:rsidP="00AC4DEE">
            <w:pPr>
              <w:pStyle w:val="TableHead"/>
            </w:pPr>
            <w:r w:rsidRPr="0013396E">
              <w:t>Definition</w:t>
            </w:r>
          </w:p>
        </w:tc>
      </w:tr>
      <w:tr w:rsidR="001F04FD" w:rsidRPr="0013396E" w14:paraId="0E1B5EB9" w14:textId="77777777" w:rsidTr="00AC4DEE">
        <w:trPr>
          <w:cantSplit/>
        </w:trPr>
        <w:tc>
          <w:tcPr>
            <w:tcW w:w="2088" w:type="dxa"/>
          </w:tcPr>
          <w:p w14:paraId="0184C30F" w14:textId="77777777" w:rsidR="001F04FD" w:rsidRPr="0013396E" w:rsidRDefault="001F04FD" w:rsidP="00AC4DEE">
            <w:pPr>
              <w:pStyle w:val="TableBody"/>
            </w:pPr>
            <w:r w:rsidRPr="0013396E">
              <w:t xml:space="preserve">RMREAMT </w:t>
            </w:r>
            <w:r w:rsidRPr="0013396E">
              <w:rPr>
                <w:i/>
                <w:vertAlign w:val="subscript"/>
              </w:rPr>
              <w:t>q, r</w:t>
            </w:r>
          </w:p>
        </w:tc>
        <w:tc>
          <w:tcPr>
            <w:tcW w:w="1080" w:type="dxa"/>
          </w:tcPr>
          <w:p w14:paraId="5D3BD1F1" w14:textId="77777777" w:rsidR="001F04FD" w:rsidRPr="0013396E" w:rsidRDefault="001F04FD" w:rsidP="00AC4DEE">
            <w:pPr>
              <w:pStyle w:val="TableBody"/>
            </w:pPr>
            <w:r w:rsidRPr="0013396E">
              <w:t>$</w:t>
            </w:r>
          </w:p>
        </w:tc>
        <w:tc>
          <w:tcPr>
            <w:tcW w:w="6775" w:type="dxa"/>
          </w:tcPr>
          <w:p w14:paraId="5AF1ECEE" w14:textId="77777777" w:rsidR="001F04FD" w:rsidRPr="0013396E" w:rsidRDefault="001F04FD" w:rsidP="00AC4DEE">
            <w:pPr>
              <w:pStyle w:val="TableBody"/>
            </w:pPr>
            <w:r w:rsidRPr="0013396E">
              <w:rPr>
                <w:i/>
              </w:rPr>
              <w:t>Reliability Must-Run Energy Amount per QSE per Resource by hour</w:t>
            </w:r>
            <w:r w:rsidRPr="0013396E">
              <w:t xml:space="preserve">—The energy payment to QSE </w:t>
            </w:r>
            <w:r w:rsidRPr="0013396E">
              <w:rPr>
                <w:i/>
              </w:rPr>
              <w:t>q</w:t>
            </w:r>
            <w:r w:rsidRPr="0013396E">
              <w:t xml:space="preserve"> for RMR Unit </w:t>
            </w:r>
            <w:r w:rsidRPr="0013396E">
              <w:rPr>
                <w:i/>
              </w:rPr>
              <w:t>r</w:t>
            </w:r>
            <w:r w:rsidRPr="0013396E">
              <w:t xml:space="preserve">, for the hour.  Where for a Combined Cycle Train, the Resource </w:t>
            </w:r>
            <w:r w:rsidRPr="0013396E">
              <w:rPr>
                <w:i/>
              </w:rPr>
              <w:t xml:space="preserve">r </w:t>
            </w:r>
            <w:r w:rsidRPr="0013396E">
              <w:t>is the Combined Cycle Train.</w:t>
            </w:r>
          </w:p>
        </w:tc>
      </w:tr>
      <w:tr w:rsidR="001F04FD" w:rsidRPr="0013396E" w14:paraId="06A85861" w14:textId="77777777" w:rsidTr="00AC4DEE">
        <w:trPr>
          <w:cantSplit/>
        </w:trPr>
        <w:tc>
          <w:tcPr>
            <w:tcW w:w="2088" w:type="dxa"/>
          </w:tcPr>
          <w:p w14:paraId="4B0DA723" w14:textId="77777777" w:rsidR="001F04FD" w:rsidRPr="0013396E" w:rsidRDefault="001F04FD" w:rsidP="00AC4DEE">
            <w:pPr>
              <w:pStyle w:val="TableBody"/>
            </w:pPr>
            <w:r w:rsidRPr="0013396E">
              <w:t>FIP</w:t>
            </w:r>
          </w:p>
        </w:tc>
        <w:tc>
          <w:tcPr>
            <w:tcW w:w="1080" w:type="dxa"/>
          </w:tcPr>
          <w:p w14:paraId="65D1D1F0" w14:textId="77777777" w:rsidR="001F04FD" w:rsidRPr="0013396E" w:rsidRDefault="001F04FD" w:rsidP="00AC4DEE">
            <w:pPr>
              <w:pStyle w:val="TableBody"/>
            </w:pPr>
            <w:r w:rsidRPr="0013396E">
              <w:t>$/MMBtu</w:t>
            </w:r>
          </w:p>
        </w:tc>
        <w:tc>
          <w:tcPr>
            <w:tcW w:w="6775" w:type="dxa"/>
          </w:tcPr>
          <w:p w14:paraId="3D6FD76D" w14:textId="77777777" w:rsidR="001F04FD" w:rsidRPr="0013396E" w:rsidRDefault="001F04FD" w:rsidP="00AC4DEE">
            <w:pPr>
              <w:pStyle w:val="TableBody"/>
            </w:pPr>
            <w:r w:rsidRPr="0013396E">
              <w:rPr>
                <w:i/>
              </w:rPr>
              <w:t>Fuel Index Price</w:t>
            </w:r>
            <w:r w:rsidRPr="0013396E">
              <w:t>—The FIP for the Operating Day.</w:t>
            </w:r>
          </w:p>
        </w:tc>
      </w:tr>
      <w:tr w:rsidR="001F04FD" w:rsidRPr="0013396E" w14:paraId="1C88B5C6" w14:textId="77777777" w:rsidTr="00AC4DEE">
        <w:trPr>
          <w:cantSplit/>
        </w:trPr>
        <w:tc>
          <w:tcPr>
            <w:tcW w:w="2088" w:type="dxa"/>
          </w:tcPr>
          <w:p w14:paraId="0353244F" w14:textId="77777777" w:rsidR="001F04FD" w:rsidRPr="0013396E" w:rsidRDefault="001F04FD" w:rsidP="00AC4DEE">
            <w:pPr>
              <w:pStyle w:val="TableBody"/>
            </w:pPr>
            <w:r w:rsidRPr="0013396E">
              <w:t xml:space="preserve">RMRSUFQ </w:t>
            </w:r>
            <w:r w:rsidRPr="0013396E">
              <w:rPr>
                <w:i/>
                <w:vertAlign w:val="subscript"/>
              </w:rPr>
              <w:t>q, r</w:t>
            </w:r>
          </w:p>
        </w:tc>
        <w:tc>
          <w:tcPr>
            <w:tcW w:w="1080" w:type="dxa"/>
          </w:tcPr>
          <w:p w14:paraId="27A49E7A" w14:textId="77777777" w:rsidR="001F04FD" w:rsidRPr="0013396E" w:rsidRDefault="001F04FD" w:rsidP="00AC4DEE">
            <w:pPr>
              <w:pStyle w:val="TableBody"/>
            </w:pPr>
            <w:r w:rsidRPr="0013396E">
              <w:t>MMBtu</w:t>
            </w:r>
          </w:p>
        </w:tc>
        <w:tc>
          <w:tcPr>
            <w:tcW w:w="6775" w:type="dxa"/>
          </w:tcPr>
          <w:p w14:paraId="71607580" w14:textId="77777777" w:rsidR="001F04FD" w:rsidRPr="0013396E" w:rsidRDefault="001F04FD" w:rsidP="00AC4DEE">
            <w:pPr>
              <w:pStyle w:val="TableBody"/>
            </w:pPr>
            <w:r w:rsidRPr="0013396E">
              <w:rPr>
                <w:i/>
              </w:rPr>
              <w:t>Reliability Must-Run Startup Fuel Quantity per QSE per Resource</w:t>
            </w:r>
            <w:r w:rsidRPr="0013396E">
              <w:sym w:font="Symbol" w:char="F0BE"/>
            </w:r>
            <w:r w:rsidRPr="0013396E">
              <w:t xml:space="preserve">The Estimated Start Up Fuel specified in the RMR Agreement for RMR Unit </w:t>
            </w:r>
            <w:r w:rsidRPr="0013396E">
              <w:rPr>
                <w:i/>
              </w:rPr>
              <w:t>r</w:t>
            </w:r>
            <w:r w:rsidRPr="0013396E">
              <w:t xml:space="preserve"> represented by QSE </w:t>
            </w:r>
            <w:r w:rsidRPr="0013396E">
              <w:rPr>
                <w:i/>
              </w:rPr>
              <w:t>q</w:t>
            </w:r>
            <w:r w:rsidRPr="0013396E">
              <w:t xml:space="preserve">.  Where for a Combined Cycle Train, the Resource </w:t>
            </w:r>
            <w:r w:rsidRPr="0013396E">
              <w:rPr>
                <w:i/>
              </w:rPr>
              <w:t xml:space="preserve">r </w:t>
            </w:r>
            <w:r w:rsidRPr="0013396E">
              <w:t>is the Combined Cycle Train.</w:t>
            </w:r>
          </w:p>
        </w:tc>
      </w:tr>
      <w:tr w:rsidR="001F04FD" w:rsidRPr="0013396E" w14:paraId="3401518A" w14:textId="77777777" w:rsidTr="00AC4DEE">
        <w:trPr>
          <w:cantSplit/>
        </w:trPr>
        <w:tc>
          <w:tcPr>
            <w:tcW w:w="2088" w:type="dxa"/>
          </w:tcPr>
          <w:p w14:paraId="43B23396" w14:textId="77777777" w:rsidR="001F04FD" w:rsidRPr="0013396E" w:rsidRDefault="001F04FD" w:rsidP="00AC4DEE">
            <w:pPr>
              <w:pStyle w:val="TableBody"/>
            </w:pPr>
            <w:r w:rsidRPr="0013396E">
              <w:t xml:space="preserve">RMRH </w:t>
            </w:r>
            <w:r w:rsidRPr="0013396E">
              <w:rPr>
                <w:i/>
                <w:vertAlign w:val="subscript"/>
              </w:rPr>
              <w:t>q, r,h</w:t>
            </w:r>
          </w:p>
        </w:tc>
        <w:tc>
          <w:tcPr>
            <w:tcW w:w="1080" w:type="dxa"/>
          </w:tcPr>
          <w:p w14:paraId="2671E659" w14:textId="77777777" w:rsidR="001F04FD" w:rsidRPr="0013396E" w:rsidRDefault="001F04FD" w:rsidP="00AC4DEE">
            <w:pPr>
              <w:pStyle w:val="TableBody"/>
            </w:pPr>
            <w:r w:rsidRPr="0013396E">
              <w:t>hour</w:t>
            </w:r>
          </w:p>
        </w:tc>
        <w:tc>
          <w:tcPr>
            <w:tcW w:w="6775" w:type="dxa"/>
          </w:tcPr>
          <w:p w14:paraId="7A9EAA89" w14:textId="77777777" w:rsidR="001F04FD" w:rsidRPr="0013396E" w:rsidRDefault="001F04FD" w:rsidP="00AC4DEE">
            <w:pPr>
              <w:pStyle w:val="TableBody"/>
            </w:pPr>
            <w:r w:rsidRPr="0013396E">
              <w:rPr>
                <w:i/>
              </w:rPr>
              <w:t>Reliability Must-Run Hours</w:t>
            </w:r>
            <w:r w:rsidRPr="0013396E">
              <w:t xml:space="preserve">—The number of hours during which RMR Unit </w:t>
            </w:r>
            <w:r w:rsidRPr="0013396E">
              <w:rPr>
                <w:i/>
              </w:rPr>
              <w:t>r</w:t>
            </w:r>
            <w:r w:rsidRPr="0013396E">
              <w:t xml:space="preserve"> represented by QSE </w:t>
            </w:r>
            <w:r w:rsidRPr="0013396E">
              <w:rPr>
                <w:i/>
              </w:rPr>
              <w:t>q</w:t>
            </w:r>
            <w:r w:rsidRPr="0013396E">
              <w:t xml:space="preserve"> is instructed On-Line for the Operating Day.  Where for a Combined Cycle Train, the Resource </w:t>
            </w:r>
            <w:r w:rsidRPr="0013396E">
              <w:rPr>
                <w:i/>
              </w:rPr>
              <w:t xml:space="preserve">r </w:t>
            </w:r>
            <w:r w:rsidRPr="0013396E">
              <w:t>is the Combined Cycle Train.</w:t>
            </w:r>
          </w:p>
        </w:tc>
      </w:tr>
      <w:tr w:rsidR="001F04FD" w:rsidRPr="0013396E" w14:paraId="0576B214" w14:textId="77777777" w:rsidTr="00AC4DEE">
        <w:trPr>
          <w:cantSplit/>
        </w:trPr>
        <w:tc>
          <w:tcPr>
            <w:tcW w:w="2088" w:type="dxa"/>
          </w:tcPr>
          <w:p w14:paraId="31A1FA11" w14:textId="77777777" w:rsidR="001F04FD" w:rsidRPr="0013396E" w:rsidRDefault="001F04FD" w:rsidP="00AC4DEE">
            <w:pPr>
              <w:pStyle w:val="TableBody"/>
            </w:pPr>
            <w:r w:rsidRPr="0013396E">
              <w:t xml:space="preserve">RMRALLOCFLAG </w:t>
            </w:r>
            <w:r w:rsidRPr="0013396E">
              <w:rPr>
                <w:i/>
                <w:vertAlign w:val="subscript"/>
              </w:rPr>
              <w:t>q, r</w:t>
            </w:r>
          </w:p>
        </w:tc>
        <w:tc>
          <w:tcPr>
            <w:tcW w:w="1080" w:type="dxa"/>
          </w:tcPr>
          <w:p w14:paraId="2E033D56" w14:textId="77777777" w:rsidR="001F04FD" w:rsidRPr="0013396E" w:rsidRDefault="001F04FD" w:rsidP="00AC4DEE">
            <w:pPr>
              <w:pStyle w:val="TableBody"/>
            </w:pPr>
            <w:r w:rsidRPr="0013396E">
              <w:t>none</w:t>
            </w:r>
          </w:p>
        </w:tc>
        <w:tc>
          <w:tcPr>
            <w:tcW w:w="6775" w:type="dxa"/>
          </w:tcPr>
          <w:p w14:paraId="4D54D9F1" w14:textId="77777777" w:rsidR="001F04FD" w:rsidRPr="0013396E" w:rsidRDefault="001F04FD" w:rsidP="00AC4DEE">
            <w:pPr>
              <w:pStyle w:val="TableBody"/>
            </w:pPr>
            <w:r w:rsidRPr="0013396E">
              <w:rPr>
                <w:i/>
              </w:rPr>
              <w:t>Reliability Must-Run Startup Flag per QSE per Resource by hour</w:t>
            </w:r>
            <w:r w:rsidRPr="0013396E">
              <w:t xml:space="preserve">—The number that indicates whether or not the startup fuel cost of RMR Unit </w:t>
            </w:r>
            <w:r w:rsidRPr="0013396E">
              <w:rPr>
                <w:i/>
              </w:rPr>
              <w:t>r</w:t>
            </w:r>
            <w:r w:rsidRPr="0013396E">
              <w:t xml:space="preserve"> represented by QSE </w:t>
            </w:r>
            <w:r w:rsidRPr="0013396E">
              <w:rPr>
                <w:i/>
              </w:rPr>
              <w:t>q</w:t>
            </w:r>
            <w:r w:rsidRPr="0013396E">
              <w:t xml:space="preserve"> is allocated to the hour.  Where for a Combined Cycle Train, the Resource </w:t>
            </w:r>
            <w:r w:rsidRPr="0013396E">
              <w:rPr>
                <w:i/>
              </w:rPr>
              <w:t xml:space="preserve">r </w:t>
            </w:r>
            <w:r w:rsidRPr="0013396E">
              <w:t xml:space="preserve">is the Combined Cycle Train.  The startup fuel cost will be allocated equally to all contiguous intervals for which there is an eligible start.  The RMRALLOCFLAG </w:t>
            </w:r>
            <w:r w:rsidRPr="0013396E">
              <w:rPr>
                <w:vertAlign w:val="subscript"/>
              </w:rPr>
              <w:t xml:space="preserve">q, r </w:t>
            </w:r>
            <w:r w:rsidRPr="0013396E">
              <w:t>value is 1 if the startup fuel cost is allocated; otherwise, its value is 0.</w:t>
            </w:r>
          </w:p>
          <w:p w14:paraId="4B39DA40" w14:textId="2B6D43BB" w:rsidR="001F04FD" w:rsidRPr="0013396E" w:rsidRDefault="001F04FD" w:rsidP="00F602B7">
            <w:pPr>
              <w:pStyle w:val="TableBody"/>
              <w:rPr>
                <w:i/>
              </w:rPr>
            </w:pPr>
            <w:r w:rsidRPr="0013396E">
              <w:t>The RMRALLOCFLAG</w:t>
            </w:r>
            <w:r w:rsidRPr="0013396E">
              <w:rPr>
                <w:vertAlign w:val="subscript"/>
              </w:rPr>
              <w:t xml:space="preserve"> q, r</w:t>
            </w:r>
            <w:r w:rsidRPr="0013396E">
              <w:t xml:space="preserve"> for eligibility is determined in Sections 5.6.2</w:t>
            </w:r>
            <w:r w:rsidRPr="0013396E">
              <w:rPr>
                <w:iCs w:val="0"/>
              </w:rPr>
              <w:t>, RUC Startup Cost Eligibility,</w:t>
            </w:r>
            <w:r w:rsidRPr="0013396E">
              <w:t xml:space="preserve"> and 5.6.3</w:t>
            </w:r>
            <w:r w:rsidRPr="0013396E">
              <w:rPr>
                <w:iCs w:val="0"/>
              </w:rPr>
              <w:t>, Forced Outage of a RUC-Committed Resource,</w:t>
            </w:r>
            <w:r w:rsidRPr="0013396E">
              <w:t xml:space="preserve"> for start-up payments and commitments in either the </w:t>
            </w:r>
            <w:r w:rsidR="00F602B7" w:rsidRPr="0013396E">
              <w:t>Reliability Unit Commitment (</w:t>
            </w:r>
            <w:r w:rsidRPr="0013396E">
              <w:t>RUC</w:t>
            </w:r>
            <w:r w:rsidR="00F602B7" w:rsidRPr="0013396E">
              <w:t>)</w:t>
            </w:r>
            <w:r w:rsidRPr="0013396E">
              <w:t xml:space="preserve"> or DAM.</w:t>
            </w:r>
          </w:p>
        </w:tc>
      </w:tr>
      <w:tr w:rsidR="001F04FD" w:rsidRPr="0013396E" w14:paraId="15D5F747" w14:textId="77777777" w:rsidTr="00AC4DEE">
        <w:trPr>
          <w:cantSplit/>
        </w:trPr>
        <w:tc>
          <w:tcPr>
            <w:tcW w:w="2088" w:type="dxa"/>
          </w:tcPr>
          <w:p w14:paraId="359A612A" w14:textId="77777777" w:rsidR="001F04FD" w:rsidRPr="0013396E" w:rsidRDefault="001F04FD" w:rsidP="00AC4DEE">
            <w:pPr>
              <w:pStyle w:val="TableBody"/>
            </w:pPr>
            <w:r w:rsidRPr="0013396E">
              <w:t xml:space="preserve">RMRHR </w:t>
            </w:r>
            <w:r w:rsidRPr="0013396E">
              <w:rPr>
                <w:i/>
                <w:vertAlign w:val="subscript"/>
              </w:rPr>
              <w:t>q, r, i</w:t>
            </w:r>
          </w:p>
        </w:tc>
        <w:tc>
          <w:tcPr>
            <w:tcW w:w="1080" w:type="dxa"/>
          </w:tcPr>
          <w:p w14:paraId="7E8E4F10" w14:textId="77777777" w:rsidR="001F04FD" w:rsidRPr="0013396E" w:rsidRDefault="001F04FD" w:rsidP="00AC4DEE">
            <w:pPr>
              <w:pStyle w:val="TableBody"/>
            </w:pPr>
            <w:r w:rsidRPr="0013396E">
              <w:t>MMBtu /MWh</w:t>
            </w:r>
          </w:p>
        </w:tc>
        <w:tc>
          <w:tcPr>
            <w:tcW w:w="6775" w:type="dxa"/>
          </w:tcPr>
          <w:p w14:paraId="347C0B9B" w14:textId="77777777" w:rsidR="001F04FD" w:rsidRPr="0013396E" w:rsidRDefault="001F04FD" w:rsidP="00AC4DEE">
            <w:pPr>
              <w:pStyle w:val="TableBody"/>
              <w:rPr>
                <w:i/>
              </w:rPr>
            </w:pPr>
            <w:r w:rsidRPr="0013396E">
              <w:rPr>
                <w:i/>
              </w:rPr>
              <w:t>Reliability Must-Run Heat Rate per QSE per Resource by Settlement Interval by hour</w:t>
            </w:r>
            <w:r w:rsidRPr="0013396E">
              <w:t>—The multiplier determined based on the input/output curve and the Real-Time generation of RMR Unit</w:t>
            </w:r>
            <w:r w:rsidRPr="0013396E">
              <w:rPr>
                <w:i/>
              </w:rPr>
              <w:t xml:space="preserve"> r</w:t>
            </w:r>
            <w:r w:rsidRPr="0013396E">
              <w:t xml:space="preserve"> represented by QSE </w:t>
            </w:r>
            <w:r w:rsidRPr="0013396E">
              <w:rPr>
                <w:i/>
              </w:rPr>
              <w:t>q</w:t>
            </w:r>
            <w:r w:rsidRPr="0013396E">
              <w:t xml:space="preserve">, for the 15-minute Settlement Interval </w:t>
            </w:r>
            <w:r w:rsidRPr="0013396E">
              <w:rPr>
                <w:i/>
              </w:rPr>
              <w:t>i</w:t>
            </w:r>
            <w:r w:rsidRPr="0013396E">
              <w:t xml:space="preserve"> in the hour.  Where for a Combined Cycle Train, the Resource </w:t>
            </w:r>
            <w:r w:rsidRPr="0013396E">
              <w:rPr>
                <w:i/>
              </w:rPr>
              <w:t xml:space="preserve">r </w:t>
            </w:r>
            <w:r w:rsidRPr="0013396E">
              <w:t>is the Combined Cycle Train.</w:t>
            </w:r>
          </w:p>
        </w:tc>
      </w:tr>
      <w:tr w:rsidR="001F04FD" w:rsidRPr="0013396E" w14:paraId="7BD54574" w14:textId="77777777" w:rsidTr="00AC4DEE">
        <w:trPr>
          <w:cantSplit/>
        </w:trPr>
        <w:tc>
          <w:tcPr>
            <w:tcW w:w="2088" w:type="dxa"/>
          </w:tcPr>
          <w:p w14:paraId="4C7C1A96" w14:textId="77777777" w:rsidR="001F04FD" w:rsidRPr="0013396E" w:rsidRDefault="001F04FD" w:rsidP="00AC4DEE">
            <w:pPr>
              <w:pStyle w:val="TableBody"/>
            </w:pPr>
            <w:r w:rsidRPr="0013396E">
              <w:t xml:space="preserve">RMRVCC </w:t>
            </w:r>
            <w:r w:rsidRPr="0013396E">
              <w:rPr>
                <w:i/>
                <w:vertAlign w:val="subscript"/>
              </w:rPr>
              <w:t>q, r</w:t>
            </w:r>
          </w:p>
        </w:tc>
        <w:tc>
          <w:tcPr>
            <w:tcW w:w="1080" w:type="dxa"/>
          </w:tcPr>
          <w:p w14:paraId="5014C462" w14:textId="77777777" w:rsidR="001F04FD" w:rsidRPr="0013396E" w:rsidRDefault="001F04FD" w:rsidP="00AC4DEE">
            <w:pPr>
              <w:pStyle w:val="TableBody"/>
            </w:pPr>
            <w:r w:rsidRPr="0013396E">
              <w:t>$/MWh</w:t>
            </w:r>
          </w:p>
        </w:tc>
        <w:tc>
          <w:tcPr>
            <w:tcW w:w="6775" w:type="dxa"/>
          </w:tcPr>
          <w:p w14:paraId="47BEBFEA" w14:textId="77777777" w:rsidR="001F04FD" w:rsidRPr="0013396E" w:rsidRDefault="001F04FD" w:rsidP="00AC4DEE">
            <w:pPr>
              <w:pStyle w:val="TableBody"/>
              <w:rPr>
                <w:i/>
              </w:rPr>
            </w:pPr>
            <w:r w:rsidRPr="0013396E">
              <w:rPr>
                <w:i/>
              </w:rPr>
              <w:t>Reliability Must-Run Variable Cost Component per QSE per Resource</w:t>
            </w:r>
            <w:r w:rsidRPr="0013396E">
              <w:t xml:space="preserve">—The monthly cost component that is used to adjust the energy cost calculation to reflect the actual fuel costs of RMR Unit </w:t>
            </w:r>
            <w:r w:rsidRPr="0013396E">
              <w:rPr>
                <w:i/>
              </w:rPr>
              <w:t>r</w:t>
            </w:r>
            <w:r w:rsidRPr="0013396E">
              <w:t xml:space="preserve"> represented by QSE </w:t>
            </w:r>
            <w:r w:rsidRPr="0013396E">
              <w:rPr>
                <w:i/>
              </w:rPr>
              <w:t>q</w:t>
            </w:r>
            <w:r w:rsidRPr="0013396E">
              <w:t xml:space="preserve">.  The value is initially set to zero.  For resettlements, see item (2) below.  Where for a Combined Cycle Train, the Resource </w:t>
            </w:r>
            <w:r w:rsidRPr="0013396E">
              <w:rPr>
                <w:i/>
              </w:rPr>
              <w:t xml:space="preserve">r </w:t>
            </w:r>
            <w:r w:rsidRPr="0013396E">
              <w:t>is the Combined Cycle Train.</w:t>
            </w:r>
          </w:p>
        </w:tc>
      </w:tr>
      <w:tr w:rsidR="001F04FD" w:rsidRPr="0013396E" w14:paraId="0199C651" w14:textId="77777777" w:rsidTr="00AC4DEE">
        <w:trPr>
          <w:cantSplit/>
        </w:trPr>
        <w:tc>
          <w:tcPr>
            <w:tcW w:w="2088" w:type="dxa"/>
          </w:tcPr>
          <w:p w14:paraId="3FD65DFD" w14:textId="77777777" w:rsidR="001F04FD" w:rsidRPr="0013396E" w:rsidRDefault="001F04FD" w:rsidP="00AC4DEE">
            <w:pPr>
              <w:pStyle w:val="TableBody"/>
            </w:pPr>
            <w:r w:rsidRPr="0013396E">
              <w:t xml:space="preserve">RTMG </w:t>
            </w:r>
            <w:r w:rsidRPr="0013396E">
              <w:rPr>
                <w:i/>
                <w:vertAlign w:val="subscript"/>
              </w:rPr>
              <w:t>q, r, i,</w:t>
            </w:r>
          </w:p>
        </w:tc>
        <w:tc>
          <w:tcPr>
            <w:tcW w:w="1080" w:type="dxa"/>
          </w:tcPr>
          <w:p w14:paraId="1DE08DA7" w14:textId="77777777" w:rsidR="001F04FD" w:rsidRPr="0013396E" w:rsidRDefault="001F04FD" w:rsidP="00AC4DEE">
            <w:pPr>
              <w:pStyle w:val="TableBody"/>
            </w:pPr>
            <w:r w:rsidRPr="0013396E">
              <w:t>MWh</w:t>
            </w:r>
          </w:p>
        </w:tc>
        <w:tc>
          <w:tcPr>
            <w:tcW w:w="6775" w:type="dxa"/>
          </w:tcPr>
          <w:p w14:paraId="4AA6F1DF" w14:textId="77777777" w:rsidR="001F04FD" w:rsidRPr="0013396E" w:rsidRDefault="001F04FD" w:rsidP="00AC4DEE">
            <w:pPr>
              <w:pStyle w:val="TableBody"/>
              <w:rPr>
                <w:i/>
              </w:rPr>
            </w:pPr>
            <w:r w:rsidRPr="0013396E">
              <w:rPr>
                <w:i/>
              </w:rPr>
              <w:t>Real-Time Metered Generation per QSE per Resource by Settlement Interval by hour</w:t>
            </w:r>
            <w:r w:rsidRPr="0013396E">
              <w:t>—The Real-Time energy from RMR Unit</w:t>
            </w:r>
            <w:r w:rsidRPr="0013396E">
              <w:rPr>
                <w:i/>
              </w:rPr>
              <w:t xml:space="preserve"> r</w:t>
            </w:r>
            <w:r w:rsidRPr="0013396E">
              <w:t xml:space="preserve"> represented by QSE </w:t>
            </w:r>
            <w:r w:rsidRPr="0013396E">
              <w:rPr>
                <w:i/>
              </w:rPr>
              <w:t>q</w:t>
            </w:r>
            <w:r w:rsidRPr="0013396E">
              <w:t xml:space="preserve">, for the 15-minute Settlement Interval </w:t>
            </w:r>
            <w:r w:rsidRPr="0013396E">
              <w:rPr>
                <w:i/>
              </w:rPr>
              <w:t xml:space="preserve">i </w:t>
            </w:r>
            <w:r w:rsidRPr="0013396E">
              <w:t>in the hour</w:t>
            </w:r>
            <w:r w:rsidRPr="0013396E">
              <w:rPr>
                <w:i/>
              </w:rPr>
              <w:t xml:space="preserve"> h</w:t>
            </w:r>
            <w:r w:rsidRPr="0013396E">
              <w:t xml:space="preserve">.  Where for a Combined Cycle Train, the Resource </w:t>
            </w:r>
            <w:r w:rsidRPr="0013396E">
              <w:rPr>
                <w:i/>
              </w:rPr>
              <w:t xml:space="preserve">r </w:t>
            </w:r>
            <w:r w:rsidRPr="0013396E">
              <w:t>is the Combined Cycle Train.</w:t>
            </w:r>
          </w:p>
        </w:tc>
      </w:tr>
      <w:tr w:rsidR="001F04FD" w:rsidRPr="0013396E" w14:paraId="6F8ED6FD" w14:textId="77777777" w:rsidTr="00AC4DEE">
        <w:trPr>
          <w:cantSplit/>
        </w:trPr>
        <w:tc>
          <w:tcPr>
            <w:tcW w:w="2088" w:type="dxa"/>
          </w:tcPr>
          <w:p w14:paraId="0359BDCA" w14:textId="77777777" w:rsidR="001F04FD" w:rsidRPr="0013396E" w:rsidRDefault="001F04FD" w:rsidP="00AC4DEE">
            <w:pPr>
              <w:pStyle w:val="TableBody"/>
            </w:pPr>
            <w:r w:rsidRPr="0013396E">
              <w:t>RMRCEFA</w:t>
            </w:r>
            <w:r w:rsidRPr="0013396E">
              <w:rPr>
                <w:vertAlign w:val="subscript"/>
              </w:rPr>
              <w:t xml:space="preserve"> </w:t>
            </w:r>
            <w:r w:rsidRPr="0013396E">
              <w:rPr>
                <w:i/>
                <w:vertAlign w:val="subscript"/>
              </w:rPr>
              <w:t>q, r</w:t>
            </w:r>
          </w:p>
        </w:tc>
        <w:tc>
          <w:tcPr>
            <w:tcW w:w="1080" w:type="dxa"/>
          </w:tcPr>
          <w:p w14:paraId="24D28FE1" w14:textId="77777777" w:rsidR="001F04FD" w:rsidRPr="0013396E" w:rsidRDefault="001F04FD" w:rsidP="00AC4DEE">
            <w:pPr>
              <w:pStyle w:val="TableBody"/>
            </w:pPr>
            <w:r w:rsidRPr="0013396E">
              <w:t>$/MMBtu</w:t>
            </w:r>
          </w:p>
        </w:tc>
        <w:tc>
          <w:tcPr>
            <w:tcW w:w="6775" w:type="dxa"/>
          </w:tcPr>
          <w:p w14:paraId="3CE67121" w14:textId="77777777" w:rsidR="001F04FD" w:rsidRPr="0013396E" w:rsidRDefault="001F04FD" w:rsidP="00AC4DEE">
            <w:pPr>
              <w:pStyle w:val="TableBody"/>
            </w:pPr>
            <w:r w:rsidRPr="0013396E">
              <w:rPr>
                <w:i/>
              </w:rPr>
              <w:t>Reliability Must-Run Contractual Estimated Fuel Adder</w:t>
            </w:r>
            <w:r w:rsidRPr="0013396E">
              <w:t xml:space="preserve">—The Estimated Fuel Adder that is contractually agreed upon in Section 22, Attachment B, Standard Form Reliability Must-Run Agreement.  Where for a Combined Cycle Train, the Resource </w:t>
            </w:r>
            <w:r w:rsidRPr="0013396E">
              <w:rPr>
                <w:i/>
              </w:rPr>
              <w:t xml:space="preserve">r </w:t>
            </w:r>
            <w:r w:rsidRPr="0013396E">
              <w:t>is the Combined Cycle Train.  The fuel adder will be subsequently trued up to reflect actual fuel costs as set forth in item (1) above.</w:t>
            </w:r>
          </w:p>
        </w:tc>
      </w:tr>
      <w:tr w:rsidR="001F04FD" w:rsidRPr="0013396E" w14:paraId="30F22B57" w14:textId="77777777" w:rsidTr="00AC4DEE">
        <w:trPr>
          <w:cantSplit/>
        </w:trPr>
        <w:tc>
          <w:tcPr>
            <w:tcW w:w="2088" w:type="dxa"/>
          </w:tcPr>
          <w:p w14:paraId="55DAA1E4" w14:textId="77777777" w:rsidR="001F04FD" w:rsidRPr="0013396E" w:rsidRDefault="001F04FD" w:rsidP="00AC4DEE">
            <w:pPr>
              <w:pStyle w:val="TableBody"/>
              <w:rPr>
                <w:i/>
              </w:rPr>
            </w:pPr>
            <w:r w:rsidRPr="0013396E">
              <w:rPr>
                <w:i/>
              </w:rPr>
              <w:t>q</w:t>
            </w:r>
          </w:p>
        </w:tc>
        <w:tc>
          <w:tcPr>
            <w:tcW w:w="1080" w:type="dxa"/>
          </w:tcPr>
          <w:p w14:paraId="3F819CF1" w14:textId="77777777" w:rsidR="001F04FD" w:rsidRPr="0013396E" w:rsidRDefault="001F04FD" w:rsidP="00AC4DEE">
            <w:pPr>
              <w:pStyle w:val="TableBody"/>
            </w:pPr>
            <w:r w:rsidRPr="0013396E">
              <w:t>none</w:t>
            </w:r>
          </w:p>
        </w:tc>
        <w:tc>
          <w:tcPr>
            <w:tcW w:w="6775" w:type="dxa"/>
          </w:tcPr>
          <w:p w14:paraId="6A6E9FB7" w14:textId="77777777" w:rsidR="001F04FD" w:rsidRPr="0013396E" w:rsidRDefault="001F04FD" w:rsidP="00AC4DEE">
            <w:pPr>
              <w:pStyle w:val="TableBody"/>
            </w:pPr>
            <w:r w:rsidRPr="0013396E">
              <w:t>A QSE.</w:t>
            </w:r>
          </w:p>
        </w:tc>
      </w:tr>
      <w:tr w:rsidR="001F04FD" w:rsidRPr="0013396E" w14:paraId="3C2BDA2B" w14:textId="77777777" w:rsidTr="00AC4DEE">
        <w:trPr>
          <w:cantSplit/>
        </w:trPr>
        <w:tc>
          <w:tcPr>
            <w:tcW w:w="2088" w:type="dxa"/>
          </w:tcPr>
          <w:p w14:paraId="557565BF" w14:textId="77777777" w:rsidR="001F04FD" w:rsidRPr="0013396E" w:rsidRDefault="001F04FD" w:rsidP="00AC4DEE">
            <w:pPr>
              <w:pStyle w:val="TableBody"/>
              <w:rPr>
                <w:i/>
              </w:rPr>
            </w:pPr>
            <w:r w:rsidRPr="0013396E">
              <w:rPr>
                <w:i/>
              </w:rPr>
              <w:t>r</w:t>
            </w:r>
          </w:p>
        </w:tc>
        <w:tc>
          <w:tcPr>
            <w:tcW w:w="1080" w:type="dxa"/>
          </w:tcPr>
          <w:p w14:paraId="13CD329F" w14:textId="77777777" w:rsidR="001F04FD" w:rsidRPr="0013396E" w:rsidRDefault="001F04FD" w:rsidP="00AC4DEE">
            <w:pPr>
              <w:pStyle w:val="TableBody"/>
            </w:pPr>
            <w:r w:rsidRPr="0013396E">
              <w:t>none</w:t>
            </w:r>
          </w:p>
        </w:tc>
        <w:tc>
          <w:tcPr>
            <w:tcW w:w="6775" w:type="dxa"/>
          </w:tcPr>
          <w:p w14:paraId="421BB642" w14:textId="77777777" w:rsidR="001F04FD" w:rsidRPr="0013396E" w:rsidRDefault="001F04FD" w:rsidP="00AC4DEE">
            <w:pPr>
              <w:pStyle w:val="TableBody"/>
            </w:pPr>
            <w:r w:rsidRPr="0013396E">
              <w:t>An RMR Unit.</w:t>
            </w:r>
          </w:p>
        </w:tc>
      </w:tr>
      <w:tr w:rsidR="001F04FD" w:rsidRPr="0013396E" w14:paraId="4E643914" w14:textId="77777777" w:rsidTr="00AC4DEE">
        <w:trPr>
          <w:cantSplit/>
        </w:trPr>
        <w:tc>
          <w:tcPr>
            <w:tcW w:w="2088" w:type="dxa"/>
          </w:tcPr>
          <w:p w14:paraId="795D7571" w14:textId="77777777" w:rsidR="001F04FD" w:rsidRPr="0013396E" w:rsidRDefault="001F04FD" w:rsidP="00AC4DEE">
            <w:pPr>
              <w:pStyle w:val="TableBody"/>
              <w:rPr>
                <w:i/>
              </w:rPr>
            </w:pPr>
            <w:r w:rsidRPr="0013396E">
              <w:rPr>
                <w:i/>
              </w:rPr>
              <w:lastRenderedPageBreak/>
              <w:t>i</w:t>
            </w:r>
          </w:p>
        </w:tc>
        <w:tc>
          <w:tcPr>
            <w:tcW w:w="1080" w:type="dxa"/>
          </w:tcPr>
          <w:p w14:paraId="116F5761" w14:textId="77777777" w:rsidR="001F04FD" w:rsidRPr="0013396E" w:rsidRDefault="001F04FD" w:rsidP="00AC4DEE">
            <w:pPr>
              <w:pStyle w:val="TableBody"/>
            </w:pPr>
            <w:r w:rsidRPr="0013396E">
              <w:t>none</w:t>
            </w:r>
          </w:p>
        </w:tc>
        <w:tc>
          <w:tcPr>
            <w:tcW w:w="6775" w:type="dxa"/>
          </w:tcPr>
          <w:p w14:paraId="7777EA4B" w14:textId="77777777" w:rsidR="001F04FD" w:rsidRPr="0013396E" w:rsidRDefault="001F04FD" w:rsidP="00AC4DEE">
            <w:pPr>
              <w:pStyle w:val="TableBody"/>
            </w:pPr>
            <w:r w:rsidRPr="0013396E">
              <w:t>A 15-minute Settlement Interval.</w:t>
            </w:r>
          </w:p>
        </w:tc>
      </w:tr>
    </w:tbl>
    <w:p w14:paraId="29B531B8" w14:textId="77777777" w:rsidR="001F04FD" w:rsidRPr="0013396E" w:rsidRDefault="001F04FD" w:rsidP="001F04FD">
      <w:pPr>
        <w:pStyle w:val="BodyTextNumbered"/>
        <w:spacing w:before="240"/>
      </w:pPr>
      <w:r w:rsidRPr="0013396E">
        <w:t>(2)</w:t>
      </w:r>
      <w:r w:rsidRPr="0013396E">
        <w:tab/>
        <w:t>If the RMR actual fuel cost is filed in accordance with the timeline in these Protocols, the monthly RMR variable cost component is calculated for the subsequent resettlements as follows:</w:t>
      </w:r>
    </w:p>
    <w:p w14:paraId="274131D1" w14:textId="77777777" w:rsidR="001F04FD" w:rsidRPr="0013396E" w:rsidRDefault="001F04FD" w:rsidP="001F04FD">
      <w:pPr>
        <w:pStyle w:val="FormulaBold"/>
        <w:tabs>
          <w:tab w:val="left" w:pos="2610"/>
        </w:tabs>
        <w:spacing w:after="0"/>
        <w:rPr>
          <w:lang w:val="pt-BR"/>
        </w:rPr>
      </w:pPr>
      <w:r w:rsidRPr="0013396E">
        <w:rPr>
          <w:lang w:val="pt-BR"/>
        </w:rPr>
        <w:t xml:space="preserve">RMRVCC </w:t>
      </w:r>
      <w:r w:rsidRPr="0013396E">
        <w:rPr>
          <w:i/>
          <w:vertAlign w:val="subscript"/>
          <w:lang w:val="pt-BR"/>
        </w:rPr>
        <w:t>q, r</w:t>
      </w:r>
      <w:r w:rsidRPr="0013396E">
        <w:rPr>
          <w:vertAlign w:val="subscript"/>
          <w:lang w:val="pt-BR"/>
        </w:rPr>
        <w:tab/>
      </w:r>
      <w:r w:rsidRPr="0013396E">
        <w:rPr>
          <w:lang w:val="pt-BR"/>
        </w:rPr>
        <w:t>=</w:t>
      </w:r>
      <w:r w:rsidRPr="0013396E">
        <w:rPr>
          <w:lang w:val="pt-BR"/>
        </w:rPr>
        <w:tab/>
        <w:t xml:space="preserve">(RMRMFCOST </w:t>
      </w:r>
      <w:r w:rsidRPr="0013396E">
        <w:rPr>
          <w:i/>
          <w:vertAlign w:val="subscript"/>
          <w:lang w:val="pt-BR"/>
        </w:rPr>
        <w:t>q, r</w:t>
      </w:r>
      <w:r w:rsidRPr="0013396E">
        <w:rPr>
          <w:lang w:val="pt-BR"/>
        </w:rPr>
        <w:t xml:space="preserve"> + </w:t>
      </w:r>
      <w:r w:rsidRPr="0013396E">
        <w:rPr>
          <w:position w:val="-20"/>
        </w:rPr>
        <w:object w:dxaOrig="225" w:dyaOrig="435" w14:anchorId="305852C6">
          <v:shape id="_x0000_i1167" type="#_x0000_t75" style="width:12pt;height:24pt" o:ole="">
            <v:imagedata r:id="rId205" o:title=""/>
          </v:shape>
          <o:OLEObject Type="Embed" ProgID="Equation.3" ShapeID="_x0000_i1167" DrawAspect="Content" ObjectID="_1849065798" r:id="rId206"/>
        </w:object>
      </w:r>
      <w:r w:rsidRPr="0013396E">
        <w:rPr>
          <w:lang w:val="pt-BR"/>
        </w:rPr>
        <w:t xml:space="preserve">RMREAMT </w:t>
      </w:r>
      <w:r w:rsidRPr="0013396E">
        <w:rPr>
          <w:i/>
          <w:vertAlign w:val="subscript"/>
          <w:lang w:val="pt-BR"/>
        </w:rPr>
        <w:t>q, r, f, h</w:t>
      </w:r>
      <w:r w:rsidRPr="0013396E">
        <w:rPr>
          <w:lang w:val="pt-BR"/>
        </w:rPr>
        <w:t xml:space="preserve">) / </w:t>
      </w:r>
    </w:p>
    <w:p w14:paraId="0B20EDD4" w14:textId="77777777" w:rsidR="001F04FD" w:rsidRPr="0013396E" w:rsidRDefault="001F04FD" w:rsidP="001F04FD">
      <w:pPr>
        <w:pStyle w:val="FormulaBold"/>
        <w:tabs>
          <w:tab w:val="left" w:pos="2610"/>
        </w:tabs>
        <w:ind w:hanging="1350"/>
        <w:rPr>
          <w:lang w:val="pt-BR"/>
        </w:rPr>
      </w:pPr>
      <w:r w:rsidRPr="0013396E">
        <w:rPr>
          <w:lang w:val="pt-BR"/>
        </w:rPr>
        <w:t>(</w:t>
      </w:r>
      <w:r w:rsidRPr="0013396E">
        <w:rPr>
          <w:position w:val="-20"/>
        </w:rPr>
        <w:object w:dxaOrig="225" w:dyaOrig="435" w14:anchorId="476C4D85">
          <v:shape id="_x0000_i1168" type="#_x0000_t75" style="width:12pt;height:24pt" o:ole="">
            <v:imagedata r:id="rId207" o:title=""/>
          </v:shape>
          <o:OLEObject Type="Embed" ProgID="Equation.3" ShapeID="_x0000_i1168" DrawAspect="Content" ObjectID="_1849065799" r:id="rId208"/>
        </w:object>
      </w:r>
      <w:r w:rsidRPr="0013396E">
        <w:rPr>
          <w:lang w:val="pt-BR"/>
        </w:rPr>
        <w:t xml:space="preserve">RTMG </w:t>
      </w:r>
      <w:r w:rsidRPr="0013396E">
        <w:rPr>
          <w:i/>
          <w:vertAlign w:val="subscript"/>
          <w:lang w:val="pt-BR"/>
        </w:rPr>
        <w:t>q, r, i</w:t>
      </w:r>
      <w:r w:rsidRPr="0013396E">
        <w:rPr>
          <w:lang w:val="pt-BR"/>
        </w:rPr>
        <w:t>)</w:t>
      </w:r>
    </w:p>
    <w:p w14:paraId="09509BC3" w14:textId="77777777" w:rsidR="001F04FD" w:rsidRPr="0013396E" w:rsidRDefault="001F04FD" w:rsidP="001F04FD">
      <w:r w:rsidRPr="0013396E">
        <w:t>The above variables are defined as follows: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8"/>
        <w:gridCol w:w="776"/>
        <w:gridCol w:w="7038"/>
      </w:tblGrid>
      <w:tr w:rsidR="001F04FD" w:rsidRPr="0013396E" w14:paraId="707DC9DB" w14:textId="77777777" w:rsidTr="00AC4DEE">
        <w:trPr>
          <w:cantSplit/>
          <w:tblHeader/>
        </w:trPr>
        <w:tc>
          <w:tcPr>
            <w:tcW w:w="1998" w:type="dxa"/>
          </w:tcPr>
          <w:p w14:paraId="74742EBA" w14:textId="77777777" w:rsidR="001F04FD" w:rsidRPr="0013396E" w:rsidRDefault="001F04FD" w:rsidP="00AC4DEE">
            <w:pPr>
              <w:pStyle w:val="TableHead"/>
            </w:pPr>
            <w:r w:rsidRPr="0013396E">
              <w:t>Variable</w:t>
            </w:r>
          </w:p>
        </w:tc>
        <w:tc>
          <w:tcPr>
            <w:tcW w:w="776" w:type="dxa"/>
          </w:tcPr>
          <w:p w14:paraId="283179D3" w14:textId="77777777" w:rsidR="001F04FD" w:rsidRPr="0013396E" w:rsidRDefault="001F04FD" w:rsidP="00AC4DEE">
            <w:pPr>
              <w:pStyle w:val="TableHead"/>
            </w:pPr>
            <w:r w:rsidRPr="0013396E">
              <w:t>Unit</w:t>
            </w:r>
          </w:p>
        </w:tc>
        <w:tc>
          <w:tcPr>
            <w:tcW w:w="7038" w:type="dxa"/>
          </w:tcPr>
          <w:p w14:paraId="0D1B6EFE" w14:textId="77777777" w:rsidR="001F04FD" w:rsidRPr="0013396E" w:rsidRDefault="001F04FD" w:rsidP="00AC4DEE">
            <w:pPr>
              <w:pStyle w:val="TableHead"/>
            </w:pPr>
            <w:r w:rsidRPr="0013396E">
              <w:t>Definition</w:t>
            </w:r>
          </w:p>
        </w:tc>
      </w:tr>
      <w:tr w:rsidR="001F04FD" w:rsidRPr="0013396E" w14:paraId="24107EAD" w14:textId="77777777" w:rsidTr="00AC4DEE">
        <w:trPr>
          <w:cantSplit/>
        </w:trPr>
        <w:tc>
          <w:tcPr>
            <w:tcW w:w="1998" w:type="dxa"/>
          </w:tcPr>
          <w:p w14:paraId="24B5D09E" w14:textId="77777777" w:rsidR="001F04FD" w:rsidRPr="0013396E" w:rsidRDefault="001F04FD" w:rsidP="00AC4DEE">
            <w:pPr>
              <w:pStyle w:val="TableBody"/>
            </w:pPr>
            <w:r w:rsidRPr="0013396E">
              <w:t xml:space="preserve">RMRVCC </w:t>
            </w:r>
            <w:r w:rsidRPr="0013396E">
              <w:rPr>
                <w:i/>
                <w:vertAlign w:val="subscript"/>
              </w:rPr>
              <w:t>q, r</w:t>
            </w:r>
          </w:p>
        </w:tc>
        <w:tc>
          <w:tcPr>
            <w:tcW w:w="776" w:type="dxa"/>
          </w:tcPr>
          <w:p w14:paraId="6E111330" w14:textId="77777777" w:rsidR="001F04FD" w:rsidRPr="0013396E" w:rsidRDefault="001F04FD" w:rsidP="00AC4DEE">
            <w:pPr>
              <w:pStyle w:val="TableBody"/>
            </w:pPr>
            <w:r w:rsidRPr="0013396E">
              <w:t>$/MWh</w:t>
            </w:r>
          </w:p>
        </w:tc>
        <w:tc>
          <w:tcPr>
            <w:tcW w:w="7038" w:type="dxa"/>
          </w:tcPr>
          <w:p w14:paraId="201A17D1" w14:textId="77777777" w:rsidR="001F04FD" w:rsidRPr="0013396E" w:rsidRDefault="001F04FD" w:rsidP="00AC4DEE">
            <w:pPr>
              <w:pStyle w:val="TableBody"/>
            </w:pPr>
            <w:r w:rsidRPr="0013396E">
              <w:rPr>
                <w:i/>
              </w:rPr>
              <w:t>Reliability Must-Run Variable Cost Component per QSE per Resource</w:t>
            </w:r>
            <w:r w:rsidRPr="0013396E">
              <w:t xml:space="preserve">—The monthly cost component that is used to adjust the energy cost calculation to reflect the actual fuel costs of RMR Unit </w:t>
            </w:r>
            <w:r w:rsidRPr="0013396E">
              <w:rPr>
                <w:i/>
              </w:rPr>
              <w:t>r</w:t>
            </w:r>
            <w:r w:rsidRPr="0013396E">
              <w:t xml:space="preserve"> represented by QSE </w:t>
            </w:r>
            <w:r w:rsidRPr="0013396E">
              <w:rPr>
                <w:i/>
              </w:rPr>
              <w:t>q</w:t>
            </w:r>
            <w:r w:rsidRPr="0013396E">
              <w:t xml:space="preserve">.  Where for a Combined Cycle Train, the Resource </w:t>
            </w:r>
            <w:r w:rsidRPr="0013396E">
              <w:rPr>
                <w:i/>
              </w:rPr>
              <w:t xml:space="preserve">r </w:t>
            </w:r>
            <w:r w:rsidRPr="0013396E">
              <w:t>is the Combined Cycle Train.</w:t>
            </w:r>
          </w:p>
        </w:tc>
      </w:tr>
      <w:tr w:rsidR="001F04FD" w:rsidRPr="0013396E" w14:paraId="06B054DE" w14:textId="77777777" w:rsidTr="00AC4DEE">
        <w:trPr>
          <w:cantSplit/>
        </w:trPr>
        <w:tc>
          <w:tcPr>
            <w:tcW w:w="1998" w:type="dxa"/>
          </w:tcPr>
          <w:p w14:paraId="27D86CD8" w14:textId="77777777" w:rsidR="001F04FD" w:rsidRPr="0013396E" w:rsidRDefault="001F04FD" w:rsidP="00AC4DEE">
            <w:pPr>
              <w:pStyle w:val="TableBody"/>
            </w:pPr>
            <w:r w:rsidRPr="0013396E">
              <w:t xml:space="preserve">RMRMFCOST </w:t>
            </w:r>
            <w:r w:rsidRPr="0013396E">
              <w:rPr>
                <w:i/>
                <w:vertAlign w:val="subscript"/>
              </w:rPr>
              <w:t>q, r</w:t>
            </w:r>
          </w:p>
        </w:tc>
        <w:tc>
          <w:tcPr>
            <w:tcW w:w="776" w:type="dxa"/>
          </w:tcPr>
          <w:p w14:paraId="34D46493" w14:textId="77777777" w:rsidR="001F04FD" w:rsidRPr="0013396E" w:rsidRDefault="001F04FD" w:rsidP="00AC4DEE">
            <w:pPr>
              <w:pStyle w:val="TableBody"/>
            </w:pPr>
            <w:r w:rsidRPr="0013396E">
              <w:t>$</w:t>
            </w:r>
          </w:p>
        </w:tc>
        <w:tc>
          <w:tcPr>
            <w:tcW w:w="7038" w:type="dxa"/>
          </w:tcPr>
          <w:p w14:paraId="53232787" w14:textId="77777777" w:rsidR="001F04FD" w:rsidRPr="0013396E" w:rsidRDefault="001F04FD" w:rsidP="00AC4DEE">
            <w:pPr>
              <w:pStyle w:val="TableBody"/>
            </w:pPr>
            <w:r w:rsidRPr="0013396E">
              <w:rPr>
                <w:i/>
              </w:rPr>
              <w:t>Reliability Must-Run Monthly actual Fuel Cost per QSE per Resource</w:t>
            </w:r>
            <w:r w:rsidRPr="0013396E">
              <w:t xml:space="preserve">—The monthly actual fuel cost of RMR Unit </w:t>
            </w:r>
            <w:r w:rsidRPr="0013396E">
              <w:rPr>
                <w:i/>
              </w:rPr>
              <w:t>r</w:t>
            </w:r>
            <w:r w:rsidRPr="0013396E">
              <w:t xml:space="preserve"> represented by QSE </w:t>
            </w:r>
            <w:r w:rsidRPr="0013396E">
              <w:rPr>
                <w:i/>
              </w:rPr>
              <w:t>q</w:t>
            </w:r>
            <w:r w:rsidRPr="0013396E">
              <w:t xml:space="preserve">, for the month.  Where for a Combined Cycle Train, the Resource </w:t>
            </w:r>
            <w:r w:rsidRPr="0013396E">
              <w:rPr>
                <w:i/>
              </w:rPr>
              <w:t xml:space="preserve">r </w:t>
            </w:r>
            <w:r w:rsidRPr="0013396E">
              <w:t>is the Combined Cycle Train.</w:t>
            </w:r>
          </w:p>
        </w:tc>
      </w:tr>
      <w:tr w:rsidR="001F04FD" w:rsidRPr="0013396E" w14:paraId="5D17F386" w14:textId="77777777" w:rsidTr="00AC4DEE">
        <w:trPr>
          <w:cantSplit/>
        </w:trPr>
        <w:tc>
          <w:tcPr>
            <w:tcW w:w="1998" w:type="dxa"/>
          </w:tcPr>
          <w:p w14:paraId="35B46E90" w14:textId="77777777" w:rsidR="001F04FD" w:rsidRPr="0013396E" w:rsidRDefault="001F04FD" w:rsidP="00AC4DEE">
            <w:pPr>
              <w:pStyle w:val="TableBody"/>
            </w:pPr>
            <w:r w:rsidRPr="0013396E">
              <w:t xml:space="preserve">RTMG </w:t>
            </w:r>
            <w:r w:rsidRPr="0013396E">
              <w:rPr>
                <w:i/>
                <w:vertAlign w:val="subscript"/>
                <w:lang w:val="pt-BR"/>
              </w:rPr>
              <w:t xml:space="preserve">q, r, </w:t>
            </w:r>
            <w:r w:rsidRPr="0013396E">
              <w:rPr>
                <w:i/>
                <w:vertAlign w:val="subscript"/>
              </w:rPr>
              <w:t>i</w:t>
            </w:r>
          </w:p>
        </w:tc>
        <w:tc>
          <w:tcPr>
            <w:tcW w:w="776" w:type="dxa"/>
          </w:tcPr>
          <w:p w14:paraId="660260B4" w14:textId="77777777" w:rsidR="001F04FD" w:rsidRPr="0013396E" w:rsidRDefault="001F04FD" w:rsidP="00AC4DEE">
            <w:pPr>
              <w:pStyle w:val="TableBody"/>
            </w:pPr>
            <w:r w:rsidRPr="0013396E">
              <w:t>MWh</w:t>
            </w:r>
          </w:p>
        </w:tc>
        <w:tc>
          <w:tcPr>
            <w:tcW w:w="7038" w:type="dxa"/>
          </w:tcPr>
          <w:p w14:paraId="0444C3CB" w14:textId="77777777" w:rsidR="001F04FD" w:rsidRPr="0013396E" w:rsidRDefault="001F04FD" w:rsidP="00AC4DEE">
            <w:pPr>
              <w:pStyle w:val="TableBody"/>
            </w:pPr>
            <w:r w:rsidRPr="0013396E">
              <w:rPr>
                <w:i/>
              </w:rPr>
              <w:t>Real-Time Metered Generation per QSE per Resource by Settlement Interval</w:t>
            </w:r>
            <w:r w:rsidRPr="0013396E">
              <w:t xml:space="preserve">—The Real-Time energy from RMR Unit </w:t>
            </w:r>
            <w:r w:rsidRPr="0013396E">
              <w:rPr>
                <w:i/>
              </w:rPr>
              <w:t>r</w:t>
            </w:r>
            <w:r w:rsidRPr="0013396E">
              <w:t xml:space="preserve"> represented by QSE </w:t>
            </w:r>
            <w:r w:rsidRPr="0013396E">
              <w:rPr>
                <w:i/>
              </w:rPr>
              <w:t>q</w:t>
            </w:r>
            <w:r w:rsidRPr="0013396E">
              <w:t xml:space="preserve"> for the 15-minute Settlement Interval </w:t>
            </w:r>
            <w:r w:rsidRPr="0013396E">
              <w:rPr>
                <w:i/>
              </w:rPr>
              <w:t>i</w:t>
            </w:r>
            <w:r w:rsidRPr="0013396E">
              <w:t xml:space="preserve">.  Where for a Combined Cycle Train, the Resource </w:t>
            </w:r>
            <w:r w:rsidRPr="0013396E">
              <w:rPr>
                <w:i/>
              </w:rPr>
              <w:t xml:space="preserve">r </w:t>
            </w:r>
            <w:r w:rsidRPr="0013396E">
              <w:t>is the Combined Cycle Train.</w:t>
            </w:r>
          </w:p>
        </w:tc>
      </w:tr>
      <w:tr w:rsidR="001F04FD" w:rsidRPr="0013396E" w14:paraId="11F9D8E6" w14:textId="77777777" w:rsidTr="00AC4DEE">
        <w:trPr>
          <w:cantSplit/>
        </w:trPr>
        <w:tc>
          <w:tcPr>
            <w:tcW w:w="1998" w:type="dxa"/>
            <w:tcBorders>
              <w:top w:val="single" w:sz="4" w:space="0" w:color="auto"/>
              <w:left w:val="single" w:sz="4" w:space="0" w:color="auto"/>
              <w:bottom w:val="single" w:sz="4" w:space="0" w:color="auto"/>
              <w:right w:val="single" w:sz="4" w:space="0" w:color="auto"/>
            </w:tcBorders>
          </w:tcPr>
          <w:p w14:paraId="7AE63F08" w14:textId="77777777" w:rsidR="001F04FD" w:rsidRPr="0013396E" w:rsidRDefault="001F04FD" w:rsidP="00AC4DEE">
            <w:pPr>
              <w:pStyle w:val="TableBody"/>
              <w:rPr>
                <w:lang w:val="de-DE"/>
              </w:rPr>
            </w:pPr>
            <w:r w:rsidRPr="0013396E">
              <w:rPr>
                <w:lang w:val="de-DE"/>
              </w:rPr>
              <w:t xml:space="preserve">RMREAMT </w:t>
            </w:r>
            <w:r w:rsidRPr="0013396E">
              <w:rPr>
                <w:i/>
                <w:vertAlign w:val="subscript"/>
                <w:lang w:val="de-DE"/>
              </w:rPr>
              <w:t>q, r, f, h</w:t>
            </w:r>
          </w:p>
        </w:tc>
        <w:tc>
          <w:tcPr>
            <w:tcW w:w="776" w:type="dxa"/>
            <w:tcBorders>
              <w:top w:val="single" w:sz="4" w:space="0" w:color="auto"/>
              <w:left w:val="single" w:sz="4" w:space="0" w:color="auto"/>
              <w:bottom w:val="single" w:sz="4" w:space="0" w:color="auto"/>
              <w:right w:val="single" w:sz="4" w:space="0" w:color="auto"/>
            </w:tcBorders>
          </w:tcPr>
          <w:p w14:paraId="6E0D1090" w14:textId="77777777" w:rsidR="001F04FD" w:rsidRPr="0013396E" w:rsidRDefault="001F04FD" w:rsidP="00AC4DEE">
            <w:pPr>
              <w:pStyle w:val="TableBody"/>
            </w:pPr>
            <w:r w:rsidRPr="0013396E">
              <w:t>$</w:t>
            </w:r>
          </w:p>
        </w:tc>
        <w:tc>
          <w:tcPr>
            <w:tcW w:w="7038" w:type="dxa"/>
            <w:tcBorders>
              <w:top w:val="single" w:sz="4" w:space="0" w:color="auto"/>
              <w:left w:val="single" w:sz="4" w:space="0" w:color="auto"/>
              <w:bottom w:val="single" w:sz="4" w:space="0" w:color="auto"/>
              <w:right w:val="single" w:sz="4" w:space="0" w:color="auto"/>
            </w:tcBorders>
          </w:tcPr>
          <w:p w14:paraId="06414B7E" w14:textId="77777777" w:rsidR="001F04FD" w:rsidRPr="0013396E" w:rsidRDefault="001F04FD" w:rsidP="00AC4DEE">
            <w:pPr>
              <w:pStyle w:val="TableBody"/>
            </w:pPr>
            <w:r w:rsidRPr="0013396E">
              <w:rPr>
                <w:i/>
              </w:rPr>
              <w:t>Reliability Must-Run Energy Amount per QSE per Resource by hour</w:t>
            </w:r>
            <w:r w:rsidRPr="0013396E">
              <w:t xml:space="preserve">—The energy payment to QSE </w:t>
            </w:r>
            <w:r w:rsidRPr="0013396E">
              <w:rPr>
                <w:i/>
              </w:rPr>
              <w:t>q</w:t>
            </w:r>
            <w:r w:rsidRPr="0013396E">
              <w:t xml:space="preserve"> for RMR Unit </w:t>
            </w:r>
            <w:r w:rsidRPr="0013396E">
              <w:rPr>
                <w:i/>
              </w:rPr>
              <w:t>r</w:t>
            </w:r>
            <w:r w:rsidRPr="0013396E">
              <w:t xml:space="preserve">, for the hour </w:t>
            </w:r>
            <w:r w:rsidRPr="0013396E">
              <w:rPr>
                <w:i/>
              </w:rPr>
              <w:t>h,</w:t>
            </w:r>
            <w:r w:rsidRPr="0013396E">
              <w:t xml:space="preserve"> from the former Settlement Statement </w:t>
            </w:r>
            <w:r w:rsidRPr="0013396E">
              <w:rPr>
                <w:i/>
              </w:rPr>
              <w:t>f</w:t>
            </w:r>
            <w:r w:rsidRPr="0013396E">
              <w:t xml:space="preserve">.  Where for a Combined Cycle Train, the Resource </w:t>
            </w:r>
            <w:r w:rsidRPr="0013396E">
              <w:rPr>
                <w:i/>
              </w:rPr>
              <w:t xml:space="preserve">r </w:t>
            </w:r>
            <w:r w:rsidRPr="0013396E">
              <w:t>is the Combined Cycle Train.</w:t>
            </w:r>
          </w:p>
        </w:tc>
      </w:tr>
      <w:tr w:rsidR="001F04FD" w:rsidRPr="0013396E" w14:paraId="14A47FD4" w14:textId="77777777" w:rsidTr="00AC4DEE">
        <w:trPr>
          <w:cantSplit/>
        </w:trPr>
        <w:tc>
          <w:tcPr>
            <w:tcW w:w="1998" w:type="dxa"/>
          </w:tcPr>
          <w:p w14:paraId="3902A4E8" w14:textId="77777777" w:rsidR="001F04FD" w:rsidRPr="0013396E" w:rsidRDefault="001F04FD" w:rsidP="00AC4DEE">
            <w:pPr>
              <w:pStyle w:val="TableBody"/>
              <w:rPr>
                <w:i/>
              </w:rPr>
            </w:pPr>
            <w:r w:rsidRPr="0013396E">
              <w:rPr>
                <w:i/>
              </w:rPr>
              <w:t>q</w:t>
            </w:r>
          </w:p>
        </w:tc>
        <w:tc>
          <w:tcPr>
            <w:tcW w:w="776" w:type="dxa"/>
          </w:tcPr>
          <w:p w14:paraId="357D1859" w14:textId="77777777" w:rsidR="001F04FD" w:rsidRPr="0013396E" w:rsidRDefault="001F04FD" w:rsidP="00AC4DEE">
            <w:pPr>
              <w:pStyle w:val="TableBody"/>
            </w:pPr>
            <w:r w:rsidRPr="0013396E">
              <w:t>none</w:t>
            </w:r>
          </w:p>
        </w:tc>
        <w:tc>
          <w:tcPr>
            <w:tcW w:w="7038" w:type="dxa"/>
          </w:tcPr>
          <w:p w14:paraId="1B1BCD6D" w14:textId="77777777" w:rsidR="001F04FD" w:rsidRPr="0013396E" w:rsidRDefault="001F04FD" w:rsidP="00AC4DEE">
            <w:pPr>
              <w:pStyle w:val="TableBody"/>
            </w:pPr>
            <w:r w:rsidRPr="0013396E">
              <w:t>A QSE.</w:t>
            </w:r>
          </w:p>
        </w:tc>
      </w:tr>
      <w:tr w:rsidR="001F04FD" w:rsidRPr="0013396E" w14:paraId="77FEE849" w14:textId="77777777" w:rsidTr="00AC4DEE">
        <w:trPr>
          <w:cantSplit/>
        </w:trPr>
        <w:tc>
          <w:tcPr>
            <w:tcW w:w="1998" w:type="dxa"/>
          </w:tcPr>
          <w:p w14:paraId="05C8A875" w14:textId="77777777" w:rsidR="001F04FD" w:rsidRPr="0013396E" w:rsidRDefault="001F04FD" w:rsidP="00AC4DEE">
            <w:pPr>
              <w:pStyle w:val="TableBody"/>
              <w:rPr>
                <w:i/>
              </w:rPr>
            </w:pPr>
            <w:r w:rsidRPr="0013396E">
              <w:rPr>
                <w:i/>
              </w:rPr>
              <w:t>r</w:t>
            </w:r>
          </w:p>
        </w:tc>
        <w:tc>
          <w:tcPr>
            <w:tcW w:w="776" w:type="dxa"/>
          </w:tcPr>
          <w:p w14:paraId="7DF34C12" w14:textId="77777777" w:rsidR="001F04FD" w:rsidRPr="0013396E" w:rsidRDefault="001F04FD" w:rsidP="00AC4DEE">
            <w:pPr>
              <w:pStyle w:val="TableBody"/>
            </w:pPr>
            <w:r w:rsidRPr="0013396E">
              <w:t>none</w:t>
            </w:r>
          </w:p>
        </w:tc>
        <w:tc>
          <w:tcPr>
            <w:tcW w:w="7038" w:type="dxa"/>
          </w:tcPr>
          <w:p w14:paraId="79BA37E3" w14:textId="77777777" w:rsidR="001F04FD" w:rsidRPr="0013396E" w:rsidRDefault="001F04FD" w:rsidP="00AC4DEE">
            <w:pPr>
              <w:pStyle w:val="TableBody"/>
            </w:pPr>
            <w:r w:rsidRPr="0013396E">
              <w:t>An RMR Unit.</w:t>
            </w:r>
          </w:p>
        </w:tc>
      </w:tr>
      <w:tr w:rsidR="001F04FD" w:rsidRPr="0013396E" w14:paraId="60CD1545" w14:textId="77777777" w:rsidTr="00AC4DEE">
        <w:trPr>
          <w:cantSplit/>
        </w:trPr>
        <w:tc>
          <w:tcPr>
            <w:tcW w:w="1998" w:type="dxa"/>
          </w:tcPr>
          <w:p w14:paraId="09223D39" w14:textId="77777777" w:rsidR="001F04FD" w:rsidRPr="0013396E" w:rsidRDefault="001F04FD" w:rsidP="00AC4DEE">
            <w:pPr>
              <w:pStyle w:val="TableBody"/>
              <w:rPr>
                <w:i/>
              </w:rPr>
            </w:pPr>
            <w:r w:rsidRPr="0013396E">
              <w:rPr>
                <w:i/>
              </w:rPr>
              <w:t>h</w:t>
            </w:r>
          </w:p>
        </w:tc>
        <w:tc>
          <w:tcPr>
            <w:tcW w:w="776" w:type="dxa"/>
          </w:tcPr>
          <w:p w14:paraId="01935B33" w14:textId="77777777" w:rsidR="001F04FD" w:rsidRPr="0013396E" w:rsidRDefault="001F04FD" w:rsidP="00AC4DEE">
            <w:pPr>
              <w:pStyle w:val="TableBody"/>
            </w:pPr>
            <w:r w:rsidRPr="0013396E">
              <w:t>none</w:t>
            </w:r>
          </w:p>
        </w:tc>
        <w:tc>
          <w:tcPr>
            <w:tcW w:w="7038" w:type="dxa"/>
          </w:tcPr>
          <w:p w14:paraId="0D1E5C71" w14:textId="77777777" w:rsidR="001F04FD" w:rsidRPr="0013396E" w:rsidRDefault="001F04FD" w:rsidP="00AC4DEE">
            <w:pPr>
              <w:pStyle w:val="TableBody"/>
              <w:rPr>
                <w:i/>
              </w:rPr>
            </w:pPr>
            <w:r w:rsidRPr="0013396E">
              <w:t>An hour in the month.</w:t>
            </w:r>
          </w:p>
        </w:tc>
      </w:tr>
      <w:tr w:rsidR="001F04FD" w:rsidRPr="0013396E" w14:paraId="3CA01561" w14:textId="77777777" w:rsidTr="00AC4DEE">
        <w:trPr>
          <w:cantSplit/>
        </w:trPr>
        <w:tc>
          <w:tcPr>
            <w:tcW w:w="1998" w:type="dxa"/>
          </w:tcPr>
          <w:p w14:paraId="36B5E294" w14:textId="77777777" w:rsidR="001F04FD" w:rsidRPr="0013396E" w:rsidRDefault="001F04FD" w:rsidP="00AC4DEE">
            <w:pPr>
              <w:pStyle w:val="TableBody"/>
              <w:rPr>
                <w:i/>
              </w:rPr>
            </w:pPr>
            <w:r w:rsidRPr="0013396E">
              <w:rPr>
                <w:i/>
              </w:rPr>
              <w:t>i</w:t>
            </w:r>
          </w:p>
        </w:tc>
        <w:tc>
          <w:tcPr>
            <w:tcW w:w="776" w:type="dxa"/>
          </w:tcPr>
          <w:p w14:paraId="7AC21623" w14:textId="77777777" w:rsidR="001F04FD" w:rsidRPr="0013396E" w:rsidRDefault="001F04FD" w:rsidP="00AC4DEE">
            <w:pPr>
              <w:pStyle w:val="TableBody"/>
            </w:pPr>
            <w:r w:rsidRPr="0013396E">
              <w:t>none</w:t>
            </w:r>
          </w:p>
        </w:tc>
        <w:tc>
          <w:tcPr>
            <w:tcW w:w="7038" w:type="dxa"/>
          </w:tcPr>
          <w:p w14:paraId="02D83CC5" w14:textId="77777777" w:rsidR="001F04FD" w:rsidRPr="0013396E" w:rsidRDefault="001F04FD" w:rsidP="00AC4DEE">
            <w:pPr>
              <w:pStyle w:val="TableBody"/>
              <w:rPr>
                <w:i/>
              </w:rPr>
            </w:pPr>
            <w:r w:rsidRPr="0013396E">
              <w:t>A 15-minute Settlement Interval in the month.</w:t>
            </w:r>
          </w:p>
        </w:tc>
      </w:tr>
      <w:tr w:rsidR="001F04FD" w:rsidRPr="0013396E" w14:paraId="13483CA2" w14:textId="77777777" w:rsidTr="00AC4DEE">
        <w:trPr>
          <w:cantSplit/>
        </w:trPr>
        <w:tc>
          <w:tcPr>
            <w:tcW w:w="1998" w:type="dxa"/>
            <w:tcBorders>
              <w:top w:val="single" w:sz="4" w:space="0" w:color="auto"/>
              <w:left w:val="single" w:sz="4" w:space="0" w:color="auto"/>
              <w:bottom w:val="single" w:sz="4" w:space="0" w:color="auto"/>
              <w:right w:val="single" w:sz="4" w:space="0" w:color="auto"/>
            </w:tcBorders>
          </w:tcPr>
          <w:p w14:paraId="6460EC7A" w14:textId="77777777" w:rsidR="001F04FD" w:rsidRPr="0013396E" w:rsidRDefault="001F04FD" w:rsidP="00AC4DEE">
            <w:pPr>
              <w:pStyle w:val="TableBody"/>
              <w:rPr>
                <w:i/>
              </w:rPr>
            </w:pPr>
            <w:r w:rsidRPr="0013396E">
              <w:rPr>
                <w:i/>
              </w:rPr>
              <w:t>f</w:t>
            </w:r>
          </w:p>
        </w:tc>
        <w:tc>
          <w:tcPr>
            <w:tcW w:w="776" w:type="dxa"/>
            <w:tcBorders>
              <w:top w:val="single" w:sz="4" w:space="0" w:color="auto"/>
              <w:left w:val="single" w:sz="4" w:space="0" w:color="auto"/>
              <w:bottom w:val="single" w:sz="4" w:space="0" w:color="auto"/>
              <w:right w:val="single" w:sz="4" w:space="0" w:color="auto"/>
            </w:tcBorders>
          </w:tcPr>
          <w:p w14:paraId="755CE4AD" w14:textId="77777777" w:rsidR="001F04FD" w:rsidRPr="0013396E" w:rsidRDefault="001F04FD" w:rsidP="00AC4DEE">
            <w:pPr>
              <w:pStyle w:val="TableBody"/>
            </w:pPr>
            <w:r w:rsidRPr="0013396E">
              <w:t>none</w:t>
            </w:r>
          </w:p>
        </w:tc>
        <w:tc>
          <w:tcPr>
            <w:tcW w:w="7038" w:type="dxa"/>
            <w:tcBorders>
              <w:top w:val="single" w:sz="4" w:space="0" w:color="auto"/>
              <w:left w:val="single" w:sz="4" w:space="0" w:color="auto"/>
              <w:bottom w:val="single" w:sz="4" w:space="0" w:color="auto"/>
              <w:right w:val="single" w:sz="4" w:space="0" w:color="auto"/>
            </w:tcBorders>
          </w:tcPr>
          <w:p w14:paraId="07BDB152" w14:textId="77777777" w:rsidR="001F04FD" w:rsidRPr="0013396E" w:rsidRDefault="001F04FD" w:rsidP="00AC4DEE">
            <w:pPr>
              <w:pStyle w:val="TableBody"/>
            </w:pPr>
            <w:r w:rsidRPr="0013396E">
              <w:t>Amount from former settlement run.</w:t>
            </w:r>
          </w:p>
        </w:tc>
      </w:tr>
    </w:tbl>
    <w:p w14:paraId="554ABBE9" w14:textId="77777777" w:rsidR="001F04FD" w:rsidRPr="0013396E" w:rsidRDefault="001F04FD" w:rsidP="001F04FD"/>
    <w:p w14:paraId="2F17C82A" w14:textId="77777777" w:rsidR="001F04FD" w:rsidRPr="0013396E" w:rsidRDefault="001F04FD" w:rsidP="001F04FD">
      <w:pPr>
        <w:pStyle w:val="BodyTextNumbered"/>
      </w:pPr>
      <w:bookmarkStart w:id="1939" w:name="_Toc87951800"/>
      <w:bookmarkStart w:id="1940" w:name="_Toc109009410"/>
      <w:r w:rsidRPr="0013396E">
        <w:t>(3)</w:t>
      </w:r>
      <w:r w:rsidRPr="0013396E">
        <w:tab/>
        <w:t>The total of the payments for energy to each QSE for all RMR Units represented by this QSE for a given hour is calculated as follows:</w:t>
      </w:r>
    </w:p>
    <w:p w14:paraId="3E66CA06" w14:textId="77777777" w:rsidR="001F04FD" w:rsidRPr="0013396E" w:rsidRDefault="001F04FD" w:rsidP="001F04FD">
      <w:pPr>
        <w:pStyle w:val="FormulaBold"/>
      </w:pPr>
      <w:r w:rsidRPr="0013396E">
        <w:t xml:space="preserve">RMREAMTQSETOT </w:t>
      </w:r>
      <w:r w:rsidRPr="0013396E">
        <w:rPr>
          <w:i/>
          <w:vertAlign w:val="subscript"/>
        </w:rPr>
        <w:t>q</w:t>
      </w:r>
      <w:r w:rsidRPr="0013396E">
        <w:tab/>
        <w:t>=</w:t>
      </w:r>
      <w:r w:rsidRPr="0013396E">
        <w:tab/>
      </w:r>
      <w:r w:rsidRPr="0013396E">
        <w:rPr>
          <w:position w:val="-18"/>
        </w:rPr>
        <w:object w:dxaOrig="225" w:dyaOrig="420" w14:anchorId="20E6CE1F">
          <v:shape id="_x0000_i1169" type="#_x0000_t75" style="width:12pt;height:24pt" o:ole="">
            <v:imagedata r:id="rId209" o:title=""/>
          </v:shape>
          <o:OLEObject Type="Embed" ProgID="Equation.3" ShapeID="_x0000_i1169" DrawAspect="Content" ObjectID="_1849065800" r:id="rId210"/>
        </w:object>
      </w:r>
      <w:r w:rsidRPr="0013396E">
        <w:t xml:space="preserve">RMREAMT </w:t>
      </w:r>
      <w:r w:rsidRPr="0013396E">
        <w:rPr>
          <w:i/>
          <w:vertAlign w:val="subscript"/>
        </w:rPr>
        <w:t>q, r</w:t>
      </w:r>
    </w:p>
    <w:p w14:paraId="08612F0F" w14:textId="77777777" w:rsidR="001F04FD" w:rsidRPr="0013396E" w:rsidRDefault="001F04FD" w:rsidP="001F04FD">
      <w:r w:rsidRPr="0013396E">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074"/>
      </w:tblGrid>
      <w:tr w:rsidR="001F04FD" w:rsidRPr="0013396E" w14:paraId="48C379FC" w14:textId="77777777" w:rsidTr="00AC4DEE">
        <w:tc>
          <w:tcPr>
            <w:tcW w:w="2165" w:type="dxa"/>
          </w:tcPr>
          <w:p w14:paraId="135714FD" w14:textId="77777777" w:rsidR="001F04FD" w:rsidRPr="0013396E" w:rsidRDefault="001F04FD" w:rsidP="00AC4DEE">
            <w:pPr>
              <w:pStyle w:val="TableHead"/>
            </w:pPr>
            <w:r w:rsidRPr="0013396E">
              <w:t>Variable</w:t>
            </w:r>
          </w:p>
        </w:tc>
        <w:tc>
          <w:tcPr>
            <w:tcW w:w="832" w:type="dxa"/>
          </w:tcPr>
          <w:p w14:paraId="0ECCECC7" w14:textId="77777777" w:rsidR="001F04FD" w:rsidRPr="0013396E" w:rsidRDefault="001F04FD" w:rsidP="00AC4DEE">
            <w:pPr>
              <w:pStyle w:val="TableHead"/>
            </w:pPr>
            <w:r w:rsidRPr="0013396E">
              <w:t>Unit</w:t>
            </w:r>
          </w:p>
        </w:tc>
        <w:tc>
          <w:tcPr>
            <w:tcW w:w="6074" w:type="dxa"/>
          </w:tcPr>
          <w:p w14:paraId="66A450FA" w14:textId="77777777" w:rsidR="001F04FD" w:rsidRPr="0013396E" w:rsidRDefault="001F04FD" w:rsidP="00AC4DEE">
            <w:pPr>
              <w:pStyle w:val="TableHead"/>
            </w:pPr>
            <w:r w:rsidRPr="0013396E">
              <w:t>Definition</w:t>
            </w:r>
          </w:p>
        </w:tc>
      </w:tr>
      <w:tr w:rsidR="001F04FD" w:rsidRPr="0013396E" w14:paraId="25B69265" w14:textId="77777777" w:rsidTr="00AC4DEE">
        <w:tc>
          <w:tcPr>
            <w:tcW w:w="2165" w:type="dxa"/>
          </w:tcPr>
          <w:p w14:paraId="0E2B995C" w14:textId="77777777" w:rsidR="001F04FD" w:rsidRPr="0013396E" w:rsidRDefault="001F04FD" w:rsidP="00AC4DEE">
            <w:pPr>
              <w:pStyle w:val="TableBody"/>
            </w:pPr>
            <w:r w:rsidRPr="0013396E">
              <w:t xml:space="preserve">RMREAMTQSETOT </w:t>
            </w:r>
            <w:r w:rsidRPr="0013396E">
              <w:rPr>
                <w:i/>
                <w:vertAlign w:val="subscript"/>
              </w:rPr>
              <w:t>q</w:t>
            </w:r>
          </w:p>
        </w:tc>
        <w:tc>
          <w:tcPr>
            <w:tcW w:w="832" w:type="dxa"/>
          </w:tcPr>
          <w:p w14:paraId="39A7059C" w14:textId="77777777" w:rsidR="001F04FD" w:rsidRPr="0013396E" w:rsidRDefault="001F04FD" w:rsidP="00AC4DEE">
            <w:pPr>
              <w:pStyle w:val="TableBody"/>
            </w:pPr>
            <w:r w:rsidRPr="0013396E">
              <w:t>$</w:t>
            </w:r>
          </w:p>
        </w:tc>
        <w:tc>
          <w:tcPr>
            <w:tcW w:w="6074" w:type="dxa"/>
          </w:tcPr>
          <w:p w14:paraId="578F0B6F" w14:textId="77777777" w:rsidR="001F04FD" w:rsidRPr="0013396E" w:rsidRDefault="001F04FD" w:rsidP="00AC4DEE">
            <w:pPr>
              <w:pStyle w:val="TableBody"/>
            </w:pPr>
            <w:r w:rsidRPr="0013396E">
              <w:rPr>
                <w:i/>
              </w:rPr>
              <w:t>Reliability Must-Run Energy Amount QSE Total per QSE</w:t>
            </w:r>
            <w:r w:rsidRPr="0013396E">
              <w:sym w:font="Symbol" w:char="F0BE"/>
            </w:r>
            <w:r w:rsidRPr="0013396E">
              <w:t xml:space="preserve">The total of the energy payments to QSE </w:t>
            </w:r>
            <w:r w:rsidRPr="0013396E">
              <w:rPr>
                <w:i/>
              </w:rPr>
              <w:t>q</w:t>
            </w:r>
            <w:r w:rsidRPr="0013396E">
              <w:t xml:space="preserve"> for all RMR Units represented by this QSE for the hour.</w:t>
            </w:r>
          </w:p>
        </w:tc>
      </w:tr>
      <w:tr w:rsidR="001F04FD" w:rsidRPr="0013396E" w14:paraId="46E18E60" w14:textId="77777777" w:rsidTr="00AC4DEE">
        <w:tc>
          <w:tcPr>
            <w:tcW w:w="2165" w:type="dxa"/>
          </w:tcPr>
          <w:p w14:paraId="681AE3D6" w14:textId="77777777" w:rsidR="001F04FD" w:rsidRPr="0013396E" w:rsidRDefault="001F04FD" w:rsidP="00AC4DEE">
            <w:pPr>
              <w:pStyle w:val="TableBody"/>
            </w:pPr>
            <w:r w:rsidRPr="0013396E">
              <w:lastRenderedPageBreak/>
              <w:t xml:space="preserve">RMREAMT </w:t>
            </w:r>
            <w:r w:rsidRPr="0013396E">
              <w:rPr>
                <w:i/>
                <w:vertAlign w:val="subscript"/>
              </w:rPr>
              <w:t>q, r</w:t>
            </w:r>
          </w:p>
        </w:tc>
        <w:tc>
          <w:tcPr>
            <w:tcW w:w="832" w:type="dxa"/>
          </w:tcPr>
          <w:p w14:paraId="6AA37CF4" w14:textId="77777777" w:rsidR="001F04FD" w:rsidRPr="0013396E" w:rsidRDefault="001F04FD" w:rsidP="00AC4DEE">
            <w:pPr>
              <w:pStyle w:val="TableBody"/>
            </w:pPr>
            <w:r w:rsidRPr="0013396E">
              <w:t>$</w:t>
            </w:r>
          </w:p>
        </w:tc>
        <w:tc>
          <w:tcPr>
            <w:tcW w:w="6074" w:type="dxa"/>
          </w:tcPr>
          <w:p w14:paraId="1CFD9248" w14:textId="77777777" w:rsidR="001F04FD" w:rsidRPr="0013396E" w:rsidRDefault="001F04FD" w:rsidP="00AC4DEE">
            <w:pPr>
              <w:pStyle w:val="TableBody"/>
            </w:pPr>
            <w:r w:rsidRPr="0013396E">
              <w:rPr>
                <w:i/>
              </w:rPr>
              <w:t>Reliability Must-Run Energy Amount per QSE per Resource by hour</w:t>
            </w:r>
            <w:r w:rsidRPr="0013396E">
              <w:t xml:space="preserve">—The energy payment to QSE </w:t>
            </w:r>
            <w:r w:rsidRPr="0013396E">
              <w:rPr>
                <w:i/>
              </w:rPr>
              <w:t>q</w:t>
            </w:r>
            <w:r w:rsidRPr="0013396E">
              <w:t xml:space="preserve"> for RMR Unit </w:t>
            </w:r>
            <w:r w:rsidRPr="0013396E">
              <w:rPr>
                <w:i/>
              </w:rPr>
              <w:t>r</w:t>
            </w:r>
            <w:r w:rsidRPr="0013396E">
              <w:t xml:space="preserve">, for the hour.  Where for a Combined Cycle Train, the Resource </w:t>
            </w:r>
            <w:r w:rsidRPr="0013396E">
              <w:rPr>
                <w:i/>
              </w:rPr>
              <w:t xml:space="preserve">r </w:t>
            </w:r>
            <w:r w:rsidRPr="0013396E">
              <w:t>is the Combined Cycle Train.</w:t>
            </w:r>
          </w:p>
        </w:tc>
      </w:tr>
      <w:tr w:rsidR="001F04FD" w:rsidRPr="0013396E" w14:paraId="05D1EF2B" w14:textId="77777777" w:rsidTr="00AC4DEE">
        <w:tc>
          <w:tcPr>
            <w:tcW w:w="2165" w:type="dxa"/>
            <w:tcBorders>
              <w:top w:val="single" w:sz="4" w:space="0" w:color="auto"/>
              <w:left w:val="single" w:sz="4" w:space="0" w:color="auto"/>
              <w:bottom w:val="single" w:sz="4" w:space="0" w:color="auto"/>
              <w:right w:val="single" w:sz="4" w:space="0" w:color="auto"/>
            </w:tcBorders>
          </w:tcPr>
          <w:p w14:paraId="561FD7E2" w14:textId="77777777" w:rsidR="001F04FD" w:rsidRPr="0013396E" w:rsidRDefault="001F04FD" w:rsidP="00AC4DE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1EA9DF3B"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75E5A403" w14:textId="77777777" w:rsidR="001F04FD" w:rsidRPr="0013396E" w:rsidRDefault="001F04FD" w:rsidP="00AC4DEE">
            <w:pPr>
              <w:pStyle w:val="TableBody"/>
            </w:pPr>
            <w:r w:rsidRPr="0013396E">
              <w:t>A QSE.</w:t>
            </w:r>
          </w:p>
        </w:tc>
      </w:tr>
      <w:tr w:rsidR="001F04FD" w:rsidRPr="0013396E" w14:paraId="2598DB51" w14:textId="77777777" w:rsidTr="00AC4DEE">
        <w:tc>
          <w:tcPr>
            <w:tcW w:w="2165" w:type="dxa"/>
            <w:tcBorders>
              <w:top w:val="single" w:sz="4" w:space="0" w:color="auto"/>
              <w:left w:val="single" w:sz="4" w:space="0" w:color="auto"/>
              <w:bottom w:val="single" w:sz="4" w:space="0" w:color="auto"/>
              <w:right w:val="single" w:sz="4" w:space="0" w:color="auto"/>
            </w:tcBorders>
          </w:tcPr>
          <w:p w14:paraId="61D103A2" w14:textId="77777777" w:rsidR="001F04FD" w:rsidRPr="0013396E" w:rsidRDefault="001F04FD" w:rsidP="00AC4DEE">
            <w:pPr>
              <w:pStyle w:val="TableBody"/>
              <w:rPr>
                <w:i/>
              </w:rPr>
            </w:pPr>
            <w:r w:rsidRPr="0013396E">
              <w:rPr>
                <w:i/>
              </w:rPr>
              <w:t>r</w:t>
            </w:r>
          </w:p>
        </w:tc>
        <w:tc>
          <w:tcPr>
            <w:tcW w:w="832" w:type="dxa"/>
            <w:tcBorders>
              <w:top w:val="single" w:sz="4" w:space="0" w:color="auto"/>
              <w:left w:val="single" w:sz="4" w:space="0" w:color="auto"/>
              <w:bottom w:val="single" w:sz="4" w:space="0" w:color="auto"/>
              <w:right w:val="single" w:sz="4" w:space="0" w:color="auto"/>
            </w:tcBorders>
          </w:tcPr>
          <w:p w14:paraId="2A8554D7"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581480AA" w14:textId="77777777" w:rsidR="001F04FD" w:rsidRPr="0013396E" w:rsidRDefault="001F04FD" w:rsidP="00AC4DEE">
            <w:pPr>
              <w:pStyle w:val="TableBody"/>
            </w:pPr>
            <w:r w:rsidRPr="0013396E">
              <w:t>An RMR Unit.</w:t>
            </w:r>
          </w:p>
        </w:tc>
      </w:tr>
    </w:tbl>
    <w:p w14:paraId="742278EE" w14:textId="77777777" w:rsidR="001F04FD" w:rsidRPr="0013396E" w:rsidRDefault="001F04FD" w:rsidP="001F04FD">
      <w:pPr>
        <w:pStyle w:val="H4"/>
        <w:spacing w:before="480"/>
        <w:ind w:left="1267" w:hanging="1267"/>
      </w:pPr>
      <w:bookmarkStart w:id="1941" w:name="_Toc397505029"/>
      <w:bookmarkStart w:id="1942" w:name="_Toc402357161"/>
      <w:bookmarkStart w:id="1943" w:name="_Toc422486541"/>
      <w:bookmarkStart w:id="1944" w:name="_Toc433093394"/>
      <w:bookmarkStart w:id="1945" w:name="_Toc433093552"/>
      <w:bookmarkStart w:id="1946" w:name="_Toc440874782"/>
      <w:bookmarkStart w:id="1947" w:name="_Toc448142339"/>
      <w:bookmarkStart w:id="1948" w:name="_Toc448142496"/>
      <w:bookmarkStart w:id="1949" w:name="_Toc458770337"/>
      <w:bookmarkStart w:id="1950" w:name="_Toc459294305"/>
      <w:bookmarkStart w:id="1951" w:name="_Toc463262798"/>
      <w:bookmarkStart w:id="1952" w:name="_Toc468286871"/>
      <w:bookmarkStart w:id="1953" w:name="_Toc481502911"/>
      <w:bookmarkStart w:id="1954" w:name="_Toc496080079"/>
      <w:bookmarkStart w:id="1955" w:name="_Toc236220207"/>
      <w:r w:rsidRPr="0013396E">
        <w:t>6.6.6.3</w:t>
      </w:r>
      <w:r w:rsidRPr="0013396E">
        <w:tab/>
        <w:t>RMR Adjustment Charge</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14:paraId="69863FBD" w14:textId="77777777" w:rsidR="001F04FD" w:rsidRPr="0013396E" w:rsidRDefault="001F04FD" w:rsidP="001F04FD">
      <w:pPr>
        <w:pStyle w:val="BodyTextNumbered"/>
      </w:pPr>
      <w:r w:rsidRPr="0013396E">
        <w:t>(1)</w:t>
      </w:r>
      <w:r w:rsidRPr="0013396E">
        <w:tab/>
        <w:t>Each QSE that represents an RMR Unit shall pay a charge designed to recover the net total revenues from RUC settlements, and from Real-Time settlements received by that QSE for all RMR Units that it represents, except that the charge does not include net revenues received by the QSE for the RMR Standby Payments calculated under Section 6.6.6.1, RMR Standby Payment, and the RMR energy payments calculated under Section 6.6.6.2, RMR Payment for Energy.</w:t>
      </w:r>
    </w:p>
    <w:p w14:paraId="5E482A79" w14:textId="77777777" w:rsidR="001F04FD" w:rsidRPr="0013396E" w:rsidRDefault="001F04FD" w:rsidP="001F04FD">
      <w:pPr>
        <w:pStyle w:val="BodyTextNumbered"/>
        <w:rPr>
          <w:iCs/>
        </w:rPr>
      </w:pPr>
      <w:r w:rsidRPr="0013396E">
        <w:rPr>
          <w:iCs/>
        </w:rPr>
        <w:t>(2)</w:t>
      </w:r>
      <w:r w:rsidRPr="0013396E">
        <w:rPr>
          <w:iCs/>
        </w:rPr>
        <w:tab/>
        <w:t>The charge for each QSE representing an RMR Unit for a given Operating Hour is calculated as follows:</w:t>
      </w:r>
    </w:p>
    <w:p w14:paraId="1192449E" w14:textId="77777777" w:rsidR="001F04FD" w:rsidRPr="0013396E" w:rsidRDefault="001F04FD" w:rsidP="001F04FD">
      <w:pPr>
        <w:pStyle w:val="FormulaBold"/>
        <w:tabs>
          <w:tab w:val="clear" w:pos="2250"/>
          <w:tab w:val="clear" w:pos="3150"/>
          <w:tab w:val="clear" w:pos="3960"/>
          <w:tab w:val="left" w:pos="2790"/>
          <w:tab w:val="left" w:pos="3240"/>
        </w:tabs>
        <w:ind w:left="3240" w:hanging="2520"/>
      </w:pPr>
      <w:r w:rsidRPr="0013396E">
        <w:t xml:space="preserve">RMRAAMT </w:t>
      </w:r>
      <w:r w:rsidRPr="0013396E">
        <w:rPr>
          <w:i/>
          <w:vertAlign w:val="subscript"/>
        </w:rPr>
        <w:t>q</w:t>
      </w:r>
      <w:r w:rsidRPr="0013396E">
        <w:tab/>
        <w:t>=</w:t>
      </w:r>
      <w:r w:rsidRPr="0013396E">
        <w:tab/>
        <w:t>(-1) * [</w:t>
      </w:r>
      <w:r w:rsidRPr="0013396E">
        <w:rPr>
          <w:position w:val="-22"/>
        </w:rPr>
        <w:object w:dxaOrig="225" w:dyaOrig="465" w14:anchorId="517E36D4">
          <v:shape id="_x0000_i1170" type="#_x0000_t75" style="width:12pt;height:24pt" o:ole="">
            <v:imagedata r:id="rId211" o:title=""/>
          </v:shape>
          <o:OLEObject Type="Embed" ProgID="Equation.3" ShapeID="_x0000_i1170" DrawAspect="Content" ObjectID="_1849065801" r:id="rId212"/>
        </w:object>
      </w:r>
      <w:r w:rsidRPr="0013396E">
        <w:rPr>
          <w:position w:val="-18"/>
        </w:rPr>
        <w:object w:dxaOrig="225" w:dyaOrig="420" w14:anchorId="720A4C5D">
          <v:shape id="_x0000_i1171" type="#_x0000_t75" style="width:12pt;height:24pt" o:ole="">
            <v:imagedata r:id="rId213" o:title=""/>
          </v:shape>
          <o:OLEObject Type="Embed" ProgID="Equation.3" ShapeID="_x0000_i1171" DrawAspect="Content" ObjectID="_1849065802" r:id="rId214"/>
        </w:object>
      </w:r>
      <w:r w:rsidRPr="0013396E">
        <w:t xml:space="preserve">((-1) * </w:t>
      </w:r>
      <w:r w:rsidRPr="0013396E">
        <w:rPr>
          <w:position w:val="-20"/>
        </w:rPr>
        <w:object w:dxaOrig="255" w:dyaOrig="585" w14:anchorId="10207477">
          <v:shape id="_x0000_i1172" type="#_x0000_t75" style="width:12pt;height:30pt" o:ole="">
            <v:imagedata r:id="rId203" o:title=""/>
          </v:shape>
          <o:OLEObject Type="Embed" ProgID="Equation.3" ShapeID="_x0000_i1172" DrawAspect="Content" ObjectID="_1849065803" r:id="rId215"/>
        </w:object>
      </w:r>
      <w:r w:rsidRPr="0013396E">
        <w:t xml:space="preserve">RESREV </w:t>
      </w:r>
      <w:r w:rsidRPr="0013396E">
        <w:rPr>
          <w:i/>
          <w:vertAlign w:val="subscript"/>
        </w:rPr>
        <w:t>q, r, gsc, p</w:t>
      </w:r>
      <w:r w:rsidRPr="0013396E">
        <w:t xml:space="preserve"> + </w:t>
      </w:r>
      <w:r w:rsidRPr="0013396E">
        <w:rPr>
          <w:position w:val="-20"/>
        </w:rPr>
        <w:object w:dxaOrig="255" w:dyaOrig="585" w14:anchorId="4820A344">
          <v:shape id="_x0000_i1173" type="#_x0000_t75" style="width:12pt;height:30pt" o:ole="">
            <v:imagedata r:id="rId203" o:title=""/>
          </v:shape>
          <o:OLEObject Type="Embed" ProgID="Equation.3" ShapeID="_x0000_i1173" DrawAspect="Content" ObjectID="_1849065804" r:id="rId216"/>
        </w:object>
      </w:r>
      <w:r w:rsidRPr="0013396E">
        <w:t xml:space="preserve">EMREAMT </w:t>
      </w:r>
      <w:r w:rsidRPr="0013396E">
        <w:rPr>
          <w:i/>
          <w:vertAlign w:val="subscript"/>
        </w:rPr>
        <w:t>q, r, p, i</w:t>
      </w:r>
      <w:r w:rsidRPr="0013396E">
        <w:t xml:space="preserve"> + RUCMWAMT </w:t>
      </w:r>
      <w:r w:rsidRPr="0013396E">
        <w:rPr>
          <w:i/>
          <w:vertAlign w:val="subscript"/>
        </w:rPr>
        <w:t>q, r, p</w:t>
      </w:r>
      <w:r w:rsidRPr="0013396E">
        <w:t xml:space="preserve"> + RUCCBAMT </w:t>
      </w:r>
      <w:r w:rsidRPr="0013396E">
        <w:rPr>
          <w:i/>
          <w:vertAlign w:val="subscript"/>
        </w:rPr>
        <w:t>q, r, p</w:t>
      </w:r>
      <w:r w:rsidRPr="0013396E">
        <w:t xml:space="preserve"> + RUCDCAMT </w:t>
      </w:r>
      <w:r w:rsidRPr="0013396E">
        <w:rPr>
          <w:i/>
          <w:vertAlign w:val="subscript"/>
        </w:rPr>
        <w:t>q, r, p</w:t>
      </w:r>
      <w:r w:rsidRPr="0013396E">
        <w:t xml:space="preserve"> + </w:t>
      </w:r>
      <w:r w:rsidRPr="0013396E">
        <w:rPr>
          <w:position w:val="-20"/>
        </w:rPr>
        <w:object w:dxaOrig="255" w:dyaOrig="585" w14:anchorId="27243DB9">
          <v:shape id="_x0000_i1174" type="#_x0000_t75" style="width:12pt;height:30pt" o:ole="">
            <v:imagedata r:id="rId203" o:title=""/>
          </v:shape>
          <o:OLEObject Type="Embed" ProgID="Equation.3" ShapeID="_x0000_i1174" DrawAspect="Content" ObjectID="_1849065805" r:id="rId217"/>
        </w:object>
      </w:r>
      <w:r w:rsidRPr="0013396E">
        <w:t xml:space="preserve">VSSEAMT </w:t>
      </w:r>
      <w:r w:rsidRPr="0013396E">
        <w:rPr>
          <w:i/>
          <w:vertAlign w:val="subscript"/>
        </w:rPr>
        <w:t>q, r, p, i</w:t>
      </w:r>
      <w:r w:rsidRPr="0013396E">
        <w:t xml:space="preserve"> + </w:t>
      </w:r>
      <w:r w:rsidRPr="0013396E">
        <w:rPr>
          <w:position w:val="-20"/>
        </w:rPr>
        <w:object w:dxaOrig="255" w:dyaOrig="585" w14:anchorId="3460A9C4">
          <v:shape id="_x0000_i1175" type="#_x0000_t75" style="width:12pt;height:30pt" o:ole="">
            <v:imagedata r:id="rId203" o:title=""/>
          </v:shape>
          <o:OLEObject Type="Embed" ProgID="Equation.3" ShapeID="_x0000_i1175" DrawAspect="Content" ObjectID="_1849065806" r:id="rId218"/>
        </w:object>
      </w:r>
      <w:r w:rsidRPr="0013396E">
        <w:t xml:space="preserve">VSSVARAMT </w:t>
      </w:r>
      <w:r w:rsidRPr="0013396E">
        <w:rPr>
          <w:i/>
          <w:vertAlign w:val="subscript"/>
        </w:rPr>
        <w:t>q, r, i</w:t>
      </w:r>
      <w:r w:rsidRPr="0013396E">
        <w:rPr>
          <w:rFonts w:ascii="Times New Roman Bold" w:hAnsi="Times New Roman Bold"/>
        </w:rPr>
        <w:t>)]</w:t>
      </w:r>
    </w:p>
    <w:p w14:paraId="335F2103" w14:textId="77777777" w:rsidR="001F04FD" w:rsidRPr="0013396E" w:rsidRDefault="001F04FD" w:rsidP="001F04FD">
      <w:r w:rsidRPr="0013396E">
        <w:t>The above variables are defined as follows:</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840"/>
        <w:gridCol w:w="6399"/>
      </w:tblGrid>
      <w:tr w:rsidR="001F04FD" w:rsidRPr="0013396E" w14:paraId="1022C35A" w14:textId="77777777" w:rsidTr="00AC4DEE">
        <w:trPr>
          <w:cantSplit/>
          <w:tblHeader/>
        </w:trPr>
        <w:tc>
          <w:tcPr>
            <w:tcW w:w="1207" w:type="pct"/>
          </w:tcPr>
          <w:p w14:paraId="63825218" w14:textId="77777777" w:rsidR="001F04FD" w:rsidRPr="0013396E" w:rsidRDefault="001F04FD" w:rsidP="00AC4DEE">
            <w:pPr>
              <w:pStyle w:val="TableHead"/>
            </w:pPr>
            <w:r w:rsidRPr="0013396E">
              <w:t>Variable</w:t>
            </w:r>
          </w:p>
        </w:tc>
        <w:tc>
          <w:tcPr>
            <w:tcW w:w="440" w:type="pct"/>
          </w:tcPr>
          <w:p w14:paraId="1994530A" w14:textId="77777777" w:rsidR="001F04FD" w:rsidRPr="0013396E" w:rsidRDefault="001F04FD" w:rsidP="00AC4DEE">
            <w:pPr>
              <w:pStyle w:val="TableHead"/>
            </w:pPr>
            <w:r w:rsidRPr="0013396E">
              <w:t>Unit</w:t>
            </w:r>
          </w:p>
        </w:tc>
        <w:tc>
          <w:tcPr>
            <w:tcW w:w="3353" w:type="pct"/>
          </w:tcPr>
          <w:p w14:paraId="6A4264D2" w14:textId="77777777" w:rsidR="001F04FD" w:rsidRPr="0013396E" w:rsidRDefault="001F04FD" w:rsidP="00AC4DEE">
            <w:pPr>
              <w:pStyle w:val="TableHead"/>
            </w:pPr>
            <w:r w:rsidRPr="0013396E">
              <w:t>Definition</w:t>
            </w:r>
          </w:p>
        </w:tc>
      </w:tr>
      <w:tr w:rsidR="001F04FD" w:rsidRPr="0013396E" w14:paraId="431D508C" w14:textId="77777777" w:rsidTr="00AC4DEE">
        <w:trPr>
          <w:cantSplit/>
        </w:trPr>
        <w:tc>
          <w:tcPr>
            <w:tcW w:w="1207" w:type="pct"/>
          </w:tcPr>
          <w:p w14:paraId="20AD1F3A" w14:textId="77777777" w:rsidR="001F04FD" w:rsidRPr="0013396E" w:rsidRDefault="001F04FD" w:rsidP="00AC4DEE">
            <w:pPr>
              <w:pStyle w:val="TableBody"/>
            </w:pPr>
            <w:r w:rsidRPr="0013396E">
              <w:t xml:space="preserve">RMRAAMT </w:t>
            </w:r>
            <w:r w:rsidRPr="0013396E">
              <w:rPr>
                <w:i/>
                <w:vertAlign w:val="subscript"/>
              </w:rPr>
              <w:t>q</w:t>
            </w:r>
          </w:p>
        </w:tc>
        <w:tc>
          <w:tcPr>
            <w:tcW w:w="440" w:type="pct"/>
          </w:tcPr>
          <w:p w14:paraId="2C93AB25" w14:textId="77777777" w:rsidR="001F04FD" w:rsidRPr="0013396E" w:rsidRDefault="001F04FD" w:rsidP="00AC4DEE">
            <w:pPr>
              <w:pStyle w:val="TableBody"/>
            </w:pPr>
            <w:r w:rsidRPr="0013396E">
              <w:t>$</w:t>
            </w:r>
          </w:p>
        </w:tc>
        <w:tc>
          <w:tcPr>
            <w:tcW w:w="3353" w:type="pct"/>
          </w:tcPr>
          <w:p w14:paraId="38197153" w14:textId="77777777" w:rsidR="001F04FD" w:rsidRPr="0013396E" w:rsidRDefault="001F04FD" w:rsidP="00AC4DEE">
            <w:pPr>
              <w:pStyle w:val="TableBody"/>
              <w:rPr>
                <w:i/>
              </w:rPr>
            </w:pPr>
            <w:r w:rsidRPr="0013396E">
              <w:rPr>
                <w:i/>
              </w:rPr>
              <w:t>RMR Adjustment Charge per QSE</w:t>
            </w:r>
            <w:r w:rsidRPr="0013396E">
              <w:t xml:space="preserve">—The adjustment from QSE </w:t>
            </w:r>
            <w:r w:rsidRPr="0013396E">
              <w:rPr>
                <w:i/>
              </w:rPr>
              <w:t>q</w:t>
            </w:r>
            <w:r w:rsidRPr="0013396E">
              <w:t xml:space="preserve"> Standby Payments and energy payments for all RMR Units represented by this QSE, for the revenues received for the same RMR Units from RUC and Real-Time operations, for the hour.</w:t>
            </w:r>
          </w:p>
        </w:tc>
      </w:tr>
      <w:tr w:rsidR="001F04FD" w:rsidRPr="0013396E" w14:paraId="2E002C56" w14:textId="77777777" w:rsidTr="00AC4DEE">
        <w:trPr>
          <w:cantSplit/>
        </w:trPr>
        <w:tc>
          <w:tcPr>
            <w:tcW w:w="1207" w:type="pct"/>
          </w:tcPr>
          <w:p w14:paraId="56A7EB11" w14:textId="77777777" w:rsidR="001F04FD" w:rsidRPr="0013396E" w:rsidRDefault="001F04FD" w:rsidP="00AC4DEE">
            <w:pPr>
              <w:pStyle w:val="TableBody"/>
              <w:rPr>
                <w:lang w:val="pt-BR"/>
              </w:rPr>
            </w:pPr>
            <w:r w:rsidRPr="0013396E">
              <w:rPr>
                <w:lang w:val="pt-BR"/>
              </w:rPr>
              <w:t xml:space="preserve">EMREAMT </w:t>
            </w:r>
            <w:r w:rsidRPr="0013396E">
              <w:rPr>
                <w:i/>
                <w:vertAlign w:val="subscript"/>
                <w:lang w:val="pt-BR"/>
              </w:rPr>
              <w:t>q, r, p, i</w:t>
            </w:r>
          </w:p>
        </w:tc>
        <w:tc>
          <w:tcPr>
            <w:tcW w:w="440" w:type="pct"/>
          </w:tcPr>
          <w:p w14:paraId="02F1CDB6" w14:textId="77777777" w:rsidR="001F04FD" w:rsidRPr="0013396E" w:rsidRDefault="001F04FD" w:rsidP="00AC4DEE">
            <w:pPr>
              <w:pStyle w:val="TableBody"/>
            </w:pPr>
            <w:r w:rsidRPr="0013396E">
              <w:t>$</w:t>
            </w:r>
          </w:p>
        </w:tc>
        <w:tc>
          <w:tcPr>
            <w:tcW w:w="3353" w:type="pct"/>
          </w:tcPr>
          <w:p w14:paraId="1CCCAB95" w14:textId="642FA764" w:rsidR="00537026" w:rsidRPr="0013396E" w:rsidRDefault="00C236A2" w:rsidP="00AC4DEE">
            <w:pPr>
              <w:pStyle w:val="TableBody"/>
              <w:rPr>
                <w:i/>
              </w:rPr>
            </w:pPr>
            <w:r w:rsidRPr="0013396E">
              <w:rPr>
                <w:i/>
                <w:iCs w:val="0"/>
              </w:rPr>
              <w:t>Emergency Energy Amount per QSE per Settlement Point per unit per interval</w:t>
            </w:r>
            <w:r w:rsidRPr="0013396E">
              <w:rPr>
                <w:iCs w:val="0"/>
              </w:rPr>
              <w:t xml:space="preserve">—The payment to QSE </w:t>
            </w:r>
            <w:r w:rsidRPr="0013396E">
              <w:rPr>
                <w:i/>
                <w:iCs w:val="0"/>
              </w:rPr>
              <w:t>q</w:t>
            </w:r>
            <w:r w:rsidRPr="0013396E">
              <w:rPr>
                <w:iCs w:val="0"/>
              </w:rPr>
              <w:t xml:space="preserve"> as additional compensation for the additional energy or Ancillary Services produced or consumed by Resource </w:t>
            </w:r>
            <w:r w:rsidRPr="0013396E">
              <w:rPr>
                <w:i/>
                <w:iCs w:val="0"/>
              </w:rPr>
              <w:t>r</w:t>
            </w:r>
            <w:r w:rsidRPr="0013396E">
              <w:rPr>
                <w:iCs w:val="0"/>
              </w:rPr>
              <w:t xml:space="preserve"> at Resource Node </w:t>
            </w:r>
            <w:r w:rsidRPr="0013396E">
              <w:rPr>
                <w:i/>
                <w:iCs w:val="0"/>
              </w:rPr>
              <w:t>p</w:t>
            </w:r>
            <w:r w:rsidRPr="0013396E">
              <w:rPr>
                <w:iCs w:val="0"/>
              </w:rPr>
              <w:t xml:space="preserve"> in Real-Time during the Emergency Condition, for the 15-minute Settlement Interval </w:t>
            </w:r>
            <w:r w:rsidRPr="0013396E">
              <w:rPr>
                <w:i/>
                <w:iCs w:val="0"/>
              </w:rPr>
              <w:t>i</w:t>
            </w:r>
            <w:r w:rsidRPr="0013396E">
              <w:rPr>
                <w:iCs w:val="0"/>
              </w:rPr>
              <w:t>.  Payment for emergency energy is made to the Combined Cycle Train.</w:t>
            </w:r>
          </w:p>
          <w:p w14:paraId="116D6D20" w14:textId="072E7860" w:rsidR="001F04FD" w:rsidRPr="0013396E" w:rsidRDefault="001F04FD" w:rsidP="00AC4DEE">
            <w:pPr>
              <w:pStyle w:val="TableBody"/>
              <w:rPr>
                <w:i/>
              </w:rPr>
            </w:pPr>
          </w:p>
        </w:tc>
      </w:tr>
      <w:tr w:rsidR="001F04FD" w:rsidRPr="0013396E" w14:paraId="2A81C5CE" w14:textId="77777777" w:rsidTr="00AC4DEE">
        <w:trPr>
          <w:cantSplit/>
        </w:trPr>
        <w:tc>
          <w:tcPr>
            <w:tcW w:w="1207" w:type="pct"/>
          </w:tcPr>
          <w:p w14:paraId="57B1A333" w14:textId="77777777" w:rsidR="001F04FD" w:rsidRPr="0013396E" w:rsidRDefault="001F04FD" w:rsidP="00AC4DEE">
            <w:pPr>
              <w:pStyle w:val="TableBody"/>
            </w:pPr>
            <w:r w:rsidRPr="0013396E">
              <w:t xml:space="preserve">RESREV </w:t>
            </w:r>
            <w:r w:rsidRPr="0013396E">
              <w:rPr>
                <w:i/>
                <w:vertAlign w:val="subscript"/>
              </w:rPr>
              <w:t>q, r, gsc, p</w:t>
            </w:r>
          </w:p>
        </w:tc>
        <w:tc>
          <w:tcPr>
            <w:tcW w:w="440" w:type="pct"/>
          </w:tcPr>
          <w:p w14:paraId="54CED210" w14:textId="77777777" w:rsidR="001F04FD" w:rsidRPr="0013396E" w:rsidRDefault="001F04FD" w:rsidP="00AC4DEE">
            <w:pPr>
              <w:pStyle w:val="TableBody"/>
            </w:pPr>
            <w:r w:rsidRPr="0013396E">
              <w:t>$</w:t>
            </w:r>
          </w:p>
        </w:tc>
        <w:tc>
          <w:tcPr>
            <w:tcW w:w="3353" w:type="pct"/>
          </w:tcPr>
          <w:p w14:paraId="1D5D974A" w14:textId="77777777" w:rsidR="001F04FD" w:rsidRPr="0013396E" w:rsidRDefault="001F04FD" w:rsidP="00AC4DEE">
            <w:pPr>
              <w:pStyle w:val="TableBody"/>
              <w:rPr>
                <w:i/>
              </w:rPr>
            </w:pPr>
            <w:r w:rsidRPr="0013396E">
              <w:rPr>
                <w:i/>
              </w:rPr>
              <w:t>Resource Share Revenue Settlement Payment</w:t>
            </w:r>
            <w:r w:rsidRPr="0013396E">
              <w:t xml:space="preserve">—The RMR Resource share of the total payment to the entire Facility with a net metering arrangement attributed to Resource </w:t>
            </w:r>
            <w:r w:rsidRPr="0013396E">
              <w:rPr>
                <w:i/>
              </w:rPr>
              <w:t>r</w:t>
            </w:r>
            <w:r w:rsidRPr="0013396E">
              <w:t xml:space="preserve"> that is part of a generation site code </w:t>
            </w:r>
            <w:r w:rsidRPr="0013396E">
              <w:rPr>
                <w:i/>
              </w:rPr>
              <w:t>gsc</w:t>
            </w:r>
            <w:r w:rsidRPr="0013396E">
              <w:t xml:space="preserve"> for the QSE </w:t>
            </w:r>
            <w:r w:rsidRPr="0013396E">
              <w:rPr>
                <w:i/>
              </w:rPr>
              <w:t>q</w:t>
            </w:r>
            <w:r w:rsidRPr="0013396E">
              <w:t xml:space="preserve"> at Settlement Point </w:t>
            </w:r>
            <w:r w:rsidRPr="0013396E">
              <w:rPr>
                <w:i/>
              </w:rPr>
              <w:t>p</w:t>
            </w:r>
            <w:r w:rsidRPr="0013396E">
              <w:t>.</w:t>
            </w:r>
          </w:p>
        </w:tc>
      </w:tr>
      <w:tr w:rsidR="001F04FD" w:rsidRPr="0013396E" w14:paraId="2D409995" w14:textId="77777777" w:rsidTr="00AC4DEE">
        <w:trPr>
          <w:cantSplit/>
        </w:trPr>
        <w:tc>
          <w:tcPr>
            <w:tcW w:w="1207" w:type="pct"/>
          </w:tcPr>
          <w:p w14:paraId="4F8E3418" w14:textId="77777777" w:rsidR="001F04FD" w:rsidRPr="0013396E" w:rsidRDefault="001F04FD" w:rsidP="00AC4DEE">
            <w:pPr>
              <w:pStyle w:val="TableBody"/>
            </w:pPr>
            <w:r w:rsidRPr="0013396E">
              <w:t xml:space="preserve">RUCMWAMT </w:t>
            </w:r>
            <w:r w:rsidRPr="0013396E">
              <w:rPr>
                <w:i/>
                <w:vertAlign w:val="subscript"/>
              </w:rPr>
              <w:t>q, r, p</w:t>
            </w:r>
          </w:p>
        </w:tc>
        <w:tc>
          <w:tcPr>
            <w:tcW w:w="440" w:type="pct"/>
          </w:tcPr>
          <w:p w14:paraId="1D7168C5" w14:textId="77777777" w:rsidR="001F04FD" w:rsidRPr="0013396E" w:rsidRDefault="001F04FD" w:rsidP="00AC4DEE">
            <w:pPr>
              <w:pStyle w:val="TableBody"/>
            </w:pPr>
            <w:r w:rsidRPr="0013396E">
              <w:t>$</w:t>
            </w:r>
          </w:p>
        </w:tc>
        <w:tc>
          <w:tcPr>
            <w:tcW w:w="3353" w:type="pct"/>
          </w:tcPr>
          <w:p w14:paraId="22CCFE32" w14:textId="77777777" w:rsidR="001F04FD" w:rsidRPr="0013396E" w:rsidRDefault="001F04FD" w:rsidP="00AC4DEE">
            <w:pPr>
              <w:pStyle w:val="TableBody"/>
              <w:rPr>
                <w:i/>
              </w:rPr>
            </w:pPr>
            <w:r w:rsidRPr="0013396E">
              <w:rPr>
                <w:i/>
              </w:rPr>
              <w:t>RUC Make-Whole Amount per QSE per Settlement Point per unit</w:t>
            </w:r>
            <w:r w:rsidRPr="0013396E">
              <w:t xml:space="preserve">—The amount calculated for RMR Unit </w:t>
            </w:r>
            <w:r w:rsidRPr="0013396E">
              <w:rPr>
                <w:i/>
              </w:rPr>
              <w:t>r</w:t>
            </w:r>
            <w:r w:rsidRPr="0013396E">
              <w:t xml:space="preserve"> committed in RUC at Resource Node </w:t>
            </w:r>
            <w:r w:rsidRPr="0013396E">
              <w:rPr>
                <w:i/>
              </w:rPr>
              <w:t>p</w:t>
            </w:r>
            <w:r w:rsidRPr="0013396E">
              <w:t xml:space="preserve"> to make whole the Startup Cost and minimum-energy cost of this unit, for the hour.  See Section 5.7.1, RUC Make-Whole Payment.  When one or more Combined Cycle Generation Resources are committed by RUC, payment is made to the Combined Cycle Train for all RUC-committed Combined Cycle Generation Resources.</w:t>
            </w:r>
          </w:p>
        </w:tc>
      </w:tr>
      <w:tr w:rsidR="001F04FD" w:rsidRPr="0013396E" w14:paraId="633611BE" w14:textId="77777777" w:rsidTr="00AC4DEE">
        <w:trPr>
          <w:cantSplit/>
        </w:trPr>
        <w:tc>
          <w:tcPr>
            <w:tcW w:w="1207" w:type="pct"/>
          </w:tcPr>
          <w:p w14:paraId="2250C5AB" w14:textId="77777777" w:rsidR="001F04FD" w:rsidRPr="0013396E" w:rsidRDefault="001F04FD" w:rsidP="00AC4DEE">
            <w:pPr>
              <w:pStyle w:val="TableBody"/>
            </w:pPr>
            <w:r w:rsidRPr="0013396E">
              <w:lastRenderedPageBreak/>
              <w:t xml:space="preserve">RUCCBAMT </w:t>
            </w:r>
            <w:r w:rsidRPr="0013396E">
              <w:rPr>
                <w:i/>
                <w:vertAlign w:val="subscript"/>
              </w:rPr>
              <w:t>q, r</w:t>
            </w:r>
          </w:p>
        </w:tc>
        <w:tc>
          <w:tcPr>
            <w:tcW w:w="440" w:type="pct"/>
          </w:tcPr>
          <w:p w14:paraId="0FBBF11D" w14:textId="77777777" w:rsidR="001F04FD" w:rsidRPr="0013396E" w:rsidRDefault="001F04FD" w:rsidP="00AC4DEE">
            <w:pPr>
              <w:pStyle w:val="TableBody"/>
            </w:pPr>
            <w:r w:rsidRPr="0013396E">
              <w:t>$</w:t>
            </w:r>
          </w:p>
        </w:tc>
        <w:tc>
          <w:tcPr>
            <w:tcW w:w="3353" w:type="pct"/>
          </w:tcPr>
          <w:p w14:paraId="381D9DA8" w14:textId="77777777" w:rsidR="001F04FD" w:rsidRPr="0013396E" w:rsidRDefault="001F04FD" w:rsidP="00AC4DEE">
            <w:pPr>
              <w:pStyle w:val="TableBody"/>
              <w:rPr>
                <w:i/>
              </w:rPr>
            </w:pPr>
            <w:r w:rsidRPr="0013396E">
              <w:rPr>
                <w:i/>
              </w:rPr>
              <w:t>RUC Clawback Charge per QSE per unit</w:t>
            </w:r>
            <w:r w:rsidRPr="0013396E">
              <w:t xml:space="preserve">—The RUC Clawback Charge to QSE </w:t>
            </w:r>
            <w:r w:rsidRPr="0013396E">
              <w:rPr>
                <w:i/>
              </w:rPr>
              <w:t>q</w:t>
            </w:r>
            <w:r w:rsidRPr="0013396E">
              <w:t xml:space="preserve"> for RMR Unit </w:t>
            </w:r>
            <w:r w:rsidRPr="0013396E">
              <w:rPr>
                <w:i/>
              </w:rPr>
              <w:t>r</w:t>
            </w:r>
            <w:r w:rsidRPr="0013396E">
              <w:t>, for the hour.  See Section 5.7.2, RUC Clawback Charge.  When one or more Combined Cycle Generation Resources are committed by RUC, a charge is made to the Combined Cycle Train for all RUC-committed Combined Cycle Generation Resources.</w:t>
            </w:r>
          </w:p>
        </w:tc>
      </w:tr>
      <w:tr w:rsidR="001F04FD" w:rsidRPr="0013396E" w14:paraId="58EF04FB" w14:textId="77777777" w:rsidTr="00AC4DEE">
        <w:trPr>
          <w:cantSplit/>
          <w:trHeight w:val="1538"/>
        </w:trPr>
        <w:tc>
          <w:tcPr>
            <w:tcW w:w="1207" w:type="pct"/>
          </w:tcPr>
          <w:p w14:paraId="2C538C74" w14:textId="77777777" w:rsidR="001F04FD" w:rsidRPr="0013396E" w:rsidRDefault="001F04FD" w:rsidP="00AC4DEE">
            <w:pPr>
              <w:pStyle w:val="TableBody"/>
            </w:pPr>
            <w:r w:rsidRPr="0013396E">
              <w:t xml:space="preserve">RUCDCAMT </w:t>
            </w:r>
            <w:r w:rsidRPr="0013396E">
              <w:rPr>
                <w:i/>
                <w:vertAlign w:val="subscript"/>
              </w:rPr>
              <w:t>q, r, p</w:t>
            </w:r>
          </w:p>
        </w:tc>
        <w:tc>
          <w:tcPr>
            <w:tcW w:w="440" w:type="pct"/>
          </w:tcPr>
          <w:p w14:paraId="1C3FFD3C" w14:textId="77777777" w:rsidR="001F04FD" w:rsidRPr="0013396E" w:rsidRDefault="001F04FD" w:rsidP="00AC4DEE">
            <w:pPr>
              <w:pStyle w:val="TableBody"/>
            </w:pPr>
            <w:r w:rsidRPr="0013396E">
              <w:t>$</w:t>
            </w:r>
          </w:p>
        </w:tc>
        <w:tc>
          <w:tcPr>
            <w:tcW w:w="3353" w:type="pct"/>
          </w:tcPr>
          <w:p w14:paraId="5DE29806" w14:textId="77777777" w:rsidR="001F04FD" w:rsidRPr="0013396E" w:rsidRDefault="001F04FD" w:rsidP="00AC4DEE">
            <w:pPr>
              <w:pStyle w:val="TableBody"/>
              <w:rPr>
                <w:i/>
              </w:rPr>
            </w:pPr>
            <w:r w:rsidRPr="0013396E">
              <w:rPr>
                <w:i/>
              </w:rPr>
              <w:t>RUC Decommitment Amount per QSE per Settlement Point per unit</w:t>
            </w:r>
            <w:r w:rsidRPr="0013396E">
              <w:t xml:space="preserve">—The amount calculated for RMR Unit </w:t>
            </w:r>
            <w:r w:rsidRPr="0013396E">
              <w:rPr>
                <w:i/>
              </w:rPr>
              <w:t>r</w:t>
            </w:r>
            <w:r w:rsidRPr="0013396E">
              <w:t xml:space="preserve"> at Resource Node </w:t>
            </w:r>
            <w:r w:rsidRPr="0013396E">
              <w:rPr>
                <w:i/>
              </w:rPr>
              <w:t>p</w:t>
            </w:r>
            <w:r w:rsidRPr="0013396E">
              <w:t xml:space="preserve"> represented by QSE </w:t>
            </w:r>
            <w:r w:rsidRPr="0013396E">
              <w:rPr>
                <w:i/>
              </w:rPr>
              <w:t>q</w:t>
            </w:r>
            <w:r w:rsidRPr="0013396E">
              <w:t xml:space="preserve"> due to ERCOT de-commitment, for the hour.  When one or more Combined Cycle Generation Resources are decommitted by RUC, payment is made to the Combined Cycle Train for all RUC-decommitted Combined Cycle Generation Resources.</w:t>
            </w:r>
          </w:p>
        </w:tc>
      </w:tr>
      <w:tr w:rsidR="001F04FD" w:rsidRPr="0013396E" w14:paraId="5708589D" w14:textId="77777777" w:rsidTr="00AC4DEE">
        <w:trPr>
          <w:cantSplit/>
        </w:trPr>
        <w:tc>
          <w:tcPr>
            <w:tcW w:w="1207" w:type="pct"/>
          </w:tcPr>
          <w:p w14:paraId="649EF31D" w14:textId="77777777" w:rsidR="001F04FD" w:rsidRPr="0013396E" w:rsidRDefault="001F04FD" w:rsidP="00AC4DEE">
            <w:pPr>
              <w:pStyle w:val="TableBody"/>
              <w:rPr>
                <w:lang w:val="pt-BR"/>
              </w:rPr>
            </w:pPr>
            <w:r w:rsidRPr="0013396E">
              <w:rPr>
                <w:lang w:val="pt-BR"/>
              </w:rPr>
              <w:t xml:space="preserve">VSSEAMT </w:t>
            </w:r>
            <w:r w:rsidRPr="0013396E">
              <w:rPr>
                <w:i/>
                <w:vertAlign w:val="subscript"/>
                <w:lang w:val="pt-BR"/>
              </w:rPr>
              <w:t>q, r, p, i</w:t>
            </w:r>
          </w:p>
        </w:tc>
        <w:tc>
          <w:tcPr>
            <w:tcW w:w="440" w:type="pct"/>
          </w:tcPr>
          <w:p w14:paraId="40E188E2" w14:textId="77777777" w:rsidR="001F04FD" w:rsidRPr="0013396E" w:rsidRDefault="001F04FD" w:rsidP="00AC4DEE">
            <w:pPr>
              <w:pStyle w:val="TableBody"/>
            </w:pPr>
            <w:r w:rsidRPr="0013396E">
              <w:t>$</w:t>
            </w:r>
          </w:p>
        </w:tc>
        <w:tc>
          <w:tcPr>
            <w:tcW w:w="3353" w:type="pct"/>
          </w:tcPr>
          <w:p w14:paraId="274D2EC7" w14:textId="77777777" w:rsidR="001F04FD" w:rsidRPr="0013396E" w:rsidRDefault="001F04FD" w:rsidP="00AC4DEE">
            <w:pPr>
              <w:pStyle w:val="TableBody"/>
              <w:rPr>
                <w:i/>
              </w:rPr>
            </w:pPr>
            <w:r w:rsidRPr="0013396E">
              <w:rPr>
                <w:i/>
              </w:rPr>
              <w:t xml:space="preserve">Voltage Support Service Energy Amount per QSE per Settlement Point per unit per interval </w:t>
            </w:r>
            <w:r w:rsidRPr="0013396E">
              <w:t xml:space="preserve">—The compensation to QSE </w:t>
            </w:r>
            <w:r w:rsidRPr="0013396E">
              <w:rPr>
                <w:i/>
              </w:rPr>
              <w:t>q</w:t>
            </w:r>
            <w:r w:rsidRPr="0013396E">
              <w:t xml:space="preserve"> for ERCOT-directed power reduction from RMR Unit </w:t>
            </w:r>
            <w:r w:rsidRPr="0013396E">
              <w:rPr>
                <w:i/>
              </w:rPr>
              <w:t>r</w:t>
            </w:r>
            <w:r w:rsidRPr="0013396E">
              <w:t xml:space="preserve"> at Resource Node </w:t>
            </w:r>
            <w:r w:rsidRPr="0013396E">
              <w:rPr>
                <w:i/>
              </w:rPr>
              <w:t>p</w:t>
            </w:r>
            <w:r w:rsidRPr="0013396E">
              <w:t xml:space="preserve"> to provide Voltage Support Service (VSS), for the 15-minute Settlement Interval </w:t>
            </w:r>
            <w:r w:rsidRPr="0013396E">
              <w:rPr>
                <w:i/>
              </w:rPr>
              <w:t>i</w:t>
            </w:r>
            <w:r w:rsidRPr="0013396E">
              <w:t>.  Payment for VSS is made to the Combined Cycle Train.</w:t>
            </w:r>
          </w:p>
        </w:tc>
      </w:tr>
      <w:tr w:rsidR="001F04FD" w:rsidRPr="0013396E" w14:paraId="49230256" w14:textId="77777777" w:rsidTr="00AC4DEE">
        <w:trPr>
          <w:cantSplit/>
        </w:trPr>
        <w:tc>
          <w:tcPr>
            <w:tcW w:w="1207" w:type="pct"/>
          </w:tcPr>
          <w:p w14:paraId="763C7472" w14:textId="77777777" w:rsidR="001F04FD" w:rsidRPr="0013396E" w:rsidRDefault="001F04FD" w:rsidP="00AC4DEE">
            <w:pPr>
              <w:pStyle w:val="TableBody"/>
            </w:pPr>
            <w:r w:rsidRPr="0013396E">
              <w:t xml:space="preserve">VSSVARAMT </w:t>
            </w:r>
            <w:r w:rsidRPr="0013396E">
              <w:rPr>
                <w:i/>
                <w:vertAlign w:val="subscript"/>
              </w:rPr>
              <w:t>q, r, i</w:t>
            </w:r>
          </w:p>
        </w:tc>
        <w:tc>
          <w:tcPr>
            <w:tcW w:w="440" w:type="pct"/>
          </w:tcPr>
          <w:p w14:paraId="084C2B75" w14:textId="77777777" w:rsidR="001F04FD" w:rsidRPr="0013396E" w:rsidRDefault="001F04FD" w:rsidP="00AC4DEE">
            <w:pPr>
              <w:pStyle w:val="TableBody"/>
            </w:pPr>
            <w:r w:rsidRPr="0013396E">
              <w:t>$</w:t>
            </w:r>
          </w:p>
        </w:tc>
        <w:tc>
          <w:tcPr>
            <w:tcW w:w="3353" w:type="pct"/>
          </w:tcPr>
          <w:p w14:paraId="6D2BECA9" w14:textId="77777777" w:rsidR="001F04FD" w:rsidRPr="0013396E" w:rsidRDefault="001F04FD" w:rsidP="00AC4DEE">
            <w:pPr>
              <w:pStyle w:val="TableBody"/>
              <w:rPr>
                <w:i/>
              </w:rPr>
            </w:pPr>
            <w:r w:rsidRPr="0013396E">
              <w:rPr>
                <w:i/>
              </w:rPr>
              <w:t>Voltage Support Service VAr Amount per QSE per Unit</w:t>
            </w:r>
            <w:r w:rsidRPr="0013396E">
              <w:t xml:space="preserve">—The payment to QSE </w:t>
            </w:r>
            <w:r w:rsidRPr="0013396E">
              <w:rPr>
                <w:i/>
              </w:rPr>
              <w:t>q</w:t>
            </w:r>
            <w:r w:rsidRPr="0013396E">
              <w:t xml:space="preserve"> for the VSS provided by RMR Unit </w:t>
            </w:r>
            <w:r w:rsidRPr="0013396E">
              <w:rPr>
                <w:i/>
              </w:rPr>
              <w:t>r</w:t>
            </w:r>
            <w:r w:rsidRPr="0013396E">
              <w:t xml:space="preserve">, for the 15-minute Settlement Interval </w:t>
            </w:r>
            <w:r w:rsidRPr="0013396E">
              <w:rPr>
                <w:i/>
              </w:rPr>
              <w:t>i</w:t>
            </w:r>
            <w:r w:rsidRPr="0013396E">
              <w:t>.  Payment for VSS is made to the Combined Cycle Train.</w:t>
            </w:r>
          </w:p>
        </w:tc>
      </w:tr>
      <w:tr w:rsidR="001F04FD" w:rsidRPr="0013396E" w14:paraId="7A3E51B3" w14:textId="77777777" w:rsidTr="00AC4DEE">
        <w:trPr>
          <w:cantSplit/>
        </w:trPr>
        <w:tc>
          <w:tcPr>
            <w:tcW w:w="1207" w:type="pct"/>
          </w:tcPr>
          <w:p w14:paraId="5F1D694B" w14:textId="77777777" w:rsidR="001F04FD" w:rsidRPr="0013396E" w:rsidRDefault="001F04FD" w:rsidP="00AC4DEE">
            <w:pPr>
              <w:pStyle w:val="TableBody"/>
              <w:rPr>
                <w:i/>
              </w:rPr>
            </w:pPr>
            <w:r w:rsidRPr="0013396E">
              <w:rPr>
                <w:i/>
              </w:rPr>
              <w:t>q</w:t>
            </w:r>
          </w:p>
        </w:tc>
        <w:tc>
          <w:tcPr>
            <w:tcW w:w="440" w:type="pct"/>
          </w:tcPr>
          <w:p w14:paraId="065D4A1A" w14:textId="77777777" w:rsidR="001F04FD" w:rsidRPr="0013396E" w:rsidRDefault="001F04FD" w:rsidP="00AC4DEE">
            <w:pPr>
              <w:pStyle w:val="TableBody"/>
            </w:pPr>
            <w:r w:rsidRPr="0013396E">
              <w:t>none</w:t>
            </w:r>
          </w:p>
        </w:tc>
        <w:tc>
          <w:tcPr>
            <w:tcW w:w="3353" w:type="pct"/>
          </w:tcPr>
          <w:p w14:paraId="43F0717B" w14:textId="77777777" w:rsidR="001F04FD" w:rsidRPr="0013396E" w:rsidRDefault="001F04FD" w:rsidP="00AC4DEE">
            <w:pPr>
              <w:pStyle w:val="TableBody"/>
              <w:rPr>
                <w:i/>
              </w:rPr>
            </w:pPr>
            <w:r w:rsidRPr="0013396E">
              <w:t>A QSE.</w:t>
            </w:r>
          </w:p>
        </w:tc>
      </w:tr>
      <w:tr w:rsidR="001F04FD" w:rsidRPr="0013396E" w14:paraId="219C8D2C" w14:textId="77777777" w:rsidTr="00AC4DEE">
        <w:trPr>
          <w:cantSplit/>
        </w:trPr>
        <w:tc>
          <w:tcPr>
            <w:tcW w:w="1207" w:type="pct"/>
          </w:tcPr>
          <w:p w14:paraId="43D12DF2" w14:textId="77777777" w:rsidR="001F04FD" w:rsidRPr="0013396E" w:rsidRDefault="001F04FD" w:rsidP="00AC4DEE">
            <w:pPr>
              <w:pStyle w:val="TableBody"/>
              <w:rPr>
                <w:i/>
              </w:rPr>
            </w:pPr>
            <w:r w:rsidRPr="0013396E">
              <w:rPr>
                <w:i/>
              </w:rPr>
              <w:t>gsc</w:t>
            </w:r>
          </w:p>
        </w:tc>
        <w:tc>
          <w:tcPr>
            <w:tcW w:w="440" w:type="pct"/>
          </w:tcPr>
          <w:p w14:paraId="4ADC88BC" w14:textId="77777777" w:rsidR="001F04FD" w:rsidRPr="0013396E" w:rsidRDefault="001F04FD" w:rsidP="00AC4DEE">
            <w:pPr>
              <w:pStyle w:val="TableBody"/>
            </w:pPr>
            <w:r w:rsidRPr="0013396E">
              <w:t>none</w:t>
            </w:r>
          </w:p>
        </w:tc>
        <w:tc>
          <w:tcPr>
            <w:tcW w:w="3353" w:type="pct"/>
          </w:tcPr>
          <w:p w14:paraId="09767CC0" w14:textId="77777777" w:rsidR="001F04FD" w:rsidRPr="0013396E" w:rsidRDefault="001F04FD" w:rsidP="00AC4DEE">
            <w:pPr>
              <w:pStyle w:val="TableBody"/>
            </w:pPr>
            <w:r w:rsidRPr="0013396E">
              <w:t>A generation site code.</w:t>
            </w:r>
          </w:p>
        </w:tc>
      </w:tr>
      <w:tr w:rsidR="001F04FD" w:rsidRPr="0013396E" w14:paraId="7D90964F" w14:textId="77777777" w:rsidTr="00AC4DEE">
        <w:trPr>
          <w:cantSplit/>
        </w:trPr>
        <w:tc>
          <w:tcPr>
            <w:tcW w:w="1207" w:type="pct"/>
          </w:tcPr>
          <w:p w14:paraId="0DE08609" w14:textId="77777777" w:rsidR="001F04FD" w:rsidRPr="0013396E" w:rsidRDefault="001F04FD" w:rsidP="00AC4DEE">
            <w:pPr>
              <w:pStyle w:val="TableBody"/>
              <w:rPr>
                <w:i/>
              </w:rPr>
            </w:pPr>
            <w:r w:rsidRPr="0013396E">
              <w:rPr>
                <w:i/>
              </w:rPr>
              <w:t>p</w:t>
            </w:r>
          </w:p>
        </w:tc>
        <w:tc>
          <w:tcPr>
            <w:tcW w:w="440" w:type="pct"/>
          </w:tcPr>
          <w:p w14:paraId="7982D1D2" w14:textId="77777777" w:rsidR="001F04FD" w:rsidRPr="0013396E" w:rsidRDefault="001F04FD" w:rsidP="00AC4DEE">
            <w:pPr>
              <w:pStyle w:val="TableBody"/>
            </w:pPr>
            <w:r w:rsidRPr="0013396E">
              <w:t>none</w:t>
            </w:r>
          </w:p>
        </w:tc>
        <w:tc>
          <w:tcPr>
            <w:tcW w:w="3353" w:type="pct"/>
          </w:tcPr>
          <w:p w14:paraId="2AB85B3A" w14:textId="77777777" w:rsidR="001F04FD" w:rsidRPr="0013396E" w:rsidRDefault="001F04FD" w:rsidP="00AC4DEE">
            <w:pPr>
              <w:pStyle w:val="TableBody"/>
            </w:pPr>
            <w:r w:rsidRPr="0013396E">
              <w:t>A Resource Node Settlement Point.</w:t>
            </w:r>
          </w:p>
        </w:tc>
      </w:tr>
      <w:tr w:rsidR="001F04FD" w:rsidRPr="0013396E" w14:paraId="795326FD" w14:textId="77777777" w:rsidTr="00AC4DEE">
        <w:trPr>
          <w:cantSplit/>
        </w:trPr>
        <w:tc>
          <w:tcPr>
            <w:tcW w:w="1207" w:type="pct"/>
          </w:tcPr>
          <w:p w14:paraId="2EE35787" w14:textId="77777777" w:rsidR="001F04FD" w:rsidRPr="0013396E" w:rsidRDefault="001F04FD" w:rsidP="00AC4DEE">
            <w:pPr>
              <w:pStyle w:val="TableBody"/>
              <w:rPr>
                <w:i/>
              </w:rPr>
            </w:pPr>
            <w:r w:rsidRPr="0013396E">
              <w:rPr>
                <w:i/>
              </w:rPr>
              <w:t>r</w:t>
            </w:r>
          </w:p>
        </w:tc>
        <w:tc>
          <w:tcPr>
            <w:tcW w:w="440" w:type="pct"/>
          </w:tcPr>
          <w:p w14:paraId="62A18F36" w14:textId="77777777" w:rsidR="001F04FD" w:rsidRPr="0013396E" w:rsidRDefault="001F04FD" w:rsidP="00AC4DEE">
            <w:pPr>
              <w:pStyle w:val="TableBody"/>
            </w:pPr>
            <w:r w:rsidRPr="0013396E">
              <w:t>none</w:t>
            </w:r>
          </w:p>
        </w:tc>
        <w:tc>
          <w:tcPr>
            <w:tcW w:w="3353" w:type="pct"/>
          </w:tcPr>
          <w:p w14:paraId="6AFFFB28" w14:textId="77777777" w:rsidR="001F04FD" w:rsidRPr="0013396E" w:rsidRDefault="001F04FD" w:rsidP="00AC4DEE">
            <w:pPr>
              <w:pStyle w:val="TableBody"/>
              <w:rPr>
                <w:i/>
              </w:rPr>
            </w:pPr>
            <w:r w:rsidRPr="0013396E">
              <w:t>An RMR Unit.</w:t>
            </w:r>
          </w:p>
        </w:tc>
      </w:tr>
      <w:tr w:rsidR="001F04FD" w:rsidRPr="0013396E" w14:paraId="772A4C10" w14:textId="77777777" w:rsidTr="00AC4DEE">
        <w:trPr>
          <w:cantSplit/>
        </w:trPr>
        <w:tc>
          <w:tcPr>
            <w:tcW w:w="1207" w:type="pct"/>
          </w:tcPr>
          <w:p w14:paraId="060BA2B0" w14:textId="77777777" w:rsidR="001F04FD" w:rsidRPr="0013396E" w:rsidRDefault="001F04FD" w:rsidP="00AC4DEE">
            <w:pPr>
              <w:pStyle w:val="TableBody"/>
              <w:rPr>
                <w:i/>
              </w:rPr>
            </w:pPr>
            <w:r w:rsidRPr="0013396E">
              <w:rPr>
                <w:i/>
              </w:rPr>
              <w:t>i</w:t>
            </w:r>
          </w:p>
        </w:tc>
        <w:tc>
          <w:tcPr>
            <w:tcW w:w="440" w:type="pct"/>
          </w:tcPr>
          <w:p w14:paraId="076CE746" w14:textId="77777777" w:rsidR="001F04FD" w:rsidRPr="0013396E" w:rsidRDefault="001F04FD" w:rsidP="00AC4DEE">
            <w:pPr>
              <w:pStyle w:val="TableBody"/>
            </w:pPr>
            <w:r w:rsidRPr="0013396E">
              <w:t>none</w:t>
            </w:r>
          </w:p>
        </w:tc>
        <w:tc>
          <w:tcPr>
            <w:tcW w:w="3353" w:type="pct"/>
          </w:tcPr>
          <w:p w14:paraId="77F117C8" w14:textId="77777777" w:rsidR="001F04FD" w:rsidRPr="0013396E" w:rsidRDefault="001F04FD" w:rsidP="00AC4DEE">
            <w:pPr>
              <w:pStyle w:val="TableBody"/>
              <w:rPr>
                <w:i/>
              </w:rPr>
            </w:pPr>
            <w:r w:rsidRPr="0013396E">
              <w:t>A 15-minute Settlement Interval in the hour.</w:t>
            </w:r>
          </w:p>
        </w:tc>
      </w:tr>
    </w:tbl>
    <w:p w14:paraId="2CB4FE1F" w14:textId="77777777" w:rsidR="001F04FD" w:rsidRPr="0013396E" w:rsidRDefault="001F04FD" w:rsidP="001F04FD">
      <w:pPr>
        <w:pStyle w:val="H4"/>
        <w:spacing w:before="480"/>
        <w:ind w:left="1267" w:hanging="1267"/>
      </w:pPr>
      <w:bookmarkStart w:id="1956" w:name="_Toc397505030"/>
      <w:bookmarkStart w:id="1957" w:name="_Toc402357162"/>
      <w:bookmarkStart w:id="1958" w:name="_Toc422486542"/>
      <w:bookmarkStart w:id="1959" w:name="_Toc433093395"/>
      <w:bookmarkStart w:id="1960" w:name="_Toc433093553"/>
      <w:bookmarkStart w:id="1961" w:name="_Toc440874783"/>
      <w:bookmarkStart w:id="1962" w:name="_Toc448142340"/>
      <w:bookmarkStart w:id="1963" w:name="_Toc448142497"/>
      <w:bookmarkStart w:id="1964" w:name="_Toc458770338"/>
      <w:bookmarkStart w:id="1965" w:name="_Toc459294306"/>
      <w:bookmarkStart w:id="1966" w:name="_Toc463262799"/>
      <w:bookmarkStart w:id="1967" w:name="_Toc468286872"/>
      <w:bookmarkStart w:id="1968" w:name="_Toc481502912"/>
      <w:bookmarkStart w:id="1969" w:name="_Toc496080080"/>
      <w:bookmarkStart w:id="1970" w:name="_Toc236220208"/>
      <w:r w:rsidRPr="0013396E">
        <w:t>6.6.6.4</w:t>
      </w:r>
      <w:r w:rsidRPr="0013396E">
        <w:tab/>
        <w:t>RMR Charge for Unexcused Misconduct</w:t>
      </w:r>
      <w:bookmarkEnd w:id="1939"/>
      <w:bookmarkEnd w:id="1940"/>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sidRPr="0013396E">
        <w:t xml:space="preserve"> </w:t>
      </w:r>
    </w:p>
    <w:p w14:paraId="3685ABED" w14:textId="77777777" w:rsidR="001F04FD" w:rsidRPr="0013396E" w:rsidRDefault="001F04FD" w:rsidP="001F04FD">
      <w:pPr>
        <w:pStyle w:val="BodyTextNumbered"/>
      </w:pPr>
      <w:r w:rsidRPr="0013396E">
        <w:t>(1)</w:t>
      </w:r>
      <w:r w:rsidRPr="0013396E">
        <w:tab/>
        <w:t xml:space="preserve">If a Misconduct Event, as defined in the RMR Agreement, is not excused as provided in the RMR Agreement, then ERCOT shall charge the QSE that represents the RMR Unit an unexcused misconduct amount of $10,000 for each unexcused Misconduct Event as follows:  </w:t>
      </w:r>
    </w:p>
    <w:p w14:paraId="41217392" w14:textId="77777777" w:rsidR="001F04FD" w:rsidRPr="0013396E" w:rsidRDefault="001F04FD" w:rsidP="001F04FD">
      <w:pPr>
        <w:pStyle w:val="FormulaBold"/>
      </w:pPr>
      <w:r w:rsidRPr="0013396E">
        <w:t xml:space="preserve">RMRNPAMT </w:t>
      </w:r>
      <w:r w:rsidRPr="0013396E">
        <w:rPr>
          <w:i/>
          <w:vertAlign w:val="subscript"/>
        </w:rPr>
        <w:t>q, r</w:t>
      </w:r>
      <w:r w:rsidRPr="0013396E">
        <w:tab/>
        <w:t>=</w:t>
      </w:r>
      <w:r w:rsidRPr="0013396E">
        <w:tab/>
        <w:t>$10,000 * RMRNPFLAG</w:t>
      </w:r>
      <w:r w:rsidRPr="0013396E">
        <w:rPr>
          <w:rFonts w:ascii="Times New Roman Bold" w:hAnsi="Times New Roman Bold"/>
          <w:i/>
          <w:vertAlign w:val="subscript"/>
        </w:rPr>
        <w:t>q,r</w:t>
      </w:r>
    </w:p>
    <w:p w14:paraId="3B5B8507" w14:textId="77777777" w:rsidR="001F04FD" w:rsidRPr="0013396E" w:rsidRDefault="001F04FD" w:rsidP="001F04FD">
      <w:r w:rsidRPr="0013396E">
        <w:t>The above variable is defined as follows:</w:t>
      </w: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5"/>
        <w:gridCol w:w="605"/>
        <w:gridCol w:w="7506"/>
      </w:tblGrid>
      <w:tr w:rsidR="001F04FD" w:rsidRPr="0013396E" w14:paraId="424E33E3" w14:textId="77777777" w:rsidTr="00AC4DEE">
        <w:trPr>
          <w:cantSplit/>
          <w:tblHeader/>
        </w:trPr>
        <w:tc>
          <w:tcPr>
            <w:tcW w:w="1685" w:type="dxa"/>
          </w:tcPr>
          <w:p w14:paraId="410B20FB" w14:textId="77777777" w:rsidR="001F04FD" w:rsidRPr="0013396E" w:rsidRDefault="001F04FD" w:rsidP="00AC4DEE">
            <w:pPr>
              <w:pStyle w:val="TableHead"/>
            </w:pPr>
            <w:r w:rsidRPr="0013396E">
              <w:t>Variable</w:t>
            </w:r>
          </w:p>
        </w:tc>
        <w:tc>
          <w:tcPr>
            <w:tcW w:w="0" w:type="auto"/>
          </w:tcPr>
          <w:p w14:paraId="62FD02F1" w14:textId="77777777" w:rsidR="001F04FD" w:rsidRPr="0013396E" w:rsidRDefault="001F04FD" w:rsidP="00AC4DEE">
            <w:pPr>
              <w:pStyle w:val="TableHead"/>
            </w:pPr>
            <w:r w:rsidRPr="0013396E">
              <w:t>Unit</w:t>
            </w:r>
          </w:p>
        </w:tc>
        <w:tc>
          <w:tcPr>
            <w:tcW w:w="0" w:type="auto"/>
          </w:tcPr>
          <w:p w14:paraId="1F66B583" w14:textId="77777777" w:rsidR="001F04FD" w:rsidRPr="0013396E" w:rsidRDefault="001F04FD" w:rsidP="00AC4DEE">
            <w:pPr>
              <w:pStyle w:val="TableHead"/>
            </w:pPr>
            <w:r w:rsidRPr="0013396E">
              <w:t>Definition</w:t>
            </w:r>
          </w:p>
        </w:tc>
      </w:tr>
      <w:tr w:rsidR="001F04FD" w:rsidRPr="0013396E" w14:paraId="5DA3FE6F" w14:textId="77777777" w:rsidTr="00AC4DEE">
        <w:trPr>
          <w:cantSplit/>
        </w:trPr>
        <w:tc>
          <w:tcPr>
            <w:tcW w:w="1685" w:type="dxa"/>
          </w:tcPr>
          <w:p w14:paraId="4D296860" w14:textId="77777777" w:rsidR="001F04FD" w:rsidRPr="0013396E" w:rsidRDefault="001F04FD" w:rsidP="00AC4DEE">
            <w:pPr>
              <w:pStyle w:val="TableBody"/>
            </w:pPr>
            <w:r w:rsidRPr="0013396E">
              <w:t xml:space="preserve">RMRNPAMT </w:t>
            </w:r>
            <w:r w:rsidRPr="0013396E">
              <w:rPr>
                <w:i/>
                <w:vertAlign w:val="subscript"/>
              </w:rPr>
              <w:t>q, r</w:t>
            </w:r>
          </w:p>
        </w:tc>
        <w:tc>
          <w:tcPr>
            <w:tcW w:w="0" w:type="auto"/>
          </w:tcPr>
          <w:p w14:paraId="48960DB5" w14:textId="77777777" w:rsidR="001F04FD" w:rsidRPr="0013396E" w:rsidRDefault="001F04FD" w:rsidP="00AC4DEE">
            <w:pPr>
              <w:pStyle w:val="TableBody"/>
            </w:pPr>
            <w:r w:rsidRPr="0013396E">
              <w:t>$</w:t>
            </w:r>
          </w:p>
        </w:tc>
        <w:tc>
          <w:tcPr>
            <w:tcW w:w="0" w:type="auto"/>
          </w:tcPr>
          <w:p w14:paraId="3F98A2A2" w14:textId="77777777" w:rsidR="001F04FD" w:rsidRPr="0013396E" w:rsidRDefault="001F04FD" w:rsidP="00AC4DEE">
            <w:pPr>
              <w:pStyle w:val="TableBody"/>
            </w:pPr>
            <w:r w:rsidRPr="0013396E">
              <w:rPr>
                <w:i/>
              </w:rPr>
              <w:t>Reliability Must-Run Unexcused Misconduct Charge per QSE per Resource</w:t>
            </w:r>
            <w:r w:rsidRPr="0013396E">
              <w:t xml:space="preserve">—The charge to QSE </w:t>
            </w:r>
            <w:r w:rsidRPr="0013396E">
              <w:rPr>
                <w:i/>
              </w:rPr>
              <w:t>q</w:t>
            </w:r>
            <w:r w:rsidRPr="0013396E">
              <w:t xml:space="preserve"> for the unexcused Misconduct Event of RMR Unit </w:t>
            </w:r>
            <w:r w:rsidRPr="0013396E">
              <w:rPr>
                <w:i/>
              </w:rPr>
              <w:t>r</w:t>
            </w:r>
            <w:r w:rsidRPr="0013396E">
              <w:t xml:space="preserve"> for an Operating Day.  Where for a Combined Cycle Train, the Resource </w:t>
            </w:r>
            <w:r w:rsidRPr="0013396E">
              <w:rPr>
                <w:i/>
              </w:rPr>
              <w:t xml:space="preserve">r </w:t>
            </w:r>
            <w:r w:rsidRPr="0013396E">
              <w:t xml:space="preserve">is the Combined Cycle Train. </w:t>
            </w:r>
          </w:p>
        </w:tc>
      </w:tr>
      <w:tr w:rsidR="001F04FD" w:rsidRPr="0013396E" w14:paraId="1F1E2099" w14:textId="77777777" w:rsidTr="00AC4DEE">
        <w:trPr>
          <w:cantSplit/>
        </w:trPr>
        <w:tc>
          <w:tcPr>
            <w:tcW w:w="1685" w:type="dxa"/>
            <w:tcBorders>
              <w:top w:val="single" w:sz="4" w:space="0" w:color="auto"/>
              <w:left w:val="single" w:sz="4" w:space="0" w:color="auto"/>
              <w:bottom w:val="single" w:sz="4" w:space="0" w:color="auto"/>
              <w:right w:val="single" w:sz="4" w:space="0" w:color="auto"/>
            </w:tcBorders>
          </w:tcPr>
          <w:p w14:paraId="7764E381" w14:textId="77777777" w:rsidR="001F04FD" w:rsidRPr="0013396E" w:rsidRDefault="001F04FD" w:rsidP="00AC4DEE">
            <w:pPr>
              <w:pStyle w:val="TableBody"/>
            </w:pPr>
            <w:r w:rsidRPr="0013396E">
              <w:t xml:space="preserve">RMRNPFLAG </w:t>
            </w:r>
            <w:r w:rsidRPr="0013396E">
              <w:rPr>
                <w:i/>
                <w:vertAlign w:val="subscript"/>
              </w:rPr>
              <w:t>q, r</w:t>
            </w:r>
          </w:p>
        </w:tc>
        <w:tc>
          <w:tcPr>
            <w:tcW w:w="0" w:type="auto"/>
            <w:tcBorders>
              <w:top w:val="single" w:sz="4" w:space="0" w:color="auto"/>
              <w:left w:val="single" w:sz="4" w:space="0" w:color="auto"/>
              <w:bottom w:val="single" w:sz="4" w:space="0" w:color="auto"/>
              <w:right w:val="single" w:sz="4" w:space="0" w:color="auto"/>
            </w:tcBorders>
          </w:tcPr>
          <w:p w14:paraId="7478BD60" w14:textId="77777777" w:rsidR="001F04FD" w:rsidRPr="0013396E" w:rsidRDefault="001F04FD" w:rsidP="00AC4DEE">
            <w:pPr>
              <w:pStyle w:val="TableBody"/>
            </w:pPr>
            <w:r w:rsidRPr="0013396E">
              <w:t>$</w:t>
            </w:r>
          </w:p>
        </w:tc>
        <w:tc>
          <w:tcPr>
            <w:tcW w:w="0" w:type="auto"/>
            <w:tcBorders>
              <w:top w:val="single" w:sz="4" w:space="0" w:color="auto"/>
              <w:left w:val="single" w:sz="4" w:space="0" w:color="auto"/>
              <w:bottom w:val="single" w:sz="4" w:space="0" w:color="auto"/>
              <w:right w:val="single" w:sz="4" w:space="0" w:color="auto"/>
            </w:tcBorders>
          </w:tcPr>
          <w:p w14:paraId="57061345" w14:textId="77777777" w:rsidR="001F04FD" w:rsidRPr="0013396E" w:rsidRDefault="001F04FD" w:rsidP="00AC4DEE">
            <w:pPr>
              <w:pStyle w:val="TableBody"/>
            </w:pPr>
            <w:r w:rsidRPr="0013396E">
              <w:rPr>
                <w:i/>
              </w:rPr>
              <w:t>Reliability Must-Run Non-Performance Flag per QSE per Resource</w:t>
            </w:r>
            <w:r w:rsidRPr="0013396E">
              <w:t xml:space="preserve">—A flag for the QSE </w:t>
            </w:r>
            <w:r w:rsidRPr="0013396E">
              <w:rPr>
                <w:i/>
              </w:rPr>
              <w:t xml:space="preserve">q </w:t>
            </w:r>
            <w:r w:rsidRPr="0013396E">
              <w:t xml:space="preserve">for the unexcused Misconduct Event of RMR Unit </w:t>
            </w:r>
            <w:r w:rsidRPr="0013396E">
              <w:rPr>
                <w:i/>
              </w:rPr>
              <w:t>r</w:t>
            </w:r>
            <w:r w:rsidRPr="0013396E">
              <w:t xml:space="preserve"> for an Operating Day.  Where for a Combined Cycle Train, the Resource </w:t>
            </w:r>
            <w:r w:rsidRPr="0013396E">
              <w:rPr>
                <w:i/>
              </w:rPr>
              <w:t xml:space="preserve">r </w:t>
            </w:r>
            <w:r w:rsidRPr="0013396E">
              <w:t xml:space="preserve">is the Combined Cycle Train. </w:t>
            </w:r>
          </w:p>
        </w:tc>
      </w:tr>
      <w:tr w:rsidR="001F04FD" w:rsidRPr="0013396E" w14:paraId="5565C1E8" w14:textId="77777777" w:rsidTr="00AC4DEE">
        <w:trPr>
          <w:cantSplit/>
        </w:trPr>
        <w:tc>
          <w:tcPr>
            <w:tcW w:w="1685" w:type="dxa"/>
          </w:tcPr>
          <w:p w14:paraId="61D561F3" w14:textId="77777777" w:rsidR="001F04FD" w:rsidRPr="0013396E" w:rsidRDefault="001F04FD" w:rsidP="00AC4DEE">
            <w:pPr>
              <w:pStyle w:val="TableBody"/>
              <w:rPr>
                <w:i/>
              </w:rPr>
            </w:pPr>
            <w:r w:rsidRPr="0013396E">
              <w:rPr>
                <w:i/>
              </w:rPr>
              <w:t>q</w:t>
            </w:r>
          </w:p>
        </w:tc>
        <w:tc>
          <w:tcPr>
            <w:tcW w:w="0" w:type="auto"/>
          </w:tcPr>
          <w:p w14:paraId="521B9559" w14:textId="77777777" w:rsidR="001F04FD" w:rsidRPr="0013396E" w:rsidRDefault="001F04FD" w:rsidP="00AC4DEE">
            <w:pPr>
              <w:pStyle w:val="TableBody"/>
            </w:pPr>
            <w:r w:rsidRPr="0013396E">
              <w:t>none</w:t>
            </w:r>
          </w:p>
        </w:tc>
        <w:tc>
          <w:tcPr>
            <w:tcW w:w="0" w:type="auto"/>
          </w:tcPr>
          <w:p w14:paraId="073D4AA8" w14:textId="77777777" w:rsidR="001F04FD" w:rsidRPr="0013396E" w:rsidRDefault="001F04FD" w:rsidP="00AC4DEE">
            <w:pPr>
              <w:pStyle w:val="TableBody"/>
              <w:rPr>
                <w:i/>
              </w:rPr>
            </w:pPr>
            <w:r w:rsidRPr="0013396E">
              <w:t>A QSE.</w:t>
            </w:r>
          </w:p>
        </w:tc>
      </w:tr>
      <w:tr w:rsidR="001F04FD" w:rsidRPr="0013396E" w14:paraId="55E3ADE1" w14:textId="77777777" w:rsidTr="00AC4DEE">
        <w:trPr>
          <w:cantSplit/>
        </w:trPr>
        <w:tc>
          <w:tcPr>
            <w:tcW w:w="1685" w:type="dxa"/>
          </w:tcPr>
          <w:p w14:paraId="3BCCC7EF" w14:textId="77777777" w:rsidR="001F04FD" w:rsidRPr="0013396E" w:rsidRDefault="001F04FD" w:rsidP="00AC4DEE">
            <w:pPr>
              <w:pStyle w:val="TableBody"/>
              <w:rPr>
                <w:i/>
              </w:rPr>
            </w:pPr>
            <w:r w:rsidRPr="0013396E">
              <w:rPr>
                <w:i/>
              </w:rPr>
              <w:t>r</w:t>
            </w:r>
          </w:p>
        </w:tc>
        <w:tc>
          <w:tcPr>
            <w:tcW w:w="0" w:type="auto"/>
          </w:tcPr>
          <w:p w14:paraId="3A1EEFD2" w14:textId="77777777" w:rsidR="001F04FD" w:rsidRPr="0013396E" w:rsidRDefault="001F04FD" w:rsidP="00AC4DEE">
            <w:pPr>
              <w:pStyle w:val="TableBody"/>
            </w:pPr>
            <w:r w:rsidRPr="0013396E">
              <w:t>none</w:t>
            </w:r>
          </w:p>
        </w:tc>
        <w:tc>
          <w:tcPr>
            <w:tcW w:w="0" w:type="auto"/>
          </w:tcPr>
          <w:p w14:paraId="4FE31684" w14:textId="77777777" w:rsidR="001F04FD" w:rsidRPr="0013396E" w:rsidRDefault="001F04FD" w:rsidP="00AC4DEE">
            <w:pPr>
              <w:pStyle w:val="TableBody"/>
              <w:rPr>
                <w:i/>
              </w:rPr>
            </w:pPr>
            <w:r w:rsidRPr="0013396E">
              <w:t>An RMR Unit.</w:t>
            </w:r>
          </w:p>
        </w:tc>
      </w:tr>
    </w:tbl>
    <w:p w14:paraId="1A92681B" w14:textId="77777777" w:rsidR="001F04FD" w:rsidRPr="0013396E" w:rsidRDefault="001F04FD" w:rsidP="001F04FD"/>
    <w:p w14:paraId="7DB0A5B4" w14:textId="77777777" w:rsidR="001F04FD" w:rsidRPr="0013396E" w:rsidRDefault="001F04FD" w:rsidP="001F04FD">
      <w:pPr>
        <w:pStyle w:val="BodyTextNumbered"/>
      </w:pPr>
      <w:bookmarkStart w:id="1971" w:name="_Toc87951801"/>
      <w:bookmarkStart w:id="1972" w:name="_Toc109009411"/>
      <w:r w:rsidRPr="0013396E">
        <w:lastRenderedPageBreak/>
        <w:t>(2)</w:t>
      </w:r>
      <w:r w:rsidRPr="0013396E">
        <w:tab/>
        <w:t>The total of the charges to each QSE for unexcused Misconduct Events of all RMR Units represented by this QSE for a given Operating Day is calculated as follows:</w:t>
      </w:r>
    </w:p>
    <w:p w14:paraId="7CD1D8AF" w14:textId="77777777" w:rsidR="001F04FD" w:rsidRPr="0013396E" w:rsidRDefault="001F04FD" w:rsidP="001F04FD">
      <w:pPr>
        <w:pStyle w:val="FormulaBold"/>
      </w:pPr>
      <w:r w:rsidRPr="0013396E">
        <w:t xml:space="preserve">RMRNPAMTQSETOT </w:t>
      </w:r>
      <w:r w:rsidRPr="0013396E">
        <w:rPr>
          <w:i/>
          <w:vertAlign w:val="subscript"/>
        </w:rPr>
        <w:t>q</w:t>
      </w:r>
      <w:r w:rsidRPr="0013396E">
        <w:tab/>
        <w:t>=</w:t>
      </w:r>
      <w:r w:rsidRPr="0013396E">
        <w:tab/>
      </w:r>
      <w:r w:rsidRPr="0013396E">
        <w:rPr>
          <w:position w:val="-18"/>
        </w:rPr>
        <w:object w:dxaOrig="225" w:dyaOrig="420" w14:anchorId="7B5D8995">
          <v:shape id="_x0000_i1176" type="#_x0000_t75" style="width:12pt;height:24pt" o:ole="">
            <v:imagedata r:id="rId209" o:title=""/>
          </v:shape>
          <o:OLEObject Type="Embed" ProgID="Equation.3" ShapeID="_x0000_i1176" DrawAspect="Content" ObjectID="_1849065807" r:id="rId219"/>
        </w:object>
      </w:r>
      <w:r w:rsidRPr="0013396E">
        <w:t xml:space="preserve">RMRNPAMT </w:t>
      </w:r>
      <w:r w:rsidRPr="0013396E">
        <w:rPr>
          <w:i/>
          <w:vertAlign w:val="subscript"/>
        </w:rPr>
        <w:t>q, r</w:t>
      </w:r>
    </w:p>
    <w:p w14:paraId="197299CD" w14:textId="77777777" w:rsidR="001F04FD" w:rsidRPr="0013396E" w:rsidRDefault="001F04FD" w:rsidP="001F04FD">
      <w:r w:rsidRPr="0013396E">
        <w:t>The above variables are defined as follows:</w:t>
      </w:r>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832"/>
        <w:gridCol w:w="6074"/>
      </w:tblGrid>
      <w:tr w:rsidR="001F04FD" w:rsidRPr="0013396E" w14:paraId="0B1D9D4A" w14:textId="77777777" w:rsidTr="00AC4DEE">
        <w:trPr>
          <w:cantSplit/>
          <w:tblHeader/>
        </w:trPr>
        <w:tc>
          <w:tcPr>
            <w:tcW w:w="2343" w:type="dxa"/>
          </w:tcPr>
          <w:p w14:paraId="5C831A6C" w14:textId="77777777" w:rsidR="001F04FD" w:rsidRPr="0013396E" w:rsidRDefault="001F04FD" w:rsidP="00AC4DEE">
            <w:pPr>
              <w:pStyle w:val="TableHead"/>
            </w:pPr>
            <w:r w:rsidRPr="0013396E">
              <w:t>Variable</w:t>
            </w:r>
          </w:p>
        </w:tc>
        <w:tc>
          <w:tcPr>
            <w:tcW w:w="832" w:type="dxa"/>
          </w:tcPr>
          <w:p w14:paraId="2C998FFB" w14:textId="77777777" w:rsidR="001F04FD" w:rsidRPr="0013396E" w:rsidRDefault="001F04FD" w:rsidP="00AC4DEE">
            <w:pPr>
              <w:pStyle w:val="TableHead"/>
            </w:pPr>
            <w:r w:rsidRPr="0013396E">
              <w:t>Unit</w:t>
            </w:r>
          </w:p>
        </w:tc>
        <w:tc>
          <w:tcPr>
            <w:tcW w:w="6074" w:type="dxa"/>
          </w:tcPr>
          <w:p w14:paraId="1A35557F" w14:textId="77777777" w:rsidR="001F04FD" w:rsidRPr="0013396E" w:rsidRDefault="001F04FD" w:rsidP="00AC4DEE">
            <w:pPr>
              <w:pStyle w:val="TableHead"/>
            </w:pPr>
            <w:r w:rsidRPr="0013396E">
              <w:t>Definition</w:t>
            </w:r>
          </w:p>
        </w:tc>
      </w:tr>
      <w:tr w:rsidR="001F04FD" w:rsidRPr="0013396E" w14:paraId="734BE831" w14:textId="77777777" w:rsidTr="00AC4DEE">
        <w:trPr>
          <w:cantSplit/>
        </w:trPr>
        <w:tc>
          <w:tcPr>
            <w:tcW w:w="2343" w:type="dxa"/>
          </w:tcPr>
          <w:p w14:paraId="0A27E38C" w14:textId="77777777" w:rsidR="001F04FD" w:rsidRPr="0013396E" w:rsidRDefault="001F04FD" w:rsidP="00AC4DEE">
            <w:pPr>
              <w:pStyle w:val="TableBody"/>
            </w:pPr>
            <w:r w:rsidRPr="0013396E">
              <w:t xml:space="preserve">RMRNPAMTQSETOT </w:t>
            </w:r>
            <w:r w:rsidRPr="0013396E">
              <w:rPr>
                <w:i/>
                <w:vertAlign w:val="subscript"/>
              </w:rPr>
              <w:t>q</w:t>
            </w:r>
          </w:p>
        </w:tc>
        <w:tc>
          <w:tcPr>
            <w:tcW w:w="832" w:type="dxa"/>
          </w:tcPr>
          <w:p w14:paraId="37512629" w14:textId="77777777" w:rsidR="001F04FD" w:rsidRPr="0013396E" w:rsidRDefault="001F04FD" w:rsidP="00AC4DEE">
            <w:pPr>
              <w:pStyle w:val="TableBody"/>
            </w:pPr>
            <w:r w:rsidRPr="0013396E">
              <w:t>$</w:t>
            </w:r>
          </w:p>
        </w:tc>
        <w:tc>
          <w:tcPr>
            <w:tcW w:w="6074" w:type="dxa"/>
          </w:tcPr>
          <w:p w14:paraId="3F31C47E" w14:textId="77777777" w:rsidR="001F04FD" w:rsidRPr="0013396E" w:rsidRDefault="001F04FD" w:rsidP="00AC4DEE">
            <w:pPr>
              <w:pStyle w:val="TableBody"/>
            </w:pPr>
            <w:r w:rsidRPr="0013396E">
              <w:rPr>
                <w:i/>
              </w:rPr>
              <w:t>Reliability Must-Run Unexcused Misconduct Amount QSE Total per QSE</w:t>
            </w:r>
            <w:r w:rsidRPr="0013396E">
              <w:sym w:font="Symbol" w:char="F0BE"/>
            </w:r>
            <w:r w:rsidRPr="0013396E">
              <w:t xml:space="preserve">The total of the charges to QSE </w:t>
            </w:r>
            <w:r w:rsidRPr="0013396E">
              <w:rPr>
                <w:i/>
              </w:rPr>
              <w:t>q</w:t>
            </w:r>
            <w:r w:rsidRPr="0013396E">
              <w:t xml:space="preserve"> for unexcused Misconduct Events of the RMR Units represented by this QSE for the Operating Day.</w:t>
            </w:r>
          </w:p>
        </w:tc>
      </w:tr>
      <w:tr w:rsidR="001F04FD" w:rsidRPr="0013396E" w14:paraId="26EE393C" w14:textId="77777777" w:rsidTr="00AC4DEE">
        <w:trPr>
          <w:cantSplit/>
        </w:trPr>
        <w:tc>
          <w:tcPr>
            <w:tcW w:w="2343" w:type="dxa"/>
          </w:tcPr>
          <w:p w14:paraId="42179883" w14:textId="77777777" w:rsidR="001F04FD" w:rsidRPr="0013396E" w:rsidRDefault="001F04FD" w:rsidP="00AC4DEE">
            <w:pPr>
              <w:pStyle w:val="TableBody"/>
            </w:pPr>
            <w:r w:rsidRPr="0013396E">
              <w:t xml:space="preserve">RMRNPAMT </w:t>
            </w:r>
            <w:r w:rsidRPr="0013396E">
              <w:rPr>
                <w:i/>
                <w:vertAlign w:val="subscript"/>
              </w:rPr>
              <w:t>q, r</w:t>
            </w:r>
          </w:p>
        </w:tc>
        <w:tc>
          <w:tcPr>
            <w:tcW w:w="832" w:type="dxa"/>
          </w:tcPr>
          <w:p w14:paraId="1E42A50C" w14:textId="77777777" w:rsidR="001F04FD" w:rsidRPr="0013396E" w:rsidRDefault="001F04FD" w:rsidP="00AC4DEE">
            <w:pPr>
              <w:pStyle w:val="TableBody"/>
            </w:pPr>
            <w:r w:rsidRPr="0013396E">
              <w:t>$</w:t>
            </w:r>
          </w:p>
        </w:tc>
        <w:tc>
          <w:tcPr>
            <w:tcW w:w="6074" w:type="dxa"/>
          </w:tcPr>
          <w:p w14:paraId="7DC26D76" w14:textId="77777777" w:rsidR="001F04FD" w:rsidRPr="0013396E" w:rsidRDefault="001F04FD" w:rsidP="00AC4DEE">
            <w:pPr>
              <w:pStyle w:val="TableBody"/>
            </w:pPr>
            <w:r w:rsidRPr="0013396E">
              <w:rPr>
                <w:i/>
              </w:rPr>
              <w:t>Reliability Must-Run Unexcused Misconduct Charge per QSE per Resource</w:t>
            </w:r>
            <w:r w:rsidRPr="0013396E">
              <w:t xml:space="preserve">—The charge to QSE </w:t>
            </w:r>
            <w:r w:rsidRPr="0013396E">
              <w:rPr>
                <w:i/>
              </w:rPr>
              <w:t>q</w:t>
            </w:r>
            <w:r w:rsidRPr="0013396E">
              <w:t xml:space="preserve"> for the unexcused Misconduct Event of RMR Unit </w:t>
            </w:r>
            <w:r w:rsidRPr="0013396E">
              <w:rPr>
                <w:i/>
              </w:rPr>
              <w:t>r</w:t>
            </w:r>
            <w:r w:rsidRPr="0013396E">
              <w:t xml:space="preserve"> for the Operating Day.  Where for a Combined Cycle Train, the Resource </w:t>
            </w:r>
            <w:r w:rsidRPr="0013396E">
              <w:rPr>
                <w:i/>
              </w:rPr>
              <w:t xml:space="preserve">r </w:t>
            </w:r>
            <w:r w:rsidRPr="0013396E">
              <w:t xml:space="preserve">is the Combined Cycle Train. </w:t>
            </w:r>
          </w:p>
        </w:tc>
      </w:tr>
      <w:tr w:rsidR="001F04FD" w:rsidRPr="0013396E" w14:paraId="66022088" w14:textId="77777777" w:rsidTr="00AC4DEE">
        <w:trPr>
          <w:cantSplit/>
        </w:trPr>
        <w:tc>
          <w:tcPr>
            <w:tcW w:w="2343" w:type="dxa"/>
            <w:tcBorders>
              <w:top w:val="single" w:sz="4" w:space="0" w:color="auto"/>
              <w:left w:val="single" w:sz="4" w:space="0" w:color="auto"/>
              <w:bottom w:val="single" w:sz="4" w:space="0" w:color="auto"/>
              <w:right w:val="single" w:sz="4" w:space="0" w:color="auto"/>
            </w:tcBorders>
          </w:tcPr>
          <w:p w14:paraId="1C1685E5" w14:textId="77777777" w:rsidR="001F04FD" w:rsidRPr="0013396E" w:rsidRDefault="001F04FD" w:rsidP="00AC4DE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271B6687"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613915B1" w14:textId="77777777" w:rsidR="001F04FD" w:rsidRPr="0013396E" w:rsidRDefault="001F04FD" w:rsidP="00AC4DEE">
            <w:pPr>
              <w:pStyle w:val="TableBody"/>
            </w:pPr>
            <w:r w:rsidRPr="0013396E">
              <w:t>A QSE.</w:t>
            </w:r>
          </w:p>
        </w:tc>
      </w:tr>
      <w:tr w:rsidR="001F04FD" w:rsidRPr="0013396E" w14:paraId="262D38C6" w14:textId="77777777" w:rsidTr="00AC4DEE">
        <w:trPr>
          <w:cantSplit/>
        </w:trPr>
        <w:tc>
          <w:tcPr>
            <w:tcW w:w="2343" w:type="dxa"/>
            <w:tcBorders>
              <w:top w:val="single" w:sz="4" w:space="0" w:color="auto"/>
              <w:left w:val="single" w:sz="4" w:space="0" w:color="auto"/>
              <w:bottom w:val="single" w:sz="4" w:space="0" w:color="auto"/>
              <w:right w:val="single" w:sz="4" w:space="0" w:color="auto"/>
            </w:tcBorders>
          </w:tcPr>
          <w:p w14:paraId="7AA6FD8F" w14:textId="77777777" w:rsidR="001F04FD" w:rsidRPr="0013396E" w:rsidRDefault="001F04FD" w:rsidP="00AC4DEE">
            <w:pPr>
              <w:pStyle w:val="TableBody"/>
              <w:rPr>
                <w:i/>
              </w:rPr>
            </w:pPr>
            <w:r w:rsidRPr="0013396E">
              <w:rPr>
                <w:i/>
              </w:rPr>
              <w:t>r</w:t>
            </w:r>
          </w:p>
        </w:tc>
        <w:tc>
          <w:tcPr>
            <w:tcW w:w="832" w:type="dxa"/>
            <w:tcBorders>
              <w:top w:val="single" w:sz="4" w:space="0" w:color="auto"/>
              <w:left w:val="single" w:sz="4" w:space="0" w:color="auto"/>
              <w:bottom w:val="single" w:sz="4" w:space="0" w:color="auto"/>
              <w:right w:val="single" w:sz="4" w:space="0" w:color="auto"/>
            </w:tcBorders>
          </w:tcPr>
          <w:p w14:paraId="735A5653" w14:textId="77777777" w:rsidR="001F04FD" w:rsidRPr="0013396E" w:rsidRDefault="001F04FD" w:rsidP="00AC4DEE">
            <w:pPr>
              <w:pStyle w:val="TableBody"/>
            </w:pPr>
            <w:r w:rsidRPr="0013396E">
              <w:t>none</w:t>
            </w:r>
          </w:p>
        </w:tc>
        <w:tc>
          <w:tcPr>
            <w:tcW w:w="6074" w:type="dxa"/>
            <w:tcBorders>
              <w:top w:val="single" w:sz="4" w:space="0" w:color="auto"/>
              <w:left w:val="single" w:sz="4" w:space="0" w:color="auto"/>
              <w:bottom w:val="single" w:sz="4" w:space="0" w:color="auto"/>
              <w:right w:val="single" w:sz="4" w:space="0" w:color="auto"/>
            </w:tcBorders>
          </w:tcPr>
          <w:p w14:paraId="6BAEA643" w14:textId="77777777" w:rsidR="001F04FD" w:rsidRPr="0013396E" w:rsidRDefault="001F04FD" w:rsidP="00AC4DEE">
            <w:pPr>
              <w:pStyle w:val="TableBody"/>
            </w:pPr>
            <w:r w:rsidRPr="0013396E">
              <w:t>An RMR Unit.</w:t>
            </w:r>
          </w:p>
        </w:tc>
      </w:tr>
    </w:tbl>
    <w:p w14:paraId="2FE7D514" w14:textId="77777777" w:rsidR="001F04FD" w:rsidRPr="0013396E" w:rsidRDefault="001F04FD" w:rsidP="001F04FD">
      <w:pPr>
        <w:pStyle w:val="H4"/>
        <w:spacing w:before="480"/>
        <w:ind w:left="1267" w:hanging="1267"/>
      </w:pPr>
      <w:bookmarkStart w:id="1973" w:name="_Toc397505031"/>
      <w:bookmarkStart w:id="1974" w:name="_Toc402357163"/>
      <w:bookmarkStart w:id="1975" w:name="_Toc422486543"/>
      <w:bookmarkStart w:id="1976" w:name="_Toc433093396"/>
      <w:bookmarkStart w:id="1977" w:name="_Toc433093554"/>
      <w:bookmarkStart w:id="1978" w:name="_Toc440874784"/>
      <w:bookmarkStart w:id="1979" w:name="_Toc448142341"/>
      <w:bookmarkStart w:id="1980" w:name="_Toc448142498"/>
      <w:bookmarkStart w:id="1981" w:name="_Toc458770339"/>
      <w:bookmarkStart w:id="1982" w:name="_Toc459294307"/>
      <w:bookmarkStart w:id="1983" w:name="_Toc463262800"/>
      <w:bookmarkStart w:id="1984" w:name="_Toc468286873"/>
      <w:bookmarkStart w:id="1985" w:name="_Toc481502913"/>
      <w:bookmarkStart w:id="1986" w:name="_Toc496080081"/>
      <w:bookmarkStart w:id="1987" w:name="_Toc236220209"/>
      <w:bookmarkStart w:id="1988" w:name="_Toc87951808"/>
      <w:bookmarkStart w:id="1989" w:name="_Toc109009412"/>
      <w:bookmarkEnd w:id="1971"/>
      <w:bookmarkEnd w:id="1972"/>
      <w:r w:rsidRPr="0013396E">
        <w:t>6.6.6.5</w:t>
      </w:r>
      <w:r w:rsidRPr="0013396E">
        <w:tab/>
        <w:t>RMR Service Charge</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14:paraId="6BE62F3D" w14:textId="77777777" w:rsidR="001F04FD" w:rsidRPr="0013396E" w:rsidRDefault="001F04FD" w:rsidP="001F04FD">
      <w:pPr>
        <w:pStyle w:val="BodyTextNumbered"/>
      </w:pPr>
      <w:r w:rsidRPr="0013396E">
        <w:t>(1)</w:t>
      </w:r>
      <w:r w:rsidRPr="0013396E">
        <w:tab/>
        <w:t>The total RMR cost for all RMR Units is allocated to the QSEs representing Loads based on LRS.  The RMR Service charge to each QSE for a given hour is calculated as follows:</w:t>
      </w:r>
    </w:p>
    <w:p w14:paraId="78AF223B" w14:textId="77777777" w:rsidR="001F04FD" w:rsidRPr="0013396E" w:rsidRDefault="001F04FD" w:rsidP="001F04FD">
      <w:pPr>
        <w:pStyle w:val="FormulaBold"/>
        <w:tabs>
          <w:tab w:val="clear" w:pos="2250"/>
          <w:tab w:val="clear" w:pos="3150"/>
          <w:tab w:val="clear" w:pos="3960"/>
          <w:tab w:val="left" w:pos="2610"/>
          <w:tab w:val="left" w:pos="3060"/>
        </w:tabs>
        <w:ind w:left="3060" w:hanging="2340"/>
        <w:rPr>
          <w:i/>
          <w:vertAlign w:val="subscript"/>
        </w:rPr>
      </w:pPr>
      <w:r w:rsidRPr="0013396E">
        <w:t xml:space="preserve">LARMRAMT </w:t>
      </w:r>
      <w:r w:rsidRPr="0013396E">
        <w:rPr>
          <w:i/>
          <w:vertAlign w:val="subscript"/>
        </w:rPr>
        <w:t>q</w:t>
      </w:r>
      <w:r w:rsidRPr="0013396E">
        <w:tab/>
        <w:t>=</w:t>
      </w:r>
      <w:r w:rsidRPr="0013396E">
        <w:tab/>
        <w:t xml:space="preserve">(-1) * (RMRSBAMTTOT + RMREAMTTOT </w:t>
      </w:r>
      <w:r w:rsidRPr="0013396E">
        <w:br/>
        <w:t xml:space="preserve">+ RMRAAMTTOT + RMRNPAMTTOT / H) * HLRS </w:t>
      </w:r>
      <w:r w:rsidRPr="0013396E">
        <w:rPr>
          <w:i/>
          <w:vertAlign w:val="subscript"/>
        </w:rPr>
        <w:t>q</w:t>
      </w:r>
    </w:p>
    <w:p w14:paraId="71C12100" w14:textId="77777777" w:rsidR="001F04FD" w:rsidRPr="0013396E" w:rsidRDefault="001F04FD" w:rsidP="001F04FD">
      <w:pPr>
        <w:pStyle w:val="BodyText"/>
        <w:ind w:firstLine="720"/>
      </w:pPr>
      <w:r w:rsidRPr="0013396E">
        <w:t>Where:</w:t>
      </w:r>
    </w:p>
    <w:p w14:paraId="191BE8AD" w14:textId="77777777" w:rsidR="001F04FD" w:rsidRPr="0013396E" w:rsidRDefault="001F04FD" w:rsidP="001F04FD">
      <w:pPr>
        <w:ind w:firstLine="720"/>
      </w:pPr>
      <w:r w:rsidRPr="0013396E">
        <w:t>RMR Standby Amount Total</w:t>
      </w:r>
    </w:p>
    <w:p w14:paraId="5EB9E912" w14:textId="77777777" w:rsidR="001F04FD" w:rsidRPr="0013396E" w:rsidRDefault="001F04FD" w:rsidP="001F04FD">
      <w:pPr>
        <w:pStyle w:val="Formula"/>
        <w:ind w:left="2880" w:hanging="2160"/>
        <w:rPr>
          <w:i/>
          <w:vertAlign w:val="subscript"/>
        </w:rPr>
      </w:pPr>
      <w:r w:rsidRPr="0013396E">
        <w:t>RMRSBAMTTOT</w:t>
      </w:r>
      <w:r w:rsidRPr="0013396E">
        <w:tab/>
        <w:t>=</w:t>
      </w:r>
      <w:r w:rsidRPr="0013396E">
        <w:tab/>
      </w:r>
      <w:r w:rsidRPr="0013396E">
        <w:rPr>
          <w:position w:val="-22"/>
        </w:rPr>
        <w:object w:dxaOrig="210" w:dyaOrig="465" w14:anchorId="4E7420F9">
          <v:shape id="_x0000_i1177" type="#_x0000_t75" style="width:6pt;height:24pt" o:ole="">
            <v:imagedata r:id="rId220" o:title=""/>
          </v:shape>
          <o:OLEObject Type="Embed" ProgID="Equation.3" ShapeID="_x0000_i1177" DrawAspect="Content" ObjectID="_1849065808" r:id="rId221"/>
        </w:object>
      </w:r>
      <w:r w:rsidRPr="0013396E">
        <w:t xml:space="preserve">RMRSBAMTQSETOT </w:t>
      </w:r>
      <w:r w:rsidRPr="0013396E">
        <w:rPr>
          <w:i/>
          <w:vertAlign w:val="subscript"/>
        </w:rPr>
        <w:t>q</w:t>
      </w:r>
    </w:p>
    <w:p w14:paraId="1D2F4889" w14:textId="77777777" w:rsidR="001F04FD" w:rsidRPr="0013396E" w:rsidRDefault="001F04FD" w:rsidP="001F04FD">
      <w:pPr>
        <w:ind w:firstLine="720"/>
      </w:pPr>
      <w:r w:rsidRPr="0013396E">
        <w:t>RMR Energy Amount Total</w:t>
      </w:r>
    </w:p>
    <w:p w14:paraId="39FE5FF3" w14:textId="77777777" w:rsidR="001F04FD" w:rsidRPr="0013396E" w:rsidRDefault="001F04FD" w:rsidP="001F04FD">
      <w:pPr>
        <w:pStyle w:val="Formula"/>
        <w:ind w:left="2880" w:hanging="2160"/>
        <w:rPr>
          <w:i/>
          <w:vertAlign w:val="subscript"/>
        </w:rPr>
      </w:pPr>
      <w:r w:rsidRPr="0013396E">
        <w:t>RMREAMTTOT</w:t>
      </w:r>
      <w:r w:rsidRPr="0013396E">
        <w:tab/>
        <w:t>=</w:t>
      </w:r>
      <w:r w:rsidRPr="0013396E">
        <w:tab/>
      </w:r>
      <w:r w:rsidRPr="0013396E">
        <w:rPr>
          <w:position w:val="-22"/>
        </w:rPr>
        <w:object w:dxaOrig="210" w:dyaOrig="465" w14:anchorId="5821D66F">
          <v:shape id="_x0000_i1178" type="#_x0000_t75" style="width:6pt;height:24pt" o:ole="">
            <v:imagedata r:id="rId222" o:title=""/>
          </v:shape>
          <o:OLEObject Type="Embed" ProgID="Equation.3" ShapeID="_x0000_i1178" DrawAspect="Content" ObjectID="_1849065809" r:id="rId223"/>
        </w:object>
      </w:r>
      <w:r w:rsidRPr="0013396E">
        <w:t xml:space="preserve">RMREAMTQSETOT </w:t>
      </w:r>
      <w:r w:rsidRPr="0013396E">
        <w:rPr>
          <w:i/>
          <w:vertAlign w:val="subscript"/>
        </w:rPr>
        <w:t>q</w:t>
      </w:r>
    </w:p>
    <w:p w14:paraId="6EB3BF3F" w14:textId="77777777" w:rsidR="001F04FD" w:rsidRPr="0013396E" w:rsidRDefault="001F04FD" w:rsidP="001F04FD">
      <w:pPr>
        <w:ind w:firstLine="720"/>
      </w:pPr>
      <w:r w:rsidRPr="0013396E">
        <w:t>RMR Adjustment Charge Total</w:t>
      </w:r>
    </w:p>
    <w:p w14:paraId="00BCC927" w14:textId="77777777" w:rsidR="001F04FD" w:rsidRPr="0013396E" w:rsidRDefault="001F04FD" w:rsidP="001F04FD">
      <w:pPr>
        <w:pStyle w:val="Formula"/>
        <w:ind w:left="2880" w:hanging="2160"/>
      </w:pPr>
      <w:r w:rsidRPr="0013396E">
        <w:t>RMRAAMTTOT</w:t>
      </w:r>
      <w:r w:rsidRPr="0013396E">
        <w:tab/>
        <w:t>=</w:t>
      </w:r>
      <w:r w:rsidRPr="0013396E">
        <w:tab/>
      </w:r>
      <w:r w:rsidRPr="0013396E">
        <w:rPr>
          <w:position w:val="-22"/>
        </w:rPr>
        <w:object w:dxaOrig="210" w:dyaOrig="465" w14:anchorId="252C4255">
          <v:shape id="_x0000_i1179" type="#_x0000_t75" style="width:6pt;height:24pt" o:ole="">
            <v:imagedata r:id="rId222" o:title=""/>
          </v:shape>
          <o:OLEObject Type="Embed" ProgID="Equation.3" ShapeID="_x0000_i1179" DrawAspect="Content" ObjectID="_1849065810" r:id="rId224"/>
        </w:object>
      </w:r>
      <w:r w:rsidRPr="0013396E">
        <w:t xml:space="preserve">RMRAAMT </w:t>
      </w:r>
      <w:r w:rsidRPr="0013396E">
        <w:rPr>
          <w:i/>
          <w:vertAlign w:val="subscript"/>
        </w:rPr>
        <w:t>q</w:t>
      </w:r>
    </w:p>
    <w:p w14:paraId="657D9AFB" w14:textId="77777777" w:rsidR="001F04FD" w:rsidRPr="0013396E" w:rsidRDefault="001F04FD" w:rsidP="001F04FD">
      <w:pPr>
        <w:ind w:firstLine="720"/>
      </w:pPr>
      <w:r w:rsidRPr="0013396E">
        <w:t>RMR Non-Performance Amount Total</w:t>
      </w:r>
    </w:p>
    <w:p w14:paraId="1EAF89C5" w14:textId="77777777" w:rsidR="001F04FD" w:rsidRPr="0013396E" w:rsidRDefault="001F04FD" w:rsidP="001F04FD">
      <w:pPr>
        <w:pStyle w:val="Formula"/>
        <w:ind w:left="2880" w:hanging="2160"/>
      </w:pPr>
      <w:r w:rsidRPr="0013396E">
        <w:t>RMRNPAMTTOT</w:t>
      </w:r>
      <w:r w:rsidRPr="0013396E">
        <w:tab/>
        <w:t>=</w:t>
      </w:r>
      <w:r w:rsidRPr="0013396E">
        <w:tab/>
      </w:r>
      <w:r w:rsidRPr="0013396E">
        <w:rPr>
          <w:position w:val="-22"/>
        </w:rPr>
        <w:object w:dxaOrig="210" w:dyaOrig="465" w14:anchorId="2DF980D6">
          <v:shape id="_x0000_i1180" type="#_x0000_t75" style="width:6pt;height:24pt" o:ole="">
            <v:imagedata r:id="rId225" o:title=""/>
          </v:shape>
          <o:OLEObject Type="Embed" ProgID="Equation.3" ShapeID="_x0000_i1180" DrawAspect="Content" ObjectID="_1849065811" r:id="rId226"/>
        </w:object>
      </w:r>
      <w:r w:rsidRPr="0013396E">
        <w:t xml:space="preserve">RMRNPAMTQSETOT </w:t>
      </w:r>
      <w:r w:rsidRPr="0013396E">
        <w:rPr>
          <w:i/>
          <w:vertAlign w:val="subscript"/>
        </w:rPr>
        <w:t>q</w:t>
      </w:r>
    </w:p>
    <w:p w14:paraId="4F450FCD" w14:textId="77777777" w:rsidR="001F04FD" w:rsidRPr="0013396E" w:rsidRDefault="001F04FD" w:rsidP="001F04FD">
      <w:r w:rsidRPr="0013396E">
        <w:t>The above variables are defined as follows:</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879"/>
        <w:gridCol w:w="6004"/>
      </w:tblGrid>
      <w:tr w:rsidR="001F04FD" w:rsidRPr="0013396E" w14:paraId="0BA58522" w14:textId="77777777" w:rsidTr="00AC4DEE">
        <w:trPr>
          <w:cantSplit/>
          <w:tblHeader/>
        </w:trPr>
        <w:tc>
          <w:tcPr>
            <w:tcW w:w="1358" w:type="pct"/>
          </w:tcPr>
          <w:p w14:paraId="277BFF05" w14:textId="77777777" w:rsidR="001F04FD" w:rsidRPr="0013396E" w:rsidRDefault="001F04FD" w:rsidP="00AC4DEE">
            <w:pPr>
              <w:pStyle w:val="TableHead"/>
            </w:pPr>
            <w:r w:rsidRPr="0013396E">
              <w:lastRenderedPageBreak/>
              <w:t>Variable</w:t>
            </w:r>
          </w:p>
        </w:tc>
        <w:tc>
          <w:tcPr>
            <w:tcW w:w="465" w:type="pct"/>
          </w:tcPr>
          <w:p w14:paraId="5AF32A99" w14:textId="77777777" w:rsidR="001F04FD" w:rsidRPr="0013396E" w:rsidRDefault="001F04FD" w:rsidP="00AC4DEE">
            <w:pPr>
              <w:pStyle w:val="TableHead"/>
            </w:pPr>
            <w:r w:rsidRPr="0013396E">
              <w:t>Unit</w:t>
            </w:r>
          </w:p>
        </w:tc>
        <w:tc>
          <w:tcPr>
            <w:tcW w:w="3177" w:type="pct"/>
          </w:tcPr>
          <w:p w14:paraId="3DB609DF" w14:textId="77777777" w:rsidR="001F04FD" w:rsidRPr="0013396E" w:rsidRDefault="001F04FD" w:rsidP="00AC4DEE">
            <w:pPr>
              <w:pStyle w:val="TableHead"/>
            </w:pPr>
            <w:r w:rsidRPr="0013396E">
              <w:t>Definition</w:t>
            </w:r>
          </w:p>
        </w:tc>
      </w:tr>
      <w:tr w:rsidR="001F04FD" w:rsidRPr="0013396E" w14:paraId="339B8F6E" w14:textId="77777777" w:rsidTr="00AC4DEE">
        <w:trPr>
          <w:cantSplit/>
        </w:trPr>
        <w:tc>
          <w:tcPr>
            <w:tcW w:w="1358" w:type="pct"/>
          </w:tcPr>
          <w:p w14:paraId="67F12A03" w14:textId="77777777" w:rsidR="001F04FD" w:rsidRPr="0013396E" w:rsidRDefault="001F04FD" w:rsidP="00AC4DEE">
            <w:pPr>
              <w:pStyle w:val="TableBody"/>
            </w:pPr>
            <w:r w:rsidRPr="0013396E">
              <w:t xml:space="preserve">LARMRAMT </w:t>
            </w:r>
            <w:r w:rsidRPr="0013396E">
              <w:rPr>
                <w:i/>
                <w:vertAlign w:val="subscript"/>
              </w:rPr>
              <w:t>q</w:t>
            </w:r>
          </w:p>
        </w:tc>
        <w:tc>
          <w:tcPr>
            <w:tcW w:w="465" w:type="pct"/>
          </w:tcPr>
          <w:p w14:paraId="29E5ABEE" w14:textId="77777777" w:rsidR="001F04FD" w:rsidRPr="0013396E" w:rsidRDefault="001F04FD" w:rsidP="00AC4DEE">
            <w:pPr>
              <w:pStyle w:val="TableBody"/>
            </w:pPr>
            <w:r w:rsidRPr="0013396E">
              <w:t>$</w:t>
            </w:r>
          </w:p>
        </w:tc>
        <w:tc>
          <w:tcPr>
            <w:tcW w:w="3177" w:type="pct"/>
          </w:tcPr>
          <w:p w14:paraId="6B018015" w14:textId="77777777" w:rsidR="001F04FD" w:rsidRPr="0013396E" w:rsidRDefault="001F04FD" w:rsidP="00AC4DEE">
            <w:pPr>
              <w:pStyle w:val="TableBody"/>
            </w:pPr>
            <w:r w:rsidRPr="0013396E">
              <w:rPr>
                <w:i/>
              </w:rPr>
              <w:t>Load-Allocated Reliability Must-Run Amount per QSE</w:t>
            </w:r>
            <w:r w:rsidRPr="0013396E">
              <w:t xml:space="preserve">—The amount charged to QSE </w:t>
            </w:r>
            <w:r w:rsidRPr="0013396E">
              <w:rPr>
                <w:i/>
              </w:rPr>
              <w:t>q</w:t>
            </w:r>
            <w:r w:rsidRPr="0013396E">
              <w:t xml:space="preserve"> based on its LRS of the difference between the amount paid to all QSEs for RMR Service under Section 6.6.6, Reliability Must-Run Settlement, and the amount that would have been paid to the QSEs for the same RMR Units if they were not providing RMR Service under the other parts of this Section 6, Adjustment Period and Real-Time Operations, and Section 5, Transmission Security Analysis and Reliability Unit Commitment. </w:t>
            </w:r>
          </w:p>
        </w:tc>
      </w:tr>
      <w:tr w:rsidR="001F04FD" w:rsidRPr="0013396E" w14:paraId="41699901" w14:textId="77777777" w:rsidTr="00AC4DEE">
        <w:trPr>
          <w:cantSplit/>
        </w:trPr>
        <w:tc>
          <w:tcPr>
            <w:tcW w:w="1358" w:type="pct"/>
          </w:tcPr>
          <w:p w14:paraId="71DA34B7" w14:textId="77777777" w:rsidR="001F04FD" w:rsidRPr="0013396E" w:rsidRDefault="001F04FD" w:rsidP="00AC4DEE">
            <w:pPr>
              <w:pStyle w:val="TableBody"/>
            </w:pPr>
            <w:r w:rsidRPr="0013396E">
              <w:t>RMRSBAMTTOT</w:t>
            </w:r>
          </w:p>
        </w:tc>
        <w:tc>
          <w:tcPr>
            <w:tcW w:w="465" w:type="pct"/>
          </w:tcPr>
          <w:p w14:paraId="5B2554CD" w14:textId="77777777" w:rsidR="001F04FD" w:rsidRPr="0013396E" w:rsidRDefault="001F04FD" w:rsidP="00AC4DEE">
            <w:pPr>
              <w:pStyle w:val="TableBody"/>
            </w:pPr>
            <w:r w:rsidRPr="0013396E">
              <w:t>$</w:t>
            </w:r>
          </w:p>
        </w:tc>
        <w:tc>
          <w:tcPr>
            <w:tcW w:w="3177" w:type="pct"/>
          </w:tcPr>
          <w:p w14:paraId="42333448" w14:textId="77777777" w:rsidR="001F04FD" w:rsidRPr="0013396E" w:rsidRDefault="001F04FD" w:rsidP="00AC4DEE">
            <w:pPr>
              <w:pStyle w:val="TableBody"/>
              <w:rPr>
                <w:i/>
              </w:rPr>
            </w:pPr>
            <w:r w:rsidRPr="0013396E">
              <w:rPr>
                <w:i/>
              </w:rPr>
              <w:t>RMR Standby Amount Total</w:t>
            </w:r>
            <w:r w:rsidRPr="0013396E">
              <w:t>—The total of the Standby Payments to all QSEs for all RMR Units, for the hour.</w:t>
            </w:r>
          </w:p>
        </w:tc>
      </w:tr>
      <w:tr w:rsidR="001F04FD" w:rsidRPr="0013396E" w14:paraId="4532E7A5" w14:textId="77777777" w:rsidTr="00AC4DEE">
        <w:trPr>
          <w:cantSplit/>
        </w:trPr>
        <w:tc>
          <w:tcPr>
            <w:tcW w:w="1358" w:type="pct"/>
          </w:tcPr>
          <w:p w14:paraId="0B1F95F5" w14:textId="77777777" w:rsidR="001F04FD" w:rsidRPr="0013396E" w:rsidRDefault="001F04FD" w:rsidP="00AC4DEE">
            <w:pPr>
              <w:pStyle w:val="TableBody"/>
            </w:pPr>
            <w:r w:rsidRPr="0013396E">
              <w:t>RMREAMTTOT</w:t>
            </w:r>
          </w:p>
        </w:tc>
        <w:tc>
          <w:tcPr>
            <w:tcW w:w="465" w:type="pct"/>
          </w:tcPr>
          <w:p w14:paraId="55C87C45" w14:textId="77777777" w:rsidR="001F04FD" w:rsidRPr="0013396E" w:rsidRDefault="001F04FD" w:rsidP="00AC4DEE">
            <w:pPr>
              <w:pStyle w:val="TableBody"/>
            </w:pPr>
            <w:r w:rsidRPr="0013396E">
              <w:t>$</w:t>
            </w:r>
          </w:p>
        </w:tc>
        <w:tc>
          <w:tcPr>
            <w:tcW w:w="3177" w:type="pct"/>
          </w:tcPr>
          <w:p w14:paraId="0754399D" w14:textId="77777777" w:rsidR="001F04FD" w:rsidRPr="0013396E" w:rsidRDefault="001F04FD" w:rsidP="00AC4DEE">
            <w:pPr>
              <w:pStyle w:val="TableBody"/>
              <w:rPr>
                <w:i/>
              </w:rPr>
            </w:pPr>
            <w:r w:rsidRPr="0013396E">
              <w:rPr>
                <w:i/>
              </w:rPr>
              <w:t>RMR Energy Amount Total</w:t>
            </w:r>
            <w:r w:rsidRPr="0013396E">
              <w:t>—The total of the energy cost payments to all QSEs for all RMR Units, for the hour.</w:t>
            </w:r>
          </w:p>
        </w:tc>
      </w:tr>
      <w:tr w:rsidR="001F04FD" w:rsidRPr="0013396E" w14:paraId="5F2F37E7" w14:textId="77777777" w:rsidTr="00AC4DEE">
        <w:trPr>
          <w:cantSplit/>
        </w:trPr>
        <w:tc>
          <w:tcPr>
            <w:tcW w:w="1358" w:type="pct"/>
          </w:tcPr>
          <w:p w14:paraId="4CED73D7" w14:textId="77777777" w:rsidR="001F04FD" w:rsidRPr="0013396E" w:rsidRDefault="001F04FD" w:rsidP="00AC4DEE">
            <w:pPr>
              <w:pStyle w:val="TableBody"/>
            </w:pPr>
            <w:r w:rsidRPr="0013396E">
              <w:t>RMRAAMTTOT</w:t>
            </w:r>
          </w:p>
        </w:tc>
        <w:tc>
          <w:tcPr>
            <w:tcW w:w="465" w:type="pct"/>
          </w:tcPr>
          <w:p w14:paraId="4C81E336" w14:textId="77777777" w:rsidR="001F04FD" w:rsidRPr="0013396E" w:rsidRDefault="001F04FD" w:rsidP="00AC4DEE">
            <w:pPr>
              <w:pStyle w:val="TableBody"/>
            </w:pPr>
            <w:r w:rsidRPr="0013396E">
              <w:t>$</w:t>
            </w:r>
          </w:p>
        </w:tc>
        <w:tc>
          <w:tcPr>
            <w:tcW w:w="3177" w:type="pct"/>
          </w:tcPr>
          <w:p w14:paraId="2DF65BDF" w14:textId="77777777" w:rsidR="001F04FD" w:rsidRPr="0013396E" w:rsidRDefault="001F04FD" w:rsidP="00AC4DEE">
            <w:pPr>
              <w:pStyle w:val="TableBody"/>
              <w:rPr>
                <w:i/>
              </w:rPr>
            </w:pPr>
            <w:r w:rsidRPr="0013396E">
              <w:rPr>
                <w:i/>
              </w:rPr>
              <w:t>RMR Adjusted Amount Total</w:t>
            </w:r>
            <w:r w:rsidRPr="0013396E">
              <w:t>—The total of the adjusted amounts from all QSEs representing RMR Units for the revenues received for these units from RUC, Real-Time operations and Ancillary Service markets, for the hour.</w:t>
            </w:r>
          </w:p>
        </w:tc>
      </w:tr>
      <w:tr w:rsidR="001F04FD" w:rsidRPr="0013396E" w14:paraId="109AAD0B" w14:textId="77777777" w:rsidTr="00AC4DEE">
        <w:trPr>
          <w:cantSplit/>
        </w:trPr>
        <w:tc>
          <w:tcPr>
            <w:tcW w:w="1358" w:type="pct"/>
          </w:tcPr>
          <w:p w14:paraId="3180741B" w14:textId="77777777" w:rsidR="001F04FD" w:rsidRPr="0013396E" w:rsidRDefault="001F04FD" w:rsidP="00AC4DEE">
            <w:pPr>
              <w:pStyle w:val="TableBody"/>
            </w:pPr>
            <w:r w:rsidRPr="0013396E">
              <w:t>RMRNPAMTTOT</w:t>
            </w:r>
          </w:p>
        </w:tc>
        <w:tc>
          <w:tcPr>
            <w:tcW w:w="465" w:type="pct"/>
          </w:tcPr>
          <w:p w14:paraId="27F30BD3" w14:textId="77777777" w:rsidR="001F04FD" w:rsidRPr="0013396E" w:rsidRDefault="001F04FD" w:rsidP="00AC4DEE">
            <w:pPr>
              <w:pStyle w:val="TableBody"/>
            </w:pPr>
            <w:r w:rsidRPr="0013396E">
              <w:t>$</w:t>
            </w:r>
          </w:p>
        </w:tc>
        <w:tc>
          <w:tcPr>
            <w:tcW w:w="3177" w:type="pct"/>
          </w:tcPr>
          <w:p w14:paraId="3219533A" w14:textId="77777777" w:rsidR="001F04FD" w:rsidRPr="0013396E" w:rsidRDefault="001F04FD" w:rsidP="00AC4DEE">
            <w:pPr>
              <w:pStyle w:val="TableBody"/>
              <w:rPr>
                <w:i/>
              </w:rPr>
            </w:pPr>
            <w:r w:rsidRPr="0013396E">
              <w:rPr>
                <w:i/>
              </w:rPr>
              <w:t>RMR Non-Performance Amount Total</w:t>
            </w:r>
            <w:r w:rsidRPr="0013396E">
              <w:t>—The total of the charges to all QSEs for unexcused Misconduct Events of all RMR Units, for the Operating Day.</w:t>
            </w:r>
          </w:p>
        </w:tc>
      </w:tr>
      <w:tr w:rsidR="001F04FD" w:rsidRPr="0013396E" w14:paraId="46FD9DF0" w14:textId="77777777" w:rsidTr="00AC4DEE">
        <w:trPr>
          <w:cantSplit/>
        </w:trPr>
        <w:tc>
          <w:tcPr>
            <w:tcW w:w="1358" w:type="pct"/>
          </w:tcPr>
          <w:p w14:paraId="18ED31BA" w14:textId="77777777" w:rsidR="001F04FD" w:rsidRPr="0013396E" w:rsidRDefault="001F04FD" w:rsidP="00AC4DEE">
            <w:pPr>
              <w:pStyle w:val="TableBody"/>
            </w:pPr>
            <w:r w:rsidRPr="0013396E">
              <w:t xml:space="preserve">HLRS </w:t>
            </w:r>
            <w:r w:rsidRPr="0013396E">
              <w:rPr>
                <w:i/>
                <w:vertAlign w:val="subscript"/>
              </w:rPr>
              <w:t>q</w:t>
            </w:r>
          </w:p>
        </w:tc>
        <w:tc>
          <w:tcPr>
            <w:tcW w:w="465" w:type="pct"/>
          </w:tcPr>
          <w:p w14:paraId="5E995EEC" w14:textId="77777777" w:rsidR="001F04FD" w:rsidRPr="0013396E" w:rsidRDefault="001F04FD" w:rsidP="00AC4DEE">
            <w:pPr>
              <w:pStyle w:val="TableBody"/>
            </w:pPr>
            <w:r w:rsidRPr="0013396E">
              <w:t>none</w:t>
            </w:r>
          </w:p>
        </w:tc>
        <w:tc>
          <w:tcPr>
            <w:tcW w:w="3177" w:type="pct"/>
          </w:tcPr>
          <w:p w14:paraId="3CDB5FF9" w14:textId="77777777" w:rsidR="001F04FD" w:rsidRPr="0013396E" w:rsidRDefault="001F04FD" w:rsidP="00BD4C7C">
            <w:pPr>
              <w:pStyle w:val="TableBody"/>
            </w:pPr>
            <w:r w:rsidRPr="0013396E">
              <w:t xml:space="preserve">The hourly LRS calculated for QSE </w:t>
            </w:r>
            <w:r w:rsidRPr="0013396E">
              <w:rPr>
                <w:i/>
              </w:rPr>
              <w:t>q</w:t>
            </w:r>
            <w:r w:rsidRPr="0013396E">
              <w:t xml:space="preserve"> for the hour.  See Section 6.6.2.</w:t>
            </w:r>
            <w:r w:rsidR="00BD4C7C" w:rsidRPr="0013396E">
              <w:t>4</w:t>
            </w:r>
            <w:r w:rsidRPr="0013396E">
              <w:t>, QSE Load Ratio Share for an Operating Hour.</w:t>
            </w:r>
          </w:p>
        </w:tc>
      </w:tr>
      <w:tr w:rsidR="001F04FD" w:rsidRPr="0013396E" w14:paraId="46DBE71A" w14:textId="77777777" w:rsidTr="00AC4DEE">
        <w:trPr>
          <w:cantSplit/>
        </w:trPr>
        <w:tc>
          <w:tcPr>
            <w:tcW w:w="1358" w:type="pct"/>
          </w:tcPr>
          <w:p w14:paraId="0AA0C8CC" w14:textId="77777777" w:rsidR="001F04FD" w:rsidRPr="0013396E" w:rsidRDefault="001F04FD" w:rsidP="00AC4DEE">
            <w:pPr>
              <w:pStyle w:val="TableBody"/>
            </w:pPr>
            <w:r w:rsidRPr="0013396E">
              <w:t xml:space="preserve">RMRSBAMTQSETOT </w:t>
            </w:r>
            <w:r w:rsidRPr="0013396E">
              <w:rPr>
                <w:i/>
                <w:vertAlign w:val="subscript"/>
              </w:rPr>
              <w:t>q</w:t>
            </w:r>
          </w:p>
        </w:tc>
        <w:tc>
          <w:tcPr>
            <w:tcW w:w="465" w:type="pct"/>
          </w:tcPr>
          <w:p w14:paraId="5543EDF5" w14:textId="77777777" w:rsidR="001F04FD" w:rsidRPr="0013396E" w:rsidRDefault="001F04FD" w:rsidP="00AC4DEE">
            <w:pPr>
              <w:pStyle w:val="TableBody"/>
            </w:pPr>
            <w:r w:rsidRPr="0013396E">
              <w:t>$</w:t>
            </w:r>
          </w:p>
        </w:tc>
        <w:tc>
          <w:tcPr>
            <w:tcW w:w="3177" w:type="pct"/>
          </w:tcPr>
          <w:p w14:paraId="2A0CC485" w14:textId="77777777" w:rsidR="001F04FD" w:rsidRPr="0013396E" w:rsidRDefault="001F04FD" w:rsidP="00AC4DEE">
            <w:pPr>
              <w:pStyle w:val="TableBody"/>
            </w:pPr>
            <w:r w:rsidRPr="0013396E">
              <w:rPr>
                <w:i/>
              </w:rPr>
              <w:t>Reliability Must-Run Standby Amount QSE Total per QSE</w:t>
            </w:r>
            <w:r w:rsidRPr="0013396E">
              <w:sym w:font="Symbol" w:char="F0BE"/>
            </w:r>
            <w:r w:rsidRPr="0013396E">
              <w:t xml:space="preserve">The total of the Standby Payments to QSE </w:t>
            </w:r>
            <w:r w:rsidRPr="0013396E">
              <w:rPr>
                <w:i/>
              </w:rPr>
              <w:t>q</w:t>
            </w:r>
            <w:r w:rsidRPr="0013396E">
              <w:t xml:space="preserve"> for the RMR Units represented by the same QSE for the hour.</w:t>
            </w:r>
          </w:p>
        </w:tc>
      </w:tr>
      <w:tr w:rsidR="001F04FD" w:rsidRPr="0013396E" w14:paraId="0ED4DCAB" w14:textId="77777777" w:rsidTr="00AC4DEE">
        <w:trPr>
          <w:cantSplit/>
        </w:trPr>
        <w:tc>
          <w:tcPr>
            <w:tcW w:w="1358" w:type="pct"/>
          </w:tcPr>
          <w:p w14:paraId="7D3DA08A" w14:textId="77777777" w:rsidR="001F04FD" w:rsidRPr="0013396E" w:rsidRDefault="001F04FD" w:rsidP="00AC4DEE">
            <w:pPr>
              <w:pStyle w:val="TableBody"/>
            </w:pPr>
            <w:r w:rsidRPr="0013396E">
              <w:t xml:space="preserve">RMREAMTQSETOT </w:t>
            </w:r>
            <w:r w:rsidRPr="0013396E">
              <w:rPr>
                <w:i/>
                <w:vertAlign w:val="subscript"/>
              </w:rPr>
              <w:t>q</w:t>
            </w:r>
          </w:p>
        </w:tc>
        <w:tc>
          <w:tcPr>
            <w:tcW w:w="465" w:type="pct"/>
          </w:tcPr>
          <w:p w14:paraId="4044D501" w14:textId="77777777" w:rsidR="001F04FD" w:rsidRPr="0013396E" w:rsidRDefault="001F04FD" w:rsidP="00AC4DEE">
            <w:pPr>
              <w:pStyle w:val="TableBody"/>
            </w:pPr>
            <w:r w:rsidRPr="0013396E">
              <w:t>$</w:t>
            </w:r>
          </w:p>
        </w:tc>
        <w:tc>
          <w:tcPr>
            <w:tcW w:w="3177" w:type="pct"/>
          </w:tcPr>
          <w:p w14:paraId="2BAC5F68" w14:textId="77777777" w:rsidR="001F04FD" w:rsidRPr="0013396E" w:rsidRDefault="001F04FD" w:rsidP="00AC4DEE">
            <w:pPr>
              <w:pStyle w:val="TableBody"/>
            </w:pPr>
            <w:r w:rsidRPr="0013396E">
              <w:rPr>
                <w:i/>
              </w:rPr>
              <w:t>Reliability Must-Run Energy Amount QSE Total per QSE</w:t>
            </w:r>
            <w:r w:rsidRPr="0013396E">
              <w:sym w:font="Symbol" w:char="F0BE"/>
            </w:r>
            <w:r w:rsidRPr="0013396E">
              <w:t xml:space="preserve">The total of the energy payments to QSE </w:t>
            </w:r>
            <w:r w:rsidRPr="0013396E">
              <w:rPr>
                <w:i/>
              </w:rPr>
              <w:t>q</w:t>
            </w:r>
            <w:r w:rsidRPr="0013396E">
              <w:t xml:space="preserve"> for the RMR Units represented by the same QSE for the hour.</w:t>
            </w:r>
          </w:p>
        </w:tc>
      </w:tr>
      <w:tr w:rsidR="001F04FD" w:rsidRPr="0013396E" w14:paraId="5F15DC64" w14:textId="77777777" w:rsidTr="00AC4DEE">
        <w:trPr>
          <w:cantSplit/>
        </w:trPr>
        <w:tc>
          <w:tcPr>
            <w:tcW w:w="1358" w:type="pct"/>
          </w:tcPr>
          <w:p w14:paraId="17225554" w14:textId="77777777" w:rsidR="001F04FD" w:rsidRPr="0013396E" w:rsidRDefault="001F04FD" w:rsidP="00AC4DEE">
            <w:pPr>
              <w:pStyle w:val="TableBody"/>
            </w:pPr>
            <w:r w:rsidRPr="0013396E">
              <w:t xml:space="preserve">RMRAAMT </w:t>
            </w:r>
            <w:r w:rsidRPr="0013396E">
              <w:rPr>
                <w:i/>
                <w:vertAlign w:val="subscript"/>
              </w:rPr>
              <w:t>q</w:t>
            </w:r>
          </w:p>
        </w:tc>
        <w:tc>
          <w:tcPr>
            <w:tcW w:w="465" w:type="pct"/>
          </w:tcPr>
          <w:p w14:paraId="1B303CC0" w14:textId="77777777" w:rsidR="001F04FD" w:rsidRPr="0013396E" w:rsidRDefault="001F04FD" w:rsidP="00AC4DEE">
            <w:pPr>
              <w:pStyle w:val="TableBody"/>
            </w:pPr>
            <w:r w:rsidRPr="0013396E">
              <w:t>$</w:t>
            </w:r>
          </w:p>
        </w:tc>
        <w:tc>
          <w:tcPr>
            <w:tcW w:w="3177" w:type="pct"/>
          </w:tcPr>
          <w:p w14:paraId="2497654C" w14:textId="77777777" w:rsidR="001F04FD" w:rsidRPr="0013396E" w:rsidRDefault="001F04FD" w:rsidP="00AC4DEE">
            <w:pPr>
              <w:pStyle w:val="TableBody"/>
              <w:rPr>
                <w:i/>
              </w:rPr>
            </w:pPr>
            <w:r w:rsidRPr="0013396E">
              <w:rPr>
                <w:i/>
              </w:rPr>
              <w:t>RMR Adjusted Amount per QSE</w:t>
            </w:r>
            <w:r w:rsidRPr="0013396E">
              <w:t xml:space="preserve">—The adjustment from QSE </w:t>
            </w:r>
            <w:r w:rsidRPr="0013396E">
              <w:rPr>
                <w:i/>
              </w:rPr>
              <w:t>q</w:t>
            </w:r>
            <w:r w:rsidRPr="0013396E">
              <w:t xml:space="preserve"> Standby Payments and energy payments for all RMR Units represented by this QSE, for the revenues received for the same RMR Units from RUC and Real-Time operations, for the hour.</w:t>
            </w:r>
          </w:p>
        </w:tc>
      </w:tr>
      <w:tr w:rsidR="001F04FD" w:rsidRPr="0013396E" w14:paraId="26A17FA9" w14:textId="77777777" w:rsidTr="00AC4DEE">
        <w:trPr>
          <w:cantSplit/>
        </w:trPr>
        <w:tc>
          <w:tcPr>
            <w:tcW w:w="1358" w:type="pct"/>
          </w:tcPr>
          <w:p w14:paraId="64B4C29D" w14:textId="77777777" w:rsidR="001F04FD" w:rsidRPr="0013396E" w:rsidRDefault="001F04FD" w:rsidP="00AC4DEE">
            <w:pPr>
              <w:pStyle w:val="TableBody"/>
            </w:pPr>
            <w:r w:rsidRPr="0013396E">
              <w:t>RMRNPAMTQSETOT</w:t>
            </w:r>
            <w:r w:rsidRPr="0013396E">
              <w:rPr>
                <w:i/>
              </w:rPr>
              <w:t xml:space="preserve"> </w:t>
            </w:r>
            <w:r w:rsidRPr="0013396E">
              <w:rPr>
                <w:i/>
                <w:vertAlign w:val="subscript"/>
              </w:rPr>
              <w:t>q</w:t>
            </w:r>
          </w:p>
        </w:tc>
        <w:tc>
          <w:tcPr>
            <w:tcW w:w="465" w:type="pct"/>
          </w:tcPr>
          <w:p w14:paraId="059AFC85" w14:textId="77777777" w:rsidR="001F04FD" w:rsidRPr="0013396E" w:rsidRDefault="001F04FD" w:rsidP="00AC4DEE">
            <w:pPr>
              <w:pStyle w:val="TableBody"/>
            </w:pPr>
            <w:r w:rsidRPr="0013396E">
              <w:t>$</w:t>
            </w:r>
          </w:p>
        </w:tc>
        <w:tc>
          <w:tcPr>
            <w:tcW w:w="3177" w:type="pct"/>
          </w:tcPr>
          <w:p w14:paraId="25D63AFB" w14:textId="77777777" w:rsidR="001F04FD" w:rsidRPr="0013396E" w:rsidRDefault="001F04FD" w:rsidP="00AC4DEE">
            <w:pPr>
              <w:pStyle w:val="TableBody"/>
            </w:pPr>
            <w:r w:rsidRPr="0013396E">
              <w:rPr>
                <w:i/>
              </w:rPr>
              <w:t>Reliability Must-Run Unexcused Misconduct Amount QSE Total per QSE</w:t>
            </w:r>
            <w:r w:rsidRPr="0013396E">
              <w:sym w:font="Symbol" w:char="F0BE"/>
            </w:r>
            <w:r w:rsidRPr="0013396E">
              <w:t xml:space="preserve">The total of the charges to QSE </w:t>
            </w:r>
            <w:r w:rsidRPr="0013396E">
              <w:rPr>
                <w:i/>
              </w:rPr>
              <w:t>q</w:t>
            </w:r>
            <w:r w:rsidRPr="0013396E">
              <w:t xml:space="preserve"> for unexcused Misconduct Events of the RMR Units represented by the same QSE for the Operating Day.</w:t>
            </w:r>
          </w:p>
        </w:tc>
      </w:tr>
      <w:tr w:rsidR="001F04FD" w:rsidRPr="0013396E" w14:paraId="1F8D6D8D" w14:textId="77777777" w:rsidTr="00AC4DEE">
        <w:trPr>
          <w:cantSplit/>
        </w:trPr>
        <w:tc>
          <w:tcPr>
            <w:tcW w:w="1358" w:type="pct"/>
          </w:tcPr>
          <w:p w14:paraId="1CAB2D05" w14:textId="77777777" w:rsidR="001F04FD" w:rsidRPr="0013396E" w:rsidRDefault="001F04FD" w:rsidP="00AC4DEE">
            <w:pPr>
              <w:pStyle w:val="TableBody"/>
              <w:rPr>
                <w:i/>
              </w:rPr>
            </w:pPr>
            <w:r w:rsidRPr="0013396E">
              <w:rPr>
                <w:i/>
              </w:rPr>
              <w:t>q</w:t>
            </w:r>
          </w:p>
        </w:tc>
        <w:tc>
          <w:tcPr>
            <w:tcW w:w="465" w:type="pct"/>
          </w:tcPr>
          <w:p w14:paraId="6DEADC40" w14:textId="77777777" w:rsidR="001F04FD" w:rsidRPr="0013396E" w:rsidRDefault="001F04FD" w:rsidP="00AC4DEE">
            <w:pPr>
              <w:pStyle w:val="TableBody"/>
            </w:pPr>
            <w:r w:rsidRPr="0013396E">
              <w:t>none</w:t>
            </w:r>
          </w:p>
        </w:tc>
        <w:tc>
          <w:tcPr>
            <w:tcW w:w="3177" w:type="pct"/>
          </w:tcPr>
          <w:p w14:paraId="66106F5F" w14:textId="77777777" w:rsidR="001F04FD" w:rsidRPr="0013396E" w:rsidRDefault="001F04FD" w:rsidP="00AC4DEE">
            <w:pPr>
              <w:pStyle w:val="TableBody"/>
              <w:rPr>
                <w:i/>
              </w:rPr>
            </w:pPr>
            <w:r w:rsidRPr="0013396E">
              <w:t>A QSE.</w:t>
            </w:r>
          </w:p>
        </w:tc>
      </w:tr>
      <w:tr w:rsidR="001F04FD" w:rsidRPr="0013396E" w14:paraId="0399A3D8" w14:textId="77777777" w:rsidTr="00AC4DEE">
        <w:trPr>
          <w:cantSplit/>
        </w:trPr>
        <w:tc>
          <w:tcPr>
            <w:tcW w:w="1358" w:type="pct"/>
          </w:tcPr>
          <w:p w14:paraId="0FB06C21" w14:textId="77777777" w:rsidR="001F04FD" w:rsidRPr="0013396E" w:rsidRDefault="001F04FD" w:rsidP="00AC4DEE">
            <w:pPr>
              <w:pStyle w:val="TableBody"/>
            </w:pPr>
            <w:r w:rsidRPr="0013396E">
              <w:t>H</w:t>
            </w:r>
          </w:p>
        </w:tc>
        <w:tc>
          <w:tcPr>
            <w:tcW w:w="465" w:type="pct"/>
          </w:tcPr>
          <w:p w14:paraId="7E30E069" w14:textId="77777777" w:rsidR="001F04FD" w:rsidRPr="0013396E" w:rsidRDefault="001F04FD" w:rsidP="00AC4DEE">
            <w:pPr>
              <w:pStyle w:val="TableBody"/>
            </w:pPr>
            <w:r w:rsidRPr="0013396E">
              <w:t>none</w:t>
            </w:r>
          </w:p>
        </w:tc>
        <w:tc>
          <w:tcPr>
            <w:tcW w:w="3177" w:type="pct"/>
          </w:tcPr>
          <w:p w14:paraId="341E25B7" w14:textId="77777777" w:rsidR="001F04FD" w:rsidRPr="0013396E" w:rsidRDefault="001F04FD" w:rsidP="00AC4DEE">
            <w:pPr>
              <w:pStyle w:val="TableBody"/>
            </w:pPr>
            <w:r w:rsidRPr="0013396E">
              <w:t>The number of hours of the Operating Day.</w:t>
            </w:r>
          </w:p>
        </w:tc>
      </w:tr>
    </w:tbl>
    <w:p w14:paraId="382F3816" w14:textId="77777777" w:rsidR="001F04FD" w:rsidRPr="0013396E" w:rsidRDefault="001F04FD" w:rsidP="001F04FD">
      <w:pPr>
        <w:pStyle w:val="H4"/>
        <w:spacing w:before="480"/>
        <w:ind w:left="1267" w:hanging="1267"/>
        <w:rPr>
          <w:szCs w:val="24"/>
        </w:rPr>
      </w:pPr>
      <w:bookmarkStart w:id="1990" w:name="_Toc463262801"/>
      <w:bookmarkStart w:id="1991" w:name="_Toc468286874"/>
      <w:bookmarkStart w:id="1992" w:name="_Toc481502914"/>
      <w:bookmarkStart w:id="1993" w:name="_Toc496080082"/>
      <w:bookmarkStart w:id="1994" w:name="_Toc236220210"/>
      <w:bookmarkStart w:id="1995" w:name="_Toc397505032"/>
      <w:bookmarkStart w:id="1996" w:name="_Toc402357164"/>
      <w:bookmarkStart w:id="1997" w:name="_Toc422486544"/>
      <w:bookmarkStart w:id="1998" w:name="_Toc433093397"/>
      <w:bookmarkStart w:id="1999" w:name="_Toc433093555"/>
      <w:bookmarkStart w:id="2000" w:name="_Toc440874785"/>
      <w:bookmarkStart w:id="2001" w:name="_Toc448142342"/>
      <w:bookmarkStart w:id="2002" w:name="_Toc448142499"/>
      <w:bookmarkStart w:id="2003" w:name="_Toc458770340"/>
      <w:bookmarkStart w:id="2004" w:name="_Toc459294308"/>
      <w:r w:rsidRPr="0013396E">
        <w:rPr>
          <w:szCs w:val="24"/>
        </w:rPr>
        <w:t>6.6.6.6</w:t>
      </w:r>
      <w:r w:rsidRPr="0013396E">
        <w:rPr>
          <w:szCs w:val="24"/>
        </w:rPr>
        <w:tab/>
      </w:r>
      <w:r w:rsidR="00326E23" w:rsidRPr="0013396E">
        <w:t>Method for Reconciling RMR Actual Eligible Costs, RMR and MRA Contributed Capital Expenditures, and Miscellaneous RMR Incurred Expenses</w:t>
      </w:r>
      <w:bookmarkEnd w:id="1990"/>
      <w:bookmarkEnd w:id="1991"/>
      <w:bookmarkEnd w:id="1992"/>
      <w:bookmarkEnd w:id="1993"/>
      <w:bookmarkEnd w:id="1994"/>
    </w:p>
    <w:p w14:paraId="06877AB0" w14:textId="10E7E7B5" w:rsidR="00326E23" w:rsidRPr="0013396E" w:rsidRDefault="00326E23" w:rsidP="00326E23">
      <w:pPr>
        <w:spacing w:after="240"/>
        <w:ind w:left="720" w:hanging="720"/>
      </w:pPr>
      <w:r w:rsidRPr="0013396E">
        <w:rPr>
          <w:bCs/>
        </w:rPr>
        <w:t>(1)</w:t>
      </w:r>
      <w:r w:rsidRPr="0013396E">
        <w:rPr>
          <w:bCs/>
        </w:rPr>
        <w:tab/>
      </w:r>
      <w:r w:rsidRPr="0013396E">
        <w:rPr>
          <w:bCs/>
          <w:iCs/>
        </w:rPr>
        <w:t xml:space="preserve">No later than 30 days after the RTM True-Up Statement is issued for the termination date of the RMR Agreement, ERCOT shall issue a miscellaneous Invoice to charge the </w:t>
      </w:r>
      <w:r w:rsidRPr="0013396E">
        <w:t>QSE</w:t>
      </w:r>
      <w:r w:rsidRPr="0013396E">
        <w:rPr>
          <w:bCs/>
          <w:iCs/>
        </w:rPr>
        <w:t xml:space="preserve"> representing the RMR Unit for </w:t>
      </w:r>
      <w:r w:rsidRPr="0013396E">
        <w:rPr>
          <w:bCs/>
        </w:rPr>
        <w:t xml:space="preserve">any overpayments to the QSE representing the RMR Unit as described in Section 3.14.1.16, Reconciliation of Actual Eligible Costs, and contributed capital expenditures described in Section 3.14.1.19, </w:t>
      </w:r>
      <w:r w:rsidRPr="0013396E">
        <w:t>Charge</w:t>
      </w:r>
      <w:r w:rsidRPr="0013396E">
        <w:rPr>
          <w:bCs/>
        </w:rPr>
        <w:t xml:space="preserve"> for Contributed </w:t>
      </w:r>
      <w:r w:rsidRPr="0013396E">
        <w:rPr>
          <w:bCs/>
        </w:rPr>
        <w:lastRenderedPageBreak/>
        <w:t>Capital Expenditures.  Refunded contributed capital expenditures are prorated evenly and on a monthly basis over the RMR Agreement period before being allocated to Load on an hourly LRS basis.  Refunded overpayments described in Section 3.14.1.16 are allocated directly to the month in which the overpayment occurred before being allocated to Load on an hourly LRS basis.  A separate Invoice will be sent for each RMR Agreement.</w:t>
      </w:r>
    </w:p>
    <w:p w14:paraId="167A6B7C" w14:textId="77777777" w:rsidR="00326E23" w:rsidRPr="0013396E" w:rsidRDefault="00326E23" w:rsidP="00326E23">
      <w:pPr>
        <w:spacing w:after="240"/>
        <w:ind w:left="1440" w:hanging="720"/>
      </w:pPr>
      <w:r w:rsidRPr="0013396E">
        <w:t>(a)</w:t>
      </w:r>
      <w:r w:rsidRPr="0013396E">
        <w:tab/>
        <w:t xml:space="preserve">The one-time charge to the QSE to collect the lump sum of over-payments and contributed capital </w:t>
      </w:r>
      <w:r w:rsidRPr="0013396E">
        <w:rPr>
          <w:iCs/>
        </w:rPr>
        <w:t>expenditures</w:t>
      </w:r>
      <w:r w:rsidRPr="0013396E">
        <w:t xml:space="preserve"> is calculated as follows:</w:t>
      </w:r>
    </w:p>
    <w:p w14:paraId="717A3AB4" w14:textId="4AC3CE37" w:rsidR="00326E23" w:rsidRPr="0013396E" w:rsidRDefault="00326E23" w:rsidP="00326E23">
      <w:pPr>
        <w:spacing w:after="240"/>
        <w:ind w:left="1440" w:hanging="720"/>
        <w:rPr>
          <w:i/>
          <w:vertAlign w:val="subscript"/>
        </w:rPr>
      </w:pPr>
      <w:r w:rsidRPr="0013396E">
        <w:tab/>
        <w:t xml:space="preserve">RMRRAMT </w:t>
      </w:r>
      <w:r w:rsidRPr="0013396E">
        <w:rPr>
          <w:i/>
          <w:vertAlign w:val="subscript"/>
        </w:rPr>
        <w:t xml:space="preserve">q, r, c   </w:t>
      </w:r>
      <w:r w:rsidRPr="0013396E">
        <w:rPr>
          <w:lang w:val="pt-BR"/>
        </w:rPr>
        <w:t xml:space="preserve">= RMRCE </w:t>
      </w:r>
      <w:r w:rsidRPr="0013396E">
        <w:rPr>
          <w:i/>
          <w:vertAlign w:val="subscript"/>
          <w:lang w:val="pt-BR"/>
        </w:rPr>
        <w:t xml:space="preserve">q, r, c </w:t>
      </w:r>
      <w:r w:rsidRPr="0013396E">
        <w:rPr>
          <w:lang w:val="pt-BR"/>
        </w:rPr>
        <w:t xml:space="preserve">+ </w:t>
      </w:r>
      <w:r w:rsidR="00A94020" w:rsidRPr="0013396E">
        <w:rPr>
          <w:noProof/>
          <w:position w:val="-28"/>
        </w:rPr>
        <w:drawing>
          <wp:inline distT="0" distB="0" distL="0" distR="0" wp14:anchorId="57D04FEE" wp14:editId="7C044479">
            <wp:extent cx="276225" cy="4572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pic:spPr>
                </pic:pic>
              </a:graphicData>
            </a:graphic>
          </wp:inline>
        </w:drawing>
      </w:r>
      <w:r w:rsidRPr="0013396E">
        <w:rPr>
          <w:lang w:val="pt-BR"/>
        </w:rPr>
        <w:t xml:space="preserve">RMROP </w:t>
      </w:r>
      <w:r w:rsidRPr="0013396E">
        <w:rPr>
          <w:i/>
          <w:vertAlign w:val="subscript"/>
          <w:lang w:val="pt-BR"/>
        </w:rPr>
        <w:t>q, r, c, m</w:t>
      </w:r>
    </w:p>
    <w:p w14:paraId="792AF03E" w14:textId="77777777" w:rsidR="00326E23" w:rsidRPr="0013396E" w:rsidRDefault="00326E23" w:rsidP="00326E23">
      <w:pPr>
        <w:spacing w:after="240"/>
        <w:ind w:left="1440" w:hanging="720"/>
      </w:pPr>
      <w:r w:rsidRPr="0013396E">
        <w:t>(b)</w:t>
      </w:r>
      <w:r w:rsidRPr="0013396E">
        <w:tab/>
        <w:t>The one-</w:t>
      </w:r>
      <w:r w:rsidRPr="0013396E">
        <w:rPr>
          <w:iCs/>
        </w:rPr>
        <w:t>time</w:t>
      </w:r>
      <w:r w:rsidRPr="0013396E">
        <w:t xml:space="preserve"> payment is calculated as follows:</w:t>
      </w:r>
    </w:p>
    <w:p w14:paraId="7F4F673E" w14:textId="5D6F051D" w:rsidR="00326E23" w:rsidRPr="0013396E" w:rsidRDefault="00326E23" w:rsidP="00326E23">
      <w:pPr>
        <w:ind w:left="2160" w:hanging="720"/>
        <w:rPr>
          <w:lang w:val="pt-BR"/>
        </w:rPr>
      </w:pPr>
      <w:r w:rsidRPr="0013396E">
        <w:t>LARMRRAMT</w:t>
      </w:r>
      <w:r w:rsidRPr="0013396E">
        <w:rPr>
          <w:i/>
          <w:vertAlign w:val="subscript"/>
        </w:rPr>
        <w:t xml:space="preserve"> q</w:t>
      </w:r>
      <w:r w:rsidRPr="0013396E">
        <w:t xml:space="preserve">  =   (-1) * </w:t>
      </w:r>
      <w:r w:rsidR="00A94020" w:rsidRPr="0013396E">
        <w:rPr>
          <w:noProof/>
          <w:position w:val="-28"/>
        </w:rPr>
        <w:drawing>
          <wp:inline distT="0" distB="0" distL="0" distR="0" wp14:anchorId="6D975485" wp14:editId="17CAE2E4">
            <wp:extent cx="276225" cy="4572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pic:spPr>
                </pic:pic>
              </a:graphicData>
            </a:graphic>
          </wp:inline>
        </w:drawing>
      </w:r>
      <w:r w:rsidRPr="0013396E">
        <w:t xml:space="preserve"> (</w:t>
      </w:r>
      <w:r w:rsidRPr="0013396E">
        <w:rPr>
          <w:lang w:val="pt-BR"/>
        </w:rPr>
        <w:t xml:space="preserve">MRMRCE </w:t>
      </w:r>
      <w:r w:rsidRPr="0013396E">
        <w:rPr>
          <w:i/>
          <w:vertAlign w:val="subscript"/>
        </w:rPr>
        <w:t xml:space="preserve">m </w:t>
      </w:r>
      <w:r w:rsidRPr="0013396E">
        <w:rPr>
          <w:i/>
        </w:rPr>
        <w:t>+</w:t>
      </w:r>
      <w:r w:rsidRPr="0013396E">
        <w:rPr>
          <w:lang w:val="pt-BR"/>
        </w:rPr>
        <w:t xml:space="preserve"> RMROP</w:t>
      </w:r>
      <w:r w:rsidRPr="0013396E">
        <w:rPr>
          <w:i/>
          <w:vertAlign w:val="subscript"/>
        </w:rPr>
        <w:t xml:space="preserve"> q, r, c, m</w:t>
      </w:r>
      <w:r w:rsidRPr="0013396E">
        <w:rPr>
          <w:lang w:val="pt-BR"/>
        </w:rPr>
        <w:t>)</w:t>
      </w:r>
      <w:r w:rsidRPr="0013396E">
        <w:rPr>
          <w:i/>
          <w:vertAlign w:val="subscript"/>
        </w:rPr>
        <w:t xml:space="preserve"> </w:t>
      </w:r>
      <w:r w:rsidRPr="0013396E">
        <w:rPr>
          <w:lang w:val="pt-BR"/>
        </w:rPr>
        <w:t xml:space="preserve">/ MH </w:t>
      </w:r>
      <w:r w:rsidRPr="0013396E">
        <w:rPr>
          <w:i/>
          <w:vertAlign w:val="subscript"/>
        </w:rPr>
        <w:t>m</w:t>
      </w:r>
      <w:r w:rsidRPr="0013396E">
        <w:rPr>
          <w:lang w:val="pt-BR"/>
        </w:rPr>
        <w:t xml:space="preserve"> * </w:t>
      </w:r>
    </w:p>
    <w:p w14:paraId="2438A4F2" w14:textId="77777777" w:rsidR="00326E23" w:rsidRPr="0013396E" w:rsidRDefault="00326E23" w:rsidP="00326E23">
      <w:pPr>
        <w:spacing w:after="240"/>
        <w:ind w:left="2160" w:hanging="720"/>
        <w:rPr>
          <w:i/>
          <w:vertAlign w:val="subscript"/>
        </w:rPr>
      </w:pPr>
      <w:r w:rsidRPr="0013396E">
        <w:tab/>
      </w:r>
      <w:r w:rsidRPr="0013396E">
        <w:tab/>
      </w:r>
      <w:r w:rsidRPr="0013396E">
        <w:tab/>
      </w:r>
      <w:r w:rsidRPr="0013396E">
        <w:rPr>
          <w:lang w:val="pt-BR"/>
        </w:rPr>
        <w:t>HLRS</w:t>
      </w:r>
      <w:r w:rsidRPr="0013396E">
        <w:rPr>
          <w:i/>
          <w:vertAlign w:val="subscript"/>
        </w:rPr>
        <w:t xml:space="preserve"> q, m</w:t>
      </w:r>
    </w:p>
    <w:p w14:paraId="2C1C8F4A" w14:textId="77777777" w:rsidR="00326E23" w:rsidRPr="0013396E" w:rsidRDefault="00326E23" w:rsidP="00326E23">
      <w:pPr>
        <w:spacing w:after="240"/>
        <w:ind w:left="720" w:firstLine="720"/>
        <w:rPr>
          <w:i/>
          <w:vertAlign w:val="subscript"/>
        </w:rPr>
      </w:pPr>
      <w:r w:rsidRPr="0013396E">
        <w:t xml:space="preserve">Where: </w:t>
      </w:r>
    </w:p>
    <w:p w14:paraId="5EB1C646" w14:textId="31D9DBA4" w:rsidR="00326E23" w:rsidRPr="0013396E" w:rsidRDefault="00326E23" w:rsidP="00326E23">
      <w:pPr>
        <w:spacing w:after="240"/>
        <w:ind w:left="1440"/>
        <w:rPr>
          <w:i/>
          <w:vertAlign w:val="subscript"/>
        </w:rPr>
      </w:pPr>
      <w:r w:rsidRPr="0013396E" w:rsidDel="005E3B3E">
        <w:rPr>
          <w:lang w:val="pt-BR"/>
        </w:rPr>
        <w:t>M</w:t>
      </w:r>
      <w:r w:rsidRPr="0013396E">
        <w:rPr>
          <w:lang w:val="pt-BR"/>
        </w:rPr>
        <w:t>RMRCE</w:t>
      </w:r>
      <w:r w:rsidRPr="0013396E">
        <w:rPr>
          <w:i/>
          <w:vertAlign w:val="subscript"/>
        </w:rPr>
        <w:t xml:space="preserve"> m</w:t>
      </w:r>
      <w:r w:rsidRPr="0013396E">
        <w:rPr>
          <w:lang w:val="pt-BR"/>
        </w:rPr>
        <w:t xml:space="preserve">   =    </w:t>
      </w:r>
      <w:r w:rsidR="00A94020" w:rsidRPr="0013396E">
        <w:rPr>
          <w:noProof/>
          <w:position w:val="-30"/>
        </w:rPr>
        <w:drawing>
          <wp:inline distT="0" distB="0" distL="0" distR="0" wp14:anchorId="61926435" wp14:editId="4AD393CC">
            <wp:extent cx="276225" cy="457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pic:spPr>
                </pic:pic>
              </a:graphicData>
            </a:graphic>
          </wp:inline>
        </w:drawing>
      </w:r>
      <w:r w:rsidR="00A94020" w:rsidRPr="0013396E">
        <w:rPr>
          <w:noProof/>
          <w:position w:val="-28"/>
        </w:rPr>
        <w:drawing>
          <wp:inline distT="0" distB="0" distL="0" distR="0" wp14:anchorId="481B22B0" wp14:editId="7A1DC1B1">
            <wp:extent cx="276225" cy="457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pic:spPr>
                </pic:pic>
              </a:graphicData>
            </a:graphic>
          </wp:inline>
        </w:drawing>
      </w:r>
      <w:r w:rsidRPr="0013396E">
        <w:rPr>
          <w:lang w:val="pt-BR"/>
        </w:rPr>
        <w:t>RMRCE</w:t>
      </w:r>
      <w:r w:rsidRPr="0013396E">
        <w:rPr>
          <w:i/>
          <w:vertAlign w:val="subscript"/>
        </w:rPr>
        <w:t xml:space="preserve"> q, r, c</w:t>
      </w:r>
      <w:r w:rsidRPr="0013396E">
        <w:rPr>
          <w:lang w:val="pt-BR"/>
        </w:rPr>
        <w:t xml:space="preserve"> / CM</w:t>
      </w:r>
      <w:r w:rsidRPr="0013396E">
        <w:rPr>
          <w:i/>
          <w:vertAlign w:val="subscript"/>
        </w:rPr>
        <w:t xml:space="preserve"> q, r, c</w:t>
      </w:r>
    </w:p>
    <w:p w14:paraId="651054B4" w14:textId="77777777" w:rsidR="00326E23" w:rsidRPr="0013396E" w:rsidRDefault="00326E23" w:rsidP="00326E23">
      <w:pPr>
        <w:spacing w:after="240"/>
        <w:ind w:left="1440"/>
      </w:pPr>
      <w:r w:rsidRPr="0013396E">
        <w:t xml:space="preserve">The HLRS used will be the HLRS for each day within the contracted month </w:t>
      </w:r>
      <w:r w:rsidRPr="0013396E">
        <w:rPr>
          <w:i/>
        </w:rPr>
        <w:t>m</w:t>
      </w:r>
      <w:r w:rsidRPr="0013396E">
        <w:t>.  The most recent approved HLRS available at time the miscellaneous Invoice is posted will be used.  The miscellaneous Invoice will not be re-calculated with subsequent Settlement runs unless required by a dispute or Alternative Dispute Resolution (ADR).  If a dispute or ADR requires ERCOT to re-issue the miscellaneous Invoice, the most recent approved HLRS values will be used.</w:t>
      </w:r>
    </w:p>
    <w:p w14:paraId="3E8E5F19" w14:textId="77777777" w:rsidR="00326E23" w:rsidRPr="0013396E" w:rsidRDefault="00326E23" w:rsidP="00326E23">
      <w:pPr>
        <w:spacing w:after="240"/>
        <w:ind w:left="1440" w:hanging="720"/>
      </w:pPr>
      <w:r w:rsidRPr="0013396E">
        <w:t xml:space="preserve">(c) </w:t>
      </w:r>
      <w:r w:rsidRPr="0013396E">
        <w:tab/>
        <w:t>Upon issuance of the miscellaneous Invoice, ERCOT shall issue a Market Notice containing the values of RMROP, RMRCE, and the Settlement run containing the HLRS that was used in the Settlement.</w:t>
      </w:r>
    </w:p>
    <w:p w14:paraId="76E31686" w14:textId="77777777" w:rsidR="00326E23" w:rsidRPr="0013396E" w:rsidRDefault="00326E23" w:rsidP="00326E23">
      <w:pPr>
        <w:tabs>
          <w:tab w:val="left" w:pos="2250"/>
          <w:tab w:val="left" w:pos="3150"/>
          <w:tab w:val="left" w:pos="3960"/>
        </w:tabs>
      </w:pPr>
      <w:r w:rsidRPr="0013396E">
        <w:t>The above variables are defined as follows:</w:t>
      </w:r>
    </w:p>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56"/>
        <w:gridCol w:w="898"/>
        <w:gridCol w:w="6121"/>
      </w:tblGrid>
      <w:tr w:rsidR="00326E23" w:rsidRPr="0013396E" w14:paraId="22CA5B0D" w14:textId="77777777" w:rsidTr="009B2773">
        <w:tc>
          <w:tcPr>
            <w:tcW w:w="1296" w:type="pct"/>
          </w:tcPr>
          <w:p w14:paraId="00E407B9" w14:textId="77777777" w:rsidR="00326E23" w:rsidRPr="0013396E" w:rsidRDefault="00326E23" w:rsidP="009B2773">
            <w:pPr>
              <w:spacing w:after="240"/>
              <w:rPr>
                <w:b/>
                <w:iCs/>
                <w:sz w:val="20"/>
              </w:rPr>
            </w:pPr>
            <w:r w:rsidRPr="0013396E">
              <w:rPr>
                <w:b/>
                <w:iCs/>
                <w:sz w:val="20"/>
              </w:rPr>
              <w:t>Variable</w:t>
            </w:r>
          </w:p>
        </w:tc>
        <w:tc>
          <w:tcPr>
            <w:tcW w:w="474" w:type="pct"/>
          </w:tcPr>
          <w:p w14:paraId="4708ED31" w14:textId="77777777" w:rsidR="00326E23" w:rsidRPr="0013396E" w:rsidRDefault="00326E23" w:rsidP="009B2773">
            <w:pPr>
              <w:spacing w:after="240"/>
              <w:rPr>
                <w:b/>
                <w:iCs/>
                <w:sz w:val="20"/>
              </w:rPr>
            </w:pPr>
            <w:r w:rsidRPr="0013396E">
              <w:rPr>
                <w:b/>
                <w:iCs/>
                <w:sz w:val="20"/>
              </w:rPr>
              <w:t>Unit</w:t>
            </w:r>
          </w:p>
        </w:tc>
        <w:tc>
          <w:tcPr>
            <w:tcW w:w="3230" w:type="pct"/>
          </w:tcPr>
          <w:p w14:paraId="3C80585A" w14:textId="77777777" w:rsidR="00326E23" w:rsidRPr="0013396E" w:rsidRDefault="00326E23" w:rsidP="009B2773">
            <w:pPr>
              <w:spacing w:after="240"/>
              <w:rPr>
                <w:b/>
                <w:iCs/>
                <w:sz w:val="20"/>
              </w:rPr>
            </w:pPr>
            <w:r w:rsidRPr="0013396E">
              <w:rPr>
                <w:b/>
                <w:iCs/>
                <w:sz w:val="20"/>
              </w:rPr>
              <w:t>Description</w:t>
            </w:r>
          </w:p>
        </w:tc>
      </w:tr>
      <w:tr w:rsidR="00326E23" w:rsidRPr="0013396E" w14:paraId="2DA40A2B" w14:textId="77777777" w:rsidTr="009B2773">
        <w:tc>
          <w:tcPr>
            <w:tcW w:w="1296" w:type="pct"/>
          </w:tcPr>
          <w:p w14:paraId="4813B9D8" w14:textId="77777777" w:rsidR="00326E23" w:rsidRPr="0013396E" w:rsidRDefault="00326E23" w:rsidP="009B2773">
            <w:pPr>
              <w:spacing w:after="240"/>
              <w:rPr>
                <w:b/>
                <w:iCs/>
                <w:sz w:val="20"/>
              </w:rPr>
            </w:pPr>
            <w:r w:rsidRPr="0013396E">
              <w:rPr>
                <w:iCs/>
                <w:sz w:val="20"/>
                <w:lang w:val="pt-BR"/>
              </w:rPr>
              <w:t>RMRRAMT</w:t>
            </w:r>
            <w:r w:rsidRPr="0013396E">
              <w:rPr>
                <w:i/>
                <w:vertAlign w:val="subscript"/>
              </w:rPr>
              <w:t xml:space="preserve"> </w:t>
            </w:r>
            <w:r w:rsidRPr="0013396E">
              <w:rPr>
                <w:i/>
                <w:iCs/>
                <w:sz w:val="20"/>
                <w:vertAlign w:val="subscript"/>
              </w:rPr>
              <w:t>q, r, c</w:t>
            </w:r>
            <w:r w:rsidRPr="0013396E">
              <w:rPr>
                <w:i/>
                <w:vertAlign w:val="subscript"/>
              </w:rPr>
              <w:t xml:space="preserve">  </w:t>
            </w:r>
          </w:p>
        </w:tc>
        <w:tc>
          <w:tcPr>
            <w:tcW w:w="474" w:type="pct"/>
          </w:tcPr>
          <w:p w14:paraId="37CD6F2F" w14:textId="77777777" w:rsidR="00326E23" w:rsidRPr="0013396E" w:rsidRDefault="00326E23" w:rsidP="009B2773">
            <w:pPr>
              <w:spacing w:after="240"/>
              <w:rPr>
                <w:b/>
                <w:iCs/>
                <w:sz w:val="20"/>
              </w:rPr>
            </w:pPr>
            <w:r w:rsidRPr="0013396E">
              <w:rPr>
                <w:b/>
                <w:iCs/>
                <w:sz w:val="20"/>
              </w:rPr>
              <w:t>$</w:t>
            </w:r>
          </w:p>
        </w:tc>
        <w:tc>
          <w:tcPr>
            <w:tcW w:w="3230" w:type="pct"/>
          </w:tcPr>
          <w:p w14:paraId="5F2F1E23" w14:textId="77777777" w:rsidR="00326E23" w:rsidRPr="0013396E" w:rsidRDefault="00326E23" w:rsidP="009B2773">
            <w:pPr>
              <w:spacing w:after="60"/>
              <w:rPr>
                <w:iCs/>
                <w:sz w:val="20"/>
              </w:rPr>
            </w:pPr>
            <w:r w:rsidRPr="0013396E">
              <w:rPr>
                <w:i/>
                <w:iCs/>
                <w:sz w:val="20"/>
              </w:rPr>
              <w:t>Reliability Must-Run Reconciled Amount –</w:t>
            </w:r>
            <w:r w:rsidRPr="0013396E">
              <w:rPr>
                <w:b/>
                <w:iCs/>
                <w:sz w:val="20"/>
              </w:rPr>
              <w:t xml:space="preserve"> </w:t>
            </w:r>
            <w:r w:rsidRPr="0013396E">
              <w:rPr>
                <w:iCs/>
                <w:sz w:val="20"/>
              </w:rPr>
              <w:t xml:space="preserve">The lump sum charge to the QSE </w:t>
            </w:r>
            <w:r w:rsidRPr="0013396E">
              <w:rPr>
                <w:i/>
                <w:iCs/>
                <w:sz w:val="20"/>
              </w:rPr>
              <w:t>q</w:t>
            </w:r>
            <w:r w:rsidRPr="0013396E">
              <w:rPr>
                <w:iCs/>
                <w:sz w:val="20"/>
              </w:rPr>
              <w:t xml:space="preserve"> representing the RMR Unit </w:t>
            </w:r>
            <w:r w:rsidRPr="0013396E">
              <w:rPr>
                <w:i/>
                <w:iCs/>
                <w:sz w:val="20"/>
              </w:rPr>
              <w:t>r</w:t>
            </w:r>
            <w:r w:rsidRPr="0013396E">
              <w:rPr>
                <w:iCs/>
                <w:sz w:val="20"/>
              </w:rPr>
              <w:t xml:space="preserve"> that reconciles any contributed capital expenditure amounts and any over-payments to the QSE during the period of the RMR Agreement </w:t>
            </w:r>
            <w:r w:rsidRPr="0013396E">
              <w:rPr>
                <w:i/>
                <w:iCs/>
                <w:sz w:val="20"/>
              </w:rPr>
              <w:t>c</w:t>
            </w:r>
            <w:r w:rsidRPr="0013396E">
              <w:rPr>
                <w:iCs/>
                <w:sz w:val="20"/>
              </w:rPr>
              <w:t>.</w:t>
            </w:r>
          </w:p>
        </w:tc>
      </w:tr>
      <w:tr w:rsidR="00326E23" w:rsidRPr="0013396E" w14:paraId="4AC4A8D2" w14:textId="77777777" w:rsidTr="009B2773">
        <w:trPr>
          <w:cantSplit/>
          <w:trHeight w:val="692"/>
        </w:trPr>
        <w:tc>
          <w:tcPr>
            <w:tcW w:w="1296" w:type="pct"/>
          </w:tcPr>
          <w:p w14:paraId="0926EB37" w14:textId="77777777" w:rsidR="00326E23" w:rsidRPr="0013396E" w:rsidRDefault="00326E23" w:rsidP="009B2773">
            <w:pPr>
              <w:spacing w:after="60"/>
              <w:rPr>
                <w:iCs/>
                <w:sz w:val="20"/>
              </w:rPr>
            </w:pPr>
            <w:r w:rsidRPr="0013396E">
              <w:rPr>
                <w:iCs/>
                <w:sz w:val="20"/>
                <w:lang w:val="pt-BR"/>
              </w:rPr>
              <w:t>RMRCE</w:t>
            </w:r>
            <w:r w:rsidRPr="0013396E">
              <w:rPr>
                <w:i/>
                <w:iCs/>
                <w:sz w:val="20"/>
                <w:vertAlign w:val="subscript"/>
              </w:rPr>
              <w:t xml:space="preserve"> q, r, c</w:t>
            </w:r>
          </w:p>
        </w:tc>
        <w:tc>
          <w:tcPr>
            <w:tcW w:w="474" w:type="pct"/>
          </w:tcPr>
          <w:p w14:paraId="351A5D6B" w14:textId="77777777" w:rsidR="00326E23" w:rsidRPr="0013396E" w:rsidRDefault="00326E23" w:rsidP="009B2773">
            <w:pPr>
              <w:spacing w:after="60"/>
              <w:rPr>
                <w:iCs/>
                <w:sz w:val="20"/>
              </w:rPr>
            </w:pPr>
            <w:r w:rsidRPr="0013396E">
              <w:rPr>
                <w:iCs/>
                <w:sz w:val="20"/>
              </w:rPr>
              <w:t>$</w:t>
            </w:r>
          </w:p>
        </w:tc>
        <w:tc>
          <w:tcPr>
            <w:tcW w:w="3230" w:type="pct"/>
          </w:tcPr>
          <w:p w14:paraId="4F7EB3CD" w14:textId="77777777" w:rsidR="00326E23" w:rsidRPr="0013396E" w:rsidRDefault="00326E23" w:rsidP="009B2773">
            <w:pPr>
              <w:spacing w:after="60"/>
              <w:rPr>
                <w:iCs/>
                <w:sz w:val="20"/>
              </w:rPr>
            </w:pPr>
            <w:r w:rsidRPr="0013396E">
              <w:rPr>
                <w:i/>
                <w:iCs/>
                <w:sz w:val="20"/>
              </w:rPr>
              <w:t>Reliability Must-Run Capital Expenditure Refund</w:t>
            </w:r>
            <w:r w:rsidRPr="0013396E">
              <w:rPr>
                <w:iCs/>
                <w:sz w:val="20"/>
              </w:rPr>
              <w:t>– The lump sum amount of contributed capital expenditures for the QSE</w:t>
            </w:r>
            <w:r w:rsidRPr="0013396E">
              <w:rPr>
                <w:i/>
                <w:iCs/>
                <w:sz w:val="20"/>
              </w:rPr>
              <w:t xml:space="preserve"> q</w:t>
            </w:r>
            <w:r w:rsidRPr="0013396E">
              <w:rPr>
                <w:iCs/>
                <w:sz w:val="20"/>
              </w:rPr>
              <w:t xml:space="preserve"> representing the RMR Unit </w:t>
            </w:r>
            <w:r w:rsidRPr="0013396E">
              <w:rPr>
                <w:i/>
                <w:iCs/>
                <w:sz w:val="20"/>
              </w:rPr>
              <w:t>r</w:t>
            </w:r>
            <w:r w:rsidRPr="0013396E">
              <w:rPr>
                <w:iCs/>
                <w:sz w:val="20"/>
              </w:rPr>
              <w:t xml:space="preserve"> for the period of the RMR Agreement </w:t>
            </w:r>
            <w:r w:rsidRPr="0013396E">
              <w:rPr>
                <w:i/>
                <w:iCs/>
                <w:sz w:val="20"/>
              </w:rPr>
              <w:t xml:space="preserve">c </w:t>
            </w:r>
            <w:r w:rsidRPr="0013396E">
              <w:rPr>
                <w:iCs/>
                <w:sz w:val="20"/>
              </w:rPr>
              <w:t xml:space="preserve">to be refunded to ERCOT per Section </w:t>
            </w:r>
            <w:r w:rsidRPr="0013396E">
              <w:rPr>
                <w:bCs/>
                <w:iCs/>
                <w:sz w:val="20"/>
              </w:rPr>
              <w:t>3.14.1.19</w:t>
            </w:r>
            <w:r w:rsidRPr="0013396E">
              <w:rPr>
                <w:iCs/>
                <w:sz w:val="20"/>
              </w:rPr>
              <w:t xml:space="preserve">. </w:t>
            </w:r>
          </w:p>
        </w:tc>
      </w:tr>
      <w:tr w:rsidR="00326E23" w:rsidRPr="0013396E" w14:paraId="7292CE64" w14:textId="77777777" w:rsidTr="009B2773">
        <w:trPr>
          <w:cantSplit/>
          <w:trHeight w:val="692"/>
        </w:trPr>
        <w:tc>
          <w:tcPr>
            <w:tcW w:w="1296" w:type="pct"/>
          </w:tcPr>
          <w:p w14:paraId="758D68F6" w14:textId="77777777" w:rsidR="00326E23" w:rsidRPr="0013396E" w:rsidRDefault="00326E23" w:rsidP="009B2773">
            <w:pPr>
              <w:spacing w:after="60"/>
              <w:rPr>
                <w:iCs/>
                <w:sz w:val="20"/>
                <w:lang w:val="pt-BR"/>
              </w:rPr>
            </w:pPr>
            <w:r w:rsidRPr="0013396E">
              <w:rPr>
                <w:iCs/>
                <w:sz w:val="20"/>
                <w:lang w:val="pt-BR"/>
              </w:rPr>
              <w:lastRenderedPageBreak/>
              <w:t xml:space="preserve">RMROP </w:t>
            </w:r>
            <w:r w:rsidRPr="0013396E">
              <w:rPr>
                <w:i/>
                <w:iCs/>
                <w:sz w:val="20"/>
                <w:vertAlign w:val="subscript"/>
              </w:rPr>
              <w:t>q, r, c, m</w:t>
            </w:r>
          </w:p>
        </w:tc>
        <w:tc>
          <w:tcPr>
            <w:tcW w:w="474" w:type="pct"/>
          </w:tcPr>
          <w:p w14:paraId="4D009C0E" w14:textId="77777777" w:rsidR="00326E23" w:rsidRPr="0013396E" w:rsidRDefault="00326E23" w:rsidP="009B2773">
            <w:pPr>
              <w:spacing w:after="60"/>
              <w:rPr>
                <w:iCs/>
                <w:sz w:val="20"/>
              </w:rPr>
            </w:pPr>
            <w:r w:rsidRPr="0013396E">
              <w:rPr>
                <w:iCs/>
                <w:sz w:val="20"/>
              </w:rPr>
              <w:t>$</w:t>
            </w:r>
          </w:p>
        </w:tc>
        <w:tc>
          <w:tcPr>
            <w:tcW w:w="3230" w:type="pct"/>
          </w:tcPr>
          <w:p w14:paraId="2B6F9423" w14:textId="77777777" w:rsidR="00326E23" w:rsidRPr="0013396E" w:rsidRDefault="00326E23" w:rsidP="009B2773">
            <w:pPr>
              <w:spacing w:after="60"/>
              <w:rPr>
                <w:i/>
                <w:iCs/>
                <w:sz w:val="20"/>
              </w:rPr>
            </w:pPr>
            <w:r w:rsidRPr="0013396E">
              <w:rPr>
                <w:i/>
                <w:iCs/>
                <w:sz w:val="20"/>
              </w:rPr>
              <w:t>Reliability Must-Run Over-Payment –</w:t>
            </w:r>
            <w:r w:rsidRPr="0013396E">
              <w:rPr>
                <w:iCs/>
                <w:sz w:val="20"/>
              </w:rPr>
              <w:t xml:space="preserve"> The amount of overpayments to the QSE </w:t>
            </w:r>
            <w:r w:rsidRPr="0013396E">
              <w:rPr>
                <w:i/>
                <w:iCs/>
                <w:sz w:val="20"/>
              </w:rPr>
              <w:t>q</w:t>
            </w:r>
            <w:r w:rsidRPr="0013396E">
              <w:rPr>
                <w:iCs/>
                <w:sz w:val="20"/>
              </w:rPr>
              <w:t xml:space="preserve"> representing the RMR Unit </w:t>
            </w:r>
            <w:r w:rsidRPr="0013396E">
              <w:rPr>
                <w:i/>
                <w:iCs/>
                <w:sz w:val="20"/>
              </w:rPr>
              <w:t>r</w:t>
            </w:r>
            <w:r w:rsidRPr="0013396E">
              <w:rPr>
                <w:iCs/>
                <w:sz w:val="20"/>
              </w:rPr>
              <w:t xml:space="preserve"> for the month </w:t>
            </w:r>
            <w:r w:rsidRPr="0013396E">
              <w:rPr>
                <w:i/>
                <w:iCs/>
                <w:sz w:val="20"/>
              </w:rPr>
              <w:t>m</w:t>
            </w:r>
            <w:r w:rsidRPr="0013396E">
              <w:rPr>
                <w:iCs/>
                <w:sz w:val="20"/>
              </w:rPr>
              <w:t xml:space="preserve"> during the period of the RMR Agreement </w:t>
            </w:r>
            <w:r w:rsidRPr="0013396E">
              <w:rPr>
                <w:i/>
                <w:iCs/>
                <w:sz w:val="20"/>
              </w:rPr>
              <w:t>c</w:t>
            </w:r>
            <w:r w:rsidRPr="0013396E">
              <w:rPr>
                <w:iCs/>
                <w:sz w:val="20"/>
              </w:rPr>
              <w:t xml:space="preserve"> to be refunded to ERCOT per Section 3.14.1.19. This amount cannot be negative.</w:t>
            </w:r>
          </w:p>
        </w:tc>
      </w:tr>
      <w:tr w:rsidR="00326E23" w:rsidRPr="0013396E" w14:paraId="733EE9C6" w14:textId="77777777" w:rsidTr="009B2773">
        <w:trPr>
          <w:cantSplit/>
        </w:trPr>
        <w:tc>
          <w:tcPr>
            <w:tcW w:w="1296" w:type="pct"/>
          </w:tcPr>
          <w:p w14:paraId="0504BDB4" w14:textId="77777777" w:rsidR="00326E23" w:rsidRPr="0013396E" w:rsidRDefault="00326E23" w:rsidP="009B2773">
            <w:pPr>
              <w:spacing w:after="60"/>
              <w:rPr>
                <w:iCs/>
                <w:sz w:val="20"/>
              </w:rPr>
            </w:pPr>
            <w:r w:rsidRPr="0013396E" w:rsidDel="00584004">
              <w:rPr>
                <w:iCs/>
                <w:sz w:val="20"/>
                <w:lang w:val="pt-BR"/>
              </w:rPr>
              <w:t>M</w:t>
            </w:r>
            <w:r w:rsidRPr="0013396E">
              <w:rPr>
                <w:iCs/>
                <w:sz w:val="20"/>
                <w:lang w:val="pt-BR"/>
              </w:rPr>
              <w:t>RMRCE</w:t>
            </w:r>
            <w:r w:rsidRPr="0013396E">
              <w:rPr>
                <w:i/>
                <w:iCs/>
                <w:sz w:val="20"/>
                <w:vertAlign w:val="subscript"/>
              </w:rPr>
              <w:t xml:space="preserve"> m</w:t>
            </w:r>
          </w:p>
        </w:tc>
        <w:tc>
          <w:tcPr>
            <w:tcW w:w="474" w:type="pct"/>
          </w:tcPr>
          <w:p w14:paraId="21EE611C" w14:textId="77777777" w:rsidR="00326E23" w:rsidRPr="0013396E" w:rsidRDefault="00326E23" w:rsidP="009B2773">
            <w:pPr>
              <w:tabs>
                <w:tab w:val="left" w:pos="2160"/>
              </w:tabs>
              <w:spacing w:after="60"/>
              <w:contextualSpacing/>
              <w:rPr>
                <w:iCs/>
                <w:sz w:val="20"/>
              </w:rPr>
            </w:pPr>
            <w:r w:rsidRPr="0013396E">
              <w:rPr>
                <w:sz w:val="20"/>
              </w:rPr>
              <w:t>$</w:t>
            </w:r>
          </w:p>
        </w:tc>
        <w:tc>
          <w:tcPr>
            <w:tcW w:w="3230" w:type="pct"/>
          </w:tcPr>
          <w:p w14:paraId="511023EC" w14:textId="77777777" w:rsidR="00326E23" w:rsidRPr="0013396E" w:rsidRDefault="00326E23" w:rsidP="009B2773">
            <w:pPr>
              <w:spacing w:after="60"/>
              <w:rPr>
                <w:iCs/>
                <w:sz w:val="20"/>
              </w:rPr>
            </w:pPr>
            <w:r w:rsidRPr="0013396E">
              <w:rPr>
                <w:i/>
                <w:iCs/>
                <w:sz w:val="20"/>
              </w:rPr>
              <w:t xml:space="preserve">Monthly Reliability Must-Run Capital Expenditure Refund </w:t>
            </w:r>
            <w:r w:rsidRPr="0013396E">
              <w:rPr>
                <w:iCs/>
                <w:sz w:val="20"/>
              </w:rPr>
              <w:t xml:space="preserve">– The lump sum amount of contributed capital expenditures for the month </w:t>
            </w:r>
            <w:r w:rsidRPr="0013396E">
              <w:rPr>
                <w:i/>
                <w:iCs/>
                <w:sz w:val="20"/>
              </w:rPr>
              <w:t>m</w:t>
            </w:r>
            <w:r w:rsidRPr="0013396E">
              <w:rPr>
                <w:iCs/>
                <w:sz w:val="20"/>
              </w:rPr>
              <w:t xml:space="preserve"> refunded to ERCOT per Section </w:t>
            </w:r>
            <w:r w:rsidRPr="0013396E">
              <w:rPr>
                <w:bCs/>
                <w:iCs/>
                <w:sz w:val="20"/>
              </w:rPr>
              <w:t>3.14.1.19</w:t>
            </w:r>
            <w:r w:rsidRPr="0013396E">
              <w:rPr>
                <w:iCs/>
                <w:sz w:val="20"/>
              </w:rPr>
              <w:t xml:space="preserve"> pro-rated over the number of months of the RMR Agreement.</w:t>
            </w:r>
          </w:p>
        </w:tc>
      </w:tr>
      <w:tr w:rsidR="00326E23" w:rsidRPr="0013396E" w14:paraId="20E935E1" w14:textId="77777777" w:rsidTr="009B2773">
        <w:trPr>
          <w:cantSplit/>
        </w:trPr>
        <w:tc>
          <w:tcPr>
            <w:tcW w:w="1296" w:type="pct"/>
          </w:tcPr>
          <w:p w14:paraId="4F9B575A" w14:textId="77777777" w:rsidR="00326E23" w:rsidRPr="0013396E" w:rsidRDefault="00326E23" w:rsidP="009B2773">
            <w:pPr>
              <w:spacing w:after="60"/>
              <w:rPr>
                <w:iCs/>
                <w:sz w:val="20"/>
              </w:rPr>
            </w:pPr>
            <w:r w:rsidRPr="0013396E">
              <w:rPr>
                <w:iCs/>
                <w:sz w:val="20"/>
              </w:rPr>
              <w:t>LARMRRAMT</w:t>
            </w:r>
            <w:r w:rsidRPr="0013396E">
              <w:rPr>
                <w:i/>
                <w:iCs/>
                <w:sz w:val="20"/>
                <w:vertAlign w:val="subscript"/>
              </w:rPr>
              <w:t xml:space="preserve"> q</w:t>
            </w:r>
          </w:p>
        </w:tc>
        <w:tc>
          <w:tcPr>
            <w:tcW w:w="474" w:type="pct"/>
          </w:tcPr>
          <w:p w14:paraId="1572EC71" w14:textId="77777777" w:rsidR="00326E23" w:rsidRPr="0013396E" w:rsidRDefault="00326E23" w:rsidP="009B2773">
            <w:pPr>
              <w:tabs>
                <w:tab w:val="left" w:pos="2880"/>
              </w:tabs>
              <w:spacing w:after="60"/>
              <w:contextualSpacing/>
              <w:rPr>
                <w:iCs/>
                <w:sz w:val="20"/>
              </w:rPr>
            </w:pPr>
            <w:r w:rsidRPr="0013396E">
              <w:rPr>
                <w:iCs/>
                <w:sz w:val="20"/>
              </w:rPr>
              <w:t>$</w:t>
            </w:r>
          </w:p>
        </w:tc>
        <w:tc>
          <w:tcPr>
            <w:tcW w:w="3230" w:type="pct"/>
          </w:tcPr>
          <w:p w14:paraId="74E56F3C" w14:textId="77777777" w:rsidR="00326E23" w:rsidRPr="0013396E" w:rsidRDefault="00326E23" w:rsidP="009B2773">
            <w:pPr>
              <w:tabs>
                <w:tab w:val="left" w:pos="2880"/>
              </w:tabs>
              <w:spacing w:after="60"/>
              <w:contextualSpacing/>
              <w:rPr>
                <w:iCs/>
                <w:sz w:val="20"/>
              </w:rPr>
            </w:pPr>
            <w:r w:rsidRPr="0013396E">
              <w:rPr>
                <w:i/>
                <w:iCs/>
                <w:sz w:val="20"/>
              </w:rPr>
              <w:t xml:space="preserve">Load Allocated Reliability Must-Run Reconciled Amount </w:t>
            </w:r>
            <w:r w:rsidRPr="0013396E">
              <w:rPr>
                <w:iCs/>
                <w:sz w:val="20"/>
              </w:rPr>
              <w:t>– The amount of refunded capital expenditures paid to QSE</w:t>
            </w:r>
            <w:r w:rsidRPr="0013396E">
              <w:rPr>
                <w:i/>
                <w:iCs/>
                <w:sz w:val="20"/>
              </w:rPr>
              <w:t xml:space="preserve"> q</w:t>
            </w:r>
            <w:r w:rsidRPr="0013396E">
              <w:rPr>
                <w:iCs/>
                <w:sz w:val="20"/>
              </w:rPr>
              <w:t xml:space="preserve"> based on its HLRS.</w:t>
            </w:r>
          </w:p>
        </w:tc>
      </w:tr>
      <w:tr w:rsidR="00326E23" w:rsidRPr="0013396E" w14:paraId="22423467" w14:textId="77777777" w:rsidTr="009B2773">
        <w:trPr>
          <w:cantSplit/>
        </w:trPr>
        <w:tc>
          <w:tcPr>
            <w:tcW w:w="1296" w:type="pct"/>
          </w:tcPr>
          <w:p w14:paraId="2DC4AD90" w14:textId="77777777" w:rsidR="00326E23" w:rsidRPr="0013396E" w:rsidRDefault="00326E23" w:rsidP="009B2773">
            <w:pPr>
              <w:spacing w:after="60"/>
              <w:rPr>
                <w:iCs/>
                <w:sz w:val="20"/>
              </w:rPr>
            </w:pPr>
            <w:r w:rsidRPr="0013396E">
              <w:rPr>
                <w:iCs/>
                <w:sz w:val="20"/>
              </w:rPr>
              <w:t xml:space="preserve">HLRS </w:t>
            </w:r>
            <w:r w:rsidRPr="0013396E">
              <w:rPr>
                <w:i/>
                <w:iCs/>
                <w:sz w:val="20"/>
                <w:vertAlign w:val="subscript"/>
              </w:rPr>
              <w:t xml:space="preserve">q, m </w:t>
            </w:r>
          </w:p>
        </w:tc>
        <w:tc>
          <w:tcPr>
            <w:tcW w:w="474" w:type="pct"/>
          </w:tcPr>
          <w:p w14:paraId="6D434952"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4960D117" w14:textId="77777777" w:rsidR="00326E23" w:rsidRPr="0013396E" w:rsidRDefault="00326E23" w:rsidP="009B2773">
            <w:pPr>
              <w:autoSpaceDE w:val="0"/>
              <w:autoSpaceDN w:val="0"/>
              <w:adjustRightInd w:val="0"/>
              <w:spacing w:after="60"/>
              <w:rPr>
                <w:color w:val="000000"/>
                <w:sz w:val="20"/>
              </w:rPr>
            </w:pPr>
            <w:r w:rsidRPr="0013396E">
              <w:rPr>
                <w:i/>
                <w:iCs/>
                <w:color w:val="000000"/>
                <w:sz w:val="20"/>
              </w:rPr>
              <w:t>Hourly Load Ratio Share per QSE</w:t>
            </w:r>
            <w:r w:rsidRPr="0013396E">
              <w:rPr>
                <w:i/>
                <w:color w:val="000000"/>
                <w:sz w:val="20"/>
              </w:rPr>
              <w:t xml:space="preserve"> </w:t>
            </w:r>
            <w:r w:rsidRPr="0013396E">
              <w:rPr>
                <w:color w:val="000000"/>
                <w:sz w:val="20"/>
              </w:rPr>
              <w:t xml:space="preserve">– The hourly LRS calculated for QSE </w:t>
            </w:r>
            <w:r w:rsidRPr="0013396E">
              <w:rPr>
                <w:i/>
                <w:color w:val="000000"/>
                <w:sz w:val="20"/>
              </w:rPr>
              <w:t>q</w:t>
            </w:r>
            <w:r w:rsidRPr="0013396E">
              <w:rPr>
                <w:color w:val="000000"/>
                <w:sz w:val="20"/>
              </w:rPr>
              <w:t xml:space="preserve"> for the hour for month </w:t>
            </w:r>
            <w:r w:rsidRPr="0013396E">
              <w:rPr>
                <w:i/>
                <w:color w:val="000000"/>
                <w:sz w:val="20"/>
              </w:rPr>
              <w:t>m</w:t>
            </w:r>
            <w:r w:rsidRPr="0013396E">
              <w:rPr>
                <w:color w:val="000000"/>
                <w:sz w:val="20"/>
              </w:rPr>
              <w:t xml:space="preserve">.  See Section 6.6.2.4, QSE Load Ratio Share for an Operating Hour. </w:t>
            </w:r>
          </w:p>
        </w:tc>
      </w:tr>
      <w:tr w:rsidR="00326E23" w:rsidRPr="0013396E" w14:paraId="047246E8" w14:textId="77777777" w:rsidTr="009B2773">
        <w:trPr>
          <w:cantSplit/>
        </w:trPr>
        <w:tc>
          <w:tcPr>
            <w:tcW w:w="1296" w:type="pct"/>
          </w:tcPr>
          <w:p w14:paraId="60E10D1C" w14:textId="77777777" w:rsidR="00326E23" w:rsidRPr="0013396E" w:rsidRDefault="00326E23" w:rsidP="009B2773">
            <w:pPr>
              <w:spacing w:after="60"/>
              <w:rPr>
                <w:iCs/>
                <w:sz w:val="20"/>
              </w:rPr>
            </w:pPr>
            <w:r w:rsidRPr="0013396E">
              <w:rPr>
                <w:iCs/>
                <w:sz w:val="20"/>
              </w:rPr>
              <w:t xml:space="preserve">MH </w:t>
            </w:r>
            <w:r w:rsidRPr="0013396E">
              <w:rPr>
                <w:i/>
                <w:iCs/>
                <w:sz w:val="20"/>
                <w:vertAlign w:val="subscript"/>
              </w:rPr>
              <w:t>m</w:t>
            </w:r>
          </w:p>
        </w:tc>
        <w:tc>
          <w:tcPr>
            <w:tcW w:w="474" w:type="pct"/>
          </w:tcPr>
          <w:p w14:paraId="34C0E621" w14:textId="77777777" w:rsidR="00326E23" w:rsidRPr="0013396E" w:rsidRDefault="00326E23" w:rsidP="009B2773">
            <w:pPr>
              <w:tabs>
                <w:tab w:val="left" w:pos="2880"/>
              </w:tabs>
              <w:spacing w:after="60"/>
              <w:contextualSpacing/>
              <w:rPr>
                <w:iCs/>
                <w:sz w:val="20"/>
              </w:rPr>
            </w:pPr>
            <w:r w:rsidRPr="0013396E">
              <w:rPr>
                <w:iCs/>
                <w:sz w:val="20"/>
              </w:rPr>
              <w:t>hour</w:t>
            </w:r>
          </w:p>
        </w:tc>
        <w:tc>
          <w:tcPr>
            <w:tcW w:w="3230" w:type="pct"/>
          </w:tcPr>
          <w:p w14:paraId="67495C99" w14:textId="77777777" w:rsidR="00326E23" w:rsidRPr="0013396E" w:rsidRDefault="00326E23" w:rsidP="009B2773">
            <w:pPr>
              <w:tabs>
                <w:tab w:val="left" w:pos="2880"/>
              </w:tabs>
              <w:spacing w:after="60"/>
              <w:contextualSpacing/>
              <w:rPr>
                <w:i/>
                <w:iCs/>
                <w:sz w:val="20"/>
              </w:rPr>
            </w:pPr>
            <w:r w:rsidRPr="0013396E">
              <w:rPr>
                <w:i/>
                <w:iCs/>
                <w:sz w:val="20"/>
              </w:rPr>
              <w:t xml:space="preserve">Number of Hours in the Month </w:t>
            </w:r>
            <w:r w:rsidRPr="0013396E">
              <w:rPr>
                <w:iCs/>
                <w:sz w:val="20"/>
              </w:rPr>
              <w:t xml:space="preserve">—The total number of hours in the month </w:t>
            </w:r>
            <w:r w:rsidRPr="0013396E">
              <w:rPr>
                <w:i/>
                <w:iCs/>
                <w:sz w:val="20"/>
              </w:rPr>
              <w:t>m</w:t>
            </w:r>
            <w:r w:rsidRPr="0013396E">
              <w:rPr>
                <w:iCs/>
                <w:sz w:val="20"/>
              </w:rPr>
              <w:t xml:space="preserve">, which overlaps a month in which an RMR Agreement was effective.  Where for a Combined Cycle Train, the Resource </w:t>
            </w:r>
            <w:r w:rsidRPr="0013396E">
              <w:rPr>
                <w:i/>
                <w:iCs/>
                <w:sz w:val="20"/>
              </w:rPr>
              <w:t xml:space="preserve">r </w:t>
            </w:r>
            <w:r w:rsidRPr="0013396E">
              <w:rPr>
                <w:iCs/>
                <w:sz w:val="20"/>
              </w:rPr>
              <w:t>is the Combined Cycle Train.</w:t>
            </w:r>
          </w:p>
        </w:tc>
      </w:tr>
      <w:tr w:rsidR="00326E23" w:rsidRPr="0013396E" w14:paraId="331B79CF" w14:textId="77777777" w:rsidTr="009B2773">
        <w:trPr>
          <w:cantSplit/>
          <w:trHeight w:val="251"/>
        </w:trPr>
        <w:tc>
          <w:tcPr>
            <w:tcW w:w="1296" w:type="pct"/>
          </w:tcPr>
          <w:p w14:paraId="2F16E648" w14:textId="77777777" w:rsidR="00326E23" w:rsidRPr="0013396E" w:rsidRDefault="00326E23" w:rsidP="009B2773">
            <w:pPr>
              <w:spacing w:after="60"/>
              <w:ind w:left="720" w:hanging="720"/>
              <w:rPr>
                <w:sz w:val="20"/>
              </w:rPr>
            </w:pPr>
            <w:r w:rsidRPr="0013396E">
              <w:rPr>
                <w:sz w:val="20"/>
              </w:rPr>
              <w:t xml:space="preserve">CM </w:t>
            </w:r>
            <w:r w:rsidRPr="0013396E">
              <w:rPr>
                <w:i/>
                <w:sz w:val="20"/>
                <w:vertAlign w:val="subscript"/>
              </w:rPr>
              <w:t>q, r, c</w:t>
            </w:r>
          </w:p>
        </w:tc>
        <w:tc>
          <w:tcPr>
            <w:tcW w:w="474" w:type="pct"/>
          </w:tcPr>
          <w:p w14:paraId="1C8D343F"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701A116D" w14:textId="77777777" w:rsidR="00326E23" w:rsidRPr="0013396E" w:rsidRDefault="00326E23" w:rsidP="009B2773">
            <w:pPr>
              <w:tabs>
                <w:tab w:val="left" w:pos="2880"/>
              </w:tabs>
              <w:spacing w:after="60"/>
              <w:contextualSpacing/>
              <w:rPr>
                <w:i/>
                <w:iCs/>
                <w:sz w:val="20"/>
              </w:rPr>
            </w:pPr>
            <w:r w:rsidRPr="0013396E">
              <w:rPr>
                <w:iCs/>
                <w:sz w:val="20"/>
              </w:rPr>
              <w:t>The number of months of the RMR Agreement period.</w:t>
            </w:r>
          </w:p>
        </w:tc>
      </w:tr>
      <w:tr w:rsidR="00326E23" w:rsidRPr="0013396E" w14:paraId="4B71EEFC" w14:textId="77777777" w:rsidTr="009B2773">
        <w:trPr>
          <w:cantSplit/>
          <w:trHeight w:val="323"/>
        </w:trPr>
        <w:tc>
          <w:tcPr>
            <w:tcW w:w="1296" w:type="pct"/>
          </w:tcPr>
          <w:p w14:paraId="401CD3BD" w14:textId="77777777" w:rsidR="00326E23" w:rsidRPr="0013396E" w:rsidRDefault="00326E23" w:rsidP="009B2773">
            <w:pPr>
              <w:spacing w:after="60"/>
              <w:rPr>
                <w:iCs/>
                <w:sz w:val="20"/>
              </w:rPr>
            </w:pPr>
            <w:r w:rsidRPr="0013396E">
              <w:rPr>
                <w:i/>
                <w:iCs/>
                <w:sz w:val="20"/>
              </w:rPr>
              <w:t>m</w:t>
            </w:r>
          </w:p>
        </w:tc>
        <w:tc>
          <w:tcPr>
            <w:tcW w:w="474" w:type="pct"/>
          </w:tcPr>
          <w:p w14:paraId="2CF3D5D3"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215EC32A" w14:textId="77777777" w:rsidR="00326E23" w:rsidRPr="0013396E" w:rsidRDefault="00326E23" w:rsidP="009B2773">
            <w:pPr>
              <w:tabs>
                <w:tab w:val="left" w:pos="2880"/>
              </w:tabs>
              <w:spacing w:after="60"/>
              <w:contextualSpacing/>
              <w:rPr>
                <w:iCs/>
                <w:sz w:val="20"/>
              </w:rPr>
            </w:pPr>
            <w:r w:rsidRPr="0013396E">
              <w:rPr>
                <w:iCs/>
                <w:sz w:val="20"/>
              </w:rPr>
              <w:t>A month in the RMR Agreement period.</w:t>
            </w:r>
          </w:p>
        </w:tc>
      </w:tr>
      <w:tr w:rsidR="00326E23" w:rsidRPr="0013396E" w14:paraId="7483B459" w14:textId="77777777" w:rsidTr="009B2773">
        <w:trPr>
          <w:cantSplit/>
          <w:trHeight w:val="323"/>
        </w:trPr>
        <w:tc>
          <w:tcPr>
            <w:tcW w:w="1296" w:type="pct"/>
          </w:tcPr>
          <w:p w14:paraId="6CEA1362" w14:textId="77777777" w:rsidR="00326E23" w:rsidRPr="0013396E" w:rsidRDefault="00326E23" w:rsidP="009B2773">
            <w:pPr>
              <w:spacing w:after="60"/>
              <w:rPr>
                <w:i/>
                <w:iCs/>
                <w:sz w:val="20"/>
              </w:rPr>
            </w:pPr>
            <w:r w:rsidRPr="0013396E">
              <w:rPr>
                <w:i/>
                <w:iCs/>
                <w:sz w:val="20"/>
              </w:rPr>
              <w:t>q</w:t>
            </w:r>
          </w:p>
        </w:tc>
        <w:tc>
          <w:tcPr>
            <w:tcW w:w="474" w:type="pct"/>
          </w:tcPr>
          <w:p w14:paraId="6AF68EA2"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0FCADCC2" w14:textId="77777777" w:rsidR="00326E23" w:rsidRPr="0013396E" w:rsidRDefault="00326E23" w:rsidP="009B2773">
            <w:pPr>
              <w:tabs>
                <w:tab w:val="left" w:pos="2880"/>
              </w:tabs>
              <w:spacing w:after="60"/>
              <w:contextualSpacing/>
              <w:rPr>
                <w:iCs/>
                <w:sz w:val="20"/>
              </w:rPr>
            </w:pPr>
            <w:r w:rsidRPr="0013396E">
              <w:rPr>
                <w:iCs/>
                <w:sz w:val="20"/>
              </w:rPr>
              <w:t>A QSE.</w:t>
            </w:r>
          </w:p>
        </w:tc>
      </w:tr>
      <w:tr w:rsidR="00326E23" w:rsidRPr="0013396E" w14:paraId="059C625D" w14:textId="77777777" w:rsidTr="009B2773">
        <w:trPr>
          <w:cantSplit/>
          <w:trHeight w:val="323"/>
        </w:trPr>
        <w:tc>
          <w:tcPr>
            <w:tcW w:w="1296" w:type="pct"/>
          </w:tcPr>
          <w:p w14:paraId="7BAAAB2C" w14:textId="77777777" w:rsidR="00326E23" w:rsidRPr="0013396E" w:rsidRDefault="00326E23" w:rsidP="009B2773">
            <w:pPr>
              <w:spacing w:after="60"/>
              <w:rPr>
                <w:i/>
                <w:iCs/>
                <w:sz w:val="20"/>
              </w:rPr>
            </w:pPr>
            <w:r w:rsidRPr="0013396E">
              <w:rPr>
                <w:i/>
                <w:iCs/>
                <w:sz w:val="20"/>
              </w:rPr>
              <w:t>c</w:t>
            </w:r>
          </w:p>
        </w:tc>
        <w:tc>
          <w:tcPr>
            <w:tcW w:w="474" w:type="pct"/>
          </w:tcPr>
          <w:p w14:paraId="5D75A61A"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05721BAD" w14:textId="77777777" w:rsidR="00326E23" w:rsidRPr="0013396E" w:rsidRDefault="00326E23" w:rsidP="009B2773">
            <w:pPr>
              <w:tabs>
                <w:tab w:val="left" w:pos="2880"/>
              </w:tabs>
              <w:spacing w:after="60"/>
              <w:contextualSpacing/>
              <w:rPr>
                <w:iCs/>
                <w:sz w:val="20"/>
              </w:rPr>
            </w:pPr>
            <w:r w:rsidRPr="0013396E">
              <w:rPr>
                <w:iCs/>
                <w:sz w:val="20"/>
              </w:rPr>
              <w:t>An RMR Agreement.</w:t>
            </w:r>
          </w:p>
        </w:tc>
      </w:tr>
      <w:tr w:rsidR="00326E23" w:rsidRPr="0013396E" w14:paraId="07040BA1" w14:textId="77777777" w:rsidTr="009B2773">
        <w:trPr>
          <w:cantSplit/>
          <w:trHeight w:val="323"/>
        </w:trPr>
        <w:tc>
          <w:tcPr>
            <w:tcW w:w="1296" w:type="pct"/>
          </w:tcPr>
          <w:p w14:paraId="5B764B32" w14:textId="77777777" w:rsidR="00326E23" w:rsidRPr="0013396E" w:rsidRDefault="00326E23" w:rsidP="009B2773">
            <w:pPr>
              <w:spacing w:after="60"/>
              <w:rPr>
                <w:i/>
                <w:iCs/>
                <w:sz w:val="20"/>
              </w:rPr>
            </w:pPr>
            <w:r w:rsidRPr="0013396E">
              <w:rPr>
                <w:i/>
                <w:iCs/>
                <w:sz w:val="20"/>
              </w:rPr>
              <w:t>r</w:t>
            </w:r>
          </w:p>
        </w:tc>
        <w:tc>
          <w:tcPr>
            <w:tcW w:w="474" w:type="pct"/>
          </w:tcPr>
          <w:p w14:paraId="642FACF5"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140B0D25" w14:textId="77777777" w:rsidR="00326E23" w:rsidRPr="0013396E" w:rsidRDefault="00326E23" w:rsidP="009B2773">
            <w:pPr>
              <w:tabs>
                <w:tab w:val="left" w:pos="2880"/>
              </w:tabs>
              <w:spacing w:after="60"/>
              <w:contextualSpacing/>
              <w:rPr>
                <w:iCs/>
                <w:sz w:val="20"/>
              </w:rPr>
            </w:pPr>
            <w:r w:rsidRPr="0013396E">
              <w:rPr>
                <w:iCs/>
                <w:sz w:val="20"/>
              </w:rPr>
              <w:t>An RMR Unit.</w:t>
            </w:r>
          </w:p>
        </w:tc>
      </w:tr>
    </w:tbl>
    <w:p w14:paraId="413EC208" w14:textId="77777777" w:rsidR="00326E23" w:rsidRPr="0013396E" w:rsidRDefault="00326E23" w:rsidP="00326E23">
      <w:pPr>
        <w:spacing w:before="240" w:after="240"/>
        <w:ind w:left="720" w:hanging="720"/>
        <w:rPr>
          <w:iCs/>
        </w:rPr>
      </w:pPr>
      <w:r w:rsidRPr="0013396E">
        <w:rPr>
          <w:iCs/>
        </w:rPr>
        <w:t>(2)</w:t>
      </w:r>
      <w:r w:rsidRPr="0013396E">
        <w:rPr>
          <w:iCs/>
        </w:rPr>
        <w:tab/>
        <w:t>ERCOT shall issue a miscellaneous Invoice allocating expenses incurred related to the processing of an RMR Agreement or validation and/or processing of RMR budgets on an LRS basis.  ERCOT shall issue the miscellaneous Invoice no later than 30 days after the RTM True-Up Statement is issued for the last day of the calendar month in which ERCOT incurred the expense.</w:t>
      </w:r>
      <w:r w:rsidRPr="0013396E" w:rsidDel="00684213">
        <w:rPr>
          <w:iCs/>
        </w:rPr>
        <w:t xml:space="preserve"> </w:t>
      </w:r>
      <w:r w:rsidRPr="0013396E">
        <w:rPr>
          <w:iCs/>
        </w:rPr>
        <w:t xml:space="preserve"> A separate Invoice will be sent for each RMR Agreement.</w:t>
      </w:r>
    </w:p>
    <w:p w14:paraId="1FA67CA2" w14:textId="77777777" w:rsidR="00326E23" w:rsidRPr="0013396E" w:rsidRDefault="00326E23" w:rsidP="00326E23">
      <w:pPr>
        <w:spacing w:after="240"/>
        <w:ind w:left="1440" w:hanging="720"/>
        <w:jc w:val="both"/>
      </w:pPr>
      <w:r w:rsidRPr="0013396E">
        <w:t>(a)</w:t>
      </w:r>
      <w:r w:rsidRPr="0013396E">
        <w:tab/>
        <w:t>The one-</w:t>
      </w:r>
      <w:r w:rsidRPr="0013396E">
        <w:rPr>
          <w:iCs/>
        </w:rPr>
        <w:t>time</w:t>
      </w:r>
      <w:r w:rsidRPr="0013396E">
        <w:t xml:space="preserve"> charge is calculated as follows:</w:t>
      </w:r>
    </w:p>
    <w:p w14:paraId="51081084" w14:textId="63713A19" w:rsidR="00326E23" w:rsidRPr="0013396E" w:rsidRDefault="00326E23" w:rsidP="00326E23">
      <w:pPr>
        <w:spacing w:after="240"/>
        <w:ind w:left="720" w:firstLine="720"/>
        <w:rPr>
          <w:i/>
          <w:vertAlign w:val="subscript"/>
        </w:rPr>
      </w:pPr>
      <w:r w:rsidRPr="0013396E">
        <w:t>LARMROEIAMT</w:t>
      </w:r>
      <w:r w:rsidRPr="0013396E">
        <w:rPr>
          <w:i/>
          <w:vertAlign w:val="subscript"/>
        </w:rPr>
        <w:t xml:space="preserve"> q</w:t>
      </w:r>
      <w:r w:rsidRPr="0013396E">
        <w:t xml:space="preserve">   =  (-1) * </w:t>
      </w:r>
      <w:r w:rsidR="00A94020" w:rsidRPr="0013396E">
        <w:rPr>
          <w:noProof/>
          <w:position w:val="-28"/>
        </w:rPr>
        <w:drawing>
          <wp:inline distT="0" distB="0" distL="0" distR="0" wp14:anchorId="540EA72F" wp14:editId="403F9CDA">
            <wp:extent cx="276225" cy="4572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pic:spPr>
                </pic:pic>
              </a:graphicData>
            </a:graphic>
          </wp:inline>
        </w:drawing>
      </w:r>
      <w:r w:rsidRPr="0013396E">
        <w:t xml:space="preserve"> </w:t>
      </w:r>
      <w:r w:rsidRPr="0013396E">
        <w:rPr>
          <w:lang w:val="pt-BR"/>
        </w:rPr>
        <w:t xml:space="preserve">RMROEIAMT </w:t>
      </w:r>
      <w:r w:rsidRPr="0013396E">
        <w:rPr>
          <w:i/>
          <w:vertAlign w:val="subscript"/>
        </w:rPr>
        <w:t xml:space="preserve">m </w:t>
      </w:r>
      <w:r w:rsidRPr="0013396E">
        <w:rPr>
          <w:lang w:val="pt-BR"/>
        </w:rPr>
        <w:t xml:space="preserve">/ MH </w:t>
      </w:r>
      <w:r w:rsidRPr="0013396E">
        <w:rPr>
          <w:i/>
          <w:iCs/>
          <w:sz w:val="20"/>
          <w:vertAlign w:val="subscript"/>
        </w:rPr>
        <w:t>m</w:t>
      </w:r>
      <w:r w:rsidRPr="0013396E">
        <w:rPr>
          <w:lang w:val="pt-BR"/>
        </w:rPr>
        <w:t xml:space="preserve"> * HLRS</w:t>
      </w:r>
      <w:r w:rsidRPr="0013396E">
        <w:rPr>
          <w:i/>
          <w:vertAlign w:val="subscript"/>
        </w:rPr>
        <w:t xml:space="preserve"> q,</w:t>
      </w:r>
      <w:r w:rsidRPr="0013396E">
        <w:rPr>
          <w:i/>
          <w:iCs/>
          <w:sz w:val="20"/>
          <w:vertAlign w:val="subscript"/>
        </w:rPr>
        <w:t xml:space="preserve"> m</w:t>
      </w:r>
    </w:p>
    <w:p w14:paraId="3D6E849A" w14:textId="77777777" w:rsidR="00326E23" w:rsidRPr="0013396E" w:rsidRDefault="00326E23" w:rsidP="00326E23">
      <w:pPr>
        <w:spacing w:after="240"/>
        <w:ind w:left="1440"/>
        <w:jc w:val="both"/>
      </w:pPr>
      <w:r w:rsidRPr="0013396E">
        <w:t xml:space="preserve">The HLRS used will be the HLRS for each day within the contracted month </w:t>
      </w:r>
      <w:r w:rsidRPr="0013396E">
        <w:rPr>
          <w:i/>
        </w:rPr>
        <w:t>m</w:t>
      </w:r>
      <w:r w:rsidRPr="0013396E">
        <w:t>.  The most recent approved HLRS available at the time the miscellaneous Invoice is posted will be used.  The miscellaneous Invoice will not be re-calculated with subsequent Settlement runs unless required by a dispute or ADR.  If a dispute or ADR requires ERCOT to re-issue the miscellaneous Invoice, the most recent approved HLRS values will be used.</w:t>
      </w:r>
    </w:p>
    <w:p w14:paraId="53E1C9F5" w14:textId="77777777" w:rsidR="00326E23" w:rsidRPr="0013396E" w:rsidRDefault="00326E23" w:rsidP="00326E23">
      <w:pPr>
        <w:spacing w:after="240"/>
        <w:ind w:left="1440" w:hanging="720"/>
        <w:jc w:val="both"/>
      </w:pPr>
      <w:r w:rsidRPr="0013396E">
        <w:t xml:space="preserve">(b) </w:t>
      </w:r>
      <w:r w:rsidRPr="0013396E">
        <w:tab/>
        <w:t>Upon issuance of the miscellaneous Invoice, ERCOT shall issue a Market Notice containing the value of RMROEIAMT and the Settlement run containing the HLRS that was used in the Settlement.</w:t>
      </w:r>
    </w:p>
    <w:p w14:paraId="180D96D2" w14:textId="77777777" w:rsidR="00326E23" w:rsidRPr="0013396E" w:rsidRDefault="00326E23" w:rsidP="00326E23">
      <w:pPr>
        <w:tabs>
          <w:tab w:val="left" w:pos="2250"/>
          <w:tab w:val="left" w:pos="3150"/>
          <w:tab w:val="left" w:pos="3960"/>
        </w:tabs>
      </w:pPr>
      <w:r w:rsidRPr="0013396E">
        <w:t>The above variables are defined as follows:</w:t>
      </w:r>
    </w:p>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56"/>
        <w:gridCol w:w="898"/>
        <w:gridCol w:w="6121"/>
      </w:tblGrid>
      <w:tr w:rsidR="00326E23" w:rsidRPr="0013396E" w14:paraId="77E07BD6" w14:textId="77777777" w:rsidTr="009B2773">
        <w:tc>
          <w:tcPr>
            <w:tcW w:w="1296" w:type="pct"/>
          </w:tcPr>
          <w:p w14:paraId="5C5FAF75" w14:textId="77777777" w:rsidR="00326E23" w:rsidRPr="0013396E" w:rsidRDefault="00326E23" w:rsidP="009B2773">
            <w:pPr>
              <w:spacing w:after="240"/>
              <w:rPr>
                <w:b/>
                <w:iCs/>
                <w:sz w:val="20"/>
              </w:rPr>
            </w:pPr>
            <w:r w:rsidRPr="0013396E">
              <w:rPr>
                <w:b/>
                <w:iCs/>
                <w:sz w:val="20"/>
              </w:rPr>
              <w:t>Variable</w:t>
            </w:r>
          </w:p>
        </w:tc>
        <w:tc>
          <w:tcPr>
            <w:tcW w:w="474" w:type="pct"/>
          </w:tcPr>
          <w:p w14:paraId="5DDB0C0B" w14:textId="77777777" w:rsidR="00326E23" w:rsidRPr="0013396E" w:rsidRDefault="00326E23" w:rsidP="009B2773">
            <w:pPr>
              <w:spacing w:after="240"/>
              <w:rPr>
                <w:b/>
                <w:iCs/>
                <w:sz w:val="20"/>
              </w:rPr>
            </w:pPr>
            <w:r w:rsidRPr="0013396E">
              <w:rPr>
                <w:b/>
                <w:iCs/>
                <w:sz w:val="20"/>
              </w:rPr>
              <w:t>Unit</w:t>
            </w:r>
          </w:p>
        </w:tc>
        <w:tc>
          <w:tcPr>
            <w:tcW w:w="3230" w:type="pct"/>
          </w:tcPr>
          <w:p w14:paraId="3769FB75" w14:textId="77777777" w:rsidR="00326E23" w:rsidRPr="0013396E" w:rsidRDefault="00326E23" w:rsidP="009B2773">
            <w:pPr>
              <w:spacing w:after="240"/>
              <w:rPr>
                <w:b/>
                <w:iCs/>
                <w:sz w:val="20"/>
              </w:rPr>
            </w:pPr>
            <w:r w:rsidRPr="0013396E">
              <w:rPr>
                <w:b/>
                <w:iCs/>
                <w:sz w:val="20"/>
              </w:rPr>
              <w:t>Description</w:t>
            </w:r>
          </w:p>
        </w:tc>
      </w:tr>
      <w:tr w:rsidR="00326E23" w:rsidRPr="0013396E" w14:paraId="701D3666" w14:textId="77777777" w:rsidTr="009B2773">
        <w:trPr>
          <w:cantSplit/>
          <w:trHeight w:val="692"/>
        </w:trPr>
        <w:tc>
          <w:tcPr>
            <w:tcW w:w="1296" w:type="pct"/>
          </w:tcPr>
          <w:p w14:paraId="79FBB3C1" w14:textId="77777777" w:rsidR="00326E23" w:rsidRPr="0013396E" w:rsidRDefault="00326E23" w:rsidP="009B2773">
            <w:pPr>
              <w:spacing w:after="60"/>
              <w:rPr>
                <w:iCs/>
                <w:sz w:val="20"/>
              </w:rPr>
            </w:pPr>
            <w:r w:rsidRPr="0013396E">
              <w:rPr>
                <w:iCs/>
                <w:sz w:val="20"/>
                <w:lang w:val="pt-BR"/>
              </w:rPr>
              <w:lastRenderedPageBreak/>
              <w:t xml:space="preserve">RMROEIAMT </w:t>
            </w:r>
            <w:r w:rsidRPr="0013396E">
              <w:rPr>
                <w:i/>
                <w:iCs/>
                <w:sz w:val="20"/>
                <w:vertAlign w:val="subscript"/>
              </w:rPr>
              <w:t>m</w:t>
            </w:r>
          </w:p>
        </w:tc>
        <w:tc>
          <w:tcPr>
            <w:tcW w:w="474" w:type="pct"/>
          </w:tcPr>
          <w:p w14:paraId="482BEC6C" w14:textId="77777777" w:rsidR="00326E23" w:rsidRPr="0013396E" w:rsidRDefault="00326E23" w:rsidP="009B2773">
            <w:pPr>
              <w:spacing w:after="60"/>
              <w:rPr>
                <w:iCs/>
                <w:sz w:val="20"/>
              </w:rPr>
            </w:pPr>
            <w:r w:rsidRPr="0013396E">
              <w:rPr>
                <w:iCs/>
                <w:sz w:val="20"/>
              </w:rPr>
              <w:t>$</w:t>
            </w:r>
          </w:p>
        </w:tc>
        <w:tc>
          <w:tcPr>
            <w:tcW w:w="3230" w:type="pct"/>
          </w:tcPr>
          <w:p w14:paraId="5819C812" w14:textId="77777777" w:rsidR="00326E23" w:rsidRPr="0013396E" w:rsidRDefault="00326E23" w:rsidP="009B2773">
            <w:pPr>
              <w:spacing w:after="60"/>
              <w:rPr>
                <w:iCs/>
                <w:sz w:val="20"/>
              </w:rPr>
            </w:pPr>
            <w:r w:rsidRPr="0013396E">
              <w:rPr>
                <w:i/>
                <w:iCs/>
                <w:sz w:val="20"/>
              </w:rPr>
              <w:t>RMR Other Expense Incurred Amount –</w:t>
            </w:r>
            <w:r w:rsidRPr="0013396E">
              <w:rPr>
                <w:iCs/>
                <w:sz w:val="20"/>
              </w:rPr>
              <w:t xml:space="preserve"> The amount of expenses incurred in the validation and processing of an RMR Agreement, for the month </w:t>
            </w:r>
            <w:r w:rsidRPr="0013396E">
              <w:rPr>
                <w:i/>
                <w:iCs/>
                <w:sz w:val="20"/>
              </w:rPr>
              <w:t>m</w:t>
            </w:r>
            <w:r w:rsidRPr="0013396E">
              <w:rPr>
                <w:iCs/>
                <w:sz w:val="20"/>
              </w:rPr>
              <w:t>, that are not paid to the QSE representing the RMR Unit e.g. third-party expenses incurred in the evaluation and validation of submitted RMR budgets.</w:t>
            </w:r>
          </w:p>
        </w:tc>
      </w:tr>
      <w:tr w:rsidR="00326E23" w:rsidRPr="0013396E" w14:paraId="5E1C39BE" w14:textId="77777777" w:rsidTr="009B2773">
        <w:trPr>
          <w:cantSplit/>
        </w:trPr>
        <w:tc>
          <w:tcPr>
            <w:tcW w:w="1296" w:type="pct"/>
          </w:tcPr>
          <w:p w14:paraId="2BBCDB6B" w14:textId="77777777" w:rsidR="00326E23" w:rsidRPr="0013396E" w:rsidRDefault="00326E23" w:rsidP="009B2773">
            <w:pPr>
              <w:spacing w:after="60"/>
              <w:rPr>
                <w:iCs/>
                <w:sz w:val="20"/>
              </w:rPr>
            </w:pPr>
            <w:r w:rsidRPr="0013396E">
              <w:rPr>
                <w:iCs/>
                <w:sz w:val="20"/>
              </w:rPr>
              <w:t>LARMROEIAMT</w:t>
            </w:r>
            <w:r w:rsidRPr="0013396E">
              <w:rPr>
                <w:i/>
                <w:iCs/>
                <w:sz w:val="20"/>
                <w:vertAlign w:val="subscript"/>
              </w:rPr>
              <w:t xml:space="preserve"> q</w:t>
            </w:r>
          </w:p>
        </w:tc>
        <w:tc>
          <w:tcPr>
            <w:tcW w:w="474" w:type="pct"/>
          </w:tcPr>
          <w:p w14:paraId="073A7529" w14:textId="77777777" w:rsidR="00326E23" w:rsidRPr="0013396E" w:rsidRDefault="00326E23" w:rsidP="009B2773">
            <w:pPr>
              <w:tabs>
                <w:tab w:val="left" w:pos="2880"/>
              </w:tabs>
              <w:spacing w:after="60"/>
              <w:contextualSpacing/>
              <w:rPr>
                <w:iCs/>
                <w:sz w:val="20"/>
              </w:rPr>
            </w:pPr>
            <w:r w:rsidRPr="0013396E">
              <w:rPr>
                <w:iCs/>
                <w:sz w:val="20"/>
              </w:rPr>
              <w:t>$</w:t>
            </w:r>
          </w:p>
        </w:tc>
        <w:tc>
          <w:tcPr>
            <w:tcW w:w="3230" w:type="pct"/>
          </w:tcPr>
          <w:p w14:paraId="68AD5ED6" w14:textId="77777777" w:rsidR="00326E23" w:rsidRPr="0013396E" w:rsidRDefault="00326E23" w:rsidP="009B2773">
            <w:pPr>
              <w:tabs>
                <w:tab w:val="left" w:pos="2880"/>
              </w:tabs>
              <w:spacing w:after="60"/>
              <w:contextualSpacing/>
              <w:rPr>
                <w:iCs/>
                <w:sz w:val="20"/>
              </w:rPr>
            </w:pPr>
            <w:r w:rsidRPr="0013396E">
              <w:rPr>
                <w:i/>
                <w:iCs/>
                <w:sz w:val="20"/>
              </w:rPr>
              <w:t xml:space="preserve">Load Allocated RMR Other Expense Incurred Amount </w:t>
            </w:r>
            <w:r w:rsidRPr="0013396E">
              <w:rPr>
                <w:iCs/>
                <w:sz w:val="20"/>
              </w:rPr>
              <w:t>– The amount of other expenses incurred charged to QSE</w:t>
            </w:r>
            <w:r w:rsidRPr="0013396E">
              <w:rPr>
                <w:i/>
                <w:iCs/>
                <w:sz w:val="20"/>
              </w:rPr>
              <w:t xml:space="preserve"> q</w:t>
            </w:r>
            <w:r w:rsidRPr="0013396E">
              <w:rPr>
                <w:iCs/>
                <w:sz w:val="20"/>
              </w:rPr>
              <w:t xml:space="preserve"> based on its HLRS.</w:t>
            </w:r>
          </w:p>
        </w:tc>
      </w:tr>
      <w:tr w:rsidR="00326E23" w:rsidRPr="0013396E" w14:paraId="163769FF" w14:textId="77777777" w:rsidTr="009B2773">
        <w:trPr>
          <w:cantSplit/>
        </w:trPr>
        <w:tc>
          <w:tcPr>
            <w:tcW w:w="1296" w:type="pct"/>
          </w:tcPr>
          <w:p w14:paraId="7BE00D7B" w14:textId="77777777" w:rsidR="00326E23" w:rsidRPr="0013396E" w:rsidRDefault="00326E23" w:rsidP="009B2773">
            <w:pPr>
              <w:spacing w:after="60"/>
              <w:rPr>
                <w:iCs/>
                <w:sz w:val="20"/>
              </w:rPr>
            </w:pPr>
            <w:r w:rsidRPr="0013396E">
              <w:rPr>
                <w:iCs/>
                <w:sz w:val="20"/>
              </w:rPr>
              <w:t xml:space="preserve">HLRS </w:t>
            </w:r>
            <w:r w:rsidRPr="0013396E">
              <w:rPr>
                <w:i/>
                <w:iCs/>
                <w:sz w:val="20"/>
                <w:vertAlign w:val="subscript"/>
              </w:rPr>
              <w:t>q, m</w:t>
            </w:r>
          </w:p>
        </w:tc>
        <w:tc>
          <w:tcPr>
            <w:tcW w:w="474" w:type="pct"/>
          </w:tcPr>
          <w:p w14:paraId="5D721142"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7C0CE844" w14:textId="77777777" w:rsidR="00326E23" w:rsidRPr="0013396E" w:rsidRDefault="00326E23" w:rsidP="009B2773">
            <w:pPr>
              <w:autoSpaceDE w:val="0"/>
              <w:autoSpaceDN w:val="0"/>
              <w:adjustRightInd w:val="0"/>
              <w:spacing w:after="60"/>
              <w:rPr>
                <w:color w:val="000000"/>
                <w:sz w:val="20"/>
              </w:rPr>
            </w:pPr>
            <w:r w:rsidRPr="0013396E">
              <w:rPr>
                <w:i/>
                <w:iCs/>
                <w:color w:val="000000"/>
                <w:sz w:val="20"/>
              </w:rPr>
              <w:t>Hourly Load Ratio Share per QSE</w:t>
            </w:r>
            <w:r w:rsidRPr="0013396E">
              <w:rPr>
                <w:i/>
                <w:color w:val="000000"/>
                <w:sz w:val="20"/>
              </w:rPr>
              <w:t xml:space="preserve"> </w:t>
            </w:r>
            <w:r w:rsidRPr="0013396E">
              <w:rPr>
                <w:color w:val="000000"/>
                <w:sz w:val="20"/>
              </w:rPr>
              <w:t xml:space="preserve">– The hourly LRS calculated for QSE </w:t>
            </w:r>
            <w:r w:rsidRPr="0013396E">
              <w:rPr>
                <w:i/>
                <w:color w:val="000000"/>
                <w:sz w:val="20"/>
              </w:rPr>
              <w:t>q</w:t>
            </w:r>
            <w:r w:rsidRPr="0013396E">
              <w:rPr>
                <w:color w:val="000000"/>
                <w:sz w:val="20"/>
              </w:rPr>
              <w:t xml:space="preserve"> for the hour for month </w:t>
            </w:r>
            <w:r w:rsidRPr="0013396E">
              <w:rPr>
                <w:i/>
                <w:iCs/>
                <w:sz w:val="20"/>
              </w:rPr>
              <w:t>m</w:t>
            </w:r>
            <w:r w:rsidRPr="0013396E">
              <w:rPr>
                <w:color w:val="000000"/>
                <w:sz w:val="20"/>
              </w:rPr>
              <w:t xml:space="preserve">.  See Section 6.6.2.4, QSE Load Ratio Share for an Operating Hour. </w:t>
            </w:r>
          </w:p>
        </w:tc>
      </w:tr>
      <w:tr w:rsidR="00326E23" w:rsidRPr="0013396E" w14:paraId="3F3BF1AD" w14:textId="77777777" w:rsidTr="009B2773">
        <w:trPr>
          <w:cantSplit/>
        </w:trPr>
        <w:tc>
          <w:tcPr>
            <w:tcW w:w="1296" w:type="pct"/>
          </w:tcPr>
          <w:p w14:paraId="66EA27B0" w14:textId="77777777" w:rsidR="00326E23" w:rsidRPr="0013396E" w:rsidRDefault="00326E23" w:rsidP="009B2773">
            <w:pPr>
              <w:spacing w:after="60"/>
              <w:rPr>
                <w:iCs/>
                <w:sz w:val="20"/>
              </w:rPr>
            </w:pPr>
            <w:r w:rsidRPr="0013396E">
              <w:rPr>
                <w:iCs/>
                <w:sz w:val="20"/>
              </w:rPr>
              <w:t>MH</w:t>
            </w:r>
            <w:r w:rsidRPr="0013396E">
              <w:rPr>
                <w:i/>
                <w:iCs/>
                <w:sz w:val="20"/>
                <w:vertAlign w:val="subscript"/>
              </w:rPr>
              <w:t xml:space="preserve"> m</w:t>
            </w:r>
            <w:r w:rsidRPr="0013396E">
              <w:rPr>
                <w:iCs/>
                <w:sz w:val="20"/>
              </w:rPr>
              <w:t xml:space="preserve"> </w:t>
            </w:r>
          </w:p>
        </w:tc>
        <w:tc>
          <w:tcPr>
            <w:tcW w:w="474" w:type="pct"/>
          </w:tcPr>
          <w:p w14:paraId="400172CA" w14:textId="77777777" w:rsidR="00326E23" w:rsidRPr="0013396E" w:rsidRDefault="00326E23" w:rsidP="009B2773">
            <w:pPr>
              <w:tabs>
                <w:tab w:val="left" w:pos="2880"/>
              </w:tabs>
              <w:spacing w:after="60"/>
              <w:contextualSpacing/>
              <w:rPr>
                <w:iCs/>
                <w:sz w:val="20"/>
              </w:rPr>
            </w:pPr>
            <w:r w:rsidRPr="0013396E">
              <w:rPr>
                <w:iCs/>
                <w:sz w:val="20"/>
              </w:rPr>
              <w:t>hour</w:t>
            </w:r>
          </w:p>
        </w:tc>
        <w:tc>
          <w:tcPr>
            <w:tcW w:w="3230" w:type="pct"/>
          </w:tcPr>
          <w:p w14:paraId="129D7FC9" w14:textId="77777777" w:rsidR="00326E23" w:rsidRPr="0013396E" w:rsidRDefault="00326E23" w:rsidP="009B2773">
            <w:pPr>
              <w:tabs>
                <w:tab w:val="left" w:pos="2880"/>
              </w:tabs>
              <w:spacing w:after="60"/>
              <w:contextualSpacing/>
              <w:rPr>
                <w:i/>
                <w:iCs/>
                <w:sz w:val="20"/>
              </w:rPr>
            </w:pPr>
            <w:r w:rsidRPr="0013396E">
              <w:rPr>
                <w:i/>
                <w:iCs/>
                <w:sz w:val="20"/>
              </w:rPr>
              <w:t xml:space="preserve">Number of Hours in the Month </w:t>
            </w:r>
            <w:r w:rsidRPr="0013396E">
              <w:rPr>
                <w:iCs/>
                <w:sz w:val="20"/>
              </w:rPr>
              <w:t xml:space="preserve">—The total number of hours in the month </w:t>
            </w:r>
            <w:r w:rsidRPr="0013396E">
              <w:rPr>
                <w:i/>
                <w:iCs/>
                <w:sz w:val="20"/>
              </w:rPr>
              <w:t>m</w:t>
            </w:r>
            <w:r w:rsidRPr="0013396E">
              <w:rPr>
                <w:iCs/>
                <w:sz w:val="20"/>
              </w:rPr>
              <w:t>, which overlaps a month in which an RMR Agreement was effective.</w:t>
            </w:r>
          </w:p>
        </w:tc>
      </w:tr>
      <w:tr w:rsidR="00326E23" w:rsidRPr="0013396E" w14:paraId="6568AC60" w14:textId="77777777" w:rsidTr="009B2773">
        <w:trPr>
          <w:cantSplit/>
          <w:trHeight w:val="323"/>
        </w:trPr>
        <w:tc>
          <w:tcPr>
            <w:tcW w:w="1296" w:type="pct"/>
          </w:tcPr>
          <w:p w14:paraId="79B34167" w14:textId="77777777" w:rsidR="00326E23" w:rsidRPr="0013396E" w:rsidRDefault="00326E23" w:rsidP="009B2773">
            <w:pPr>
              <w:spacing w:after="60"/>
              <w:rPr>
                <w:iCs/>
                <w:sz w:val="20"/>
              </w:rPr>
            </w:pPr>
            <w:r w:rsidRPr="0013396E">
              <w:rPr>
                <w:i/>
                <w:iCs/>
                <w:sz w:val="20"/>
              </w:rPr>
              <w:t>m</w:t>
            </w:r>
          </w:p>
        </w:tc>
        <w:tc>
          <w:tcPr>
            <w:tcW w:w="474" w:type="pct"/>
          </w:tcPr>
          <w:p w14:paraId="6CE0F82A"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0D9D44E5" w14:textId="77777777" w:rsidR="00326E23" w:rsidRPr="0013396E" w:rsidRDefault="00326E23" w:rsidP="009B2773">
            <w:pPr>
              <w:tabs>
                <w:tab w:val="left" w:pos="2880"/>
              </w:tabs>
              <w:spacing w:after="60"/>
              <w:contextualSpacing/>
              <w:rPr>
                <w:iCs/>
                <w:sz w:val="20"/>
              </w:rPr>
            </w:pPr>
            <w:r w:rsidRPr="0013396E">
              <w:rPr>
                <w:iCs/>
                <w:sz w:val="20"/>
              </w:rPr>
              <w:t>A month in the RMR Agreement period.</w:t>
            </w:r>
          </w:p>
        </w:tc>
      </w:tr>
      <w:tr w:rsidR="00326E23" w:rsidRPr="0013396E" w14:paraId="40F8C6A9" w14:textId="77777777" w:rsidTr="009B2773">
        <w:trPr>
          <w:cantSplit/>
          <w:trHeight w:val="323"/>
        </w:trPr>
        <w:tc>
          <w:tcPr>
            <w:tcW w:w="1296" w:type="pct"/>
          </w:tcPr>
          <w:p w14:paraId="7BA9DF00" w14:textId="77777777" w:rsidR="00326E23" w:rsidRPr="0013396E" w:rsidRDefault="00326E23" w:rsidP="009B2773">
            <w:pPr>
              <w:spacing w:after="60"/>
              <w:rPr>
                <w:i/>
                <w:iCs/>
                <w:sz w:val="20"/>
              </w:rPr>
            </w:pPr>
            <w:r w:rsidRPr="0013396E">
              <w:rPr>
                <w:i/>
                <w:iCs/>
                <w:sz w:val="20"/>
              </w:rPr>
              <w:t>q</w:t>
            </w:r>
          </w:p>
        </w:tc>
        <w:tc>
          <w:tcPr>
            <w:tcW w:w="474" w:type="pct"/>
          </w:tcPr>
          <w:p w14:paraId="3EDCF411"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3D8C0DC3" w14:textId="77777777" w:rsidR="00326E23" w:rsidRPr="0013396E" w:rsidRDefault="00326E23" w:rsidP="009B2773">
            <w:pPr>
              <w:tabs>
                <w:tab w:val="left" w:pos="2880"/>
              </w:tabs>
              <w:spacing w:after="60"/>
              <w:contextualSpacing/>
              <w:rPr>
                <w:iCs/>
                <w:sz w:val="20"/>
              </w:rPr>
            </w:pPr>
            <w:r w:rsidRPr="0013396E">
              <w:rPr>
                <w:iCs/>
                <w:sz w:val="20"/>
              </w:rPr>
              <w:t>A QSE.</w:t>
            </w:r>
          </w:p>
        </w:tc>
      </w:tr>
      <w:tr w:rsidR="00326E23" w:rsidRPr="0013396E" w14:paraId="260D3C08" w14:textId="77777777" w:rsidTr="009B2773">
        <w:trPr>
          <w:cantSplit/>
          <w:trHeight w:val="323"/>
        </w:trPr>
        <w:tc>
          <w:tcPr>
            <w:tcW w:w="1296" w:type="pct"/>
          </w:tcPr>
          <w:p w14:paraId="22EA0C8D" w14:textId="77777777" w:rsidR="00326E23" w:rsidRPr="0013396E" w:rsidRDefault="00326E23" w:rsidP="009B2773">
            <w:pPr>
              <w:spacing w:after="60"/>
              <w:rPr>
                <w:i/>
                <w:iCs/>
                <w:sz w:val="20"/>
              </w:rPr>
            </w:pPr>
            <w:r w:rsidRPr="0013396E">
              <w:rPr>
                <w:i/>
                <w:iCs/>
                <w:sz w:val="20"/>
              </w:rPr>
              <w:t>r</w:t>
            </w:r>
          </w:p>
        </w:tc>
        <w:tc>
          <w:tcPr>
            <w:tcW w:w="474" w:type="pct"/>
          </w:tcPr>
          <w:p w14:paraId="07F037D2"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259A286A" w14:textId="77777777" w:rsidR="00326E23" w:rsidRPr="0013396E" w:rsidRDefault="00326E23" w:rsidP="009B2773">
            <w:pPr>
              <w:tabs>
                <w:tab w:val="left" w:pos="2880"/>
              </w:tabs>
              <w:spacing w:after="60"/>
              <w:contextualSpacing/>
              <w:rPr>
                <w:iCs/>
                <w:sz w:val="20"/>
              </w:rPr>
            </w:pPr>
            <w:r w:rsidRPr="0013396E">
              <w:rPr>
                <w:iCs/>
                <w:sz w:val="20"/>
              </w:rPr>
              <w:t>An RMR Unit.</w:t>
            </w:r>
          </w:p>
        </w:tc>
      </w:tr>
    </w:tbl>
    <w:p w14:paraId="64C4CA5B" w14:textId="77777777" w:rsidR="00326E23" w:rsidRPr="0013396E" w:rsidRDefault="00326E23" w:rsidP="00326E23">
      <w:pPr>
        <w:spacing w:before="240" w:after="240"/>
        <w:ind w:left="720" w:hanging="720"/>
      </w:pPr>
      <w:r w:rsidRPr="0013396E">
        <w:rPr>
          <w:bCs/>
        </w:rPr>
        <w:t>(3)</w:t>
      </w:r>
      <w:r w:rsidRPr="0013396E">
        <w:rPr>
          <w:bCs/>
        </w:rPr>
        <w:tab/>
        <w:t>ERCOT shall collect and distribute Must-Run Alternative (MRA) contributed capital expenditures described in Section 3.14.1.19 as follows:</w:t>
      </w:r>
    </w:p>
    <w:p w14:paraId="6C9401E3" w14:textId="77777777" w:rsidR="00326E23" w:rsidRPr="0013396E" w:rsidRDefault="00326E23" w:rsidP="00326E23">
      <w:pPr>
        <w:spacing w:after="240"/>
        <w:ind w:left="1440" w:hanging="720"/>
      </w:pPr>
      <w:r w:rsidRPr="0013396E">
        <w:t>(a)</w:t>
      </w:r>
      <w:r w:rsidRPr="0013396E">
        <w:tab/>
        <w:t xml:space="preserve">The one-time charge to the QSE to collect the lump sum of contributed capital </w:t>
      </w:r>
      <w:r w:rsidRPr="0013396E">
        <w:rPr>
          <w:iCs/>
        </w:rPr>
        <w:t>expenditures</w:t>
      </w:r>
      <w:r w:rsidRPr="0013396E">
        <w:t xml:space="preserve"> will be reflected as:</w:t>
      </w:r>
    </w:p>
    <w:p w14:paraId="051952D6" w14:textId="77777777" w:rsidR="00326E23" w:rsidRPr="0013396E" w:rsidRDefault="00326E23" w:rsidP="00326E23">
      <w:pPr>
        <w:spacing w:before="240" w:after="240"/>
        <w:ind w:left="720" w:firstLine="720"/>
      </w:pPr>
      <w:r w:rsidRPr="0013396E">
        <w:rPr>
          <w:lang w:val="pt-BR"/>
        </w:rPr>
        <w:t>MRACERAMT</w:t>
      </w:r>
      <w:r w:rsidRPr="0013396E">
        <w:rPr>
          <w:i/>
          <w:vertAlign w:val="subscript"/>
        </w:rPr>
        <w:t xml:space="preserve"> q, r, c</w:t>
      </w:r>
    </w:p>
    <w:p w14:paraId="378B887A" w14:textId="77777777" w:rsidR="00326E23" w:rsidRPr="0013396E" w:rsidRDefault="00326E23" w:rsidP="00326E23">
      <w:pPr>
        <w:spacing w:after="240"/>
        <w:ind w:left="1440" w:hanging="720"/>
      </w:pPr>
      <w:r w:rsidRPr="0013396E">
        <w:t>(b)</w:t>
      </w:r>
      <w:r w:rsidRPr="0013396E">
        <w:tab/>
        <w:t>The one-</w:t>
      </w:r>
      <w:r w:rsidRPr="0013396E">
        <w:rPr>
          <w:iCs/>
        </w:rPr>
        <w:t>time</w:t>
      </w:r>
      <w:r w:rsidRPr="0013396E">
        <w:t xml:space="preserve"> payment is calculated as follows:</w:t>
      </w:r>
    </w:p>
    <w:p w14:paraId="7EFF74A7" w14:textId="52D447FD" w:rsidR="00326E23" w:rsidRPr="0013396E" w:rsidRDefault="00326E23" w:rsidP="00326E23">
      <w:pPr>
        <w:spacing w:after="240"/>
        <w:ind w:left="720" w:firstLine="720"/>
        <w:rPr>
          <w:i/>
          <w:vertAlign w:val="subscript"/>
        </w:rPr>
      </w:pPr>
      <w:r w:rsidRPr="0013396E">
        <w:t>LAMRACERAMT</w:t>
      </w:r>
      <w:r w:rsidRPr="0013396E">
        <w:rPr>
          <w:i/>
          <w:vertAlign w:val="subscript"/>
        </w:rPr>
        <w:t xml:space="preserve"> q</w:t>
      </w:r>
      <w:r w:rsidRPr="0013396E">
        <w:t xml:space="preserve">   =   (-1) * </w:t>
      </w:r>
      <w:r w:rsidR="00A94020" w:rsidRPr="0013396E">
        <w:rPr>
          <w:noProof/>
          <w:position w:val="-18"/>
        </w:rPr>
        <w:drawing>
          <wp:inline distT="0" distB="0" distL="0" distR="0" wp14:anchorId="51308978" wp14:editId="3B44A0A9">
            <wp:extent cx="133350" cy="257175"/>
            <wp:effectExtent l="0" t="0" r="0" b="9525"/>
            <wp:docPr id="1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33350" cy="257175"/>
                    </a:xfrm>
                    <a:prstGeom prst="rect">
                      <a:avLst/>
                    </a:prstGeom>
                    <a:noFill/>
                    <a:ln>
                      <a:noFill/>
                    </a:ln>
                  </pic:spPr>
                </pic:pic>
              </a:graphicData>
            </a:graphic>
          </wp:inline>
        </w:drawing>
      </w:r>
      <w:r w:rsidR="00A94020" w:rsidRPr="0013396E">
        <w:rPr>
          <w:noProof/>
          <w:position w:val="-18"/>
        </w:rPr>
        <w:drawing>
          <wp:inline distT="0" distB="0" distL="0" distR="0" wp14:anchorId="4E16A0CD" wp14:editId="676652FE">
            <wp:extent cx="133350" cy="257175"/>
            <wp:effectExtent l="0" t="0" r="0" b="9525"/>
            <wp:docPr id="1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33350" cy="257175"/>
                    </a:xfrm>
                    <a:prstGeom prst="rect">
                      <a:avLst/>
                    </a:prstGeom>
                    <a:noFill/>
                    <a:ln>
                      <a:noFill/>
                    </a:ln>
                  </pic:spPr>
                </pic:pic>
              </a:graphicData>
            </a:graphic>
          </wp:inline>
        </w:drawing>
      </w:r>
      <w:r w:rsidRPr="0013396E">
        <w:t xml:space="preserve"> </w:t>
      </w:r>
      <w:r w:rsidRPr="0013396E">
        <w:rPr>
          <w:lang w:val="pt-BR"/>
        </w:rPr>
        <w:t>MMRACER / MH</w:t>
      </w:r>
      <w:r w:rsidRPr="0013396E">
        <w:rPr>
          <w:i/>
          <w:vertAlign w:val="subscript"/>
        </w:rPr>
        <w:t xml:space="preserve"> q, r</w:t>
      </w:r>
      <w:r w:rsidRPr="0013396E">
        <w:rPr>
          <w:lang w:val="pt-BR"/>
        </w:rPr>
        <w:t xml:space="preserve"> * HLRS</w:t>
      </w:r>
      <w:r w:rsidRPr="0013396E">
        <w:rPr>
          <w:i/>
          <w:vertAlign w:val="subscript"/>
        </w:rPr>
        <w:t xml:space="preserve"> q</w:t>
      </w:r>
    </w:p>
    <w:p w14:paraId="292B1DAF" w14:textId="77777777" w:rsidR="00326E23" w:rsidRPr="0013396E" w:rsidRDefault="00326E23" w:rsidP="00326E23">
      <w:pPr>
        <w:spacing w:after="240"/>
        <w:ind w:left="720" w:firstLine="720"/>
        <w:rPr>
          <w:i/>
          <w:vertAlign w:val="subscript"/>
        </w:rPr>
      </w:pPr>
      <w:r w:rsidRPr="0013396E">
        <w:t>Where:</w:t>
      </w:r>
    </w:p>
    <w:p w14:paraId="761E9584" w14:textId="77777777" w:rsidR="00326E23" w:rsidRPr="0013396E" w:rsidRDefault="00326E23" w:rsidP="00326E23">
      <w:pPr>
        <w:spacing w:after="240"/>
        <w:ind w:left="1440"/>
        <w:rPr>
          <w:i/>
          <w:vertAlign w:val="subscript"/>
        </w:rPr>
      </w:pPr>
      <w:r w:rsidRPr="0013396E">
        <w:rPr>
          <w:lang w:val="pt-BR"/>
        </w:rPr>
        <w:t>MMRACER =    MRACERAMT</w:t>
      </w:r>
      <w:r w:rsidRPr="0013396E">
        <w:rPr>
          <w:i/>
          <w:vertAlign w:val="subscript"/>
        </w:rPr>
        <w:t xml:space="preserve"> q, r, c</w:t>
      </w:r>
      <w:r w:rsidRPr="0013396E">
        <w:rPr>
          <w:lang w:val="pt-BR"/>
        </w:rPr>
        <w:t xml:space="preserve"> / CM</w:t>
      </w:r>
      <w:r w:rsidRPr="0013396E">
        <w:rPr>
          <w:i/>
          <w:vertAlign w:val="subscript"/>
        </w:rPr>
        <w:t xml:space="preserve"> q, r, c</w:t>
      </w:r>
    </w:p>
    <w:p w14:paraId="0E5AEC15" w14:textId="77777777" w:rsidR="00326E23" w:rsidRPr="0013396E" w:rsidRDefault="00326E23" w:rsidP="00326E23">
      <w:pPr>
        <w:spacing w:after="240"/>
        <w:ind w:left="1440"/>
        <w:jc w:val="both"/>
      </w:pPr>
      <w:r w:rsidRPr="0013396E">
        <w:t>The HLRS used will be the HLRS for each day within the contracted month M.  The most recent approved HLRS available at time the miscellaneous Invoice is posted will be used.  The miscellaneous Invoice will not be re-calculated with subsequent Settlement runs unless required by a dispute or ADR.  If a dispute or ADR requires ERCOT to re-issue the miscellaneous Invoice, the most recent approved HLRS values will be used.</w:t>
      </w:r>
    </w:p>
    <w:p w14:paraId="511F904F" w14:textId="77777777" w:rsidR="00326E23" w:rsidRPr="0013396E" w:rsidRDefault="00326E23" w:rsidP="00326E23">
      <w:pPr>
        <w:tabs>
          <w:tab w:val="left" w:pos="2250"/>
          <w:tab w:val="left" w:pos="3150"/>
          <w:tab w:val="left" w:pos="3960"/>
        </w:tabs>
      </w:pPr>
      <w:r w:rsidRPr="0013396E">
        <w:t>The above variables are defined as follows:</w:t>
      </w:r>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56"/>
        <w:gridCol w:w="898"/>
        <w:gridCol w:w="6120"/>
      </w:tblGrid>
      <w:tr w:rsidR="00326E23" w:rsidRPr="0013396E" w14:paraId="20C50F21" w14:textId="77777777" w:rsidTr="00E15B46">
        <w:tc>
          <w:tcPr>
            <w:tcW w:w="1296" w:type="pct"/>
          </w:tcPr>
          <w:p w14:paraId="42F006C2" w14:textId="77777777" w:rsidR="00326E23" w:rsidRPr="0013396E" w:rsidRDefault="00326E23" w:rsidP="009B2773">
            <w:pPr>
              <w:spacing w:after="240"/>
              <w:rPr>
                <w:b/>
                <w:iCs/>
                <w:sz w:val="20"/>
              </w:rPr>
            </w:pPr>
            <w:r w:rsidRPr="0013396E">
              <w:rPr>
                <w:b/>
                <w:iCs/>
                <w:sz w:val="20"/>
              </w:rPr>
              <w:t>Variable</w:t>
            </w:r>
          </w:p>
        </w:tc>
        <w:tc>
          <w:tcPr>
            <w:tcW w:w="474" w:type="pct"/>
          </w:tcPr>
          <w:p w14:paraId="0D401513" w14:textId="77777777" w:rsidR="00326E23" w:rsidRPr="0013396E" w:rsidRDefault="00326E23" w:rsidP="009B2773">
            <w:pPr>
              <w:spacing w:after="240"/>
              <w:rPr>
                <w:b/>
                <w:iCs/>
                <w:sz w:val="20"/>
              </w:rPr>
            </w:pPr>
            <w:r w:rsidRPr="0013396E">
              <w:rPr>
                <w:b/>
                <w:iCs/>
                <w:sz w:val="20"/>
              </w:rPr>
              <w:t>Unit</w:t>
            </w:r>
          </w:p>
        </w:tc>
        <w:tc>
          <w:tcPr>
            <w:tcW w:w="3230" w:type="pct"/>
          </w:tcPr>
          <w:p w14:paraId="6E753026" w14:textId="77777777" w:rsidR="00326E23" w:rsidRPr="0013396E" w:rsidRDefault="00326E23" w:rsidP="009B2773">
            <w:pPr>
              <w:spacing w:after="240"/>
              <w:rPr>
                <w:b/>
                <w:iCs/>
                <w:sz w:val="20"/>
              </w:rPr>
            </w:pPr>
            <w:r w:rsidRPr="0013396E">
              <w:rPr>
                <w:b/>
                <w:iCs/>
                <w:sz w:val="20"/>
              </w:rPr>
              <w:t>Description</w:t>
            </w:r>
          </w:p>
        </w:tc>
      </w:tr>
      <w:tr w:rsidR="00326E23" w:rsidRPr="0013396E" w14:paraId="202C2FA0" w14:textId="77777777" w:rsidTr="00E15B46">
        <w:trPr>
          <w:cantSplit/>
          <w:trHeight w:val="692"/>
        </w:trPr>
        <w:tc>
          <w:tcPr>
            <w:tcW w:w="1296" w:type="pct"/>
          </w:tcPr>
          <w:p w14:paraId="42E21910" w14:textId="77777777" w:rsidR="00326E23" w:rsidRPr="0013396E" w:rsidRDefault="00326E23" w:rsidP="009B2773">
            <w:pPr>
              <w:spacing w:after="60"/>
              <w:rPr>
                <w:iCs/>
                <w:sz w:val="20"/>
              </w:rPr>
            </w:pPr>
            <w:r w:rsidRPr="0013396E">
              <w:rPr>
                <w:iCs/>
                <w:sz w:val="20"/>
                <w:lang w:val="pt-BR"/>
              </w:rPr>
              <w:t>MRACERAMT</w:t>
            </w:r>
            <w:r w:rsidRPr="0013396E">
              <w:rPr>
                <w:i/>
                <w:iCs/>
                <w:sz w:val="20"/>
                <w:vertAlign w:val="subscript"/>
              </w:rPr>
              <w:t xml:space="preserve"> q, r, c</w:t>
            </w:r>
          </w:p>
        </w:tc>
        <w:tc>
          <w:tcPr>
            <w:tcW w:w="474" w:type="pct"/>
          </w:tcPr>
          <w:p w14:paraId="76E85DDD" w14:textId="77777777" w:rsidR="00326E23" w:rsidRPr="0013396E" w:rsidRDefault="00326E23" w:rsidP="009B2773">
            <w:pPr>
              <w:spacing w:after="60"/>
              <w:rPr>
                <w:iCs/>
                <w:sz w:val="20"/>
              </w:rPr>
            </w:pPr>
            <w:r w:rsidRPr="0013396E">
              <w:rPr>
                <w:iCs/>
                <w:sz w:val="20"/>
              </w:rPr>
              <w:t>$</w:t>
            </w:r>
          </w:p>
        </w:tc>
        <w:tc>
          <w:tcPr>
            <w:tcW w:w="3230" w:type="pct"/>
          </w:tcPr>
          <w:p w14:paraId="4B65EC6F" w14:textId="77777777" w:rsidR="00326E23" w:rsidRPr="0013396E" w:rsidRDefault="00326E23" w:rsidP="009B2773">
            <w:pPr>
              <w:spacing w:after="60"/>
              <w:rPr>
                <w:iCs/>
                <w:sz w:val="20"/>
              </w:rPr>
            </w:pPr>
            <w:r w:rsidRPr="0013396E">
              <w:rPr>
                <w:i/>
                <w:iCs/>
                <w:sz w:val="20"/>
              </w:rPr>
              <w:t>Must-Run Alternative Capital Expenditure Refund Amount</w:t>
            </w:r>
            <w:r w:rsidRPr="0013396E">
              <w:rPr>
                <w:iCs/>
                <w:sz w:val="20"/>
              </w:rPr>
              <w:t xml:space="preserve"> – The lump sum amount of contributed capital expenditures refunded to ERCOT per Section </w:t>
            </w:r>
            <w:r w:rsidRPr="0013396E">
              <w:rPr>
                <w:bCs/>
                <w:iCs/>
                <w:sz w:val="20"/>
              </w:rPr>
              <w:t>3.14.1.19</w:t>
            </w:r>
            <w:r w:rsidRPr="0013396E">
              <w:rPr>
                <w:iCs/>
                <w:sz w:val="20"/>
              </w:rPr>
              <w:t xml:space="preserve">. </w:t>
            </w:r>
          </w:p>
        </w:tc>
      </w:tr>
      <w:tr w:rsidR="00326E23" w:rsidRPr="0013396E" w14:paraId="45A726EC" w14:textId="77777777" w:rsidTr="00E15B46">
        <w:trPr>
          <w:cantSplit/>
        </w:trPr>
        <w:tc>
          <w:tcPr>
            <w:tcW w:w="1296" w:type="pct"/>
          </w:tcPr>
          <w:p w14:paraId="5A2BC3AC" w14:textId="77777777" w:rsidR="00326E23" w:rsidRPr="0013396E" w:rsidRDefault="00326E23" w:rsidP="009B2773">
            <w:pPr>
              <w:spacing w:after="60"/>
              <w:rPr>
                <w:iCs/>
                <w:sz w:val="20"/>
              </w:rPr>
            </w:pPr>
            <w:r w:rsidRPr="0013396E">
              <w:rPr>
                <w:iCs/>
                <w:sz w:val="20"/>
                <w:lang w:val="pt-BR"/>
              </w:rPr>
              <w:t>MMRACER</w:t>
            </w:r>
          </w:p>
        </w:tc>
        <w:tc>
          <w:tcPr>
            <w:tcW w:w="474" w:type="pct"/>
          </w:tcPr>
          <w:p w14:paraId="5BFE8050" w14:textId="77777777" w:rsidR="00326E23" w:rsidRPr="0013396E" w:rsidRDefault="00326E23" w:rsidP="009B2773">
            <w:pPr>
              <w:tabs>
                <w:tab w:val="left" w:pos="2160"/>
              </w:tabs>
              <w:spacing w:after="60"/>
              <w:contextualSpacing/>
              <w:rPr>
                <w:iCs/>
                <w:sz w:val="20"/>
              </w:rPr>
            </w:pPr>
            <w:r w:rsidRPr="0013396E">
              <w:rPr>
                <w:sz w:val="20"/>
              </w:rPr>
              <w:t>$</w:t>
            </w:r>
          </w:p>
        </w:tc>
        <w:tc>
          <w:tcPr>
            <w:tcW w:w="3230" w:type="pct"/>
          </w:tcPr>
          <w:p w14:paraId="4D8D6D4E" w14:textId="77777777" w:rsidR="00326E23" w:rsidRPr="0013396E" w:rsidRDefault="00326E23" w:rsidP="009B2773">
            <w:pPr>
              <w:spacing w:after="60"/>
              <w:rPr>
                <w:iCs/>
                <w:sz w:val="20"/>
              </w:rPr>
            </w:pPr>
            <w:r w:rsidRPr="0013396E">
              <w:rPr>
                <w:i/>
                <w:iCs/>
                <w:sz w:val="20"/>
              </w:rPr>
              <w:t xml:space="preserve">Monthly Must-Run Alternative Capital Expenditure Refund </w:t>
            </w:r>
            <w:r w:rsidRPr="0013396E">
              <w:rPr>
                <w:iCs/>
                <w:sz w:val="20"/>
              </w:rPr>
              <w:t xml:space="preserve">– The lump sum amount of contributed capital expenditures refunded to ERCOT per Section </w:t>
            </w:r>
            <w:r w:rsidRPr="0013396E">
              <w:rPr>
                <w:bCs/>
                <w:iCs/>
                <w:sz w:val="20"/>
              </w:rPr>
              <w:t>3.14.1.19</w:t>
            </w:r>
            <w:r w:rsidRPr="0013396E">
              <w:rPr>
                <w:iCs/>
                <w:sz w:val="20"/>
              </w:rPr>
              <w:t xml:space="preserve"> pro-rated over the number of months of the MRA Agreement.</w:t>
            </w:r>
          </w:p>
        </w:tc>
      </w:tr>
      <w:tr w:rsidR="00326E23" w:rsidRPr="0013396E" w14:paraId="3C7931E3" w14:textId="77777777" w:rsidTr="00E15B46">
        <w:trPr>
          <w:cantSplit/>
        </w:trPr>
        <w:tc>
          <w:tcPr>
            <w:tcW w:w="1296" w:type="pct"/>
          </w:tcPr>
          <w:p w14:paraId="388D008E" w14:textId="77777777" w:rsidR="00326E23" w:rsidRPr="0013396E" w:rsidRDefault="00326E23" w:rsidP="009B2773">
            <w:pPr>
              <w:spacing w:after="60"/>
              <w:rPr>
                <w:iCs/>
                <w:sz w:val="20"/>
              </w:rPr>
            </w:pPr>
            <w:r w:rsidRPr="0013396E">
              <w:rPr>
                <w:iCs/>
                <w:sz w:val="20"/>
              </w:rPr>
              <w:lastRenderedPageBreak/>
              <w:t>LAMRACERAMT</w:t>
            </w:r>
            <w:r w:rsidRPr="0013396E">
              <w:rPr>
                <w:i/>
                <w:iCs/>
                <w:sz w:val="20"/>
                <w:vertAlign w:val="subscript"/>
              </w:rPr>
              <w:t xml:space="preserve"> q</w:t>
            </w:r>
          </w:p>
        </w:tc>
        <w:tc>
          <w:tcPr>
            <w:tcW w:w="474" w:type="pct"/>
          </w:tcPr>
          <w:p w14:paraId="145B12BE" w14:textId="77777777" w:rsidR="00326E23" w:rsidRPr="0013396E" w:rsidRDefault="00326E23" w:rsidP="009B2773">
            <w:pPr>
              <w:tabs>
                <w:tab w:val="left" w:pos="2880"/>
              </w:tabs>
              <w:spacing w:after="60"/>
              <w:contextualSpacing/>
              <w:rPr>
                <w:iCs/>
                <w:sz w:val="20"/>
              </w:rPr>
            </w:pPr>
            <w:r w:rsidRPr="0013396E">
              <w:rPr>
                <w:iCs/>
                <w:sz w:val="20"/>
              </w:rPr>
              <w:t>$</w:t>
            </w:r>
          </w:p>
        </w:tc>
        <w:tc>
          <w:tcPr>
            <w:tcW w:w="3230" w:type="pct"/>
          </w:tcPr>
          <w:p w14:paraId="04EABD9F" w14:textId="77777777" w:rsidR="00326E23" w:rsidRPr="0013396E" w:rsidRDefault="00326E23" w:rsidP="009B2773">
            <w:pPr>
              <w:tabs>
                <w:tab w:val="left" w:pos="2880"/>
              </w:tabs>
              <w:spacing w:after="60"/>
              <w:contextualSpacing/>
              <w:rPr>
                <w:iCs/>
                <w:sz w:val="20"/>
              </w:rPr>
            </w:pPr>
            <w:r w:rsidRPr="0013396E">
              <w:rPr>
                <w:i/>
                <w:iCs/>
                <w:sz w:val="20"/>
              </w:rPr>
              <w:t xml:space="preserve">Load Allocated Must-Run Alternative Capital Expenditure Refund Amount </w:t>
            </w:r>
            <w:r w:rsidRPr="0013396E">
              <w:rPr>
                <w:iCs/>
                <w:sz w:val="20"/>
              </w:rPr>
              <w:t>– The amount of refunded capital expenditures paid to QSE</w:t>
            </w:r>
            <w:r w:rsidRPr="0013396E">
              <w:rPr>
                <w:i/>
                <w:iCs/>
                <w:sz w:val="20"/>
              </w:rPr>
              <w:t xml:space="preserve"> q</w:t>
            </w:r>
            <w:r w:rsidRPr="0013396E">
              <w:rPr>
                <w:iCs/>
                <w:sz w:val="20"/>
              </w:rPr>
              <w:t xml:space="preserve"> based on its HLRS.</w:t>
            </w:r>
          </w:p>
        </w:tc>
      </w:tr>
      <w:tr w:rsidR="00326E23" w:rsidRPr="0013396E" w14:paraId="319FBDC4" w14:textId="77777777" w:rsidTr="00E15B46">
        <w:trPr>
          <w:cantSplit/>
        </w:trPr>
        <w:tc>
          <w:tcPr>
            <w:tcW w:w="1296" w:type="pct"/>
          </w:tcPr>
          <w:p w14:paraId="107BA2FD" w14:textId="77777777" w:rsidR="00326E23" w:rsidRPr="0013396E" w:rsidRDefault="00326E23" w:rsidP="009B2773">
            <w:pPr>
              <w:spacing w:after="60"/>
              <w:rPr>
                <w:iCs/>
                <w:sz w:val="20"/>
              </w:rPr>
            </w:pPr>
            <w:r w:rsidRPr="0013396E">
              <w:rPr>
                <w:iCs/>
                <w:sz w:val="20"/>
              </w:rPr>
              <w:t xml:space="preserve">HLRS </w:t>
            </w:r>
            <w:r w:rsidRPr="0013396E">
              <w:rPr>
                <w:i/>
                <w:iCs/>
                <w:sz w:val="20"/>
                <w:vertAlign w:val="subscript"/>
              </w:rPr>
              <w:t>q</w:t>
            </w:r>
          </w:p>
        </w:tc>
        <w:tc>
          <w:tcPr>
            <w:tcW w:w="474" w:type="pct"/>
          </w:tcPr>
          <w:p w14:paraId="72288F5C"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1910B941" w14:textId="77777777" w:rsidR="00326E23" w:rsidRPr="0013396E" w:rsidRDefault="00326E23" w:rsidP="009B2773">
            <w:pPr>
              <w:autoSpaceDE w:val="0"/>
              <w:autoSpaceDN w:val="0"/>
              <w:adjustRightInd w:val="0"/>
              <w:spacing w:after="60"/>
              <w:rPr>
                <w:color w:val="000000"/>
                <w:sz w:val="20"/>
              </w:rPr>
            </w:pPr>
            <w:r w:rsidRPr="0013396E">
              <w:rPr>
                <w:i/>
                <w:iCs/>
                <w:color w:val="000000"/>
                <w:sz w:val="20"/>
              </w:rPr>
              <w:t>Hourly Load Ratio Share per QSE</w:t>
            </w:r>
            <w:r w:rsidRPr="0013396E">
              <w:rPr>
                <w:i/>
                <w:color w:val="000000"/>
                <w:sz w:val="20"/>
              </w:rPr>
              <w:t xml:space="preserve"> </w:t>
            </w:r>
            <w:r w:rsidRPr="0013396E">
              <w:rPr>
                <w:color w:val="000000"/>
                <w:sz w:val="20"/>
              </w:rPr>
              <w:t xml:space="preserve">– The hourly LRS calculated for QSE </w:t>
            </w:r>
            <w:r w:rsidRPr="0013396E">
              <w:rPr>
                <w:i/>
                <w:color w:val="000000"/>
                <w:sz w:val="20"/>
              </w:rPr>
              <w:t>q</w:t>
            </w:r>
            <w:r w:rsidRPr="0013396E">
              <w:rPr>
                <w:color w:val="000000"/>
                <w:sz w:val="20"/>
              </w:rPr>
              <w:t xml:space="preserve"> for the hour for month M.  See Section 6.6.2.4, QSE Load Ratio Share for an Operating Hour. </w:t>
            </w:r>
          </w:p>
        </w:tc>
      </w:tr>
      <w:tr w:rsidR="00326E23" w:rsidRPr="0013396E" w14:paraId="04680115" w14:textId="77777777" w:rsidTr="00E15B46">
        <w:trPr>
          <w:cantSplit/>
        </w:trPr>
        <w:tc>
          <w:tcPr>
            <w:tcW w:w="1296" w:type="pct"/>
          </w:tcPr>
          <w:p w14:paraId="583FE929" w14:textId="77777777" w:rsidR="00326E23" w:rsidRPr="0013396E" w:rsidRDefault="00326E23" w:rsidP="009B2773">
            <w:pPr>
              <w:spacing w:after="60"/>
              <w:rPr>
                <w:iCs/>
                <w:sz w:val="20"/>
              </w:rPr>
            </w:pPr>
            <w:r w:rsidRPr="0013396E">
              <w:rPr>
                <w:iCs/>
                <w:sz w:val="20"/>
              </w:rPr>
              <w:t xml:space="preserve">MH </w:t>
            </w:r>
            <w:r w:rsidRPr="0013396E">
              <w:rPr>
                <w:i/>
                <w:iCs/>
                <w:sz w:val="20"/>
                <w:vertAlign w:val="subscript"/>
              </w:rPr>
              <w:t>q, r</w:t>
            </w:r>
          </w:p>
        </w:tc>
        <w:tc>
          <w:tcPr>
            <w:tcW w:w="474" w:type="pct"/>
          </w:tcPr>
          <w:p w14:paraId="26E0A562" w14:textId="77777777" w:rsidR="00326E23" w:rsidRPr="0013396E" w:rsidRDefault="00326E23" w:rsidP="009B2773">
            <w:pPr>
              <w:tabs>
                <w:tab w:val="left" w:pos="2880"/>
              </w:tabs>
              <w:spacing w:after="60"/>
              <w:contextualSpacing/>
              <w:rPr>
                <w:iCs/>
                <w:sz w:val="20"/>
              </w:rPr>
            </w:pPr>
            <w:r w:rsidRPr="0013396E">
              <w:rPr>
                <w:iCs/>
                <w:sz w:val="20"/>
              </w:rPr>
              <w:t>hour</w:t>
            </w:r>
          </w:p>
        </w:tc>
        <w:tc>
          <w:tcPr>
            <w:tcW w:w="3230" w:type="pct"/>
          </w:tcPr>
          <w:p w14:paraId="13357220" w14:textId="77777777" w:rsidR="00326E23" w:rsidRPr="0013396E" w:rsidRDefault="00326E23" w:rsidP="009B2773">
            <w:pPr>
              <w:tabs>
                <w:tab w:val="left" w:pos="2880"/>
              </w:tabs>
              <w:spacing w:after="60"/>
              <w:contextualSpacing/>
              <w:rPr>
                <w:i/>
                <w:iCs/>
                <w:sz w:val="20"/>
              </w:rPr>
            </w:pPr>
            <w:r w:rsidRPr="0013396E">
              <w:rPr>
                <w:i/>
                <w:iCs/>
                <w:sz w:val="20"/>
              </w:rPr>
              <w:t>Number of Hours in the Month per QSE per Resource</w:t>
            </w:r>
            <w:r w:rsidRPr="0013396E">
              <w:rPr>
                <w:iCs/>
                <w:sz w:val="20"/>
              </w:rPr>
              <w:t xml:space="preserve">—The total number of hours in the month, when MRA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is under an MRA Agreement.  Where for a Combined Cycle Train, the Resource </w:t>
            </w:r>
            <w:r w:rsidRPr="0013396E">
              <w:rPr>
                <w:i/>
                <w:iCs/>
                <w:sz w:val="20"/>
              </w:rPr>
              <w:t xml:space="preserve">r </w:t>
            </w:r>
            <w:r w:rsidRPr="0013396E">
              <w:rPr>
                <w:iCs/>
                <w:sz w:val="20"/>
              </w:rPr>
              <w:t>is a Combined Cycle Train.</w:t>
            </w:r>
          </w:p>
        </w:tc>
      </w:tr>
      <w:tr w:rsidR="00326E23" w:rsidRPr="0013396E" w14:paraId="71404900" w14:textId="77777777" w:rsidTr="00E15B46">
        <w:trPr>
          <w:cantSplit/>
          <w:trHeight w:val="251"/>
        </w:trPr>
        <w:tc>
          <w:tcPr>
            <w:tcW w:w="1296" w:type="pct"/>
          </w:tcPr>
          <w:p w14:paraId="24FE32BC" w14:textId="77777777" w:rsidR="00326E23" w:rsidRPr="0013396E" w:rsidRDefault="00326E23" w:rsidP="009B2773">
            <w:pPr>
              <w:spacing w:after="60"/>
              <w:ind w:left="720" w:hanging="720"/>
              <w:rPr>
                <w:sz w:val="20"/>
              </w:rPr>
            </w:pPr>
            <w:r w:rsidRPr="0013396E">
              <w:rPr>
                <w:sz w:val="20"/>
              </w:rPr>
              <w:t xml:space="preserve">CM </w:t>
            </w:r>
            <w:r w:rsidRPr="0013396E">
              <w:rPr>
                <w:i/>
                <w:sz w:val="20"/>
                <w:vertAlign w:val="subscript"/>
              </w:rPr>
              <w:t>q, r, c</w:t>
            </w:r>
          </w:p>
        </w:tc>
        <w:tc>
          <w:tcPr>
            <w:tcW w:w="474" w:type="pct"/>
          </w:tcPr>
          <w:p w14:paraId="46ED214D"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122359FF" w14:textId="77777777" w:rsidR="00326E23" w:rsidRPr="0013396E" w:rsidRDefault="00326E23" w:rsidP="009B2773">
            <w:pPr>
              <w:tabs>
                <w:tab w:val="left" w:pos="2880"/>
              </w:tabs>
              <w:spacing w:after="60"/>
              <w:contextualSpacing/>
              <w:rPr>
                <w:i/>
                <w:iCs/>
                <w:sz w:val="20"/>
              </w:rPr>
            </w:pPr>
            <w:r w:rsidRPr="0013396E">
              <w:rPr>
                <w:iCs/>
                <w:sz w:val="20"/>
              </w:rPr>
              <w:t>The number of months of the MRA Agreement period.</w:t>
            </w:r>
          </w:p>
        </w:tc>
      </w:tr>
      <w:tr w:rsidR="00326E23" w:rsidRPr="0013396E" w14:paraId="60C860DC" w14:textId="77777777" w:rsidTr="00E15B46">
        <w:trPr>
          <w:cantSplit/>
          <w:trHeight w:val="323"/>
        </w:trPr>
        <w:tc>
          <w:tcPr>
            <w:tcW w:w="1296" w:type="pct"/>
          </w:tcPr>
          <w:p w14:paraId="4A3D7C23" w14:textId="77777777" w:rsidR="00326E23" w:rsidRPr="0013396E" w:rsidRDefault="00326E23" w:rsidP="009B2773">
            <w:pPr>
              <w:spacing w:after="60"/>
              <w:rPr>
                <w:iCs/>
                <w:sz w:val="20"/>
              </w:rPr>
            </w:pPr>
            <w:r w:rsidRPr="0013396E">
              <w:rPr>
                <w:iCs/>
                <w:sz w:val="20"/>
              </w:rPr>
              <w:t>M</w:t>
            </w:r>
          </w:p>
        </w:tc>
        <w:tc>
          <w:tcPr>
            <w:tcW w:w="474" w:type="pct"/>
          </w:tcPr>
          <w:p w14:paraId="33D01D5D"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520339AC" w14:textId="77777777" w:rsidR="00326E23" w:rsidRPr="0013396E" w:rsidRDefault="00326E23" w:rsidP="009B2773">
            <w:pPr>
              <w:tabs>
                <w:tab w:val="left" w:pos="2880"/>
              </w:tabs>
              <w:spacing w:after="60"/>
              <w:contextualSpacing/>
              <w:rPr>
                <w:iCs/>
                <w:sz w:val="20"/>
              </w:rPr>
            </w:pPr>
            <w:r w:rsidRPr="0013396E">
              <w:rPr>
                <w:iCs/>
                <w:sz w:val="20"/>
              </w:rPr>
              <w:t>A month in the MRA Agreement period.</w:t>
            </w:r>
          </w:p>
        </w:tc>
      </w:tr>
      <w:tr w:rsidR="00326E23" w:rsidRPr="0013396E" w14:paraId="56D80249" w14:textId="77777777" w:rsidTr="00E15B46">
        <w:trPr>
          <w:cantSplit/>
          <w:trHeight w:val="323"/>
        </w:trPr>
        <w:tc>
          <w:tcPr>
            <w:tcW w:w="1296" w:type="pct"/>
          </w:tcPr>
          <w:p w14:paraId="0238CEE9" w14:textId="77777777" w:rsidR="00326E23" w:rsidRPr="0013396E" w:rsidRDefault="00326E23" w:rsidP="009B2773">
            <w:pPr>
              <w:spacing w:after="60"/>
              <w:rPr>
                <w:iCs/>
                <w:sz w:val="20"/>
              </w:rPr>
            </w:pPr>
            <w:r w:rsidRPr="0013396E">
              <w:rPr>
                <w:iCs/>
                <w:sz w:val="20"/>
              </w:rPr>
              <w:t>D</w:t>
            </w:r>
          </w:p>
        </w:tc>
        <w:tc>
          <w:tcPr>
            <w:tcW w:w="474" w:type="pct"/>
          </w:tcPr>
          <w:p w14:paraId="58668534"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7010FD72" w14:textId="77777777" w:rsidR="00326E23" w:rsidRPr="0013396E" w:rsidRDefault="00326E23" w:rsidP="009B2773">
            <w:pPr>
              <w:tabs>
                <w:tab w:val="left" w:pos="2880"/>
              </w:tabs>
              <w:spacing w:after="60"/>
              <w:contextualSpacing/>
              <w:rPr>
                <w:iCs/>
                <w:sz w:val="20"/>
              </w:rPr>
            </w:pPr>
            <w:r w:rsidRPr="0013396E">
              <w:rPr>
                <w:iCs/>
                <w:sz w:val="20"/>
              </w:rPr>
              <w:t>The number of days in the month.</w:t>
            </w:r>
          </w:p>
        </w:tc>
      </w:tr>
      <w:tr w:rsidR="00326E23" w:rsidRPr="0013396E" w14:paraId="25A5F8C6" w14:textId="77777777" w:rsidTr="00E15B46">
        <w:trPr>
          <w:cantSplit/>
          <w:trHeight w:val="323"/>
        </w:trPr>
        <w:tc>
          <w:tcPr>
            <w:tcW w:w="1296" w:type="pct"/>
          </w:tcPr>
          <w:p w14:paraId="37DC9EBC" w14:textId="77777777" w:rsidR="00326E23" w:rsidRPr="0013396E" w:rsidRDefault="00326E23" w:rsidP="009B2773">
            <w:pPr>
              <w:spacing w:after="60"/>
              <w:rPr>
                <w:i/>
                <w:iCs/>
                <w:sz w:val="20"/>
              </w:rPr>
            </w:pPr>
            <w:r w:rsidRPr="0013396E">
              <w:rPr>
                <w:i/>
                <w:iCs/>
                <w:sz w:val="20"/>
              </w:rPr>
              <w:t>q</w:t>
            </w:r>
          </w:p>
        </w:tc>
        <w:tc>
          <w:tcPr>
            <w:tcW w:w="474" w:type="pct"/>
          </w:tcPr>
          <w:p w14:paraId="25C26193"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2D25FEA0" w14:textId="77777777" w:rsidR="00326E23" w:rsidRPr="0013396E" w:rsidRDefault="00326E23" w:rsidP="009B2773">
            <w:pPr>
              <w:tabs>
                <w:tab w:val="left" w:pos="2880"/>
              </w:tabs>
              <w:spacing w:after="60"/>
              <w:contextualSpacing/>
              <w:rPr>
                <w:iCs/>
                <w:sz w:val="20"/>
              </w:rPr>
            </w:pPr>
            <w:r w:rsidRPr="0013396E">
              <w:rPr>
                <w:iCs/>
                <w:sz w:val="20"/>
              </w:rPr>
              <w:t>A QSE.</w:t>
            </w:r>
          </w:p>
        </w:tc>
      </w:tr>
      <w:tr w:rsidR="00326E23" w:rsidRPr="0013396E" w14:paraId="1B72F1A1" w14:textId="77777777" w:rsidTr="00E15B46">
        <w:trPr>
          <w:cantSplit/>
          <w:trHeight w:val="323"/>
        </w:trPr>
        <w:tc>
          <w:tcPr>
            <w:tcW w:w="1296" w:type="pct"/>
          </w:tcPr>
          <w:p w14:paraId="6B4583B1" w14:textId="77777777" w:rsidR="00326E23" w:rsidRPr="0013396E" w:rsidRDefault="00326E23" w:rsidP="009B2773">
            <w:pPr>
              <w:spacing w:after="60"/>
              <w:rPr>
                <w:i/>
                <w:iCs/>
                <w:sz w:val="20"/>
              </w:rPr>
            </w:pPr>
            <w:r w:rsidRPr="0013396E">
              <w:rPr>
                <w:i/>
                <w:iCs/>
                <w:sz w:val="20"/>
              </w:rPr>
              <w:t>c</w:t>
            </w:r>
          </w:p>
        </w:tc>
        <w:tc>
          <w:tcPr>
            <w:tcW w:w="474" w:type="pct"/>
          </w:tcPr>
          <w:p w14:paraId="64DA0D3E"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1C3AEBC0" w14:textId="77777777" w:rsidR="00326E23" w:rsidRPr="0013396E" w:rsidRDefault="00326E23" w:rsidP="009B2773">
            <w:pPr>
              <w:tabs>
                <w:tab w:val="left" w:pos="2880"/>
              </w:tabs>
              <w:spacing w:after="60"/>
              <w:contextualSpacing/>
              <w:rPr>
                <w:iCs/>
                <w:sz w:val="20"/>
              </w:rPr>
            </w:pPr>
            <w:r w:rsidRPr="0013396E">
              <w:rPr>
                <w:iCs/>
                <w:sz w:val="20"/>
              </w:rPr>
              <w:t>An MRA Agreement.</w:t>
            </w:r>
          </w:p>
        </w:tc>
      </w:tr>
      <w:tr w:rsidR="00326E23" w:rsidRPr="0013396E" w14:paraId="19535E24" w14:textId="77777777" w:rsidTr="00E15B46">
        <w:trPr>
          <w:cantSplit/>
          <w:trHeight w:val="323"/>
        </w:trPr>
        <w:tc>
          <w:tcPr>
            <w:tcW w:w="1296" w:type="pct"/>
          </w:tcPr>
          <w:p w14:paraId="23AC6EE7" w14:textId="77777777" w:rsidR="00326E23" w:rsidRPr="0013396E" w:rsidRDefault="00326E23" w:rsidP="009B2773">
            <w:pPr>
              <w:spacing w:after="60"/>
              <w:rPr>
                <w:i/>
                <w:iCs/>
                <w:sz w:val="20"/>
              </w:rPr>
            </w:pPr>
            <w:r w:rsidRPr="0013396E">
              <w:rPr>
                <w:i/>
                <w:iCs/>
                <w:sz w:val="20"/>
              </w:rPr>
              <w:t>r</w:t>
            </w:r>
          </w:p>
        </w:tc>
        <w:tc>
          <w:tcPr>
            <w:tcW w:w="474" w:type="pct"/>
          </w:tcPr>
          <w:p w14:paraId="29275D59" w14:textId="77777777" w:rsidR="00326E23" w:rsidRPr="0013396E" w:rsidRDefault="00326E23" w:rsidP="009B2773">
            <w:pPr>
              <w:tabs>
                <w:tab w:val="left" w:pos="2880"/>
              </w:tabs>
              <w:spacing w:after="60"/>
              <w:contextualSpacing/>
              <w:rPr>
                <w:iCs/>
                <w:sz w:val="20"/>
              </w:rPr>
            </w:pPr>
            <w:r w:rsidRPr="0013396E">
              <w:rPr>
                <w:iCs/>
                <w:sz w:val="20"/>
              </w:rPr>
              <w:t>none</w:t>
            </w:r>
          </w:p>
        </w:tc>
        <w:tc>
          <w:tcPr>
            <w:tcW w:w="3230" w:type="pct"/>
          </w:tcPr>
          <w:p w14:paraId="6634F978" w14:textId="77777777" w:rsidR="00326E23" w:rsidRPr="0013396E" w:rsidRDefault="00326E23" w:rsidP="009B2773">
            <w:pPr>
              <w:tabs>
                <w:tab w:val="left" w:pos="2880"/>
              </w:tabs>
              <w:spacing w:after="60"/>
              <w:contextualSpacing/>
              <w:rPr>
                <w:iCs/>
                <w:sz w:val="20"/>
              </w:rPr>
            </w:pPr>
            <w:r w:rsidRPr="0013396E">
              <w:rPr>
                <w:iCs/>
                <w:sz w:val="20"/>
              </w:rPr>
              <w:t>An MRA.</w:t>
            </w:r>
          </w:p>
        </w:tc>
      </w:tr>
    </w:tbl>
    <w:p w14:paraId="2E4F53FC" w14:textId="77777777" w:rsidR="005C6D56" w:rsidRPr="0013396E" w:rsidRDefault="005C6D56"/>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82"/>
      </w:tblGrid>
      <w:tr w:rsidR="005C6D56" w:rsidRPr="0013396E" w14:paraId="10D58557" w14:textId="77777777" w:rsidTr="005C6D56">
        <w:trPr>
          <w:trHeight w:val="206"/>
        </w:trPr>
        <w:tc>
          <w:tcPr>
            <w:tcW w:w="5000" w:type="pct"/>
            <w:shd w:val="pct12" w:color="auto" w:fill="auto"/>
          </w:tcPr>
          <w:p w14:paraId="3455BA46" w14:textId="6B54341A" w:rsidR="005C6D56" w:rsidRPr="0013396E" w:rsidRDefault="005C6D56" w:rsidP="00CE1011">
            <w:pPr>
              <w:pStyle w:val="Instructions"/>
              <w:spacing w:before="120"/>
            </w:pPr>
            <w:bookmarkStart w:id="2005" w:name="_Toc463262802"/>
            <w:bookmarkStart w:id="2006" w:name="_Toc468286875"/>
            <w:bookmarkStart w:id="2007" w:name="_Toc481502915"/>
            <w:bookmarkStart w:id="2008" w:name="_Toc496080083"/>
            <w:r w:rsidRPr="0013396E">
              <w:t>[NPRR885</w:t>
            </w:r>
            <w:r w:rsidR="00086215" w:rsidRPr="0013396E">
              <w:t xml:space="preserve"> and NPRR1256</w:t>
            </w:r>
            <w:r w:rsidRPr="0013396E">
              <w:t xml:space="preserve">:  Insert </w:t>
            </w:r>
            <w:r w:rsidR="00086215" w:rsidRPr="0013396E">
              <w:t xml:space="preserve">applicable portions of </w:t>
            </w:r>
            <w:r w:rsidRPr="0013396E">
              <w:t>Section 6.6.6.7 below upon system implementation</w:t>
            </w:r>
            <w:r w:rsidR="00086215" w:rsidRPr="0013396E">
              <w:t xml:space="preserve"> for NPRR885; or upon system implementation of NPRR885 and upon system implementation for NPRR1256</w:t>
            </w:r>
            <w:r w:rsidRPr="0013396E">
              <w:t>:]</w:t>
            </w:r>
          </w:p>
          <w:p w14:paraId="57D7CD18" w14:textId="77777777" w:rsidR="005C6D56" w:rsidRPr="0013396E" w:rsidRDefault="005C6D56" w:rsidP="005C6D56">
            <w:pPr>
              <w:keepNext/>
              <w:widowControl w:val="0"/>
              <w:tabs>
                <w:tab w:val="left" w:pos="1260"/>
              </w:tabs>
              <w:spacing w:before="240" w:after="240"/>
              <w:ind w:left="1260" w:hanging="1260"/>
              <w:outlineLvl w:val="3"/>
              <w:rPr>
                <w:b/>
                <w:bCs/>
                <w:snapToGrid w:val="0"/>
                <w:color w:val="000000"/>
              </w:rPr>
            </w:pPr>
            <w:bookmarkStart w:id="2009" w:name="_Toc17798754"/>
            <w:bookmarkStart w:id="2010" w:name="_Toc236220211"/>
            <w:r w:rsidRPr="0013396E">
              <w:rPr>
                <w:b/>
                <w:bCs/>
                <w:snapToGrid w:val="0"/>
                <w:color w:val="000000"/>
              </w:rPr>
              <w:t>6.6.6.7</w:t>
            </w:r>
            <w:r w:rsidRPr="0013396E">
              <w:rPr>
                <w:b/>
                <w:bCs/>
                <w:snapToGrid w:val="0"/>
                <w:color w:val="000000"/>
              </w:rPr>
              <w:tab/>
              <w:t>MRA Standby Payment</w:t>
            </w:r>
            <w:bookmarkEnd w:id="2009"/>
            <w:bookmarkEnd w:id="2010"/>
          </w:p>
          <w:p w14:paraId="0CE3FE5E" w14:textId="77777777" w:rsidR="005C6D56" w:rsidRPr="0013396E" w:rsidRDefault="005C6D56" w:rsidP="005C6D56">
            <w:pPr>
              <w:spacing w:after="240"/>
              <w:ind w:left="720" w:hanging="720"/>
              <w:rPr>
                <w:iCs/>
              </w:rPr>
            </w:pPr>
            <w:r w:rsidRPr="0013396E">
              <w:rPr>
                <w:iCs/>
              </w:rPr>
              <w:t>(1)</w:t>
            </w:r>
            <w:r w:rsidRPr="0013396E">
              <w:rPr>
                <w:iCs/>
              </w:rPr>
              <w:tab/>
              <w:t xml:space="preserve">The Standby Payment for MRA Service is paid to each QSE representing an MRA for each MRA Contracted Hour under performance requirements set forth in Section 22, Attachment </w:t>
            </w:r>
            <w:r w:rsidR="00D56763" w:rsidRPr="0013396E">
              <w:rPr>
                <w:iCs/>
              </w:rPr>
              <w:t>N</w:t>
            </w:r>
            <w:r w:rsidRPr="0013396E">
              <w:rPr>
                <w:iCs/>
              </w:rPr>
              <w:t xml:space="preserve">, Standard Form Must-Run Alternative Agreement, the MRA Request for Proposal (RFP), and the Protocols.  </w:t>
            </w:r>
          </w:p>
          <w:p w14:paraId="21A21E2A" w14:textId="77777777" w:rsidR="005C6D56" w:rsidRPr="0013396E" w:rsidRDefault="005C6D56" w:rsidP="005C6D56">
            <w:pPr>
              <w:spacing w:after="240"/>
              <w:ind w:left="720" w:hanging="720"/>
              <w:rPr>
                <w:iCs/>
              </w:rPr>
            </w:pPr>
            <w:r w:rsidRPr="0013396E">
              <w:rPr>
                <w:bCs/>
                <w:iCs/>
                <w:color w:val="000000"/>
                <w:lang w:val="pt-BR"/>
              </w:rPr>
              <w:t>(2)</w:t>
            </w:r>
            <w:r w:rsidRPr="0013396E">
              <w:rPr>
                <w:bCs/>
                <w:iCs/>
                <w:color w:val="000000"/>
                <w:lang w:val="pt-BR"/>
              </w:rPr>
              <w:tab/>
              <w:t>The standby payment to each QSE representing a Generation Resource MRA registered is calculated as follows for each hour:</w:t>
            </w:r>
          </w:p>
          <w:p w14:paraId="636BE5B5" w14:textId="2C316ADA" w:rsidR="005C6D56" w:rsidRPr="0013396E" w:rsidRDefault="005C6D56" w:rsidP="005C6D56">
            <w:pPr>
              <w:tabs>
                <w:tab w:val="left" w:pos="2340"/>
                <w:tab w:val="left" w:pos="3420"/>
              </w:tabs>
              <w:spacing w:after="240"/>
              <w:ind w:left="2880" w:hanging="2160"/>
              <w:rPr>
                <w:bCs/>
                <w:i/>
                <w:szCs w:val="24"/>
                <w:vertAlign w:val="subscript"/>
                <w:lang w:val="pt-BR"/>
              </w:rPr>
            </w:pPr>
            <w:r w:rsidRPr="0013396E">
              <w:rPr>
                <w:bCs/>
                <w:szCs w:val="24"/>
                <w:lang w:val="pt-BR"/>
              </w:rPr>
              <w:t xml:space="preserve">MRASBAMT </w:t>
            </w:r>
            <w:r w:rsidRPr="0013396E">
              <w:rPr>
                <w:bCs/>
                <w:i/>
                <w:szCs w:val="24"/>
                <w:vertAlign w:val="subscript"/>
                <w:lang w:val="pt-BR"/>
              </w:rPr>
              <w:t xml:space="preserve">q, r, h  </w:t>
            </w:r>
            <w:r w:rsidRPr="0013396E">
              <w:rPr>
                <w:bCs/>
                <w:szCs w:val="24"/>
                <w:lang w:val="pt-BR"/>
              </w:rPr>
              <w:t xml:space="preserve">=  (-1) * MRASBPR </w:t>
            </w:r>
            <w:r w:rsidRPr="0013396E">
              <w:rPr>
                <w:bCs/>
                <w:i/>
                <w:szCs w:val="24"/>
                <w:vertAlign w:val="subscript"/>
                <w:lang w:val="pt-BR"/>
              </w:rPr>
              <w:t xml:space="preserve">q, r, m </w:t>
            </w:r>
            <w:r w:rsidRPr="0013396E">
              <w:rPr>
                <w:bCs/>
                <w:szCs w:val="24"/>
                <w:lang w:val="pt-BR"/>
              </w:rPr>
              <w:t>* MRACCAP</w:t>
            </w:r>
            <w:r w:rsidRPr="0013396E">
              <w:rPr>
                <w:bCs/>
                <w:i/>
                <w:szCs w:val="24"/>
                <w:vertAlign w:val="subscript"/>
                <w:lang w:val="pt-BR"/>
              </w:rPr>
              <w:t xml:space="preserve"> q, r, m </w:t>
            </w:r>
            <w:r w:rsidRPr="0013396E">
              <w:rPr>
                <w:bCs/>
                <w:szCs w:val="24"/>
                <w:lang w:val="pt-BR"/>
              </w:rPr>
              <w:t xml:space="preserve">* MRACRF </w:t>
            </w:r>
            <w:r w:rsidRPr="0013396E">
              <w:rPr>
                <w:bCs/>
                <w:i/>
                <w:szCs w:val="24"/>
                <w:vertAlign w:val="subscript"/>
                <w:lang w:val="pt-BR"/>
              </w:rPr>
              <w:t xml:space="preserve">q, r, m </w:t>
            </w:r>
            <w:r w:rsidRPr="0013396E">
              <w:rPr>
                <w:bCs/>
                <w:szCs w:val="24"/>
                <w:lang w:val="pt-BR"/>
              </w:rPr>
              <w:t>* MRAARF</w:t>
            </w:r>
            <w:r w:rsidRPr="0013396E">
              <w:rPr>
                <w:bCs/>
                <w:i/>
                <w:szCs w:val="24"/>
                <w:vertAlign w:val="subscript"/>
                <w:lang w:val="pt-BR"/>
              </w:rPr>
              <w:t xml:space="preserve"> q, r, m</w:t>
            </w:r>
          </w:p>
          <w:p w14:paraId="3D58304A" w14:textId="77777777" w:rsidR="005C6D56" w:rsidRPr="0013396E" w:rsidRDefault="005C6D56" w:rsidP="005C6D56">
            <w:pPr>
              <w:tabs>
                <w:tab w:val="left" w:pos="2340"/>
                <w:tab w:val="left" w:pos="3420"/>
              </w:tabs>
              <w:spacing w:after="240"/>
              <w:rPr>
                <w:bCs/>
                <w:szCs w:val="24"/>
                <w:lang w:val="pt-BR"/>
              </w:rPr>
            </w:pPr>
            <w:r w:rsidRPr="0013396E">
              <w:rPr>
                <w:bCs/>
                <w:szCs w:val="24"/>
                <w:lang w:val="pt-BR"/>
              </w:rPr>
              <w:t>Where:</w:t>
            </w:r>
          </w:p>
          <w:p w14:paraId="7B41510F" w14:textId="776A5AB8" w:rsidR="005C6D56" w:rsidRPr="0013396E" w:rsidRDefault="005C6D56" w:rsidP="005C6D56">
            <w:pPr>
              <w:tabs>
                <w:tab w:val="left" w:pos="2340"/>
                <w:tab w:val="left" w:pos="3420"/>
              </w:tabs>
              <w:spacing w:after="240"/>
              <w:ind w:left="2880" w:hanging="2160"/>
              <w:rPr>
                <w:bCs/>
                <w:szCs w:val="24"/>
                <w:lang w:val="pt-BR"/>
              </w:rPr>
            </w:pPr>
            <w:r w:rsidRPr="0013396E">
              <w:rPr>
                <w:bCs/>
                <w:szCs w:val="24"/>
                <w:lang w:val="pt-BR"/>
              </w:rPr>
              <w:t xml:space="preserve">MRACRF </w:t>
            </w:r>
            <w:r w:rsidRPr="0013396E">
              <w:rPr>
                <w:bCs/>
                <w:i/>
                <w:szCs w:val="24"/>
                <w:vertAlign w:val="subscript"/>
                <w:lang w:val="pt-BR"/>
              </w:rPr>
              <w:t>q, r, m</w:t>
            </w:r>
            <w:r w:rsidRPr="0013396E">
              <w:rPr>
                <w:bCs/>
                <w:szCs w:val="24"/>
                <w:lang w:val="pt-BR"/>
              </w:rPr>
              <w:t xml:space="preserve">  = (MRATCAP </w:t>
            </w:r>
            <w:r w:rsidRPr="0013396E">
              <w:rPr>
                <w:bCs/>
                <w:i/>
                <w:szCs w:val="24"/>
                <w:vertAlign w:val="subscript"/>
                <w:lang w:val="pt-BR"/>
              </w:rPr>
              <w:t>q, r, m</w:t>
            </w:r>
            <w:r w:rsidRPr="0013396E">
              <w:rPr>
                <w:bCs/>
                <w:szCs w:val="24"/>
                <w:lang w:val="pt-BR"/>
              </w:rPr>
              <w:t xml:space="preserve">  + MRATCAPA </w:t>
            </w:r>
            <w:r w:rsidRPr="0013396E">
              <w:rPr>
                <w:bCs/>
                <w:i/>
                <w:szCs w:val="24"/>
                <w:vertAlign w:val="subscript"/>
                <w:lang w:val="pt-BR"/>
              </w:rPr>
              <w:t>q, r, m</w:t>
            </w:r>
            <w:r w:rsidRPr="0013396E">
              <w:rPr>
                <w:bCs/>
                <w:szCs w:val="24"/>
                <w:lang w:val="pt-BR"/>
              </w:rPr>
              <w:t xml:space="preserve">) /MRACCAP </w:t>
            </w:r>
            <w:r w:rsidRPr="0013396E">
              <w:rPr>
                <w:bCs/>
                <w:i/>
                <w:szCs w:val="24"/>
                <w:vertAlign w:val="subscript"/>
                <w:lang w:val="pt-BR"/>
              </w:rPr>
              <w:t>q, r, m</w:t>
            </w:r>
          </w:p>
          <w:p w14:paraId="34092A97" w14:textId="77777777" w:rsidR="00086215" w:rsidRPr="0013396E" w:rsidRDefault="00086215" w:rsidP="00086215">
            <w:pPr>
              <w:spacing w:after="240"/>
              <w:ind w:left="720" w:hanging="720"/>
              <w:rPr>
                <w:iCs/>
              </w:rPr>
            </w:pPr>
            <w:r w:rsidRPr="0013396E">
              <w:rPr>
                <w:bCs/>
                <w:iCs/>
                <w:color w:val="000000"/>
                <w:lang w:val="pt-BR"/>
              </w:rPr>
              <w:t>(3)</w:t>
            </w:r>
            <w:r w:rsidRPr="0013396E">
              <w:rPr>
                <w:bCs/>
                <w:iCs/>
                <w:color w:val="000000"/>
                <w:lang w:val="pt-BR"/>
              </w:rPr>
              <w:tab/>
              <w:t>The standby payment to each QSE representing an Energy Storage Resource (ESR) MRA registered is calculated as follows for each hour:</w:t>
            </w:r>
          </w:p>
          <w:p w14:paraId="5EB3A1B8" w14:textId="77777777" w:rsidR="00086215" w:rsidRPr="0013396E" w:rsidRDefault="00086215" w:rsidP="00086215">
            <w:pPr>
              <w:tabs>
                <w:tab w:val="left" w:pos="2340"/>
                <w:tab w:val="left" w:pos="3420"/>
              </w:tabs>
              <w:spacing w:after="240"/>
              <w:ind w:left="2880" w:hanging="2160"/>
              <w:rPr>
                <w:bCs/>
                <w:i/>
                <w:vertAlign w:val="subscript"/>
                <w:lang w:val="pt-BR"/>
              </w:rPr>
            </w:pPr>
            <w:r w:rsidRPr="0013396E">
              <w:rPr>
                <w:bCs/>
                <w:lang w:val="pt-BR"/>
              </w:rPr>
              <w:t xml:space="preserve">MRASBAMT </w:t>
            </w:r>
            <w:r w:rsidRPr="0013396E">
              <w:rPr>
                <w:bCs/>
                <w:i/>
                <w:vertAlign w:val="subscript"/>
                <w:lang w:val="pt-BR"/>
              </w:rPr>
              <w:t xml:space="preserve">q, r, h  </w:t>
            </w:r>
            <w:r w:rsidRPr="0013396E">
              <w:rPr>
                <w:bCs/>
                <w:lang w:val="pt-BR"/>
              </w:rPr>
              <w:t xml:space="preserve">=  (-1) * MRASBPR </w:t>
            </w:r>
            <w:r w:rsidRPr="0013396E">
              <w:rPr>
                <w:bCs/>
                <w:i/>
                <w:vertAlign w:val="subscript"/>
                <w:lang w:val="pt-BR"/>
              </w:rPr>
              <w:t xml:space="preserve">q, r, m </w:t>
            </w:r>
            <w:r w:rsidRPr="0013396E">
              <w:rPr>
                <w:bCs/>
                <w:lang w:val="pt-BR"/>
              </w:rPr>
              <w:t>* MRACCAP</w:t>
            </w:r>
            <w:r w:rsidRPr="0013396E">
              <w:rPr>
                <w:bCs/>
                <w:i/>
                <w:vertAlign w:val="subscript"/>
                <w:lang w:val="pt-BR"/>
              </w:rPr>
              <w:t xml:space="preserve"> q, r, m </w:t>
            </w:r>
            <w:r w:rsidRPr="0013396E">
              <w:rPr>
                <w:bCs/>
                <w:lang w:val="pt-BR"/>
              </w:rPr>
              <w:t xml:space="preserve">* MRACRF </w:t>
            </w:r>
            <w:r w:rsidRPr="0013396E">
              <w:rPr>
                <w:bCs/>
                <w:i/>
                <w:vertAlign w:val="subscript"/>
                <w:lang w:val="pt-BR"/>
              </w:rPr>
              <w:t xml:space="preserve">q, r, m </w:t>
            </w:r>
            <w:r w:rsidRPr="0013396E">
              <w:rPr>
                <w:bCs/>
                <w:lang w:val="pt-BR"/>
              </w:rPr>
              <w:t>* MRAARF</w:t>
            </w:r>
            <w:r w:rsidRPr="0013396E">
              <w:rPr>
                <w:bCs/>
                <w:i/>
                <w:vertAlign w:val="subscript"/>
                <w:lang w:val="pt-BR"/>
              </w:rPr>
              <w:t xml:space="preserve"> q, r, m </w:t>
            </w:r>
            <w:r w:rsidRPr="0013396E">
              <w:rPr>
                <w:bCs/>
                <w:lang w:val="pt-BR"/>
              </w:rPr>
              <w:t xml:space="preserve">* MRAESRERF </w:t>
            </w:r>
            <w:r w:rsidRPr="0013396E">
              <w:rPr>
                <w:bCs/>
                <w:i/>
                <w:vertAlign w:val="subscript"/>
                <w:lang w:val="pt-BR"/>
              </w:rPr>
              <w:t>q, r, h</w:t>
            </w:r>
          </w:p>
          <w:p w14:paraId="2C4FF8E5" w14:textId="77777777" w:rsidR="00086215" w:rsidRPr="0013396E" w:rsidRDefault="00086215" w:rsidP="00086215">
            <w:pPr>
              <w:tabs>
                <w:tab w:val="left" w:pos="2340"/>
                <w:tab w:val="left" w:pos="3420"/>
              </w:tabs>
              <w:spacing w:after="240"/>
              <w:rPr>
                <w:bCs/>
                <w:lang w:val="pt-BR"/>
              </w:rPr>
            </w:pPr>
            <w:r w:rsidRPr="0013396E">
              <w:rPr>
                <w:bCs/>
                <w:lang w:val="pt-BR"/>
              </w:rPr>
              <w:t>Where:</w:t>
            </w:r>
          </w:p>
          <w:p w14:paraId="130C35FF" w14:textId="77777777" w:rsidR="00086215" w:rsidRPr="0013396E" w:rsidRDefault="00086215" w:rsidP="00086215">
            <w:pPr>
              <w:tabs>
                <w:tab w:val="left" w:pos="2340"/>
                <w:tab w:val="left" w:pos="3420"/>
              </w:tabs>
              <w:spacing w:after="240"/>
              <w:ind w:left="2880" w:hanging="2160"/>
              <w:rPr>
                <w:bCs/>
                <w:lang w:val="pt-BR"/>
              </w:rPr>
            </w:pPr>
            <w:r w:rsidRPr="0013396E">
              <w:rPr>
                <w:bCs/>
                <w:lang w:val="pt-BR"/>
              </w:rPr>
              <w:lastRenderedPageBreak/>
              <w:t xml:space="preserve">MRACRF </w:t>
            </w:r>
            <w:r w:rsidRPr="0013396E">
              <w:rPr>
                <w:bCs/>
                <w:i/>
                <w:vertAlign w:val="subscript"/>
                <w:lang w:val="pt-BR"/>
              </w:rPr>
              <w:t>q, r, m</w:t>
            </w:r>
            <w:r w:rsidRPr="0013396E">
              <w:rPr>
                <w:bCs/>
                <w:lang w:val="pt-BR"/>
              </w:rPr>
              <w:t xml:space="preserve">  = (MRATCAP </w:t>
            </w:r>
            <w:r w:rsidRPr="0013396E">
              <w:rPr>
                <w:bCs/>
                <w:i/>
                <w:vertAlign w:val="subscript"/>
                <w:lang w:val="pt-BR"/>
              </w:rPr>
              <w:t>q, r, m</w:t>
            </w:r>
            <w:r w:rsidRPr="0013396E">
              <w:rPr>
                <w:bCs/>
                <w:lang w:val="pt-BR"/>
              </w:rPr>
              <w:t xml:space="preserve"> + MRATCAPA </w:t>
            </w:r>
            <w:r w:rsidRPr="0013396E">
              <w:rPr>
                <w:bCs/>
                <w:i/>
                <w:vertAlign w:val="subscript"/>
                <w:lang w:val="pt-BR"/>
              </w:rPr>
              <w:t>q, r, m</w:t>
            </w:r>
            <w:r w:rsidRPr="0013396E">
              <w:rPr>
                <w:bCs/>
                <w:lang w:val="pt-BR"/>
              </w:rPr>
              <w:t xml:space="preserve">) / MRACCAP </w:t>
            </w:r>
            <w:r w:rsidRPr="0013396E">
              <w:rPr>
                <w:bCs/>
                <w:i/>
                <w:vertAlign w:val="subscript"/>
                <w:lang w:val="pt-BR"/>
              </w:rPr>
              <w:t>q, r, m</w:t>
            </w:r>
            <w:r w:rsidRPr="0013396E">
              <w:rPr>
                <w:bCs/>
                <w:lang w:val="pt-BR"/>
              </w:rPr>
              <w:t xml:space="preserve"> </w:t>
            </w:r>
          </w:p>
          <w:p w14:paraId="56803214" w14:textId="77777777" w:rsidR="00086215" w:rsidRPr="0013396E" w:rsidRDefault="00086215" w:rsidP="00086215">
            <w:pPr>
              <w:tabs>
                <w:tab w:val="left" w:pos="2340"/>
                <w:tab w:val="left" w:pos="3420"/>
              </w:tabs>
              <w:spacing w:after="240"/>
              <w:rPr>
                <w:lang w:val="pt-BR"/>
              </w:rPr>
            </w:pPr>
            <w:r w:rsidRPr="0013396E">
              <w:rPr>
                <w:lang w:val="pt-BR"/>
              </w:rPr>
              <w:t>And,</w:t>
            </w:r>
          </w:p>
          <w:p w14:paraId="0F0E1D2F" w14:textId="77777777" w:rsidR="00086215" w:rsidRPr="0013396E" w:rsidRDefault="00086215" w:rsidP="00086215">
            <w:pPr>
              <w:tabs>
                <w:tab w:val="left" w:pos="2340"/>
                <w:tab w:val="left" w:pos="3420"/>
              </w:tabs>
              <w:spacing w:after="240"/>
              <w:ind w:left="2880" w:hanging="2160"/>
              <w:rPr>
                <w:bCs/>
                <w:lang w:val="pt-BR"/>
              </w:rPr>
            </w:pPr>
            <w:r w:rsidRPr="0013396E">
              <w:rPr>
                <w:bCs/>
                <w:lang w:val="pt-BR"/>
              </w:rPr>
              <w:t xml:space="preserve">MRAESRERF </w:t>
            </w:r>
            <w:r w:rsidRPr="0013396E">
              <w:rPr>
                <w:bCs/>
                <w:i/>
                <w:vertAlign w:val="subscript"/>
                <w:lang w:val="pt-BR"/>
              </w:rPr>
              <w:t>q, r, h</w:t>
            </w:r>
            <w:r w:rsidRPr="0013396E">
              <w:rPr>
                <w:bCs/>
                <w:lang w:val="pt-BR"/>
              </w:rPr>
              <w:t xml:space="preserve">  = Min [1, (MRAHOSOC</w:t>
            </w:r>
            <w:r w:rsidRPr="0013396E">
              <w:rPr>
                <w:bCs/>
                <w:i/>
                <w:vertAlign w:val="subscript"/>
                <w:lang w:val="pt-BR"/>
              </w:rPr>
              <w:t xml:space="preserve"> q, r, b, m</w:t>
            </w:r>
            <w:r w:rsidRPr="0013396E">
              <w:rPr>
                <w:bCs/>
                <w:lang w:val="pt-BR"/>
              </w:rPr>
              <w:t xml:space="preserve">) / (MRACCAP </w:t>
            </w:r>
            <w:r w:rsidRPr="0013396E">
              <w:rPr>
                <w:bCs/>
                <w:i/>
                <w:vertAlign w:val="subscript"/>
                <w:lang w:val="pt-BR"/>
              </w:rPr>
              <w:t xml:space="preserve">q, r, m  </w:t>
            </w:r>
            <w:r w:rsidRPr="0013396E">
              <w:rPr>
                <w:bCs/>
                <w:lang w:val="pt-BR"/>
              </w:rPr>
              <w:t>* MRABHO</w:t>
            </w:r>
            <w:r w:rsidRPr="0013396E">
              <w:rPr>
                <w:bCs/>
                <w:i/>
                <w:vertAlign w:val="subscript"/>
                <w:lang w:val="pt-BR"/>
              </w:rPr>
              <w:t xml:space="preserve"> q, r, b, m</w:t>
            </w:r>
            <w:r w:rsidRPr="0013396E">
              <w:rPr>
                <w:bCs/>
                <w:lang w:val="pt-BR"/>
              </w:rPr>
              <w:t>)]</w:t>
            </w:r>
          </w:p>
          <w:p w14:paraId="13CFA5E9" w14:textId="632B2653" w:rsidR="005C6D56" w:rsidRPr="0013396E" w:rsidRDefault="005C6D56" w:rsidP="005C6D56">
            <w:pPr>
              <w:spacing w:after="240"/>
              <w:ind w:left="720" w:hanging="720"/>
              <w:rPr>
                <w:iCs/>
              </w:rPr>
            </w:pPr>
            <w:r w:rsidRPr="0013396E">
              <w:rPr>
                <w:iCs/>
              </w:rPr>
              <w:t>(</w:t>
            </w:r>
            <w:r w:rsidR="00086215" w:rsidRPr="0013396E">
              <w:rPr>
                <w:iCs/>
              </w:rPr>
              <w:t>4</w:t>
            </w:r>
            <w:r w:rsidRPr="0013396E">
              <w:rPr>
                <w:iCs/>
              </w:rPr>
              <w:t>)</w:t>
            </w:r>
            <w:r w:rsidRPr="0013396E">
              <w:rPr>
                <w:iCs/>
              </w:rPr>
              <w:tab/>
              <w:t>The standby payment to each QSE representing an Other Generation MRA or Demand Response MRA is calculated as follows for each hour:</w:t>
            </w:r>
          </w:p>
          <w:p w14:paraId="201CA00E" w14:textId="77777777" w:rsidR="005C6D56" w:rsidRPr="0013396E" w:rsidRDefault="005C6D56" w:rsidP="005C6D56">
            <w:pPr>
              <w:tabs>
                <w:tab w:val="left" w:pos="2340"/>
                <w:tab w:val="left" w:pos="3420"/>
              </w:tabs>
              <w:spacing w:after="240"/>
              <w:ind w:left="2880" w:hanging="2160"/>
              <w:rPr>
                <w:bCs/>
                <w:i/>
                <w:szCs w:val="24"/>
                <w:vertAlign w:val="subscript"/>
                <w:lang w:val="pt-BR"/>
              </w:rPr>
            </w:pPr>
            <w:r w:rsidRPr="0013396E">
              <w:rPr>
                <w:bCs/>
                <w:szCs w:val="24"/>
                <w:lang w:val="pt-BR"/>
              </w:rPr>
              <w:t xml:space="preserve">MRASBAMT </w:t>
            </w:r>
            <w:r w:rsidRPr="0013396E">
              <w:rPr>
                <w:bCs/>
                <w:i/>
                <w:szCs w:val="24"/>
                <w:vertAlign w:val="subscript"/>
                <w:lang w:val="pt-BR"/>
              </w:rPr>
              <w:t xml:space="preserve">q, r, h  </w:t>
            </w:r>
            <w:r w:rsidRPr="0013396E">
              <w:rPr>
                <w:bCs/>
                <w:szCs w:val="24"/>
                <w:lang w:val="pt-BR"/>
              </w:rPr>
              <w:t xml:space="preserve">=  (-1) * MRASBPR </w:t>
            </w:r>
            <w:r w:rsidRPr="0013396E">
              <w:rPr>
                <w:bCs/>
                <w:i/>
                <w:szCs w:val="24"/>
                <w:vertAlign w:val="subscript"/>
                <w:lang w:val="pt-BR"/>
              </w:rPr>
              <w:t xml:space="preserve">q, r, m </w:t>
            </w:r>
            <w:r w:rsidRPr="0013396E">
              <w:rPr>
                <w:bCs/>
                <w:szCs w:val="24"/>
                <w:lang w:val="pt-BR"/>
              </w:rPr>
              <w:t>* MRACCAP</w:t>
            </w:r>
            <w:r w:rsidRPr="0013396E">
              <w:rPr>
                <w:bCs/>
                <w:i/>
                <w:szCs w:val="24"/>
                <w:vertAlign w:val="subscript"/>
                <w:lang w:val="pt-BR"/>
              </w:rPr>
              <w:t xml:space="preserve"> q, r, m  </w:t>
            </w:r>
            <w:r w:rsidRPr="0013396E">
              <w:rPr>
                <w:bCs/>
                <w:szCs w:val="24"/>
                <w:lang w:val="pt-BR"/>
              </w:rPr>
              <w:t>* MRAEPRF</w:t>
            </w:r>
            <w:r w:rsidRPr="0013396E">
              <w:rPr>
                <w:bCs/>
                <w:szCs w:val="24"/>
                <w:vertAlign w:val="subscript"/>
                <w:lang w:val="pt-BR"/>
              </w:rPr>
              <w:t xml:space="preserve"> </w:t>
            </w:r>
            <w:r w:rsidRPr="0013396E">
              <w:rPr>
                <w:bCs/>
                <w:i/>
                <w:szCs w:val="24"/>
                <w:vertAlign w:val="subscript"/>
                <w:lang w:val="pt-BR"/>
              </w:rPr>
              <w:t>q, r, m</w:t>
            </w:r>
            <w:r w:rsidRPr="0013396E">
              <w:rPr>
                <w:bCs/>
                <w:szCs w:val="24"/>
                <w:lang w:val="pt-BR"/>
              </w:rPr>
              <w:t xml:space="preserve">  * MRAARF</w:t>
            </w:r>
            <w:r w:rsidRPr="0013396E">
              <w:rPr>
                <w:bCs/>
                <w:i/>
                <w:szCs w:val="24"/>
                <w:vertAlign w:val="subscript"/>
                <w:lang w:val="pt-BR"/>
              </w:rPr>
              <w:t xml:space="preserve"> q, r, m</w:t>
            </w:r>
          </w:p>
          <w:p w14:paraId="05350CB6" w14:textId="5B7983F2" w:rsidR="005C6D56" w:rsidRPr="0013396E" w:rsidRDefault="005C6D56" w:rsidP="005C6D56">
            <w:pPr>
              <w:spacing w:after="240"/>
              <w:ind w:left="720" w:hanging="720"/>
              <w:rPr>
                <w:iCs/>
              </w:rPr>
            </w:pPr>
            <w:r w:rsidRPr="0013396E">
              <w:rPr>
                <w:iCs/>
              </w:rPr>
              <w:t>(</w:t>
            </w:r>
            <w:r w:rsidR="00086215" w:rsidRPr="0013396E">
              <w:rPr>
                <w:iCs/>
              </w:rPr>
              <w:t>5</w:t>
            </w:r>
            <w:r w:rsidRPr="0013396E">
              <w:rPr>
                <w:iCs/>
              </w:rPr>
              <w:t>)</w:t>
            </w:r>
            <w:r w:rsidRPr="0013396E">
              <w:rPr>
                <w:iCs/>
              </w:rPr>
              <w:tab/>
              <w:t>The MRA Capacity Availability Reduction Factor (MRAARF) is calculated as:</w:t>
            </w:r>
          </w:p>
          <w:p w14:paraId="5F354A81" w14:textId="77777777" w:rsidR="005C6D56" w:rsidRPr="0013396E" w:rsidRDefault="005C6D56" w:rsidP="005C6D56">
            <w:pPr>
              <w:tabs>
                <w:tab w:val="left" w:pos="2340"/>
                <w:tab w:val="left" w:pos="3420"/>
              </w:tabs>
              <w:spacing w:after="240"/>
              <w:ind w:left="2880" w:hanging="2160"/>
              <w:rPr>
                <w:bCs/>
                <w:szCs w:val="24"/>
                <w:lang w:val="pt-BR"/>
              </w:rPr>
            </w:pPr>
            <w:r w:rsidRPr="0013396E">
              <w:rPr>
                <w:bCs/>
                <w:szCs w:val="24"/>
                <w:lang w:val="pt-BR"/>
              </w:rPr>
              <w:t>For initial Settlement</w:t>
            </w:r>
          </w:p>
          <w:p w14:paraId="1A780D09" w14:textId="77777777" w:rsidR="005C6D56" w:rsidRPr="0013396E" w:rsidRDefault="005C6D56" w:rsidP="005C6D56">
            <w:pPr>
              <w:tabs>
                <w:tab w:val="left" w:pos="2340"/>
                <w:tab w:val="left" w:pos="3420"/>
              </w:tabs>
              <w:spacing w:after="240"/>
              <w:ind w:left="2880" w:hanging="2160"/>
              <w:rPr>
                <w:bCs/>
                <w:szCs w:val="24"/>
                <w:lang w:val="pt-BR"/>
              </w:rPr>
            </w:pPr>
            <w:r w:rsidRPr="0013396E">
              <w:rPr>
                <w:bCs/>
                <w:szCs w:val="24"/>
                <w:lang w:val="pt-BR"/>
              </w:rPr>
              <w:t>MRAARF</w:t>
            </w:r>
            <w:r w:rsidRPr="0013396E">
              <w:rPr>
                <w:bCs/>
                <w:i/>
                <w:szCs w:val="24"/>
                <w:vertAlign w:val="subscript"/>
                <w:lang w:val="pt-BR"/>
              </w:rPr>
              <w:t xml:space="preserve"> q, r, m</w:t>
            </w:r>
            <w:r w:rsidRPr="0013396E">
              <w:rPr>
                <w:bCs/>
                <w:szCs w:val="24"/>
                <w:lang w:val="pt-BR"/>
              </w:rPr>
              <w:t xml:space="preserve"> = 1</w:t>
            </w:r>
          </w:p>
          <w:p w14:paraId="0A98C167" w14:textId="77777777" w:rsidR="005C6D56" w:rsidRPr="0013396E" w:rsidRDefault="005C6D56" w:rsidP="005C6D56">
            <w:pPr>
              <w:tabs>
                <w:tab w:val="left" w:pos="2340"/>
                <w:tab w:val="left" w:pos="3420"/>
              </w:tabs>
              <w:spacing w:after="240"/>
              <w:ind w:left="2880" w:hanging="2160"/>
              <w:rPr>
                <w:bCs/>
                <w:szCs w:val="24"/>
                <w:lang w:val="pt-BR"/>
              </w:rPr>
            </w:pPr>
            <w:r w:rsidRPr="0013396E">
              <w:rPr>
                <w:bCs/>
                <w:szCs w:val="24"/>
                <w:lang w:val="pt-BR"/>
              </w:rPr>
              <w:t>For all other resettlements</w:t>
            </w:r>
          </w:p>
          <w:p w14:paraId="21404990" w14:textId="77777777" w:rsidR="005C6D56" w:rsidRPr="0013396E" w:rsidRDefault="005C6D56" w:rsidP="005C6D56">
            <w:pPr>
              <w:spacing w:after="240"/>
              <w:ind w:firstLine="720"/>
              <w:rPr>
                <w:szCs w:val="24"/>
                <w:lang w:val="pt-BR"/>
              </w:rPr>
            </w:pPr>
            <w:r w:rsidRPr="0013396E">
              <w:rPr>
                <w:szCs w:val="24"/>
                <w:lang w:val="pt-BR"/>
              </w:rPr>
              <w:t xml:space="preserve">If MRACMAF </w:t>
            </w:r>
            <w:r w:rsidRPr="0013396E">
              <w:rPr>
                <w:i/>
                <w:szCs w:val="24"/>
                <w:vertAlign w:val="subscript"/>
                <w:lang w:val="pt-BR"/>
              </w:rPr>
              <w:t xml:space="preserve">q, r, m </w:t>
            </w:r>
            <w:r w:rsidRPr="0013396E">
              <w:rPr>
                <w:szCs w:val="24"/>
              </w:rPr>
              <w:t xml:space="preserve"> ≥ 95% * MRATA </w:t>
            </w:r>
            <w:r w:rsidRPr="0013396E">
              <w:rPr>
                <w:i/>
                <w:szCs w:val="24"/>
                <w:vertAlign w:val="subscript"/>
              </w:rPr>
              <w:t>q, r, m</w:t>
            </w:r>
            <w:r w:rsidRPr="0013396E">
              <w:rPr>
                <w:szCs w:val="24"/>
              </w:rPr>
              <w:t xml:space="preserve"> </w:t>
            </w:r>
          </w:p>
          <w:p w14:paraId="3A52D52E" w14:textId="77777777" w:rsidR="005C6D56" w:rsidRPr="0013396E" w:rsidRDefault="005C6D56" w:rsidP="005C6D56">
            <w:pPr>
              <w:spacing w:after="240"/>
              <w:ind w:left="1440"/>
              <w:rPr>
                <w:szCs w:val="24"/>
                <w:lang w:val="pt-BR"/>
              </w:rPr>
            </w:pPr>
            <w:r w:rsidRPr="0013396E">
              <w:rPr>
                <w:szCs w:val="24"/>
              </w:rPr>
              <w:t>MRAARF</w:t>
            </w:r>
            <w:r w:rsidRPr="0013396E">
              <w:rPr>
                <w:i/>
                <w:szCs w:val="24"/>
                <w:vertAlign w:val="subscript"/>
              </w:rPr>
              <w:t xml:space="preserve">q, r, m </w:t>
            </w:r>
            <w:r w:rsidRPr="0013396E">
              <w:rPr>
                <w:szCs w:val="24"/>
                <w:lang w:val="pt-BR"/>
              </w:rPr>
              <w:t xml:space="preserve">= 1 </w:t>
            </w:r>
          </w:p>
          <w:p w14:paraId="16C92493" w14:textId="77777777" w:rsidR="005C6D56" w:rsidRPr="0013396E" w:rsidRDefault="005C6D56" w:rsidP="005C6D56">
            <w:pPr>
              <w:spacing w:after="240"/>
              <w:ind w:firstLine="720"/>
              <w:rPr>
                <w:szCs w:val="24"/>
                <w:lang w:val="pt-BR"/>
              </w:rPr>
            </w:pPr>
            <w:r w:rsidRPr="0013396E">
              <w:rPr>
                <w:szCs w:val="24"/>
                <w:lang w:val="pt-BR"/>
              </w:rPr>
              <w:t>If 85% *</w:t>
            </w:r>
            <w:r w:rsidRPr="0013396E">
              <w:rPr>
                <w:szCs w:val="24"/>
              </w:rPr>
              <w:t xml:space="preserve"> </w:t>
            </w:r>
            <w:r w:rsidRPr="0013396E">
              <w:rPr>
                <w:szCs w:val="24"/>
                <w:lang w:val="pt-BR"/>
              </w:rPr>
              <w:t>MRATA</w:t>
            </w:r>
            <w:r w:rsidRPr="0013396E">
              <w:rPr>
                <w:szCs w:val="24"/>
              </w:rPr>
              <w:t xml:space="preserve"> </w:t>
            </w:r>
            <w:r w:rsidRPr="0013396E">
              <w:rPr>
                <w:i/>
                <w:szCs w:val="24"/>
                <w:vertAlign w:val="subscript"/>
              </w:rPr>
              <w:t>q, r, m</w:t>
            </w:r>
            <w:r w:rsidRPr="0013396E">
              <w:rPr>
                <w:szCs w:val="24"/>
              </w:rPr>
              <w:t xml:space="preserve"> </w:t>
            </w:r>
            <w:r w:rsidRPr="0013396E">
              <w:rPr>
                <w:szCs w:val="24"/>
                <w:lang w:val="pt-BR"/>
              </w:rPr>
              <w:t xml:space="preserve">≤ MRACMAF </w:t>
            </w:r>
            <w:r w:rsidRPr="0013396E">
              <w:rPr>
                <w:i/>
                <w:szCs w:val="24"/>
                <w:vertAlign w:val="subscript"/>
                <w:lang w:val="pt-BR"/>
              </w:rPr>
              <w:t xml:space="preserve">q, r,m </w:t>
            </w:r>
            <w:r w:rsidRPr="0013396E">
              <w:rPr>
                <w:szCs w:val="24"/>
              </w:rPr>
              <w:t xml:space="preserve"> </w:t>
            </w:r>
            <w:r w:rsidRPr="0013396E">
              <w:rPr>
                <w:szCs w:val="24"/>
                <w:lang w:val="pt-BR"/>
              </w:rPr>
              <w:t>&lt;</w:t>
            </w:r>
            <w:r w:rsidRPr="0013396E">
              <w:rPr>
                <w:szCs w:val="24"/>
              </w:rPr>
              <w:t xml:space="preserve"> 95%* MRATA </w:t>
            </w:r>
            <w:r w:rsidRPr="0013396E">
              <w:rPr>
                <w:i/>
                <w:szCs w:val="24"/>
                <w:vertAlign w:val="subscript"/>
              </w:rPr>
              <w:t>q, r, m</w:t>
            </w:r>
            <w:r w:rsidRPr="0013396E">
              <w:rPr>
                <w:szCs w:val="24"/>
              </w:rPr>
              <w:t xml:space="preserve"> </w:t>
            </w:r>
          </w:p>
          <w:p w14:paraId="3D8CCD3B" w14:textId="77777777" w:rsidR="005C6D56" w:rsidRPr="0013396E" w:rsidRDefault="005C6D56" w:rsidP="005C6D56">
            <w:pPr>
              <w:spacing w:after="240"/>
              <w:ind w:left="1440"/>
              <w:rPr>
                <w:szCs w:val="24"/>
                <w:lang w:val="pt-BR"/>
              </w:rPr>
            </w:pPr>
            <w:r w:rsidRPr="0013396E">
              <w:rPr>
                <w:szCs w:val="24"/>
              </w:rPr>
              <w:t>MRAARF</w:t>
            </w:r>
            <w:r w:rsidRPr="0013396E">
              <w:rPr>
                <w:i/>
                <w:szCs w:val="24"/>
                <w:vertAlign w:val="subscript"/>
              </w:rPr>
              <w:t xml:space="preserve">q, r, m </w:t>
            </w:r>
            <w:r w:rsidRPr="0013396E">
              <w:rPr>
                <w:szCs w:val="24"/>
                <w:lang w:val="pt-BR"/>
              </w:rPr>
              <w:t xml:space="preserve">= MRACMAF </w:t>
            </w:r>
            <w:r w:rsidRPr="0013396E">
              <w:rPr>
                <w:i/>
                <w:szCs w:val="24"/>
                <w:vertAlign w:val="subscript"/>
                <w:lang w:val="pt-BR"/>
              </w:rPr>
              <w:t xml:space="preserve">q, r, m </w:t>
            </w:r>
            <w:r w:rsidRPr="0013396E">
              <w:rPr>
                <w:szCs w:val="24"/>
              </w:rPr>
              <w:t xml:space="preserve"> </w:t>
            </w:r>
            <w:r w:rsidRPr="0013396E">
              <w:rPr>
                <w:i/>
                <w:szCs w:val="24"/>
                <w:vertAlign w:val="subscript"/>
              </w:rPr>
              <w:t xml:space="preserve"> </w:t>
            </w:r>
          </w:p>
          <w:p w14:paraId="5DAA2241" w14:textId="77777777" w:rsidR="005C6D56" w:rsidRPr="0013396E" w:rsidRDefault="005C6D56" w:rsidP="005C6D56">
            <w:pPr>
              <w:spacing w:after="240"/>
              <w:ind w:firstLine="720"/>
              <w:rPr>
                <w:szCs w:val="24"/>
                <w:lang w:val="pt-BR"/>
              </w:rPr>
            </w:pPr>
            <w:r w:rsidRPr="0013396E">
              <w:rPr>
                <w:szCs w:val="24"/>
                <w:lang w:val="pt-BR"/>
              </w:rPr>
              <w:t xml:space="preserve">If MRACMAF </w:t>
            </w:r>
            <w:r w:rsidRPr="0013396E">
              <w:rPr>
                <w:i/>
                <w:szCs w:val="24"/>
                <w:vertAlign w:val="subscript"/>
                <w:lang w:val="pt-BR"/>
              </w:rPr>
              <w:t xml:space="preserve">q, r, m </w:t>
            </w:r>
            <w:r w:rsidRPr="0013396E">
              <w:rPr>
                <w:szCs w:val="24"/>
              </w:rPr>
              <w:t xml:space="preserve"> </w:t>
            </w:r>
            <w:r w:rsidRPr="0013396E">
              <w:rPr>
                <w:szCs w:val="24"/>
                <w:lang w:val="pt-BR"/>
              </w:rPr>
              <w:t>&lt;</w:t>
            </w:r>
            <w:r w:rsidRPr="0013396E">
              <w:rPr>
                <w:szCs w:val="24"/>
              </w:rPr>
              <w:t xml:space="preserve"> 85% * MRATA </w:t>
            </w:r>
            <w:r w:rsidRPr="0013396E">
              <w:rPr>
                <w:i/>
                <w:szCs w:val="24"/>
                <w:vertAlign w:val="subscript"/>
              </w:rPr>
              <w:t>q, r, m</w:t>
            </w:r>
          </w:p>
          <w:p w14:paraId="62F0FEF0" w14:textId="77777777" w:rsidR="005C6D56" w:rsidRPr="0013396E" w:rsidRDefault="005C6D56" w:rsidP="005C6D56">
            <w:pPr>
              <w:spacing w:after="240"/>
              <w:ind w:left="1440"/>
              <w:rPr>
                <w:szCs w:val="24"/>
                <w:lang w:val="pt-BR"/>
              </w:rPr>
            </w:pPr>
            <w:r w:rsidRPr="0013396E">
              <w:rPr>
                <w:szCs w:val="24"/>
              </w:rPr>
              <w:t>MRAARF</w:t>
            </w:r>
            <w:r w:rsidRPr="0013396E">
              <w:rPr>
                <w:i/>
                <w:szCs w:val="24"/>
                <w:vertAlign w:val="subscript"/>
              </w:rPr>
              <w:t xml:space="preserve">q, r, m </w:t>
            </w:r>
            <w:r w:rsidRPr="0013396E">
              <w:rPr>
                <w:szCs w:val="24"/>
                <w:lang w:val="pt-BR"/>
              </w:rPr>
              <w:t xml:space="preserve">= (MRACMAF </w:t>
            </w:r>
            <w:r w:rsidRPr="0013396E">
              <w:rPr>
                <w:i/>
                <w:szCs w:val="24"/>
                <w:vertAlign w:val="subscript"/>
                <w:lang w:val="pt-BR"/>
              </w:rPr>
              <w:t xml:space="preserve">q, r, m </w:t>
            </w:r>
            <w:r w:rsidRPr="0013396E">
              <w:rPr>
                <w:i/>
                <w:szCs w:val="24"/>
                <w:lang w:val="pt-BR"/>
              </w:rPr>
              <w:t>)</w:t>
            </w:r>
            <w:r w:rsidRPr="0013396E">
              <w:rPr>
                <w:i/>
                <w:color w:val="000000"/>
                <w:szCs w:val="24"/>
                <w:vertAlign w:val="superscript"/>
                <w:lang w:val="pt-BR"/>
              </w:rPr>
              <w:t>2</w:t>
            </w:r>
          </w:p>
          <w:p w14:paraId="52712988" w14:textId="77777777" w:rsidR="005C6D56" w:rsidRPr="0013396E" w:rsidRDefault="005C6D56" w:rsidP="005C6D56">
            <w:pPr>
              <w:spacing w:after="240"/>
              <w:ind w:firstLine="720"/>
              <w:rPr>
                <w:szCs w:val="24"/>
                <w:lang w:val="pt-BR"/>
              </w:rPr>
            </w:pPr>
            <w:r w:rsidRPr="0013396E">
              <w:rPr>
                <w:szCs w:val="24"/>
                <w:lang w:val="pt-BR"/>
              </w:rPr>
              <w:t>Where:</w:t>
            </w:r>
          </w:p>
          <w:p w14:paraId="5A533945" w14:textId="7EB6A170" w:rsidR="005C6D56" w:rsidRPr="0013396E" w:rsidRDefault="005C6D56" w:rsidP="005C6D56">
            <w:pPr>
              <w:spacing w:after="240"/>
              <w:ind w:left="720" w:firstLine="720"/>
              <w:rPr>
                <w:szCs w:val="24"/>
                <w:lang w:val="pt-BR"/>
              </w:rPr>
            </w:pPr>
            <w:r w:rsidRPr="0013396E">
              <w:rPr>
                <w:szCs w:val="24"/>
              </w:rPr>
              <w:t xml:space="preserve">For </w:t>
            </w:r>
            <w:r w:rsidRPr="0013396E">
              <w:rPr>
                <w:bCs/>
                <w:color w:val="000000"/>
                <w:szCs w:val="24"/>
                <w:lang w:val="pt-BR"/>
              </w:rPr>
              <w:t>an MRA registered as a Generation Resource</w:t>
            </w:r>
            <w:r w:rsidR="00086215" w:rsidRPr="0013396E">
              <w:rPr>
                <w:bCs/>
                <w:color w:val="000000"/>
                <w:szCs w:val="24"/>
                <w:lang w:val="pt-BR"/>
              </w:rPr>
              <w:t xml:space="preserve"> or ESR</w:t>
            </w:r>
            <w:r w:rsidRPr="0013396E">
              <w:rPr>
                <w:bCs/>
                <w:color w:val="000000"/>
                <w:szCs w:val="24"/>
                <w:lang w:val="pt-BR"/>
              </w:rPr>
              <w:t xml:space="preserve">, </w:t>
            </w:r>
          </w:p>
          <w:p w14:paraId="45C8F75D" w14:textId="127E320F" w:rsidR="005C6D56" w:rsidRPr="0013396E" w:rsidRDefault="005C6D56" w:rsidP="005C6D56">
            <w:pPr>
              <w:spacing w:after="240"/>
              <w:ind w:left="1440" w:firstLine="720"/>
              <w:rPr>
                <w:i/>
                <w:szCs w:val="24"/>
                <w:lang w:val="pt-BR"/>
              </w:rPr>
            </w:pPr>
            <w:r w:rsidRPr="0013396E">
              <w:rPr>
                <w:szCs w:val="24"/>
                <w:lang w:val="pt-BR"/>
              </w:rPr>
              <w:t xml:space="preserve">MRACMAF </w:t>
            </w:r>
            <w:r w:rsidRPr="0013396E">
              <w:rPr>
                <w:i/>
                <w:szCs w:val="24"/>
                <w:vertAlign w:val="subscript"/>
                <w:lang w:val="pt-BR"/>
              </w:rPr>
              <w:t xml:space="preserve">q, r, m </w:t>
            </w:r>
            <w:r w:rsidRPr="0013396E">
              <w:rPr>
                <w:szCs w:val="24"/>
              </w:rPr>
              <w:t xml:space="preserve"> </w:t>
            </w:r>
            <w:r w:rsidRPr="0013396E">
              <w:rPr>
                <w:szCs w:val="24"/>
                <w:lang w:val="pt-BR"/>
              </w:rPr>
              <w:t xml:space="preserve">= </w:t>
            </w:r>
            <w:r w:rsidRPr="0013396E">
              <w:rPr>
                <w:szCs w:val="24"/>
              </w:rPr>
              <w:t xml:space="preserve"> </w:t>
            </w:r>
            <w:r w:rsidR="00A94020" w:rsidRPr="0013396E">
              <w:rPr>
                <w:b/>
                <w:noProof/>
                <w:position w:val="-20"/>
                <w:szCs w:val="24"/>
              </w:rPr>
              <w:drawing>
                <wp:inline distT="0" distB="0" distL="0" distR="0" wp14:anchorId="5523BB01" wp14:editId="51E67E0A">
                  <wp:extent cx="142875" cy="276225"/>
                  <wp:effectExtent l="0" t="0" r="9525" b="9525"/>
                  <wp:docPr id="1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42875" cy="276225"/>
                          </a:xfrm>
                          <a:prstGeom prst="rect">
                            <a:avLst/>
                          </a:prstGeom>
                          <a:noFill/>
                          <a:ln>
                            <a:noFill/>
                          </a:ln>
                        </pic:spPr>
                      </pic:pic>
                    </a:graphicData>
                  </a:graphic>
                </wp:inline>
              </w:drawing>
            </w:r>
            <w:r w:rsidRPr="0013396E">
              <w:rPr>
                <w:szCs w:val="24"/>
              </w:rPr>
              <w:t xml:space="preserve"> (</w:t>
            </w:r>
            <w:r w:rsidRPr="0013396E">
              <w:rPr>
                <w:szCs w:val="24"/>
                <w:lang w:val="pt-BR"/>
              </w:rPr>
              <w:t>MRAMAH</w:t>
            </w:r>
            <w:r w:rsidRPr="0013396E">
              <w:rPr>
                <w:i/>
                <w:szCs w:val="24"/>
                <w:vertAlign w:val="subscript"/>
                <w:lang w:val="pt-BR"/>
              </w:rPr>
              <w:t xml:space="preserve"> q, r, h</w:t>
            </w:r>
            <w:r w:rsidRPr="0013396E">
              <w:rPr>
                <w:szCs w:val="24"/>
                <w:lang w:val="pt-BR"/>
              </w:rPr>
              <w:t xml:space="preserve"> ) / </w:t>
            </w:r>
            <w:r w:rsidRPr="0013396E">
              <w:rPr>
                <w:szCs w:val="24"/>
              </w:rPr>
              <w:t xml:space="preserve"> (</w:t>
            </w:r>
            <w:r w:rsidRPr="0013396E">
              <w:rPr>
                <w:szCs w:val="24"/>
                <w:lang w:val="pt-BR"/>
              </w:rPr>
              <w:t>MH</w:t>
            </w:r>
            <w:r w:rsidRPr="0013396E">
              <w:rPr>
                <w:i/>
                <w:szCs w:val="24"/>
                <w:vertAlign w:val="subscript"/>
                <w:lang w:val="pt-BR"/>
              </w:rPr>
              <w:t xml:space="preserve"> q, r, m</w:t>
            </w:r>
            <w:r w:rsidRPr="0013396E">
              <w:rPr>
                <w:i/>
                <w:szCs w:val="24"/>
                <w:lang w:val="pt-BR"/>
              </w:rPr>
              <w:t>)</w:t>
            </w:r>
          </w:p>
          <w:p w14:paraId="49C688D2" w14:textId="77777777" w:rsidR="005C6D56" w:rsidRPr="0013396E" w:rsidRDefault="005C6D56" w:rsidP="004A39F9">
            <w:pPr>
              <w:spacing w:after="240"/>
              <w:ind w:firstLine="720"/>
              <w:rPr>
                <w:szCs w:val="24"/>
              </w:rPr>
            </w:pPr>
            <w:r w:rsidRPr="0013396E">
              <w:rPr>
                <w:szCs w:val="24"/>
              </w:rPr>
              <w:t xml:space="preserve">And, </w:t>
            </w:r>
          </w:p>
          <w:p w14:paraId="607BB88E" w14:textId="7BCE8846" w:rsidR="005C6D56" w:rsidRPr="0013396E" w:rsidRDefault="005C6D56" w:rsidP="004A39F9">
            <w:pPr>
              <w:spacing w:after="240"/>
              <w:ind w:left="1440"/>
              <w:rPr>
                <w:szCs w:val="24"/>
              </w:rPr>
            </w:pPr>
            <w:r w:rsidRPr="0013396E">
              <w:rPr>
                <w:szCs w:val="24"/>
              </w:rPr>
              <w:t xml:space="preserve">For an </w:t>
            </w:r>
            <w:r w:rsidRPr="0013396E">
              <w:rPr>
                <w:bCs/>
                <w:snapToGrid w:val="0"/>
              </w:rPr>
              <w:t>MRA not registered as a Generation Resource</w:t>
            </w:r>
            <w:r w:rsidR="00086215" w:rsidRPr="0013396E">
              <w:rPr>
                <w:bCs/>
                <w:snapToGrid w:val="0"/>
              </w:rPr>
              <w:t xml:space="preserve"> or ESR</w:t>
            </w:r>
            <w:r w:rsidRPr="0013396E">
              <w:rPr>
                <w:bCs/>
                <w:snapToGrid w:val="0"/>
              </w:rPr>
              <w:t>,</w:t>
            </w:r>
            <w:r w:rsidRPr="0013396E">
              <w:rPr>
                <w:szCs w:val="24"/>
              </w:rPr>
              <w:t xml:space="preserve"> the availability factor is calculated pursuant to Section 3.14.4.6.4, MRA Availability Measurement and Verification.</w:t>
            </w:r>
          </w:p>
          <w:p w14:paraId="0563F861" w14:textId="77777777" w:rsidR="005C6D56" w:rsidRPr="0013396E" w:rsidRDefault="005C6D56" w:rsidP="005C6D56">
            <w:pPr>
              <w:rPr>
                <w:szCs w:val="24"/>
              </w:rPr>
            </w:pPr>
            <w:r w:rsidRPr="0013396E">
              <w:rPr>
                <w:szCs w:val="24"/>
              </w:rPr>
              <w:t>The above variables are defined as follows:</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4"/>
              <w:gridCol w:w="788"/>
              <w:gridCol w:w="6780"/>
            </w:tblGrid>
            <w:tr w:rsidR="0057461A" w:rsidRPr="0013396E" w14:paraId="7FA20484" w14:textId="77777777" w:rsidTr="00086215">
              <w:trPr>
                <w:cantSplit/>
                <w:tblHeader/>
              </w:trPr>
              <w:tc>
                <w:tcPr>
                  <w:tcW w:w="949" w:type="pct"/>
                </w:tcPr>
                <w:p w14:paraId="673C5E14" w14:textId="77777777" w:rsidR="0057461A" w:rsidRPr="0013396E" w:rsidRDefault="0057461A" w:rsidP="0057461A">
                  <w:pPr>
                    <w:spacing w:after="120"/>
                    <w:rPr>
                      <w:b/>
                      <w:iCs/>
                      <w:sz w:val="20"/>
                    </w:rPr>
                  </w:pPr>
                  <w:r w:rsidRPr="0013396E">
                    <w:rPr>
                      <w:b/>
                      <w:iCs/>
                      <w:sz w:val="20"/>
                    </w:rPr>
                    <w:lastRenderedPageBreak/>
                    <w:t>Variable</w:t>
                  </w:r>
                </w:p>
              </w:tc>
              <w:tc>
                <w:tcPr>
                  <w:tcW w:w="422" w:type="pct"/>
                </w:tcPr>
                <w:p w14:paraId="11F211FD" w14:textId="77777777" w:rsidR="0057461A" w:rsidRPr="0013396E" w:rsidRDefault="0057461A" w:rsidP="0057461A">
                  <w:pPr>
                    <w:spacing w:after="120"/>
                    <w:rPr>
                      <w:b/>
                      <w:iCs/>
                      <w:sz w:val="20"/>
                    </w:rPr>
                  </w:pPr>
                  <w:r w:rsidRPr="0013396E">
                    <w:rPr>
                      <w:b/>
                      <w:iCs/>
                      <w:sz w:val="20"/>
                    </w:rPr>
                    <w:t>Unit</w:t>
                  </w:r>
                </w:p>
              </w:tc>
              <w:tc>
                <w:tcPr>
                  <w:tcW w:w="3629" w:type="pct"/>
                </w:tcPr>
                <w:p w14:paraId="0EA8DFE5" w14:textId="77777777" w:rsidR="0057461A" w:rsidRPr="0013396E" w:rsidRDefault="0057461A" w:rsidP="0057461A">
                  <w:pPr>
                    <w:spacing w:after="120"/>
                    <w:rPr>
                      <w:b/>
                      <w:iCs/>
                      <w:sz w:val="20"/>
                    </w:rPr>
                  </w:pPr>
                  <w:r w:rsidRPr="0013396E">
                    <w:rPr>
                      <w:b/>
                      <w:iCs/>
                      <w:sz w:val="20"/>
                    </w:rPr>
                    <w:t>Definition</w:t>
                  </w:r>
                </w:p>
              </w:tc>
            </w:tr>
            <w:tr w:rsidR="0057461A" w:rsidRPr="0013396E" w14:paraId="412F08CE" w14:textId="77777777" w:rsidTr="00086215">
              <w:trPr>
                <w:cantSplit/>
              </w:trPr>
              <w:tc>
                <w:tcPr>
                  <w:tcW w:w="949" w:type="pct"/>
                </w:tcPr>
                <w:p w14:paraId="0594423A" w14:textId="77777777" w:rsidR="0057461A" w:rsidRPr="0013396E" w:rsidRDefault="0057461A" w:rsidP="0057461A">
                  <w:pPr>
                    <w:spacing w:after="60"/>
                    <w:rPr>
                      <w:iCs/>
                      <w:sz w:val="20"/>
                    </w:rPr>
                  </w:pPr>
                  <w:r w:rsidRPr="0013396E">
                    <w:rPr>
                      <w:iCs/>
                      <w:sz w:val="20"/>
                    </w:rPr>
                    <w:t xml:space="preserve">MRASBAMT </w:t>
                  </w:r>
                  <w:r w:rsidRPr="0013396E">
                    <w:rPr>
                      <w:i/>
                      <w:iCs/>
                      <w:sz w:val="20"/>
                      <w:vertAlign w:val="subscript"/>
                    </w:rPr>
                    <w:t>q, r, h</w:t>
                  </w:r>
                </w:p>
              </w:tc>
              <w:tc>
                <w:tcPr>
                  <w:tcW w:w="422" w:type="pct"/>
                </w:tcPr>
                <w:p w14:paraId="23BD71BB" w14:textId="77777777" w:rsidR="0057461A" w:rsidRPr="0013396E" w:rsidRDefault="0057461A" w:rsidP="0057461A">
                  <w:pPr>
                    <w:spacing w:after="60"/>
                    <w:rPr>
                      <w:iCs/>
                      <w:sz w:val="20"/>
                    </w:rPr>
                  </w:pPr>
                  <w:r w:rsidRPr="0013396E">
                    <w:rPr>
                      <w:iCs/>
                      <w:sz w:val="20"/>
                    </w:rPr>
                    <w:t xml:space="preserve">$ </w:t>
                  </w:r>
                </w:p>
              </w:tc>
              <w:tc>
                <w:tcPr>
                  <w:tcW w:w="3629" w:type="pct"/>
                </w:tcPr>
                <w:p w14:paraId="35C0D16D" w14:textId="77777777" w:rsidR="0057461A" w:rsidRPr="0013396E" w:rsidRDefault="0057461A" w:rsidP="0057461A">
                  <w:pPr>
                    <w:spacing w:after="60"/>
                    <w:rPr>
                      <w:i/>
                      <w:iCs/>
                      <w:sz w:val="20"/>
                    </w:rPr>
                  </w:pPr>
                  <w:r w:rsidRPr="0013396E">
                    <w:rPr>
                      <w:i/>
                      <w:iCs/>
                      <w:sz w:val="20"/>
                    </w:rPr>
                    <w:t>Must-Run Alternative Standby Amount per QSE per Resource by hour</w:t>
                  </w:r>
                  <w:r w:rsidRPr="0013396E">
                    <w:rPr>
                      <w:iCs/>
                      <w:sz w:val="20"/>
                    </w:rPr>
                    <w:t xml:space="preserve">—The hourly standby payment amount for MRA </w:t>
                  </w:r>
                  <w:r w:rsidRPr="0013396E">
                    <w:rPr>
                      <w:i/>
                      <w:iCs/>
                      <w:sz w:val="20"/>
                    </w:rPr>
                    <w:t xml:space="preserve">r </w:t>
                  </w:r>
                  <w:r w:rsidRPr="0013396E">
                    <w:rPr>
                      <w:iCs/>
                      <w:sz w:val="20"/>
                    </w:rPr>
                    <w:t xml:space="preserve">represented by QSE </w:t>
                  </w:r>
                  <w:r w:rsidRPr="0013396E">
                    <w:rPr>
                      <w:i/>
                      <w:iCs/>
                      <w:sz w:val="20"/>
                    </w:rPr>
                    <w:t>q</w:t>
                  </w:r>
                  <w:r w:rsidRPr="0013396E">
                    <w:rPr>
                      <w:sz w:val="20"/>
                    </w:rPr>
                    <w:t xml:space="preserve">, for the hour </w:t>
                  </w:r>
                  <w:r w:rsidRPr="0013396E">
                    <w:rPr>
                      <w:i/>
                      <w:sz w:val="20"/>
                    </w:rPr>
                    <w:t>h</w:t>
                  </w:r>
                  <w:r w:rsidRPr="0013396E">
                    <w:rPr>
                      <w:iCs/>
                      <w:sz w:val="20"/>
                    </w:rPr>
                    <w:t xml:space="preserve">.  Where for a Combined Cycle Train, the Resource </w:t>
                  </w:r>
                  <w:r w:rsidRPr="0013396E">
                    <w:rPr>
                      <w:i/>
                      <w:iCs/>
                      <w:sz w:val="20"/>
                    </w:rPr>
                    <w:t xml:space="preserve">r </w:t>
                  </w:r>
                  <w:r w:rsidRPr="0013396E">
                    <w:rPr>
                      <w:iCs/>
                      <w:sz w:val="20"/>
                    </w:rPr>
                    <w:t>is a Combined Cycle Train.</w:t>
                  </w:r>
                </w:p>
              </w:tc>
            </w:tr>
            <w:tr w:rsidR="0057461A" w:rsidRPr="0013396E" w14:paraId="499F2B75" w14:textId="77777777" w:rsidTr="00086215">
              <w:trPr>
                <w:cantSplit/>
              </w:trPr>
              <w:tc>
                <w:tcPr>
                  <w:tcW w:w="949" w:type="pct"/>
                </w:tcPr>
                <w:p w14:paraId="4471A83E" w14:textId="77777777" w:rsidR="0057461A" w:rsidRPr="0013396E" w:rsidRDefault="0057461A" w:rsidP="0057461A">
                  <w:pPr>
                    <w:spacing w:after="60"/>
                    <w:rPr>
                      <w:iCs/>
                      <w:sz w:val="20"/>
                    </w:rPr>
                  </w:pPr>
                  <w:r w:rsidRPr="0013396E">
                    <w:rPr>
                      <w:iCs/>
                      <w:sz w:val="20"/>
                    </w:rPr>
                    <w:t xml:space="preserve">MRASBPR </w:t>
                  </w:r>
                  <w:r w:rsidRPr="0013396E">
                    <w:rPr>
                      <w:i/>
                      <w:iCs/>
                      <w:sz w:val="20"/>
                      <w:vertAlign w:val="subscript"/>
                    </w:rPr>
                    <w:t>q, r, m</w:t>
                  </w:r>
                </w:p>
              </w:tc>
              <w:tc>
                <w:tcPr>
                  <w:tcW w:w="422" w:type="pct"/>
                </w:tcPr>
                <w:p w14:paraId="57503175" w14:textId="77777777" w:rsidR="0057461A" w:rsidRPr="0013396E" w:rsidRDefault="0057461A" w:rsidP="0057461A">
                  <w:pPr>
                    <w:spacing w:after="60"/>
                    <w:rPr>
                      <w:iCs/>
                      <w:sz w:val="20"/>
                    </w:rPr>
                  </w:pPr>
                  <w:r w:rsidRPr="0013396E">
                    <w:rPr>
                      <w:iCs/>
                      <w:sz w:val="20"/>
                    </w:rPr>
                    <w:t>$/MW per hour</w:t>
                  </w:r>
                </w:p>
              </w:tc>
              <w:tc>
                <w:tcPr>
                  <w:tcW w:w="3629" w:type="pct"/>
                </w:tcPr>
                <w:p w14:paraId="3A8634AA" w14:textId="77777777" w:rsidR="0057461A" w:rsidRPr="0013396E" w:rsidRDefault="0057461A" w:rsidP="0057461A">
                  <w:pPr>
                    <w:spacing w:after="60"/>
                    <w:rPr>
                      <w:i/>
                      <w:iCs/>
                      <w:sz w:val="20"/>
                    </w:rPr>
                  </w:pPr>
                  <w:r w:rsidRPr="0013396E">
                    <w:rPr>
                      <w:i/>
                      <w:iCs/>
                      <w:sz w:val="20"/>
                    </w:rPr>
                    <w:t>Must-Run Alternative Standby Price per QSE per Resource per MW per hour</w:t>
                  </w:r>
                  <w:r w:rsidRPr="0013396E">
                    <w:rPr>
                      <w:iCs/>
                      <w:sz w:val="20"/>
                    </w:rPr>
                    <w:t xml:space="preserve">—The hourly standby price per MW for MRA </w:t>
                  </w:r>
                  <w:r w:rsidRPr="0013396E">
                    <w:rPr>
                      <w:i/>
                      <w:iCs/>
                      <w:sz w:val="20"/>
                    </w:rPr>
                    <w:t xml:space="preserve">r </w:t>
                  </w:r>
                  <w:r w:rsidRPr="0013396E">
                    <w:rPr>
                      <w:iCs/>
                      <w:sz w:val="20"/>
                    </w:rPr>
                    <w:t xml:space="preserve">represented by QSE </w:t>
                  </w:r>
                  <w:r w:rsidRPr="0013396E">
                    <w:rPr>
                      <w:i/>
                      <w:iCs/>
                      <w:sz w:val="20"/>
                    </w:rPr>
                    <w:t>q</w:t>
                  </w:r>
                  <w:r w:rsidRPr="0013396E">
                    <w:rPr>
                      <w:sz w:val="20"/>
                    </w:rPr>
                    <w:t xml:space="preserve">, for the month </w:t>
                  </w:r>
                  <w:r w:rsidRPr="0013396E">
                    <w:rPr>
                      <w:i/>
                      <w:sz w:val="20"/>
                    </w:rPr>
                    <w:t>m</w:t>
                  </w:r>
                  <w:r w:rsidRPr="0013396E">
                    <w:rPr>
                      <w:iCs/>
                      <w:sz w:val="20"/>
                    </w:rPr>
                    <w:t xml:space="preserve">.  Where for a Combined Cycle Train, the Resource </w:t>
                  </w:r>
                  <w:r w:rsidRPr="0013396E">
                    <w:rPr>
                      <w:i/>
                      <w:iCs/>
                      <w:sz w:val="20"/>
                    </w:rPr>
                    <w:t xml:space="preserve">r </w:t>
                  </w:r>
                  <w:r w:rsidRPr="0013396E">
                    <w:rPr>
                      <w:iCs/>
                      <w:sz w:val="20"/>
                    </w:rPr>
                    <w:t>is a Combined Cycle Train.</w:t>
                  </w:r>
                </w:p>
              </w:tc>
            </w:tr>
            <w:tr w:rsidR="0057461A" w:rsidRPr="0013396E" w14:paraId="3089D7B4" w14:textId="77777777" w:rsidTr="00086215">
              <w:trPr>
                <w:cantSplit/>
              </w:trPr>
              <w:tc>
                <w:tcPr>
                  <w:tcW w:w="949" w:type="pct"/>
                </w:tcPr>
                <w:p w14:paraId="7A530F34" w14:textId="77777777" w:rsidR="0057461A" w:rsidRPr="0013396E" w:rsidRDefault="0057461A" w:rsidP="0057461A">
                  <w:pPr>
                    <w:spacing w:after="60"/>
                    <w:rPr>
                      <w:iCs/>
                      <w:sz w:val="20"/>
                    </w:rPr>
                  </w:pPr>
                  <w:r w:rsidRPr="0013396E">
                    <w:rPr>
                      <w:sz w:val="20"/>
                    </w:rPr>
                    <w:t>MRAEPRF</w:t>
                  </w:r>
                  <w:r w:rsidRPr="0013396E">
                    <w:rPr>
                      <w:i/>
                      <w:sz w:val="20"/>
                      <w:vertAlign w:val="subscript"/>
                    </w:rPr>
                    <w:t xml:space="preserve"> q, r, m</w:t>
                  </w:r>
                </w:p>
              </w:tc>
              <w:tc>
                <w:tcPr>
                  <w:tcW w:w="422" w:type="pct"/>
                </w:tcPr>
                <w:p w14:paraId="5F7B26B7" w14:textId="77777777" w:rsidR="0057461A" w:rsidRPr="0013396E" w:rsidRDefault="0057461A" w:rsidP="0057461A">
                  <w:pPr>
                    <w:spacing w:after="60"/>
                    <w:rPr>
                      <w:iCs/>
                      <w:sz w:val="20"/>
                    </w:rPr>
                  </w:pPr>
                  <w:r w:rsidRPr="0013396E">
                    <w:rPr>
                      <w:iCs/>
                      <w:sz w:val="20"/>
                    </w:rPr>
                    <w:t>None</w:t>
                  </w:r>
                </w:p>
              </w:tc>
              <w:tc>
                <w:tcPr>
                  <w:tcW w:w="3629" w:type="pct"/>
                </w:tcPr>
                <w:p w14:paraId="128918D1" w14:textId="77777777" w:rsidR="0057461A" w:rsidRPr="0013396E" w:rsidRDefault="0057461A" w:rsidP="0057461A">
                  <w:pPr>
                    <w:tabs>
                      <w:tab w:val="left" w:pos="1080"/>
                      <w:tab w:val="left" w:pos="5940"/>
                      <w:tab w:val="left" w:pos="6300"/>
                      <w:tab w:val="left" w:pos="6840"/>
                    </w:tabs>
                    <w:rPr>
                      <w:lang w:val="pt-BR"/>
                    </w:rPr>
                  </w:pPr>
                  <w:r w:rsidRPr="0013396E">
                    <w:rPr>
                      <w:i/>
                      <w:iCs/>
                      <w:sz w:val="20"/>
                    </w:rPr>
                    <w:t xml:space="preserve">Must-Run Alternative Event Performance Reduction </w:t>
                  </w:r>
                  <w:r w:rsidRPr="0013396E">
                    <w:rPr>
                      <w:i/>
                      <w:sz w:val="20"/>
                    </w:rPr>
                    <w:t>Factor per QSE per Resource</w:t>
                  </w:r>
                  <w:r w:rsidRPr="0013396E">
                    <w:rPr>
                      <w:sz w:val="20"/>
                    </w:rPr>
                    <w:t>—The Event Performance Reduction Factor of the MRA</w:t>
                  </w:r>
                  <w:r w:rsidRPr="0013396E">
                    <w:rPr>
                      <w:i/>
                      <w:iCs/>
                      <w:sz w:val="20"/>
                    </w:rPr>
                    <w:t xml:space="preserve"> r </w:t>
                  </w:r>
                  <w:r w:rsidRPr="0013396E">
                    <w:rPr>
                      <w:iCs/>
                      <w:sz w:val="20"/>
                    </w:rPr>
                    <w:t xml:space="preserve">represented by QSE </w:t>
                  </w:r>
                  <w:r w:rsidRPr="0013396E">
                    <w:rPr>
                      <w:i/>
                      <w:iCs/>
                      <w:sz w:val="20"/>
                    </w:rPr>
                    <w:t>q</w:t>
                  </w:r>
                  <w:r w:rsidRPr="0013396E">
                    <w:rPr>
                      <w:sz w:val="20"/>
                    </w:rPr>
                    <w:t xml:space="preserve">, for each hour of the month m, as calculated per Section 3.14.4.6.5, MRA Event Performance Measurement and Verification.  If the MRAEPRF for the month is not available then the most recent MRAEPRF prior to month of the Operating Day shall be used.  If no previous MRAEPRF is available then MRAEPRF shall be set to 1.  Where for a Combined Cycle Train, the Resource </w:t>
                  </w:r>
                  <w:r w:rsidRPr="0013396E">
                    <w:rPr>
                      <w:i/>
                      <w:sz w:val="20"/>
                    </w:rPr>
                    <w:t xml:space="preserve">r </w:t>
                  </w:r>
                  <w:r w:rsidRPr="0013396E">
                    <w:rPr>
                      <w:sz w:val="20"/>
                    </w:rPr>
                    <w:t>is the Combined Cycle Train.</w:t>
                  </w:r>
                </w:p>
              </w:tc>
            </w:tr>
            <w:tr w:rsidR="0057461A" w:rsidRPr="0013396E" w14:paraId="4AE3AB4E" w14:textId="77777777" w:rsidTr="00086215">
              <w:trPr>
                <w:cantSplit/>
              </w:trPr>
              <w:tc>
                <w:tcPr>
                  <w:tcW w:w="949" w:type="pct"/>
                </w:tcPr>
                <w:p w14:paraId="3324DCB3" w14:textId="0ED00667" w:rsidR="0057461A" w:rsidRPr="0013396E" w:rsidRDefault="0057461A" w:rsidP="0057461A">
                  <w:pPr>
                    <w:spacing w:after="60"/>
                    <w:rPr>
                      <w:sz w:val="20"/>
                    </w:rPr>
                  </w:pPr>
                  <w:r w:rsidRPr="0013396E">
                    <w:rPr>
                      <w:sz w:val="20"/>
                    </w:rPr>
                    <w:t xml:space="preserve">MRACRF </w:t>
                  </w:r>
                  <w:r w:rsidRPr="0013396E">
                    <w:rPr>
                      <w:i/>
                      <w:sz w:val="20"/>
                      <w:vertAlign w:val="subscript"/>
                    </w:rPr>
                    <w:t>q, r, m</w:t>
                  </w:r>
                </w:p>
              </w:tc>
              <w:tc>
                <w:tcPr>
                  <w:tcW w:w="422" w:type="pct"/>
                </w:tcPr>
                <w:p w14:paraId="28337D5F" w14:textId="77777777" w:rsidR="0057461A" w:rsidRPr="0013396E" w:rsidRDefault="0057461A" w:rsidP="0057461A">
                  <w:pPr>
                    <w:spacing w:after="60"/>
                    <w:rPr>
                      <w:iCs/>
                      <w:sz w:val="20"/>
                    </w:rPr>
                  </w:pPr>
                  <w:r w:rsidRPr="0013396E">
                    <w:rPr>
                      <w:iCs/>
                      <w:sz w:val="20"/>
                    </w:rPr>
                    <w:t>None</w:t>
                  </w:r>
                </w:p>
              </w:tc>
              <w:tc>
                <w:tcPr>
                  <w:tcW w:w="3629" w:type="pct"/>
                </w:tcPr>
                <w:p w14:paraId="5A5D5DC8" w14:textId="67738693" w:rsidR="0057461A" w:rsidRPr="0013396E" w:rsidRDefault="0057461A" w:rsidP="0057461A">
                  <w:pPr>
                    <w:spacing w:after="60"/>
                    <w:rPr>
                      <w:i/>
                      <w:sz w:val="20"/>
                    </w:rPr>
                  </w:pPr>
                  <w:r w:rsidRPr="0013396E">
                    <w:rPr>
                      <w:i/>
                      <w:iCs/>
                      <w:sz w:val="20"/>
                    </w:rPr>
                    <w:t>Must-Run Alternative Generation Resource</w:t>
                  </w:r>
                  <w:r w:rsidR="00086215" w:rsidRPr="0013396E">
                    <w:rPr>
                      <w:i/>
                      <w:iCs/>
                      <w:sz w:val="20"/>
                    </w:rPr>
                    <w:t xml:space="preserve"> or ESR</w:t>
                  </w:r>
                  <w:r w:rsidRPr="0013396E">
                    <w:rPr>
                      <w:i/>
                      <w:iCs/>
                      <w:sz w:val="20"/>
                    </w:rPr>
                    <w:t xml:space="preserve"> </w:t>
                  </w:r>
                  <w:r w:rsidRPr="0013396E">
                    <w:rPr>
                      <w:i/>
                      <w:sz w:val="20"/>
                    </w:rPr>
                    <w:t xml:space="preserve">Capacity Reduction Factor per QSE per Resource per month </w:t>
                  </w:r>
                  <w:r w:rsidRPr="0013396E">
                    <w:rPr>
                      <w:sz w:val="20"/>
                    </w:rPr>
                    <w:t>—The capacity reduction factor of the Generation Resource</w:t>
                  </w:r>
                  <w:r w:rsidR="00086215" w:rsidRPr="0013396E">
                    <w:rPr>
                      <w:sz w:val="20"/>
                    </w:rPr>
                    <w:t xml:space="preserve"> or ESR</w:t>
                  </w:r>
                  <w:r w:rsidRPr="0013396E">
                    <w:rPr>
                      <w:sz w:val="20"/>
                    </w:rPr>
                    <w:t xml:space="preserve"> MRA</w:t>
                  </w:r>
                  <w:r w:rsidRPr="0013396E">
                    <w:rPr>
                      <w:i/>
                      <w:iCs/>
                      <w:sz w:val="20"/>
                    </w:rPr>
                    <w:t xml:space="preserve"> r </w:t>
                  </w:r>
                  <w:r w:rsidRPr="0013396E">
                    <w:rPr>
                      <w:iCs/>
                      <w:sz w:val="20"/>
                    </w:rPr>
                    <w:t xml:space="preserve">represented by QSE </w:t>
                  </w:r>
                  <w:r w:rsidRPr="0013396E">
                    <w:rPr>
                      <w:i/>
                      <w:iCs/>
                      <w:sz w:val="20"/>
                    </w:rPr>
                    <w:t>q</w:t>
                  </w:r>
                  <w:r w:rsidRPr="0013396E">
                    <w:rPr>
                      <w:sz w:val="20"/>
                    </w:rPr>
                    <w:t xml:space="preserve">, for each hour of the month </w:t>
                  </w:r>
                  <w:r w:rsidRPr="0013396E">
                    <w:rPr>
                      <w:i/>
                      <w:sz w:val="20"/>
                    </w:rPr>
                    <w:t>m</w:t>
                  </w:r>
                  <w:r w:rsidRPr="0013396E">
                    <w:rPr>
                      <w:sz w:val="20"/>
                    </w:rPr>
                    <w:t xml:space="preserve">.  Where for a Combined Cycle Train, the Resource </w:t>
                  </w:r>
                  <w:r w:rsidRPr="0013396E">
                    <w:rPr>
                      <w:i/>
                      <w:sz w:val="20"/>
                    </w:rPr>
                    <w:t xml:space="preserve">r </w:t>
                  </w:r>
                  <w:r w:rsidRPr="0013396E">
                    <w:rPr>
                      <w:sz w:val="20"/>
                    </w:rPr>
                    <w:t>is the Combined Cycle Train.</w:t>
                  </w:r>
                </w:p>
              </w:tc>
            </w:tr>
            <w:tr w:rsidR="00086215" w:rsidRPr="0013396E" w14:paraId="5C4BC205" w14:textId="77777777" w:rsidTr="00086215">
              <w:trPr>
                <w:cantSplit/>
              </w:trPr>
              <w:tc>
                <w:tcPr>
                  <w:tcW w:w="949" w:type="pct"/>
                </w:tcPr>
                <w:p w14:paraId="22BDAFAB" w14:textId="45DD60BA" w:rsidR="00086215" w:rsidRPr="0013396E" w:rsidRDefault="00086215" w:rsidP="00086215">
                  <w:pPr>
                    <w:spacing w:after="60"/>
                    <w:rPr>
                      <w:sz w:val="20"/>
                    </w:rPr>
                  </w:pPr>
                  <w:r w:rsidRPr="0013396E">
                    <w:rPr>
                      <w:sz w:val="20"/>
                    </w:rPr>
                    <w:t>MRAESRERF</w:t>
                  </w:r>
                  <w:r w:rsidRPr="0013396E">
                    <w:rPr>
                      <w:i/>
                      <w:sz w:val="20"/>
                    </w:rPr>
                    <w:t xml:space="preserve"> </w:t>
                  </w:r>
                  <w:r w:rsidRPr="0013396E">
                    <w:rPr>
                      <w:i/>
                      <w:sz w:val="20"/>
                      <w:vertAlign w:val="subscript"/>
                    </w:rPr>
                    <w:t xml:space="preserve">q, r, h  </w:t>
                  </w:r>
                </w:p>
              </w:tc>
              <w:tc>
                <w:tcPr>
                  <w:tcW w:w="422" w:type="pct"/>
                </w:tcPr>
                <w:p w14:paraId="6208EC11" w14:textId="58D49895" w:rsidR="00086215" w:rsidRPr="0013396E" w:rsidRDefault="00086215" w:rsidP="00086215">
                  <w:pPr>
                    <w:spacing w:after="60"/>
                    <w:rPr>
                      <w:iCs/>
                      <w:sz w:val="20"/>
                    </w:rPr>
                  </w:pPr>
                  <w:r w:rsidRPr="0013396E">
                    <w:rPr>
                      <w:iCs/>
                      <w:sz w:val="20"/>
                    </w:rPr>
                    <w:t>None</w:t>
                  </w:r>
                </w:p>
              </w:tc>
              <w:tc>
                <w:tcPr>
                  <w:tcW w:w="3629" w:type="pct"/>
                </w:tcPr>
                <w:p w14:paraId="0B5523D1" w14:textId="6EEE843D" w:rsidR="00086215" w:rsidRPr="0013396E" w:rsidRDefault="00086215" w:rsidP="00086215">
                  <w:pPr>
                    <w:spacing w:after="60"/>
                    <w:rPr>
                      <w:i/>
                      <w:iCs/>
                      <w:sz w:val="20"/>
                    </w:rPr>
                  </w:pPr>
                  <w:r w:rsidRPr="0013396E">
                    <w:rPr>
                      <w:i/>
                      <w:iCs/>
                      <w:sz w:val="20"/>
                    </w:rPr>
                    <w:t xml:space="preserve">Must-Run Alternative Energy Storage Resource Energy </w:t>
                  </w:r>
                  <w:r w:rsidRPr="0013396E">
                    <w:rPr>
                      <w:i/>
                      <w:sz w:val="20"/>
                    </w:rPr>
                    <w:t>Reduction Factor per QSE per Resource per hour</w:t>
                  </w:r>
                  <w:r w:rsidRPr="0013396E">
                    <w:rPr>
                      <w:sz w:val="20"/>
                    </w:rPr>
                    <w:t>—The energy reduction factor of the MRA ESR</w:t>
                  </w:r>
                  <w:r w:rsidRPr="0013396E">
                    <w:rPr>
                      <w:i/>
                      <w:iCs/>
                      <w:sz w:val="20"/>
                    </w:rPr>
                    <w:t xml:space="preserve"> r </w:t>
                  </w:r>
                  <w:r w:rsidRPr="0013396E">
                    <w:rPr>
                      <w:iCs/>
                      <w:sz w:val="20"/>
                    </w:rPr>
                    <w:t xml:space="preserve">represented by QSE </w:t>
                  </w:r>
                  <w:r w:rsidRPr="0013396E">
                    <w:rPr>
                      <w:i/>
                      <w:iCs/>
                      <w:sz w:val="20"/>
                    </w:rPr>
                    <w:t>q</w:t>
                  </w:r>
                  <w:r w:rsidRPr="0013396E">
                    <w:rPr>
                      <w:sz w:val="20"/>
                    </w:rPr>
                    <w:t xml:space="preserve">, for each hour </w:t>
                  </w:r>
                  <w:r w:rsidRPr="0013396E">
                    <w:rPr>
                      <w:i/>
                      <w:iCs/>
                      <w:sz w:val="20"/>
                    </w:rPr>
                    <w:t xml:space="preserve">h </w:t>
                  </w:r>
                  <w:r w:rsidRPr="0013396E">
                    <w:rPr>
                      <w:sz w:val="20"/>
                    </w:rPr>
                    <w:t xml:space="preserve">of the obligation block(s) of the month.  </w:t>
                  </w:r>
                </w:p>
              </w:tc>
            </w:tr>
            <w:tr w:rsidR="00086215" w:rsidRPr="0013396E" w14:paraId="7AED8052" w14:textId="77777777" w:rsidTr="00086215">
              <w:trPr>
                <w:cantSplit/>
              </w:trPr>
              <w:tc>
                <w:tcPr>
                  <w:tcW w:w="949" w:type="pct"/>
                </w:tcPr>
                <w:p w14:paraId="078859BD" w14:textId="4F53F884" w:rsidR="00086215" w:rsidRPr="0013396E" w:rsidRDefault="00086215" w:rsidP="00086215">
                  <w:pPr>
                    <w:spacing w:after="60"/>
                    <w:rPr>
                      <w:sz w:val="20"/>
                    </w:rPr>
                  </w:pPr>
                  <w:r w:rsidRPr="0013396E">
                    <w:rPr>
                      <w:iCs/>
                      <w:sz w:val="20"/>
                    </w:rPr>
                    <w:t>MRAHOSOC</w:t>
                  </w:r>
                  <w:r w:rsidRPr="0013396E">
                    <w:rPr>
                      <w:i/>
                      <w:sz w:val="20"/>
                    </w:rPr>
                    <w:t xml:space="preserve"> </w:t>
                  </w:r>
                  <w:r w:rsidRPr="0013396E">
                    <w:rPr>
                      <w:i/>
                      <w:sz w:val="20"/>
                      <w:vertAlign w:val="subscript"/>
                    </w:rPr>
                    <w:t>q, r, b, m</w:t>
                  </w:r>
                </w:p>
              </w:tc>
              <w:tc>
                <w:tcPr>
                  <w:tcW w:w="422" w:type="pct"/>
                </w:tcPr>
                <w:p w14:paraId="14E759CA" w14:textId="6371D092" w:rsidR="00086215" w:rsidRPr="0013396E" w:rsidRDefault="00086215" w:rsidP="00086215">
                  <w:pPr>
                    <w:spacing w:after="60"/>
                    <w:rPr>
                      <w:iCs/>
                      <w:sz w:val="20"/>
                    </w:rPr>
                  </w:pPr>
                  <w:r w:rsidRPr="0013396E">
                    <w:rPr>
                      <w:iCs/>
                      <w:sz w:val="20"/>
                    </w:rPr>
                    <w:t>MWh</w:t>
                  </w:r>
                </w:p>
              </w:tc>
              <w:tc>
                <w:tcPr>
                  <w:tcW w:w="3629" w:type="pct"/>
                </w:tcPr>
                <w:p w14:paraId="0A6C61B8" w14:textId="205B4B1B" w:rsidR="00086215" w:rsidRPr="0013396E" w:rsidRDefault="00086215" w:rsidP="00086215">
                  <w:pPr>
                    <w:spacing w:after="60"/>
                    <w:rPr>
                      <w:i/>
                      <w:iCs/>
                      <w:sz w:val="20"/>
                    </w:rPr>
                  </w:pPr>
                  <w:r w:rsidRPr="0013396E">
                    <w:rPr>
                      <w:i/>
                      <w:sz w:val="20"/>
                    </w:rPr>
                    <w:t>Must-Run Alternative Hour of Obligation Block State of Charge per QSE per Resource—</w:t>
                  </w:r>
                  <w:r w:rsidRPr="0013396E">
                    <w:rPr>
                      <w:sz w:val="20"/>
                    </w:rPr>
                    <w:t xml:space="preserve">The most recent telemetered state-of-charge prior to or at the start of the obligation block </w:t>
                  </w:r>
                  <w:r w:rsidRPr="0013396E">
                    <w:rPr>
                      <w:i/>
                      <w:iCs/>
                      <w:sz w:val="20"/>
                    </w:rPr>
                    <w:t>b</w:t>
                  </w:r>
                  <w:r w:rsidRPr="0013396E">
                    <w:rPr>
                      <w:sz w:val="20"/>
                    </w:rPr>
                    <w:t xml:space="preserve"> for MRA ESR </w:t>
                  </w:r>
                  <w:r w:rsidRPr="0013396E">
                    <w:rPr>
                      <w:i/>
                      <w:iCs/>
                      <w:sz w:val="20"/>
                    </w:rPr>
                    <w:t>r</w:t>
                  </w:r>
                  <w:r w:rsidRPr="0013396E">
                    <w:rPr>
                      <w:sz w:val="20"/>
                    </w:rPr>
                    <w:t xml:space="preserve"> represented by QSE </w:t>
                  </w:r>
                  <w:r w:rsidRPr="0013396E">
                    <w:rPr>
                      <w:i/>
                      <w:iCs/>
                      <w:sz w:val="20"/>
                    </w:rPr>
                    <w:t>q</w:t>
                  </w:r>
                  <w:r w:rsidRPr="0013396E">
                    <w:rPr>
                      <w:sz w:val="20"/>
                    </w:rPr>
                    <w:t xml:space="preserve"> as specified in the MRA Agreement, for the MRA Contracted Month </w:t>
                  </w:r>
                  <w:r w:rsidRPr="0013396E">
                    <w:rPr>
                      <w:i/>
                      <w:iCs/>
                      <w:sz w:val="20"/>
                    </w:rPr>
                    <w:t>m</w:t>
                  </w:r>
                  <w:r w:rsidRPr="0013396E">
                    <w:rPr>
                      <w:sz w:val="20"/>
                    </w:rPr>
                    <w:t xml:space="preserve">.  </w:t>
                  </w:r>
                </w:p>
              </w:tc>
            </w:tr>
            <w:tr w:rsidR="00086215" w:rsidRPr="0013396E" w14:paraId="56D91348" w14:textId="77777777" w:rsidTr="00086215">
              <w:trPr>
                <w:cantSplit/>
              </w:trPr>
              <w:tc>
                <w:tcPr>
                  <w:tcW w:w="949" w:type="pct"/>
                </w:tcPr>
                <w:p w14:paraId="3BF715CA" w14:textId="695D0B05" w:rsidR="00086215" w:rsidRPr="0013396E" w:rsidRDefault="00086215" w:rsidP="00086215">
                  <w:pPr>
                    <w:spacing w:after="60"/>
                    <w:rPr>
                      <w:sz w:val="20"/>
                    </w:rPr>
                  </w:pPr>
                  <w:r w:rsidRPr="0013396E">
                    <w:rPr>
                      <w:iCs/>
                      <w:sz w:val="20"/>
                    </w:rPr>
                    <w:t>MRABHO</w:t>
                  </w:r>
                  <w:r w:rsidRPr="0013396E">
                    <w:rPr>
                      <w:sz w:val="20"/>
                    </w:rPr>
                    <w:t xml:space="preserve"> </w:t>
                  </w:r>
                  <w:r w:rsidRPr="0013396E">
                    <w:rPr>
                      <w:i/>
                      <w:sz w:val="20"/>
                      <w:vertAlign w:val="subscript"/>
                    </w:rPr>
                    <w:t>q, r, b, m</w:t>
                  </w:r>
                </w:p>
              </w:tc>
              <w:tc>
                <w:tcPr>
                  <w:tcW w:w="422" w:type="pct"/>
                </w:tcPr>
                <w:p w14:paraId="110BBFC7" w14:textId="317CB235" w:rsidR="00086215" w:rsidRPr="0013396E" w:rsidRDefault="00086215" w:rsidP="00086215">
                  <w:pPr>
                    <w:spacing w:after="60"/>
                    <w:rPr>
                      <w:iCs/>
                      <w:sz w:val="20"/>
                    </w:rPr>
                  </w:pPr>
                  <w:r w:rsidRPr="0013396E">
                    <w:rPr>
                      <w:iCs/>
                      <w:sz w:val="20"/>
                    </w:rPr>
                    <w:t>Hours</w:t>
                  </w:r>
                </w:p>
              </w:tc>
              <w:tc>
                <w:tcPr>
                  <w:tcW w:w="3629" w:type="pct"/>
                </w:tcPr>
                <w:p w14:paraId="0AC8DD29" w14:textId="17CD6A9B" w:rsidR="00086215" w:rsidRPr="0013396E" w:rsidRDefault="00086215" w:rsidP="00086215">
                  <w:pPr>
                    <w:spacing w:after="60"/>
                    <w:rPr>
                      <w:i/>
                      <w:iCs/>
                      <w:sz w:val="20"/>
                    </w:rPr>
                  </w:pPr>
                  <w:r w:rsidRPr="0013396E">
                    <w:rPr>
                      <w:i/>
                      <w:iCs/>
                      <w:sz w:val="20"/>
                    </w:rPr>
                    <w:t xml:space="preserve">Must-Run Alternative </w:t>
                  </w:r>
                  <w:r w:rsidRPr="0013396E">
                    <w:rPr>
                      <w:i/>
                      <w:sz w:val="20"/>
                    </w:rPr>
                    <w:t>Hours of Obligation Block per QSE per Resource—</w:t>
                  </w:r>
                  <w:r w:rsidRPr="0013396E">
                    <w:rPr>
                      <w:iCs/>
                      <w:sz w:val="20"/>
                    </w:rPr>
                    <w:t xml:space="preserve">The number of hours per block </w:t>
                  </w:r>
                  <w:r w:rsidRPr="0013396E">
                    <w:rPr>
                      <w:i/>
                      <w:sz w:val="20"/>
                    </w:rPr>
                    <w:t xml:space="preserve">b </w:t>
                  </w:r>
                  <w:r w:rsidRPr="0013396E">
                    <w:rPr>
                      <w:iCs/>
                      <w:sz w:val="20"/>
                    </w:rPr>
                    <w:t xml:space="preserve">of hours of obligation for </w:t>
                  </w:r>
                  <w:r w:rsidRPr="0013396E">
                    <w:rPr>
                      <w:sz w:val="20"/>
                    </w:rPr>
                    <w:t xml:space="preserve">a registered MRA ESR </w:t>
                  </w:r>
                  <w:r w:rsidRPr="0013396E">
                    <w:rPr>
                      <w:i/>
                      <w:iCs/>
                      <w:sz w:val="20"/>
                    </w:rPr>
                    <w:t>r,</w:t>
                  </w:r>
                  <w:r w:rsidRPr="0013396E">
                    <w:rPr>
                      <w:sz w:val="20"/>
                    </w:rPr>
                    <w:t xml:space="preserve"> represented by QSE </w:t>
                  </w:r>
                  <w:r w:rsidRPr="0013396E">
                    <w:rPr>
                      <w:i/>
                      <w:iCs/>
                      <w:sz w:val="20"/>
                    </w:rPr>
                    <w:t>q,</w:t>
                  </w:r>
                  <w:r w:rsidRPr="0013396E">
                    <w:rPr>
                      <w:sz w:val="20"/>
                    </w:rPr>
                    <w:t xml:space="preserve"> as specified in the MRA Agreement, for the MRA Contracted Month </w:t>
                  </w:r>
                  <w:r w:rsidRPr="0013396E">
                    <w:rPr>
                      <w:i/>
                      <w:iCs/>
                      <w:sz w:val="20"/>
                    </w:rPr>
                    <w:t>m.</w:t>
                  </w:r>
                  <w:r w:rsidRPr="0013396E">
                    <w:rPr>
                      <w:sz w:val="20"/>
                    </w:rPr>
                    <w:t xml:space="preserve">  </w:t>
                  </w:r>
                </w:p>
              </w:tc>
            </w:tr>
            <w:tr w:rsidR="0057461A" w:rsidRPr="0013396E" w14:paraId="65A7DD3D" w14:textId="77777777" w:rsidTr="00086215">
              <w:trPr>
                <w:cantSplit/>
              </w:trPr>
              <w:tc>
                <w:tcPr>
                  <w:tcW w:w="949" w:type="pct"/>
                </w:tcPr>
                <w:p w14:paraId="1B2FAD86" w14:textId="77777777" w:rsidR="0057461A" w:rsidRPr="0013396E" w:rsidRDefault="0057461A" w:rsidP="0057461A">
                  <w:pPr>
                    <w:spacing w:after="60"/>
                    <w:rPr>
                      <w:iCs/>
                      <w:sz w:val="20"/>
                    </w:rPr>
                  </w:pPr>
                  <w:r w:rsidRPr="0013396E">
                    <w:rPr>
                      <w:sz w:val="20"/>
                    </w:rPr>
                    <w:t>MRACCAP</w:t>
                  </w:r>
                  <w:r w:rsidRPr="0013396E">
                    <w:rPr>
                      <w:sz w:val="20"/>
                      <w:vertAlign w:val="subscript"/>
                    </w:rPr>
                    <w:t xml:space="preserve"> </w:t>
                  </w:r>
                  <w:r w:rsidRPr="0013396E">
                    <w:rPr>
                      <w:i/>
                      <w:sz w:val="20"/>
                      <w:vertAlign w:val="subscript"/>
                    </w:rPr>
                    <w:t xml:space="preserve">q, r, </w:t>
                  </w:r>
                  <w:r w:rsidRPr="0013396E">
                    <w:rPr>
                      <w:i/>
                      <w:iCs/>
                      <w:sz w:val="20"/>
                      <w:vertAlign w:val="subscript"/>
                    </w:rPr>
                    <w:t>m</w:t>
                  </w:r>
                </w:p>
              </w:tc>
              <w:tc>
                <w:tcPr>
                  <w:tcW w:w="422" w:type="pct"/>
                </w:tcPr>
                <w:p w14:paraId="0F20AD86" w14:textId="77777777" w:rsidR="0057461A" w:rsidRPr="0013396E" w:rsidRDefault="0057461A" w:rsidP="0057461A">
                  <w:pPr>
                    <w:spacing w:after="60"/>
                    <w:rPr>
                      <w:iCs/>
                      <w:sz w:val="20"/>
                    </w:rPr>
                  </w:pPr>
                  <w:r w:rsidRPr="0013396E">
                    <w:rPr>
                      <w:iCs/>
                      <w:sz w:val="20"/>
                    </w:rPr>
                    <w:t>MW</w:t>
                  </w:r>
                </w:p>
              </w:tc>
              <w:tc>
                <w:tcPr>
                  <w:tcW w:w="3629" w:type="pct"/>
                </w:tcPr>
                <w:p w14:paraId="73AD97DD" w14:textId="77777777" w:rsidR="0057461A" w:rsidRPr="0013396E" w:rsidRDefault="0057461A" w:rsidP="0057461A">
                  <w:pPr>
                    <w:spacing w:after="60"/>
                    <w:rPr>
                      <w:i/>
                      <w:iCs/>
                      <w:sz w:val="20"/>
                    </w:rPr>
                  </w:pPr>
                  <w:r w:rsidRPr="0013396E">
                    <w:rPr>
                      <w:i/>
                      <w:sz w:val="20"/>
                    </w:rPr>
                    <w:t>Must-Run Alternative Contract Capacity per QSE per Resource</w:t>
                  </w:r>
                  <w:r w:rsidRPr="0013396E">
                    <w:rPr>
                      <w:sz w:val="20"/>
                    </w:rPr>
                    <w:t xml:space="preserve">—The capacity of MRA </w:t>
                  </w:r>
                  <w:r w:rsidRPr="0013396E">
                    <w:rPr>
                      <w:i/>
                      <w:sz w:val="20"/>
                    </w:rPr>
                    <w:t>r</w:t>
                  </w:r>
                  <w:r w:rsidRPr="0013396E">
                    <w:rPr>
                      <w:sz w:val="20"/>
                    </w:rPr>
                    <w:t xml:space="preserve"> represented by QSE </w:t>
                  </w:r>
                  <w:r w:rsidRPr="0013396E">
                    <w:rPr>
                      <w:i/>
                      <w:sz w:val="20"/>
                    </w:rPr>
                    <w:t>q</w:t>
                  </w:r>
                  <w:r w:rsidRPr="0013396E">
                    <w:rPr>
                      <w:sz w:val="20"/>
                    </w:rPr>
                    <w:t xml:space="preserve"> as specified in the MRA Agreement, for the MRA Contracted Month </w:t>
                  </w:r>
                  <w:r w:rsidRPr="0013396E">
                    <w:rPr>
                      <w:i/>
                      <w:sz w:val="20"/>
                    </w:rPr>
                    <w:t>m</w:t>
                  </w:r>
                  <w:r w:rsidRPr="0013396E">
                    <w:rPr>
                      <w:sz w:val="20"/>
                    </w:rPr>
                    <w:t xml:space="preserve">.  Where for a Combined Cycle Train, the Resource </w:t>
                  </w:r>
                  <w:r w:rsidRPr="0013396E">
                    <w:rPr>
                      <w:i/>
                      <w:sz w:val="20"/>
                    </w:rPr>
                    <w:t xml:space="preserve">r </w:t>
                  </w:r>
                  <w:r w:rsidRPr="0013396E">
                    <w:rPr>
                      <w:sz w:val="20"/>
                    </w:rPr>
                    <w:t>is the Combined Cycle Train.</w:t>
                  </w:r>
                </w:p>
              </w:tc>
            </w:tr>
            <w:tr w:rsidR="0057461A" w:rsidRPr="0013396E" w14:paraId="1DB97EC9" w14:textId="77777777" w:rsidTr="00086215">
              <w:trPr>
                <w:cantSplit/>
              </w:trPr>
              <w:tc>
                <w:tcPr>
                  <w:tcW w:w="949" w:type="pct"/>
                </w:tcPr>
                <w:p w14:paraId="73DF52FC" w14:textId="77777777" w:rsidR="0057461A" w:rsidRPr="0013396E" w:rsidRDefault="0057461A" w:rsidP="0057461A">
                  <w:pPr>
                    <w:spacing w:after="60"/>
                    <w:rPr>
                      <w:sz w:val="20"/>
                    </w:rPr>
                  </w:pPr>
                  <w:r w:rsidRPr="0013396E">
                    <w:rPr>
                      <w:sz w:val="20"/>
                    </w:rPr>
                    <w:t xml:space="preserve">MRAARF </w:t>
                  </w:r>
                  <w:r w:rsidRPr="0013396E">
                    <w:rPr>
                      <w:i/>
                      <w:sz w:val="20"/>
                      <w:vertAlign w:val="subscript"/>
                    </w:rPr>
                    <w:t>q, r, m</w:t>
                  </w:r>
                </w:p>
              </w:tc>
              <w:tc>
                <w:tcPr>
                  <w:tcW w:w="422" w:type="pct"/>
                </w:tcPr>
                <w:p w14:paraId="597F87FA" w14:textId="77777777" w:rsidR="0057461A" w:rsidRPr="0013396E" w:rsidRDefault="0057461A" w:rsidP="0057461A">
                  <w:pPr>
                    <w:spacing w:after="60"/>
                    <w:rPr>
                      <w:sz w:val="20"/>
                    </w:rPr>
                  </w:pPr>
                  <w:r w:rsidRPr="0013396E">
                    <w:rPr>
                      <w:sz w:val="20"/>
                    </w:rPr>
                    <w:t>None</w:t>
                  </w:r>
                </w:p>
              </w:tc>
              <w:tc>
                <w:tcPr>
                  <w:tcW w:w="3629" w:type="pct"/>
                </w:tcPr>
                <w:p w14:paraId="0C907A89" w14:textId="77777777" w:rsidR="0057461A" w:rsidRPr="0013396E" w:rsidRDefault="0057461A" w:rsidP="0057461A">
                  <w:pPr>
                    <w:spacing w:after="60"/>
                    <w:rPr>
                      <w:i/>
                      <w:sz w:val="20"/>
                    </w:rPr>
                  </w:pPr>
                  <w:r w:rsidRPr="0013396E">
                    <w:rPr>
                      <w:i/>
                      <w:sz w:val="20"/>
                    </w:rPr>
                    <w:t xml:space="preserve">Must-Run </w:t>
                  </w:r>
                  <w:r w:rsidRPr="0013396E">
                    <w:rPr>
                      <w:i/>
                      <w:iCs/>
                      <w:sz w:val="20"/>
                    </w:rPr>
                    <w:t xml:space="preserve">Alternative </w:t>
                  </w:r>
                  <w:r w:rsidRPr="0013396E">
                    <w:rPr>
                      <w:i/>
                      <w:sz w:val="20"/>
                    </w:rPr>
                    <w:t>Availability Reduction Factor per QSE per Resource</w:t>
                  </w:r>
                  <w:r w:rsidRPr="0013396E">
                    <w:rPr>
                      <w:sz w:val="20"/>
                    </w:rPr>
                    <w:t xml:space="preserve">—The availability reduction factor of MRA </w:t>
                  </w:r>
                  <w:r w:rsidRPr="0013396E">
                    <w:rPr>
                      <w:i/>
                      <w:sz w:val="20"/>
                    </w:rPr>
                    <w:t>r</w:t>
                  </w:r>
                  <w:r w:rsidRPr="0013396E">
                    <w:rPr>
                      <w:sz w:val="20"/>
                    </w:rPr>
                    <w:t xml:space="preserve"> represented by QSE </w:t>
                  </w:r>
                  <w:r w:rsidRPr="0013396E">
                    <w:rPr>
                      <w:i/>
                      <w:sz w:val="20"/>
                    </w:rPr>
                    <w:t>q</w:t>
                  </w:r>
                  <w:r w:rsidRPr="0013396E">
                    <w:rPr>
                      <w:sz w:val="20"/>
                    </w:rPr>
                    <w:t xml:space="preserve">, for each hour of the MRA Contracted Month </w:t>
                  </w:r>
                  <w:r w:rsidRPr="0013396E">
                    <w:rPr>
                      <w:i/>
                      <w:sz w:val="20"/>
                    </w:rPr>
                    <w:t>m</w:t>
                  </w:r>
                  <w:r w:rsidRPr="0013396E">
                    <w:rPr>
                      <w:sz w:val="20"/>
                    </w:rPr>
                    <w:t xml:space="preserve">.  Where for a Combined Cycle Train, the Resource </w:t>
                  </w:r>
                  <w:r w:rsidRPr="0013396E">
                    <w:rPr>
                      <w:i/>
                      <w:sz w:val="20"/>
                    </w:rPr>
                    <w:t xml:space="preserve">r </w:t>
                  </w:r>
                  <w:r w:rsidRPr="0013396E">
                    <w:rPr>
                      <w:sz w:val="20"/>
                    </w:rPr>
                    <w:t>is the Combined Cycle Train.</w:t>
                  </w:r>
                </w:p>
              </w:tc>
            </w:tr>
            <w:tr w:rsidR="0057461A" w:rsidRPr="0013396E" w14:paraId="3CC299EA" w14:textId="77777777" w:rsidTr="00086215">
              <w:trPr>
                <w:cantSplit/>
              </w:trPr>
              <w:tc>
                <w:tcPr>
                  <w:tcW w:w="949" w:type="pct"/>
                </w:tcPr>
                <w:p w14:paraId="7041B484" w14:textId="77777777" w:rsidR="0057461A" w:rsidRPr="0013396E" w:rsidRDefault="0057461A" w:rsidP="0057461A">
                  <w:pPr>
                    <w:spacing w:after="60"/>
                    <w:rPr>
                      <w:sz w:val="20"/>
                    </w:rPr>
                  </w:pPr>
                  <w:r w:rsidRPr="0013396E">
                    <w:rPr>
                      <w:sz w:val="20"/>
                    </w:rPr>
                    <w:t>MRATCAPA</w:t>
                  </w:r>
                  <w:r w:rsidRPr="0013396E">
                    <w:rPr>
                      <w:sz w:val="20"/>
                      <w:vertAlign w:val="subscript"/>
                    </w:rPr>
                    <w:t xml:space="preserve"> </w:t>
                  </w:r>
                  <w:r w:rsidRPr="0013396E">
                    <w:rPr>
                      <w:i/>
                      <w:sz w:val="20"/>
                      <w:vertAlign w:val="subscript"/>
                    </w:rPr>
                    <w:t>q, r, m</w:t>
                  </w:r>
                </w:p>
              </w:tc>
              <w:tc>
                <w:tcPr>
                  <w:tcW w:w="422" w:type="pct"/>
                </w:tcPr>
                <w:p w14:paraId="23B72171" w14:textId="77777777" w:rsidR="0057461A" w:rsidRPr="0013396E" w:rsidRDefault="0057461A" w:rsidP="0057461A">
                  <w:pPr>
                    <w:spacing w:after="60"/>
                    <w:rPr>
                      <w:sz w:val="20"/>
                    </w:rPr>
                  </w:pPr>
                  <w:r w:rsidRPr="0013396E">
                    <w:rPr>
                      <w:sz w:val="20"/>
                    </w:rPr>
                    <w:t>MW</w:t>
                  </w:r>
                </w:p>
              </w:tc>
              <w:tc>
                <w:tcPr>
                  <w:tcW w:w="3629" w:type="pct"/>
                </w:tcPr>
                <w:p w14:paraId="438ABEB2" w14:textId="77777777" w:rsidR="0057461A" w:rsidRPr="0013396E" w:rsidRDefault="0057461A" w:rsidP="0057461A">
                  <w:pPr>
                    <w:spacing w:after="60"/>
                    <w:rPr>
                      <w:i/>
                      <w:sz w:val="20"/>
                    </w:rPr>
                  </w:pPr>
                  <w:r w:rsidRPr="0013396E">
                    <w:rPr>
                      <w:i/>
                      <w:sz w:val="20"/>
                    </w:rPr>
                    <w:t xml:space="preserve">Must-Run </w:t>
                  </w:r>
                  <w:r w:rsidRPr="0013396E">
                    <w:rPr>
                      <w:i/>
                      <w:iCs/>
                      <w:sz w:val="20"/>
                    </w:rPr>
                    <w:t xml:space="preserve">Alternative </w:t>
                  </w:r>
                  <w:r w:rsidRPr="0013396E">
                    <w:rPr>
                      <w:i/>
                      <w:sz w:val="20"/>
                    </w:rPr>
                    <w:t>Testing Capacity Adjustment per month</w:t>
                  </w:r>
                  <w:r w:rsidRPr="0013396E">
                    <w:rPr>
                      <w:sz w:val="20"/>
                    </w:rPr>
                    <w:t>—The testing capacity adjustment factor of an MRA</w:t>
                  </w:r>
                  <w:r w:rsidRPr="0013396E">
                    <w:rPr>
                      <w:i/>
                      <w:sz w:val="20"/>
                    </w:rPr>
                    <w:t xml:space="preserve"> r</w:t>
                  </w:r>
                  <w:r w:rsidRPr="0013396E">
                    <w:rPr>
                      <w:sz w:val="20"/>
                    </w:rPr>
                    <w:t xml:space="preserve"> represented by QSE </w:t>
                  </w:r>
                  <w:r w:rsidRPr="0013396E">
                    <w:rPr>
                      <w:i/>
                      <w:sz w:val="20"/>
                    </w:rPr>
                    <w:t>q</w:t>
                  </w:r>
                  <w:r w:rsidRPr="0013396E">
                    <w:rPr>
                      <w:sz w:val="20"/>
                    </w:rPr>
                    <w:t xml:space="preserve">, for each hour of the MRA Contracted Month </w:t>
                  </w:r>
                  <w:r w:rsidRPr="0013396E">
                    <w:rPr>
                      <w:i/>
                      <w:sz w:val="20"/>
                    </w:rPr>
                    <w:t>m</w:t>
                  </w:r>
                  <w:r w:rsidRPr="0013396E">
                    <w:rPr>
                      <w:sz w:val="20"/>
                    </w:rPr>
                    <w:t xml:space="preserve">.  Where for a Combined Cycle Train, the Resource </w:t>
                  </w:r>
                  <w:r w:rsidRPr="0013396E">
                    <w:rPr>
                      <w:i/>
                      <w:sz w:val="20"/>
                    </w:rPr>
                    <w:t xml:space="preserve">r </w:t>
                  </w:r>
                  <w:r w:rsidRPr="0013396E">
                    <w:rPr>
                      <w:sz w:val="20"/>
                    </w:rPr>
                    <w:t>is the Combined Cycle Train.</w:t>
                  </w:r>
                </w:p>
              </w:tc>
            </w:tr>
            <w:tr w:rsidR="0057461A" w:rsidRPr="0013396E" w14:paraId="0CC78211" w14:textId="77777777" w:rsidTr="00086215">
              <w:trPr>
                <w:cantSplit/>
              </w:trPr>
              <w:tc>
                <w:tcPr>
                  <w:tcW w:w="949" w:type="pct"/>
                </w:tcPr>
                <w:p w14:paraId="10978B64" w14:textId="77777777" w:rsidR="0057461A" w:rsidRPr="0013396E" w:rsidRDefault="0057461A" w:rsidP="0057461A">
                  <w:pPr>
                    <w:spacing w:after="60"/>
                    <w:rPr>
                      <w:sz w:val="20"/>
                    </w:rPr>
                  </w:pPr>
                  <w:r w:rsidRPr="0013396E">
                    <w:rPr>
                      <w:sz w:val="20"/>
                    </w:rPr>
                    <w:t xml:space="preserve">MRATCAP </w:t>
                  </w:r>
                  <w:r w:rsidRPr="0013396E">
                    <w:rPr>
                      <w:i/>
                      <w:sz w:val="20"/>
                      <w:vertAlign w:val="subscript"/>
                    </w:rPr>
                    <w:t>q, r, m</w:t>
                  </w:r>
                </w:p>
              </w:tc>
              <w:tc>
                <w:tcPr>
                  <w:tcW w:w="422" w:type="pct"/>
                </w:tcPr>
                <w:p w14:paraId="20CB2597" w14:textId="77777777" w:rsidR="0057461A" w:rsidRPr="0013396E" w:rsidRDefault="0057461A" w:rsidP="0057461A">
                  <w:pPr>
                    <w:spacing w:after="60"/>
                    <w:rPr>
                      <w:sz w:val="20"/>
                    </w:rPr>
                  </w:pPr>
                  <w:r w:rsidRPr="0013396E">
                    <w:rPr>
                      <w:sz w:val="20"/>
                    </w:rPr>
                    <w:t>MW</w:t>
                  </w:r>
                </w:p>
              </w:tc>
              <w:tc>
                <w:tcPr>
                  <w:tcW w:w="3629" w:type="pct"/>
                </w:tcPr>
                <w:p w14:paraId="2C6DD66B" w14:textId="77777777" w:rsidR="0057461A" w:rsidRPr="0013396E" w:rsidRDefault="0057461A" w:rsidP="0057461A">
                  <w:pPr>
                    <w:spacing w:after="60"/>
                    <w:rPr>
                      <w:i/>
                      <w:sz w:val="20"/>
                    </w:rPr>
                  </w:pPr>
                  <w:r w:rsidRPr="0013396E">
                    <w:rPr>
                      <w:i/>
                      <w:sz w:val="20"/>
                    </w:rPr>
                    <w:t xml:space="preserve">Must-Run </w:t>
                  </w:r>
                  <w:r w:rsidRPr="0013396E">
                    <w:rPr>
                      <w:i/>
                      <w:iCs/>
                      <w:sz w:val="20"/>
                    </w:rPr>
                    <w:t xml:space="preserve">Alternative </w:t>
                  </w:r>
                  <w:r w:rsidRPr="0013396E">
                    <w:rPr>
                      <w:i/>
                      <w:sz w:val="20"/>
                    </w:rPr>
                    <w:t>Testing Capacity per month</w:t>
                  </w:r>
                  <w:r w:rsidRPr="0013396E">
                    <w:rPr>
                      <w:sz w:val="20"/>
                    </w:rPr>
                    <w:t>—The testing capacity value of MRA</w:t>
                  </w:r>
                  <w:r w:rsidRPr="0013396E">
                    <w:rPr>
                      <w:i/>
                      <w:sz w:val="20"/>
                    </w:rPr>
                    <w:t xml:space="preserve"> r</w:t>
                  </w:r>
                  <w:r w:rsidRPr="0013396E">
                    <w:rPr>
                      <w:sz w:val="20"/>
                    </w:rPr>
                    <w:t xml:space="preserve"> represented by QSE </w:t>
                  </w:r>
                  <w:r w:rsidRPr="0013396E">
                    <w:rPr>
                      <w:i/>
                      <w:sz w:val="20"/>
                    </w:rPr>
                    <w:t>q</w:t>
                  </w:r>
                  <w:r w:rsidRPr="0013396E">
                    <w:rPr>
                      <w:sz w:val="20"/>
                    </w:rPr>
                    <w:t xml:space="preserve">, for each hour of the MRA Contracted Month </w:t>
                  </w:r>
                  <w:r w:rsidRPr="0013396E">
                    <w:rPr>
                      <w:i/>
                      <w:sz w:val="20"/>
                    </w:rPr>
                    <w:t>m</w:t>
                  </w:r>
                  <w:r w:rsidRPr="0013396E">
                    <w:rPr>
                      <w:sz w:val="20"/>
                    </w:rPr>
                    <w:t xml:space="preserve">.  If the MRATCAP for the month is not available then the most recent MRATCAP prior to month of the Operating Day shall be used.  If no previous MRATCAP is available, then MRATCAP shall be set to MRACCAP.  Where for a Combined Cycle Train, the Resource </w:t>
                  </w:r>
                  <w:r w:rsidRPr="0013396E">
                    <w:rPr>
                      <w:i/>
                      <w:sz w:val="20"/>
                    </w:rPr>
                    <w:t xml:space="preserve">r </w:t>
                  </w:r>
                  <w:r w:rsidRPr="0013396E">
                    <w:rPr>
                      <w:sz w:val="20"/>
                    </w:rPr>
                    <w:t xml:space="preserve">is a Combined Cycle Train. </w:t>
                  </w:r>
                </w:p>
              </w:tc>
            </w:tr>
            <w:tr w:rsidR="0057461A" w:rsidRPr="0013396E" w14:paraId="4BBFA75D" w14:textId="77777777" w:rsidTr="00086215">
              <w:trPr>
                <w:cantSplit/>
              </w:trPr>
              <w:tc>
                <w:tcPr>
                  <w:tcW w:w="949" w:type="pct"/>
                </w:tcPr>
                <w:p w14:paraId="5CD58CAF" w14:textId="77777777" w:rsidR="0057461A" w:rsidRPr="0013396E" w:rsidRDefault="0057461A" w:rsidP="0057461A">
                  <w:pPr>
                    <w:spacing w:after="60"/>
                    <w:rPr>
                      <w:iCs/>
                      <w:sz w:val="20"/>
                    </w:rPr>
                  </w:pPr>
                  <w:r w:rsidRPr="0013396E">
                    <w:rPr>
                      <w:sz w:val="20"/>
                    </w:rPr>
                    <w:lastRenderedPageBreak/>
                    <w:t xml:space="preserve">MRATA </w:t>
                  </w:r>
                  <w:r w:rsidRPr="0013396E">
                    <w:rPr>
                      <w:i/>
                      <w:sz w:val="20"/>
                      <w:vertAlign w:val="subscript"/>
                    </w:rPr>
                    <w:t>q, r, m</w:t>
                  </w:r>
                </w:p>
              </w:tc>
              <w:tc>
                <w:tcPr>
                  <w:tcW w:w="422" w:type="pct"/>
                </w:tcPr>
                <w:p w14:paraId="0782EC7F" w14:textId="77777777" w:rsidR="0057461A" w:rsidRPr="0013396E" w:rsidRDefault="0057461A" w:rsidP="0057461A">
                  <w:pPr>
                    <w:spacing w:after="60"/>
                    <w:rPr>
                      <w:iCs/>
                      <w:sz w:val="20"/>
                    </w:rPr>
                  </w:pPr>
                  <w:r w:rsidRPr="0013396E">
                    <w:rPr>
                      <w:sz w:val="20"/>
                    </w:rPr>
                    <w:t>None</w:t>
                  </w:r>
                </w:p>
              </w:tc>
              <w:tc>
                <w:tcPr>
                  <w:tcW w:w="3629" w:type="pct"/>
                </w:tcPr>
                <w:p w14:paraId="44B76C39" w14:textId="77777777" w:rsidR="0057461A" w:rsidRPr="0013396E" w:rsidRDefault="0057461A" w:rsidP="0057461A">
                  <w:pPr>
                    <w:spacing w:after="60"/>
                    <w:rPr>
                      <w:i/>
                      <w:iCs/>
                      <w:sz w:val="20"/>
                    </w:rPr>
                  </w:pPr>
                  <w:r w:rsidRPr="0013396E">
                    <w:rPr>
                      <w:i/>
                      <w:sz w:val="20"/>
                    </w:rPr>
                    <w:t>Must-Run Alternative Target Availability per QSE per Resource per Month</w:t>
                  </w:r>
                  <w:r w:rsidRPr="0013396E">
                    <w:rPr>
                      <w:sz w:val="20"/>
                    </w:rPr>
                    <w:t>—The monthly Target Availability of MRA</w:t>
                  </w:r>
                  <w:r w:rsidRPr="0013396E">
                    <w:rPr>
                      <w:i/>
                      <w:sz w:val="20"/>
                    </w:rPr>
                    <w:t xml:space="preserve"> r</w:t>
                  </w:r>
                  <w:r w:rsidRPr="0013396E">
                    <w:rPr>
                      <w:sz w:val="20"/>
                    </w:rPr>
                    <w:t xml:space="preserve"> represented by QSE </w:t>
                  </w:r>
                  <w:r w:rsidRPr="0013396E">
                    <w:rPr>
                      <w:i/>
                      <w:sz w:val="20"/>
                    </w:rPr>
                    <w:t>q</w:t>
                  </w:r>
                  <w:r w:rsidRPr="0013396E">
                    <w:rPr>
                      <w:sz w:val="20"/>
                    </w:rPr>
                    <w:t xml:space="preserve">, as specified in the MRA Agreement and divided by 100 to convert a percentage to a fraction.  Where for a Combined Cycle Train, the Resource </w:t>
                  </w:r>
                  <w:r w:rsidRPr="0013396E">
                    <w:rPr>
                      <w:i/>
                      <w:sz w:val="20"/>
                    </w:rPr>
                    <w:t xml:space="preserve">r </w:t>
                  </w:r>
                  <w:r w:rsidRPr="0013396E">
                    <w:rPr>
                      <w:sz w:val="20"/>
                    </w:rPr>
                    <w:t>is a Combined Cycle Train.</w:t>
                  </w:r>
                </w:p>
              </w:tc>
            </w:tr>
            <w:tr w:rsidR="0057461A" w:rsidRPr="0013396E" w14:paraId="640B4393" w14:textId="77777777" w:rsidTr="00086215">
              <w:trPr>
                <w:cantSplit/>
              </w:trPr>
              <w:tc>
                <w:tcPr>
                  <w:tcW w:w="949" w:type="pct"/>
                </w:tcPr>
                <w:p w14:paraId="128480C4" w14:textId="77777777" w:rsidR="0057461A" w:rsidRPr="0013396E" w:rsidRDefault="0057461A" w:rsidP="0057461A">
                  <w:pPr>
                    <w:spacing w:after="60"/>
                    <w:rPr>
                      <w:strike/>
                      <w:sz w:val="20"/>
                    </w:rPr>
                  </w:pPr>
                  <w:r w:rsidRPr="0013396E">
                    <w:rPr>
                      <w:sz w:val="20"/>
                    </w:rPr>
                    <w:t xml:space="preserve">MRACMAF </w:t>
                  </w:r>
                  <w:r w:rsidRPr="0013396E">
                    <w:rPr>
                      <w:i/>
                      <w:sz w:val="20"/>
                      <w:vertAlign w:val="subscript"/>
                    </w:rPr>
                    <w:t>q, r, m</w:t>
                  </w:r>
                </w:p>
              </w:tc>
              <w:tc>
                <w:tcPr>
                  <w:tcW w:w="422" w:type="pct"/>
                </w:tcPr>
                <w:p w14:paraId="004C9ADA" w14:textId="77777777" w:rsidR="0057461A" w:rsidRPr="0013396E" w:rsidRDefault="0057461A" w:rsidP="0057461A">
                  <w:pPr>
                    <w:spacing w:after="60"/>
                    <w:rPr>
                      <w:strike/>
                      <w:sz w:val="20"/>
                    </w:rPr>
                  </w:pPr>
                  <w:r w:rsidRPr="0013396E">
                    <w:rPr>
                      <w:sz w:val="20"/>
                    </w:rPr>
                    <w:t>None</w:t>
                  </w:r>
                </w:p>
              </w:tc>
              <w:tc>
                <w:tcPr>
                  <w:tcW w:w="3629" w:type="pct"/>
                </w:tcPr>
                <w:p w14:paraId="15DD40CA" w14:textId="77777777" w:rsidR="0057461A" w:rsidRPr="0013396E" w:rsidRDefault="0057461A" w:rsidP="0057461A">
                  <w:pPr>
                    <w:spacing w:after="60"/>
                    <w:rPr>
                      <w:i/>
                      <w:strike/>
                      <w:sz w:val="20"/>
                    </w:rPr>
                  </w:pPr>
                  <w:r w:rsidRPr="0013396E">
                    <w:rPr>
                      <w:i/>
                      <w:sz w:val="20"/>
                    </w:rPr>
                    <w:t xml:space="preserve">Must-Run </w:t>
                  </w:r>
                  <w:r w:rsidRPr="0013396E">
                    <w:rPr>
                      <w:i/>
                      <w:iCs/>
                      <w:sz w:val="20"/>
                    </w:rPr>
                    <w:t xml:space="preserve">Alternative Calculated Monthly </w:t>
                  </w:r>
                  <w:r w:rsidRPr="0013396E">
                    <w:rPr>
                      <w:i/>
                      <w:sz w:val="20"/>
                    </w:rPr>
                    <w:t>Availability Factor per QSE per Resource</w:t>
                  </w:r>
                  <w:r w:rsidRPr="0013396E">
                    <w:rPr>
                      <w:sz w:val="20"/>
                    </w:rPr>
                    <w:t xml:space="preserve">—The calculated monthly availability factor of MRA </w:t>
                  </w:r>
                  <w:r w:rsidRPr="0013396E">
                    <w:rPr>
                      <w:i/>
                      <w:sz w:val="20"/>
                    </w:rPr>
                    <w:t>r</w:t>
                  </w:r>
                  <w:r w:rsidRPr="0013396E">
                    <w:rPr>
                      <w:sz w:val="20"/>
                    </w:rPr>
                    <w:t xml:space="preserve"> represented by QSE </w:t>
                  </w:r>
                  <w:r w:rsidRPr="0013396E">
                    <w:rPr>
                      <w:i/>
                      <w:sz w:val="20"/>
                    </w:rPr>
                    <w:t>q</w:t>
                  </w:r>
                  <w:r w:rsidRPr="0013396E">
                    <w:rPr>
                      <w:sz w:val="20"/>
                    </w:rPr>
                    <w:t xml:space="preserve">.  Where for a Combined Cycle Train, the Resource </w:t>
                  </w:r>
                  <w:r w:rsidRPr="0013396E">
                    <w:rPr>
                      <w:i/>
                      <w:sz w:val="20"/>
                    </w:rPr>
                    <w:t xml:space="preserve">r </w:t>
                  </w:r>
                  <w:r w:rsidRPr="0013396E">
                    <w:rPr>
                      <w:sz w:val="20"/>
                    </w:rPr>
                    <w:t>is the Combined Cycle Train.</w:t>
                  </w:r>
                </w:p>
              </w:tc>
            </w:tr>
            <w:tr w:rsidR="0057461A" w:rsidRPr="0013396E" w14:paraId="22B1396E" w14:textId="77777777" w:rsidTr="00086215">
              <w:trPr>
                <w:cantSplit/>
              </w:trPr>
              <w:tc>
                <w:tcPr>
                  <w:tcW w:w="949" w:type="pct"/>
                </w:tcPr>
                <w:p w14:paraId="1F2C3D78" w14:textId="77777777" w:rsidR="0057461A" w:rsidRPr="0013396E" w:rsidRDefault="0057461A" w:rsidP="0057461A">
                  <w:pPr>
                    <w:spacing w:after="60"/>
                    <w:rPr>
                      <w:sz w:val="20"/>
                    </w:rPr>
                  </w:pPr>
                  <w:r w:rsidRPr="0013396E">
                    <w:rPr>
                      <w:sz w:val="20"/>
                    </w:rPr>
                    <w:t xml:space="preserve">MRAMAH </w:t>
                  </w:r>
                  <w:r w:rsidRPr="0013396E">
                    <w:rPr>
                      <w:i/>
                      <w:sz w:val="20"/>
                      <w:vertAlign w:val="subscript"/>
                    </w:rPr>
                    <w:t>q, r, h</w:t>
                  </w:r>
                </w:p>
              </w:tc>
              <w:tc>
                <w:tcPr>
                  <w:tcW w:w="422" w:type="pct"/>
                </w:tcPr>
                <w:p w14:paraId="7F3EF331" w14:textId="77777777" w:rsidR="0057461A" w:rsidRPr="0013396E" w:rsidRDefault="0057461A" w:rsidP="0057461A">
                  <w:pPr>
                    <w:spacing w:after="60"/>
                    <w:rPr>
                      <w:sz w:val="20"/>
                    </w:rPr>
                  </w:pPr>
                  <w:r w:rsidRPr="0013396E">
                    <w:rPr>
                      <w:sz w:val="20"/>
                    </w:rPr>
                    <w:t>Hour</w:t>
                  </w:r>
                </w:p>
              </w:tc>
              <w:tc>
                <w:tcPr>
                  <w:tcW w:w="3629" w:type="pct"/>
                </w:tcPr>
                <w:p w14:paraId="2D048D65" w14:textId="10130217" w:rsidR="0057461A" w:rsidRPr="0013396E" w:rsidRDefault="0057461A" w:rsidP="0057461A">
                  <w:pPr>
                    <w:spacing w:after="60"/>
                    <w:rPr>
                      <w:i/>
                      <w:sz w:val="20"/>
                    </w:rPr>
                  </w:pPr>
                  <w:r w:rsidRPr="0013396E">
                    <w:rPr>
                      <w:i/>
                      <w:sz w:val="20"/>
                    </w:rPr>
                    <w:t>Number of Available Hours in the Month per QSE per Resource</w:t>
                  </w:r>
                  <w:r w:rsidRPr="0013396E">
                    <w:rPr>
                      <w:sz w:val="20"/>
                    </w:rPr>
                    <w:t xml:space="preserve">— For </w:t>
                  </w:r>
                  <w:r w:rsidRPr="0013396E">
                    <w:rPr>
                      <w:bCs/>
                      <w:color w:val="000000"/>
                      <w:sz w:val="20"/>
                      <w:lang w:val="pt-BR"/>
                    </w:rPr>
                    <w:t>an MRA registered as a Generation Resource</w:t>
                  </w:r>
                  <w:r w:rsidR="00086215" w:rsidRPr="0013396E">
                    <w:rPr>
                      <w:bCs/>
                      <w:color w:val="000000"/>
                      <w:sz w:val="20"/>
                      <w:lang w:val="pt-BR"/>
                    </w:rPr>
                    <w:t xml:space="preserve"> or ESR</w:t>
                  </w:r>
                  <w:r w:rsidRPr="0013396E">
                    <w:rPr>
                      <w:sz w:val="20"/>
                    </w:rPr>
                    <w:t xml:space="preserve">, the total number of hours in the month when the MRA </w:t>
                  </w:r>
                  <w:r w:rsidRPr="0013396E">
                    <w:rPr>
                      <w:i/>
                      <w:sz w:val="20"/>
                    </w:rPr>
                    <w:t>r</w:t>
                  </w:r>
                  <w:r w:rsidRPr="0013396E">
                    <w:rPr>
                      <w:sz w:val="20"/>
                    </w:rPr>
                    <w:t xml:space="preserve"> represented by QSE </w:t>
                  </w:r>
                  <w:r w:rsidRPr="0013396E">
                    <w:rPr>
                      <w:i/>
                      <w:sz w:val="20"/>
                    </w:rPr>
                    <w:t>q</w:t>
                  </w:r>
                  <w:r w:rsidRPr="0013396E">
                    <w:rPr>
                      <w:sz w:val="20"/>
                    </w:rPr>
                    <w:t xml:space="preserve"> was available for the MRA Contracted Hours if the MRA’s Availability Plan and telemetry both indicate availability for that hour.  Where for a Combined Cycle Train, the Resource </w:t>
                  </w:r>
                  <w:r w:rsidRPr="0013396E">
                    <w:rPr>
                      <w:i/>
                      <w:sz w:val="20"/>
                    </w:rPr>
                    <w:t>r</w:t>
                  </w:r>
                  <w:r w:rsidRPr="0013396E">
                    <w:rPr>
                      <w:sz w:val="20"/>
                    </w:rPr>
                    <w:t xml:space="preserve"> is the Combined Cycle Train.</w:t>
                  </w:r>
                </w:p>
              </w:tc>
            </w:tr>
            <w:tr w:rsidR="0057461A" w:rsidRPr="0013396E" w14:paraId="4D3679EB" w14:textId="77777777" w:rsidTr="00086215">
              <w:trPr>
                <w:cantSplit/>
              </w:trPr>
              <w:tc>
                <w:tcPr>
                  <w:tcW w:w="949" w:type="pct"/>
                </w:tcPr>
                <w:p w14:paraId="03F4ED5B" w14:textId="77777777" w:rsidR="0057461A" w:rsidRPr="0013396E" w:rsidRDefault="0057461A" w:rsidP="0057461A">
                  <w:pPr>
                    <w:spacing w:after="60"/>
                    <w:rPr>
                      <w:sz w:val="20"/>
                    </w:rPr>
                  </w:pPr>
                  <w:r w:rsidRPr="0013396E">
                    <w:rPr>
                      <w:sz w:val="20"/>
                    </w:rPr>
                    <w:t xml:space="preserve">MH </w:t>
                  </w:r>
                  <w:r w:rsidRPr="0013396E">
                    <w:rPr>
                      <w:i/>
                      <w:sz w:val="20"/>
                      <w:vertAlign w:val="subscript"/>
                    </w:rPr>
                    <w:t>q, r, m</w:t>
                  </w:r>
                </w:p>
              </w:tc>
              <w:tc>
                <w:tcPr>
                  <w:tcW w:w="422" w:type="pct"/>
                </w:tcPr>
                <w:p w14:paraId="66427EF8" w14:textId="77777777" w:rsidR="0057461A" w:rsidRPr="0013396E" w:rsidRDefault="0057461A" w:rsidP="0057461A">
                  <w:pPr>
                    <w:spacing w:after="60"/>
                    <w:rPr>
                      <w:sz w:val="20"/>
                    </w:rPr>
                  </w:pPr>
                  <w:r w:rsidRPr="0013396E">
                    <w:rPr>
                      <w:sz w:val="20"/>
                    </w:rPr>
                    <w:t>Hour</w:t>
                  </w:r>
                </w:p>
              </w:tc>
              <w:tc>
                <w:tcPr>
                  <w:tcW w:w="3629" w:type="pct"/>
                </w:tcPr>
                <w:p w14:paraId="200DD1CD" w14:textId="77777777" w:rsidR="0057461A" w:rsidRPr="0013396E" w:rsidRDefault="0057461A" w:rsidP="0057461A">
                  <w:pPr>
                    <w:spacing w:after="60"/>
                    <w:rPr>
                      <w:i/>
                      <w:sz w:val="20"/>
                    </w:rPr>
                  </w:pPr>
                  <w:r w:rsidRPr="0013396E">
                    <w:rPr>
                      <w:i/>
                      <w:sz w:val="20"/>
                    </w:rPr>
                    <w:t>Number of Total MRA Contracted Hours in the Month per QSE per Resource</w:t>
                  </w:r>
                  <w:r w:rsidRPr="0013396E">
                    <w:rPr>
                      <w:sz w:val="20"/>
                    </w:rPr>
                    <w:t>—The total number of MRA Contracted Hours in the month for the MRA</w:t>
                  </w:r>
                  <w:r w:rsidRPr="0013396E">
                    <w:rPr>
                      <w:i/>
                      <w:sz w:val="20"/>
                    </w:rPr>
                    <w:t xml:space="preserve"> r</w:t>
                  </w:r>
                  <w:r w:rsidRPr="0013396E">
                    <w:rPr>
                      <w:sz w:val="20"/>
                    </w:rPr>
                    <w:t xml:space="preserve"> represented by QSE </w:t>
                  </w:r>
                  <w:r w:rsidRPr="0013396E">
                    <w:rPr>
                      <w:i/>
                      <w:sz w:val="20"/>
                    </w:rPr>
                    <w:t>q</w:t>
                  </w:r>
                  <w:r w:rsidRPr="0013396E">
                    <w:rPr>
                      <w:sz w:val="20"/>
                    </w:rPr>
                    <w:t xml:space="preserve"> as indicated in the MRA Agreement.  Where for a Combined Cycle Train, the Resource </w:t>
                  </w:r>
                  <w:r w:rsidRPr="0013396E">
                    <w:rPr>
                      <w:i/>
                      <w:sz w:val="20"/>
                    </w:rPr>
                    <w:t xml:space="preserve">r </w:t>
                  </w:r>
                  <w:r w:rsidRPr="0013396E">
                    <w:rPr>
                      <w:sz w:val="20"/>
                    </w:rPr>
                    <w:t>is the Combined Cycle Train.</w:t>
                  </w:r>
                </w:p>
              </w:tc>
            </w:tr>
            <w:tr w:rsidR="0057461A" w:rsidRPr="0013396E" w14:paraId="4BCEDC71" w14:textId="77777777" w:rsidTr="00086215">
              <w:trPr>
                <w:cantSplit/>
              </w:trPr>
              <w:tc>
                <w:tcPr>
                  <w:tcW w:w="949" w:type="pct"/>
                </w:tcPr>
                <w:p w14:paraId="3DEFFB0C" w14:textId="77777777" w:rsidR="0057461A" w:rsidRPr="0013396E" w:rsidRDefault="0057461A" w:rsidP="0057461A">
                  <w:pPr>
                    <w:spacing w:after="60"/>
                    <w:rPr>
                      <w:sz w:val="20"/>
                    </w:rPr>
                  </w:pPr>
                  <w:r w:rsidRPr="0013396E">
                    <w:rPr>
                      <w:i/>
                      <w:sz w:val="20"/>
                    </w:rPr>
                    <w:t>h</w:t>
                  </w:r>
                </w:p>
              </w:tc>
              <w:tc>
                <w:tcPr>
                  <w:tcW w:w="422" w:type="pct"/>
                </w:tcPr>
                <w:p w14:paraId="3A7ECA8F" w14:textId="77777777" w:rsidR="0057461A" w:rsidRPr="0013396E" w:rsidRDefault="0057461A" w:rsidP="0057461A">
                  <w:pPr>
                    <w:spacing w:after="60"/>
                    <w:rPr>
                      <w:sz w:val="20"/>
                    </w:rPr>
                  </w:pPr>
                  <w:r w:rsidRPr="0013396E">
                    <w:rPr>
                      <w:sz w:val="20"/>
                    </w:rPr>
                    <w:t>None</w:t>
                  </w:r>
                </w:p>
              </w:tc>
              <w:tc>
                <w:tcPr>
                  <w:tcW w:w="3629" w:type="pct"/>
                </w:tcPr>
                <w:p w14:paraId="2D2DA991" w14:textId="77777777" w:rsidR="0057461A" w:rsidRPr="0013396E" w:rsidRDefault="0057461A" w:rsidP="0057461A">
                  <w:pPr>
                    <w:spacing w:after="60"/>
                    <w:rPr>
                      <w:i/>
                      <w:sz w:val="20"/>
                    </w:rPr>
                  </w:pPr>
                  <w:r w:rsidRPr="0013396E">
                    <w:rPr>
                      <w:sz w:val="20"/>
                    </w:rPr>
                    <w:t xml:space="preserve">A MRA Contracted Hour under the </w:t>
                  </w:r>
                  <w:r w:rsidRPr="0013396E">
                    <w:rPr>
                      <w:iCs/>
                      <w:sz w:val="20"/>
                    </w:rPr>
                    <w:t>MRA Agreement</w:t>
                  </w:r>
                  <w:r w:rsidRPr="0013396E">
                    <w:rPr>
                      <w:sz w:val="20"/>
                    </w:rPr>
                    <w:t xml:space="preserve"> for the MRA Contracted month.</w:t>
                  </w:r>
                </w:p>
              </w:tc>
            </w:tr>
            <w:tr w:rsidR="0057461A" w:rsidRPr="0013396E" w14:paraId="116BB44C" w14:textId="77777777" w:rsidTr="00086215">
              <w:trPr>
                <w:cantSplit/>
              </w:trPr>
              <w:tc>
                <w:tcPr>
                  <w:tcW w:w="949" w:type="pct"/>
                </w:tcPr>
                <w:p w14:paraId="59EBC0CD" w14:textId="77777777" w:rsidR="0057461A" w:rsidRPr="0013396E" w:rsidRDefault="0057461A" w:rsidP="0057461A">
                  <w:pPr>
                    <w:spacing w:after="60"/>
                    <w:rPr>
                      <w:iCs/>
                      <w:sz w:val="20"/>
                    </w:rPr>
                  </w:pPr>
                  <w:r w:rsidRPr="0013396E">
                    <w:rPr>
                      <w:i/>
                      <w:iCs/>
                      <w:sz w:val="20"/>
                    </w:rPr>
                    <w:t>q</w:t>
                  </w:r>
                </w:p>
              </w:tc>
              <w:tc>
                <w:tcPr>
                  <w:tcW w:w="422" w:type="pct"/>
                </w:tcPr>
                <w:p w14:paraId="44506BF0" w14:textId="77777777" w:rsidR="0057461A" w:rsidRPr="0013396E" w:rsidRDefault="0057461A" w:rsidP="0057461A">
                  <w:pPr>
                    <w:spacing w:after="60"/>
                    <w:rPr>
                      <w:iCs/>
                      <w:sz w:val="20"/>
                    </w:rPr>
                  </w:pPr>
                  <w:r w:rsidRPr="0013396E">
                    <w:rPr>
                      <w:iCs/>
                      <w:sz w:val="20"/>
                    </w:rPr>
                    <w:t>None</w:t>
                  </w:r>
                </w:p>
              </w:tc>
              <w:tc>
                <w:tcPr>
                  <w:tcW w:w="3629" w:type="pct"/>
                </w:tcPr>
                <w:p w14:paraId="5C49AC81" w14:textId="77777777" w:rsidR="0057461A" w:rsidRPr="0013396E" w:rsidRDefault="0057461A" w:rsidP="0057461A">
                  <w:pPr>
                    <w:spacing w:after="60"/>
                    <w:rPr>
                      <w:i/>
                      <w:iCs/>
                      <w:sz w:val="20"/>
                    </w:rPr>
                  </w:pPr>
                  <w:r w:rsidRPr="0013396E">
                    <w:rPr>
                      <w:iCs/>
                      <w:sz w:val="20"/>
                    </w:rPr>
                    <w:t>A QSE.</w:t>
                  </w:r>
                </w:p>
              </w:tc>
            </w:tr>
            <w:tr w:rsidR="0057461A" w:rsidRPr="0013396E" w14:paraId="0BD7A6C2" w14:textId="77777777" w:rsidTr="00086215">
              <w:trPr>
                <w:cantSplit/>
              </w:trPr>
              <w:tc>
                <w:tcPr>
                  <w:tcW w:w="949" w:type="pct"/>
                </w:tcPr>
                <w:p w14:paraId="6BF07C82" w14:textId="77777777" w:rsidR="0057461A" w:rsidRPr="0013396E" w:rsidRDefault="0057461A" w:rsidP="0057461A">
                  <w:pPr>
                    <w:spacing w:after="60"/>
                    <w:rPr>
                      <w:i/>
                      <w:iCs/>
                      <w:sz w:val="20"/>
                    </w:rPr>
                  </w:pPr>
                  <w:r w:rsidRPr="0013396E">
                    <w:rPr>
                      <w:i/>
                      <w:iCs/>
                      <w:sz w:val="20"/>
                    </w:rPr>
                    <w:t>r</w:t>
                  </w:r>
                </w:p>
              </w:tc>
              <w:tc>
                <w:tcPr>
                  <w:tcW w:w="422" w:type="pct"/>
                </w:tcPr>
                <w:p w14:paraId="03E56A36" w14:textId="77777777" w:rsidR="0057461A" w:rsidRPr="0013396E" w:rsidRDefault="0057461A" w:rsidP="0057461A">
                  <w:pPr>
                    <w:spacing w:after="60"/>
                    <w:rPr>
                      <w:iCs/>
                      <w:sz w:val="20"/>
                    </w:rPr>
                  </w:pPr>
                  <w:r w:rsidRPr="0013396E">
                    <w:rPr>
                      <w:iCs/>
                      <w:sz w:val="20"/>
                    </w:rPr>
                    <w:t>None</w:t>
                  </w:r>
                </w:p>
              </w:tc>
              <w:tc>
                <w:tcPr>
                  <w:tcW w:w="3629" w:type="pct"/>
                </w:tcPr>
                <w:p w14:paraId="13284B26" w14:textId="77777777" w:rsidR="0057461A" w:rsidRPr="0013396E" w:rsidRDefault="0057461A" w:rsidP="0057461A">
                  <w:pPr>
                    <w:spacing w:after="60"/>
                    <w:rPr>
                      <w:iCs/>
                      <w:sz w:val="20"/>
                    </w:rPr>
                  </w:pPr>
                  <w:r w:rsidRPr="0013396E">
                    <w:rPr>
                      <w:iCs/>
                      <w:sz w:val="20"/>
                    </w:rPr>
                    <w:t>An MRA.</w:t>
                  </w:r>
                </w:p>
              </w:tc>
            </w:tr>
            <w:tr w:rsidR="0057461A" w:rsidRPr="0013396E" w14:paraId="563BE865" w14:textId="77777777" w:rsidTr="00086215">
              <w:trPr>
                <w:cantSplit/>
              </w:trPr>
              <w:tc>
                <w:tcPr>
                  <w:tcW w:w="949" w:type="pct"/>
                </w:tcPr>
                <w:p w14:paraId="6B250B8F" w14:textId="77777777" w:rsidR="0057461A" w:rsidRPr="0013396E" w:rsidRDefault="0057461A" w:rsidP="0057461A">
                  <w:pPr>
                    <w:spacing w:after="60"/>
                    <w:rPr>
                      <w:i/>
                      <w:iCs/>
                      <w:sz w:val="20"/>
                    </w:rPr>
                  </w:pPr>
                  <w:r w:rsidRPr="0013396E">
                    <w:rPr>
                      <w:i/>
                      <w:iCs/>
                      <w:sz w:val="20"/>
                    </w:rPr>
                    <w:t>m</w:t>
                  </w:r>
                </w:p>
              </w:tc>
              <w:tc>
                <w:tcPr>
                  <w:tcW w:w="422" w:type="pct"/>
                </w:tcPr>
                <w:p w14:paraId="073957CD" w14:textId="77777777" w:rsidR="0057461A" w:rsidRPr="0013396E" w:rsidRDefault="0057461A" w:rsidP="0057461A">
                  <w:pPr>
                    <w:spacing w:after="60"/>
                    <w:rPr>
                      <w:iCs/>
                      <w:sz w:val="20"/>
                    </w:rPr>
                  </w:pPr>
                  <w:r w:rsidRPr="0013396E">
                    <w:rPr>
                      <w:iCs/>
                      <w:sz w:val="20"/>
                    </w:rPr>
                    <w:t>None</w:t>
                  </w:r>
                </w:p>
              </w:tc>
              <w:tc>
                <w:tcPr>
                  <w:tcW w:w="3629" w:type="pct"/>
                </w:tcPr>
                <w:p w14:paraId="3DEA07D9" w14:textId="77777777" w:rsidR="0057461A" w:rsidRPr="0013396E" w:rsidRDefault="0057461A" w:rsidP="0057461A">
                  <w:pPr>
                    <w:spacing w:after="60"/>
                    <w:rPr>
                      <w:iCs/>
                      <w:sz w:val="20"/>
                    </w:rPr>
                  </w:pPr>
                  <w:r w:rsidRPr="0013396E">
                    <w:rPr>
                      <w:sz w:val="20"/>
                    </w:rPr>
                    <w:t xml:space="preserve">An MRA Contracted Month </w:t>
                  </w:r>
                  <w:r w:rsidRPr="0013396E">
                    <w:rPr>
                      <w:iCs/>
                      <w:sz w:val="20"/>
                    </w:rPr>
                    <w:t>under the MRA Agreement</w:t>
                  </w:r>
                  <w:r w:rsidRPr="0013396E">
                    <w:rPr>
                      <w:sz w:val="20"/>
                    </w:rPr>
                    <w:t>.</w:t>
                  </w:r>
                </w:p>
              </w:tc>
            </w:tr>
            <w:tr w:rsidR="00086215" w:rsidRPr="0013396E" w14:paraId="0C5898AA" w14:textId="77777777" w:rsidTr="00086215">
              <w:trPr>
                <w:cantSplit/>
              </w:trPr>
              <w:tc>
                <w:tcPr>
                  <w:tcW w:w="949" w:type="pct"/>
                </w:tcPr>
                <w:p w14:paraId="6F2E11AA" w14:textId="07F96AB7" w:rsidR="00086215" w:rsidRPr="0013396E" w:rsidRDefault="00086215" w:rsidP="00086215">
                  <w:pPr>
                    <w:spacing w:after="60"/>
                    <w:rPr>
                      <w:i/>
                      <w:iCs/>
                      <w:sz w:val="20"/>
                    </w:rPr>
                  </w:pPr>
                  <w:r w:rsidRPr="0013396E">
                    <w:rPr>
                      <w:i/>
                      <w:iCs/>
                      <w:sz w:val="20"/>
                    </w:rPr>
                    <w:t>b</w:t>
                  </w:r>
                </w:p>
              </w:tc>
              <w:tc>
                <w:tcPr>
                  <w:tcW w:w="422" w:type="pct"/>
                </w:tcPr>
                <w:p w14:paraId="55688F22" w14:textId="067FA482" w:rsidR="00086215" w:rsidRPr="0013396E" w:rsidRDefault="00086215" w:rsidP="00086215">
                  <w:pPr>
                    <w:spacing w:after="60"/>
                    <w:rPr>
                      <w:iCs/>
                      <w:sz w:val="20"/>
                    </w:rPr>
                  </w:pPr>
                  <w:r w:rsidRPr="0013396E">
                    <w:rPr>
                      <w:iCs/>
                      <w:sz w:val="20"/>
                    </w:rPr>
                    <w:t>None</w:t>
                  </w:r>
                </w:p>
              </w:tc>
              <w:tc>
                <w:tcPr>
                  <w:tcW w:w="3629" w:type="pct"/>
                </w:tcPr>
                <w:p w14:paraId="2747E63E" w14:textId="69D6C147" w:rsidR="00086215" w:rsidRPr="0013396E" w:rsidRDefault="00086215" w:rsidP="00086215">
                  <w:pPr>
                    <w:spacing w:after="60"/>
                    <w:rPr>
                      <w:sz w:val="20"/>
                    </w:rPr>
                  </w:pPr>
                  <w:r w:rsidRPr="0013396E">
                    <w:rPr>
                      <w:sz w:val="20"/>
                    </w:rPr>
                    <w:t xml:space="preserve">An obligation block under the MRA Agreement. </w:t>
                  </w:r>
                </w:p>
              </w:tc>
            </w:tr>
          </w:tbl>
          <w:p w14:paraId="534F5F5B" w14:textId="447B376B" w:rsidR="0057461A" w:rsidRPr="0013396E" w:rsidRDefault="0057461A" w:rsidP="0057461A">
            <w:pPr>
              <w:spacing w:before="240" w:after="240"/>
              <w:ind w:left="720" w:hanging="720"/>
              <w:rPr>
                <w:iCs/>
              </w:rPr>
            </w:pPr>
            <w:r w:rsidRPr="0013396E">
              <w:rPr>
                <w:iCs/>
              </w:rPr>
              <w:t>(</w:t>
            </w:r>
            <w:r w:rsidR="00086215" w:rsidRPr="0013396E">
              <w:rPr>
                <w:iCs/>
              </w:rPr>
              <w:t>6</w:t>
            </w:r>
            <w:r w:rsidRPr="0013396E">
              <w:rPr>
                <w:iCs/>
              </w:rPr>
              <w:t>)</w:t>
            </w:r>
            <w:r w:rsidRPr="0013396E">
              <w:rPr>
                <w:iCs/>
              </w:rPr>
              <w:tab/>
              <w:t>The total of the Standby Payments for all MRAs represented by the QSE for a given hour is calculated as follows:</w:t>
            </w:r>
          </w:p>
          <w:p w14:paraId="2709F8C8" w14:textId="77777777" w:rsidR="0057461A" w:rsidRPr="0013396E" w:rsidRDefault="0057461A" w:rsidP="0057461A">
            <w:pPr>
              <w:tabs>
                <w:tab w:val="left" w:pos="2340"/>
                <w:tab w:val="left" w:pos="3420"/>
              </w:tabs>
              <w:spacing w:after="240"/>
              <w:ind w:left="2880" w:hanging="2160"/>
              <w:rPr>
                <w:bCs/>
                <w:szCs w:val="24"/>
                <w:lang w:val="pt-BR"/>
              </w:rPr>
            </w:pPr>
            <w:r w:rsidRPr="0013396E">
              <w:rPr>
                <w:bCs/>
                <w:szCs w:val="24"/>
                <w:lang w:val="pt-BR"/>
              </w:rPr>
              <w:t xml:space="preserve">MRASBAMTQSETOT </w:t>
            </w:r>
            <w:r w:rsidRPr="0013396E">
              <w:rPr>
                <w:bCs/>
                <w:i/>
                <w:szCs w:val="24"/>
                <w:vertAlign w:val="subscript"/>
                <w:lang w:val="pt-BR"/>
              </w:rPr>
              <w:t>q</w:t>
            </w:r>
            <w:r w:rsidRPr="0013396E">
              <w:rPr>
                <w:bCs/>
                <w:szCs w:val="24"/>
                <w:vertAlign w:val="subscript"/>
                <w:lang w:val="pt-BR"/>
              </w:rPr>
              <w:t xml:space="preserve">  </w:t>
            </w:r>
            <w:r w:rsidRPr="0013396E">
              <w:rPr>
                <w:bCs/>
                <w:szCs w:val="24"/>
                <w:lang w:val="pt-BR"/>
              </w:rPr>
              <w:t xml:space="preserve">=   </w:t>
            </w:r>
            <w:r w:rsidR="00A9698C">
              <w:rPr>
                <w:bCs/>
                <w:position w:val="-18"/>
                <w:szCs w:val="24"/>
                <w:lang w:val="pt-BR"/>
              </w:rPr>
              <w:pict w14:anchorId="56C9E9BB">
                <v:shape id="_x0000_i1181" type="#_x0000_t75" style="width:12pt;height:24pt">
                  <v:imagedata r:id="rId209" o:title=""/>
                </v:shape>
              </w:pict>
            </w:r>
            <w:r w:rsidRPr="0013396E">
              <w:rPr>
                <w:bCs/>
                <w:szCs w:val="24"/>
                <w:lang w:val="pt-BR"/>
              </w:rPr>
              <w:t xml:space="preserve">MRASBAMT </w:t>
            </w:r>
            <w:r w:rsidRPr="0013396E">
              <w:rPr>
                <w:bCs/>
                <w:i/>
                <w:szCs w:val="24"/>
                <w:vertAlign w:val="subscript"/>
                <w:lang w:val="pt-BR"/>
              </w:rPr>
              <w:t>q, r, h</w:t>
            </w:r>
          </w:p>
          <w:p w14:paraId="4499D883" w14:textId="77777777" w:rsidR="0057461A" w:rsidRPr="0013396E" w:rsidRDefault="0057461A" w:rsidP="002C448D">
            <w:pPr>
              <w:tabs>
                <w:tab w:val="left" w:pos="2340"/>
                <w:tab w:val="left" w:pos="3420"/>
              </w:tabs>
              <w:rPr>
                <w:bCs/>
                <w:szCs w:val="24"/>
                <w:lang w:val="pt-BR"/>
              </w:rPr>
            </w:pPr>
            <w:r w:rsidRPr="0013396E">
              <w:rPr>
                <w:bCs/>
                <w:szCs w:val="24"/>
                <w:lang w:val="pt-BR"/>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994"/>
              <w:gridCol w:w="6093"/>
            </w:tblGrid>
            <w:tr w:rsidR="002C448D" w:rsidRPr="0013396E" w14:paraId="4FEBF0D2" w14:textId="77777777" w:rsidTr="00CE1011">
              <w:trPr>
                <w:cantSplit/>
                <w:tblHeader/>
              </w:trPr>
              <w:tc>
                <w:tcPr>
                  <w:tcW w:w="1207" w:type="pct"/>
                </w:tcPr>
                <w:p w14:paraId="5D13FAD8" w14:textId="77777777" w:rsidR="002C448D" w:rsidRPr="0013396E" w:rsidRDefault="002C448D" w:rsidP="002C448D">
                  <w:pPr>
                    <w:pStyle w:val="TableHead"/>
                  </w:pPr>
                  <w:r w:rsidRPr="0013396E">
                    <w:t>Variable</w:t>
                  </w:r>
                </w:p>
              </w:tc>
              <w:tc>
                <w:tcPr>
                  <w:tcW w:w="532" w:type="pct"/>
                </w:tcPr>
                <w:p w14:paraId="628B27D4" w14:textId="77777777" w:rsidR="002C448D" w:rsidRPr="0013396E" w:rsidRDefault="002C448D" w:rsidP="002C448D">
                  <w:pPr>
                    <w:pStyle w:val="TableHead"/>
                  </w:pPr>
                  <w:r w:rsidRPr="0013396E">
                    <w:t>Unit</w:t>
                  </w:r>
                </w:p>
              </w:tc>
              <w:tc>
                <w:tcPr>
                  <w:tcW w:w="3261" w:type="pct"/>
                </w:tcPr>
                <w:p w14:paraId="0F83D76C" w14:textId="77777777" w:rsidR="002C448D" w:rsidRPr="0013396E" w:rsidRDefault="002C448D" w:rsidP="002C448D">
                  <w:pPr>
                    <w:pStyle w:val="TableHead"/>
                  </w:pPr>
                  <w:r w:rsidRPr="0013396E">
                    <w:t>Definition</w:t>
                  </w:r>
                </w:p>
              </w:tc>
            </w:tr>
            <w:tr w:rsidR="002C448D" w:rsidRPr="0013396E" w14:paraId="00C1F6D2" w14:textId="77777777" w:rsidTr="00CE1011">
              <w:trPr>
                <w:cantSplit/>
              </w:trPr>
              <w:tc>
                <w:tcPr>
                  <w:tcW w:w="1207" w:type="pct"/>
                </w:tcPr>
                <w:p w14:paraId="29829709" w14:textId="77777777" w:rsidR="002C448D" w:rsidRPr="0013396E" w:rsidRDefault="002C448D" w:rsidP="002C448D">
                  <w:pPr>
                    <w:pStyle w:val="TableBody"/>
                  </w:pPr>
                  <w:r w:rsidRPr="0013396E">
                    <w:t xml:space="preserve">MRASBAMTQSETOT </w:t>
                  </w:r>
                  <w:r w:rsidRPr="0013396E">
                    <w:rPr>
                      <w:i/>
                      <w:iCs w:val="0"/>
                      <w:vertAlign w:val="subscript"/>
                    </w:rPr>
                    <w:t>q</w:t>
                  </w:r>
                </w:p>
              </w:tc>
              <w:tc>
                <w:tcPr>
                  <w:tcW w:w="532" w:type="pct"/>
                </w:tcPr>
                <w:p w14:paraId="11E8F995" w14:textId="77777777" w:rsidR="002C448D" w:rsidRPr="0013396E" w:rsidRDefault="002C448D" w:rsidP="002C448D">
                  <w:pPr>
                    <w:pStyle w:val="TableBody"/>
                  </w:pPr>
                  <w:r w:rsidRPr="0013396E">
                    <w:t>$</w:t>
                  </w:r>
                </w:p>
              </w:tc>
              <w:tc>
                <w:tcPr>
                  <w:tcW w:w="3261" w:type="pct"/>
                </w:tcPr>
                <w:p w14:paraId="31BB7D48" w14:textId="77777777" w:rsidR="002C448D" w:rsidRPr="0013396E" w:rsidRDefault="002C448D" w:rsidP="002C448D">
                  <w:pPr>
                    <w:pStyle w:val="TableBody"/>
                  </w:pPr>
                  <w:r w:rsidRPr="0013396E">
                    <w:rPr>
                      <w:i/>
                    </w:rPr>
                    <w:t xml:space="preserve">Must-Run Alternative Standby Amount Total per QSE per hour </w:t>
                  </w:r>
                  <w:r w:rsidRPr="0013396E">
                    <w:sym w:font="Symbol" w:char="F0BE"/>
                  </w:r>
                  <w:r w:rsidRPr="0013396E">
                    <w:t xml:space="preserve"> The total of the Standby Payments for all MRAs represented by the QSE </w:t>
                  </w:r>
                  <w:r w:rsidRPr="0013396E">
                    <w:rPr>
                      <w:i/>
                    </w:rPr>
                    <w:t>q</w:t>
                  </w:r>
                  <w:r w:rsidRPr="0013396E">
                    <w:t xml:space="preserve"> for the hour.</w:t>
                  </w:r>
                </w:p>
              </w:tc>
            </w:tr>
            <w:tr w:rsidR="002C448D" w:rsidRPr="0013396E" w14:paraId="311BBAC5" w14:textId="77777777" w:rsidTr="00CE1011">
              <w:trPr>
                <w:cantSplit/>
              </w:trPr>
              <w:tc>
                <w:tcPr>
                  <w:tcW w:w="1207" w:type="pct"/>
                </w:tcPr>
                <w:p w14:paraId="2C268A97" w14:textId="77777777" w:rsidR="002C448D" w:rsidRPr="0013396E" w:rsidRDefault="002C448D" w:rsidP="002C448D">
                  <w:pPr>
                    <w:pStyle w:val="TableBody"/>
                  </w:pPr>
                  <w:r w:rsidRPr="0013396E">
                    <w:rPr>
                      <w:iCs w:val="0"/>
                    </w:rPr>
                    <w:t xml:space="preserve">MRASBAMT </w:t>
                  </w:r>
                  <w:r w:rsidRPr="0013396E">
                    <w:rPr>
                      <w:i/>
                      <w:iCs w:val="0"/>
                      <w:vertAlign w:val="subscript"/>
                    </w:rPr>
                    <w:t>q, r, h</w:t>
                  </w:r>
                </w:p>
              </w:tc>
              <w:tc>
                <w:tcPr>
                  <w:tcW w:w="532" w:type="pct"/>
                </w:tcPr>
                <w:p w14:paraId="5D9F9474" w14:textId="77777777" w:rsidR="002C448D" w:rsidRPr="0013396E" w:rsidRDefault="002C448D" w:rsidP="002C448D">
                  <w:pPr>
                    <w:pStyle w:val="TableBody"/>
                  </w:pPr>
                  <w:r w:rsidRPr="0013396E">
                    <w:rPr>
                      <w:iCs w:val="0"/>
                    </w:rPr>
                    <w:t xml:space="preserve">$ </w:t>
                  </w:r>
                </w:p>
              </w:tc>
              <w:tc>
                <w:tcPr>
                  <w:tcW w:w="3261" w:type="pct"/>
                </w:tcPr>
                <w:p w14:paraId="4E0F0410" w14:textId="77777777" w:rsidR="002C448D" w:rsidRPr="0013396E" w:rsidRDefault="002C448D" w:rsidP="002C448D">
                  <w:pPr>
                    <w:pStyle w:val="TableBody"/>
                  </w:pPr>
                  <w:r w:rsidRPr="0013396E">
                    <w:rPr>
                      <w:i/>
                      <w:iCs w:val="0"/>
                    </w:rPr>
                    <w:t xml:space="preserve">Must-Run Alternative Standby Amount per QSE per Resource by hour </w:t>
                  </w:r>
                  <w:r w:rsidRPr="0013396E">
                    <w:rPr>
                      <w:iCs w:val="0"/>
                    </w:rPr>
                    <w:t xml:space="preserve">—The hourly standby payment amount for MRA </w:t>
                  </w:r>
                  <w:r w:rsidRPr="0013396E">
                    <w:rPr>
                      <w:i/>
                      <w:iCs w:val="0"/>
                    </w:rPr>
                    <w:t xml:space="preserve">r </w:t>
                  </w:r>
                  <w:r w:rsidRPr="0013396E">
                    <w:rPr>
                      <w:iCs w:val="0"/>
                    </w:rPr>
                    <w:t xml:space="preserve">represented by QSE </w:t>
                  </w:r>
                  <w:r w:rsidRPr="0013396E">
                    <w:rPr>
                      <w:i/>
                      <w:iCs w:val="0"/>
                    </w:rPr>
                    <w:t>q</w:t>
                  </w:r>
                  <w:r w:rsidRPr="0013396E">
                    <w:t xml:space="preserve">, for the hour </w:t>
                  </w:r>
                  <w:r w:rsidRPr="0013396E">
                    <w:rPr>
                      <w:i/>
                    </w:rPr>
                    <w:t>h</w:t>
                  </w:r>
                  <w:r w:rsidRPr="0013396E">
                    <w:rPr>
                      <w:iCs w:val="0"/>
                    </w:rPr>
                    <w:t xml:space="preserve">.  Where for a Combined Cycle Train, the Resource </w:t>
                  </w:r>
                  <w:r w:rsidRPr="0013396E">
                    <w:rPr>
                      <w:i/>
                      <w:iCs w:val="0"/>
                    </w:rPr>
                    <w:t xml:space="preserve">r </w:t>
                  </w:r>
                  <w:r w:rsidRPr="0013396E">
                    <w:rPr>
                      <w:iCs w:val="0"/>
                    </w:rPr>
                    <w:t>is a Combined Cycle Train.</w:t>
                  </w:r>
                </w:p>
              </w:tc>
            </w:tr>
            <w:tr w:rsidR="002C448D" w:rsidRPr="0013396E" w14:paraId="434A1718" w14:textId="77777777" w:rsidTr="00CE1011">
              <w:trPr>
                <w:cantSplit/>
              </w:trPr>
              <w:tc>
                <w:tcPr>
                  <w:tcW w:w="1207" w:type="pct"/>
                  <w:tcBorders>
                    <w:top w:val="single" w:sz="4" w:space="0" w:color="auto"/>
                    <w:left w:val="single" w:sz="4" w:space="0" w:color="auto"/>
                    <w:bottom w:val="single" w:sz="4" w:space="0" w:color="auto"/>
                    <w:right w:val="single" w:sz="4" w:space="0" w:color="auto"/>
                  </w:tcBorders>
                </w:tcPr>
                <w:p w14:paraId="0FD8F30F" w14:textId="77777777" w:rsidR="002C448D" w:rsidRPr="0013396E" w:rsidRDefault="002C448D" w:rsidP="002C448D">
                  <w:pPr>
                    <w:pStyle w:val="TableBody"/>
                    <w:rPr>
                      <w:i/>
                    </w:rPr>
                  </w:pPr>
                  <w:r w:rsidRPr="0013396E">
                    <w:rPr>
                      <w:i/>
                    </w:rPr>
                    <w:t>q</w:t>
                  </w:r>
                </w:p>
              </w:tc>
              <w:tc>
                <w:tcPr>
                  <w:tcW w:w="532" w:type="pct"/>
                  <w:tcBorders>
                    <w:top w:val="single" w:sz="4" w:space="0" w:color="auto"/>
                    <w:left w:val="single" w:sz="4" w:space="0" w:color="auto"/>
                    <w:bottom w:val="single" w:sz="4" w:space="0" w:color="auto"/>
                    <w:right w:val="single" w:sz="4" w:space="0" w:color="auto"/>
                  </w:tcBorders>
                </w:tcPr>
                <w:p w14:paraId="10F1319C" w14:textId="77777777" w:rsidR="002C448D" w:rsidRPr="0013396E" w:rsidRDefault="002C448D" w:rsidP="002C448D">
                  <w:pPr>
                    <w:pStyle w:val="TableBody"/>
                  </w:pPr>
                  <w:r w:rsidRPr="0013396E">
                    <w:t>None</w:t>
                  </w:r>
                </w:p>
              </w:tc>
              <w:tc>
                <w:tcPr>
                  <w:tcW w:w="3261" w:type="pct"/>
                  <w:tcBorders>
                    <w:top w:val="single" w:sz="4" w:space="0" w:color="auto"/>
                    <w:left w:val="single" w:sz="4" w:space="0" w:color="auto"/>
                    <w:bottom w:val="single" w:sz="4" w:space="0" w:color="auto"/>
                    <w:right w:val="single" w:sz="4" w:space="0" w:color="auto"/>
                  </w:tcBorders>
                </w:tcPr>
                <w:p w14:paraId="1008F921" w14:textId="77777777" w:rsidR="002C448D" w:rsidRPr="0013396E" w:rsidRDefault="002C448D" w:rsidP="002C448D">
                  <w:pPr>
                    <w:pStyle w:val="TableBody"/>
                  </w:pPr>
                  <w:r w:rsidRPr="0013396E">
                    <w:t>A QSE.</w:t>
                  </w:r>
                </w:p>
              </w:tc>
            </w:tr>
            <w:tr w:rsidR="002C448D" w:rsidRPr="0013396E" w14:paraId="6893EF3E" w14:textId="77777777" w:rsidTr="00CE1011">
              <w:trPr>
                <w:cantSplit/>
              </w:trPr>
              <w:tc>
                <w:tcPr>
                  <w:tcW w:w="1207" w:type="pct"/>
                  <w:tcBorders>
                    <w:top w:val="single" w:sz="4" w:space="0" w:color="auto"/>
                    <w:left w:val="single" w:sz="4" w:space="0" w:color="auto"/>
                    <w:bottom w:val="single" w:sz="4" w:space="0" w:color="auto"/>
                    <w:right w:val="single" w:sz="4" w:space="0" w:color="auto"/>
                  </w:tcBorders>
                </w:tcPr>
                <w:p w14:paraId="0C64BEBA" w14:textId="77777777" w:rsidR="002C448D" w:rsidRPr="0013396E" w:rsidRDefault="002C448D" w:rsidP="002C448D">
                  <w:pPr>
                    <w:pStyle w:val="TableBody"/>
                    <w:rPr>
                      <w:i/>
                    </w:rPr>
                  </w:pPr>
                  <w:r w:rsidRPr="0013396E">
                    <w:rPr>
                      <w:i/>
                    </w:rPr>
                    <w:t>r</w:t>
                  </w:r>
                </w:p>
              </w:tc>
              <w:tc>
                <w:tcPr>
                  <w:tcW w:w="532" w:type="pct"/>
                  <w:tcBorders>
                    <w:top w:val="single" w:sz="4" w:space="0" w:color="auto"/>
                    <w:left w:val="single" w:sz="4" w:space="0" w:color="auto"/>
                    <w:bottom w:val="single" w:sz="4" w:space="0" w:color="auto"/>
                    <w:right w:val="single" w:sz="4" w:space="0" w:color="auto"/>
                  </w:tcBorders>
                </w:tcPr>
                <w:p w14:paraId="0FF5923B" w14:textId="77777777" w:rsidR="002C448D" w:rsidRPr="0013396E" w:rsidRDefault="002C448D" w:rsidP="002C448D">
                  <w:pPr>
                    <w:pStyle w:val="TableBody"/>
                  </w:pPr>
                  <w:r w:rsidRPr="0013396E">
                    <w:t>None</w:t>
                  </w:r>
                </w:p>
              </w:tc>
              <w:tc>
                <w:tcPr>
                  <w:tcW w:w="3261" w:type="pct"/>
                  <w:tcBorders>
                    <w:top w:val="single" w:sz="4" w:space="0" w:color="auto"/>
                    <w:left w:val="single" w:sz="4" w:space="0" w:color="auto"/>
                    <w:bottom w:val="single" w:sz="4" w:space="0" w:color="auto"/>
                    <w:right w:val="single" w:sz="4" w:space="0" w:color="auto"/>
                  </w:tcBorders>
                </w:tcPr>
                <w:p w14:paraId="5AF79ECC" w14:textId="77777777" w:rsidR="002C448D" w:rsidRPr="0013396E" w:rsidRDefault="002C448D" w:rsidP="002C448D">
                  <w:pPr>
                    <w:pStyle w:val="TableBody"/>
                  </w:pPr>
                  <w:r w:rsidRPr="0013396E">
                    <w:t>An MRA.</w:t>
                  </w:r>
                </w:p>
              </w:tc>
            </w:tr>
            <w:tr w:rsidR="002C448D" w:rsidRPr="0013396E" w14:paraId="1A046C5D" w14:textId="77777777" w:rsidTr="00CE1011">
              <w:trPr>
                <w:cantSplit/>
              </w:trPr>
              <w:tc>
                <w:tcPr>
                  <w:tcW w:w="1207" w:type="pct"/>
                  <w:tcBorders>
                    <w:top w:val="single" w:sz="4" w:space="0" w:color="auto"/>
                    <w:left w:val="single" w:sz="4" w:space="0" w:color="auto"/>
                    <w:bottom w:val="single" w:sz="4" w:space="0" w:color="auto"/>
                    <w:right w:val="single" w:sz="4" w:space="0" w:color="auto"/>
                  </w:tcBorders>
                </w:tcPr>
                <w:p w14:paraId="0E4E1663" w14:textId="77777777" w:rsidR="002C448D" w:rsidRPr="0013396E" w:rsidRDefault="002C448D" w:rsidP="002C448D">
                  <w:pPr>
                    <w:pStyle w:val="TableBody"/>
                    <w:rPr>
                      <w:i/>
                    </w:rPr>
                  </w:pPr>
                  <w:r w:rsidRPr="0013396E">
                    <w:rPr>
                      <w:i/>
                    </w:rPr>
                    <w:t>h</w:t>
                  </w:r>
                </w:p>
              </w:tc>
              <w:tc>
                <w:tcPr>
                  <w:tcW w:w="532" w:type="pct"/>
                  <w:tcBorders>
                    <w:top w:val="single" w:sz="4" w:space="0" w:color="auto"/>
                    <w:left w:val="single" w:sz="4" w:space="0" w:color="auto"/>
                    <w:bottom w:val="single" w:sz="4" w:space="0" w:color="auto"/>
                    <w:right w:val="single" w:sz="4" w:space="0" w:color="auto"/>
                  </w:tcBorders>
                </w:tcPr>
                <w:p w14:paraId="64BD86EA" w14:textId="77777777" w:rsidR="002C448D" w:rsidRPr="0013396E" w:rsidRDefault="002C448D" w:rsidP="002C448D">
                  <w:pPr>
                    <w:pStyle w:val="TableBody"/>
                  </w:pPr>
                  <w:r w:rsidRPr="0013396E">
                    <w:t>None</w:t>
                  </w:r>
                </w:p>
              </w:tc>
              <w:tc>
                <w:tcPr>
                  <w:tcW w:w="3261" w:type="pct"/>
                  <w:tcBorders>
                    <w:top w:val="single" w:sz="4" w:space="0" w:color="auto"/>
                    <w:left w:val="single" w:sz="4" w:space="0" w:color="auto"/>
                    <w:bottom w:val="single" w:sz="4" w:space="0" w:color="auto"/>
                    <w:right w:val="single" w:sz="4" w:space="0" w:color="auto"/>
                  </w:tcBorders>
                </w:tcPr>
                <w:p w14:paraId="55EDACA0" w14:textId="77777777" w:rsidR="002C448D" w:rsidRPr="0013396E" w:rsidRDefault="002C448D" w:rsidP="002C448D">
                  <w:pPr>
                    <w:pStyle w:val="TableBody"/>
                  </w:pPr>
                  <w:r w:rsidRPr="0013396E">
                    <w:t xml:space="preserve">An MRA Contracted Hour under the </w:t>
                  </w:r>
                  <w:r w:rsidRPr="0013396E">
                    <w:rPr>
                      <w:iCs w:val="0"/>
                    </w:rPr>
                    <w:t>MRA Agreement</w:t>
                  </w:r>
                  <w:r w:rsidRPr="0013396E">
                    <w:t xml:space="preserve"> for the calendar month.</w:t>
                  </w:r>
                </w:p>
              </w:tc>
            </w:tr>
          </w:tbl>
          <w:p w14:paraId="36BDF764" w14:textId="15D4515E" w:rsidR="002C448D" w:rsidRPr="0013396E" w:rsidRDefault="002C448D" w:rsidP="002C448D">
            <w:pPr>
              <w:pStyle w:val="BodyTextNumbered"/>
              <w:spacing w:before="240"/>
            </w:pPr>
            <w:r w:rsidRPr="0013396E">
              <w:t>(</w:t>
            </w:r>
            <w:r w:rsidR="00086215" w:rsidRPr="0013396E">
              <w:t>7</w:t>
            </w:r>
            <w:r w:rsidRPr="0013396E">
              <w:t>)</w:t>
            </w:r>
            <w:r w:rsidRPr="0013396E">
              <w:tab/>
              <w:t>The total of the Standby Payments for a given hour is calculated as follows:</w:t>
            </w:r>
          </w:p>
          <w:p w14:paraId="30C8755F" w14:textId="77777777" w:rsidR="002C448D" w:rsidRPr="0013396E" w:rsidRDefault="002C448D" w:rsidP="002C448D">
            <w:pPr>
              <w:pStyle w:val="Formula"/>
              <w:ind w:left="2880" w:hanging="2160"/>
              <w:rPr>
                <w:i/>
                <w:vertAlign w:val="subscript"/>
              </w:rPr>
            </w:pPr>
            <w:r w:rsidRPr="0013396E">
              <w:lastRenderedPageBreak/>
              <w:t>MRASBAMTTOT</w:t>
            </w:r>
            <w:r w:rsidRPr="0013396E">
              <w:tab/>
              <w:t xml:space="preserve">= </w:t>
            </w:r>
            <w:r w:rsidRPr="0013396E">
              <w:rPr>
                <w:position w:val="-22"/>
              </w:rPr>
              <w:object w:dxaOrig="210" w:dyaOrig="465" w14:anchorId="1B189901">
                <v:shape id="_x0000_i1182" type="#_x0000_t75" style="width:6pt;height:24pt" o:ole="">
                  <v:imagedata r:id="rId157" o:title=""/>
                </v:shape>
                <o:OLEObject Type="Embed" ProgID="Equation.3" ShapeID="_x0000_i1182" DrawAspect="Content" ObjectID="_1849065812" r:id="rId233"/>
              </w:object>
            </w:r>
            <w:r w:rsidRPr="0013396E">
              <w:t xml:space="preserve"> MRASBAMTQSETOT </w:t>
            </w:r>
            <w:r w:rsidRPr="0013396E">
              <w:rPr>
                <w:i/>
                <w:vertAlign w:val="subscript"/>
              </w:rPr>
              <w:t>q</w:t>
            </w:r>
            <w:r w:rsidRPr="0013396E">
              <w:rPr>
                <w:b/>
                <w:bCs w:val="0"/>
              </w:rPr>
              <w:t xml:space="preserve"> </w:t>
            </w:r>
          </w:p>
          <w:p w14:paraId="154B8047" w14:textId="77777777" w:rsidR="002C448D" w:rsidRPr="0013396E" w:rsidRDefault="002C448D" w:rsidP="002C448D">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809"/>
              <w:gridCol w:w="6199"/>
            </w:tblGrid>
            <w:tr w:rsidR="002C448D" w:rsidRPr="0013396E" w14:paraId="7BACF785" w14:textId="77777777" w:rsidTr="00CE1011">
              <w:trPr>
                <w:cantSplit/>
                <w:tblHeader/>
              </w:trPr>
              <w:tc>
                <w:tcPr>
                  <w:tcW w:w="1249" w:type="pct"/>
                </w:tcPr>
                <w:p w14:paraId="0C84D134" w14:textId="77777777" w:rsidR="002C448D" w:rsidRPr="0013396E" w:rsidRDefault="002C448D" w:rsidP="002C448D">
                  <w:pPr>
                    <w:pStyle w:val="TableHead"/>
                  </w:pPr>
                  <w:r w:rsidRPr="0013396E">
                    <w:t>Variable</w:t>
                  </w:r>
                </w:p>
              </w:tc>
              <w:tc>
                <w:tcPr>
                  <w:tcW w:w="433" w:type="pct"/>
                </w:tcPr>
                <w:p w14:paraId="5E5A6E36" w14:textId="77777777" w:rsidR="002C448D" w:rsidRPr="0013396E" w:rsidRDefault="002C448D" w:rsidP="002C448D">
                  <w:pPr>
                    <w:pStyle w:val="TableHead"/>
                  </w:pPr>
                  <w:r w:rsidRPr="0013396E">
                    <w:t>Unit</w:t>
                  </w:r>
                </w:p>
              </w:tc>
              <w:tc>
                <w:tcPr>
                  <w:tcW w:w="3318" w:type="pct"/>
                </w:tcPr>
                <w:p w14:paraId="4E4301E8" w14:textId="77777777" w:rsidR="002C448D" w:rsidRPr="0013396E" w:rsidRDefault="002C448D" w:rsidP="002C448D">
                  <w:pPr>
                    <w:pStyle w:val="TableHead"/>
                  </w:pPr>
                  <w:r w:rsidRPr="0013396E">
                    <w:t>Definition</w:t>
                  </w:r>
                </w:p>
              </w:tc>
            </w:tr>
            <w:tr w:rsidR="002C448D" w:rsidRPr="0013396E" w14:paraId="2B5B3E3A" w14:textId="77777777" w:rsidTr="00CE1011">
              <w:trPr>
                <w:cantSplit/>
              </w:trPr>
              <w:tc>
                <w:tcPr>
                  <w:tcW w:w="1249" w:type="pct"/>
                </w:tcPr>
                <w:p w14:paraId="35A0AC24" w14:textId="77777777" w:rsidR="002C448D" w:rsidRPr="0013396E" w:rsidRDefault="002C448D" w:rsidP="002C448D">
                  <w:pPr>
                    <w:pStyle w:val="TableBody"/>
                  </w:pPr>
                  <w:r w:rsidRPr="0013396E">
                    <w:t>MRASBAMTTOT</w:t>
                  </w:r>
                </w:p>
              </w:tc>
              <w:tc>
                <w:tcPr>
                  <w:tcW w:w="433" w:type="pct"/>
                </w:tcPr>
                <w:p w14:paraId="6FF8C09C" w14:textId="77777777" w:rsidR="002C448D" w:rsidRPr="0013396E" w:rsidRDefault="002C448D" w:rsidP="002C448D">
                  <w:pPr>
                    <w:pStyle w:val="TableBody"/>
                  </w:pPr>
                  <w:r w:rsidRPr="0013396E">
                    <w:t>$</w:t>
                  </w:r>
                </w:p>
              </w:tc>
              <w:tc>
                <w:tcPr>
                  <w:tcW w:w="3318" w:type="pct"/>
                </w:tcPr>
                <w:p w14:paraId="35021137" w14:textId="77777777" w:rsidR="002C448D" w:rsidRPr="0013396E" w:rsidRDefault="002C448D" w:rsidP="002C448D">
                  <w:pPr>
                    <w:pStyle w:val="TableBody"/>
                  </w:pPr>
                  <w:r w:rsidRPr="0013396E">
                    <w:rPr>
                      <w:i/>
                    </w:rPr>
                    <w:t xml:space="preserve">Must-Run Alternative Standby Amount Total </w:t>
                  </w:r>
                  <w:r w:rsidRPr="0013396E">
                    <w:sym w:font="Symbol" w:char="F0BE"/>
                  </w:r>
                  <w:r w:rsidRPr="0013396E">
                    <w:t xml:space="preserve">The total of the Standby Payments to all QSEs </w:t>
                  </w:r>
                  <w:r w:rsidRPr="0013396E">
                    <w:rPr>
                      <w:i/>
                    </w:rPr>
                    <w:t>q</w:t>
                  </w:r>
                  <w:r w:rsidRPr="0013396E">
                    <w:t xml:space="preserve"> for all MRAs for the hour.</w:t>
                  </w:r>
                </w:p>
              </w:tc>
            </w:tr>
            <w:tr w:rsidR="002C448D" w:rsidRPr="0013396E" w14:paraId="2A7DF3AC" w14:textId="77777777" w:rsidTr="00CE1011">
              <w:trPr>
                <w:cantSplit/>
              </w:trPr>
              <w:tc>
                <w:tcPr>
                  <w:tcW w:w="1249" w:type="pct"/>
                </w:tcPr>
                <w:p w14:paraId="666F0957" w14:textId="77777777" w:rsidR="002C448D" w:rsidRPr="0013396E" w:rsidRDefault="002C448D" w:rsidP="002C448D">
                  <w:pPr>
                    <w:pStyle w:val="TableBody"/>
                  </w:pPr>
                  <w:r w:rsidRPr="0013396E">
                    <w:t xml:space="preserve">MRASBAMTQSETOT </w:t>
                  </w:r>
                  <w:r w:rsidRPr="0013396E">
                    <w:rPr>
                      <w:i/>
                      <w:vertAlign w:val="subscript"/>
                    </w:rPr>
                    <w:t>q</w:t>
                  </w:r>
                </w:p>
              </w:tc>
              <w:tc>
                <w:tcPr>
                  <w:tcW w:w="433" w:type="pct"/>
                </w:tcPr>
                <w:p w14:paraId="4CC63961" w14:textId="77777777" w:rsidR="002C448D" w:rsidRPr="0013396E" w:rsidRDefault="002C448D" w:rsidP="002C448D">
                  <w:pPr>
                    <w:pStyle w:val="TableBody"/>
                  </w:pPr>
                  <w:r w:rsidRPr="0013396E">
                    <w:t>$</w:t>
                  </w:r>
                </w:p>
              </w:tc>
              <w:tc>
                <w:tcPr>
                  <w:tcW w:w="3318" w:type="pct"/>
                </w:tcPr>
                <w:p w14:paraId="6B9411DB" w14:textId="77777777" w:rsidR="002C448D" w:rsidRPr="0013396E" w:rsidRDefault="002C448D" w:rsidP="002C448D">
                  <w:pPr>
                    <w:pStyle w:val="TableBody"/>
                  </w:pPr>
                  <w:r w:rsidRPr="0013396E">
                    <w:rPr>
                      <w:i/>
                    </w:rPr>
                    <w:t xml:space="preserve">Must-Run Alternative Standby Amount Total per QSE per hour </w:t>
                  </w:r>
                  <w:r w:rsidRPr="0013396E">
                    <w:sym w:font="Symbol" w:char="F0BE"/>
                  </w:r>
                  <w:r w:rsidRPr="0013396E">
                    <w:t xml:space="preserve">The total of the Standby Payments for all MRAs represented by the QSE </w:t>
                  </w:r>
                  <w:r w:rsidRPr="0013396E">
                    <w:rPr>
                      <w:i/>
                    </w:rPr>
                    <w:t>q</w:t>
                  </w:r>
                  <w:r w:rsidRPr="0013396E">
                    <w:t xml:space="preserve"> for the hour.</w:t>
                  </w:r>
                </w:p>
              </w:tc>
            </w:tr>
            <w:tr w:rsidR="002C448D" w:rsidRPr="0013396E" w14:paraId="32E18E7D" w14:textId="77777777" w:rsidTr="00CE1011">
              <w:trPr>
                <w:cantSplit/>
              </w:trPr>
              <w:tc>
                <w:tcPr>
                  <w:tcW w:w="1249" w:type="pct"/>
                  <w:tcBorders>
                    <w:top w:val="single" w:sz="4" w:space="0" w:color="auto"/>
                    <w:left w:val="single" w:sz="4" w:space="0" w:color="auto"/>
                    <w:bottom w:val="single" w:sz="4" w:space="0" w:color="auto"/>
                    <w:right w:val="single" w:sz="4" w:space="0" w:color="auto"/>
                  </w:tcBorders>
                </w:tcPr>
                <w:p w14:paraId="3CF9E3BA" w14:textId="77777777" w:rsidR="002C448D" w:rsidRPr="0013396E" w:rsidRDefault="002C448D" w:rsidP="002C448D">
                  <w:pPr>
                    <w:pStyle w:val="TableBody"/>
                    <w:rPr>
                      <w:i/>
                    </w:rPr>
                  </w:pPr>
                  <w:r w:rsidRPr="0013396E">
                    <w:rPr>
                      <w:i/>
                    </w:rPr>
                    <w:t>q</w:t>
                  </w:r>
                </w:p>
              </w:tc>
              <w:tc>
                <w:tcPr>
                  <w:tcW w:w="433" w:type="pct"/>
                  <w:tcBorders>
                    <w:top w:val="single" w:sz="4" w:space="0" w:color="auto"/>
                    <w:left w:val="single" w:sz="4" w:space="0" w:color="auto"/>
                    <w:bottom w:val="single" w:sz="4" w:space="0" w:color="auto"/>
                    <w:right w:val="single" w:sz="4" w:space="0" w:color="auto"/>
                  </w:tcBorders>
                </w:tcPr>
                <w:p w14:paraId="59A23308" w14:textId="77777777" w:rsidR="002C448D" w:rsidRPr="0013396E" w:rsidRDefault="002C448D" w:rsidP="002C448D">
                  <w:pPr>
                    <w:pStyle w:val="TableBody"/>
                  </w:pPr>
                  <w:r w:rsidRPr="0013396E">
                    <w:t>None</w:t>
                  </w:r>
                </w:p>
              </w:tc>
              <w:tc>
                <w:tcPr>
                  <w:tcW w:w="3318" w:type="pct"/>
                  <w:tcBorders>
                    <w:top w:val="single" w:sz="4" w:space="0" w:color="auto"/>
                    <w:left w:val="single" w:sz="4" w:space="0" w:color="auto"/>
                    <w:bottom w:val="single" w:sz="4" w:space="0" w:color="auto"/>
                    <w:right w:val="single" w:sz="4" w:space="0" w:color="auto"/>
                  </w:tcBorders>
                </w:tcPr>
                <w:p w14:paraId="3E8C994A" w14:textId="77777777" w:rsidR="002C448D" w:rsidRPr="0013396E" w:rsidRDefault="002C448D" w:rsidP="002C448D">
                  <w:pPr>
                    <w:pStyle w:val="TableBody"/>
                  </w:pPr>
                  <w:r w:rsidRPr="0013396E">
                    <w:t>A QSE.</w:t>
                  </w:r>
                </w:p>
              </w:tc>
            </w:tr>
          </w:tbl>
          <w:p w14:paraId="12242CC0" w14:textId="77777777" w:rsidR="005C6D56" w:rsidRPr="0013396E" w:rsidRDefault="005C6D56" w:rsidP="00CE1011">
            <w:pPr>
              <w:pStyle w:val="H3"/>
            </w:pPr>
          </w:p>
        </w:tc>
      </w:tr>
    </w:tbl>
    <w:p w14:paraId="6A6907EF" w14:textId="77777777" w:rsidR="002C6FAE" w:rsidRPr="0013396E" w:rsidRDefault="002C6FAE" w:rsidP="002C6FAE">
      <w:pPr>
        <w:pStyle w:val="H3"/>
        <w:spacing w:before="0" w:after="0"/>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C6FAE" w:rsidRPr="0013396E" w14:paraId="668A6A12" w14:textId="77777777" w:rsidTr="00CE1011">
        <w:trPr>
          <w:trHeight w:val="206"/>
        </w:trPr>
        <w:tc>
          <w:tcPr>
            <w:tcW w:w="5000" w:type="pct"/>
            <w:shd w:val="pct12" w:color="auto" w:fill="auto"/>
          </w:tcPr>
          <w:p w14:paraId="5A6257E7" w14:textId="695B946E" w:rsidR="002C6FAE" w:rsidRPr="0013396E" w:rsidRDefault="002C6FAE" w:rsidP="00CE1011">
            <w:pPr>
              <w:pStyle w:val="Instructions"/>
              <w:spacing w:before="120"/>
            </w:pPr>
            <w:r w:rsidRPr="0013396E">
              <w:t>[NPRR885:  Insert Section 6.6.6.8 below upon system implementation:]</w:t>
            </w:r>
          </w:p>
          <w:p w14:paraId="09D33155" w14:textId="77777777" w:rsidR="002C6FAE" w:rsidRPr="0013396E" w:rsidRDefault="002C6FAE" w:rsidP="002C6FAE">
            <w:pPr>
              <w:keepNext/>
              <w:widowControl w:val="0"/>
              <w:tabs>
                <w:tab w:val="left" w:pos="1260"/>
              </w:tabs>
              <w:spacing w:before="240" w:after="240"/>
              <w:ind w:left="1260" w:hanging="1260"/>
              <w:outlineLvl w:val="3"/>
              <w:rPr>
                <w:b/>
                <w:bCs/>
                <w:snapToGrid w:val="0"/>
                <w:color w:val="000000"/>
              </w:rPr>
            </w:pPr>
            <w:bookmarkStart w:id="2011" w:name="_Toc17798755"/>
            <w:bookmarkStart w:id="2012" w:name="_Toc236220212"/>
            <w:r w:rsidRPr="0013396E">
              <w:rPr>
                <w:b/>
                <w:bCs/>
                <w:snapToGrid w:val="0"/>
                <w:color w:val="000000"/>
              </w:rPr>
              <w:t>6.6.6.8</w:t>
            </w:r>
            <w:r w:rsidRPr="0013396E">
              <w:rPr>
                <w:b/>
                <w:bCs/>
                <w:snapToGrid w:val="0"/>
                <w:color w:val="000000"/>
              </w:rPr>
              <w:tab/>
              <w:t>MRA Contributed Capital Expenditures Payment</w:t>
            </w:r>
            <w:bookmarkEnd w:id="2011"/>
            <w:bookmarkEnd w:id="2012"/>
          </w:p>
          <w:p w14:paraId="06183963" w14:textId="77777777" w:rsidR="002C6FAE" w:rsidRPr="0013396E" w:rsidRDefault="002C6FAE" w:rsidP="002C6FAE">
            <w:pPr>
              <w:pStyle w:val="BodyTextNumbered"/>
            </w:pPr>
            <w:r w:rsidRPr="0013396E">
              <w:t>(1)</w:t>
            </w:r>
            <w:r w:rsidRPr="0013396E">
              <w:tab/>
              <w:t xml:space="preserve">The contributed capital expenditure payment to each QSE for each MRA for each MRA Contracted Hour of each month is calculated as follows:  </w:t>
            </w:r>
          </w:p>
          <w:p w14:paraId="6A5E4495" w14:textId="77777777" w:rsidR="002C6FAE" w:rsidRPr="0013396E" w:rsidRDefault="002C6FAE" w:rsidP="002C6FAE">
            <w:pPr>
              <w:pStyle w:val="FormulaBold"/>
            </w:pPr>
            <w:r w:rsidRPr="0013396E">
              <w:t xml:space="preserve">MRACAPEXAMT </w:t>
            </w:r>
            <w:r w:rsidRPr="0013396E">
              <w:rPr>
                <w:i/>
                <w:vertAlign w:val="subscript"/>
              </w:rPr>
              <w:t xml:space="preserve">q, r  </w:t>
            </w:r>
            <w:r w:rsidRPr="0013396E">
              <w:t xml:space="preserve">=  (-1) * MRAMCAPEX </w:t>
            </w:r>
            <w:r w:rsidRPr="0013396E">
              <w:rPr>
                <w:i/>
                <w:vertAlign w:val="subscript"/>
              </w:rPr>
              <w:t xml:space="preserve">q, r, m </w:t>
            </w:r>
            <w:r w:rsidRPr="0013396E">
              <w:t xml:space="preserve">/ MH </w:t>
            </w:r>
            <w:r w:rsidRPr="0013396E">
              <w:rPr>
                <w:i/>
                <w:vertAlign w:val="subscript"/>
              </w:rPr>
              <w:t xml:space="preserve">q, r, m </w:t>
            </w:r>
          </w:p>
          <w:p w14:paraId="3D79FC1E" w14:textId="77777777" w:rsidR="002C6FAE" w:rsidRPr="0013396E" w:rsidRDefault="002C6FAE" w:rsidP="002C6FAE">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605"/>
              <w:gridCol w:w="6513"/>
            </w:tblGrid>
            <w:tr w:rsidR="000B2DD1" w:rsidRPr="0013396E" w14:paraId="5F062DF2" w14:textId="77777777" w:rsidTr="00CE1011">
              <w:trPr>
                <w:cantSplit/>
                <w:tblHeader/>
              </w:trPr>
              <w:tc>
                <w:tcPr>
                  <w:tcW w:w="1188" w:type="pct"/>
                </w:tcPr>
                <w:p w14:paraId="0BC9EBA2" w14:textId="77777777" w:rsidR="000B2DD1" w:rsidRPr="0013396E" w:rsidRDefault="000B2DD1" w:rsidP="000B2DD1">
                  <w:pPr>
                    <w:spacing w:after="120"/>
                    <w:rPr>
                      <w:b/>
                      <w:iCs/>
                      <w:sz w:val="20"/>
                    </w:rPr>
                  </w:pPr>
                  <w:r w:rsidRPr="0013396E">
                    <w:rPr>
                      <w:b/>
                      <w:iCs/>
                      <w:sz w:val="20"/>
                    </w:rPr>
                    <w:t>Variable</w:t>
                  </w:r>
                </w:p>
              </w:tc>
              <w:tc>
                <w:tcPr>
                  <w:tcW w:w="324" w:type="pct"/>
                </w:tcPr>
                <w:p w14:paraId="5C616C6F" w14:textId="77777777" w:rsidR="000B2DD1" w:rsidRPr="0013396E" w:rsidRDefault="000B2DD1" w:rsidP="000B2DD1">
                  <w:pPr>
                    <w:spacing w:after="120"/>
                    <w:rPr>
                      <w:b/>
                      <w:iCs/>
                      <w:sz w:val="20"/>
                    </w:rPr>
                  </w:pPr>
                  <w:r w:rsidRPr="0013396E">
                    <w:rPr>
                      <w:b/>
                      <w:iCs/>
                      <w:sz w:val="20"/>
                    </w:rPr>
                    <w:t>Unit</w:t>
                  </w:r>
                </w:p>
              </w:tc>
              <w:tc>
                <w:tcPr>
                  <w:tcW w:w="3488" w:type="pct"/>
                </w:tcPr>
                <w:p w14:paraId="2089BC36" w14:textId="77777777" w:rsidR="000B2DD1" w:rsidRPr="0013396E" w:rsidRDefault="000B2DD1" w:rsidP="000B2DD1">
                  <w:pPr>
                    <w:spacing w:after="120"/>
                    <w:rPr>
                      <w:b/>
                      <w:iCs/>
                      <w:sz w:val="20"/>
                    </w:rPr>
                  </w:pPr>
                  <w:r w:rsidRPr="0013396E">
                    <w:rPr>
                      <w:b/>
                      <w:iCs/>
                      <w:sz w:val="20"/>
                    </w:rPr>
                    <w:t>Definition</w:t>
                  </w:r>
                </w:p>
              </w:tc>
            </w:tr>
            <w:tr w:rsidR="000B2DD1" w:rsidRPr="0013396E" w14:paraId="3C3868D6" w14:textId="77777777" w:rsidTr="00CE1011">
              <w:trPr>
                <w:cantSplit/>
              </w:trPr>
              <w:tc>
                <w:tcPr>
                  <w:tcW w:w="1188" w:type="pct"/>
                </w:tcPr>
                <w:p w14:paraId="0B1D7DF3" w14:textId="77777777" w:rsidR="000B2DD1" w:rsidRPr="0013396E" w:rsidRDefault="000B2DD1" w:rsidP="000B2DD1">
                  <w:pPr>
                    <w:spacing w:after="60"/>
                    <w:rPr>
                      <w:iCs/>
                      <w:sz w:val="20"/>
                    </w:rPr>
                  </w:pPr>
                  <w:r w:rsidRPr="0013396E">
                    <w:rPr>
                      <w:sz w:val="20"/>
                    </w:rPr>
                    <w:t xml:space="preserve">MRACAPEXAMT </w:t>
                  </w:r>
                  <w:r w:rsidRPr="0013396E">
                    <w:rPr>
                      <w:i/>
                      <w:sz w:val="20"/>
                      <w:vertAlign w:val="subscript"/>
                    </w:rPr>
                    <w:t>q, r</w:t>
                  </w:r>
                </w:p>
              </w:tc>
              <w:tc>
                <w:tcPr>
                  <w:tcW w:w="324" w:type="pct"/>
                </w:tcPr>
                <w:p w14:paraId="05758F60" w14:textId="77777777" w:rsidR="000B2DD1" w:rsidRPr="0013396E" w:rsidRDefault="000B2DD1" w:rsidP="000B2DD1">
                  <w:pPr>
                    <w:spacing w:after="60"/>
                    <w:rPr>
                      <w:iCs/>
                      <w:sz w:val="20"/>
                    </w:rPr>
                  </w:pPr>
                  <w:r w:rsidRPr="0013396E">
                    <w:rPr>
                      <w:iCs/>
                      <w:sz w:val="20"/>
                    </w:rPr>
                    <w:t>$</w:t>
                  </w:r>
                </w:p>
              </w:tc>
              <w:tc>
                <w:tcPr>
                  <w:tcW w:w="3488" w:type="pct"/>
                </w:tcPr>
                <w:p w14:paraId="0A09FCEB" w14:textId="77777777" w:rsidR="000B2DD1" w:rsidRPr="0013396E" w:rsidRDefault="000B2DD1" w:rsidP="000B2DD1">
                  <w:pPr>
                    <w:spacing w:after="60"/>
                    <w:rPr>
                      <w:iCs/>
                      <w:sz w:val="20"/>
                    </w:rPr>
                  </w:pPr>
                  <w:r w:rsidRPr="0013396E">
                    <w:rPr>
                      <w:i/>
                      <w:iCs/>
                      <w:sz w:val="20"/>
                    </w:rPr>
                    <w:t>Must-Run Alternative Contributed Capital Expenditures Amount per QSE per Resource per hour</w:t>
                  </w:r>
                  <w:r w:rsidRPr="0013396E">
                    <w:rPr>
                      <w:sz w:val="20"/>
                    </w:rPr>
                    <w:t>—</w:t>
                  </w:r>
                  <w:r w:rsidRPr="0013396E">
                    <w:rPr>
                      <w:iCs/>
                      <w:sz w:val="20"/>
                    </w:rPr>
                    <w:t xml:space="preserve"> The total monthly contributed capital expenditure payment for MRA </w:t>
                  </w:r>
                  <w:r w:rsidRPr="0013396E">
                    <w:rPr>
                      <w:i/>
                      <w:iCs/>
                      <w:sz w:val="20"/>
                    </w:rPr>
                    <w:t xml:space="preserve">r </w:t>
                  </w:r>
                  <w:r w:rsidRPr="0013396E">
                    <w:rPr>
                      <w:iCs/>
                      <w:sz w:val="20"/>
                    </w:rPr>
                    <w:t xml:space="preserve">represented by QSE </w:t>
                  </w:r>
                  <w:r w:rsidRPr="0013396E">
                    <w:rPr>
                      <w:i/>
                      <w:iCs/>
                      <w:sz w:val="20"/>
                    </w:rPr>
                    <w:t>q</w:t>
                  </w:r>
                  <w:r w:rsidRPr="0013396E">
                    <w:rPr>
                      <w:iCs/>
                      <w:sz w:val="20"/>
                    </w:rPr>
                    <w:t xml:space="preserve">, allocated to each MRA Contracted Hour.  Where for a Combined Cycle Train, the Resource </w:t>
                  </w:r>
                  <w:r w:rsidRPr="0013396E">
                    <w:rPr>
                      <w:i/>
                      <w:iCs/>
                      <w:sz w:val="20"/>
                    </w:rPr>
                    <w:t xml:space="preserve">r </w:t>
                  </w:r>
                  <w:r w:rsidRPr="0013396E">
                    <w:rPr>
                      <w:iCs/>
                      <w:sz w:val="20"/>
                    </w:rPr>
                    <w:t>is a Combined Cycle Train.</w:t>
                  </w:r>
                </w:p>
              </w:tc>
            </w:tr>
            <w:tr w:rsidR="000B2DD1" w:rsidRPr="0013396E" w14:paraId="4A6152DB" w14:textId="77777777" w:rsidTr="00CE1011">
              <w:trPr>
                <w:cantSplit/>
              </w:trPr>
              <w:tc>
                <w:tcPr>
                  <w:tcW w:w="1188" w:type="pct"/>
                </w:tcPr>
                <w:p w14:paraId="5B1AACB0" w14:textId="77777777" w:rsidR="000B2DD1" w:rsidRPr="0013396E" w:rsidRDefault="000B2DD1" w:rsidP="000B2DD1">
                  <w:pPr>
                    <w:spacing w:after="60"/>
                    <w:rPr>
                      <w:iCs/>
                      <w:sz w:val="20"/>
                    </w:rPr>
                  </w:pPr>
                  <w:r w:rsidRPr="0013396E">
                    <w:rPr>
                      <w:sz w:val="20"/>
                    </w:rPr>
                    <w:t>MRAMCAPEX</w:t>
                  </w:r>
                  <w:r w:rsidRPr="0013396E">
                    <w:rPr>
                      <w:i/>
                      <w:sz w:val="20"/>
                      <w:vertAlign w:val="subscript"/>
                    </w:rPr>
                    <w:t xml:space="preserve"> q, r, m</w:t>
                  </w:r>
                </w:p>
              </w:tc>
              <w:tc>
                <w:tcPr>
                  <w:tcW w:w="324" w:type="pct"/>
                </w:tcPr>
                <w:p w14:paraId="295FB8B3" w14:textId="77777777" w:rsidR="000B2DD1" w:rsidRPr="0013396E" w:rsidRDefault="000B2DD1" w:rsidP="000B2DD1">
                  <w:pPr>
                    <w:spacing w:after="60"/>
                    <w:rPr>
                      <w:iCs/>
                      <w:sz w:val="20"/>
                    </w:rPr>
                  </w:pPr>
                  <w:r w:rsidRPr="0013396E">
                    <w:rPr>
                      <w:iCs/>
                      <w:sz w:val="20"/>
                    </w:rPr>
                    <w:t>$</w:t>
                  </w:r>
                </w:p>
              </w:tc>
              <w:tc>
                <w:tcPr>
                  <w:tcW w:w="3488" w:type="pct"/>
                </w:tcPr>
                <w:p w14:paraId="583D7FEC" w14:textId="77777777" w:rsidR="000B2DD1" w:rsidRPr="0013396E" w:rsidRDefault="000B2DD1" w:rsidP="000B2DD1">
                  <w:pPr>
                    <w:spacing w:after="60"/>
                    <w:rPr>
                      <w:iCs/>
                      <w:sz w:val="20"/>
                    </w:rPr>
                  </w:pPr>
                  <w:r w:rsidRPr="0013396E">
                    <w:rPr>
                      <w:i/>
                      <w:iCs/>
                      <w:sz w:val="20"/>
                    </w:rPr>
                    <w:t>Must-Run Alternative Monthly Contributed Capital Expenditures per QSE</w:t>
                  </w:r>
                  <w:r w:rsidRPr="0013396E">
                    <w:rPr>
                      <w:sz w:val="20"/>
                    </w:rPr>
                    <w:t>—</w:t>
                  </w:r>
                  <w:r w:rsidRPr="0013396E">
                    <w:rPr>
                      <w:iCs/>
                      <w:sz w:val="20"/>
                    </w:rPr>
                    <w:t xml:space="preserve"> The total monthly contributed capital expenditures for MRA </w:t>
                  </w:r>
                  <w:r w:rsidRPr="0013396E">
                    <w:rPr>
                      <w:i/>
                      <w:iCs/>
                      <w:sz w:val="20"/>
                    </w:rPr>
                    <w:t xml:space="preserve">r </w:t>
                  </w:r>
                  <w:r w:rsidRPr="0013396E">
                    <w:rPr>
                      <w:iCs/>
                      <w:sz w:val="20"/>
                    </w:rPr>
                    <w:t xml:space="preserve">represented by QSE </w:t>
                  </w:r>
                  <w:r w:rsidRPr="0013396E">
                    <w:rPr>
                      <w:i/>
                      <w:iCs/>
                      <w:sz w:val="20"/>
                    </w:rPr>
                    <w:t>q</w:t>
                  </w:r>
                  <w:r w:rsidRPr="0013396E">
                    <w:rPr>
                      <w:iCs/>
                      <w:sz w:val="20"/>
                    </w:rPr>
                    <w:t xml:space="preserve">.  Where for a Combined Cycle Train, the Resource </w:t>
                  </w:r>
                  <w:r w:rsidRPr="0013396E">
                    <w:rPr>
                      <w:i/>
                      <w:iCs/>
                      <w:sz w:val="20"/>
                    </w:rPr>
                    <w:t xml:space="preserve">r </w:t>
                  </w:r>
                  <w:r w:rsidRPr="0013396E">
                    <w:rPr>
                      <w:iCs/>
                      <w:sz w:val="20"/>
                    </w:rPr>
                    <w:t>is a Combined Cycle Train.</w:t>
                  </w:r>
                </w:p>
              </w:tc>
            </w:tr>
            <w:tr w:rsidR="000B2DD1" w:rsidRPr="0013396E" w14:paraId="3E69BEB4" w14:textId="77777777" w:rsidTr="00CE1011">
              <w:trPr>
                <w:cantSplit/>
              </w:trPr>
              <w:tc>
                <w:tcPr>
                  <w:tcW w:w="1188" w:type="pct"/>
                </w:tcPr>
                <w:p w14:paraId="12B47866" w14:textId="77777777" w:rsidR="000B2DD1" w:rsidRPr="0013396E" w:rsidRDefault="000B2DD1" w:rsidP="000B2DD1">
                  <w:pPr>
                    <w:spacing w:after="60"/>
                    <w:rPr>
                      <w:iCs/>
                      <w:sz w:val="20"/>
                    </w:rPr>
                  </w:pPr>
                  <w:r w:rsidRPr="0013396E">
                    <w:rPr>
                      <w:sz w:val="20"/>
                    </w:rPr>
                    <w:t xml:space="preserve">MH </w:t>
                  </w:r>
                  <w:r w:rsidRPr="0013396E">
                    <w:rPr>
                      <w:i/>
                      <w:sz w:val="20"/>
                      <w:vertAlign w:val="subscript"/>
                    </w:rPr>
                    <w:t>q, r, m</w:t>
                  </w:r>
                </w:p>
              </w:tc>
              <w:tc>
                <w:tcPr>
                  <w:tcW w:w="324" w:type="pct"/>
                </w:tcPr>
                <w:p w14:paraId="307B968E" w14:textId="77777777" w:rsidR="000B2DD1" w:rsidRPr="0013396E" w:rsidRDefault="000B2DD1" w:rsidP="000B2DD1">
                  <w:pPr>
                    <w:spacing w:after="60"/>
                    <w:rPr>
                      <w:iCs/>
                      <w:sz w:val="20"/>
                    </w:rPr>
                  </w:pPr>
                  <w:r w:rsidRPr="0013396E">
                    <w:rPr>
                      <w:sz w:val="20"/>
                    </w:rPr>
                    <w:t>hour</w:t>
                  </w:r>
                </w:p>
              </w:tc>
              <w:tc>
                <w:tcPr>
                  <w:tcW w:w="3488" w:type="pct"/>
                </w:tcPr>
                <w:p w14:paraId="104B9397" w14:textId="77777777" w:rsidR="000B2DD1" w:rsidRPr="0013396E" w:rsidRDefault="000B2DD1" w:rsidP="000B2DD1">
                  <w:pPr>
                    <w:spacing w:after="60"/>
                    <w:rPr>
                      <w:i/>
                      <w:iCs/>
                      <w:sz w:val="20"/>
                    </w:rPr>
                  </w:pPr>
                  <w:r w:rsidRPr="0013396E">
                    <w:rPr>
                      <w:i/>
                      <w:sz w:val="20"/>
                    </w:rPr>
                    <w:t>Number of Total Contracted Hours in the Month per QSE per Resource</w:t>
                  </w:r>
                  <w:r w:rsidRPr="0013396E">
                    <w:rPr>
                      <w:sz w:val="20"/>
                    </w:rPr>
                    <w:t xml:space="preserve">—The total number of MRA Contracted Hours in the MRA Contracted Month </w:t>
                  </w:r>
                  <w:r w:rsidRPr="0013396E">
                    <w:rPr>
                      <w:i/>
                      <w:sz w:val="20"/>
                    </w:rPr>
                    <w:t>m</w:t>
                  </w:r>
                  <w:r w:rsidRPr="0013396E">
                    <w:rPr>
                      <w:sz w:val="20"/>
                    </w:rPr>
                    <w:t xml:space="preserve"> for the MRA </w:t>
                  </w:r>
                  <w:r w:rsidRPr="0013396E">
                    <w:rPr>
                      <w:i/>
                      <w:sz w:val="20"/>
                    </w:rPr>
                    <w:t>r</w:t>
                  </w:r>
                  <w:r w:rsidRPr="0013396E">
                    <w:rPr>
                      <w:sz w:val="20"/>
                    </w:rPr>
                    <w:t xml:space="preserve"> </w:t>
                  </w:r>
                  <w:r w:rsidRPr="0013396E">
                    <w:rPr>
                      <w:iCs/>
                      <w:sz w:val="20"/>
                    </w:rPr>
                    <w:t xml:space="preserve">represented by QSE </w:t>
                  </w:r>
                  <w:r w:rsidRPr="0013396E">
                    <w:rPr>
                      <w:i/>
                      <w:iCs/>
                      <w:sz w:val="20"/>
                    </w:rPr>
                    <w:t>q</w:t>
                  </w:r>
                  <w:r w:rsidRPr="0013396E">
                    <w:rPr>
                      <w:sz w:val="20"/>
                    </w:rPr>
                    <w:t xml:space="preserve"> as indicated in the MRA Agreement.  Where for a Combined Cycle Train, the Resource </w:t>
                  </w:r>
                  <w:r w:rsidRPr="0013396E">
                    <w:rPr>
                      <w:i/>
                      <w:sz w:val="20"/>
                    </w:rPr>
                    <w:t xml:space="preserve">r </w:t>
                  </w:r>
                  <w:r w:rsidRPr="0013396E">
                    <w:rPr>
                      <w:sz w:val="20"/>
                    </w:rPr>
                    <w:t>is the Combined Cycle Train.</w:t>
                  </w:r>
                </w:p>
              </w:tc>
            </w:tr>
            <w:tr w:rsidR="000B2DD1" w:rsidRPr="0013396E" w14:paraId="56710D70" w14:textId="77777777" w:rsidTr="00CE1011">
              <w:trPr>
                <w:cantSplit/>
              </w:trPr>
              <w:tc>
                <w:tcPr>
                  <w:tcW w:w="1188" w:type="pct"/>
                  <w:tcBorders>
                    <w:top w:val="single" w:sz="4" w:space="0" w:color="auto"/>
                    <w:left w:val="single" w:sz="4" w:space="0" w:color="auto"/>
                    <w:bottom w:val="single" w:sz="4" w:space="0" w:color="auto"/>
                    <w:right w:val="single" w:sz="4" w:space="0" w:color="auto"/>
                  </w:tcBorders>
                </w:tcPr>
                <w:p w14:paraId="79C5D7BA" w14:textId="77777777" w:rsidR="000B2DD1" w:rsidRPr="0013396E" w:rsidRDefault="000B2DD1" w:rsidP="000B2DD1">
                  <w:pPr>
                    <w:spacing w:after="60"/>
                    <w:rPr>
                      <w:i/>
                      <w:iCs/>
                      <w:sz w:val="20"/>
                    </w:rPr>
                  </w:pPr>
                  <w:r w:rsidRPr="0013396E">
                    <w:rPr>
                      <w:i/>
                      <w:iCs/>
                      <w:sz w:val="20"/>
                    </w:rPr>
                    <w:t>q</w:t>
                  </w:r>
                </w:p>
              </w:tc>
              <w:tc>
                <w:tcPr>
                  <w:tcW w:w="324" w:type="pct"/>
                  <w:tcBorders>
                    <w:top w:val="single" w:sz="4" w:space="0" w:color="auto"/>
                    <w:left w:val="single" w:sz="4" w:space="0" w:color="auto"/>
                    <w:bottom w:val="single" w:sz="4" w:space="0" w:color="auto"/>
                    <w:right w:val="single" w:sz="4" w:space="0" w:color="auto"/>
                  </w:tcBorders>
                </w:tcPr>
                <w:p w14:paraId="35F200B1" w14:textId="77777777" w:rsidR="000B2DD1" w:rsidRPr="0013396E" w:rsidRDefault="000B2DD1" w:rsidP="000B2DD1">
                  <w:pPr>
                    <w:spacing w:after="60"/>
                    <w:rPr>
                      <w:iCs/>
                      <w:sz w:val="20"/>
                    </w:rPr>
                  </w:pPr>
                  <w:r w:rsidRPr="0013396E">
                    <w:rPr>
                      <w:iCs/>
                      <w:sz w:val="20"/>
                    </w:rPr>
                    <w:t>none</w:t>
                  </w:r>
                </w:p>
              </w:tc>
              <w:tc>
                <w:tcPr>
                  <w:tcW w:w="3488" w:type="pct"/>
                  <w:tcBorders>
                    <w:top w:val="single" w:sz="4" w:space="0" w:color="auto"/>
                    <w:left w:val="single" w:sz="4" w:space="0" w:color="auto"/>
                    <w:bottom w:val="single" w:sz="4" w:space="0" w:color="auto"/>
                    <w:right w:val="single" w:sz="4" w:space="0" w:color="auto"/>
                  </w:tcBorders>
                </w:tcPr>
                <w:p w14:paraId="20116589" w14:textId="77777777" w:rsidR="000B2DD1" w:rsidRPr="0013396E" w:rsidRDefault="000B2DD1" w:rsidP="000B2DD1">
                  <w:pPr>
                    <w:spacing w:after="60"/>
                    <w:rPr>
                      <w:iCs/>
                      <w:sz w:val="20"/>
                    </w:rPr>
                  </w:pPr>
                  <w:r w:rsidRPr="0013396E">
                    <w:rPr>
                      <w:iCs/>
                      <w:sz w:val="20"/>
                    </w:rPr>
                    <w:t>A QSE.</w:t>
                  </w:r>
                </w:p>
              </w:tc>
            </w:tr>
            <w:tr w:rsidR="000B2DD1" w:rsidRPr="0013396E" w14:paraId="29473799" w14:textId="77777777" w:rsidTr="00CE1011">
              <w:trPr>
                <w:cantSplit/>
              </w:trPr>
              <w:tc>
                <w:tcPr>
                  <w:tcW w:w="1188" w:type="pct"/>
                  <w:tcBorders>
                    <w:top w:val="single" w:sz="4" w:space="0" w:color="auto"/>
                    <w:left w:val="single" w:sz="4" w:space="0" w:color="auto"/>
                    <w:bottom w:val="single" w:sz="4" w:space="0" w:color="auto"/>
                    <w:right w:val="single" w:sz="4" w:space="0" w:color="auto"/>
                  </w:tcBorders>
                </w:tcPr>
                <w:p w14:paraId="4A1D6544" w14:textId="77777777" w:rsidR="000B2DD1" w:rsidRPr="0013396E" w:rsidRDefault="000B2DD1" w:rsidP="000B2DD1">
                  <w:pPr>
                    <w:spacing w:after="60"/>
                    <w:rPr>
                      <w:i/>
                      <w:iCs/>
                      <w:sz w:val="20"/>
                    </w:rPr>
                  </w:pPr>
                  <w:r w:rsidRPr="0013396E">
                    <w:rPr>
                      <w:i/>
                      <w:iCs/>
                      <w:sz w:val="20"/>
                    </w:rPr>
                    <w:t>r</w:t>
                  </w:r>
                </w:p>
              </w:tc>
              <w:tc>
                <w:tcPr>
                  <w:tcW w:w="324" w:type="pct"/>
                  <w:tcBorders>
                    <w:top w:val="single" w:sz="4" w:space="0" w:color="auto"/>
                    <w:left w:val="single" w:sz="4" w:space="0" w:color="auto"/>
                    <w:bottom w:val="single" w:sz="4" w:space="0" w:color="auto"/>
                    <w:right w:val="single" w:sz="4" w:space="0" w:color="auto"/>
                  </w:tcBorders>
                </w:tcPr>
                <w:p w14:paraId="64C2CAE7" w14:textId="77777777" w:rsidR="000B2DD1" w:rsidRPr="0013396E" w:rsidRDefault="000B2DD1" w:rsidP="000B2DD1">
                  <w:pPr>
                    <w:spacing w:after="60"/>
                    <w:rPr>
                      <w:iCs/>
                      <w:sz w:val="20"/>
                    </w:rPr>
                  </w:pPr>
                  <w:r w:rsidRPr="0013396E">
                    <w:rPr>
                      <w:iCs/>
                      <w:sz w:val="20"/>
                    </w:rPr>
                    <w:t>none</w:t>
                  </w:r>
                </w:p>
              </w:tc>
              <w:tc>
                <w:tcPr>
                  <w:tcW w:w="3488" w:type="pct"/>
                  <w:tcBorders>
                    <w:top w:val="single" w:sz="4" w:space="0" w:color="auto"/>
                    <w:left w:val="single" w:sz="4" w:space="0" w:color="auto"/>
                    <w:bottom w:val="single" w:sz="4" w:space="0" w:color="auto"/>
                    <w:right w:val="single" w:sz="4" w:space="0" w:color="auto"/>
                  </w:tcBorders>
                </w:tcPr>
                <w:p w14:paraId="1FEEDAA9" w14:textId="77777777" w:rsidR="000B2DD1" w:rsidRPr="0013396E" w:rsidRDefault="000B2DD1" w:rsidP="000B2DD1">
                  <w:pPr>
                    <w:spacing w:after="60"/>
                    <w:rPr>
                      <w:iCs/>
                      <w:sz w:val="20"/>
                    </w:rPr>
                  </w:pPr>
                  <w:r w:rsidRPr="0013396E">
                    <w:rPr>
                      <w:iCs/>
                      <w:sz w:val="20"/>
                    </w:rPr>
                    <w:t>An MRA.</w:t>
                  </w:r>
                </w:p>
              </w:tc>
            </w:tr>
            <w:tr w:rsidR="000B2DD1" w:rsidRPr="0013396E" w14:paraId="7E0D287B" w14:textId="77777777" w:rsidTr="00CE1011">
              <w:trPr>
                <w:cantSplit/>
              </w:trPr>
              <w:tc>
                <w:tcPr>
                  <w:tcW w:w="1188" w:type="pct"/>
                  <w:tcBorders>
                    <w:top w:val="single" w:sz="4" w:space="0" w:color="auto"/>
                    <w:left w:val="single" w:sz="4" w:space="0" w:color="auto"/>
                    <w:bottom w:val="single" w:sz="4" w:space="0" w:color="auto"/>
                    <w:right w:val="single" w:sz="4" w:space="0" w:color="auto"/>
                  </w:tcBorders>
                </w:tcPr>
                <w:p w14:paraId="2C2CB6E2" w14:textId="77777777" w:rsidR="000B2DD1" w:rsidRPr="0013396E" w:rsidRDefault="000B2DD1" w:rsidP="000B2DD1">
                  <w:pPr>
                    <w:spacing w:after="60"/>
                    <w:rPr>
                      <w:i/>
                      <w:iCs/>
                      <w:sz w:val="20"/>
                    </w:rPr>
                  </w:pPr>
                  <w:r w:rsidRPr="0013396E">
                    <w:rPr>
                      <w:i/>
                      <w:iCs/>
                      <w:sz w:val="20"/>
                    </w:rPr>
                    <w:t>m</w:t>
                  </w:r>
                </w:p>
              </w:tc>
              <w:tc>
                <w:tcPr>
                  <w:tcW w:w="324" w:type="pct"/>
                  <w:tcBorders>
                    <w:top w:val="single" w:sz="4" w:space="0" w:color="auto"/>
                    <w:left w:val="single" w:sz="4" w:space="0" w:color="auto"/>
                    <w:bottom w:val="single" w:sz="4" w:space="0" w:color="auto"/>
                    <w:right w:val="single" w:sz="4" w:space="0" w:color="auto"/>
                  </w:tcBorders>
                </w:tcPr>
                <w:p w14:paraId="4A70CED2" w14:textId="77777777" w:rsidR="000B2DD1" w:rsidRPr="0013396E" w:rsidRDefault="000B2DD1" w:rsidP="000B2DD1">
                  <w:pPr>
                    <w:spacing w:after="60"/>
                    <w:rPr>
                      <w:iCs/>
                      <w:sz w:val="20"/>
                    </w:rPr>
                  </w:pPr>
                  <w:r w:rsidRPr="0013396E">
                    <w:rPr>
                      <w:iCs/>
                      <w:sz w:val="20"/>
                    </w:rPr>
                    <w:t>none</w:t>
                  </w:r>
                </w:p>
              </w:tc>
              <w:tc>
                <w:tcPr>
                  <w:tcW w:w="3488" w:type="pct"/>
                  <w:tcBorders>
                    <w:top w:val="single" w:sz="4" w:space="0" w:color="auto"/>
                    <w:left w:val="single" w:sz="4" w:space="0" w:color="auto"/>
                    <w:bottom w:val="single" w:sz="4" w:space="0" w:color="auto"/>
                    <w:right w:val="single" w:sz="4" w:space="0" w:color="auto"/>
                  </w:tcBorders>
                </w:tcPr>
                <w:p w14:paraId="64BB3C82" w14:textId="77777777" w:rsidR="000B2DD1" w:rsidRPr="0013396E" w:rsidRDefault="000B2DD1" w:rsidP="000B2DD1">
                  <w:pPr>
                    <w:spacing w:after="60"/>
                    <w:rPr>
                      <w:iCs/>
                      <w:sz w:val="20"/>
                    </w:rPr>
                  </w:pPr>
                  <w:r w:rsidRPr="0013396E">
                    <w:rPr>
                      <w:iCs/>
                      <w:sz w:val="20"/>
                    </w:rPr>
                    <w:t>An MRA Contracted Month under the MRA Agreement.</w:t>
                  </w:r>
                </w:p>
              </w:tc>
            </w:tr>
          </w:tbl>
          <w:p w14:paraId="59D6EE0B" w14:textId="77777777" w:rsidR="000B2DD1" w:rsidRPr="0013396E" w:rsidRDefault="000B2DD1" w:rsidP="000B2DD1">
            <w:pPr>
              <w:pStyle w:val="BodyTextNumbered"/>
              <w:spacing w:before="240"/>
            </w:pPr>
            <w:r w:rsidRPr="0013396E">
              <w:t>(2)</w:t>
            </w:r>
            <w:r w:rsidRPr="0013396E">
              <w:tab/>
              <w:t>The total of the contributed capital expenditure payments for all MRAs represented by the QSE for a given hour is calculated as follows:</w:t>
            </w:r>
          </w:p>
          <w:p w14:paraId="25770379" w14:textId="77777777" w:rsidR="000B2DD1" w:rsidRPr="0013396E" w:rsidRDefault="000B2DD1" w:rsidP="000B2DD1">
            <w:pPr>
              <w:pStyle w:val="FormulaBold"/>
            </w:pPr>
            <w:r w:rsidRPr="0013396E">
              <w:t>MRACAPEXAMTQSETOT</w:t>
            </w:r>
            <w:r w:rsidRPr="0013396E">
              <w:rPr>
                <w:i/>
                <w:vertAlign w:val="subscript"/>
              </w:rPr>
              <w:t xml:space="preserve"> q</w:t>
            </w:r>
            <w:r w:rsidRPr="0013396E" w:rsidDel="003977DD">
              <w:rPr>
                <w:vertAlign w:val="subscript"/>
              </w:rPr>
              <w:t xml:space="preserve"> </w:t>
            </w:r>
            <w:r w:rsidRPr="0013396E">
              <w:t xml:space="preserve">  =  </w:t>
            </w:r>
            <w:r w:rsidRPr="0013396E">
              <w:rPr>
                <w:position w:val="-18"/>
              </w:rPr>
              <w:object w:dxaOrig="225" w:dyaOrig="420" w14:anchorId="19B28EB0">
                <v:shape id="_x0000_i1183" type="#_x0000_t75" style="width:12pt;height:24pt" o:ole="">
                  <v:imagedata r:id="rId201" o:title=""/>
                </v:shape>
                <o:OLEObject Type="Embed" ProgID="Equation.3" ShapeID="_x0000_i1183" DrawAspect="Content" ObjectID="_1849065813" r:id="rId234"/>
              </w:object>
            </w:r>
            <w:r w:rsidRPr="0013396E">
              <w:t xml:space="preserve">MRACAPEXAMT </w:t>
            </w:r>
            <w:r w:rsidRPr="0013396E">
              <w:rPr>
                <w:i/>
                <w:vertAlign w:val="subscript"/>
              </w:rPr>
              <w:t xml:space="preserve">q, r  </w:t>
            </w:r>
          </w:p>
          <w:p w14:paraId="61CD0CE0" w14:textId="77777777" w:rsidR="000B2DD1" w:rsidRPr="0013396E" w:rsidRDefault="000B2DD1" w:rsidP="000B2DD1">
            <w:r w:rsidRPr="0013396E">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29"/>
              <w:gridCol w:w="6016"/>
            </w:tblGrid>
            <w:tr w:rsidR="0092766A" w:rsidRPr="0013396E" w14:paraId="4F2E4518" w14:textId="77777777" w:rsidTr="00CE1011">
              <w:trPr>
                <w:cantSplit/>
                <w:tblHeader/>
              </w:trPr>
              <w:tc>
                <w:tcPr>
                  <w:tcW w:w="1441" w:type="pct"/>
                </w:tcPr>
                <w:p w14:paraId="1273D800" w14:textId="77777777" w:rsidR="0092766A" w:rsidRPr="0013396E" w:rsidRDefault="0092766A" w:rsidP="0092766A">
                  <w:pPr>
                    <w:pStyle w:val="TableHead"/>
                  </w:pPr>
                  <w:r w:rsidRPr="0013396E">
                    <w:t>Variable</w:t>
                  </w:r>
                </w:p>
              </w:tc>
              <w:tc>
                <w:tcPr>
                  <w:tcW w:w="337" w:type="pct"/>
                </w:tcPr>
                <w:p w14:paraId="01323DB0" w14:textId="77777777" w:rsidR="0092766A" w:rsidRPr="0013396E" w:rsidRDefault="0092766A" w:rsidP="0092766A">
                  <w:pPr>
                    <w:pStyle w:val="TableHead"/>
                  </w:pPr>
                  <w:r w:rsidRPr="0013396E">
                    <w:t>Unit</w:t>
                  </w:r>
                </w:p>
              </w:tc>
              <w:tc>
                <w:tcPr>
                  <w:tcW w:w="3222" w:type="pct"/>
                </w:tcPr>
                <w:p w14:paraId="7F753990" w14:textId="77777777" w:rsidR="0092766A" w:rsidRPr="0013396E" w:rsidRDefault="0092766A" w:rsidP="0092766A">
                  <w:pPr>
                    <w:pStyle w:val="TableHead"/>
                  </w:pPr>
                  <w:r w:rsidRPr="0013396E">
                    <w:t>Definition</w:t>
                  </w:r>
                </w:p>
              </w:tc>
            </w:tr>
            <w:tr w:rsidR="0092766A" w:rsidRPr="0013396E" w14:paraId="2C090BEC" w14:textId="77777777" w:rsidTr="00CE1011">
              <w:trPr>
                <w:cantSplit/>
              </w:trPr>
              <w:tc>
                <w:tcPr>
                  <w:tcW w:w="1441" w:type="pct"/>
                </w:tcPr>
                <w:p w14:paraId="3D1D91CB" w14:textId="77777777" w:rsidR="0092766A" w:rsidRPr="0013396E" w:rsidRDefault="0092766A" w:rsidP="0092766A">
                  <w:pPr>
                    <w:pStyle w:val="TableBody"/>
                  </w:pPr>
                  <w:r w:rsidRPr="0013396E">
                    <w:t xml:space="preserve">MRACAPEXAMTQSETOT </w:t>
                  </w:r>
                  <w:r w:rsidRPr="0013396E">
                    <w:rPr>
                      <w:i/>
                      <w:vertAlign w:val="subscript"/>
                    </w:rPr>
                    <w:t>q</w:t>
                  </w:r>
                  <w:r w:rsidRPr="0013396E">
                    <w:t xml:space="preserve">  </w:t>
                  </w:r>
                </w:p>
              </w:tc>
              <w:tc>
                <w:tcPr>
                  <w:tcW w:w="337" w:type="pct"/>
                </w:tcPr>
                <w:p w14:paraId="326EFE0D" w14:textId="77777777" w:rsidR="0092766A" w:rsidRPr="0013396E" w:rsidRDefault="0092766A" w:rsidP="0092766A">
                  <w:pPr>
                    <w:pStyle w:val="TableBody"/>
                  </w:pPr>
                  <w:r w:rsidRPr="0013396E">
                    <w:t>$</w:t>
                  </w:r>
                </w:p>
              </w:tc>
              <w:tc>
                <w:tcPr>
                  <w:tcW w:w="3222" w:type="pct"/>
                </w:tcPr>
                <w:p w14:paraId="67150260" w14:textId="77777777" w:rsidR="0092766A" w:rsidRPr="0013396E" w:rsidRDefault="0092766A" w:rsidP="0092766A">
                  <w:pPr>
                    <w:pStyle w:val="TableBody"/>
                  </w:pPr>
                  <w:r w:rsidRPr="0013396E">
                    <w:rPr>
                      <w:i/>
                      <w:iCs w:val="0"/>
                    </w:rPr>
                    <w:t xml:space="preserve">Must-Run Alternative Contributed Capital Expenditures per QSE per hour </w:t>
                  </w:r>
                  <w:r w:rsidRPr="0013396E">
                    <w:rPr>
                      <w:iCs w:val="0"/>
                    </w:rPr>
                    <w:t xml:space="preserve">– </w:t>
                  </w:r>
                  <w:r w:rsidRPr="0013396E">
                    <w:t xml:space="preserve">The total </w:t>
                  </w:r>
                  <w:r w:rsidRPr="0013396E">
                    <w:rPr>
                      <w:iCs w:val="0"/>
                    </w:rPr>
                    <w:t xml:space="preserve">contributed capital expenditures for all </w:t>
                  </w:r>
                  <w:r w:rsidRPr="0013396E">
                    <w:t xml:space="preserve">MRAs </w:t>
                  </w:r>
                  <w:r w:rsidRPr="0013396E">
                    <w:rPr>
                      <w:i/>
                    </w:rPr>
                    <w:t xml:space="preserve">r </w:t>
                  </w:r>
                  <w:r w:rsidRPr="0013396E">
                    <w:t xml:space="preserve">represented by QSE </w:t>
                  </w:r>
                  <w:r w:rsidRPr="0013396E">
                    <w:rPr>
                      <w:i/>
                    </w:rPr>
                    <w:t>q</w:t>
                  </w:r>
                  <w:r w:rsidRPr="0013396E">
                    <w:t xml:space="preserve"> for the MRA Contracted Hour. </w:t>
                  </w:r>
                </w:p>
              </w:tc>
            </w:tr>
            <w:tr w:rsidR="0092766A" w:rsidRPr="0013396E" w14:paraId="5D177086" w14:textId="77777777" w:rsidTr="00CE1011">
              <w:trPr>
                <w:cantSplit/>
              </w:trPr>
              <w:tc>
                <w:tcPr>
                  <w:tcW w:w="1441" w:type="pct"/>
                </w:tcPr>
                <w:p w14:paraId="721B178D" w14:textId="77777777" w:rsidR="0092766A" w:rsidRPr="0013396E" w:rsidRDefault="0092766A" w:rsidP="0092766A">
                  <w:pPr>
                    <w:pStyle w:val="TableBody"/>
                  </w:pPr>
                  <w:r w:rsidRPr="0013396E">
                    <w:t xml:space="preserve">MRACAPEXAMT </w:t>
                  </w:r>
                  <w:r w:rsidRPr="0013396E">
                    <w:rPr>
                      <w:i/>
                      <w:vertAlign w:val="subscript"/>
                    </w:rPr>
                    <w:t xml:space="preserve">q, r  </w:t>
                  </w:r>
                </w:p>
              </w:tc>
              <w:tc>
                <w:tcPr>
                  <w:tcW w:w="337" w:type="pct"/>
                </w:tcPr>
                <w:p w14:paraId="14636C9E" w14:textId="77777777" w:rsidR="0092766A" w:rsidRPr="0013396E" w:rsidRDefault="0092766A" w:rsidP="0092766A">
                  <w:pPr>
                    <w:pStyle w:val="TableBody"/>
                  </w:pPr>
                  <w:r w:rsidRPr="0013396E">
                    <w:t>$</w:t>
                  </w:r>
                </w:p>
              </w:tc>
              <w:tc>
                <w:tcPr>
                  <w:tcW w:w="3222" w:type="pct"/>
                </w:tcPr>
                <w:p w14:paraId="454AAE8F" w14:textId="77777777" w:rsidR="0092766A" w:rsidRPr="0013396E" w:rsidRDefault="0092766A" w:rsidP="0092766A">
                  <w:pPr>
                    <w:pStyle w:val="TableBody"/>
                  </w:pPr>
                  <w:r w:rsidRPr="0013396E">
                    <w:rPr>
                      <w:i/>
                      <w:iCs w:val="0"/>
                    </w:rPr>
                    <w:t xml:space="preserve">Must-Run Alternative Contributed Capital Expenditures Amount per QSE per Resource </w:t>
                  </w:r>
                  <w:r w:rsidRPr="0013396E">
                    <w:rPr>
                      <w:iCs w:val="0"/>
                    </w:rPr>
                    <w:t xml:space="preserve">– </w:t>
                  </w:r>
                  <w:r w:rsidRPr="0013396E">
                    <w:t xml:space="preserve">The total </w:t>
                  </w:r>
                  <w:r w:rsidRPr="0013396E">
                    <w:rPr>
                      <w:iCs w:val="0"/>
                    </w:rPr>
                    <w:t xml:space="preserve">monthly contributed capital expenditure payment </w:t>
                  </w:r>
                  <w:r w:rsidRPr="0013396E">
                    <w:t xml:space="preserve">for MRA </w:t>
                  </w:r>
                  <w:r w:rsidRPr="0013396E">
                    <w:rPr>
                      <w:i/>
                    </w:rPr>
                    <w:t xml:space="preserve">r </w:t>
                  </w:r>
                  <w:r w:rsidRPr="0013396E">
                    <w:t>represented by QSE q</w:t>
                  </w:r>
                  <w:r w:rsidRPr="0013396E">
                    <w:rPr>
                      <w:iCs w:val="0"/>
                    </w:rPr>
                    <w:t>, allocated to each MRA Contracted Hour</w:t>
                  </w:r>
                  <w:r w:rsidRPr="0013396E">
                    <w:t xml:space="preserve">.  Where for a Combined Cycle Train, the Resource </w:t>
                  </w:r>
                  <w:r w:rsidRPr="0013396E">
                    <w:rPr>
                      <w:i/>
                    </w:rPr>
                    <w:t xml:space="preserve">r </w:t>
                  </w:r>
                  <w:r w:rsidRPr="0013396E">
                    <w:t>is a Combined Cycle Train.</w:t>
                  </w:r>
                </w:p>
              </w:tc>
            </w:tr>
            <w:tr w:rsidR="0092766A" w:rsidRPr="0013396E" w14:paraId="0D295E4E" w14:textId="77777777" w:rsidTr="00CE1011">
              <w:trPr>
                <w:cantSplit/>
              </w:trPr>
              <w:tc>
                <w:tcPr>
                  <w:tcW w:w="1441" w:type="pct"/>
                  <w:tcBorders>
                    <w:top w:val="single" w:sz="4" w:space="0" w:color="auto"/>
                    <w:left w:val="single" w:sz="4" w:space="0" w:color="auto"/>
                    <w:bottom w:val="single" w:sz="4" w:space="0" w:color="auto"/>
                    <w:right w:val="single" w:sz="4" w:space="0" w:color="auto"/>
                  </w:tcBorders>
                </w:tcPr>
                <w:p w14:paraId="6744B6F1" w14:textId="77777777" w:rsidR="0092766A" w:rsidRPr="0013396E" w:rsidRDefault="0092766A" w:rsidP="0092766A">
                  <w:pPr>
                    <w:pStyle w:val="TableBody"/>
                    <w:rPr>
                      <w:i/>
                    </w:rPr>
                  </w:pPr>
                  <w:r w:rsidRPr="0013396E">
                    <w:rPr>
                      <w:i/>
                    </w:rPr>
                    <w:t>q</w:t>
                  </w:r>
                </w:p>
              </w:tc>
              <w:tc>
                <w:tcPr>
                  <w:tcW w:w="337" w:type="pct"/>
                  <w:tcBorders>
                    <w:top w:val="single" w:sz="4" w:space="0" w:color="auto"/>
                    <w:left w:val="single" w:sz="4" w:space="0" w:color="auto"/>
                    <w:bottom w:val="single" w:sz="4" w:space="0" w:color="auto"/>
                    <w:right w:val="single" w:sz="4" w:space="0" w:color="auto"/>
                  </w:tcBorders>
                </w:tcPr>
                <w:p w14:paraId="522B3BD4" w14:textId="77777777" w:rsidR="0092766A" w:rsidRPr="0013396E" w:rsidRDefault="0092766A" w:rsidP="0092766A">
                  <w:pPr>
                    <w:pStyle w:val="TableBody"/>
                  </w:pPr>
                  <w:r w:rsidRPr="0013396E">
                    <w:t>none</w:t>
                  </w:r>
                </w:p>
              </w:tc>
              <w:tc>
                <w:tcPr>
                  <w:tcW w:w="3222" w:type="pct"/>
                  <w:tcBorders>
                    <w:top w:val="single" w:sz="4" w:space="0" w:color="auto"/>
                    <w:left w:val="single" w:sz="4" w:space="0" w:color="auto"/>
                    <w:bottom w:val="single" w:sz="4" w:space="0" w:color="auto"/>
                    <w:right w:val="single" w:sz="4" w:space="0" w:color="auto"/>
                  </w:tcBorders>
                </w:tcPr>
                <w:p w14:paraId="5FA30CA7" w14:textId="77777777" w:rsidR="0092766A" w:rsidRPr="0013396E" w:rsidRDefault="0092766A" w:rsidP="0092766A">
                  <w:pPr>
                    <w:pStyle w:val="TableBody"/>
                  </w:pPr>
                  <w:r w:rsidRPr="0013396E">
                    <w:t>A QSE.</w:t>
                  </w:r>
                </w:p>
              </w:tc>
            </w:tr>
            <w:tr w:rsidR="0092766A" w:rsidRPr="0013396E" w14:paraId="24F26E40" w14:textId="77777777" w:rsidTr="00CE1011">
              <w:trPr>
                <w:cantSplit/>
              </w:trPr>
              <w:tc>
                <w:tcPr>
                  <w:tcW w:w="1441" w:type="pct"/>
                  <w:tcBorders>
                    <w:top w:val="single" w:sz="4" w:space="0" w:color="auto"/>
                    <w:left w:val="single" w:sz="4" w:space="0" w:color="auto"/>
                    <w:bottom w:val="single" w:sz="4" w:space="0" w:color="auto"/>
                    <w:right w:val="single" w:sz="4" w:space="0" w:color="auto"/>
                  </w:tcBorders>
                </w:tcPr>
                <w:p w14:paraId="07137E94" w14:textId="77777777" w:rsidR="0092766A" w:rsidRPr="0013396E" w:rsidRDefault="0092766A" w:rsidP="0092766A">
                  <w:pPr>
                    <w:pStyle w:val="TableBody"/>
                    <w:rPr>
                      <w:i/>
                    </w:rPr>
                  </w:pPr>
                  <w:r w:rsidRPr="0013396E">
                    <w:rPr>
                      <w:i/>
                    </w:rPr>
                    <w:t>r</w:t>
                  </w:r>
                </w:p>
              </w:tc>
              <w:tc>
                <w:tcPr>
                  <w:tcW w:w="337" w:type="pct"/>
                  <w:tcBorders>
                    <w:top w:val="single" w:sz="4" w:space="0" w:color="auto"/>
                    <w:left w:val="single" w:sz="4" w:space="0" w:color="auto"/>
                    <w:bottom w:val="single" w:sz="4" w:space="0" w:color="auto"/>
                    <w:right w:val="single" w:sz="4" w:space="0" w:color="auto"/>
                  </w:tcBorders>
                </w:tcPr>
                <w:p w14:paraId="11EB95A3" w14:textId="77777777" w:rsidR="0092766A" w:rsidRPr="0013396E" w:rsidRDefault="0092766A" w:rsidP="0092766A">
                  <w:pPr>
                    <w:pStyle w:val="TableBody"/>
                  </w:pPr>
                  <w:r w:rsidRPr="0013396E">
                    <w:t>none</w:t>
                  </w:r>
                </w:p>
              </w:tc>
              <w:tc>
                <w:tcPr>
                  <w:tcW w:w="3222" w:type="pct"/>
                  <w:tcBorders>
                    <w:top w:val="single" w:sz="4" w:space="0" w:color="auto"/>
                    <w:left w:val="single" w:sz="4" w:space="0" w:color="auto"/>
                    <w:bottom w:val="single" w:sz="4" w:space="0" w:color="auto"/>
                    <w:right w:val="single" w:sz="4" w:space="0" w:color="auto"/>
                  </w:tcBorders>
                </w:tcPr>
                <w:p w14:paraId="15D84597" w14:textId="77777777" w:rsidR="0092766A" w:rsidRPr="0013396E" w:rsidRDefault="0092766A" w:rsidP="0092766A">
                  <w:pPr>
                    <w:pStyle w:val="TableBody"/>
                  </w:pPr>
                  <w:r w:rsidRPr="0013396E">
                    <w:t>An MRA.</w:t>
                  </w:r>
                </w:p>
              </w:tc>
            </w:tr>
          </w:tbl>
          <w:p w14:paraId="037C502A" w14:textId="77777777" w:rsidR="0092766A" w:rsidRPr="0013396E" w:rsidRDefault="0092766A" w:rsidP="0092766A">
            <w:pPr>
              <w:pStyle w:val="BodyTextNumbered"/>
              <w:spacing w:before="240"/>
            </w:pPr>
            <w:r w:rsidRPr="0013396E">
              <w:t>(3)</w:t>
            </w:r>
            <w:r w:rsidRPr="0013396E">
              <w:tab/>
              <w:t>The total contributed capital expenditure payments for a given MRA Contracted Hour is calculated as follows:</w:t>
            </w:r>
          </w:p>
          <w:p w14:paraId="531C169A" w14:textId="77777777" w:rsidR="0092766A" w:rsidRPr="0013396E" w:rsidRDefault="0092766A" w:rsidP="0092766A">
            <w:pPr>
              <w:pStyle w:val="FormulaBold"/>
            </w:pPr>
            <w:r w:rsidRPr="0013396E">
              <w:t xml:space="preserve">MRACAPEXAMTTOT  =  </w:t>
            </w:r>
            <w:r w:rsidRPr="0013396E">
              <w:rPr>
                <w:position w:val="-22"/>
              </w:rPr>
              <w:object w:dxaOrig="210" w:dyaOrig="465" w14:anchorId="7218A8D0">
                <v:shape id="_x0000_i1184" type="#_x0000_t75" style="width:6pt;height:24pt" o:ole="">
                  <v:imagedata r:id="rId157" o:title=""/>
                </v:shape>
                <o:OLEObject Type="Embed" ProgID="Equation.3" ShapeID="_x0000_i1184" DrawAspect="Content" ObjectID="_1849065814" r:id="rId235"/>
              </w:object>
            </w:r>
            <w:r w:rsidRPr="0013396E">
              <w:t xml:space="preserve"> MRACAPEXAMTQSETOT </w:t>
            </w:r>
            <w:r w:rsidRPr="0013396E">
              <w:rPr>
                <w:i/>
                <w:vertAlign w:val="subscript"/>
              </w:rPr>
              <w:t xml:space="preserve">q  </w:t>
            </w:r>
          </w:p>
          <w:p w14:paraId="779BE663" w14:textId="77777777" w:rsidR="0092766A" w:rsidRPr="0013396E" w:rsidRDefault="0092766A" w:rsidP="0092766A">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29"/>
              <w:gridCol w:w="6016"/>
            </w:tblGrid>
            <w:tr w:rsidR="0092766A" w:rsidRPr="0013396E" w14:paraId="376DEE03" w14:textId="77777777" w:rsidTr="00CE1011">
              <w:trPr>
                <w:cantSplit/>
                <w:tblHeader/>
              </w:trPr>
              <w:tc>
                <w:tcPr>
                  <w:tcW w:w="1441" w:type="pct"/>
                </w:tcPr>
                <w:p w14:paraId="32E25901" w14:textId="77777777" w:rsidR="0092766A" w:rsidRPr="0013396E" w:rsidRDefault="0092766A" w:rsidP="0092766A">
                  <w:pPr>
                    <w:pStyle w:val="TableHead"/>
                  </w:pPr>
                  <w:r w:rsidRPr="0013396E">
                    <w:t>Variable</w:t>
                  </w:r>
                </w:p>
              </w:tc>
              <w:tc>
                <w:tcPr>
                  <w:tcW w:w="337" w:type="pct"/>
                </w:tcPr>
                <w:p w14:paraId="307D4AB7" w14:textId="77777777" w:rsidR="0092766A" w:rsidRPr="0013396E" w:rsidRDefault="0092766A" w:rsidP="0092766A">
                  <w:pPr>
                    <w:pStyle w:val="TableHead"/>
                  </w:pPr>
                  <w:r w:rsidRPr="0013396E">
                    <w:t>Unit</w:t>
                  </w:r>
                </w:p>
              </w:tc>
              <w:tc>
                <w:tcPr>
                  <w:tcW w:w="3222" w:type="pct"/>
                </w:tcPr>
                <w:p w14:paraId="51A80FAB" w14:textId="77777777" w:rsidR="0092766A" w:rsidRPr="0013396E" w:rsidRDefault="0092766A" w:rsidP="0092766A">
                  <w:pPr>
                    <w:pStyle w:val="TableHead"/>
                  </w:pPr>
                  <w:r w:rsidRPr="0013396E">
                    <w:t>Definition</w:t>
                  </w:r>
                </w:p>
              </w:tc>
            </w:tr>
            <w:tr w:rsidR="0092766A" w:rsidRPr="0013396E" w14:paraId="21F584B4" w14:textId="77777777" w:rsidTr="00CE1011">
              <w:trPr>
                <w:cantSplit/>
              </w:trPr>
              <w:tc>
                <w:tcPr>
                  <w:tcW w:w="1441" w:type="pct"/>
                </w:tcPr>
                <w:p w14:paraId="0F50A93B" w14:textId="77777777" w:rsidR="0092766A" w:rsidRPr="0013396E" w:rsidRDefault="0092766A" w:rsidP="0092766A">
                  <w:pPr>
                    <w:pStyle w:val="TableBody"/>
                  </w:pPr>
                  <w:r w:rsidRPr="0013396E">
                    <w:t xml:space="preserve">MRACAPEXAMTTOT  </w:t>
                  </w:r>
                </w:p>
              </w:tc>
              <w:tc>
                <w:tcPr>
                  <w:tcW w:w="337" w:type="pct"/>
                </w:tcPr>
                <w:p w14:paraId="2479027E" w14:textId="77777777" w:rsidR="0092766A" w:rsidRPr="0013396E" w:rsidRDefault="0092766A" w:rsidP="0092766A">
                  <w:pPr>
                    <w:pStyle w:val="TableBody"/>
                  </w:pPr>
                  <w:r w:rsidRPr="0013396E">
                    <w:t>$</w:t>
                  </w:r>
                </w:p>
              </w:tc>
              <w:tc>
                <w:tcPr>
                  <w:tcW w:w="3222" w:type="pct"/>
                </w:tcPr>
                <w:p w14:paraId="51616F3E" w14:textId="77777777" w:rsidR="0092766A" w:rsidRPr="0013396E" w:rsidRDefault="0092766A" w:rsidP="0092766A">
                  <w:pPr>
                    <w:pStyle w:val="TableBody"/>
                  </w:pPr>
                  <w:r w:rsidRPr="0013396E">
                    <w:rPr>
                      <w:i/>
                      <w:iCs w:val="0"/>
                    </w:rPr>
                    <w:t xml:space="preserve">Must-Run Alternative Contributed Capital Expenditures per hour </w:t>
                  </w:r>
                  <w:r w:rsidRPr="0013396E">
                    <w:rPr>
                      <w:iCs w:val="0"/>
                    </w:rPr>
                    <w:t xml:space="preserve">– </w:t>
                  </w:r>
                  <w:r w:rsidRPr="0013396E">
                    <w:t xml:space="preserve">The total </w:t>
                  </w:r>
                  <w:r w:rsidRPr="0013396E">
                    <w:rPr>
                      <w:iCs w:val="0"/>
                    </w:rPr>
                    <w:t xml:space="preserve">contributed capital expenditures to all QSEs for all </w:t>
                  </w:r>
                  <w:r w:rsidRPr="0013396E">
                    <w:t xml:space="preserve">MRAs for the MRA Contracted Hour. </w:t>
                  </w:r>
                </w:p>
              </w:tc>
            </w:tr>
            <w:tr w:rsidR="0092766A" w:rsidRPr="0013396E" w14:paraId="0AB6EC4F" w14:textId="77777777" w:rsidTr="00CE1011">
              <w:trPr>
                <w:cantSplit/>
              </w:trPr>
              <w:tc>
                <w:tcPr>
                  <w:tcW w:w="1441" w:type="pct"/>
                </w:tcPr>
                <w:p w14:paraId="62F0A56F" w14:textId="77777777" w:rsidR="0092766A" w:rsidRPr="0013396E" w:rsidRDefault="0092766A" w:rsidP="0092766A">
                  <w:pPr>
                    <w:pStyle w:val="TableBody"/>
                  </w:pPr>
                  <w:r w:rsidRPr="0013396E">
                    <w:t xml:space="preserve">MRACAPEXAMTQSETOT </w:t>
                  </w:r>
                  <w:r w:rsidRPr="0013396E">
                    <w:rPr>
                      <w:i/>
                      <w:vertAlign w:val="subscript"/>
                    </w:rPr>
                    <w:t>q</w:t>
                  </w:r>
                  <w:r w:rsidRPr="0013396E">
                    <w:t xml:space="preserve"> </w:t>
                  </w:r>
                </w:p>
              </w:tc>
              <w:tc>
                <w:tcPr>
                  <w:tcW w:w="337" w:type="pct"/>
                </w:tcPr>
                <w:p w14:paraId="45078E6E" w14:textId="77777777" w:rsidR="0092766A" w:rsidRPr="0013396E" w:rsidRDefault="0092766A" w:rsidP="0092766A">
                  <w:pPr>
                    <w:pStyle w:val="TableBody"/>
                  </w:pPr>
                  <w:r w:rsidRPr="0013396E">
                    <w:t>$</w:t>
                  </w:r>
                </w:p>
              </w:tc>
              <w:tc>
                <w:tcPr>
                  <w:tcW w:w="3222" w:type="pct"/>
                </w:tcPr>
                <w:p w14:paraId="4DEFFC82" w14:textId="77777777" w:rsidR="0092766A" w:rsidRPr="0013396E" w:rsidRDefault="0092766A" w:rsidP="0092766A">
                  <w:pPr>
                    <w:pStyle w:val="TableBody"/>
                  </w:pPr>
                  <w:r w:rsidRPr="0013396E">
                    <w:rPr>
                      <w:i/>
                      <w:iCs w:val="0"/>
                    </w:rPr>
                    <w:t xml:space="preserve">Must-Run Alternative Contributed Capital Expenditures per QSE per hour </w:t>
                  </w:r>
                  <w:r w:rsidRPr="0013396E">
                    <w:rPr>
                      <w:iCs w:val="0"/>
                    </w:rPr>
                    <w:t xml:space="preserve">– </w:t>
                  </w:r>
                  <w:r w:rsidRPr="0013396E">
                    <w:t xml:space="preserve">The total </w:t>
                  </w:r>
                  <w:r w:rsidRPr="0013396E">
                    <w:rPr>
                      <w:iCs w:val="0"/>
                    </w:rPr>
                    <w:t xml:space="preserve">contributed capital expenditures for all </w:t>
                  </w:r>
                  <w:r w:rsidRPr="0013396E">
                    <w:t>MRAs</w:t>
                  </w:r>
                  <w:r w:rsidRPr="0013396E">
                    <w:rPr>
                      <w:i/>
                    </w:rPr>
                    <w:t xml:space="preserve"> </w:t>
                  </w:r>
                  <w:r w:rsidRPr="0013396E">
                    <w:t xml:space="preserve">represented by QSE </w:t>
                  </w:r>
                  <w:r w:rsidRPr="0013396E">
                    <w:rPr>
                      <w:i/>
                    </w:rPr>
                    <w:t>q</w:t>
                  </w:r>
                  <w:r w:rsidRPr="0013396E">
                    <w:t xml:space="preserve"> for the MRA Contracted Hour. </w:t>
                  </w:r>
                </w:p>
              </w:tc>
            </w:tr>
            <w:tr w:rsidR="0092766A" w:rsidRPr="0013396E" w14:paraId="190E15EE" w14:textId="77777777" w:rsidTr="00CE1011">
              <w:trPr>
                <w:cantSplit/>
              </w:trPr>
              <w:tc>
                <w:tcPr>
                  <w:tcW w:w="1441" w:type="pct"/>
                  <w:tcBorders>
                    <w:top w:val="single" w:sz="4" w:space="0" w:color="auto"/>
                    <w:left w:val="single" w:sz="4" w:space="0" w:color="auto"/>
                    <w:bottom w:val="single" w:sz="4" w:space="0" w:color="auto"/>
                    <w:right w:val="single" w:sz="4" w:space="0" w:color="auto"/>
                  </w:tcBorders>
                </w:tcPr>
                <w:p w14:paraId="26944773" w14:textId="77777777" w:rsidR="0092766A" w:rsidRPr="0013396E" w:rsidRDefault="0092766A" w:rsidP="0092766A">
                  <w:pPr>
                    <w:pStyle w:val="TableBody"/>
                    <w:rPr>
                      <w:i/>
                    </w:rPr>
                  </w:pPr>
                  <w:r w:rsidRPr="0013396E">
                    <w:rPr>
                      <w:i/>
                    </w:rPr>
                    <w:t>q</w:t>
                  </w:r>
                </w:p>
              </w:tc>
              <w:tc>
                <w:tcPr>
                  <w:tcW w:w="337" w:type="pct"/>
                  <w:tcBorders>
                    <w:top w:val="single" w:sz="4" w:space="0" w:color="auto"/>
                    <w:left w:val="single" w:sz="4" w:space="0" w:color="auto"/>
                    <w:bottom w:val="single" w:sz="4" w:space="0" w:color="auto"/>
                    <w:right w:val="single" w:sz="4" w:space="0" w:color="auto"/>
                  </w:tcBorders>
                </w:tcPr>
                <w:p w14:paraId="2185DBD3" w14:textId="77777777" w:rsidR="0092766A" w:rsidRPr="0013396E" w:rsidRDefault="0092766A" w:rsidP="0092766A">
                  <w:pPr>
                    <w:pStyle w:val="TableBody"/>
                  </w:pPr>
                  <w:r w:rsidRPr="0013396E">
                    <w:t>none</w:t>
                  </w:r>
                </w:p>
              </w:tc>
              <w:tc>
                <w:tcPr>
                  <w:tcW w:w="3222" w:type="pct"/>
                  <w:tcBorders>
                    <w:top w:val="single" w:sz="4" w:space="0" w:color="auto"/>
                    <w:left w:val="single" w:sz="4" w:space="0" w:color="auto"/>
                    <w:bottom w:val="single" w:sz="4" w:space="0" w:color="auto"/>
                    <w:right w:val="single" w:sz="4" w:space="0" w:color="auto"/>
                  </w:tcBorders>
                </w:tcPr>
                <w:p w14:paraId="274EE759" w14:textId="77777777" w:rsidR="0092766A" w:rsidRPr="0013396E" w:rsidRDefault="0092766A" w:rsidP="0092766A">
                  <w:pPr>
                    <w:pStyle w:val="TableBody"/>
                  </w:pPr>
                  <w:r w:rsidRPr="0013396E">
                    <w:t>A QSE.</w:t>
                  </w:r>
                </w:p>
              </w:tc>
            </w:tr>
          </w:tbl>
          <w:p w14:paraId="4C6C01B5" w14:textId="77777777" w:rsidR="002C6FAE" w:rsidRPr="0013396E" w:rsidRDefault="002C6FAE" w:rsidP="00CE1011">
            <w:pPr>
              <w:spacing w:after="240"/>
              <w:ind w:left="720" w:hanging="720"/>
            </w:pPr>
          </w:p>
        </w:tc>
      </w:tr>
    </w:tbl>
    <w:p w14:paraId="67143544" w14:textId="77777777" w:rsidR="000C1EEE" w:rsidRPr="0013396E" w:rsidRDefault="000C1EEE" w:rsidP="000C1EEE">
      <w:pPr>
        <w:pStyle w:val="H3"/>
        <w:spacing w:before="0" w:after="0"/>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95"/>
      </w:tblGrid>
      <w:tr w:rsidR="000C1EEE" w:rsidRPr="0013396E" w14:paraId="5CC3F1CB" w14:textId="77777777" w:rsidTr="00CE1011">
        <w:trPr>
          <w:trHeight w:val="206"/>
        </w:trPr>
        <w:tc>
          <w:tcPr>
            <w:tcW w:w="5000" w:type="pct"/>
            <w:shd w:val="pct12" w:color="auto" w:fill="auto"/>
          </w:tcPr>
          <w:p w14:paraId="0D4C4DCB" w14:textId="77A6B749" w:rsidR="000C1EEE" w:rsidRPr="0013396E" w:rsidRDefault="000C1EEE" w:rsidP="00CE1011">
            <w:pPr>
              <w:pStyle w:val="Instructions"/>
              <w:spacing w:before="120"/>
            </w:pPr>
            <w:r w:rsidRPr="0013396E">
              <w:t>[NPRR885</w:t>
            </w:r>
            <w:r w:rsidR="00AA432B" w:rsidRPr="0013396E">
              <w:t xml:space="preserve"> and NPRR1256</w:t>
            </w:r>
            <w:r w:rsidRPr="0013396E">
              <w:t xml:space="preserve">:  Insert </w:t>
            </w:r>
            <w:r w:rsidR="00AA432B" w:rsidRPr="0013396E">
              <w:t xml:space="preserve">applicable portions of </w:t>
            </w:r>
            <w:r w:rsidRPr="0013396E">
              <w:t>Section 6.6.6.9 below upon system implementation</w:t>
            </w:r>
            <w:r w:rsidR="00AA432B" w:rsidRPr="0013396E">
              <w:t xml:space="preserve"> for NPRR885; or upon system implementation of NPRR885 and upon system implementation for NPRR1256</w:t>
            </w:r>
            <w:r w:rsidRPr="0013396E">
              <w:t>:]</w:t>
            </w:r>
          </w:p>
          <w:p w14:paraId="4351214A" w14:textId="77777777" w:rsidR="000C1EEE" w:rsidRPr="0013396E" w:rsidRDefault="000C1EEE" w:rsidP="000C1EEE">
            <w:pPr>
              <w:keepNext/>
              <w:widowControl w:val="0"/>
              <w:tabs>
                <w:tab w:val="left" w:pos="1260"/>
              </w:tabs>
              <w:spacing w:before="240" w:after="240"/>
              <w:ind w:left="1267" w:hanging="1267"/>
              <w:outlineLvl w:val="3"/>
              <w:rPr>
                <w:b/>
                <w:bCs/>
                <w:snapToGrid w:val="0"/>
                <w:color w:val="000000"/>
              </w:rPr>
            </w:pPr>
            <w:bookmarkStart w:id="2013" w:name="_Toc17798756"/>
            <w:bookmarkStart w:id="2014" w:name="_Toc236220213"/>
            <w:r w:rsidRPr="0013396E">
              <w:rPr>
                <w:b/>
                <w:bCs/>
                <w:snapToGrid w:val="0"/>
                <w:color w:val="000000"/>
              </w:rPr>
              <w:t>6.6.6.9</w:t>
            </w:r>
            <w:r w:rsidRPr="0013396E">
              <w:rPr>
                <w:b/>
                <w:bCs/>
                <w:snapToGrid w:val="0"/>
                <w:color w:val="000000"/>
              </w:rPr>
              <w:tab/>
              <w:t>MRA Payment for Deployment Event</w:t>
            </w:r>
            <w:bookmarkEnd w:id="2013"/>
            <w:bookmarkEnd w:id="2014"/>
          </w:p>
          <w:p w14:paraId="1A76E4BC" w14:textId="77777777" w:rsidR="000C1EEE" w:rsidRPr="0013396E" w:rsidRDefault="000C1EEE" w:rsidP="000C1EEE">
            <w:pPr>
              <w:spacing w:after="240"/>
              <w:ind w:left="720" w:hanging="720"/>
              <w:rPr>
                <w:bCs/>
                <w:color w:val="000000"/>
                <w:lang w:val="pt-BR"/>
              </w:rPr>
            </w:pPr>
            <w:r w:rsidRPr="0013396E">
              <w:rPr>
                <w:bCs/>
                <w:lang w:val="pt-BR"/>
              </w:rPr>
              <w:t>(1)</w:t>
            </w:r>
            <w:r w:rsidRPr="0013396E">
              <w:rPr>
                <w:bCs/>
                <w:lang w:val="pt-BR"/>
              </w:rPr>
              <w:tab/>
            </w:r>
            <w:r w:rsidRPr="0013396E">
              <w:rPr>
                <w:bCs/>
                <w:color w:val="000000"/>
                <w:lang w:val="pt-BR"/>
              </w:rPr>
              <w:t>The deployment event payment to each QSE representing a Generation Resource MRA:</w:t>
            </w:r>
          </w:p>
          <w:p w14:paraId="5E31B365" w14:textId="77777777" w:rsidR="000C1EEE" w:rsidRPr="0013396E" w:rsidRDefault="000C1EEE" w:rsidP="000C1EEE">
            <w:pPr>
              <w:tabs>
                <w:tab w:val="left" w:pos="2700"/>
                <w:tab w:val="left" w:pos="3150"/>
              </w:tabs>
              <w:spacing w:after="240"/>
              <w:ind w:left="2700" w:hanging="1890"/>
            </w:pPr>
            <w:r w:rsidRPr="0013396E">
              <w:rPr>
                <w:bCs/>
                <w:color w:val="000000"/>
                <w:lang w:val="pt-BR"/>
              </w:rPr>
              <w:t xml:space="preserve">MRADEAMT </w:t>
            </w:r>
            <w:r w:rsidRPr="0013396E">
              <w:rPr>
                <w:bCs/>
                <w:i/>
                <w:vertAlign w:val="subscript"/>
                <w:lang w:val="pt-BR"/>
              </w:rPr>
              <w:t>q, r, h</w:t>
            </w:r>
            <w:r w:rsidRPr="0013396E">
              <w:rPr>
                <w:bCs/>
                <w:lang w:val="pt-BR"/>
              </w:rPr>
              <w:t xml:space="preserve"> = (-1) * Max{EDPRICE </w:t>
            </w:r>
            <w:r w:rsidRPr="0013396E">
              <w:rPr>
                <w:bCs/>
                <w:i/>
                <w:vertAlign w:val="subscript"/>
                <w:lang w:val="pt-BR"/>
              </w:rPr>
              <w:t>q, r, m</w:t>
            </w:r>
            <w:r w:rsidRPr="0013396E">
              <w:rPr>
                <w:bCs/>
                <w:lang w:val="pt-BR"/>
              </w:rPr>
              <w:t>, (FIP + MRACEFA</w:t>
            </w:r>
            <w:r w:rsidRPr="0013396E">
              <w:rPr>
                <w:bCs/>
                <w:i/>
                <w:vertAlign w:val="subscript"/>
                <w:lang w:val="pt-BR"/>
              </w:rPr>
              <w:t xml:space="preserve"> q, r</w:t>
            </w:r>
            <w:r w:rsidRPr="0013396E">
              <w:rPr>
                <w:bCs/>
                <w:lang w:val="pt-BR"/>
              </w:rPr>
              <w:t xml:space="preserve">) * MRAPSUFQ </w:t>
            </w:r>
            <w:r w:rsidRPr="0013396E">
              <w:rPr>
                <w:bCs/>
                <w:i/>
                <w:vertAlign w:val="subscript"/>
                <w:lang w:val="pt-BR"/>
              </w:rPr>
              <w:t>q, r</w:t>
            </w:r>
            <w:r w:rsidRPr="0013396E">
              <w:rPr>
                <w:bCs/>
                <w:lang w:val="pt-BR"/>
              </w:rPr>
              <w:t xml:space="preserve">} * MRAFLAG </w:t>
            </w:r>
            <w:r w:rsidRPr="0013396E">
              <w:rPr>
                <w:bCs/>
                <w:i/>
                <w:vertAlign w:val="subscript"/>
                <w:lang w:val="pt-BR"/>
              </w:rPr>
              <w:t>q, r, h</w:t>
            </w:r>
            <w:r w:rsidRPr="0013396E">
              <w:rPr>
                <w:bCs/>
                <w:lang w:val="pt-BR"/>
              </w:rPr>
              <w:t xml:space="preserve"> </w:t>
            </w:r>
            <w:r w:rsidRPr="0013396E">
              <w:rPr>
                <w:bCs/>
                <w:i/>
                <w:lang w:val="pt-BR"/>
              </w:rPr>
              <w:t xml:space="preserve">/ </w:t>
            </w:r>
            <w:r w:rsidRPr="0013396E">
              <w:rPr>
                <w:bCs/>
                <w:lang w:val="pt-BR"/>
              </w:rPr>
              <w:t>MRAH</w:t>
            </w:r>
            <w:r w:rsidRPr="0013396E">
              <w:rPr>
                <w:i/>
                <w:vertAlign w:val="subscript"/>
              </w:rPr>
              <w:t xml:space="preserve"> q, r</w:t>
            </w:r>
          </w:p>
          <w:p w14:paraId="2EFCBDE5" w14:textId="77777777" w:rsidR="00AA432B" w:rsidRPr="0013396E" w:rsidRDefault="00AA432B" w:rsidP="00AA432B">
            <w:pPr>
              <w:spacing w:after="240"/>
              <w:ind w:left="720" w:hanging="720"/>
              <w:rPr>
                <w:bCs/>
                <w:color w:val="000000"/>
                <w:lang w:val="pt-BR"/>
              </w:rPr>
            </w:pPr>
            <w:r w:rsidRPr="0013396E">
              <w:rPr>
                <w:bCs/>
                <w:lang w:val="pt-BR"/>
              </w:rPr>
              <w:t>(2)</w:t>
            </w:r>
            <w:r w:rsidRPr="0013396E">
              <w:rPr>
                <w:bCs/>
                <w:lang w:val="pt-BR"/>
              </w:rPr>
              <w:tab/>
            </w:r>
            <w:r w:rsidRPr="0013396E">
              <w:rPr>
                <w:bCs/>
                <w:color w:val="000000"/>
                <w:lang w:val="pt-BR"/>
              </w:rPr>
              <w:t>The deployment event payment to each QSE representing an ESR MRA:</w:t>
            </w:r>
          </w:p>
          <w:p w14:paraId="310DC5DF" w14:textId="77777777" w:rsidR="00AA432B" w:rsidRPr="0013396E" w:rsidRDefault="00AA432B" w:rsidP="00AA432B">
            <w:pPr>
              <w:tabs>
                <w:tab w:val="left" w:pos="2700"/>
                <w:tab w:val="left" w:pos="3150"/>
              </w:tabs>
              <w:spacing w:after="240"/>
              <w:ind w:left="2700" w:hanging="1890"/>
              <w:rPr>
                <w:iCs/>
              </w:rPr>
            </w:pPr>
            <w:r w:rsidRPr="0013396E">
              <w:rPr>
                <w:bCs/>
                <w:color w:val="000000"/>
                <w:lang w:val="pt-BR"/>
              </w:rPr>
              <w:t xml:space="preserve">MRADEAMT </w:t>
            </w:r>
            <w:r w:rsidRPr="0013396E">
              <w:rPr>
                <w:bCs/>
                <w:i/>
                <w:vertAlign w:val="subscript"/>
                <w:lang w:val="pt-BR"/>
              </w:rPr>
              <w:t>q, r, h</w:t>
            </w:r>
            <w:r w:rsidRPr="0013396E">
              <w:rPr>
                <w:bCs/>
                <w:lang w:val="pt-BR"/>
              </w:rPr>
              <w:t xml:space="preserve"> = (-1) * (EDPRICE </w:t>
            </w:r>
            <w:r w:rsidRPr="0013396E">
              <w:rPr>
                <w:bCs/>
                <w:i/>
                <w:vertAlign w:val="subscript"/>
                <w:lang w:val="pt-BR"/>
              </w:rPr>
              <w:t>q, r, m</w:t>
            </w:r>
            <w:r w:rsidRPr="0013396E">
              <w:rPr>
                <w:bCs/>
                <w:lang w:val="pt-BR"/>
              </w:rPr>
              <w:t xml:space="preserve">) * MRAFLAG </w:t>
            </w:r>
            <w:r w:rsidRPr="0013396E">
              <w:rPr>
                <w:bCs/>
                <w:i/>
                <w:vertAlign w:val="subscript"/>
                <w:lang w:val="pt-BR"/>
              </w:rPr>
              <w:t>q, r, h</w:t>
            </w:r>
            <w:r w:rsidRPr="0013396E">
              <w:rPr>
                <w:bCs/>
                <w:lang w:val="pt-BR"/>
              </w:rPr>
              <w:t xml:space="preserve"> </w:t>
            </w:r>
            <w:r w:rsidRPr="0013396E">
              <w:rPr>
                <w:bCs/>
                <w:i/>
                <w:lang w:val="pt-BR"/>
              </w:rPr>
              <w:t xml:space="preserve">/ </w:t>
            </w:r>
            <w:r w:rsidRPr="0013396E">
              <w:rPr>
                <w:bCs/>
                <w:lang w:val="pt-BR"/>
              </w:rPr>
              <w:t>MRAH</w:t>
            </w:r>
            <w:r w:rsidRPr="0013396E">
              <w:rPr>
                <w:i/>
                <w:vertAlign w:val="subscript"/>
              </w:rPr>
              <w:t xml:space="preserve"> q, r</w:t>
            </w:r>
          </w:p>
          <w:p w14:paraId="33BC2540" w14:textId="6BE03853" w:rsidR="000C1EEE" w:rsidRPr="0013396E" w:rsidRDefault="000C1EEE" w:rsidP="000C1EEE">
            <w:pPr>
              <w:spacing w:after="240"/>
              <w:ind w:left="720" w:hanging="720"/>
              <w:rPr>
                <w:iCs/>
              </w:rPr>
            </w:pPr>
            <w:r w:rsidRPr="0013396E">
              <w:rPr>
                <w:iCs/>
              </w:rPr>
              <w:t>(</w:t>
            </w:r>
            <w:r w:rsidR="00AA432B" w:rsidRPr="0013396E">
              <w:rPr>
                <w:iCs/>
              </w:rPr>
              <w:t>3</w:t>
            </w:r>
            <w:r w:rsidRPr="0013396E">
              <w:rPr>
                <w:iCs/>
              </w:rPr>
              <w:t>)</w:t>
            </w:r>
            <w:r w:rsidRPr="0013396E">
              <w:rPr>
                <w:iCs/>
              </w:rPr>
              <w:tab/>
              <w:t>The deployment event payment to each QSE representing a Demand Response MRA or Other Generation MRA:</w:t>
            </w:r>
          </w:p>
          <w:p w14:paraId="53EDCFE1" w14:textId="77777777" w:rsidR="000C1EEE" w:rsidRPr="0013396E" w:rsidRDefault="000C1EEE" w:rsidP="000C1EEE">
            <w:pPr>
              <w:ind w:firstLine="720"/>
              <w:rPr>
                <w:bCs/>
                <w:lang w:val="pt-BR"/>
              </w:rPr>
            </w:pPr>
            <w:r w:rsidRPr="0013396E">
              <w:rPr>
                <w:bCs/>
                <w:color w:val="000000"/>
                <w:lang w:val="pt-BR"/>
              </w:rPr>
              <w:lastRenderedPageBreak/>
              <w:t xml:space="preserve">MRADEAMT </w:t>
            </w:r>
            <w:r w:rsidRPr="0013396E">
              <w:rPr>
                <w:bCs/>
                <w:i/>
                <w:vertAlign w:val="subscript"/>
                <w:lang w:val="pt-BR"/>
              </w:rPr>
              <w:t>q, r, h</w:t>
            </w:r>
            <w:r w:rsidRPr="0013396E">
              <w:rPr>
                <w:bCs/>
                <w:lang w:val="pt-BR"/>
              </w:rPr>
              <w:t xml:space="preserve"> = (-1) * Max{EDPRICE</w:t>
            </w:r>
            <w:r w:rsidRPr="0013396E">
              <w:rPr>
                <w:bCs/>
                <w:i/>
                <w:vertAlign w:val="subscript"/>
                <w:lang w:val="pt-BR"/>
              </w:rPr>
              <w:t xml:space="preserve"> q, r</w:t>
            </w:r>
            <w:r w:rsidRPr="0013396E">
              <w:rPr>
                <w:bCs/>
                <w:lang w:val="pt-BR"/>
              </w:rPr>
              <w:t>, (FIP + MRACEFA</w:t>
            </w:r>
            <w:r w:rsidRPr="0013396E">
              <w:rPr>
                <w:bCs/>
                <w:i/>
                <w:vertAlign w:val="subscript"/>
                <w:lang w:val="pt-BR"/>
              </w:rPr>
              <w:t xml:space="preserve"> q, r</w:t>
            </w:r>
            <w:r w:rsidRPr="0013396E">
              <w:rPr>
                <w:bCs/>
                <w:lang w:val="pt-BR"/>
              </w:rPr>
              <w:t xml:space="preserve">) * </w:t>
            </w:r>
          </w:p>
          <w:p w14:paraId="654CDD74" w14:textId="77777777" w:rsidR="000C1EEE" w:rsidRPr="0013396E" w:rsidRDefault="000C1EEE" w:rsidP="000C1EEE">
            <w:pPr>
              <w:tabs>
                <w:tab w:val="left" w:pos="2700"/>
                <w:tab w:val="left" w:pos="3150"/>
              </w:tabs>
              <w:spacing w:after="240"/>
              <w:ind w:left="2700" w:hanging="1890"/>
            </w:pPr>
            <w:r w:rsidRPr="0013396E">
              <w:rPr>
                <w:bCs/>
                <w:lang w:val="pt-BR"/>
              </w:rPr>
              <w:tab/>
              <w:t xml:space="preserve">MRAPSUFQ </w:t>
            </w:r>
            <w:r w:rsidRPr="0013396E">
              <w:rPr>
                <w:bCs/>
                <w:i/>
                <w:vertAlign w:val="subscript"/>
                <w:lang w:val="pt-BR"/>
              </w:rPr>
              <w:t>q, r</w:t>
            </w:r>
            <w:r w:rsidRPr="0013396E">
              <w:rPr>
                <w:bCs/>
                <w:lang w:val="pt-BR"/>
              </w:rPr>
              <w:t xml:space="preserve">} * MRAEPRF </w:t>
            </w:r>
            <w:r w:rsidRPr="0013396E">
              <w:rPr>
                <w:bCs/>
                <w:i/>
                <w:vertAlign w:val="subscript"/>
                <w:lang w:val="pt-BR"/>
              </w:rPr>
              <w:t>q, r, m</w:t>
            </w:r>
            <w:r w:rsidRPr="0013396E">
              <w:rPr>
                <w:bCs/>
                <w:lang w:val="pt-BR"/>
              </w:rPr>
              <w:t xml:space="preserve"> </w:t>
            </w:r>
            <w:r w:rsidRPr="0013396E">
              <w:rPr>
                <w:bCs/>
                <w:i/>
                <w:lang w:val="pt-BR"/>
              </w:rPr>
              <w:t xml:space="preserve">/ </w:t>
            </w:r>
            <w:r w:rsidRPr="0013396E">
              <w:rPr>
                <w:bCs/>
                <w:lang w:val="pt-BR"/>
              </w:rPr>
              <w:t>MRAH</w:t>
            </w:r>
            <w:r w:rsidRPr="0013396E">
              <w:rPr>
                <w:i/>
                <w:vertAlign w:val="subscript"/>
              </w:rPr>
              <w:t xml:space="preserve"> q, r</w:t>
            </w:r>
          </w:p>
          <w:p w14:paraId="50D88880" w14:textId="77777777" w:rsidR="000C1EEE" w:rsidRPr="0013396E" w:rsidRDefault="000C1EEE" w:rsidP="000C1EEE">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1080"/>
              <w:gridCol w:w="6390"/>
            </w:tblGrid>
            <w:tr w:rsidR="00DB3017" w:rsidRPr="0013396E" w14:paraId="1B0166F6" w14:textId="77777777" w:rsidTr="00CE1011">
              <w:trPr>
                <w:cantSplit/>
                <w:tblHeader/>
              </w:trPr>
              <w:tc>
                <w:tcPr>
                  <w:tcW w:w="1885" w:type="dxa"/>
                </w:tcPr>
                <w:p w14:paraId="1DF97CC8" w14:textId="77777777" w:rsidR="00DB3017" w:rsidRPr="0013396E" w:rsidRDefault="00DB3017" w:rsidP="00DB3017">
                  <w:pPr>
                    <w:spacing w:after="120"/>
                    <w:rPr>
                      <w:b/>
                      <w:iCs/>
                      <w:sz w:val="20"/>
                    </w:rPr>
                  </w:pPr>
                  <w:r w:rsidRPr="0013396E">
                    <w:rPr>
                      <w:b/>
                      <w:iCs/>
                      <w:sz w:val="20"/>
                    </w:rPr>
                    <w:t>Variable</w:t>
                  </w:r>
                </w:p>
              </w:tc>
              <w:tc>
                <w:tcPr>
                  <w:tcW w:w="1080" w:type="dxa"/>
                </w:tcPr>
                <w:p w14:paraId="0734B5D0" w14:textId="77777777" w:rsidR="00DB3017" w:rsidRPr="0013396E" w:rsidRDefault="00DB3017" w:rsidP="00DB3017">
                  <w:pPr>
                    <w:spacing w:after="120"/>
                    <w:rPr>
                      <w:b/>
                      <w:iCs/>
                      <w:sz w:val="20"/>
                    </w:rPr>
                  </w:pPr>
                  <w:r w:rsidRPr="0013396E">
                    <w:rPr>
                      <w:b/>
                      <w:iCs/>
                      <w:sz w:val="20"/>
                    </w:rPr>
                    <w:t>Unit</w:t>
                  </w:r>
                </w:p>
              </w:tc>
              <w:tc>
                <w:tcPr>
                  <w:tcW w:w="6390" w:type="dxa"/>
                </w:tcPr>
                <w:p w14:paraId="0C2FA609" w14:textId="77777777" w:rsidR="00DB3017" w:rsidRPr="0013396E" w:rsidRDefault="00DB3017" w:rsidP="00DB3017">
                  <w:pPr>
                    <w:spacing w:after="120"/>
                    <w:rPr>
                      <w:b/>
                      <w:iCs/>
                      <w:sz w:val="20"/>
                    </w:rPr>
                  </w:pPr>
                  <w:r w:rsidRPr="0013396E">
                    <w:rPr>
                      <w:b/>
                      <w:iCs/>
                      <w:sz w:val="20"/>
                    </w:rPr>
                    <w:t>Definition</w:t>
                  </w:r>
                </w:p>
              </w:tc>
            </w:tr>
            <w:tr w:rsidR="00DB3017" w:rsidRPr="0013396E" w14:paraId="0FBB5EC8" w14:textId="77777777" w:rsidTr="00CE1011">
              <w:trPr>
                <w:cantSplit/>
              </w:trPr>
              <w:tc>
                <w:tcPr>
                  <w:tcW w:w="1885" w:type="dxa"/>
                </w:tcPr>
                <w:p w14:paraId="1FD7ADFB" w14:textId="77777777" w:rsidR="00DB3017" w:rsidRPr="0013396E" w:rsidRDefault="00DB3017" w:rsidP="00DB3017">
                  <w:pPr>
                    <w:spacing w:after="60"/>
                    <w:rPr>
                      <w:iCs/>
                      <w:sz w:val="20"/>
                    </w:rPr>
                  </w:pPr>
                  <w:r w:rsidRPr="0013396E">
                    <w:rPr>
                      <w:iCs/>
                      <w:sz w:val="20"/>
                    </w:rPr>
                    <w:t xml:space="preserve">MRADEAMT </w:t>
                  </w:r>
                  <w:r w:rsidRPr="0013396E">
                    <w:rPr>
                      <w:i/>
                      <w:iCs/>
                      <w:sz w:val="20"/>
                      <w:vertAlign w:val="subscript"/>
                    </w:rPr>
                    <w:t>q, r, h</w:t>
                  </w:r>
                </w:p>
              </w:tc>
              <w:tc>
                <w:tcPr>
                  <w:tcW w:w="1080" w:type="dxa"/>
                </w:tcPr>
                <w:p w14:paraId="303A3C05" w14:textId="77777777" w:rsidR="00DB3017" w:rsidRPr="0013396E" w:rsidRDefault="00DB3017" w:rsidP="00DB3017">
                  <w:pPr>
                    <w:spacing w:after="60"/>
                    <w:rPr>
                      <w:iCs/>
                      <w:sz w:val="20"/>
                    </w:rPr>
                  </w:pPr>
                  <w:r w:rsidRPr="0013396E">
                    <w:rPr>
                      <w:iCs/>
                      <w:sz w:val="20"/>
                    </w:rPr>
                    <w:t>$</w:t>
                  </w:r>
                </w:p>
              </w:tc>
              <w:tc>
                <w:tcPr>
                  <w:tcW w:w="6390" w:type="dxa"/>
                </w:tcPr>
                <w:p w14:paraId="451D4A62" w14:textId="77777777" w:rsidR="00DB3017" w:rsidRPr="0013396E" w:rsidRDefault="00DB3017" w:rsidP="00DB3017">
                  <w:pPr>
                    <w:spacing w:after="60"/>
                    <w:rPr>
                      <w:i/>
                      <w:iCs/>
                      <w:sz w:val="20"/>
                    </w:rPr>
                  </w:pPr>
                  <w:r w:rsidRPr="0013396E">
                    <w:rPr>
                      <w:i/>
                      <w:iCs/>
                      <w:sz w:val="20"/>
                    </w:rPr>
                    <w:t>Must-Run Alternative Deployment Event Amount per QSE per Resource by hour</w:t>
                  </w:r>
                  <w:r w:rsidRPr="0013396E">
                    <w:rPr>
                      <w:iCs/>
                      <w:sz w:val="20"/>
                    </w:rPr>
                    <w:t xml:space="preserve">—The deployment event payment to QSE </w:t>
                  </w:r>
                  <w:r w:rsidRPr="0013396E">
                    <w:rPr>
                      <w:i/>
                      <w:iCs/>
                      <w:sz w:val="20"/>
                    </w:rPr>
                    <w:t>q</w:t>
                  </w:r>
                  <w:r w:rsidRPr="0013396E">
                    <w:rPr>
                      <w:iCs/>
                      <w:sz w:val="20"/>
                    </w:rPr>
                    <w:t xml:space="preserve"> for MRA </w:t>
                  </w:r>
                  <w:r w:rsidRPr="0013396E">
                    <w:rPr>
                      <w:i/>
                      <w:iCs/>
                      <w:sz w:val="20"/>
                    </w:rPr>
                    <w:t>r</w:t>
                  </w:r>
                  <w:r w:rsidRPr="0013396E">
                    <w:rPr>
                      <w:iCs/>
                      <w:sz w:val="20"/>
                    </w:rPr>
                    <w:t xml:space="preserve">, for the MRA Contracted Hour </w:t>
                  </w:r>
                  <w:r w:rsidRPr="0013396E">
                    <w:rPr>
                      <w:i/>
                      <w:iCs/>
                      <w:sz w:val="20"/>
                    </w:rPr>
                    <w:t>h</w:t>
                  </w:r>
                  <w:r w:rsidRPr="0013396E">
                    <w:rPr>
                      <w:iCs/>
                      <w:sz w:val="20"/>
                    </w:rPr>
                    <w:t>.  Where for a Combined Cycle Train, the Resource r is the Combined Cycle Train.</w:t>
                  </w:r>
                </w:p>
              </w:tc>
            </w:tr>
            <w:tr w:rsidR="00DB3017" w:rsidRPr="0013396E" w14:paraId="3F034F98" w14:textId="77777777" w:rsidTr="00CE1011">
              <w:trPr>
                <w:cantSplit/>
              </w:trPr>
              <w:tc>
                <w:tcPr>
                  <w:tcW w:w="1885" w:type="dxa"/>
                </w:tcPr>
                <w:p w14:paraId="222FD595" w14:textId="77777777" w:rsidR="00DB3017" w:rsidRPr="0013396E" w:rsidRDefault="00DB3017" w:rsidP="00DB3017">
                  <w:pPr>
                    <w:spacing w:after="60"/>
                    <w:rPr>
                      <w:iCs/>
                      <w:sz w:val="20"/>
                    </w:rPr>
                  </w:pPr>
                  <w:r w:rsidRPr="0013396E">
                    <w:rPr>
                      <w:iCs/>
                      <w:sz w:val="20"/>
                    </w:rPr>
                    <w:t>FIP</w:t>
                  </w:r>
                </w:p>
              </w:tc>
              <w:tc>
                <w:tcPr>
                  <w:tcW w:w="1080" w:type="dxa"/>
                </w:tcPr>
                <w:p w14:paraId="20216E14" w14:textId="77777777" w:rsidR="00DB3017" w:rsidRPr="0013396E" w:rsidRDefault="00DB3017" w:rsidP="00DB3017">
                  <w:pPr>
                    <w:spacing w:after="60"/>
                    <w:rPr>
                      <w:iCs/>
                      <w:sz w:val="20"/>
                    </w:rPr>
                  </w:pPr>
                  <w:r w:rsidRPr="0013396E">
                    <w:rPr>
                      <w:iCs/>
                      <w:sz w:val="20"/>
                    </w:rPr>
                    <w:t>$/MMBtu</w:t>
                  </w:r>
                </w:p>
              </w:tc>
              <w:tc>
                <w:tcPr>
                  <w:tcW w:w="6390" w:type="dxa"/>
                </w:tcPr>
                <w:p w14:paraId="3D88AA8A" w14:textId="77777777" w:rsidR="00DB3017" w:rsidRPr="0013396E" w:rsidRDefault="00DB3017" w:rsidP="00DB3017">
                  <w:pPr>
                    <w:spacing w:after="60"/>
                    <w:rPr>
                      <w:iCs/>
                      <w:sz w:val="20"/>
                    </w:rPr>
                  </w:pPr>
                  <w:r w:rsidRPr="0013396E">
                    <w:rPr>
                      <w:i/>
                      <w:iCs/>
                      <w:sz w:val="20"/>
                    </w:rPr>
                    <w:t>Fuel Index Price</w:t>
                  </w:r>
                  <w:r w:rsidRPr="0013396E">
                    <w:rPr>
                      <w:iCs/>
                      <w:sz w:val="20"/>
                    </w:rPr>
                    <w:t>—The FIP for the Operating Day.</w:t>
                  </w:r>
                </w:p>
              </w:tc>
            </w:tr>
            <w:tr w:rsidR="00DB3017" w:rsidRPr="0013396E" w14:paraId="6985FAA8" w14:textId="77777777" w:rsidTr="00CE1011">
              <w:trPr>
                <w:cantSplit/>
              </w:trPr>
              <w:tc>
                <w:tcPr>
                  <w:tcW w:w="1885" w:type="dxa"/>
                </w:tcPr>
                <w:p w14:paraId="7D113D6D" w14:textId="77777777" w:rsidR="00DB3017" w:rsidRPr="0013396E" w:rsidRDefault="00DB3017" w:rsidP="00DB3017">
                  <w:pPr>
                    <w:spacing w:after="60"/>
                    <w:rPr>
                      <w:iCs/>
                      <w:sz w:val="20"/>
                    </w:rPr>
                  </w:pPr>
                  <w:r w:rsidRPr="0013396E">
                    <w:rPr>
                      <w:bCs/>
                      <w:sz w:val="20"/>
                      <w:lang w:val="pt-BR"/>
                    </w:rPr>
                    <w:t>EDPRICE</w:t>
                  </w:r>
                  <w:r w:rsidRPr="0013396E">
                    <w:rPr>
                      <w:i/>
                      <w:iCs/>
                      <w:sz w:val="20"/>
                      <w:vertAlign w:val="subscript"/>
                    </w:rPr>
                    <w:t xml:space="preserve"> q, r</w:t>
                  </w:r>
                </w:p>
              </w:tc>
              <w:tc>
                <w:tcPr>
                  <w:tcW w:w="1080" w:type="dxa"/>
                </w:tcPr>
                <w:p w14:paraId="196E7C2E" w14:textId="77777777" w:rsidR="00DB3017" w:rsidRPr="0013396E" w:rsidRDefault="00DB3017" w:rsidP="00DB3017">
                  <w:pPr>
                    <w:spacing w:after="60"/>
                    <w:rPr>
                      <w:iCs/>
                      <w:sz w:val="20"/>
                    </w:rPr>
                  </w:pPr>
                  <w:r w:rsidRPr="0013396E">
                    <w:rPr>
                      <w:iCs/>
                      <w:sz w:val="20"/>
                    </w:rPr>
                    <w:t>$</w:t>
                  </w:r>
                </w:p>
              </w:tc>
              <w:tc>
                <w:tcPr>
                  <w:tcW w:w="6390" w:type="dxa"/>
                </w:tcPr>
                <w:p w14:paraId="3E9EB4AC" w14:textId="77777777" w:rsidR="00DB3017" w:rsidRPr="0013396E" w:rsidRDefault="00DB3017" w:rsidP="00DB3017">
                  <w:pPr>
                    <w:spacing w:after="60"/>
                    <w:rPr>
                      <w:i/>
                      <w:iCs/>
                      <w:sz w:val="20"/>
                    </w:rPr>
                  </w:pPr>
                  <w:r w:rsidRPr="0013396E">
                    <w:rPr>
                      <w:i/>
                      <w:iCs/>
                      <w:sz w:val="20"/>
                    </w:rPr>
                    <w:t>Event Deployment Price per QSE per Resource</w:t>
                  </w:r>
                  <w:r w:rsidRPr="0013396E">
                    <w:rPr>
                      <w:iCs/>
                      <w:sz w:val="20"/>
                    </w:rPr>
                    <w:t xml:space="preserve">—The event deployment price to QSE </w:t>
                  </w:r>
                  <w:r w:rsidRPr="0013396E">
                    <w:rPr>
                      <w:i/>
                      <w:iCs/>
                      <w:sz w:val="20"/>
                    </w:rPr>
                    <w:t>q</w:t>
                  </w:r>
                  <w:r w:rsidRPr="0013396E">
                    <w:rPr>
                      <w:iCs/>
                      <w:sz w:val="20"/>
                    </w:rPr>
                    <w:t xml:space="preserve"> for MRA </w:t>
                  </w:r>
                  <w:r w:rsidRPr="0013396E">
                    <w:rPr>
                      <w:i/>
                      <w:iCs/>
                      <w:sz w:val="20"/>
                    </w:rPr>
                    <w:t>r</w:t>
                  </w:r>
                  <w:r w:rsidRPr="0013396E">
                    <w:rPr>
                      <w:iCs/>
                      <w:sz w:val="20"/>
                    </w:rPr>
                    <w:t xml:space="preserve">, </w:t>
                  </w:r>
                  <w:r w:rsidRPr="0013396E">
                    <w:rPr>
                      <w:sz w:val="20"/>
                    </w:rPr>
                    <w:t>as specified in the MRA Agreement</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DB3017" w:rsidRPr="0013396E" w14:paraId="574EB4DC" w14:textId="77777777" w:rsidTr="00CE1011">
              <w:trPr>
                <w:cantSplit/>
              </w:trPr>
              <w:tc>
                <w:tcPr>
                  <w:tcW w:w="1885" w:type="dxa"/>
                </w:tcPr>
                <w:p w14:paraId="53EDE682" w14:textId="77777777" w:rsidR="00DB3017" w:rsidRPr="0013396E" w:rsidRDefault="00DB3017" w:rsidP="00DB3017">
                  <w:pPr>
                    <w:spacing w:after="60"/>
                    <w:rPr>
                      <w:bCs/>
                      <w:sz w:val="20"/>
                      <w:lang w:val="pt-BR"/>
                    </w:rPr>
                  </w:pPr>
                  <w:r w:rsidRPr="0013396E">
                    <w:rPr>
                      <w:sz w:val="20"/>
                    </w:rPr>
                    <w:t>MRAEPRF</w:t>
                  </w:r>
                  <w:r w:rsidRPr="0013396E">
                    <w:rPr>
                      <w:i/>
                      <w:sz w:val="20"/>
                      <w:vertAlign w:val="subscript"/>
                    </w:rPr>
                    <w:t xml:space="preserve"> q, r, m</w:t>
                  </w:r>
                </w:p>
              </w:tc>
              <w:tc>
                <w:tcPr>
                  <w:tcW w:w="1080" w:type="dxa"/>
                </w:tcPr>
                <w:p w14:paraId="68B0DD25" w14:textId="77777777" w:rsidR="00DB3017" w:rsidRPr="0013396E" w:rsidRDefault="00DB3017" w:rsidP="00DB3017">
                  <w:pPr>
                    <w:spacing w:after="60"/>
                    <w:rPr>
                      <w:iCs/>
                      <w:sz w:val="20"/>
                    </w:rPr>
                  </w:pPr>
                  <w:r w:rsidRPr="0013396E">
                    <w:rPr>
                      <w:iCs/>
                      <w:sz w:val="20"/>
                    </w:rPr>
                    <w:t>None</w:t>
                  </w:r>
                </w:p>
              </w:tc>
              <w:tc>
                <w:tcPr>
                  <w:tcW w:w="6390" w:type="dxa"/>
                </w:tcPr>
                <w:p w14:paraId="6420BF10" w14:textId="77777777" w:rsidR="00DB3017" w:rsidRPr="0013396E" w:rsidRDefault="00DB3017" w:rsidP="00DB3017">
                  <w:pPr>
                    <w:spacing w:after="60"/>
                    <w:rPr>
                      <w:i/>
                      <w:iCs/>
                      <w:sz w:val="20"/>
                    </w:rPr>
                  </w:pPr>
                  <w:r w:rsidRPr="0013396E">
                    <w:rPr>
                      <w:i/>
                      <w:iCs/>
                      <w:sz w:val="20"/>
                    </w:rPr>
                    <w:t xml:space="preserve">Must-Run Alternative Event Performance Reduction </w:t>
                  </w:r>
                  <w:r w:rsidRPr="0013396E">
                    <w:rPr>
                      <w:i/>
                      <w:sz w:val="20"/>
                    </w:rPr>
                    <w:t xml:space="preserve">Factor per QSE per Resource  </w:t>
                  </w:r>
                  <w:r w:rsidRPr="0013396E">
                    <w:rPr>
                      <w:sz w:val="20"/>
                    </w:rPr>
                    <w:t>—The event performance reduction factor of the MRA</w:t>
                  </w:r>
                  <w:r w:rsidRPr="0013396E">
                    <w:rPr>
                      <w:i/>
                      <w:iCs/>
                      <w:sz w:val="20"/>
                    </w:rPr>
                    <w:t xml:space="preserve"> r </w:t>
                  </w:r>
                  <w:r w:rsidRPr="0013396E">
                    <w:rPr>
                      <w:iCs/>
                      <w:sz w:val="20"/>
                    </w:rPr>
                    <w:t xml:space="preserve">represented by QSE </w:t>
                  </w:r>
                  <w:r w:rsidRPr="0013396E">
                    <w:rPr>
                      <w:i/>
                      <w:iCs/>
                      <w:sz w:val="20"/>
                    </w:rPr>
                    <w:t>q</w:t>
                  </w:r>
                  <w:r w:rsidRPr="0013396E">
                    <w:rPr>
                      <w:sz w:val="20"/>
                    </w:rPr>
                    <w:t xml:space="preserve">, for each hour of the month </w:t>
                  </w:r>
                  <w:r w:rsidRPr="0013396E">
                    <w:rPr>
                      <w:i/>
                      <w:sz w:val="20"/>
                    </w:rPr>
                    <w:t>m</w:t>
                  </w:r>
                  <w:r w:rsidRPr="0013396E">
                    <w:rPr>
                      <w:sz w:val="20"/>
                    </w:rPr>
                    <w:t xml:space="preserve">, as calculated per Section 3.14.4.6.5, MRA Event Performance Measurement and Verification.  If the MRAEPRF for the month is not available then the most recent MRAEPRF prior to the month of the Operating Day shall be used.  If no previous MRAEPRF is available then MRAEPRF shall be set to 1.  Where for a Combined Cycle Train, the Resource </w:t>
                  </w:r>
                  <w:r w:rsidRPr="0013396E">
                    <w:rPr>
                      <w:i/>
                      <w:sz w:val="20"/>
                    </w:rPr>
                    <w:t xml:space="preserve">r </w:t>
                  </w:r>
                  <w:r w:rsidRPr="0013396E">
                    <w:rPr>
                      <w:sz w:val="20"/>
                    </w:rPr>
                    <w:t>is the Combined Cycle Train.</w:t>
                  </w:r>
                </w:p>
              </w:tc>
            </w:tr>
            <w:tr w:rsidR="00DB3017" w:rsidRPr="0013396E" w14:paraId="2604C42B" w14:textId="77777777" w:rsidTr="00CE1011">
              <w:trPr>
                <w:cantSplit/>
              </w:trPr>
              <w:tc>
                <w:tcPr>
                  <w:tcW w:w="1885" w:type="dxa"/>
                </w:tcPr>
                <w:p w14:paraId="017D32EB" w14:textId="77777777" w:rsidR="00DB3017" w:rsidRPr="0013396E" w:rsidRDefault="00DB3017" w:rsidP="00DB3017">
                  <w:pPr>
                    <w:spacing w:after="60"/>
                    <w:rPr>
                      <w:iCs/>
                      <w:sz w:val="20"/>
                    </w:rPr>
                  </w:pPr>
                  <w:r w:rsidRPr="0013396E">
                    <w:rPr>
                      <w:iCs/>
                      <w:sz w:val="20"/>
                    </w:rPr>
                    <w:t xml:space="preserve">MRAPSUFQ </w:t>
                  </w:r>
                  <w:r w:rsidRPr="0013396E">
                    <w:rPr>
                      <w:i/>
                      <w:iCs/>
                      <w:sz w:val="20"/>
                      <w:vertAlign w:val="subscript"/>
                    </w:rPr>
                    <w:t>q, r</w:t>
                  </w:r>
                </w:p>
              </w:tc>
              <w:tc>
                <w:tcPr>
                  <w:tcW w:w="1080" w:type="dxa"/>
                </w:tcPr>
                <w:p w14:paraId="3B17106D" w14:textId="77777777" w:rsidR="00DB3017" w:rsidRPr="0013396E" w:rsidRDefault="00DB3017" w:rsidP="00DB3017">
                  <w:pPr>
                    <w:spacing w:after="60"/>
                    <w:rPr>
                      <w:iCs/>
                      <w:sz w:val="20"/>
                    </w:rPr>
                  </w:pPr>
                  <w:r w:rsidRPr="0013396E">
                    <w:rPr>
                      <w:iCs/>
                      <w:sz w:val="20"/>
                    </w:rPr>
                    <w:t>MMBtu</w:t>
                  </w:r>
                </w:p>
              </w:tc>
              <w:tc>
                <w:tcPr>
                  <w:tcW w:w="6390" w:type="dxa"/>
                </w:tcPr>
                <w:p w14:paraId="7EDE0222" w14:textId="77777777" w:rsidR="00DB3017" w:rsidRPr="0013396E" w:rsidRDefault="00DB3017" w:rsidP="00DB3017">
                  <w:pPr>
                    <w:spacing w:after="60"/>
                    <w:rPr>
                      <w:iCs/>
                      <w:sz w:val="20"/>
                    </w:rPr>
                  </w:pPr>
                  <w:r w:rsidRPr="0013396E">
                    <w:rPr>
                      <w:i/>
                      <w:iCs/>
                      <w:sz w:val="20"/>
                    </w:rPr>
                    <w:t>Must-Run Alternative Proxy Startup Fuel Quantity per QSE per Resource</w:t>
                  </w:r>
                  <w:r w:rsidRPr="0013396E">
                    <w:rPr>
                      <w:iCs/>
                      <w:sz w:val="20"/>
                    </w:rPr>
                    <w:sym w:font="Symbol" w:char="F0BE"/>
                  </w:r>
                  <w:r w:rsidRPr="0013396E">
                    <w:rPr>
                      <w:iCs/>
                      <w:sz w:val="20"/>
                    </w:rPr>
                    <w:t xml:space="preserve">The proxy start up fuel quantity specified in the MRA Agreement for MRA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DB3017" w:rsidRPr="0013396E" w14:paraId="0E661FFD" w14:textId="77777777" w:rsidTr="00CE1011">
              <w:trPr>
                <w:cantSplit/>
              </w:trPr>
              <w:tc>
                <w:tcPr>
                  <w:tcW w:w="1885" w:type="dxa"/>
                </w:tcPr>
                <w:p w14:paraId="1FE67C2A" w14:textId="77777777" w:rsidR="00DB3017" w:rsidRPr="0013396E" w:rsidRDefault="00DB3017" w:rsidP="00DB3017">
                  <w:pPr>
                    <w:spacing w:after="60"/>
                    <w:rPr>
                      <w:iCs/>
                      <w:sz w:val="20"/>
                    </w:rPr>
                  </w:pPr>
                  <w:r w:rsidRPr="0013396E">
                    <w:rPr>
                      <w:iCs/>
                      <w:sz w:val="20"/>
                    </w:rPr>
                    <w:t>MRAH</w:t>
                  </w:r>
                  <w:r w:rsidRPr="0013396E">
                    <w:rPr>
                      <w:i/>
                      <w:sz w:val="20"/>
                      <w:vertAlign w:val="subscript"/>
                    </w:rPr>
                    <w:t xml:space="preserve"> </w:t>
                  </w:r>
                  <w:r w:rsidRPr="0013396E">
                    <w:rPr>
                      <w:i/>
                      <w:iCs/>
                      <w:sz w:val="20"/>
                      <w:vertAlign w:val="subscript"/>
                    </w:rPr>
                    <w:t>q, r</w:t>
                  </w:r>
                </w:p>
              </w:tc>
              <w:tc>
                <w:tcPr>
                  <w:tcW w:w="1080" w:type="dxa"/>
                </w:tcPr>
                <w:p w14:paraId="6836293A" w14:textId="77777777" w:rsidR="00DB3017" w:rsidRPr="0013396E" w:rsidRDefault="00DB3017" w:rsidP="00DB3017">
                  <w:pPr>
                    <w:spacing w:after="60"/>
                    <w:rPr>
                      <w:iCs/>
                      <w:sz w:val="20"/>
                    </w:rPr>
                  </w:pPr>
                  <w:r w:rsidRPr="0013396E">
                    <w:rPr>
                      <w:sz w:val="20"/>
                    </w:rPr>
                    <w:t>Hour</w:t>
                  </w:r>
                </w:p>
              </w:tc>
              <w:tc>
                <w:tcPr>
                  <w:tcW w:w="6390" w:type="dxa"/>
                </w:tcPr>
                <w:p w14:paraId="00D88B56" w14:textId="77777777" w:rsidR="00DB3017" w:rsidRPr="0013396E" w:rsidRDefault="00DB3017" w:rsidP="00DB3017">
                  <w:pPr>
                    <w:spacing w:after="60"/>
                    <w:rPr>
                      <w:i/>
                      <w:sz w:val="20"/>
                    </w:rPr>
                  </w:pPr>
                  <w:r w:rsidRPr="0013396E">
                    <w:rPr>
                      <w:i/>
                      <w:iCs/>
                      <w:sz w:val="20"/>
                    </w:rPr>
                    <w:t>Must-Run Alternative Hours</w:t>
                  </w:r>
                  <w:r w:rsidRPr="0013396E">
                    <w:rPr>
                      <w:iCs/>
                      <w:sz w:val="20"/>
                    </w:rPr>
                    <w:t xml:space="preserve">—The number of hours during which MRA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received a deployment instruction for each deployment event for the Operating Day.  Where for a Combined Cycle Train, the Resource </w:t>
                  </w:r>
                  <w:r w:rsidRPr="0013396E">
                    <w:rPr>
                      <w:i/>
                      <w:iCs/>
                      <w:sz w:val="20"/>
                    </w:rPr>
                    <w:t xml:space="preserve">r </w:t>
                  </w:r>
                  <w:r w:rsidRPr="0013396E">
                    <w:rPr>
                      <w:iCs/>
                      <w:sz w:val="20"/>
                    </w:rPr>
                    <w:t>is the Combined Cycle Train.</w:t>
                  </w:r>
                </w:p>
              </w:tc>
            </w:tr>
            <w:tr w:rsidR="00DB3017" w:rsidRPr="0013396E" w14:paraId="72B6419E" w14:textId="77777777" w:rsidTr="00CE1011">
              <w:trPr>
                <w:cantSplit/>
              </w:trPr>
              <w:tc>
                <w:tcPr>
                  <w:tcW w:w="1885" w:type="dxa"/>
                </w:tcPr>
                <w:p w14:paraId="7EE5D3CC" w14:textId="77777777" w:rsidR="00DB3017" w:rsidRPr="0013396E" w:rsidRDefault="00DB3017" w:rsidP="00DB3017">
                  <w:pPr>
                    <w:spacing w:after="60"/>
                    <w:rPr>
                      <w:iCs/>
                      <w:sz w:val="20"/>
                    </w:rPr>
                  </w:pPr>
                  <w:r w:rsidRPr="0013396E">
                    <w:rPr>
                      <w:iCs/>
                      <w:sz w:val="20"/>
                    </w:rPr>
                    <w:t xml:space="preserve">MRAFLAG </w:t>
                  </w:r>
                  <w:r w:rsidRPr="0013396E">
                    <w:rPr>
                      <w:i/>
                      <w:iCs/>
                      <w:sz w:val="20"/>
                      <w:vertAlign w:val="subscript"/>
                    </w:rPr>
                    <w:t>q, r, h</w:t>
                  </w:r>
                </w:p>
              </w:tc>
              <w:tc>
                <w:tcPr>
                  <w:tcW w:w="1080" w:type="dxa"/>
                </w:tcPr>
                <w:p w14:paraId="51FB28DD" w14:textId="77777777" w:rsidR="00DB3017" w:rsidRPr="0013396E" w:rsidRDefault="00DB3017" w:rsidP="00DB3017">
                  <w:pPr>
                    <w:spacing w:after="60"/>
                    <w:rPr>
                      <w:sz w:val="20"/>
                    </w:rPr>
                  </w:pPr>
                  <w:r w:rsidRPr="0013396E">
                    <w:rPr>
                      <w:sz w:val="20"/>
                    </w:rPr>
                    <w:t>none</w:t>
                  </w:r>
                </w:p>
              </w:tc>
              <w:tc>
                <w:tcPr>
                  <w:tcW w:w="6390" w:type="dxa"/>
                </w:tcPr>
                <w:p w14:paraId="2B5B9029" w14:textId="77777777" w:rsidR="00DB3017" w:rsidRPr="0013396E" w:rsidRDefault="00DB3017" w:rsidP="00DB3017">
                  <w:pPr>
                    <w:spacing w:after="60"/>
                    <w:rPr>
                      <w:iCs/>
                      <w:sz w:val="20"/>
                    </w:rPr>
                  </w:pPr>
                  <w:r w:rsidRPr="0013396E">
                    <w:rPr>
                      <w:i/>
                      <w:iCs/>
                      <w:sz w:val="20"/>
                    </w:rPr>
                    <w:t xml:space="preserve">Must-Run Alternative Flag – </w:t>
                  </w:r>
                  <w:r w:rsidRPr="0013396E">
                    <w:rPr>
                      <w:iCs/>
                      <w:sz w:val="20"/>
                    </w:rPr>
                    <w:t xml:space="preserve">An indicator to signify that an MRA </w:t>
                  </w:r>
                  <w:r w:rsidRPr="0013396E">
                    <w:rPr>
                      <w:i/>
                      <w:iCs/>
                      <w:sz w:val="20"/>
                    </w:rPr>
                    <w:t xml:space="preserve">r </w:t>
                  </w:r>
                  <w:r w:rsidRPr="0013396E">
                    <w:rPr>
                      <w:iCs/>
                      <w:sz w:val="20"/>
                    </w:rPr>
                    <w:t xml:space="preserve">represented by QSE </w:t>
                  </w:r>
                  <w:r w:rsidRPr="0013396E">
                    <w:rPr>
                      <w:i/>
                      <w:iCs/>
                      <w:sz w:val="20"/>
                    </w:rPr>
                    <w:t xml:space="preserve">q </w:t>
                  </w:r>
                  <w:r w:rsidRPr="0013396E">
                    <w:rPr>
                      <w:iCs/>
                      <w:sz w:val="20"/>
                    </w:rPr>
                    <w:t xml:space="preserve">followed the deployment instruction for the event for the hour </w:t>
                  </w:r>
                  <w:r w:rsidRPr="0013396E">
                    <w:rPr>
                      <w:i/>
                      <w:iCs/>
                      <w:sz w:val="20"/>
                    </w:rPr>
                    <w:t>h</w:t>
                  </w:r>
                  <w:r w:rsidRPr="0013396E">
                    <w:rPr>
                      <w:iCs/>
                      <w:sz w:val="20"/>
                    </w:rPr>
                    <w:t xml:space="preserve">.  An MRAFLAG value of 1 represents followed and a 0 represents did not follow the deployment.  </w:t>
                  </w:r>
                  <w:r w:rsidRPr="0013396E">
                    <w:rPr>
                      <w:sz w:val="20"/>
                    </w:rPr>
                    <w:t xml:space="preserve">Where for a Combined Cycle Train, the Resource </w:t>
                  </w:r>
                  <w:r w:rsidRPr="0013396E">
                    <w:rPr>
                      <w:i/>
                      <w:sz w:val="20"/>
                    </w:rPr>
                    <w:t xml:space="preserve">r </w:t>
                  </w:r>
                  <w:r w:rsidRPr="0013396E">
                    <w:rPr>
                      <w:sz w:val="20"/>
                    </w:rPr>
                    <w:t>is the Combined Cycle Train.</w:t>
                  </w:r>
                </w:p>
              </w:tc>
            </w:tr>
            <w:tr w:rsidR="00DB3017" w:rsidRPr="0013396E" w14:paraId="5CAB6A7F" w14:textId="77777777" w:rsidTr="00CE1011">
              <w:trPr>
                <w:cantSplit/>
              </w:trPr>
              <w:tc>
                <w:tcPr>
                  <w:tcW w:w="1885" w:type="dxa"/>
                </w:tcPr>
                <w:p w14:paraId="55004A9A" w14:textId="77777777" w:rsidR="00DB3017" w:rsidRPr="0013396E" w:rsidRDefault="00DB3017" w:rsidP="00DB3017">
                  <w:pPr>
                    <w:spacing w:after="60"/>
                    <w:rPr>
                      <w:iCs/>
                      <w:sz w:val="20"/>
                    </w:rPr>
                  </w:pPr>
                  <w:r w:rsidRPr="0013396E">
                    <w:rPr>
                      <w:iCs/>
                      <w:sz w:val="20"/>
                    </w:rPr>
                    <w:t>MRACEFA</w:t>
                  </w:r>
                  <w:r w:rsidRPr="0013396E">
                    <w:rPr>
                      <w:iCs/>
                      <w:sz w:val="20"/>
                      <w:vertAlign w:val="subscript"/>
                    </w:rPr>
                    <w:t xml:space="preserve"> </w:t>
                  </w:r>
                  <w:r w:rsidRPr="0013396E">
                    <w:rPr>
                      <w:i/>
                      <w:iCs/>
                      <w:sz w:val="20"/>
                      <w:vertAlign w:val="subscript"/>
                    </w:rPr>
                    <w:t>q, r</w:t>
                  </w:r>
                </w:p>
              </w:tc>
              <w:tc>
                <w:tcPr>
                  <w:tcW w:w="1080" w:type="dxa"/>
                </w:tcPr>
                <w:p w14:paraId="073AC7B2" w14:textId="77777777" w:rsidR="00DB3017" w:rsidRPr="0013396E" w:rsidRDefault="00DB3017" w:rsidP="00DB3017">
                  <w:pPr>
                    <w:spacing w:after="60"/>
                    <w:rPr>
                      <w:iCs/>
                      <w:sz w:val="20"/>
                    </w:rPr>
                  </w:pPr>
                  <w:r w:rsidRPr="0013396E">
                    <w:rPr>
                      <w:iCs/>
                      <w:sz w:val="20"/>
                    </w:rPr>
                    <w:t>$/MMBtu</w:t>
                  </w:r>
                </w:p>
              </w:tc>
              <w:tc>
                <w:tcPr>
                  <w:tcW w:w="6390" w:type="dxa"/>
                </w:tcPr>
                <w:p w14:paraId="750BB1A8" w14:textId="0C73A4EC" w:rsidR="00DB3017" w:rsidRPr="0013396E" w:rsidRDefault="00DB3017" w:rsidP="00DB3017">
                  <w:pPr>
                    <w:spacing w:after="60"/>
                    <w:rPr>
                      <w:iCs/>
                      <w:sz w:val="20"/>
                    </w:rPr>
                  </w:pPr>
                  <w:r w:rsidRPr="0013396E">
                    <w:rPr>
                      <w:i/>
                      <w:iCs/>
                      <w:sz w:val="20"/>
                    </w:rPr>
                    <w:t>Must-Run Alternative Contractual Estimated Fuel Adder</w:t>
                  </w:r>
                  <w:r w:rsidRPr="0013396E">
                    <w:rPr>
                      <w:iCs/>
                      <w:sz w:val="20"/>
                    </w:rPr>
                    <w:t xml:space="preserve">—The </w:t>
                  </w:r>
                  <w:r w:rsidR="00371616" w:rsidRPr="0013396E">
                    <w:rPr>
                      <w:iCs/>
                      <w:sz w:val="20"/>
                    </w:rPr>
                    <w:t xml:space="preserve">MRA </w:t>
                  </w:r>
                  <w:r w:rsidRPr="0013396E">
                    <w:rPr>
                      <w:iCs/>
                      <w:sz w:val="20"/>
                    </w:rPr>
                    <w:t xml:space="preserve">Estimated Fuel Adder for the </w:t>
                  </w:r>
                  <w:r w:rsidRPr="0013396E">
                    <w:rPr>
                      <w:sz w:val="20"/>
                    </w:rPr>
                    <w:t>MRA</w:t>
                  </w:r>
                  <w:r w:rsidRPr="0013396E">
                    <w:rPr>
                      <w:i/>
                      <w:iCs/>
                      <w:sz w:val="20"/>
                    </w:rPr>
                    <w:t xml:space="preserve"> r </w:t>
                  </w:r>
                  <w:r w:rsidRPr="0013396E">
                    <w:rPr>
                      <w:iCs/>
                      <w:sz w:val="20"/>
                    </w:rPr>
                    <w:t xml:space="preserve">represented by QSE </w:t>
                  </w:r>
                  <w:r w:rsidRPr="0013396E">
                    <w:rPr>
                      <w:i/>
                      <w:iCs/>
                      <w:sz w:val="20"/>
                    </w:rPr>
                    <w:t>q</w:t>
                  </w:r>
                  <w:r w:rsidRPr="0013396E">
                    <w:rPr>
                      <w:iCs/>
                      <w:sz w:val="20"/>
                    </w:rPr>
                    <w:t xml:space="preserve"> as specified in the MRA Agreement.  Where for a Combined Cycle Train, the Generation Resource </w:t>
                  </w:r>
                  <w:r w:rsidRPr="0013396E">
                    <w:rPr>
                      <w:i/>
                      <w:iCs/>
                      <w:sz w:val="20"/>
                    </w:rPr>
                    <w:t xml:space="preserve">r </w:t>
                  </w:r>
                  <w:r w:rsidRPr="0013396E">
                    <w:rPr>
                      <w:iCs/>
                      <w:sz w:val="20"/>
                    </w:rPr>
                    <w:t xml:space="preserve">is the Combined Cycle Train.  </w:t>
                  </w:r>
                </w:p>
              </w:tc>
            </w:tr>
            <w:tr w:rsidR="00DB3017" w:rsidRPr="0013396E" w14:paraId="5F5CE265" w14:textId="77777777" w:rsidTr="00CE1011">
              <w:trPr>
                <w:cantSplit/>
              </w:trPr>
              <w:tc>
                <w:tcPr>
                  <w:tcW w:w="1885" w:type="dxa"/>
                </w:tcPr>
                <w:p w14:paraId="37217CB4" w14:textId="77777777" w:rsidR="00DB3017" w:rsidRPr="0013396E" w:rsidRDefault="00DB3017" w:rsidP="00DB3017">
                  <w:pPr>
                    <w:spacing w:after="60"/>
                    <w:rPr>
                      <w:i/>
                      <w:iCs/>
                      <w:sz w:val="20"/>
                    </w:rPr>
                  </w:pPr>
                  <w:r w:rsidRPr="0013396E">
                    <w:rPr>
                      <w:i/>
                      <w:iCs/>
                      <w:sz w:val="20"/>
                    </w:rPr>
                    <w:t>q</w:t>
                  </w:r>
                </w:p>
              </w:tc>
              <w:tc>
                <w:tcPr>
                  <w:tcW w:w="1080" w:type="dxa"/>
                </w:tcPr>
                <w:p w14:paraId="1AB9D4D1" w14:textId="77777777" w:rsidR="00DB3017" w:rsidRPr="0013396E" w:rsidRDefault="00DB3017" w:rsidP="00DB3017">
                  <w:pPr>
                    <w:spacing w:after="60"/>
                    <w:rPr>
                      <w:iCs/>
                      <w:sz w:val="20"/>
                    </w:rPr>
                  </w:pPr>
                  <w:r w:rsidRPr="0013396E">
                    <w:rPr>
                      <w:iCs/>
                      <w:sz w:val="20"/>
                    </w:rPr>
                    <w:t>none</w:t>
                  </w:r>
                </w:p>
              </w:tc>
              <w:tc>
                <w:tcPr>
                  <w:tcW w:w="6390" w:type="dxa"/>
                </w:tcPr>
                <w:p w14:paraId="66261E14" w14:textId="77777777" w:rsidR="00DB3017" w:rsidRPr="0013396E" w:rsidRDefault="00DB3017" w:rsidP="00DB3017">
                  <w:pPr>
                    <w:spacing w:after="60"/>
                    <w:rPr>
                      <w:iCs/>
                      <w:sz w:val="20"/>
                    </w:rPr>
                  </w:pPr>
                  <w:r w:rsidRPr="0013396E">
                    <w:rPr>
                      <w:iCs/>
                      <w:sz w:val="20"/>
                    </w:rPr>
                    <w:t>A QSE.</w:t>
                  </w:r>
                </w:p>
              </w:tc>
            </w:tr>
            <w:tr w:rsidR="00DB3017" w:rsidRPr="0013396E" w14:paraId="76BC6F89" w14:textId="77777777" w:rsidTr="00CE1011">
              <w:trPr>
                <w:cantSplit/>
              </w:trPr>
              <w:tc>
                <w:tcPr>
                  <w:tcW w:w="1885" w:type="dxa"/>
                </w:tcPr>
                <w:p w14:paraId="09662392" w14:textId="77777777" w:rsidR="00DB3017" w:rsidRPr="0013396E" w:rsidRDefault="00DB3017" w:rsidP="00DB3017">
                  <w:pPr>
                    <w:spacing w:after="60"/>
                    <w:rPr>
                      <w:i/>
                      <w:iCs/>
                      <w:sz w:val="20"/>
                    </w:rPr>
                  </w:pPr>
                  <w:r w:rsidRPr="0013396E">
                    <w:rPr>
                      <w:i/>
                      <w:iCs/>
                      <w:sz w:val="20"/>
                    </w:rPr>
                    <w:t>r</w:t>
                  </w:r>
                </w:p>
              </w:tc>
              <w:tc>
                <w:tcPr>
                  <w:tcW w:w="1080" w:type="dxa"/>
                </w:tcPr>
                <w:p w14:paraId="2E6F5A94" w14:textId="77777777" w:rsidR="00DB3017" w:rsidRPr="0013396E" w:rsidRDefault="00DB3017" w:rsidP="00DB3017">
                  <w:pPr>
                    <w:spacing w:after="60"/>
                    <w:rPr>
                      <w:iCs/>
                      <w:sz w:val="20"/>
                    </w:rPr>
                  </w:pPr>
                  <w:r w:rsidRPr="0013396E">
                    <w:rPr>
                      <w:iCs/>
                      <w:sz w:val="20"/>
                    </w:rPr>
                    <w:t>none</w:t>
                  </w:r>
                </w:p>
              </w:tc>
              <w:tc>
                <w:tcPr>
                  <w:tcW w:w="6390" w:type="dxa"/>
                </w:tcPr>
                <w:p w14:paraId="00F29EA2" w14:textId="77777777" w:rsidR="00DB3017" w:rsidRPr="0013396E" w:rsidRDefault="00DB3017" w:rsidP="00DB3017">
                  <w:pPr>
                    <w:spacing w:after="60"/>
                    <w:rPr>
                      <w:iCs/>
                      <w:sz w:val="20"/>
                    </w:rPr>
                  </w:pPr>
                  <w:r w:rsidRPr="0013396E">
                    <w:rPr>
                      <w:iCs/>
                      <w:sz w:val="20"/>
                    </w:rPr>
                    <w:t>An MRA.</w:t>
                  </w:r>
                </w:p>
              </w:tc>
            </w:tr>
            <w:tr w:rsidR="00DB3017" w:rsidRPr="0013396E" w14:paraId="758DA43B" w14:textId="77777777" w:rsidTr="00CE1011">
              <w:trPr>
                <w:cantSplit/>
              </w:trPr>
              <w:tc>
                <w:tcPr>
                  <w:tcW w:w="1885" w:type="dxa"/>
                </w:tcPr>
                <w:p w14:paraId="360FCDF0" w14:textId="77777777" w:rsidR="00DB3017" w:rsidRPr="0013396E" w:rsidRDefault="00DB3017" w:rsidP="00DB3017">
                  <w:pPr>
                    <w:spacing w:after="60"/>
                    <w:rPr>
                      <w:i/>
                      <w:iCs/>
                      <w:sz w:val="20"/>
                    </w:rPr>
                  </w:pPr>
                  <w:r w:rsidRPr="0013396E">
                    <w:rPr>
                      <w:i/>
                      <w:iCs/>
                      <w:sz w:val="20"/>
                    </w:rPr>
                    <w:t>m</w:t>
                  </w:r>
                </w:p>
              </w:tc>
              <w:tc>
                <w:tcPr>
                  <w:tcW w:w="1080" w:type="dxa"/>
                </w:tcPr>
                <w:p w14:paraId="175C3640" w14:textId="77777777" w:rsidR="00DB3017" w:rsidRPr="0013396E" w:rsidRDefault="00DB3017" w:rsidP="00DB3017">
                  <w:pPr>
                    <w:spacing w:after="60"/>
                    <w:rPr>
                      <w:iCs/>
                      <w:sz w:val="20"/>
                    </w:rPr>
                  </w:pPr>
                  <w:r w:rsidRPr="0013396E">
                    <w:rPr>
                      <w:iCs/>
                      <w:sz w:val="20"/>
                    </w:rPr>
                    <w:t>none</w:t>
                  </w:r>
                </w:p>
              </w:tc>
              <w:tc>
                <w:tcPr>
                  <w:tcW w:w="6390" w:type="dxa"/>
                </w:tcPr>
                <w:p w14:paraId="4799E25B" w14:textId="77777777" w:rsidR="00DB3017" w:rsidRPr="0013396E" w:rsidRDefault="00DB3017" w:rsidP="00DB3017">
                  <w:pPr>
                    <w:spacing w:after="60"/>
                    <w:rPr>
                      <w:iCs/>
                      <w:sz w:val="20"/>
                    </w:rPr>
                  </w:pPr>
                  <w:r w:rsidRPr="0013396E">
                    <w:rPr>
                      <w:sz w:val="20"/>
                    </w:rPr>
                    <w:t xml:space="preserve">An MRA Contracted Month </w:t>
                  </w:r>
                  <w:r w:rsidRPr="0013396E">
                    <w:rPr>
                      <w:iCs/>
                      <w:sz w:val="20"/>
                    </w:rPr>
                    <w:t>under the MRA Agreement</w:t>
                  </w:r>
                  <w:r w:rsidRPr="0013396E">
                    <w:rPr>
                      <w:sz w:val="20"/>
                    </w:rPr>
                    <w:t>.</w:t>
                  </w:r>
                </w:p>
              </w:tc>
            </w:tr>
            <w:tr w:rsidR="00DB3017" w:rsidRPr="0013396E" w14:paraId="0C38CA4E" w14:textId="77777777" w:rsidTr="00CE1011">
              <w:trPr>
                <w:cantSplit/>
              </w:trPr>
              <w:tc>
                <w:tcPr>
                  <w:tcW w:w="1885" w:type="dxa"/>
                  <w:tcBorders>
                    <w:top w:val="single" w:sz="4" w:space="0" w:color="auto"/>
                    <w:left w:val="single" w:sz="4" w:space="0" w:color="auto"/>
                    <w:bottom w:val="single" w:sz="4" w:space="0" w:color="auto"/>
                    <w:right w:val="single" w:sz="4" w:space="0" w:color="auto"/>
                  </w:tcBorders>
                </w:tcPr>
                <w:p w14:paraId="55E27035" w14:textId="77777777" w:rsidR="00DB3017" w:rsidRPr="0013396E" w:rsidRDefault="00DB3017" w:rsidP="00DB3017">
                  <w:pPr>
                    <w:rPr>
                      <w:i/>
                      <w:iCs/>
                      <w:sz w:val="20"/>
                    </w:rPr>
                  </w:pPr>
                  <w:r w:rsidRPr="0013396E">
                    <w:rPr>
                      <w:i/>
                      <w:iCs/>
                      <w:sz w:val="20"/>
                    </w:rPr>
                    <w:t>h</w:t>
                  </w:r>
                </w:p>
              </w:tc>
              <w:tc>
                <w:tcPr>
                  <w:tcW w:w="1080" w:type="dxa"/>
                  <w:tcBorders>
                    <w:top w:val="single" w:sz="4" w:space="0" w:color="auto"/>
                    <w:left w:val="single" w:sz="4" w:space="0" w:color="auto"/>
                    <w:bottom w:val="single" w:sz="4" w:space="0" w:color="auto"/>
                    <w:right w:val="single" w:sz="4" w:space="0" w:color="auto"/>
                  </w:tcBorders>
                </w:tcPr>
                <w:p w14:paraId="6AF775FF" w14:textId="77777777" w:rsidR="00DB3017" w:rsidRPr="0013396E" w:rsidRDefault="00DB3017" w:rsidP="00DB3017">
                  <w:pPr>
                    <w:rPr>
                      <w:iCs/>
                      <w:sz w:val="20"/>
                    </w:rPr>
                  </w:pPr>
                  <w:r w:rsidRPr="0013396E">
                    <w:rPr>
                      <w:iCs/>
                      <w:sz w:val="20"/>
                    </w:rPr>
                    <w:t>none</w:t>
                  </w:r>
                </w:p>
              </w:tc>
              <w:tc>
                <w:tcPr>
                  <w:tcW w:w="6390" w:type="dxa"/>
                  <w:tcBorders>
                    <w:top w:val="single" w:sz="4" w:space="0" w:color="auto"/>
                    <w:left w:val="single" w:sz="4" w:space="0" w:color="auto"/>
                    <w:bottom w:val="single" w:sz="4" w:space="0" w:color="auto"/>
                    <w:right w:val="single" w:sz="4" w:space="0" w:color="auto"/>
                  </w:tcBorders>
                </w:tcPr>
                <w:p w14:paraId="3276A230" w14:textId="77777777" w:rsidR="00DB3017" w:rsidRPr="0013396E" w:rsidRDefault="00DB3017" w:rsidP="00DB3017">
                  <w:pPr>
                    <w:rPr>
                      <w:sz w:val="20"/>
                    </w:rPr>
                  </w:pPr>
                  <w:r w:rsidRPr="0013396E">
                    <w:rPr>
                      <w:sz w:val="20"/>
                    </w:rPr>
                    <w:t>An MRA Contracted Hour under the MRA Agreement for the MRA Contracted Month.</w:t>
                  </w:r>
                </w:p>
              </w:tc>
            </w:tr>
          </w:tbl>
          <w:p w14:paraId="79B5D505" w14:textId="13DD4DFF" w:rsidR="00DB3017" w:rsidRPr="0013396E" w:rsidRDefault="00DB3017" w:rsidP="00DB3017">
            <w:pPr>
              <w:spacing w:before="240" w:after="240"/>
              <w:ind w:left="720" w:hanging="720"/>
              <w:rPr>
                <w:iCs/>
              </w:rPr>
            </w:pPr>
            <w:r w:rsidRPr="0013396E">
              <w:rPr>
                <w:iCs/>
              </w:rPr>
              <w:t>(</w:t>
            </w:r>
            <w:r w:rsidR="00AA432B" w:rsidRPr="0013396E">
              <w:rPr>
                <w:iCs/>
              </w:rPr>
              <w:t>4</w:t>
            </w:r>
            <w:r w:rsidRPr="0013396E">
              <w:rPr>
                <w:iCs/>
              </w:rPr>
              <w:t>)</w:t>
            </w:r>
            <w:r w:rsidRPr="0013396E">
              <w:rPr>
                <w:iCs/>
              </w:rPr>
              <w:tab/>
              <w:t>The total of the deployment event payments for all MRAs represented by the QSE for a given MRA Contracted Hour is calculated as follows:</w:t>
            </w:r>
          </w:p>
          <w:p w14:paraId="4FBA13FB" w14:textId="77777777" w:rsidR="00DB3017" w:rsidRPr="0013396E" w:rsidRDefault="00DB3017" w:rsidP="00DB3017">
            <w:pPr>
              <w:tabs>
                <w:tab w:val="left" w:pos="2340"/>
                <w:tab w:val="left" w:pos="3420"/>
              </w:tabs>
              <w:spacing w:after="240"/>
              <w:ind w:left="3870" w:hanging="3150"/>
              <w:rPr>
                <w:bCs/>
                <w:lang w:val="pt-BR"/>
              </w:rPr>
            </w:pPr>
            <w:r w:rsidRPr="0013396E">
              <w:rPr>
                <w:bCs/>
                <w:lang w:val="pt-BR"/>
              </w:rPr>
              <w:t xml:space="preserve">MRADEAMTQSETOT </w:t>
            </w:r>
            <w:r w:rsidRPr="0013396E">
              <w:rPr>
                <w:bCs/>
                <w:i/>
                <w:vertAlign w:val="subscript"/>
                <w:lang w:val="pt-BR"/>
              </w:rPr>
              <w:t>q</w:t>
            </w:r>
            <w:r w:rsidRPr="0013396E">
              <w:rPr>
                <w:bCs/>
                <w:lang w:val="pt-BR"/>
              </w:rPr>
              <w:t xml:space="preserve">  =  </w:t>
            </w:r>
            <w:r w:rsidRPr="0013396E">
              <w:rPr>
                <w:bCs/>
                <w:position w:val="-18"/>
                <w:lang w:val="pt-BR"/>
              </w:rPr>
              <w:object w:dxaOrig="225" w:dyaOrig="420" w14:anchorId="37111A37">
                <v:shape id="_x0000_i1185" type="#_x0000_t75" style="width:12pt;height:24pt" o:ole="">
                  <v:imagedata r:id="rId201" o:title=""/>
                </v:shape>
                <o:OLEObject Type="Embed" ProgID="Equation.3" ShapeID="_x0000_i1185" DrawAspect="Content" ObjectID="_1849065815" r:id="rId236"/>
              </w:object>
            </w:r>
            <w:r w:rsidRPr="0013396E">
              <w:rPr>
                <w:bCs/>
                <w:color w:val="000000"/>
                <w:lang w:val="pt-BR"/>
              </w:rPr>
              <w:t xml:space="preserve"> MRADEAMT </w:t>
            </w:r>
            <w:r w:rsidRPr="0013396E">
              <w:rPr>
                <w:bCs/>
                <w:i/>
                <w:vertAlign w:val="subscript"/>
                <w:lang w:val="pt-BR"/>
              </w:rPr>
              <w:t>q, r, h</w:t>
            </w:r>
            <w:r w:rsidRPr="0013396E">
              <w:rPr>
                <w:bCs/>
                <w:lang w:val="pt-BR"/>
              </w:rPr>
              <w:t xml:space="preserve"> </w:t>
            </w:r>
            <w:r w:rsidRPr="0013396E">
              <w:rPr>
                <w:bCs/>
                <w:i/>
                <w:vertAlign w:val="subscript"/>
                <w:lang w:val="pt-BR"/>
              </w:rPr>
              <w:t xml:space="preserve">  </w:t>
            </w:r>
          </w:p>
          <w:p w14:paraId="309D6511" w14:textId="77777777" w:rsidR="00DB3017" w:rsidRPr="0013396E" w:rsidRDefault="00DB3017" w:rsidP="00DB3017">
            <w:r w:rsidRPr="0013396E">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619"/>
              <w:gridCol w:w="6399"/>
            </w:tblGrid>
            <w:tr w:rsidR="00A628E7" w:rsidRPr="0013396E" w14:paraId="6471906E" w14:textId="77777777" w:rsidTr="00CE1011">
              <w:trPr>
                <w:cantSplit/>
                <w:tblHeader/>
              </w:trPr>
              <w:tc>
                <w:tcPr>
                  <w:tcW w:w="1249" w:type="pct"/>
                </w:tcPr>
                <w:p w14:paraId="213B11B2" w14:textId="77777777" w:rsidR="00A628E7" w:rsidRPr="0013396E" w:rsidRDefault="00A628E7" w:rsidP="00A628E7">
                  <w:pPr>
                    <w:spacing w:after="240"/>
                    <w:rPr>
                      <w:b/>
                      <w:iCs/>
                      <w:sz w:val="20"/>
                    </w:rPr>
                  </w:pPr>
                  <w:r w:rsidRPr="0013396E">
                    <w:rPr>
                      <w:b/>
                      <w:iCs/>
                      <w:sz w:val="20"/>
                    </w:rPr>
                    <w:t>Variable</w:t>
                  </w:r>
                </w:p>
              </w:tc>
              <w:tc>
                <w:tcPr>
                  <w:tcW w:w="331" w:type="pct"/>
                </w:tcPr>
                <w:p w14:paraId="7222AF4E" w14:textId="77777777" w:rsidR="00A628E7" w:rsidRPr="0013396E" w:rsidRDefault="00A628E7" w:rsidP="00A628E7">
                  <w:pPr>
                    <w:spacing w:after="240"/>
                    <w:rPr>
                      <w:b/>
                      <w:iCs/>
                      <w:sz w:val="20"/>
                    </w:rPr>
                  </w:pPr>
                  <w:r w:rsidRPr="0013396E">
                    <w:rPr>
                      <w:b/>
                      <w:iCs/>
                      <w:sz w:val="20"/>
                    </w:rPr>
                    <w:t>Unit</w:t>
                  </w:r>
                </w:p>
              </w:tc>
              <w:tc>
                <w:tcPr>
                  <w:tcW w:w="3420" w:type="pct"/>
                </w:tcPr>
                <w:p w14:paraId="37AC34C7" w14:textId="77777777" w:rsidR="00A628E7" w:rsidRPr="0013396E" w:rsidRDefault="00A628E7" w:rsidP="00A628E7">
                  <w:pPr>
                    <w:spacing w:after="240"/>
                    <w:rPr>
                      <w:b/>
                      <w:iCs/>
                      <w:sz w:val="20"/>
                    </w:rPr>
                  </w:pPr>
                  <w:r w:rsidRPr="0013396E">
                    <w:rPr>
                      <w:b/>
                      <w:iCs/>
                      <w:sz w:val="20"/>
                    </w:rPr>
                    <w:t>Definition</w:t>
                  </w:r>
                </w:p>
              </w:tc>
            </w:tr>
            <w:tr w:rsidR="00A628E7" w:rsidRPr="0013396E" w14:paraId="31CEE5E1" w14:textId="77777777" w:rsidTr="00CE1011">
              <w:trPr>
                <w:cantSplit/>
              </w:trPr>
              <w:tc>
                <w:tcPr>
                  <w:tcW w:w="1249" w:type="pct"/>
                </w:tcPr>
                <w:p w14:paraId="73BEB981" w14:textId="77777777" w:rsidR="00A628E7" w:rsidRPr="0013396E" w:rsidRDefault="00A628E7" w:rsidP="00A628E7">
                  <w:pPr>
                    <w:spacing w:after="60"/>
                    <w:rPr>
                      <w:iCs/>
                      <w:sz w:val="20"/>
                    </w:rPr>
                  </w:pPr>
                  <w:r w:rsidRPr="0013396E">
                    <w:rPr>
                      <w:iCs/>
                      <w:sz w:val="20"/>
                    </w:rPr>
                    <w:t xml:space="preserve">MRADEAMTQSETOT </w:t>
                  </w:r>
                  <w:r w:rsidRPr="0013396E">
                    <w:rPr>
                      <w:i/>
                      <w:iCs/>
                      <w:sz w:val="20"/>
                      <w:vertAlign w:val="subscript"/>
                    </w:rPr>
                    <w:t>q</w:t>
                  </w:r>
                  <w:r w:rsidRPr="0013396E">
                    <w:rPr>
                      <w:iCs/>
                      <w:sz w:val="20"/>
                    </w:rPr>
                    <w:t xml:space="preserve">  </w:t>
                  </w:r>
                </w:p>
              </w:tc>
              <w:tc>
                <w:tcPr>
                  <w:tcW w:w="331" w:type="pct"/>
                </w:tcPr>
                <w:p w14:paraId="76DF7921" w14:textId="77777777" w:rsidR="00A628E7" w:rsidRPr="0013396E" w:rsidRDefault="00A628E7" w:rsidP="00A628E7">
                  <w:pPr>
                    <w:spacing w:after="60"/>
                    <w:rPr>
                      <w:iCs/>
                      <w:sz w:val="20"/>
                    </w:rPr>
                  </w:pPr>
                  <w:r w:rsidRPr="0013396E">
                    <w:rPr>
                      <w:iCs/>
                      <w:sz w:val="20"/>
                    </w:rPr>
                    <w:t>$</w:t>
                  </w:r>
                </w:p>
              </w:tc>
              <w:tc>
                <w:tcPr>
                  <w:tcW w:w="3420" w:type="pct"/>
                </w:tcPr>
                <w:p w14:paraId="7636DD26" w14:textId="77777777" w:rsidR="00A628E7" w:rsidRPr="0013396E" w:rsidRDefault="00A628E7" w:rsidP="00A628E7">
                  <w:pPr>
                    <w:spacing w:after="60"/>
                    <w:rPr>
                      <w:iCs/>
                      <w:sz w:val="20"/>
                    </w:rPr>
                  </w:pPr>
                  <w:r w:rsidRPr="0013396E">
                    <w:rPr>
                      <w:i/>
                      <w:iCs/>
                      <w:sz w:val="20"/>
                    </w:rPr>
                    <w:t xml:space="preserve">Must-Run Alternative </w:t>
                  </w:r>
                  <w:r w:rsidRPr="0013396E">
                    <w:rPr>
                      <w:i/>
                      <w:sz w:val="20"/>
                    </w:rPr>
                    <w:t xml:space="preserve">Deployment </w:t>
                  </w:r>
                  <w:r w:rsidRPr="0013396E">
                    <w:rPr>
                      <w:i/>
                      <w:iCs/>
                      <w:sz w:val="20"/>
                    </w:rPr>
                    <w:t>Event Amount per QSE by hour</w:t>
                  </w:r>
                  <w:r w:rsidRPr="0013396E">
                    <w:rPr>
                      <w:iCs/>
                      <w:sz w:val="20"/>
                    </w:rPr>
                    <w:t xml:space="preserve">—The total of the </w:t>
                  </w:r>
                  <w:r w:rsidRPr="0013396E">
                    <w:rPr>
                      <w:sz w:val="20"/>
                    </w:rPr>
                    <w:t xml:space="preserve">deployment event payments </w:t>
                  </w:r>
                  <w:r w:rsidRPr="0013396E">
                    <w:rPr>
                      <w:iCs/>
                      <w:sz w:val="20"/>
                    </w:rPr>
                    <w:t xml:space="preserve">for all MRAs </w:t>
                  </w:r>
                  <w:r w:rsidRPr="0013396E">
                    <w:rPr>
                      <w:i/>
                      <w:iCs/>
                      <w:sz w:val="20"/>
                    </w:rPr>
                    <w:t>r</w:t>
                  </w:r>
                  <w:r w:rsidRPr="0013396E">
                    <w:rPr>
                      <w:iCs/>
                      <w:sz w:val="20"/>
                    </w:rPr>
                    <w:t xml:space="preserve">, represented by the QSE q for the hour. </w:t>
                  </w:r>
                </w:p>
              </w:tc>
            </w:tr>
            <w:tr w:rsidR="00A628E7" w:rsidRPr="0013396E" w14:paraId="58AC1B7A" w14:textId="77777777" w:rsidTr="00CE1011">
              <w:trPr>
                <w:cantSplit/>
              </w:trPr>
              <w:tc>
                <w:tcPr>
                  <w:tcW w:w="1249" w:type="pct"/>
                </w:tcPr>
                <w:p w14:paraId="6955B1F1" w14:textId="77777777" w:rsidR="00A628E7" w:rsidRPr="0013396E" w:rsidRDefault="00A628E7" w:rsidP="00A628E7">
                  <w:pPr>
                    <w:spacing w:after="60"/>
                    <w:rPr>
                      <w:iCs/>
                      <w:sz w:val="20"/>
                    </w:rPr>
                  </w:pPr>
                  <w:r w:rsidRPr="0013396E">
                    <w:rPr>
                      <w:iCs/>
                      <w:sz w:val="20"/>
                    </w:rPr>
                    <w:t>MRADEAMT</w:t>
                  </w:r>
                  <w:r w:rsidRPr="0013396E">
                    <w:rPr>
                      <w:sz w:val="20"/>
                    </w:rPr>
                    <w:t xml:space="preserve"> </w:t>
                  </w:r>
                  <w:r w:rsidRPr="0013396E">
                    <w:rPr>
                      <w:i/>
                      <w:sz w:val="20"/>
                      <w:vertAlign w:val="subscript"/>
                    </w:rPr>
                    <w:t>q, r, h</w:t>
                  </w:r>
                </w:p>
              </w:tc>
              <w:tc>
                <w:tcPr>
                  <w:tcW w:w="331" w:type="pct"/>
                </w:tcPr>
                <w:p w14:paraId="17985627" w14:textId="77777777" w:rsidR="00A628E7" w:rsidRPr="0013396E" w:rsidRDefault="00A628E7" w:rsidP="00A628E7">
                  <w:pPr>
                    <w:spacing w:after="60"/>
                    <w:rPr>
                      <w:iCs/>
                      <w:sz w:val="20"/>
                    </w:rPr>
                  </w:pPr>
                  <w:r w:rsidRPr="0013396E">
                    <w:rPr>
                      <w:iCs/>
                      <w:sz w:val="20"/>
                    </w:rPr>
                    <w:t>$</w:t>
                  </w:r>
                </w:p>
              </w:tc>
              <w:tc>
                <w:tcPr>
                  <w:tcW w:w="3420" w:type="pct"/>
                </w:tcPr>
                <w:p w14:paraId="4A2DC359" w14:textId="77777777" w:rsidR="00A628E7" w:rsidRPr="0013396E" w:rsidRDefault="00A628E7" w:rsidP="00A628E7">
                  <w:pPr>
                    <w:spacing w:after="60"/>
                    <w:rPr>
                      <w:iCs/>
                      <w:sz w:val="20"/>
                    </w:rPr>
                  </w:pPr>
                  <w:r w:rsidRPr="0013396E">
                    <w:rPr>
                      <w:i/>
                      <w:sz w:val="20"/>
                    </w:rPr>
                    <w:t>Must-Run Alternative Deployment Event Amount per QSE per Resource by hour</w:t>
                  </w:r>
                  <w:r w:rsidRPr="0013396E">
                    <w:rPr>
                      <w:sz w:val="20"/>
                    </w:rPr>
                    <w:t xml:space="preserve">—The deployment event payment to QSE </w:t>
                  </w:r>
                  <w:r w:rsidRPr="0013396E">
                    <w:rPr>
                      <w:i/>
                      <w:sz w:val="20"/>
                    </w:rPr>
                    <w:t>q</w:t>
                  </w:r>
                  <w:r w:rsidRPr="0013396E">
                    <w:rPr>
                      <w:sz w:val="20"/>
                    </w:rPr>
                    <w:t xml:space="preserve"> for MRA </w:t>
                  </w:r>
                  <w:r w:rsidRPr="0013396E">
                    <w:rPr>
                      <w:i/>
                      <w:sz w:val="20"/>
                    </w:rPr>
                    <w:t>r</w:t>
                  </w:r>
                  <w:r w:rsidRPr="0013396E">
                    <w:rPr>
                      <w:sz w:val="20"/>
                    </w:rPr>
                    <w:t xml:space="preserve">, for the hour.  Where for a Combined Cycle Train, the Resource </w:t>
                  </w:r>
                  <w:r w:rsidRPr="0013396E">
                    <w:rPr>
                      <w:i/>
                      <w:sz w:val="20"/>
                    </w:rPr>
                    <w:t xml:space="preserve">r </w:t>
                  </w:r>
                  <w:r w:rsidRPr="0013396E">
                    <w:rPr>
                      <w:sz w:val="20"/>
                    </w:rPr>
                    <w:t>is the Combined Cycle Train.</w:t>
                  </w:r>
                </w:p>
              </w:tc>
            </w:tr>
            <w:tr w:rsidR="00A628E7" w:rsidRPr="0013396E" w14:paraId="5B6CDA9E" w14:textId="77777777" w:rsidTr="00CE1011">
              <w:trPr>
                <w:cantSplit/>
              </w:trPr>
              <w:tc>
                <w:tcPr>
                  <w:tcW w:w="1249" w:type="pct"/>
                  <w:tcBorders>
                    <w:top w:val="single" w:sz="4" w:space="0" w:color="auto"/>
                    <w:left w:val="single" w:sz="4" w:space="0" w:color="auto"/>
                    <w:bottom w:val="single" w:sz="4" w:space="0" w:color="auto"/>
                    <w:right w:val="single" w:sz="4" w:space="0" w:color="auto"/>
                  </w:tcBorders>
                </w:tcPr>
                <w:p w14:paraId="5DA6F19B" w14:textId="77777777" w:rsidR="00A628E7" w:rsidRPr="0013396E" w:rsidRDefault="00A628E7" w:rsidP="00A628E7">
                  <w:pPr>
                    <w:spacing w:after="60"/>
                    <w:rPr>
                      <w:i/>
                      <w:iCs/>
                      <w:sz w:val="20"/>
                    </w:rPr>
                  </w:pPr>
                  <w:r w:rsidRPr="0013396E">
                    <w:rPr>
                      <w:i/>
                      <w:iCs/>
                      <w:sz w:val="20"/>
                    </w:rPr>
                    <w:t>q</w:t>
                  </w:r>
                </w:p>
              </w:tc>
              <w:tc>
                <w:tcPr>
                  <w:tcW w:w="331" w:type="pct"/>
                  <w:tcBorders>
                    <w:top w:val="single" w:sz="4" w:space="0" w:color="auto"/>
                    <w:left w:val="single" w:sz="4" w:space="0" w:color="auto"/>
                    <w:bottom w:val="single" w:sz="4" w:space="0" w:color="auto"/>
                    <w:right w:val="single" w:sz="4" w:space="0" w:color="auto"/>
                  </w:tcBorders>
                </w:tcPr>
                <w:p w14:paraId="688FC2CA" w14:textId="77777777" w:rsidR="00A628E7" w:rsidRPr="0013396E" w:rsidRDefault="00A628E7" w:rsidP="00A628E7">
                  <w:pPr>
                    <w:spacing w:after="60"/>
                    <w:rPr>
                      <w:iCs/>
                      <w:sz w:val="20"/>
                    </w:rPr>
                  </w:pPr>
                  <w:r w:rsidRPr="0013396E">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6E30A668" w14:textId="77777777" w:rsidR="00A628E7" w:rsidRPr="0013396E" w:rsidRDefault="00A628E7" w:rsidP="00A628E7">
                  <w:pPr>
                    <w:spacing w:after="60"/>
                    <w:rPr>
                      <w:iCs/>
                      <w:sz w:val="20"/>
                    </w:rPr>
                  </w:pPr>
                  <w:r w:rsidRPr="0013396E">
                    <w:rPr>
                      <w:iCs/>
                      <w:sz w:val="20"/>
                    </w:rPr>
                    <w:t>A QSE.</w:t>
                  </w:r>
                </w:p>
              </w:tc>
            </w:tr>
            <w:tr w:rsidR="00A628E7" w:rsidRPr="0013396E" w14:paraId="7B8A0A74" w14:textId="77777777" w:rsidTr="00CE1011">
              <w:trPr>
                <w:cantSplit/>
              </w:trPr>
              <w:tc>
                <w:tcPr>
                  <w:tcW w:w="1249" w:type="pct"/>
                  <w:tcBorders>
                    <w:top w:val="single" w:sz="4" w:space="0" w:color="auto"/>
                    <w:left w:val="single" w:sz="4" w:space="0" w:color="auto"/>
                    <w:bottom w:val="single" w:sz="4" w:space="0" w:color="auto"/>
                    <w:right w:val="single" w:sz="4" w:space="0" w:color="auto"/>
                  </w:tcBorders>
                </w:tcPr>
                <w:p w14:paraId="7A0BBC88" w14:textId="77777777" w:rsidR="00A628E7" w:rsidRPr="0013396E" w:rsidRDefault="00A628E7" w:rsidP="00A628E7">
                  <w:pPr>
                    <w:spacing w:after="60"/>
                    <w:rPr>
                      <w:i/>
                      <w:iCs/>
                      <w:sz w:val="20"/>
                    </w:rPr>
                  </w:pPr>
                  <w:r w:rsidRPr="0013396E">
                    <w:rPr>
                      <w:i/>
                      <w:iCs/>
                      <w:sz w:val="20"/>
                    </w:rPr>
                    <w:t>r</w:t>
                  </w:r>
                </w:p>
              </w:tc>
              <w:tc>
                <w:tcPr>
                  <w:tcW w:w="331" w:type="pct"/>
                  <w:tcBorders>
                    <w:top w:val="single" w:sz="4" w:space="0" w:color="auto"/>
                    <w:left w:val="single" w:sz="4" w:space="0" w:color="auto"/>
                    <w:bottom w:val="single" w:sz="4" w:space="0" w:color="auto"/>
                    <w:right w:val="single" w:sz="4" w:space="0" w:color="auto"/>
                  </w:tcBorders>
                </w:tcPr>
                <w:p w14:paraId="2F4CA525" w14:textId="77777777" w:rsidR="00A628E7" w:rsidRPr="0013396E" w:rsidRDefault="00A628E7" w:rsidP="00A628E7">
                  <w:pPr>
                    <w:spacing w:after="60"/>
                    <w:rPr>
                      <w:iCs/>
                      <w:sz w:val="20"/>
                    </w:rPr>
                  </w:pPr>
                  <w:r w:rsidRPr="0013396E">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2A683A1C" w14:textId="77777777" w:rsidR="00A628E7" w:rsidRPr="0013396E" w:rsidRDefault="00A628E7" w:rsidP="00A628E7">
                  <w:pPr>
                    <w:spacing w:after="60"/>
                    <w:rPr>
                      <w:iCs/>
                      <w:sz w:val="20"/>
                    </w:rPr>
                  </w:pPr>
                  <w:r w:rsidRPr="0013396E">
                    <w:rPr>
                      <w:iCs/>
                      <w:sz w:val="20"/>
                    </w:rPr>
                    <w:t>An MRA.</w:t>
                  </w:r>
                </w:p>
              </w:tc>
            </w:tr>
            <w:tr w:rsidR="00A628E7" w:rsidRPr="0013396E" w14:paraId="4457BA9A" w14:textId="77777777" w:rsidTr="00CE1011">
              <w:trPr>
                <w:cantSplit/>
              </w:trPr>
              <w:tc>
                <w:tcPr>
                  <w:tcW w:w="1249" w:type="pct"/>
                  <w:tcBorders>
                    <w:top w:val="single" w:sz="4" w:space="0" w:color="auto"/>
                    <w:left w:val="single" w:sz="4" w:space="0" w:color="auto"/>
                    <w:bottom w:val="single" w:sz="4" w:space="0" w:color="auto"/>
                    <w:right w:val="single" w:sz="4" w:space="0" w:color="auto"/>
                  </w:tcBorders>
                </w:tcPr>
                <w:p w14:paraId="79BFEC83" w14:textId="77777777" w:rsidR="00A628E7" w:rsidRPr="0013396E" w:rsidRDefault="00A628E7" w:rsidP="00A628E7">
                  <w:pPr>
                    <w:spacing w:after="60"/>
                    <w:rPr>
                      <w:i/>
                      <w:iCs/>
                      <w:sz w:val="20"/>
                    </w:rPr>
                  </w:pPr>
                  <w:r w:rsidRPr="0013396E">
                    <w:rPr>
                      <w:i/>
                      <w:iCs/>
                      <w:sz w:val="20"/>
                    </w:rPr>
                    <w:t>h</w:t>
                  </w:r>
                </w:p>
              </w:tc>
              <w:tc>
                <w:tcPr>
                  <w:tcW w:w="331" w:type="pct"/>
                  <w:tcBorders>
                    <w:top w:val="single" w:sz="4" w:space="0" w:color="auto"/>
                    <w:left w:val="single" w:sz="4" w:space="0" w:color="auto"/>
                    <w:bottom w:val="single" w:sz="4" w:space="0" w:color="auto"/>
                    <w:right w:val="single" w:sz="4" w:space="0" w:color="auto"/>
                  </w:tcBorders>
                </w:tcPr>
                <w:p w14:paraId="52E15ED7" w14:textId="77777777" w:rsidR="00A628E7" w:rsidRPr="0013396E" w:rsidRDefault="00A628E7" w:rsidP="00A628E7">
                  <w:pPr>
                    <w:spacing w:after="60"/>
                    <w:rPr>
                      <w:iCs/>
                      <w:sz w:val="20"/>
                    </w:rPr>
                  </w:pPr>
                  <w:r w:rsidRPr="0013396E">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2B0044AF" w14:textId="77777777" w:rsidR="00A628E7" w:rsidRPr="0013396E" w:rsidRDefault="00A628E7" w:rsidP="00A628E7">
                  <w:pPr>
                    <w:spacing w:after="60"/>
                    <w:rPr>
                      <w:iCs/>
                      <w:sz w:val="20"/>
                    </w:rPr>
                  </w:pPr>
                  <w:r w:rsidRPr="0013396E">
                    <w:rPr>
                      <w:sz w:val="20"/>
                    </w:rPr>
                    <w:t>An MRA Contracted Hour under the MRA Agreement for the MRA Contracted Month.</w:t>
                  </w:r>
                </w:p>
              </w:tc>
            </w:tr>
          </w:tbl>
          <w:p w14:paraId="749E754B" w14:textId="0338973A" w:rsidR="00A628E7" w:rsidRPr="0013396E" w:rsidRDefault="00A628E7" w:rsidP="00A628E7">
            <w:pPr>
              <w:spacing w:before="240" w:after="240"/>
              <w:ind w:left="720" w:hanging="720"/>
              <w:rPr>
                <w:iCs/>
              </w:rPr>
            </w:pPr>
            <w:r w:rsidRPr="0013396E">
              <w:rPr>
                <w:iCs/>
              </w:rPr>
              <w:t>(</w:t>
            </w:r>
            <w:r w:rsidR="00AA432B" w:rsidRPr="0013396E">
              <w:rPr>
                <w:iCs/>
              </w:rPr>
              <w:t>5</w:t>
            </w:r>
            <w:r w:rsidRPr="0013396E">
              <w:rPr>
                <w:iCs/>
              </w:rPr>
              <w:t>)</w:t>
            </w:r>
            <w:r w:rsidRPr="0013396E">
              <w:rPr>
                <w:iCs/>
              </w:rPr>
              <w:tab/>
              <w:t>The total of the deployment event payments for a given MRA Contracted Hour is calculated as follows:</w:t>
            </w:r>
          </w:p>
          <w:p w14:paraId="7E06A5CB" w14:textId="77777777" w:rsidR="00A628E7" w:rsidRPr="0013396E" w:rsidRDefault="00A628E7" w:rsidP="00A628E7">
            <w:pPr>
              <w:spacing w:after="240"/>
              <w:ind w:left="720"/>
              <w:rPr>
                <w:iCs/>
              </w:rPr>
            </w:pPr>
            <w:r w:rsidRPr="0013396E">
              <w:rPr>
                <w:iCs/>
              </w:rPr>
              <w:t xml:space="preserve">MRADEAMTTOT  =  </w:t>
            </w:r>
            <w:r w:rsidRPr="0013396E">
              <w:rPr>
                <w:iCs/>
                <w:position w:val="-22"/>
              </w:rPr>
              <w:object w:dxaOrig="210" w:dyaOrig="465" w14:anchorId="26278420">
                <v:shape id="_x0000_i1186" type="#_x0000_t75" style="width:6pt;height:24pt" o:ole="">
                  <v:imagedata r:id="rId157" o:title=""/>
                </v:shape>
                <o:OLEObject Type="Embed" ProgID="Equation.3" ShapeID="_x0000_i1186" DrawAspect="Content" ObjectID="_1849065816" r:id="rId237"/>
              </w:object>
            </w:r>
            <w:r w:rsidRPr="0013396E">
              <w:rPr>
                <w:iCs/>
              </w:rPr>
              <w:t xml:space="preserve"> MRADEAMTQSETOT </w:t>
            </w:r>
            <w:r w:rsidRPr="0013396E">
              <w:rPr>
                <w:i/>
                <w:iCs/>
                <w:vertAlign w:val="subscript"/>
              </w:rPr>
              <w:t>q</w:t>
            </w:r>
            <w:r w:rsidRPr="0013396E">
              <w:rPr>
                <w:iCs/>
              </w:rPr>
              <w:t xml:space="preserve">  </w:t>
            </w:r>
          </w:p>
          <w:p w14:paraId="60135E25" w14:textId="77777777" w:rsidR="00A628E7" w:rsidRPr="0013396E" w:rsidRDefault="00A628E7" w:rsidP="00A628E7">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605"/>
              <w:gridCol w:w="6158"/>
            </w:tblGrid>
            <w:tr w:rsidR="004C48C1" w:rsidRPr="0013396E" w14:paraId="27C2BC31" w14:textId="77777777" w:rsidTr="00CE1011">
              <w:trPr>
                <w:cantSplit/>
                <w:tblHeader/>
              </w:trPr>
              <w:tc>
                <w:tcPr>
                  <w:tcW w:w="1389" w:type="pct"/>
                </w:tcPr>
                <w:p w14:paraId="620FA5F4" w14:textId="77777777" w:rsidR="004C48C1" w:rsidRPr="0013396E" w:rsidRDefault="004C48C1" w:rsidP="004C48C1">
                  <w:pPr>
                    <w:spacing w:after="240"/>
                    <w:rPr>
                      <w:b/>
                      <w:iCs/>
                      <w:sz w:val="20"/>
                    </w:rPr>
                  </w:pPr>
                  <w:r w:rsidRPr="0013396E">
                    <w:rPr>
                      <w:b/>
                      <w:iCs/>
                      <w:sz w:val="20"/>
                    </w:rPr>
                    <w:t>Variable</w:t>
                  </w:r>
                </w:p>
              </w:tc>
              <w:tc>
                <w:tcPr>
                  <w:tcW w:w="316" w:type="pct"/>
                </w:tcPr>
                <w:p w14:paraId="0D5E6CCB" w14:textId="77777777" w:rsidR="004C48C1" w:rsidRPr="0013396E" w:rsidRDefault="004C48C1" w:rsidP="004C48C1">
                  <w:pPr>
                    <w:spacing w:after="240"/>
                    <w:rPr>
                      <w:b/>
                      <w:iCs/>
                      <w:sz w:val="20"/>
                    </w:rPr>
                  </w:pPr>
                  <w:r w:rsidRPr="0013396E">
                    <w:rPr>
                      <w:b/>
                      <w:iCs/>
                      <w:sz w:val="20"/>
                    </w:rPr>
                    <w:t>Unit</w:t>
                  </w:r>
                </w:p>
              </w:tc>
              <w:tc>
                <w:tcPr>
                  <w:tcW w:w="3295" w:type="pct"/>
                </w:tcPr>
                <w:p w14:paraId="7A80517A" w14:textId="77777777" w:rsidR="004C48C1" w:rsidRPr="0013396E" w:rsidRDefault="004C48C1" w:rsidP="004C48C1">
                  <w:pPr>
                    <w:spacing w:after="240"/>
                    <w:rPr>
                      <w:b/>
                      <w:iCs/>
                      <w:sz w:val="20"/>
                    </w:rPr>
                  </w:pPr>
                  <w:r w:rsidRPr="0013396E">
                    <w:rPr>
                      <w:b/>
                      <w:iCs/>
                      <w:sz w:val="20"/>
                    </w:rPr>
                    <w:t>Definition</w:t>
                  </w:r>
                </w:p>
              </w:tc>
            </w:tr>
            <w:tr w:rsidR="004C48C1" w:rsidRPr="0013396E" w14:paraId="3F040AAE" w14:textId="77777777" w:rsidTr="00CE1011">
              <w:trPr>
                <w:cantSplit/>
              </w:trPr>
              <w:tc>
                <w:tcPr>
                  <w:tcW w:w="1389" w:type="pct"/>
                </w:tcPr>
                <w:p w14:paraId="74BA7BD7" w14:textId="77777777" w:rsidR="004C48C1" w:rsidRPr="0013396E" w:rsidRDefault="004C48C1" w:rsidP="004C48C1">
                  <w:pPr>
                    <w:spacing w:after="60"/>
                    <w:rPr>
                      <w:iCs/>
                      <w:sz w:val="20"/>
                    </w:rPr>
                  </w:pPr>
                  <w:r w:rsidRPr="0013396E">
                    <w:rPr>
                      <w:iCs/>
                      <w:sz w:val="20"/>
                    </w:rPr>
                    <w:t>MRADEAMTTOT</w:t>
                  </w:r>
                </w:p>
              </w:tc>
              <w:tc>
                <w:tcPr>
                  <w:tcW w:w="316" w:type="pct"/>
                </w:tcPr>
                <w:p w14:paraId="312DD15B" w14:textId="77777777" w:rsidR="004C48C1" w:rsidRPr="0013396E" w:rsidRDefault="004C48C1" w:rsidP="004C48C1">
                  <w:pPr>
                    <w:spacing w:after="60"/>
                    <w:rPr>
                      <w:iCs/>
                      <w:sz w:val="20"/>
                    </w:rPr>
                  </w:pPr>
                  <w:r w:rsidRPr="0013396E">
                    <w:rPr>
                      <w:iCs/>
                      <w:sz w:val="20"/>
                    </w:rPr>
                    <w:t>$</w:t>
                  </w:r>
                </w:p>
              </w:tc>
              <w:tc>
                <w:tcPr>
                  <w:tcW w:w="3295" w:type="pct"/>
                </w:tcPr>
                <w:p w14:paraId="45C5596A" w14:textId="77777777" w:rsidR="004C48C1" w:rsidRPr="0013396E" w:rsidRDefault="004C48C1" w:rsidP="004C48C1">
                  <w:pPr>
                    <w:spacing w:after="60"/>
                    <w:rPr>
                      <w:iCs/>
                      <w:sz w:val="20"/>
                    </w:rPr>
                  </w:pPr>
                  <w:r w:rsidRPr="0013396E">
                    <w:rPr>
                      <w:i/>
                      <w:iCs/>
                      <w:sz w:val="20"/>
                    </w:rPr>
                    <w:t xml:space="preserve">Must-Run Alternative </w:t>
                  </w:r>
                  <w:r w:rsidRPr="0013396E">
                    <w:rPr>
                      <w:i/>
                      <w:sz w:val="20"/>
                    </w:rPr>
                    <w:t xml:space="preserve">Deployment </w:t>
                  </w:r>
                  <w:r w:rsidRPr="0013396E">
                    <w:rPr>
                      <w:i/>
                      <w:iCs/>
                      <w:sz w:val="20"/>
                    </w:rPr>
                    <w:t>Event Amount Total by hour</w:t>
                  </w:r>
                  <w:r w:rsidRPr="0013396E">
                    <w:rPr>
                      <w:iCs/>
                      <w:sz w:val="20"/>
                    </w:rPr>
                    <w:t xml:space="preserve">—The total </w:t>
                  </w:r>
                  <w:r w:rsidRPr="0013396E">
                    <w:rPr>
                      <w:sz w:val="20"/>
                    </w:rPr>
                    <w:t xml:space="preserve">deployment event payment </w:t>
                  </w:r>
                  <w:r w:rsidRPr="0013396E">
                    <w:rPr>
                      <w:iCs/>
                      <w:sz w:val="20"/>
                    </w:rPr>
                    <w:t xml:space="preserve">to all QSEs for all MRAs, for the hour.  </w:t>
                  </w:r>
                </w:p>
              </w:tc>
            </w:tr>
            <w:tr w:rsidR="004C48C1" w:rsidRPr="0013396E" w14:paraId="17566785" w14:textId="77777777" w:rsidTr="00CE1011">
              <w:trPr>
                <w:cantSplit/>
              </w:trPr>
              <w:tc>
                <w:tcPr>
                  <w:tcW w:w="1389" w:type="pct"/>
                </w:tcPr>
                <w:p w14:paraId="191A8084" w14:textId="77777777" w:rsidR="004C48C1" w:rsidRPr="0013396E" w:rsidRDefault="004C48C1" w:rsidP="004C48C1">
                  <w:pPr>
                    <w:spacing w:after="60"/>
                    <w:rPr>
                      <w:iCs/>
                      <w:sz w:val="20"/>
                    </w:rPr>
                  </w:pPr>
                  <w:r w:rsidRPr="0013396E">
                    <w:rPr>
                      <w:iCs/>
                      <w:sz w:val="20"/>
                    </w:rPr>
                    <w:t xml:space="preserve">MRADEAMTQSETOT </w:t>
                  </w:r>
                  <w:r w:rsidRPr="0013396E">
                    <w:rPr>
                      <w:i/>
                      <w:iCs/>
                      <w:sz w:val="20"/>
                      <w:vertAlign w:val="subscript"/>
                    </w:rPr>
                    <w:t>q</w:t>
                  </w:r>
                  <w:r w:rsidRPr="0013396E">
                    <w:rPr>
                      <w:iCs/>
                      <w:sz w:val="20"/>
                    </w:rPr>
                    <w:t xml:space="preserve">  </w:t>
                  </w:r>
                </w:p>
              </w:tc>
              <w:tc>
                <w:tcPr>
                  <w:tcW w:w="316" w:type="pct"/>
                </w:tcPr>
                <w:p w14:paraId="28C1107C" w14:textId="77777777" w:rsidR="004C48C1" w:rsidRPr="0013396E" w:rsidRDefault="004C48C1" w:rsidP="004C48C1">
                  <w:pPr>
                    <w:spacing w:after="60"/>
                    <w:rPr>
                      <w:iCs/>
                      <w:sz w:val="20"/>
                    </w:rPr>
                  </w:pPr>
                  <w:r w:rsidRPr="0013396E">
                    <w:rPr>
                      <w:iCs/>
                      <w:sz w:val="20"/>
                    </w:rPr>
                    <w:t>$</w:t>
                  </w:r>
                </w:p>
              </w:tc>
              <w:tc>
                <w:tcPr>
                  <w:tcW w:w="3295" w:type="pct"/>
                </w:tcPr>
                <w:p w14:paraId="11A2384C" w14:textId="77777777" w:rsidR="004C48C1" w:rsidRPr="0013396E" w:rsidRDefault="004C48C1" w:rsidP="004C48C1">
                  <w:pPr>
                    <w:spacing w:after="60"/>
                    <w:rPr>
                      <w:iCs/>
                      <w:sz w:val="20"/>
                    </w:rPr>
                  </w:pPr>
                  <w:r w:rsidRPr="0013396E">
                    <w:rPr>
                      <w:i/>
                      <w:iCs/>
                      <w:sz w:val="20"/>
                    </w:rPr>
                    <w:t xml:space="preserve">Must-Run Alternative </w:t>
                  </w:r>
                  <w:r w:rsidRPr="0013396E">
                    <w:rPr>
                      <w:i/>
                      <w:sz w:val="20"/>
                    </w:rPr>
                    <w:t xml:space="preserve">Deployment </w:t>
                  </w:r>
                  <w:r w:rsidRPr="0013396E">
                    <w:rPr>
                      <w:i/>
                      <w:iCs/>
                      <w:sz w:val="20"/>
                    </w:rPr>
                    <w:t>Event Amount per QSE by hour</w:t>
                  </w:r>
                  <w:r w:rsidRPr="0013396E">
                    <w:rPr>
                      <w:iCs/>
                      <w:sz w:val="20"/>
                    </w:rPr>
                    <w:t xml:space="preserve">—The total of the </w:t>
                  </w:r>
                  <w:r w:rsidRPr="0013396E">
                    <w:rPr>
                      <w:sz w:val="20"/>
                    </w:rPr>
                    <w:t xml:space="preserve">deployment event payments </w:t>
                  </w:r>
                  <w:r w:rsidRPr="0013396E">
                    <w:rPr>
                      <w:iCs/>
                      <w:sz w:val="20"/>
                    </w:rPr>
                    <w:t xml:space="preserve">for all MRAs represented by the QSE </w:t>
                  </w:r>
                  <w:r w:rsidRPr="0013396E">
                    <w:rPr>
                      <w:i/>
                      <w:iCs/>
                      <w:sz w:val="20"/>
                    </w:rPr>
                    <w:t>q</w:t>
                  </w:r>
                  <w:r w:rsidRPr="0013396E">
                    <w:rPr>
                      <w:iCs/>
                      <w:sz w:val="20"/>
                    </w:rPr>
                    <w:t xml:space="preserve"> for the MRA Contracted Hour. </w:t>
                  </w:r>
                </w:p>
              </w:tc>
            </w:tr>
            <w:tr w:rsidR="004C48C1" w:rsidRPr="0013396E" w14:paraId="54E1E164" w14:textId="77777777" w:rsidTr="00CE1011">
              <w:trPr>
                <w:cantSplit/>
              </w:trPr>
              <w:tc>
                <w:tcPr>
                  <w:tcW w:w="1389" w:type="pct"/>
                  <w:tcBorders>
                    <w:top w:val="single" w:sz="4" w:space="0" w:color="auto"/>
                    <w:left w:val="single" w:sz="4" w:space="0" w:color="auto"/>
                    <w:bottom w:val="single" w:sz="4" w:space="0" w:color="auto"/>
                    <w:right w:val="single" w:sz="4" w:space="0" w:color="auto"/>
                  </w:tcBorders>
                </w:tcPr>
                <w:p w14:paraId="68CE1DB9" w14:textId="77777777" w:rsidR="004C48C1" w:rsidRPr="0013396E" w:rsidRDefault="004C48C1" w:rsidP="004C48C1">
                  <w:pPr>
                    <w:spacing w:after="60"/>
                    <w:rPr>
                      <w:i/>
                      <w:iCs/>
                      <w:sz w:val="20"/>
                    </w:rPr>
                  </w:pPr>
                  <w:r w:rsidRPr="0013396E">
                    <w:rPr>
                      <w:i/>
                      <w:iCs/>
                      <w:sz w:val="20"/>
                    </w:rPr>
                    <w:t>q</w:t>
                  </w:r>
                </w:p>
              </w:tc>
              <w:tc>
                <w:tcPr>
                  <w:tcW w:w="316" w:type="pct"/>
                  <w:tcBorders>
                    <w:top w:val="single" w:sz="4" w:space="0" w:color="auto"/>
                    <w:left w:val="single" w:sz="4" w:space="0" w:color="auto"/>
                    <w:bottom w:val="single" w:sz="4" w:space="0" w:color="auto"/>
                    <w:right w:val="single" w:sz="4" w:space="0" w:color="auto"/>
                  </w:tcBorders>
                </w:tcPr>
                <w:p w14:paraId="46573C31" w14:textId="77777777" w:rsidR="004C48C1" w:rsidRPr="0013396E" w:rsidRDefault="004C48C1" w:rsidP="004C48C1">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tcPr>
                <w:p w14:paraId="1BACF28E" w14:textId="77777777" w:rsidR="004C48C1" w:rsidRPr="0013396E" w:rsidRDefault="004C48C1" w:rsidP="004C48C1">
                  <w:pPr>
                    <w:spacing w:after="60"/>
                    <w:rPr>
                      <w:iCs/>
                      <w:sz w:val="20"/>
                    </w:rPr>
                  </w:pPr>
                  <w:r w:rsidRPr="0013396E">
                    <w:rPr>
                      <w:iCs/>
                      <w:sz w:val="20"/>
                    </w:rPr>
                    <w:t>A QSE.</w:t>
                  </w:r>
                </w:p>
              </w:tc>
            </w:tr>
          </w:tbl>
          <w:p w14:paraId="78908ED1" w14:textId="77777777" w:rsidR="000C1EEE" w:rsidRPr="0013396E" w:rsidRDefault="000C1EEE" w:rsidP="00CE1011">
            <w:pPr>
              <w:spacing w:after="240"/>
              <w:ind w:left="720" w:hanging="720"/>
            </w:pPr>
          </w:p>
        </w:tc>
      </w:tr>
    </w:tbl>
    <w:p w14:paraId="641FDAFA" w14:textId="77777777" w:rsidR="00CE74E6" w:rsidRPr="0013396E" w:rsidRDefault="00CE74E6" w:rsidP="00CE74E6">
      <w:pPr>
        <w:pStyle w:val="H3"/>
        <w:spacing w:before="0" w:after="0"/>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CE74E6" w:rsidRPr="0013396E" w14:paraId="5946FEA4" w14:textId="77777777" w:rsidTr="00CE1011">
        <w:trPr>
          <w:trHeight w:val="206"/>
        </w:trPr>
        <w:tc>
          <w:tcPr>
            <w:tcW w:w="5000" w:type="pct"/>
            <w:shd w:val="pct12" w:color="auto" w:fill="auto"/>
          </w:tcPr>
          <w:p w14:paraId="352087AE" w14:textId="030E7D03" w:rsidR="00CE74E6" w:rsidRPr="0013396E" w:rsidRDefault="00CE74E6" w:rsidP="00CE1011">
            <w:pPr>
              <w:pStyle w:val="Instructions"/>
              <w:spacing w:before="120"/>
            </w:pPr>
            <w:r w:rsidRPr="0013396E">
              <w:t>[NPRR885:  Insert Section 6.6.6.10 below upon system implementation:]</w:t>
            </w:r>
          </w:p>
          <w:p w14:paraId="3C01F667" w14:textId="77777777" w:rsidR="00CE74E6" w:rsidRPr="0013396E" w:rsidRDefault="00CE74E6" w:rsidP="00427EDA">
            <w:pPr>
              <w:keepNext/>
              <w:widowControl w:val="0"/>
              <w:tabs>
                <w:tab w:val="left" w:pos="1260"/>
              </w:tabs>
              <w:spacing w:before="240" w:after="240"/>
              <w:ind w:left="1267" w:hanging="1267"/>
              <w:outlineLvl w:val="3"/>
              <w:rPr>
                <w:b/>
                <w:bCs/>
                <w:snapToGrid w:val="0"/>
                <w:color w:val="000000"/>
              </w:rPr>
            </w:pPr>
            <w:bookmarkStart w:id="2015" w:name="_Toc17798757"/>
            <w:bookmarkStart w:id="2016" w:name="_Toc236220214"/>
            <w:r w:rsidRPr="0013396E">
              <w:rPr>
                <w:b/>
                <w:bCs/>
                <w:snapToGrid w:val="0"/>
                <w:color w:val="000000"/>
              </w:rPr>
              <w:t>6.6.6.10</w:t>
            </w:r>
            <w:r w:rsidRPr="0013396E">
              <w:rPr>
                <w:b/>
                <w:bCs/>
                <w:snapToGrid w:val="0"/>
                <w:color w:val="000000"/>
              </w:rPr>
              <w:tab/>
              <w:t>MRA Variable Payment for Deployment</w:t>
            </w:r>
            <w:bookmarkEnd w:id="2015"/>
            <w:bookmarkEnd w:id="2016"/>
            <w:r w:rsidRPr="0013396E">
              <w:rPr>
                <w:b/>
                <w:bCs/>
                <w:snapToGrid w:val="0"/>
                <w:color w:val="000000"/>
              </w:rPr>
              <w:t xml:space="preserve"> </w:t>
            </w:r>
          </w:p>
          <w:p w14:paraId="32569F3E" w14:textId="77777777" w:rsidR="00CE74E6" w:rsidRPr="0013396E" w:rsidRDefault="00CE74E6" w:rsidP="00CE74E6">
            <w:pPr>
              <w:pStyle w:val="BodyTextNumbered"/>
              <w:spacing w:before="240"/>
            </w:pPr>
            <w:r w:rsidRPr="0013396E">
              <w:rPr>
                <w:color w:val="000000"/>
              </w:rPr>
              <w:t>(1)</w:t>
            </w:r>
            <w:r w:rsidRPr="0013396E">
              <w:rPr>
                <w:color w:val="000000"/>
              </w:rPr>
              <w:tab/>
            </w:r>
            <w:r w:rsidRPr="0013396E">
              <w:rPr>
                <w:bCs/>
                <w:color w:val="000000"/>
                <w:lang w:val="pt-BR"/>
              </w:rPr>
              <w:t>The variable payment to each QSE representing a Generation Resource MRA:</w:t>
            </w:r>
            <w:r w:rsidRPr="0013396E" w:rsidDel="008431E4">
              <w:t xml:space="preserve"> </w:t>
            </w:r>
          </w:p>
          <w:p w14:paraId="4027CE7D" w14:textId="77777777" w:rsidR="00CE74E6" w:rsidRPr="0013396E" w:rsidRDefault="00CE74E6" w:rsidP="00CE74E6">
            <w:pPr>
              <w:tabs>
                <w:tab w:val="left" w:pos="2700"/>
                <w:tab w:val="left" w:pos="3150"/>
              </w:tabs>
              <w:spacing w:after="240"/>
              <w:ind w:left="720"/>
              <w:rPr>
                <w:bCs/>
                <w:color w:val="000000"/>
                <w:lang w:val="pt-BR"/>
              </w:rPr>
            </w:pPr>
            <w:r w:rsidRPr="0013396E">
              <w:rPr>
                <w:iCs/>
              </w:rPr>
              <w:t>Outside of the MRA Contracted Hours, a Generation Resource MRA shall be treated in Settlements in the same manner as any Generation Resource registered with ERCOT</w:t>
            </w:r>
          </w:p>
          <w:p w14:paraId="52295764" w14:textId="77777777" w:rsidR="00CE74E6" w:rsidRPr="0013396E" w:rsidRDefault="00CE74E6" w:rsidP="00CE74E6">
            <w:pPr>
              <w:tabs>
                <w:tab w:val="left" w:pos="2700"/>
                <w:tab w:val="left" w:pos="3150"/>
              </w:tabs>
              <w:spacing w:after="240"/>
              <w:ind w:left="720"/>
              <w:rPr>
                <w:bCs/>
                <w:color w:val="000000"/>
                <w:lang w:val="pt-BR"/>
              </w:rPr>
            </w:pPr>
            <w:r w:rsidRPr="0013396E">
              <w:rPr>
                <w:bCs/>
                <w:color w:val="000000"/>
                <w:lang w:val="pt-BR"/>
              </w:rPr>
              <w:t>For MRA Contracted Hours with a deployment instruction:</w:t>
            </w:r>
          </w:p>
          <w:p w14:paraId="170A8A32" w14:textId="77777777" w:rsidR="00CE74E6" w:rsidRPr="0013396E" w:rsidRDefault="00CE74E6" w:rsidP="00CE74E6">
            <w:pPr>
              <w:tabs>
                <w:tab w:val="left" w:pos="2700"/>
                <w:tab w:val="left" w:pos="3150"/>
              </w:tabs>
              <w:spacing w:after="240"/>
              <w:ind w:left="3510" w:hanging="2430"/>
              <w:rPr>
                <w:bCs/>
                <w:lang w:val="pt-BR"/>
              </w:rPr>
            </w:pPr>
            <w:r w:rsidRPr="0013396E">
              <w:rPr>
                <w:bCs/>
                <w:color w:val="000000"/>
                <w:lang w:val="pt-BR"/>
              </w:rPr>
              <w:t xml:space="preserve">MRAVAMT </w:t>
            </w:r>
            <w:r w:rsidRPr="0013396E">
              <w:rPr>
                <w:bCs/>
                <w:i/>
                <w:vertAlign w:val="subscript"/>
                <w:lang w:val="pt-BR"/>
              </w:rPr>
              <w:t>q, r, h</w:t>
            </w:r>
            <w:r w:rsidRPr="0013396E">
              <w:rPr>
                <w:bCs/>
                <w:lang w:val="pt-BR"/>
              </w:rPr>
              <w:t xml:space="preserve"> = (-1) * (</w:t>
            </w:r>
            <w:r w:rsidRPr="0013396E">
              <w:rPr>
                <w:bCs/>
                <w:color w:val="000000"/>
                <w:lang w:val="pt-BR"/>
              </w:rPr>
              <w:t>MRAGRCVP</w:t>
            </w:r>
            <w:r w:rsidRPr="0013396E">
              <w:rPr>
                <w:bCs/>
                <w:lang w:val="pt-BR"/>
              </w:rPr>
              <w:t xml:space="preserve"> </w:t>
            </w:r>
            <w:r w:rsidRPr="0013396E">
              <w:rPr>
                <w:bCs/>
                <w:i/>
                <w:vertAlign w:val="subscript"/>
                <w:lang w:val="pt-BR"/>
              </w:rPr>
              <w:t>q, r, h</w:t>
            </w:r>
            <w:r w:rsidRPr="0013396E">
              <w:rPr>
                <w:bCs/>
                <w:lang w:val="pt-BR"/>
              </w:rPr>
              <w:t xml:space="preserve"> – MRARTREV</w:t>
            </w:r>
            <w:r w:rsidRPr="0013396E">
              <w:rPr>
                <w:bCs/>
                <w:i/>
                <w:vertAlign w:val="subscript"/>
                <w:lang w:val="pt-BR"/>
              </w:rPr>
              <w:t xml:space="preserve"> q, r, h</w:t>
            </w:r>
            <w:r w:rsidRPr="0013396E">
              <w:rPr>
                <w:bCs/>
                <w:lang w:val="pt-BR"/>
              </w:rPr>
              <w:t xml:space="preserve">) </w:t>
            </w:r>
          </w:p>
          <w:p w14:paraId="0A64651A" w14:textId="77777777" w:rsidR="00CE74E6" w:rsidRPr="0013396E" w:rsidRDefault="00CE74E6" w:rsidP="00CE74E6">
            <w:pPr>
              <w:tabs>
                <w:tab w:val="left" w:pos="2700"/>
                <w:tab w:val="left" w:pos="3150"/>
              </w:tabs>
              <w:spacing w:after="240"/>
              <w:ind w:left="720"/>
              <w:rPr>
                <w:bCs/>
                <w:color w:val="000000"/>
                <w:lang w:val="pt-BR"/>
              </w:rPr>
            </w:pPr>
            <w:r w:rsidRPr="0013396E">
              <w:rPr>
                <w:bCs/>
                <w:color w:val="000000"/>
                <w:lang w:val="pt-BR"/>
              </w:rPr>
              <w:t>For MRA Contracted Hours without a deployment instruction:</w:t>
            </w:r>
          </w:p>
          <w:p w14:paraId="48874E1E" w14:textId="77777777" w:rsidR="00CE74E6" w:rsidRPr="0013396E" w:rsidRDefault="00CE74E6" w:rsidP="00CE74E6">
            <w:pPr>
              <w:tabs>
                <w:tab w:val="left" w:pos="2700"/>
                <w:tab w:val="left" w:pos="3150"/>
              </w:tabs>
              <w:spacing w:after="240"/>
              <w:ind w:left="1440"/>
              <w:contextualSpacing/>
              <w:rPr>
                <w:bCs/>
                <w:lang w:val="pt-BR"/>
              </w:rPr>
            </w:pPr>
            <w:r w:rsidRPr="0013396E">
              <w:rPr>
                <w:bCs/>
                <w:color w:val="000000"/>
                <w:lang w:val="pt-BR"/>
              </w:rPr>
              <w:t xml:space="preserve">MRAVAMT </w:t>
            </w:r>
            <w:r w:rsidRPr="0013396E">
              <w:rPr>
                <w:bCs/>
                <w:i/>
                <w:vertAlign w:val="subscript"/>
                <w:lang w:val="pt-BR"/>
              </w:rPr>
              <w:t>q, r, h</w:t>
            </w:r>
            <w:r w:rsidRPr="0013396E">
              <w:rPr>
                <w:bCs/>
                <w:lang w:val="pt-BR"/>
              </w:rPr>
              <w:t xml:space="preserve"> = (-1) * (Min (</w:t>
            </w:r>
            <w:r w:rsidRPr="0013396E">
              <w:rPr>
                <w:bCs/>
                <w:color w:val="000000"/>
                <w:lang w:val="pt-BR"/>
              </w:rPr>
              <w:t>MRAGRCVP</w:t>
            </w:r>
            <w:r w:rsidRPr="0013396E">
              <w:rPr>
                <w:bCs/>
                <w:lang w:val="pt-BR"/>
              </w:rPr>
              <w:t xml:space="preserve"> </w:t>
            </w:r>
            <w:r w:rsidRPr="0013396E">
              <w:rPr>
                <w:bCs/>
                <w:i/>
                <w:vertAlign w:val="subscript"/>
                <w:lang w:val="pt-BR"/>
              </w:rPr>
              <w:t>q, r, h</w:t>
            </w:r>
            <w:r w:rsidRPr="0013396E">
              <w:rPr>
                <w:bCs/>
                <w:lang w:val="pt-BR"/>
              </w:rPr>
              <w:t>, MRARTREV</w:t>
            </w:r>
            <w:r w:rsidRPr="0013396E">
              <w:rPr>
                <w:bCs/>
                <w:i/>
                <w:vertAlign w:val="subscript"/>
                <w:lang w:val="pt-BR"/>
              </w:rPr>
              <w:t xml:space="preserve"> q, r, h</w:t>
            </w:r>
            <w:r w:rsidRPr="0013396E">
              <w:rPr>
                <w:bCs/>
                <w:lang w:val="pt-BR"/>
              </w:rPr>
              <w:t>) – MRARTREV</w:t>
            </w:r>
            <w:r w:rsidRPr="0013396E">
              <w:rPr>
                <w:bCs/>
                <w:i/>
                <w:vertAlign w:val="subscript"/>
                <w:lang w:val="pt-BR"/>
              </w:rPr>
              <w:t xml:space="preserve"> q, r, h</w:t>
            </w:r>
            <w:r w:rsidRPr="0013396E">
              <w:rPr>
                <w:bCs/>
                <w:lang w:val="pt-BR"/>
              </w:rPr>
              <w:t>)</w:t>
            </w:r>
          </w:p>
          <w:p w14:paraId="09CCAD2B" w14:textId="77777777" w:rsidR="00CE74E6" w:rsidRPr="0013396E" w:rsidRDefault="00CE74E6" w:rsidP="00CE74E6">
            <w:pPr>
              <w:ind w:left="720"/>
            </w:pPr>
            <w:r w:rsidRPr="0013396E">
              <w:lastRenderedPageBreak/>
              <w:t xml:space="preserve">Where, </w:t>
            </w:r>
          </w:p>
          <w:p w14:paraId="0C1BFD0D" w14:textId="77777777" w:rsidR="00CE74E6" w:rsidRPr="0013396E" w:rsidRDefault="00CE74E6" w:rsidP="00CE74E6"/>
          <w:p w14:paraId="28C79891" w14:textId="4F54E17F" w:rsidR="00CE74E6" w:rsidRPr="0013396E" w:rsidRDefault="00CE74E6" w:rsidP="00CE74E6">
            <w:pPr>
              <w:tabs>
                <w:tab w:val="left" w:pos="2700"/>
                <w:tab w:val="left" w:pos="3150"/>
              </w:tabs>
              <w:ind w:left="1440"/>
              <w:rPr>
                <w:bCs/>
                <w:lang w:val="pt-BR"/>
              </w:rPr>
            </w:pPr>
            <w:r w:rsidRPr="0013396E">
              <w:rPr>
                <w:bCs/>
                <w:color w:val="000000"/>
                <w:lang w:val="pt-BR"/>
              </w:rPr>
              <w:t>MRAGRCVP</w:t>
            </w:r>
            <w:r w:rsidRPr="0013396E">
              <w:rPr>
                <w:bCs/>
                <w:lang w:val="pt-BR"/>
              </w:rPr>
              <w:t xml:space="preserve"> </w:t>
            </w:r>
            <w:r w:rsidRPr="0013396E">
              <w:rPr>
                <w:bCs/>
                <w:i/>
                <w:vertAlign w:val="subscript"/>
                <w:lang w:val="pt-BR"/>
              </w:rPr>
              <w:t xml:space="preserve">q, r, h </w:t>
            </w:r>
            <w:r w:rsidRPr="0013396E">
              <w:rPr>
                <w:bCs/>
                <w:lang w:val="pt-BR"/>
              </w:rPr>
              <w:t xml:space="preserve">= </w:t>
            </w:r>
            <w:r w:rsidR="00A94020" w:rsidRPr="0013396E">
              <w:rPr>
                <w:noProof/>
                <w:position w:val="-20"/>
              </w:rPr>
              <w:drawing>
                <wp:inline distT="0" distB="0" distL="0" distR="0" wp14:anchorId="550498CA" wp14:editId="05F2D152">
                  <wp:extent cx="180975" cy="361950"/>
                  <wp:effectExtent l="0" t="0" r="9525" b="0"/>
                  <wp:docPr id="1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lang w:val="pt-BR"/>
              </w:rPr>
              <w:t>Max [VPRICE</w:t>
            </w:r>
            <w:r w:rsidRPr="0013396E">
              <w:rPr>
                <w:bCs/>
                <w:i/>
                <w:vertAlign w:val="subscript"/>
                <w:lang w:val="pt-BR"/>
              </w:rPr>
              <w:t xml:space="preserve"> q</w:t>
            </w:r>
            <w:r w:rsidRPr="0013396E">
              <w:rPr>
                <w:bCs/>
                <w:vertAlign w:val="subscript"/>
                <w:lang w:val="pt-BR"/>
              </w:rPr>
              <w:t xml:space="preserve">, </w:t>
            </w:r>
            <w:r w:rsidRPr="0013396E">
              <w:rPr>
                <w:bCs/>
                <w:i/>
                <w:vertAlign w:val="subscript"/>
                <w:lang w:val="pt-BR"/>
              </w:rPr>
              <w:t>r</w:t>
            </w:r>
            <w:r w:rsidRPr="0013396E">
              <w:rPr>
                <w:bCs/>
                <w:lang w:val="pt-BR"/>
              </w:rPr>
              <w:t>, (FIP + MRACEFA</w:t>
            </w:r>
            <w:r w:rsidRPr="0013396E">
              <w:rPr>
                <w:bCs/>
                <w:i/>
                <w:vertAlign w:val="subscript"/>
                <w:lang w:val="pt-BR"/>
              </w:rPr>
              <w:t xml:space="preserve"> q, r</w:t>
            </w:r>
            <w:r w:rsidRPr="0013396E">
              <w:rPr>
                <w:bCs/>
                <w:lang w:val="pt-BR"/>
              </w:rPr>
              <w:t xml:space="preserve">) * </w:t>
            </w:r>
          </w:p>
          <w:p w14:paraId="0C34B909" w14:textId="77777777" w:rsidR="00CE74E6" w:rsidRPr="0013396E" w:rsidRDefault="00CE74E6" w:rsidP="00CE74E6">
            <w:pPr>
              <w:tabs>
                <w:tab w:val="left" w:pos="2700"/>
                <w:tab w:val="left" w:pos="3150"/>
              </w:tabs>
              <w:spacing w:after="240"/>
              <w:ind w:left="1440"/>
              <w:rPr>
                <w:iCs/>
                <w:vertAlign w:val="subscript"/>
              </w:rPr>
            </w:pPr>
            <w:r w:rsidRPr="0013396E">
              <w:rPr>
                <w:bCs/>
                <w:lang w:val="pt-BR"/>
              </w:rPr>
              <w:tab/>
            </w:r>
            <w:r w:rsidRPr="0013396E">
              <w:rPr>
                <w:bCs/>
                <w:lang w:val="pt-BR"/>
              </w:rPr>
              <w:tab/>
              <w:t xml:space="preserve">MRAPHR </w:t>
            </w:r>
            <w:r w:rsidRPr="0013396E">
              <w:rPr>
                <w:bCs/>
                <w:i/>
                <w:vertAlign w:val="subscript"/>
                <w:lang w:val="pt-BR"/>
              </w:rPr>
              <w:t>q, r</w:t>
            </w:r>
            <w:r w:rsidRPr="0013396E">
              <w:rPr>
                <w:bCs/>
                <w:lang w:val="pt-BR"/>
              </w:rPr>
              <w:t>] *</w:t>
            </w:r>
            <w:r w:rsidRPr="0013396E">
              <w:rPr>
                <w:iCs/>
              </w:rPr>
              <w:t xml:space="preserve"> Min(RTMG </w:t>
            </w:r>
            <w:r w:rsidRPr="0013396E">
              <w:rPr>
                <w:i/>
                <w:iCs/>
                <w:vertAlign w:val="subscript"/>
              </w:rPr>
              <w:t>q, r, p, i</w:t>
            </w:r>
            <w:r w:rsidRPr="0013396E">
              <w:rPr>
                <w:iCs/>
                <w:vertAlign w:val="subscript"/>
              </w:rPr>
              <w:t xml:space="preserve"> </w:t>
            </w:r>
            <w:r w:rsidRPr="0013396E">
              <w:rPr>
                <w:iCs/>
              </w:rPr>
              <w:t>, MRACCAP</w:t>
            </w:r>
            <w:r w:rsidRPr="0013396E">
              <w:rPr>
                <w:vertAlign w:val="subscript"/>
              </w:rPr>
              <w:t xml:space="preserve"> </w:t>
            </w:r>
            <w:r w:rsidRPr="0013396E">
              <w:rPr>
                <w:i/>
                <w:vertAlign w:val="subscript"/>
              </w:rPr>
              <w:t xml:space="preserve">q, r, </w:t>
            </w:r>
            <w:r w:rsidRPr="0013396E">
              <w:rPr>
                <w:i/>
                <w:iCs/>
                <w:vertAlign w:val="subscript"/>
              </w:rPr>
              <w:t xml:space="preserve">m </w:t>
            </w:r>
            <w:r w:rsidRPr="0013396E">
              <w:rPr>
                <w:iCs/>
              </w:rPr>
              <w:t>/ 4)</w:t>
            </w:r>
          </w:p>
          <w:p w14:paraId="5DAB5740" w14:textId="14B94E25" w:rsidR="00CE74E6" w:rsidRPr="0013396E" w:rsidRDefault="00CE74E6" w:rsidP="00CE74E6">
            <w:pPr>
              <w:tabs>
                <w:tab w:val="left" w:pos="2700"/>
                <w:tab w:val="left" w:pos="3150"/>
              </w:tabs>
              <w:ind w:left="1440"/>
              <w:rPr>
                <w:lang w:val="pt-BR"/>
              </w:rPr>
            </w:pPr>
            <w:r w:rsidRPr="0013396E">
              <w:rPr>
                <w:bCs/>
                <w:color w:val="000000"/>
                <w:lang w:val="pt-BR"/>
              </w:rPr>
              <w:t>MRARTREV</w:t>
            </w:r>
            <w:r w:rsidRPr="0013396E">
              <w:rPr>
                <w:bCs/>
                <w:i/>
                <w:vertAlign w:val="subscript"/>
                <w:lang w:val="pt-BR"/>
              </w:rPr>
              <w:t xml:space="preserve"> q,</w:t>
            </w:r>
            <w:r w:rsidRPr="0013396E">
              <w:rPr>
                <w:bCs/>
                <w:vertAlign w:val="subscript"/>
                <w:lang w:val="pt-BR"/>
              </w:rPr>
              <w:t>r,h</w:t>
            </w:r>
            <w:r w:rsidRPr="0013396E">
              <w:rPr>
                <w:bCs/>
                <w:i/>
                <w:vertAlign w:val="subscript"/>
                <w:lang w:val="pt-BR"/>
              </w:rPr>
              <w:t xml:space="preserve"> </w:t>
            </w:r>
            <w:r w:rsidRPr="0013396E">
              <w:rPr>
                <w:bCs/>
                <w:lang w:val="pt-BR"/>
              </w:rPr>
              <w:t xml:space="preserve"> =  </w:t>
            </w:r>
            <w:r w:rsidR="00A94020" w:rsidRPr="0013396E">
              <w:rPr>
                <w:noProof/>
                <w:position w:val="-20"/>
              </w:rPr>
              <w:drawing>
                <wp:inline distT="0" distB="0" distL="0" distR="0" wp14:anchorId="2C665D11" wp14:editId="6BF79919">
                  <wp:extent cx="180975" cy="361950"/>
                  <wp:effectExtent l="0" t="0" r="9525" b="0"/>
                  <wp:docPr id="1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lang w:val="pt-BR"/>
              </w:rPr>
              <w:t>Max [0, (</w:t>
            </w:r>
            <w:r w:rsidRPr="0013396E">
              <w:t>RESREV</w:t>
            </w:r>
            <w:r w:rsidRPr="0013396E">
              <w:rPr>
                <w:b/>
                <w:i/>
                <w:vertAlign w:val="subscript"/>
              </w:rPr>
              <w:t xml:space="preserve"> </w:t>
            </w:r>
            <w:r w:rsidRPr="0013396E">
              <w:rPr>
                <w:i/>
                <w:vertAlign w:val="subscript"/>
              </w:rPr>
              <w:t>q, r, gsc, p, i</w:t>
            </w:r>
            <w:r w:rsidRPr="0013396E">
              <w:rPr>
                <w:iCs/>
                <w:vertAlign w:val="subscript"/>
              </w:rPr>
              <w:t xml:space="preserve"> </w:t>
            </w:r>
            <w:r w:rsidRPr="0013396E">
              <w:rPr>
                <w:bCs/>
                <w:lang w:val="pt-BR"/>
              </w:rPr>
              <w:t>+ (-1) * (</w:t>
            </w:r>
            <w:r w:rsidRPr="0013396E">
              <w:rPr>
                <w:lang w:val="pt-BR"/>
              </w:rPr>
              <w:t xml:space="preserve">EMREAMT </w:t>
            </w:r>
            <w:r w:rsidRPr="0013396E">
              <w:rPr>
                <w:i/>
                <w:vertAlign w:val="subscript"/>
                <w:lang w:val="pt-BR"/>
              </w:rPr>
              <w:t xml:space="preserve">q, r, p, i </w:t>
            </w:r>
            <w:r w:rsidRPr="0013396E">
              <w:rPr>
                <w:lang w:val="pt-BR"/>
              </w:rPr>
              <w:t xml:space="preserve">+ </w:t>
            </w:r>
          </w:p>
          <w:p w14:paraId="113F08F2" w14:textId="77777777" w:rsidR="00CE74E6" w:rsidRPr="0013396E" w:rsidRDefault="00CE74E6" w:rsidP="00CE74E6">
            <w:pPr>
              <w:tabs>
                <w:tab w:val="left" w:pos="2700"/>
                <w:tab w:val="left" w:pos="3150"/>
              </w:tabs>
              <w:spacing w:after="240"/>
              <w:ind w:left="1440"/>
              <w:rPr>
                <w:lang w:val="pt-BR"/>
              </w:rPr>
            </w:pPr>
            <w:r w:rsidRPr="0013396E">
              <w:rPr>
                <w:lang w:val="pt-BR"/>
              </w:rPr>
              <w:tab/>
            </w:r>
            <w:r w:rsidRPr="0013396E">
              <w:rPr>
                <w:lang w:val="pt-BR"/>
              </w:rPr>
              <w:tab/>
            </w:r>
            <w:r w:rsidRPr="0013396E">
              <w:t xml:space="preserve">VSSVARAMT </w:t>
            </w:r>
            <w:r w:rsidRPr="0013396E">
              <w:rPr>
                <w:i/>
                <w:vertAlign w:val="subscript"/>
              </w:rPr>
              <w:t>q, r, i</w:t>
            </w:r>
            <w:r w:rsidRPr="0013396E">
              <w:rPr>
                <w:iCs/>
                <w:vertAlign w:val="subscript"/>
              </w:rPr>
              <w:t xml:space="preserve"> </w:t>
            </w:r>
            <w:r w:rsidRPr="0013396E">
              <w:rPr>
                <w:bCs/>
                <w:lang w:val="pt-BR"/>
              </w:rPr>
              <w:t xml:space="preserve">+ </w:t>
            </w:r>
            <w:r w:rsidRPr="0013396E">
              <w:rPr>
                <w:lang w:val="pt-BR"/>
              </w:rPr>
              <w:t xml:space="preserve">VSSEAMT </w:t>
            </w:r>
            <w:r w:rsidRPr="0013396E">
              <w:rPr>
                <w:i/>
                <w:vertAlign w:val="subscript"/>
                <w:lang w:val="pt-BR"/>
              </w:rPr>
              <w:t>q, r, i</w:t>
            </w:r>
            <w:r w:rsidRPr="0013396E">
              <w:rPr>
                <w:lang w:val="pt-BR"/>
              </w:rPr>
              <w:t>))]</w:t>
            </w:r>
          </w:p>
          <w:p w14:paraId="63885A96" w14:textId="77777777" w:rsidR="00AA432B" w:rsidRPr="0013396E" w:rsidRDefault="00AA432B" w:rsidP="00AA432B">
            <w:pPr>
              <w:spacing w:before="240" w:after="240"/>
              <w:ind w:left="720" w:hanging="720"/>
            </w:pPr>
            <w:r w:rsidRPr="0013396E">
              <w:rPr>
                <w:color w:val="000000"/>
              </w:rPr>
              <w:t>(2)</w:t>
            </w:r>
            <w:r w:rsidRPr="0013396E">
              <w:rPr>
                <w:color w:val="000000"/>
              </w:rPr>
              <w:tab/>
            </w:r>
            <w:r w:rsidRPr="0013396E">
              <w:rPr>
                <w:bCs/>
                <w:color w:val="000000"/>
                <w:lang w:val="pt-BR"/>
              </w:rPr>
              <w:t>The variable payment to each QSE representing an Energy Storage Resource (ESR) MRA:</w:t>
            </w:r>
            <w:r w:rsidRPr="0013396E" w:rsidDel="008431E4">
              <w:t xml:space="preserve"> </w:t>
            </w:r>
          </w:p>
          <w:p w14:paraId="01081EB0" w14:textId="77777777" w:rsidR="00AA432B" w:rsidRPr="0013396E" w:rsidRDefault="00AA432B" w:rsidP="00AA432B">
            <w:pPr>
              <w:spacing w:after="240"/>
              <w:ind w:left="1440" w:hanging="720"/>
            </w:pPr>
            <w:r w:rsidRPr="0013396E">
              <w:t>(a)</w:t>
            </w:r>
            <w:r w:rsidRPr="0013396E">
              <w:rPr>
                <w:color w:val="000000"/>
              </w:rPr>
              <w:tab/>
            </w:r>
            <w:r w:rsidRPr="0013396E">
              <w:t>ESR MRA will be compensated for energy consumed to re-charge the MRA capability after the hours of injection to the ERCOT system during an event deployment or an ERCOT-required Capacity Test based on the cost of the energy as metered by the meter recording load.  The QSE will not be compensated for energy costs incurred during a re-test.  An ESR shall only consume energy in hours that are not Contracted Hours, and it must be re-charged to a level sufficient to provide the contracted amount of MRA Service prior to the next start of a block of Contracted Hours.  Additionally, the QSE shall use its best efforts to minimize the cost to re-charge and submit bid-to-buy curves taking into consideration estimates of future prices.  The cost to re-charge shall be determined by starting with the least expensive consumed energy.</w:t>
            </w:r>
          </w:p>
          <w:p w14:paraId="2F8DF285" w14:textId="59A6394B" w:rsidR="00AA432B" w:rsidRPr="0013396E" w:rsidRDefault="00AA432B" w:rsidP="00AA432B">
            <w:pPr>
              <w:spacing w:after="240"/>
              <w:ind w:left="1440" w:hanging="720"/>
              <w:rPr>
                <w:rFonts w:eastAsia="Calibri" w:cs="Arial"/>
                <w:sz w:val="22"/>
                <w:szCs w:val="22"/>
              </w:rPr>
            </w:pPr>
            <w:r w:rsidRPr="0013396E">
              <w:rPr>
                <w:iCs/>
              </w:rPr>
              <w:t>(b)</w:t>
            </w:r>
            <w:r w:rsidRPr="0013396E">
              <w:rPr>
                <w:color w:val="000000"/>
              </w:rPr>
              <w:tab/>
            </w:r>
            <w:r w:rsidRPr="0013396E">
              <w:rPr>
                <w:iCs/>
              </w:rPr>
              <w:t xml:space="preserve">Outside of the MRA Contracted Hours, an ESR MRA shall be treated in Settlements in the same manner as </w:t>
            </w:r>
            <w:r w:rsidRPr="0013396E">
              <w:t>any</w:t>
            </w:r>
            <w:r w:rsidRPr="0013396E">
              <w:rPr>
                <w:iCs/>
              </w:rPr>
              <w:t xml:space="preserve"> ESR registered with ERCOT.</w:t>
            </w:r>
          </w:p>
          <w:p w14:paraId="739DB513" w14:textId="77777777" w:rsidR="00AA432B" w:rsidRPr="0013396E" w:rsidRDefault="00AA432B" w:rsidP="00AA432B">
            <w:pPr>
              <w:tabs>
                <w:tab w:val="left" w:pos="2700"/>
                <w:tab w:val="left" w:pos="3150"/>
              </w:tabs>
              <w:spacing w:after="240"/>
              <w:ind w:left="720"/>
              <w:rPr>
                <w:bCs/>
                <w:color w:val="000000"/>
                <w:lang w:val="pt-BR"/>
              </w:rPr>
            </w:pPr>
            <w:r w:rsidRPr="0013396E">
              <w:rPr>
                <w:bCs/>
                <w:color w:val="000000"/>
                <w:lang w:val="pt-BR"/>
              </w:rPr>
              <w:t>For MRA Contracted Hours with a deployment instruction:</w:t>
            </w:r>
          </w:p>
          <w:p w14:paraId="0438A0AA" w14:textId="77777777" w:rsidR="00AA432B" w:rsidRPr="0013396E" w:rsidRDefault="00AA432B" w:rsidP="00AA432B">
            <w:pPr>
              <w:tabs>
                <w:tab w:val="left" w:pos="2700"/>
                <w:tab w:val="left" w:pos="3150"/>
              </w:tabs>
              <w:spacing w:after="240"/>
              <w:ind w:left="3510" w:hanging="2430"/>
              <w:rPr>
                <w:bCs/>
                <w:lang w:val="pt-BR"/>
              </w:rPr>
            </w:pPr>
            <w:r w:rsidRPr="0013396E">
              <w:rPr>
                <w:bCs/>
                <w:color w:val="000000"/>
                <w:lang w:val="pt-BR"/>
              </w:rPr>
              <w:t xml:space="preserve">MRAVAMT </w:t>
            </w:r>
            <w:r w:rsidRPr="0013396E">
              <w:rPr>
                <w:bCs/>
                <w:i/>
                <w:vertAlign w:val="subscript"/>
                <w:lang w:val="pt-BR"/>
              </w:rPr>
              <w:t>q, r, h</w:t>
            </w:r>
            <w:r w:rsidRPr="0013396E">
              <w:rPr>
                <w:bCs/>
                <w:lang w:val="pt-BR"/>
              </w:rPr>
              <w:t xml:space="preserve"> = (-1) * (</w:t>
            </w:r>
            <w:r w:rsidRPr="0013396E">
              <w:rPr>
                <w:bCs/>
                <w:color w:val="000000"/>
                <w:lang w:val="pt-BR"/>
              </w:rPr>
              <w:t>MRAESRCVP</w:t>
            </w:r>
            <w:r w:rsidRPr="0013396E">
              <w:rPr>
                <w:bCs/>
                <w:lang w:val="pt-BR"/>
              </w:rPr>
              <w:t xml:space="preserve"> </w:t>
            </w:r>
            <w:r w:rsidRPr="0013396E">
              <w:rPr>
                <w:bCs/>
                <w:i/>
                <w:vertAlign w:val="subscript"/>
                <w:lang w:val="pt-BR"/>
              </w:rPr>
              <w:t>q, r, h</w:t>
            </w:r>
            <w:r w:rsidRPr="0013396E">
              <w:rPr>
                <w:bCs/>
                <w:lang w:val="pt-BR"/>
              </w:rPr>
              <w:t xml:space="preserve"> – MRARTREV</w:t>
            </w:r>
            <w:r w:rsidRPr="0013396E">
              <w:rPr>
                <w:bCs/>
                <w:i/>
                <w:vertAlign w:val="subscript"/>
                <w:lang w:val="pt-BR"/>
              </w:rPr>
              <w:t xml:space="preserve"> q, r, h</w:t>
            </w:r>
            <w:r w:rsidRPr="0013396E">
              <w:rPr>
                <w:bCs/>
                <w:lang w:val="pt-BR"/>
              </w:rPr>
              <w:t xml:space="preserve">) </w:t>
            </w:r>
          </w:p>
          <w:p w14:paraId="0B785448" w14:textId="77777777" w:rsidR="00AA432B" w:rsidRPr="0013396E" w:rsidRDefault="00AA432B" w:rsidP="00AA432B">
            <w:pPr>
              <w:tabs>
                <w:tab w:val="left" w:pos="2700"/>
                <w:tab w:val="left" w:pos="3150"/>
              </w:tabs>
              <w:spacing w:after="240"/>
              <w:ind w:left="720"/>
              <w:rPr>
                <w:bCs/>
                <w:color w:val="000000"/>
                <w:lang w:val="pt-BR"/>
              </w:rPr>
            </w:pPr>
            <w:r w:rsidRPr="0013396E">
              <w:rPr>
                <w:bCs/>
                <w:color w:val="000000"/>
                <w:lang w:val="pt-BR"/>
              </w:rPr>
              <w:t>For MRA Contracted Hours without a deployment instruction:</w:t>
            </w:r>
          </w:p>
          <w:p w14:paraId="2245FC50" w14:textId="77777777" w:rsidR="00AA432B" w:rsidRPr="0013396E" w:rsidRDefault="00AA432B" w:rsidP="00AA432B">
            <w:pPr>
              <w:tabs>
                <w:tab w:val="left" w:pos="2700"/>
                <w:tab w:val="left" w:pos="3150"/>
              </w:tabs>
              <w:spacing w:after="240"/>
              <w:ind w:left="1440"/>
              <w:contextualSpacing/>
              <w:rPr>
                <w:bCs/>
                <w:lang w:val="pt-BR"/>
              </w:rPr>
            </w:pPr>
            <w:r w:rsidRPr="0013396E">
              <w:rPr>
                <w:bCs/>
                <w:color w:val="000000"/>
                <w:lang w:val="pt-BR"/>
              </w:rPr>
              <w:t xml:space="preserve">MRAVAMT </w:t>
            </w:r>
            <w:r w:rsidRPr="0013396E">
              <w:rPr>
                <w:bCs/>
                <w:i/>
                <w:vertAlign w:val="subscript"/>
                <w:lang w:val="pt-BR"/>
              </w:rPr>
              <w:t>q, r, h</w:t>
            </w:r>
            <w:r w:rsidRPr="0013396E">
              <w:rPr>
                <w:bCs/>
                <w:lang w:val="pt-BR"/>
              </w:rPr>
              <w:t xml:space="preserve"> = (-1) * (Min (</w:t>
            </w:r>
            <w:r w:rsidRPr="0013396E">
              <w:rPr>
                <w:bCs/>
                <w:color w:val="000000"/>
                <w:lang w:val="pt-BR"/>
              </w:rPr>
              <w:t>MRAESRCVP</w:t>
            </w:r>
            <w:r w:rsidRPr="0013396E">
              <w:rPr>
                <w:bCs/>
                <w:lang w:val="pt-BR"/>
              </w:rPr>
              <w:t xml:space="preserve"> </w:t>
            </w:r>
            <w:r w:rsidRPr="0013396E">
              <w:rPr>
                <w:bCs/>
                <w:i/>
                <w:vertAlign w:val="subscript"/>
                <w:lang w:val="pt-BR"/>
              </w:rPr>
              <w:t>q, r, h</w:t>
            </w:r>
            <w:r w:rsidRPr="0013396E">
              <w:rPr>
                <w:bCs/>
                <w:vertAlign w:val="subscript"/>
                <w:lang w:val="pt-BR"/>
              </w:rPr>
              <w:t>,</w:t>
            </w:r>
            <w:r w:rsidRPr="0013396E">
              <w:rPr>
                <w:bCs/>
                <w:lang w:val="pt-BR"/>
              </w:rPr>
              <w:t xml:space="preserve"> MRARTREV</w:t>
            </w:r>
            <w:r w:rsidRPr="0013396E">
              <w:rPr>
                <w:bCs/>
                <w:i/>
                <w:vertAlign w:val="subscript"/>
                <w:lang w:val="pt-BR"/>
              </w:rPr>
              <w:t xml:space="preserve"> q, r, h</w:t>
            </w:r>
            <w:r w:rsidRPr="0013396E">
              <w:rPr>
                <w:bCs/>
                <w:lang w:val="pt-BR"/>
              </w:rPr>
              <w:t>) – MRARTREV</w:t>
            </w:r>
            <w:r w:rsidRPr="0013396E">
              <w:rPr>
                <w:bCs/>
                <w:i/>
                <w:vertAlign w:val="subscript"/>
                <w:lang w:val="pt-BR"/>
              </w:rPr>
              <w:t xml:space="preserve"> q, r, h</w:t>
            </w:r>
            <w:r w:rsidRPr="0013396E">
              <w:rPr>
                <w:bCs/>
                <w:lang w:val="pt-BR"/>
              </w:rPr>
              <w:t>)</w:t>
            </w:r>
          </w:p>
          <w:p w14:paraId="71ED5EB4" w14:textId="77777777" w:rsidR="00AA432B" w:rsidRPr="0013396E" w:rsidRDefault="00AA432B" w:rsidP="00AA432B">
            <w:pPr>
              <w:ind w:left="720"/>
            </w:pPr>
          </w:p>
          <w:p w14:paraId="3A5710D5" w14:textId="77777777" w:rsidR="00AA432B" w:rsidRPr="0013396E" w:rsidRDefault="00AA432B" w:rsidP="00AA432B">
            <w:pPr>
              <w:ind w:left="720"/>
            </w:pPr>
            <w:r w:rsidRPr="0013396E">
              <w:t xml:space="preserve">Where, </w:t>
            </w:r>
          </w:p>
          <w:p w14:paraId="392D9585" w14:textId="58CDC074" w:rsidR="00AA432B" w:rsidRPr="0013396E" w:rsidRDefault="00AA432B" w:rsidP="00AA432B">
            <w:pPr>
              <w:tabs>
                <w:tab w:val="left" w:pos="2700"/>
                <w:tab w:val="left" w:pos="3150"/>
              </w:tabs>
              <w:ind w:left="1440"/>
              <w:rPr>
                <w:iCs/>
                <w:vertAlign w:val="subscript"/>
              </w:rPr>
            </w:pPr>
            <w:r w:rsidRPr="0013396E">
              <w:rPr>
                <w:bCs/>
                <w:color w:val="000000"/>
                <w:lang w:val="pt-BR"/>
              </w:rPr>
              <w:t>MRAESRCVP</w:t>
            </w:r>
            <w:r w:rsidRPr="0013396E">
              <w:rPr>
                <w:bCs/>
                <w:lang w:val="pt-BR"/>
              </w:rPr>
              <w:t xml:space="preserve"> </w:t>
            </w:r>
            <w:r w:rsidRPr="0013396E">
              <w:rPr>
                <w:bCs/>
                <w:i/>
                <w:vertAlign w:val="subscript"/>
                <w:lang w:val="pt-BR"/>
              </w:rPr>
              <w:t xml:space="preserve">q, r, h </w:t>
            </w:r>
            <w:r w:rsidRPr="0013396E">
              <w:rPr>
                <w:bCs/>
                <w:lang w:val="pt-BR"/>
              </w:rPr>
              <w:t xml:space="preserve">= </w:t>
            </w:r>
            <w:r w:rsidRPr="0013396E">
              <w:rPr>
                <w:noProof/>
                <w:position w:val="-20"/>
              </w:rPr>
              <w:drawing>
                <wp:inline distT="0" distB="0" distL="0" distR="0" wp14:anchorId="3AFE2681" wp14:editId="431806E5">
                  <wp:extent cx="180975" cy="361950"/>
                  <wp:effectExtent l="0" t="0" r="9525" b="0"/>
                  <wp:docPr id="1046563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lang w:val="pt-BR"/>
              </w:rPr>
              <w:t>Max [VPRICE</w:t>
            </w:r>
            <w:r w:rsidRPr="0013396E">
              <w:rPr>
                <w:bCs/>
                <w:i/>
                <w:vertAlign w:val="subscript"/>
                <w:lang w:val="pt-BR"/>
              </w:rPr>
              <w:t xml:space="preserve"> q</w:t>
            </w:r>
            <w:r w:rsidRPr="0013396E">
              <w:rPr>
                <w:bCs/>
                <w:vertAlign w:val="subscript"/>
                <w:lang w:val="pt-BR"/>
              </w:rPr>
              <w:t xml:space="preserve">, </w:t>
            </w:r>
            <w:r w:rsidRPr="0013396E">
              <w:rPr>
                <w:bCs/>
                <w:i/>
                <w:vertAlign w:val="subscript"/>
                <w:lang w:val="pt-BR"/>
              </w:rPr>
              <w:t>r</w:t>
            </w:r>
            <w:r w:rsidRPr="0013396E">
              <w:rPr>
                <w:bCs/>
                <w:vertAlign w:val="subscript"/>
                <w:lang w:val="pt-BR"/>
              </w:rPr>
              <w:t>,</w:t>
            </w:r>
            <w:r w:rsidRPr="0013396E">
              <w:rPr>
                <w:bCs/>
                <w:lang w:val="pt-BR"/>
              </w:rPr>
              <w:t xml:space="preserve"> ESRARCOST</w:t>
            </w:r>
            <w:r w:rsidRPr="0013396E">
              <w:rPr>
                <w:bCs/>
                <w:i/>
                <w:vertAlign w:val="subscript"/>
                <w:lang w:val="pt-BR"/>
              </w:rPr>
              <w:t xml:space="preserve"> q</w:t>
            </w:r>
            <w:r w:rsidRPr="0013396E">
              <w:rPr>
                <w:bCs/>
                <w:vertAlign w:val="subscript"/>
                <w:lang w:val="pt-BR"/>
              </w:rPr>
              <w:t xml:space="preserve">, </w:t>
            </w:r>
            <w:r w:rsidRPr="0013396E">
              <w:rPr>
                <w:bCs/>
                <w:i/>
                <w:vertAlign w:val="subscript"/>
                <w:lang w:val="pt-BR"/>
              </w:rPr>
              <w:t>r</w:t>
            </w:r>
            <w:r w:rsidRPr="0013396E">
              <w:rPr>
                <w:bCs/>
                <w:lang w:val="pt-BR"/>
              </w:rPr>
              <w:t>] *</w:t>
            </w:r>
            <w:r w:rsidRPr="0013396E">
              <w:rPr>
                <w:iCs/>
              </w:rPr>
              <w:t xml:space="preserve"> Min(RTMG </w:t>
            </w:r>
            <w:r w:rsidRPr="0013396E">
              <w:rPr>
                <w:i/>
                <w:iCs/>
                <w:vertAlign w:val="subscript"/>
              </w:rPr>
              <w:t>q, r, p, i</w:t>
            </w:r>
            <w:r w:rsidRPr="0013396E">
              <w:rPr>
                <w:iCs/>
              </w:rPr>
              <w:t>, MRACCAP</w:t>
            </w:r>
            <w:r w:rsidRPr="0013396E">
              <w:rPr>
                <w:vertAlign w:val="subscript"/>
              </w:rPr>
              <w:t xml:space="preserve"> </w:t>
            </w:r>
            <w:r w:rsidRPr="0013396E">
              <w:rPr>
                <w:i/>
                <w:vertAlign w:val="subscript"/>
              </w:rPr>
              <w:t xml:space="preserve">q, r, </w:t>
            </w:r>
            <w:r w:rsidRPr="0013396E">
              <w:rPr>
                <w:i/>
                <w:iCs/>
                <w:vertAlign w:val="subscript"/>
              </w:rPr>
              <w:t xml:space="preserve">m </w:t>
            </w:r>
            <w:r w:rsidRPr="0013396E">
              <w:rPr>
                <w:iCs/>
              </w:rPr>
              <w:t>/ 4)</w:t>
            </w:r>
          </w:p>
          <w:p w14:paraId="24CDD680" w14:textId="77777777" w:rsidR="00AA432B" w:rsidRPr="0013396E" w:rsidRDefault="00AA432B" w:rsidP="00AA432B">
            <w:pPr>
              <w:tabs>
                <w:tab w:val="left" w:pos="2700"/>
                <w:tab w:val="left" w:pos="3150"/>
              </w:tabs>
              <w:ind w:left="1440"/>
              <w:rPr>
                <w:lang w:val="pt-BR"/>
              </w:rPr>
            </w:pPr>
            <w:r w:rsidRPr="0013396E">
              <w:rPr>
                <w:bCs/>
                <w:color w:val="000000"/>
                <w:lang w:val="pt-BR"/>
              </w:rPr>
              <w:t>MRARTREV</w:t>
            </w:r>
            <w:r w:rsidRPr="0013396E">
              <w:rPr>
                <w:bCs/>
                <w:i/>
                <w:vertAlign w:val="subscript"/>
                <w:lang w:val="pt-BR"/>
              </w:rPr>
              <w:t xml:space="preserve"> q, r, h </w:t>
            </w:r>
            <w:r w:rsidRPr="0013396E">
              <w:rPr>
                <w:bCs/>
                <w:lang w:val="pt-BR"/>
              </w:rPr>
              <w:t xml:space="preserve"> = </w:t>
            </w:r>
            <w:r w:rsidRPr="0013396E">
              <w:rPr>
                <w:noProof/>
                <w:position w:val="-20"/>
              </w:rPr>
              <w:drawing>
                <wp:inline distT="0" distB="0" distL="0" distR="0" wp14:anchorId="0BCD457A" wp14:editId="5CEF1B55">
                  <wp:extent cx="180975" cy="361950"/>
                  <wp:effectExtent l="0" t="0" r="9525" b="0"/>
                  <wp:docPr id="3599066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lang w:val="pt-BR"/>
              </w:rPr>
              <w:t>Max [0, (</w:t>
            </w:r>
            <w:r w:rsidRPr="0013396E">
              <w:t>RESREV</w:t>
            </w:r>
            <w:r w:rsidRPr="0013396E">
              <w:rPr>
                <w:b/>
                <w:i/>
                <w:vertAlign w:val="subscript"/>
              </w:rPr>
              <w:t xml:space="preserve"> </w:t>
            </w:r>
            <w:r w:rsidRPr="0013396E">
              <w:rPr>
                <w:i/>
                <w:vertAlign w:val="subscript"/>
              </w:rPr>
              <w:t>q, r, gsc, p, i</w:t>
            </w:r>
            <w:r w:rsidRPr="0013396E">
              <w:rPr>
                <w:iCs/>
                <w:vertAlign w:val="subscript"/>
              </w:rPr>
              <w:t xml:space="preserve"> </w:t>
            </w:r>
            <w:r w:rsidRPr="0013396E">
              <w:rPr>
                <w:bCs/>
                <w:lang w:val="pt-BR"/>
              </w:rPr>
              <w:t>+ (-1) * (</w:t>
            </w:r>
            <w:r w:rsidRPr="0013396E">
              <w:rPr>
                <w:lang w:val="pt-BR"/>
              </w:rPr>
              <w:t xml:space="preserve">EMREAMT </w:t>
            </w:r>
            <w:r w:rsidRPr="0013396E">
              <w:rPr>
                <w:i/>
                <w:vertAlign w:val="subscript"/>
                <w:lang w:val="pt-BR"/>
              </w:rPr>
              <w:t xml:space="preserve">q, r, p, i </w:t>
            </w:r>
            <w:r w:rsidRPr="0013396E">
              <w:rPr>
                <w:lang w:val="pt-BR"/>
              </w:rPr>
              <w:t xml:space="preserve">+ </w:t>
            </w:r>
          </w:p>
          <w:p w14:paraId="07AAB569" w14:textId="77777777" w:rsidR="00AA432B" w:rsidRPr="0013396E" w:rsidRDefault="00AA432B" w:rsidP="00AA432B">
            <w:pPr>
              <w:tabs>
                <w:tab w:val="left" w:pos="2700"/>
                <w:tab w:val="left" w:pos="3150"/>
              </w:tabs>
              <w:spacing w:after="240"/>
              <w:ind w:left="1440"/>
              <w:rPr>
                <w:lang w:val="pt-BR"/>
              </w:rPr>
            </w:pPr>
            <w:r w:rsidRPr="0013396E">
              <w:rPr>
                <w:lang w:val="pt-BR"/>
              </w:rPr>
              <w:tab/>
            </w:r>
            <w:r w:rsidRPr="0013396E">
              <w:rPr>
                <w:lang w:val="pt-BR"/>
              </w:rPr>
              <w:tab/>
            </w:r>
            <w:r w:rsidRPr="0013396E">
              <w:t xml:space="preserve">VSSVARAMT </w:t>
            </w:r>
            <w:r w:rsidRPr="0013396E">
              <w:rPr>
                <w:i/>
                <w:vertAlign w:val="subscript"/>
              </w:rPr>
              <w:t>q, r, i</w:t>
            </w:r>
            <w:r w:rsidRPr="0013396E">
              <w:rPr>
                <w:iCs/>
                <w:vertAlign w:val="subscript"/>
              </w:rPr>
              <w:t xml:space="preserve"> </w:t>
            </w:r>
            <w:r w:rsidRPr="0013396E">
              <w:rPr>
                <w:bCs/>
                <w:lang w:val="pt-BR"/>
              </w:rPr>
              <w:t xml:space="preserve">+ </w:t>
            </w:r>
            <w:r w:rsidRPr="0013396E">
              <w:rPr>
                <w:lang w:val="pt-BR"/>
              </w:rPr>
              <w:t xml:space="preserve">VSSEAMT </w:t>
            </w:r>
            <w:r w:rsidRPr="0013396E">
              <w:rPr>
                <w:i/>
                <w:vertAlign w:val="subscript"/>
                <w:lang w:val="pt-BR"/>
              </w:rPr>
              <w:t>q, r, i</w:t>
            </w:r>
            <w:r w:rsidRPr="0013396E">
              <w:rPr>
                <w:lang w:val="pt-BR"/>
              </w:rPr>
              <w:t>))]</w:t>
            </w:r>
          </w:p>
          <w:p w14:paraId="3A46E576" w14:textId="3F5C0B00" w:rsidR="00CE74E6" w:rsidRPr="0013396E" w:rsidRDefault="00CE74E6" w:rsidP="00CE74E6">
            <w:pPr>
              <w:pStyle w:val="BodyTextNumbered"/>
              <w:spacing w:before="240"/>
            </w:pPr>
            <w:r w:rsidRPr="0013396E">
              <w:rPr>
                <w:color w:val="000000"/>
              </w:rPr>
              <w:t>(</w:t>
            </w:r>
            <w:r w:rsidR="00AA432B" w:rsidRPr="0013396E">
              <w:rPr>
                <w:color w:val="000000"/>
              </w:rPr>
              <w:t>3</w:t>
            </w:r>
            <w:r w:rsidRPr="0013396E">
              <w:rPr>
                <w:color w:val="000000"/>
              </w:rPr>
              <w:t>)</w:t>
            </w:r>
            <w:r w:rsidRPr="0013396E">
              <w:rPr>
                <w:color w:val="000000"/>
              </w:rPr>
              <w:tab/>
            </w:r>
            <w:r w:rsidRPr="0013396E">
              <w:rPr>
                <w:bCs/>
                <w:color w:val="000000"/>
                <w:lang w:val="pt-BR"/>
              </w:rPr>
              <w:t xml:space="preserve">The variable payment to each QSE representing an Other Generation MRA:  </w:t>
            </w:r>
          </w:p>
          <w:p w14:paraId="4CDDA686" w14:textId="77777777" w:rsidR="00CE74E6" w:rsidRPr="0013396E" w:rsidRDefault="00CE74E6" w:rsidP="00CE74E6">
            <w:pPr>
              <w:tabs>
                <w:tab w:val="left" w:pos="2700"/>
                <w:tab w:val="left" w:pos="3150"/>
              </w:tabs>
              <w:spacing w:after="240"/>
              <w:ind w:left="720"/>
              <w:rPr>
                <w:bCs/>
                <w:color w:val="000000"/>
                <w:lang w:val="pt-BR"/>
              </w:rPr>
            </w:pPr>
            <w:r w:rsidRPr="0013396E">
              <w:rPr>
                <w:bCs/>
                <w:color w:val="000000"/>
                <w:lang w:val="pt-BR"/>
              </w:rPr>
              <w:lastRenderedPageBreak/>
              <w:t>For MRA Contracted Hours with a deployment instruction:</w:t>
            </w:r>
          </w:p>
          <w:p w14:paraId="6E4A4788" w14:textId="77777777" w:rsidR="00CE74E6" w:rsidRPr="0013396E" w:rsidRDefault="00CE74E6" w:rsidP="00CE74E6">
            <w:pPr>
              <w:tabs>
                <w:tab w:val="left" w:pos="720"/>
                <w:tab w:val="left" w:pos="3150"/>
              </w:tabs>
              <w:spacing w:after="240"/>
              <w:ind w:left="1440"/>
              <w:contextualSpacing/>
              <w:rPr>
                <w:bCs/>
                <w:lang w:val="pt-BR"/>
              </w:rPr>
            </w:pPr>
            <w:r w:rsidRPr="0013396E">
              <w:rPr>
                <w:bCs/>
                <w:color w:val="000000"/>
                <w:lang w:val="pt-BR"/>
              </w:rPr>
              <w:t xml:space="preserve">MRAVAMT </w:t>
            </w:r>
            <w:r w:rsidRPr="0013396E">
              <w:rPr>
                <w:bCs/>
                <w:i/>
                <w:vertAlign w:val="subscript"/>
                <w:lang w:val="pt-BR"/>
              </w:rPr>
              <w:t>q, r, h</w:t>
            </w:r>
            <w:r w:rsidRPr="0013396E">
              <w:rPr>
                <w:bCs/>
                <w:lang w:val="pt-BR"/>
              </w:rPr>
              <w:t xml:space="preserve"> = (-1) * (</w:t>
            </w:r>
            <w:r w:rsidRPr="0013396E">
              <w:rPr>
                <w:bCs/>
                <w:color w:val="000000"/>
                <w:lang w:val="pt-BR"/>
              </w:rPr>
              <w:t>MRACVP</w:t>
            </w:r>
            <w:r w:rsidRPr="0013396E">
              <w:rPr>
                <w:bCs/>
                <w:lang w:val="pt-BR"/>
              </w:rPr>
              <w:t xml:space="preserve"> </w:t>
            </w:r>
            <w:r w:rsidRPr="0013396E">
              <w:rPr>
                <w:bCs/>
                <w:i/>
                <w:vertAlign w:val="subscript"/>
                <w:lang w:val="pt-BR"/>
              </w:rPr>
              <w:t>q, r, h</w:t>
            </w:r>
            <w:r w:rsidRPr="0013396E">
              <w:rPr>
                <w:bCs/>
                <w:lang w:val="pt-BR"/>
              </w:rPr>
              <w:t xml:space="preserve"> – </w:t>
            </w:r>
            <w:r w:rsidRPr="0013396E">
              <w:rPr>
                <w:bCs/>
                <w:color w:val="000000"/>
                <w:lang w:val="pt-BR"/>
              </w:rPr>
              <w:t xml:space="preserve">MRACRTREV </w:t>
            </w:r>
            <w:r w:rsidRPr="0013396E">
              <w:rPr>
                <w:bCs/>
                <w:i/>
                <w:vertAlign w:val="subscript"/>
                <w:lang w:val="pt-BR"/>
              </w:rPr>
              <w:t>q, r, h</w:t>
            </w:r>
            <w:r w:rsidRPr="0013396E">
              <w:rPr>
                <w:bCs/>
                <w:lang w:val="pt-BR"/>
              </w:rPr>
              <w:t>)</w:t>
            </w:r>
          </w:p>
          <w:p w14:paraId="32A718FA" w14:textId="77777777" w:rsidR="00CE74E6" w:rsidRPr="0013396E" w:rsidRDefault="00CE74E6" w:rsidP="00CE74E6">
            <w:pPr>
              <w:tabs>
                <w:tab w:val="left" w:pos="2700"/>
                <w:tab w:val="left" w:pos="3150"/>
              </w:tabs>
              <w:spacing w:after="240"/>
              <w:ind w:left="720"/>
              <w:contextualSpacing/>
              <w:rPr>
                <w:bCs/>
                <w:lang w:val="pt-BR"/>
              </w:rPr>
            </w:pPr>
          </w:p>
          <w:p w14:paraId="4F76104D" w14:textId="77777777" w:rsidR="00CE74E6" w:rsidRPr="0013396E" w:rsidRDefault="00CE74E6" w:rsidP="00CE74E6">
            <w:pPr>
              <w:tabs>
                <w:tab w:val="left" w:pos="2700"/>
                <w:tab w:val="left" w:pos="3150"/>
              </w:tabs>
              <w:spacing w:after="240"/>
              <w:ind w:left="720"/>
              <w:rPr>
                <w:bCs/>
                <w:color w:val="000000"/>
                <w:lang w:val="pt-BR"/>
              </w:rPr>
            </w:pPr>
            <w:r w:rsidRPr="0013396E">
              <w:rPr>
                <w:bCs/>
                <w:color w:val="000000"/>
                <w:lang w:val="pt-BR"/>
              </w:rPr>
              <w:t>For MRA Contracted Hours without a deployment instruction:</w:t>
            </w:r>
          </w:p>
          <w:p w14:paraId="7F5C3FDF" w14:textId="77777777" w:rsidR="00CE74E6" w:rsidRPr="0013396E" w:rsidRDefault="00CE74E6" w:rsidP="00CE74E6">
            <w:pPr>
              <w:tabs>
                <w:tab w:val="left" w:pos="720"/>
                <w:tab w:val="left" w:pos="3150"/>
              </w:tabs>
              <w:spacing w:after="240"/>
              <w:ind w:left="1440"/>
              <w:rPr>
                <w:bCs/>
                <w:lang w:val="pt-BR"/>
              </w:rPr>
            </w:pPr>
            <w:r w:rsidRPr="0013396E">
              <w:rPr>
                <w:bCs/>
                <w:color w:val="000000"/>
                <w:lang w:val="pt-BR"/>
              </w:rPr>
              <w:t xml:space="preserve">MRAVAMT </w:t>
            </w:r>
            <w:r w:rsidRPr="0013396E">
              <w:rPr>
                <w:bCs/>
                <w:i/>
                <w:vertAlign w:val="subscript"/>
                <w:lang w:val="pt-BR"/>
              </w:rPr>
              <w:t>q, r,h</w:t>
            </w:r>
            <w:r w:rsidRPr="0013396E">
              <w:rPr>
                <w:bCs/>
                <w:lang w:val="pt-BR"/>
              </w:rPr>
              <w:t xml:space="preserve"> = (-1) * (Min(</w:t>
            </w:r>
            <w:r w:rsidRPr="0013396E">
              <w:rPr>
                <w:bCs/>
                <w:color w:val="000000"/>
                <w:lang w:val="pt-BR"/>
              </w:rPr>
              <w:t>MRACVP</w:t>
            </w:r>
            <w:r w:rsidRPr="0013396E">
              <w:rPr>
                <w:bCs/>
                <w:lang w:val="pt-BR"/>
              </w:rPr>
              <w:t xml:space="preserve"> </w:t>
            </w:r>
            <w:r w:rsidRPr="0013396E">
              <w:rPr>
                <w:bCs/>
                <w:i/>
                <w:vertAlign w:val="subscript"/>
                <w:lang w:val="pt-BR"/>
              </w:rPr>
              <w:t>q, r, h</w:t>
            </w:r>
            <w:r w:rsidRPr="0013396E">
              <w:rPr>
                <w:bCs/>
                <w:vertAlign w:val="subscript"/>
                <w:lang w:val="pt-BR"/>
              </w:rPr>
              <w:t xml:space="preserve"> </w:t>
            </w:r>
            <w:r w:rsidRPr="0013396E">
              <w:rPr>
                <w:bCs/>
                <w:lang w:val="pt-BR"/>
              </w:rPr>
              <w:t xml:space="preserve">, </w:t>
            </w:r>
            <w:r w:rsidRPr="0013396E">
              <w:rPr>
                <w:bCs/>
                <w:color w:val="000000"/>
                <w:lang w:val="pt-BR"/>
              </w:rPr>
              <w:t>MRACRTREV</w:t>
            </w:r>
            <w:r w:rsidRPr="0013396E">
              <w:rPr>
                <w:bCs/>
                <w:lang w:val="pt-BR"/>
              </w:rPr>
              <w:t xml:space="preserve"> </w:t>
            </w:r>
            <w:r w:rsidRPr="0013396E">
              <w:rPr>
                <w:bCs/>
                <w:i/>
                <w:vertAlign w:val="subscript"/>
                <w:lang w:val="pt-BR"/>
              </w:rPr>
              <w:t>q, r, h</w:t>
            </w:r>
            <w:r w:rsidRPr="0013396E">
              <w:rPr>
                <w:bCs/>
                <w:lang w:val="pt-BR"/>
              </w:rPr>
              <w:t>) –</w:t>
            </w:r>
            <w:r w:rsidRPr="0013396E">
              <w:rPr>
                <w:bCs/>
                <w:color w:val="000000"/>
                <w:lang w:val="pt-BR"/>
              </w:rPr>
              <w:t>MRACRTREV</w:t>
            </w:r>
            <w:r w:rsidRPr="0013396E">
              <w:rPr>
                <w:bCs/>
                <w:lang w:val="pt-BR"/>
              </w:rPr>
              <w:t xml:space="preserve"> </w:t>
            </w:r>
            <w:r w:rsidRPr="0013396E">
              <w:rPr>
                <w:bCs/>
                <w:i/>
                <w:vertAlign w:val="subscript"/>
                <w:lang w:val="pt-BR"/>
              </w:rPr>
              <w:t>q, r, h</w:t>
            </w:r>
            <w:r w:rsidRPr="0013396E">
              <w:rPr>
                <w:bCs/>
                <w:lang w:val="pt-BR"/>
              </w:rPr>
              <w:t>)</w:t>
            </w:r>
          </w:p>
          <w:p w14:paraId="110B4F6B" w14:textId="77777777" w:rsidR="00CE74E6" w:rsidRPr="0013396E" w:rsidRDefault="00CE74E6" w:rsidP="00CE74E6">
            <w:pPr>
              <w:ind w:firstLine="720"/>
            </w:pPr>
            <w:r w:rsidRPr="0013396E">
              <w:t xml:space="preserve">Where, </w:t>
            </w:r>
          </w:p>
          <w:p w14:paraId="79F263A8" w14:textId="77777777" w:rsidR="00CE74E6" w:rsidRPr="0013396E" w:rsidRDefault="00CE74E6" w:rsidP="00CE74E6"/>
          <w:p w14:paraId="62E60F2D" w14:textId="12B4FF8D" w:rsidR="00CE74E6" w:rsidRPr="0013396E" w:rsidRDefault="00CE74E6" w:rsidP="00CE74E6">
            <w:pPr>
              <w:tabs>
                <w:tab w:val="left" w:pos="720"/>
                <w:tab w:val="left" w:pos="3150"/>
              </w:tabs>
              <w:spacing w:after="240"/>
              <w:contextualSpacing/>
              <w:rPr>
                <w:bCs/>
                <w:lang w:val="pt-BR"/>
              </w:rPr>
            </w:pPr>
            <w:r w:rsidRPr="0013396E">
              <w:rPr>
                <w:bCs/>
                <w:color w:val="000000"/>
                <w:lang w:val="pt-BR"/>
              </w:rPr>
              <w:tab/>
              <w:t>MRACVP</w:t>
            </w:r>
            <w:r w:rsidRPr="0013396E">
              <w:rPr>
                <w:bCs/>
                <w:lang w:val="pt-BR"/>
              </w:rPr>
              <w:t xml:space="preserve"> </w:t>
            </w:r>
            <w:r w:rsidRPr="0013396E">
              <w:rPr>
                <w:bCs/>
                <w:i/>
                <w:vertAlign w:val="subscript"/>
                <w:lang w:val="pt-BR"/>
              </w:rPr>
              <w:t>q, r, h</w:t>
            </w:r>
            <w:r w:rsidRPr="0013396E">
              <w:rPr>
                <w:bCs/>
                <w:vertAlign w:val="subscript"/>
                <w:lang w:val="pt-BR"/>
              </w:rPr>
              <w:t xml:space="preserve"> </w:t>
            </w:r>
            <w:r w:rsidRPr="0013396E">
              <w:rPr>
                <w:bCs/>
                <w:lang w:val="pt-BR"/>
              </w:rPr>
              <w:t xml:space="preserve">= </w:t>
            </w:r>
            <w:r w:rsidR="00A94020" w:rsidRPr="0013396E">
              <w:rPr>
                <w:noProof/>
                <w:position w:val="-20"/>
              </w:rPr>
              <w:drawing>
                <wp:inline distT="0" distB="0" distL="0" distR="0" wp14:anchorId="6E0D2D4A" wp14:editId="7F5FA11E">
                  <wp:extent cx="180975" cy="361950"/>
                  <wp:effectExtent l="0" t="0" r="9525" b="0"/>
                  <wp:docPr id="1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lang w:val="pt-BR"/>
              </w:rPr>
              <w:t xml:space="preserve">Max[VPRICE </w:t>
            </w:r>
            <w:r w:rsidRPr="0013396E">
              <w:rPr>
                <w:bCs/>
                <w:i/>
                <w:vertAlign w:val="subscript"/>
                <w:lang w:val="pt-BR"/>
              </w:rPr>
              <w:t>q, r</w:t>
            </w:r>
            <w:r w:rsidRPr="0013396E">
              <w:rPr>
                <w:bCs/>
                <w:lang w:val="pt-BR"/>
              </w:rPr>
              <w:t>, (FIP + MRACEFA</w:t>
            </w:r>
            <w:r w:rsidRPr="0013396E">
              <w:rPr>
                <w:bCs/>
                <w:i/>
                <w:vertAlign w:val="subscript"/>
                <w:lang w:val="pt-BR"/>
              </w:rPr>
              <w:t xml:space="preserve"> q, r</w:t>
            </w:r>
            <w:r w:rsidRPr="0013396E">
              <w:rPr>
                <w:bCs/>
                <w:lang w:val="pt-BR"/>
              </w:rPr>
              <w:t xml:space="preserve">) * MRAPHR </w:t>
            </w:r>
            <w:r w:rsidRPr="0013396E">
              <w:rPr>
                <w:bCs/>
                <w:i/>
                <w:vertAlign w:val="subscript"/>
                <w:lang w:val="pt-BR"/>
              </w:rPr>
              <w:t>q, r</w:t>
            </w:r>
            <w:r w:rsidRPr="0013396E">
              <w:rPr>
                <w:bCs/>
                <w:lang w:val="pt-BR"/>
              </w:rPr>
              <w:t xml:space="preserve"> ] *</w:t>
            </w:r>
          </w:p>
          <w:p w14:paraId="2EE127F6" w14:textId="77777777" w:rsidR="00CE74E6" w:rsidRPr="0013396E" w:rsidRDefault="00CE74E6" w:rsidP="00CE74E6">
            <w:pPr>
              <w:tabs>
                <w:tab w:val="left" w:pos="2700"/>
                <w:tab w:val="left" w:pos="3150"/>
              </w:tabs>
              <w:spacing w:after="240"/>
              <w:rPr>
                <w:bCs/>
                <w:i/>
                <w:vertAlign w:val="subscript"/>
                <w:lang w:val="pt-BR"/>
              </w:rPr>
            </w:pPr>
            <w:r w:rsidRPr="0013396E">
              <w:rPr>
                <w:bCs/>
                <w:lang w:val="pt-BR"/>
              </w:rPr>
              <w:tab/>
              <w:t xml:space="preserve">RTVQ </w:t>
            </w:r>
            <w:r w:rsidRPr="0013396E">
              <w:rPr>
                <w:bCs/>
                <w:i/>
                <w:vertAlign w:val="subscript"/>
                <w:lang w:val="pt-BR"/>
              </w:rPr>
              <w:t>q, r, i</w:t>
            </w:r>
          </w:p>
          <w:p w14:paraId="0EC6D074" w14:textId="1177F1CE" w:rsidR="00CE74E6" w:rsidRPr="0013396E" w:rsidRDefault="00CE74E6" w:rsidP="00CE74E6">
            <w:pPr>
              <w:tabs>
                <w:tab w:val="left" w:pos="2700"/>
                <w:tab w:val="left" w:pos="3150"/>
              </w:tabs>
              <w:spacing w:after="240"/>
              <w:ind w:left="3150" w:hanging="2430"/>
              <w:rPr>
                <w:bCs/>
                <w:lang w:val="pt-BR"/>
              </w:rPr>
            </w:pPr>
            <w:r w:rsidRPr="0013396E">
              <w:rPr>
                <w:bCs/>
                <w:color w:val="000000"/>
                <w:lang w:val="pt-BR"/>
              </w:rPr>
              <w:t>MRACRTREV</w:t>
            </w:r>
            <w:r w:rsidRPr="0013396E">
              <w:rPr>
                <w:bCs/>
                <w:lang w:val="pt-BR"/>
              </w:rPr>
              <w:t xml:space="preserve"> </w:t>
            </w:r>
            <w:r w:rsidRPr="0013396E">
              <w:rPr>
                <w:bCs/>
                <w:i/>
                <w:vertAlign w:val="subscript"/>
                <w:lang w:val="pt-BR"/>
              </w:rPr>
              <w:t>q, r, h</w:t>
            </w:r>
            <w:r w:rsidRPr="0013396E">
              <w:rPr>
                <w:bCs/>
                <w:vertAlign w:val="subscript"/>
                <w:lang w:val="pt-BR"/>
              </w:rPr>
              <w:t xml:space="preserve"> </w:t>
            </w:r>
            <w:r w:rsidRPr="0013396E">
              <w:rPr>
                <w:bCs/>
                <w:lang w:val="pt-BR"/>
              </w:rPr>
              <w:t xml:space="preserve">= </w:t>
            </w:r>
            <w:r w:rsidR="00A94020" w:rsidRPr="0013396E">
              <w:rPr>
                <w:noProof/>
                <w:position w:val="-20"/>
              </w:rPr>
              <w:drawing>
                <wp:inline distT="0" distB="0" distL="0" distR="0" wp14:anchorId="0A8F611A" wp14:editId="5156FEC0">
                  <wp:extent cx="180975" cy="361950"/>
                  <wp:effectExtent l="0" t="0" r="9525" b="0"/>
                  <wp:docPr id="1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rPr>
              <w:t>(</w:t>
            </w:r>
            <w:r w:rsidRPr="0013396E">
              <w:rPr>
                <w:bCs/>
                <w:lang w:val="pt-BR"/>
              </w:rPr>
              <w:t xml:space="preserve">Max(0, Min(RTVQ </w:t>
            </w:r>
            <w:r w:rsidRPr="0013396E">
              <w:rPr>
                <w:bCs/>
                <w:i/>
                <w:vertAlign w:val="subscript"/>
                <w:lang w:val="pt-BR"/>
              </w:rPr>
              <w:t xml:space="preserve">q, r, i </w:t>
            </w:r>
            <w:r w:rsidRPr="0013396E">
              <w:rPr>
                <w:iCs/>
              </w:rPr>
              <w:t>, MRACCAP</w:t>
            </w:r>
            <w:r w:rsidRPr="0013396E">
              <w:rPr>
                <w:sz w:val="20"/>
                <w:vertAlign w:val="subscript"/>
              </w:rPr>
              <w:t xml:space="preserve"> </w:t>
            </w:r>
            <w:r w:rsidRPr="0013396E">
              <w:rPr>
                <w:i/>
                <w:sz w:val="20"/>
                <w:vertAlign w:val="subscript"/>
              </w:rPr>
              <w:t xml:space="preserve">q, r, </w:t>
            </w:r>
            <w:r w:rsidRPr="0013396E">
              <w:rPr>
                <w:i/>
                <w:iCs/>
                <w:sz w:val="20"/>
                <w:vertAlign w:val="subscript"/>
              </w:rPr>
              <w:t xml:space="preserve">m  </w:t>
            </w:r>
            <w:r w:rsidRPr="0013396E">
              <w:rPr>
                <w:iCs/>
              </w:rPr>
              <w:t xml:space="preserve">/ 4) </w:t>
            </w:r>
            <w:r w:rsidRPr="0013396E">
              <w:rPr>
                <w:bCs/>
                <w:lang w:val="pt-BR"/>
              </w:rPr>
              <w:t xml:space="preserve">* </w:t>
            </w:r>
            <w:r w:rsidRPr="0013396E">
              <w:t xml:space="preserve">RTSPP </w:t>
            </w:r>
            <w:r w:rsidRPr="0013396E">
              <w:rPr>
                <w:i/>
                <w:vertAlign w:val="subscript"/>
              </w:rPr>
              <w:t>p</w:t>
            </w:r>
            <w:r w:rsidRPr="0013396E">
              <w:rPr>
                <w:i/>
              </w:rPr>
              <w:t xml:space="preserve">, </w:t>
            </w:r>
            <w:r w:rsidRPr="0013396E">
              <w:rPr>
                <w:i/>
                <w:vertAlign w:val="subscript"/>
              </w:rPr>
              <w:t>i</w:t>
            </w:r>
            <w:r w:rsidRPr="0013396E">
              <w:rPr>
                <w:bCs/>
                <w:lang w:val="pt-BR"/>
              </w:rPr>
              <w:t xml:space="preserve">)) </w:t>
            </w:r>
          </w:p>
          <w:p w14:paraId="7C379B93" w14:textId="77777777" w:rsidR="00CE74E6" w:rsidRPr="0013396E" w:rsidRDefault="00CE74E6" w:rsidP="00CE74E6">
            <w:pPr>
              <w:tabs>
                <w:tab w:val="left" w:pos="2700"/>
                <w:tab w:val="left" w:pos="3150"/>
              </w:tabs>
              <w:spacing w:after="240"/>
              <w:ind w:left="3150" w:hanging="2430"/>
              <w:rPr>
                <w:bCs/>
                <w:color w:val="000000"/>
                <w:lang w:val="pt-BR"/>
              </w:rPr>
            </w:pPr>
            <w:r w:rsidRPr="0013396E">
              <w:rPr>
                <w:bCs/>
                <w:color w:val="000000"/>
                <w:lang w:val="pt-BR"/>
              </w:rPr>
              <w:t>Where,</w:t>
            </w:r>
          </w:p>
          <w:p w14:paraId="7C584166" w14:textId="77777777" w:rsidR="00CE74E6" w:rsidRPr="0013396E" w:rsidRDefault="00CE74E6" w:rsidP="00CE74E6">
            <w:pPr>
              <w:tabs>
                <w:tab w:val="left" w:pos="2700"/>
                <w:tab w:val="left" w:pos="3150"/>
              </w:tabs>
              <w:spacing w:after="240"/>
              <w:ind w:left="3150" w:hanging="2430"/>
              <w:rPr>
                <w:bCs/>
                <w:lang w:val="pt-BR"/>
              </w:rPr>
            </w:pPr>
            <w:r w:rsidRPr="0013396E">
              <w:rPr>
                <w:bCs/>
                <w:color w:val="000000"/>
                <w:lang w:val="pt-BR"/>
              </w:rPr>
              <w:tab/>
            </w:r>
            <w:r w:rsidRPr="0013396E">
              <w:rPr>
                <w:bCs/>
                <w:lang w:val="pt-BR"/>
              </w:rPr>
              <w:t xml:space="preserve">RTVQ </w:t>
            </w:r>
            <w:r w:rsidRPr="0013396E">
              <w:rPr>
                <w:bCs/>
                <w:i/>
                <w:vertAlign w:val="subscript"/>
                <w:lang w:val="pt-BR"/>
              </w:rPr>
              <w:t xml:space="preserve">q, r, i </w:t>
            </w:r>
            <w:r w:rsidRPr="0013396E">
              <w:rPr>
                <w:bCs/>
                <w:lang w:val="pt-BR"/>
              </w:rPr>
              <w:t>= MRAIPF</w:t>
            </w:r>
            <w:r w:rsidRPr="0013396E">
              <w:rPr>
                <w:bCs/>
                <w:i/>
                <w:vertAlign w:val="subscript"/>
                <w:lang w:val="pt-BR"/>
              </w:rPr>
              <w:t xml:space="preserve"> q, r,i</w:t>
            </w:r>
            <w:r w:rsidRPr="0013396E">
              <w:rPr>
                <w:bCs/>
                <w:lang w:val="pt-BR"/>
              </w:rPr>
              <w:t xml:space="preserve"> * </w:t>
            </w:r>
            <w:r w:rsidRPr="0013396E">
              <w:rPr>
                <w:iCs/>
              </w:rPr>
              <w:t>MRACCAP</w:t>
            </w:r>
            <w:r w:rsidRPr="0013396E">
              <w:rPr>
                <w:sz w:val="20"/>
                <w:vertAlign w:val="subscript"/>
              </w:rPr>
              <w:t xml:space="preserve"> </w:t>
            </w:r>
            <w:r w:rsidRPr="0013396E">
              <w:rPr>
                <w:i/>
                <w:sz w:val="20"/>
                <w:vertAlign w:val="subscript"/>
              </w:rPr>
              <w:t xml:space="preserve">q, r, </w:t>
            </w:r>
            <w:r w:rsidRPr="0013396E">
              <w:rPr>
                <w:i/>
                <w:iCs/>
                <w:sz w:val="20"/>
                <w:vertAlign w:val="subscript"/>
              </w:rPr>
              <w:t xml:space="preserve">m  </w:t>
            </w:r>
            <w:r w:rsidRPr="0013396E">
              <w:rPr>
                <w:bCs/>
                <w:lang w:val="pt-BR"/>
              </w:rPr>
              <w:t>/ 4</w:t>
            </w:r>
          </w:p>
          <w:p w14:paraId="60D1CE94" w14:textId="343834D3" w:rsidR="00CE74E6" w:rsidRPr="0013396E" w:rsidRDefault="00CE74E6" w:rsidP="00CE74E6">
            <w:pPr>
              <w:pStyle w:val="BodyTextNumbered"/>
              <w:spacing w:before="240"/>
            </w:pPr>
            <w:r w:rsidRPr="0013396E">
              <w:rPr>
                <w:color w:val="000000"/>
              </w:rPr>
              <w:t>(</w:t>
            </w:r>
            <w:r w:rsidR="00AA432B" w:rsidRPr="0013396E">
              <w:rPr>
                <w:color w:val="000000"/>
              </w:rPr>
              <w:t>4</w:t>
            </w:r>
            <w:r w:rsidRPr="0013396E">
              <w:rPr>
                <w:color w:val="000000"/>
              </w:rPr>
              <w:t>)</w:t>
            </w:r>
            <w:r w:rsidRPr="0013396E">
              <w:rPr>
                <w:color w:val="000000"/>
              </w:rPr>
              <w:tab/>
            </w:r>
            <w:r w:rsidRPr="0013396E">
              <w:rPr>
                <w:bCs/>
                <w:color w:val="000000"/>
                <w:lang w:val="pt-BR"/>
              </w:rPr>
              <w:t xml:space="preserve">The variable payment to each QSE representing a Demand Response MRA: </w:t>
            </w:r>
          </w:p>
          <w:p w14:paraId="6BEEEC97" w14:textId="77777777" w:rsidR="00CE74E6" w:rsidRPr="0013396E" w:rsidRDefault="00CE74E6" w:rsidP="00CE74E6">
            <w:pPr>
              <w:tabs>
                <w:tab w:val="left" w:pos="2700"/>
                <w:tab w:val="left" w:pos="3150"/>
              </w:tabs>
              <w:spacing w:after="240"/>
              <w:ind w:left="720"/>
              <w:rPr>
                <w:bCs/>
                <w:color w:val="000000"/>
                <w:lang w:val="pt-BR"/>
              </w:rPr>
            </w:pPr>
            <w:r w:rsidRPr="0013396E">
              <w:rPr>
                <w:bCs/>
                <w:color w:val="000000"/>
                <w:lang w:val="pt-BR"/>
              </w:rPr>
              <w:t>For MRA Contracted Hours with a deployment instruction:</w:t>
            </w:r>
          </w:p>
          <w:p w14:paraId="47F73B1D" w14:textId="5920EFC9" w:rsidR="00CE74E6" w:rsidRPr="0013396E" w:rsidRDefault="00CE74E6" w:rsidP="00CE74E6">
            <w:pPr>
              <w:tabs>
                <w:tab w:val="left" w:pos="2700"/>
                <w:tab w:val="left" w:pos="3150"/>
              </w:tabs>
              <w:spacing w:after="240"/>
              <w:ind w:left="3150" w:hanging="2430"/>
              <w:rPr>
                <w:bCs/>
                <w:i/>
                <w:vertAlign w:val="subscript"/>
                <w:lang w:val="pt-BR"/>
              </w:rPr>
            </w:pPr>
            <w:r w:rsidRPr="0013396E">
              <w:rPr>
                <w:bCs/>
                <w:color w:val="000000"/>
                <w:lang w:val="pt-BR"/>
              </w:rPr>
              <w:t>MRAVAMT</w:t>
            </w:r>
            <w:r w:rsidRPr="0013396E">
              <w:rPr>
                <w:bCs/>
                <w:i/>
                <w:vertAlign w:val="subscript"/>
                <w:lang w:val="pt-BR"/>
              </w:rPr>
              <w:t>q, r</w:t>
            </w:r>
            <w:r w:rsidRPr="0013396E">
              <w:rPr>
                <w:bCs/>
                <w:vertAlign w:val="subscript"/>
                <w:lang w:val="pt-BR"/>
              </w:rPr>
              <w:t xml:space="preserve">, </w:t>
            </w:r>
            <w:r w:rsidRPr="0013396E">
              <w:rPr>
                <w:bCs/>
                <w:i/>
                <w:vertAlign w:val="subscript"/>
                <w:lang w:val="pt-BR"/>
              </w:rPr>
              <w:t>h</w:t>
            </w:r>
            <w:r w:rsidRPr="0013396E">
              <w:rPr>
                <w:bCs/>
                <w:lang w:val="pt-BR"/>
              </w:rPr>
              <w:t xml:space="preserve"> = (-1) * </w:t>
            </w:r>
            <w:r w:rsidR="00A94020" w:rsidRPr="0013396E">
              <w:rPr>
                <w:noProof/>
                <w:position w:val="-20"/>
              </w:rPr>
              <w:drawing>
                <wp:inline distT="0" distB="0" distL="0" distR="0" wp14:anchorId="398CE79B" wp14:editId="18B7AAD2">
                  <wp:extent cx="180975" cy="361950"/>
                  <wp:effectExtent l="0" t="0" r="9525" b="0"/>
                  <wp:docPr id="1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13396E">
              <w:rPr>
                <w:bCs/>
                <w:lang w:val="pt-BR"/>
              </w:rPr>
              <w:t>Max[VPRICE</w:t>
            </w:r>
            <w:r w:rsidRPr="0013396E">
              <w:rPr>
                <w:bCs/>
                <w:i/>
                <w:vertAlign w:val="subscript"/>
                <w:lang w:val="pt-BR"/>
              </w:rPr>
              <w:t xml:space="preserve"> q, r</w:t>
            </w:r>
            <w:r w:rsidRPr="0013396E">
              <w:rPr>
                <w:bCs/>
                <w:lang w:val="pt-BR"/>
              </w:rPr>
              <w:t>, (FIP + MRACEFA</w:t>
            </w:r>
            <w:r w:rsidRPr="0013396E">
              <w:rPr>
                <w:bCs/>
                <w:i/>
                <w:vertAlign w:val="subscript"/>
                <w:lang w:val="pt-BR"/>
              </w:rPr>
              <w:t xml:space="preserve"> q, r</w:t>
            </w:r>
            <w:r w:rsidRPr="0013396E">
              <w:rPr>
                <w:bCs/>
                <w:lang w:val="pt-BR"/>
              </w:rPr>
              <w:t xml:space="preserve">) * MRAPHR </w:t>
            </w:r>
            <w:r w:rsidRPr="0013396E">
              <w:rPr>
                <w:bCs/>
                <w:i/>
                <w:vertAlign w:val="subscript"/>
                <w:lang w:val="pt-BR"/>
              </w:rPr>
              <w:t>q, r</w:t>
            </w:r>
            <w:r w:rsidRPr="0013396E">
              <w:rPr>
                <w:bCs/>
                <w:lang w:val="pt-BR"/>
              </w:rPr>
              <w:t xml:space="preserve"> ] * RTVQ </w:t>
            </w:r>
            <w:r w:rsidRPr="0013396E">
              <w:rPr>
                <w:bCs/>
                <w:i/>
                <w:vertAlign w:val="subscript"/>
                <w:lang w:val="pt-BR"/>
              </w:rPr>
              <w:t xml:space="preserve">q, r, i </w:t>
            </w:r>
          </w:p>
          <w:p w14:paraId="72A3B4DA" w14:textId="77777777" w:rsidR="00CE74E6" w:rsidRPr="0013396E" w:rsidRDefault="00CE74E6" w:rsidP="00CE74E6">
            <w:pPr>
              <w:tabs>
                <w:tab w:val="left" w:pos="2700"/>
                <w:tab w:val="left" w:pos="3150"/>
              </w:tabs>
              <w:spacing w:after="240"/>
              <w:ind w:left="3150" w:hanging="2430"/>
              <w:rPr>
                <w:bCs/>
                <w:color w:val="000000"/>
                <w:lang w:val="pt-BR"/>
              </w:rPr>
            </w:pPr>
            <w:r w:rsidRPr="0013396E">
              <w:rPr>
                <w:bCs/>
                <w:color w:val="000000"/>
                <w:lang w:val="pt-BR"/>
              </w:rPr>
              <w:t>Where,</w:t>
            </w:r>
          </w:p>
          <w:p w14:paraId="0D5E0FED" w14:textId="77777777" w:rsidR="00CE74E6" w:rsidRPr="0013396E" w:rsidRDefault="00CE74E6" w:rsidP="00CE74E6">
            <w:pPr>
              <w:tabs>
                <w:tab w:val="left" w:pos="2700"/>
                <w:tab w:val="left" w:pos="3150"/>
              </w:tabs>
              <w:spacing w:after="240"/>
              <w:ind w:left="3150" w:hanging="2430"/>
              <w:rPr>
                <w:bCs/>
                <w:lang w:val="pt-BR"/>
              </w:rPr>
            </w:pPr>
            <w:r w:rsidRPr="0013396E">
              <w:rPr>
                <w:bCs/>
                <w:color w:val="000000"/>
                <w:lang w:val="pt-BR"/>
              </w:rPr>
              <w:tab/>
            </w:r>
            <w:r w:rsidRPr="0013396E">
              <w:rPr>
                <w:bCs/>
                <w:lang w:val="pt-BR"/>
              </w:rPr>
              <w:t xml:space="preserve">RTVQ </w:t>
            </w:r>
            <w:r w:rsidRPr="0013396E">
              <w:rPr>
                <w:bCs/>
                <w:i/>
                <w:vertAlign w:val="subscript"/>
                <w:lang w:val="pt-BR"/>
              </w:rPr>
              <w:t xml:space="preserve">q, r, i </w:t>
            </w:r>
            <w:r w:rsidRPr="0013396E">
              <w:rPr>
                <w:bCs/>
                <w:lang w:val="pt-BR"/>
              </w:rPr>
              <w:t>= MRAIPF</w:t>
            </w:r>
            <w:r w:rsidRPr="0013396E">
              <w:rPr>
                <w:bCs/>
                <w:i/>
                <w:vertAlign w:val="subscript"/>
                <w:lang w:val="pt-BR"/>
              </w:rPr>
              <w:t xml:space="preserve"> q, r,i</w:t>
            </w:r>
            <w:r w:rsidRPr="0013396E">
              <w:rPr>
                <w:bCs/>
                <w:lang w:val="pt-BR"/>
              </w:rPr>
              <w:t xml:space="preserve"> * </w:t>
            </w:r>
            <w:r w:rsidRPr="0013396E">
              <w:rPr>
                <w:iCs/>
              </w:rPr>
              <w:t>MRACCAP</w:t>
            </w:r>
            <w:r w:rsidRPr="0013396E">
              <w:rPr>
                <w:sz w:val="20"/>
                <w:vertAlign w:val="subscript"/>
              </w:rPr>
              <w:t xml:space="preserve"> </w:t>
            </w:r>
            <w:r w:rsidRPr="0013396E">
              <w:rPr>
                <w:i/>
                <w:sz w:val="20"/>
                <w:vertAlign w:val="subscript"/>
              </w:rPr>
              <w:t>q, r, m</w:t>
            </w:r>
            <w:r w:rsidRPr="0013396E">
              <w:rPr>
                <w:i/>
                <w:iCs/>
                <w:sz w:val="20"/>
                <w:vertAlign w:val="subscript"/>
              </w:rPr>
              <w:t xml:space="preserve">  </w:t>
            </w:r>
            <w:r w:rsidRPr="0013396E">
              <w:rPr>
                <w:bCs/>
                <w:lang w:val="pt-BR"/>
              </w:rPr>
              <w:t>/ 4</w:t>
            </w:r>
          </w:p>
          <w:p w14:paraId="6C95ACF8" w14:textId="77777777" w:rsidR="00CE74E6" w:rsidRPr="0013396E" w:rsidRDefault="00CE74E6" w:rsidP="00CE74E6">
            <w:r w:rsidRPr="0013396E">
              <w:t>The above variables are defined as follows: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1080"/>
              <w:gridCol w:w="6300"/>
            </w:tblGrid>
            <w:tr w:rsidR="00A76C0B" w:rsidRPr="0013396E" w14:paraId="12AD754E" w14:textId="77777777" w:rsidTr="00CE1011">
              <w:trPr>
                <w:cantSplit/>
                <w:tblHeader/>
              </w:trPr>
              <w:tc>
                <w:tcPr>
                  <w:tcW w:w="1885" w:type="dxa"/>
                </w:tcPr>
                <w:p w14:paraId="451996F0" w14:textId="77777777" w:rsidR="00A76C0B" w:rsidRPr="0013396E" w:rsidRDefault="00A76C0B" w:rsidP="00A76C0B">
                  <w:pPr>
                    <w:spacing w:after="120"/>
                    <w:rPr>
                      <w:b/>
                      <w:iCs/>
                      <w:sz w:val="20"/>
                    </w:rPr>
                  </w:pPr>
                  <w:r w:rsidRPr="0013396E">
                    <w:rPr>
                      <w:b/>
                      <w:iCs/>
                      <w:sz w:val="20"/>
                    </w:rPr>
                    <w:t>Variable</w:t>
                  </w:r>
                </w:p>
              </w:tc>
              <w:tc>
                <w:tcPr>
                  <w:tcW w:w="1080" w:type="dxa"/>
                </w:tcPr>
                <w:p w14:paraId="01C03DF2" w14:textId="77777777" w:rsidR="00A76C0B" w:rsidRPr="0013396E" w:rsidRDefault="00A76C0B" w:rsidP="00A76C0B">
                  <w:pPr>
                    <w:spacing w:after="120"/>
                    <w:rPr>
                      <w:b/>
                      <w:iCs/>
                      <w:sz w:val="20"/>
                    </w:rPr>
                  </w:pPr>
                  <w:r w:rsidRPr="0013396E">
                    <w:rPr>
                      <w:b/>
                      <w:iCs/>
                      <w:sz w:val="20"/>
                    </w:rPr>
                    <w:t>Unit</w:t>
                  </w:r>
                </w:p>
              </w:tc>
              <w:tc>
                <w:tcPr>
                  <w:tcW w:w="6300" w:type="dxa"/>
                </w:tcPr>
                <w:p w14:paraId="47152EB3" w14:textId="77777777" w:rsidR="00A76C0B" w:rsidRPr="0013396E" w:rsidRDefault="00A76C0B" w:rsidP="00A76C0B">
                  <w:pPr>
                    <w:spacing w:after="120"/>
                    <w:rPr>
                      <w:b/>
                      <w:iCs/>
                      <w:sz w:val="20"/>
                    </w:rPr>
                  </w:pPr>
                  <w:r w:rsidRPr="0013396E">
                    <w:rPr>
                      <w:b/>
                      <w:iCs/>
                      <w:sz w:val="20"/>
                    </w:rPr>
                    <w:t>Definition</w:t>
                  </w:r>
                </w:p>
              </w:tc>
            </w:tr>
            <w:tr w:rsidR="00A76C0B" w:rsidRPr="0013396E" w14:paraId="107C7AF7" w14:textId="77777777" w:rsidTr="00CE1011">
              <w:trPr>
                <w:cantSplit/>
              </w:trPr>
              <w:tc>
                <w:tcPr>
                  <w:tcW w:w="1885" w:type="dxa"/>
                </w:tcPr>
                <w:p w14:paraId="2379E783" w14:textId="77777777" w:rsidR="00A76C0B" w:rsidRPr="0013396E" w:rsidRDefault="00A76C0B" w:rsidP="00A76C0B">
                  <w:pPr>
                    <w:spacing w:after="60"/>
                    <w:rPr>
                      <w:iCs/>
                      <w:sz w:val="20"/>
                    </w:rPr>
                  </w:pPr>
                  <w:r w:rsidRPr="0013396E">
                    <w:rPr>
                      <w:bCs/>
                      <w:color w:val="000000"/>
                      <w:sz w:val="20"/>
                      <w:lang w:val="pt-BR"/>
                    </w:rPr>
                    <w:t>MRAVAMT</w:t>
                  </w:r>
                  <w:r w:rsidRPr="0013396E">
                    <w:rPr>
                      <w:iCs/>
                      <w:sz w:val="20"/>
                    </w:rPr>
                    <w:t xml:space="preserve"> </w:t>
                  </w:r>
                  <w:r w:rsidRPr="0013396E">
                    <w:rPr>
                      <w:i/>
                      <w:iCs/>
                      <w:sz w:val="20"/>
                      <w:vertAlign w:val="subscript"/>
                    </w:rPr>
                    <w:t>q, r, h</w:t>
                  </w:r>
                </w:p>
              </w:tc>
              <w:tc>
                <w:tcPr>
                  <w:tcW w:w="1080" w:type="dxa"/>
                </w:tcPr>
                <w:p w14:paraId="16B34C95" w14:textId="77777777" w:rsidR="00A76C0B" w:rsidRPr="0013396E" w:rsidRDefault="00A76C0B" w:rsidP="00A76C0B">
                  <w:pPr>
                    <w:spacing w:after="60"/>
                    <w:rPr>
                      <w:iCs/>
                      <w:sz w:val="20"/>
                    </w:rPr>
                  </w:pPr>
                  <w:r w:rsidRPr="0013396E">
                    <w:rPr>
                      <w:iCs/>
                      <w:sz w:val="20"/>
                    </w:rPr>
                    <w:t>$</w:t>
                  </w:r>
                </w:p>
              </w:tc>
              <w:tc>
                <w:tcPr>
                  <w:tcW w:w="6300" w:type="dxa"/>
                </w:tcPr>
                <w:p w14:paraId="778DA83F" w14:textId="02013451" w:rsidR="00A76C0B" w:rsidRPr="0013396E" w:rsidRDefault="00A76C0B" w:rsidP="00A76C0B">
                  <w:pPr>
                    <w:spacing w:after="60"/>
                    <w:rPr>
                      <w:iCs/>
                      <w:sz w:val="20"/>
                    </w:rPr>
                  </w:pPr>
                  <w:r w:rsidRPr="0013396E">
                    <w:rPr>
                      <w:i/>
                      <w:iCs/>
                      <w:sz w:val="20"/>
                    </w:rPr>
                    <w:t>Must-Run Alternative Variable Amount per QSE per Resource by hour</w:t>
                  </w:r>
                  <w:r w:rsidRPr="0013396E">
                    <w:rPr>
                      <w:iCs/>
                      <w:sz w:val="20"/>
                    </w:rPr>
                    <w:t xml:space="preserve">—The variable payment to QSE </w:t>
                  </w:r>
                  <w:r w:rsidRPr="0013396E">
                    <w:rPr>
                      <w:i/>
                      <w:iCs/>
                      <w:sz w:val="20"/>
                    </w:rPr>
                    <w:t>q</w:t>
                  </w:r>
                  <w:r w:rsidRPr="0013396E">
                    <w:rPr>
                      <w:iCs/>
                      <w:sz w:val="20"/>
                    </w:rPr>
                    <w:t xml:space="preserve"> for MRA </w:t>
                  </w:r>
                  <w:r w:rsidRPr="0013396E">
                    <w:rPr>
                      <w:i/>
                      <w:iCs/>
                      <w:sz w:val="20"/>
                    </w:rPr>
                    <w:t>r</w:t>
                  </w:r>
                  <w:r w:rsidRPr="0013396E">
                    <w:rPr>
                      <w:iCs/>
                      <w:sz w:val="20"/>
                    </w:rPr>
                    <w:t>, for the hour</w:t>
                  </w:r>
                  <w:r w:rsidR="00AA432B" w:rsidRPr="0013396E">
                    <w:rPr>
                      <w:i/>
                      <w:sz w:val="20"/>
                    </w:rPr>
                    <w:t xml:space="preserve"> h</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A76C0B" w:rsidRPr="0013396E" w14:paraId="26C073B4" w14:textId="77777777" w:rsidTr="00CE1011">
              <w:trPr>
                <w:cantSplit/>
              </w:trPr>
              <w:tc>
                <w:tcPr>
                  <w:tcW w:w="1885" w:type="dxa"/>
                </w:tcPr>
                <w:p w14:paraId="128615CC" w14:textId="77777777" w:rsidR="00A76C0B" w:rsidRPr="0013396E" w:rsidRDefault="00A76C0B" w:rsidP="00A76C0B">
                  <w:pPr>
                    <w:spacing w:after="60"/>
                    <w:rPr>
                      <w:iCs/>
                      <w:color w:val="92D050"/>
                      <w:sz w:val="20"/>
                    </w:rPr>
                  </w:pPr>
                  <w:r w:rsidRPr="0013396E">
                    <w:rPr>
                      <w:bCs/>
                      <w:color w:val="000000"/>
                      <w:sz w:val="20"/>
                      <w:lang w:val="pt-BR"/>
                    </w:rPr>
                    <w:t>MRAGRCVP</w:t>
                  </w:r>
                  <w:r w:rsidRPr="0013396E">
                    <w:rPr>
                      <w:bCs/>
                      <w:sz w:val="20"/>
                      <w:lang w:val="pt-BR"/>
                    </w:rPr>
                    <w:t xml:space="preserve"> </w:t>
                  </w:r>
                  <w:r w:rsidRPr="0013396E">
                    <w:rPr>
                      <w:bCs/>
                      <w:i/>
                      <w:sz w:val="20"/>
                      <w:vertAlign w:val="subscript"/>
                      <w:lang w:val="pt-BR"/>
                    </w:rPr>
                    <w:t>q, r, h</w:t>
                  </w:r>
                  <w:r w:rsidRPr="0013396E">
                    <w:rPr>
                      <w:bCs/>
                      <w:sz w:val="20"/>
                      <w:lang w:val="pt-BR"/>
                    </w:rPr>
                    <w:t xml:space="preserve"> </w:t>
                  </w:r>
                </w:p>
              </w:tc>
              <w:tc>
                <w:tcPr>
                  <w:tcW w:w="1080" w:type="dxa"/>
                </w:tcPr>
                <w:p w14:paraId="3CFEF233" w14:textId="77777777" w:rsidR="00A76C0B" w:rsidRPr="0013396E" w:rsidRDefault="00A76C0B" w:rsidP="00A76C0B">
                  <w:pPr>
                    <w:spacing w:after="60"/>
                    <w:rPr>
                      <w:iCs/>
                      <w:sz w:val="20"/>
                    </w:rPr>
                  </w:pPr>
                  <w:r w:rsidRPr="0013396E">
                    <w:rPr>
                      <w:iCs/>
                      <w:sz w:val="20"/>
                    </w:rPr>
                    <w:t>$</w:t>
                  </w:r>
                </w:p>
              </w:tc>
              <w:tc>
                <w:tcPr>
                  <w:tcW w:w="6300" w:type="dxa"/>
                </w:tcPr>
                <w:p w14:paraId="1B9E661F" w14:textId="6ED04CD4" w:rsidR="00A76C0B" w:rsidRPr="0013396E" w:rsidRDefault="00A76C0B" w:rsidP="00A76C0B">
                  <w:pPr>
                    <w:spacing w:after="60"/>
                    <w:rPr>
                      <w:i/>
                      <w:iCs/>
                      <w:sz w:val="20"/>
                    </w:rPr>
                  </w:pPr>
                  <w:r w:rsidRPr="0013396E">
                    <w:rPr>
                      <w:i/>
                      <w:iCs/>
                      <w:sz w:val="20"/>
                    </w:rPr>
                    <w:t xml:space="preserve">Must-Run Alternative Generation Resource Calculated Variable Payment per QSE per Resource - </w:t>
                  </w:r>
                  <w:r w:rsidRPr="0013396E">
                    <w:rPr>
                      <w:iCs/>
                      <w:sz w:val="20"/>
                    </w:rPr>
                    <w:t xml:space="preserve">The variable payment to QSE </w:t>
                  </w:r>
                  <w:r w:rsidRPr="0013396E">
                    <w:rPr>
                      <w:i/>
                      <w:iCs/>
                      <w:sz w:val="20"/>
                    </w:rPr>
                    <w:t>q</w:t>
                  </w:r>
                  <w:r w:rsidRPr="0013396E">
                    <w:rPr>
                      <w:iCs/>
                      <w:sz w:val="20"/>
                    </w:rPr>
                    <w:t xml:space="preserve"> for Generation Resource MRA </w:t>
                  </w:r>
                  <w:r w:rsidRPr="0013396E">
                    <w:rPr>
                      <w:i/>
                      <w:iCs/>
                      <w:sz w:val="20"/>
                    </w:rPr>
                    <w:t>r</w:t>
                  </w:r>
                  <w:r w:rsidRPr="0013396E">
                    <w:rPr>
                      <w:iCs/>
                      <w:sz w:val="20"/>
                    </w:rPr>
                    <w:t>, for the hour</w:t>
                  </w:r>
                  <w:r w:rsidR="00AA432B" w:rsidRPr="0013396E">
                    <w:rPr>
                      <w:i/>
                      <w:sz w:val="20"/>
                    </w:rPr>
                    <w:t xml:space="preserve"> h</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A76C0B" w:rsidRPr="0013396E" w14:paraId="158FC4D6" w14:textId="77777777" w:rsidTr="00CE1011">
              <w:trPr>
                <w:cantSplit/>
              </w:trPr>
              <w:tc>
                <w:tcPr>
                  <w:tcW w:w="1885" w:type="dxa"/>
                </w:tcPr>
                <w:p w14:paraId="40237BF5" w14:textId="77777777" w:rsidR="00A76C0B" w:rsidRPr="0013396E" w:rsidRDefault="00A76C0B" w:rsidP="00A76C0B">
                  <w:pPr>
                    <w:spacing w:after="60"/>
                    <w:rPr>
                      <w:iCs/>
                      <w:sz w:val="20"/>
                    </w:rPr>
                  </w:pPr>
                  <w:r w:rsidRPr="0013396E">
                    <w:rPr>
                      <w:iCs/>
                      <w:sz w:val="20"/>
                    </w:rPr>
                    <w:t>FIP</w:t>
                  </w:r>
                </w:p>
              </w:tc>
              <w:tc>
                <w:tcPr>
                  <w:tcW w:w="1080" w:type="dxa"/>
                </w:tcPr>
                <w:p w14:paraId="2C574F5B" w14:textId="77777777" w:rsidR="00A76C0B" w:rsidRPr="0013396E" w:rsidRDefault="00A76C0B" w:rsidP="00A76C0B">
                  <w:pPr>
                    <w:spacing w:after="60"/>
                    <w:rPr>
                      <w:iCs/>
                      <w:sz w:val="20"/>
                    </w:rPr>
                  </w:pPr>
                  <w:r w:rsidRPr="0013396E">
                    <w:rPr>
                      <w:iCs/>
                      <w:sz w:val="20"/>
                    </w:rPr>
                    <w:t>$/MMBtu</w:t>
                  </w:r>
                </w:p>
              </w:tc>
              <w:tc>
                <w:tcPr>
                  <w:tcW w:w="6300" w:type="dxa"/>
                </w:tcPr>
                <w:p w14:paraId="2C8C185F" w14:textId="77777777" w:rsidR="00A76C0B" w:rsidRPr="0013396E" w:rsidRDefault="00A76C0B" w:rsidP="00A76C0B">
                  <w:pPr>
                    <w:spacing w:after="60"/>
                    <w:rPr>
                      <w:iCs/>
                      <w:sz w:val="20"/>
                    </w:rPr>
                  </w:pPr>
                  <w:r w:rsidRPr="0013396E">
                    <w:rPr>
                      <w:i/>
                      <w:iCs/>
                      <w:sz w:val="20"/>
                    </w:rPr>
                    <w:t>Fuel Index Price</w:t>
                  </w:r>
                  <w:r w:rsidRPr="0013396E">
                    <w:rPr>
                      <w:iCs/>
                      <w:sz w:val="20"/>
                    </w:rPr>
                    <w:t>—The FIP for the Operating Day.</w:t>
                  </w:r>
                </w:p>
              </w:tc>
            </w:tr>
            <w:tr w:rsidR="00A76C0B" w:rsidRPr="0013396E" w14:paraId="35372463" w14:textId="77777777" w:rsidTr="00CE1011">
              <w:trPr>
                <w:cantSplit/>
              </w:trPr>
              <w:tc>
                <w:tcPr>
                  <w:tcW w:w="1885" w:type="dxa"/>
                </w:tcPr>
                <w:p w14:paraId="477F14CB" w14:textId="77777777" w:rsidR="00A76C0B" w:rsidRPr="0013396E" w:rsidRDefault="00A76C0B" w:rsidP="00A76C0B">
                  <w:pPr>
                    <w:spacing w:after="60"/>
                    <w:rPr>
                      <w:iCs/>
                      <w:sz w:val="20"/>
                    </w:rPr>
                  </w:pPr>
                  <w:r w:rsidRPr="0013396E">
                    <w:rPr>
                      <w:bCs/>
                      <w:color w:val="000000"/>
                      <w:sz w:val="20"/>
                      <w:lang w:val="pt-BR"/>
                    </w:rPr>
                    <w:t>MRARTREV</w:t>
                  </w:r>
                  <w:r w:rsidRPr="0013396E">
                    <w:rPr>
                      <w:bCs/>
                      <w:i/>
                      <w:sz w:val="20"/>
                      <w:vertAlign w:val="subscript"/>
                      <w:lang w:val="pt-BR"/>
                    </w:rPr>
                    <w:t>q, r</w:t>
                  </w:r>
                  <w:r w:rsidRPr="0013396E">
                    <w:rPr>
                      <w:bCs/>
                      <w:sz w:val="20"/>
                      <w:vertAlign w:val="subscript"/>
                      <w:lang w:val="pt-BR"/>
                    </w:rPr>
                    <w:t xml:space="preserve">, </w:t>
                  </w:r>
                  <w:r w:rsidRPr="0013396E">
                    <w:rPr>
                      <w:bCs/>
                      <w:i/>
                      <w:sz w:val="20"/>
                      <w:vertAlign w:val="subscript"/>
                      <w:lang w:val="pt-BR"/>
                    </w:rPr>
                    <w:t>h</w:t>
                  </w:r>
                </w:p>
              </w:tc>
              <w:tc>
                <w:tcPr>
                  <w:tcW w:w="1080" w:type="dxa"/>
                </w:tcPr>
                <w:p w14:paraId="714D7B6C" w14:textId="77777777" w:rsidR="00A76C0B" w:rsidRPr="0013396E" w:rsidRDefault="00A76C0B" w:rsidP="00A76C0B">
                  <w:pPr>
                    <w:spacing w:after="60"/>
                    <w:rPr>
                      <w:iCs/>
                      <w:sz w:val="20"/>
                    </w:rPr>
                  </w:pPr>
                  <w:r w:rsidRPr="0013396E">
                    <w:rPr>
                      <w:iCs/>
                      <w:sz w:val="20"/>
                    </w:rPr>
                    <w:t>$</w:t>
                  </w:r>
                </w:p>
              </w:tc>
              <w:tc>
                <w:tcPr>
                  <w:tcW w:w="6300" w:type="dxa"/>
                </w:tcPr>
                <w:p w14:paraId="4484C99B" w14:textId="2AF34D53" w:rsidR="00A76C0B" w:rsidRPr="0013396E" w:rsidRDefault="00A76C0B" w:rsidP="00A76C0B">
                  <w:pPr>
                    <w:spacing w:after="60"/>
                    <w:rPr>
                      <w:i/>
                      <w:iCs/>
                      <w:sz w:val="20"/>
                    </w:rPr>
                  </w:pPr>
                  <w:r w:rsidRPr="0013396E">
                    <w:rPr>
                      <w:i/>
                      <w:iCs/>
                      <w:sz w:val="20"/>
                    </w:rPr>
                    <w:t>Must-Run Alternative Real-Time Revenues per QSE per Resource by hour</w:t>
                  </w:r>
                  <w:r w:rsidRPr="0013396E">
                    <w:rPr>
                      <w:iCs/>
                      <w:sz w:val="20"/>
                    </w:rPr>
                    <w:t xml:space="preserve">—The revenues received in Real-Time for QSE </w:t>
                  </w:r>
                  <w:r w:rsidRPr="0013396E">
                    <w:rPr>
                      <w:i/>
                      <w:iCs/>
                      <w:sz w:val="20"/>
                    </w:rPr>
                    <w:t>q</w:t>
                  </w:r>
                  <w:r w:rsidRPr="0013396E">
                    <w:rPr>
                      <w:iCs/>
                      <w:sz w:val="20"/>
                    </w:rPr>
                    <w:t xml:space="preserve"> for MRA </w:t>
                  </w:r>
                  <w:r w:rsidRPr="0013396E">
                    <w:rPr>
                      <w:i/>
                      <w:iCs/>
                      <w:sz w:val="20"/>
                    </w:rPr>
                    <w:t>r</w:t>
                  </w:r>
                  <w:r w:rsidRPr="0013396E">
                    <w:rPr>
                      <w:iCs/>
                      <w:sz w:val="20"/>
                    </w:rPr>
                    <w:t>, for the hour</w:t>
                  </w:r>
                  <w:r w:rsidR="00AA432B" w:rsidRPr="0013396E">
                    <w:rPr>
                      <w:i/>
                      <w:sz w:val="20"/>
                    </w:rPr>
                    <w:t xml:space="preserve"> h</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AA432B" w:rsidRPr="0013396E" w14:paraId="452AD0F3" w14:textId="77777777" w:rsidTr="00CE1011">
              <w:trPr>
                <w:cantSplit/>
              </w:trPr>
              <w:tc>
                <w:tcPr>
                  <w:tcW w:w="1885" w:type="dxa"/>
                </w:tcPr>
                <w:p w14:paraId="3EBE9E46" w14:textId="1DD56DC2" w:rsidR="00AA432B" w:rsidRPr="0013396E" w:rsidRDefault="00AA432B" w:rsidP="00AA432B">
                  <w:pPr>
                    <w:spacing w:after="60"/>
                    <w:rPr>
                      <w:bCs/>
                      <w:color w:val="000000"/>
                      <w:sz w:val="20"/>
                      <w:lang w:val="pt-BR"/>
                    </w:rPr>
                  </w:pPr>
                  <w:r w:rsidRPr="0013396E">
                    <w:rPr>
                      <w:sz w:val="20"/>
                    </w:rPr>
                    <w:lastRenderedPageBreak/>
                    <w:t>MRAESRCVP</w:t>
                  </w:r>
                  <w:r w:rsidRPr="0013396E">
                    <w:t xml:space="preserve"> </w:t>
                  </w:r>
                  <w:r w:rsidRPr="0013396E">
                    <w:rPr>
                      <w:bCs/>
                      <w:i/>
                      <w:sz w:val="20"/>
                      <w:vertAlign w:val="subscript"/>
                      <w:lang w:val="pt-BR"/>
                    </w:rPr>
                    <w:t>q, r, h</w:t>
                  </w:r>
                  <w:r w:rsidRPr="0013396E">
                    <w:t xml:space="preserve"> </w:t>
                  </w:r>
                </w:p>
              </w:tc>
              <w:tc>
                <w:tcPr>
                  <w:tcW w:w="1080" w:type="dxa"/>
                </w:tcPr>
                <w:p w14:paraId="31CAAFA2" w14:textId="1FE075F5" w:rsidR="00AA432B" w:rsidRPr="0013396E" w:rsidRDefault="00AA432B" w:rsidP="00AA432B">
                  <w:pPr>
                    <w:spacing w:after="60"/>
                    <w:rPr>
                      <w:iCs/>
                      <w:sz w:val="20"/>
                    </w:rPr>
                  </w:pPr>
                  <w:r w:rsidRPr="0013396E">
                    <w:rPr>
                      <w:sz w:val="20"/>
                    </w:rPr>
                    <w:t>$</w:t>
                  </w:r>
                </w:p>
              </w:tc>
              <w:tc>
                <w:tcPr>
                  <w:tcW w:w="6300" w:type="dxa"/>
                </w:tcPr>
                <w:p w14:paraId="47C0A947" w14:textId="011A009D" w:rsidR="00AA432B" w:rsidRPr="0013396E" w:rsidRDefault="00AA432B" w:rsidP="00AA432B">
                  <w:pPr>
                    <w:spacing w:after="60"/>
                    <w:rPr>
                      <w:i/>
                      <w:iCs/>
                      <w:sz w:val="20"/>
                    </w:rPr>
                  </w:pPr>
                  <w:r w:rsidRPr="0013396E">
                    <w:rPr>
                      <w:i/>
                      <w:iCs/>
                      <w:sz w:val="20"/>
                    </w:rPr>
                    <w:t>Must-Run Alternative Energy Storage Resource Calculated Variable Payment per QSE per Resource</w:t>
                  </w:r>
                  <w:r w:rsidRPr="0013396E">
                    <w:rPr>
                      <w:iCs/>
                      <w:sz w:val="20"/>
                    </w:rPr>
                    <w:t>—</w:t>
                  </w:r>
                  <w:r w:rsidRPr="0013396E">
                    <w:rPr>
                      <w:sz w:val="20"/>
                    </w:rPr>
                    <w:t xml:space="preserve">The variable payment to QSE </w:t>
                  </w:r>
                  <w:r w:rsidRPr="0013396E">
                    <w:rPr>
                      <w:i/>
                      <w:iCs/>
                      <w:sz w:val="20"/>
                    </w:rPr>
                    <w:t>q</w:t>
                  </w:r>
                  <w:r w:rsidRPr="0013396E">
                    <w:rPr>
                      <w:sz w:val="20"/>
                    </w:rPr>
                    <w:t xml:space="preserve"> for ESR MRA </w:t>
                  </w:r>
                  <w:r w:rsidRPr="0013396E">
                    <w:rPr>
                      <w:i/>
                      <w:iCs/>
                      <w:sz w:val="20"/>
                    </w:rPr>
                    <w:t>r</w:t>
                  </w:r>
                  <w:r w:rsidRPr="0013396E">
                    <w:rPr>
                      <w:sz w:val="20"/>
                    </w:rPr>
                    <w:t>, for the hour</w:t>
                  </w:r>
                  <w:r w:rsidRPr="0013396E">
                    <w:rPr>
                      <w:i/>
                      <w:sz w:val="20"/>
                    </w:rPr>
                    <w:t xml:space="preserve"> h</w:t>
                  </w:r>
                  <w:r w:rsidRPr="0013396E">
                    <w:rPr>
                      <w:sz w:val="20"/>
                    </w:rPr>
                    <w:t>.</w:t>
                  </w:r>
                  <w:r w:rsidRPr="0013396E">
                    <w:t xml:space="preserve">  </w:t>
                  </w:r>
                </w:p>
              </w:tc>
            </w:tr>
            <w:tr w:rsidR="00AA432B" w:rsidRPr="0013396E" w14:paraId="662F9A69" w14:textId="77777777" w:rsidTr="00CE1011">
              <w:trPr>
                <w:cantSplit/>
              </w:trPr>
              <w:tc>
                <w:tcPr>
                  <w:tcW w:w="1885" w:type="dxa"/>
                </w:tcPr>
                <w:p w14:paraId="0CB9D52D" w14:textId="5D963AE2" w:rsidR="00AA432B" w:rsidRPr="0013396E" w:rsidRDefault="00AA432B" w:rsidP="00AA432B">
                  <w:pPr>
                    <w:spacing w:after="60"/>
                    <w:rPr>
                      <w:bCs/>
                      <w:color w:val="000000"/>
                      <w:sz w:val="20"/>
                      <w:lang w:val="pt-BR"/>
                    </w:rPr>
                  </w:pPr>
                  <w:r w:rsidRPr="0013396E">
                    <w:rPr>
                      <w:sz w:val="20"/>
                    </w:rPr>
                    <w:t>ESRARCOST</w:t>
                  </w:r>
                  <w:r w:rsidRPr="0013396E">
                    <w:rPr>
                      <w:i/>
                      <w:iCs/>
                    </w:rPr>
                    <w:t xml:space="preserve"> </w:t>
                  </w:r>
                  <w:r w:rsidRPr="0013396E">
                    <w:rPr>
                      <w:bCs/>
                      <w:i/>
                      <w:iCs/>
                      <w:sz w:val="20"/>
                      <w:vertAlign w:val="subscript"/>
                      <w:lang w:val="pt-BR"/>
                    </w:rPr>
                    <w:t>q, r</w:t>
                  </w:r>
                </w:p>
              </w:tc>
              <w:tc>
                <w:tcPr>
                  <w:tcW w:w="1080" w:type="dxa"/>
                </w:tcPr>
                <w:p w14:paraId="5033C8A2" w14:textId="675DE49D" w:rsidR="00AA432B" w:rsidRPr="0013396E" w:rsidRDefault="00AA432B" w:rsidP="00AA432B">
                  <w:pPr>
                    <w:spacing w:after="60"/>
                    <w:rPr>
                      <w:iCs/>
                      <w:sz w:val="20"/>
                    </w:rPr>
                  </w:pPr>
                  <w:r w:rsidRPr="0013396E">
                    <w:rPr>
                      <w:sz w:val="20"/>
                    </w:rPr>
                    <w:t>$/MWh</w:t>
                  </w:r>
                </w:p>
              </w:tc>
              <w:tc>
                <w:tcPr>
                  <w:tcW w:w="6300" w:type="dxa"/>
                </w:tcPr>
                <w:p w14:paraId="6DA4CBE9" w14:textId="181851A6" w:rsidR="00AA432B" w:rsidRPr="0013396E" w:rsidRDefault="00AA432B" w:rsidP="00AA432B">
                  <w:pPr>
                    <w:spacing w:after="60"/>
                    <w:rPr>
                      <w:i/>
                      <w:iCs/>
                      <w:sz w:val="20"/>
                    </w:rPr>
                  </w:pPr>
                  <w:r w:rsidRPr="0013396E">
                    <w:rPr>
                      <w:i/>
                      <w:iCs/>
                      <w:sz w:val="20"/>
                    </w:rPr>
                    <w:t>Must-Run Alternative Energy Storage Resource Average Recharge Cost per QSE per Resource</w:t>
                  </w:r>
                  <w:r w:rsidRPr="0013396E">
                    <w:t>—</w:t>
                  </w:r>
                  <w:r w:rsidRPr="0013396E">
                    <w:rPr>
                      <w:sz w:val="20"/>
                    </w:rPr>
                    <w:t xml:space="preserve">The average cost to recharge the ESR MRA </w:t>
                  </w:r>
                  <w:r w:rsidRPr="0013396E">
                    <w:rPr>
                      <w:i/>
                      <w:iCs/>
                      <w:sz w:val="20"/>
                    </w:rPr>
                    <w:t>r</w:t>
                  </w:r>
                  <w:r w:rsidRPr="0013396E">
                    <w:rPr>
                      <w:sz w:val="20"/>
                    </w:rPr>
                    <w:t xml:space="preserve">, for QSE </w:t>
                  </w:r>
                  <w:r w:rsidRPr="0013396E">
                    <w:rPr>
                      <w:i/>
                      <w:iCs/>
                      <w:sz w:val="20"/>
                    </w:rPr>
                    <w:t>q</w:t>
                  </w:r>
                  <w:r w:rsidRPr="0013396E">
                    <w:rPr>
                      <w:sz w:val="20"/>
                    </w:rPr>
                    <w:t>, during the period the ESR is charging to restore its capability to provide the contracted amount of MRA service</w:t>
                  </w:r>
                  <w:r w:rsidRPr="0013396E">
                    <w:t xml:space="preserve">.  </w:t>
                  </w:r>
                </w:p>
              </w:tc>
            </w:tr>
            <w:tr w:rsidR="00A76C0B" w:rsidRPr="0013396E" w14:paraId="676C5212" w14:textId="77777777" w:rsidTr="00CE1011">
              <w:trPr>
                <w:cantSplit/>
              </w:trPr>
              <w:tc>
                <w:tcPr>
                  <w:tcW w:w="1885" w:type="dxa"/>
                </w:tcPr>
                <w:p w14:paraId="1F7BC514" w14:textId="77777777" w:rsidR="00A76C0B" w:rsidRPr="0013396E" w:rsidRDefault="00A76C0B" w:rsidP="00A76C0B">
                  <w:pPr>
                    <w:spacing w:after="60"/>
                    <w:rPr>
                      <w:bCs/>
                      <w:color w:val="000000"/>
                      <w:sz w:val="20"/>
                      <w:lang w:val="pt-BR"/>
                    </w:rPr>
                  </w:pPr>
                  <w:r w:rsidRPr="0013396E">
                    <w:rPr>
                      <w:sz w:val="20"/>
                    </w:rPr>
                    <w:t>MRACCAP</w:t>
                  </w:r>
                  <w:r w:rsidRPr="0013396E">
                    <w:rPr>
                      <w:sz w:val="20"/>
                      <w:vertAlign w:val="subscript"/>
                    </w:rPr>
                    <w:t xml:space="preserve"> </w:t>
                  </w:r>
                  <w:r w:rsidRPr="0013396E">
                    <w:rPr>
                      <w:i/>
                      <w:sz w:val="20"/>
                      <w:vertAlign w:val="subscript"/>
                    </w:rPr>
                    <w:t xml:space="preserve">q, r, </w:t>
                  </w:r>
                  <w:r w:rsidRPr="0013396E">
                    <w:rPr>
                      <w:i/>
                      <w:iCs/>
                      <w:sz w:val="20"/>
                      <w:vertAlign w:val="subscript"/>
                    </w:rPr>
                    <w:t>m</w:t>
                  </w:r>
                </w:p>
              </w:tc>
              <w:tc>
                <w:tcPr>
                  <w:tcW w:w="1080" w:type="dxa"/>
                </w:tcPr>
                <w:p w14:paraId="6A44654F" w14:textId="77777777" w:rsidR="00A76C0B" w:rsidRPr="0013396E" w:rsidRDefault="00A76C0B" w:rsidP="00A76C0B">
                  <w:pPr>
                    <w:spacing w:after="60"/>
                    <w:rPr>
                      <w:iCs/>
                      <w:sz w:val="20"/>
                    </w:rPr>
                  </w:pPr>
                  <w:r w:rsidRPr="0013396E">
                    <w:rPr>
                      <w:iCs/>
                      <w:sz w:val="20"/>
                    </w:rPr>
                    <w:t>MW</w:t>
                  </w:r>
                </w:p>
              </w:tc>
              <w:tc>
                <w:tcPr>
                  <w:tcW w:w="6300" w:type="dxa"/>
                </w:tcPr>
                <w:p w14:paraId="5CEF67C1" w14:textId="77777777" w:rsidR="00A76C0B" w:rsidRPr="0013396E" w:rsidRDefault="00A76C0B" w:rsidP="00A76C0B">
                  <w:pPr>
                    <w:spacing w:after="60"/>
                    <w:rPr>
                      <w:i/>
                      <w:iCs/>
                      <w:sz w:val="20"/>
                    </w:rPr>
                  </w:pPr>
                  <w:r w:rsidRPr="0013396E">
                    <w:rPr>
                      <w:i/>
                      <w:sz w:val="20"/>
                    </w:rPr>
                    <w:t>Must-Run Alternative Contract Capacity per QSE per Resource</w:t>
                  </w:r>
                  <w:r w:rsidRPr="0013396E">
                    <w:rPr>
                      <w:sz w:val="20"/>
                    </w:rPr>
                    <w:t xml:space="preserve">—The capacity of MRA </w:t>
                  </w:r>
                  <w:r w:rsidRPr="0013396E">
                    <w:rPr>
                      <w:i/>
                      <w:sz w:val="20"/>
                    </w:rPr>
                    <w:t>r</w:t>
                  </w:r>
                  <w:r w:rsidRPr="0013396E">
                    <w:rPr>
                      <w:sz w:val="20"/>
                    </w:rPr>
                    <w:t xml:space="preserve"> represented by QSE </w:t>
                  </w:r>
                  <w:r w:rsidRPr="0013396E">
                    <w:rPr>
                      <w:i/>
                      <w:sz w:val="20"/>
                    </w:rPr>
                    <w:t>q</w:t>
                  </w:r>
                  <w:r w:rsidRPr="0013396E">
                    <w:rPr>
                      <w:sz w:val="20"/>
                    </w:rPr>
                    <w:t xml:space="preserve"> as specified in the MRA Agreement, for the month.  Where for a Combined Cycle Train, the Resource </w:t>
                  </w:r>
                  <w:r w:rsidRPr="0013396E">
                    <w:rPr>
                      <w:i/>
                      <w:sz w:val="20"/>
                    </w:rPr>
                    <w:t xml:space="preserve">r </w:t>
                  </w:r>
                  <w:r w:rsidRPr="0013396E">
                    <w:rPr>
                      <w:sz w:val="20"/>
                    </w:rPr>
                    <w:t>is the Combined Cycle Train.</w:t>
                  </w:r>
                </w:p>
              </w:tc>
            </w:tr>
            <w:tr w:rsidR="00A76C0B" w:rsidRPr="0013396E" w14:paraId="018E4B00" w14:textId="77777777" w:rsidTr="00CE1011">
              <w:trPr>
                <w:cantSplit/>
              </w:trPr>
              <w:tc>
                <w:tcPr>
                  <w:tcW w:w="1885" w:type="dxa"/>
                </w:tcPr>
                <w:p w14:paraId="41955927" w14:textId="77777777" w:rsidR="00A76C0B" w:rsidRPr="0013396E" w:rsidRDefault="00A76C0B" w:rsidP="00A76C0B">
                  <w:pPr>
                    <w:spacing w:after="60"/>
                    <w:rPr>
                      <w:sz w:val="20"/>
                    </w:rPr>
                  </w:pPr>
                  <w:r w:rsidRPr="0013396E">
                    <w:rPr>
                      <w:iCs/>
                      <w:sz w:val="20"/>
                    </w:rPr>
                    <w:t xml:space="preserve">MRAIPF </w:t>
                  </w:r>
                  <w:r w:rsidRPr="0013396E">
                    <w:rPr>
                      <w:bCs/>
                      <w:i/>
                      <w:vertAlign w:val="subscript"/>
                      <w:lang w:val="pt-BR"/>
                    </w:rPr>
                    <w:t>q, r, i</w:t>
                  </w:r>
                </w:p>
              </w:tc>
              <w:tc>
                <w:tcPr>
                  <w:tcW w:w="1080" w:type="dxa"/>
                </w:tcPr>
                <w:p w14:paraId="1989F421" w14:textId="77777777" w:rsidR="00A76C0B" w:rsidRPr="0013396E" w:rsidRDefault="00A76C0B" w:rsidP="00A76C0B">
                  <w:pPr>
                    <w:spacing w:after="60"/>
                    <w:rPr>
                      <w:iCs/>
                      <w:sz w:val="20"/>
                    </w:rPr>
                  </w:pPr>
                  <w:r w:rsidRPr="0013396E">
                    <w:rPr>
                      <w:sz w:val="20"/>
                    </w:rPr>
                    <w:t>none</w:t>
                  </w:r>
                </w:p>
              </w:tc>
              <w:tc>
                <w:tcPr>
                  <w:tcW w:w="6300" w:type="dxa"/>
                </w:tcPr>
                <w:p w14:paraId="5C6749FD" w14:textId="77777777" w:rsidR="00A76C0B" w:rsidRPr="0013396E" w:rsidRDefault="00A76C0B" w:rsidP="00A76C0B">
                  <w:pPr>
                    <w:spacing w:after="60"/>
                    <w:rPr>
                      <w:i/>
                      <w:sz w:val="20"/>
                    </w:rPr>
                  </w:pPr>
                  <w:r w:rsidRPr="0013396E">
                    <w:rPr>
                      <w:i/>
                      <w:iCs/>
                      <w:sz w:val="20"/>
                    </w:rPr>
                    <w:t xml:space="preserve">Must-Run Alternative Interval Performance </w:t>
                  </w:r>
                  <w:r w:rsidRPr="0013396E">
                    <w:rPr>
                      <w:i/>
                      <w:sz w:val="20"/>
                    </w:rPr>
                    <w:t>Factor per QSE per Resource for the interval</w:t>
                  </w:r>
                  <w:r w:rsidRPr="0013396E">
                    <w:rPr>
                      <w:sz w:val="20"/>
                    </w:rPr>
                    <w:t>— The interval performance factor of the MRA</w:t>
                  </w:r>
                  <w:r w:rsidRPr="0013396E">
                    <w:rPr>
                      <w:i/>
                      <w:iCs/>
                      <w:sz w:val="20"/>
                    </w:rPr>
                    <w:t xml:space="preserve"> r </w:t>
                  </w:r>
                  <w:r w:rsidRPr="0013396E">
                    <w:rPr>
                      <w:iCs/>
                      <w:sz w:val="20"/>
                    </w:rPr>
                    <w:t xml:space="preserve">represented by QSE </w:t>
                  </w:r>
                  <w:r w:rsidRPr="0013396E">
                    <w:rPr>
                      <w:i/>
                      <w:iCs/>
                      <w:sz w:val="20"/>
                    </w:rPr>
                    <w:t>q</w:t>
                  </w:r>
                  <w:r w:rsidRPr="0013396E">
                    <w:rPr>
                      <w:sz w:val="20"/>
                    </w:rPr>
                    <w:t xml:space="preserve">, for the 15-minute Settlement Interval </w:t>
                  </w:r>
                  <w:r w:rsidRPr="0013396E">
                    <w:rPr>
                      <w:i/>
                      <w:sz w:val="20"/>
                    </w:rPr>
                    <w:t>i</w:t>
                  </w:r>
                  <w:r w:rsidRPr="0013396E">
                    <w:rPr>
                      <w:sz w:val="20"/>
                    </w:rPr>
                    <w:t xml:space="preserve">.  </w:t>
                  </w:r>
                </w:p>
              </w:tc>
            </w:tr>
            <w:tr w:rsidR="00A76C0B" w:rsidRPr="0013396E" w14:paraId="6553FCBB" w14:textId="77777777" w:rsidTr="00CE1011">
              <w:trPr>
                <w:cantSplit/>
              </w:trPr>
              <w:tc>
                <w:tcPr>
                  <w:tcW w:w="1885" w:type="dxa"/>
                </w:tcPr>
                <w:p w14:paraId="4ADFFB8B" w14:textId="77777777" w:rsidR="00A76C0B" w:rsidRPr="0013396E" w:rsidRDefault="00A76C0B" w:rsidP="00A76C0B">
                  <w:pPr>
                    <w:spacing w:after="60"/>
                    <w:rPr>
                      <w:bCs/>
                      <w:color w:val="000000"/>
                      <w:sz w:val="20"/>
                      <w:lang w:val="pt-BR"/>
                    </w:rPr>
                  </w:pPr>
                  <w:r w:rsidRPr="0013396E">
                    <w:rPr>
                      <w:bCs/>
                      <w:color w:val="000000"/>
                      <w:sz w:val="20"/>
                      <w:lang w:val="pt-BR"/>
                    </w:rPr>
                    <w:t>MRACVP</w:t>
                  </w:r>
                  <w:r w:rsidRPr="0013396E">
                    <w:rPr>
                      <w:bCs/>
                      <w:sz w:val="20"/>
                      <w:lang w:val="pt-BR"/>
                    </w:rPr>
                    <w:t xml:space="preserve"> </w:t>
                  </w:r>
                  <w:r w:rsidRPr="0013396E">
                    <w:rPr>
                      <w:bCs/>
                      <w:i/>
                      <w:sz w:val="20"/>
                      <w:vertAlign w:val="subscript"/>
                      <w:lang w:val="pt-BR"/>
                    </w:rPr>
                    <w:t>q, r,h</w:t>
                  </w:r>
                  <w:r w:rsidRPr="0013396E">
                    <w:rPr>
                      <w:bCs/>
                      <w:sz w:val="20"/>
                      <w:vertAlign w:val="subscript"/>
                      <w:lang w:val="pt-BR"/>
                    </w:rPr>
                    <w:t xml:space="preserve"> </w:t>
                  </w:r>
                  <w:r w:rsidRPr="0013396E">
                    <w:rPr>
                      <w:bCs/>
                      <w:sz w:val="20"/>
                      <w:lang w:val="pt-BR"/>
                    </w:rPr>
                    <w:t xml:space="preserve"> </w:t>
                  </w:r>
                </w:p>
              </w:tc>
              <w:tc>
                <w:tcPr>
                  <w:tcW w:w="1080" w:type="dxa"/>
                </w:tcPr>
                <w:p w14:paraId="0DC1D459" w14:textId="77777777" w:rsidR="00A76C0B" w:rsidRPr="0013396E" w:rsidRDefault="00A76C0B" w:rsidP="00A76C0B">
                  <w:pPr>
                    <w:spacing w:after="60"/>
                    <w:rPr>
                      <w:iCs/>
                      <w:sz w:val="20"/>
                    </w:rPr>
                  </w:pPr>
                  <w:r w:rsidRPr="0013396E">
                    <w:rPr>
                      <w:iCs/>
                      <w:sz w:val="20"/>
                    </w:rPr>
                    <w:t>$</w:t>
                  </w:r>
                </w:p>
              </w:tc>
              <w:tc>
                <w:tcPr>
                  <w:tcW w:w="6300" w:type="dxa"/>
                </w:tcPr>
                <w:p w14:paraId="5FFC18E5" w14:textId="00FD058D" w:rsidR="00A76C0B" w:rsidRPr="0013396E" w:rsidRDefault="00A76C0B" w:rsidP="00A76C0B">
                  <w:pPr>
                    <w:spacing w:after="60"/>
                    <w:rPr>
                      <w:i/>
                      <w:iCs/>
                      <w:sz w:val="20"/>
                    </w:rPr>
                  </w:pPr>
                  <w:r w:rsidRPr="0013396E">
                    <w:rPr>
                      <w:i/>
                      <w:iCs/>
                      <w:sz w:val="20"/>
                    </w:rPr>
                    <w:t xml:space="preserve">Must-Run Alternative Calculated Variable Payment per QSE per Resource - </w:t>
                  </w:r>
                  <w:r w:rsidRPr="0013396E">
                    <w:rPr>
                      <w:iCs/>
                      <w:sz w:val="20"/>
                    </w:rPr>
                    <w:t xml:space="preserve">The variable payment to QSE </w:t>
                  </w:r>
                  <w:r w:rsidRPr="0013396E">
                    <w:rPr>
                      <w:i/>
                      <w:iCs/>
                      <w:sz w:val="20"/>
                    </w:rPr>
                    <w:t>q</w:t>
                  </w:r>
                  <w:r w:rsidRPr="0013396E">
                    <w:rPr>
                      <w:iCs/>
                      <w:sz w:val="20"/>
                    </w:rPr>
                    <w:t xml:space="preserve"> for an Other Generation MRA or Demand Response MRA </w:t>
                  </w:r>
                  <w:r w:rsidRPr="0013396E">
                    <w:rPr>
                      <w:i/>
                      <w:iCs/>
                      <w:sz w:val="20"/>
                    </w:rPr>
                    <w:t>r</w:t>
                  </w:r>
                  <w:r w:rsidRPr="0013396E">
                    <w:rPr>
                      <w:iCs/>
                      <w:sz w:val="20"/>
                    </w:rPr>
                    <w:t>, for the hour</w:t>
                  </w:r>
                  <w:r w:rsidR="00AA432B" w:rsidRPr="0013396E">
                    <w:rPr>
                      <w:i/>
                      <w:sz w:val="20"/>
                    </w:rPr>
                    <w:t xml:space="preserve"> h</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A76C0B" w:rsidRPr="0013396E" w14:paraId="20A96FCC" w14:textId="77777777" w:rsidTr="00CE1011">
              <w:trPr>
                <w:cantSplit/>
              </w:trPr>
              <w:tc>
                <w:tcPr>
                  <w:tcW w:w="1885" w:type="dxa"/>
                </w:tcPr>
                <w:p w14:paraId="62136F38" w14:textId="77777777" w:rsidR="00A76C0B" w:rsidRPr="0013396E" w:rsidRDefault="00A76C0B" w:rsidP="00A76C0B">
                  <w:pPr>
                    <w:spacing w:after="60"/>
                    <w:rPr>
                      <w:bCs/>
                      <w:color w:val="000000"/>
                      <w:sz w:val="20"/>
                      <w:lang w:val="pt-BR"/>
                    </w:rPr>
                  </w:pPr>
                  <w:r w:rsidRPr="0013396E">
                    <w:rPr>
                      <w:sz w:val="20"/>
                    </w:rPr>
                    <w:t xml:space="preserve">VSSVARAMT </w:t>
                  </w:r>
                  <w:r w:rsidRPr="0013396E">
                    <w:rPr>
                      <w:i/>
                      <w:sz w:val="20"/>
                      <w:vertAlign w:val="subscript"/>
                    </w:rPr>
                    <w:t>q, r, i</w:t>
                  </w:r>
                </w:p>
              </w:tc>
              <w:tc>
                <w:tcPr>
                  <w:tcW w:w="1080" w:type="dxa"/>
                </w:tcPr>
                <w:p w14:paraId="1E9E96A8" w14:textId="77777777" w:rsidR="00A76C0B" w:rsidRPr="0013396E" w:rsidRDefault="00A76C0B" w:rsidP="00A76C0B">
                  <w:pPr>
                    <w:spacing w:after="60"/>
                    <w:rPr>
                      <w:iCs/>
                      <w:sz w:val="20"/>
                    </w:rPr>
                  </w:pPr>
                  <w:r w:rsidRPr="0013396E">
                    <w:rPr>
                      <w:iCs/>
                      <w:sz w:val="20"/>
                    </w:rPr>
                    <w:t>$</w:t>
                  </w:r>
                </w:p>
              </w:tc>
              <w:tc>
                <w:tcPr>
                  <w:tcW w:w="6300" w:type="dxa"/>
                </w:tcPr>
                <w:p w14:paraId="4506604E" w14:textId="77777777" w:rsidR="00A76C0B" w:rsidRPr="0013396E" w:rsidRDefault="00A76C0B" w:rsidP="00A76C0B">
                  <w:pPr>
                    <w:spacing w:after="60"/>
                    <w:rPr>
                      <w:i/>
                      <w:iCs/>
                      <w:sz w:val="20"/>
                    </w:rPr>
                  </w:pPr>
                  <w:r w:rsidRPr="0013396E">
                    <w:rPr>
                      <w:i/>
                      <w:sz w:val="20"/>
                    </w:rPr>
                    <w:t xml:space="preserve">Voltage Support Service VAr Amount per QSE per Generation Resource - </w:t>
                  </w:r>
                  <w:r w:rsidRPr="0013396E">
                    <w:rPr>
                      <w:sz w:val="20"/>
                    </w:rPr>
                    <w:t xml:space="preserve">The payment to QSE </w:t>
                  </w:r>
                  <w:r w:rsidRPr="0013396E">
                    <w:rPr>
                      <w:i/>
                      <w:sz w:val="20"/>
                    </w:rPr>
                    <w:t>q</w:t>
                  </w:r>
                  <w:r w:rsidRPr="0013396E">
                    <w:rPr>
                      <w:sz w:val="20"/>
                    </w:rPr>
                    <w:t xml:space="preserve"> for the VSS provided by Generation Resource MRA </w:t>
                  </w:r>
                  <w:r w:rsidRPr="0013396E">
                    <w:rPr>
                      <w:i/>
                      <w:sz w:val="20"/>
                    </w:rPr>
                    <w:t>r</w:t>
                  </w:r>
                  <w:r w:rsidRPr="0013396E">
                    <w:rPr>
                      <w:sz w:val="20"/>
                    </w:rPr>
                    <w:t xml:space="preserve">, for the 15-minute Settlement Interval </w:t>
                  </w:r>
                  <w:r w:rsidRPr="0013396E">
                    <w:rPr>
                      <w:i/>
                      <w:sz w:val="20"/>
                    </w:rPr>
                    <w:t>i</w:t>
                  </w:r>
                  <w:r w:rsidRPr="0013396E">
                    <w:rPr>
                      <w:sz w:val="20"/>
                    </w:rPr>
                    <w:t xml:space="preserve">.  Where for a combined cycle resource, </w:t>
                  </w:r>
                  <w:r w:rsidRPr="0013396E">
                    <w:rPr>
                      <w:i/>
                      <w:sz w:val="20"/>
                    </w:rPr>
                    <w:t>r</w:t>
                  </w:r>
                  <w:r w:rsidRPr="0013396E">
                    <w:rPr>
                      <w:sz w:val="20"/>
                    </w:rPr>
                    <w:t xml:space="preserve"> is a Combined Cycle Train.</w:t>
                  </w:r>
                </w:p>
              </w:tc>
            </w:tr>
            <w:tr w:rsidR="00A76C0B" w:rsidRPr="0013396E" w14:paraId="799B312F" w14:textId="77777777" w:rsidTr="00CE1011">
              <w:trPr>
                <w:cantSplit/>
              </w:trPr>
              <w:tc>
                <w:tcPr>
                  <w:tcW w:w="1885" w:type="dxa"/>
                </w:tcPr>
                <w:p w14:paraId="1F32A853" w14:textId="77777777" w:rsidR="00A76C0B" w:rsidRPr="0013396E" w:rsidRDefault="00A76C0B" w:rsidP="00A76C0B">
                  <w:pPr>
                    <w:spacing w:after="60"/>
                    <w:rPr>
                      <w:sz w:val="20"/>
                    </w:rPr>
                  </w:pPr>
                  <w:r w:rsidRPr="0013396E">
                    <w:rPr>
                      <w:sz w:val="20"/>
                    </w:rPr>
                    <w:t xml:space="preserve">VSSEAMT </w:t>
                  </w:r>
                  <w:r w:rsidRPr="0013396E">
                    <w:rPr>
                      <w:i/>
                      <w:sz w:val="20"/>
                      <w:vertAlign w:val="subscript"/>
                    </w:rPr>
                    <w:t>q, r, i</w:t>
                  </w:r>
                </w:p>
              </w:tc>
              <w:tc>
                <w:tcPr>
                  <w:tcW w:w="1080" w:type="dxa"/>
                </w:tcPr>
                <w:p w14:paraId="75702901" w14:textId="77777777" w:rsidR="00A76C0B" w:rsidRPr="0013396E" w:rsidRDefault="00A76C0B" w:rsidP="00A76C0B">
                  <w:pPr>
                    <w:spacing w:after="60"/>
                    <w:rPr>
                      <w:iCs/>
                      <w:sz w:val="20"/>
                    </w:rPr>
                  </w:pPr>
                  <w:r w:rsidRPr="0013396E">
                    <w:rPr>
                      <w:iCs/>
                      <w:sz w:val="20"/>
                    </w:rPr>
                    <w:t>$</w:t>
                  </w:r>
                </w:p>
              </w:tc>
              <w:tc>
                <w:tcPr>
                  <w:tcW w:w="6300" w:type="dxa"/>
                </w:tcPr>
                <w:p w14:paraId="6AE1F5AF" w14:textId="77777777" w:rsidR="00A76C0B" w:rsidRPr="0013396E" w:rsidRDefault="00A76C0B" w:rsidP="00A76C0B">
                  <w:pPr>
                    <w:spacing w:after="60"/>
                    <w:rPr>
                      <w:i/>
                      <w:sz w:val="20"/>
                    </w:rPr>
                  </w:pPr>
                  <w:r w:rsidRPr="0013396E">
                    <w:rPr>
                      <w:i/>
                      <w:sz w:val="20"/>
                    </w:rPr>
                    <w:t>Voltage Support Service Energy Amount per QSE per Generation Resource</w:t>
                  </w:r>
                  <w:r w:rsidRPr="0013396E">
                    <w:rPr>
                      <w:sz w:val="20"/>
                    </w:rPr>
                    <w:t xml:space="preserve">—The lost opportunity payment to QSE </w:t>
                  </w:r>
                  <w:r w:rsidRPr="0013396E">
                    <w:rPr>
                      <w:i/>
                      <w:sz w:val="20"/>
                    </w:rPr>
                    <w:t>q</w:t>
                  </w:r>
                  <w:r w:rsidRPr="0013396E">
                    <w:rPr>
                      <w:sz w:val="20"/>
                    </w:rPr>
                    <w:t xml:space="preserve"> for ERCOT-directed VSS from Generation Resource MRA </w:t>
                  </w:r>
                  <w:r w:rsidRPr="0013396E">
                    <w:rPr>
                      <w:i/>
                      <w:sz w:val="20"/>
                    </w:rPr>
                    <w:t>r</w:t>
                  </w:r>
                  <w:r w:rsidRPr="0013396E">
                    <w:rPr>
                      <w:sz w:val="20"/>
                    </w:rPr>
                    <w:t xml:space="preserve"> for the 15-minute Settlement Interval.  Where for a combined cycle resource, </w:t>
                  </w:r>
                  <w:r w:rsidRPr="0013396E">
                    <w:rPr>
                      <w:i/>
                      <w:sz w:val="20"/>
                    </w:rPr>
                    <w:t>r</w:t>
                  </w:r>
                  <w:r w:rsidRPr="0013396E">
                    <w:rPr>
                      <w:sz w:val="20"/>
                    </w:rPr>
                    <w:t xml:space="preserve"> is a Combined Cycle Train.</w:t>
                  </w:r>
                </w:p>
              </w:tc>
            </w:tr>
            <w:tr w:rsidR="00A76C0B" w:rsidRPr="0013396E" w14:paraId="623C6706" w14:textId="77777777" w:rsidTr="00CE1011">
              <w:trPr>
                <w:cantSplit/>
              </w:trPr>
              <w:tc>
                <w:tcPr>
                  <w:tcW w:w="1885" w:type="dxa"/>
                </w:tcPr>
                <w:p w14:paraId="51BAC698" w14:textId="77777777" w:rsidR="00A76C0B" w:rsidRPr="0013396E" w:rsidRDefault="00A76C0B" w:rsidP="00A76C0B">
                  <w:pPr>
                    <w:spacing w:after="60"/>
                    <w:rPr>
                      <w:iCs/>
                      <w:sz w:val="20"/>
                    </w:rPr>
                  </w:pPr>
                  <w:r w:rsidRPr="0013396E">
                    <w:rPr>
                      <w:sz w:val="20"/>
                    </w:rPr>
                    <w:t xml:space="preserve">RESREV </w:t>
                  </w:r>
                  <w:r w:rsidRPr="0013396E">
                    <w:rPr>
                      <w:i/>
                      <w:sz w:val="20"/>
                      <w:vertAlign w:val="subscript"/>
                    </w:rPr>
                    <w:t>q, r, gsc, p, i</w:t>
                  </w:r>
                </w:p>
              </w:tc>
              <w:tc>
                <w:tcPr>
                  <w:tcW w:w="1080" w:type="dxa"/>
                </w:tcPr>
                <w:p w14:paraId="05618C11" w14:textId="77777777" w:rsidR="00A76C0B" w:rsidRPr="0013396E" w:rsidRDefault="00A76C0B" w:rsidP="00A76C0B">
                  <w:pPr>
                    <w:spacing w:after="60"/>
                    <w:rPr>
                      <w:iCs/>
                      <w:sz w:val="20"/>
                    </w:rPr>
                  </w:pPr>
                  <w:r w:rsidRPr="0013396E">
                    <w:rPr>
                      <w:iCs/>
                      <w:sz w:val="20"/>
                    </w:rPr>
                    <w:t>$</w:t>
                  </w:r>
                </w:p>
              </w:tc>
              <w:tc>
                <w:tcPr>
                  <w:tcW w:w="6300" w:type="dxa"/>
                </w:tcPr>
                <w:p w14:paraId="0A47094C" w14:textId="77777777" w:rsidR="00A76C0B" w:rsidRPr="0013396E" w:rsidRDefault="00A76C0B" w:rsidP="00A76C0B">
                  <w:pPr>
                    <w:spacing w:after="60"/>
                    <w:rPr>
                      <w:i/>
                      <w:iCs/>
                      <w:sz w:val="20"/>
                    </w:rPr>
                  </w:pPr>
                  <w:r w:rsidRPr="0013396E">
                    <w:rPr>
                      <w:i/>
                      <w:sz w:val="20"/>
                    </w:rPr>
                    <w:t>Resource Share Revenue Settlement Payment</w:t>
                  </w:r>
                  <w:r w:rsidRPr="0013396E">
                    <w:rPr>
                      <w:sz w:val="20"/>
                    </w:rPr>
                    <w:t xml:space="preserve">—The Resource share of the total payment to the entire Facility with a net metering arrangement attributed to Generation Resource MRA </w:t>
                  </w:r>
                  <w:r w:rsidRPr="0013396E">
                    <w:rPr>
                      <w:i/>
                      <w:sz w:val="20"/>
                    </w:rPr>
                    <w:t>r</w:t>
                  </w:r>
                  <w:r w:rsidRPr="0013396E">
                    <w:rPr>
                      <w:sz w:val="20"/>
                    </w:rPr>
                    <w:t xml:space="preserve"> that is part of a generation site code </w:t>
                  </w:r>
                  <w:r w:rsidRPr="0013396E">
                    <w:rPr>
                      <w:i/>
                      <w:sz w:val="20"/>
                    </w:rPr>
                    <w:t>gsc</w:t>
                  </w:r>
                  <w:r w:rsidRPr="0013396E">
                    <w:rPr>
                      <w:sz w:val="20"/>
                    </w:rPr>
                    <w:t xml:space="preserve"> for the QSE </w:t>
                  </w:r>
                  <w:r w:rsidRPr="0013396E">
                    <w:rPr>
                      <w:i/>
                      <w:sz w:val="20"/>
                    </w:rPr>
                    <w:t>q</w:t>
                  </w:r>
                  <w:r w:rsidRPr="0013396E">
                    <w:rPr>
                      <w:sz w:val="20"/>
                    </w:rPr>
                    <w:t xml:space="preserve"> at Settlement Point </w:t>
                  </w:r>
                  <w:r w:rsidRPr="0013396E">
                    <w:rPr>
                      <w:i/>
                      <w:sz w:val="20"/>
                    </w:rPr>
                    <w:t>p</w:t>
                  </w:r>
                  <w:r w:rsidRPr="0013396E">
                    <w:rPr>
                      <w:sz w:val="20"/>
                    </w:rPr>
                    <w:t xml:space="preserve">, for the 15-minute Settlement Interval </w:t>
                  </w:r>
                  <w:r w:rsidRPr="0013396E">
                    <w:rPr>
                      <w:i/>
                      <w:sz w:val="20"/>
                    </w:rPr>
                    <w:t>i</w:t>
                  </w:r>
                  <w:r w:rsidRPr="0013396E">
                    <w:rPr>
                      <w:sz w:val="20"/>
                    </w:rPr>
                    <w:t>.</w:t>
                  </w:r>
                </w:p>
              </w:tc>
            </w:tr>
            <w:tr w:rsidR="00A76C0B" w:rsidRPr="0013396E" w14:paraId="02232A89" w14:textId="77777777" w:rsidTr="00CE1011">
              <w:trPr>
                <w:cantSplit/>
              </w:trPr>
              <w:tc>
                <w:tcPr>
                  <w:tcW w:w="1885" w:type="dxa"/>
                </w:tcPr>
                <w:p w14:paraId="424936C8" w14:textId="77777777" w:rsidR="00A76C0B" w:rsidRPr="0013396E" w:rsidRDefault="00A76C0B" w:rsidP="00A76C0B">
                  <w:pPr>
                    <w:spacing w:after="60"/>
                    <w:rPr>
                      <w:sz w:val="20"/>
                    </w:rPr>
                  </w:pPr>
                  <w:r w:rsidRPr="0013396E">
                    <w:rPr>
                      <w:sz w:val="20"/>
                    </w:rPr>
                    <w:t>EMREAMT</w:t>
                  </w:r>
                  <w:r w:rsidRPr="0013396E">
                    <w:rPr>
                      <w:sz w:val="20"/>
                      <w:lang w:val="pt-BR"/>
                    </w:rPr>
                    <w:t xml:space="preserve"> </w:t>
                  </w:r>
                  <w:r w:rsidRPr="0013396E">
                    <w:rPr>
                      <w:i/>
                      <w:sz w:val="20"/>
                      <w:vertAlign w:val="subscript"/>
                      <w:lang w:val="pt-BR"/>
                    </w:rPr>
                    <w:t>q, r, p, i</w:t>
                  </w:r>
                </w:p>
              </w:tc>
              <w:tc>
                <w:tcPr>
                  <w:tcW w:w="1080" w:type="dxa"/>
                </w:tcPr>
                <w:p w14:paraId="0DC77C30" w14:textId="77777777" w:rsidR="00A76C0B" w:rsidRPr="0013396E" w:rsidRDefault="00A76C0B" w:rsidP="00A76C0B">
                  <w:pPr>
                    <w:spacing w:after="60"/>
                    <w:rPr>
                      <w:iCs/>
                      <w:sz w:val="20"/>
                    </w:rPr>
                  </w:pPr>
                  <w:r w:rsidRPr="0013396E">
                    <w:rPr>
                      <w:iCs/>
                      <w:sz w:val="20"/>
                    </w:rPr>
                    <w:t>$</w:t>
                  </w:r>
                </w:p>
              </w:tc>
              <w:tc>
                <w:tcPr>
                  <w:tcW w:w="6300" w:type="dxa"/>
                </w:tcPr>
                <w:p w14:paraId="38F3F5A2" w14:textId="21D5861C" w:rsidR="00A76C0B" w:rsidRPr="0013396E" w:rsidRDefault="00A76C0B" w:rsidP="001754D0">
                  <w:pPr>
                    <w:spacing w:after="60"/>
                    <w:rPr>
                      <w:i/>
                      <w:sz w:val="20"/>
                    </w:rPr>
                  </w:pPr>
                  <w:r w:rsidRPr="0013396E">
                    <w:rPr>
                      <w:i/>
                      <w:sz w:val="20"/>
                    </w:rPr>
                    <w:t>Emergency Energy Amount per QSE per Settlement Point per unit per interval—</w:t>
                  </w:r>
                  <w:r w:rsidRPr="0013396E">
                    <w:rPr>
                      <w:sz w:val="20"/>
                    </w:rPr>
                    <w:t xml:space="preserve">The payment to QSE </w:t>
                  </w:r>
                  <w:r w:rsidRPr="0013396E">
                    <w:rPr>
                      <w:i/>
                      <w:sz w:val="20"/>
                    </w:rPr>
                    <w:t>q</w:t>
                  </w:r>
                  <w:r w:rsidRPr="0013396E">
                    <w:rPr>
                      <w:sz w:val="20"/>
                    </w:rPr>
                    <w:t xml:space="preserve"> </w:t>
                  </w:r>
                  <w:r w:rsidR="00537026" w:rsidRPr="0013396E">
                    <w:rPr>
                      <w:sz w:val="20"/>
                    </w:rPr>
                    <w:t xml:space="preserve">as additional compensation </w:t>
                  </w:r>
                  <w:r w:rsidRPr="0013396E">
                    <w:rPr>
                      <w:sz w:val="20"/>
                    </w:rPr>
                    <w:t xml:space="preserve">for the additional energy </w:t>
                  </w:r>
                  <w:r w:rsidR="00537026" w:rsidRPr="0013396E">
                    <w:rPr>
                      <w:sz w:val="20"/>
                    </w:rPr>
                    <w:t xml:space="preserve">or Ancillary Services </w:t>
                  </w:r>
                  <w:r w:rsidRPr="0013396E">
                    <w:rPr>
                      <w:sz w:val="20"/>
                    </w:rPr>
                    <w:t xml:space="preserve">produced </w:t>
                  </w:r>
                  <w:r w:rsidR="001754D0" w:rsidRPr="0013396E">
                    <w:rPr>
                      <w:sz w:val="20"/>
                    </w:rPr>
                    <w:t xml:space="preserve">or consumed </w:t>
                  </w:r>
                  <w:r w:rsidRPr="0013396E">
                    <w:rPr>
                      <w:sz w:val="20"/>
                    </w:rPr>
                    <w:t xml:space="preserve">by Resource MRA </w:t>
                  </w:r>
                  <w:r w:rsidRPr="0013396E">
                    <w:rPr>
                      <w:i/>
                      <w:sz w:val="20"/>
                    </w:rPr>
                    <w:t>r</w:t>
                  </w:r>
                  <w:r w:rsidRPr="0013396E">
                    <w:rPr>
                      <w:sz w:val="20"/>
                    </w:rPr>
                    <w:t xml:space="preserve"> at Resource Node </w:t>
                  </w:r>
                  <w:r w:rsidRPr="0013396E">
                    <w:rPr>
                      <w:i/>
                      <w:sz w:val="20"/>
                    </w:rPr>
                    <w:t>p</w:t>
                  </w:r>
                  <w:r w:rsidRPr="0013396E">
                    <w:rPr>
                      <w:sz w:val="20"/>
                    </w:rPr>
                    <w:t xml:space="preserve"> in Real-Time during the Emergency Condition, for the 15-minute Settlement Interval </w:t>
                  </w:r>
                  <w:r w:rsidRPr="0013396E">
                    <w:rPr>
                      <w:i/>
                      <w:sz w:val="20"/>
                    </w:rPr>
                    <w:t>i</w:t>
                  </w:r>
                  <w:r w:rsidRPr="0013396E">
                    <w:rPr>
                      <w:sz w:val="20"/>
                    </w:rPr>
                    <w:t>.  Payment for emergency energy is made to the Combined Cycle Train.</w:t>
                  </w:r>
                </w:p>
              </w:tc>
            </w:tr>
            <w:tr w:rsidR="00A76C0B" w:rsidRPr="0013396E" w14:paraId="39C6C50A" w14:textId="77777777" w:rsidTr="00CE1011">
              <w:trPr>
                <w:cantSplit/>
              </w:trPr>
              <w:tc>
                <w:tcPr>
                  <w:tcW w:w="1885" w:type="dxa"/>
                </w:tcPr>
                <w:p w14:paraId="1A2385B7" w14:textId="77777777" w:rsidR="00A76C0B" w:rsidRPr="0013396E" w:rsidRDefault="00A76C0B" w:rsidP="00A76C0B">
                  <w:pPr>
                    <w:spacing w:after="60"/>
                    <w:rPr>
                      <w:bCs/>
                      <w:sz w:val="20"/>
                      <w:lang w:val="pt-BR"/>
                    </w:rPr>
                  </w:pPr>
                  <w:r w:rsidRPr="0013396E">
                    <w:rPr>
                      <w:bCs/>
                      <w:sz w:val="20"/>
                      <w:lang w:val="pt-BR"/>
                    </w:rPr>
                    <w:t>VPRICE</w:t>
                  </w:r>
                  <w:r w:rsidRPr="0013396E">
                    <w:rPr>
                      <w:i/>
                      <w:iCs/>
                      <w:sz w:val="20"/>
                      <w:vertAlign w:val="subscript"/>
                    </w:rPr>
                    <w:t xml:space="preserve"> q, r</w:t>
                  </w:r>
                </w:p>
              </w:tc>
              <w:tc>
                <w:tcPr>
                  <w:tcW w:w="1080" w:type="dxa"/>
                </w:tcPr>
                <w:p w14:paraId="5FCD7CF2" w14:textId="77777777" w:rsidR="00A76C0B" w:rsidRPr="0013396E" w:rsidRDefault="00A76C0B" w:rsidP="00A76C0B">
                  <w:pPr>
                    <w:spacing w:after="60"/>
                    <w:rPr>
                      <w:iCs/>
                      <w:sz w:val="20"/>
                    </w:rPr>
                  </w:pPr>
                  <w:r w:rsidRPr="0013396E">
                    <w:rPr>
                      <w:iCs/>
                      <w:sz w:val="20"/>
                    </w:rPr>
                    <w:t>$/MWh</w:t>
                  </w:r>
                </w:p>
              </w:tc>
              <w:tc>
                <w:tcPr>
                  <w:tcW w:w="6300" w:type="dxa"/>
                </w:tcPr>
                <w:p w14:paraId="693F3AFC" w14:textId="77777777" w:rsidR="00A76C0B" w:rsidRPr="0013396E" w:rsidRDefault="00A76C0B" w:rsidP="00A76C0B">
                  <w:pPr>
                    <w:spacing w:after="60"/>
                    <w:rPr>
                      <w:i/>
                      <w:iCs/>
                      <w:sz w:val="20"/>
                    </w:rPr>
                  </w:pPr>
                  <w:r w:rsidRPr="0013396E">
                    <w:rPr>
                      <w:i/>
                      <w:iCs/>
                      <w:sz w:val="20"/>
                    </w:rPr>
                    <w:t>Must-Run Alternative Variable Price per QSE per Resource</w:t>
                  </w:r>
                  <w:r w:rsidRPr="0013396E">
                    <w:rPr>
                      <w:iCs/>
                      <w:sz w:val="20"/>
                    </w:rPr>
                    <w:t xml:space="preserve">—The variable price for QSE </w:t>
                  </w:r>
                  <w:r w:rsidRPr="0013396E">
                    <w:rPr>
                      <w:i/>
                      <w:iCs/>
                      <w:sz w:val="20"/>
                    </w:rPr>
                    <w:t>q</w:t>
                  </w:r>
                  <w:r w:rsidRPr="0013396E">
                    <w:rPr>
                      <w:iCs/>
                      <w:sz w:val="20"/>
                    </w:rPr>
                    <w:t xml:space="preserve"> for MRA </w:t>
                  </w:r>
                  <w:r w:rsidRPr="0013396E">
                    <w:rPr>
                      <w:i/>
                      <w:iCs/>
                      <w:sz w:val="20"/>
                    </w:rPr>
                    <w:t>r</w:t>
                  </w:r>
                  <w:r w:rsidRPr="0013396E">
                    <w:rPr>
                      <w:iCs/>
                      <w:sz w:val="20"/>
                    </w:rPr>
                    <w:t xml:space="preserve">, as specified in the MRA Agreement.  Where for a Combined Cycle Train, the Resource </w:t>
                  </w:r>
                  <w:r w:rsidRPr="0013396E">
                    <w:rPr>
                      <w:i/>
                      <w:iCs/>
                      <w:sz w:val="20"/>
                    </w:rPr>
                    <w:t xml:space="preserve">r </w:t>
                  </w:r>
                  <w:r w:rsidRPr="0013396E">
                    <w:rPr>
                      <w:iCs/>
                      <w:sz w:val="20"/>
                    </w:rPr>
                    <w:t>is the Combined Cycle Train.</w:t>
                  </w:r>
                </w:p>
              </w:tc>
            </w:tr>
            <w:tr w:rsidR="00A76C0B" w:rsidRPr="0013396E" w14:paraId="1D8D752A" w14:textId="77777777" w:rsidTr="00CE1011">
              <w:trPr>
                <w:cantSplit/>
              </w:trPr>
              <w:tc>
                <w:tcPr>
                  <w:tcW w:w="1885" w:type="dxa"/>
                </w:tcPr>
                <w:p w14:paraId="1981F544" w14:textId="77777777" w:rsidR="00A76C0B" w:rsidRPr="0013396E" w:rsidRDefault="00A76C0B" w:rsidP="00A76C0B">
                  <w:pPr>
                    <w:spacing w:after="60"/>
                    <w:rPr>
                      <w:iCs/>
                      <w:sz w:val="20"/>
                    </w:rPr>
                  </w:pPr>
                  <w:r w:rsidRPr="0013396E">
                    <w:rPr>
                      <w:iCs/>
                      <w:sz w:val="20"/>
                    </w:rPr>
                    <w:t xml:space="preserve">MRAPHR </w:t>
                  </w:r>
                  <w:r w:rsidRPr="0013396E">
                    <w:rPr>
                      <w:i/>
                      <w:iCs/>
                      <w:sz w:val="20"/>
                      <w:vertAlign w:val="subscript"/>
                    </w:rPr>
                    <w:t>q, r</w:t>
                  </w:r>
                </w:p>
              </w:tc>
              <w:tc>
                <w:tcPr>
                  <w:tcW w:w="1080" w:type="dxa"/>
                </w:tcPr>
                <w:p w14:paraId="29AAE302" w14:textId="77777777" w:rsidR="00A76C0B" w:rsidRPr="0013396E" w:rsidRDefault="00A76C0B" w:rsidP="00A76C0B">
                  <w:pPr>
                    <w:spacing w:after="60"/>
                    <w:rPr>
                      <w:iCs/>
                      <w:sz w:val="20"/>
                    </w:rPr>
                  </w:pPr>
                  <w:r w:rsidRPr="0013396E">
                    <w:rPr>
                      <w:iCs/>
                      <w:sz w:val="20"/>
                    </w:rPr>
                    <w:t>MMBtu /MWh</w:t>
                  </w:r>
                </w:p>
              </w:tc>
              <w:tc>
                <w:tcPr>
                  <w:tcW w:w="6300" w:type="dxa"/>
                </w:tcPr>
                <w:p w14:paraId="1BD38B23" w14:textId="77777777" w:rsidR="00A76C0B" w:rsidRPr="0013396E" w:rsidRDefault="00A76C0B" w:rsidP="00A76C0B">
                  <w:pPr>
                    <w:spacing w:after="60"/>
                    <w:rPr>
                      <w:i/>
                      <w:iCs/>
                      <w:sz w:val="20"/>
                    </w:rPr>
                  </w:pPr>
                  <w:r w:rsidRPr="0013396E">
                    <w:rPr>
                      <w:i/>
                      <w:iCs/>
                      <w:sz w:val="20"/>
                    </w:rPr>
                    <w:t xml:space="preserve">Must-Run Alternative Proxy Heat Rate per QSE per Resource – A proxy heat rate value for </w:t>
                  </w:r>
                  <w:r w:rsidRPr="0013396E">
                    <w:rPr>
                      <w:iCs/>
                      <w:sz w:val="20"/>
                    </w:rPr>
                    <w:t xml:space="preserve">MRA </w:t>
                  </w:r>
                  <w:r w:rsidRPr="0013396E">
                    <w:rPr>
                      <w:i/>
                      <w:iCs/>
                      <w:sz w:val="20"/>
                    </w:rPr>
                    <w:t>r</w:t>
                  </w:r>
                  <w:r w:rsidRPr="0013396E">
                    <w:rPr>
                      <w:iCs/>
                      <w:sz w:val="20"/>
                    </w:rPr>
                    <w:t xml:space="preserve"> represented by QSE </w:t>
                  </w:r>
                  <w:r w:rsidRPr="0013396E">
                    <w:rPr>
                      <w:i/>
                      <w:iCs/>
                      <w:sz w:val="20"/>
                    </w:rPr>
                    <w:t xml:space="preserve">q, as </w:t>
                  </w:r>
                  <w:r w:rsidRPr="0013396E">
                    <w:rPr>
                      <w:iCs/>
                      <w:sz w:val="20"/>
                    </w:rPr>
                    <w:t xml:space="preserve">specified in the MRA Agreement.  Where for a Combined Cycle Train, the Resource </w:t>
                  </w:r>
                  <w:r w:rsidRPr="0013396E">
                    <w:rPr>
                      <w:i/>
                      <w:iCs/>
                      <w:sz w:val="20"/>
                    </w:rPr>
                    <w:t xml:space="preserve">r </w:t>
                  </w:r>
                  <w:r w:rsidRPr="0013396E">
                    <w:rPr>
                      <w:iCs/>
                      <w:sz w:val="20"/>
                    </w:rPr>
                    <w:t>is the Combined Cycle Train.</w:t>
                  </w:r>
                </w:p>
              </w:tc>
            </w:tr>
            <w:tr w:rsidR="00A76C0B" w:rsidRPr="0013396E" w14:paraId="5F450542" w14:textId="77777777" w:rsidTr="00CE1011">
              <w:trPr>
                <w:cantSplit/>
              </w:trPr>
              <w:tc>
                <w:tcPr>
                  <w:tcW w:w="1885" w:type="dxa"/>
                </w:tcPr>
                <w:p w14:paraId="56D48F9E" w14:textId="77777777" w:rsidR="00A76C0B" w:rsidRPr="0013396E" w:rsidRDefault="00A76C0B" w:rsidP="00A76C0B">
                  <w:pPr>
                    <w:spacing w:after="60"/>
                    <w:rPr>
                      <w:bCs/>
                      <w:color w:val="000000"/>
                      <w:sz w:val="20"/>
                      <w:lang w:val="pt-BR"/>
                    </w:rPr>
                  </w:pPr>
                  <w:r w:rsidRPr="0013396E">
                    <w:rPr>
                      <w:bCs/>
                      <w:color w:val="000000"/>
                      <w:sz w:val="20"/>
                      <w:lang w:val="pt-BR"/>
                    </w:rPr>
                    <w:t>MRACRTREV</w:t>
                  </w:r>
                  <w:r w:rsidRPr="0013396E">
                    <w:rPr>
                      <w:bCs/>
                      <w:sz w:val="20"/>
                      <w:lang w:val="pt-BR"/>
                    </w:rPr>
                    <w:t xml:space="preserve"> </w:t>
                  </w:r>
                  <w:r w:rsidRPr="0013396E">
                    <w:rPr>
                      <w:bCs/>
                      <w:i/>
                      <w:sz w:val="20"/>
                      <w:vertAlign w:val="subscript"/>
                      <w:lang w:val="pt-BR"/>
                    </w:rPr>
                    <w:t>q, r, h</w:t>
                  </w:r>
                </w:p>
              </w:tc>
              <w:tc>
                <w:tcPr>
                  <w:tcW w:w="1080" w:type="dxa"/>
                </w:tcPr>
                <w:p w14:paraId="3396858D" w14:textId="77777777" w:rsidR="00A76C0B" w:rsidRPr="0013396E" w:rsidRDefault="00A76C0B" w:rsidP="00A76C0B">
                  <w:pPr>
                    <w:spacing w:after="60"/>
                    <w:rPr>
                      <w:iCs/>
                      <w:sz w:val="20"/>
                    </w:rPr>
                  </w:pPr>
                  <w:r w:rsidRPr="0013396E">
                    <w:rPr>
                      <w:iCs/>
                      <w:sz w:val="20"/>
                    </w:rPr>
                    <w:t>$</w:t>
                  </w:r>
                </w:p>
              </w:tc>
              <w:tc>
                <w:tcPr>
                  <w:tcW w:w="6300" w:type="dxa"/>
                </w:tcPr>
                <w:p w14:paraId="308E544E" w14:textId="77777777" w:rsidR="00A76C0B" w:rsidRPr="0013396E" w:rsidRDefault="00A76C0B" w:rsidP="00A76C0B">
                  <w:pPr>
                    <w:spacing w:after="60"/>
                    <w:rPr>
                      <w:i/>
                      <w:iCs/>
                      <w:sz w:val="20"/>
                    </w:rPr>
                  </w:pPr>
                  <w:r w:rsidRPr="0013396E">
                    <w:rPr>
                      <w:i/>
                      <w:iCs/>
                      <w:sz w:val="20"/>
                    </w:rPr>
                    <w:t xml:space="preserve">Must-Run Alternative Calculated Real-Time Revenues per QSE per Resource </w:t>
                  </w:r>
                  <w:r w:rsidRPr="0013396E">
                    <w:rPr>
                      <w:iCs/>
                      <w:sz w:val="20"/>
                    </w:rPr>
                    <w:t xml:space="preserve">—The calculated variable revenue to QSE </w:t>
                  </w:r>
                  <w:r w:rsidRPr="0013396E">
                    <w:rPr>
                      <w:i/>
                      <w:iCs/>
                      <w:sz w:val="20"/>
                    </w:rPr>
                    <w:t>q</w:t>
                  </w:r>
                  <w:r w:rsidRPr="0013396E">
                    <w:rPr>
                      <w:iCs/>
                      <w:sz w:val="20"/>
                    </w:rPr>
                    <w:t xml:space="preserve"> for MRA </w:t>
                  </w:r>
                  <w:r w:rsidRPr="0013396E">
                    <w:rPr>
                      <w:i/>
                      <w:iCs/>
                      <w:sz w:val="20"/>
                    </w:rPr>
                    <w:t>r</w:t>
                  </w:r>
                  <w:r w:rsidRPr="0013396E">
                    <w:rPr>
                      <w:iCs/>
                      <w:sz w:val="20"/>
                    </w:rPr>
                    <w:t>, for the hour.</w:t>
                  </w:r>
                </w:p>
              </w:tc>
            </w:tr>
            <w:tr w:rsidR="00A76C0B" w:rsidRPr="0013396E" w14:paraId="2FCA9F45" w14:textId="77777777" w:rsidTr="00CE1011">
              <w:trPr>
                <w:cantSplit/>
              </w:trPr>
              <w:tc>
                <w:tcPr>
                  <w:tcW w:w="1885" w:type="dxa"/>
                </w:tcPr>
                <w:p w14:paraId="75E79568" w14:textId="77777777" w:rsidR="00A76C0B" w:rsidRPr="0013396E" w:rsidRDefault="00A76C0B" w:rsidP="00A76C0B">
                  <w:pPr>
                    <w:spacing w:after="60"/>
                    <w:rPr>
                      <w:iCs/>
                      <w:sz w:val="20"/>
                    </w:rPr>
                  </w:pPr>
                  <w:r w:rsidRPr="0013396E">
                    <w:rPr>
                      <w:iCs/>
                      <w:sz w:val="20"/>
                    </w:rPr>
                    <w:t xml:space="preserve">RTVQ </w:t>
                  </w:r>
                  <w:r w:rsidRPr="0013396E">
                    <w:rPr>
                      <w:i/>
                      <w:iCs/>
                      <w:sz w:val="20"/>
                      <w:vertAlign w:val="subscript"/>
                    </w:rPr>
                    <w:t>q, r, i,</w:t>
                  </w:r>
                </w:p>
              </w:tc>
              <w:tc>
                <w:tcPr>
                  <w:tcW w:w="1080" w:type="dxa"/>
                </w:tcPr>
                <w:p w14:paraId="505BAE37" w14:textId="77777777" w:rsidR="00A76C0B" w:rsidRPr="0013396E" w:rsidRDefault="00A76C0B" w:rsidP="00A76C0B">
                  <w:pPr>
                    <w:spacing w:after="60"/>
                    <w:rPr>
                      <w:iCs/>
                      <w:sz w:val="20"/>
                    </w:rPr>
                  </w:pPr>
                  <w:r w:rsidRPr="0013396E">
                    <w:rPr>
                      <w:iCs/>
                      <w:sz w:val="20"/>
                    </w:rPr>
                    <w:t>MWh</w:t>
                  </w:r>
                </w:p>
              </w:tc>
              <w:tc>
                <w:tcPr>
                  <w:tcW w:w="6300" w:type="dxa"/>
                </w:tcPr>
                <w:p w14:paraId="6837627F" w14:textId="77777777" w:rsidR="00A76C0B" w:rsidRPr="0013396E" w:rsidRDefault="00A76C0B" w:rsidP="00A76C0B">
                  <w:pPr>
                    <w:spacing w:after="60"/>
                    <w:rPr>
                      <w:i/>
                      <w:iCs/>
                      <w:sz w:val="20"/>
                    </w:rPr>
                  </w:pPr>
                  <w:r w:rsidRPr="0013396E">
                    <w:rPr>
                      <w:i/>
                      <w:iCs/>
                      <w:sz w:val="20"/>
                    </w:rPr>
                    <w:t xml:space="preserve">Real-Time Variable Quantity per QSE per Resource by Settlement Interval </w:t>
                  </w:r>
                  <w:r w:rsidRPr="0013396E">
                    <w:rPr>
                      <w:iCs/>
                      <w:sz w:val="20"/>
                    </w:rPr>
                    <w:t>— The Real-Time variable quantity for MRA</w:t>
                  </w:r>
                  <w:r w:rsidRPr="0013396E">
                    <w:rPr>
                      <w:i/>
                      <w:iCs/>
                      <w:sz w:val="20"/>
                    </w:rPr>
                    <w:t xml:space="preserve"> r</w:t>
                  </w:r>
                  <w:r w:rsidRPr="0013396E">
                    <w:rPr>
                      <w:iCs/>
                      <w:sz w:val="20"/>
                    </w:rPr>
                    <w:t xml:space="preserve"> represented by QSE </w:t>
                  </w:r>
                  <w:r w:rsidRPr="0013396E">
                    <w:rPr>
                      <w:i/>
                      <w:iCs/>
                      <w:sz w:val="20"/>
                    </w:rPr>
                    <w:t>q</w:t>
                  </w:r>
                  <w:r w:rsidRPr="0013396E">
                    <w:rPr>
                      <w:iCs/>
                      <w:sz w:val="20"/>
                    </w:rPr>
                    <w:t xml:space="preserve">, for the 15-minute Settlement Interval </w:t>
                  </w:r>
                  <w:r w:rsidRPr="0013396E">
                    <w:rPr>
                      <w:i/>
                      <w:iCs/>
                      <w:sz w:val="20"/>
                    </w:rPr>
                    <w:t>i</w:t>
                  </w:r>
                  <w:r w:rsidRPr="0013396E">
                    <w:rPr>
                      <w:iCs/>
                      <w:sz w:val="20"/>
                    </w:rPr>
                    <w:t xml:space="preserve">. </w:t>
                  </w:r>
                </w:p>
              </w:tc>
            </w:tr>
            <w:tr w:rsidR="00A76C0B" w:rsidRPr="0013396E" w14:paraId="3AB15A99" w14:textId="77777777" w:rsidTr="00CE1011">
              <w:trPr>
                <w:cantSplit/>
              </w:trPr>
              <w:tc>
                <w:tcPr>
                  <w:tcW w:w="1885" w:type="dxa"/>
                </w:tcPr>
                <w:p w14:paraId="0B4CDA95" w14:textId="77777777" w:rsidR="00A76C0B" w:rsidRPr="0013396E" w:rsidRDefault="00A76C0B" w:rsidP="00A76C0B">
                  <w:pPr>
                    <w:spacing w:after="60"/>
                    <w:rPr>
                      <w:iCs/>
                      <w:sz w:val="20"/>
                    </w:rPr>
                  </w:pPr>
                  <w:r w:rsidRPr="0013396E">
                    <w:rPr>
                      <w:color w:val="000000"/>
                      <w:sz w:val="20"/>
                    </w:rPr>
                    <w:lastRenderedPageBreak/>
                    <w:t xml:space="preserve">RTMG </w:t>
                  </w:r>
                  <w:r w:rsidRPr="0013396E">
                    <w:rPr>
                      <w:i/>
                      <w:color w:val="000000"/>
                      <w:sz w:val="20"/>
                      <w:vertAlign w:val="subscript"/>
                    </w:rPr>
                    <w:t>q, r, p, i</w:t>
                  </w:r>
                </w:p>
              </w:tc>
              <w:tc>
                <w:tcPr>
                  <w:tcW w:w="1080" w:type="dxa"/>
                </w:tcPr>
                <w:p w14:paraId="1E6A48AB" w14:textId="77777777" w:rsidR="00A76C0B" w:rsidRPr="0013396E" w:rsidRDefault="00A76C0B" w:rsidP="00A76C0B">
                  <w:pPr>
                    <w:spacing w:after="60"/>
                    <w:rPr>
                      <w:iCs/>
                      <w:sz w:val="20"/>
                    </w:rPr>
                  </w:pPr>
                  <w:r w:rsidRPr="0013396E">
                    <w:rPr>
                      <w:iCs/>
                      <w:sz w:val="20"/>
                    </w:rPr>
                    <w:t>MWh</w:t>
                  </w:r>
                </w:p>
              </w:tc>
              <w:tc>
                <w:tcPr>
                  <w:tcW w:w="6300" w:type="dxa"/>
                </w:tcPr>
                <w:p w14:paraId="6E7286FC" w14:textId="77777777" w:rsidR="00A76C0B" w:rsidRPr="0013396E" w:rsidRDefault="00A76C0B" w:rsidP="00A76C0B">
                  <w:pPr>
                    <w:spacing w:after="60"/>
                    <w:rPr>
                      <w:i/>
                      <w:iCs/>
                      <w:sz w:val="20"/>
                    </w:rPr>
                  </w:pPr>
                  <w:r w:rsidRPr="0013396E">
                    <w:rPr>
                      <w:i/>
                      <w:color w:val="000000"/>
                      <w:sz w:val="20"/>
                    </w:rPr>
                    <w:t>Real-Time Metered Generation per QSE per Settlement Point per Generation Resource</w:t>
                  </w:r>
                  <w:r w:rsidRPr="0013396E">
                    <w:rPr>
                      <w:color w:val="000000"/>
                      <w:sz w:val="20"/>
                    </w:rPr>
                    <w:t xml:space="preserve">—The metered generation of Resource </w:t>
                  </w:r>
                  <w:r w:rsidRPr="0013396E">
                    <w:rPr>
                      <w:i/>
                      <w:color w:val="000000"/>
                      <w:sz w:val="20"/>
                    </w:rPr>
                    <w:t>r</w:t>
                  </w:r>
                  <w:r w:rsidRPr="0013396E">
                    <w:rPr>
                      <w:color w:val="000000"/>
                      <w:sz w:val="20"/>
                    </w:rPr>
                    <w:t xml:space="preserve"> at Resource Node </w:t>
                  </w:r>
                  <w:r w:rsidRPr="0013396E">
                    <w:rPr>
                      <w:i/>
                      <w:color w:val="000000"/>
                      <w:sz w:val="20"/>
                    </w:rPr>
                    <w:t>p</w:t>
                  </w:r>
                  <w:r w:rsidRPr="0013396E">
                    <w:rPr>
                      <w:color w:val="000000"/>
                      <w:sz w:val="20"/>
                    </w:rPr>
                    <w:t xml:space="preserve"> represented by QSE </w:t>
                  </w:r>
                  <w:r w:rsidRPr="0013396E">
                    <w:rPr>
                      <w:i/>
                      <w:color w:val="000000"/>
                      <w:sz w:val="20"/>
                    </w:rPr>
                    <w:t>q</w:t>
                  </w:r>
                  <w:r w:rsidRPr="0013396E">
                    <w:rPr>
                      <w:color w:val="000000"/>
                      <w:sz w:val="20"/>
                    </w:rPr>
                    <w:t xml:space="preserve"> in Real-Time for the 15-minute Settlement Interval </w:t>
                  </w:r>
                  <w:r w:rsidRPr="0013396E">
                    <w:rPr>
                      <w:i/>
                      <w:color w:val="000000"/>
                      <w:sz w:val="20"/>
                    </w:rPr>
                    <w:t>i</w:t>
                  </w:r>
                  <w:r w:rsidRPr="0013396E">
                    <w:rPr>
                      <w:color w:val="000000"/>
                      <w:sz w:val="20"/>
                    </w:rPr>
                    <w:t xml:space="preserve">.  Where for a Combined Cycle Train, the Resource </w:t>
                  </w:r>
                  <w:r w:rsidRPr="0013396E">
                    <w:rPr>
                      <w:i/>
                      <w:color w:val="000000"/>
                      <w:sz w:val="20"/>
                    </w:rPr>
                    <w:t xml:space="preserve">r </w:t>
                  </w:r>
                  <w:r w:rsidRPr="0013396E">
                    <w:rPr>
                      <w:color w:val="000000"/>
                      <w:sz w:val="20"/>
                    </w:rPr>
                    <w:t xml:space="preserve">is the Combined Cycle Train.  </w:t>
                  </w:r>
                </w:p>
              </w:tc>
            </w:tr>
            <w:tr w:rsidR="00A76C0B" w:rsidRPr="0013396E" w14:paraId="0E6B17E9" w14:textId="77777777" w:rsidTr="00CE1011">
              <w:trPr>
                <w:cantSplit/>
              </w:trPr>
              <w:tc>
                <w:tcPr>
                  <w:tcW w:w="1885" w:type="dxa"/>
                </w:tcPr>
                <w:p w14:paraId="40ED6C89" w14:textId="77777777" w:rsidR="00A76C0B" w:rsidRPr="0013396E" w:rsidRDefault="00A76C0B" w:rsidP="00A76C0B">
                  <w:pPr>
                    <w:spacing w:after="60"/>
                    <w:rPr>
                      <w:iCs/>
                      <w:sz w:val="20"/>
                    </w:rPr>
                  </w:pPr>
                  <w:r w:rsidRPr="0013396E">
                    <w:rPr>
                      <w:iCs/>
                      <w:sz w:val="20"/>
                    </w:rPr>
                    <w:t>MRACEFA</w:t>
                  </w:r>
                  <w:r w:rsidRPr="0013396E">
                    <w:rPr>
                      <w:iCs/>
                      <w:sz w:val="20"/>
                      <w:vertAlign w:val="subscript"/>
                    </w:rPr>
                    <w:t xml:space="preserve"> </w:t>
                  </w:r>
                  <w:r w:rsidRPr="0013396E">
                    <w:rPr>
                      <w:i/>
                      <w:iCs/>
                      <w:sz w:val="20"/>
                      <w:vertAlign w:val="subscript"/>
                    </w:rPr>
                    <w:t>q, r</w:t>
                  </w:r>
                </w:p>
              </w:tc>
              <w:tc>
                <w:tcPr>
                  <w:tcW w:w="1080" w:type="dxa"/>
                </w:tcPr>
                <w:p w14:paraId="6F698C26" w14:textId="77777777" w:rsidR="00A76C0B" w:rsidRPr="0013396E" w:rsidRDefault="00A76C0B" w:rsidP="00A76C0B">
                  <w:pPr>
                    <w:spacing w:after="60"/>
                    <w:rPr>
                      <w:iCs/>
                      <w:sz w:val="20"/>
                    </w:rPr>
                  </w:pPr>
                  <w:r w:rsidRPr="0013396E">
                    <w:rPr>
                      <w:iCs/>
                      <w:sz w:val="20"/>
                    </w:rPr>
                    <w:t>$/MMBtu</w:t>
                  </w:r>
                </w:p>
              </w:tc>
              <w:tc>
                <w:tcPr>
                  <w:tcW w:w="6300" w:type="dxa"/>
                </w:tcPr>
                <w:p w14:paraId="3F32797A" w14:textId="77777777" w:rsidR="00A76C0B" w:rsidRPr="0013396E" w:rsidRDefault="00A76C0B" w:rsidP="00D56763">
                  <w:pPr>
                    <w:spacing w:after="60"/>
                    <w:rPr>
                      <w:iCs/>
                      <w:sz w:val="20"/>
                    </w:rPr>
                  </w:pPr>
                  <w:r w:rsidRPr="0013396E">
                    <w:rPr>
                      <w:i/>
                      <w:iCs/>
                      <w:sz w:val="20"/>
                    </w:rPr>
                    <w:t>Must-Run Alternative Contractual Estimated Fuel Adder</w:t>
                  </w:r>
                  <w:r w:rsidRPr="0013396E">
                    <w:rPr>
                      <w:iCs/>
                      <w:sz w:val="20"/>
                    </w:rPr>
                    <w:t xml:space="preserve">—The Estimated Fuel Adder that is contractually agreed upon in Section 22, </w:t>
                  </w:r>
                  <w:r w:rsidRPr="0013396E">
                    <w:rPr>
                      <w:sz w:val="20"/>
                    </w:rPr>
                    <w:t xml:space="preserve">Attachment </w:t>
                  </w:r>
                  <w:r w:rsidR="00D56763" w:rsidRPr="0013396E">
                    <w:rPr>
                      <w:sz w:val="20"/>
                    </w:rPr>
                    <w:t>N</w:t>
                  </w:r>
                  <w:r w:rsidRPr="0013396E">
                    <w:rPr>
                      <w:sz w:val="20"/>
                    </w:rPr>
                    <w:t>, Standard Form Must-Run Alternative Agreement</w:t>
                  </w:r>
                  <w:r w:rsidRPr="0013396E">
                    <w:rPr>
                      <w:iCs/>
                      <w:sz w:val="20"/>
                    </w:rPr>
                    <w:t xml:space="preserve">.  Where for a Combined Cycle Train, the Generation Resource </w:t>
                  </w:r>
                  <w:r w:rsidRPr="0013396E">
                    <w:rPr>
                      <w:i/>
                      <w:iCs/>
                      <w:sz w:val="20"/>
                    </w:rPr>
                    <w:t xml:space="preserve">r </w:t>
                  </w:r>
                  <w:r w:rsidRPr="0013396E">
                    <w:rPr>
                      <w:iCs/>
                      <w:sz w:val="20"/>
                    </w:rPr>
                    <w:t xml:space="preserve">is the Combined Cycle Train.  </w:t>
                  </w:r>
                </w:p>
              </w:tc>
            </w:tr>
            <w:tr w:rsidR="00A76C0B" w:rsidRPr="0013396E" w14:paraId="0FFC1FDD" w14:textId="77777777" w:rsidTr="00CE1011">
              <w:trPr>
                <w:cantSplit/>
              </w:trPr>
              <w:tc>
                <w:tcPr>
                  <w:tcW w:w="1885" w:type="dxa"/>
                </w:tcPr>
                <w:p w14:paraId="3D811046" w14:textId="77777777" w:rsidR="00A76C0B" w:rsidRPr="0013396E" w:rsidRDefault="00A76C0B" w:rsidP="00A76C0B">
                  <w:pPr>
                    <w:spacing w:after="60"/>
                    <w:rPr>
                      <w:iCs/>
                      <w:sz w:val="20"/>
                    </w:rPr>
                  </w:pPr>
                  <w:r w:rsidRPr="0013396E">
                    <w:rPr>
                      <w:sz w:val="20"/>
                    </w:rPr>
                    <w:t xml:space="preserve">RTSPP </w:t>
                  </w:r>
                  <w:r w:rsidRPr="0013396E">
                    <w:rPr>
                      <w:i/>
                      <w:sz w:val="20"/>
                      <w:vertAlign w:val="subscript"/>
                    </w:rPr>
                    <w:t>p, i</w:t>
                  </w:r>
                </w:p>
              </w:tc>
              <w:tc>
                <w:tcPr>
                  <w:tcW w:w="1080" w:type="dxa"/>
                </w:tcPr>
                <w:p w14:paraId="1B5A23F9" w14:textId="77777777" w:rsidR="00A76C0B" w:rsidRPr="0013396E" w:rsidRDefault="00A76C0B" w:rsidP="00A76C0B">
                  <w:pPr>
                    <w:spacing w:after="60"/>
                    <w:rPr>
                      <w:iCs/>
                      <w:sz w:val="20"/>
                    </w:rPr>
                  </w:pPr>
                  <w:r w:rsidRPr="0013396E">
                    <w:rPr>
                      <w:iCs/>
                      <w:sz w:val="20"/>
                    </w:rPr>
                    <w:t>$/MWh</w:t>
                  </w:r>
                </w:p>
              </w:tc>
              <w:tc>
                <w:tcPr>
                  <w:tcW w:w="6300" w:type="dxa"/>
                </w:tcPr>
                <w:p w14:paraId="6C22D96D" w14:textId="77777777" w:rsidR="00A76C0B" w:rsidRPr="0013396E" w:rsidRDefault="00A76C0B" w:rsidP="00A76C0B">
                  <w:pPr>
                    <w:spacing w:after="60"/>
                    <w:rPr>
                      <w:i/>
                      <w:iCs/>
                      <w:sz w:val="20"/>
                    </w:rPr>
                  </w:pPr>
                  <w:r w:rsidRPr="0013396E">
                    <w:rPr>
                      <w:i/>
                      <w:sz w:val="20"/>
                    </w:rPr>
                    <w:t>Real-Time Settlement Point Price</w:t>
                  </w:r>
                  <w:r w:rsidRPr="0013396E">
                    <w:rPr>
                      <w:sz w:val="20"/>
                    </w:rPr>
                    <w:sym w:font="Symbol" w:char="F0BE"/>
                  </w:r>
                  <w:r w:rsidRPr="0013396E">
                    <w:rPr>
                      <w:sz w:val="20"/>
                    </w:rPr>
                    <w:t xml:space="preserve">The Real-Time Settlement Point Price at the Settlement Point </w:t>
                  </w:r>
                  <w:r w:rsidRPr="0013396E">
                    <w:rPr>
                      <w:i/>
                      <w:sz w:val="20"/>
                    </w:rPr>
                    <w:t>p</w:t>
                  </w:r>
                  <w:r w:rsidRPr="0013396E">
                    <w:rPr>
                      <w:sz w:val="20"/>
                    </w:rPr>
                    <w:t xml:space="preserve"> for the 15-minute Settlement Interval </w:t>
                  </w:r>
                  <w:r w:rsidRPr="0013396E">
                    <w:rPr>
                      <w:i/>
                      <w:sz w:val="20"/>
                    </w:rPr>
                    <w:t>i</w:t>
                  </w:r>
                  <w:r w:rsidRPr="0013396E">
                    <w:rPr>
                      <w:sz w:val="20"/>
                    </w:rPr>
                    <w:t>.</w:t>
                  </w:r>
                </w:p>
              </w:tc>
            </w:tr>
            <w:tr w:rsidR="00A76C0B" w:rsidRPr="0013396E" w14:paraId="561D3764" w14:textId="77777777" w:rsidTr="00CE1011">
              <w:trPr>
                <w:cantSplit/>
              </w:trPr>
              <w:tc>
                <w:tcPr>
                  <w:tcW w:w="1885" w:type="dxa"/>
                </w:tcPr>
                <w:p w14:paraId="565F1F1A" w14:textId="77777777" w:rsidR="00A76C0B" w:rsidRPr="0013396E" w:rsidRDefault="00A76C0B" w:rsidP="00A76C0B">
                  <w:pPr>
                    <w:spacing w:after="60"/>
                    <w:rPr>
                      <w:i/>
                      <w:iCs/>
                      <w:sz w:val="20"/>
                    </w:rPr>
                  </w:pPr>
                  <w:r w:rsidRPr="0013396E">
                    <w:rPr>
                      <w:i/>
                      <w:iCs/>
                      <w:sz w:val="20"/>
                    </w:rPr>
                    <w:t>q</w:t>
                  </w:r>
                </w:p>
              </w:tc>
              <w:tc>
                <w:tcPr>
                  <w:tcW w:w="1080" w:type="dxa"/>
                </w:tcPr>
                <w:p w14:paraId="1A38FCAB" w14:textId="77777777" w:rsidR="00A76C0B" w:rsidRPr="0013396E" w:rsidRDefault="00A76C0B" w:rsidP="00A76C0B">
                  <w:pPr>
                    <w:spacing w:after="60"/>
                    <w:rPr>
                      <w:iCs/>
                      <w:sz w:val="20"/>
                    </w:rPr>
                  </w:pPr>
                  <w:r w:rsidRPr="0013396E">
                    <w:rPr>
                      <w:iCs/>
                      <w:sz w:val="20"/>
                    </w:rPr>
                    <w:t>none</w:t>
                  </w:r>
                </w:p>
              </w:tc>
              <w:tc>
                <w:tcPr>
                  <w:tcW w:w="6300" w:type="dxa"/>
                </w:tcPr>
                <w:p w14:paraId="1741E5E5" w14:textId="77777777" w:rsidR="00A76C0B" w:rsidRPr="0013396E" w:rsidRDefault="00A76C0B" w:rsidP="00A76C0B">
                  <w:pPr>
                    <w:spacing w:after="60"/>
                    <w:rPr>
                      <w:iCs/>
                      <w:sz w:val="20"/>
                    </w:rPr>
                  </w:pPr>
                  <w:r w:rsidRPr="0013396E">
                    <w:rPr>
                      <w:iCs/>
                      <w:sz w:val="20"/>
                    </w:rPr>
                    <w:t>A QSE.</w:t>
                  </w:r>
                </w:p>
              </w:tc>
            </w:tr>
            <w:tr w:rsidR="00A76C0B" w:rsidRPr="0013396E" w14:paraId="5A1845CA" w14:textId="77777777" w:rsidTr="00CE1011">
              <w:trPr>
                <w:cantSplit/>
              </w:trPr>
              <w:tc>
                <w:tcPr>
                  <w:tcW w:w="1885" w:type="dxa"/>
                </w:tcPr>
                <w:p w14:paraId="39E2CFD2" w14:textId="77777777" w:rsidR="00A76C0B" w:rsidRPr="0013396E" w:rsidRDefault="00A76C0B" w:rsidP="00A76C0B">
                  <w:pPr>
                    <w:spacing w:after="60"/>
                    <w:rPr>
                      <w:i/>
                      <w:iCs/>
                      <w:sz w:val="20"/>
                    </w:rPr>
                  </w:pPr>
                  <w:r w:rsidRPr="0013396E">
                    <w:rPr>
                      <w:i/>
                      <w:iCs/>
                      <w:sz w:val="20"/>
                    </w:rPr>
                    <w:t>r</w:t>
                  </w:r>
                </w:p>
              </w:tc>
              <w:tc>
                <w:tcPr>
                  <w:tcW w:w="1080" w:type="dxa"/>
                </w:tcPr>
                <w:p w14:paraId="4D4B729F" w14:textId="77777777" w:rsidR="00A76C0B" w:rsidRPr="0013396E" w:rsidRDefault="00A76C0B" w:rsidP="00A76C0B">
                  <w:pPr>
                    <w:spacing w:after="60"/>
                    <w:rPr>
                      <w:iCs/>
                      <w:sz w:val="20"/>
                    </w:rPr>
                  </w:pPr>
                  <w:r w:rsidRPr="0013396E">
                    <w:rPr>
                      <w:iCs/>
                      <w:sz w:val="20"/>
                    </w:rPr>
                    <w:t>none</w:t>
                  </w:r>
                </w:p>
              </w:tc>
              <w:tc>
                <w:tcPr>
                  <w:tcW w:w="6300" w:type="dxa"/>
                </w:tcPr>
                <w:p w14:paraId="6279149A" w14:textId="77777777" w:rsidR="00A76C0B" w:rsidRPr="0013396E" w:rsidRDefault="00A76C0B" w:rsidP="00A76C0B">
                  <w:pPr>
                    <w:spacing w:after="60"/>
                    <w:rPr>
                      <w:iCs/>
                      <w:sz w:val="20"/>
                    </w:rPr>
                  </w:pPr>
                  <w:r w:rsidRPr="0013396E">
                    <w:rPr>
                      <w:iCs/>
                      <w:sz w:val="20"/>
                    </w:rPr>
                    <w:t>An MRA.</w:t>
                  </w:r>
                </w:p>
              </w:tc>
            </w:tr>
            <w:tr w:rsidR="00A76C0B" w:rsidRPr="0013396E" w14:paraId="497D7251" w14:textId="77777777" w:rsidTr="00CE1011">
              <w:trPr>
                <w:cantSplit/>
              </w:trPr>
              <w:tc>
                <w:tcPr>
                  <w:tcW w:w="1885" w:type="dxa"/>
                </w:tcPr>
                <w:p w14:paraId="703A3B29" w14:textId="77777777" w:rsidR="00A76C0B" w:rsidRPr="0013396E" w:rsidRDefault="00A76C0B" w:rsidP="00A76C0B">
                  <w:pPr>
                    <w:spacing w:after="60"/>
                    <w:rPr>
                      <w:i/>
                      <w:iCs/>
                      <w:sz w:val="20"/>
                    </w:rPr>
                  </w:pPr>
                  <w:r w:rsidRPr="0013396E">
                    <w:rPr>
                      <w:i/>
                      <w:iCs/>
                      <w:sz w:val="20"/>
                    </w:rPr>
                    <w:t>m</w:t>
                  </w:r>
                </w:p>
              </w:tc>
              <w:tc>
                <w:tcPr>
                  <w:tcW w:w="1080" w:type="dxa"/>
                </w:tcPr>
                <w:p w14:paraId="04FC7980" w14:textId="77777777" w:rsidR="00A76C0B" w:rsidRPr="0013396E" w:rsidRDefault="00A76C0B" w:rsidP="00A76C0B">
                  <w:pPr>
                    <w:spacing w:after="60"/>
                    <w:rPr>
                      <w:iCs/>
                      <w:sz w:val="20"/>
                    </w:rPr>
                  </w:pPr>
                  <w:r w:rsidRPr="0013396E">
                    <w:rPr>
                      <w:iCs/>
                      <w:sz w:val="20"/>
                    </w:rPr>
                    <w:t>none</w:t>
                  </w:r>
                </w:p>
              </w:tc>
              <w:tc>
                <w:tcPr>
                  <w:tcW w:w="6300" w:type="dxa"/>
                </w:tcPr>
                <w:p w14:paraId="64CDE2AA" w14:textId="77777777" w:rsidR="00A76C0B" w:rsidRPr="0013396E" w:rsidRDefault="00A76C0B" w:rsidP="00A76C0B">
                  <w:pPr>
                    <w:spacing w:after="60"/>
                    <w:rPr>
                      <w:iCs/>
                      <w:sz w:val="20"/>
                    </w:rPr>
                  </w:pPr>
                  <w:r w:rsidRPr="0013396E">
                    <w:rPr>
                      <w:sz w:val="20"/>
                    </w:rPr>
                    <w:t>An MRA Contracted Month.</w:t>
                  </w:r>
                </w:p>
              </w:tc>
            </w:tr>
            <w:tr w:rsidR="00A76C0B" w:rsidRPr="0013396E" w14:paraId="100857DC" w14:textId="77777777" w:rsidTr="00CE1011">
              <w:trPr>
                <w:cantSplit/>
              </w:trPr>
              <w:tc>
                <w:tcPr>
                  <w:tcW w:w="1885" w:type="dxa"/>
                </w:tcPr>
                <w:p w14:paraId="6C97701B" w14:textId="77777777" w:rsidR="00A76C0B" w:rsidRPr="0013396E" w:rsidRDefault="00A76C0B" w:rsidP="00A76C0B">
                  <w:pPr>
                    <w:spacing w:after="60"/>
                    <w:rPr>
                      <w:i/>
                      <w:iCs/>
                      <w:sz w:val="20"/>
                    </w:rPr>
                  </w:pPr>
                  <w:r w:rsidRPr="0013396E">
                    <w:rPr>
                      <w:i/>
                      <w:iCs/>
                      <w:sz w:val="20"/>
                    </w:rPr>
                    <w:t>h</w:t>
                  </w:r>
                </w:p>
              </w:tc>
              <w:tc>
                <w:tcPr>
                  <w:tcW w:w="1080" w:type="dxa"/>
                </w:tcPr>
                <w:p w14:paraId="08B49E1E" w14:textId="77777777" w:rsidR="00A76C0B" w:rsidRPr="0013396E" w:rsidRDefault="00A76C0B" w:rsidP="00A76C0B">
                  <w:pPr>
                    <w:spacing w:after="60"/>
                    <w:rPr>
                      <w:iCs/>
                      <w:sz w:val="20"/>
                    </w:rPr>
                  </w:pPr>
                  <w:r w:rsidRPr="0013396E">
                    <w:rPr>
                      <w:iCs/>
                      <w:sz w:val="20"/>
                    </w:rPr>
                    <w:t>none</w:t>
                  </w:r>
                </w:p>
              </w:tc>
              <w:tc>
                <w:tcPr>
                  <w:tcW w:w="6300" w:type="dxa"/>
                </w:tcPr>
                <w:p w14:paraId="1422A45E" w14:textId="77777777" w:rsidR="00A76C0B" w:rsidRPr="0013396E" w:rsidRDefault="00A76C0B" w:rsidP="00A76C0B">
                  <w:pPr>
                    <w:spacing w:after="60"/>
                    <w:rPr>
                      <w:iCs/>
                      <w:sz w:val="20"/>
                    </w:rPr>
                  </w:pPr>
                  <w:r w:rsidRPr="0013396E">
                    <w:rPr>
                      <w:iCs/>
                      <w:sz w:val="20"/>
                    </w:rPr>
                    <w:t>An MRA Contracted Hour for the MRA Contracted Month.</w:t>
                  </w:r>
                </w:p>
              </w:tc>
            </w:tr>
            <w:tr w:rsidR="00A76C0B" w:rsidRPr="0013396E" w14:paraId="1A7356EA" w14:textId="77777777" w:rsidTr="00CE1011">
              <w:trPr>
                <w:cantSplit/>
              </w:trPr>
              <w:tc>
                <w:tcPr>
                  <w:tcW w:w="1885" w:type="dxa"/>
                </w:tcPr>
                <w:p w14:paraId="2B1F3EC2" w14:textId="77777777" w:rsidR="00A76C0B" w:rsidRPr="0013396E" w:rsidRDefault="00A76C0B" w:rsidP="00A76C0B">
                  <w:pPr>
                    <w:spacing w:after="60"/>
                    <w:rPr>
                      <w:i/>
                      <w:iCs/>
                      <w:sz w:val="20"/>
                    </w:rPr>
                  </w:pPr>
                  <w:r w:rsidRPr="0013396E">
                    <w:rPr>
                      <w:i/>
                      <w:iCs/>
                      <w:sz w:val="20"/>
                    </w:rPr>
                    <w:t>i</w:t>
                  </w:r>
                </w:p>
              </w:tc>
              <w:tc>
                <w:tcPr>
                  <w:tcW w:w="1080" w:type="dxa"/>
                </w:tcPr>
                <w:p w14:paraId="68B755EA" w14:textId="77777777" w:rsidR="00A76C0B" w:rsidRPr="0013396E" w:rsidRDefault="00A76C0B" w:rsidP="00A76C0B">
                  <w:pPr>
                    <w:spacing w:after="60"/>
                    <w:rPr>
                      <w:iCs/>
                      <w:sz w:val="20"/>
                    </w:rPr>
                  </w:pPr>
                  <w:r w:rsidRPr="0013396E">
                    <w:rPr>
                      <w:iCs/>
                      <w:sz w:val="20"/>
                    </w:rPr>
                    <w:t>none</w:t>
                  </w:r>
                </w:p>
              </w:tc>
              <w:tc>
                <w:tcPr>
                  <w:tcW w:w="6300" w:type="dxa"/>
                </w:tcPr>
                <w:p w14:paraId="5C67F01C" w14:textId="77777777" w:rsidR="00A76C0B" w:rsidRPr="0013396E" w:rsidRDefault="00A76C0B" w:rsidP="00A76C0B">
                  <w:pPr>
                    <w:spacing w:after="60"/>
                    <w:rPr>
                      <w:iCs/>
                      <w:sz w:val="20"/>
                    </w:rPr>
                  </w:pPr>
                  <w:r w:rsidRPr="0013396E">
                    <w:rPr>
                      <w:iCs/>
                      <w:sz w:val="20"/>
                    </w:rPr>
                    <w:t>A 15-minute Settlement Interval during the MRA Contracted Hours.</w:t>
                  </w:r>
                </w:p>
              </w:tc>
            </w:tr>
            <w:tr w:rsidR="00A76C0B" w:rsidRPr="0013396E" w14:paraId="2AFB879E" w14:textId="77777777" w:rsidTr="00CE1011">
              <w:trPr>
                <w:cantSplit/>
              </w:trPr>
              <w:tc>
                <w:tcPr>
                  <w:tcW w:w="1885" w:type="dxa"/>
                </w:tcPr>
                <w:p w14:paraId="55DA0255" w14:textId="77777777" w:rsidR="00A76C0B" w:rsidRPr="0013396E" w:rsidRDefault="00A76C0B" w:rsidP="00A76C0B">
                  <w:pPr>
                    <w:spacing w:after="60"/>
                    <w:rPr>
                      <w:i/>
                      <w:iCs/>
                      <w:sz w:val="20"/>
                    </w:rPr>
                  </w:pPr>
                  <w:r w:rsidRPr="0013396E">
                    <w:rPr>
                      <w:i/>
                      <w:iCs/>
                      <w:sz w:val="20"/>
                    </w:rPr>
                    <w:t>gsc</w:t>
                  </w:r>
                </w:p>
              </w:tc>
              <w:tc>
                <w:tcPr>
                  <w:tcW w:w="1080" w:type="dxa"/>
                </w:tcPr>
                <w:p w14:paraId="279860FB" w14:textId="77777777" w:rsidR="00A76C0B" w:rsidRPr="0013396E" w:rsidRDefault="00A76C0B" w:rsidP="00A76C0B">
                  <w:pPr>
                    <w:spacing w:after="60"/>
                    <w:rPr>
                      <w:iCs/>
                      <w:sz w:val="20"/>
                    </w:rPr>
                  </w:pPr>
                  <w:r w:rsidRPr="0013396E">
                    <w:rPr>
                      <w:iCs/>
                      <w:sz w:val="20"/>
                    </w:rPr>
                    <w:t>none</w:t>
                  </w:r>
                </w:p>
              </w:tc>
              <w:tc>
                <w:tcPr>
                  <w:tcW w:w="6300" w:type="dxa"/>
                </w:tcPr>
                <w:p w14:paraId="1BCD3874" w14:textId="77777777" w:rsidR="00A76C0B" w:rsidRPr="0013396E" w:rsidRDefault="00A76C0B" w:rsidP="00A76C0B">
                  <w:pPr>
                    <w:spacing w:after="60"/>
                    <w:rPr>
                      <w:iCs/>
                      <w:sz w:val="20"/>
                    </w:rPr>
                  </w:pPr>
                  <w:r w:rsidRPr="0013396E">
                    <w:rPr>
                      <w:iCs/>
                      <w:sz w:val="20"/>
                    </w:rPr>
                    <w:t>A generation site code.</w:t>
                  </w:r>
                </w:p>
              </w:tc>
            </w:tr>
            <w:tr w:rsidR="00A76C0B" w:rsidRPr="0013396E" w14:paraId="2F774BBC" w14:textId="77777777" w:rsidTr="00CE1011">
              <w:trPr>
                <w:cantSplit/>
              </w:trPr>
              <w:tc>
                <w:tcPr>
                  <w:tcW w:w="1885" w:type="dxa"/>
                </w:tcPr>
                <w:p w14:paraId="0E8E8B33" w14:textId="77777777" w:rsidR="00A76C0B" w:rsidRPr="0013396E" w:rsidRDefault="00A76C0B" w:rsidP="00A76C0B">
                  <w:pPr>
                    <w:spacing w:after="60"/>
                    <w:rPr>
                      <w:i/>
                      <w:iCs/>
                      <w:sz w:val="20"/>
                    </w:rPr>
                  </w:pPr>
                  <w:r w:rsidRPr="0013396E">
                    <w:rPr>
                      <w:i/>
                      <w:iCs/>
                      <w:sz w:val="20"/>
                    </w:rPr>
                    <w:t>p</w:t>
                  </w:r>
                </w:p>
              </w:tc>
              <w:tc>
                <w:tcPr>
                  <w:tcW w:w="1080" w:type="dxa"/>
                </w:tcPr>
                <w:p w14:paraId="0D7ECBFE" w14:textId="77777777" w:rsidR="00A76C0B" w:rsidRPr="0013396E" w:rsidRDefault="00A76C0B" w:rsidP="00A76C0B">
                  <w:pPr>
                    <w:spacing w:after="60"/>
                    <w:rPr>
                      <w:iCs/>
                      <w:sz w:val="20"/>
                    </w:rPr>
                  </w:pPr>
                  <w:r w:rsidRPr="0013396E">
                    <w:rPr>
                      <w:iCs/>
                      <w:sz w:val="20"/>
                    </w:rPr>
                    <w:t>none</w:t>
                  </w:r>
                </w:p>
              </w:tc>
              <w:tc>
                <w:tcPr>
                  <w:tcW w:w="6300" w:type="dxa"/>
                </w:tcPr>
                <w:p w14:paraId="5464860C" w14:textId="77777777" w:rsidR="00A76C0B" w:rsidRPr="0013396E" w:rsidRDefault="00A76C0B" w:rsidP="00A76C0B">
                  <w:pPr>
                    <w:spacing w:after="60"/>
                    <w:rPr>
                      <w:iCs/>
                      <w:sz w:val="20"/>
                    </w:rPr>
                  </w:pPr>
                  <w:r w:rsidRPr="0013396E">
                    <w:rPr>
                      <w:iCs/>
                      <w:sz w:val="20"/>
                    </w:rPr>
                    <w:t>A Resource Node Settlement Point.</w:t>
                  </w:r>
                </w:p>
              </w:tc>
            </w:tr>
          </w:tbl>
          <w:p w14:paraId="0EA128D1" w14:textId="20A7DDAC" w:rsidR="00A76C0B" w:rsidRPr="0013396E" w:rsidRDefault="00A76C0B" w:rsidP="00A76C0B">
            <w:pPr>
              <w:spacing w:before="240" w:after="240"/>
              <w:ind w:left="720" w:hanging="720"/>
              <w:rPr>
                <w:iCs/>
              </w:rPr>
            </w:pPr>
            <w:r w:rsidRPr="0013396E">
              <w:rPr>
                <w:iCs/>
              </w:rPr>
              <w:t>(</w:t>
            </w:r>
            <w:r w:rsidR="00AA432B" w:rsidRPr="0013396E">
              <w:rPr>
                <w:iCs/>
              </w:rPr>
              <w:t>5</w:t>
            </w:r>
            <w:r w:rsidRPr="0013396E">
              <w:rPr>
                <w:iCs/>
              </w:rPr>
              <w:t>)</w:t>
            </w:r>
            <w:r w:rsidRPr="0013396E">
              <w:rPr>
                <w:iCs/>
              </w:rPr>
              <w:tab/>
              <w:t>The total of the variable payments for all MRAs represented by the QSE for a given hour is calculated as follows:</w:t>
            </w:r>
          </w:p>
          <w:p w14:paraId="57A79245" w14:textId="77777777" w:rsidR="00A76C0B" w:rsidRPr="0013396E" w:rsidRDefault="00A76C0B" w:rsidP="00A76C0B">
            <w:pPr>
              <w:tabs>
                <w:tab w:val="left" w:pos="2340"/>
                <w:tab w:val="left" w:pos="3420"/>
              </w:tabs>
              <w:spacing w:after="240"/>
              <w:ind w:left="3870" w:hanging="3150"/>
              <w:rPr>
                <w:bCs/>
                <w:lang w:val="pt-BR"/>
              </w:rPr>
            </w:pPr>
            <w:r w:rsidRPr="0013396E">
              <w:rPr>
                <w:bCs/>
                <w:lang w:val="pt-BR"/>
              </w:rPr>
              <w:t xml:space="preserve">MRAVAMTQSETOT </w:t>
            </w:r>
            <w:r w:rsidRPr="0013396E">
              <w:rPr>
                <w:bCs/>
                <w:i/>
                <w:vertAlign w:val="subscript"/>
                <w:lang w:val="pt-BR"/>
              </w:rPr>
              <w:t>q</w:t>
            </w:r>
            <w:r w:rsidRPr="0013396E">
              <w:rPr>
                <w:bCs/>
                <w:lang w:val="pt-BR"/>
              </w:rPr>
              <w:t xml:space="preserve">  =  </w:t>
            </w:r>
            <w:r w:rsidRPr="0013396E">
              <w:rPr>
                <w:bCs/>
                <w:position w:val="-18"/>
                <w:lang w:val="pt-BR"/>
              </w:rPr>
              <w:object w:dxaOrig="225" w:dyaOrig="420" w14:anchorId="6D9DF1E2">
                <v:shape id="_x0000_i1187" type="#_x0000_t75" style="width:12pt;height:24pt" o:ole="">
                  <v:imagedata r:id="rId201" o:title=""/>
                </v:shape>
                <o:OLEObject Type="Embed" ProgID="Equation.3" ShapeID="_x0000_i1187" DrawAspect="Content" ObjectID="_1849065817" r:id="rId239"/>
              </w:object>
            </w:r>
            <w:r w:rsidRPr="0013396E">
              <w:rPr>
                <w:bCs/>
                <w:color w:val="000000"/>
                <w:lang w:val="pt-BR"/>
              </w:rPr>
              <w:t xml:space="preserve"> MRAVAMT</w:t>
            </w:r>
            <w:r w:rsidRPr="0013396E">
              <w:rPr>
                <w:bCs/>
                <w:lang w:val="pt-BR"/>
              </w:rPr>
              <w:t xml:space="preserve"> </w:t>
            </w:r>
            <w:r w:rsidRPr="0013396E">
              <w:rPr>
                <w:bCs/>
                <w:i/>
                <w:vertAlign w:val="subscript"/>
                <w:lang w:val="pt-BR"/>
              </w:rPr>
              <w:t>q, r, h</w:t>
            </w:r>
            <w:r w:rsidRPr="0013396E">
              <w:rPr>
                <w:bCs/>
                <w:lang w:val="pt-BR"/>
              </w:rPr>
              <w:t xml:space="preserve"> </w:t>
            </w:r>
            <w:r w:rsidRPr="0013396E">
              <w:rPr>
                <w:bCs/>
                <w:i/>
                <w:vertAlign w:val="subscript"/>
                <w:lang w:val="pt-BR"/>
              </w:rPr>
              <w:t xml:space="preserve">  </w:t>
            </w:r>
          </w:p>
          <w:p w14:paraId="52A351AF" w14:textId="77777777" w:rsidR="00A76C0B" w:rsidRPr="0013396E" w:rsidRDefault="00A76C0B" w:rsidP="00A76C0B">
            <w:r w:rsidRPr="0013396E">
              <w:t>The above variables are defined as follows: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64"/>
              <w:gridCol w:w="6328"/>
            </w:tblGrid>
            <w:tr w:rsidR="00DF7682" w:rsidRPr="0013396E" w14:paraId="344A7E48" w14:textId="77777777" w:rsidTr="00CE1011">
              <w:trPr>
                <w:cantSplit/>
                <w:tblHeader/>
              </w:trPr>
              <w:tc>
                <w:tcPr>
                  <w:tcW w:w="1167" w:type="pct"/>
                </w:tcPr>
                <w:p w14:paraId="5E8180A3" w14:textId="77777777" w:rsidR="00DF7682" w:rsidRPr="0013396E" w:rsidRDefault="00DF7682" w:rsidP="00DF7682">
                  <w:pPr>
                    <w:spacing w:after="240"/>
                    <w:rPr>
                      <w:b/>
                      <w:iCs/>
                      <w:sz w:val="20"/>
                    </w:rPr>
                  </w:pPr>
                  <w:r w:rsidRPr="0013396E">
                    <w:rPr>
                      <w:b/>
                      <w:iCs/>
                      <w:sz w:val="20"/>
                    </w:rPr>
                    <w:t>Variable</w:t>
                  </w:r>
                </w:p>
              </w:tc>
              <w:tc>
                <w:tcPr>
                  <w:tcW w:w="413" w:type="pct"/>
                </w:tcPr>
                <w:p w14:paraId="2930D3CB" w14:textId="77777777" w:rsidR="00DF7682" w:rsidRPr="0013396E" w:rsidRDefault="00DF7682" w:rsidP="00DF7682">
                  <w:pPr>
                    <w:spacing w:after="240"/>
                    <w:rPr>
                      <w:b/>
                      <w:iCs/>
                      <w:sz w:val="20"/>
                    </w:rPr>
                  </w:pPr>
                  <w:r w:rsidRPr="0013396E">
                    <w:rPr>
                      <w:b/>
                      <w:iCs/>
                      <w:sz w:val="20"/>
                    </w:rPr>
                    <w:t>Unit</w:t>
                  </w:r>
                </w:p>
              </w:tc>
              <w:tc>
                <w:tcPr>
                  <w:tcW w:w="3420" w:type="pct"/>
                </w:tcPr>
                <w:p w14:paraId="5139DFC6" w14:textId="77777777" w:rsidR="00DF7682" w:rsidRPr="0013396E" w:rsidRDefault="00DF7682" w:rsidP="00DF7682">
                  <w:pPr>
                    <w:spacing w:after="240"/>
                    <w:rPr>
                      <w:b/>
                      <w:iCs/>
                      <w:sz w:val="20"/>
                    </w:rPr>
                  </w:pPr>
                  <w:r w:rsidRPr="0013396E">
                    <w:rPr>
                      <w:b/>
                      <w:iCs/>
                      <w:sz w:val="20"/>
                    </w:rPr>
                    <w:t>Definition</w:t>
                  </w:r>
                </w:p>
              </w:tc>
            </w:tr>
            <w:tr w:rsidR="00DF7682" w:rsidRPr="0013396E" w14:paraId="215F72E0" w14:textId="77777777" w:rsidTr="00CE1011">
              <w:trPr>
                <w:cantSplit/>
              </w:trPr>
              <w:tc>
                <w:tcPr>
                  <w:tcW w:w="1167" w:type="pct"/>
                </w:tcPr>
                <w:p w14:paraId="28DB5158" w14:textId="77777777" w:rsidR="00DF7682" w:rsidRPr="0013396E" w:rsidRDefault="00DF7682" w:rsidP="00DF7682">
                  <w:pPr>
                    <w:spacing w:after="60"/>
                    <w:rPr>
                      <w:iCs/>
                      <w:sz w:val="20"/>
                    </w:rPr>
                  </w:pPr>
                  <w:r w:rsidRPr="0013396E">
                    <w:rPr>
                      <w:iCs/>
                      <w:sz w:val="20"/>
                    </w:rPr>
                    <w:t xml:space="preserve">MRAVAMTQSETOT </w:t>
                  </w:r>
                  <w:r w:rsidRPr="0013396E">
                    <w:rPr>
                      <w:i/>
                      <w:iCs/>
                      <w:sz w:val="20"/>
                      <w:vertAlign w:val="subscript"/>
                    </w:rPr>
                    <w:t>q</w:t>
                  </w:r>
                  <w:r w:rsidRPr="0013396E">
                    <w:rPr>
                      <w:iCs/>
                      <w:sz w:val="20"/>
                    </w:rPr>
                    <w:t xml:space="preserve">  </w:t>
                  </w:r>
                </w:p>
              </w:tc>
              <w:tc>
                <w:tcPr>
                  <w:tcW w:w="413" w:type="pct"/>
                </w:tcPr>
                <w:p w14:paraId="00CC77DC" w14:textId="77777777" w:rsidR="00DF7682" w:rsidRPr="0013396E" w:rsidRDefault="00DF7682" w:rsidP="00DF7682">
                  <w:pPr>
                    <w:spacing w:after="60"/>
                    <w:rPr>
                      <w:iCs/>
                      <w:sz w:val="20"/>
                    </w:rPr>
                  </w:pPr>
                  <w:r w:rsidRPr="0013396E">
                    <w:rPr>
                      <w:iCs/>
                      <w:sz w:val="20"/>
                    </w:rPr>
                    <w:t>$</w:t>
                  </w:r>
                </w:p>
              </w:tc>
              <w:tc>
                <w:tcPr>
                  <w:tcW w:w="3420" w:type="pct"/>
                </w:tcPr>
                <w:p w14:paraId="3F1EF310" w14:textId="77777777" w:rsidR="00DF7682" w:rsidRPr="0013396E" w:rsidRDefault="00DF7682" w:rsidP="00DF7682">
                  <w:pPr>
                    <w:spacing w:after="60"/>
                    <w:rPr>
                      <w:iCs/>
                      <w:sz w:val="20"/>
                    </w:rPr>
                  </w:pPr>
                  <w:r w:rsidRPr="0013396E">
                    <w:rPr>
                      <w:i/>
                      <w:iCs/>
                      <w:sz w:val="20"/>
                    </w:rPr>
                    <w:t>Must-Run Alternative Variable Amount Total per QSE by hour</w:t>
                  </w:r>
                  <w:r w:rsidRPr="0013396E">
                    <w:rPr>
                      <w:iCs/>
                      <w:sz w:val="20"/>
                    </w:rPr>
                    <w:t xml:space="preserve">—The total variable payment for all MRAs </w:t>
                  </w:r>
                  <w:r w:rsidRPr="0013396E">
                    <w:rPr>
                      <w:i/>
                      <w:iCs/>
                      <w:sz w:val="20"/>
                    </w:rPr>
                    <w:t xml:space="preserve">r, </w:t>
                  </w:r>
                  <w:r w:rsidRPr="0013396E">
                    <w:rPr>
                      <w:iCs/>
                      <w:sz w:val="20"/>
                    </w:rPr>
                    <w:t>represented by the QSE</w:t>
                  </w:r>
                  <w:r w:rsidRPr="0013396E">
                    <w:rPr>
                      <w:i/>
                      <w:iCs/>
                      <w:sz w:val="20"/>
                    </w:rPr>
                    <w:t xml:space="preserve"> q</w:t>
                  </w:r>
                  <w:r w:rsidRPr="0013396E">
                    <w:rPr>
                      <w:iCs/>
                      <w:sz w:val="20"/>
                    </w:rPr>
                    <w:t xml:space="preserve">, for the hour. </w:t>
                  </w:r>
                </w:p>
              </w:tc>
            </w:tr>
            <w:tr w:rsidR="00DF7682" w:rsidRPr="0013396E" w14:paraId="419C43A5" w14:textId="77777777" w:rsidTr="00CE1011">
              <w:trPr>
                <w:cantSplit/>
              </w:trPr>
              <w:tc>
                <w:tcPr>
                  <w:tcW w:w="1167" w:type="pct"/>
                </w:tcPr>
                <w:p w14:paraId="65C6B3F2" w14:textId="77777777" w:rsidR="00DF7682" w:rsidRPr="0013396E" w:rsidRDefault="00DF7682" w:rsidP="00DF7682">
                  <w:pPr>
                    <w:spacing w:after="60"/>
                    <w:rPr>
                      <w:iCs/>
                      <w:sz w:val="20"/>
                    </w:rPr>
                  </w:pPr>
                  <w:r w:rsidRPr="0013396E">
                    <w:rPr>
                      <w:bCs/>
                      <w:iCs/>
                      <w:color w:val="000000"/>
                      <w:sz w:val="20"/>
                      <w:lang w:val="pt-BR"/>
                    </w:rPr>
                    <w:t>MRAVAMT</w:t>
                  </w:r>
                  <w:r w:rsidRPr="0013396E">
                    <w:rPr>
                      <w:sz w:val="20"/>
                    </w:rPr>
                    <w:t xml:space="preserve"> </w:t>
                  </w:r>
                  <w:r w:rsidRPr="0013396E">
                    <w:rPr>
                      <w:i/>
                      <w:sz w:val="20"/>
                      <w:vertAlign w:val="subscript"/>
                    </w:rPr>
                    <w:t>q, r, h</w:t>
                  </w:r>
                </w:p>
              </w:tc>
              <w:tc>
                <w:tcPr>
                  <w:tcW w:w="413" w:type="pct"/>
                </w:tcPr>
                <w:p w14:paraId="12F22A13" w14:textId="77777777" w:rsidR="00DF7682" w:rsidRPr="0013396E" w:rsidRDefault="00DF7682" w:rsidP="00DF7682">
                  <w:pPr>
                    <w:spacing w:after="60"/>
                    <w:rPr>
                      <w:iCs/>
                      <w:sz w:val="20"/>
                    </w:rPr>
                  </w:pPr>
                  <w:r w:rsidRPr="0013396E">
                    <w:rPr>
                      <w:sz w:val="20"/>
                    </w:rPr>
                    <w:t>$</w:t>
                  </w:r>
                </w:p>
              </w:tc>
              <w:tc>
                <w:tcPr>
                  <w:tcW w:w="3420" w:type="pct"/>
                </w:tcPr>
                <w:p w14:paraId="6F44E89A" w14:textId="77777777" w:rsidR="00DF7682" w:rsidRPr="0013396E" w:rsidRDefault="00DF7682" w:rsidP="00DF7682">
                  <w:pPr>
                    <w:spacing w:after="60"/>
                    <w:rPr>
                      <w:iCs/>
                      <w:sz w:val="20"/>
                    </w:rPr>
                  </w:pPr>
                  <w:r w:rsidRPr="0013396E">
                    <w:rPr>
                      <w:i/>
                      <w:sz w:val="20"/>
                    </w:rPr>
                    <w:t>Must-Run Alternative Variable Amount per QSE per Resource by hour</w:t>
                  </w:r>
                  <w:r w:rsidRPr="0013396E">
                    <w:rPr>
                      <w:sz w:val="20"/>
                    </w:rPr>
                    <w:t xml:space="preserve">—The variable payment to QSE </w:t>
                  </w:r>
                  <w:r w:rsidRPr="0013396E">
                    <w:rPr>
                      <w:i/>
                      <w:sz w:val="20"/>
                    </w:rPr>
                    <w:t>q</w:t>
                  </w:r>
                  <w:r w:rsidRPr="0013396E">
                    <w:rPr>
                      <w:sz w:val="20"/>
                    </w:rPr>
                    <w:t xml:space="preserve"> representing MRA </w:t>
                  </w:r>
                  <w:r w:rsidRPr="0013396E">
                    <w:rPr>
                      <w:i/>
                      <w:sz w:val="20"/>
                    </w:rPr>
                    <w:t>r</w:t>
                  </w:r>
                  <w:r w:rsidRPr="0013396E">
                    <w:rPr>
                      <w:sz w:val="20"/>
                    </w:rPr>
                    <w:t xml:space="preserve"> for the hour </w:t>
                  </w:r>
                  <w:r w:rsidRPr="0013396E">
                    <w:rPr>
                      <w:i/>
                      <w:sz w:val="20"/>
                    </w:rPr>
                    <w:t>h</w:t>
                  </w:r>
                  <w:r w:rsidRPr="0013396E">
                    <w:rPr>
                      <w:sz w:val="20"/>
                    </w:rPr>
                    <w:t xml:space="preserve">.  Where for a Combined Cycle Train, the Resource </w:t>
                  </w:r>
                  <w:r w:rsidRPr="0013396E">
                    <w:rPr>
                      <w:i/>
                      <w:sz w:val="20"/>
                    </w:rPr>
                    <w:t xml:space="preserve">r </w:t>
                  </w:r>
                  <w:r w:rsidRPr="0013396E">
                    <w:rPr>
                      <w:sz w:val="20"/>
                    </w:rPr>
                    <w:t>is the Combined Cycle Train.</w:t>
                  </w:r>
                </w:p>
              </w:tc>
            </w:tr>
            <w:tr w:rsidR="00DF7682" w:rsidRPr="0013396E" w14:paraId="4A5BBA22" w14:textId="77777777" w:rsidTr="00CE1011">
              <w:trPr>
                <w:cantSplit/>
              </w:trPr>
              <w:tc>
                <w:tcPr>
                  <w:tcW w:w="1167" w:type="pct"/>
                  <w:tcBorders>
                    <w:top w:val="single" w:sz="4" w:space="0" w:color="auto"/>
                    <w:left w:val="single" w:sz="4" w:space="0" w:color="auto"/>
                    <w:bottom w:val="single" w:sz="4" w:space="0" w:color="auto"/>
                    <w:right w:val="single" w:sz="4" w:space="0" w:color="auto"/>
                  </w:tcBorders>
                </w:tcPr>
                <w:p w14:paraId="22DBF9C5" w14:textId="77777777" w:rsidR="00DF7682" w:rsidRPr="0013396E" w:rsidRDefault="00DF7682" w:rsidP="00DF7682">
                  <w:pPr>
                    <w:spacing w:after="60"/>
                    <w:rPr>
                      <w:i/>
                      <w:iCs/>
                      <w:sz w:val="20"/>
                    </w:rPr>
                  </w:pPr>
                  <w:r w:rsidRPr="0013396E">
                    <w:rPr>
                      <w:i/>
                      <w:iCs/>
                      <w:sz w:val="20"/>
                    </w:rPr>
                    <w:t>q</w:t>
                  </w:r>
                </w:p>
              </w:tc>
              <w:tc>
                <w:tcPr>
                  <w:tcW w:w="413" w:type="pct"/>
                  <w:tcBorders>
                    <w:top w:val="single" w:sz="4" w:space="0" w:color="auto"/>
                    <w:left w:val="single" w:sz="4" w:space="0" w:color="auto"/>
                    <w:bottom w:val="single" w:sz="4" w:space="0" w:color="auto"/>
                    <w:right w:val="single" w:sz="4" w:space="0" w:color="auto"/>
                  </w:tcBorders>
                </w:tcPr>
                <w:p w14:paraId="6C09B276" w14:textId="77777777" w:rsidR="00DF7682" w:rsidRPr="0013396E" w:rsidRDefault="00DF7682" w:rsidP="00DF7682">
                  <w:pPr>
                    <w:spacing w:after="60"/>
                    <w:rPr>
                      <w:iCs/>
                      <w:sz w:val="20"/>
                    </w:rPr>
                  </w:pPr>
                  <w:r w:rsidRPr="0013396E">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4B10460A" w14:textId="77777777" w:rsidR="00DF7682" w:rsidRPr="0013396E" w:rsidRDefault="00DF7682" w:rsidP="00DF7682">
                  <w:pPr>
                    <w:spacing w:after="60"/>
                    <w:rPr>
                      <w:iCs/>
                      <w:sz w:val="20"/>
                    </w:rPr>
                  </w:pPr>
                  <w:r w:rsidRPr="0013396E">
                    <w:rPr>
                      <w:iCs/>
                      <w:sz w:val="20"/>
                    </w:rPr>
                    <w:t>A QSE.</w:t>
                  </w:r>
                </w:p>
              </w:tc>
            </w:tr>
            <w:tr w:rsidR="00DF7682" w:rsidRPr="0013396E" w14:paraId="2A4E17F4" w14:textId="77777777" w:rsidTr="00CE1011">
              <w:trPr>
                <w:cantSplit/>
              </w:trPr>
              <w:tc>
                <w:tcPr>
                  <w:tcW w:w="1167" w:type="pct"/>
                  <w:tcBorders>
                    <w:top w:val="single" w:sz="4" w:space="0" w:color="auto"/>
                    <w:left w:val="single" w:sz="4" w:space="0" w:color="auto"/>
                    <w:bottom w:val="single" w:sz="4" w:space="0" w:color="auto"/>
                    <w:right w:val="single" w:sz="4" w:space="0" w:color="auto"/>
                  </w:tcBorders>
                </w:tcPr>
                <w:p w14:paraId="3C0095A6" w14:textId="77777777" w:rsidR="00DF7682" w:rsidRPr="0013396E" w:rsidRDefault="00DF7682" w:rsidP="00DF7682">
                  <w:pPr>
                    <w:spacing w:after="60"/>
                    <w:rPr>
                      <w:i/>
                      <w:iCs/>
                      <w:sz w:val="20"/>
                    </w:rPr>
                  </w:pPr>
                  <w:r w:rsidRPr="0013396E">
                    <w:rPr>
                      <w:i/>
                      <w:iCs/>
                      <w:sz w:val="20"/>
                    </w:rPr>
                    <w:t>r</w:t>
                  </w:r>
                </w:p>
              </w:tc>
              <w:tc>
                <w:tcPr>
                  <w:tcW w:w="413" w:type="pct"/>
                  <w:tcBorders>
                    <w:top w:val="single" w:sz="4" w:space="0" w:color="auto"/>
                    <w:left w:val="single" w:sz="4" w:space="0" w:color="auto"/>
                    <w:bottom w:val="single" w:sz="4" w:space="0" w:color="auto"/>
                    <w:right w:val="single" w:sz="4" w:space="0" w:color="auto"/>
                  </w:tcBorders>
                </w:tcPr>
                <w:p w14:paraId="7D79DF56" w14:textId="77777777" w:rsidR="00DF7682" w:rsidRPr="0013396E" w:rsidRDefault="00DF7682" w:rsidP="00DF7682">
                  <w:pPr>
                    <w:spacing w:after="60"/>
                    <w:rPr>
                      <w:iCs/>
                      <w:sz w:val="20"/>
                    </w:rPr>
                  </w:pPr>
                  <w:r w:rsidRPr="0013396E">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4779E4DF" w14:textId="77777777" w:rsidR="00DF7682" w:rsidRPr="0013396E" w:rsidRDefault="00DF7682" w:rsidP="00DF7682">
                  <w:pPr>
                    <w:spacing w:after="60"/>
                    <w:rPr>
                      <w:iCs/>
                      <w:sz w:val="20"/>
                    </w:rPr>
                  </w:pPr>
                  <w:r w:rsidRPr="0013396E">
                    <w:rPr>
                      <w:iCs/>
                      <w:sz w:val="20"/>
                    </w:rPr>
                    <w:t>An MRA.</w:t>
                  </w:r>
                </w:p>
              </w:tc>
            </w:tr>
            <w:tr w:rsidR="00DF7682" w:rsidRPr="0013396E" w14:paraId="3ECC363F" w14:textId="77777777" w:rsidTr="00CE1011">
              <w:trPr>
                <w:cantSplit/>
              </w:trPr>
              <w:tc>
                <w:tcPr>
                  <w:tcW w:w="1167" w:type="pct"/>
                  <w:tcBorders>
                    <w:top w:val="single" w:sz="4" w:space="0" w:color="auto"/>
                    <w:left w:val="single" w:sz="4" w:space="0" w:color="auto"/>
                    <w:bottom w:val="single" w:sz="4" w:space="0" w:color="auto"/>
                    <w:right w:val="single" w:sz="4" w:space="0" w:color="auto"/>
                  </w:tcBorders>
                </w:tcPr>
                <w:p w14:paraId="10F9B66C" w14:textId="77777777" w:rsidR="00DF7682" w:rsidRPr="0013396E" w:rsidRDefault="00DF7682" w:rsidP="00DF7682">
                  <w:pPr>
                    <w:spacing w:after="60"/>
                    <w:rPr>
                      <w:i/>
                      <w:iCs/>
                      <w:sz w:val="20"/>
                    </w:rPr>
                  </w:pPr>
                  <w:r w:rsidRPr="0013396E">
                    <w:rPr>
                      <w:i/>
                      <w:sz w:val="20"/>
                    </w:rPr>
                    <w:t>h</w:t>
                  </w:r>
                </w:p>
              </w:tc>
              <w:tc>
                <w:tcPr>
                  <w:tcW w:w="413" w:type="pct"/>
                  <w:tcBorders>
                    <w:top w:val="single" w:sz="4" w:space="0" w:color="auto"/>
                    <w:left w:val="single" w:sz="4" w:space="0" w:color="auto"/>
                    <w:bottom w:val="single" w:sz="4" w:space="0" w:color="auto"/>
                    <w:right w:val="single" w:sz="4" w:space="0" w:color="auto"/>
                  </w:tcBorders>
                </w:tcPr>
                <w:p w14:paraId="56D80B59" w14:textId="77777777" w:rsidR="00DF7682" w:rsidRPr="0013396E" w:rsidRDefault="00DF7682" w:rsidP="00DF7682">
                  <w:pPr>
                    <w:spacing w:after="60"/>
                    <w:rPr>
                      <w:iCs/>
                      <w:sz w:val="20"/>
                    </w:rPr>
                  </w:pPr>
                  <w:r w:rsidRPr="0013396E">
                    <w:rPr>
                      <w:sz w:val="20"/>
                    </w:rPr>
                    <w:t>none</w:t>
                  </w:r>
                </w:p>
              </w:tc>
              <w:tc>
                <w:tcPr>
                  <w:tcW w:w="3420" w:type="pct"/>
                  <w:tcBorders>
                    <w:top w:val="single" w:sz="4" w:space="0" w:color="auto"/>
                    <w:left w:val="single" w:sz="4" w:space="0" w:color="auto"/>
                    <w:bottom w:val="single" w:sz="4" w:space="0" w:color="auto"/>
                    <w:right w:val="single" w:sz="4" w:space="0" w:color="auto"/>
                  </w:tcBorders>
                </w:tcPr>
                <w:p w14:paraId="3938456D" w14:textId="77777777" w:rsidR="00DF7682" w:rsidRPr="0013396E" w:rsidRDefault="00DF7682" w:rsidP="00DF7682">
                  <w:pPr>
                    <w:spacing w:after="60"/>
                    <w:rPr>
                      <w:iCs/>
                      <w:sz w:val="20"/>
                    </w:rPr>
                  </w:pPr>
                  <w:r w:rsidRPr="0013396E">
                    <w:rPr>
                      <w:iCs/>
                      <w:sz w:val="20"/>
                    </w:rPr>
                    <w:t>An MRA Contracted Hour for the MRA Contracted Month</w:t>
                  </w:r>
                  <w:r w:rsidRPr="0013396E">
                    <w:rPr>
                      <w:sz w:val="20"/>
                    </w:rPr>
                    <w:t>.</w:t>
                  </w:r>
                </w:p>
              </w:tc>
            </w:tr>
          </w:tbl>
          <w:p w14:paraId="3B49EBF3" w14:textId="0B48EF8D" w:rsidR="00DF7682" w:rsidRPr="0013396E" w:rsidRDefault="00DF7682" w:rsidP="00DF7682">
            <w:pPr>
              <w:spacing w:before="240" w:after="240"/>
              <w:ind w:left="720" w:hanging="720"/>
              <w:rPr>
                <w:iCs/>
              </w:rPr>
            </w:pPr>
            <w:r w:rsidRPr="0013396E">
              <w:rPr>
                <w:iCs/>
              </w:rPr>
              <w:t>(</w:t>
            </w:r>
            <w:r w:rsidR="00AA432B" w:rsidRPr="0013396E">
              <w:rPr>
                <w:iCs/>
              </w:rPr>
              <w:t>6</w:t>
            </w:r>
            <w:r w:rsidRPr="0013396E">
              <w:rPr>
                <w:iCs/>
              </w:rPr>
              <w:t>)</w:t>
            </w:r>
            <w:r w:rsidRPr="0013396E">
              <w:rPr>
                <w:iCs/>
              </w:rPr>
              <w:tab/>
              <w:t>The total of the variable payments for a given MRA Contracted Hour is calculated as follows:</w:t>
            </w:r>
          </w:p>
          <w:p w14:paraId="1DED93AF" w14:textId="77777777" w:rsidR="00DF7682" w:rsidRPr="0013396E" w:rsidRDefault="00DF7682" w:rsidP="00DF7682">
            <w:pPr>
              <w:spacing w:after="240"/>
              <w:ind w:left="720"/>
              <w:rPr>
                <w:iCs/>
              </w:rPr>
            </w:pPr>
            <w:r w:rsidRPr="0013396E">
              <w:rPr>
                <w:iCs/>
              </w:rPr>
              <w:t xml:space="preserve">MRAVAMTTOT  =  </w:t>
            </w:r>
            <w:r w:rsidR="00150223" w:rsidRPr="0013396E">
              <w:rPr>
                <w:iCs/>
                <w:position w:val="-22"/>
              </w:rPr>
              <w:object w:dxaOrig="210" w:dyaOrig="465" w14:anchorId="5F555D5E">
                <v:shape id="_x0000_i1188" type="#_x0000_t75" style="width:6pt;height:29.4pt" o:ole="">
                  <v:imagedata r:id="rId157" o:title=""/>
                </v:shape>
                <o:OLEObject Type="Embed" ProgID="Equation.3" ShapeID="_x0000_i1188" DrawAspect="Content" ObjectID="_1849065818" r:id="rId240"/>
              </w:object>
            </w:r>
            <w:r w:rsidRPr="0013396E">
              <w:rPr>
                <w:iCs/>
              </w:rPr>
              <w:t xml:space="preserve"> MRAVAMTQSETOT </w:t>
            </w:r>
            <w:r w:rsidRPr="0013396E">
              <w:rPr>
                <w:i/>
                <w:iCs/>
                <w:vertAlign w:val="subscript"/>
              </w:rPr>
              <w:t>q</w:t>
            </w:r>
            <w:r w:rsidRPr="0013396E">
              <w:rPr>
                <w:i/>
                <w:iCs/>
              </w:rPr>
              <w:t xml:space="preserve"> </w:t>
            </w:r>
            <w:r w:rsidRPr="0013396E">
              <w:rPr>
                <w:iCs/>
              </w:rPr>
              <w:t xml:space="preserve"> </w:t>
            </w:r>
          </w:p>
          <w:p w14:paraId="3E476236" w14:textId="77777777" w:rsidR="00DF7682" w:rsidRPr="0013396E" w:rsidRDefault="00DF7682" w:rsidP="00DF7682">
            <w:r w:rsidRPr="0013396E">
              <w:t>The above variables are defined as follows: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605"/>
              <w:gridCol w:w="6061"/>
            </w:tblGrid>
            <w:tr w:rsidR="00150223" w:rsidRPr="0013396E" w14:paraId="5040290D" w14:textId="77777777" w:rsidTr="00CE1011">
              <w:trPr>
                <w:cantSplit/>
                <w:tblHeader/>
              </w:trPr>
              <w:tc>
                <w:tcPr>
                  <w:tcW w:w="1398" w:type="pct"/>
                </w:tcPr>
                <w:p w14:paraId="538F8FF3" w14:textId="77777777" w:rsidR="00150223" w:rsidRPr="0013396E" w:rsidRDefault="00150223" w:rsidP="00150223">
                  <w:pPr>
                    <w:spacing w:after="240"/>
                    <w:rPr>
                      <w:b/>
                      <w:iCs/>
                      <w:sz w:val="20"/>
                    </w:rPr>
                  </w:pPr>
                  <w:r w:rsidRPr="0013396E">
                    <w:rPr>
                      <w:b/>
                      <w:iCs/>
                      <w:sz w:val="20"/>
                    </w:rPr>
                    <w:t>Variable</w:t>
                  </w:r>
                </w:p>
              </w:tc>
              <w:tc>
                <w:tcPr>
                  <w:tcW w:w="326" w:type="pct"/>
                </w:tcPr>
                <w:p w14:paraId="4592516B" w14:textId="77777777" w:rsidR="00150223" w:rsidRPr="0013396E" w:rsidRDefault="00150223" w:rsidP="00150223">
                  <w:pPr>
                    <w:spacing w:after="240"/>
                    <w:rPr>
                      <w:b/>
                      <w:iCs/>
                      <w:sz w:val="20"/>
                    </w:rPr>
                  </w:pPr>
                  <w:r w:rsidRPr="0013396E">
                    <w:rPr>
                      <w:b/>
                      <w:iCs/>
                      <w:sz w:val="20"/>
                    </w:rPr>
                    <w:t>Unit</w:t>
                  </w:r>
                </w:p>
              </w:tc>
              <w:tc>
                <w:tcPr>
                  <w:tcW w:w="3276" w:type="pct"/>
                </w:tcPr>
                <w:p w14:paraId="194A3E2E" w14:textId="77777777" w:rsidR="00150223" w:rsidRPr="0013396E" w:rsidRDefault="00150223" w:rsidP="00150223">
                  <w:pPr>
                    <w:spacing w:after="240"/>
                    <w:rPr>
                      <w:b/>
                      <w:iCs/>
                      <w:sz w:val="20"/>
                    </w:rPr>
                  </w:pPr>
                  <w:r w:rsidRPr="0013396E">
                    <w:rPr>
                      <w:b/>
                      <w:iCs/>
                      <w:sz w:val="20"/>
                    </w:rPr>
                    <w:t>Definition</w:t>
                  </w:r>
                </w:p>
              </w:tc>
            </w:tr>
            <w:tr w:rsidR="00150223" w:rsidRPr="0013396E" w14:paraId="0FEC4065" w14:textId="77777777" w:rsidTr="00CE1011">
              <w:trPr>
                <w:cantSplit/>
              </w:trPr>
              <w:tc>
                <w:tcPr>
                  <w:tcW w:w="1398" w:type="pct"/>
                </w:tcPr>
                <w:p w14:paraId="4873B65B" w14:textId="77777777" w:rsidR="00150223" w:rsidRPr="0013396E" w:rsidRDefault="00150223" w:rsidP="00150223">
                  <w:pPr>
                    <w:spacing w:after="60"/>
                    <w:rPr>
                      <w:iCs/>
                      <w:sz w:val="20"/>
                    </w:rPr>
                  </w:pPr>
                  <w:r w:rsidRPr="0013396E">
                    <w:rPr>
                      <w:iCs/>
                      <w:sz w:val="20"/>
                    </w:rPr>
                    <w:t>MRAVAMTTOT</w:t>
                  </w:r>
                </w:p>
              </w:tc>
              <w:tc>
                <w:tcPr>
                  <w:tcW w:w="326" w:type="pct"/>
                </w:tcPr>
                <w:p w14:paraId="1A27AAB6" w14:textId="77777777" w:rsidR="00150223" w:rsidRPr="0013396E" w:rsidRDefault="00150223" w:rsidP="00150223">
                  <w:pPr>
                    <w:spacing w:after="60"/>
                    <w:rPr>
                      <w:iCs/>
                      <w:sz w:val="20"/>
                    </w:rPr>
                  </w:pPr>
                  <w:r w:rsidRPr="0013396E">
                    <w:rPr>
                      <w:iCs/>
                      <w:sz w:val="20"/>
                    </w:rPr>
                    <w:t>$</w:t>
                  </w:r>
                </w:p>
              </w:tc>
              <w:tc>
                <w:tcPr>
                  <w:tcW w:w="3276" w:type="pct"/>
                </w:tcPr>
                <w:p w14:paraId="7ECCBFEF" w14:textId="77777777" w:rsidR="00150223" w:rsidRPr="0013396E" w:rsidRDefault="00150223" w:rsidP="00150223">
                  <w:pPr>
                    <w:spacing w:after="60"/>
                    <w:rPr>
                      <w:iCs/>
                      <w:sz w:val="20"/>
                    </w:rPr>
                  </w:pPr>
                  <w:r w:rsidRPr="0013396E">
                    <w:rPr>
                      <w:i/>
                      <w:iCs/>
                      <w:sz w:val="20"/>
                    </w:rPr>
                    <w:t>Must-Run Alternative Variable Amount Total by hour</w:t>
                  </w:r>
                  <w:r w:rsidRPr="0013396E">
                    <w:rPr>
                      <w:iCs/>
                      <w:sz w:val="20"/>
                    </w:rPr>
                    <w:t>—The total variable payments for the MRA Contracted Hour.</w:t>
                  </w:r>
                </w:p>
              </w:tc>
            </w:tr>
            <w:tr w:rsidR="00150223" w:rsidRPr="0013396E" w14:paraId="1B2A290A" w14:textId="77777777" w:rsidTr="00CE1011">
              <w:trPr>
                <w:cantSplit/>
              </w:trPr>
              <w:tc>
                <w:tcPr>
                  <w:tcW w:w="1398" w:type="pct"/>
                </w:tcPr>
                <w:p w14:paraId="756F0CE0" w14:textId="77777777" w:rsidR="00150223" w:rsidRPr="0013396E" w:rsidRDefault="00150223" w:rsidP="00150223">
                  <w:pPr>
                    <w:spacing w:after="60"/>
                    <w:rPr>
                      <w:iCs/>
                      <w:sz w:val="20"/>
                    </w:rPr>
                  </w:pPr>
                  <w:r w:rsidRPr="0013396E">
                    <w:rPr>
                      <w:iCs/>
                      <w:sz w:val="20"/>
                    </w:rPr>
                    <w:lastRenderedPageBreak/>
                    <w:t xml:space="preserve">MRAVAMTQSETOT </w:t>
                  </w:r>
                  <w:r w:rsidRPr="0013396E">
                    <w:rPr>
                      <w:i/>
                      <w:iCs/>
                      <w:sz w:val="20"/>
                      <w:vertAlign w:val="subscript"/>
                    </w:rPr>
                    <w:t>q</w:t>
                  </w:r>
                </w:p>
              </w:tc>
              <w:tc>
                <w:tcPr>
                  <w:tcW w:w="326" w:type="pct"/>
                </w:tcPr>
                <w:p w14:paraId="404DD154" w14:textId="77777777" w:rsidR="00150223" w:rsidRPr="0013396E" w:rsidRDefault="00150223" w:rsidP="00150223">
                  <w:pPr>
                    <w:spacing w:after="60"/>
                    <w:rPr>
                      <w:iCs/>
                      <w:sz w:val="20"/>
                    </w:rPr>
                  </w:pPr>
                  <w:r w:rsidRPr="0013396E">
                    <w:rPr>
                      <w:iCs/>
                      <w:sz w:val="20"/>
                    </w:rPr>
                    <w:t>$</w:t>
                  </w:r>
                </w:p>
              </w:tc>
              <w:tc>
                <w:tcPr>
                  <w:tcW w:w="3276" w:type="pct"/>
                </w:tcPr>
                <w:p w14:paraId="04646959" w14:textId="77777777" w:rsidR="00150223" w:rsidRPr="0013396E" w:rsidRDefault="00150223" w:rsidP="00150223">
                  <w:pPr>
                    <w:spacing w:after="60"/>
                    <w:rPr>
                      <w:iCs/>
                      <w:sz w:val="20"/>
                    </w:rPr>
                  </w:pPr>
                  <w:r w:rsidRPr="0013396E">
                    <w:rPr>
                      <w:i/>
                      <w:iCs/>
                      <w:sz w:val="20"/>
                    </w:rPr>
                    <w:t>Must-Run Alternative Variable Amount Total per QSE by hour</w:t>
                  </w:r>
                  <w:r w:rsidRPr="0013396E">
                    <w:rPr>
                      <w:iCs/>
                      <w:sz w:val="20"/>
                    </w:rPr>
                    <w:t>—The total variable payment for all MRAs</w:t>
                  </w:r>
                  <w:r w:rsidRPr="0013396E">
                    <w:rPr>
                      <w:i/>
                      <w:iCs/>
                      <w:sz w:val="20"/>
                    </w:rPr>
                    <w:t xml:space="preserve">, </w:t>
                  </w:r>
                  <w:r w:rsidRPr="0013396E">
                    <w:rPr>
                      <w:iCs/>
                      <w:sz w:val="20"/>
                    </w:rPr>
                    <w:t>represented by the QSE</w:t>
                  </w:r>
                  <w:r w:rsidRPr="0013396E">
                    <w:rPr>
                      <w:i/>
                      <w:iCs/>
                      <w:sz w:val="20"/>
                    </w:rPr>
                    <w:t xml:space="preserve"> q</w:t>
                  </w:r>
                  <w:r w:rsidRPr="0013396E">
                    <w:rPr>
                      <w:iCs/>
                      <w:sz w:val="20"/>
                    </w:rPr>
                    <w:t xml:space="preserve">, for the MRA Contracted Hour. </w:t>
                  </w:r>
                </w:p>
              </w:tc>
            </w:tr>
            <w:tr w:rsidR="00150223" w:rsidRPr="0013396E" w14:paraId="71990747" w14:textId="77777777" w:rsidTr="00CE1011">
              <w:trPr>
                <w:cantSplit/>
              </w:trPr>
              <w:tc>
                <w:tcPr>
                  <w:tcW w:w="1398" w:type="pct"/>
                  <w:tcBorders>
                    <w:top w:val="single" w:sz="4" w:space="0" w:color="auto"/>
                    <w:left w:val="single" w:sz="4" w:space="0" w:color="auto"/>
                    <w:bottom w:val="single" w:sz="4" w:space="0" w:color="auto"/>
                    <w:right w:val="single" w:sz="4" w:space="0" w:color="auto"/>
                  </w:tcBorders>
                </w:tcPr>
                <w:p w14:paraId="3B7536D4" w14:textId="77777777" w:rsidR="00150223" w:rsidRPr="0013396E" w:rsidRDefault="00150223" w:rsidP="00150223">
                  <w:pPr>
                    <w:spacing w:after="60"/>
                    <w:rPr>
                      <w:i/>
                      <w:iCs/>
                      <w:sz w:val="20"/>
                    </w:rPr>
                  </w:pPr>
                  <w:r w:rsidRPr="0013396E">
                    <w:rPr>
                      <w:i/>
                      <w:iCs/>
                      <w:sz w:val="20"/>
                    </w:rPr>
                    <w:t>q</w:t>
                  </w:r>
                </w:p>
              </w:tc>
              <w:tc>
                <w:tcPr>
                  <w:tcW w:w="326" w:type="pct"/>
                  <w:tcBorders>
                    <w:top w:val="single" w:sz="4" w:space="0" w:color="auto"/>
                    <w:left w:val="single" w:sz="4" w:space="0" w:color="auto"/>
                    <w:bottom w:val="single" w:sz="4" w:space="0" w:color="auto"/>
                    <w:right w:val="single" w:sz="4" w:space="0" w:color="auto"/>
                  </w:tcBorders>
                </w:tcPr>
                <w:p w14:paraId="1AC546D3" w14:textId="77777777" w:rsidR="00150223" w:rsidRPr="0013396E" w:rsidRDefault="00150223" w:rsidP="00150223">
                  <w:pPr>
                    <w:spacing w:after="60"/>
                    <w:rPr>
                      <w:iCs/>
                      <w:sz w:val="20"/>
                    </w:rPr>
                  </w:pPr>
                  <w:r w:rsidRPr="0013396E">
                    <w:rPr>
                      <w:iCs/>
                      <w:sz w:val="20"/>
                    </w:rPr>
                    <w:t>none</w:t>
                  </w:r>
                </w:p>
              </w:tc>
              <w:tc>
                <w:tcPr>
                  <w:tcW w:w="3276" w:type="pct"/>
                  <w:tcBorders>
                    <w:top w:val="single" w:sz="4" w:space="0" w:color="auto"/>
                    <w:left w:val="single" w:sz="4" w:space="0" w:color="auto"/>
                    <w:bottom w:val="single" w:sz="4" w:space="0" w:color="auto"/>
                    <w:right w:val="single" w:sz="4" w:space="0" w:color="auto"/>
                  </w:tcBorders>
                </w:tcPr>
                <w:p w14:paraId="1D3ABE08" w14:textId="77777777" w:rsidR="00150223" w:rsidRPr="0013396E" w:rsidRDefault="00150223" w:rsidP="00150223">
                  <w:pPr>
                    <w:spacing w:after="60"/>
                    <w:rPr>
                      <w:iCs/>
                      <w:sz w:val="20"/>
                    </w:rPr>
                  </w:pPr>
                  <w:r w:rsidRPr="0013396E">
                    <w:rPr>
                      <w:iCs/>
                      <w:sz w:val="20"/>
                    </w:rPr>
                    <w:t>A QSE.</w:t>
                  </w:r>
                </w:p>
              </w:tc>
            </w:tr>
          </w:tbl>
          <w:p w14:paraId="16B92ED9" w14:textId="77777777" w:rsidR="00CE74E6" w:rsidRPr="0013396E" w:rsidRDefault="00CE74E6" w:rsidP="00CE1011">
            <w:pPr>
              <w:spacing w:after="240"/>
              <w:ind w:left="720" w:hanging="720"/>
            </w:pPr>
          </w:p>
        </w:tc>
      </w:tr>
    </w:tbl>
    <w:p w14:paraId="13A3C22E" w14:textId="77777777" w:rsidR="00150223" w:rsidRPr="0013396E" w:rsidRDefault="00150223" w:rsidP="00150223">
      <w:pPr>
        <w:pStyle w:val="H3"/>
        <w:spacing w:before="0" w:after="0"/>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150223" w:rsidRPr="0013396E" w14:paraId="00F556B5" w14:textId="77777777" w:rsidTr="00CE1011">
        <w:trPr>
          <w:trHeight w:val="206"/>
        </w:trPr>
        <w:tc>
          <w:tcPr>
            <w:tcW w:w="5000" w:type="pct"/>
            <w:shd w:val="pct12" w:color="auto" w:fill="auto"/>
          </w:tcPr>
          <w:p w14:paraId="0C5D2812" w14:textId="77777777" w:rsidR="00150223" w:rsidRPr="0013396E" w:rsidRDefault="00150223" w:rsidP="00CE1011">
            <w:pPr>
              <w:pStyle w:val="Instructions"/>
              <w:spacing w:before="120"/>
            </w:pPr>
            <w:r w:rsidRPr="0013396E">
              <w:t>[NPRR885:  Insert Section 6.6.6.11 below upon system implementation:]</w:t>
            </w:r>
          </w:p>
          <w:p w14:paraId="6CD6E758" w14:textId="77777777" w:rsidR="00427EDA" w:rsidRPr="0013396E" w:rsidRDefault="00427EDA" w:rsidP="00427EDA">
            <w:pPr>
              <w:keepNext/>
              <w:widowControl w:val="0"/>
              <w:tabs>
                <w:tab w:val="left" w:pos="1260"/>
              </w:tabs>
              <w:spacing w:before="240" w:after="240"/>
              <w:ind w:left="1267" w:hanging="1267"/>
              <w:outlineLvl w:val="3"/>
              <w:rPr>
                <w:b/>
                <w:bCs/>
                <w:snapToGrid w:val="0"/>
                <w:color w:val="000000"/>
              </w:rPr>
            </w:pPr>
            <w:bookmarkStart w:id="2017" w:name="_Toc17798758"/>
            <w:bookmarkStart w:id="2018" w:name="_Toc236220215"/>
            <w:r w:rsidRPr="0013396E">
              <w:rPr>
                <w:b/>
                <w:bCs/>
                <w:snapToGrid w:val="0"/>
                <w:color w:val="000000"/>
              </w:rPr>
              <w:t>6.6.6.11</w:t>
            </w:r>
            <w:r w:rsidRPr="0013396E">
              <w:rPr>
                <w:b/>
                <w:bCs/>
                <w:snapToGrid w:val="0"/>
                <w:color w:val="000000"/>
              </w:rPr>
              <w:tab/>
              <w:t>MRA Charge for Unexcused Misconduct</w:t>
            </w:r>
            <w:bookmarkEnd w:id="2017"/>
            <w:bookmarkEnd w:id="2018"/>
            <w:r w:rsidRPr="0013396E">
              <w:rPr>
                <w:b/>
                <w:bCs/>
                <w:snapToGrid w:val="0"/>
                <w:color w:val="000000"/>
              </w:rPr>
              <w:t xml:space="preserve"> </w:t>
            </w:r>
          </w:p>
          <w:p w14:paraId="0B760CA3" w14:textId="77777777" w:rsidR="00427EDA" w:rsidRPr="0013396E" w:rsidRDefault="00427EDA" w:rsidP="00427EDA">
            <w:pPr>
              <w:spacing w:after="240"/>
              <w:ind w:left="720" w:hanging="720"/>
            </w:pPr>
            <w:r w:rsidRPr="0013396E">
              <w:t>(1)</w:t>
            </w:r>
            <w:r w:rsidRPr="0013396E">
              <w:tab/>
              <w:t>If one or more Misconduct Events are not excused, as provided for in Section 3.14.4.8, MRA Misconduct Events, then ERCOT shall charge the QSE that represents the MRA an unexcused misconduct amount for the Operating Day as follows:</w:t>
            </w:r>
          </w:p>
          <w:p w14:paraId="4ACF91D2" w14:textId="77777777" w:rsidR="00427EDA" w:rsidRPr="0013396E" w:rsidRDefault="00427EDA" w:rsidP="00427EDA">
            <w:pPr>
              <w:tabs>
                <w:tab w:val="left" w:pos="2250"/>
                <w:tab w:val="left" w:pos="3150"/>
                <w:tab w:val="left" w:pos="3960"/>
              </w:tabs>
              <w:spacing w:after="240"/>
              <w:ind w:left="3960" w:hanging="3240"/>
              <w:rPr>
                <w:bCs/>
              </w:rPr>
            </w:pPr>
            <w:r w:rsidRPr="0013396E">
              <w:rPr>
                <w:bCs/>
              </w:rPr>
              <w:t xml:space="preserve">MRAUMAMT </w:t>
            </w:r>
            <w:r w:rsidRPr="0013396E">
              <w:rPr>
                <w:bCs/>
                <w:i/>
                <w:vertAlign w:val="subscript"/>
              </w:rPr>
              <w:t>q, r,h</w:t>
            </w:r>
            <w:r w:rsidRPr="0013396E">
              <w:rPr>
                <w:bCs/>
              </w:rPr>
              <w:tab/>
              <w:t>=</w:t>
            </w:r>
            <w:r w:rsidRPr="0013396E">
              <w:rPr>
                <w:bCs/>
              </w:rPr>
              <w:tab/>
              <w:t>$10,000 * MRAUMFLAG</w:t>
            </w:r>
            <w:r w:rsidRPr="0013396E">
              <w:rPr>
                <w:bCs/>
                <w:i/>
                <w:vertAlign w:val="subscript"/>
              </w:rPr>
              <w:t xml:space="preserve"> q, r</w:t>
            </w:r>
            <w:r w:rsidRPr="0013396E">
              <w:rPr>
                <w:vertAlign w:val="subscript"/>
              </w:rPr>
              <w:t>,</w:t>
            </w:r>
            <w:r w:rsidRPr="0013396E">
              <w:rPr>
                <w:i/>
                <w:vertAlign w:val="subscript"/>
              </w:rPr>
              <w:t xml:space="preserve"> d</w:t>
            </w:r>
            <w:r w:rsidRPr="0013396E">
              <w:rPr>
                <w:rFonts w:ascii="Times New Roman Bold" w:hAnsi="Times New Roman Bold"/>
                <w:bCs/>
                <w:i/>
                <w:vertAlign w:val="subscript"/>
              </w:rPr>
              <w:t xml:space="preserve">  </w:t>
            </w:r>
            <w:r w:rsidRPr="0013396E">
              <w:rPr>
                <w:rFonts w:ascii="Times New Roman Bold" w:hAnsi="Times New Roman Bold"/>
                <w:bCs/>
              </w:rPr>
              <w:t xml:space="preserve">/ </w:t>
            </w:r>
            <w:r w:rsidRPr="0013396E">
              <w:rPr>
                <w:bCs/>
              </w:rPr>
              <w:t>MRACH</w:t>
            </w:r>
            <w:r w:rsidRPr="0013396E">
              <w:rPr>
                <w:rFonts w:ascii="Times New Roman Bold" w:hAnsi="Times New Roman Bold"/>
                <w:bCs/>
                <w:i/>
                <w:vertAlign w:val="subscript"/>
              </w:rPr>
              <w:t xml:space="preserve"> </w:t>
            </w:r>
            <w:r w:rsidRPr="0013396E">
              <w:rPr>
                <w:bCs/>
                <w:i/>
                <w:vertAlign w:val="subscript"/>
              </w:rPr>
              <w:t>q, r</w:t>
            </w:r>
            <w:r w:rsidRPr="0013396E">
              <w:rPr>
                <w:vertAlign w:val="subscript"/>
              </w:rPr>
              <w:t>,</w:t>
            </w:r>
            <w:r w:rsidRPr="0013396E">
              <w:rPr>
                <w:i/>
                <w:vertAlign w:val="subscript"/>
              </w:rPr>
              <w:t xml:space="preserve"> d</w:t>
            </w:r>
          </w:p>
          <w:p w14:paraId="1819FF81" w14:textId="77777777" w:rsidR="00427EDA" w:rsidRPr="0013396E" w:rsidRDefault="00427EDA" w:rsidP="00427EDA">
            <w:r w:rsidRPr="0013396E">
              <w:t>The above variable is defined as follows: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720"/>
              <w:gridCol w:w="6660"/>
            </w:tblGrid>
            <w:tr w:rsidR="00427EDA" w:rsidRPr="0013396E" w14:paraId="70F8147B" w14:textId="77777777" w:rsidTr="00CE1011">
              <w:trPr>
                <w:cantSplit/>
                <w:tblHeader/>
              </w:trPr>
              <w:tc>
                <w:tcPr>
                  <w:tcW w:w="1885" w:type="dxa"/>
                </w:tcPr>
                <w:p w14:paraId="386BC604" w14:textId="77777777" w:rsidR="00427EDA" w:rsidRPr="0013396E" w:rsidRDefault="00427EDA" w:rsidP="00427EDA">
                  <w:pPr>
                    <w:spacing w:after="120"/>
                    <w:rPr>
                      <w:b/>
                      <w:iCs/>
                      <w:sz w:val="20"/>
                    </w:rPr>
                  </w:pPr>
                  <w:r w:rsidRPr="0013396E">
                    <w:rPr>
                      <w:b/>
                      <w:iCs/>
                      <w:sz w:val="20"/>
                    </w:rPr>
                    <w:t>Variable</w:t>
                  </w:r>
                </w:p>
              </w:tc>
              <w:tc>
                <w:tcPr>
                  <w:tcW w:w="720" w:type="dxa"/>
                </w:tcPr>
                <w:p w14:paraId="19984C3D" w14:textId="77777777" w:rsidR="00427EDA" w:rsidRPr="0013396E" w:rsidRDefault="00427EDA" w:rsidP="00427EDA">
                  <w:pPr>
                    <w:spacing w:after="120"/>
                    <w:rPr>
                      <w:b/>
                      <w:iCs/>
                      <w:sz w:val="20"/>
                    </w:rPr>
                  </w:pPr>
                  <w:r w:rsidRPr="0013396E">
                    <w:rPr>
                      <w:b/>
                      <w:iCs/>
                      <w:sz w:val="20"/>
                    </w:rPr>
                    <w:t>Unit</w:t>
                  </w:r>
                </w:p>
              </w:tc>
              <w:tc>
                <w:tcPr>
                  <w:tcW w:w="6660" w:type="dxa"/>
                </w:tcPr>
                <w:p w14:paraId="02B19043" w14:textId="77777777" w:rsidR="00427EDA" w:rsidRPr="0013396E" w:rsidRDefault="00427EDA" w:rsidP="00427EDA">
                  <w:pPr>
                    <w:spacing w:after="120"/>
                    <w:rPr>
                      <w:b/>
                      <w:iCs/>
                      <w:sz w:val="20"/>
                    </w:rPr>
                  </w:pPr>
                  <w:r w:rsidRPr="0013396E">
                    <w:rPr>
                      <w:b/>
                      <w:iCs/>
                      <w:sz w:val="20"/>
                    </w:rPr>
                    <w:t>Definition</w:t>
                  </w:r>
                </w:p>
              </w:tc>
            </w:tr>
            <w:tr w:rsidR="00427EDA" w:rsidRPr="0013396E" w14:paraId="6F656978" w14:textId="77777777" w:rsidTr="00CE1011">
              <w:trPr>
                <w:cantSplit/>
              </w:trPr>
              <w:tc>
                <w:tcPr>
                  <w:tcW w:w="1885" w:type="dxa"/>
                </w:tcPr>
                <w:p w14:paraId="7836B116" w14:textId="77777777" w:rsidR="00427EDA" w:rsidRPr="0013396E" w:rsidRDefault="00427EDA" w:rsidP="00427EDA">
                  <w:pPr>
                    <w:spacing w:after="60"/>
                    <w:rPr>
                      <w:iCs/>
                      <w:sz w:val="20"/>
                    </w:rPr>
                  </w:pPr>
                  <w:r w:rsidRPr="0013396E">
                    <w:rPr>
                      <w:iCs/>
                      <w:sz w:val="20"/>
                    </w:rPr>
                    <w:t xml:space="preserve">MRAUMAMT </w:t>
                  </w:r>
                  <w:r w:rsidRPr="0013396E">
                    <w:rPr>
                      <w:i/>
                      <w:iCs/>
                      <w:sz w:val="20"/>
                      <w:vertAlign w:val="subscript"/>
                    </w:rPr>
                    <w:t>q, r, h</w:t>
                  </w:r>
                </w:p>
              </w:tc>
              <w:tc>
                <w:tcPr>
                  <w:tcW w:w="720" w:type="dxa"/>
                </w:tcPr>
                <w:p w14:paraId="65349A3E" w14:textId="77777777" w:rsidR="00427EDA" w:rsidRPr="0013396E" w:rsidRDefault="00427EDA" w:rsidP="00427EDA">
                  <w:pPr>
                    <w:spacing w:after="60"/>
                    <w:rPr>
                      <w:iCs/>
                      <w:sz w:val="20"/>
                    </w:rPr>
                  </w:pPr>
                  <w:r w:rsidRPr="0013396E">
                    <w:rPr>
                      <w:iCs/>
                      <w:sz w:val="20"/>
                    </w:rPr>
                    <w:t>$</w:t>
                  </w:r>
                </w:p>
              </w:tc>
              <w:tc>
                <w:tcPr>
                  <w:tcW w:w="6660" w:type="dxa"/>
                </w:tcPr>
                <w:p w14:paraId="2E0E231A" w14:textId="77777777" w:rsidR="00427EDA" w:rsidRPr="0013396E" w:rsidRDefault="00427EDA" w:rsidP="00427EDA">
                  <w:pPr>
                    <w:spacing w:after="60"/>
                    <w:rPr>
                      <w:iCs/>
                      <w:sz w:val="20"/>
                    </w:rPr>
                  </w:pPr>
                  <w:r w:rsidRPr="0013396E">
                    <w:rPr>
                      <w:i/>
                      <w:iCs/>
                      <w:sz w:val="20"/>
                    </w:rPr>
                    <w:t>Must-Run Alternative Unexcused Misconduct Charge per QSE per Resource</w:t>
                  </w:r>
                  <w:r w:rsidRPr="0013396E">
                    <w:rPr>
                      <w:iCs/>
                      <w:sz w:val="20"/>
                    </w:rPr>
                    <w:t xml:space="preserve">—The charge to QSE </w:t>
                  </w:r>
                  <w:r w:rsidRPr="0013396E">
                    <w:rPr>
                      <w:i/>
                      <w:iCs/>
                      <w:sz w:val="20"/>
                    </w:rPr>
                    <w:t>q</w:t>
                  </w:r>
                  <w:r w:rsidRPr="0013396E">
                    <w:rPr>
                      <w:iCs/>
                      <w:sz w:val="20"/>
                    </w:rPr>
                    <w:t xml:space="preserve"> for the unexcused Misconduct Event of MRA </w:t>
                  </w:r>
                  <w:r w:rsidRPr="0013396E">
                    <w:rPr>
                      <w:i/>
                      <w:iCs/>
                      <w:sz w:val="20"/>
                    </w:rPr>
                    <w:t>r</w:t>
                  </w:r>
                  <w:r w:rsidRPr="0013396E">
                    <w:rPr>
                      <w:iCs/>
                      <w:sz w:val="20"/>
                    </w:rPr>
                    <w:t xml:space="preserve"> for the hour </w:t>
                  </w:r>
                  <w:r w:rsidRPr="0013396E">
                    <w:rPr>
                      <w:i/>
                      <w:iCs/>
                      <w:sz w:val="20"/>
                    </w:rPr>
                    <w:t>h</w:t>
                  </w:r>
                  <w:r w:rsidRPr="0013396E">
                    <w:rPr>
                      <w:iCs/>
                      <w:sz w:val="20"/>
                    </w:rPr>
                    <w:t xml:space="preserve">.  Where for a Combined Cycle Train, the Resource </w:t>
                  </w:r>
                  <w:r w:rsidRPr="0013396E">
                    <w:rPr>
                      <w:i/>
                      <w:iCs/>
                      <w:sz w:val="20"/>
                    </w:rPr>
                    <w:t xml:space="preserve">r </w:t>
                  </w:r>
                  <w:r w:rsidRPr="0013396E">
                    <w:rPr>
                      <w:iCs/>
                      <w:sz w:val="20"/>
                    </w:rPr>
                    <w:t xml:space="preserve">is the Combined Cycle Train. </w:t>
                  </w:r>
                </w:p>
              </w:tc>
            </w:tr>
            <w:tr w:rsidR="00427EDA" w:rsidRPr="0013396E" w14:paraId="2B37CD17" w14:textId="77777777" w:rsidTr="00CE1011">
              <w:trPr>
                <w:cantSplit/>
              </w:trPr>
              <w:tc>
                <w:tcPr>
                  <w:tcW w:w="1885" w:type="dxa"/>
                  <w:tcBorders>
                    <w:top w:val="single" w:sz="4" w:space="0" w:color="auto"/>
                    <w:left w:val="single" w:sz="4" w:space="0" w:color="auto"/>
                    <w:bottom w:val="single" w:sz="4" w:space="0" w:color="auto"/>
                    <w:right w:val="single" w:sz="4" w:space="0" w:color="auto"/>
                  </w:tcBorders>
                </w:tcPr>
                <w:p w14:paraId="208C164F" w14:textId="77777777" w:rsidR="00427EDA" w:rsidRPr="0013396E" w:rsidRDefault="00427EDA" w:rsidP="00427EDA">
                  <w:pPr>
                    <w:spacing w:after="60"/>
                    <w:rPr>
                      <w:iCs/>
                      <w:sz w:val="20"/>
                    </w:rPr>
                  </w:pPr>
                  <w:r w:rsidRPr="0013396E">
                    <w:rPr>
                      <w:iCs/>
                      <w:sz w:val="20"/>
                    </w:rPr>
                    <w:t xml:space="preserve">MRAUMFLAG </w:t>
                  </w:r>
                  <w:r w:rsidRPr="0013396E">
                    <w:rPr>
                      <w:i/>
                      <w:iCs/>
                      <w:sz w:val="20"/>
                      <w:vertAlign w:val="subscript"/>
                    </w:rPr>
                    <w:t>q, r, d</w:t>
                  </w:r>
                </w:p>
              </w:tc>
              <w:tc>
                <w:tcPr>
                  <w:tcW w:w="720" w:type="dxa"/>
                  <w:tcBorders>
                    <w:top w:val="single" w:sz="4" w:space="0" w:color="auto"/>
                    <w:left w:val="single" w:sz="4" w:space="0" w:color="auto"/>
                    <w:bottom w:val="single" w:sz="4" w:space="0" w:color="auto"/>
                    <w:right w:val="single" w:sz="4" w:space="0" w:color="auto"/>
                  </w:tcBorders>
                </w:tcPr>
                <w:p w14:paraId="394095F6" w14:textId="77777777" w:rsidR="00427EDA" w:rsidRPr="0013396E" w:rsidRDefault="00427EDA" w:rsidP="00427EDA">
                  <w:pPr>
                    <w:spacing w:after="60"/>
                    <w:rPr>
                      <w:iCs/>
                      <w:sz w:val="20"/>
                    </w:rPr>
                  </w:pPr>
                  <w:r w:rsidRPr="0013396E">
                    <w:rPr>
                      <w:iCs/>
                      <w:sz w:val="20"/>
                    </w:rPr>
                    <w:t>none</w:t>
                  </w:r>
                </w:p>
              </w:tc>
              <w:tc>
                <w:tcPr>
                  <w:tcW w:w="6660" w:type="dxa"/>
                  <w:tcBorders>
                    <w:top w:val="single" w:sz="4" w:space="0" w:color="auto"/>
                    <w:left w:val="single" w:sz="4" w:space="0" w:color="auto"/>
                    <w:bottom w:val="single" w:sz="4" w:space="0" w:color="auto"/>
                    <w:right w:val="single" w:sz="4" w:space="0" w:color="auto"/>
                  </w:tcBorders>
                </w:tcPr>
                <w:p w14:paraId="7DC5E038" w14:textId="19CC1B5A" w:rsidR="00427EDA" w:rsidRPr="0013396E" w:rsidRDefault="00427EDA" w:rsidP="00F602B7">
                  <w:pPr>
                    <w:spacing w:after="60"/>
                    <w:rPr>
                      <w:iCs/>
                      <w:sz w:val="20"/>
                    </w:rPr>
                  </w:pPr>
                  <w:r w:rsidRPr="0013396E">
                    <w:rPr>
                      <w:i/>
                      <w:iCs/>
                      <w:sz w:val="20"/>
                    </w:rPr>
                    <w:t>Must-Run Alternative Unexcused Misconduct Flag per QSE per Resource</w:t>
                  </w:r>
                  <w:r w:rsidRPr="0013396E">
                    <w:rPr>
                      <w:iCs/>
                      <w:sz w:val="20"/>
                    </w:rPr>
                    <w:t xml:space="preserve">—A flag for the QSE </w:t>
                  </w:r>
                  <w:r w:rsidRPr="0013396E">
                    <w:rPr>
                      <w:i/>
                      <w:iCs/>
                      <w:sz w:val="20"/>
                    </w:rPr>
                    <w:t xml:space="preserve">q </w:t>
                  </w:r>
                  <w:r w:rsidRPr="0013396E">
                    <w:rPr>
                      <w:iCs/>
                      <w:sz w:val="20"/>
                    </w:rPr>
                    <w:t xml:space="preserve">for the unexcused Misconduct Event of MRA </w:t>
                  </w:r>
                  <w:r w:rsidRPr="0013396E">
                    <w:rPr>
                      <w:i/>
                      <w:iCs/>
                      <w:sz w:val="20"/>
                    </w:rPr>
                    <w:t>r</w:t>
                  </w:r>
                  <w:r w:rsidRPr="0013396E">
                    <w:rPr>
                      <w:iCs/>
                      <w:sz w:val="20"/>
                    </w:rPr>
                    <w:t xml:space="preserve"> for an Operating Day </w:t>
                  </w:r>
                  <w:r w:rsidRPr="0013396E">
                    <w:rPr>
                      <w:i/>
                      <w:iCs/>
                      <w:sz w:val="20"/>
                    </w:rPr>
                    <w:t>d</w:t>
                  </w:r>
                  <w:r w:rsidRPr="0013396E">
                    <w:rPr>
                      <w:iCs/>
                      <w:sz w:val="20"/>
                    </w:rPr>
                    <w:t xml:space="preserve">.  </w:t>
                  </w:r>
                  <w:r w:rsidRPr="0013396E">
                    <w:rPr>
                      <w:sz w:val="20"/>
                    </w:rPr>
                    <w:t>The MRAUMFLAG</w:t>
                  </w:r>
                  <w:r w:rsidRPr="0013396E">
                    <w:rPr>
                      <w:iCs/>
                      <w:sz w:val="20"/>
                    </w:rPr>
                    <w:t xml:space="preserve"> </w:t>
                  </w:r>
                  <w:r w:rsidRPr="0013396E">
                    <w:rPr>
                      <w:sz w:val="20"/>
                    </w:rPr>
                    <w:t xml:space="preserve">of MRA represented by QSE </w:t>
                  </w:r>
                  <w:r w:rsidRPr="0013396E">
                    <w:rPr>
                      <w:i/>
                      <w:sz w:val="20"/>
                    </w:rPr>
                    <w:t>q</w:t>
                  </w:r>
                  <w:r w:rsidRPr="0013396E">
                    <w:rPr>
                      <w:sz w:val="20"/>
                    </w:rPr>
                    <w:t xml:space="preserve">, 1 for a </w:t>
                  </w:r>
                  <w:r w:rsidRPr="0013396E">
                    <w:rPr>
                      <w:iCs/>
                      <w:sz w:val="20"/>
                    </w:rPr>
                    <w:t>unexcused</w:t>
                  </w:r>
                  <w:r w:rsidRPr="0013396E">
                    <w:rPr>
                      <w:sz w:val="20"/>
                    </w:rPr>
                    <w:t xml:space="preserve"> </w:t>
                  </w:r>
                  <w:r w:rsidRPr="0013396E">
                    <w:rPr>
                      <w:iCs/>
                      <w:sz w:val="20"/>
                    </w:rPr>
                    <w:t xml:space="preserve">misconduct </w:t>
                  </w:r>
                  <w:r w:rsidRPr="0013396E">
                    <w:rPr>
                      <w:sz w:val="20"/>
                    </w:rPr>
                    <w:t xml:space="preserve">and 0 for none, for the day. </w:t>
                  </w:r>
                  <w:r w:rsidRPr="0013396E" w:rsidDel="00A36BCC">
                    <w:rPr>
                      <w:rStyle w:val="CommentReference"/>
                      <w:sz w:val="20"/>
                    </w:rPr>
                    <w:t xml:space="preserve"> </w:t>
                  </w:r>
                  <w:r w:rsidRPr="0013396E">
                    <w:rPr>
                      <w:iCs/>
                      <w:sz w:val="20"/>
                    </w:rPr>
                    <w:t xml:space="preserve">Where for a Combined Cycle Train, the Resource </w:t>
                  </w:r>
                  <w:r w:rsidRPr="0013396E">
                    <w:rPr>
                      <w:i/>
                      <w:iCs/>
                      <w:sz w:val="20"/>
                    </w:rPr>
                    <w:t xml:space="preserve">r </w:t>
                  </w:r>
                  <w:r w:rsidRPr="0013396E">
                    <w:rPr>
                      <w:iCs/>
                      <w:sz w:val="20"/>
                    </w:rPr>
                    <w:t xml:space="preserve">is the Combined Cycle Train. </w:t>
                  </w:r>
                </w:p>
              </w:tc>
            </w:tr>
            <w:tr w:rsidR="00427EDA" w:rsidRPr="0013396E" w14:paraId="475C5156" w14:textId="77777777" w:rsidTr="00CE1011">
              <w:trPr>
                <w:cantSplit/>
              </w:trPr>
              <w:tc>
                <w:tcPr>
                  <w:tcW w:w="1885" w:type="dxa"/>
                  <w:tcBorders>
                    <w:top w:val="single" w:sz="4" w:space="0" w:color="auto"/>
                    <w:left w:val="single" w:sz="4" w:space="0" w:color="auto"/>
                    <w:bottom w:val="single" w:sz="4" w:space="0" w:color="auto"/>
                    <w:right w:val="single" w:sz="4" w:space="0" w:color="auto"/>
                  </w:tcBorders>
                </w:tcPr>
                <w:p w14:paraId="16C3B1DE" w14:textId="77777777" w:rsidR="00427EDA" w:rsidRPr="0013396E" w:rsidRDefault="00427EDA" w:rsidP="00427EDA">
                  <w:pPr>
                    <w:spacing w:after="60"/>
                    <w:rPr>
                      <w:iCs/>
                      <w:sz w:val="20"/>
                    </w:rPr>
                  </w:pPr>
                  <w:r w:rsidRPr="0013396E">
                    <w:rPr>
                      <w:iCs/>
                      <w:sz w:val="20"/>
                    </w:rPr>
                    <w:t xml:space="preserve">MRACH </w:t>
                  </w:r>
                  <w:r w:rsidRPr="0013396E">
                    <w:rPr>
                      <w:i/>
                      <w:iCs/>
                      <w:sz w:val="20"/>
                      <w:vertAlign w:val="subscript"/>
                    </w:rPr>
                    <w:t>q, r, d</w:t>
                  </w:r>
                </w:p>
              </w:tc>
              <w:tc>
                <w:tcPr>
                  <w:tcW w:w="720" w:type="dxa"/>
                  <w:tcBorders>
                    <w:top w:val="single" w:sz="4" w:space="0" w:color="auto"/>
                    <w:left w:val="single" w:sz="4" w:space="0" w:color="auto"/>
                    <w:bottom w:val="single" w:sz="4" w:space="0" w:color="auto"/>
                    <w:right w:val="single" w:sz="4" w:space="0" w:color="auto"/>
                  </w:tcBorders>
                </w:tcPr>
                <w:p w14:paraId="6C8B4233" w14:textId="77777777" w:rsidR="00427EDA" w:rsidRPr="0013396E" w:rsidRDefault="00427EDA" w:rsidP="00427EDA">
                  <w:pPr>
                    <w:spacing w:after="60"/>
                    <w:rPr>
                      <w:iCs/>
                      <w:sz w:val="20"/>
                    </w:rPr>
                  </w:pPr>
                  <w:r w:rsidRPr="0013396E">
                    <w:rPr>
                      <w:iCs/>
                      <w:sz w:val="20"/>
                    </w:rPr>
                    <w:t>hour</w:t>
                  </w:r>
                </w:p>
              </w:tc>
              <w:tc>
                <w:tcPr>
                  <w:tcW w:w="6660" w:type="dxa"/>
                  <w:tcBorders>
                    <w:top w:val="single" w:sz="4" w:space="0" w:color="auto"/>
                    <w:left w:val="single" w:sz="4" w:space="0" w:color="auto"/>
                    <w:bottom w:val="single" w:sz="4" w:space="0" w:color="auto"/>
                    <w:right w:val="single" w:sz="4" w:space="0" w:color="auto"/>
                  </w:tcBorders>
                </w:tcPr>
                <w:p w14:paraId="35779357" w14:textId="77777777" w:rsidR="00427EDA" w:rsidRPr="0013396E" w:rsidRDefault="00427EDA" w:rsidP="00427EDA">
                  <w:pPr>
                    <w:spacing w:after="60"/>
                    <w:rPr>
                      <w:iCs/>
                      <w:sz w:val="20"/>
                    </w:rPr>
                  </w:pPr>
                  <w:r w:rsidRPr="0013396E">
                    <w:rPr>
                      <w:i/>
                      <w:iCs/>
                      <w:sz w:val="20"/>
                    </w:rPr>
                    <w:t xml:space="preserve">Must-Run Alternative Contract Hours in the Operating Day – </w:t>
                  </w:r>
                  <w:r w:rsidRPr="0013396E">
                    <w:rPr>
                      <w:iCs/>
                      <w:sz w:val="20"/>
                    </w:rPr>
                    <w:t xml:space="preserve">The number of MRA Contracted Hours for QSE </w:t>
                  </w:r>
                  <w:r w:rsidRPr="0013396E">
                    <w:rPr>
                      <w:i/>
                      <w:iCs/>
                      <w:sz w:val="20"/>
                    </w:rPr>
                    <w:t>q</w:t>
                  </w:r>
                  <w:r w:rsidRPr="0013396E">
                    <w:rPr>
                      <w:iCs/>
                      <w:sz w:val="20"/>
                    </w:rPr>
                    <w:t xml:space="preserve"> for the MRA </w:t>
                  </w:r>
                  <w:r w:rsidRPr="0013396E">
                    <w:rPr>
                      <w:i/>
                      <w:iCs/>
                      <w:sz w:val="20"/>
                    </w:rPr>
                    <w:t>r</w:t>
                  </w:r>
                  <w:r w:rsidRPr="0013396E">
                    <w:rPr>
                      <w:iCs/>
                      <w:sz w:val="20"/>
                    </w:rPr>
                    <w:t xml:space="preserve"> for an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427EDA" w:rsidRPr="0013396E" w14:paraId="1DAE59B8" w14:textId="77777777" w:rsidTr="00CE1011">
              <w:trPr>
                <w:cantSplit/>
              </w:trPr>
              <w:tc>
                <w:tcPr>
                  <w:tcW w:w="1885" w:type="dxa"/>
                </w:tcPr>
                <w:p w14:paraId="3BA93D30" w14:textId="77777777" w:rsidR="00427EDA" w:rsidRPr="0013396E" w:rsidRDefault="00427EDA" w:rsidP="00427EDA">
                  <w:pPr>
                    <w:spacing w:after="60"/>
                    <w:rPr>
                      <w:i/>
                      <w:iCs/>
                      <w:sz w:val="20"/>
                    </w:rPr>
                  </w:pPr>
                  <w:r w:rsidRPr="0013396E">
                    <w:rPr>
                      <w:i/>
                      <w:iCs/>
                      <w:sz w:val="20"/>
                    </w:rPr>
                    <w:t>q</w:t>
                  </w:r>
                </w:p>
              </w:tc>
              <w:tc>
                <w:tcPr>
                  <w:tcW w:w="720" w:type="dxa"/>
                </w:tcPr>
                <w:p w14:paraId="669D3852" w14:textId="77777777" w:rsidR="00427EDA" w:rsidRPr="0013396E" w:rsidRDefault="00427EDA" w:rsidP="00427EDA">
                  <w:pPr>
                    <w:spacing w:after="60"/>
                    <w:rPr>
                      <w:iCs/>
                      <w:sz w:val="20"/>
                    </w:rPr>
                  </w:pPr>
                  <w:r w:rsidRPr="0013396E">
                    <w:rPr>
                      <w:iCs/>
                      <w:sz w:val="20"/>
                    </w:rPr>
                    <w:t>none</w:t>
                  </w:r>
                </w:p>
              </w:tc>
              <w:tc>
                <w:tcPr>
                  <w:tcW w:w="6660" w:type="dxa"/>
                </w:tcPr>
                <w:p w14:paraId="3886927B" w14:textId="77777777" w:rsidR="00427EDA" w:rsidRPr="0013396E" w:rsidRDefault="00427EDA" w:rsidP="00427EDA">
                  <w:pPr>
                    <w:spacing w:after="60"/>
                    <w:rPr>
                      <w:i/>
                      <w:iCs/>
                      <w:sz w:val="20"/>
                    </w:rPr>
                  </w:pPr>
                  <w:r w:rsidRPr="0013396E">
                    <w:rPr>
                      <w:iCs/>
                      <w:sz w:val="20"/>
                    </w:rPr>
                    <w:t>A QSE.</w:t>
                  </w:r>
                </w:p>
              </w:tc>
            </w:tr>
            <w:tr w:rsidR="00427EDA" w:rsidRPr="0013396E" w14:paraId="1EEA5B86" w14:textId="77777777" w:rsidTr="00CE1011">
              <w:trPr>
                <w:cantSplit/>
              </w:trPr>
              <w:tc>
                <w:tcPr>
                  <w:tcW w:w="1885" w:type="dxa"/>
                </w:tcPr>
                <w:p w14:paraId="44B4A3F0" w14:textId="77777777" w:rsidR="00427EDA" w:rsidRPr="0013396E" w:rsidRDefault="00427EDA" w:rsidP="00427EDA">
                  <w:pPr>
                    <w:spacing w:after="60"/>
                    <w:rPr>
                      <w:i/>
                      <w:iCs/>
                      <w:sz w:val="20"/>
                    </w:rPr>
                  </w:pPr>
                  <w:r w:rsidRPr="0013396E">
                    <w:rPr>
                      <w:i/>
                      <w:iCs/>
                      <w:sz w:val="20"/>
                    </w:rPr>
                    <w:t>r</w:t>
                  </w:r>
                </w:p>
              </w:tc>
              <w:tc>
                <w:tcPr>
                  <w:tcW w:w="720" w:type="dxa"/>
                </w:tcPr>
                <w:p w14:paraId="6101FB96" w14:textId="77777777" w:rsidR="00427EDA" w:rsidRPr="0013396E" w:rsidRDefault="00427EDA" w:rsidP="00427EDA">
                  <w:pPr>
                    <w:spacing w:after="60"/>
                    <w:rPr>
                      <w:iCs/>
                      <w:sz w:val="20"/>
                    </w:rPr>
                  </w:pPr>
                  <w:r w:rsidRPr="0013396E">
                    <w:rPr>
                      <w:iCs/>
                      <w:sz w:val="20"/>
                    </w:rPr>
                    <w:t>none</w:t>
                  </w:r>
                </w:p>
              </w:tc>
              <w:tc>
                <w:tcPr>
                  <w:tcW w:w="6660" w:type="dxa"/>
                </w:tcPr>
                <w:p w14:paraId="241D9BAF" w14:textId="77777777" w:rsidR="00427EDA" w:rsidRPr="0013396E" w:rsidRDefault="00427EDA" w:rsidP="00427EDA">
                  <w:pPr>
                    <w:spacing w:after="60"/>
                    <w:rPr>
                      <w:i/>
                      <w:iCs/>
                      <w:sz w:val="20"/>
                    </w:rPr>
                  </w:pPr>
                  <w:r w:rsidRPr="0013396E">
                    <w:rPr>
                      <w:iCs/>
                      <w:sz w:val="20"/>
                    </w:rPr>
                    <w:t>An MRA.</w:t>
                  </w:r>
                </w:p>
              </w:tc>
            </w:tr>
            <w:tr w:rsidR="00427EDA" w:rsidRPr="0013396E" w14:paraId="3BB9E74A" w14:textId="77777777" w:rsidTr="00CE1011">
              <w:trPr>
                <w:cantSplit/>
              </w:trPr>
              <w:tc>
                <w:tcPr>
                  <w:tcW w:w="1885" w:type="dxa"/>
                </w:tcPr>
                <w:p w14:paraId="1FC5DA14" w14:textId="77777777" w:rsidR="00427EDA" w:rsidRPr="0013396E" w:rsidRDefault="00427EDA" w:rsidP="00427EDA">
                  <w:pPr>
                    <w:spacing w:after="60"/>
                    <w:rPr>
                      <w:i/>
                      <w:iCs/>
                      <w:sz w:val="20"/>
                    </w:rPr>
                  </w:pPr>
                  <w:r w:rsidRPr="0013396E">
                    <w:rPr>
                      <w:i/>
                      <w:iCs/>
                      <w:sz w:val="20"/>
                    </w:rPr>
                    <w:t>d</w:t>
                  </w:r>
                </w:p>
              </w:tc>
              <w:tc>
                <w:tcPr>
                  <w:tcW w:w="720" w:type="dxa"/>
                </w:tcPr>
                <w:p w14:paraId="044C062A" w14:textId="77777777" w:rsidR="00427EDA" w:rsidRPr="0013396E" w:rsidRDefault="00427EDA" w:rsidP="00427EDA">
                  <w:pPr>
                    <w:spacing w:after="60"/>
                    <w:rPr>
                      <w:iCs/>
                      <w:sz w:val="20"/>
                    </w:rPr>
                  </w:pPr>
                  <w:r w:rsidRPr="0013396E">
                    <w:rPr>
                      <w:iCs/>
                      <w:sz w:val="20"/>
                    </w:rPr>
                    <w:t>none</w:t>
                  </w:r>
                </w:p>
              </w:tc>
              <w:tc>
                <w:tcPr>
                  <w:tcW w:w="6660" w:type="dxa"/>
                </w:tcPr>
                <w:p w14:paraId="73952503" w14:textId="77777777" w:rsidR="00427EDA" w:rsidRPr="0013396E" w:rsidRDefault="00427EDA" w:rsidP="00427EDA">
                  <w:pPr>
                    <w:spacing w:after="60"/>
                    <w:rPr>
                      <w:iCs/>
                      <w:sz w:val="20"/>
                    </w:rPr>
                  </w:pPr>
                  <w:r w:rsidRPr="0013396E">
                    <w:rPr>
                      <w:iCs/>
                      <w:sz w:val="20"/>
                    </w:rPr>
                    <w:t>An Operating Day within a month under an MRA Agreement</w:t>
                  </w:r>
                </w:p>
              </w:tc>
            </w:tr>
            <w:tr w:rsidR="00427EDA" w:rsidRPr="0013396E" w14:paraId="713FD3F7" w14:textId="77777777" w:rsidTr="00CE1011">
              <w:trPr>
                <w:cantSplit/>
              </w:trPr>
              <w:tc>
                <w:tcPr>
                  <w:tcW w:w="1885" w:type="dxa"/>
                </w:tcPr>
                <w:p w14:paraId="65EADDD1" w14:textId="77777777" w:rsidR="00427EDA" w:rsidRPr="0013396E" w:rsidRDefault="00427EDA" w:rsidP="00427EDA">
                  <w:pPr>
                    <w:spacing w:after="60"/>
                    <w:rPr>
                      <w:i/>
                      <w:iCs/>
                      <w:sz w:val="20"/>
                    </w:rPr>
                  </w:pPr>
                  <w:r w:rsidRPr="0013396E">
                    <w:rPr>
                      <w:i/>
                      <w:iCs/>
                      <w:sz w:val="20"/>
                    </w:rPr>
                    <w:t>h</w:t>
                  </w:r>
                </w:p>
              </w:tc>
              <w:tc>
                <w:tcPr>
                  <w:tcW w:w="720" w:type="dxa"/>
                </w:tcPr>
                <w:p w14:paraId="7E4C9641" w14:textId="77777777" w:rsidR="00427EDA" w:rsidRPr="0013396E" w:rsidRDefault="00427EDA" w:rsidP="00427EDA">
                  <w:pPr>
                    <w:spacing w:after="60"/>
                    <w:rPr>
                      <w:iCs/>
                      <w:sz w:val="20"/>
                    </w:rPr>
                  </w:pPr>
                  <w:r w:rsidRPr="0013396E">
                    <w:rPr>
                      <w:iCs/>
                      <w:sz w:val="20"/>
                    </w:rPr>
                    <w:t>none</w:t>
                  </w:r>
                </w:p>
              </w:tc>
              <w:tc>
                <w:tcPr>
                  <w:tcW w:w="6660" w:type="dxa"/>
                </w:tcPr>
                <w:p w14:paraId="5B2D3B11" w14:textId="77777777" w:rsidR="00427EDA" w:rsidRPr="0013396E" w:rsidRDefault="00427EDA" w:rsidP="00427EDA">
                  <w:pPr>
                    <w:spacing w:after="60"/>
                    <w:rPr>
                      <w:iCs/>
                      <w:sz w:val="20"/>
                    </w:rPr>
                  </w:pPr>
                  <w:r w:rsidRPr="0013396E">
                    <w:rPr>
                      <w:iCs/>
                      <w:sz w:val="20"/>
                    </w:rPr>
                    <w:t>An MRA Contracted Hour for the MRA Contracted Month.</w:t>
                  </w:r>
                </w:p>
              </w:tc>
            </w:tr>
          </w:tbl>
          <w:p w14:paraId="38B38DF0" w14:textId="77777777" w:rsidR="00427EDA" w:rsidRPr="0013396E" w:rsidRDefault="00427EDA" w:rsidP="00427EDA">
            <w:pPr>
              <w:spacing w:before="240" w:after="240"/>
              <w:ind w:left="720" w:hanging="720"/>
            </w:pPr>
            <w:r w:rsidRPr="0013396E">
              <w:t>(2)</w:t>
            </w:r>
            <w:r w:rsidRPr="0013396E">
              <w:tab/>
              <w:t>The total of the charges to each QSE for unexcused Misconduct Events of all MRAs represented by this QSE for a given hour is calculated as follows:</w:t>
            </w:r>
          </w:p>
          <w:p w14:paraId="5B58F68B" w14:textId="77777777" w:rsidR="00427EDA" w:rsidRPr="0013396E" w:rsidRDefault="00427EDA" w:rsidP="00427EDA">
            <w:pPr>
              <w:tabs>
                <w:tab w:val="left" w:pos="2250"/>
                <w:tab w:val="left" w:pos="3150"/>
                <w:tab w:val="left" w:pos="3960"/>
              </w:tabs>
              <w:spacing w:after="240"/>
              <w:ind w:left="3960" w:hanging="3240"/>
            </w:pPr>
            <w:r w:rsidRPr="0013396E">
              <w:rPr>
                <w:bCs/>
              </w:rPr>
              <w:t xml:space="preserve">MRAUMAMTQSETOT </w:t>
            </w:r>
            <w:r w:rsidRPr="0013396E">
              <w:rPr>
                <w:bCs/>
                <w:i/>
                <w:vertAlign w:val="subscript"/>
              </w:rPr>
              <w:t>q</w:t>
            </w:r>
            <w:r w:rsidRPr="0013396E">
              <w:rPr>
                <w:bCs/>
              </w:rPr>
              <w:t xml:space="preserve">  =  </w:t>
            </w:r>
            <w:r w:rsidRPr="0013396E">
              <w:rPr>
                <w:position w:val="-18"/>
              </w:rPr>
              <w:object w:dxaOrig="225" w:dyaOrig="420" w14:anchorId="68EBB923">
                <v:shape id="_x0000_i1189" type="#_x0000_t75" style="width:12pt;height:24pt" o:ole="">
                  <v:imagedata r:id="rId201" o:title=""/>
                </v:shape>
                <o:OLEObject Type="Embed" ProgID="Equation.3" ShapeID="_x0000_i1189" DrawAspect="Content" ObjectID="_1849065819" r:id="rId241"/>
              </w:object>
            </w:r>
            <w:r w:rsidRPr="0013396E">
              <w:rPr>
                <w:bCs/>
              </w:rPr>
              <w:t xml:space="preserve">MRAUMAMT </w:t>
            </w:r>
            <w:r w:rsidRPr="0013396E">
              <w:rPr>
                <w:bCs/>
                <w:i/>
                <w:vertAlign w:val="subscript"/>
              </w:rPr>
              <w:t>q, r</w:t>
            </w:r>
            <w:r w:rsidRPr="0013396E">
              <w:rPr>
                <w:vertAlign w:val="subscript"/>
              </w:rPr>
              <w:t>,</w:t>
            </w:r>
            <w:r w:rsidRPr="0013396E">
              <w:rPr>
                <w:i/>
                <w:vertAlign w:val="subscript"/>
              </w:rPr>
              <w:t xml:space="preserve"> h</w:t>
            </w:r>
          </w:p>
          <w:p w14:paraId="7EF721D6" w14:textId="77777777" w:rsidR="00427EDA" w:rsidRPr="0013396E" w:rsidRDefault="00427EDA" w:rsidP="00C36EDA">
            <w:pPr>
              <w:tabs>
                <w:tab w:val="left" w:pos="2250"/>
                <w:tab w:val="left" w:pos="3150"/>
                <w:tab w:val="left" w:pos="3960"/>
              </w:tabs>
            </w:pPr>
            <w:r w:rsidRPr="0013396E">
              <w:t>The above variables are defined as follows: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170"/>
              <w:gridCol w:w="5580"/>
            </w:tblGrid>
            <w:tr w:rsidR="00C36EDA" w:rsidRPr="0013396E" w14:paraId="5053D7B3" w14:textId="77777777" w:rsidTr="00CE1011">
              <w:trPr>
                <w:cantSplit/>
                <w:tblHeader/>
              </w:trPr>
              <w:tc>
                <w:tcPr>
                  <w:tcW w:w="2515" w:type="dxa"/>
                </w:tcPr>
                <w:p w14:paraId="69DA0BCC" w14:textId="77777777" w:rsidR="00C36EDA" w:rsidRPr="0013396E" w:rsidRDefault="00C36EDA" w:rsidP="00C36EDA">
                  <w:pPr>
                    <w:spacing w:after="120"/>
                    <w:rPr>
                      <w:b/>
                      <w:iCs/>
                      <w:sz w:val="20"/>
                    </w:rPr>
                  </w:pPr>
                  <w:r w:rsidRPr="0013396E">
                    <w:rPr>
                      <w:b/>
                      <w:iCs/>
                      <w:sz w:val="20"/>
                    </w:rPr>
                    <w:t>Variable</w:t>
                  </w:r>
                </w:p>
              </w:tc>
              <w:tc>
                <w:tcPr>
                  <w:tcW w:w="1170" w:type="dxa"/>
                </w:tcPr>
                <w:p w14:paraId="6D037117" w14:textId="77777777" w:rsidR="00C36EDA" w:rsidRPr="0013396E" w:rsidRDefault="00C36EDA" w:rsidP="00C36EDA">
                  <w:pPr>
                    <w:spacing w:after="120"/>
                    <w:rPr>
                      <w:b/>
                      <w:iCs/>
                      <w:sz w:val="20"/>
                    </w:rPr>
                  </w:pPr>
                  <w:r w:rsidRPr="0013396E">
                    <w:rPr>
                      <w:b/>
                      <w:iCs/>
                      <w:sz w:val="20"/>
                    </w:rPr>
                    <w:t>Unit</w:t>
                  </w:r>
                </w:p>
              </w:tc>
              <w:tc>
                <w:tcPr>
                  <w:tcW w:w="5580" w:type="dxa"/>
                </w:tcPr>
                <w:p w14:paraId="38167358" w14:textId="77777777" w:rsidR="00C36EDA" w:rsidRPr="0013396E" w:rsidRDefault="00C36EDA" w:rsidP="00C36EDA">
                  <w:pPr>
                    <w:spacing w:after="120"/>
                    <w:rPr>
                      <w:b/>
                      <w:iCs/>
                      <w:sz w:val="20"/>
                    </w:rPr>
                  </w:pPr>
                  <w:r w:rsidRPr="0013396E">
                    <w:rPr>
                      <w:b/>
                      <w:iCs/>
                      <w:sz w:val="20"/>
                    </w:rPr>
                    <w:t>Definition</w:t>
                  </w:r>
                </w:p>
              </w:tc>
            </w:tr>
            <w:tr w:rsidR="00C36EDA" w:rsidRPr="0013396E" w14:paraId="38F276A4" w14:textId="77777777" w:rsidTr="00CE1011">
              <w:trPr>
                <w:cantSplit/>
              </w:trPr>
              <w:tc>
                <w:tcPr>
                  <w:tcW w:w="2515" w:type="dxa"/>
                </w:tcPr>
                <w:p w14:paraId="3B86DAF9" w14:textId="77777777" w:rsidR="00C36EDA" w:rsidRPr="0013396E" w:rsidRDefault="00C36EDA" w:rsidP="00C36EDA">
                  <w:pPr>
                    <w:spacing w:after="60"/>
                    <w:rPr>
                      <w:iCs/>
                      <w:sz w:val="20"/>
                    </w:rPr>
                  </w:pPr>
                  <w:r w:rsidRPr="0013396E">
                    <w:rPr>
                      <w:iCs/>
                      <w:sz w:val="20"/>
                    </w:rPr>
                    <w:t xml:space="preserve">MRAUMAMTQSETOT </w:t>
                  </w:r>
                  <w:r w:rsidRPr="0013396E">
                    <w:rPr>
                      <w:i/>
                      <w:iCs/>
                      <w:sz w:val="20"/>
                      <w:vertAlign w:val="subscript"/>
                    </w:rPr>
                    <w:t>q</w:t>
                  </w:r>
                </w:p>
              </w:tc>
              <w:tc>
                <w:tcPr>
                  <w:tcW w:w="1170" w:type="dxa"/>
                </w:tcPr>
                <w:p w14:paraId="3F8B6058" w14:textId="77777777" w:rsidR="00C36EDA" w:rsidRPr="0013396E" w:rsidRDefault="00C36EDA" w:rsidP="00C36EDA">
                  <w:pPr>
                    <w:spacing w:after="60"/>
                    <w:rPr>
                      <w:iCs/>
                      <w:sz w:val="20"/>
                    </w:rPr>
                  </w:pPr>
                  <w:r w:rsidRPr="0013396E">
                    <w:rPr>
                      <w:iCs/>
                      <w:sz w:val="20"/>
                    </w:rPr>
                    <w:t>$</w:t>
                  </w:r>
                </w:p>
              </w:tc>
              <w:tc>
                <w:tcPr>
                  <w:tcW w:w="5580" w:type="dxa"/>
                </w:tcPr>
                <w:p w14:paraId="60FBDA4C" w14:textId="77777777" w:rsidR="00C36EDA" w:rsidRPr="0013396E" w:rsidRDefault="00C36EDA" w:rsidP="00C36EDA">
                  <w:pPr>
                    <w:spacing w:after="60"/>
                    <w:rPr>
                      <w:iCs/>
                      <w:sz w:val="20"/>
                    </w:rPr>
                  </w:pPr>
                  <w:r w:rsidRPr="0013396E">
                    <w:rPr>
                      <w:i/>
                      <w:iCs/>
                      <w:sz w:val="20"/>
                    </w:rPr>
                    <w:t>Must-Run Alternative Unexcused Misconduct Amount per QSE</w:t>
                  </w:r>
                  <w:r w:rsidRPr="0013396E">
                    <w:rPr>
                      <w:iCs/>
                      <w:sz w:val="20"/>
                    </w:rPr>
                    <w:sym w:font="Symbol" w:char="F0BE"/>
                  </w:r>
                  <w:r w:rsidRPr="0013396E">
                    <w:rPr>
                      <w:iCs/>
                      <w:sz w:val="20"/>
                    </w:rPr>
                    <w:t xml:space="preserve">The total of the charges to QSE </w:t>
                  </w:r>
                  <w:r w:rsidRPr="0013396E">
                    <w:rPr>
                      <w:i/>
                      <w:iCs/>
                      <w:sz w:val="20"/>
                    </w:rPr>
                    <w:t>q</w:t>
                  </w:r>
                  <w:r w:rsidRPr="0013396E">
                    <w:rPr>
                      <w:iCs/>
                      <w:sz w:val="20"/>
                    </w:rPr>
                    <w:t xml:space="preserve"> for unexcused Misconduct Events of the MRAs for an MRA Contracted Hour.</w:t>
                  </w:r>
                </w:p>
              </w:tc>
            </w:tr>
            <w:tr w:rsidR="00C36EDA" w:rsidRPr="0013396E" w14:paraId="15495403" w14:textId="77777777" w:rsidTr="00CE1011">
              <w:trPr>
                <w:cantSplit/>
              </w:trPr>
              <w:tc>
                <w:tcPr>
                  <w:tcW w:w="2515" w:type="dxa"/>
                </w:tcPr>
                <w:p w14:paraId="48BE5409" w14:textId="77777777" w:rsidR="00C36EDA" w:rsidRPr="0013396E" w:rsidRDefault="00C36EDA" w:rsidP="00C36EDA">
                  <w:pPr>
                    <w:spacing w:after="60"/>
                    <w:rPr>
                      <w:iCs/>
                      <w:sz w:val="20"/>
                    </w:rPr>
                  </w:pPr>
                  <w:r w:rsidRPr="0013396E">
                    <w:rPr>
                      <w:iCs/>
                      <w:sz w:val="20"/>
                    </w:rPr>
                    <w:lastRenderedPageBreak/>
                    <w:t xml:space="preserve">MRAUMAMT </w:t>
                  </w:r>
                  <w:r w:rsidRPr="0013396E">
                    <w:rPr>
                      <w:i/>
                      <w:iCs/>
                      <w:sz w:val="20"/>
                      <w:vertAlign w:val="subscript"/>
                    </w:rPr>
                    <w:t>q, r, h</w:t>
                  </w:r>
                </w:p>
              </w:tc>
              <w:tc>
                <w:tcPr>
                  <w:tcW w:w="1170" w:type="dxa"/>
                </w:tcPr>
                <w:p w14:paraId="48AAAAAC" w14:textId="77777777" w:rsidR="00C36EDA" w:rsidRPr="0013396E" w:rsidRDefault="00C36EDA" w:rsidP="00C36EDA">
                  <w:pPr>
                    <w:spacing w:after="60"/>
                    <w:rPr>
                      <w:iCs/>
                      <w:sz w:val="20"/>
                    </w:rPr>
                  </w:pPr>
                  <w:r w:rsidRPr="0013396E">
                    <w:rPr>
                      <w:iCs/>
                      <w:sz w:val="20"/>
                    </w:rPr>
                    <w:t>$</w:t>
                  </w:r>
                </w:p>
              </w:tc>
              <w:tc>
                <w:tcPr>
                  <w:tcW w:w="5580" w:type="dxa"/>
                </w:tcPr>
                <w:p w14:paraId="56625450" w14:textId="77777777" w:rsidR="00C36EDA" w:rsidRPr="0013396E" w:rsidRDefault="00C36EDA" w:rsidP="00C36EDA">
                  <w:pPr>
                    <w:spacing w:after="60"/>
                    <w:rPr>
                      <w:iCs/>
                      <w:sz w:val="20"/>
                    </w:rPr>
                  </w:pPr>
                  <w:r w:rsidRPr="0013396E">
                    <w:rPr>
                      <w:i/>
                      <w:iCs/>
                      <w:sz w:val="20"/>
                    </w:rPr>
                    <w:t>Must-Run Alternative Unexcused Misconduct Charge per QSE per Resource</w:t>
                  </w:r>
                  <w:r w:rsidRPr="0013396E">
                    <w:rPr>
                      <w:iCs/>
                      <w:sz w:val="20"/>
                    </w:rPr>
                    <w:t xml:space="preserve">—The charge to QSE </w:t>
                  </w:r>
                  <w:r w:rsidRPr="0013396E">
                    <w:rPr>
                      <w:i/>
                      <w:iCs/>
                      <w:sz w:val="20"/>
                    </w:rPr>
                    <w:t>q</w:t>
                  </w:r>
                  <w:r w:rsidRPr="0013396E">
                    <w:rPr>
                      <w:iCs/>
                      <w:sz w:val="20"/>
                    </w:rPr>
                    <w:t xml:space="preserve"> for the unexcused Misconduct Event of MRA </w:t>
                  </w:r>
                  <w:r w:rsidRPr="0013396E">
                    <w:rPr>
                      <w:i/>
                      <w:iCs/>
                      <w:sz w:val="20"/>
                    </w:rPr>
                    <w:t>r</w:t>
                  </w:r>
                  <w:r w:rsidRPr="0013396E">
                    <w:rPr>
                      <w:iCs/>
                      <w:sz w:val="20"/>
                    </w:rPr>
                    <w:t xml:space="preserve"> for the hour </w:t>
                  </w:r>
                  <w:r w:rsidRPr="0013396E">
                    <w:rPr>
                      <w:i/>
                      <w:iCs/>
                      <w:sz w:val="20"/>
                    </w:rPr>
                    <w:t>h</w:t>
                  </w:r>
                  <w:r w:rsidRPr="0013396E">
                    <w:rPr>
                      <w:iCs/>
                      <w:sz w:val="20"/>
                    </w:rPr>
                    <w:t xml:space="preserve">.  Where for a Combined Cycle Train, the Resource </w:t>
                  </w:r>
                  <w:r w:rsidRPr="0013396E">
                    <w:rPr>
                      <w:i/>
                      <w:iCs/>
                      <w:sz w:val="20"/>
                    </w:rPr>
                    <w:t xml:space="preserve">r </w:t>
                  </w:r>
                  <w:r w:rsidRPr="0013396E">
                    <w:rPr>
                      <w:iCs/>
                      <w:sz w:val="20"/>
                    </w:rPr>
                    <w:t xml:space="preserve">is the Combined Cycle Train. </w:t>
                  </w:r>
                </w:p>
              </w:tc>
            </w:tr>
            <w:tr w:rsidR="00C36EDA" w:rsidRPr="0013396E" w14:paraId="1B5D1058" w14:textId="77777777" w:rsidTr="00CE1011">
              <w:trPr>
                <w:cantSplit/>
              </w:trPr>
              <w:tc>
                <w:tcPr>
                  <w:tcW w:w="2515" w:type="dxa"/>
                  <w:tcBorders>
                    <w:top w:val="single" w:sz="4" w:space="0" w:color="auto"/>
                    <w:left w:val="single" w:sz="4" w:space="0" w:color="auto"/>
                    <w:bottom w:val="single" w:sz="4" w:space="0" w:color="auto"/>
                    <w:right w:val="single" w:sz="4" w:space="0" w:color="auto"/>
                  </w:tcBorders>
                </w:tcPr>
                <w:p w14:paraId="3928AD7D" w14:textId="77777777" w:rsidR="00C36EDA" w:rsidRPr="0013396E" w:rsidRDefault="00C36EDA" w:rsidP="00C36EDA">
                  <w:pPr>
                    <w:spacing w:after="60"/>
                    <w:rPr>
                      <w:i/>
                      <w:iCs/>
                      <w:sz w:val="20"/>
                    </w:rPr>
                  </w:pPr>
                  <w:r w:rsidRPr="0013396E">
                    <w:rPr>
                      <w:i/>
                      <w:iCs/>
                      <w:sz w:val="20"/>
                    </w:rPr>
                    <w:t>q</w:t>
                  </w:r>
                </w:p>
              </w:tc>
              <w:tc>
                <w:tcPr>
                  <w:tcW w:w="1170" w:type="dxa"/>
                  <w:tcBorders>
                    <w:top w:val="single" w:sz="4" w:space="0" w:color="auto"/>
                    <w:left w:val="single" w:sz="4" w:space="0" w:color="auto"/>
                    <w:bottom w:val="single" w:sz="4" w:space="0" w:color="auto"/>
                    <w:right w:val="single" w:sz="4" w:space="0" w:color="auto"/>
                  </w:tcBorders>
                </w:tcPr>
                <w:p w14:paraId="6894694D" w14:textId="77777777" w:rsidR="00C36EDA" w:rsidRPr="0013396E" w:rsidRDefault="00C36EDA" w:rsidP="00C36EDA">
                  <w:pPr>
                    <w:spacing w:after="60"/>
                    <w:rPr>
                      <w:iCs/>
                      <w:sz w:val="20"/>
                    </w:rPr>
                  </w:pPr>
                  <w:r w:rsidRPr="0013396E">
                    <w:rPr>
                      <w:iCs/>
                      <w:sz w:val="20"/>
                    </w:rPr>
                    <w:t>none</w:t>
                  </w:r>
                </w:p>
              </w:tc>
              <w:tc>
                <w:tcPr>
                  <w:tcW w:w="5580" w:type="dxa"/>
                  <w:tcBorders>
                    <w:top w:val="single" w:sz="4" w:space="0" w:color="auto"/>
                    <w:left w:val="single" w:sz="4" w:space="0" w:color="auto"/>
                    <w:bottom w:val="single" w:sz="4" w:space="0" w:color="auto"/>
                    <w:right w:val="single" w:sz="4" w:space="0" w:color="auto"/>
                  </w:tcBorders>
                </w:tcPr>
                <w:p w14:paraId="2098A776" w14:textId="77777777" w:rsidR="00C36EDA" w:rsidRPr="0013396E" w:rsidRDefault="00C36EDA" w:rsidP="00C36EDA">
                  <w:pPr>
                    <w:spacing w:after="60"/>
                    <w:rPr>
                      <w:iCs/>
                      <w:sz w:val="20"/>
                    </w:rPr>
                  </w:pPr>
                  <w:r w:rsidRPr="0013396E">
                    <w:rPr>
                      <w:iCs/>
                      <w:sz w:val="20"/>
                    </w:rPr>
                    <w:t>A QSE.</w:t>
                  </w:r>
                </w:p>
              </w:tc>
            </w:tr>
            <w:tr w:rsidR="00C36EDA" w:rsidRPr="0013396E" w14:paraId="07CC424E" w14:textId="77777777" w:rsidTr="00CE1011">
              <w:trPr>
                <w:cantSplit/>
              </w:trPr>
              <w:tc>
                <w:tcPr>
                  <w:tcW w:w="2515" w:type="dxa"/>
                  <w:tcBorders>
                    <w:top w:val="single" w:sz="4" w:space="0" w:color="auto"/>
                    <w:left w:val="single" w:sz="4" w:space="0" w:color="auto"/>
                    <w:bottom w:val="single" w:sz="4" w:space="0" w:color="auto"/>
                    <w:right w:val="single" w:sz="4" w:space="0" w:color="auto"/>
                  </w:tcBorders>
                </w:tcPr>
                <w:p w14:paraId="5C48B577" w14:textId="77777777" w:rsidR="00C36EDA" w:rsidRPr="0013396E" w:rsidRDefault="00C36EDA" w:rsidP="00C36EDA">
                  <w:pPr>
                    <w:spacing w:after="60"/>
                    <w:rPr>
                      <w:i/>
                      <w:iCs/>
                      <w:sz w:val="20"/>
                    </w:rPr>
                  </w:pPr>
                  <w:r w:rsidRPr="0013396E">
                    <w:rPr>
                      <w:i/>
                      <w:iCs/>
                      <w:sz w:val="20"/>
                    </w:rPr>
                    <w:t>r</w:t>
                  </w:r>
                </w:p>
              </w:tc>
              <w:tc>
                <w:tcPr>
                  <w:tcW w:w="1170" w:type="dxa"/>
                  <w:tcBorders>
                    <w:top w:val="single" w:sz="4" w:space="0" w:color="auto"/>
                    <w:left w:val="single" w:sz="4" w:space="0" w:color="auto"/>
                    <w:bottom w:val="single" w:sz="4" w:space="0" w:color="auto"/>
                    <w:right w:val="single" w:sz="4" w:space="0" w:color="auto"/>
                  </w:tcBorders>
                </w:tcPr>
                <w:p w14:paraId="6C668A97" w14:textId="77777777" w:rsidR="00C36EDA" w:rsidRPr="0013396E" w:rsidRDefault="00C36EDA" w:rsidP="00C36EDA">
                  <w:pPr>
                    <w:spacing w:after="60"/>
                    <w:rPr>
                      <w:iCs/>
                      <w:sz w:val="20"/>
                    </w:rPr>
                  </w:pPr>
                  <w:r w:rsidRPr="0013396E">
                    <w:rPr>
                      <w:iCs/>
                      <w:sz w:val="20"/>
                    </w:rPr>
                    <w:t>none</w:t>
                  </w:r>
                </w:p>
              </w:tc>
              <w:tc>
                <w:tcPr>
                  <w:tcW w:w="5580" w:type="dxa"/>
                  <w:tcBorders>
                    <w:top w:val="single" w:sz="4" w:space="0" w:color="auto"/>
                    <w:left w:val="single" w:sz="4" w:space="0" w:color="auto"/>
                    <w:bottom w:val="single" w:sz="4" w:space="0" w:color="auto"/>
                    <w:right w:val="single" w:sz="4" w:space="0" w:color="auto"/>
                  </w:tcBorders>
                </w:tcPr>
                <w:p w14:paraId="34DFC66E" w14:textId="77777777" w:rsidR="00C36EDA" w:rsidRPr="0013396E" w:rsidRDefault="00C36EDA" w:rsidP="00C36EDA">
                  <w:pPr>
                    <w:spacing w:after="60"/>
                    <w:rPr>
                      <w:iCs/>
                      <w:sz w:val="20"/>
                    </w:rPr>
                  </w:pPr>
                  <w:r w:rsidRPr="0013396E">
                    <w:rPr>
                      <w:iCs/>
                      <w:sz w:val="20"/>
                    </w:rPr>
                    <w:t>An MRA.</w:t>
                  </w:r>
                </w:p>
              </w:tc>
            </w:tr>
            <w:tr w:rsidR="00C36EDA" w:rsidRPr="0013396E" w14:paraId="40EE50AE" w14:textId="77777777" w:rsidTr="00CE1011">
              <w:trPr>
                <w:cantSplit/>
              </w:trPr>
              <w:tc>
                <w:tcPr>
                  <w:tcW w:w="2515" w:type="dxa"/>
                  <w:tcBorders>
                    <w:top w:val="single" w:sz="4" w:space="0" w:color="auto"/>
                    <w:left w:val="single" w:sz="4" w:space="0" w:color="auto"/>
                    <w:bottom w:val="single" w:sz="4" w:space="0" w:color="auto"/>
                    <w:right w:val="single" w:sz="4" w:space="0" w:color="auto"/>
                  </w:tcBorders>
                </w:tcPr>
                <w:p w14:paraId="421863BB" w14:textId="77777777" w:rsidR="00C36EDA" w:rsidRPr="0013396E" w:rsidRDefault="00C36EDA" w:rsidP="00C36EDA">
                  <w:pPr>
                    <w:spacing w:after="60"/>
                    <w:rPr>
                      <w:i/>
                      <w:iCs/>
                      <w:sz w:val="20"/>
                    </w:rPr>
                  </w:pPr>
                  <w:r w:rsidRPr="0013396E">
                    <w:rPr>
                      <w:i/>
                      <w:iCs/>
                      <w:sz w:val="20"/>
                    </w:rPr>
                    <w:t>h</w:t>
                  </w:r>
                </w:p>
              </w:tc>
              <w:tc>
                <w:tcPr>
                  <w:tcW w:w="1170" w:type="dxa"/>
                  <w:tcBorders>
                    <w:top w:val="single" w:sz="4" w:space="0" w:color="auto"/>
                    <w:left w:val="single" w:sz="4" w:space="0" w:color="auto"/>
                    <w:bottom w:val="single" w:sz="4" w:space="0" w:color="auto"/>
                    <w:right w:val="single" w:sz="4" w:space="0" w:color="auto"/>
                  </w:tcBorders>
                </w:tcPr>
                <w:p w14:paraId="3CB6DC05" w14:textId="77777777" w:rsidR="00C36EDA" w:rsidRPr="0013396E" w:rsidRDefault="00C36EDA" w:rsidP="00C36EDA">
                  <w:pPr>
                    <w:spacing w:after="60"/>
                    <w:rPr>
                      <w:iCs/>
                      <w:sz w:val="20"/>
                    </w:rPr>
                  </w:pPr>
                  <w:r w:rsidRPr="0013396E">
                    <w:rPr>
                      <w:iCs/>
                      <w:sz w:val="20"/>
                    </w:rPr>
                    <w:t>none</w:t>
                  </w:r>
                </w:p>
              </w:tc>
              <w:tc>
                <w:tcPr>
                  <w:tcW w:w="5580" w:type="dxa"/>
                  <w:tcBorders>
                    <w:top w:val="single" w:sz="4" w:space="0" w:color="auto"/>
                    <w:left w:val="single" w:sz="4" w:space="0" w:color="auto"/>
                    <w:bottom w:val="single" w:sz="4" w:space="0" w:color="auto"/>
                    <w:right w:val="single" w:sz="4" w:space="0" w:color="auto"/>
                  </w:tcBorders>
                </w:tcPr>
                <w:p w14:paraId="4E23728C" w14:textId="77777777" w:rsidR="00C36EDA" w:rsidRPr="0013396E" w:rsidRDefault="00C36EDA" w:rsidP="00C36EDA">
                  <w:pPr>
                    <w:spacing w:after="60"/>
                    <w:rPr>
                      <w:iCs/>
                      <w:sz w:val="20"/>
                    </w:rPr>
                  </w:pPr>
                  <w:r w:rsidRPr="0013396E">
                    <w:rPr>
                      <w:iCs/>
                      <w:sz w:val="20"/>
                    </w:rPr>
                    <w:t>An MRA Contracted Hour for the MRA Contracted Month.</w:t>
                  </w:r>
                </w:p>
              </w:tc>
            </w:tr>
          </w:tbl>
          <w:p w14:paraId="119A0BAA" w14:textId="77777777" w:rsidR="00C36EDA" w:rsidRPr="0013396E" w:rsidRDefault="00C36EDA" w:rsidP="00C36EDA">
            <w:pPr>
              <w:spacing w:before="240" w:after="240"/>
              <w:ind w:left="720" w:hanging="720"/>
            </w:pPr>
            <w:r w:rsidRPr="0013396E">
              <w:t>(3)</w:t>
            </w:r>
            <w:r w:rsidRPr="0013396E">
              <w:tab/>
              <w:t>The total of the charges to all QSEs for unexcused Misconduct Events of all MRAs for an MRA Contracted Hour is calculated as follows:</w:t>
            </w:r>
          </w:p>
          <w:p w14:paraId="5DBE342D" w14:textId="77777777" w:rsidR="00C36EDA" w:rsidRPr="0013396E" w:rsidRDefault="00C36EDA" w:rsidP="00C36EDA">
            <w:pPr>
              <w:tabs>
                <w:tab w:val="left" w:pos="2250"/>
                <w:tab w:val="left" w:pos="3150"/>
                <w:tab w:val="left" w:pos="3960"/>
              </w:tabs>
              <w:spacing w:after="240"/>
              <w:ind w:left="3960" w:hanging="3240"/>
              <w:rPr>
                <w:bCs/>
              </w:rPr>
            </w:pPr>
            <w:r w:rsidRPr="0013396E">
              <w:rPr>
                <w:bCs/>
              </w:rPr>
              <w:t xml:space="preserve">MRAUMAMTTOT  =  </w:t>
            </w:r>
            <w:r w:rsidRPr="0013396E">
              <w:rPr>
                <w:position w:val="-22"/>
              </w:rPr>
              <w:object w:dxaOrig="210" w:dyaOrig="465" w14:anchorId="362A5353">
                <v:shape id="_x0000_i1190" type="#_x0000_t75" style="width:6pt;height:29.4pt" o:ole="">
                  <v:imagedata r:id="rId157" o:title=""/>
                </v:shape>
                <o:OLEObject Type="Embed" ProgID="Equation.3" ShapeID="_x0000_i1190" DrawAspect="Content" ObjectID="_1849065820" r:id="rId242"/>
              </w:object>
            </w:r>
            <w:r w:rsidRPr="0013396E">
              <w:t xml:space="preserve"> </w:t>
            </w:r>
            <w:r w:rsidRPr="0013396E">
              <w:rPr>
                <w:bCs/>
              </w:rPr>
              <w:t xml:space="preserve">MRAUMAMTQSETOT </w:t>
            </w:r>
            <w:r w:rsidRPr="0013396E">
              <w:rPr>
                <w:bCs/>
                <w:i/>
                <w:vertAlign w:val="subscript"/>
              </w:rPr>
              <w:t>q</w:t>
            </w:r>
          </w:p>
          <w:p w14:paraId="64E47DC2" w14:textId="77777777" w:rsidR="00C36EDA" w:rsidRPr="0013396E" w:rsidRDefault="00C36EDA" w:rsidP="00C36EDA">
            <w:r w:rsidRPr="0013396E">
              <w:t>The above variables are defined as follows:</w:t>
            </w:r>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750"/>
              <w:gridCol w:w="6074"/>
            </w:tblGrid>
            <w:tr w:rsidR="007D701A" w:rsidRPr="0013396E" w14:paraId="1606ACA3" w14:textId="77777777" w:rsidTr="00CE1011">
              <w:trPr>
                <w:cantSplit/>
                <w:tblHeader/>
              </w:trPr>
              <w:tc>
                <w:tcPr>
                  <w:tcW w:w="2425" w:type="dxa"/>
                </w:tcPr>
                <w:p w14:paraId="2CB96C65" w14:textId="77777777" w:rsidR="007D701A" w:rsidRPr="0013396E" w:rsidRDefault="007D701A" w:rsidP="007D701A">
                  <w:pPr>
                    <w:spacing w:after="120"/>
                    <w:rPr>
                      <w:b/>
                      <w:iCs/>
                      <w:sz w:val="20"/>
                    </w:rPr>
                  </w:pPr>
                  <w:r w:rsidRPr="0013396E">
                    <w:rPr>
                      <w:b/>
                      <w:iCs/>
                      <w:sz w:val="20"/>
                    </w:rPr>
                    <w:t>Variable</w:t>
                  </w:r>
                </w:p>
              </w:tc>
              <w:tc>
                <w:tcPr>
                  <w:tcW w:w="750" w:type="dxa"/>
                </w:tcPr>
                <w:p w14:paraId="60802E43" w14:textId="77777777" w:rsidR="007D701A" w:rsidRPr="0013396E" w:rsidRDefault="007D701A" w:rsidP="007D701A">
                  <w:pPr>
                    <w:spacing w:after="120"/>
                    <w:rPr>
                      <w:b/>
                      <w:iCs/>
                      <w:sz w:val="20"/>
                    </w:rPr>
                  </w:pPr>
                  <w:r w:rsidRPr="0013396E">
                    <w:rPr>
                      <w:b/>
                      <w:iCs/>
                      <w:sz w:val="20"/>
                    </w:rPr>
                    <w:t>Unit</w:t>
                  </w:r>
                </w:p>
              </w:tc>
              <w:tc>
                <w:tcPr>
                  <w:tcW w:w="6074" w:type="dxa"/>
                </w:tcPr>
                <w:p w14:paraId="307BBCCC" w14:textId="77777777" w:rsidR="007D701A" w:rsidRPr="0013396E" w:rsidRDefault="007D701A" w:rsidP="007D701A">
                  <w:pPr>
                    <w:spacing w:after="120"/>
                    <w:rPr>
                      <w:b/>
                      <w:iCs/>
                      <w:sz w:val="20"/>
                    </w:rPr>
                  </w:pPr>
                  <w:r w:rsidRPr="0013396E">
                    <w:rPr>
                      <w:b/>
                      <w:iCs/>
                      <w:sz w:val="20"/>
                    </w:rPr>
                    <w:t>Definition</w:t>
                  </w:r>
                </w:p>
              </w:tc>
            </w:tr>
            <w:tr w:rsidR="007D701A" w:rsidRPr="0013396E" w14:paraId="26D4385E" w14:textId="77777777" w:rsidTr="00CE1011">
              <w:trPr>
                <w:cantSplit/>
              </w:trPr>
              <w:tc>
                <w:tcPr>
                  <w:tcW w:w="2425" w:type="dxa"/>
                </w:tcPr>
                <w:p w14:paraId="1919AA7B" w14:textId="77777777" w:rsidR="007D701A" w:rsidRPr="0013396E" w:rsidRDefault="007D701A" w:rsidP="007D701A">
                  <w:pPr>
                    <w:spacing w:after="60"/>
                    <w:rPr>
                      <w:iCs/>
                      <w:sz w:val="20"/>
                    </w:rPr>
                  </w:pPr>
                  <w:r w:rsidRPr="0013396E">
                    <w:rPr>
                      <w:bCs/>
                      <w:sz w:val="20"/>
                    </w:rPr>
                    <w:t>MRAUMAMTTOT</w:t>
                  </w:r>
                </w:p>
              </w:tc>
              <w:tc>
                <w:tcPr>
                  <w:tcW w:w="750" w:type="dxa"/>
                </w:tcPr>
                <w:p w14:paraId="08ADEC2E" w14:textId="77777777" w:rsidR="007D701A" w:rsidRPr="0013396E" w:rsidRDefault="007D701A" w:rsidP="007D701A">
                  <w:pPr>
                    <w:spacing w:after="60"/>
                    <w:rPr>
                      <w:iCs/>
                      <w:sz w:val="20"/>
                    </w:rPr>
                  </w:pPr>
                  <w:r w:rsidRPr="0013396E">
                    <w:rPr>
                      <w:iCs/>
                      <w:sz w:val="20"/>
                    </w:rPr>
                    <w:t>$</w:t>
                  </w:r>
                </w:p>
              </w:tc>
              <w:tc>
                <w:tcPr>
                  <w:tcW w:w="6074" w:type="dxa"/>
                </w:tcPr>
                <w:p w14:paraId="134A5CBB" w14:textId="77777777" w:rsidR="007D701A" w:rsidRPr="0013396E" w:rsidRDefault="007D701A" w:rsidP="007D701A">
                  <w:pPr>
                    <w:spacing w:after="60"/>
                    <w:rPr>
                      <w:iCs/>
                      <w:sz w:val="20"/>
                    </w:rPr>
                  </w:pPr>
                  <w:r w:rsidRPr="0013396E">
                    <w:rPr>
                      <w:i/>
                      <w:iCs/>
                      <w:sz w:val="20"/>
                    </w:rPr>
                    <w:t xml:space="preserve">Must-Run Alternative Unexcused Misconduct Amount Total per hour </w:t>
                  </w:r>
                  <w:r w:rsidRPr="0013396E">
                    <w:rPr>
                      <w:iCs/>
                      <w:sz w:val="20"/>
                    </w:rPr>
                    <w:sym w:font="Symbol" w:char="F0BE"/>
                  </w:r>
                  <w:r w:rsidRPr="0013396E">
                    <w:rPr>
                      <w:iCs/>
                      <w:sz w:val="20"/>
                    </w:rPr>
                    <w:t>The total of the charges for unexcused Misconduct Events for the hour.</w:t>
                  </w:r>
                </w:p>
              </w:tc>
            </w:tr>
            <w:tr w:rsidR="007D701A" w:rsidRPr="0013396E" w14:paraId="3EA9D28B" w14:textId="77777777" w:rsidTr="00CE1011">
              <w:trPr>
                <w:cantSplit/>
              </w:trPr>
              <w:tc>
                <w:tcPr>
                  <w:tcW w:w="2425" w:type="dxa"/>
                </w:tcPr>
                <w:p w14:paraId="36833E19" w14:textId="77777777" w:rsidR="007D701A" w:rsidRPr="0013396E" w:rsidRDefault="007D701A" w:rsidP="007D701A">
                  <w:pPr>
                    <w:tabs>
                      <w:tab w:val="left" w:pos="2250"/>
                      <w:tab w:val="left" w:pos="3150"/>
                      <w:tab w:val="left" w:pos="3960"/>
                    </w:tabs>
                    <w:spacing w:after="240"/>
                    <w:rPr>
                      <w:bCs/>
                      <w:sz w:val="20"/>
                    </w:rPr>
                  </w:pPr>
                  <w:r w:rsidRPr="0013396E">
                    <w:rPr>
                      <w:bCs/>
                      <w:sz w:val="20"/>
                    </w:rPr>
                    <w:t xml:space="preserve">MRAUMAMTQSETOT </w:t>
                  </w:r>
                  <w:r w:rsidRPr="0013396E">
                    <w:rPr>
                      <w:bCs/>
                      <w:i/>
                      <w:sz w:val="20"/>
                      <w:vertAlign w:val="subscript"/>
                    </w:rPr>
                    <w:t>q</w:t>
                  </w:r>
                </w:p>
                <w:p w14:paraId="63F217A7" w14:textId="77777777" w:rsidR="007D701A" w:rsidRPr="0013396E" w:rsidRDefault="007D701A" w:rsidP="007D701A">
                  <w:pPr>
                    <w:spacing w:after="60"/>
                    <w:rPr>
                      <w:iCs/>
                      <w:sz w:val="20"/>
                    </w:rPr>
                  </w:pPr>
                </w:p>
              </w:tc>
              <w:tc>
                <w:tcPr>
                  <w:tcW w:w="750" w:type="dxa"/>
                </w:tcPr>
                <w:p w14:paraId="598241F3" w14:textId="77777777" w:rsidR="007D701A" w:rsidRPr="0013396E" w:rsidRDefault="007D701A" w:rsidP="007D701A">
                  <w:pPr>
                    <w:spacing w:after="60"/>
                    <w:rPr>
                      <w:iCs/>
                      <w:sz w:val="20"/>
                    </w:rPr>
                  </w:pPr>
                  <w:r w:rsidRPr="0013396E">
                    <w:rPr>
                      <w:iCs/>
                      <w:sz w:val="20"/>
                    </w:rPr>
                    <w:t>$</w:t>
                  </w:r>
                </w:p>
              </w:tc>
              <w:tc>
                <w:tcPr>
                  <w:tcW w:w="6074" w:type="dxa"/>
                </w:tcPr>
                <w:p w14:paraId="7528F0C6" w14:textId="77777777" w:rsidR="007D701A" w:rsidRPr="0013396E" w:rsidRDefault="007D701A" w:rsidP="007D701A">
                  <w:pPr>
                    <w:spacing w:after="60"/>
                    <w:rPr>
                      <w:i/>
                      <w:iCs/>
                      <w:sz w:val="20"/>
                    </w:rPr>
                  </w:pPr>
                  <w:r w:rsidRPr="0013396E">
                    <w:rPr>
                      <w:i/>
                      <w:iCs/>
                      <w:sz w:val="20"/>
                    </w:rPr>
                    <w:t>Must-Run Alternative Unexcused Misconduct Amount per QSE</w:t>
                  </w:r>
                  <w:r w:rsidRPr="0013396E">
                    <w:rPr>
                      <w:iCs/>
                      <w:sz w:val="20"/>
                    </w:rPr>
                    <w:sym w:font="Symbol" w:char="F0BE"/>
                  </w:r>
                  <w:r w:rsidRPr="0013396E">
                    <w:rPr>
                      <w:iCs/>
                      <w:sz w:val="20"/>
                    </w:rPr>
                    <w:t xml:space="preserve">The total of the charges to QSE </w:t>
                  </w:r>
                  <w:r w:rsidRPr="0013396E">
                    <w:rPr>
                      <w:i/>
                      <w:iCs/>
                      <w:sz w:val="20"/>
                    </w:rPr>
                    <w:t>q</w:t>
                  </w:r>
                  <w:r w:rsidRPr="0013396E">
                    <w:rPr>
                      <w:iCs/>
                      <w:sz w:val="20"/>
                    </w:rPr>
                    <w:t xml:space="preserve"> for unexcused Misconduct Events of the MRAs for an MRA Contracted Hour.</w:t>
                  </w:r>
                </w:p>
              </w:tc>
            </w:tr>
            <w:tr w:rsidR="007D701A" w:rsidRPr="0013396E" w14:paraId="18B3556E" w14:textId="77777777" w:rsidTr="00CE1011">
              <w:trPr>
                <w:cantSplit/>
              </w:trPr>
              <w:tc>
                <w:tcPr>
                  <w:tcW w:w="2425" w:type="dxa"/>
                  <w:tcBorders>
                    <w:top w:val="single" w:sz="4" w:space="0" w:color="auto"/>
                    <w:left w:val="single" w:sz="4" w:space="0" w:color="auto"/>
                    <w:bottom w:val="single" w:sz="4" w:space="0" w:color="auto"/>
                    <w:right w:val="single" w:sz="4" w:space="0" w:color="auto"/>
                  </w:tcBorders>
                </w:tcPr>
                <w:p w14:paraId="13FEE6A8" w14:textId="77777777" w:rsidR="007D701A" w:rsidRPr="0013396E" w:rsidRDefault="007D701A" w:rsidP="007D701A">
                  <w:pPr>
                    <w:spacing w:after="60"/>
                    <w:rPr>
                      <w:i/>
                      <w:iCs/>
                      <w:sz w:val="20"/>
                    </w:rPr>
                  </w:pPr>
                  <w:r w:rsidRPr="0013396E">
                    <w:rPr>
                      <w:i/>
                      <w:iCs/>
                      <w:sz w:val="20"/>
                    </w:rPr>
                    <w:t>q</w:t>
                  </w:r>
                </w:p>
              </w:tc>
              <w:tc>
                <w:tcPr>
                  <w:tcW w:w="750" w:type="dxa"/>
                  <w:tcBorders>
                    <w:top w:val="single" w:sz="4" w:space="0" w:color="auto"/>
                    <w:left w:val="single" w:sz="4" w:space="0" w:color="auto"/>
                    <w:bottom w:val="single" w:sz="4" w:space="0" w:color="auto"/>
                    <w:right w:val="single" w:sz="4" w:space="0" w:color="auto"/>
                  </w:tcBorders>
                </w:tcPr>
                <w:p w14:paraId="34E36B70" w14:textId="77777777" w:rsidR="007D701A" w:rsidRPr="0013396E" w:rsidRDefault="007D701A" w:rsidP="007D701A">
                  <w:pPr>
                    <w:spacing w:after="60"/>
                    <w:rPr>
                      <w:iCs/>
                      <w:sz w:val="20"/>
                    </w:rPr>
                  </w:pPr>
                  <w:r w:rsidRPr="0013396E">
                    <w:rPr>
                      <w:iCs/>
                      <w:sz w:val="20"/>
                    </w:rPr>
                    <w:t>none</w:t>
                  </w:r>
                </w:p>
              </w:tc>
              <w:tc>
                <w:tcPr>
                  <w:tcW w:w="6074" w:type="dxa"/>
                  <w:tcBorders>
                    <w:top w:val="single" w:sz="4" w:space="0" w:color="auto"/>
                    <w:left w:val="single" w:sz="4" w:space="0" w:color="auto"/>
                    <w:bottom w:val="single" w:sz="4" w:space="0" w:color="auto"/>
                    <w:right w:val="single" w:sz="4" w:space="0" w:color="auto"/>
                  </w:tcBorders>
                </w:tcPr>
                <w:p w14:paraId="139D6834" w14:textId="77777777" w:rsidR="007D701A" w:rsidRPr="0013396E" w:rsidRDefault="007D701A" w:rsidP="007D701A">
                  <w:pPr>
                    <w:spacing w:after="60"/>
                    <w:rPr>
                      <w:iCs/>
                      <w:sz w:val="20"/>
                    </w:rPr>
                  </w:pPr>
                  <w:r w:rsidRPr="0013396E">
                    <w:rPr>
                      <w:iCs/>
                      <w:sz w:val="20"/>
                    </w:rPr>
                    <w:t>A QSE.</w:t>
                  </w:r>
                </w:p>
              </w:tc>
            </w:tr>
          </w:tbl>
          <w:p w14:paraId="32E11BD4" w14:textId="77777777" w:rsidR="00150223" w:rsidRPr="0013396E" w:rsidRDefault="00150223" w:rsidP="00CE1011">
            <w:pPr>
              <w:spacing w:after="240"/>
              <w:ind w:left="720" w:hanging="720"/>
            </w:pPr>
          </w:p>
        </w:tc>
      </w:tr>
    </w:tbl>
    <w:p w14:paraId="5F0C0431" w14:textId="77777777" w:rsidR="00B040C2" w:rsidRPr="0013396E" w:rsidRDefault="00B040C2" w:rsidP="00B040C2">
      <w:pPr>
        <w:pStyle w:val="H3"/>
        <w:spacing w:before="0" w:after="0"/>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B040C2" w:rsidRPr="0013396E" w14:paraId="50C7EC03" w14:textId="77777777" w:rsidTr="00CE1011">
        <w:trPr>
          <w:trHeight w:val="206"/>
        </w:trPr>
        <w:tc>
          <w:tcPr>
            <w:tcW w:w="5000" w:type="pct"/>
            <w:shd w:val="pct12" w:color="auto" w:fill="auto"/>
          </w:tcPr>
          <w:p w14:paraId="6B09AC9B" w14:textId="77777777" w:rsidR="00B040C2" w:rsidRPr="0013396E" w:rsidRDefault="00B040C2" w:rsidP="00CE1011">
            <w:pPr>
              <w:pStyle w:val="Instructions"/>
              <w:spacing w:before="120"/>
            </w:pPr>
            <w:r w:rsidRPr="0013396E">
              <w:t>[NPRR885:  Insert Section 6.6.6.12 below upon system implementation:]</w:t>
            </w:r>
          </w:p>
          <w:p w14:paraId="6D2FB5AF" w14:textId="77777777" w:rsidR="00B040C2" w:rsidRPr="0013396E" w:rsidRDefault="00B040C2" w:rsidP="006D34E1">
            <w:pPr>
              <w:keepNext/>
              <w:widowControl w:val="0"/>
              <w:tabs>
                <w:tab w:val="left" w:pos="1260"/>
              </w:tabs>
              <w:spacing w:before="240" w:after="240"/>
              <w:ind w:left="1267" w:hanging="1267"/>
              <w:outlineLvl w:val="3"/>
              <w:rPr>
                <w:b/>
                <w:bCs/>
                <w:snapToGrid w:val="0"/>
                <w:color w:val="000000"/>
              </w:rPr>
            </w:pPr>
            <w:bookmarkStart w:id="2019" w:name="_Toc17798759"/>
            <w:bookmarkStart w:id="2020" w:name="_Toc236220216"/>
            <w:r w:rsidRPr="0013396E">
              <w:rPr>
                <w:b/>
                <w:bCs/>
                <w:snapToGrid w:val="0"/>
                <w:color w:val="000000"/>
              </w:rPr>
              <w:t>6.6.6.12</w:t>
            </w:r>
            <w:r w:rsidRPr="0013396E">
              <w:rPr>
                <w:b/>
                <w:bCs/>
                <w:snapToGrid w:val="0"/>
                <w:color w:val="000000"/>
              </w:rPr>
              <w:tab/>
              <w:t>MRA Service Charge</w:t>
            </w:r>
            <w:bookmarkEnd w:id="2019"/>
            <w:bookmarkEnd w:id="2020"/>
          </w:p>
          <w:p w14:paraId="5A59F2AF" w14:textId="77777777" w:rsidR="00B040C2" w:rsidRPr="0013396E" w:rsidRDefault="00B040C2" w:rsidP="00B040C2">
            <w:pPr>
              <w:spacing w:after="240"/>
              <w:ind w:left="720" w:hanging="720"/>
            </w:pPr>
            <w:r w:rsidRPr="0013396E">
              <w:t>(1)</w:t>
            </w:r>
            <w:r w:rsidRPr="0013396E">
              <w:tab/>
              <w:t>The total MRA cost for all MRAs is allocated to the QSEs representing Loads based on HLRS.  The MRA Service charge to each QSE for a given hour is calculated as follows:</w:t>
            </w:r>
          </w:p>
          <w:p w14:paraId="47C00402" w14:textId="77777777" w:rsidR="00B040C2" w:rsidRPr="0013396E" w:rsidRDefault="00B040C2" w:rsidP="00B040C2">
            <w:pPr>
              <w:tabs>
                <w:tab w:val="left" w:pos="2610"/>
                <w:tab w:val="left" w:pos="3060"/>
              </w:tabs>
              <w:spacing w:after="240"/>
              <w:ind w:left="3060" w:hanging="2340"/>
              <w:rPr>
                <w:bCs/>
                <w:i/>
                <w:vertAlign w:val="subscript"/>
              </w:rPr>
            </w:pPr>
            <w:r w:rsidRPr="0013396E">
              <w:rPr>
                <w:bCs/>
              </w:rPr>
              <w:t xml:space="preserve">LAMRAAMT </w:t>
            </w:r>
            <w:r w:rsidRPr="0013396E">
              <w:rPr>
                <w:bCs/>
                <w:i/>
                <w:vertAlign w:val="subscript"/>
              </w:rPr>
              <w:t>q</w:t>
            </w:r>
            <w:r w:rsidRPr="0013396E">
              <w:rPr>
                <w:bCs/>
              </w:rPr>
              <w:tab/>
              <w:t>=</w:t>
            </w:r>
            <w:r w:rsidRPr="0013396E">
              <w:rPr>
                <w:bCs/>
              </w:rPr>
              <w:tab/>
              <w:t>(-1) * (</w:t>
            </w:r>
            <w:r w:rsidRPr="0013396E">
              <w:t>MRASBAMTTOT</w:t>
            </w:r>
            <w:r w:rsidRPr="0013396E">
              <w:rPr>
                <w:bCs/>
              </w:rPr>
              <w:t xml:space="preserve"> + </w:t>
            </w:r>
            <w:r w:rsidRPr="0013396E">
              <w:t xml:space="preserve">MRACAPEXAMTTOT  </w:t>
            </w:r>
            <w:r w:rsidRPr="0013396E">
              <w:rPr>
                <w:bCs/>
              </w:rPr>
              <w:t xml:space="preserve">+ </w:t>
            </w:r>
            <w:r w:rsidRPr="0013396E">
              <w:t xml:space="preserve">MRADEAMTTOT  + MRAVAMTTOT   + </w:t>
            </w:r>
            <w:r w:rsidRPr="0013396E">
              <w:rPr>
                <w:bCs/>
              </w:rPr>
              <w:t xml:space="preserve">MRAUMAMTTOT) * HLRS </w:t>
            </w:r>
            <w:r w:rsidRPr="0013396E">
              <w:rPr>
                <w:bCs/>
                <w:i/>
                <w:vertAlign w:val="subscript"/>
              </w:rPr>
              <w:t>q</w:t>
            </w:r>
          </w:p>
          <w:p w14:paraId="2C6691CD" w14:textId="77777777" w:rsidR="00B040C2" w:rsidRPr="0013396E" w:rsidRDefault="00B040C2" w:rsidP="00B040C2">
            <w:r w:rsidRPr="0013396E">
              <w:t>The above variables are defined as follows: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970"/>
              <w:gridCol w:w="5766"/>
            </w:tblGrid>
            <w:tr w:rsidR="00C64EA0" w:rsidRPr="0013396E" w14:paraId="536667E7" w14:textId="77777777" w:rsidTr="00CE1011">
              <w:trPr>
                <w:cantSplit/>
                <w:tblHeader/>
              </w:trPr>
              <w:tc>
                <w:tcPr>
                  <w:tcW w:w="1360" w:type="pct"/>
                </w:tcPr>
                <w:p w14:paraId="75F42D7A" w14:textId="77777777" w:rsidR="00C64EA0" w:rsidRPr="0013396E" w:rsidRDefault="00C64EA0" w:rsidP="00C64EA0">
                  <w:pPr>
                    <w:spacing w:after="120"/>
                    <w:rPr>
                      <w:b/>
                      <w:iCs/>
                      <w:sz w:val="20"/>
                    </w:rPr>
                  </w:pPr>
                  <w:r w:rsidRPr="0013396E">
                    <w:rPr>
                      <w:b/>
                      <w:iCs/>
                      <w:sz w:val="20"/>
                    </w:rPr>
                    <w:t>Variable</w:t>
                  </w:r>
                </w:p>
              </w:tc>
              <w:tc>
                <w:tcPr>
                  <w:tcW w:w="524" w:type="pct"/>
                </w:tcPr>
                <w:p w14:paraId="33819084" w14:textId="77777777" w:rsidR="00C64EA0" w:rsidRPr="0013396E" w:rsidRDefault="00C64EA0" w:rsidP="00C64EA0">
                  <w:pPr>
                    <w:spacing w:after="120"/>
                    <w:rPr>
                      <w:b/>
                      <w:iCs/>
                      <w:sz w:val="20"/>
                    </w:rPr>
                  </w:pPr>
                  <w:r w:rsidRPr="0013396E">
                    <w:rPr>
                      <w:b/>
                      <w:iCs/>
                      <w:sz w:val="20"/>
                    </w:rPr>
                    <w:t>Unit</w:t>
                  </w:r>
                </w:p>
              </w:tc>
              <w:tc>
                <w:tcPr>
                  <w:tcW w:w="3116" w:type="pct"/>
                </w:tcPr>
                <w:p w14:paraId="0C91E0B6" w14:textId="77777777" w:rsidR="00C64EA0" w:rsidRPr="0013396E" w:rsidRDefault="00C64EA0" w:rsidP="00C64EA0">
                  <w:pPr>
                    <w:spacing w:after="120"/>
                    <w:rPr>
                      <w:b/>
                      <w:iCs/>
                      <w:sz w:val="20"/>
                    </w:rPr>
                  </w:pPr>
                  <w:r w:rsidRPr="0013396E">
                    <w:rPr>
                      <w:b/>
                      <w:iCs/>
                      <w:sz w:val="20"/>
                    </w:rPr>
                    <w:t>Definition</w:t>
                  </w:r>
                </w:p>
              </w:tc>
            </w:tr>
            <w:tr w:rsidR="00C64EA0" w:rsidRPr="0013396E" w14:paraId="15F04B59" w14:textId="77777777" w:rsidTr="00CE1011">
              <w:trPr>
                <w:cantSplit/>
              </w:trPr>
              <w:tc>
                <w:tcPr>
                  <w:tcW w:w="1360" w:type="pct"/>
                </w:tcPr>
                <w:p w14:paraId="1AACF531" w14:textId="77777777" w:rsidR="00C64EA0" w:rsidRPr="0013396E" w:rsidRDefault="00C64EA0" w:rsidP="00C64EA0">
                  <w:pPr>
                    <w:spacing w:after="60"/>
                    <w:rPr>
                      <w:iCs/>
                      <w:sz w:val="20"/>
                    </w:rPr>
                  </w:pPr>
                  <w:r w:rsidRPr="0013396E">
                    <w:rPr>
                      <w:iCs/>
                      <w:sz w:val="20"/>
                    </w:rPr>
                    <w:t xml:space="preserve">LAMRAAMT </w:t>
                  </w:r>
                  <w:r w:rsidRPr="0013396E">
                    <w:rPr>
                      <w:i/>
                      <w:iCs/>
                      <w:sz w:val="20"/>
                      <w:vertAlign w:val="subscript"/>
                    </w:rPr>
                    <w:t>q</w:t>
                  </w:r>
                </w:p>
              </w:tc>
              <w:tc>
                <w:tcPr>
                  <w:tcW w:w="524" w:type="pct"/>
                </w:tcPr>
                <w:p w14:paraId="78471E55" w14:textId="77777777" w:rsidR="00C64EA0" w:rsidRPr="0013396E" w:rsidRDefault="00C64EA0" w:rsidP="00C64EA0">
                  <w:pPr>
                    <w:spacing w:after="60"/>
                    <w:rPr>
                      <w:iCs/>
                      <w:sz w:val="20"/>
                    </w:rPr>
                  </w:pPr>
                  <w:r w:rsidRPr="0013396E">
                    <w:rPr>
                      <w:iCs/>
                      <w:sz w:val="20"/>
                    </w:rPr>
                    <w:t>$</w:t>
                  </w:r>
                </w:p>
              </w:tc>
              <w:tc>
                <w:tcPr>
                  <w:tcW w:w="3116" w:type="pct"/>
                </w:tcPr>
                <w:p w14:paraId="5B63924C" w14:textId="77777777" w:rsidR="00C64EA0" w:rsidRPr="0013396E" w:rsidRDefault="00C64EA0" w:rsidP="00C64EA0">
                  <w:pPr>
                    <w:spacing w:after="60"/>
                    <w:rPr>
                      <w:iCs/>
                      <w:sz w:val="20"/>
                    </w:rPr>
                  </w:pPr>
                  <w:r w:rsidRPr="0013396E">
                    <w:rPr>
                      <w:i/>
                      <w:iCs/>
                      <w:sz w:val="20"/>
                    </w:rPr>
                    <w:t>Load-Allocated Must-Run Alternative Amount per QSE</w:t>
                  </w:r>
                  <w:r w:rsidRPr="0013396E">
                    <w:rPr>
                      <w:iCs/>
                      <w:sz w:val="20"/>
                    </w:rPr>
                    <w:t xml:space="preserve">—The MRA cost allocated to QSE </w:t>
                  </w:r>
                  <w:r w:rsidRPr="0013396E">
                    <w:rPr>
                      <w:i/>
                      <w:iCs/>
                      <w:sz w:val="20"/>
                    </w:rPr>
                    <w:t>q</w:t>
                  </w:r>
                  <w:r w:rsidRPr="0013396E">
                    <w:rPr>
                      <w:iCs/>
                      <w:sz w:val="20"/>
                    </w:rPr>
                    <w:t xml:space="preserve"> based on its HLRS.</w:t>
                  </w:r>
                </w:p>
              </w:tc>
            </w:tr>
            <w:tr w:rsidR="00C64EA0" w:rsidRPr="0013396E" w14:paraId="7EC9A7C5" w14:textId="77777777" w:rsidTr="00CE1011">
              <w:trPr>
                <w:cantSplit/>
              </w:trPr>
              <w:tc>
                <w:tcPr>
                  <w:tcW w:w="1360" w:type="pct"/>
                </w:tcPr>
                <w:p w14:paraId="3E8751BA" w14:textId="77777777" w:rsidR="00C64EA0" w:rsidRPr="0013396E" w:rsidRDefault="00C64EA0" w:rsidP="00C64EA0">
                  <w:pPr>
                    <w:spacing w:after="60"/>
                    <w:rPr>
                      <w:iCs/>
                      <w:sz w:val="20"/>
                    </w:rPr>
                  </w:pPr>
                  <w:r w:rsidRPr="0013396E">
                    <w:rPr>
                      <w:sz w:val="20"/>
                    </w:rPr>
                    <w:t>MRASBAMTTOT</w:t>
                  </w:r>
                </w:p>
              </w:tc>
              <w:tc>
                <w:tcPr>
                  <w:tcW w:w="524" w:type="pct"/>
                </w:tcPr>
                <w:p w14:paraId="68570F7B" w14:textId="77777777" w:rsidR="00C64EA0" w:rsidRPr="0013396E" w:rsidRDefault="00C64EA0" w:rsidP="00C64EA0">
                  <w:pPr>
                    <w:spacing w:after="60"/>
                    <w:rPr>
                      <w:iCs/>
                      <w:sz w:val="20"/>
                    </w:rPr>
                  </w:pPr>
                  <w:r w:rsidRPr="0013396E">
                    <w:rPr>
                      <w:iCs/>
                      <w:sz w:val="20"/>
                    </w:rPr>
                    <w:t>$</w:t>
                  </w:r>
                </w:p>
              </w:tc>
              <w:tc>
                <w:tcPr>
                  <w:tcW w:w="3116" w:type="pct"/>
                </w:tcPr>
                <w:p w14:paraId="6EF9C363" w14:textId="77777777" w:rsidR="00C64EA0" w:rsidRPr="0013396E" w:rsidRDefault="00C64EA0" w:rsidP="00C64EA0">
                  <w:pPr>
                    <w:spacing w:after="60"/>
                    <w:rPr>
                      <w:i/>
                      <w:iCs/>
                      <w:sz w:val="20"/>
                    </w:rPr>
                  </w:pPr>
                  <w:r w:rsidRPr="0013396E">
                    <w:rPr>
                      <w:i/>
                      <w:sz w:val="20"/>
                    </w:rPr>
                    <w:t xml:space="preserve">Must-Run Alternative Standby Amount Total  </w:t>
                  </w:r>
                  <w:r w:rsidRPr="0013396E">
                    <w:rPr>
                      <w:i/>
                      <w:sz w:val="20"/>
                    </w:rPr>
                    <w:sym w:font="Symbol" w:char="F0BE"/>
                  </w:r>
                  <w:r w:rsidRPr="0013396E">
                    <w:rPr>
                      <w:sz w:val="20"/>
                    </w:rPr>
                    <w:t xml:space="preserve">The total of the Standby Payments to all QSEs </w:t>
                  </w:r>
                  <w:r w:rsidRPr="0013396E">
                    <w:rPr>
                      <w:i/>
                      <w:sz w:val="20"/>
                    </w:rPr>
                    <w:t>q</w:t>
                  </w:r>
                  <w:r w:rsidRPr="0013396E">
                    <w:rPr>
                      <w:sz w:val="20"/>
                    </w:rPr>
                    <w:t xml:space="preserve"> for all MRAs for the hour.</w:t>
                  </w:r>
                </w:p>
              </w:tc>
            </w:tr>
            <w:tr w:rsidR="00C64EA0" w:rsidRPr="0013396E" w14:paraId="1EDD2355" w14:textId="77777777" w:rsidTr="00CE1011">
              <w:trPr>
                <w:cantSplit/>
              </w:trPr>
              <w:tc>
                <w:tcPr>
                  <w:tcW w:w="1360" w:type="pct"/>
                </w:tcPr>
                <w:p w14:paraId="193625AF" w14:textId="77777777" w:rsidR="00C64EA0" w:rsidRPr="0013396E" w:rsidRDefault="00C64EA0" w:rsidP="00C64EA0">
                  <w:pPr>
                    <w:spacing w:after="60"/>
                    <w:rPr>
                      <w:iCs/>
                      <w:sz w:val="20"/>
                    </w:rPr>
                  </w:pPr>
                  <w:r w:rsidRPr="0013396E">
                    <w:rPr>
                      <w:sz w:val="20"/>
                    </w:rPr>
                    <w:t xml:space="preserve">MRACAPEXAMTTOT  </w:t>
                  </w:r>
                </w:p>
              </w:tc>
              <w:tc>
                <w:tcPr>
                  <w:tcW w:w="524" w:type="pct"/>
                </w:tcPr>
                <w:p w14:paraId="4D505A74" w14:textId="77777777" w:rsidR="00C64EA0" w:rsidRPr="0013396E" w:rsidRDefault="00C64EA0" w:rsidP="00C64EA0">
                  <w:pPr>
                    <w:spacing w:after="60"/>
                    <w:rPr>
                      <w:iCs/>
                      <w:sz w:val="20"/>
                    </w:rPr>
                  </w:pPr>
                  <w:r w:rsidRPr="0013396E">
                    <w:rPr>
                      <w:iCs/>
                      <w:sz w:val="20"/>
                    </w:rPr>
                    <w:t>$</w:t>
                  </w:r>
                </w:p>
              </w:tc>
              <w:tc>
                <w:tcPr>
                  <w:tcW w:w="3116" w:type="pct"/>
                </w:tcPr>
                <w:p w14:paraId="1EAAF09B" w14:textId="77777777" w:rsidR="00C64EA0" w:rsidRPr="0013396E" w:rsidRDefault="00C64EA0" w:rsidP="00C64EA0">
                  <w:pPr>
                    <w:spacing w:after="60"/>
                    <w:rPr>
                      <w:i/>
                      <w:iCs/>
                      <w:sz w:val="20"/>
                    </w:rPr>
                  </w:pPr>
                  <w:r w:rsidRPr="0013396E">
                    <w:rPr>
                      <w:i/>
                      <w:iCs/>
                      <w:sz w:val="20"/>
                    </w:rPr>
                    <w:t xml:space="preserve">Must-Run Alternative Contributed Capital Expenditures per hour </w:t>
                  </w:r>
                  <w:r w:rsidRPr="0013396E">
                    <w:rPr>
                      <w:iCs/>
                      <w:sz w:val="20"/>
                    </w:rPr>
                    <w:t xml:space="preserve">- </w:t>
                  </w:r>
                  <w:r w:rsidRPr="0013396E">
                    <w:rPr>
                      <w:sz w:val="20"/>
                    </w:rPr>
                    <w:t xml:space="preserve">The total </w:t>
                  </w:r>
                  <w:r w:rsidRPr="0013396E">
                    <w:rPr>
                      <w:iCs/>
                      <w:sz w:val="20"/>
                    </w:rPr>
                    <w:t xml:space="preserve">contributed capital expenditures to all QSEs </w:t>
                  </w:r>
                  <w:r w:rsidRPr="0013396E">
                    <w:rPr>
                      <w:i/>
                      <w:iCs/>
                      <w:sz w:val="20"/>
                    </w:rPr>
                    <w:t>q</w:t>
                  </w:r>
                  <w:r w:rsidRPr="0013396E">
                    <w:rPr>
                      <w:iCs/>
                      <w:sz w:val="20"/>
                    </w:rPr>
                    <w:t xml:space="preserve"> for all </w:t>
                  </w:r>
                  <w:r w:rsidRPr="0013396E">
                    <w:rPr>
                      <w:sz w:val="20"/>
                    </w:rPr>
                    <w:t xml:space="preserve">MRAs </w:t>
                  </w:r>
                  <w:r w:rsidRPr="0013396E">
                    <w:rPr>
                      <w:i/>
                      <w:sz w:val="20"/>
                    </w:rPr>
                    <w:t>r</w:t>
                  </w:r>
                  <w:r w:rsidRPr="0013396E">
                    <w:rPr>
                      <w:sz w:val="20"/>
                    </w:rPr>
                    <w:t xml:space="preserve"> for the hour. </w:t>
                  </w:r>
                </w:p>
              </w:tc>
            </w:tr>
            <w:tr w:rsidR="00C64EA0" w:rsidRPr="0013396E" w14:paraId="29F3C01A" w14:textId="77777777" w:rsidTr="00CE1011">
              <w:trPr>
                <w:cantSplit/>
              </w:trPr>
              <w:tc>
                <w:tcPr>
                  <w:tcW w:w="1360" w:type="pct"/>
                </w:tcPr>
                <w:p w14:paraId="24A13020" w14:textId="77777777" w:rsidR="00C64EA0" w:rsidRPr="0013396E" w:rsidRDefault="00C64EA0" w:rsidP="00C64EA0">
                  <w:pPr>
                    <w:spacing w:after="60"/>
                    <w:rPr>
                      <w:iCs/>
                      <w:sz w:val="20"/>
                    </w:rPr>
                  </w:pPr>
                  <w:r w:rsidRPr="0013396E">
                    <w:rPr>
                      <w:sz w:val="20"/>
                    </w:rPr>
                    <w:lastRenderedPageBreak/>
                    <w:t xml:space="preserve">MRADEAMTTOT  </w:t>
                  </w:r>
                </w:p>
              </w:tc>
              <w:tc>
                <w:tcPr>
                  <w:tcW w:w="524" w:type="pct"/>
                </w:tcPr>
                <w:p w14:paraId="56BFF099" w14:textId="77777777" w:rsidR="00C64EA0" w:rsidRPr="0013396E" w:rsidRDefault="00C64EA0" w:rsidP="00C64EA0">
                  <w:pPr>
                    <w:spacing w:after="60"/>
                    <w:rPr>
                      <w:iCs/>
                      <w:sz w:val="20"/>
                    </w:rPr>
                  </w:pPr>
                  <w:r w:rsidRPr="0013396E">
                    <w:rPr>
                      <w:iCs/>
                      <w:sz w:val="20"/>
                    </w:rPr>
                    <w:t>$</w:t>
                  </w:r>
                </w:p>
              </w:tc>
              <w:tc>
                <w:tcPr>
                  <w:tcW w:w="3116" w:type="pct"/>
                </w:tcPr>
                <w:p w14:paraId="1C7E0788" w14:textId="77777777" w:rsidR="00C64EA0" w:rsidRPr="0013396E" w:rsidRDefault="00C64EA0" w:rsidP="00C64EA0">
                  <w:pPr>
                    <w:spacing w:after="60"/>
                    <w:rPr>
                      <w:iCs/>
                      <w:sz w:val="20"/>
                    </w:rPr>
                  </w:pPr>
                  <w:r w:rsidRPr="0013396E">
                    <w:rPr>
                      <w:i/>
                      <w:sz w:val="20"/>
                    </w:rPr>
                    <w:t xml:space="preserve">Must-Run Alternative </w:t>
                  </w:r>
                  <w:r w:rsidRPr="0013396E">
                    <w:rPr>
                      <w:i/>
                      <w:iCs/>
                      <w:sz w:val="20"/>
                    </w:rPr>
                    <w:t xml:space="preserve">Deployment </w:t>
                  </w:r>
                  <w:r w:rsidRPr="0013396E">
                    <w:rPr>
                      <w:i/>
                      <w:sz w:val="20"/>
                    </w:rPr>
                    <w:t>Event Amount Total by hour—</w:t>
                  </w:r>
                  <w:r w:rsidRPr="0013396E">
                    <w:rPr>
                      <w:sz w:val="20"/>
                    </w:rPr>
                    <w:t xml:space="preserve">The total </w:t>
                  </w:r>
                  <w:r w:rsidRPr="0013396E">
                    <w:rPr>
                      <w:iCs/>
                      <w:sz w:val="20"/>
                    </w:rPr>
                    <w:t xml:space="preserve">deployment event payment </w:t>
                  </w:r>
                  <w:r w:rsidRPr="0013396E">
                    <w:rPr>
                      <w:sz w:val="20"/>
                    </w:rPr>
                    <w:t xml:space="preserve">to all QSEs </w:t>
                  </w:r>
                  <w:r w:rsidRPr="0013396E">
                    <w:rPr>
                      <w:i/>
                      <w:sz w:val="20"/>
                    </w:rPr>
                    <w:t>q</w:t>
                  </w:r>
                  <w:r w:rsidRPr="0013396E">
                    <w:rPr>
                      <w:sz w:val="20"/>
                    </w:rPr>
                    <w:t xml:space="preserve"> for all MRAs </w:t>
                  </w:r>
                  <w:r w:rsidRPr="0013396E">
                    <w:rPr>
                      <w:i/>
                      <w:sz w:val="20"/>
                    </w:rPr>
                    <w:t>r</w:t>
                  </w:r>
                  <w:r w:rsidRPr="0013396E">
                    <w:rPr>
                      <w:sz w:val="20"/>
                    </w:rPr>
                    <w:t xml:space="preserve">, for the hour.  </w:t>
                  </w:r>
                </w:p>
              </w:tc>
            </w:tr>
            <w:tr w:rsidR="00C64EA0" w:rsidRPr="0013396E" w14:paraId="24F784E0" w14:textId="77777777" w:rsidTr="00CE1011">
              <w:trPr>
                <w:cantSplit/>
              </w:trPr>
              <w:tc>
                <w:tcPr>
                  <w:tcW w:w="1360" w:type="pct"/>
                </w:tcPr>
                <w:p w14:paraId="071D7B2B" w14:textId="77777777" w:rsidR="00C64EA0" w:rsidRPr="0013396E" w:rsidRDefault="00C64EA0" w:rsidP="00C64EA0">
                  <w:pPr>
                    <w:spacing w:after="60"/>
                    <w:rPr>
                      <w:sz w:val="20"/>
                    </w:rPr>
                  </w:pPr>
                  <w:r w:rsidRPr="0013396E">
                    <w:rPr>
                      <w:sz w:val="20"/>
                    </w:rPr>
                    <w:t>MRAVAMTTOT</w:t>
                  </w:r>
                </w:p>
              </w:tc>
              <w:tc>
                <w:tcPr>
                  <w:tcW w:w="524" w:type="pct"/>
                </w:tcPr>
                <w:p w14:paraId="110ACC4F" w14:textId="77777777" w:rsidR="00C64EA0" w:rsidRPr="0013396E" w:rsidRDefault="00C64EA0" w:rsidP="00C64EA0">
                  <w:pPr>
                    <w:spacing w:after="60"/>
                    <w:rPr>
                      <w:iCs/>
                      <w:sz w:val="20"/>
                    </w:rPr>
                  </w:pPr>
                  <w:r w:rsidRPr="0013396E">
                    <w:rPr>
                      <w:iCs/>
                      <w:sz w:val="20"/>
                    </w:rPr>
                    <w:t>$</w:t>
                  </w:r>
                </w:p>
              </w:tc>
              <w:tc>
                <w:tcPr>
                  <w:tcW w:w="3116" w:type="pct"/>
                </w:tcPr>
                <w:p w14:paraId="664CA234" w14:textId="77777777" w:rsidR="00C64EA0" w:rsidRPr="0013396E" w:rsidRDefault="00C64EA0" w:rsidP="00C64EA0">
                  <w:pPr>
                    <w:spacing w:after="60"/>
                    <w:rPr>
                      <w:i/>
                      <w:sz w:val="20"/>
                    </w:rPr>
                  </w:pPr>
                  <w:r w:rsidRPr="0013396E">
                    <w:rPr>
                      <w:i/>
                      <w:sz w:val="20"/>
                    </w:rPr>
                    <w:t>Must-Run Alternative Variable Amount Total by hour—</w:t>
                  </w:r>
                  <w:r w:rsidRPr="0013396E">
                    <w:rPr>
                      <w:sz w:val="20"/>
                    </w:rPr>
                    <w:t>The total variable payments for the hour.</w:t>
                  </w:r>
                </w:p>
              </w:tc>
            </w:tr>
            <w:tr w:rsidR="00C64EA0" w:rsidRPr="0013396E" w14:paraId="3EC4FEA0" w14:textId="77777777" w:rsidTr="00CE1011">
              <w:trPr>
                <w:cantSplit/>
              </w:trPr>
              <w:tc>
                <w:tcPr>
                  <w:tcW w:w="1360" w:type="pct"/>
                </w:tcPr>
                <w:p w14:paraId="46B15300" w14:textId="77777777" w:rsidR="00C64EA0" w:rsidRPr="0013396E" w:rsidRDefault="00C64EA0" w:rsidP="00C64EA0">
                  <w:pPr>
                    <w:spacing w:after="60"/>
                    <w:rPr>
                      <w:iCs/>
                      <w:sz w:val="20"/>
                    </w:rPr>
                  </w:pPr>
                  <w:r w:rsidRPr="0013396E">
                    <w:rPr>
                      <w:bCs/>
                      <w:sz w:val="20"/>
                    </w:rPr>
                    <w:t xml:space="preserve">MRAUMAMTTOT  </w:t>
                  </w:r>
                </w:p>
              </w:tc>
              <w:tc>
                <w:tcPr>
                  <w:tcW w:w="524" w:type="pct"/>
                </w:tcPr>
                <w:p w14:paraId="1BCA07BC" w14:textId="77777777" w:rsidR="00C64EA0" w:rsidRPr="0013396E" w:rsidRDefault="00C64EA0" w:rsidP="00C64EA0">
                  <w:pPr>
                    <w:spacing w:after="60"/>
                    <w:rPr>
                      <w:iCs/>
                      <w:sz w:val="20"/>
                    </w:rPr>
                  </w:pPr>
                  <w:r w:rsidRPr="0013396E">
                    <w:rPr>
                      <w:iCs/>
                      <w:sz w:val="20"/>
                    </w:rPr>
                    <w:t>$</w:t>
                  </w:r>
                </w:p>
              </w:tc>
              <w:tc>
                <w:tcPr>
                  <w:tcW w:w="3116" w:type="pct"/>
                </w:tcPr>
                <w:p w14:paraId="30977DE1" w14:textId="77777777" w:rsidR="00C64EA0" w:rsidRPr="0013396E" w:rsidRDefault="00C64EA0" w:rsidP="00C64EA0">
                  <w:pPr>
                    <w:spacing w:after="60"/>
                    <w:rPr>
                      <w:iCs/>
                      <w:sz w:val="20"/>
                    </w:rPr>
                  </w:pPr>
                  <w:r w:rsidRPr="0013396E">
                    <w:rPr>
                      <w:i/>
                      <w:iCs/>
                      <w:sz w:val="20"/>
                    </w:rPr>
                    <w:t xml:space="preserve">Must-Run Alternative Unexcused Misconduct Amount Total per hour </w:t>
                  </w:r>
                  <w:r w:rsidRPr="0013396E">
                    <w:rPr>
                      <w:iCs/>
                      <w:sz w:val="20"/>
                    </w:rPr>
                    <w:sym w:font="Symbol" w:char="F0BE"/>
                  </w:r>
                  <w:r w:rsidRPr="0013396E">
                    <w:rPr>
                      <w:iCs/>
                      <w:sz w:val="20"/>
                    </w:rPr>
                    <w:t>The total of the charges for unexcused Misconduct Events for the hour.</w:t>
                  </w:r>
                </w:p>
              </w:tc>
            </w:tr>
            <w:tr w:rsidR="00C64EA0" w:rsidRPr="0013396E" w14:paraId="0263DB75" w14:textId="77777777" w:rsidTr="00CE1011">
              <w:trPr>
                <w:cantSplit/>
              </w:trPr>
              <w:tc>
                <w:tcPr>
                  <w:tcW w:w="1360" w:type="pct"/>
                </w:tcPr>
                <w:p w14:paraId="26690A75" w14:textId="77777777" w:rsidR="00C64EA0" w:rsidRPr="0013396E" w:rsidRDefault="00C64EA0" w:rsidP="00C64EA0">
                  <w:pPr>
                    <w:spacing w:after="60"/>
                    <w:rPr>
                      <w:bCs/>
                      <w:sz w:val="20"/>
                    </w:rPr>
                  </w:pPr>
                  <w:r w:rsidRPr="0013396E">
                    <w:rPr>
                      <w:bCs/>
                      <w:sz w:val="20"/>
                    </w:rPr>
                    <w:t>HLRS</w:t>
                  </w:r>
                  <w:r w:rsidRPr="0013396E">
                    <w:rPr>
                      <w:bCs/>
                      <w:sz w:val="20"/>
                      <w:vertAlign w:val="subscript"/>
                    </w:rPr>
                    <w:t xml:space="preserve"> </w:t>
                  </w:r>
                  <w:r w:rsidRPr="0013396E">
                    <w:rPr>
                      <w:bCs/>
                      <w:i/>
                      <w:sz w:val="20"/>
                      <w:vertAlign w:val="subscript"/>
                    </w:rPr>
                    <w:t>q</w:t>
                  </w:r>
                </w:p>
              </w:tc>
              <w:tc>
                <w:tcPr>
                  <w:tcW w:w="524" w:type="pct"/>
                </w:tcPr>
                <w:p w14:paraId="26C2E52D" w14:textId="77777777" w:rsidR="00C64EA0" w:rsidRPr="0013396E" w:rsidRDefault="00C64EA0" w:rsidP="00C64EA0">
                  <w:pPr>
                    <w:spacing w:after="60"/>
                    <w:rPr>
                      <w:bCs/>
                      <w:sz w:val="20"/>
                    </w:rPr>
                  </w:pPr>
                  <w:r w:rsidRPr="0013396E">
                    <w:rPr>
                      <w:bCs/>
                      <w:sz w:val="20"/>
                    </w:rPr>
                    <w:t>none</w:t>
                  </w:r>
                </w:p>
              </w:tc>
              <w:tc>
                <w:tcPr>
                  <w:tcW w:w="3116" w:type="pct"/>
                </w:tcPr>
                <w:p w14:paraId="1DDEAB71" w14:textId="77777777" w:rsidR="00C64EA0" w:rsidRPr="0013396E" w:rsidRDefault="00C64EA0" w:rsidP="00C64EA0">
                  <w:pPr>
                    <w:spacing w:after="60"/>
                    <w:rPr>
                      <w:bCs/>
                      <w:sz w:val="20"/>
                    </w:rPr>
                  </w:pPr>
                  <w:r w:rsidRPr="0013396E">
                    <w:rPr>
                      <w:bCs/>
                      <w:i/>
                      <w:sz w:val="20"/>
                    </w:rPr>
                    <w:t>The hourly LRS calculated for QSE q for the hour</w:t>
                  </w:r>
                  <w:r w:rsidRPr="0013396E">
                    <w:rPr>
                      <w:bCs/>
                      <w:sz w:val="20"/>
                    </w:rPr>
                    <w:t>.  See Section 6.6.2.4, QSE Load Ratio Share for an Operating Hour.</w:t>
                  </w:r>
                </w:p>
              </w:tc>
            </w:tr>
            <w:tr w:rsidR="00C64EA0" w:rsidRPr="0013396E" w14:paraId="4BD82CF5" w14:textId="77777777" w:rsidTr="00CE1011">
              <w:trPr>
                <w:cantSplit/>
              </w:trPr>
              <w:tc>
                <w:tcPr>
                  <w:tcW w:w="1360" w:type="pct"/>
                </w:tcPr>
                <w:p w14:paraId="4BE6BCF8" w14:textId="77777777" w:rsidR="00C64EA0" w:rsidRPr="0013396E" w:rsidRDefault="00C64EA0" w:rsidP="00C64EA0">
                  <w:pPr>
                    <w:spacing w:after="60"/>
                    <w:rPr>
                      <w:i/>
                      <w:iCs/>
                      <w:sz w:val="20"/>
                    </w:rPr>
                  </w:pPr>
                  <w:r w:rsidRPr="0013396E">
                    <w:rPr>
                      <w:i/>
                      <w:iCs/>
                      <w:sz w:val="20"/>
                    </w:rPr>
                    <w:t>q</w:t>
                  </w:r>
                </w:p>
              </w:tc>
              <w:tc>
                <w:tcPr>
                  <w:tcW w:w="524" w:type="pct"/>
                </w:tcPr>
                <w:p w14:paraId="6DEC490A" w14:textId="77777777" w:rsidR="00C64EA0" w:rsidRPr="0013396E" w:rsidRDefault="00C64EA0" w:rsidP="00C64EA0">
                  <w:pPr>
                    <w:spacing w:after="60"/>
                    <w:rPr>
                      <w:iCs/>
                      <w:sz w:val="20"/>
                    </w:rPr>
                  </w:pPr>
                  <w:r w:rsidRPr="0013396E">
                    <w:rPr>
                      <w:iCs/>
                      <w:sz w:val="20"/>
                    </w:rPr>
                    <w:t>none</w:t>
                  </w:r>
                </w:p>
              </w:tc>
              <w:tc>
                <w:tcPr>
                  <w:tcW w:w="3116" w:type="pct"/>
                </w:tcPr>
                <w:p w14:paraId="1CBAF866" w14:textId="77777777" w:rsidR="00C64EA0" w:rsidRPr="0013396E" w:rsidRDefault="00C64EA0" w:rsidP="00C64EA0">
                  <w:pPr>
                    <w:spacing w:after="60"/>
                    <w:rPr>
                      <w:i/>
                      <w:iCs/>
                      <w:sz w:val="20"/>
                    </w:rPr>
                  </w:pPr>
                  <w:r w:rsidRPr="0013396E">
                    <w:rPr>
                      <w:iCs/>
                      <w:sz w:val="20"/>
                    </w:rPr>
                    <w:t>A QSE.</w:t>
                  </w:r>
                </w:p>
              </w:tc>
            </w:tr>
          </w:tbl>
          <w:p w14:paraId="3F418CEB" w14:textId="77777777" w:rsidR="00B040C2" w:rsidRPr="0013396E" w:rsidRDefault="00B040C2" w:rsidP="00CE1011">
            <w:pPr>
              <w:spacing w:after="240"/>
              <w:ind w:left="720" w:hanging="720"/>
            </w:pPr>
          </w:p>
        </w:tc>
      </w:tr>
    </w:tbl>
    <w:p w14:paraId="20B6045C" w14:textId="77777777" w:rsidR="001F04FD" w:rsidRPr="0013396E" w:rsidRDefault="001F04FD" w:rsidP="001F04FD">
      <w:pPr>
        <w:pStyle w:val="H3"/>
        <w:spacing w:before="480"/>
      </w:pPr>
      <w:bookmarkStart w:id="2021" w:name="_Toc236220217"/>
      <w:r w:rsidRPr="0013396E">
        <w:lastRenderedPageBreak/>
        <w:t>6.6.7</w:t>
      </w:r>
      <w:r w:rsidRPr="0013396E">
        <w:tab/>
        <w:t>Voltage Support Settlement</w:t>
      </w:r>
      <w:bookmarkEnd w:id="1988"/>
      <w:bookmarkEnd w:id="1989"/>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21"/>
      <w:r w:rsidRPr="0013396E">
        <w:t xml:space="preserve"> </w:t>
      </w:r>
    </w:p>
    <w:p w14:paraId="01D20C07" w14:textId="77777777" w:rsidR="001F04FD" w:rsidRPr="0013396E" w:rsidRDefault="001F04FD" w:rsidP="001F04FD">
      <w:pPr>
        <w:pStyle w:val="H4"/>
      </w:pPr>
      <w:bookmarkStart w:id="2022" w:name="_Toc397505033"/>
      <w:bookmarkStart w:id="2023" w:name="_Toc402357165"/>
      <w:bookmarkStart w:id="2024" w:name="_Toc422486545"/>
      <w:bookmarkStart w:id="2025" w:name="_Toc433093398"/>
      <w:bookmarkStart w:id="2026" w:name="_Toc433093556"/>
      <w:bookmarkStart w:id="2027" w:name="_Toc440874786"/>
      <w:bookmarkStart w:id="2028" w:name="_Toc448142343"/>
      <w:bookmarkStart w:id="2029" w:name="_Toc448142500"/>
      <w:bookmarkStart w:id="2030" w:name="_Toc458770341"/>
      <w:bookmarkStart w:id="2031" w:name="_Toc459294309"/>
      <w:bookmarkStart w:id="2032" w:name="_Toc463262803"/>
      <w:bookmarkStart w:id="2033" w:name="_Toc468286876"/>
      <w:bookmarkStart w:id="2034" w:name="_Toc481502916"/>
      <w:bookmarkStart w:id="2035" w:name="_Toc496080084"/>
      <w:bookmarkStart w:id="2036" w:name="_Toc236220218"/>
      <w:r w:rsidRPr="0013396E">
        <w:t>6.6.7.1</w:t>
      </w:r>
      <w:r w:rsidRPr="0013396E">
        <w:tab/>
        <w:t>Voltage Support Service Payments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sidRPr="0013396E">
        <w:t xml:space="preserve"> </w:t>
      </w:r>
    </w:p>
    <w:p w14:paraId="7E6A916F" w14:textId="77777777" w:rsidR="00C236A2" w:rsidRPr="0013396E" w:rsidRDefault="00C236A2" w:rsidP="00C236A2">
      <w:pPr>
        <w:spacing w:after="240"/>
        <w:ind w:left="720" w:hanging="720"/>
        <w:rPr>
          <w:iCs/>
        </w:rPr>
      </w:pPr>
      <w:r w:rsidRPr="0013396E">
        <w:t>(1)</w:t>
      </w:r>
      <w:r w:rsidRPr="0013396E">
        <w:tab/>
        <w:t>All other Generation Resources or ESRs shall be eligible for compensation for Reactive Power production in accordance with Section 6.5.7.7, Voltage Support Service, only if ERCOT issues a Dispatch Instruction that results in the following unit operation:</w:t>
      </w:r>
    </w:p>
    <w:p w14:paraId="595A5944" w14:textId="77777777" w:rsidR="00C236A2" w:rsidRPr="0013396E" w:rsidRDefault="00C236A2" w:rsidP="00C236A2">
      <w:pPr>
        <w:spacing w:after="240"/>
        <w:ind w:left="1440" w:hanging="720"/>
      </w:pPr>
      <w:r w:rsidRPr="0013396E">
        <w:t>(a)</w:t>
      </w:r>
      <w:r w:rsidRPr="0013396E">
        <w:tab/>
        <w:t>When ERCOT instructs the Generation Resource or ESR to exceed its Unit Reactive Limit (URL) and the Generation Resource or ESR provides additional Reactive Power, then ERCOT shall pay for the additional Reactive Power provided at a price that recognizes the avoided cost of reactive support to Resources on the transmission network.</w:t>
      </w:r>
    </w:p>
    <w:p w14:paraId="7A1F6EF9" w14:textId="77777777" w:rsidR="00C236A2" w:rsidRPr="0013396E" w:rsidRDefault="00C236A2" w:rsidP="00C236A2">
      <w:pPr>
        <w:spacing w:after="240"/>
        <w:ind w:left="1440" w:hanging="720"/>
      </w:pPr>
      <w:r w:rsidRPr="0013396E">
        <w:t>(b)</w:t>
      </w:r>
      <w:r w:rsidRPr="0013396E">
        <w:tab/>
        <w:t>Any real power reduction directed by ERCOT through VDIs to provide for additional reactive capability for voltage support must be compensated as a lost opportunity payment.</w:t>
      </w:r>
    </w:p>
    <w:p w14:paraId="22F14E87" w14:textId="77777777" w:rsidR="00C236A2" w:rsidRPr="0013396E" w:rsidRDefault="00C236A2" w:rsidP="00C236A2">
      <w:pPr>
        <w:spacing w:after="240"/>
        <w:ind w:left="720" w:hanging="720"/>
      </w:pPr>
      <w:r w:rsidRPr="0013396E">
        <w:t>(2)</w:t>
      </w:r>
      <w:r w:rsidRPr="0013396E">
        <w:tab/>
        <w:t>An ESR with a net injection for a Settlement Interval but that has an HSL that is less than zero will not receive compensation for Reactive Power for that Settlement Interval.</w:t>
      </w:r>
    </w:p>
    <w:p w14:paraId="1E5E657D" w14:textId="77777777" w:rsidR="00C236A2" w:rsidRPr="0013396E" w:rsidRDefault="00C236A2" w:rsidP="00C236A2">
      <w:pPr>
        <w:spacing w:after="240"/>
        <w:ind w:left="720" w:hanging="720"/>
      </w:pPr>
      <w:r w:rsidRPr="0013396E">
        <w:t>(3)</w:t>
      </w:r>
      <w:r w:rsidRPr="0013396E">
        <w:tab/>
        <w:t>The payment for a given 15-minute Settlement Interval to each QSE representing a Generation Resource or ESR that operates in accordance with an ERCOT Dispatch Instruction is calculated as follows:</w:t>
      </w:r>
    </w:p>
    <w:p w14:paraId="26683B16" w14:textId="77777777" w:rsidR="00C236A2" w:rsidRPr="0013396E" w:rsidRDefault="00C236A2" w:rsidP="00C236A2">
      <w:pPr>
        <w:spacing w:after="240"/>
        <w:ind w:left="720" w:hanging="720"/>
      </w:pPr>
      <w:r w:rsidRPr="0013396E">
        <w:t>Depending on the Dispatch Instruction, payment for Volt-Amperes reactive (VAr):</w:t>
      </w:r>
    </w:p>
    <w:p w14:paraId="07AF8A32" w14:textId="77777777" w:rsidR="00C236A2" w:rsidRPr="0013396E" w:rsidRDefault="00C236A2" w:rsidP="00C236A2">
      <w:pPr>
        <w:spacing w:after="240"/>
        <w:ind w:firstLine="720"/>
        <w:rPr>
          <w:lang w:val="pt-BR"/>
        </w:rPr>
      </w:pPr>
      <w:r w:rsidRPr="0013396E">
        <w:rPr>
          <w:lang w:val="pt-BR"/>
        </w:rPr>
        <w:t xml:space="preserve">If VSSVARLAG </w:t>
      </w:r>
      <w:r w:rsidRPr="0013396E">
        <w:rPr>
          <w:i/>
          <w:vertAlign w:val="subscript"/>
          <w:lang w:val="pt-BR"/>
        </w:rPr>
        <w:t>q, r</w:t>
      </w:r>
      <w:r w:rsidRPr="0013396E">
        <w:rPr>
          <w:lang w:val="pt-BR"/>
        </w:rPr>
        <w:t xml:space="preserve"> &gt; 0</w:t>
      </w:r>
    </w:p>
    <w:p w14:paraId="7455536A" w14:textId="77777777" w:rsidR="00C236A2" w:rsidRPr="0013396E" w:rsidRDefault="00C236A2" w:rsidP="00C236A2">
      <w:pPr>
        <w:pStyle w:val="FormulaBold"/>
        <w:ind w:hanging="2520"/>
        <w:rPr>
          <w:lang w:val="pt-BR"/>
        </w:rPr>
      </w:pPr>
      <w:r w:rsidRPr="0013396E">
        <w:rPr>
          <w:lang w:val="pt-BR"/>
        </w:rPr>
        <w:t xml:space="preserve">VSSVARAMT </w:t>
      </w:r>
      <w:r w:rsidRPr="0013396E">
        <w:rPr>
          <w:i/>
          <w:vertAlign w:val="subscript"/>
          <w:lang w:val="pt-BR"/>
        </w:rPr>
        <w:t>q, r</w:t>
      </w:r>
      <w:r w:rsidRPr="0013396E">
        <w:rPr>
          <w:lang w:val="pt-BR"/>
        </w:rPr>
        <w:tab/>
        <w:t>=</w:t>
      </w:r>
      <w:r w:rsidRPr="0013396E">
        <w:rPr>
          <w:lang w:val="pt-BR"/>
        </w:rPr>
        <w:tab/>
        <w:t xml:space="preserve">(-1) * VSSVARPR * VSSVARLAG </w:t>
      </w:r>
      <w:r w:rsidRPr="0013396E">
        <w:rPr>
          <w:i/>
          <w:vertAlign w:val="subscript"/>
          <w:lang w:val="pt-BR"/>
        </w:rPr>
        <w:t>q, r</w:t>
      </w:r>
    </w:p>
    <w:p w14:paraId="086DECA4" w14:textId="77777777" w:rsidR="00C236A2" w:rsidRPr="0013396E" w:rsidRDefault="00C236A2" w:rsidP="00C236A2">
      <w:pPr>
        <w:spacing w:after="240"/>
        <w:ind w:firstLine="720"/>
        <w:rPr>
          <w:lang w:val="pt-BR"/>
        </w:rPr>
      </w:pPr>
      <w:r w:rsidRPr="0013396E">
        <w:rPr>
          <w:lang w:val="pt-BR"/>
        </w:rPr>
        <w:t xml:space="preserve">If VSSVARLEAD </w:t>
      </w:r>
      <w:r w:rsidRPr="0013396E">
        <w:rPr>
          <w:i/>
          <w:vertAlign w:val="subscript"/>
          <w:lang w:val="pt-BR"/>
        </w:rPr>
        <w:t>q, r</w:t>
      </w:r>
      <w:r w:rsidRPr="0013396E">
        <w:rPr>
          <w:lang w:val="pt-BR"/>
        </w:rPr>
        <w:t xml:space="preserve"> &gt; 0</w:t>
      </w:r>
    </w:p>
    <w:p w14:paraId="7C1C0F0A" w14:textId="77777777" w:rsidR="00C236A2" w:rsidRPr="0013396E" w:rsidRDefault="00C236A2" w:rsidP="00C236A2">
      <w:pPr>
        <w:pStyle w:val="FormulaBold"/>
        <w:ind w:hanging="2520"/>
        <w:rPr>
          <w:lang w:val="pt-BR"/>
        </w:rPr>
      </w:pPr>
      <w:r w:rsidRPr="0013396E">
        <w:rPr>
          <w:lang w:val="pt-BR"/>
        </w:rPr>
        <w:t xml:space="preserve">VSSVARAMT </w:t>
      </w:r>
      <w:r w:rsidRPr="0013396E">
        <w:rPr>
          <w:i/>
          <w:vertAlign w:val="subscript"/>
          <w:lang w:val="pt-BR"/>
        </w:rPr>
        <w:t>q, r</w:t>
      </w:r>
      <w:r w:rsidRPr="0013396E">
        <w:rPr>
          <w:lang w:val="pt-BR"/>
        </w:rPr>
        <w:tab/>
        <w:t>=</w:t>
      </w:r>
      <w:r w:rsidRPr="0013396E">
        <w:rPr>
          <w:lang w:val="pt-BR"/>
        </w:rPr>
        <w:tab/>
        <w:t>(-1) * VSSVARPR * VSSVARLEAD</w:t>
      </w:r>
      <w:r w:rsidRPr="0013396E">
        <w:rPr>
          <w:i/>
          <w:vertAlign w:val="subscript"/>
          <w:lang w:val="pt-BR"/>
        </w:rPr>
        <w:t xml:space="preserve"> q, r</w:t>
      </w:r>
    </w:p>
    <w:p w14:paraId="5B79ED10" w14:textId="77777777" w:rsidR="00C236A2" w:rsidRPr="0013396E" w:rsidRDefault="00C236A2" w:rsidP="00C236A2">
      <w:pPr>
        <w:spacing w:after="240"/>
        <w:ind w:left="720"/>
        <w:rPr>
          <w:lang w:val="pt-BR"/>
        </w:rPr>
      </w:pPr>
      <w:r w:rsidRPr="0013396E">
        <w:rPr>
          <w:lang w:val="pt-BR"/>
        </w:rPr>
        <w:lastRenderedPageBreak/>
        <w:t>Where:</w:t>
      </w:r>
    </w:p>
    <w:p w14:paraId="6F887785"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VSSVARLAG </w:t>
      </w:r>
      <w:r w:rsidRPr="0013396E">
        <w:rPr>
          <w:bCs/>
          <w:i/>
          <w:vertAlign w:val="subscript"/>
          <w:lang w:val="pt-BR"/>
        </w:rPr>
        <w:t>q, r</w:t>
      </w:r>
      <w:r w:rsidRPr="0013396E">
        <w:rPr>
          <w:bCs/>
          <w:lang w:val="pt-BR"/>
        </w:rPr>
        <w:tab/>
        <w:t>=</w:t>
      </w:r>
      <w:r w:rsidRPr="0013396E">
        <w:rPr>
          <w:bCs/>
          <w:lang w:val="pt-BR"/>
        </w:rPr>
        <w:tab/>
        <w:t xml:space="preserve">Max [0, Min (¼ * VSSVARIOL </w:t>
      </w:r>
      <w:r w:rsidRPr="0013396E">
        <w:rPr>
          <w:bCs/>
          <w:i/>
          <w:vertAlign w:val="subscript"/>
          <w:lang w:val="pt-BR"/>
        </w:rPr>
        <w:t>q, r</w:t>
      </w:r>
      <w:r w:rsidRPr="0013396E">
        <w:rPr>
          <w:bCs/>
          <w:lang w:val="pt-BR"/>
        </w:rPr>
        <w:t xml:space="preserve">, RTVAR </w:t>
      </w:r>
      <w:r w:rsidRPr="0013396E">
        <w:rPr>
          <w:bCs/>
          <w:i/>
          <w:vertAlign w:val="subscript"/>
          <w:lang w:val="pt-BR"/>
        </w:rPr>
        <w:t>q, r</w:t>
      </w:r>
      <w:r w:rsidRPr="0013396E">
        <w:rPr>
          <w:bCs/>
          <w:lang w:val="pt-BR"/>
        </w:rPr>
        <w:t xml:space="preserve">) – (¼ * URLLAG </w:t>
      </w:r>
      <w:r w:rsidRPr="0013396E">
        <w:rPr>
          <w:bCs/>
          <w:i/>
          <w:vertAlign w:val="subscript"/>
          <w:lang w:val="pt-BR"/>
        </w:rPr>
        <w:t>q, r</w:t>
      </w:r>
      <w:r w:rsidRPr="0013396E">
        <w:rPr>
          <w:bCs/>
          <w:lang w:val="pt-BR"/>
        </w:rPr>
        <w:t>)]</w:t>
      </w:r>
    </w:p>
    <w:p w14:paraId="615E1B0E" w14:textId="77777777" w:rsidR="00C236A2" w:rsidRPr="0013396E" w:rsidRDefault="00C236A2" w:rsidP="00C236A2">
      <w:pPr>
        <w:tabs>
          <w:tab w:val="left" w:pos="2340"/>
          <w:tab w:val="left" w:pos="3420"/>
        </w:tabs>
        <w:spacing w:after="240"/>
        <w:ind w:left="3420" w:hanging="2700"/>
        <w:rPr>
          <w:bCs/>
          <w:sz w:val="32"/>
          <w:szCs w:val="32"/>
          <w:lang w:val="pt-BR"/>
        </w:rPr>
      </w:pPr>
      <w:r w:rsidRPr="0013396E">
        <w:rPr>
          <w:bCs/>
          <w:lang w:val="pt-BR"/>
        </w:rPr>
        <w:t xml:space="preserve">VSSVARLEAD </w:t>
      </w:r>
      <w:r w:rsidRPr="0013396E">
        <w:rPr>
          <w:bCs/>
          <w:i/>
          <w:vertAlign w:val="subscript"/>
          <w:lang w:val="pt-BR"/>
        </w:rPr>
        <w:t>q, r</w:t>
      </w:r>
      <w:r w:rsidRPr="0013396E">
        <w:rPr>
          <w:bCs/>
          <w:lang w:val="pt-BR"/>
        </w:rPr>
        <w:tab/>
        <w:t>=</w:t>
      </w:r>
      <w:r w:rsidRPr="0013396E">
        <w:rPr>
          <w:bCs/>
          <w:lang w:val="pt-BR"/>
        </w:rPr>
        <w:tab/>
        <w:t xml:space="preserve">Max </w:t>
      </w:r>
      <w:r w:rsidRPr="0013396E">
        <w:rPr>
          <w:bCs/>
          <w:sz w:val="32"/>
          <w:szCs w:val="32"/>
          <w:lang w:val="pt-BR"/>
        </w:rPr>
        <w:t>{</w:t>
      </w:r>
      <w:r w:rsidRPr="0013396E">
        <w:rPr>
          <w:bCs/>
          <w:lang w:val="pt-BR"/>
        </w:rPr>
        <w:t xml:space="preserve">0, [(¼ * URLLEAD </w:t>
      </w:r>
      <w:r w:rsidRPr="0013396E">
        <w:rPr>
          <w:bCs/>
          <w:i/>
          <w:vertAlign w:val="subscript"/>
          <w:lang w:val="pt-BR"/>
        </w:rPr>
        <w:t>q, r</w:t>
      </w:r>
      <w:r w:rsidRPr="0013396E">
        <w:rPr>
          <w:bCs/>
          <w:lang w:val="pt-BR"/>
        </w:rPr>
        <w:t xml:space="preserve"> ) – Max ((¼ * VSSVARIOL </w:t>
      </w:r>
      <w:r w:rsidRPr="0013396E">
        <w:rPr>
          <w:bCs/>
          <w:i/>
          <w:vertAlign w:val="subscript"/>
          <w:lang w:val="pt-BR"/>
        </w:rPr>
        <w:t>q, r</w:t>
      </w:r>
      <w:r w:rsidRPr="0013396E">
        <w:rPr>
          <w:bCs/>
          <w:lang w:val="pt-BR"/>
        </w:rPr>
        <w:t xml:space="preserve">), RTVAR </w:t>
      </w:r>
      <w:r w:rsidRPr="0013396E">
        <w:rPr>
          <w:bCs/>
          <w:i/>
          <w:vertAlign w:val="subscript"/>
          <w:lang w:val="pt-BR"/>
        </w:rPr>
        <w:t>q, r</w:t>
      </w:r>
      <w:r w:rsidRPr="0013396E">
        <w:rPr>
          <w:bCs/>
          <w:lang w:val="pt-BR"/>
        </w:rPr>
        <w:t>)]</w:t>
      </w:r>
      <w:r w:rsidRPr="0013396E">
        <w:rPr>
          <w:bCs/>
          <w:sz w:val="32"/>
          <w:szCs w:val="32"/>
          <w:lang w:val="pt-BR"/>
        </w:rPr>
        <w:t>}</w:t>
      </w:r>
    </w:p>
    <w:p w14:paraId="7240DE18"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And:</w:t>
      </w:r>
    </w:p>
    <w:p w14:paraId="3D954225"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If an ESR has a net withdrawal for the Settlement Interval, then: </w:t>
      </w:r>
    </w:p>
    <w:p w14:paraId="22174FFF"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URLLAG </w:t>
      </w:r>
      <w:r w:rsidRPr="0013396E">
        <w:rPr>
          <w:bCs/>
          <w:i/>
          <w:vertAlign w:val="subscript"/>
          <w:lang w:val="pt-BR"/>
        </w:rPr>
        <w:t>q,r</w:t>
      </w:r>
      <w:r w:rsidRPr="0013396E">
        <w:rPr>
          <w:bCs/>
          <w:lang w:val="pt-BR"/>
        </w:rPr>
        <w:tab/>
        <w:t>=</w:t>
      </w:r>
      <w:r w:rsidRPr="0013396E">
        <w:rPr>
          <w:bCs/>
          <w:lang w:val="pt-BR"/>
        </w:rPr>
        <w:tab/>
      </w:r>
      <w:r w:rsidRPr="0013396E">
        <w:rPr>
          <w:bCs/>
          <w:lang w:val="pt-BR"/>
        </w:rPr>
        <w:tab/>
        <w:t xml:space="preserve">0.32868 * ABS(LSL </w:t>
      </w:r>
      <w:r w:rsidRPr="0013396E">
        <w:rPr>
          <w:bCs/>
          <w:i/>
          <w:vertAlign w:val="subscript"/>
          <w:lang w:val="pt-BR"/>
        </w:rPr>
        <w:t>q,r</w:t>
      </w:r>
      <w:r w:rsidRPr="0013396E">
        <w:rPr>
          <w:bCs/>
          <w:lang w:val="pt-BR"/>
        </w:rPr>
        <w:t>)</w:t>
      </w:r>
    </w:p>
    <w:p w14:paraId="7364B935"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URLLEAD </w:t>
      </w:r>
      <w:r w:rsidRPr="0013396E">
        <w:rPr>
          <w:bCs/>
          <w:i/>
          <w:vertAlign w:val="subscript"/>
          <w:lang w:val="pt-BR"/>
        </w:rPr>
        <w:t>q,r</w:t>
      </w:r>
      <w:r w:rsidRPr="0013396E">
        <w:rPr>
          <w:bCs/>
          <w:lang w:val="pt-BR"/>
        </w:rPr>
        <w:tab/>
        <w:t>=</w:t>
      </w:r>
      <w:r w:rsidRPr="0013396E">
        <w:rPr>
          <w:bCs/>
          <w:lang w:val="pt-BR"/>
        </w:rPr>
        <w:tab/>
        <w:t xml:space="preserve">(-1) * 0.32868 * ABS(LSL </w:t>
      </w:r>
      <w:r w:rsidRPr="0013396E">
        <w:rPr>
          <w:bCs/>
          <w:i/>
          <w:vertAlign w:val="subscript"/>
          <w:lang w:val="pt-BR"/>
        </w:rPr>
        <w:t>q,r</w:t>
      </w:r>
      <w:r w:rsidRPr="0013396E">
        <w:rPr>
          <w:bCs/>
          <w:lang w:val="pt-BR"/>
        </w:rPr>
        <w:t>)</w:t>
      </w:r>
    </w:p>
    <w:p w14:paraId="7A2222B5" w14:textId="77777777" w:rsidR="00C236A2" w:rsidRPr="0013396E" w:rsidRDefault="00C236A2" w:rsidP="00C236A2">
      <w:pPr>
        <w:tabs>
          <w:tab w:val="left" w:pos="780"/>
          <w:tab w:val="left" w:pos="2340"/>
        </w:tabs>
        <w:spacing w:after="240"/>
        <w:ind w:left="690" w:firstLine="30"/>
        <w:rPr>
          <w:bCs/>
          <w:lang w:val="pt-BR"/>
        </w:rPr>
      </w:pPr>
      <w:r w:rsidRPr="0013396E">
        <w:rPr>
          <w:bCs/>
          <w:lang w:val="pt-BR"/>
        </w:rPr>
        <w:t xml:space="preserve">Otherwise, for Generation Resources or ESRs that have a net injection for the Settlement Interval and that have an HSL greater than or equal to 0: </w:t>
      </w:r>
    </w:p>
    <w:p w14:paraId="0A9A6EB8"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URLLAG </w:t>
      </w:r>
      <w:r w:rsidRPr="0013396E">
        <w:rPr>
          <w:bCs/>
          <w:i/>
          <w:vertAlign w:val="subscript"/>
          <w:lang w:val="pt-BR"/>
        </w:rPr>
        <w:t>q,r</w:t>
      </w:r>
      <w:r w:rsidRPr="0013396E">
        <w:rPr>
          <w:bCs/>
          <w:lang w:val="pt-BR"/>
        </w:rPr>
        <w:tab/>
        <w:t>=</w:t>
      </w:r>
      <w:r w:rsidRPr="0013396E">
        <w:rPr>
          <w:bCs/>
          <w:lang w:val="pt-BR"/>
        </w:rPr>
        <w:tab/>
        <w:t xml:space="preserve">0.32868 * HSL </w:t>
      </w:r>
      <w:r w:rsidRPr="0013396E">
        <w:rPr>
          <w:bCs/>
          <w:i/>
          <w:vertAlign w:val="subscript"/>
          <w:lang w:val="pt-BR"/>
        </w:rPr>
        <w:t xml:space="preserve">q,r </w:t>
      </w:r>
    </w:p>
    <w:p w14:paraId="61965126"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URLLEAD </w:t>
      </w:r>
      <w:r w:rsidRPr="0013396E">
        <w:rPr>
          <w:bCs/>
          <w:i/>
          <w:vertAlign w:val="subscript"/>
          <w:lang w:val="pt-BR"/>
        </w:rPr>
        <w:t>q,r</w:t>
      </w:r>
      <w:r w:rsidRPr="0013396E">
        <w:rPr>
          <w:bCs/>
          <w:lang w:val="pt-BR"/>
        </w:rPr>
        <w:tab/>
        <w:t>=</w:t>
      </w:r>
      <w:r w:rsidRPr="0013396E">
        <w:rPr>
          <w:bCs/>
          <w:lang w:val="pt-BR"/>
        </w:rPr>
        <w:tab/>
        <w:t xml:space="preserve">(-1) * 0.32868 * HSL </w:t>
      </w:r>
      <w:r w:rsidRPr="0013396E">
        <w:rPr>
          <w:bCs/>
          <w:i/>
          <w:vertAlign w:val="subscript"/>
          <w:lang w:val="pt-BR"/>
        </w:rPr>
        <w:t>q,r</w:t>
      </w:r>
    </w:p>
    <w:p w14:paraId="5EB40382" w14:textId="77777777" w:rsidR="00C236A2" w:rsidRPr="0013396E" w:rsidRDefault="00C236A2" w:rsidP="00C236A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0"/>
        <w:gridCol w:w="1156"/>
        <w:gridCol w:w="6294"/>
      </w:tblGrid>
      <w:tr w:rsidR="00C236A2" w:rsidRPr="0013396E" w14:paraId="7A86ACE8" w14:textId="77777777" w:rsidTr="0099759E">
        <w:trPr>
          <w:cantSplit/>
          <w:tblHeader/>
        </w:trPr>
        <w:tc>
          <w:tcPr>
            <w:tcW w:w="1016" w:type="pct"/>
            <w:tcBorders>
              <w:top w:val="single" w:sz="4" w:space="0" w:color="auto"/>
              <w:left w:val="single" w:sz="4" w:space="0" w:color="auto"/>
              <w:bottom w:val="single" w:sz="4" w:space="0" w:color="auto"/>
              <w:right w:val="single" w:sz="4" w:space="0" w:color="auto"/>
            </w:tcBorders>
            <w:hideMark/>
          </w:tcPr>
          <w:p w14:paraId="3AF770DD" w14:textId="77777777" w:rsidR="00C236A2" w:rsidRPr="0013396E" w:rsidRDefault="00C236A2" w:rsidP="0099759E">
            <w:pPr>
              <w:spacing w:after="240"/>
              <w:rPr>
                <w:b/>
                <w:iCs/>
                <w:sz w:val="20"/>
              </w:rPr>
            </w:pPr>
            <w:r w:rsidRPr="0013396E">
              <w:rPr>
                <w:b/>
                <w:sz w:val="20"/>
              </w:rPr>
              <w:t>Variable</w:t>
            </w:r>
          </w:p>
        </w:tc>
        <w:tc>
          <w:tcPr>
            <w:tcW w:w="618" w:type="pct"/>
            <w:tcBorders>
              <w:top w:val="single" w:sz="4" w:space="0" w:color="auto"/>
              <w:left w:val="single" w:sz="4" w:space="0" w:color="auto"/>
              <w:bottom w:val="single" w:sz="4" w:space="0" w:color="auto"/>
              <w:right w:val="single" w:sz="4" w:space="0" w:color="auto"/>
            </w:tcBorders>
            <w:hideMark/>
          </w:tcPr>
          <w:p w14:paraId="41B19192" w14:textId="77777777" w:rsidR="00C236A2" w:rsidRPr="0013396E" w:rsidRDefault="00C236A2" w:rsidP="0099759E">
            <w:pPr>
              <w:spacing w:after="240"/>
              <w:rPr>
                <w:b/>
                <w:iCs/>
                <w:sz w:val="20"/>
              </w:rPr>
            </w:pPr>
            <w:r w:rsidRPr="0013396E">
              <w:rPr>
                <w:b/>
                <w:iCs/>
                <w:sz w:val="20"/>
              </w:rPr>
              <w:t>Unit</w:t>
            </w:r>
          </w:p>
        </w:tc>
        <w:tc>
          <w:tcPr>
            <w:tcW w:w="3366" w:type="pct"/>
            <w:tcBorders>
              <w:top w:val="single" w:sz="4" w:space="0" w:color="auto"/>
              <w:left w:val="single" w:sz="4" w:space="0" w:color="auto"/>
              <w:bottom w:val="single" w:sz="4" w:space="0" w:color="auto"/>
              <w:right w:val="single" w:sz="4" w:space="0" w:color="auto"/>
            </w:tcBorders>
            <w:hideMark/>
          </w:tcPr>
          <w:p w14:paraId="542A6C39" w14:textId="77777777" w:rsidR="00C236A2" w:rsidRPr="0013396E" w:rsidRDefault="00C236A2" w:rsidP="0099759E">
            <w:pPr>
              <w:spacing w:after="240"/>
              <w:rPr>
                <w:b/>
                <w:iCs/>
                <w:sz w:val="20"/>
              </w:rPr>
            </w:pPr>
            <w:r w:rsidRPr="0013396E">
              <w:rPr>
                <w:b/>
                <w:iCs/>
                <w:sz w:val="20"/>
              </w:rPr>
              <w:t>Definition</w:t>
            </w:r>
          </w:p>
        </w:tc>
      </w:tr>
      <w:tr w:rsidR="00C236A2" w:rsidRPr="0013396E" w14:paraId="7E46EEC4"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1BA43732" w14:textId="77777777" w:rsidR="00C236A2" w:rsidRPr="0013396E" w:rsidRDefault="00C236A2" w:rsidP="0099759E">
            <w:pPr>
              <w:spacing w:after="60"/>
              <w:rPr>
                <w:iCs/>
                <w:sz w:val="20"/>
              </w:rPr>
            </w:pPr>
            <w:r w:rsidRPr="0013396E">
              <w:rPr>
                <w:iCs/>
                <w:sz w:val="20"/>
              </w:rPr>
              <w:t xml:space="preserve">VSSVARAMT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05E636D5" w14:textId="77777777" w:rsidR="00C236A2" w:rsidRPr="0013396E" w:rsidRDefault="00C236A2" w:rsidP="0099759E">
            <w:pPr>
              <w:spacing w:after="60"/>
              <w:rPr>
                <w:iCs/>
                <w:sz w:val="20"/>
              </w:rPr>
            </w:pPr>
            <w:r w:rsidRPr="0013396E">
              <w:rPr>
                <w:iCs/>
                <w:sz w:val="20"/>
              </w:rPr>
              <w:t>$</w:t>
            </w:r>
          </w:p>
        </w:tc>
        <w:tc>
          <w:tcPr>
            <w:tcW w:w="3366" w:type="pct"/>
            <w:tcBorders>
              <w:top w:val="single" w:sz="4" w:space="0" w:color="auto"/>
              <w:left w:val="single" w:sz="4" w:space="0" w:color="auto"/>
              <w:bottom w:val="single" w:sz="4" w:space="0" w:color="auto"/>
              <w:right w:val="single" w:sz="4" w:space="0" w:color="auto"/>
            </w:tcBorders>
            <w:hideMark/>
          </w:tcPr>
          <w:p w14:paraId="6BD24FA9" w14:textId="77777777" w:rsidR="00C236A2" w:rsidRPr="0013396E" w:rsidRDefault="00C236A2" w:rsidP="0099759E">
            <w:pPr>
              <w:spacing w:after="60"/>
              <w:rPr>
                <w:iCs/>
                <w:sz w:val="20"/>
              </w:rPr>
            </w:pPr>
            <w:r w:rsidRPr="0013396E">
              <w:rPr>
                <w:i/>
                <w:iCs/>
                <w:sz w:val="20"/>
              </w:rPr>
              <w:t xml:space="preserve">Voltage Support Service VAr Amount per QSE per Resource - </w:t>
            </w:r>
            <w:r w:rsidRPr="0013396E">
              <w:rPr>
                <w:iCs/>
                <w:sz w:val="20"/>
              </w:rPr>
              <w:t xml:space="preserve">The payment to QSE </w:t>
            </w:r>
            <w:r w:rsidRPr="0013396E">
              <w:rPr>
                <w:i/>
                <w:iCs/>
                <w:sz w:val="20"/>
              </w:rPr>
              <w:t>q</w:t>
            </w:r>
            <w:r w:rsidRPr="0013396E">
              <w:rPr>
                <w:iCs/>
                <w:sz w:val="20"/>
              </w:rPr>
              <w:t xml:space="preserve"> for the VSS provided by Resource </w:t>
            </w:r>
            <w:r w:rsidRPr="0013396E">
              <w:rPr>
                <w:i/>
                <w:iCs/>
                <w:sz w:val="20"/>
              </w:rPr>
              <w:t>r</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795F8A5C"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0242D675" w14:textId="77777777" w:rsidR="00C236A2" w:rsidRPr="0013396E" w:rsidRDefault="00C236A2" w:rsidP="0099759E">
            <w:pPr>
              <w:spacing w:after="60"/>
              <w:rPr>
                <w:iCs/>
                <w:sz w:val="20"/>
              </w:rPr>
            </w:pPr>
            <w:r w:rsidRPr="0013396E">
              <w:rPr>
                <w:iCs/>
                <w:sz w:val="20"/>
              </w:rPr>
              <w:t>VSSVARPR</w:t>
            </w:r>
          </w:p>
        </w:tc>
        <w:tc>
          <w:tcPr>
            <w:tcW w:w="618" w:type="pct"/>
            <w:tcBorders>
              <w:top w:val="single" w:sz="4" w:space="0" w:color="auto"/>
              <w:left w:val="single" w:sz="4" w:space="0" w:color="auto"/>
              <w:bottom w:val="single" w:sz="4" w:space="0" w:color="auto"/>
              <w:right w:val="single" w:sz="4" w:space="0" w:color="auto"/>
            </w:tcBorders>
            <w:hideMark/>
          </w:tcPr>
          <w:p w14:paraId="592A06B7" w14:textId="77777777" w:rsidR="00C236A2" w:rsidRPr="0013396E" w:rsidRDefault="00C236A2" w:rsidP="0099759E">
            <w:pPr>
              <w:spacing w:after="60"/>
              <w:rPr>
                <w:i/>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3C508DDF" w14:textId="77777777" w:rsidR="00C236A2" w:rsidRPr="0013396E" w:rsidRDefault="00C236A2" w:rsidP="0099759E">
            <w:pPr>
              <w:spacing w:after="60"/>
              <w:rPr>
                <w:iCs/>
                <w:sz w:val="20"/>
              </w:rPr>
            </w:pPr>
            <w:r w:rsidRPr="0013396E">
              <w:rPr>
                <w:i/>
                <w:iCs/>
                <w:sz w:val="20"/>
              </w:rPr>
              <w:t xml:space="preserve">Voltage Support Service VAr Price - </w:t>
            </w:r>
            <w:r w:rsidRPr="0013396E">
              <w:rPr>
                <w:iCs/>
                <w:sz w:val="20"/>
              </w:rPr>
              <w:t>The price for instructed MVAr beyond a Resource’s URL currently is $2.65/MVArh (based on $50.00/installed kVAr).</w:t>
            </w:r>
          </w:p>
        </w:tc>
      </w:tr>
      <w:tr w:rsidR="00C236A2" w:rsidRPr="0013396E" w14:paraId="7C5FAC2F"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614BF045" w14:textId="77777777" w:rsidR="00C236A2" w:rsidRPr="0013396E" w:rsidRDefault="00C236A2" w:rsidP="0099759E">
            <w:pPr>
              <w:spacing w:after="60"/>
              <w:rPr>
                <w:iCs/>
                <w:sz w:val="20"/>
              </w:rPr>
            </w:pPr>
            <w:r w:rsidRPr="0013396E">
              <w:rPr>
                <w:iCs/>
                <w:sz w:val="20"/>
              </w:rPr>
              <w:t xml:space="preserve">VSSVARLAG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394D62DB" w14:textId="77777777" w:rsidR="00C236A2" w:rsidRPr="0013396E" w:rsidRDefault="00C236A2" w:rsidP="0099759E">
            <w:pPr>
              <w:spacing w:after="60"/>
              <w:rPr>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68D63297" w14:textId="77777777" w:rsidR="00C236A2" w:rsidRPr="0013396E" w:rsidRDefault="00C236A2" w:rsidP="0099759E">
            <w:pPr>
              <w:spacing w:after="60"/>
              <w:rPr>
                <w:iCs/>
                <w:sz w:val="20"/>
              </w:rPr>
            </w:pPr>
            <w:r w:rsidRPr="0013396E">
              <w:rPr>
                <w:i/>
                <w:iCs/>
                <w:sz w:val="20"/>
              </w:rPr>
              <w:t xml:space="preserve">Voltage Support Service VAr Lagging per QSE per Resource - </w:t>
            </w:r>
            <w:r w:rsidRPr="0013396E">
              <w:rPr>
                <w:iCs/>
                <w:sz w:val="20"/>
              </w:rPr>
              <w:t xml:space="preserve">The instructed portion of the Reactive Power above the Resource’s lagging URL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38513692"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7D5D8566" w14:textId="77777777" w:rsidR="00C236A2" w:rsidRPr="0013396E" w:rsidRDefault="00C236A2" w:rsidP="0099759E">
            <w:pPr>
              <w:spacing w:after="60"/>
              <w:rPr>
                <w:iCs/>
                <w:sz w:val="20"/>
              </w:rPr>
            </w:pPr>
            <w:r w:rsidRPr="0013396E">
              <w:rPr>
                <w:iCs/>
                <w:sz w:val="20"/>
              </w:rPr>
              <w:t xml:space="preserve">VSSVARLEAD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07D3A3DA" w14:textId="77777777" w:rsidR="00C236A2" w:rsidRPr="0013396E" w:rsidRDefault="00C236A2" w:rsidP="0099759E">
            <w:pPr>
              <w:spacing w:after="60"/>
              <w:rPr>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5D41972B" w14:textId="77777777" w:rsidR="00C236A2" w:rsidRPr="0013396E" w:rsidRDefault="00C236A2" w:rsidP="0099759E">
            <w:pPr>
              <w:spacing w:after="60"/>
              <w:rPr>
                <w:iCs/>
                <w:sz w:val="20"/>
              </w:rPr>
            </w:pPr>
            <w:r w:rsidRPr="0013396E">
              <w:rPr>
                <w:i/>
                <w:iCs/>
                <w:sz w:val="20"/>
              </w:rPr>
              <w:t>Voltage Support Service VAr Leading per QSE per Resource</w:t>
            </w:r>
            <w:r w:rsidRPr="0013396E">
              <w:rPr>
                <w:iCs/>
                <w:sz w:val="20"/>
              </w:rPr>
              <w:t xml:space="preserve"> - The instructed portion of the Reactive Power below the Resource’s leading URL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6BE30F5E"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1EA752BC" w14:textId="77777777" w:rsidR="00C236A2" w:rsidRPr="0013396E" w:rsidRDefault="00C236A2" w:rsidP="0099759E">
            <w:pPr>
              <w:spacing w:after="60"/>
              <w:rPr>
                <w:iCs/>
                <w:sz w:val="20"/>
              </w:rPr>
            </w:pPr>
            <w:r w:rsidRPr="0013396E">
              <w:rPr>
                <w:iCs/>
                <w:sz w:val="20"/>
              </w:rPr>
              <w:t xml:space="preserve">VSSVARIOL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141DCC05" w14:textId="77777777" w:rsidR="00C236A2" w:rsidRPr="0013396E" w:rsidRDefault="00C236A2" w:rsidP="0099759E">
            <w:pPr>
              <w:spacing w:after="60"/>
              <w:rPr>
                <w:iCs/>
                <w:sz w:val="20"/>
              </w:rPr>
            </w:pPr>
            <w:r w:rsidRPr="0013396E">
              <w:rPr>
                <w:iCs/>
                <w:sz w:val="20"/>
              </w:rPr>
              <w:t>MVAr</w:t>
            </w:r>
          </w:p>
        </w:tc>
        <w:tc>
          <w:tcPr>
            <w:tcW w:w="3366" w:type="pct"/>
            <w:tcBorders>
              <w:top w:val="single" w:sz="4" w:space="0" w:color="auto"/>
              <w:left w:val="single" w:sz="4" w:space="0" w:color="auto"/>
              <w:bottom w:val="single" w:sz="4" w:space="0" w:color="auto"/>
              <w:right w:val="single" w:sz="4" w:space="0" w:color="auto"/>
            </w:tcBorders>
            <w:hideMark/>
          </w:tcPr>
          <w:p w14:paraId="56288780" w14:textId="77777777" w:rsidR="00C236A2" w:rsidRPr="0013396E" w:rsidRDefault="00C236A2" w:rsidP="0099759E">
            <w:pPr>
              <w:spacing w:after="60"/>
              <w:rPr>
                <w:iCs/>
                <w:sz w:val="20"/>
              </w:rPr>
            </w:pPr>
            <w:r w:rsidRPr="0013396E">
              <w:rPr>
                <w:i/>
                <w:iCs/>
                <w:sz w:val="20"/>
              </w:rPr>
              <w:t>Voltage Support Service VAr Instructed Output Level per QSE per Resource</w:t>
            </w:r>
            <w:r w:rsidRPr="0013396E">
              <w:rPr>
                <w:iCs/>
                <w:sz w:val="20"/>
              </w:rPr>
              <w:t xml:space="preserve">—The instructed Reactive Power output level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lagging Reactive Power if positive and leading Reactive Power if negative,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5ED8F899"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00D16923" w14:textId="77777777" w:rsidR="00C236A2" w:rsidRPr="0013396E" w:rsidRDefault="00C236A2" w:rsidP="0099759E">
            <w:pPr>
              <w:spacing w:after="60"/>
              <w:rPr>
                <w:iCs/>
                <w:sz w:val="20"/>
              </w:rPr>
            </w:pPr>
            <w:r w:rsidRPr="0013396E">
              <w:rPr>
                <w:iCs/>
                <w:sz w:val="20"/>
              </w:rPr>
              <w:lastRenderedPageBreak/>
              <w:t xml:space="preserve">RTVAR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7CBB0B0C" w14:textId="77777777" w:rsidR="00C236A2" w:rsidRPr="0013396E" w:rsidRDefault="00C236A2" w:rsidP="0099759E">
            <w:pPr>
              <w:spacing w:after="60"/>
              <w:rPr>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2EA3D96D" w14:textId="77777777" w:rsidR="00C236A2" w:rsidRPr="0013396E" w:rsidRDefault="00C236A2" w:rsidP="0099759E">
            <w:pPr>
              <w:spacing w:after="60"/>
              <w:rPr>
                <w:iCs/>
                <w:sz w:val="20"/>
              </w:rPr>
            </w:pPr>
            <w:r w:rsidRPr="0013396E">
              <w:rPr>
                <w:i/>
                <w:iCs/>
                <w:sz w:val="20"/>
              </w:rPr>
              <w:t>Real-Time VAr per QSE per Resource</w:t>
            </w:r>
            <w:r w:rsidRPr="0013396E">
              <w:rPr>
                <w:iCs/>
                <w:sz w:val="20"/>
              </w:rPr>
              <w:t xml:space="preserve">—The netted Reactive Energy measured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0F0511FD"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44C5E2CB" w14:textId="77777777" w:rsidR="00C236A2" w:rsidRPr="0013396E" w:rsidRDefault="00C236A2" w:rsidP="0099759E">
            <w:pPr>
              <w:spacing w:after="60"/>
              <w:rPr>
                <w:iCs/>
                <w:sz w:val="20"/>
              </w:rPr>
            </w:pPr>
            <w:r w:rsidRPr="0013396E">
              <w:rPr>
                <w:iCs/>
                <w:sz w:val="20"/>
              </w:rPr>
              <w:t xml:space="preserve">URLLAG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769A5E15" w14:textId="77777777" w:rsidR="00C236A2" w:rsidRPr="0013396E" w:rsidRDefault="00C236A2" w:rsidP="0099759E">
            <w:pPr>
              <w:spacing w:after="60"/>
              <w:rPr>
                <w:iCs/>
                <w:sz w:val="20"/>
              </w:rPr>
            </w:pPr>
            <w:r w:rsidRPr="0013396E">
              <w:rPr>
                <w:iCs/>
                <w:sz w:val="20"/>
              </w:rPr>
              <w:t>MVAr</w:t>
            </w:r>
          </w:p>
        </w:tc>
        <w:tc>
          <w:tcPr>
            <w:tcW w:w="3366" w:type="pct"/>
            <w:tcBorders>
              <w:top w:val="single" w:sz="4" w:space="0" w:color="auto"/>
              <w:left w:val="single" w:sz="4" w:space="0" w:color="auto"/>
              <w:bottom w:val="single" w:sz="4" w:space="0" w:color="auto"/>
              <w:right w:val="single" w:sz="4" w:space="0" w:color="auto"/>
            </w:tcBorders>
            <w:hideMark/>
          </w:tcPr>
          <w:p w14:paraId="1B1851C1" w14:textId="77777777" w:rsidR="00C236A2" w:rsidRPr="0013396E" w:rsidRDefault="00C236A2" w:rsidP="0099759E">
            <w:pPr>
              <w:spacing w:after="60"/>
              <w:rPr>
                <w:iCs/>
                <w:sz w:val="20"/>
              </w:rPr>
            </w:pPr>
            <w:r w:rsidRPr="0013396E">
              <w:rPr>
                <w:i/>
                <w:iCs/>
                <w:sz w:val="20"/>
              </w:rPr>
              <w:t>Unit Reactive Limit Lagging per QSE per Resource</w:t>
            </w:r>
            <w:r w:rsidRPr="0013396E">
              <w:rPr>
                <w:iCs/>
                <w:sz w:val="20"/>
              </w:rPr>
              <w:t xml:space="preserve">—The URL for lagging Reactive Power of the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determined in accordance with these Protocols.  Its value is positive.  Where for a combined cycle resource, </w:t>
            </w:r>
            <w:r w:rsidRPr="0013396E">
              <w:rPr>
                <w:i/>
                <w:iCs/>
                <w:sz w:val="20"/>
              </w:rPr>
              <w:t>r</w:t>
            </w:r>
            <w:r w:rsidRPr="0013396E">
              <w:rPr>
                <w:iCs/>
                <w:sz w:val="20"/>
              </w:rPr>
              <w:t xml:space="preserve"> is a Combined Cycle Train.</w:t>
            </w:r>
          </w:p>
        </w:tc>
      </w:tr>
      <w:tr w:rsidR="00C236A2" w:rsidRPr="0013396E" w14:paraId="4F20E98B"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508FC537" w14:textId="77777777" w:rsidR="00C236A2" w:rsidRPr="0013396E" w:rsidRDefault="00C236A2" w:rsidP="0099759E">
            <w:pPr>
              <w:spacing w:after="60"/>
              <w:rPr>
                <w:iCs/>
                <w:sz w:val="20"/>
              </w:rPr>
            </w:pPr>
            <w:r w:rsidRPr="0013396E">
              <w:rPr>
                <w:iCs/>
                <w:sz w:val="20"/>
              </w:rPr>
              <w:t xml:space="preserve">URLLEAD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368DB290" w14:textId="77777777" w:rsidR="00C236A2" w:rsidRPr="0013396E" w:rsidRDefault="00C236A2" w:rsidP="0099759E">
            <w:pPr>
              <w:spacing w:after="60"/>
              <w:rPr>
                <w:iCs/>
                <w:sz w:val="20"/>
              </w:rPr>
            </w:pPr>
            <w:r w:rsidRPr="0013396E">
              <w:rPr>
                <w:iCs/>
                <w:sz w:val="20"/>
              </w:rPr>
              <w:t>MVAr</w:t>
            </w:r>
          </w:p>
        </w:tc>
        <w:tc>
          <w:tcPr>
            <w:tcW w:w="3366" w:type="pct"/>
            <w:tcBorders>
              <w:top w:val="single" w:sz="4" w:space="0" w:color="auto"/>
              <w:left w:val="single" w:sz="4" w:space="0" w:color="auto"/>
              <w:bottom w:val="single" w:sz="4" w:space="0" w:color="auto"/>
              <w:right w:val="single" w:sz="4" w:space="0" w:color="auto"/>
            </w:tcBorders>
            <w:hideMark/>
          </w:tcPr>
          <w:p w14:paraId="75080125" w14:textId="77777777" w:rsidR="00C236A2" w:rsidRPr="0013396E" w:rsidRDefault="00C236A2" w:rsidP="0099759E">
            <w:pPr>
              <w:spacing w:after="60"/>
              <w:rPr>
                <w:iCs/>
                <w:sz w:val="20"/>
              </w:rPr>
            </w:pPr>
            <w:r w:rsidRPr="0013396E">
              <w:rPr>
                <w:i/>
                <w:iCs/>
                <w:sz w:val="20"/>
              </w:rPr>
              <w:t>Unit Reactive Limit Leading per QSE per Resource</w:t>
            </w:r>
            <w:r w:rsidRPr="0013396E">
              <w:rPr>
                <w:iCs/>
                <w:sz w:val="20"/>
              </w:rPr>
              <w:t xml:space="preserve">—The URL for leading Reactive Power of the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determined in accordance with these Protocols.  Its value is negative.  Where for a combined cycle resource, </w:t>
            </w:r>
            <w:r w:rsidRPr="0013396E">
              <w:rPr>
                <w:i/>
                <w:iCs/>
                <w:sz w:val="20"/>
              </w:rPr>
              <w:t>r</w:t>
            </w:r>
            <w:r w:rsidRPr="0013396E">
              <w:rPr>
                <w:iCs/>
                <w:sz w:val="20"/>
              </w:rPr>
              <w:t xml:space="preserve"> is a Combined Cycle Train.</w:t>
            </w:r>
          </w:p>
        </w:tc>
      </w:tr>
      <w:tr w:rsidR="00C236A2" w:rsidRPr="0013396E" w14:paraId="29C3090A"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3CAC5223" w14:textId="77777777" w:rsidR="00C236A2" w:rsidRPr="0013396E" w:rsidRDefault="00C236A2" w:rsidP="0099759E">
            <w:pPr>
              <w:spacing w:after="60"/>
              <w:rPr>
                <w:iCs/>
                <w:sz w:val="20"/>
              </w:rPr>
            </w:pPr>
            <w:r w:rsidRPr="0013396E">
              <w:rPr>
                <w:iCs/>
                <w:sz w:val="20"/>
              </w:rPr>
              <w:t xml:space="preserve">HSL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39D7DDFC" w14:textId="77777777" w:rsidR="00C236A2" w:rsidRPr="0013396E" w:rsidRDefault="00C236A2" w:rsidP="0099759E">
            <w:pPr>
              <w:spacing w:after="60"/>
              <w:rPr>
                <w:iCs/>
                <w:sz w:val="20"/>
              </w:rPr>
            </w:pPr>
            <w:r w:rsidRPr="0013396E">
              <w:rPr>
                <w:iCs/>
                <w:sz w:val="20"/>
              </w:rPr>
              <w:t>MW</w:t>
            </w:r>
          </w:p>
        </w:tc>
        <w:tc>
          <w:tcPr>
            <w:tcW w:w="3366" w:type="pct"/>
            <w:tcBorders>
              <w:top w:val="single" w:sz="4" w:space="0" w:color="auto"/>
              <w:left w:val="single" w:sz="4" w:space="0" w:color="auto"/>
              <w:bottom w:val="single" w:sz="4" w:space="0" w:color="auto"/>
              <w:right w:val="single" w:sz="4" w:space="0" w:color="auto"/>
            </w:tcBorders>
            <w:hideMark/>
          </w:tcPr>
          <w:p w14:paraId="296BDB26" w14:textId="77777777" w:rsidR="00C236A2" w:rsidRPr="0013396E" w:rsidRDefault="00C236A2" w:rsidP="0099759E">
            <w:pPr>
              <w:spacing w:after="60"/>
              <w:rPr>
                <w:iCs/>
                <w:sz w:val="20"/>
              </w:rPr>
            </w:pPr>
            <w:r w:rsidRPr="0013396E">
              <w:rPr>
                <w:i/>
                <w:iCs/>
                <w:sz w:val="20"/>
              </w:rPr>
              <w:t>High Sustained Limit</w:t>
            </w:r>
            <w:r w:rsidRPr="0013396E">
              <w:rPr>
                <w:iCs/>
                <w:sz w:val="20"/>
              </w:rPr>
              <w:t xml:space="preserve">—The HSL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defined in Section 2, Definitions and Acronyms, for the hour that includes the Settlement Interval.  Where for a combined cycle resource, </w:t>
            </w:r>
            <w:r w:rsidRPr="0013396E">
              <w:rPr>
                <w:i/>
                <w:iCs/>
                <w:sz w:val="20"/>
              </w:rPr>
              <w:t>r</w:t>
            </w:r>
            <w:r w:rsidRPr="0013396E">
              <w:rPr>
                <w:iCs/>
                <w:sz w:val="20"/>
              </w:rPr>
              <w:t xml:space="preserve"> is a Combined Cycle Generation Resource.</w:t>
            </w:r>
          </w:p>
        </w:tc>
      </w:tr>
      <w:tr w:rsidR="00C236A2" w:rsidRPr="0013396E" w14:paraId="41CFBEB1"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3A3E7C01" w14:textId="77777777" w:rsidR="00C236A2" w:rsidRPr="0013396E" w:rsidRDefault="00C236A2" w:rsidP="0099759E">
            <w:pPr>
              <w:spacing w:after="60"/>
              <w:rPr>
                <w:iCs/>
                <w:sz w:val="20"/>
              </w:rPr>
            </w:pPr>
            <w:r w:rsidRPr="0013396E">
              <w:rPr>
                <w:iCs/>
                <w:sz w:val="20"/>
              </w:rPr>
              <w:t xml:space="preserve">LSL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0A28151F" w14:textId="77777777" w:rsidR="00C236A2" w:rsidRPr="0013396E" w:rsidRDefault="00C236A2" w:rsidP="0099759E">
            <w:pPr>
              <w:spacing w:after="60"/>
              <w:rPr>
                <w:iCs/>
                <w:sz w:val="20"/>
              </w:rPr>
            </w:pPr>
            <w:r w:rsidRPr="0013396E">
              <w:rPr>
                <w:iCs/>
                <w:sz w:val="20"/>
              </w:rPr>
              <w:t>MW</w:t>
            </w:r>
          </w:p>
        </w:tc>
        <w:tc>
          <w:tcPr>
            <w:tcW w:w="3366" w:type="pct"/>
            <w:tcBorders>
              <w:top w:val="single" w:sz="4" w:space="0" w:color="auto"/>
              <w:left w:val="single" w:sz="4" w:space="0" w:color="auto"/>
              <w:bottom w:val="single" w:sz="4" w:space="0" w:color="auto"/>
              <w:right w:val="single" w:sz="4" w:space="0" w:color="auto"/>
            </w:tcBorders>
            <w:hideMark/>
          </w:tcPr>
          <w:p w14:paraId="3EBF092C" w14:textId="77777777" w:rsidR="00C236A2" w:rsidRPr="0013396E" w:rsidRDefault="00C236A2" w:rsidP="0099759E">
            <w:pPr>
              <w:spacing w:after="60"/>
              <w:rPr>
                <w:i/>
                <w:iCs/>
                <w:sz w:val="20"/>
              </w:rPr>
            </w:pPr>
            <w:r w:rsidRPr="0013396E">
              <w:rPr>
                <w:i/>
                <w:iCs/>
                <w:sz w:val="20"/>
              </w:rPr>
              <w:t>Low Sustained Limit</w:t>
            </w:r>
            <w:r w:rsidRPr="0013396E">
              <w:rPr>
                <w:iCs/>
                <w:sz w:val="20"/>
              </w:rPr>
              <w:t xml:space="preserve">—The LSL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defined in Section 2, for the hour that includes the Settlement Interval. Where for a combined cycle resource, </w:t>
            </w:r>
            <w:r w:rsidRPr="0013396E">
              <w:rPr>
                <w:i/>
                <w:iCs/>
                <w:sz w:val="20"/>
              </w:rPr>
              <w:t>r</w:t>
            </w:r>
            <w:r w:rsidRPr="0013396E">
              <w:rPr>
                <w:iCs/>
                <w:sz w:val="20"/>
              </w:rPr>
              <w:t xml:space="preserve"> is a Combined Cycle Generation Resource. </w:t>
            </w:r>
          </w:p>
        </w:tc>
      </w:tr>
      <w:tr w:rsidR="00C236A2" w:rsidRPr="0013396E" w14:paraId="314FCBB5"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59D360BE" w14:textId="77777777" w:rsidR="00C236A2" w:rsidRPr="0013396E" w:rsidRDefault="00C236A2" w:rsidP="0099759E">
            <w:pPr>
              <w:spacing w:after="60"/>
              <w:rPr>
                <w:i/>
                <w:iCs/>
                <w:sz w:val="20"/>
              </w:rPr>
            </w:pPr>
            <w:r w:rsidRPr="0013396E">
              <w:rPr>
                <w:i/>
                <w:iCs/>
                <w:sz w:val="20"/>
              </w:rPr>
              <w:t>q</w:t>
            </w:r>
          </w:p>
        </w:tc>
        <w:tc>
          <w:tcPr>
            <w:tcW w:w="618" w:type="pct"/>
            <w:tcBorders>
              <w:top w:val="single" w:sz="4" w:space="0" w:color="auto"/>
              <w:left w:val="single" w:sz="4" w:space="0" w:color="auto"/>
              <w:bottom w:val="single" w:sz="4" w:space="0" w:color="auto"/>
              <w:right w:val="single" w:sz="4" w:space="0" w:color="auto"/>
            </w:tcBorders>
            <w:hideMark/>
          </w:tcPr>
          <w:p w14:paraId="1D334E10" w14:textId="77777777" w:rsidR="00C236A2" w:rsidRPr="0013396E" w:rsidRDefault="00C236A2" w:rsidP="0099759E">
            <w:pPr>
              <w:spacing w:after="60"/>
              <w:rPr>
                <w:iCs/>
                <w:sz w:val="20"/>
              </w:rPr>
            </w:pPr>
            <w:r w:rsidRPr="0013396E">
              <w:rPr>
                <w:iCs/>
                <w:sz w:val="20"/>
              </w:rPr>
              <w:t>none</w:t>
            </w:r>
          </w:p>
        </w:tc>
        <w:tc>
          <w:tcPr>
            <w:tcW w:w="3366" w:type="pct"/>
            <w:tcBorders>
              <w:top w:val="single" w:sz="4" w:space="0" w:color="auto"/>
              <w:left w:val="single" w:sz="4" w:space="0" w:color="auto"/>
              <w:bottom w:val="single" w:sz="4" w:space="0" w:color="auto"/>
              <w:right w:val="single" w:sz="4" w:space="0" w:color="auto"/>
            </w:tcBorders>
            <w:hideMark/>
          </w:tcPr>
          <w:p w14:paraId="54468B03" w14:textId="77777777" w:rsidR="00C236A2" w:rsidRPr="0013396E" w:rsidRDefault="00C236A2" w:rsidP="0099759E">
            <w:pPr>
              <w:spacing w:after="60"/>
              <w:rPr>
                <w:iCs/>
                <w:sz w:val="20"/>
              </w:rPr>
            </w:pPr>
            <w:r w:rsidRPr="0013396E">
              <w:rPr>
                <w:iCs/>
                <w:sz w:val="20"/>
              </w:rPr>
              <w:t>A QSE.</w:t>
            </w:r>
          </w:p>
        </w:tc>
      </w:tr>
      <w:tr w:rsidR="00C236A2" w:rsidRPr="0013396E" w14:paraId="2E6407F9" w14:textId="77777777" w:rsidTr="0099759E">
        <w:trPr>
          <w:cantSplit/>
        </w:trPr>
        <w:tc>
          <w:tcPr>
            <w:tcW w:w="1016" w:type="pct"/>
            <w:tcBorders>
              <w:top w:val="single" w:sz="4" w:space="0" w:color="auto"/>
              <w:left w:val="single" w:sz="4" w:space="0" w:color="auto"/>
              <w:bottom w:val="single" w:sz="4" w:space="0" w:color="auto"/>
              <w:right w:val="single" w:sz="4" w:space="0" w:color="auto"/>
            </w:tcBorders>
            <w:hideMark/>
          </w:tcPr>
          <w:p w14:paraId="5D469B85" w14:textId="77777777" w:rsidR="00C236A2" w:rsidRPr="0013396E" w:rsidRDefault="00C236A2" w:rsidP="0099759E">
            <w:pPr>
              <w:spacing w:after="60"/>
              <w:rPr>
                <w:i/>
                <w:iCs/>
                <w:sz w:val="20"/>
              </w:rPr>
            </w:pPr>
            <w:r w:rsidRPr="0013396E">
              <w:rPr>
                <w:i/>
                <w:iCs/>
                <w:sz w:val="20"/>
              </w:rPr>
              <w:t>r</w:t>
            </w:r>
          </w:p>
        </w:tc>
        <w:tc>
          <w:tcPr>
            <w:tcW w:w="618" w:type="pct"/>
            <w:tcBorders>
              <w:top w:val="single" w:sz="4" w:space="0" w:color="auto"/>
              <w:left w:val="single" w:sz="4" w:space="0" w:color="auto"/>
              <w:bottom w:val="single" w:sz="4" w:space="0" w:color="auto"/>
              <w:right w:val="single" w:sz="4" w:space="0" w:color="auto"/>
            </w:tcBorders>
            <w:hideMark/>
          </w:tcPr>
          <w:p w14:paraId="78C92311" w14:textId="77777777" w:rsidR="00C236A2" w:rsidRPr="0013396E" w:rsidRDefault="00C236A2" w:rsidP="0099759E">
            <w:pPr>
              <w:spacing w:after="60"/>
              <w:rPr>
                <w:iCs/>
                <w:sz w:val="20"/>
              </w:rPr>
            </w:pPr>
            <w:r w:rsidRPr="0013396E">
              <w:rPr>
                <w:iCs/>
                <w:sz w:val="20"/>
              </w:rPr>
              <w:t>none</w:t>
            </w:r>
          </w:p>
        </w:tc>
        <w:tc>
          <w:tcPr>
            <w:tcW w:w="3366" w:type="pct"/>
            <w:tcBorders>
              <w:top w:val="single" w:sz="4" w:space="0" w:color="auto"/>
              <w:left w:val="single" w:sz="4" w:space="0" w:color="auto"/>
              <w:bottom w:val="single" w:sz="4" w:space="0" w:color="auto"/>
              <w:right w:val="single" w:sz="4" w:space="0" w:color="auto"/>
            </w:tcBorders>
            <w:hideMark/>
          </w:tcPr>
          <w:p w14:paraId="575336A4" w14:textId="77777777" w:rsidR="00C236A2" w:rsidRPr="0013396E" w:rsidRDefault="00C236A2" w:rsidP="0099759E">
            <w:pPr>
              <w:spacing w:after="60"/>
              <w:rPr>
                <w:iCs/>
                <w:sz w:val="20"/>
              </w:rPr>
            </w:pPr>
            <w:r w:rsidRPr="0013396E">
              <w:rPr>
                <w:iCs/>
                <w:sz w:val="20"/>
              </w:rPr>
              <w:t>A Generation Resource or ESR.</w:t>
            </w:r>
          </w:p>
        </w:tc>
      </w:tr>
    </w:tbl>
    <w:p w14:paraId="4E929F7E" w14:textId="77777777" w:rsidR="00C236A2" w:rsidRPr="0013396E" w:rsidRDefault="00C236A2" w:rsidP="00C236A2">
      <w:pPr>
        <w:spacing w:before="240" w:after="240"/>
        <w:ind w:left="720" w:hanging="720"/>
      </w:pPr>
      <w:r w:rsidRPr="0013396E">
        <w:t>(4)</w:t>
      </w:r>
      <w:r w:rsidRPr="0013396E">
        <w:tab/>
        <w:t>The total additional compensation to each QSE for voltage support service for the 15-minute Settlement Interval is calculated as follows:</w:t>
      </w:r>
    </w:p>
    <w:p w14:paraId="69FD7BEA" w14:textId="77777777" w:rsidR="00C236A2" w:rsidRPr="0013396E" w:rsidRDefault="00C236A2" w:rsidP="00C236A2">
      <w:pPr>
        <w:spacing w:after="240"/>
        <w:ind w:left="720"/>
        <w:rPr>
          <w:rFonts w:ascii="Times New Roman Bold" w:hAnsi="Times New Roman Bold"/>
          <w:i/>
          <w:vertAlign w:val="subscript"/>
        </w:rPr>
      </w:pPr>
      <w:r w:rsidRPr="0013396E">
        <w:rPr>
          <w:b/>
        </w:rPr>
        <w:t>VSSVARAMTQSETOT</w:t>
      </w:r>
      <w:r w:rsidRPr="0013396E">
        <w:rPr>
          <w:rFonts w:ascii="Times New Roman Bold" w:hAnsi="Times New Roman Bold"/>
          <w:b/>
          <w:vertAlign w:val="subscript"/>
        </w:rPr>
        <w:t>q</w:t>
      </w:r>
      <w:r w:rsidRPr="0013396E">
        <w:rPr>
          <w:b/>
        </w:rPr>
        <w:t xml:space="preserve"> =  </w:t>
      </w:r>
      <w:r w:rsidRPr="0013396E">
        <w:rPr>
          <w:iCs/>
          <w:position w:val="-28"/>
        </w:rPr>
        <w:object w:dxaOrig="435" w:dyaOrig="735" w14:anchorId="013791F7">
          <v:shape id="_x0000_i1191" type="#_x0000_t75" style="width:24pt;height:36.6pt" o:ole="">
            <v:imagedata r:id="rId243" o:title=""/>
          </v:shape>
          <o:OLEObject Type="Embed" ProgID="Equation.3" ShapeID="_x0000_i1191" DrawAspect="Content" ObjectID="_1849065821" r:id="rId244"/>
        </w:object>
      </w:r>
      <w:r w:rsidRPr="0013396E">
        <w:rPr>
          <w:b/>
        </w:rPr>
        <w:t xml:space="preserve"> VSSVARAMT</w:t>
      </w:r>
      <w:r w:rsidRPr="0013396E">
        <w:rPr>
          <w:rFonts w:ascii="Times New Roman Bold" w:hAnsi="Times New Roman Bold"/>
          <w:i/>
          <w:vertAlign w:val="subscript"/>
        </w:rPr>
        <w:t>q,r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886"/>
        <w:gridCol w:w="6162"/>
      </w:tblGrid>
      <w:tr w:rsidR="00C236A2" w:rsidRPr="0013396E" w14:paraId="11BB8E98" w14:textId="77777777" w:rsidTr="0099759E">
        <w:trPr>
          <w:cantSplit/>
          <w:tblHeader/>
        </w:trPr>
        <w:tc>
          <w:tcPr>
            <w:tcW w:w="1231" w:type="pct"/>
            <w:tcBorders>
              <w:top w:val="single" w:sz="4" w:space="0" w:color="auto"/>
              <w:left w:val="single" w:sz="4" w:space="0" w:color="auto"/>
              <w:bottom w:val="single" w:sz="4" w:space="0" w:color="auto"/>
              <w:right w:val="single" w:sz="4" w:space="0" w:color="auto"/>
            </w:tcBorders>
            <w:hideMark/>
          </w:tcPr>
          <w:p w14:paraId="3C87A35D" w14:textId="77777777" w:rsidR="00C236A2" w:rsidRPr="0013396E" w:rsidRDefault="00C236A2" w:rsidP="0099759E">
            <w:pPr>
              <w:spacing w:after="240"/>
              <w:rPr>
                <w:b/>
                <w:iCs/>
                <w:sz w:val="20"/>
              </w:rPr>
            </w:pPr>
            <w:r w:rsidRPr="0013396E">
              <w:rPr>
                <w:b/>
                <w:sz w:val="20"/>
              </w:rPr>
              <w:t>Variable</w:t>
            </w:r>
          </w:p>
        </w:tc>
        <w:tc>
          <w:tcPr>
            <w:tcW w:w="474" w:type="pct"/>
            <w:tcBorders>
              <w:top w:val="single" w:sz="4" w:space="0" w:color="auto"/>
              <w:left w:val="single" w:sz="4" w:space="0" w:color="auto"/>
              <w:bottom w:val="single" w:sz="4" w:space="0" w:color="auto"/>
              <w:right w:val="single" w:sz="4" w:space="0" w:color="auto"/>
            </w:tcBorders>
            <w:hideMark/>
          </w:tcPr>
          <w:p w14:paraId="3A92FB15" w14:textId="77777777" w:rsidR="00C236A2" w:rsidRPr="0013396E" w:rsidRDefault="00C236A2" w:rsidP="0099759E">
            <w:pPr>
              <w:spacing w:after="240"/>
              <w:rPr>
                <w:b/>
                <w:iCs/>
                <w:sz w:val="20"/>
              </w:rPr>
            </w:pPr>
            <w:r w:rsidRPr="0013396E">
              <w:rPr>
                <w:b/>
                <w:iCs/>
                <w:sz w:val="20"/>
              </w:rPr>
              <w:t>Unit</w:t>
            </w:r>
          </w:p>
        </w:tc>
        <w:tc>
          <w:tcPr>
            <w:tcW w:w="3295" w:type="pct"/>
            <w:tcBorders>
              <w:top w:val="single" w:sz="4" w:space="0" w:color="auto"/>
              <w:left w:val="single" w:sz="4" w:space="0" w:color="auto"/>
              <w:bottom w:val="single" w:sz="4" w:space="0" w:color="auto"/>
              <w:right w:val="single" w:sz="4" w:space="0" w:color="auto"/>
            </w:tcBorders>
            <w:hideMark/>
          </w:tcPr>
          <w:p w14:paraId="33B7155E" w14:textId="77777777" w:rsidR="00C236A2" w:rsidRPr="0013396E" w:rsidRDefault="00C236A2" w:rsidP="0099759E">
            <w:pPr>
              <w:spacing w:after="240"/>
              <w:rPr>
                <w:b/>
                <w:iCs/>
                <w:sz w:val="20"/>
              </w:rPr>
            </w:pPr>
            <w:r w:rsidRPr="0013396E">
              <w:rPr>
                <w:b/>
                <w:iCs/>
                <w:sz w:val="20"/>
              </w:rPr>
              <w:t>Definition</w:t>
            </w:r>
          </w:p>
        </w:tc>
      </w:tr>
      <w:tr w:rsidR="00C236A2" w:rsidRPr="0013396E" w14:paraId="13D08C72"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635A0FB8" w14:textId="77777777" w:rsidR="00C236A2" w:rsidRPr="0013396E" w:rsidRDefault="00C236A2" w:rsidP="0099759E">
            <w:pPr>
              <w:spacing w:after="60"/>
              <w:rPr>
                <w:iCs/>
                <w:sz w:val="20"/>
              </w:rPr>
            </w:pPr>
            <w:r w:rsidRPr="0013396E">
              <w:rPr>
                <w:iCs/>
                <w:sz w:val="20"/>
              </w:rPr>
              <w:t xml:space="preserve">VSSVARAMT </w:t>
            </w:r>
            <w:r w:rsidRPr="0013396E">
              <w:rPr>
                <w:i/>
                <w:iCs/>
                <w:sz w:val="20"/>
                <w:vertAlign w:val="subscript"/>
              </w:rPr>
              <w:t>q, r</w:t>
            </w:r>
          </w:p>
        </w:tc>
        <w:tc>
          <w:tcPr>
            <w:tcW w:w="474" w:type="pct"/>
            <w:tcBorders>
              <w:top w:val="single" w:sz="4" w:space="0" w:color="auto"/>
              <w:left w:val="single" w:sz="4" w:space="0" w:color="auto"/>
              <w:bottom w:val="single" w:sz="4" w:space="0" w:color="auto"/>
              <w:right w:val="single" w:sz="4" w:space="0" w:color="auto"/>
            </w:tcBorders>
            <w:hideMark/>
          </w:tcPr>
          <w:p w14:paraId="1119F005" w14:textId="77777777" w:rsidR="00C236A2" w:rsidRPr="0013396E" w:rsidRDefault="00C236A2" w:rsidP="0099759E">
            <w:pPr>
              <w:spacing w:after="60"/>
              <w:rPr>
                <w:iCs/>
                <w:sz w:val="20"/>
              </w:rPr>
            </w:pPr>
            <w:r w:rsidRPr="0013396E">
              <w:rPr>
                <w:iCs/>
                <w:sz w:val="20"/>
              </w:rPr>
              <w:t>$</w:t>
            </w:r>
          </w:p>
        </w:tc>
        <w:tc>
          <w:tcPr>
            <w:tcW w:w="3295" w:type="pct"/>
            <w:tcBorders>
              <w:top w:val="single" w:sz="4" w:space="0" w:color="auto"/>
              <w:left w:val="single" w:sz="4" w:space="0" w:color="auto"/>
              <w:bottom w:val="single" w:sz="4" w:space="0" w:color="auto"/>
              <w:right w:val="single" w:sz="4" w:space="0" w:color="auto"/>
            </w:tcBorders>
            <w:hideMark/>
          </w:tcPr>
          <w:p w14:paraId="2B19B20E" w14:textId="77777777" w:rsidR="00C236A2" w:rsidRPr="0013396E" w:rsidRDefault="00C236A2" w:rsidP="0099759E">
            <w:pPr>
              <w:spacing w:after="60"/>
              <w:rPr>
                <w:iCs/>
                <w:sz w:val="20"/>
              </w:rPr>
            </w:pPr>
            <w:r w:rsidRPr="0013396E">
              <w:rPr>
                <w:i/>
                <w:iCs/>
                <w:sz w:val="20"/>
              </w:rPr>
              <w:t>Voltage Support Service VAr Amount per QSE per Resource</w:t>
            </w:r>
            <w:r w:rsidRPr="0013396E">
              <w:rPr>
                <w:iCs/>
                <w:sz w:val="20"/>
              </w:rPr>
              <w:t xml:space="preserve">—The payment to QSE </w:t>
            </w:r>
            <w:r w:rsidRPr="0013396E">
              <w:rPr>
                <w:i/>
                <w:iCs/>
                <w:sz w:val="20"/>
              </w:rPr>
              <w:t>q</w:t>
            </w:r>
            <w:r w:rsidRPr="0013396E">
              <w:rPr>
                <w:iCs/>
                <w:sz w:val="20"/>
              </w:rPr>
              <w:t xml:space="preserve"> for the VSS provided by Resource </w:t>
            </w:r>
            <w:r w:rsidRPr="0013396E">
              <w:rPr>
                <w:i/>
                <w:iCs/>
                <w:sz w:val="20"/>
              </w:rPr>
              <w:t>r</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56AEB202"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42A89E39" w14:textId="77777777" w:rsidR="00C236A2" w:rsidRPr="0013396E" w:rsidRDefault="00C236A2" w:rsidP="0099759E">
            <w:pPr>
              <w:spacing w:after="60"/>
              <w:rPr>
                <w:iCs/>
                <w:sz w:val="20"/>
              </w:rPr>
            </w:pPr>
            <w:r w:rsidRPr="0013396E">
              <w:rPr>
                <w:iCs/>
                <w:sz w:val="20"/>
              </w:rPr>
              <w:t xml:space="preserve">VSSVARAMTQSETOT </w:t>
            </w:r>
            <w:r w:rsidRPr="0013396E">
              <w:rPr>
                <w:i/>
                <w:iCs/>
                <w:sz w:val="20"/>
                <w:vertAlign w:val="subscript"/>
              </w:rPr>
              <w:t>q</w:t>
            </w:r>
          </w:p>
        </w:tc>
        <w:tc>
          <w:tcPr>
            <w:tcW w:w="474" w:type="pct"/>
            <w:tcBorders>
              <w:top w:val="single" w:sz="4" w:space="0" w:color="auto"/>
              <w:left w:val="single" w:sz="4" w:space="0" w:color="auto"/>
              <w:bottom w:val="single" w:sz="4" w:space="0" w:color="auto"/>
              <w:right w:val="single" w:sz="4" w:space="0" w:color="auto"/>
            </w:tcBorders>
            <w:hideMark/>
          </w:tcPr>
          <w:p w14:paraId="59CABC02" w14:textId="77777777" w:rsidR="00C236A2" w:rsidRPr="0013396E" w:rsidRDefault="00C236A2" w:rsidP="0099759E">
            <w:pPr>
              <w:spacing w:after="60"/>
              <w:rPr>
                <w:i/>
                <w:iCs/>
                <w:sz w:val="20"/>
              </w:rPr>
            </w:pPr>
            <w:r w:rsidRPr="0013396E">
              <w:rPr>
                <w:iCs/>
                <w:sz w:val="20"/>
              </w:rPr>
              <w:t>$</w:t>
            </w:r>
          </w:p>
        </w:tc>
        <w:tc>
          <w:tcPr>
            <w:tcW w:w="3295" w:type="pct"/>
            <w:tcBorders>
              <w:top w:val="single" w:sz="4" w:space="0" w:color="auto"/>
              <w:left w:val="single" w:sz="4" w:space="0" w:color="auto"/>
              <w:bottom w:val="single" w:sz="4" w:space="0" w:color="auto"/>
              <w:right w:val="single" w:sz="4" w:space="0" w:color="auto"/>
            </w:tcBorders>
            <w:hideMark/>
          </w:tcPr>
          <w:p w14:paraId="519B879F" w14:textId="77777777" w:rsidR="00C236A2" w:rsidRPr="0013396E" w:rsidRDefault="00C236A2" w:rsidP="0099759E">
            <w:pPr>
              <w:spacing w:after="60"/>
              <w:rPr>
                <w:iCs/>
                <w:sz w:val="20"/>
              </w:rPr>
            </w:pPr>
            <w:r w:rsidRPr="0013396E">
              <w:rPr>
                <w:i/>
                <w:iCs/>
                <w:sz w:val="20"/>
              </w:rPr>
              <w:t>Voltage Support VAr Amount QSE total per QSE</w:t>
            </w:r>
            <w:r w:rsidRPr="0013396E">
              <w:rPr>
                <w:iCs/>
                <w:sz w:val="20"/>
              </w:rPr>
              <w:t xml:space="preserve">—The total of the payments to QSE </w:t>
            </w:r>
            <w:r w:rsidRPr="0013396E">
              <w:rPr>
                <w:i/>
                <w:iCs/>
                <w:sz w:val="20"/>
              </w:rPr>
              <w:t>q</w:t>
            </w:r>
            <w:r w:rsidRPr="0013396E">
              <w:rPr>
                <w:iCs/>
                <w:sz w:val="20"/>
              </w:rPr>
              <w:t xml:space="preserve"> as compensation for VSS by this QSE for the 15-minute settlement interval.</w:t>
            </w:r>
          </w:p>
        </w:tc>
      </w:tr>
      <w:tr w:rsidR="00C236A2" w:rsidRPr="0013396E" w14:paraId="3A34F1F4"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06EFC900" w14:textId="77777777" w:rsidR="00C236A2" w:rsidRPr="0013396E" w:rsidRDefault="00C236A2" w:rsidP="0099759E">
            <w:pPr>
              <w:spacing w:after="60"/>
              <w:rPr>
                <w:i/>
                <w:iCs/>
                <w:sz w:val="20"/>
              </w:rPr>
            </w:pPr>
            <w:r w:rsidRPr="0013396E">
              <w:rPr>
                <w:i/>
                <w:iCs/>
                <w:sz w:val="20"/>
              </w:rPr>
              <w:t>q</w:t>
            </w:r>
          </w:p>
        </w:tc>
        <w:tc>
          <w:tcPr>
            <w:tcW w:w="474" w:type="pct"/>
            <w:tcBorders>
              <w:top w:val="single" w:sz="4" w:space="0" w:color="auto"/>
              <w:left w:val="single" w:sz="4" w:space="0" w:color="auto"/>
              <w:bottom w:val="single" w:sz="4" w:space="0" w:color="auto"/>
              <w:right w:val="single" w:sz="4" w:space="0" w:color="auto"/>
            </w:tcBorders>
            <w:hideMark/>
          </w:tcPr>
          <w:p w14:paraId="37FEC969" w14:textId="77777777" w:rsidR="00C236A2" w:rsidRPr="0013396E" w:rsidRDefault="00C236A2" w:rsidP="0099759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448194C4" w14:textId="77777777" w:rsidR="00C236A2" w:rsidRPr="0013396E" w:rsidRDefault="00C236A2" w:rsidP="0099759E">
            <w:pPr>
              <w:spacing w:after="60"/>
              <w:rPr>
                <w:iCs/>
                <w:sz w:val="20"/>
              </w:rPr>
            </w:pPr>
            <w:r w:rsidRPr="0013396E">
              <w:rPr>
                <w:iCs/>
                <w:sz w:val="20"/>
              </w:rPr>
              <w:t>A QSE.</w:t>
            </w:r>
          </w:p>
        </w:tc>
      </w:tr>
      <w:tr w:rsidR="00C236A2" w:rsidRPr="0013396E" w14:paraId="5149CF11" w14:textId="77777777" w:rsidTr="0099759E">
        <w:trPr>
          <w:cantSplit/>
        </w:trPr>
        <w:tc>
          <w:tcPr>
            <w:tcW w:w="1231" w:type="pct"/>
            <w:tcBorders>
              <w:top w:val="single" w:sz="4" w:space="0" w:color="auto"/>
              <w:left w:val="single" w:sz="4" w:space="0" w:color="auto"/>
              <w:bottom w:val="single" w:sz="4" w:space="0" w:color="auto"/>
              <w:right w:val="single" w:sz="4" w:space="0" w:color="auto"/>
            </w:tcBorders>
            <w:hideMark/>
          </w:tcPr>
          <w:p w14:paraId="1C32F3D0" w14:textId="77777777" w:rsidR="00C236A2" w:rsidRPr="0013396E" w:rsidRDefault="00C236A2" w:rsidP="0099759E">
            <w:pPr>
              <w:spacing w:after="60"/>
              <w:rPr>
                <w:i/>
                <w:iCs/>
                <w:sz w:val="20"/>
              </w:rPr>
            </w:pPr>
            <w:r w:rsidRPr="0013396E">
              <w:rPr>
                <w:i/>
                <w:iCs/>
                <w:sz w:val="20"/>
              </w:rPr>
              <w:t>r</w:t>
            </w:r>
          </w:p>
        </w:tc>
        <w:tc>
          <w:tcPr>
            <w:tcW w:w="474" w:type="pct"/>
            <w:tcBorders>
              <w:top w:val="single" w:sz="4" w:space="0" w:color="auto"/>
              <w:left w:val="single" w:sz="4" w:space="0" w:color="auto"/>
              <w:bottom w:val="single" w:sz="4" w:space="0" w:color="auto"/>
              <w:right w:val="single" w:sz="4" w:space="0" w:color="auto"/>
            </w:tcBorders>
            <w:hideMark/>
          </w:tcPr>
          <w:p w14:paraId="69C021B1" w14:textId="77777777" w:rsidR="00C236A2" w:rsidRPr="0013396E" w:rsidRDefault="00C236A2" w:rsidP="0099759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0AD966CF" w14:textId="77777777" w:rsidR="00C236A2" w:rsidRPr="0013396E" w:rsidRDefault="00C236A2" w:rsidP="0099759E">
            <w:pPr>
              <w:spacing w:after="60"/>
              <w:rPr>
                <w:iCs/>
                <w:sz w:val="20"/>
              </w:rPr>
            </w:pPr>
            <w:r w:rsidRPr="0013396E">
              <w:rPr>
                <w:iCs/>
                <w:sz w:val="20"/>
              </w:rPr>
              <w:t>A Generation Resource or ESR.</w:t>
            </w:r>
          </w:p>
        </w:tc>
      </w:tr>
    </w:tbl>
    <w:p w14:paraId="17999E0A" w14:textId="77777777" w:rsidR="00C236A2" w:rsidRPr="0013396E" w:rsidRDefault="00C236A2" w:rsidP="00C236A2"/>
    <w:p w14:paraId="7B509775" w14:textId="77777777" w:rsidR="00C236A2" w:rsidRPr="0013396E" w:rsidRDefault="00C236A2" w:rsidP="00C236A2">
      <w:pPr>
        <w:spacing w:after="240"/>
        <w:ind w:left="720" w:hanging="720"/>
        <w:rPr>
          <w:iCs/>
        </w:rPr>
      </w:pPr>
      <w:r w:rsidRPr="0013396E">
        <w:t>(5)</w:t>
      </w:r>
      <w:r w:rsidRPr="0013396E">
        <w:tab/>
        <w:t>The lost opportunity payment, if applicable:</w:t>
      </w:r>
    </w:p>
    <w:p w14:paraId="5DCF5BB0"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 xml:space="preserve">If an ESR has a net withdrawal for the Settlement Interval, then: </w:t>
      </w:r>
    </w:p>
    <w:p w14:paraId="76FD5643" w14:textId="77777777" w:rsidR="00C236A2" w:rsidRPr="0013396E" w:rsidRDefault="00C236A2" w:rsidP="00C236A2">
      <w:pPr>
        <w:tabs>
          <w:tab w:val="left" w:pos="2340"/>
          <w:tab w:val="left" w:pos="3420"/>
        </w:tabs>
        <w:spacing w:after="240"/>
        <w:ind w:left="3420" w:hanging="2700"/>
        <w:rPr>
          <w:rFonts w:asciiTheme="minorHAnsi" w:eastAsiaTheme="minorHAnsi" w:hAnsiTheme="minorHAnsi" w:cstheme="minorBidi"/>
          <w:b/>
          <w:sz w:val="22"/>
          <w:szCs w:val="22"/>
          <w:lang w:val="pt-BR"/>
        </w:rPr>
      </w:pPr>
      <w:r w:rsidRPr="0013396E">
        <w:rPr>
          <w:b/>
          <w:bCs/>
          <w:lang w:val="pt-BR"/>
        </w:rPr>
        <w:t xml:space="preserve">VSSEAMT </w:t>
      </w:r>
      <w:r w:rsidRPr="0013396E">
        <w:rPr>
          <w:b/>
          <w:bCs/>
          <w:i/>
          <w:vertAlign w:val="subscript"/>
          <w:lang w:val="pt-BR"/>
        </w:rPr>
        <w:t>q, r</w:t>
      </w:r>
      <w:r w:rsidRPr="0013396E">
        <w:rPr>
          <w:b/>
          <w:bCs/>
          <w:lang w:val="pt-BR"/>
        </w:rPr>
        <w:tab/>
        <w:t xml:space="preserve"> =  </w:t>
      </w:r>
      <w:r w:rsidRPr="0013396E">
        <w:rPr>
          <w:b/>
          <w:bCs/>
        </w:rPr>
        <w:t xml:space="preserve">(-1) * Max (0, </w:t>
      </w:r>
      <w:r w:rsidRPr="0013396E">
        <w:rPr>
          <w:b/>
          <w:bCs/>
          <w:lang w:val="pt-BR"/>
        </w:rPr>
        <w:t>RTSPP</w:t>
      </w:r>
      <w:r w:rsidRPr="0013396E">
        <w:rPr>
          <w:rFonts w:ascii="Times New Roman Bold" w:hAnsi="Times New Roman Bold"/>
          <w:b/>
          <w:bCs/>
          <w:vertAlign w:val="subscript"/>
          <w:lang w:val="pt-BR"/>
        </w:rPr>
        <w:t xml:space="preserve"> </w:t>
      </w:r>
      <w:r w:rsidRPr="0013396E">
        <w:rPr>
          <w:rFonts w:ascii="Times New Roman Bold" w:hAnsi="Times New Roman Bold"/>
          <w:b/>
          <w:bCs/>
          <w:i/>
          <w:vertAlign w:val="subscript"/>
          <w:lang w:val="pt-BR"/>
        </w:rPr>
        <w:t>p</w:t>
      </w:r>
      <w:r w:rsidRPr="0013396E">
        <w:rPr>
          <w:b/>
          <w:bCs/>
          <w:lang w:val="pt-BR"/>
        </w:rPr>
        <w:t xml:space="preserve"> ) * Max (0,  (ABS(LSL </w:t>
      </w:r>
      <w:r w:rsidRPr="0013396E">
        <w:rPr>
          <w:b/>
          <w:bCs/>
          <w:i/>
          <w:vertAlign w:val="subscript"/>
          <w:lang w:val="pt-BR"/>
        </w:rPr>
        <w:t>q, r</w:t>
      </w:r>
      <w:r w:rsidRPr="0013396E">
        <w:rPr>
          <w:b/>
          <w:bCs/>
          <w:lang w:val="pt-BR"/>
        </w:rPr>
        <w:t xml:space="preserve"> * ¼  - </w:t>
      </w:r>
      <w:r w:rsidRPr="0013396E">
        <w:rPr>
          <w:b/>
          <w:bCs/>
        </w:rPr>
        <w:t>NETVSSA</w:t>
      </w:r>
      <w:r w:rsidRPr="0013396E">
        <w:rPr>
          <w:b/>
          <w:bCs/>
          <w:i/>
          <w:vertAlign w:val="subscript"/>
        </w:rPr>
        <w:t xml:space="preserve"> q, r</w:t>
      </w:r>
      <w:r w:rsidRPr="0013396E">
        <w:rPr>
          <w:b/>
          <w:bCs/>
          <w:lang w:val="pt-BR"/>
        </w:rPr>
        <w:t>)))</w:t>
      </w:r>
    </w:p>
    <w:p w14:paraId="6FE334AF" w14:textId="77777777" w:rsidR="00C236A2" w:rsidRPr="0013396E" w:rsidRDefault="00C236A2" w:rsidP="00C236A2">
      <w:pPr>
        <w:spacing w:after="240"/>
        <w:ind w:left="720" w:hanging="720"/>
        <w:rPr>
          <w:lang w:val="pt-BR"/>
        </w:rPr>
      </w:pPr>
      <w:r w:rsidRPr="0013396E">
        <w:lastRenderedPageBreak/>
        <w:tab/>
      </w:r>
      <w:r w:rsidRPr="0013396E">
        <w:rPr>
          <w:bCs/>
          <w:lang w:val="pt-BR"/>
        </w:rPr>
        <w:t>Otherwise, for Generation Resources or ESRs that have a net injection for the Settlement Interval:</w:t>
      </w:r>
    </w:p>
    <w:p w14:paraId="7A691096" w14:textId="77777777" w:rsidR="00C236A2" w:rsidRPr="0013396E" w:rsidRDefault="00C236A2" w:rsidP="00C236A2">
      <w:pPr>
        <w:pStyle w:val="FormulaBold"/>
        <w:rPr>
          <w:lang w:val="pt-BR"/>
        </w:rPr>
      </w:pPr>
      <w:r w:rsidRPr="0013396E">
        <w:rPr>
          <w:lang w:val="pt-BR"/>
        </w:rPr>
        <w:t xml:space="preserve">VSSEAMT </w:t>
      </w:r>
      <w:r w:rsidRPr="0013396E">
        <w:rPr>
          <w:i/>
          <w:vertAlign w:val="subscript"/>
          <w:lang w:val="pt-BR"/>
        </w:rPr>
        <w:t>q, r</w:t>
      </w:r>
      <w:r w:rsidRPr="0013396E">
        <w:rPr>
          <w:lang w:val="pt-BR"/>
        </w:rPr>
        <w:tab/>
        <w:t xml:space="preserve">=     </w:t>
      </w:r>
      <w:r w:rsidRPr="0013396E">
        <w:t xml:space="preserve">(-1) * </w:t>
      </w:r>
      <w:r w:rsidRPr="0013396E">
        <w:rPr>
          <w:lang w:val="pt-BR"/>
        </w:rPr>
        <w:t>Max (0, (RTSPP</w:t>
      </w:r>
      <w:r w:rsidRPr="0013396E">
        <w:rPr>
          <w:rFonts w:ascii="Times New Roman Bold" w:hAnsi="Times New Roman Bold"/>
          <w:vertAlign w:val="subscript"/>
          <w:lang w:val="pt-BR"/>
        </w:rPr>
        <w:t xml:space="preserve"> </w:t>
      </w:r>
      <w:r w:rsidRPr="0013396E">
        <w:rPr>
          <w:rFonts w:ascii="Times New Roman Bold" w:hAnsi="Times New Roman Bold"/>
          <w:i/>
          <w:vertAlign w:val="subscript"/>
          <w:lang w:val="pt-BR"/>
        </w:rPr>
        <w:t>p</w:t>
      </w:r>
      <w:r w:rsidRPr="0013396E">
        <w:rPr>
          <w:lang w:val="pt-BR"/>
        </w:rPr>
        <w:t xml:space="preserve"> –</w:t>
      </w:r>
      <w:r w:rsidRPr="0013396E">
        <w:t xml:space="preserve"> RTEOCOST </w:t>
      </w:r>
      <w:r w:rsidRPr="0013396E">
        <w:rPr>
          <w:i/>
          <w:vertAlign w:val="subscript"/>
        </w:rPr>
        <w:t>q, r, i</w:t>
      </w:r>
      <w:r w:rsidRPr="0013396E">
        <w:rPr>
          <w:lang w:val="pt-BR"/>
        </w:rPr>
        <w:t xml:space="preserve">) * Max (0, (HSL </w:t>
      </w:r>
      <w:r w:rsidRPr="0013396E">
        <w:rPr>
          <w:i/>
          <w:vertAlign w:val="subscript"/>
          <w:lang w:val="pt-BR"/>
        </w:rPr>
        <w:t>q, r</w:t>
      </w:r>
      <w:r w:rsidRPr="0013396E">
        <w:rPr>
          <w:lang w:val="pt-BR"/>
        </w:rPr>
        <w:t xml:space="preserve"> * ¼ - </w:t>
      </w:r>
      <w:r w:rsidRPr="0013396E">
        <w:rPr>
          <w:bCs w:val="0"/>
        </w:rPr>
        <w:t>NETVSSA</w:t>
      </w:r>
      <w:r w:rsidRPr="0013396E">
        <w:rPr>
          <w:bCs w:val="0"/>
          <w:i/>
          <w:vertAlign w:val="subscript"/>
        </w:rPr>
        <w:t xml:space="preserve"> q, r</w:t>
      </w:r>
      <w:r w:rsidRPr="0013396E">
        <w:rPr>
          <w:lang w:val="pt-BR"/>
        </w:rPr>
        <w:t>)))</w:t>
      </w:r>
    </w:p>
    <w:p w14:paraId="2BAE43CD" w14:textId="77777777" w:rsidR="00C236A2" w:rsidRPr="0013396E" w:rsidRDefault="00C236A2" w:rsidP="00C236A2">
      <w:pPr>
        <w:tabs>
          <w:tab w:val="left" w:pos="2340"/>
          <w:tab w:val="left" w:pos="3420"/>
        </w:tabs>
        <w:spacing w:after="240"/>
        <w:ind w:left="3420" w:hanging="2700"/>
        <w:rPr>
          <w:bCs/>
          <w:lang w:val="pt-BR"/>
        </w:rPr>
      </w:pPr>
      <w:r w:rsidRPr="0013396E">
        <w:rPr>
          <w:bCs/>
          <w:lang w:val="pt-BR"/>
        </w:rPr>
        <w:t>Where:</w:t>
      </w:r>
    </w:p>
    <w:p w14:paraId="576BEC4F" w14:textId="77777777" w:rsidR="00C236A2" w:rsidRPr="0013396E" w:rsidRDefault="00C236A2" w:rsidP="00C236A2">
      <w:pPr>
        <w:tabs>
          <w:tab w:val="left" w:pos="2340"/>
          <w:tab w:val="left" w:pos="3420"/>
        </w:tabs>
        <w:spacing w:after="240"/>
        <w:ind w:left="3420" w:hanging="2700"/>
        <w:rPr>
          <w:b/>
          <w:bCs/>
          <w:lang w:val="pt-BR"/>
        </w:rPr>
      </w:pPr>
      <w:r w:rsidRPr="0013396E">
        <w:rPr>
          <w:bCs/>
        </w:rPr>
        <w:t>NETVSSA</w:t>
      </w:r>
      <w:r w:rsidRPr="0013396E">
        <w:rPr>
          <w:bCs/>
          <w:i/>
          <w:vertAlign w:val="subscript"/>
        </w:rPr>
        <w:t xml:space="preserve"> q, r</w:t>
      </w:r>
      <w:r w:rsidRPr="0013396E">
        <w:rPr>
          <w:bCs/>
        </w:rPr>
        <w:t xml:space="preserve"> = RTCL </w:t>
      </w:r>
      <w:r w:rsidRPr="0013396E">
        <w:rPr>
          <w:bCs/>
          <w:i/>
          <w:vertAlign w:val="subscript"/>
        </w:rPr>
        <w:t xml:space="preserve">q, r </w:t>
      </w:r>
      <w:r w:rsidRPr="0013396E">
        <w:rPr>
          <w:bCs/>
          <w:i/>
        </w:rPr>
        <w:t xml:space="preserve">+ </w:t>
      </w:r>
      <w:r w:rsidRPr="0013396E">
        <w:rPr>
          <w:bCs/>
        </w:rPr>
        <w:t xml:space="preserve">RTMG </w:t>
      </w:r>
      <w:r w:rsidRPr="0013396E">
        <w:rPr>
          <w:bCs/>
          <w:i/>
          <w:vertAlign w:val="subscript"/>
        </w:rPr>
        <w:t>q, r</w:t>
      </w:r>
    </w:p>
    <w:p w14:paraId="62556E8F" w14:textId="77777777" w:rsidR="00C236A2" w:rsidRPr="0013396E" w:rsidRDefault="00C236A2" w:rsidP="00C236A2">
      <w:pPr>
        <w:tabs>
          <w:tab w:val="left" w:pos="2340"/>
          <w:tab w:val="left" w:pos="3420"/>
        </w:tabs>
        <w:spacing w:after="240"/>
        <w:ind w:left="3420" w:hanging="2700"/>
        <w:rPr>
          <w:rFonts w:asciiTheme="minorHAnsi" w:eastAsiaTheme="minorHAnsi" w:hAnsiTheme="minorHAnsi" w:cstheme="minorBidi"/>
          <w:sz w:val="22"/>
          <w:szCs w:val="22"/>
          <w:lang w:val="pt-BR"/>
        </w:rPr>
      </w:pPr>
      <w:r w:rsidRPr="0013396E">
        <w:rPr>
          <w:bCs/>
          <w:lang w:val="pt-BR"/>
        </w:rPr>
        <w:t>For an ESR that is not a WSL:</w:t>
      </w:r>
    </w:p>
    <w:p w14:paraId="027F5851" w14:textId="77777777" w:rsidR="00C236A2" w:rsidRPr="0013396E" w:rsidRDefault="00C236A2" w:rsidP="00C236A2">
      <w:pPr>
        <w:tabs>
          <w:tab w:val="left" w:pos="2340"/>
          <w:tab w:val="left" w:pos="3420"/>
        </w:tabs>
        <w:spacing w:after="240"/>
        <w:ind w:left="3420" w:hanging="2700"/>
      </w:pPr>
      <w:r w:rsidRPr="0013396E">
        <w:rPr>
          <w:bCs/>
        </w:rPr>
        <w:t xml:space="preserve">RTCL </w:t>
      </w:r>
      <w:r w:rsidRPr="0013396E">
        <w:rPr>
          <w:bCs/>
          <w:i/>
          <w:vertAlign w:val="subscript"/>
        </w:rPr>
        <w:t>q, r</w:t>
      </w:r>
      <w:r w:rsidRPr="0013396E">
        <w:rPr>
          <w:bCs/>
        </w:rPr>
        <w:t xml:space="preserve"> = </w:t>
      </w:r>
      <w:r w:rsidRPr="0013396E">
        <w:rPr>
          <w:bCs/>
          <w:position w:val="-22"/>
        </w:rPr>
        <w:t xml:space="preserve"> </w:t>
      </w:r>
      <w:r w:rsidRPr="0013396E">
        <w:rPr>
          <w:bCs/>
          <w:position w:val="-20"/>
        </w:rPr>
        <w:object w:dxaOrig="270" w:dyaOrig="435" w14:anchorId="4BE76EC5">
          <v:shape id="_x0000_i1192" type="#_x0000_t75" style="width:12pt;height:24pt" o:ole="">
            <v:imagedata r:id="rId115" o:title=""/>
          </v:shape>
          <o:OLEObject Type="Embed" ProgID="Equation.3" ShapeID="_x0000_i1192" DrawAspect="Content" ObjectID="_1849065822" r:id="rId245"/>
        </w:object>
      </w:r>
      <w:r w:rsidRPr="0013396E">
        <w:rPr>
          <w:bCs/>
        </w:rPr>
        <w:t xml:space="preserve"> MEBR </w:t>
      </w:r>
      <w:r w:rsidRPr="0013396E">
        <w:rPr>
          <w:bCs/>
          <w:i/>
          <w:vertAlign w:val="subscript"/>
        </w:rPr>
        <w:t>q, r, b</w:t>
      </w:r>
      <w:r w:rsidRPr="0013396E">
        <w:rPr>
          <w:bCs/>
        </w:rPr>
        <w:t xml:space="preserve"> </w:t>
      </w:r>
    </w:p>
    <w:p w14:paraId="6A6BD245" w14:textId="77777777" w:rsidR="00C236A2" w:rsidRPr="0013396E" w:rsidRDefault="00C236A2" w:rsidP="00C236A2">
      <w:pPr>
        <w:tabs>
          <w:tab w:val="left" w:pos="2340"/>
          <w:tab w:val="left" w:pos="3420"/>
        </w:tabs>
        <w:spacing w:after="240"/>
        <w:ind w:left="3420" w:hanging="2700"/>
      </w:pPr>
      <w:r w:rsidRPr="0013396E">
        <w:rPr>
          <w:bCs/>
        </w:rPr>
        <w:t>And for an ESR that is a WSL:</w:t>
      </w:r>
    </w:p>
    <w:p w14:paraId="456E9FC6" w14:textId="77777777" w:rsidR="00C236A2" w:rsidRPr="0013396E" w:rsidRDefault="00C236A2" w:rsidP="00C236A2">
      <w:pPr>
        <w:tabs>
          <w:tab w:val="left" w:pos="2340"/>
          <w:tab w:val="left" w:pos="3420"/>
        </w:tabs>
        <w:spacing w:after="240"/>
        <w:ind w:left="3420" w:hanging="2700"/>
        <w:rPr>
          <w:i/>
          <w:vertAlign w:val="subscript"/>
        </w:rPr>
      </w:pPr>
      <w:r w:rsidRPr="0013396E">
        <w:rPr>
          <w:bCs/>
        </w:rPr>
        <w:t xml:space="preserve">RTCL </w:t>
      </w:r>
      <w:r w:rsidRPr="0013396E">
        <w:rPr>
          <w:bCs/>
          <w:i/>
          <w:vertAlign w:val="subscript"/>
        </w:rPr>
        <w:t>q, r</w:t>
      </w:r>
      <w:r w:rsidRPr="0013396E">
        <w:rPr>
          <w:bCs/>
        </w:rPr>
        <w:t xml:space="preserve"> = </w:t>
      </w:r>
      <w:r w:rsidRPr="0013396E">
        <w:rPr>
          <w:bCs/>
          <w:position w:val="-22"/>
        </w:rPr>
        <w:t xml:space="preserve"> </w:t>
      </w:r>
      <w:r w:rsidRPr="0013396E">
        <w:rPr>
          <w:bCs/>
          <w:position w:val="-20"/>
        </w:rPr>
        <w:object w:dxaOrig="270" w:dyaOrig="435" w14:anchorId="089164B2">
          <v:shape id="_x0000_i1193" type="#_x0000_t75" style="width:12pt;height:24pt" o:ole="">
            <v:imagedata r:id="rId115" o:title=""/>
          </v:shape>
          <o:OLEObject Type="Embed" ProgID="Equation.3" ShapeID="_x0000_i1193" DrawAspect="Content" ObjectID="_1849065823" r:id="rId246"/>
        </w:object>
      </w:r>
      <w:r w:rsidRPr="0013396E">
        <w:rPr>
          <w:bCs/>
        </w:rPr>
        <w:t xml:space="preserve"> MEBL </w:t>
      </w:r>
      <w:r w:rsidRPr="0013396E">
        <w:rPr>
          <w:bCs/>
          <w:i/>
          <w:vertAlign w:val="subscript"/>
        </w:rPr>
        <w:t>q, r, b</w:t>
      </w:r>
      <w:r w:rsidRPr="0013396E">
        <w:rPr>
          <w:bCs/>
        </w:rPr>
        <w:t xml:space="preserve"> </w:t>
      </w:r>
    </w:p>
    <w:p w14:paraId="3FF43F54" w14:textId="77777777" w:rsidR="00C236A2" w:rsidRPr="0013396E" w:rsidRDefault="00C236A2" w:rsidP="00C236A2">
      <w:r w:rsidRPr="0013396E">
        <w:t>The above variables are defined as follows:</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0"/>
        <w:gridCol w:w="839"/>
        <w:gridCol w:w="6775"/>
      </w:tblGrid>
      <w:tr w:rsidR="00C236A2" w:rsidRPr="0013396E" w14:paraId="5000FA09" w14:textId="77777777" w:rsidTr="0099759E">
        <w:trPr>
          <w:cantSplit/>
          <w:tblHeader/>
        </w:trPr>
        <w:tc>
          <w:tcPr>
            <w:tcW w:w="823" w:type="pct"/>
            <w:tcBorders>
              <w:top w:val="single" w:sz="4" w:space="0" w:color="auto"/>
              <w:left w:val="single" w:sz="4" w:space="0" w:color="auto"/>
              <w:bottom w:val="single" w:sz="4" w:space="0" w:color="auto"/>
              <w:right w:val="single" w:sz="4" w:space="0" w:color="auto"/>
            </w:tcBorders>
            <w:hideMark/>
          </w:tcPr>
          <w:p w14:paraId="182E4F89" w14:textId="77777777" w:rsidR="00C236A2" w:rsidRPr="0013396E" w:rsidRDefault="00C236A2" w:rsidP="0099759E">
            <w:pPr>
              <w:pStyle w:val="TableHead"/>
              <w:spacing w:line="256" w:lineRule="auto"/>
            </w:pPr>
            <w:r w:rsidRPr="0013396E">
              <w:rPr>
                <w:iCs w:val="0"/>
              </w:rPr>
              <w:t>Variable</w:t>
            </w:r>
          </w:p>
        </w:tc>
        <w:tc>
          <w:tcPr>
            <w:tcW w:w="460" w:type="pct"/>
            <w:tcBorders>
              <w:top w:val="single" w:sz="4" w:space="0" w:color="auto"/>
              <w:left w:val="single" w:sz="4" w:space="0" w:color="auto"/>
              <w:bottom w:val="single" w:sz="4" w:space="0" w:color="auto"/>
              <w:right w:val="single" w:sz="4" w:space="0" w:color="auto"/>
            </w:tcBorders>
            <w:hideMark/>
          </w:tcPr>
          <w:p w14:paraId="43AE0253" w14:textId="77777777" w:rsidR="00C236A2" w:rsidRPr="0013396E" w:rsidRDefault="00C236A2" w:rsidP="0099759E">
            <w:pPr>
              <w:pStyle w:val="TableHead"/>
              <w:spacing w:line="256" w:lineRule="auto"/>
            </w:pPr>
            <w:r w:rsidRPr="0013396E">
              <w:t>Unit</w:t>
            </w:r>
          </w:p>
        </w:tc>
        <w:tc>
          <w:tcPr>
            <w:tcW w:w="3716" w:type="pct"/>
            <w:tcBorders>
              <w:top w:val="single" w:sz="4" w:space="0" w:color="auto"/>
              <w:left w:val="single" w:sz="4" w:space="0" w:color="auto"/>
              <w:bottom w:val="single" w:sz="4" w:space="0" w:color="auto"/>
              <w:right w:val="single" w:sz="4" w:space="0" w:color="auto"/>
            </w:tcBorders>
            <w:hideMark/>
          </w:tcPr>
          <w:p w14:paraId="059C15E7" w14:textId="77777777" w:rsidR="00C236A2" w:rsidRPr="0013396E" w:rsidRDefault="00C236A2" w:rsidP="0099759E">
            <w:pPr>
              <w:pStyle w:val="TableHead"/>
              <w:spacing w:line="256" w:lineRule="auto"/>
            </w:pPr>
            <w:r w:rsidRPr="0013396E">
              <w:t>Definition</w:t>
            </w:r>
          </w:p>
        </w:tc>
      </w:tr>
      <w:tr w:rsidR="00C236A2" w:rsidRPr="0013396E" w14:paraId="6DD6A5CA"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5085112C" w14:textId="77777777" w:rsidR="00C236A2" w:rsidRPr="0013396E" w:rsidRDefault="00C236A2" w:rsidP="0099759E">
            <w:pPr>
              <w:pStyle w:val="TableBody"/>
              <w:spacing w:line="256" w:lineRule="auto"/>
            </w:pPr>
            <w:r w:rsidRPr="0013396E">
              <w:t xml:space="preserve">VSSEAMT </w:t>
            </w:r>
            <w:r w:rsidRPr="0013396E">
              <w:rPr>
                <w:i/>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1BF0A006" w14:textId="77777777" w:rsidR="00C236A2" w:rsidRPr="0013396E" w:rsidRDefault="00C236A2" w:rsidP="0099759E">
            <w:pPr>
              <w:pStyle w:val="TableBody"/>
              <w:spacing w:line="256" w:lineRule="auto"/>
            </w:pPr>
            <w:r w:rsidRPr="0013396E">
              <w:t>$</w:t>
            </w:r>
          </w:p>
        </w:tc>
        <w:tc>
          <w:tcPr>
            <w:tcW w:w="3716" w:type="pct"/>
            <w:tcBorders>
              <w:top w:val="single" w:sz="4" w:space="0" w:color="auto"/>
              <w:left w:val="single" w:sz="4" w:space="0" w:color="auto"/>
              <w:bottom w:val="single" w:sz="4" w:space="0" w:color="auto"/>
              <w:right w:val="single" w:sz="4" w:space="0" w:color="auto"/>
            </w:tcBorders>
            <w:hideMark/>
          </w:tcPr>
          <w:p w14:paraId="7937D440" w14:textId="77777777" w:rsidR="00C236A2" w:rsidRPr="0013396E" w:rsidRDefault="00C236A2" w:rsidP="0099759E">
            <w:pPr>
              <w:pStyle w:val="TableBody"/>
              <w:spacing w:line="256" w:lineRule="auto"/>
            </w:pPr>
            <w:r w:rsidRPr="0013396E">
              <w:rPr>
                <w:i/>
              </w:rPr>
              <w:t>Voltage Support Service Energy Amount per QSE per Resource</w:t>
            </w:r>
            <w:r w:rsidRPr="0013396E">
              <w:t xml:space="preserve">—The lost opportunity payment to QSE </w:t>
            </w:r>
            <w:r w:rsidRPr="0013396E">
              <w:rPr>
                <w:i/>
              </w:rPr>
              <w:t>q</w:t>
            </w:r>
            <w:r w:rsidRPr="0013396E">
              <w:t xml:space="preserve"> for ERCOT-directed VSS from Resource </w:t>
            </w:r>
            <w:r w:rsidRPr="0013396E">
              <w:rPr>
                <w:i/>
              </w:rPr>
              <w:t>r</w:t>
            </w:r>
            <w:r w:rsidRPr="0013396E">
              <w:t xml:space="preserve"> for the 15-minute Settlement Interval.  Where for a combined cycle resource, </w:t>
            </w:r>
            <w:r w:rsidRPr="0013396E">
              <w:rPr>
                <w:i/>
              </w:rPr>
              <w:t>r</w:t>
            </w:r>
            <w:r w:rsidRPr="0013396E">
              <w:t xml:space="preserve"> is a Combined Cycle Train.</w:t>
            </w:r>
          </w:p>
        </w:tc>
      </w:tr>
      <w:tr w:rsidR="00C236A2" w:rsidRPr="0013396E" w14:paraId="31DBB76B"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5EA3310A" w14:textId="77777777" w:rsidR="00C236A2" w:rsidRPr="0013396E" w:rsidRDefault="00C236A2" w:rsidP="0099759E">
            <w:pPr>
              <w:pStyle w:val="TableBody"/>
              <w:spacing w:line="256" w:lineRule="auto"/>
            </w:pPr>
            <w:r w:rsidRPr="0013396E">
              <w:t xml:space="preserve">RTMG </w:t>
            </w:r>
            <w:r w:rsidRPr="0013396E">
              <w:rPr>
                <w:i/>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359D33CF" w14:textId="77777777" w:rsidR="00C236A2" w:rsidRPr="0013396E" w:rsidRDefault="00C236A2" w:rsidP="0099759E">
            <w:pPr>
              <w:pStyle w:val="TableBody"/>
              <w:spacing w:line="256" w:lineRule="auto"/>
            </w:pPr>
            <w:r w:rsidRPr="0013396E">
              <w:t>MWh</w:t>
            </w:r>
          </w:p>
        </w:tc>
        <w:tc>
          <w:tcPr>
            <w:tcW w:w="3716" w:type="pct"/>
            <w:tcBorders>
              <w:top w:val="single" w:sz="4" w:space="0" w:color="auto"/>
              <w:left w:val="single" w:sz="4" w:space="0" w:color="auto"/>
              <w:bottom w:val="single" w:sz="4" w:space="0" w:color="auto"/>
              <w:right w:val="single" w:sz="4" w:space="0" w:color="auto"/>
            </w:tcBorders>
            <w:hideMark/>
          </w:tcPr>
          <w:p w14:paraId="6AD96A9B" w14:textId="77777777" w:rsidR="00C236A2" w:rsidRPr="0013396E" w:rsidRDefault="00C236A2" w:rsidP="0099759E">
            <w:pPr>
              <w:pStyle w:val="TableBody"/>
              <w:spacing w:line="256" w:lineRule="auto"/>
              <w:rPr>
                <w:i/>
              </w:rPr>
            </w:pPr>
            <w:r w:rsidRPr="0013396E">
              <w:rPr>
                <w:i/>
              </w:rPr>
              <w:t>Real-Time Metered Generation per QSE per Resource</w:t>
            </w:r>
            <w:r w:rsidRPr="0013396E">
              <w:t xml:space="preserve">—The Real-Time metered generation of Resource </w:t>
            </w:r>
            <w:r w:rsidRPr="0013396E">
              <w:rPr>
                <w:i/>
              </w:rPr>
              <w:t>r</w:t>
            </w:r>
            <w:r w:rsidRPr="0013396E">
              <w:t xml:space="preserve"> represented by QSE </w:t>
            </w:r>
            <w:r w:rsidRPr="0013396E">
              <w:rPr>
                <w:i/>
              </w:rPr>
              <w:t>q</w:t>
            </w:r>
            <w:r w:rsidRPr="0013396E">
              <w:t xml:space="preserve">, for the 15-minute Settlement Interval.  Where for a combined cycle resource, </w:t>
            </w:r>
            <w:r w:rsidRPr="0013396E">
              <w:rPr>
                <w:i/>
              </w:rPr>
              <w:t>r</w:t>
            </w:r>
            <w:r w:rsidRPr="0013396E">
              <w:t xml:space="preserve"> is a Combined Cycle Train.</w:t>
            </w:r>
          </w:p>
        </w:tc>
      </w:tr>
      <w:tr w:rsidR="00C236A2" w:rsidRPr="0013396E" w14:paraId="180505C3" w14:textId="77777777" w:rsidTr="000B7133">
        <w:trPr>
          <w:cantSplit/>
        </w:trPr>
        <w:tc>
          <w:tcPr>
            <w:tcW w:w="823" w:type="pct"/>
            <w:tcBorders>
              <w:top w:val="single" w:sz="4" w:space="0" w:color="auto"/>
              <w:left w:val="single" w:sz="4" w:space="0" w:color="auto"/>
              <w:bottom w:val="single" w:sz="4" w:space="0" w:color="auto"/>
              <w:right w:val="single" w:sz="4" w:space="0" w:color="auto"/>
            </w:tcBorders>
            <w:hideMark/>
          </w:tcPr>
          <w:p w14:paraId="55184821" w14:textId="77777777" w:rsidR="00C236A2" w:rsidRPr="0013396E" w:rsidRDefault="00C236A2" w:rsidP="0099759E">
            <w:pPr>
              <w:pStyle w:val="TableBody"/>
              <w:spacing w:line="256" w:lineRule="auto"/>
              <w:rPr>
                <w:vertAlign w:val="subscript"/>
              </w:rPr>
            </w:pPr>
            <w:r w:rsidRPr="0013396E">
              <w:t xml:space="preserve">RTSPP </w:t>
            </w:r>
            <w:r w:rsidRPr="0013396E">
              <w:rPr>
                <w:i/>
                <w:vertAlign w:val="subscript"/>
              </w:rPr>
              <w:t>p</w:t>
            </w:r>
          </w:p>
        </w:tc>
        <w:tc>
          <w:tcPr>
            <w:tcW w:w="460" w:type="pct"/>
            <w:tcBorders>
              <w:top w:val="single" w:sz="4" w:space="0" w:color="auto"/>
              <w:left w:val="single" w:sz="4" w:space="0" w:color="auto"/>
              <w:bottom w:val="single" w:sz="4" w:space="0" w:color="auto"/>
              <w:right w:val="single" w:sz="4" w:space="0" w:color="auto"/>
            </w:tcBorders>
            <w:hideMark/>
          </w:tcPr>
          <w:p w14:paraId="1F94060A" w14:textId="77777777" w:rsidR="00C236A2" w:rsidRPr="0013396E" w:rsidRDefault="00C236A2" w:rsidP="0099759E">
            <w:pPr>
              <w:pStyle w:val="TableBody"/>
              <w:spacing w:line="256" w:lineRule="auto"/>
            </w:pPr>
            <w:r w:rsidRPr="0013396E">
              <w:t>$/MWh</w:t>
            </w:r>
          </w:p>
        </w:tc>
        <w:tc>
          <w:tcPr>
            <w:tcW w:w="3716" w:type="pct"/>
            <w:tcBorders>
              <w:top w:val="single" w:sz="4" w:space="0" w:color="auto"/>
              <w:left w:val="single" w:sz="4" w:space="0" w:color="auto"/>
              <w:bottom w:val="single" w:sz="4" w:space="0" w:color="auto"/>
              <w:right w:val="single" w:sz="4" w:space="0" w:color="auto"/>
            </w:tcBorders>
            <w:hideMark/>
          </w:tcPr>
          <w:p w14:paraId="0CB85E44" w14:textId="77777777" w:rsidR="00C236A2" w:rsidRPr="0013396E" w:rsidRDefault="00C236A2" w:rsidP="0099759E">
            <w:pPr>
              <w:pStyle w:val="TableBody"/>
              <w:spacing w:line="256" w:lineRule="auto"/>
              <w:rPr>
                <w:i/>
              </w:rPr>
            </w:pPr>
            <w:r w:rsidRPr="0013396E">
              <w:rPr>
                <w:i/>
              </w:rPr>
              <w:t>Real-Time Settlement Point Price</w:t>
            </w:r>
            <w:r w:rsidRPr="0013396E">
              <w:t xml:space="preserve">—The Real-Time Settlement Point Price at the Resource Node for the 15-minute Settlement Interval.  </w:t>
            </w:r>
          </w:p>
        </w:tc>
      </w:tr>
      <w:tr w:rsidR="00C236A2" w:rsidRPr="0013396E" w14:paraId="69387D8E" w14:textId="77777777" w:rsidTr="000B7133">
        <w:trPr>
          <w:cantSplit/>
        </w:trPr>
        <w:tc>
          <w:tcPr>
            <w:tcW w:w="823" w:type="pct"/>
            <w:tcBorders>
              <w:top w:val="single" w:sz="4" w:space="0" w:color="auto"/>
              <w:left w:val="single" w:sz="4" w:space="0" w:color="auto"/>
              <w:bottom w:val="nil"/>
              <w:right w:val="single" w:sz="4" w:space="0" w:color="auto"/>
            </w:tcBorders>
            <w:hideMark/>
          </w:tcPr>
          <w:p w14:paraId="13BAC004" w14:textId="77777777" w:rsidR="00C236A2" w:rsidRPr="0013396E" w:rsidRDefault="00C236A2" w:rsidP="0099759E">
            <w:pPr>
              <w:pStyle w:val="TableBody"/>
              <w:spacing w:line="256" w:lineRule="auto"/>
            </w:pPr>
            <w:r w:rsidRPr="0013396E">
              <w:rPr>
                <w:iCs w:val="0"/>
              </w:rPr>
              <w:t>RTEOCOST</w:t>
            </w:r>
            <w:r w:rsidRPr="0013396E">
              <w:rPr>
                <w:i/>
                <w:iCs w:val="0"/>
              </w:rPr>
              <w:t xml:space="preserve"> </w:t>
            </w:r>
            <w:r w:rsidRPr="0013396E">
              <w:rPr>
                <w:i/>
                <w:iCs w:val="0"/>
                <w:vertAlign w:val="subscript"/>
              </w:rPr>
              <w:t>q, r, i</w:t>
            </w:r>
          </w:p>
        </w:tc>
        <w:tc>
          <w:tcPr>
            <w:tcW w:w="460" w:type="pct"/>
            <w:tcBorders>
              <w:top w:val="single" w:sz="4" w:space="0" w:color="auto"/>
              <w:left w:val="single" w:sz="4" w:space="0" w:color="auto"/>
              <w:bottom w:val="nil"/>
              <w:right w:val="single" w:sz="4" w:space="0" w:color="auto"/>
            </w:tcBorders>
            <w:hideMark/>
          </w:tcPr>
          <w:p w14:paraId="7E651970" w14:textId="77777777" w:rsidR="00C236A2" w:rsidRPr="0013396E" w:rsidRDefault="00C236A2" w:rsidP="0099759E">
            <w:pPr>
              <w:pStyle w:val="TableBody"/>
              <w:spacing w:line="256" w:lineRule="auto"/>
            </w:pPr>
            <w:r w:rsidRPr="0013396E">
              <w:t>$/MWh</w:t>
            </w:r>
          </w:p>
        </w:tc>
        <w:tc>
          <w:tcPr>
            <w:tcW w:w="3716" w:type="pct"/>
            <w:tcBorders>
              <w:top w:val="single" w:sz="4" w:space="0" w:color="auto"/>
              <w:left w:val="single" w:sz="4" w:space="0" w:color="auto"/>
              <w:bottom w:val="nil"/>
              <w:right w:val="single" w:sz="4" w:space="0" w:color="auto"/>
            </w:tcBorders>
            <w:hideMark/>
          </w:tcPr>
          <w:p w14:paraId="078DE28A" w14:textId="77777777" w:rsidR="00C236A2" w:rsidRPr="0013396E" w:rsidRDefault="00C236A2" w:rsidP="0099759E">
            <w:pPr>
              <w:pStyle w:val="TableBody"/>
              <w:spacing w:line="256" w:lineRule="auto"/>
              <w:rPr>
                <w:i/>
              </w:rPr>
            </w:pPr>
            <w:r w:rsidRPr="0013396E">
              <w:t xml:space="preserve">Real-Time Energy Offer Curve Cost - The Energy Offer Curve Cost for Resource </w:t>
            </w:r>
            <w:r w:rsidRPr="0013396E">
              <w:rPr>
                <w:i/>
              </w:rPr>
              <w:t>r</w:t>
            </w:r>
            <w:r w:rsidRPr="0013396E">
              <w:t xml:space="preserve"> represented by QSE </w:t>
            </w:r>
            <w:r w:rsidRPr="0013396E">
              <w:rPr>
                <w:i/>
              </w:rPr>
              <w:t>q</w:t>
            </w:r>
            <w:r w:rsidRPr="0013396E">
              <w:t xml:space="preserve">, for the Resource’s generation above the LSL for the Settlement Interval </w:t>
            </w:r>
            <w:r w:rsidRPr="0013396E">
              <w:rPr>
                <w:i/>
              </w:rPr>
              <w:t>i</w:t>
            </w:r>
            <w:r w:rsidRPr="0013396E">
              <w:t xml:space="preserve">.  See Section 4.4.9.3.3, Energy Offer Curve Costs.  Where for a Combined Cycle Train, the Resource </w:t>
            </w:r>
            <w:r w:rsidRPr="0013396E">
              <w:rPr>
                <w:i/>
              </w:rPr>
              <w:t>r</w:t>
            </w:r>
            <w:r w:rsidRPr="0013396E">
              <w:t xml:space="preserve"> is the Combined Cycle Train.</w:t>
            </w:r>
          </w:p>
        </w:tc>
      </w:tr>
      <w:tr w:rsidR="00C236A2" w:rsidRPr="0013396E" w14:paraId="1EFA8785" w14:textId="77777777" w:rsidTr="000B7133">
        <w:trPr>
          <w:cantSplit/>
        </w:trPr>
        <w:tc>
          <w:tcPr>
            <w:tcW w:w="5000" w:type="pct"/>
            <w:gridSpan w:val="3"/>
            <w:tcBorders>
              <w:top w:val="nil"/>
              <w:left w:val="single" w:sz="4" w:space="0" w:color="auto"/>
              <w:bottom w:val="single" w:sz="4" w:space="0" w:color="auto"/>
              <w:right w:val="single" w:sz="4" w:space="0" w:color="auto"/>
            </w:tcBorders>
            <w:hideMark/>
          </w:tcPr>
          <w:p w14:paraId="37359DFB" w14:textId="77777777" w:rsidR="00C236A2" w:rsidRPr="0013396E" w:rsidRDefault="00C236A2" w:rsidP="0099759E">
            <w:pPr>
              <w:pStyle w:val="TableBody"/>
              <w:spacing w:line="256" w:lineRule="auto"/>
              <w:rPr>
                <w:i/>
                <w:noProof/>
              </w:rPr>
            </w:pPr>
          </w:p>
        </w:tc>
      </w:tr>
      <w:tr w:rsidR="00C236A2" w:rsidRPr="0013396E" w14:paraId="5EED5E7F" w14:textId="77777777" w:rsidTr="000B7133">
        <w:trPr>
          <w:cantSplit/>
        </w:trPr>
        <w:tc>
          <w:tcPr>
            <w:tcW w:w="823" w:type="pct"/>
            <w:tcBorders>
              <w:top w:val="single" w:sz="4" w:space="0" w:color="auto"/>
              <w:left w:val="single" w:sz="4" w:space="0" w:color="auto"/>
              <w:bottom w:val="single" w:sz="4" w:space="0" w:color="auto"/>
              <w:right w:val="single" w:sz="4" w:space="0" w:color="auto"/>
            </w:tcBorders>
            <w:hideMark/>
          </w:tcPr>
          <w:p w14:paraId="0C2DAAEC" w14:textId="77777777" w:rsidR="00C236A2" w:rsidRPr="0013396E" w:rsidRDefault="00C236A2" w:rsidP="0099759E">
            <w:pPr>
              <w:spacing w:after="60"/>
              <w:rPr>
                <w:iCs/>
                <w:sz w:val="20"/>
              </w:rPr>
            </w:pPr>
            <w:r w:rsidRPr="0013396E">
              <w:rPr>
                <w:iCs/>
                <w:sz w:val="20"/>
              </w:rPr>
              <w:t>NETVSSA</w:t>
            </w:r>
            <w:r w:rsidRPr="0013396E">
              <w:rPr>
                <w:i/>
                <w:iCs/>
                <w:sz w:val="20"/>
                <w:vertAlign w:val="subscript"/>
              </w:rPr>
              <w:t xml:space="preserve"> q, r</w:t>
            </w:r>
          </w:p>
        </w:tc>
        <w:tc>
          <w:tcPr>
            <w:tcW w:w="460" w:type="pct"/>
            <w:tcBorders>
              <w:top w:val="single" w:sz="4" w:space="0" w:color="auto"/>
              <w:left w:val="single" w:sz="4" w:space="0" w:color="auto"/>
              <w:bottom w:val="single" w:sz="4" w:space="0" w:color="auto"/>
              <w:right w:val="single" w:sz="4" w:space="0" w:color="auto"/>
            </w:tcBorders>
            <w:hideMark/>
          </w:tcPr>
          <w:p w14:paraId="4F02DCA7" w14:textId="77777777" w:rsidR="00C236A2" w:rsidRPr="0013396E" w:rsidRDefault="00C236A2" w:rsidP="0099759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3BD7BFFF" w14:textId="77777777" w:rsidR="00C236A2" w:rsidRPr="0013396E" w:rsidRDefault="00C236A2" w:rsidP="0099759E">
            <w:pPr>
              <w:spacing w:after="60"/>
              <w:rPr>
                <w:i/>
                <w:iCs/>
                <w:sz w:val="20"/>
              </w:rPr>
            </w:pPr>
            <w:r w:rsidRPr="0013396E">
              <w:rPr>
                <w:i/>
                <w:iCs/>
                <w:sz w:val="20"/>
              </w:rPr>
              <w:t>Net VSS Activity</w:t>
            </w:r>
            <w:r w:rsidRPr="0013396E">
              <w:rPr>
                <w:iCs/>
                <w:sz w:val="20"/>
              </w:rPr>
              <w:t xml:space="preserve">—The sum of the total energy metered by the Settlement Meter which measures ESR load and the RTMG, for Resource </w:t>
            </w:r>
            <w:r w:rsidRPr="0013396E">
              <w:rPr>
                <w:i/>
                <w:iCs/>
                <w:sz w:val="20"/>
              </w:rPr>
              <w:t xml:space="preserve">r </w:t>
            </w:r>
            <w:r w:rsidRPr="0013396E">
              <w:rPr>
                <w:iCs/>
                <w:sz w:val="20"/>
              </w:rPr>
              <w:t xml:space="preserve">represented by the QSE </w:t>
            </w:r>
            <w:r w:rsidRPr="0013396E">
              <w:rPr>
                <w:i/>
                <w:iCs/>
                <w:sz w:val="20"/>
              </w:rPr>
              <w:t xml:space="preserve">q </w:t>
            </w:r>
            <w:r w:rsidRPr="0013396E">
              <w:rPr>
                <w:iCs/>
                <w:sz w:val="20"/>
              </w:rPr>
              <w:t xml:space="preserve">for the 15-minute Settlement Interval. </w:t>
            </w:r>
          </w:p>
        </w:tc>
      </w:tr>
      <w:tr w:rsidR="00C236A2" w:rsidRPr="0013396E" w14:paraId="05FA1BFC" w14:textId="77777777" w:rsidTr="000B7133">
        <w:trPr>
          <w:cantSplit/>
        </w:trPr>
        <w:tc>
          <w:tcPr>
            <w:tcW w:w="823" w:type="pct"/>
            <w:tcBorders>
              <w:top w:val="single" w:sz="4" w:space="0" w:color="auto"/>
              <w:left w:val="single" w:sz="4" w:space="0" w:color="auto"/>
              <w:bottom w:val="single" w:sz="4" w:space="0" w:color="auto"/>
              <w:right w:val="single" w:sz="4" w:space="0" w:color="auto"/>
            </w:tcBorders>
            <w:hideMark/>
          </w:tcPr>
          <w:p w14:paraId="534F0534" w14:textId="77777777" w:rsidR="00C236A2" w:rsidRPr="0013396E" w:rsidRDefault="00C236A2" w:rsidP="0099759E">
            <w:pPr>
              <w:spacing w:after="60"/>
              <w:rPr>
                <w:iCs/>
                <w:sz w:val="20"/>
              </w:rPr>
            </w:pPr>
            <w:r w:rsidRPr="0013396E">
              <w:rPr>
                <w:iCs/>
                <w:sz w:val="20"/>
              </w:rPr>
              <w:t xml:space="preserve">RTCL </w:t>
            </w:r>
            <w:r w:rsidRPr="0013396E">
              <w:rPr>
                <w:i/>
                <w:iCs/>
                <w:sz w:val="20"/>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19877848" w14:textId="77777777" w:rsidR="00C236A2" w:rsidRPr="0013396E" w:rsidRDefault="00C236A2" w:rsidP="0099759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7D1E1434" w14:textId="77777777" w:rsidR="00C236A2" w:rsidRPr="0013396E" w:rsidRDefault="00C236A2" w:rsidP="0099759E">
            <w:pPr>
              <w:spacing w:after="60"/>
              <w:rPr>
                <w:iCs/>
                <w:sz w:val="20"/>
              </w:rPr>
            </w:pPr>
            <w:r w:rsidRPr="0013396E">
              <w:rPr>
                <w:i/>
                <w:iCs/>
                <w:sz w:val="20"/>
              </w:rPr>
              <w:t xml:space="preserve">Real-Time Charging Load per QSE per Resource </w:t>
            </w:r>
            <w:r w:rsidRPr="0013396E">
              <w:rPr>
                <w:iCs/>
                <w:sz w:val="20"/>
              </w:rPr>
              <w:t xml:space="preserve">—The charging load for Resource </w:t>
            </w:r>
            <w:r w:rsidRPr="0013396E">
              <w:rPr>
                <w:i/>
                <w:iCs/>
                <w:sz w:val="20"/>
              </w:rPr>
              <w:t xml:space="preserve">r </w:t>
            </w:r>
            <w:r w:rsidRPr="0013396E">
              <w:rPr>
                <w:iCs/>
                <w:sz w:val="20"/>
              </w:rPr>
              <w:t xml:space="preserve">represented by the QSE </w:t>
            </w:r>
            <w:r w:rsidRPr="0013396E">
              <w:rPr>
                <w:i/>
                <w:iCs/>
                <w:sz w:val="20"/>
              </w:rPr>
              <w:t>q</w:t>
            </w:r>
            <w:r w:rsidRPr="0013396E">
              <w:rPr>
                <w:iCs/>
                <w:sz w:val="20"/>
              </w:rPr>
              <w:t>, represented as a negative value,</w:t>
            </w:r>
            <w:r w:rsidRPr="0013396E">
              <w:rPr>
                <w:i/>
                <w:iCs/>
                <w:sz w:val="20"/>
              </w:rPr>
              <w:t xml:space="preserve"> </w:t>
            </w:r>
            <w:r w:rsidRPr="0013396E">
              <w:rPr>
                <w:iCs/>
                <w:sz w:val="20"/>
              </w:rPr>
              <w:t xml:space="preserve">for the 15-minute Settlement Interval. </w:t>
            </w:r>
          </w:p>
        </w:tc>
      </w:tr>
      <w:tr w:rsidR="00C236A2" w:rsidRPr="0013396E" w14:paraId="43EA4D09"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67104738" w14:textId="77777777" w:rsidR="00C236A2" w:rsidRPr="0013396E" w:rsidRDefault="00C236A2" w:rsidP="0099759E">
            <w:pPr>
              <w:spacing w:after="60"/>
              <w:rPr>
                <w:iCs/>
                <w:sz w:val="20"/>
              </w:rPr>
            </w:pPr>
            <w:r w:rsidRPr="0013396E">
              <w:rPr>
                <w:bCs/>
                <w:iCs/>
                <w:sz w:val="20"/>
              </w:rPr>
              <w:t xml:space="preserve">MEBL </w:t>
            </w:r>
            <w:r w:rsidRPr="0013396E">
              <w:rPr>
                <w:bCs/>
                <w:i/>
                <w:iCs/>
                <w:sz w:val="20"/>
                <w:vertAlign w:val="subscript"/>
              </w:rPr>
              <w:t>q, r, b</w:t>
            </w:r>
          </w:p>
        </w:tc>
        <w:tc>
          <w:tcPr>
            <w:tcW w:w="460" w:type="pct"/>
            <w:tcBorders>
              <w:top w:val="single" w:sz="4" w:space="0" w:color="auto"/>
              <w:left w:val="single" w:sz="4" w:space="0" w:color="auto"/>
              <w:bottom w:val="single" w:sz="4" w:space="0" w:color="auto"/>
              <w:right w:val="single" w:sz="4" w:space="0" w:color="auto"/>
            </w:tcBorders>
            <w:hideMark/>
          </w:tcPr>
          <w:p w14:paraId="768923C8" w14:textId="77777777" w:rsidR="00C236A2" w:rsidRPr="0013396E" w:rsidRDefault="00C236A2" w:rsidP="0099759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062E93D7" w14:textId="77777777" w:rsidR="00C236A2" w:rsidRPr="0013396E" w:rsidRDefault="00C236A2" w:rsidP="0099759E">
            <w:pPr>
              <w:spacing w:after="60"/>
              <w:rPr>
                <w:i/>
                <w:iCs/>
                <w:sz w:val="20"/>
              </w:rPr>
            </w:pPr>
            <w:r w:rsidRPr="0013396E">
              <w:rPr>
                <w:i/>
                <w:iCs/>
                <w:sz w:val="20"/>
              </w:rPr>
              <w:t>Metered Energy for Wholesale Storage Load at Bus</w:t>
            </w:r>
            <w:r w:rsidRPr="0013396E">
              <w:rPr>
                <w:iCs/>
                <w:sz w:val="20"/>
              </w:rPr>
              <w:sym w:font="Symbol" w:char="F0BE"/>
            </w:r>
            <w:r w:rsidRPr="0013396E">
              <w:rPr>
                <w:iCs/>
                <w:sz w:val="20"/>
              </w:rPr>
              <w:t xml:space="preserve">The WSL energy metered by the Settlement Meter which measures WSL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 xml:space="preserve">.  </w:t>
            </w:r>
          </w:p>
        </w:tc>
      </w:tr>
      <w:tr w:rsidR="00C236A2" w:rsidRPr="0013396E" w14:paraId="047D6C0A"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0E9A3960" w14:textId="77777777" w:rsidR="00C236A2" w:rsidRPr="0013396E" w:rsidRDefault="00C236A2" w:rsidP="0099759E">
            <w:pPr>
              <w:spacing w:after="60"/>
              <w:rPr>
                <w:iCs/>
                <w:sz w:val="20"/>
              </w:rPr>
            </w:pPr>
            <w:r w:rsidRPr="0013396E">
              <w:rPr>
                <w:iCs/>
                <w:sz w:val="20"/>
              </w:rPr>
              <w:t xml:space="preserve">MEBR </w:t>
            </w:r>
            <w:r w:rsidRPr="0013396E">
              <w:rPr>
                <w:i/>
                <w:iCs/>
                <w:sz w:val="20"/>
                <w:vertAlign w:val="subscript"/>
              </w:rPr>
              <w:t>q, r, b</w:t>
            </w:r>
          </w:p>
        </w:tc>
        <w:tc>
          <w:tcPr>
            <w:tcW w:w="460" w:type="pct"/>
            <w:tcBorders>
              <w:top w:val="single" w:sz="4" w:space="0" w:color="auto"/>
              <w:left w:val="single" w:sz="4" w:space="0" w:color="auto"/>
              <w:bottom w:val="single" w:sz="4" w:space="0" w:color="auto"/>
              <w:right w:val="single" w:sz="4" w:space="0" w:color="auto"/>
            </w:tcBorders>
            <w:hideMark/>
          </w:tcPr>
          <w:p w14:paraId="4D97C8F4" w14:textId="77777777" w:rsidR="00C236A2" w:rsidRPr="0013396E" w:rsidRDefault="00C236A2" w:rsidP="0099759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53051181" w14:textId="77777777" w:rsidR="00C236A2" w:rsidRPr="0013396E" w:rsidRDefault="00C236A2" w:rsidP="0099759E">
            <w:pPr>
              <w:spacing w:after="60"/>
              <w:rPr>
                <w:i/>
                <w:iCs/>
                <w:sz w:val="20"/>
              </w:rPr>
            </w:pPr>
            <w:r w:rsidRPr="0013396E">
              <w:rPr>
                <w:i/>
                <w:iCs/>
                <w:sz w:val="20"/>
              </w:rPr>
              <w:t xml:space="preserve">Metered Energy for Energy Storage Resource load at Bus </w:t>
            </w:r>
            <w:r w:rsidRPr="0013396E">
              <w:rPr>
                <w:iCs/>
                <w:sz w:val="20"/>
              </w:rPr>
              <w:t xml:space="preserve">- The energy metered by the Settlement Meter which measures ESR load that is not WSL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 xml:space="preserve">.  </w:t>
            </w:r>
            <w:r w:rsidRPr="0013396E">
              <w:rPr>
                <w:i/>
                <w:iCs/>
                <w:sz w:val="20"/>
              </w:rPr>
              <w:t xml:space="preserve"> </w:t>
            </w:r>
          </w:p>
        </w:tc>
      </w:tr>
      <w:tr w:rsidR="00C236A2" w:rsidRPr="0013396E" w14:paraId="1008FF18"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5AA67DDE" w14:textId="532A6ECA" w:rsidR="00C236A2" w:rsidRPr="0013396E" w:rsidRDefault="00C236A2" w:rsidP="0099759E">
            <w:pPr>
              <w:pStyle w:val="TableBody"/>
              <w:spacing w:line="256" w:lineRule="auto"/>
            </w:pPr>
            <w:r w:rsidRPr="0013396E">
              <w:rPr>
                <w:iCs w:val="0"/>
              </w:rPr>
              <w:lastRenderedPageBreak/>
              <w:t xml:space="preserve">HSL </w:t>
            </w:r>
            <w:r w:rsidRPr="0013396E">
              <w:rPr>
                <w:i/>
                <w:iCs w:val="0"/>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40379D5E" w14:textId="77777777" w:rsidR="00C236A2" w:rsidRPr="0013396E" w:rsidRDefault="00C236A2" w:rsidP="0099759E">
            <w:pPr>
              <w:pStyle w:val="TableBody"/>
              <w:spacing w:line="256" w:lineRule="auto"/>
            </w:pPr>
            <w:r w:rsidRPr="0013396E">
              <w:t>MW</w:t>
            </w:r>
          </w:p>
        </w:tc>
        <w:tc>
          <w:tcPr>
            <w:tcW w:w="3716" w:type="pct"/>
            <w:tcBorders>
              <w:top w:val="single" w:sz="4" w:space="0" w:color="auto"/>
              <w:left w:val="single" w:sz="4" w:space="0" w:color="auto"/>
              <w:bottom w:val="single" w:sz="4" w:space="0" w:color="auto"/>
              <w:right w:val="single" w:sz="4" w:space="0" w:color="auto"/>
            </w:tcBorders>
            <w:hideMark/>
          </w:tcPr>
          <w:p w14:paraId="309CF252" w14:textId="77777777" w:rsidR="00C236A2" w:rsidRPr="0013396E" w:rsidRDefault="00C236A2" w:rsidP="0099759E">
            <w:pPr>
              <w:pStyle w:val="TableBody"/>
              <w:spacing w:line="256" w:lineRule="auto"/>
            </w:pPr>
            <w:r w:rsidRPr="0013396E">
              <w:rPr>
                <w:i/>
              </w:rPr>
              <w:t>High Sustained Limit per QSE per Settlement Point per Resource</w:t>
            </w:r>
            <w:r w:rsidRPr="0013396E">
              <w:t xml:space="preserve">—The HSL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hour that includes the 15-minute Settlement Interval.  Where for a combined cycle resource, </w:t>
            </w:r>
            <w:r w:rsidRPr="0013396E">
              <w:rPr>
                <w:i/>
              </w:rPr>
              <w:t>r</w:t>
            </w:r>
            <w:r w:rsidRPr="0013396E">
              <w:t xml:space="preserve"> is a Combined Cycle Generation Resource.</w:t>
            </w:r>
          </w:p>
        </w:tc>
      </w:tr>
      <w:tr w:rsidR="00C236A2" w:rsidRPr="0013396E" w14:paraId="72F1008D"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442F0440" w14:textId="55B066B2" w:rsidR="00C236A2" w:rsidRPr="0013396E" w:rsidRDefault="00C236A2" w:rsidP="0099759E">
            <w:pPr>
              <w:pStyle w:val="TableBody"/>
              <w:spacing w:line="256" w:lineRule="auto"/>
            </w:pPr>
            <w:r w:rsidRPr="0013396E">
              <w:t xml:space="preserve">LSL </w:t>
            </w:r>
            <w:r w:rsidRPr="0013396E">
              <w:rPr>
                <w:i/>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5AC2DE7E" w14:textId="77777777" w:rsidR="00C236A2" w:rsidRPr="0013396E" w:rsidRDefault="00C236A2" w:rsidP="0099759E">
            <w:pPr>
              <w:pStyle w:val="TableBody"/>
              <w:spacing w:line="256" w:lineRule="auto"/>
            </w:pPr>
            <w:r w:rsidRPr="0013396E">
              <w:t>MW</w:t>
            </w:r>
          </w:p>
        </w:tc>
        <w:tc>
          <w:tcPr>
            <w:tcW w:w="3716" w:type="pct"/>
            <w:tcBorders>
              <w:top w:val="single" w:sz="4" w:space="0" w:color="auto"/>
              <w:left w:val="single" w:sz="4" w:space="0" w:color="auto"/>
              <w:bottom w:val="single" w:sz="4" w:space="0" w:color="auto"/>
              <w:right w:val="single" w:sz="4" w:space="0" w:color="auto"/>
            </w:tcBorders>
            <w:hideMark/>
          </w:tcPr>
          <w:p w14:paraId="00DE806A" w14:textId="77777777" w:rsidR="00C236A2" w:rsidRPr="0013396E" w:rsidRDefault="00C236A2" w:rsidP="0099759E">
            <w:pPr>
              <w:pStyle w:val="TableBody"/>
              <w:spacing w:line="256" w:lineRule="auto"/>
            </w:pPr>
            <w:r w:rsidRPr="0013396E">
              <w:rPr>
                <w:i/>
              </w:rPr>
              <w:t>Low Sustained Limit per QSE per Settlement Point per Resource</w:t>
            </w:r>
            <w:r w:rsidRPr="0013396E">
              <w:t xml:space="preserve">—The LSL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hour that includes the 15-minute Settlement Interval.  Where for a combined cycle resource, </w:t>
            </w:r>
            <w:r w:rsidRPr="0013396E">
              <w:rPr>
                <w:i/>
              </w:rPr>
              <w:t>r</w:t>
            </w:r>
            <w:r w:rsidRPr="0013396E">
              <w:t xml:space="preserve"> is a Combined Cycle Generation Resource.</w:t>
            </w:r>
          </w:p>
        </w:tc>
      </w:tr>
      <w:tr w:rsidR="00C236A2" w:rsidRPr="0013396E" w14:paraId="432ABD10"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22AF1B36" w14:textId="77777777" w:rsidR="00C236A2" w:rsidRPr="0013396E" w:rsidRDefault="00C236A2" w:rsidP="0099759E">
            <w:pPr>
              <w:pStyle w:val="TableBody"/>
              <w:spacing w:line="256" w:lineRule="auto"/>
              <w:rPr>
                <w:i/>
              </w:rPr>
            </w:pPr>
            <w:r w:rsidRPr="0013396E">
              <w:rPr>
                <w:i/>
              </w:rPr>
              <w:t>q</w:t>
            </w:r>
          </w:p>
        </w:tc>
        <w:tc>
          <w:tcPr>
            <w:tcW w:w="460" w:type="pct"/>
            <w:tcBorders>
              <w:top w:val="single" w:sz="4" w:space="0" w:color="auto"/>
              <w:left w:val="single" w:sz="4" w:space="0" w:color="auto"/>
              <w:bottom w:val="single" w:sz="4" w:space="0" w:color="auto"/>
              <w:right w:val="single" w:sz="4" w:space="0" w:color="auto"/>
            </w:tcBorders>
            <w:hideMark/>
          </w:tcPr>
          <w:p w14:paraId="32B39A8B" w14:textId="77777777" w:rsidR="00C236A2" w:rsidRPr="0013396E" w:rsidRDefault="00C236A2" w:rsidP="0099759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2F3C9B9E" w14:textId="77777777" w:rsidR="00C236A2" w:rsidRPr="0013396E" w:rsidRDefault="00C236A2" w:rsidP="0099759E">
            <w:pPr>
              <w:pStyle w:val="TableBody"/>
              <w:spacing w:line="256" w:lineRule="auto"/>
              <w:rPr>
                <w:i/>
                <w:iCs w:val="0"/>
              </w:rPr>
            </w:pPr>
            <w:r w:rsidRPr="0013396E">
              <w:t>A QSE.</w:t>
            </w:r>
          </w:p>
        </w:tc>
      </w:tr>
      <w:tr w:rsidR="00C236A2" w:rsidRPr="0013396E" w14:paraId="1D851585"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59A3DF49" w14:textId="77777777" w:rsidR="00C236A2" w:rsidRPr="0013396E" w:rsidRDefault="00C236A2" w:rsidP="0099759E">
            <w:pPr>
              <w:pStyle w:val="TableBody"/>
              <w:spacing w:line="256" w:lineRule="auto"/>
              <w:rPr>
                <w:i/>
              </w:rPr>
            </w:pPr>
            <w:r w:rsidRPr="0013396E">
              <w:rPr>
                <w:i/>
              </w:rPr>
              <w:t>r</w:t>
            </w:r>
          </w:p>
        </w:tc>
        <w:tc>
          <w:tcPr>
            <w:tcW w:w="460" w:type="pct"/>
            <w:tcBorders>
              <w:top w:val="single" w:sz="4" w:space="0" w:color="auto"/>
              <w:left w:val="single" w:sz="4" w:space="0" w:color="auto"/>
              <w:bottom w:val="single" w:sz="4" w:space="0" w:color="auto"/>
              <w:right w:val="single" w:sz="4" w:space="0" w:color="auto"/>
            </w:tcBorders>
            <w:hideMark/>
          </w:tcPr>
          <w:p w14:paraId="7EB9D081" w14:textId="77777777" w:rsidR="00C236A2" w:rsidRPr="0013396E" w:rsidRDefault="00C236A2" w:rsidP="0099759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3980CEAA" w14:textId="77777777" w:rsidR="00C236A2" w:rsidRPr="0013396E" w:rsidRDefault="00C236A2" w:rsidP="0099759E">
            <w:pPr>
              <w:pStyle w:val="TableBody"/>
              <w:spacing w:line="256" w:lineRule="auto"/>
              <w:rPr>
                <w:i/>
                <w:iCs w:val="0"/>
              </w:rPr>
            </w:pPr>
            <w:r w:rsidRPr="0013396E">
              <w:t>A Generation Resource or ESR.</w:t>
            </w:r>
          </w:p>
        </w:tc>
      </w:tr>
      <w:tr w:rsidR="00C236A2" w:rsidRPr="0013396E" w14:paraId="35065CB8"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159746EB" w14:textId="77777777" w:rsidR="00C236A2" w:rsidRPr="0013396E" w:rsidRDefault="00C236A2" w:rsidP="0099759E">
            <w:pPr>
              <w:pStyle w:val="TableBody"/>
              <w:spacing w:line="256" w:lineRule="auto"/>
              <w:rPr>
                <w:i/>
              </w:rPr>
            </w:pPr>
            <w:r w:rsidRPr="0013396E">
              <w:rPr>
                <w:i/>
              </w:rPr>
              <w:t>p</w:t>
            </w:r>
          </w:p>
        </w:tc>
        <w:tc>
          <w:tcPr>
            <w:tcW w:w="460" w:type="pct"/>
            <w:tcBorders>
              <w:top w:val="single" w:sz="4" w:space="0" w:color="auto"/>
              <w:left w:val="single" w:sz="4" w:space="0" w:color="auto"/>
              <w:bottom w:val="single" w:sz="4" w:space="0" w:color="auto"/>
              <w:right w:val="single" w:sz="4" w:space="0" w:color="auto"/>
            </w:tcBorders>
            <w:hideMark/>
          </w:tcPr>
          <w:p w14:paraId="6788504E" w14:textId="77777777" w:rsidR="00C236A2" w:rsidRPr="0013396E" w:rsidRDefault="00C236A2" w:rsidP="0099759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737D9D3F" w14:textId="77777777" w:rsidR="00C236A2" w:rsidRPr="0013396E" w:rsidRDefault="00C236A2" w:rsidP="0099759E">
            <w:pPr>
              <w:pStyle w:val="TableBody"/>
              <w:spacing w:line="256" w:lineRule="auto"/>
            </w:pPr>
            <w:r w:rsidRPr="0013396E">
              <w:t>A Resource Node Settlement Point.</w:t>
            </w:r>
          </w:p>
        </w:tc>
      </w:tr>
      <w:tr w:rsidR="00C236A2" w:rsidRPr="0013396E" w14:paraId="591FC41B" w14:textId="77777777" w:rsidTr="0099759E">
        <w:trPr>
          <w:cantSplit/>
        </w:trPr>
        <w:tc>
          <w:tcPr>
            <w:tcW w:w="823" w:type="pct"/>
            <w:tcBorders>
              <w:top w:val="single" w:sz="4" w:space="0" w:color="auto"/>
              <w:left w:val="single" w:sz="4" w:space="0" w:color="auto"/>
              <w:bottom w:val="single" w:sz="4" w:space="0" w:color="auto"/>
              <w:right w:val="single" w:sz="4" w:space="0" w:color="auto"/>
            </w:tcBorders>
            <w:hideMark/>
          </w:tcPr>
          <w:p w14:paraId="501FC8CC" w14:textId="77777777" w:rsidR="00C236A2" w:rsidRPr="0013396E" w:rsidRDefault="00C236A2" w:rsidP="0099759E">
            <w:pPr>
              <w:pStyle w:val="TableBody"/>
              <w:spacing w:line="256" w:lineRule="auto"/>
              <w:rPr>
                <w:i/>
              </w:rPr>
            </w:pPr>
            <w:r w:rsidRPr="0013396E">
              <w:rPr>
                <w:i/>
              </w:rPr>
              <w:t>b</w:t>
            </w:r>
          </w:p>
        </w:tc>
        <w:tc>
          <w:tcPr>
            <w:tcW w:w="460" w:type="pct"/>
            <w:tcBorders>
              <w:top w:val="single" w:sz="4" w:space="0" w:color="auto"/>
              <w:left w:val="single" w:sz="4" w:space="0" w:color="auto"/>
              <w:bottom w:val="single" w:sz="4" w:space="0" w:color="auto"/>
              <w:right w:val="single" w:sz="4" w:space="0" w:color="auto"/>
            </w:tcBorders>
            <w:hideMark/>
          </w:tcPr>
          <w:p w14:paraId="6E671EA9" w14:textId="77777777" w:rsidR="00C236A2" w:rsidRPr="0013396E" w:rsidRDefault="00C236A2" w:rsidP="0099759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05103076" w14:textId="77777777" w:rsidR="00C236A2" w:rsidRPr="0013396E" w:rsidRDefault="00C236A2" w:rsidP="0099759E">
            <w:pPr>
              <w:pStyle w:val="TableBody"/>
              <w:spacing w:line="256" w:lineRule="auto"/>
            </w:pPr>
            <w:r w:rsidRPr="0013396E">
              <w:t>An Electrical Bus.</w:t>
            </w:r>
          </w:p>
        </w:tc>
      </w:tr>
    </w:tbl>
    <w:p w14:paraId="32B32437" w14:textId="77777777" w:rsidR="00C236A2" w:rsidRPr="0013396E" w:rsidRDefault="00C236A2" w:rsidP="00C236A2">
      <w:pPr>
        <w:spacing w:before="240" w:after="240"/>
        <w:ind w:left="720" w:hanging="720"/>
      </w:pPr>
      <w:r w:rsidRPr="0013396E">
        <w:t>(6)</w:t>
      </w:r>
      <w:r w:rsidRPr="0013396E">
        <w:tab/>
        <w:t>The total of the payments to each QSE for ERCOT-directed power reduction to provide VSS for a given 15-minute Settlement Interval is calculated as follows:</w:t>
      </w:r>
    </w:p>
    <w:p w14:paraId="1D8114BE" w14:textId="77777777" w:rsidR="00C236A2" w:rsidRPr="0013396E" w:rsidRDefault="00C236A2" w:rsidP="00C236A2">
      <w:pPr>
        <w:tabs>
          <w:tab w:val="left" w:pos="2340"/>
          <w:tab w:val="left" w:pos="3420"/>
        </w:tabs>
        <w:spacing w:after="240"/>
        <w:ind w:left="3420" w:hanging="2700"/>
        <w:rPr>
          <w:b/>
          <w:bCs/>
        </w:rPr>
      </w:pPr>
      <w:r w:rsidRPr="0013396E">
        <w:rPr>
          <w:b/>
          <w:bCs/>
        </w:rPr>
        <w:t xml:space="preserve">VSSEAMTQSETOT </w:t>
      </w:r>
      <w:r w:rsidRPr="0013396E">
        <w:rPr>
          <w:b/>
          <w:bCs/>
          <w:i/>
          <w:vertAlign w:val="subscript"/>
        </w:rPr>
        <w:t>q</w:t>
      </w:r>
      <w:r w:rsidRPr="0013396E">
        <w:rPr>
          <w:b/>
          <w:bCs/>
        </w:rPr>
        <w:tab/>
        <w:t>=</w:t>
      </w:r>
      <w:r w:rsidRPr="0013396E">
        <w:rPr>
          <w:b/>
          <w:bCs/>
        </w:rPr>
        <w:tab/>
      </w:r>
      <w:r w:rsidRPr="0013396E">
        <w:rPr>
          <w:bCs/>
          <w:position w:val="-28"/>
        </w:rPr>
        <w:object w:dxaOrig="435" w:dyaOrig="735" w14:anchorId="4CD0B989">
          <v:shape id="_x0000_i1194" type="#_x0000_t75" style="width:24pt;height:36.6pt" o:ole="">
            <v:imagedata r:id="rId243" o:title=""/>
          </v:shape>
          <o:OLEObject Type="Embed" ProgID="Equation.3" ShapeID="_x0000_i1194" DrawAspect="Content" ObjectID="_1849065824" r:id="rId247"/>
        </w:object>
      </w:r>
      <w:r w:rsidRPr="0013396E">
        <w:rPr>
          <w:b/>
          <w:bCs/>
        </w:rPr>
        <w:t xml:space="preserve">VSSEAMT </w:t>
      </w:r>
      <w:r w:rsidRPr="0013396E">
        <w:rPr>
          <w:b/>
          <w:bCs/>
          <w:i/>
          <w:vertAlign w:val="subscript"/>
        </w:rPr>
        <w:t>q, r</w:t>
      </w:r>
    </w:p>
    <w:p w14:paraId="7C0590CA" w14:textId="77777777" w:rsidR="00C236A2" w:rsidRPr="0013396E" w:rsidRDefault="00C236A2" w:rsidP="00C236A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58"/>
        <w:gridCol w:w="6261"/>
      </w:tblGrid>
      <w:tr w:rsidR="00C236A2" w:rsidRPr="0013396E" w14:paraId="781C88FE" w14:textId="77777777" w:rsidTr="0099759E">
        <w:trPr>
          <w:cantSplit/>
          <w:tblHeader/>
        </w:trPr>
        <w:tc>
          <w:tcPr>
            <w:tcW w:w="1193" w:type="pct"/>
            <w:tcBorders>
              <w:top w:val="single" w:sz="4" w:space="0" w:color="auto"/>
              <w:left w:val="single" w:sz="4" w:space="0" w:color="auto"/>
              <w:bottom w:val="single" w:sz="4" w:space="0" w:color="auto"/>
              <w:right w:val="single" w:sz="4" w:space="0" w:color="auto"/>
            </w:tcBorders>
            <w:hideMark/>
          </w:tcPr>
          <w:p w14:paraId="7C90986E" w14:textId="77777777" w:rsidR="00C236A2" w:rsidRPr="0013396E" w:rsidRDefault="00C236A2" w:rsidP="0099759E">
            <w:pPr>
              <w:spacing w:after="240"/>
              <w:rPr>
                <w:b/>
                <w:iCs/>
                <w:sz w:val="20"/>
              </w:rPr>
            </w:pPr>
            <w:r w:rsidRPr="0013396E">
              <w:rPr>
                <w:b/>
                <w:sz w:val="20"/>
              </w:rPr>
              <w:t>Variable</w:t>
            </w:r>
          </w:p>
        </w:tc>
        <w:tc>
          <w:tcPr>
            <w:tcW w:w="459" w:type="pct"/>
            <w:tcBorders>
              <w:top w:val="single" w:sz="4" w:space="0" w:color="auto"/>
              <w:left w:val="single" w:sz="4" w:space="0" w:color="auto"/>
              <w:bottom w:val="single" w:sz="4" w:space="0" w:color="auto"/>
              <w:right w:val="single" w:sz="4" w:space="0" w:color="auto"/>
            </w:tcBorders>
            <w:hideMark/>
          </w:tcPr>
          <w:p w14:paraId="5234A853" w14:textId="77777777" w:rsidR="00C236A2" w:rsidRPr="0013396E" w:rsidRDefault="00C236A2" w:rsidP="0099759E">
            <w:pPr>
              <w:spacing w:after="240"/>
              <w:rPr>
                <w:b/>
                <w:iCs/>
                <w:sz w:val="20"/>
              </w:rPr>
            </w:pPr>
            <w:r w:rsidRPr="0013396E">
              <w:rPr>
                <w:b/>
                <w:iCs/>
                <w:sz w:val="20"/>
              </w:rPr>
              <w:t>Unit</w:t>
            </w:r>
          </w:p>
        </w:tc>
        <w:tc>
          <w:tcPr>
            <w:tcW w:w="3348" w:type="pct"/>
            <w:tcBorders>
              <w:top w:val="single" w:sz="4" w:space="0" w:color="auto"/>
              <w:left w:val="single" w:sz="4" w:space="0" w:color="auto"/>
              <w:bottom w:val="single" w:sz="4" w:space="0" w:color="auto"/>
              <w:right w:val="single" w:sz="4" w:space="0" w:color="auto"/>
            </w:tcBorders>
            <w:hideMark/>
          </w:tcPr>
          <w:p w14:paraId="492A5570" w14:textId="77777777" w:rsidR="00C236A2" w:rsidRPr="0013396E" w:rsidRDefault="00C236A2" w:rsidP="0099759E">
            <w:pPr>
              <w:spacing w:after="240"/>
              <w:rPr>
                <w:b/>
                <w:iCs/>
                <w:sz w:val="20"/>
              </w:rPr>
            </w:pPr>
            <w:r w:rsidRPr="0013396E">
              <w:rPr>
                <w:b/>
                <w:iCs/>
                <w:sz w:val="20"/>
              </w:rPr>
              <w:t>Definition</w:t>
            </w:r>
          </w:p>
        </w:tc>
      </w:tr>
      <w:tr w:rsidR="00C236A2" w:rsidRPr="0013396E" w14:paraId="570DB49C" w14:textId="77777777" w:rsidTr="0099759E">
        <w:trPr>
          <w:cantSplit/>
        </w:trPr>
        <w:tc>
          <w:tcPr>
            <w:tcW w:w="1193" w:type="pct"/>
            <w:tcBorders>
              <w:top w:val="single" w:sz="4" w:space="0" w:color="auto"/>
              <w:left w:val="single" w:sz="4" w:space="0" w:color="auto"/>
              <w:bottom w:val="single" w:sz="4" w:space="0" w:color="auto"/>
              <w:right w:val="single" w:sz="4" w:space="0" w:color="auto"/>
            </w:tcBorders>
            <w:hideMark/>
          </w:tcPr>
          <w:p w14:paraId="79C07A45" w14:textId="77777777" w:rsidR="00C236A2" w:rsidRPr="0013396E" w:rsidRDefault="00C236A2" w:rsidP="0099759E">
            <w:pPr>
              <w:spacing w:after="60"/>
              <w:rPr>
                <w:iCs/>
                <w:sz w:val="20"/>
              </w:rPr>
            </w:pPr>
            <w:r w:rsidRPr="0013396E">
              <w:rPr>
                <w:iCs/>
                <w:sz w:val="20"/>
              </w:rPr>
              <w:t xml:space="preserve">VSSEAMTQSETOT </w:t>
            </w:r>
            <w:r w:rsidRPr="0013396E">
              <w:rPr>
                <w:i/>
                <w:iCs/>
                <w:sz w:val="20"/>
                <w:vertAlign w:val="subscript"/>
              </w:rPr>
              <w:t>q</w:t>
            </w:r>
          </w:p>
        </w:tc>
        <w:tc>
          <w:tcPr>
            <w:tcW w:w="459" w:type="pct"/>
            <w:tcBorders>
              <w:top w:val="single" w:sz="4" w:space="0" w:color="auto"/>
              <w:left w:val="single" w:sz="4" w:space="0" w:color="auto"/>
              <w:bottom w:val="single" w:sz="4" w:space="0" w:color="auto"/>
              <w:right w:val="single" w:sz="4" w:space="0" w:color="auto"/>
            </w:tcBorders>
            <w:hideMark/>
          </w:tcPr>
          <w:p w14:paraId="681FAEF6" w14:textId="77777777" w:rsidR="00C236A2" w:rsidRPr="0013396E" w:rsidRDefault="00C236A2" w:rsidP="0099759E">
            <w:pPr>
              <w:spacing w:after="60"/>
              <w:rPr>
                <w:iCs/>
                <w:sz w:val="20"/>
              </w:rPr>
            </w:pPr>
            <w:r w:rsidRPr="0013396E">
              <w:rPr>
                <w:iCs/>
                <w:sz w:val="20"/>
              </w:rPr>
              <w:t>$</w:t>
            </w:r>
          </w:p>
        </w:tc>
        <w:tc>
          <w:tcPr>
            <w:tcW w:w="3348" w:type="pct"/>
            <w:tcBorders>
              <w:top w:val="single" w:sz="4" w:space="0" w:color="auto"/>
              <w:left w:val="single" w:sz="4" w:space="0" w:color="auto"/>
              <w:bottom w:val="single" w:sz="4" w:space="0" w:color="auto"/>
              <w:right w:val="single" w:sz="4" w:space="0" w:color="auto"/>
            </w:tcBorders>
            <w:hideMark/>
          </w:tcPr>
          <w:p w14:paraId="228803FD" w14:textId="77777777" w:rsidR="00C236A2" w:rsidRPr="0013396E" w:rsidRDefault="00C236A2" w:rsidP="0099759E">
            <w:pPr>
              <w:spacing w:after="60"/>
              <w:rPr>
                <w:iCs/>
                <w:sz w:val="20"/>
              </w:rPr>
            </w:pPr>
            <w:r w:rsidRPr="0013396E">
              <w:rPr>
                <w:i/>
                <w:iCs/>
                <w:sz w:val="20"/>
              </w:rPr>
              <w:t>Voltage Support Service Lost Opportunity Amount QSE Total per QSE</w:t>
            </w:r>
            <w:r w:rsidRPr="0013396E">
              <w:rPr>
                <w:iCs/>
                <w:sz w:val="20"/>
              </w:rPr>
              <w:sym w:font="Symbol" w:char="F0BE"/>
            </w:r>
            <w:r w:rsidRPr="0013396E">
              <w:rPr>
                <w:iCs/>
                <w:sz w:val="20"/>
              </w:rPr>
              <w:t xml:space="preserve">The total of the lost opportunity payments to QSE </w:t>
            </w:r>
            <w:r w:rsidRPr="0013396E">
              <w:rPr>
                <w:i/>
                <w:iCs/>
                <w:sz w:val="20"/>
              </w:rPr>
              <w:t>q</w:t>
            </w:r>
            <w:r w:rsidRPr="0013396E">
              <w:rPr>
                <w:iCs/>
                <w:sz w:val="20"/>
              </w:rPr>
              <w:t xml:space="preserve"> for providing VSS for providing ERCOT-directed VSS for the 15-minute Settlement Interval.</w:t>
            </w:r>
          </w:p>
        </w:tc>
      </w:tr>
      <w:tr w:rsidR="00C236A2" w:rsidRPr="0013396E" w14:paraId="4FDAEEA1" w14:textId="77777777" w:rsidTr="0099759E">
        <w:trPr>
          <w:cantSplit/>
        </w:trPr>
        <w:tc>
          <w:tcPr>
            <w:tcW w:w="1193" w:type="pct"/>
            <w:tcBorders>
              <w:top w:val="single" w:sz="4" w:space="0" w:color="auto"/>
              <w:left w:val="single" w:sz="4" w:space="0" w:color="auto"/>
              <w:bottom w:val="single" w:sz="4" w:space="0" w:color="auto"/>
              <w:right w:val="single" w:sz="4" w:space="0" w:color="auto"/>
            </w:tcBorders>
            <w:hideMark/>
          </w:tcPr>
          <w:p w14:paraId="43D6AB40" w14:textId="77777777" w:rsidR="00C236A2" w:rsidRPr="0013396E" w:rsidRDefault="00C236A2" w:rsidP="0099759E">
            <w:pPr>
              <w:spacing w:after="60"/>
              <w:rPr>
                <w:iCs/>
                <w:sz w:val="20"/>
              </w:rPr>
            </w:pPr>
            <w:r w:rsidRPr="0013396E">
              <w:rPr>
                <w:iCs/>
                <w:sz w:val="20"/>
              </w:rPr>
              <w:t xml:space="preserve">VSSEAMT </w:t>
            </w:r>
            <w:r w:rsidRPr="0013396E">
              <w:rPr>
                <w:i/>
                <w:iCs/>
                <w:sz w:val="20"/>
                <w:vertAlign w:val="subscript"/>
              </w:rPr>
              <w:t>q, r</w:t>
            </w:r>
          </w:p>
        </w:tc>
        <w:tc>
          <w:tcPr>
            <w:tcW w:w="459" w:type="pct"/>
            <w:tcBorders>
              <w:top w:val="single" w:sz="4" w:space="0" w:color="auto"/>
              <w:left w:val="single" w:sz="4" w:space="0" w:color="auto"/>
              <w:bottom w:val="single" w:sz="4" w:space="0" w:color="auto"/>
              <w:right w:val="single" w:sz="4" w:space="0" w:color="auto"/>
            </w:tcBorders>
            <w:hideMark/>
          </w:tcPr>
          <w:p w14:paraId="1D748347" w14:textId="77777777" w:rsidR="00C236A2" w:rsidRPr="0013396E" w:rsidRDefault="00C236A2" w:rsidP="0099759E">
            <w:pPr>
              <w:spacing w:after="60"/>
              <w:rPr>
                <w:iCs/>
                <w:sz w:val="20"/>
              </w:rPr>
            </w:pPr>
            <w:r w:rsidRPr="0013396E">
              <w:rPr>
                <w:iCs/>
                <w:sz w:val="20"/>
              </w:rPr>
              <w:t>$</w:t>
            </w:r>
          </w:p>
        </w:tc>
        <w:tc>
          <w:tcPr>
            <w:tcW w:w="3348" w:type="pct"/>
            <w:tcBorders>
              <w:top w:val="single" w:sz="4" w:space="0" w:color="auto"/>
              <w:left w:val="single" w:sz="4" w:space="0" w:color="auto"/>
              <w:bottom w:val="single" w:sz="4" w:space="0" w:color="auto"/>
              <w:right w:val="single" w:sz="4" w:space="0" w:color="auto"/>
            </w:tcBorders>
            <w:hideMark/>
          </w:tcPr>
          <w:p w14:paraId="19DD0A25" w14:textId="77777777" w:rsidR="00C236A2" w:rsidRPr="0013396E" w:rsidRDefault="00C236A2" w:rsidP="0099759E">
            <w:pPr>
              <w:spacing w:after="60"/>
              <w:rPr>
                <w:iCs/>
                <w:sz w:val="20"/>
              </w:rPr>
            </w:pPr>
            <w:r w:rsidRPr="0013396E">
              <w:rPr>
                <w:i/>
                <w:iCs/>
                <w:sz w:val="20"/>
              </w:rPr>
              <w:t>Voltage Support Service Energy Amount per QSE per Settlement Point per Resource</w:t>
            </w:r>
            <w:r w:rsidRPr="0013396E">
              <w:rPr>
                <w:iCs/>
                <w:sz w:val="20"/>
              </w:rPr>
              <w:t xml:space="preserve">—The lost opportunity payment to QSE </w:t>
            </w:r>
            <w:r w:rsidRPr="0013396E">
              <w:rPr>
                <w:i/>
                <w:iCs/>
                <w:sz w:val="20"/>
              </w:rPr>
              <w:t>q</w:t>
            </w:r>
            <w:r w:rsidRPr="0013396E">
              <w:rPr>
                <w:iCs/>
                <w:sz w:val="20"/>
              </w:rPr>
              <w:t xml:space="preserve"> for ERCOT-directed VSS from Resource </w:t>
            </w:r>
            <w:r w:rsidRPr="0013396E">
              <w:rPr>
                <w:i/>
                <w:iCs/>
                <w:sz w:val="20"/>
              </w:rPr>
              <w:t>r</w:t>
            </w:r>
            <w:r w:rsidRPr="0013396E">
              <w:rPr>
                <w:iCs/>
                <w:sz w:val="20"/>
              </w:rPr>
              <w:t xml:space="preserve"> for the 15-minute Settlement Interval for the 15-minute Settlement Interval.  Where for a combined cycle resource, </w:t>
            </w:r>
            <w:r w:rsidRPr="0013396E">
              <w:rPr>
                <w:i/>
                <w:iCs/>
                <w:sz w:val="20"/>
              </w:rPr>
              <w:t>r</w:t>
            </w:r>
            <w:r w:rsidRPr="0013396E">
              <w:rPr>
                <w:iCs/>
                <w:sz w:val="20"/>
              </w:rPr>
              <w:t xml:space="preserve"> is a Combined Cycle Train.</w:t>
            </w:r>
          </w:p>
        </w:tc>
      </w:tr>
      <w:tr w:rsidR="00C236A2" w:rsidRPr="0013396E" w14:paraId="3A5E7015" w14:textId="77777777" w:rsidTr="0099759E">
        <w:trPr>
          <w:cantSplit/>
        </w:trPr>
        <w:tc>
          <w:tcPr>
            <w:tcW w:w="1193" w:type="pct"/>
            <w:tcBorders>
              <w:top w:val="single" w:sz="4" w:space="0" w:color="auto"/>
              <w:left w:val="single" w:sz="4" w:space="0" w:color="auto"/>
              <w:bottom w:val="single" w:sz="4" w:space="0" w:color="auto"/>
              <w:right w:val="single" w:sz="4" w:space="0" w:color="auto"/>
            </w:tcBorders>
            <w:hideMark/>
          </w:tcPr>
          <w:p w14:paraId="1D017161" w14:textId="77777777" w:rsidR="00C236A2" w:rsidRPr="0013396E" w:rsidRDefault="00C236A2" w:rsidP="0099759E">
            <w:pPr>
              <w:spacing w:after="60"/>
              <w:rPr>
                <w:i/>
                <w:iCs/>
                <w:sz w:val="20"/>
              </w:rPr>
            </w:pPr>
            <w:r w:rsidRPr="0013396E">
              <w:rPr>
                <w:i/>
                <w:iCs/>
                <w:sz w:val="20"/>
              </w:rPr>
              <w:t>q</w:t>
            </w:r>
          </w:p>
        </w:tc>
        <w:tc>
          <w:tcPr>
            <w:tcW w:w="459" w:type="pct"/>
            <w:tcBorders>
              <w:top w:val="single" w:sz="4" w:space="0" w:color="auto"/>
              <w:left w:val="single" w:sz="4" w:space="0" w:color="auto"/>
              <w:bottom w:val="single" w:sz="4" w:space="0" w:color="auto"/>
              <w:right w:val="single" w:sz="4" w:space="0" w:color="auto"/>
            </w:tcBorders>
            <w:hideMark/>
          </w:tcPr>
          <w:p w14:paraId="5B675660" w14:textId="77777777" w:rsidR="00C236A2" w:rsidRPr="0013396E" w:rsidRDefault="00C236A2" w:rsidP="0099759E">
            <w:pPr>
              <w:spacing w:after="60"/>
              <w:rPr>
                <w:iCs/>
                <w:sz w:val="20"/>
              </w:rPr>
            </w:pPr>
            <w:r w:rsidRPr="0013396E">
              <w:rPr>
                <w:iCs/>
                <w:sz w:val="20"/>
              </w:rPr>
              <w:t>none</w:t>
            </w:r>
          </w:p>
        </w:tc>
        <w:tc>
          <w:tcPr>
            <w:tcW w:w="3348" w:type="pct"/>
            <w:tcBorders>
              <w:top w:val="single" w:sz="4" w:space="0" w:color="auto"/>
              <w:left w:val="single" w:sz="4" w:space="0" w:color="auto"/>
              <w:bottom w:val="single" w:sz="4" w:space="0" w:color="auto"/>
              <w:right w:val="single" w:sz="4" w:space="0" w:color="auto"/>
            </w:tcBorders>
            <w:hideMark/>
          </w:tcPr>
          <w:p w14:paraId="26698D4C" w14:textId="77777777" w:rsidR="00C236A2" w:rsidRPr="0013396E" w:rsidRDefault="00C236A2" w:rsidP="0099759E">
            <w:pPr>
              <w:spacing w:after="60"/>
              <w:rPr>
                <w:iCs/>
                <w:sz w:val="20"/>
              </w:rPr>
            </w:pPr>
            <w:r w:rsidRPr="0013396E">
              <w:rPr>
                <w:iCs/>
                <w:sz w:val="20"/>
              </w:rPr>
              <w:t>A QSE.</w:t>
            </w:r>
          </w:p>
        </w:tc>
      </w:tr>
      <w:tr w:rsidR="00C236A2" w:rsidRPr="0013396E" w14:paraId="6593C538" w14:textId="77777777" w:rsidTr="0099759E">
        <w:trPr>
          <w:cantSplit/>
        </w:trPr>
        <w:tc>
          <w:tcPr>
            <w:tcW w:w="1193" w:type="pct"/>
            <w:tcBorders>
              <w:top w:val="single" w:sz="4" w:space="0" w:color="auto"/>
              <w:left w:val="single" w:sz="4" w:space="0" w:color="auto"/>
              <w:bottom w:val="single" w:sz="4" w:space="0" w:color="auto"/>
              <w:right w:val="single" w:sz="4" w:space="0" w:color="auto"/>
            </w:tcBorders>
            <w:hideMark/>
          </w:tcPr>
          <w:p w14:paraId="53FE9671" w14:textId="77777777" w:rsidR="00C236A2" w:rsidRPr="0013396E" w:rsidRDefault="00C236A2" w:rsidP="0099759E">
            <w:pPr>
              <w:spacing w:after="60"/>
              <w:rPr>
                <w:i/>
                <w:iCs/>
                <w:sz w:val="20"/>
              </w:rPr>
            </w:pPr>
            <w:r w:rsidRPr="0013396E">
              <w:rPr>
                <w:i/>
                <w:iCs/>
                <w:sz w:val="20"/>
              </w:rPr>
              <w:t>r</w:t>
            </w:r>
          </w:p>
        </w:tc>
        <w:tc>
          <w:tcPr>
            <w:tcW w:w="459" w:type="pct"/>
            <w:tcBorders>
              <w:top w:val="single" w:sz="4" w:space="0" w:color="auto"/>
              <w:left w:val="single" w:sz="4" w:space="0" w:color="auto"/>
              <w:bottom w:val="single" w:sz="4" w:space="0" w:color="auto"/>
              <w:right w:val="single" w:sz="4" w:space="0" w:color="auto"/>
            </w:tcBorders>
            <w:hideMark/>
          </w:tcPr>
          <w:p w14:paraId="68DE4B75" w14:textId="77777777" w:rsidR="00C236A2" w:rsidRPr="0013396E" w:rsidRDefault="00C236A2" w:rsidP="0099759E">
            <w:pPr>
              <w:spacing w:after="60"/>
              <w:rPr>
                <w:iCs/>
                <w:sz w:val="20"/>
              </w:rPr>
            </w:pPr>
            <w:r w:rsidRPr="0013396E">
              <w:rPr>
                <w:iCs/>
                <w:sz w:val="20"/>
              </w:rPr>
              <w:t>none</w:t>
            </w:r>
          </w:p>
        </w:tc>
        <w:tc>
          <w:tcPr>
            <w:tcW w:w="3348" w:type="pct"/>
            <w:tcBorders>
              <w:top w:val="single" w:sz="4" w:space="0" w:color="auto"/>
              <w:left w:val="single" w:sz="4" w:space="0" w:color="auto"/>
              <w:bottom w:val="single" w:sz="4" w:space="0" w:color="auto"/>
              <w:right w:val="single" w:sz="4" w:space="0" w:color="auto"/>
            </w:tcBorders>
            <w:hideMark/>
          </w:tcPr>
          <w:p w14:paraId="3301C29D" w14:textId="77777777" w:rsidR="00C236A2" w:rsidRPr="0013396E" w:rsidRDefault="00C236A2" w:rsidP="0099759E">
            <w:pPr>
              <w:spacing w:after="60"/>
              <w:rPr>
                <w:iCs/>
                <w:sz w:val="20"/>
              </w:rPr>
            </w:pPr>
            <w:r w:rsidRPr="0013396E">
              <w:rPr>
                <w:iCs/>
                <w:sz w:val="20"/>
              </w:rPr>
              <w:t>A Generation Resource or ESR.</w:t>
            </w:r>
          </w:p>
        </w:tc>
      </w:tr>
    </w:tbl>
    <w:p w14:paraId="28F0A6BB" w14:textId="06B39048" w:rsidR="001F04FD" w:rsidRPr="0013396E" w:rsidRDefault="001F04FD" w:rsidP="00FB599C">
      <w:pPr>
        <w:pStyle w:val="H4"/>
        <w:spacing w:before="480"/>
      </w:pPr>
      <w:bookmarkStart w:id="2037" w:name="_Toc109009414"/>
      <w:bookmarkStart w:id="2038" w:name="_Toc397505034"/>
      <w:bookmarkStart w:id="2039" w:name="_Toc402357166"/>
      <w:bookmarkStart w:id="2040" w:name="_Toc422486546"/>
      <w:bookmarkStart w:id="2041" w:name="_Toc433093399"/>
      <w:bookmarkStart w:id="2042" w:name="_Toc433093557"/>
      <w:bookmarkStart w:id="2043" w:name="_Toc440874787"/>
      <w:bookmarkStart w:id="2044" w:name="_Toc448142344"/>
      <w:bookmarkStart w:id="2045" w:name="_Toc448142501"/>
      <w:bookmarkStart w:id="2046" w:name="_Toc458770342"/>
      <w:bookmarkStart w:id="2047" w:name="_Toc459294310"/>
      <w:bookmarkStart w:id="2048" w:name="_Toc463262804"/>
      <w:bookmarkStart w:id="2049" w:name="_Toc468286877"/>
      <w:bookmarkStart w:id="2050" w:name="_Toc481502917"/>
      <w:bookmarkStart w:id="2051" w:name="_Toc496080085"/>
      <w:bookmarkStart w:id="2052" w:name="_Toc236220219"/>
      <w:bookmarkStart w:id="2053" w:name="_Toc87951810"/>
      <w:r w:rsidRPr="0013396E">
        <w:t>6.6.7.2</w:t>
      </w:r>
      <w:r w:rsidRPr="0013396E">
        <w:tab/>
        <w:t>Voltage Support Charge</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sidRPr="0013396E">
        <w:t xml:space="preserve"> </w:t>
      </w:r>
    </w:p>
    <w:p w14:paraId="33392E86" w14:textId="77777777" w:rsidR="001F04FD" w:rsidRPr="0013396E" w:rsidRDefault="001F04FD" w:rsidP="001F04FD">
      <w:pPr>
        <w:pStyle w:val="BodyTextNumbered"/>
      </w:pPr>
      <w:r w:rsidRPr="0013396E">
        <w:t>(1)</w:t>
      </w:r>
      <w:r w:rsidRPr="0013396E">
        <w:tab/>
        <w:t>ERCOT shall charge each QSE representing LSEs the total payment for VSS as specified in Section 6.6.7.1, Voltage Support Service Payments, based on a LRS. The charge to each QSE for a given 15-minute Settlement Interval is calculated as follows:</w:t>
      </w:r>
    </w:p>
    <w:p w14:paraId="33BA954F" w14:textId="77777777" w:rsidR="001F04FD" w:rsidRPr="0013396E" w:rsidRDefault="001F04FD" w:rsidP="001F04FD">
      <w:pPr>
        <w:pStyle w:val="FormulaBold"/>
      </w:pPr>
      <w:r w:rsidRPr="0013396E">
        <w:t xml:space="preserve">LAVSSAMT </w:t>
      </w:r>
      <w:r w:rsidRPr="0013396E">
        <w:rPr>
          <w:i/>
          <w:vertAlign w:val="subscript"/>
        </w:rPr>
        <w:t>q</w:t>
      </w:r>
      <w:r w:rsidRPr="0013396E">
        <w:tab/>
        <w:t>=</w:t>
      </w:r>
      <w:r w:rsidRPr="0013396E">
        <w:tab/>
        <w:t xml:space="preserve">(-1) * (VSSVARAMTTOT + VSSEAMTTOT) * LRS </w:t>
      </w:r>
      <w:r w:rsidRPr="0013396E">
        <w:rPr>
          <w:i/>
          <w:vertAlign w:val="subscript"/>
        </w:rPr>
        <w:t>q</w:t>
      </w:r>
    </w:p>
    <w:p w14:paraId="17FECE3F" w14:textId="77777777" w:rsidR="001F04FD" w:rsidRPr="0013396E" w:rsidRDefault="001F04FD" w:rsidP="001F04FD">
      <w:pPr>
        <w:pStyle w:val="BodyText"/>
      </w:pPr>
      <w:r w:rsidRPr="0013396E">
        <w:t>Where:</w:t>
      </w:r>
    </w:p>
    <w:p w14:paraId="253AF27F" w14:textId="77777777" w:rsidR="001F04FD" w:rsidRPr="0013396E" w:rsidRDefault="001F04FD" w:rsidP="001F04FD">
      <w:pPr>
        <w:pStyle w:val="Formula"/>
        <w:ind w:left="2880" w:hanging="2160"/>
        <w:rPr>
          <w:i/>
          <w:vertAlign w:val="subscript"/>
        </w:rPr>
      </w:pPr>
      <w:r w:rsidRPr="0013396E">
        <w:t>VSSVARAMTTOT</w:t>
      </w:r>
      <w:r w:rsidRPr="0013396E">
        <w:tab/>
        <w:t>=</w:t>
      </w:r>
      <w:r w:rsidRPr="0013396E">
        <w:tab/>
      </w:r>
      <w:r w:rsidRPr="0013396E">
        <w:rPr>
          <w:position w:val="-22"/>
        </w:rPr>
        <w:object w:dxaOrig="210" w:dyaOrig="465" w14:anchorId="0395CEFE">
          <v:shape id="_x0000_i1195" type="#_x0000_t75" style="width:6pt;height:24pt" o:ole="">
            <v:imagedata r:id="rId157" o:title=""/>
          </v:shape>
          <o:OLEObject Type="Embed" ProgID="Equation.3" ShapeID="_x0000_i1195" DrawAspect="Content" ObjectID="_1849065825" r:id="rId248"/>
        </w:object>
      </w:r>
      <w:r w:rsidRPr="0013396E">
        <w:t xml:space="preserve">VSSVARAMTQSETOT </w:t>
      </w:r>
      <w:r w:rsidRPr="0013396E">
        <w:rPr>
          <w:i/>
          <w:vertAlign w:val="subscript"/>
        </w:rPr>
        <w:t>q</w:t>
      </w:r>
    </w:p>
    <w:p w14:paraId="6175C109" w14:textId="77777777" w:rsidR="001F04FD" w:rsidRPr="0013396E" w:rsidRDefault="001F04FD" w:rsidP="001F04FD">
      <w:pPr>
        <w:pStyle w:val="Formula"/>
        <w:ind w:left="2880" w:hanging="2160"/>
        <w:rPr>
          <w:i/>
          <w:vertAlign w:val="subscript"/>
        </w:rPr>
      </w:pPr>
      <w:r w:rsidRPr="0013396E">
        <w:lastRenderedPageBreak/>
        <w:t xml:space="preserve">VSSEAMTTOT  </w:t>
      </w:r>
      <w:r w:rsidRPr="0013396E">
        <w:tab/>
        <w:t>=</w:t>
      </w:r>
      <w:r w:rsidRPr="0013396E">
        <w:tab/>
      </w:r>
      <w:r w:rsidRPr="0013396E">
        <w:rPr>
          <w:position w:val="-22"/>
        </w:rPr>
        <w:object w:dxaOrig="210" w:dyaOrig="465" w14:anchorId="2532890B">
          <v:shape id="_x0000_i1196" type="#_x0000_t75" style="width:6pt;height:24pt" o:ole="">
            <v:imagedata r:id="rId157" o:title=""/>
          </v:shape>
          <o:OLEObject Type="Embed" ProgID="Equation.3" ShapeID="_x0000_i1196" DrawAspect="Content" ObjectID="_1849065826" r:id="rId249"/>
        </w:object>
      </w:r>
      <w:r w:rsidRPr="0013396E">
        <w:t xml:space="preserve">VSSEAMTQSETOT </w:t>
      </w:r>
      <w:r w:rsidRPr="0013396E">
        <w:rPr>
          <w:i/>
          <w:vertAlign w:val="subscript"/>
        </w:rPr>
        <w:t>q</w:t>
      </w:r>
    </w:p>
    <w:p w14:paraId="7D7B5A5F" w14:textId="77777777" w:rsidR="001F04FD" w:rsidRPr="0013396E" w:rsidRDefault="001F04FD" w:rsidP="001F04FD">
      <w:r w:rsidRPr="0013396E">
        <w:t>The above variables are defined as follows:</w:t>
      </w: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720"/>
        <w:gridCol w:w="6959"/>
      </w:tblGrid>
      <w:tr w:rsidR="001F04FD" w:rsidRPr="0013396E" w14:paraId="5B15B363" w14:textId="77777777" w:rsidTr="00AC4DEE">
        <w:trPr>
          <w:tblHeader/>
        </w:trPr>
        <w:tc>
          <w:tcPr>
            <w:tcW w:w="2358" w:type="dxa"/>
          </w:tcPr>
          <w:p w14:paraId="0046E221" w14:textId="77777777" w:rsidR="001F04FD" w:rsidRPr="0013396E" w:rsidRDefault="001F04FD" w:rsidP="00AC4DEE">
            <w:pPr>
              <w:pStyle w:val="TableHead"/>
            </w:pPr>
            <w:r w:rsidRPr="0013396E">
              <w:t>Variable</w:t>
            </w:r>
          </w:p>
        </w:tc>
        <w:tc>
          <w:tcPr>
            <w:tcW w:w="720" w:type="dxa"/>
          </w:tcPr>
          <w:p w14:paraId="3A5DC9F4" w14:textId="77777777" w:rsidR="001F04FD" w:rsidRPr="0013396E" w:rsidRDefault="001F04FD" w:rsidP="00AC4DEE">
            <w:pPr>
              <w:pStyle w:val="TableHead"/>
            </w:pPr>
            <w:r w:rsidRPr="0013396E">
              <w:t>Unit</w:t>
            </w:r>
          </w:p>
        </w:tc>
        <w:tc>
          <w:tcPr>
            <w:tcW w:w="6959" w:type="dxa"/>
          </w:tcPr>
          <w:p w14:paraId="3B1977CC" w14:textId="77777777" w:rsidR="001F04FD" w:rsidRPr="0013396E" w:rsidRDefault="001F04FD" w:rsidP="00AC4DEE">
            <w:pPr>
              <w:pStyle w:val="TableHead"/>
            </w:pPr>
            <w:r w:rsidRPr="0013396E">
              <w:t>Definition</w:t>
            </w:r>
          </w:p>
        </w:tc>
      </w:tr>
      <w:tr w:rsidR="001F04FD" w:rsidRPr="0013396E" w14:paraId="1F590757" w14:textId="77777777" w:rsidTr="00AC4DEE">
        <w:trPr>
          <w:cantSplit/>
        </w:trPr>
        <w:tc>
          <w:tcPr>
            <w:tcW w:w="2358" w:type="dxa"/>
          </w:tcPr>
          <w:p w14:paraId="6A8FB47B" w14:textId="77777777" w:rsidR="001F04FD" w:rsidRPr="0013396E" w:rsidRDefault="001F04FD" w:rsidP="00AC4DEE">
            <w:pPr>
              <w:pStyle w:val="TableBody"/>
            </w:pPr>
            <w:r w:rsidRPr="0013396E">
              <w:t xml:space="preserve">LAVSSAMT </w:t>
            </w:r>
            <w:r w:rsidRPr="0013396E">
              <w:rPr>
                <w:i/>
                <w:vertAlign w:val="subscript"/>
              </w:rPr>
              <w:t>q</w:t>
            </w:r>
          </w:p>
        </w:tc>
        <w:tc>
          <w:tcPr>
            <w:tcW w:w="720" w:type="dxa"/>
          </w:tcPr>
          <w:p w14:paraId="260BB285" w14:textId="77777777" w:rsidR="001F04FD" w:rsidRPr="0013396E" w:rsidRDefault="001F04FD" w:rsidP="00AC4DEE">
            <w:pPr>
              <w:pStyle w:val="TableBody"/>
            </w:pPr>
            <w:r w:rsidRPr="0013396E">
              <w:t>$</w:t>
            </w:r>
          </w:p>
        </w:tc>
        <w:tc>
          <w:tcPr>
            <w:tcW w:w="6959" w:type="dxa"/>
          </w:tcPr>
          <w:p w14:paraId="29CC5802" w14:textId="77777777" w:rsidR="001F04FD" w:rsidRPr="0013396E" w:rsidRDefault="001F04FD" w:rsidP="00AC4DEE">
            <w:pPr>
              <w:pStyle w:val="TableBody"/>
            </w:pPr>
            <w:r w:rsidRPr="0013396E">
              <w:rPr>
                <w:i/>
              </w:rPr>
              <w:t>Load-Allocated Voltage Support Service Amount per QSE</w:t>
            </w:r>
            <w:r w:rsidRPr="0013396E">
              <w:t xml:space="preserve">—The charge to QSE </w:t>
            </w:r>
            <w:r w:rsidRPr="0013396E">
              <w:rPr>
                <w:i/>
              </w:rPr>
              <w:t>q</w:t>
            </w:r>
            <w:r w:rsidRPr="0013396E">
              <w:t xml:space="preserve"> for VSS, for the 15-minute Settlement Interval.</w:t>
            </w:r>
          </w:p>
        </w:tc>
      </w:tr>
      <w:tr w:rsidR="001F04FD" w:rsidRPr="0013396E" w14:paraId="3F3DCDB0" w14:textId="77777777" w:rsidTr="00AC4DEE">
        <w:trPr>
          <w:cantSplit/>
        </w:trPr>
        <w:tc>
          <w:tcPr>
            <w:tcW w:w="2358" w:type="dxa"/>
          </w:tcPr>
          <w:p w14:paraId="357B5A71" w14:textId="77777777" w:rsidR="001F04FD" w:rsidRPr="0013396E" w:rsidRDefault="001F04FD" w:rsidP="00AC4DEE">
            <w:pPr>
              <w:pStyle w:val="TableBody"/>
            </w:pPr>
            <w:r w:rsidRPr="0013396E">
              <w:t>VSSVARAMTTOT</w:t>
            </w:r>
          </w:p>
        </w:tc>
        <w:tc>
          <w:tcPr>
            <w:tcW w:w="720" w:type="dxa"/>
          </w:tcPr>
          <w:p w14:paraId="58495F9D" w14:textId="77777777" w:rsidR="001F04FD" w:rsidRPr="0013396E" w:rsidRDefault="001F04FD" w:rsidP="00AC4DEE">
            <w:pPr>
              <w:pStyle w:val="TableBody"/>
            </w:pPr>
            <w:r w:rsidRPr="0013396E">
              <w:t>$</w:t>
            </w:r>
          </w:p>
        </w:tc>
        <w:tc>
          <w:tcPr>
            <w:tcW w:w="6959" w:type="dxa"/>
          </w:tcPr>
          <w:p w14:paraId="11E5FD94" w14:textId="77777777" w:rsidR="001F04FD" w:rsidRPr="0013396E" w:rsidRDefault="001F04FD" w:rsidP="00AC4DEE">
            <w:pPr>
              <w:pStyle w:val="TableBody"/>
              <w:rPr>
                <w:i/>
              </w:rPr>
            </w:pPr>
            <w:r w:rsidRPr="0013396E">
              <w:rPr>
                <w:i/>
              </w:rPr>
              <w:t>Voltage Support Service var Amount Total</w:t>
            </w:r>
            <w:r w:rsidRPr="0013396E">
              <w:t>—The total of payments to all QSEs providing VSS, for the 15-minute Settlement Interval.</w:t>
            </w:r>
          </w:p>
        </w:tc>
      </w:tr>
      <w:tr w:rsidR="001F04FD" w:rsidRPr="0013396E" w14:paraId="05CC104B" w14:textId="77777777" w:rsidTr="00AC4DEE">
        <w:trPr>
          <w:cantSplit/>
        </w:trPr>
        <w:tc>
          <w:tcPr>
            <w:tcW w:w="2358" w:type="dxa"/>
          </w:tcPr>
          <w:p w14:paraId="4108B83F" w14:textId="77777777" w:rsidR="001F04FD" w:rsidRPr="0013396E" w:rsidRDefault="001F04FD" w:rsidP="00AC4DEE">
            <w:pPr>
              <w:pStyle w:val="TableBody"/>
            </w:pPr>
            <w:r w:rsidRPr="0013396E">
              <w:t xml:space="preserve">VSSVARAMTQSETOT </w:t>
            </w:r>
            <w:r w:rsidRPr="0013396E">
              <w:rPr>
                <w:i/>
                <w:vertAlign w:val="subscript"/>
              </w:rPr>
              <w:t>q</w:t>
            </w:r>
          </w:p>
        </w:tc>
        <w:tc>
          <w:tcPr>
            <w:tcW w:w="720" w:type="dxa"/>
          </w:tcPr>
          <w:p w14:paraId="06912487" w14:textId="77777777" w:rsidR="001F04FD" w:rsidRPr="0013396E" w:rsidRDefault="001F04FD" w:rsidP="00AC4DEE">
            <w:pPr>
              <w:pStyle w:val="TableBody"/>
            </w:pPr>
            <w:r w:rsidRPr="0013396E">
              <w:t>$</w:t>
            </w:r>
          </w:p>
        </w:tc>
        <w:tc>
          <w:tcPr>
            <w:tcW w:w="6959" w:type="dxa"/>
          </w:tcPr>
          <w:p w14:paraId="09330824" w14:textId="77777777" w:rsidR="001F04FD" w:rsidRPr="0013396E" w:rsidRDefault="001F04FD" w:rsidP="00AC4DEE">
            <w:pPr>
              <w:pStyle w:val="TableBody"/>
              <w:rPr>
                <w:i/>
              </w:rPr>
            </w:pPr>
            <w:r w:rsidRPr="0013396E">
              <w:rPr>
                <w:i/>
              </w:rPr>
              <w:t>Voltage Support Service var Amount QSE Total per QSE</w:t>
            </w:r>
            <w:r w:rsidRPr="0013396E">
              <w:sym w:font="Symbol" w:char="F0BE"/>
            </w:r>
            <w:r w:rsidRPr="0013396E">
              <w:t xml:space="preserve">The total of the payments to QSE </w:t>
            </w:r>
            <w:r w:rsidRPr="0013396E">
              <w:rPr>
                <w:i/>
              </w:rPr>
              <w:t>q</w:t>
            </w:r>
            <w:r w:rsidRPr="0013396E">
              <w:t xml:space="preserve"> for providing VSS for the 15-minute Settlement Interval.</w:t>
            </w:r>
          </w:p>
        </w:tc>
      </w:tr>
      <w:tr w:rsidR="001F04FD" w:rsidRPr="0013396E" w14:paraId="08CA9B9F" w14:textId="77777777" w:rsidTr="00AC4DEE">
        <w:trPr>
          <w:cantSplit/>
        </w:trPr>
        <w:tc>
          <w:tcPr>
            <w:tcW w:w="2358" w:type="dxa"/>
          </w:tcPr>
          <w:p w14:paraId="0099BE1B" w14:textId="77777777" w:rsidR="001F04FD" w:rsidRPr="0013396E" w:rsidRDefault="001F04FD" w:rsidP="00AC4DEE">
            <w:pPr>
              <w:pStyle w:val="TableBody"/>
            </w:pPr>
            <w:r w:rsidRPr="0013396E">
              <w:t xml:space="preserve">LRS </w:t>
            </w:r>
            <w:r w:rsidRPr="0013396E">
              <w:rPr>
                <w:i/>
                <w:vertAlign w:val="subscript"/>
              </w:rPr>
              <w:t>q</w:t>
            </w:r>
          </w:p>
        </w:tc>
        <w:tc>
          <w:tcPr>
            <w:tcW w:w="720" w:type="dxa"/>
          </w:tcPr>
          <w:p w14:paraId="251EAF68" w14:textId="77777777" w:rsidR="001F04FD" w:rsidRPr="0013396E" w:rsidRDefault="001F04FD" w:rsidP="00AC4DEE">
            <w:pPr>
              <w:pStyle w:val="TableBody"/>
            </w:pPr>
            <w:r w:rsidRPr="0013396E">
              <w:t>none</w:t>
            </w:r>
          </w:p>
        </w:tc>
        <w:tc>
          <w:tcPr>
            <w:tcW w:w="6959" w:type="dxa"/>
          </w:tcPr>
          <w:p w14:paraId="253BF8F5" w14:textId="77777777" w:rsidR="001F04FD" w:rsidRPr="0013396E" w:rsidRDefault="001F04FD" w:rsidP="00AC4DEE">
            <w:pPr>
              <w:pStyle w:val="TableBody"/>
            </w:pPr>
            <w:r w:rsidRPr="0013396E">
              <w:rPr>
                <w:i/>
              </w:rPr>
              <w:t>The Load Ratio Share</w:t>
            </w:r>
            <w:r w:rsidRPr="0013396E">
              <w:t xml:space="preserve"> calculated for QSE </w:t>
            </w:r>
            <w:r w:rsidRPr="0013396E">
              <w:rPr>
                <w:i/>
              </w:rPr>
              <w:t>q</w:t>
            </w:r>
            <w:r w:rsidRPr="0013396E">
              <w:t xml:space="preserve"> for the 15-minute Settlement Interval.  See Section 6.6.2.2, QSE Load Ratio Share for a 15-Minute Settlement Interval.</w:t>
            </w:r>
          </w:p>
        </w:tc>
      </w:tr>
      <w:tr w:rsidR="001F04FD" w:rsidRPr="0013396E" w14:paraId="0CD4025A" w14:textId="77777777" w:rsidTr="00AC4DEE">
        <w:trPr>
          <w:cantSplit/>
        </w:trPr>
        <w:tc>
          <w:tcPr>
            <w:tcW w:w="2358" w:type="dxa"/>
            <w:tcBorders>
              <w:top w:val="single" w:sz="4" w:space="0" w:color="auto"/>
              <w:left w:val="single" w:sz="4" w:space="0" w:color="auto"/>
              <w:bottom w:val="single" w:sz="4" w:space="0" w:color="auto"/>
              <w:right w:val="single" w:sz="4" w:space="0" w:color="auto"/>
            </w:tcBorders>
          </w:tcPr>
          <w:p w14:paraId="5FC0DEF7" w14:textId="77777777" w:rsidR="001F04FD" w:rsidRPr="0013396E" w:rsidRDefault="001F04FD" w:rsidP="00AC4DEE">
            <w:pPr>
              <w:pStyle w:val="TableBody"/>
            </w:pPr>
            <w:r w:rsidRPr="0013396E">
              <w:t>VSSEAMTTOT</w:t>
            </w:r>
          </w:p>
        </w:tc>
        <w:tc>
          <w:tcPr>
            <w:tcW w:w="720" w:type="dxa"/>
            <w:tcBorders>
              <w:top w:val="single" w:sz="4" w:space="0" w:color="auto"/>
              <w:left w:val="single" w:sz="4" w:space="0" w:color="auto"/>
              <w:bottom w:val="single" w:sz="4" w:space="0" w:color="auto"/>
              <w:right w:val="single" w:sz="4" w:space="0" w:color="auto"/>
            </w:tcBorders>
          </w:tcPr>
          <w:p w14:paraId="053694C5" w14:textId="77777777" w:rsidR="001F04FD" w:rsidRPr="0013396E" w:rsidRDefault="001F04FD" w:rsidP="00AC4DEE">
            <w:pPr>
              <w:pStyle w:val="TableBody"/>
            </w:pPr>
            <w:r w:rsidRPr="0013396E">
              <w:t>$</w:t>
            </w:r>
          </w:p>
        </w:tc>
        <w:tc>
          <w:tcPr>
            <w:tcW w:w="6959" w:type="dxa"/>
            <w:tcBorders>
              <w:top w:val="single" w:sz="4" w:space="0" w:color="auto"/>
              <w:left w:val="single" w:sz="4" w:space="0" w:color="auto"/>
              <w:bottom w:val="single" w:sz="4" w:space="0" w:color="auto"/>
              <w:right w:val="single" w:sz="4" w:space="0" w:color="auto"/>
            </w:tcBorders>
          </w:tcPr>
          <w:p w14:paraId="19F5FC12" w14:textId="77777777" w:rsidR="001F04FD" w:rsidRPr="0013396E" w:rsidRDefault="001F04FD" w:rsidP="00AC4DEE">
            <w:pPr>
              <w:pStyle w:val="TableBody"/>
            </w:pPr>
            <w:r w:rsidRPr="0013396E">
              <w:rPr>
                <w:i/>
              </w:rPr>
              <w:t>Voltage Support Service Lost Opportunity Amount Total</w:t>
            </w:r>
            <w:r w:rsidRPr="0013396E">
              <w:t>—The total of payments to all QSEs providing VSS in lieu of energy, for the 15-minute Settlement Interval.</w:t>
            </w:r>
          </w:p>
        </w:tc>
      </w:tr>
      <w:tr w:rsidR="001F04FD" w:rsidRPr="0013396E" w14:paraId="2733E68E" w14:textId="77777777" w:rsidTr="00AC4DEE">
        <w:trPr>
          <w:cantSplit/>
        </w:trPr>
        <w:tc>
          <w:tcPr>
            <w:tcW w:w="2358" w:type="dxa"/>
            <w:tcBorders>
              <w:top w:val="single" w:sz="4" w:space="0" w:color="auto"/>
              <w:left w:val="single" w:sz="4" w:space="0" w:color="auto"/>
              <w:bottom w:val="single" w:sz="4" w:space="0" w:color="auto"/>
              <w:right w:val="single" w:sz="4" w:space="0" w:color="auto"/>
            </w:tcBorders>
          </w:tcPr>
          <w:p w14:paraId="3C6AF8EF" w14:textId="77777777" w:rsidR="001F04FD" w:rsidRPr="0013396E" w:rsidRDefault="001F04FD" w:rsidP="00AC4DEE">
            <w:pPr>
              <w:pStyle w:val="TableBody"/>
            </w:pPr>
            <w:r w:rsidRPr="0013396E">
              <w:t xml:space="preserve">VSSEAMTQSETOT </w:t>
            </w:r>
            <w:r w:rsidRPr="0013396E">
              <w:rPr>
                <w:i/>
                <w:vertAlign w:val="subscript"/>
              </w:rPr>
              <w:t>q</w:t>
            </w:r>
          </w:p>
        </w:tc>
        <w:tc>
          <w:tcPr>
            <w:tcW w:w="720" w:type="dxa"/>
            <w:tcBorders>
              <w:top w:val="single" w:sz="4" w:space="0" w:color="auto"/>
              <w:left w:val="single" w:sz="4" w:space="0" w:color="auto"/>
              <w:bottom w:val="single" w:sz="4" w:space="0" w:color="auto"/>
              <w:right w:val="single" w:sz="4" w:space="0" w:color="auto"/>
            </w:tcBorders>
          </w:tcPr>
          <w:p w14:paraId="6EDCB22D" w14:textId="77777777" w:rsidR="001F04FD" w:rsidRPr="0013396E" w:rsidRDefault="001F04FD" w:rsidP="00AC4DEE">
            <w:pPr>
              <w:pStyle w:val="TableBody"/>
            </w:pPr>
            <w:r w:rsidRPr="0013396E">
              <w:t>$</w:t>
            </w:r>
          </w:p>
        </w:tc>
        <w:tc>
          <w:tcPr>
            <w:tcW w:w="6959" w:type="dxa"/>
            <w:tcBorders>
              <w:top w:val="single" w:sz="4" w:space="0" w:color="auto"/>
              <w:left w:val="single" w:sz="4" w:space="0" w:color="auto"/>
              <w:bottom w:val="single" w:sz="4" w:space="0" w:color="auto"/>
              <w:right w:val="single" w:sz="4" w:space="0" w:color="auto"/>
            </w:tcBorders>
          </w:tcPr>
          <w:p w14:paraId="23AC61E2" w14:textId="77777777" w:rsidR="001F04FD" w:rsidRPr="0013396E" w:rsidRDefault="001F04FD" w:rsidP="00AC4DEE">
            <w:pPr>
              <w:pStyle w:val="TableBody"/>
            </w:pPr>
            <w:r w:rsidRPr="0013396E">
              <w:rPr>
                <w:i/>
              </w:rPr>
              <w:t>Voltage Support Service Lost Opportunity Amount QSE Total per QSE</w:t>
            </w:r>
            <w:r w:rsidRPr="0013396E">
              <w:sym w:font="Symbol" w:char="F0BE"/>
            </w:r>
            <w:r w:rsidRPr="0013396E">
              <w:t xml:space="preserve">The total of the payments to QSE </w:t>
            </w:r>
            <w:r w:rsidRPr="0013396E">
              <w:rPr>
                <w:i/>
              </w:rPr>
              <w:t>q</w:t>
            </w:r>
            <w:r w:rsidRPr="0013396E">
              <w:t xml:space="preserve"> for providing VSS in lieu of energy, for the 15-minute Settlement Interval.</w:t>
            </w:r>
          </w:p>
        </w:tc>
      </w:tr>
      <w:tr w:rsidR="001F04FD" w:rsidRPr="0013396E" w14:paraId="3F4AB79B" w14:textId="77777777" w:rsidTr="00AC4DEE">
        <w:trPr>
          <w:cantSplit/>
        </w:trPr>
        <w:tc>
          <w:tcPr>
            <w:tcW w:w="2358" w:type="dxa"/>
            <w:tcBorders>
              <w:top w:val="single" w:sz="4" w:space="0" w:color="auto"/>
              <w:left w:val="single" w:sz="4" w:space="0" w:color="auto"/>
              <w:bottom w:val="single" w:sz="4" w:space="0" w:color="auto"/>
              <w:right w:val="single" w:sz="4" w:space="0" w:color="auto"/>
            </w:tcBorders>
          </w:tcPr>
          <w:p w14:paraId="0D20AC0E" w14:textId="77777777" w:rsidR="001F04FD" w:rsidRPr="0013396E" w:rsidRDefault="001F04FD" w:rsidP="00AC4DEE">
            <w:pPr>
              <w:pStyle w:val="TableBody"/>
              <w:rPr>
                <w:i/>
              </w:rPr>
            </w:pPr>
            <w:r w:rsidRPr="0013396E">
              <w:rPr>
                <w:i/>
              </w:rPr>
              <w:t>q</w:t>
            </w:r>
          </w:p>
        </w:tc>
        <w:tc>
          <w:tcPr>
            <w:tcW w:w="720" w:type="dxa"/>
            <w:tcBorders>
              <w:top w:val="single" w:sz="4" w:space="0" w:color="auto"/>
              <w:left w:val="single" w:sz="4" w:space="0" w:color="auto"/>
              <w:bottom w:val="single" w:sz="4" w:space="0" w:color="auto"/>
              <w:right w:val="single" w:sz="4" w:space="0" w:color="auto"/>
            </w:tcBorders>
          </w:tcPr>
          <w:p w14:paraId="39756017" w14:textId="77777777" w:rsidR="001F04FD" w:rsidRPr="0013396E" w:rsidRDefault="001F04FD" w:rsidP="00AC4DEE">
            <w:pPr>
              <w:pStyle w:val="TableBody"/>
            </w:pPr>
            <w:r w:rsidRPr="0013396E">
              <w:t>none</w:t>
            </w:r>
          </w:p>
        </w:tc>
        <w:tc>
          <w:tcPr>
            <w:tcW w:w="6959" w:type="dxa"/>
            <w:tcBorders>
              <w:top w:val="single" w:sz="4" w:space="0" w:color="auto"/>
              <w:left w:val="single" w:sz="4" w:space="0" w:color="auto"/>
              <w:bottom w:val="single" w:sz="4" w:space="0" w:color="auto"/>
              <w:right w:val="single" w:sz="4" w:space="0" w:color="auto"/>
            </w:tcBorders>
          </w:tcPr>
          <w:p w14:paraId="66F42560" w14:textId="77777777" w:rsidR="001F04FD" w:rsidRPr="0013396E" w:rsidRDefault="001F04FD" w:rsidP="00AC4DEE">
            <w:pPr>
              <w:pStyle w:val="TableBody"/>
            </w:pPr>
            <w:r w:rsidRPr="0013396E">
              <w:t>A QSE.</w:t>
            </w:r>
          </w:p>
        </w:tc>
      </w:tr>
    </w:tbl>
    <w:p w14:paraId="30728615" w14:textId="77777777" w:rsidR="001F04FD" w:rsidRPr="0013396E" w:rsidRDefault="001F04FD" w:rsidP="001F04FD">
      <w:bookmarkStart w:id="2054" w:name="_Toc87951811"/>
      <w:bookmarkEnd w:id="2053"/>
    </w:p>
    <w:p w14:paraId="348EA620" w14:textId="77777777" w:rsidR="001F04FD" w:rsidRPr="0013396E" w:rsidRDefault="001F04FD" w:rsidP="001F04FD">
      <w:pPr>
        <w:pStyle w:val="H3"/>
      </w:pPr>
      <w:bookmarkStart w:id="2055" w:name="_Toc109009415"/>
      <w:bookmarkStart w:id="2056" w:name="_Toc397505035"/>
      <w:bookmarkStart w:id="2057" w:name="_Toc402357167"/>
      <w:bookmarkStart w:id="2058" w:name="_Toc422486547"/>
      <w:bookmarkStart w:id="2059" w:name="_Toc433093400"/>
      <w:bookmarkStart w:id="2060" w:name="_Toc433093558"/>
      <w:bookmarkStart w:id="2061" w:name="_Toc440874788"/>
      <w:bookmarkStart w:id="2062" w:name="_Toc448142345"/>
      <w:bookmarkStart w:id="2063" w:name="_Toc448142502"/>
      <w:bookmarkStart w:id="2064" w:name="_Toc458770343"/>
      <w:bookmarkStart w:id="2065" w:name="_Toc459294311"/>
      <w:bookmarkStart w:id="2066" w:name="_Toc463262805"/>
      <w:bookmarkStart w:id="2067" w:name="_Toc468286878"/>
      <w:bookmarkStart w:id="2068" w:name="_Toc481502918"/>
      <w:bookmarkStart w:id="2069" w:name="_Toc496080086"/>
      <w:bookmarkStart w:id="2070" w:name="_Toc236220220"/>
      <w:r w:rsidRPr="0013396E">
        <w:t>6.6.8</w:t>
      </w:r>
      <w:r w:rsidRPr="0013396E">
        <w:tab/>
        <w:t>Black Start Capacity</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rsidRPr="0013396E">
        <w:t xml:space="preserve"> </w:t>
      </w:r>
    </w:p>
    <w:p w14:paraId="5F87F2F0" w14:textId="77777777" w:rsidR="001F04FD" w:rsidRPr="0013396E" w:rsidRDefault="001F04FD" w:rsidP="001F04FD">
      <w:pPr>
        <w:pStyle w:val="H4"/>
      </w:pPr>
      <w:bookmarkStart w:id="2071" w:name="_Toc87951812"/>
      <w:bookmarkStart w:id="2072" w:name="_Toc109009416"/>
      <w:bookmarkStart w:id="2073" w:name="_Toc397505036"/>
      <w:bookmarkStart w:id="2074" w:name="_Toc402357168"/>
      <w:bookmarkStart w:id="2075" w:name="_Toc422486548"/>
      <w:bookmarkStart w:id="2076" w:name="_Toc433093401"/>
      <w:bookmarkStart w:id="2077" w:name="_Toc433093559"/>
      <w:bookmarkStart w:id="2078" w:name="_Toc440874789"/>
      <w:bookmarkStart w:id="2079" w:name="_Toc448142346"/>
      <w:bookmarkStart w:id="2080" w:name="_Toc448142503"/>
      <w:bookmarkStart w:id="2081" w:name="_Toc458770344"/>
      <w:bookmarkStart w:id="2082" w:name="_Toc459294312"/>
      <w:bookmarkStart w:id="2083" w:name="_Toc463262806"/>
      <w:bookmarkStart w:id="2084" w:name="_Toc468286879"/>
      <w:bookmarkStart w:id="2085" w:name="_Toc481502919"/>
      <w:bookmarkStart w:id="2086" w:name="_Toc496080087"/>
      <w:bookmarkStart w:id="2087" w:name="_Toc236220221"/>
      <w:r w:rsidRPr="0013396E">
        <w:t>6.6.8.1</w:t>
      </w:r>
      <w:r w:rsidRPr="0013396E">
        <w:tab/>
        <w:t>Black Start Hourly Standby Fee Payment</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14:paraId="7D7FCECE" w14:textId="77777777" w:rsidR="001F04FD" w:rsidRPr="0013396E" w:rsidRDefault="001F04FD" w:rsidP="001F04FD">
      <w:pPr>
        <w:pStyle w:val="BodyTextNumbered"/>
      </w:pPr>
      <w:r w:rsidRPr="0013396E">
        <w:t>(1)</w:t>
      </w:r>
      <w:r w:rsidRPr="0013396E">
        <w:tab/>
        <w:t>ERCOT shall pay an Hourly Standby Fee to the QSEs representing a Black Start Resource.  This standby fee is determined through a competitive bi-annual bidding process, with an adjustment for reliability based on a six-month rolling availability equal to 85% in accordance with Section 22, Attachment D, Standard Form Black Start Agreement.</w:t>
      </w:r>
    </w:p>
    <w:p w14:paraId="2B2DAB13" w14:textId="77777777" w:rsidR="001F04FD" w:rsidRPr="0013396E" w:rsidRDefault="001F04FD" w:rsidP="001F04FD">
      <w:pPr>
        <w:spacing w:after="240"/>
        <w:ind w:left="720" w:hanging="720"/>
      </w:pPr>
      <w:r w:rsidRPr="0013396E">
        <w:t>(2)</w:t>
      </w:r>
      <w:r w:rsidRPr="0013396E">
        <w:tab/>
        <w:t>The Black Start Hourly Standby Fee is subject to reduction and</w:t>
      </w:r>
      <w:r w:rsidRPr="0013396E">
        <w:rPr>
          <w:iCs/>
        </w:rPr>
        <w:t xml:space="preserve"> claw-back provisions as described in Section 8.1.1.2.1.5, System Black Start Capability Qualification and Testing.</w:t>
      </w:r>
      <w:r w:rsidRPr="0013396E">
        <w:t xml:space="preserve"> </w:t>
      </w:r>
    </w:p>
    <w:p w14:paraId="1208C3A8" w14:textId="77777777" w:rsidR="001F04FD" w:rsidRPr="0013396E" w:rsidRDefault="001F04FD" w:rsidP="001F04FD">
      <w:pPr>
        <w:pStyle w:val="BodyTextNumbered"/>
      </w:pPr>
      <w:r w:rsidRPr="0013396E">
        <w:t>(3)</w:t>
      </w:r>
      <w:r w:rsidRPr="0013396E">
        <w:tab/>
        <w:t>ERCOT shall pay a Black Start Hourly Standby Fee payment to each QSE for each Black Start Resource.  The payment for each hour is calculated as follows:</w:t>
      </w:r>
    </w:p>
    <w:p w14:paraId="7546D001" w14:textId="77777777" w:rsidR="001F04FD" w:rsidRPr="0013396E" w:rsidRDefault="001F04FD" w:rsidP="001F04FD">
      <w:pPr>
        <w:pStyle w:val="FormulaBold"/>
      </w:pPr>
      <w:r w:rsidRPr="0013396E">
        <w:t xml:space="preserve">BSSAMT </w:t>
      </w:r>
      <w:r w:rsidRPr="0013396E">
        <w:rPr>
          <w:i/>
          <w:vertAlign w:val="subscript"/>
        </w:rPr>
        <w:t>q, r</w:t>
      </w:r>
      <w:r w:rsidRPr="0013396E">
        <w:tab/>
        <w:t>=</w:t>
      </w:r>
      <w:r w:rsidRPr="0013396E">
        <w:tab/>
        <w:t xml:space="preserve">(-1) * BSSPR </w:t>
      </w:r>
      <w:r w:rsidRPr="0013396E">
        <w:rPr>
          <w:i/>
          <w:vertAlign w:val="subscript"/>
        </w:rPr>
        <w:t>q, r</w:t>
      </w:r>
      <w:r w:rsidRPr="0013396E">
        <w:t xml:space="preserve"> * BSSARF </w:t>
      </w:r>
      <w:r w:rsidRPr="0013396E">
        <w:rPr>
          <w:i/>
          <w:vertAlign w:val="subscript"/>
        </w:rPr>
        <w:t>q, r</w:t>
      </w:r>
    </w:p>
    <w:p w14:paraId="38A6BD9C" w14:textId="77777777" w:rsidR="001F04FD" w:rsidRPr="0013396E" w:rsidRDefault="001F04FD" w:rsidP="001F04FD">
      <w:pPr>
        <w:pStyle w:val="BodyText"/>
      </w:pPr>
      <w:r w:rsidRPr="0013396E">
        <w:t>Where:</w:t>
      </w:r>
    </w:p>
    <w:p w14:paraId="6FC4DE43" w14:textId="77777777" w:rsidR="001F04FD" w:rsidRPr="0013396E" w:rsidRDefault="001F04FD" w:rsidP="001F04FD">
      <w:r w:rsidRPr="0013396E">
        <w:t>Black Start Service Availability Reduction Factor</w:t>
      </w:r>
    </w:p>
    <w:p w14:paraId="6E8FB350" w14:textId="77777777" w:rsidR="001F04FD" w:rsidRPr="0013396E" w:rsidRDefault="001F04FD" w:rsidP="001F04FD">
      <w:pPr>
        <w:ind w:firstLine="720"/>
        <w:rPr>
          <w:lang w:val="pt-BR"/>
        </w:rPr>
      </w:pPr>
      <w:r w:rsidRPr="0013396E">
        <w:rPr>
          <w:lang w:val="pt-BR"/>
        </w:rPr>
        <w:t xml:space="preserve">If (BSSHREAF </w:t>
      </w:r>
      <w:r w:rsidRPr="0013396E">
        <w:rPr>
          <w:i/>
          <w:vertAlign w:val="subscript"/>
          <w:lang w:val="pt-BR"/>
        </w:rPr>
        <w:t>q, r</w:t>
      </w:r>
      <w:r w:rsidRPr="0013396E">
        <w:rPr>
          <w:lang w:val="pt-BR"/>
        </w:rPr>
        <w:t xml:space="preserve"> </w:t>
      </w:r>
      <w:r w:rsidRPr="0013396E">
        <w:sym w:font="Symbol" w:char="F0B3"/>
      </w:r>
      <w:r w:rsidRPr="0013396E">
        <w:rPr>
          <w:lang w:val="pt-BR"/>
        </w:rPr>
        <w:t xml:space="preserve"> 0.85)</w:t>
      </w:r>
    </w:p>
    <w:p w14:paraId="19DEF163" w14:textId="77777777" w:rsidR="001F04FD" w:rsidRPr="0013396E" w:rsidRDefault="001F04FD" w:rsidP="001F04FD">
      <w:pPr>
        <w:ind w:left="720" w:firstLine="720"/>
        <w:rPr>
          <w:lang w:val="pt-BR"/>
        </w:rPr>
      </w:pPr>
      <w:r w:rsidRPr="0013396E">
        <w:rPr>
          <w:lang w:val="pt-BR"/>
        </w:rPr>
        <w:t xml:space="preserve">BSSARF </w:t>
      </w:r>
      <w:r w:rsidRPr="0013396E">
        <w:rPr>
          <w:i/>
          <w:vertAlign w:val="subscript"/>
          <w:lang w:val="pt-BR"/>
        </w:rPr>
        <w:t>q, r</w:t>
      </w:r>
      <w:r w:rsidRPr="0013396E">
        <w:rPr>
          <w:lang w:val="pt-BR"/>
        </w:rPr>
        <w:t xml:space="preserve"> </w:t>
      </w:r>
      <w:r w:rsidRPr="0013396E">
        <w:rPr>
          <w:lang w:val="pt-BR"/>
        </w:rPr>
        <w:tab/>
        <w:t xml:space="preserve">= </w:t>
      </w:r>
      <w:r w:rsidRPr="0013396E">
        <w:rPr>
          <w:lang w:val="pt-BR"/>
        </w:rPr>
        <w:tab/>
        <w:t>1</w:t>
      </w:r>
    </w:p>
    <w:p w14:paraId="18DF170B" w14:textId="77777777" w:rsidR="001F04FD" w:rsidRPr="0013396E" w:rsidRDefault="001F04FD" w:rsidP="001F04FD">
      <w:pPr>
        <w:ind w:firstLine="720"/>
        <w:rPr>
          <w:lang w:val="pt-BR"/>
        </w:rPr>
      </w:pPr>
      <w:r w:rsidRPr="0013396E">
        <w:rPr>
          <w:lang w:val="pt-BR"/>
        </w:rPr>
        <w:t>Otherwise</w:t>
      </w:r>
    </w:p>
    <w:p w14:paraId="4183BDB0" w14:textId="77777777" w:rsidR="001F04FD" w:rsidRPr="0013396E" w:rsidRDefault="001F04FD" w:rsidP="001F04FD">
      <w:pPr>
        <w:ind w:left="720" w:firstLine="720"/>
        <w:rPr>
          <w:lang w:val="pt-BR"/>
        </w:rPr>
      </w:pPr>
      <w:r w:rsidRPr="0013396E">
        <w:rPr>
          <w:lang w:val="pt-BR"/>
        </w:rPr>
        <w:t xml:space="preserve">BSSARF </w:t>
      </w:r>
      <w:r w:rsidRPr="0013396E">
        <w:rPr>
          <w:i/>
          <w:vertAlign w:val="subscript"/>
          <w:lang w:val="pt-BR"/>
        </w:rPr>
        <w:t>q, r</w:t>
      </w:r>
      <w:r w:rsidRPr="0013396E">
        <w:rPr>
          <w:lang w:val="pt-BR"/>
        </w:rPr>
        <w:t xml:space="preserve"> </w:t>
      </w:r>
      <w:r w:rsidRPr="0013396E">
        <w:rPr>
          <w:lang w:val="pt-BR"/>
        </w:rPr>
        <w:tab/>
        <w:t xml:space="preserve">= </w:t>
      </w:r>
      <w:r w:rsidRPr="0013396E">
        <w:rPr>
          <w:lang w:val="pt-BR"/>
        </w:rPr>
        <w:tab/>
        <w:t xml:space="preserve">Max (0, 1 - (0.85 - BSSHREAF </w:t>
      </w:r>
      <w:r w:rsidRPr="0013396E">
        <w:rPr>
          <w:i/>
          <w:vertAlign w:val="subscript"/>
          <w:lang w:val="pt-BR"/>
        </w:rPr>
        <w:t>q, r</w:t>
      </w:r>
      <w:r w:rsidRPr="0013396E">
        <w:rPr>
          <w:lang w:val="pt-BR"/>
        </w:rPr>
        <w:t>) * 2)</w:t>
      </w:r>
    </w:p>
    <w:p w14:paraId="7610E7B8" w14:textId="77777777" w:rsidR="001F04FD" w:rsidRPr="0013396E" w:rsidRDefault="001F04FD" w:rsidP="001F04FD">
      <w:pPr>
        <w:rPr>
          <w:lang w:val="pt-BR"/>
        </w:rPr>
      </w:pPr>
    </w:p>
    <w:p w14:paraId="0196756F" w14:textId="77777777" w:rsidR="001F04FD" w:rsidRPr="0013396E" w:rsidRDefault="001F04FD" w:rsidP="001F04FD">
      <w:r w:rsidRPr="0013396E">
        <w:t>Black Start Service Hourly Rolling Equivalent Availability Factor</w:t>
      </w:r>
    </w:p>
    <w:p w14:paraId="0423D2E8" w14:textId="77777777" w:rsidR="001F04FD" w:rsidRPr="0013396E" w:rsidRDefault="001F04FD" w:rsidP="001F04FD">
      <w:pPr>
        <w:ind w:firstLine="720"/>
        <w:rPr>
          <w:lang w:val="pt-BR"/>
        </w:rPr>
      </w:pPr>
      <w:r w:rsidRPr="0013396E">
        <w:rPr>
          <w:lang w:val="pt-BR"/>
        </w:rPr>
        <w:lastRenderedPageBreak/>
        <w:t xml:space="preserve">If (BSSEH </w:t>
      </w:r>
      <w:r w:rsidRPr="0013396E">
        <w:rPr>
          <w:i/>
          <w:vertAlign w:val="subscript"/>
          <w:lang w:val="pt-BR"/>
        </w:rPr>
        <w:t>q, r</w:t>
      </w:r>
      <w:r w:rsidRPr="0013396E">
        <w:rPr>
          <w:lang w:val="pt-BR"/>
        </w:rPr>
        <w:t xml:space="preserve"> &lt; 4380)</w:t>
      </w:r>
    </w:p>
    <w:p w14:paraId="6D5ECEDE" w14:textId="77777777" w:rsidR="001F04FD" w:rsidRPr="0013396E" w:rsidRDefault="001F04FD" w:rsidP="001F04FD">
      <w:pPr>
        <w:ind w:left="720" w:firstLine="720"/>
        <w:rPr>
          <w:lang w:val="pt-BR"/>
        </w:rPr>
      </w:pPr>
      <w:r w:rsidRPr="0013396E">
        <w:rPr>
          <w:lang w:val="pt-BR"/>
        </w:rPr>
        <w:t xml:space="preserve">BSSHREAF </w:t>
      </w:r>
      <w:r w:rsidRPr="0013396E">
        <w:rPr>
          <w:i/>
          <w:vertAlign w:val="subscript"/>
          <w:lang w:val="pt-BR"/>
        </w:rPr>
        <w:t>q, r</w:t>
      </w:r>
      <w:r w:rsidRPr="0013396E">
        <w:rPr>
          <w:lang w:val="pt-BR"/>
        </w:rPr>
        <w:tab/>
        <w:t>=</w:t>
      </w:r>
      <w:r w:rsidRPr="0013396E">
        <w:rPr>
          <w:lang w:val="pt-BR"/>
        </w:rPr>
        <w:tab/>
        <w:t>1</w:t>
      </w:r>
    </w:p>
    <w:p w14:paraId="69331603" w14:textId="77777777" w:rsidR="001F04FD" w:rsidRPr="0013396E" w:rsidRDefault="001F04FD" w:rsidP="001F04FD">
      <w:pPr>
        <w:ind w:firstLine="720"/>
        <w:rPr>
          <w:lang w:val="pt-BR"/>
        </w:rPr>
      </w:pPr>
      <w:r w:rsidRPr="0013396E">
        <w:rPr>
          <w:lang w:val="pt-BR"/>
        </w:rPr>
        <w:t>Otherwise</w:t>
      </w:r>
    </w:p>
    <w:p w14:paraId="67E05950" w14:textId="77777777" w:rsidR="001F04FD" w:rsidRPr="0013396E" w:rsidRDefault="001F04FD" w:rsidP="001F04FD">
      <w:pPr>
        <w:ind w:left="720" w:firstLine="720"/>
        <w:rPr>
          <w:lang w:val="pt-BR"/>
        </w:rPr>
      </w:pPr>
      <w:r w:rsidRPr="0013396E">
        <w:rPr>
          <w:lang w:val="pt-BR"/>
        </w:rPr>
        <w:t xml:space="preserve">BSSHREAF </w:t>
      </w:r>
      <w:r w:rsidRPr="0013396E">
        <w:rPr>
          <w:i/>
          <w:vertAlign w:val="subscript"/>
          <w:lang w:val="pt-BR"/>
        </w:rPr>
        <w:t>q, r</w:t>
      </w:r>
      <w:r w:rsidRPr="0013396E">
        <w:rPr>
          <w:lang w:val="pt-BR"/>
        </w:rPr>
        <w:tab/>
        <w:t>=</w:t>
      </w:r>
      <w:r w:rsidRPr="0013396E">
        <w:rPr>
          <w:lang w:val="pt-BR"/>
        </w:rPr>
        <w:tab/>
        <w:t>(</w:t>
      </w:r>
      <w:r w:rsidRPr="0013396E">
        <w:rPr>
          <w:position w:val="-20"/>
        </w:rPr>
        <w:object w:dxaOrig="735" w:dyaOrig="585" w14:anchorId="1EC02944">
          <v:shape id="_x0000_i1197" type="#_x0000_t75" style="width:36.6pt;height:30pt" o:ole="">
            <v:imagedata r:id="rId250" o:title=""/>
          </v:shape>
          <o:OLEObject Type="Embed" ProgID="Equation.3" ShapeID="_x0000_i1197" DrawAspect="Content" ObjectID="_1849065827" r:id="rId251"/>
        </w:object>
      </w:r>
      <w:r w:rsidRPr="0013396E">
        <w:rPr>
          <w:lang w:val="pt-BR"/>
        </w:rPr>
        <w:t xml:space="preserve"> BSSAFLAG </w:t>
      </w:r>
      <w:r w:rsidRPr="0013396E">
        <w:rPr>
          <w:i/>
          <w:vertAlign w:val="subscript"/>
          <w:lang w:val="pt-BR"/>
        </w:rPr>
        <w:t>q,r,hr</w:t>
      </w:r>
      <w:r w:rsidRPr="0013396E">
        <w:rPr>
          <w:lang w:val="pt-BR"/>
        </w:rPr>
        <w:t>) / 4380</w:t>
      </w:r>
    </w:p>
    <w:p w14:paraId="24CF454E" w14:textId="77777777" w:rsidR="001F04FD" w:rsidRPr="0013396E" w:rsidRDefault="001F04FD" w:rsidP="001F04FD">
      <w:pPr>
        <w:pStyle w:val="List"/>
        <w:ind w:left="0" w:firstLine="0"/>
        <w:rPr>
          <w:lang w:val="pt-BR"/>
        </w:rPr>
      </w:pPr>
      <w:r w:rsidRPr="0013396E">
        <w:t>Availability for a Combined Cycle Train will be determined pursuant to contractual terms but no more than once per hour.</w:t>
      </w:r>
      <w:r w:rsidRPr="0013396E">
        <w:rPr>
          <w:lang w:val="pt-BR"/>
        </w:rPr>
        <w:t xml:space="preserve"> </w:t>
      </w:r>
    </w:p>
    <w:p w14:paraId="3EA282C0" w14:textId="77777777" w:rsidR="001F04FD" w:rsidRPr="0013396E" w:rsidRDefault="001F04FD" w:rsidP="001F04FD">
      <w:r w:rsidRPr="0013396E">
        <w:t>The above variables are defined as follows: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10"/>
        <w:gridCol w:w="7274"/>
      </w:tblGrid>
      <w:tr w:rsidR="001F04FD" w:rsidRPr="0013396E" w14:paraId="72D4B703" w14:textId="77777777" w:rsidTr="00AC4DEE">
        <w:trPr>
          <w:cantSplit/>
          <w:tblHeader/>
        </w:trPr>
        <w:tc>
          <w:tcPr>
            <w:tcW w:w="1728" w:type="dxa"/>
          </w:tcPr>
          <w:p w14:paraId="7B7EC92D" w14:textId="77777777" w:rsidR="001F04FD" w:rsidRPr="0013396E" w:rsidRDefault="001F04FD" w:rsidP="00AC4DEE">
            <w:pPr>
              <w:pStyle w:val="TableHead"/>
            </w:pPr>
            <w:r w:rsidRPr="0013396E">
              <w:t>Variable</w:t>
            </w:r>
          </w:p>
        </w:tc>
        <w:tc>
          <w:tcPr>
            <w:tcW w:w="810" w:type="dxa"/>
          </w:tcPr>
          <w:p w14:paraId="49F8C3D9" w14:textId="77777777" w:rsidR="001F04FD" w:rsidRPr="0013396E" w:rsidRDefault="001F04FD" w:rsidP="00AC4DEE">
            <w:pPr>
              <w:pStyle w:val="TableHead"/>
            </w:pPr>
            <w:r w:rsidRPr="0013396E">
              <w:t>Unit</w:t>
            </w:r>
          </w:p>
        </w:tc>
        <w:tc>
          <w:tcPr>
            <w:tcW w:w="7274" w:type="dxa"/>
          </w:tcPr>
          <w:p w14:paraId="677E4973" w14:textId="77777777" w:rsidR="001F04FD" w:rsidRPr="0013396E" w:rsidRDefault="001F04FD" w:rsidP="00AC4DEE">
            <w:pPr>
              <w:pStyle w:val="TableHead"/>
            </w:pPr>
            <w:r w:rsidRPr="0013396E">
              <w:t>Definition</w:t>
            </w:r>
          </w:p>
        </w:tc>
      </w:tr>
      <w:tr w:rsidR="001F04FD" w:rsidRPr="0013396E" w14:paraId="1B415E6F" w14:textId="77777777" w:rsidTr="00AC4DEE">
        <w:trPr>
          <w:cantSplit/>
        </w:trPr>
        <w:tc>
          <w:tcPr>
            <w:tcW w:w="1728" w:type="dxa"/>
          </w:tcPr>
          <w:p w14:paraId="657DE00E" w14:textId="77777777" w:rsidR="001F04FD" w:rsidRPr="0013396E" w:rsidRDefault="001F04FD" w:rsidP="00AC4DEE">
            <w:pPr>
              <w:pStyle w:val="TableBody"/>
            </w:pPr>
            <w:r w:rsidRPr="0013396E">
              <w:t xml:space="preserve">BSSAMT </w:t>
            </w:r>
            <w:r w:rsidRPr="0013396E">
              <w:rPr>
                <w:i/>
                <w:vertAlign w:val="subscript"/>
              </w:rPr>
              <w:t>q, r</w:t>
            </w:r>
          </w:p>
        </w:tc>
        <w:tc>
          <w:tcPr>
            <w:tcW w:w="810" w:type="dxa"/>
          </w:tcPr>
          <w:p w14:paraId="29095D91" w14:textId="77777777" w:rsidR="001F04FD" w:rsidRPr="0013396E" w:rsidRDefault="001F04FD" w:rsidP="00AC4DEE">
            <w:pPr>
              <w:pStyle w:val="TableBody"/>
            </w:pPr>
            <w:r w:rsidRPr="0013396E">
              <w:t>$</w:t>
            </w:r>
          </w:p>
        </w:tc>
        <w:tc>
          <w:tcPr>
            <w:tcW w:w="7274" w:type="dxa"/>
          </w:tcPr>
          <w:p w14:paraId="67574D67" w14:textId="77777777" w:rsidR="001F04FD" w:rsidRPr="0013396E" w:rsidRDefault="001F04FD" w:rsidP="00AC4DEE">
            <w:pPr>
              <w:pStyle w:val="TableBody"/>
            </w:pPr>
            <w:r w:rsidRPr="0013396E">
              <w:rPr>
                <w:i/>
              </w:rPr>
              <w:t>Black Start Service Amount per QSE per Resource by hour</w:t>
            </w:r>
            <w:r w:rsidRPr="0013396E">
              <w:t xml:space="preserve">—The standby payment to QSE </w:t>
            </w:r>
            <w:r w:rsidRPr="0013396E">
              <w:rPr>
                <w:i/>
              </w:rPr>
              <w:t>q</w:t>
            </w:r>
            <w:r w:rsidRPr="0013396E">
              <w:t xml:space="preserve"> for the Black Start Service (BSS) provided by Resource </w:t>
            </w:r>
            <w:r w:rsidRPr="0013396E">
              <w:rPr>
                <w:i/>
              </w:rPr>
              <w:t>r</w:t>
            </w:r>
            <w:r w:rsidRPr="0013396E">
              <w:t xml:space="preserve">, for the hour.  Where for a Combined Cycle Train, the Resource </w:t>
            </w:r>
            <w:r w:rsidRPr="0013396E">
              <w:rPr>
                <w:i/>
              </w:rPr>
              <w:t xml:space="preserve">r </w:t>
            </w:r>
            <w:r w:rsidRPr="0013396E">
              <w:t>is the Combined Cycle Train.</w:t>
            </w:r>
          </w:p>
        </w:tc>
      </w:tr>
      <w:tr w:rsidR="001F04FD" w:rsidRPr="0013396E" w14:paraId="77C04752" w14:textId="77777777" w:rsidTr="00AC4DEE">
        <w:trPr>
          <w:cantSplit/>
        </w:trPr>
        <w:tc>
          <w:tcPr>
            <w:tcW w:w="1728" w:type="dxa"/>
          </w:tcPr>
          <w:p w14:paraId="35D07F06" w14:textId="77777777" w:rsidR="001F04FD" w:rsidRPr="0013396E" w:rsidRDefault="001F04FD" w:rsidP="00AC4DEE">
            <w:pPr>
              <w:pStyle w:val="TableBody"/>
            </w:pPr>
            <w:r w:rsidRPr="0013396E">
              <w:t xml:space="preserve">BSSPR </w:t>
            </w:r>
            <w:r w:rsidRPr="0013396E">
              <w:rPr>
                <w:i/>
                <w:vertAlign w:val="subscript"/>
              </w:rPr>
              <w:t>q, r</w:t>
            </w:r>
          </w:p>
        </w:tc>
        <w:tc>
          <w:tcPr>
            <w:tcW w:w="810" w:type="dxa"/>
          </w:tcPr>
          <w:p w14:paraId="1AA5D396" w14:textId="77777777" w:rsidR="001F04FD" w:rsidRPr="0013396E" w:rsidRDefault="001F04FD" w:rsidP="00AC4DEE">
            <w:pPr>
              <w:pStyle w:val="TableBody"/>
            </w:pPr>
            <w:r w:rsidRPr="0013396E">
              <w:t>$ per hour</w:t>
            </w:r>
          </w:p>
        </w:tc>
        <w:tc>
          <w:tcPr>
            <w:tcW w:w="7274" w:type="dxa"/>
          </w:tcPr>
          <w:p w14:paraId="66B2E321" w14:textId="77777777" w:rsidR="001F04FD" w:rsidRPr="0013396E" w:rsidRDefault="001F04FD" w:rsidP="00AC4DEE">
            <w:pPr>
              <w:pStyle w:val="TableBody"/>
            </w:pPr>
            <w:r w:rsidRPr="0013396E">
              <w:rPr>
                <w:i/>
              </w:rPr>
              <w:t>Black Start Service Price per QSE per Resource</w:t>
            </w:r>
            <w:r w:rsidRPr="0013396E">
              <w:t xml:space="preserve">—The standby price of BSS Resource </w:t>
            </w:r>
            <w:r w:rsidRPr="0013396E">
              <w:rPr>
                <w:i/>
              </w:rPr>
              <w:t>r</w:t>
            </w:r>
            <w:r w:rsidRPr="0013396E">
              <w:t xml:space="preserve"> represented by QSE </w:t>
            </w:r>
            <w:r w:rsidRPr="0013396E">
              <w:rPr>
                <w:i/>
              </w:rPr>
              <w:t>q</w:t>
            </w:r>
            <w:r w:rsidRPr="0013396E">
              <w:t xml:space="preserve">, as specified in the Black Start Agreement.  Where for a Combined Cycle Train, the Resource </w:t>
            </w:r>
            <w:r w:rsidRPr="0013396E">
              <w:rPr>
                <w:i/>
              </w:rPr>
              <w:t xml:space="preserve">r </w:t>
            </w:r>
            <w:r w:rsidRPr="0013396E">
              <w:t>is the Combined Cycle Train.</w:t>
            </w:r>
          </w:p>
        </w:tc>
      </w:tr>
      <w:tr w:rsidR="001F04FD" w:rsidRPr="0013396E" w14:paraId="4DED77B2" w14:textId="77777777" w:rsidTr="00AC4DEE">
        <w:trPr>
          <w:cantSplit/>
        </w:trPr>
        <w:tc>
          <w:tcPr>
            <w:tcW w:w="1728" w:type="dxa"/>
          </w:tcPr>
          <w:p w14:paraId="267D08EE" w14:textId="77777777" w:rsidR="001F04FD" w:rsidRPr="0013396E" w:rsidRDefault="001F04FD" w:rsidP="00AC4DEE">
            <w:pPr>
              <w:pStyle w:val="TableBody"/>
            </w:pPr>
            <w:r w:rsidRPr="0013396E">
              <w:t xml:space="preserve">BSSARF </w:t>
            </w:r>
            <w:r w:rsidRPr="0013396E">
              <w:rPr>
                <w:i/>
                <w:vertAlign w:val="subscript"/>
              </w:rPr>
              <w:t>q, r</w:t>
            </w:r>
          </w:p>
        </w:tc>
        <w:tc>
          <w:tcPr>
            <w:tcW w:w="810" w:type="dxa"/>
          </w:tcPr>
          <w:p w14:paraId="25CC5AEB" w14:textId="77777777" w:rsidR="001F04FD" w:rsidRPr="0013396E" w:rsidRDefault="001F04FD" w:rsidP="00AC4DEE">
            <w:pPr>
              <w:pStyle w:val="TableBody"/>
            </w:pPr>
            <w:r w:rsidRPr="0013396E">
              <w:t>none</w:t>
            </w:r>
          </w:p>
        </w:tc>
        <w:tc>
          <w:tcPr>
            <w:tcW w:w="7274" w:type="dxa"/>
          </w:tcPr>
          <w:p w14:paraId="2BC8B5A6" w14:textId="77777777" w:rsidR="001F04FD" w:rsidRPr="0013396E" w:rsidRDefault="001F04FD" w:rsidP="00AC4DEE">
            <w:pPr>
              <w:pStyle w:val="TableBody"/>
            </w:pPr>
            <w:r w:rsidRPr="0013396E">
              <w:rPr>
                <w:i/>
              </w:rPr>
              <w:t>Black Start Service Availability Reduction Factor per QSE per Resource by hour</w:t>
            </w:r>
            <w:r w:rsidRPr="0013396E">
              <w:t xml:space="preserve">—The availability reduction factor of Resource </w:t>
            </w:r>
            <w:r w:rsidRPr="0013396E">
              <w:rPr>
                <w:i/>
              </w:rPr>
              <w:t>r</w:t>
            </w:r>
            <w:r w:rsidRPr="0013396E">
              <w:t xml:space="preserve"> represented by QSE </w:t>
            </w:r>
            <w:r w:rsidRPr="0013396E">
              <w:rPr>
                <w:i/>
              </w:rPr>
              <w:t>q</w:t>
            </w:r>
            <w:r w:rsidRPr="0013396E">
              <w:t xml:space="preserve"> under the Black Start Agreement, for the hour.  Where for a Combined Cycle Train, the Resource </w:t>
            </w:r>
            <w:r w:rsidRPr="0013396E">
              <w:rPr>
                <w:i/>
              </w:rPr>
              <w:t xml:space="preserve">r </w:t>
            </w:r>
            <w:r w:rsidRPr="0013396E">
              <w:t>is the Combined Cycle Train.</w:t>
            </w:r>
          </w:p>
        </w:tc>
      </w:tr>
      <w:tr w:rsidR="001F04FD" w:rsidRPr="0013396E" w14:paraId="09FB07EF" w14:textId="77777777" w:rsidTr="00AC4DEE">
        <w:trPr>
          <w:cantSplit/>
        </w:trPr>
        <w:tc>
          <w:tcPr>
            <w:tcW w:w="1728" w:type="dxa"/>
          </w:tcPr>
          <w:p w14:paraId="2A15D210" w14:textId="77777777" w:rsidR="001F04FD" w:rsidRPr="0013396E" w:rsidRDefault="001F04FD" w:rsidP="00AC4DEE">
            <w:pPr>
              <w:pStyle w:val="TableBody"/>
            </w:pPr>
            <w:r w:rsidRPr="0013396E">
              <w:t xml:space="preserve">BSSHREAF </w:t>
            </w:r>
            <w:r w:rsidRPr="0013396E">
              <w:rPr>
                <w:i/>
                <w:vertAlign w:val="subscript"/>
              </w:rPr>
              <w:t>q, r</w:t>
            </w:r>
          </w:p>
        </w:tc>
        <w:tc>
          <w:tcPr>
            <w:tcW w:w="810" w:type="dxa"/>
          </w:tcPr>
          <w:p w14:paraId="222886F5" w14:textId="77777777" w:rsidR="001F04FD" w:rsidRPr="0013396E" w:rsidRDefault="001F04FD" w:rsidP="00AC4DEE">
            <w:pPr>
              <w:pStyle w:val="TableBody"/>
            </w:pPr>
            <w:r w:rsidRPr="0013396E">
              <w:t>none</w:t>
            </w:r>
          </w:p>
        </w:tc>
        <w:tc>
          <w:tcPr>
            <w:tcW w:w="7274" w:type="dxa"/>
          </w:tcPr>
          <w:p w14:paraId="07CE2200" w14:textId="77777777" w:rsidR="001F04FD" w:rsidRPr="0013396E" w:rsidRDefault="001F04FD" w:rsidP="00AC4DEE">
            <w:pPr>
              <w:pStyle w:val="TableBody"/>
            </w:pPr>
            <w:r w:rsidRPr="0013396E">
              <w:rPr>
                <w:i/>
              </w:rPr>
              <w:t>Black Start Service Hourly Rolling Equivalent Availability Factor per QSE per Resource by hour</w:t>
            </w:r>
            <w:r w:rsidRPr="0013396E">
              <w:t xml:space="preserve">—The equivalent availability factor of the BSS Resource </w:t>
            </w:r>
            <w:r w:rsidRPr="0013396E">
              <w:rPr>
                <w:i/>
              </w:rPr>
              <w:t>r</w:t>
            </w:r>
            <w:r w:rsidRPr="0013396E">
              <w:t xml:space="preserve"> represented by QSE </w:t>
            </w:r>
            <w:r w:rsidRPr="0013396E">
              <w:rPr>
                <w:i/>
              </w:rPr>
              <w:t>q</w:t>
            </w:r>
            <w:r w:rsidRPr="0013396E">
              <w:t xml:space="preserve"> over 4,380 hours, for the hour.  Where for a Combined Cycle Train, the Resource </w:t>
            </w:r>
            <w:r w:rsidRPr="0013396E">
              <w:rPr>
                <w:i/>
              </w:rPr>
              <w:t xml:space="preserve">r </w:t>
            </w:r>
            <w:r w:rsidRPr="0013396E">
              <w:t>is the Combined Cycle Train.</w:t>
            </w:r>
          </w:p>
        </w:tc>
      </w:tr>
      <w:tr w:rsidR="001F04FD" w:rsidRPr="0013396E" w14:paraId="3A7B03DD" w14:textId="77777777" w:rsidTr="00AC4DEE">
        <w:trPr>
          <w:cantSplit/>
        </w:trPr>
        <w:tc>
          <w:tcPr>
            <w:tcW w:w="1728" w:type="dxa"/>
          </w:tcPr>
          <w:p w14:paraId="7E6C1C8F" w14:textId="77777777" w:rsidR="001F04FD" w:rsidRPr="0013396E" w:rsidRDefault="001F04FD" w:rsidP="00AC4DEE">
            <w:pPr>
              <w:pStyle w:val="TableBody"/>
            </w:pPr>
            <w:r w:rsidRPr="0013396E">
              <w:t xml:space="preserve">BSSEH </w:t>
            </w:r>
            <w:r w:rsidRPr="0013396E">
              <w:rPr>
                <w:i/>
                <w:vertAlign w:val="subscript"/>
              </w:rPr>
              <w:t>q, r</w:t>
            </w:r>
          </w:p>
        </w:tc>
        <w:tc>
          <w:tcPr>
            <w:tcW w:w="810" w:type="dxa"/>
          </w:tcPr>
          <w:p w14:paraId="149097C2" w14:textId="77777777" w:rsidR="001F04FD" w:rsidRPr="0013396E" w:rsidRDefault="001F04FD" w:rsidP="00AC4DEE">
            <w:pPr>
              <w:pStyle w:val="TableBody"/>
            </w:pPr>
            <w:r w:rsidRPr="0013396E">
              <w:t>none</w:t>
            </w:r>
          </w:p>
        </w:tc>
        <w:tc>
          <w:tcPr>
            <w:tcW w:w="7274" w:type="dxa"/>
          </w:tcPr>
          <w:p w14:paraId="0A1AA00F" w14:textId="77777777" w:rsidR="001F04FD" w:rsidRPr="0013396E" w:rsidRDefault="001F04FD" w:rsidP="00AC4DEE">
            <w:pPr>
              <w:pStyle w:val="TableBody"/>
            </w:pPr>
            <w:r w:rsidRPr="0013396E">
              <w:rPr>
                <w:i/>
              </w:rPr>
              <w:t>Black Start Service Elapsed number of Hours per QSE per Resource by hour</w:t>
            </w:r>
            <w:r w:rsidRPr="0013396E">
              <w:t xml:space="preserve">—The number of the elapsed hours of BSS Resource </w:t>
            </w:r>
            <w:r w:rsidRPr="0013396E">
              <w:rPr>
                <w:i/>
              </w:rPr>
              <w:t>r</w:t>
            </w:r>
            <w:r w:rsidRPr="0013396E">
              <w:t xml:space="preserve"> represented by QSE </w:t>
            </w:r>
            <w:r w:rsidRPr="0013396E">
              <w:rPr>
                <w:i/>
              </w:rPr>
              <w:t>q</w:t>
            </w:r>
            <w:r w:rsidRPr="0013396E">
              <w:t xml:space="preserve"> since the beginning of the BSS Agreement, for the hour.  Where for a Combined Cycle Train, the Resource </w:t>
            </w:r>
            <w:r w:rsidRPr="0013396E">
              <w:rPr>
                <w:i/>
              </w:rPr>
              <w:t xml:space="preserve">r </w:t>
            </w:r>
            <w:r w:rsidRPr="0013396E">
              <w:t>is the Combined Cycle Train.</w:t>
            </w:r>
          </w:p>
        </w:tc>
      </w:tr>
      <w:tr w:rsidR="001F04FD" w:rsidRPr="0013396E" w14:paraId="3B430405" w14:textId="77777777" w:rsidTr="00AC4DEE">
        <w:trPr>
          <w:cantSplit/>
        </w:trPr>
        <w:tc>
          <w:tcPr>
            <w:tcW w:w="1728" w:type="dxa"/>
          </w:tcPr>
          <w:p w14:paraId="1C5019C4" w14:textId="77777777" w:rsidR="001F04FD" w:rsidRPr="0013396E" w:rsidRDefault="001F04FD" w:rsidP="00AC4DEE">
            <w:pPr>
              <w:pStyle w:val="TableBody"/>
            </w:pPr>
            <w:r w:rsidRPr="0013396E">
              <w:t xml:space="preserve">BSSAFLAG </w:t>
            </w:r>
            <w:r w:rsidRPr="0013396E">
              <w:rPr>
                <w:i/>
                <w:vertAlign w:val="subscript"/>
              </w:rPr>
              <w:t xml:space="preserve">q, r, </w:t>
            </w:r>
            <w:r w:rsidRPr="0013396E">
              <w:rPr>
                <w:i/>
                <w:iCs w:val="0"/>
                <w:vertAlign w:val="subscript"/>
              </w:rPr>
              <w:t>hr</w:t>
            </w:r>
          </w:p>
        </w:tc>
        <w:tc>
          <w:tcPr>
            <w:tcW w:w="810" w:type="dxa"/>
          </w:tcPr>
          <w:p w14:paraId="47F93DEF" w14:textId="77777777" w:rsidR="001F04FD" w:rsidRPr="0013396E" w:rsidRDefault="001F04FD" w:rsidP="00AC4DEE">
            <w:pPr>
              <w:pStyle w:val="TableBody"/>
            </w:pPr>
            <w:r w:rsidRPr="0013396E">
              <w:t>none</w:t>
            </w:r>
          </w:p>
        </w:tc>
        <w:tc>
          <w:tcPr>
            <w:tcW w:w="7274" w:type="dxa"/>
          </w:tcPr>
          <w:p w14:paraId="3FC9C979" w14:textId="77777777" w:rsidR="001F04FD" w:rsidRPr="0013396E" w:rsidRDefault="001F04FD" w:rsidP="00AC4DEE">
            <w:pPr>
              <w:pStyle w:val="TableBody"/>
            </w:pPr>
            <w:r w:rsidRPr="0013396E">
              <w:rPr>
                <w:i/>
              </w:rPr>
              <w:t>Black Start Service Availability Flag per QSE per Resource by hour</w:t>
            </w:r>
            <w:r w:rsidRPr="0013396E">
              <w:t>—The flag of the availability of BSS Resource</w:t>
            </w:r>
            <w:r w:rsidRPr="0013396E">
              <w:rPr>
                <w:i/>
              </w:rPr>
              <w:t xml:space="preserve"> r</w:t>
            </w:r>
            <w:r w:rsidRPr="0013396E">
              <w:t xml:space="preserve"> represented by QSE </w:t>
            </w:r>
            <w:r w:rsidRPr="0013396E">
              <w:rPr>
                <w:i/>
              </w:rPr>
              <w:t>q</w:t>
            </w:r>
            <w:r w:rsidRPr="0013396E">
              <w:t xml:space="preserve">, 1 for available and 0 for unavailable, for the hour.  Where for a Combined Cycle Train, the Resource </w:t>
            </w:r>
            <w:r w:rsidRPr="0013396E">
              <w:rPr>
                <w:i/>
              </w:rPr>
              <w:t xml:space="preserve">r </w:t>
            </w:r>
            <w:r w:rsidRPr="0013396E">
              <w:t>is a Combined Cycle Generation Resource within the Combined Cycle Train.</w:t>
            </w:r>
          </w:p>
        </w:tc>
      </w:tr>
      <w:tr w:rsidR="001F04FD" w:rsidRPr="0013396E" w14:paraId="33DE3630" w14:textId="77777777" w:rsidTr="00AC4DEE">
        <w:trPr>
          <w:cantSplit/>
        </w:trPr>
        <w:tc>
          <w:tcPr>
            <w:tcW w:w="1728" w:type="dxa"/>
          </w:tcPr>
          <w:p w14:paraId="14FDFE39" w14:textId="77777777" w:rsidR="001F04FD" w:rsidRPr="0013396E" w:rsidRDefault="001F04FD" w:rsidP="00AC4DEE">
            <w:pPr>
              <w:pStyle w:val="TableBody"/>
              <w:rPr>
                <w:i/>
              </w:rPr>
            </w:pPr>
            <w:r w:rsidRPr="0013396E">
              <w:rPr>
                <w:i/>
              </w:rPr>
              <w:t>q</w:t>
            </w:r>
          </w:p>
        </w:tc>
        <w:tc>
          <w:tcPr>
            <w:tcW w:w="810" w:type="dxa"/>
          </w:tcPr>
          <w:p w14:paraId="6F0E9257" w14:textId="77777777" w:rsidR="001F04FD" w:rsidRPr="0013396E" w:rsidRDefault="001F04FD" w:rsidP="00AC4DEE">
            <w:pPr>
              <w:pStyle w:val="TableBody"/>
            </w:pPr>
            <w:r w:rsidRPr="0013396E">
              <w:t>none</w:t>
            </w:r>
          </w:p>
        </w:tc>
        <w:tc>
          <w:tcPr>
            <w:tcW w:w="7274" w:type="dxa"/>
          </w:tcPr>
          <w:p w14:paraId="1D11184E" w14:textId="77777777" w:rsidR="001F04FD" w:rsidRPr="0013396E" w:rsidRDefault="001F04FD" w:rsidP="00AC4DEE">
            <w:pPr>
              <w:pStyle w:val="TableBody"/>
            </w:pPr>
            <w:r w:rsidRPr="0013396E">
              <w:t>A QSE.</w:t>
            </w:r>
          </w:p>
        </w:tc>
      </w:tr>
      <w:tr w:rsidR="001F04FD" w:rsidRPr="0013396E" w14:paraId="5504B557" w14:textId="77777777" w:rsidTr="00AC4DEE">
        <w:trPr>
          <w:cantSplit/>
        </w:trPr>
        <w:tc>
          <w:tcPr>
            <w:tcW w:w="1728" w:type="dxa"/>
          </w:tcPr>
          <w:p w14:paraId="6ED19EB6" w14:textId="77777777" w:rsidR="001F04FD" w:rsidRPr="0013396E" w:rsidRDefault="001F04FD" w:rsidP="00AC4DEE">
            <w:pPr>
              <w:pStyle w:val="TableBody"/>
              <w:rPr>
                <w:i/>
              </w:rPr>
            </w:pPr>
            <w:r w:rsidRPr="0013396E">
              <w:rPr>
                <w:i/>
              </w:rPr>
              <w:t>r</w:t>
            </w:r>
          </w:p>
        </w:tc>
        <w:tc>
          <w:tcPr>
            <w:tcW w:w="810" w:type="dxa"/>
          </w:tcPr>
          <w:p w14:paraId="7AC28CB2" w14:textId="77777777" w:rsidR="001F04FD" w:rsidRPr="0013396E" w:rsidRDefault="001F04FD" w:rsidP="00AC4DEE">
            <w:pPr>
              <w:pStyle w:val="TableBody"/>
            </w:pPr>
            <w:r w:rsidRPr="0013396E">
              <w:t>none</w:t>
            </w:r>
          </w:p>
        </w:tc>
        <w:tc>
          <w:tcPr>
            <w:tcW w:w="7274" w:type="dxa"/>
          </w:tcPr>
          <w:p w14:paraId="149C8E1D" w14:textId="77777777" w:rsidR="001F04FD" w:rsidRPr="0013396E" w:rsidRDefault="001F04FD" w:rsidP="00AC4DEE">
            <w:pPr>
              <w:pStyle w:val="TableBody"/>
            </w:pPr>
            <w:r w:rsidRPr="0013396E">
              <w:t>A BSS Resource.</w:t>
            </w:r>
          </w:p>
        </w:tc>
      </w:tr>
      <w:tr w:rsidR="001F04FD" w:rsidRPr="0013396E" w14:paraId="1E44D55A" w14:textId="77777777" w:rsidTr="00AC4DEE">
        <w:trPr>
          <w:cantSplit/>
        </w:trPr>
        <w:tc>
          <w:tcPr>
            <w:tcW w:w="1728" w:type="dxa"/>
          </w:tcPr>
          <w:p w14:paraId="30ADBD66" w14:textId="77777777" w:rsidR="001F04FD" w:rsidRPr="0013396E" w:rsidRDefault="001F04FD" w:rsidP="00AC4DEE">
            <w:pPr>
              <w:pStyle w:val="TableBody"/>
              <w:rPr>
                <w:i/>
              </w:rPr>
            </w:pPr>
            <w:r w:rsidRPr="0013396E">
              <w:rPr>
                <w:i/>
              </w:rPr>
              <w:t>hr</w:t>
            </w:r>
          </w:p>
        </w:tc>
        <w:tc>
          <w:tcPr>
            <w:tcW w:w="810" w:type="dxa"/>
          </w:tcPr>
          <w:p w14:paraId="1447B006" w14:textId="77777777" w:rsidR="001F04FD" w:rsidRPr="0013396E" w:rsidRDefault="001F04FD" w:rsidP="00AC4DEE">
            <w:pPr>
              <w:pStyle w:val="TableBody"/>
            </w:pPr>
            <w:r w:rsidRPr="0013396E">
              <w:t>none</w:t>
            </w:r>
          </w:p>
        </w:tc>
        <w:tc>
          <w:tcPr>
            <w:tcW w:w="7274" w:type="dxa"/>
          </w:tcPr>
          <w:p w14:paraId="1D3891FA" w14:textId="77777777" w:rsidR="001F04FD" w:rsidRPr="0013396E" w:rsidRDefault="001F04FD" w:rsidP="00AC4DEE">
            <w:pPr>
              <w:pStyle w:val="TableBody"/>
            </w:pPr>
            <w:r w:rsidRPr="0013396E">
              <w:t>The index of a given hour and the previous 4379 hours.</w:t>
            </w:r>
          </w:p>
        </w:tc>
      </w:tr>
      <w:tr w:rsidR="001F04FD" w:rsidRPr="0013396E" w14:paraId="0C51C827" w14:textId="77777777" w:rsidTr="00AC4DEE">
        <w:trPr>
          <w:cantSplit/>
        </w:trPr>
        <w:tc>
          <w:tcPr>
            <w:tcW w:w="1728" w:type="dxa"/>
          </w:tcPr>
          <w:p w14:paraId="51B993A5" w14:textId="77777777" w:rsidR="001F04FD" w:rsidRPr="0013396E" w:rsidRDefault="001F04FD" w:rsidP="00AC4DEE">
            <w:pPr>
              <w:pStyle w:val="TableBody"/>
            </w:pPr>
            <w:r w:rsidRPr="0013396E">
              <w:t>4380</w:t>
            </w:r>
          </w:p>
        </w:tc>
        <w:tc>
          <w:tcPr>
            <w:tcW w:w="810" w:type="dxa"/>
          </w:tcPr>
          <w:p w14:paraId="5761F263" w14:textId="77777777" w:rsidR="001F04FD" w:rsidRPr="0013396E" w:rsidRDefault="001F04FD" w:rsidP="00AC4DEE">
            <w:pPr>
              <w:pStyle w:val="TableBody"/>
            </w:pPr>
            <w:r w:rsidRPr="0013396E">
              <w:t>none</w:t>
            </w:r>
          </w:p>
        </w:tc>
        <w:tc>
          <w:tcPr>
            <w:tcW w:w="7274" w:type="dxa"/>
          </w:tcPr>
          <w:p w14:paraId="639CAAD0" w14:textId="77777777" w:rsidR="001F04FD" w:rsidRPr="0013396E" w:rsidRDefault="001F04FD" w:rsidP="00AC4DEE">
            <w:pPr>
              <w:pStyle w:val="TableBody"/>
            </w:pPr>
            <w:r w:rsidRPr="0013396E">
              <w:t>The number of hours in a six-month period.</w:t>
            </w:r>
          </w:p>
        </w:tc>
      </w:tr>
    </w:tbl>
    <w:p w14:paraId="38784ACC" w14:textId="4BF47B58" w:rsidR="001F04FD" w:rsidRPr="0013396E" w:rsidRDefault="001F04FD" w:rsidP="001F04FD">
      <w:pPr>
        <w:pStyle w:val="BodyTextNumbered"/>
        <w:spacing w:before="240"/>
      </w:pPr>
      <w:bookmarkStart w:id="2088" w:name="_Toc87951813"/>
      <w:bookmarkStart w:id="2089" w:name="_Toc109009417"/>
      <w:r w:rsidRPr="0013396E">
        <w:t>(</w:t>
      </w:r>
      <w:r w:rsidR="00FA6B59">
        <w:t>4</w:t>
      </w:r>
      <w:r w:rsidRPr="0013396E">
        <w:t>)</w:t>
      </w:r>
      <w:r w:rsidRPr="0013396E">
        <w:tab/>
        <w:t>The total of the payments to each QSE for all BSS Resources represented by this QSE for a given hour is calculated as follows:</w:t>
      </w:r>
    </w:p>
    <w:p w14:paraId="79DA4AA6" w14:textId="77777777" w:rsidR="001F04FD" w:rsidRPr="0013396E" w:rsidRDefault="001F04FD" w:rsidP="001F04FD">
      <w:pPr>
        <w:pStyle w:val="FormulaBold"/>
      </w:pPr>
      <w:r w:rsidRPr="0013396E">
        <w:t xml:space="preserve">BSSAMTQSETOT </w:t>
      </w:r>
      <w:r w:rsidRPr="0013396E">
        <w:rPr>
          <w:i/>
          <w:vertAlign w:val="subscript"/>
        </w:rPr>
        <w:t>q</w:t>
      </w:r>
      <w:r w:rsidRPr="0013396E">
        <w:tab/>
        <w:t>=</w:t>
      </w:r>
      <w:r w:rsidRPr="0013396E">
        <w:tab/>
      </w:r>
      <w:r w:rsidRPr="0013396E">
        <w:rPr>
          <w:position w:val="-18"/>
        </w:rPr>
        <w:object w:dxaOrig="225" w:dyaOrig="420" w14:anchorId="4CFBC701">
          <v:shape id="_x0000_i1198" type="#_x0000_t75" style="width:12pt;height:24pt" o:ole="">
            <v:imagedata r:id="rId201" o:title=""/>
          </v:shape>
          <o:OLEObject Type="Embed" ProgID="Equation.3" ShapeID="_x0000_i1198" DrawAspect="Content" ObjectID="_1849065828" r:id="rId252"/>
        </w:object>
      </w:r>
      <w:r w:rsidRPr="0013396E">
        <w:t xml:space="preserve">BSSAMT </w:t>
      </w:r>
      <w:r w:rsidRPr="0013396E">
        <w:rPr>
          <w:i/>
          <w:vertAlign w:val="subscript"/>
        </w:rPr>
        <w:t>q, r</w:t>
      </w:r>
    </w:p>
    <w:p w14:paraId="466EBAA4" w14:textId="77777777" w:rsidR="001F04FD" w:rsidRPr="0013396E" w:rsidRDefault="001F04FD" w:rsidP="001F04FD">
      <w:r w:rsidRPr="0013396E">
        <w:t>The above variables are defined as follows:</w:t>
      </w: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05"/>
        <w:gridCol w:w="7140"/>
      </w:tblGrid>
      <w:tr w:rsidR="001F04FD" w:rsidRPr="0013396E" w14:paraId="40E3B37E" w14:textId="77777777" w:rsidTr="00AC4DEE">
        <w:trPr>
          <w:cantSplit/>
          <w:tblHeader/>
        </w:trPr>
        <w:tc>
          <w:tcPr>
            <w:tcW w:w="1998" w:type="dxa"/>
          </w:tcPr>
          <w:p w14:paraId="20FAF4A1" w14:textId="77777777" w:rsidR="001F04FD" w:rsidRPr="0013396E" w:rsidRDefault="001F04FD" w:rsidP="00AC4DEE">
            <w:pPr>
              <w:pStyle w:val="TableHead"/>
            </w:pPr>
            <w:r w:rsidRPr="0013396E">
              <w:t>Variable</w:t>
            </w:r>
          </w:p>
        </w:tc>
        <w:tc>
          <w:tcPr>
            <w:tcW w:w="0" w:type="auto"/>
          </w:tcPr>
          <w:p w14:paraId="5687902A" w14:textId="77777777" w:rsidR="001F04FD" w:rsidRPr="0013396E" w:rsidRDefault="001F04FD" w:rsidP="00AC4DEE">
            <w:pPr>
              <w:pStyle w:val="TableHead"/>
            </w:pPr>
            <w:r w:rsidRPr="0013396E">
              <w:t>Unit</w:t>
            </w:r>
          </w:p>
        </w:tc>
        <w:tc>
          <w:tcPr>
            <w:tcW w:w="0" w:type="auto"/>
          </w:tcPr>
          <w:p w14:paraId="29B286A2" w14:textId="77777777" w:rsidR="001F04FD" w:rsidRPr="0013396E" w:rsidRDefault="001F04FD" w:rsidP="00AC4DEE">
            <w:pPr>
              <w:pStyle w:val="TableHead"/>
            </w:pPr>
            <w:r w:rsidRPr="0013396E">
              <w:t>Definition</w:t>
            </w:r>
          </w:p>
        </w:tc>
      </w:tr>
      <w:tr w:rsidR="001F04FD" w:rsidRPr="0013396E" w14:paraId="230DA100" w14:textId="77777777" w:rsidTr="00AC4DEE">
        <w:trPr>
          <w:cantSplit/>
        </w:trPr>
        <w:tc>
          <w:tcPr>
            <w:tcW w:w="1998" w:type="dxa"/>
          </w:tcPr>
          <w:p w14:paraId="7A69BCEA" w14:textId="77777777" w:rsidR="001F04FD" w:rsidRPr="0013396E" w:rsidRDefault="001F04FD" w:rsidP="00AC4DEE">
            <w:pPr>
              <w:pStyle w:val="TableBody"/>
            </w:pPr>
            <w:r w:rsidRPr="0013396E">
              <w:t>BSSAMTQSETOT</w:t>
            </w:r>
            <w:r w:rsidRPr="0013396E">
              <w:rPr>
                <w:i/>
              </w:rPr>
              <w:t xml:space="preserve"> </w:t>
            </w:r>
            <w:r w:rsidRPr="0013396E">
              <w:rPr>
                <w:i/>
                <w:vertAlign w:val="subscript"/>
              </w:rPr>
              <w:t>q</w:t>
            </w:r>
          </w:p>
        </w:tc>
        <w:tc>
          <w:tcPr>
            <w:tcW w:w="0" w:type="auto"/>
          </w:tcPr>
          <w:p w14:paraId="45815C89" w14:textId="77777777" w:rsidR="001F04FD" w:rsidRPr="0013396E" w:rsidRDefault="001F04FD" w:rsidP="00AC4DEE">
            <w:pPr>
              <w:pStyle w:val="TableBody"/>
            </w:pPr>
            <w:r w:rsidRPr="0013396E">
              <w:t>$</w:t>
            </w:r>
          </w:p>
        </w:tc>
        <w:tc>
          <w:tcPr>
            <w:tcW w:w="0" w:type="auto"/>
          </w:tcPr>
          <w:p w14:paraId="0EC7D39B" w14:textId="77777777" w:rsidR="001F04FD" w:rsidRPr="0013396E" w:rsidRDefault="001F04FD" w:rsidP="00AC4DEE">
            <w:pPr>
              <w:pStyle w:val="TableBody"/>
            </w:pPr>
            <w:r w:rsidRPr="0013396E">
              <w:rPr>
                <w:i/>
              </w:rPr>
              <w:t>Black Start Service Amount QSE Total per QSE</w:t>
            </w:r>
            <w:r w:rsidRPr="0013396E">
              <w:sym w:font="Symbol" w:char="F0BE"/>
            </w:r>
            <w:r w:rsidRPr="0013396E">
              <w:t xml:space="preserve">The total of the payments to QSE </w:t>
            </w:r>
            <w:r w:rsidRPr="0013396E">
              <w:rPr>
                <w:i/>
              </w:rPr>
              <w:t>q</w:t>
            </w:r>
            <w:r w:rsidRPr="0013396E">
              <w:t xml:space="preserve"> for BSS provided by all the BSS Resources represented by this QSE for the hour </w:t>
            </w:r>
            <w:r w:rsidRPr="0013396E">
              <w:rPr>
                <w:i/>
              </w:rPr>
              <w:t>h</w:t>
            </w:r>
            <w:r w:rsidRPr="0013396E">
              <w:t>.</w:t>
            </w:r>
          </w:p>
        </w:tc>
      </w:tr>
      <w:tr w:rsidR="001F04FD" w:rsidRPr="0013396E" w14:paraId="4350C6F1" w14:textId="77777777" w:rsidTr="00AC4DEE">
        <w:trPr>
          <w:cantSplit/>
        </w:trPr>
        <w:tc>
          <w:tcPr>
            <w:tcW w:w="1998" w:type="dxa"/>
          </w:tcPr>
          <w:p w14:paraId="5CE63F9C" w14:textId="77777777" w:rsidR="001F04FD" w:rsidRPr="0013396E" w:rsidRDefault="001F04FD" w:rsidP="00AC4DEE">
            <w:pPr>
              <w:pStyle w:val="TableBody"/>
            </w:pPr>
            <w:r w:rsidRPr="0013396E">
              <w:lastRenderedPageBreak/>
              <w:t xml:space="preserve">BSSAMT </w:t>
            </w:r>
            <w:r w:rsidRPr="0013396E">
              <w:rPr>
                <w:i/>
                <w:vertAlign w:val="subscript"/>
              </w:rPr>
              <w:t>q, r</w:t>
            </w:r>
          </w:p>
        </w:tc>
        <w:tc>
          <w:tcPr>
            <w:tcW w:w="0" w:type="auto"/>
          </w:tcPr>
          <w:p w14:paraId="08232FDF" w14:textId="77777777" w:rsidR="001F04FD" w:rsidRPr="0013396E" w:rsidRDefault="001F04FD" w:rsidP="00AC4DEE">
            <w:pPr>
              <w:pStyle w:val="TableBody"/>
            </w:pPr>
            <w:r w:rsidRPr="0013396E">
              <w:t>$</w:t>
            </w:r>
          </w:p>
        </w:tc>
        <w:tc>
          <w:tcPr>
            <w:tcW w:w="0" w:type="auto"/>
          </w:tcPr>
          <w:p w14:paraId="48F03C94" w14:textId="77777777" w:rsidR="001F04FD" w:rsidRPr="0013396E" w:rsidRDefault="001F04FD" w:rsidP="00AC4DEE">
            <w:pPr>
              <w:pStyle w:val="TableBody"/>
            </w:pPr>
            <w:r w:rsidRPr="0013396E">
              <w:rPr>
                <w:i/>
              </w:rPr>
              <w:t>Black Start Service Amount per QSE per Resource</w:t>
            </w:r>
            <w:r w:rsidRPr="0013396E">
              <w:t xml:space="preserve">—The standby payment to QSE </w:t>
            </w:r>
            <w:r w:rsidRPr="0013396E">
              <w:rPr>
                <w:i/>
              </w:rPr>
              <w:t>q</w:t>
            </w:r>
            <w:r w:rsidRPr="0013396E">
              <w:t xml:space="preserve"> for BSS provided by Resource </w:t>
            </w:r>
            <w:r w:rsidRPr="0013396E">
              <w:rPr>
                <w:i/>
              </w:rPr>
              <w:t>r</w:t>
            </w:r>
            <w:r w:rsidRPr="0013396E">
              <w:t xml:space="preserve">, for the hour.  Where for a Combined Cycle Train, the Resource </w:t>
            </w:r>
            <w:r w:rsidRPr="0013396E">
              <w:rPr>
                <w:i/>
              </w:rPr>
              <w:t xml:space="preserve">r </w:t>
            </w:r>
            <w:r w:rsidRPr="0013396E">
              <w:t>is the Combined Cycle Train.</w:t>
            </w:r>
          </w:p>
        </w:tc>
      </w:tr>
      <w:tr w:rsidR="001F04FD" w:rsidRPr="0013396E" w14:paraId="03263FF6" w14:textId="77777777" w:rsidTr="00AC4DEE">
        <w:trPr>
          <w:cantSplit/>
        </w:trPr>
        <w:tc>
          <w:tcPr>
            <w:tcW w:w="1998" w:type="dxa"/>
            <w:tcBorders>
              <w:top w:val="single" w:sz="4" w:space="0" w:color="auto"/>
              <w:left w:val="single" w:sz="4" w:space="0" w:color="auto"/>
              <w:bottom w:val="single" w:sz="4" w:space="0" w:color="auto"/>
              <w:right w:val="single" w:sz="4" w:space="0" w:color="auto"/>
            </w:tcBorders>
          </w:tcPr>
          <w:p w14:paraId="0CECE8D7" w14:textId="77777777" w:rsidR="001F04FD" w:rsidRPr="0013396E" w:rsidRDefault="001F04FD" w:rsidP="00AC4DEE">
            <w:pPr>
              <w:pStyle w:val="TableBody"/>
              <w:rPr>
                <w:i/>
              </w:rPr>
            </w:pPr>
            <w:r w:rsidRPr="0013396E">
              <w:rPr>
                <w:i/>
              </w:rPr>
              <w:t>q</w:t>
            </w:r>
          </w:p>
        </w:tc>
        <w:tc>
          <w:tcPr>
            <w:tcW w:w="0" w:type="auto"/>
            <w:tcBorders>
              <w:top w:val="single" w:sz="4" w:space="0" w:color="auto"/>
              <w:left w:val="single" w:sz="4" w:space="0" w:color="auto"/>
              <w:bottom w:val="single" w:sz="4" w:space="0" w:color="auto"/>
              <w:right w:val="single" w:sz="4" w:space="0" w:color="auto"/>
            </w:tcBorders>
          </w:tcPr>
          <w:p w14:paraId="77AD390C" w14:textId="77777777" w:rsidR="001F04FD" w:rsidRPr="0013396E" w:rsidRDefault="001F04FD" w:rsidP="00AC4DEE">
            <w:pPr>
              <w:pStyle w:val="TableBody"/>
            </w:pPr>
            <w:r w:rsidRPr="0013396E">
              <w:t>none</w:t>
            </w:r>
          </w:p>
        </w:tc>
        <w:tc>
          <w:tcPr>
            <w:tcW w:w="0" w:type="auto"/>
            <w:tcBorders>
              <w:top w:val="single" w:sz="4" w:space="0" w:color="auto"/>
              <w:left w:val="single" w:sz="4" w:space="0" w:color="auto"/>
              <w:bottom w:val="single" w:sz="4" w:space="0" w:color="auto"/>
              <w:right w:val="single" w:sz="4" w:space="0" w:color="auto"/>
            </w:tcBorders>
          </w:tcPr>
          <w:p w14:paraId="4B72835C" w14:textId="77777777" w:rsidR="001F04FD" w:rsidRPr="0013396E" w:rsidRDefault="001F04FD" w:rsidP="00AC4DEE">
            <w:pPr>
              <w:pStyle w:val="TableBody"/>
            </w:pPr>
            <w:r w:rsidRPr="0013396E">
              <w:t>A QSE.</w:t>
            </w:r>
          </w:p>
        </w:tc>
      </w:tr>
      <w:tr w:rsidR="001F04FD" w:rsidRPr="0013396E" w14:paraId="410D3CBD" w14:textId="77777777" w:rsidTr="00AC4DEE">
        <w:trPr>
          <w:cantSplit/>
        </w:trPr>
        <w:tc>
          <w:tcPr>
            <w:tcW w:w="1998" w:type="dxa"/>
            <w:tcBorders>
              <w:top w:val="single" w:sz="4" w:space="0" w:color="auto"/>
              <w:left w:val="single" w:sz="4" w:space="0" w:color="auto"/>
              <w:bottom w:val="single" w:sz="4" w:space="0" w:color="auto"/>
              <w:right w:val="single" w:sz="4" w:space="0" w:color="auto"/>
            </w:tcBorders>
          </w:tcPr>
          <w:p w14:paraId="6D70642E" w14:textId="77777777" w:rsidR="001F04FD" w:rsidRPr="0013396E" w:rsidRDefault="001F04FD" w:rsidP="00AC4DEE">
            <w:pPr>
              <w:pStyle w:val="TableBody"/>
              <w:rPr>
                <w:i/>
              </w:rPr>
            </w:pPr>
            <w:r w:rsidRPr="0013396E">
              <w:rPr>
                <w:i/>
              </w:rPr>
              <w:t>r</w:t>
            </w:r>
          </w:p>
        </w:tc>
        <w:tc>
          <w:tcPr>
            <w:tcW w:w="0" w:type="auto"/>
            <w:tcBorders>
              <w:top w:val="single" w:sz="4" w:space="0" w:color="auto"/>
              <w:left w:val="single" w:sz="4" w:space="0" w:color="auto"/>
              <w:bottom w:val="single" w:sz="4" w:space="0" w:color="auto"/>
              <w:right w:val="single" w:sz="4" w:space="0" w:color="auto"/>
            </w:tcBorders>
          </w:tcPr>
          <w:p w14:paraId="0BC0322D" w14:textId="77777777" w:rsidR="001F04FD" w:rsidRPr="0013396E" w:rsidRDefault="001F04FD" w:rsidP="00AC4DEE">
            <w:pPr>
              <w:pStyle w:val="TableBody"/>
            </w:pPr>
            <w:r w:rsidRPr="0013396E">
              <w:t>none</w:t>
            </w:r>
          </w:p>
        </w:tc>
        <w:tc>
          <w:tcPr>
            <w:tcW w:w="0" w:type="auto"/>
            <w:tcBorders>
              <w:top w:val="single" w:sz="4" w:space="0" w:color="auto"/>
              <w:left w:val="single" w:sz="4" w:space="0" w:color="auto"/>
              <w:bottom w:val="single" w:sz="4" w:space="0" w:color="auto"/>
              <w:right w:val="single" w:sz="4" w:space="0" w:color="auto"/>
            </w:tcBorders>
          </w:tcPr>
          <w:p w14:paraId="67519D52" w14:textId="77777777" w:rsidR="001F04FD" w:rsidRPr="0013396E" w:rsidRDefault="001F04FD" w:rsidP="00AC4DEE">
            <w:pPr>
              <w:pStyle w:val="TableBody"/>
            </w:pPr>
            <w:r w:rsidRPr="0013396E">
              <w:t>A BSS Resource.</w:t>
            </w:r>
          </w:p>
        </w:tc>
      </w:tr>
    </w:tbl>
    <w:p w14:paraId="33DFF25B" w14:textId="77777777" w:rsidR="001F04FD" w:rsidRPr="0013396E" w:rsidRDefault="001F04FD" w:rsidP="001F04FD">
      <w:pPr>
        <w:pStyle w:val="H4"/>
        <w:spacing w:before="480"/>
        <w:ind w:left="1267" w:hanging="1267"/>
      </w:pPr>
      <w:bookmarkStart w:id="2090" w:name="_Toc397505037"/>
      <w:bookmarkStart w:id="2091" w:name="_Toc402357169"/>
      <w:bookmarkStart w:id="2092" w:name="_Toc422486549"/>
      <w:bookmarkStart w:id="2093" w:name="_Toc433093402"/>
      <w:bookmarkStart w:id="2094" w:name="_Toc433093560"/>
      <w:bookmarkStart w:id="2095" w:name="_Toc440874790"/>
      <w:bookmarkStart w:id="2096" w:name="_Toc448142347"/>
      <w:bookmarkStart w:id="2097" w:name="_Toc448142504"/>
      <w:bookmarkStart w:id="2098" w:name="_Toc458770345"/>
      <w:bookmarkStart w:id="2099" w:name="_Toc459294313"/>
      <w:bookmarkStart w:id="2100" w:name="_Toc463262807"/>
      <w:bookmarkStart w:id="2101" w:name="_Toc468286880"/>
      <w:bookmarkStart w:id="2102" w:name="_Toc481502920"/>
      <w:bookmarkStart w:id="2103" w:name="_Toc496080088"/>
      <w:bookmarkStart w:id="2104" w:name="_Toc236220222"/>
      <w:r w:rsidRPr="0013396E">
        <w:t>6.6.8.2</w:t>
      </w:r>
      <w:r w:rsidRPr="0013396E">
        <w:tab/>
        <w:t>Black Start Capacity Charge</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14:paraId="316162C7" w14:textId="77777777" w:rsidR="001F04FD" w:rsidRPr="0013396E" w:rsidRDefault="001F04FD" w:rsidP="001F04FD">
      <w:pPr>
        <w:pStyle w:val="BodyTextNumbered"/>
        <w:spacing w:before="240"/>
      </w:pPr>
      <w:r w:rsidRPr="0013396E">
        <w:t>(1)</w:t>
      </w:r>
      <w:r w:rsidRPr="0013396E">
        <w:tab/>
        <w:t>ERCOT shall allocate the total Black Start Service Capacity payment to the QSEs representing Loads based on a LRS.  The resulting charge to each QSE for a given hour is calculated as follows:</w:t>
      </w:r>
    </w:p>
    <w:p w14:paraId="00173E58" w14:textId="77777777" w:rsidR="001F04FD" w:rsidRPr="0013396E" w:rsidRDefault="001F04FD" w:rsidP="001F04FD">
      <w:pPr>
        <w:pStyle w:val="FormulaBold"/>
      </w:pPr>
      <w:r w:rsidRPr="0013396E">
        <w:t xml:space="preserve">LABSSAMT </w:t>
      </w:r>
      <w:r w:rsidRPr="0013396E">
        <w:rPr>
          <w:i/>
          <w:vertAlign w:val="subscript"/>
        </w:rPr>
        <w:t>q</w:t>
      </w:r>
      <w:r w:rsidRPr="0013396E">
        <w:tab/>
        <w:t>=</w:t>
      </w:r>
      <w:r w:rsidRPr="0013396E">
        <w:tab/>
        <w:t xml:space="preserve">(-1) * BSSAMTTOT * HLRS </w:t>
      </w:r>
      <w:r w:rsidRPr="0013396E">
        <w:rPr>
          <w:i/>
          <w:vertAlign w:val="subscript"/>
        </w:rPr>
        <w:t>q</w:t>
      </w:r>
    </w:p>
    <w:p w14:paraId="16BF657A" w14:textId="77777777" w:rsidR="001F04FD" w:rsidRPr="0013396E" w:rsidRDefault="001F04FD" w:rsidP="001F04FD">
      <w:pPr>
        <w:pStyle w:val="BodyText"/>
      </w:pPr>
      <w:r w:rsidRPr="0013396E">
        <w:t>Where:</w:t>
      </w:r>
    </w:p>
    <w:p w14:paraId="47A4B2F1" w14:textId="77777777" w:rsidR="001F04FD" w:rsidRPr="0013396E" w:rsidRDefault="001F04FD" w:rsidP="001F04FD">
      <w:pPr>
        <w:pStyle w:val="Formula"/>
        <w:ind w:left="2880" w:hanging="2160"/>
      </w:pPr>
      <w:r w:rsidRPr="0013396E">
        <w:t>BSSAMTTOT</w:t>
      </w:r>
      <w:r w:rsidRPr="0013396E">
        <w:tab/>
        <w:t>=</w:t>
      </w:r>
      <w:r w:rsidRPr="0013396E">
        <w:tab/>
      </w:r>
      <w:r w:rsidRPr="0013396E">
        <w:rPr>
          <w:position w:val="-22"/>
        </w:rPr>
        <w:object w:dxaOrig="210" w:dyaOrig="465" w14:anchorId="720E5F21">
          <v:shape id="_x0000_i1199" type="#_x0000_t75" style="width:6pt;height:24pt" o:ole="">
            <v:imagedata r:id="rId253" o:title=""/>
          </v:shape>
          <o:OLEObject Type="Embed" ProgID="Equation.3" ShapeID="_x0000_i1199" DrawAspect="Content" ObjectID="_1849065829" r:id="rId254"/>
        </w:object>
      </w:r>
      <w:r w:rsidRPr="0013396E">
        <w:t xml:space="preserve">BSSAMTQSETOT </w:t>
      </w:r>
      <w:r w:rsidRPr="0013396E">
        <w:rPr>
          <w:i/>
          <w:vertAlign w:val="subscript"/>
        </w:rPr>
        <w:t>q</w:t>
      </w:r>
    </w:p>
    <w:p w14:paraId="1471A2D6" w14:textId="77777777" w:rsidR="001F04FD" w:rsidRPr="0013396E" w:rsidRDefault="001F04FD" w:rsidP="001F04FD">
      <w:r w:rsidRPr="0013396E">
        <w:t>The above variables are defined as follows:</w:t>
      </w: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05"/>
        <w:gridCol w:w="7113"/>
      </w:tblGrid>
      <w:tr w:rsidR="001F04FD" w:rsidRPr="0013396E" w14:paraId="664D6B4A" w14:textId="77777777" w:rsidTr="00AC4DEE">
        <w:tc>
          <w:tcPr>
            <w:tcW w:w="1998" w:type="dxa"/>
          </w:tcPr>
          <w:p w14:paraId="6680A07D" w14:textId="77777777" w:rsidR="001F04FD" w:rsidRPr="0013396E" w:rsidRDefault="001F04FD" w:rsidP="00AC4DEE">
            <w:pPr>
              <w:pStyle w:val="TableHead"/>
            </w:pPr>
            <w:r w:rsidRPr="0013396E">
              <w:t>Variable</w:t>
            </w:r>
          </w:p>
        </w:tc>
        <w:tc>
          <w:tcPr>
            <w:tcW w:w="0" w:type="auto"/>
          </w:tcPr>
          <w:p w14:paraId="6F99D6D1" w14:textId="77777777" w:rsidR="001F04FD" w:rsidRPr="0013396E" w:rsidRDefault="001F04FD" w:rsidP="00AC4DEE">
            <w:pPr>
              <w:pStyle w:val="TableHead"/>
            </w:pPr>
            <w:r w:rsidRPr="0013396E">
              <w:t>Unit</w:t>
            </w:r>
          </w:p>
        </w:tc>
        <w:tc>
          <w:tcPr>
            <w:tcW w:w="0" w:type="auto"/>
          </w:tcPr>
          <w:p w14:paraId="7BD2EFFB" w14:textId="77777777" w:rsidR="001F04FD" w:rsidRPr="0013396E" w:rsidRDefault="001F04FD" w:rsidP="00AC4DEE">
            <w:pPr>
              <w:pStyle w:val="TableHead"/>
            </w:pPr>
            <w:r w:rsidRPr="0013396E">
              <w:t>Definition</w:t>
            </w:r>
          </w:p>
        </w:tc>
      </w:tr>
      <w:tr w:rsidR="001F04FD" w:rsidRPr="0013396E" w14:paraId="1437FFA3" w14:textId="77777777" w:rsidTr="00AC4DEE">
        <w:trPr>
          <w:cantSplit/>
        </w:trPr>
        <w:tc>
          <w:tcPr>
            <w:tcW w:w="1998" w:type="dxa"/>
          </w:tcPr>
          <w:p w14:paraId="4319E082" w14:textId="77777777" w:rsidR="001F04FD" w:rsidRPr="0013396E" w:rsidRDefault="001F04FD" w:rsidP="00AC4DEE">
            <w:pPr>
              <w:pStyle w:val="TableBody"/>
            </w:pPr>
            <w:r w:rsidRPr="0013396E">
              <w:t xml:space="preserve">LABSSAMT </w:t>
            </w:r>
            <w:r w:rsidRPr="0013396E">
              <w:rPr>
                <w:i/>
                <w:vertAlign w:val="subscript"/>
              </w:rPr>
              <w:t>q</w:t>
            </w:r>
          </w:p>
        </w:tc>
        <w:tc>
          <w:tcPr>
            <w:tcW w:w="0" w:type="auto"/>
          </w:tcPr>
          <w:p w14:paraId="52C6A0E9" w14:textId="77777777" w:rsidR="001F04FD" w:rsidRPr="0013396E" w:rsidRDefault="001F04FD" w:rsidP="00AC4DEE">
            <w:pPr>
              <w:pStyle w:val="TableBody"/>
            </w:pPr>
            <w:r w:rsidRPr="0013396E">
              <w:t>$</w:t>
            </w:r>
          </w:p>
        </w:tc>
        <w:tc>
          <w:tcPr>
            <w:tcW w:w="0" w:type="auto"/>
          </w:tcPr>
          <w:p w14:paraId="2917E1A3" w14:textId="77777777" w:rsidR="001F04FD" w:rsidRPr="0013396E" w:rsidRDefault="001F04FD" w:rsidP="00AC4DEE">
            <w:pPr>
              <w:pStyle w:val="TableBody"/>
            </w:pPr>
            <w:r w:rsidRPr="0013396E">
              <w:rPr>
                <w:i/>
              </w:rPr>
              <w:t>Load-Allocated Black Start Service Amount per QSE</w:t>
            </w:r>
            <w:r w:rsidRPr="0013396E">
              <w:t xml:space="preserve">—The charge allocated to QSE </w:t>
            </w:r>
            <w:r w:rsidRPr="0013396E">
              <w:rPr>
                <w:i/>
              </w:rPr>
              <w:t>q</w:t>
            </w:r>
            <w:r w:rsidRPr="0013396E">
              <w:t xml:space="preserve"> for the BSS, for the hour.</w:t>
            </w:r>
          </w:p>
        </w:tc>
      </w:tr>
      <w:tr w:rsidR="001F04FD" w:rsidRPr="0013396E" w14:paraId="7D5F9D6E" w14:textId="77777777" w:rsidTr="00AC4DEE">
        <w:trPr>
          <w:cantSplit/>
        </w:trPr>
        <w:tc>
          <w:tcPr>
            <w:tcW w:w="1998" w:type="dxa"/>
          </w:tcPr>
          <w:p w14:paraId="4356C663" w14:textId="77777777" w:rsidR="001F04FD" w:rsidRPr="0013396E" w:rsidRDefault="001F04FD" w:rsidP="00AC4DEE">
            <w:pPr>
              <w:pStyle w:val="TableBody"/>
            </w:pPr>
            <w:r w:rsidRPr="0013396E">
              <w:t xml:space="preserve">BSSAMTQSETOT </w:t>
            </w:r>
            <w:r w:rsidRPr="0013396E">
              <w:rPr>
                <w:i/>
                <w:iCs w:val="0"/>
                <w:vertAlign w:val="subscript"/>
              </w:rPr>
              <w:t>q</w:t>
            </w:r>
          </w:p>
        </w:tc>
        <w:tc>
          <w:tcPr>
            <w:tcW w:w="0" w:type="auto"/>
          </w:tcPr>
          <w:p w14:paraId="7305AA50" w14:textId="77777777" w:rsidR="001F04FD" w:rsidRPr="0013396E" w:rsidRDefault="001F04FD" w:rsidP="00AC4DEE">
            <w:pPr>
              <w:pStyle w:val="TableBody"/>
            </w:pPr>
            <w:r w:rsidRPr="0013396E">
              <w:t>$</w:t>
            </w:r>
          </w:p>
        </w:tc>
        <w:tc>
          <w:tcPr>
            <w:tcW w:w="0" w:type="auto"/>
          </w:tcPr>
          <w:p w14:paraId="3B63C3E9" w14:textId="77777777" w:rsidR="001F04FD" w:rsidRPr="0013396E" w:rsidRDefault="001F04FD" w:rsidP="00AC4DEE">
            <w:pPr>
              <w:pStyle w:val="TableBody"/>
            </w:pPr>
            <w:r w:rsidRPr="0013396E">
              <w:rPr>
                <w:i/>
              </w:rPr>
              <w:t>Black Start Service Amount QSE Total per QSE</w:t>
            </w:r>
            <w:r w:rsidRPr="0013396E">
              <w:t xml:space="preserve">—The Black Start Service payment to QSE </w:t>
            </w:r>
            <w:r w:rsidRPr="0013396E">
              <w:rPr>
                <w:i/>
              </w:rPr>
              <w:t>q</w:t>
            </w:r>
            <w:r w:rsidRPr="0013396E">
              <w:t xml:space="preserve"> for BSS Resource </w:t>
            </w:r>
            <w:r w:rsidRPr="0013396E">
              <w:rPr>
                <w:i/>
              </w:rPr>
              <w:t>r</w:t>
            </w:r>
            <w:r w:rsidRPr="0013396E">
              <w:t>, for the hour.</w:t>
            </w:r>
          </w:p>
        </w:tc>
      </w:tr>
      <w:tr w:rsidR="001F04FD" w:rsidRPr="0013396E" w14:paraId="6CC702AC" w14:textId="77777777" w:rsidTr="00AC4DEE">
        <w:trPr>
          <w:cantSplit/>
        </w:trPr>
        <w:tc>
          <w:tcPr>
            <w:tcW w:w="1998" w:type="dxa"/>
          </w:tcPr>
          <w:p w14:paraId="5827725B" w14:textId="77777777" w:rsidR="001F04FD" w:rsidRPr="0013396E" w:rsidRDefault="001F04FD" w:rsidP="00AC4DEE">
            <w:pPr>
              <w:pStyle w:val="TableBody"/>
            </w:pPr>
            <w:r w:rsidRPr="0013396E">
              <w:t>BSSAMTTOT</w:t>
            </w:r>
          </w:p>
        </w:tc>
        <w:tc>
          <w:tcPr>
            <w:tcW w:w="0" w:type="auto"/>
          </w:tcPr>
          <w:p w14:paraId="7C5AEE63" w14:textId="77777777" w:rsidR="001F04FD" w:rsidRPr="0013396E" w:rsidRDefault="001F04FD" w:rsidP="00AC4DEE">
            <w:pPr>
              <w:pStyle w:val="TableBody"/>
            </w:pPr>
            <w:r w:rsidRPr="0013396E">
              <w:t>$</w:t>
            </w:r>
          </w:p>
        </w:tc>
        <w:tc>
          <w:tcPr>
            <w:tcW w:w="0" w:type="auto"/>
          </w:tcPr>
          <w:p w14:paraId="47784A4B" w14:textId="77777777" w:rsidR="001F04FD" w:rsidRPr="0013396E" w:rsidRDefault="001F04FD" w:rsidP="00AC4DEE">
            <w:pPr>
              <w:pStyle w:val="TableBody"/>
            </w:pPr>
            <w:r w:rsidRPr="0013396E">
              <w:rPr>
                <w:i/>
              </w:rPr>
              <w:t xml:space="preserve">Black Start Service Amount QSE Total ERCOT-Wide — </w:t>
            </w:r>
            <w:r w:rsidRPr="0013396E">
              <w:t xml:space="preserve">The total of the payments to QSE </w:t>
            </w:r>
            <w:r w:rsidRPr="0013396E">
              <w:rPr>
                <w:i/>
              </w:rPr>
              <w:t>q</w:t>
            </w:r>
            <w:r w:rsidRPr="0013396E">
              <w:t xml:space="preserve"> for BSS provided by all the BSS Resource represented by this QSE for the hour h.</w:t>
            </w:r>
          </w:p>
        </w:tc>
      </w:tr>
      <w:tr w:rsidR="001F04FD" w:rsidRPr="0013396E" w14:paraId="67B606AB" w14:textId="77777777" w:rsidTr="00AC4DEE">
        <w:trPr>
          <w:cantSplit/>
        </w:trPr>
        <w:tc>
          <w:tcPr>
            <w:tcW w:w="1998" w:type="dxa"/>
          </w:tcPr>
          <w:p w14:paraId="29BE821D" w14:textId="77777777" w:rsidR="001F04FD" w:rsidRPr="0013396E" w:rsidRDefault="001F04FD" w:rsidP="00AC4DEE">
            <w:pPr>
              <w:pStyle w:val="TableBody"/>
            </w:pPr>
            <w:r w:rsidRPr="0013396E">
              <w:t xml:space="preserve">HLRS </w:t>
            </w:r>
            <w:r w:rsidRPr="0013396E">
              <w:rPr>
                <w:i/>
                <w:vertAlign w:val="subscript"/>
              </w:rPr>
              <w:t>q</w:t>
            </w:r>
          </w:p>
        </w:tc>
        <w:tc>
          <w:tcPr>
            <w:tcW w:w="0" w:type="auto"/>
          </w:tcPr>
          <w:p w14:paraId="0C924F4E" w14:textId="77777777" w:rsidR="001F04FD" w:rsidRPr="0013396E" w:rsidRDefault="001F04FD" w:rsidP="00AC4DEE">
            <w:pPr>
              <w:pStyle w:val="TableBody"/>
            </w:pPr>
            <w:r w:rsidRPr="0013396E">
              <w:t>none</w:t>
            </w:r>
          </w:p>
        </w:tc>
        <w:tc>
          <w:tcPr>
            <w:tcW w:w="0" w:type="auto"/>
          </w:tcPr>
          <w:p w14:paraId="63F922B9" w14:textId="77777777" w:rsidR="001F04FD" w:rsidRPr="0013396E" w:rsidRDefault="001F04FD" w:rsidP="00BD4C7C">
            <w:pPr>
              <w:pStyle w:val="TableBody"/>
            </w:pPr>
            <w:r w:rsidRPr="0013396E">
              <w:t xml:space="preserve">The hourly LRS calculated for QSE </w:t>
            </w:r>
            <w:r w:rsidRPr="0013396E">
              <w:rPr>
                <w:i/>
              </w:rPr>
              <w:t>q</w:t>
            </w:r>
            <w:r w:rsidRPr="0013396E">
              <w:t xml:space="preserve"> for the hour.  See Section 6.6.2.</w:t>
            </w:r>
            <w:r w:rsidR="00BD4C7C" w:rsidRPr="0013396E">
              <w:t>4</w:t>
            </w:r>
            <w:r w:rsidRPr="0013396E">
              <w:t>, QSE Load Ratio Share for an Operating Hour.</w:t>
            </w:r>
          </w:p>
        </w:tc>
      </w:tr>
      <w:tr w:rsidR="001F04FD" w:rsidRPr="0013396E" w14:paraId="209A61D8" w14:textId="77777777" w:rsidTr="00AC4DEE">
        <w:trPr>
          <w:cantSplit/>
        </w:trPr>
        <w:tc>
          <w:tcPr>
            <w:tcW w:w="1998" w:type="dxa"/>
            <w:tcBorders>
              <w:top w:val="single" w:sz="4" w:space="0" w:color="auto"/>
              <w:left w:val="single" w:sz="4" w:space="0" w:color="auto"/>
              <w:bottom w:val="single" w:sz="4" w:space="0" w:color="auto"/>
              <w:right w:val="single" w:sz="4" w:space="0" w:color="auto"/>
            </w:tcBorders>
          </w:tcPr>
          <w:p w14:paraId="4D2ACACD" w14:textId="77777777" w:rsidR="001F04FD" w:rsidRPr="0013396E" w:rsidRDefault="001F04FD" w:rsidP="00AC4DEE">
            <w:pPr>
              <w:pStyle w:val="TableBody"/>
              <w:rPr>
                <w:i/>
              </w:rPr>
            </w:pPr>
            <w:r w:rsidRPr="0013396E">
              <w:rPr>
                <w:i/>
              </w:rPr>
              <w:t>q</w:t>
            </w:r>
          </w:p>
        </w:tc>
        <w:tc>
          <w:tcPr>
            <w:tcW w:w="0" w:type="auto"/>
            <w:tcBorders>
              <w:top w:val="single" w:sz="4" w:space="0" w:color="auto"/>
              <w:left w:val="single" w:sz="4" w:space="0" w:color="auto"/>
              <w:bottom w:val="single" w:sz="4" w:space="0" w:color="auto"/>
              <w:right w:val="single" w:sz="4" w:space="0" w:color="auto"/>
            </w:tcBorders>
          </w:tcPr>
          <w:p w14:paraId="7DB2FDE6" w14:textId="77777777" w:rsidR="001F04FD" w:rsidRPr="0013396E" w:rsidRDefault="001F04FD" w:rsidP="00AC4DEE">
            <w:pPr>
              <w:pStyle w:val="TableBody"/>
            </w:pPr>
            <w:r w:rsidRPr="0013396E">
              <w:t>none</w:t>
            </w:r>
          </w:p>
        </w:tc>
        <w:tc>
          <w:tcPr>
            <w:tcW w:w="0" w:type="auto"/>
            <w:tcBorders>
              <w:top w:val="single" w:sz="4" w:space="0" w:color="auto"/>
              <w:left w:val="single" w:sz="4" w:space="0" w:color="auto"/>
              <w:bottom w:val="single" w:sz="4" w:space="0" w:color="auto"/>
              <w:right w:val="single" w:sz="4" w:space="0" w:color="auto"/>
            </w:tcBorders>
          </w:tcPr>
          <w:p w14:paraId="56C3622E" w14:textId="77777777" w:rsidR="001F04FD" w:rsidRPr="0013396E" w:rsidRDefault="001F04FD" w:rsidP="00AC4DEE">
            <w:pPr>
              <w:pStyle w:val="TableBody"/>
            </w:pPr>
            <w:r w:rsidRPr="0013396E">
              <w:t>A QSE.</w:t>
            </w:r>
          </w:p>
        </w:tc>
      </w:tr>
    </w:tbl>
    <w:p w14:paraId="5DA85ADB" w14:textId="77777777" w:rsidR="001F04FD" w:rsidRPr="0013396E" w:rsidRDefault="001F04FD" w:rsidP="001F04FD">
      <w:pPr>
        <w:pStyle w:val="H3"/>
        <w:spacing w:before="480"/>
      </w:pPr>
      <w:bookmarkStart w:id="2105" w:name="_Toc87951814"/>
      <w:bookmarkStart w:id="2106" w:name="_Toc109009418"/>
      <w:bookmarkStart w:id="2107" w:name="_Toc397505038"/>
      <w:bookmarkStart w:id="2108" w:name="_Toc402357170"/>
      <w:bookmarkStart w:id="2109" w:name="_Toc422486550"/>
      <w:bookmarkStart w:id="2110" w:name="_Toc433093403"/>
      <w:bookmarkStart w:id="2111" w:name="_Toc433093561"/>
      <w:bookmarkStart w:id="2112" w:name="_Toc440874791"/>
      <w:bookmarkStart w:id="2113" w:name="_Toc448142348"/>
      <w:bookmarkStart w:id="2114" w:name="_Toc448142505"/>
      <w:bookmarkStart w:id="2115" w:name="_Toc458770346"/>
      <w:bookmarkStart w:id="2116" w:name="_Toc459294314"/>
      <w:bookmarkStart w:id="2117" w:name="_Toc463262808"/>
      <w:bookmarkStart w:id="2118" w:name="_Toc468286881"/>
      <w:bookmarkStart w:id="2119" w:name="_Toc481502921"/>
      <w:bookmarkStart w:id="2120" w:name="_Toc496080089"/>
      <w:bookmarkStart w:id="2121" w:name="_Toc236220223"/>
      <w:r w:rsidRPr="0013396E">
        <w:t>6.6.9</w:t>
      </w:r>
      <w:r w:rsidRPr="0013396E">
        <w:tab/>
        <w:t>Emergency Operations Settlement</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14:paraId="6CAE985B" w14:textId="77777777" w:rsidR="00C236A2" w:rsidRPr="0013396E" w:rsidRDefault="00C236A2" w:rsidP="00C236A2">
      <w:pPr>
        <w:spacing w:after="240"/>
        <w:ind w:left="720" w:hanging="720"/>
      </w:pPr>
      <w:r w:rsidRPr="0013396E">
        <w:t>(1)</w:t>
      </w:r>
      <w:r w:rsidRPr="0013396E">
        <w:tab/>
        <w:t xml:space="preserve">Due to Emergency Conditions or Watches, additional compensation for each Generation Resource or ESR for which ERCOT provides an Emergency Base Point may be awarded to the QSE representing the Generation Resource or ESR.  If the Resource was instructed to increase generation at a Settlement Point price that is lower than the price based on their Energy Offer Curve or Energy Bid/Offer Curve, or if the Resource was instructed to increase withdrawal at a Settlement Point price that is higher than the price based on their Energy Bid/Offer Curve, ERCOT shall pay the QSE additional compensation for the change from the SCED Base Point immediately before the Emergency Condition or Watch, per paragraph (1) in Section 6.6.9.1, Payment for Emergency Operations Settlement.  The Energy Offer Curve and Energy/Bid Offer Curve shall be capped by the Mitigated Offer Cap (MOC). </w:t>
      </w:r>
    </w:p>
    <w:p w14:paraId="0117CEC1" w14:textId="77777777" w:rsidR="00C236A2" w:rsidRPr="0013396E" w:rsidRDefault="00C236A2" w:rsidP="00C236A2">
      <w:pPr>
        <w:spacing w:after="240"/>
        <w:ind w:left="720" w:hanging="720"/>
      </w:pPr>
      <w:r w:rsidRPr="0013396E">
        <w:lastRenderedPageBreak/>
        <w:t>(2)</w:t>
      </w:r>
      <w:r w:rsidRPr="0013396E">
        <w:tab/>
        <w:t>In accordance with paragraph (8) of Section 8.1.1.2, General Capacity Testing Requirements, QSEs that receive a VDI to operate the designated Generation Resource for an unannounced Generation Resource test may be considered for additional compensation utilizing the formula as stated in paragraph (1) in Section 6.6.9.1.  If the test period SCED Base Point is higher than the SCED Base Point immediately before the test period and the Settlement Point Price at the Resource Node is lower than the Generation Resource’s Energy Offer Curve price, or MOC if no offer exists, at the test Base Point, and the test was not a retest requested by the QSE, ERCOT shall pay the QSE additional compensation for the additional energy above the pre-test SCED Base Point.  For the purpose of this Settlement, and limited to Settlement Intervals inclusive of the unannounced Generation Resource test, SCED Base Points will be used in place of the Emergency Base Point.</w:t>
      </w:r>
    </w:p>
    <w:p w14:paraId="0963609D" w14:textId="77777777" w:rsidR="00C236A2" w:rsidRPr="0013396E" w:rsidRDefault="00C236A2" w:rsidP="00C236A2">
      <w:pPr>
        <w:spacing w:after="240"/>
        <w:ind w:left="720" w:hanging="720"/>
      </w:pPr>
      <w:r w:rsidRPr="0013396E">
        <w:t>(3)</w:t>
      </w:r>
      <w:r w:rsidRPr="0013396E">
        <w:tab/>
        <w:t xml:space="preserve">A QSE that represents a QSGR that comes On-Line as a result of a Base Point greater than zero shall be considered for additional compensation using the formula in paragraph (2) in Section 6.6.9.1 when the Base Point is less than or equal to its applicable Seasonal net minimum sustainable rating provided in the Resource Registration data.  For the 15-minute Settlement Interval, the process for additional compensation compares the Resource’s energy and Ancillary Services revenue with the Resource’s revenue target, as defined in Section 6.6.9.1, considering both Ancillary Service awards and Base Points, where the Energy Offer Curve is capped per the MOC.  For the purpose of this Settlement, inclusive of the first Settlement Interval in which the QSGR is deployed by SCED from a current SCED Base Point equal to zero MW to a Base Point greater than zero, SCED Base Points will be used in place of the Emergency Base Point.  The compensation specified in this paragraph continues over all applicable Intervals until SCED no longer needs the QSGR to generate energy pursuant to Section 3.8.3.1, Quick Start Generation Resource Decommitment Decision Process, and there is no manual Low Dispatch Limit (LDL) override in place on the QSGR.   </w:t>
      </w:r>
    </w:p>
    <w:p w14:paraId="3461958D" w14:textId="49D44B0C" w:rsidR="00C236A2" w:rsidRPr="0013396E" w:rsidRDefault="00C236A2" w:rsidP="00C236A2">
      <w:pPr>
        <w:spacing w:after="240"/>
        <w:ind w:left="720" w:hanging="720"/>
      </w:pPr>
      <w:r w:rsidRPr="0013396E">
        <w:t>(4)</w:t>
      </w:r>
      <w:r w:rsidRPr="0013396E">
        <w:tab/>
        <w:t xml:space="preserve">QSEs that received Base Points that are inconsistent with Real-Time LMPs, ignoring the Real-Time Reliability Deployment Price Adder for Energy, QSEs that received Ancillary Service awards that are inconsistent with the Real-Time MCPCs, ignoring the Reliability Deployment Price Adders for Ancillary Services, and QSEs that receive a manual override from the ERCOT Operator shall be considered for additional compensation using the formula in paragraph (2) in Section 6.6.9.1.  For the 15-minute Settlement Interval, the process for additional compensation compares the Resource’s energy and Ancillary Services revenue with the Resource’s revenue target, as defined in Section 6.6.9.1, considering both the Ancillary Service awards and held Base Points, where the Energy Offer Curve or the Energy Bid/Offer Curve is capped per the MOC.  The held Base Point is the Base Point that the QSE received due to a manual override by ERCOT Operator or the Base Point received by the QSE that ERCOT identified as inconsistent with Real-Time LMPs.  The Ancillary Service award is the award received by the QSE that ERCOT identified as inconsistent with Real-Time MCPCs.  For the purpose of this Settlement, and limited to the </w:t>
      </w:r>
      <w:r w:rsidRPr="0013396E">
        <w:rPr>
          <w:iCs/>
        </w:rPr>
        <w:t>held</w:t>
      </w:r>
      <w:r w:rsidRPr="0013396E">
        <w:t xml:space="preserve"> Settlement Intervals inclusive of the manual override or Base Points identified as inconsistent with prices, SCED Base Points will be used in place of the Emergency Base Point.  </w:t>
      </w:r>
    </w:p>
    <w:p w14:paraId="1EB302F7" w14:textId="489343B5" w:rsidR="00C236A2" w:rsidRPr="0013396E" w:rsidRDefault="00C236A2" w:rsidP="00464A0C">
      <w:pPr>
        <w:spacing w:after="240"/>
        <w:ind w:left="720" w:hanging="720"/>
      </w:pPr>
      <w:r w:rsidRPr="0013396E">
        <w:lastRenderedPageBreak/>
        <w:t>(</w:t>
      </w:r>
      <w:r w:rsidR="00691205">
        <w:t>5</w:t>
      </w:r>
      <w:r w:rsidRPr="0013396E">
        <w:t>)</w:t>
      </w:r>
      <w:r w:rsidRPr="0013396E">
        <w:tab/>
        <w:t xml:space="preserve">In accordance with Section 6.3, Adjustment Period and Real-Time Operations Timeline, if ERCOT sets any SCED interval as failed, then QSEs shall be considered for additional compensation using the formula in paragraph (1) in Section 6.6.9.1.  For the purpose of this Settlement, and limited to the failed </w:t>
      </w:r>
      <w:r w:rsidRPr="0013396E">
        <w:rPr>
          <w:iCs/>
        </w:rPr>
        <w:t>SCED interval,</w:t>
      </w:r>
      <w:r w:rsidRPr="0013396E">
        <w:t xml:space="preserve"> SCED Base Points will be used in place of the Emergency Base Point.</w:t>
      </w:r>
    </w:p>
    <w:p w14:paraId="1DF8D411" w14:textId="7BCC2B35" w:rsidR="00C236A2" w:rsidRPr="0013396E" w:rsidRDefault="00C236A2" w:rsidP="0057135B">
      <w:pPr>
        <w:spacing w:after="240"/>
        <w:ind w:left="720" w:hanging="720"/>
      </w:pPr>
      <w:r w:rsidRPr="0013396E">
        <w:t>(</w:t>
      </w:r>
      <w:r w:rsidR="00691205">
        <w:t>6</w:t>
      </w:r>
      <w:r w:rsidRPr="0013396E">
        <w:t>)</w:t>
      </w:r>
      <w:r w:rsidRPr="0013396E">
        <w:tab/>
        <w:t>For each 15-minute Settlement Interval, a QSGR that receives a manual override from the ERCOT Operator shall only be considered for compensation under paragraph (4) above.</w:t>
      </w:r>
    </w:p>
    <w:p w14:paraId="6DEC53FC" w14:textId="769D5071" w:rsidR="00C236A2" w:rsidRPr="0013396E" w:rsidRDefault="00C236A2" w:rsidP="00464A0C">
      <w:pPr>
        <w:spacing w:after="240"/>
        <w:ind w:left="720" w:hanging="720"/>
      </w:pPr>
      <w:r w:rsidRPr="0013396E">
        <w:t>(</w:t>
      </w:r>
      <w:r w:rsidR="00691205">
        <w:t>7</w:t>
      </w:r>
      <w:r w:rsidRPr="0013396E">
        <w:t>)</w:t>
      </w:r>
      <w:r w:rsidRPr="0013396E">
        <w:tab/>
        <w:t xml:space="preserve">For a QSGR, the </w:t>
      </w:r>
      <w:r w:rsidRPr="0013396E">
        <w:rPr>
          <w:iCs/>
        </w:rPr>
        <w:t xml:space="preserve">MOC </w:t>
      </w:r>
      <w:r w:rsidRPr="0013396E">
        <w:t>curve used to cap the Energy Offer Curve shall not include the variable Operations and Maintenance (O&amp;M) adjustment cost to start the Resource from first fire to LSL, including the startup fuel described in paragraph (1)(</w:t>
      </w:r>
      <w:r w:rsidR="008F1664">
        <w:t>e</w:t>
      </w:r>
      <w:r w:rsidRPr="0013396E">
        <w:t>) of Section 4.4.9.4.1</w:t>
      </w:r>
      <w:r w:rsidR="00160428">
        <w:t>, Mitigated Offer Cap,</w:t>
      </w:r>
      <w:r w:rsidRPr="0013396E">
        <w:t xml:space="preserve"> for all emergency operations Settlement calculations with the exception of paragraph (3) above.</w:t>
      </w:r>
    </w:p>
    <w:p w14:paraId="1E5ED326" w14:textId="5337F6D2" w:rsidR="00C236A2" w:rsidRPr="0013396E" w:rsidRDefault="00C236A2" w:rsidP="00C236A2">
      <w:pPr>
        <w:spacing w:after="240"/>
        <w:ind w:left="720" w:hanging="720"/>
      </w:pPr>
      <w:r w:rsidRPr="0013396E">
        <w:t>(</w:t>
      </w:r>
      <w:r w:rsidR="00691205">
        <w:t>8</w:t>
      </w:r>
      <w:r w:rsidRPr="0013396E">
        <w:t>)</w:t>
      </w:r>
      <w:r w:rsidRPr="0013396E">
        <w:tab/>
        <w:t xml:space="preserve">Any QSE that receives a VDI to operate its Resource for an unannounced CFC test, as described in the ERCOT Operating Guides, or that has been instructed to operate in CFC mode, may be considered for additional compensation utilizing the formula in paragraph (1) in Section 6.6.9.1.  If the Resource increased generation at a Settlement Point Price that is lower than the price based on the Energy Offer Curve or Energy Bid/Offer Curve, or if the Resource was instructed to increase withdrawal at a Settlement Point Price that is higher than the price based on its Energy Bid/Offer Curve, ERCOT shall pay the QSE additional compensation for the amount of energy from a zero Base Point to the Emergency Base Point for each Resource that provided CFC.  Compensation for a CFC test will not be provided if the test was a retest requested by the QSE.  For the purpose of this Settlement, and limited to Settlement Intervals inclusive of the CFC period, the Emergency Base Point shall be set to the Average Telemetered Generation for the 5 Minutes (AVGTG5M) and the Energy Offer Curve and Energy/Bid Offer Curve shall be capped by the MOC.  Only Resources that moved in the direction to correct frequency are eligible to receive compensation for providing CFC. </w:t>
      </w:r>
    </w:p>
    <w:p w14:paraId="36D72229" w14:textId="27633D59" w:rsidR="00C236A2" w:rsidRPr="0013396E" w:rsidRDefault="00C236A2" w:rsidP="00C236A2">
      <w:pPr>
        <w:spacing w:after="240"/>
        <w:ind w:left="720" w:hanging="720"/>
      </w:pPr>
      <w:r w:rsidRPr="0013396E">
        <w:t>(</w:t>
      </w:r>
      <w:r w:rsidR="00691205">
        <w:t>9</w:t>
      </w:r>
      <w:r w:rsidRPr="0013396E">
        <w:t>)</w:t>
      </w:r>
      <w:r w:rsidRPr="0013396E">
        <w:tab/>
      </w:r>
      <w:r w:rsidRPr="0013396E">
        <w:rPr>
          <w:bCs/>
        </w:rPr>
        <w:t>If Emergency Base Points or SCED Base Points are unavailable, corrupted or otherwise unusable for Settlement purposes due to system conditions, hardware failure, or software failure, the Real-Time Metered Generation (RTMG) and Real-Time Charging Load (RTCL) will be used to create proxy Base Points pursuant to Section 6.6.9.1.  If the RTMG and RTCL are not available, the most accurate available generation and withdrawal data as determined by ERCOT will be used to create proxy Base Points pursuant to Section 6.6.9.1.  ERCOT shall issue a Market Notice stating the Operating Day and Settlement Intervals that were impacted and the data that was used to create proxy Base Points.</w:t>
      </w:r>
      <w:r w:rsidRPr="0013396E">
        <w:t xml:space="preserve"> </w:t>
      </w:r>
    </w:p>
    <w:p w14:paraId="76465210" w14:textId="01A291E2" w:rsidR="00C236A2" w:rsidRPr="0013396E" w:rsidRDefault="00C236A2" w:rsidP="00C236A2">
      <w:pPr>
        <w:spacing w:after="240"/>
        <w:ind w:left="720" w:hanging="720"/>
      </w:pPr>
      <w:r w:rsidRPr="0013396E">
        <w:t>(1</w:t>
      </w:r>
      <w:r w:rsidR="00691205">
        <w:t>0</w:t>
      </w:r>
      <w:r w:rsidRPr="0013396E">
        <w:t>)</w:t>
      </w:r>
      <w:r w:rsidRPr="0013396E">
        <w:tab/>
        <w:t xml:space="preserve">The Energy Offer Curve or Energy Bid/Offer Curve used to calculate the Emergency Base Point Price (EBPPR) will be the Energy Offer Curve or Energy Bid/Offer Curve that was submitted by the QSE and effective for the applicable Operating Hour at the time of the triggering event that led to emergency Settlement consideration, except when the QSE has received Base Points that are inconsistent with Real-Time Settlement Point Prices, as described in paragraph (4) above.  In the case of the condition described in </w:t>
      </w:r>
      <w:r w:rsidRPr="0013396E">
        <w:lastRenderedPageBreak/>
        <w:t>paragraph (3) above, the triggering event would be the first interval in which the QSGR comes On-Line as a result of a Base Point greater than zero.</w:t>
      </w:r>
    </w:p>
    <w:p w14:paraId="0BEA4CA8" w14:textId="589FC808" w:rsidR="00537026" w:rsidRPr="0013396E" w:rsidRDefault="00C236A2" w:rsidP="00FC539A">
      <w:pPr>
        <w:spacing w:after="240"/>
        <w:ind w:left="720" w:hanging="720"/>
      </w:pPr>
      <w:r w:rsidRPr="0013396E">
        <w:t>(1</w:t>
      </w:r>
      <w:r w:rsidR="00691205">
        <w:t>1</w:t>
      </w:r>
      <w:r w:rsidRPr="0013396E">
        <w:t>)</w:t>
      </w:r>
      <w:r w:rsidRPr="0013396E">
        <w:tab/>
        <w:t xml:space="preserve">For ESRs that qualify for emergency Settlement, for purposes of this section, the MOC curve used to cap the Energy Bid/Offer </w:t>
      </w:r>
      <w:r w:rsidRPr="0013396E">
        <w:rPr>
          <w:bCs/>
        </w:rPr>
        <w:t>Curve</w:t>
      </w:r>
      <w:r w:rsidRPr="0013396E">
        <w:t xml:space="preserve"> shall be set to the highest Real-Time Settlement Point Price (RTSPP) at the Resource’s Settlement Point for the Operating Day. </w:t>
      </w:r>
    </w:p>
    <w:p w14:paraId="2824D8FE" w14:textId="77777777" w:rsidR="00C236A2" w:rsidRPr="0013396E" w:rsidRDefault="00C236A2" w:rsidP="00464A0C">
      <w:pPr>
        <w:keepNext/>
        <w:widowControl w:val="0"/>
        <w:tabs>
          <w:tab w:val="left" w:pos="1260"/>
        </w:tabs>
        <w:spacing w:before="480" w:after="240"/>
        <w:ind w:left="1267" w:hanging="1267"/>
        <w:outlineLvl w:val="3"/>
        <w:rPr>
          <w:b/>
          <w:bCs/>
          <w:snapToGrid w:val="0"/>
        </w:rPr>
      </w:pPr>
      <w:bookmarkStart w:id="2122" w:name="_Toc236220224"/>
      <w:r w:rsidRPr="0013396E">
        <w:rPr>
          <w:b/>
          <w:bCs/>
          <w:snapToGrid w:val="0"/>
        </w:rPr>
        <w:t>6.6.9.1</w:t>
      </w:r>
      <w:r w:rsidRPr="0013396E">
        <w:rPr>
          <w:b/>
          <w:bCs/>
          <w:snapToGrid w:val="0"/>
        </w:rPr>
        <w:tab/>
        <w:t>Payment for Emergency Operations Settlement</w:t>
      </w:r>
      <w:bookmarkEnd w:id="2122"/>
    </w:p>
    <w:p w14:paraId="28A5480A" w14:textId="77777777" w:rsidR="00C236A2" w:rsidRPr="0013396E" w:rsidRDefault="00C236A2" w:rsidP="00C236A2">
      <w:pPr>
        <w:spacing w:after="240"/>
        <w:ind w:left="720" w:hanging="720"/>
        <w:rPr>
          <w:iCs/>
        </w:rPr>
      </w:pPr>
      <w:r w:rsidRPr="0013396E">
        <w:rPr>
          <w:iCs/>
        </w:rPr>
        <w:t>(1)</w:t>
      </w:r>
      <w:r w:rsidRPr="0013396E">
        <w:rPr>
          <w:iCs/>
        </w:rPr>
        <w:tab/>
        <w:t>ERCOT shall pay the QSE additional compensation for the Resource at its Resource Node Settlement Point during the Settlement Intervals that qualify for emergency Settlement as described in Section 6.6.9, Emergency Operations Settlement.  The payment for a given 15-minute Settlement Interval is calculated as follows:</w:t>
      </w:r>
    </w:p>
    <w:p w14:paraId="67C97136" w14:textId="77777777" w:rsidR="00C236A2" w:rsidRPr="0013396E" w:rsidRDefault="00C236A2" w:rsidP="00C236A2">
      <w:pPr>
        <w:tabs>
          <w:tab w:val="left" w:pos="2340"/>
          <w:tab w:val="left" w:pos="3420"/>
        </w:tabs>
        <w:spacing w:before="240" w:after="240"/>
        <w:ind w:left="3420" w:hanging="2700"/>
        <w:rPr>
          <w:rFonts w:eastAsiaTheme="minorHAnsi"/>
          <w:b/>
          <w:lang w:val="pt-BR"/>
        </w:rPr>
      </w:pPr>
      <w:r w:rsidRPr="0013396E">
        <w:rPr>
          <w:b/>
          <w:bCs/>
          <w:lang w:val="pt-BR"/>
        </w:rPr>
        <w:t xml:space="preserve">EMREAMT </w:t>
      </w:r>
      <w:r w:rsidRPr="0013396E">
        <w:rPr>
          <w:b/>
          <w:bCs/>
          <w:i/>
          <w:vertAlign w:val="subscript"/>
          <w:lang w:val="pt-BR"/>
        </w:rPr>
        <w:t>q, r, p</w:t>
      </w:r>
      <w:r w:rsidRPr="0013396E">
        <w:rPr>
          <w:b/>
          <w:bCs/>
          <w:lang w:val="pt-BR"/>
        </w:rPr>
        <w:tab/>
        <w:t>=</w:t>
      </w:r>
      <w:r w:rsidRPr="0013396E">
        <w:rPr>
          <w:b/>
          <w:bCs/>
          <w:lang w:val="pt-BR"/>
        </w:rPr>
        <w:tab/>
        <w:t xml:space="preserve">(-1) * (EMREPRGEN </w:t>
      </w:r>
      <w:r w:rsidRPr="0013396E">
        <w:rPr>
          <w:b/>
          <w:bCs/>
          <w:i/>
          <w:vertAlign w:val="subscript"/>
          <w:lang w:val="pt-BR"/>
        </w:rPr>
        <w:t>q, r, p</w:t>
      </w:r>
      <w:r w:rsidRPr="0013396E">
        <w:rPr>
          <w:b/>
          <w:bCs/>
          <w:lang w:val="pt-BR"/>
        </w:rPr>
        <w:t xml:space="preserve"> * EMREGEN </w:t>
      </w:r>
      <w:r w:rsidRPr="0013396E">
        <w:rPr>
          <w:b/>
          <w:bCs/>
          <w:i/>
          <w:vertAlign w:val="subscript"/>
          <w:lang w:val="pt-BR"/>
        </w:rPr>
        <w:t>q, r, p</w:t>
      </w:r>
      <w:r w:rsidRPr="0013396E">
        <w:rPr>
          <w:b/>
          <w:bCs/>
          <w:lang w:val="pt-BR"/>
        </w:rPr>
        <w:t>)</w:t>
      </w:r>
      <w:r w:rsidRPr="0013396E">
        <w:rPr>
          <w:rFonts w:eastAsiaTheme="minorHAnsi"/>
          <w:b/>
          <w:lang w:val="pt-BR"/>
        </w:rPr>
        <w:t xml:space="preserve"> </w:t>
      </w:r>
    </w:p>
    <w:p w14:paraId="36090CB2" w14:textId="77777777" w:rsidR="00C236A2" w:rsidRPr="0013396E" w:rsidRDefault="00C236A2" w:rsidP="00C236A2">
      <w:pPr>
        <w:tabs>
          <w:tab w:val="left" w:pos="2340"/>
          <w:tab w:val="left" w:pos="3420"/>
        </w:tabs>
        <w:spacing w:before="240" w:after="240"/>
        <w:ind w:left="3420" w:hanging="2700"/>
        <w:rPr>
          <w:b/>
          <w:bCs/>
          <w:lang w:val="pt-BR"/>
        </w:rPr>
      </w:pPr>
      <w:r w:rsidRPr="0013396E">
        <w:rPr>
          <w:b/>
          <w:bCs/>
          <w:lang w:val="pt-BR"/>
        </w:rPr>
        <w:tab/>
      </w:r>
      <w:r w:rsidRPr="0013396E">
        <w:rPr>
          <w:b/>
          <w:bCs/>
          <w:lang w:val="pt-BR"/>
        </w:rPr>
        <w:tab/>
      </w:r>
      <w:r w:rsidRPr="0013396E">
        <w:rPr>
          <w:rFonts w:eastAsiaTheme="minorHAnsi"/>
          <w:b/>
          <w:lang w:val="pt-BR"/>
        </w:rPr>
        <w:t xml:space="preserve">+ </w:t>
      </w:r>
      <w:r w:rsidRPr="0013396E">
        <w:rPr>
          <w:b/>
          <w:bCs/>
          <w:lang w:val="pt-BR"/>
        </w:rPr>
        <w:t>(</w:t>
      </w:r>
      <w:r w:rsidRPr="0013396E">
        <w:rPr>
          <w:rFonts w:eastAsiaTheme="minorHAnsi"/>
          <w:b/>
          <w:lang w:val="pt-BR"/>
        </w:rPr>
        <w:t xml:space="preserve">EMREPRLOAD </w:t>
      </w:r>
      <w:r w:rsidRPr="0013396E">
        <w:rPr>
          <w:rFonts w:eastAsiaTheme="minorHAnsi"/>
          <w:b/>
          <w:i/>
          <w:vertAlign w:val="subscript"/>
          <w:lang w:val="pt-BR"/>
        </w:rPr>
        <w:t>q, r, p</w:t>
      </w:r>
      <w:r w:rsidRPr="0013396E">
        <w:rPr>
          <w:rFonts w:eastAsiaTheme="minorHAnsi"/>
          <w:b/>
          <w:lang w:val="pt-BR"/>
        </w:rPr>
        <w:t xml:space="preserve"> * EMRELOAD </w:t>
      </w:r>
      <w:r w:rsidRPr="0013396E">
        <w:rPr>
          <w:rFonts w:eastAsiaTheme="minorHAnsi"/>
          <w:b/>
          <w:i/>
          <w:vertAlign w:val="subscript"/>
          <w:lang w:val="pt-BR"/>
        </w:rPr>
        <w:t>q, r, p</w:t>
      </w:r>
      <w:r w:rsidRPr="0013396E">
        <w:rPr>
          <w:b/>
          <w:bCs/>
          <w:lang w:val="pt-BR"/>
        </w:rPr>
        <w:t>)</w:t>
      </w:r>
    </w:p>
    <w:p w14:paraId="1438C79B" w14:textId="77777777" w:rsidR="00C236A2" w:rsidRPr="0013396E" w:rsidRDefault="00C236A2" w:rsidP="00C236A2">
      <w:pPr>
        <w:spacing w:after="240"/>
        <w:rPr>
          <w:lang w:val="pt-BR"/>
        </w:rPr>
      </w:pPr>
      <w:r w:rsidRPr="0013396E">
        <w:rPr>
          <w:lang w:val="pt-BR"/>
        </w:rPr>
        <w:t>Where:</w:t>
      </w:r>
    </w:p>
    <w:p w14:paraId="614E4EF6"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If any EBP &gt; 0 then:</w:t>
      </w:r>
    </w:p>
    <w:p w14:paraId="1438226A"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 xml:space="preserve">EMREPRGEN </w:t>
      </w:r>
      <w:r w:rsidRPr="0013396E">
        <w:rPr>
          <w:bCs/>
          <w:i/>
          <w:vertAlign w:val="subscript"/>
          <w:lang w:val="pt-BR"/>
        </w:rPr>
        <w:t>q, r, p</w:t>
      </w:r>
      <w:r w:rsidRPr="0013396E">
        <w:rPr>
          <w:bCs/>
          <w:lang w:val="pt-BR"/>
        </w:rPr>
        <w:tab/>
      </w:r>
      <w:r w:rsidRPr="0013396E">
        <w:rPr>
          <w:bCs/>
          <w:lang w:val="pt-BR"/>
        </w:rPr>
        <w:tab/>
        <w:t>=</w:t>
      </w:r>
      <w:r w:rsidRPr="0013396E">
        <w:rPr>
          <w:bCs/>
          <w:lang w:val="pt-BR"/>
        </w:rPr>
        <w:tab/>
        <w:t xml:space="preserve">Max (0, EBPWAPRGEN </w:t>
      </w:r>
      <w:r w:rsidRPr="0013396E">
        <w:rPr>
          <w:bCs/>
          <w:i/>
          <w:vertAlign w:val="subscript"/>
          <w:lang w:val="pt-BR"/>
        </w:rPr>
        <w:t>q, r, p</w:t>
      </w:r>
      <w:r w:rsidRPr="0013396E">
        <w:rPr>
          <w:bCs/>
          <w:lang w:val="pt-BR"/>
        </w:rPr>
        <w:t xml:space="preserve"> – RTSPP </w:t>
      </w:r>
      <w:r w:rsidRPr="0013396E">
        <w:rPr>
          <w:bCs/>
          <w:i/>
          <w:vertAlign w:val="subscript"/>
          <w:lang w:val="pt-BR"/>
        </w:rPr>
        <w:t>p</w:t>
      </w:r>
      <w:r w:rsidRPr="0013396E">
        <w:rPr>
          <w:bCs/>
          <w:lang w:val="pt-BR"/>
        </w:rPr>
        <w:t>)</w:t>
      </w:r>
    </w:p>
    <w:p w14:paraId="488CF754"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 xml:space="preserve">EBPWAPRGEN </w:t>
      </w:r>
      <w:r w:rsidRPr="0013396E">
        <w:rPr>
          <w:bCs/>
          <w:i/>
          <w:vertAlign w:val="subscript"/>
          <w:lang w:val="pt-BR"/>
        </w:rPr>
        <w:t>q, r, p</w:t>
      </w:r>
      <w:r w:rsidRPr="0013396E">
        <w:rPr>
          <w:bCs/>
          <w:lang w:val="pt-BR"/>
        </w:rPr>
        <w:tab/>
        <w:t>=</w:t>
      </w:r>
      <w:r w:rsidRPr="0013396E">
        <w:rPr>
          <w:bCs/>
          <w:lang w:val="pt-BR"/>
        </w:rPr>
        <w:tab/>
      </w:r>
      <w:r w:rsidRPr="0013396E">
        <w:rPr>
          <w:bCs/>
          <w:position w:val="-22"/>
        </w:rPr>
        <w:object w:dxaOrig="225" w:dyaOrig="450" w14:anchorId="7BFE4615">
          <v:shape id="_x0000_i1200" type="#_x0000_t75" style="width:12pt;height:24pt" o:ole="">
            <v:imagedata r:id="rId255" o:title=""/>
          </v:shape>
          <o:OLEObject Type="Embed" ProgID="Equation.3" ShapeID="_x0000_i1200" DrawAspect="Content" ObjectID="_1849065830" r:id="rId256"/>
        </w:object>
      </w:r>
      <w:r w:rsidRPr="0013396E">
        <w:rPr>
          <w:bCs/>
          <w:lang w:val="pt-BR"/>
        </w:rPr>
        <w:t xml:space="preserve">(EBPPR </w:t>
      </w:r>
      <w:r w:rsidRPr="0013396E">
        <w:rPr>
          <w:bCs/>
          <w:i/>
          <w:vertAlign w:val="subscript"/>
          <w:lang w:val="pt-BR"/>
        </w:rPr>
        <w:t>q, r, p, y</w:t>
      </w:r>
      <w:r w:rsidRPr="0013396E">
        <w:rPr>
          <w:bCs/>
          <w:lang w:val="pt-BR"/>
        </w:rPr>
        <w:t xml:space="preserve"> * Max (0.001, EBP </w:t>
      </w:r>
      <w:r w:rsidRPr="0013396E">
        <w:rPr>
          <w:bCs/>
          <w:i/>
          <w:vertAlign w:val="subscript"/>
          <w:lang w:val="pt-BR"/>
        </w:rPr>
        <w:t>q, r, p, y</w:t>
      </w:r>
      <w:r w:rsidRPr="0013396E">
        <w:rPr>
          <w:bCs/>
          <w:lang w:val="pt-BR"/>
        </w:rPr>
        <w:t xml:space="preserve">) * TLMP </w:t>
      </w:r>
      <w:r w:rsidRPr="0013396E">
        <w:rPr>
          <w:bCs/>
          <w:i/>
          <w:vertAlign w:val="subscript"/>
          <w:lang w:val="pt-BR"/>
        </w:rPr>
        <w:t>y</w:t>
      </w:r>
      <w:r w:rsidRPr="0013396E">
        <w:rPr>
          <w:bCs/>
          <w:lang w:val="pt-BR"/>
        </w:rPr>
        <w:t xml:space="preserve">) </w:t>
      </w:r>
      <w:r w:rsidRPr="0013396E">
        <w:rPr>
          <w:b/>
          <w:bCs/>
          <w:sz w:val="32"/>
          <w:szCs w:val="32"/>
          <w:lang w:val="pt-BR"/>
        </w:rPr>
        <w:t>/</w:t>
      </w:r>
    </w:p>
    <w:p w14:paraId="62F91B8B"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ab/>
      </w:r>
      <w:r w:rsidRPr="0013396E">
        <w:rPr>
          <w:bCs/>
          <w:lang w:val="pt-BR"/>
        </w:rPr>
        <w:tab/>
      </w:r>
      <w:r w:rsidRPr="0013396E">
        <w:rPr>
          <w:bCs/>
          <w:lang w:val="pt-BR"/>
        </w:rPr>
        <w:tab/>
      </w:r>
      <w:r w:rsidRPr="0013396E">
        <w:rPr>
          <w:bCs/>
          <w:position w:val="-22"/>
        </w:rPr>
        <w:object w:dxaOrig="225" w:dyaOrig="450" w14:anchorId="64D3861E">
          <v:shape id="_x0000_i1201" type="#_x0000_t75" style="width:12pt;height:24pt" o:ole="">
            <v:imagedata r:id="rId257" o:title=""/>
          </v:shape>
          <o:OLEObject Type="Embed" ProgID="Equation.3" ShapeID="_x0000_i1201" DrawAspect="Content" ObjectID="_1849065831" r:id="rId258"/>
        </w:object>
      </w:r>
      <w:r w:rsidRPr="0013396E">
        <w:rPr>
          <w:bCs/>
          <w:lang w:val="es-MX"/>
        </w:rPr>
        <w:t xml:space="preserve">(Max (0.001, EBP </w:t>
      </w:r>
      <w:r w:rsidRPr="0013396E">
        <w:rPr>
          <w:bCs/>
          <w:i/>
          <w:vertAlign w:val="subscript"/>
          <w:lang w:val="es-MX"/>
        </w:rPr>
        <w:t>q, r, p, y</w:t>
      </w:r>
      <w:r w:rsidRPr="0013396E">
        <w:rPr>
          <w:bCs/>
          <w:lang w:val="pt-BR"/>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09A28F06"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EMREGEN</w:t>
      </w:r>
      <w:r w:rsidRPr="0013396E">
        <w:rPr>
          <w:bCs/>
          <w:lang w:val="es-MX"/>
        </w:rPr>
        <w:t xml:space="preserve"> </w:t>
      </w:r>
      <w:r w:rsidRPr="0013396E">
        <w:rPr>
          <w:bCs/>
          <w:i/>
          <w:vertAlign w:val="subscript"/>
          <w:lang w:val="es-MX"/>
        </w:rPr>
        <w:t>q, r, p</w:t>
      </w:r>
      <w:r w:rsidRPr="0013396E">
        <w:rPr>
          <w:bCs/>
          <w:lang w:val="es-MX"/>
        </w:rPr>
        <w:tab/>
        <w:t>=</w:t>
      </w:r>
      <w:r w:rsidRPr="0013396E">
        <w:rPr>
          <w:bCs/>
          <w:lang w:val="es-MX"/>
        </w:rPr>
        <w:tab/>
        <w:t>Max (0, Min (</w:t>
      </w:r>
      <w:r w:rsidRPr="0013396E">
        <w:rPr>
          <w:bCs/>
          <w:lang w:val="pt-BR"/>
        </w:rPr>
        <w:t>AEBPGEN</w:t>
      </w:r>
      <w:r w:rsidRPr="0013396E">
        <w:rPr>
          <w:bCs/>
          <w:vertAlign w:val="subscript"/>
          <w:lang w:val="pt-BR"/>
        </w:rPr>
        <w:t xml:space="preserve"> </w:t>
      </w:r>
      <w:r w:rsidRPr="0013396E">
        <w:rPr>
          <w:bCs/>
          <w:i/>
          <w:vertAlign w:val="subscript"/>
          <w:lang w:val="pt-BR"/>
        </w:rPr>
        <w:t>q, r, p</w:t>
      </w:r>
      <w:r w:rsidRPr="0013396E">
        <w:rPr>
          <w:bCs/>
          <w:lang w:val="pt-BR"/>
        </w:rPr>
        <w:t>,</w:t>
      </w:r>
      <w:r w:rsidRPr="0013396E">
        <w:rPr>
          <w:bCs/>
          <w:lang w:val="es-MX"/>
        </w:rPr>
        <w:t xml:space="preserve"> RTMG </w:t>
      </w:r>
      <w:r w:rsidRPr="0013396E">
        <w:rPr>
          <w:bCs/>
          <w:i/>
          <w:vertAlign w:val="subscript"/>
          <w:lang w:val="es-MX"/>
        </w:rPr>
        <w:t>q, r, p</w:t>
      </w:r>
      <w:r w:rsidRPr="0013396E">
        <w:rPr>
          <w:bCs/>
          <w:lang w:val="es-MX"/>
        </w:rPr>
        <w:t xml:space="preserve">) – ¼ * Max (0, BP </w:t>
      </w:r>
      <w:r w:rsidRPr="0013396E">
        <w:rPr>
          <w:bCs/>
          <w:i/>
          <w:vertAlign w:val="subscript"/>
          <w:lang w:val="es-MX"/>
        </w:rPr>
        <w:t>q, r, p</w:t>
      </w:r>
      <w:r w:rsidRPr="0013396E">
        <w:rPr>
          <w:bCs/>
          <w:lang w:val="es-MX"/>
        </w:rPr>
        <w:t>))</w:t>
      </w:r>
    </w:p>
    <w:p w14:paraId="3C557F65"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AEBPGEN</w:t>
      </w:r>
      <w:r w:rsidRPr="0013396E">
        <w:rPr>
          <w:bCs/>
          <w:vertAlign w:val="subscript"/>
          <w:lang w:val="pt-BR"/>
        </w:rPr>
        <w:t xml:space="preserve"> </w:t>
      </w:r>
      <w:r w:rsidRPr="0013396E">
        <w:rPr>
          <w:bCs/>
          <w:i/>
          <w:vertAlign w:val="subscript"/>
          <w:lang w:val="pt-BR"/>
        </w:rPr>
        <w:t>q, r, p</w:t>
      </w:r>
      <w:r w:rsidRPr="0013396E">
        <w:rPr>
          <w:bCs/>
          <w:lang w:val="pt-BR"/>
        </w:rPr>
        <w:tab/>
      </w:r>
      <w:r w:rsidRPr="0013396E">
        <w:rPr>
          <w:bCs/>
          <w:lang w:val="pt-BR"/>
        </w:rPr>
        <w:tab/>
        <w:t>=</w:t>
      </w:r>
      <w:r w:rsidRPr="0013396E">
        <w:rPr>
          <w:bCs/>
          <w:lang w:val="pt-BR"/>
        </w:rPr>
        <w:tab/>
      </w:r>
      <w:r w:rsidRPr="0013396E">
        <w:rPr>
          <w:bCs/>
          <w:position w:val="-22"/>
        </w:rPr>
        <w:object w:dxaOrig="225" w:dyaOrig="450" w14:anchorId="21CD1BB8">
          <v:shape id="_x0000_i1202" type="#_x0000_t75" style="width:12pt;height:24pt" o:ole="">
            <v:imagedata r:id="rId257" o:title=""/>
          </v:shape>
          <o:OLEObject Type="Embed" ProgID="Equation.3" ShapeID="_x0000_i1202" DrawAspect="Content" ObjectID="_1849065832" r:id="rId259"/>
        </w:object>
      </w:r>
      <w:r w:rsidRPr="0013396E">
        <w:rPr>
          <w:bCs/>
          <w:lang w:val="pt-BR"/>
        </w:rPr>
        <w:t xml:space="preserve"> (Max (0, EBP </w:t>
      </w:r>
      <w:r w:rsidRPr="0013396E">
        <w:rPr>
          <w:bCs/>
          <w:i/>
          <w:vertAlign w:val="subscript"/>
          <w:lang w:val="pt-BR"/>
        </w:rPr>
        <w:t>q, r, p, y</w:t>
      </w:r>
      <w:r w:rsidRPr="0013396E">
        <w:rPr>
          <w:bCs/>
          <w:lang w:val="pt-BR"/>
        </w:rPr>
        <w:t xml:space="preserve">) * TLMP </w:t>
      </w:r>
      <w:r w:rsidRPr="0013396E">
        <w:rPr>
          <w:bCs/>
          <w:i/>
          <w:vertAlign w:val="subscript"/>
          <w:lang w:val="pt-BR"/>
        </w:rPr>
        <w:t>y</w:t>
      </w:r>
      <w:r w:rsidRPr="0013396E">
        <w:rPr>
          <w:bCs/>
          <w:lang w:val="pt-BR"/>
        </w:rPr>
        <w:t xml:space="preserve"> / 3600)</w:t>
      </w:r>
    </w:p>
    <w:p w14:paraId="37051198" w14:textId="77777777" w:rsidR="00C236A2" w:rsidRPr="0013396E" w:rsidRDefault="00C236A2" w:rsidP="00C236A2">
      <w:pPr>
        <w:tabs>
          <w:tab w:val="left" w:pos="2340"/>
          <w:tab w:val="left" w:pos="2880"/>
        </w:tabs>
        <w:spacing w:after="240"/>
        <w:ind w:left="720"/>
        <w:rPr>
          <w:bCs/>
          <w:lang w:val="pt-BR"/>
        </w:rPr>
      </w:pPr>
      <w:r w:rsidRPr="0013396E">
        <w:rPr>
          <w:bCs/>
          <w:lang w:val="pt-BR"/>
        </w:rPr>
        <w:t>If any EBP &lt; 0 then:</w:t>
      </w:r>
    </w:p>
    <w:p w14:paraId="5880CE22" w14:textId="77777777" w:rsidR="00C236A2" w:rsidRPr="0013396E" w:rsidRDefault="00C236A2" w:rsidP="00C236A2">
      <w:pPr>
        <w:tabs>
          <w:tab w:val="left" w:pos="2340"/>
          <w:tab w:val="left" w:pos="2880"/>
        </w:tabs>
        <w:spacing w:after="240"/>
        <w:ind w:left="720"/>
        <w:rPr>
          <w:bCs/>
          <w:lang w:val="pt-BR"/>
        </w:rPr>
      </w:pPr>
      <w:r w:rsidRPr="0013396E">
        <w:rPr>
          <w:bCs/>
          <w:lang w:val="pt-BR"/>
        </w:rPr>
        <w:t xml:space="preserve">EMREPRLOAD </w:t>
      </w:r>
      <w:r w:rsidRPr="0013396E">
        <w:rPr>
          <w:bCs/>
          <w:i/>
          <w:vertAlign w:val="subscript"/>
          <w:lang w:val="pt-BR"/>
        </w:rPr>
        <w:t>q, r, p</w:t>
      </w:r>
      <w:r w:rsidRPr="0013396E">
        <w:rPr>
          <w:bCs/>
          <w:lang w:val="pt-BR"/>
        </w:rPr>
        <w:tab/>
      </w:r>
      <w:r w:rsidRPr="0013396E">
        <w:rPr>
          <w:bCs/>
          <w:lang w:val="pt-BR"/>
        </w:rPr>
        <w:tab/>
        <w:t>=</w:t>
      </w:r>
      <w:r w:rsidRPr="0013396E">
        <w:rPr>
          <w:bCs/>
          <w:lang w:val="pt-BR"/>
        </w:rPr>
        <w:tab/>
        <w:t>Max (0, RTSPP</w:t>
      </w:r>
      <w:r w:rsidRPr="0013396E">
        <w:rPr>
          <w:bCs/>
          <w:i/>
          <w:vertAlign w:val="subscript"/>
          <w:lang w:val="pt-BR"/>
        </w:rPr>
        <w:t xml:space="preserve"> p</w:t>
      </w:r>
      <w:r w:rsidRPr="0013396E">
        <w:rPr>
          <w:bCs/>
          <w:lang w:val="pt-BR"/>
        </w:rPr>
        <w:t xml:space="preserve"> – EBPWAPRLOAD </w:t>
      </w:r>
      <w:r w:rsidRPr="0013396E">
        <w:rPr>
          <w:bCs/>
          <w:i/>
          <w:vertAlign w:val="subscript"/>
          <w:lang w:val="pt-BR"/>
        </w:rPr>
        <w:t>q, r, p</w:t>
      </w:r>
      <w:r w:rsidRPr="0013396E">
        <w:rPr>
          <w:bCs/>
          <w:lang w:val="pt-BR"/>
        </w:rPr>
        <w:t>)</w:t>
      </w:r>
    </w:p>
    <w:p w14:paraId="6070C6FD" w14:textId="77777777" w:rsidR="00C236A2" w:rsidRPr="0013396E" w:rsidRDefault="00C236A2" w:rsidP="00C236A2">
      <w:pPr>
        <w:tabs>
          <w:tab w:val="left" w:pos="2340"/>
          <w:tab w:val="left" w:pos="2880"/>
        </w:tabs>
        <w:spacing w:after="240"/>
        <w:ind w:left="720"/>
        <w:rPr>
          <w:b/>
          <w:bCs/>
          <w:sz w:val="32"/>
          <w:szCs w:val="32"/>
          <w:lang w:val="pt-BR"/>
        </w:rPr>
      </w:pPr>
      <w:r w:rsidRPr="0013396E">
        <w:rPr>
          <w:bCs/>
          <w:lang w:val="pt-BR"/>
        </w:rPr>
        <w:t xml:space="preserve">EBPWAPRLOAD </w:t>
      </w:r>
      <w:r w:rsidRPr="0013396E">
        <w:rPr>
          <w:bCs/>
          <w:i/>
          <w:vertAlign w:val="subscript"/>
          <w:lang w:val="pt-BR"/>
        </w:rPr>
        <w:t>q, r, p</w:t>
      </w:r>
      <w:r w:rsidRPr="0013396E">
        <w:rPr>
          <w:bCs/>
          <w:lang w:val="pt-BR"/>
        </w:rPr>
        <w:tab/>
        <w:t>=</w:t>
      </w:r>
      <w:r w:rsidRPr="0013396E">
        <w:rPr>
          <w:bCs/>
          <w:lang w:val="pt-BR"/>
        </w:rPr>
        <w:tab/>
      </w:r>
      <w:r w:rsidRPr="0013396E">
        <w:rPr>
          <w:bCs/>
          <w:position w:val="-22"/>
        </w:rPr>
        <w:object w:dxaOrig="225" w:dyaOrig="450" w14:anchorId="54AD2E1F">
          <v:shape id="_x0000_i1203" type="#_x0000_t75" style="width:12pt;height:24pt" o:ole="">
            <v:imagedata r:id="rId255" o:title=""/>
          </v:shape>
          <o:OLEObject Type="Embed" ProgID="Equation.3" ShapeID="_x0000_i1203" DrawAspect="Content" ObjectID="_1849065833" r:id="rId260"/>
        </w:object>
      </w:r>
      <w:r w:rsidRPr="0013396E">
        <w:rPr>
          <w:bCs/>
          <w:lang w:val="pt-BR"/>
        </w:rPr>
        <w:t xml:space="preserve">(EBPPR </w:t>
      </w:r>
      <w:r w:rsidRPr="0013396E">
        <w:rPr>
          <w:bCs/>
          <w:i/>
          <w:vertAlign w:val="subscript"/>
          <w:lang w:val="pt-BR"/>
        </w:rPr>
        <w:t>q, r, p, y</w:t>
      </w:r>
      <w:r w:rsidRPr="0013396E">
        <w:rPr>
          <w:bCs/>
          <w:lang w:val="pt-BR"/>
        </w:rPr>
        <w:t xml:space="preserve"> * Min (-0.001, EBP </w:t>
      </w:r>
      <w:r w:rsidRPr="0013396E">
        <w:rPr>
          <w:bCs/>
          <w:i/>
          <w:vertAlign w:val="subscript"/>
          <w:lang w:val="pt-BR"/>
        </w:rPr>
        <w:t>q, r, p, y</w:t>
      </w:r>
      <w:r w:rsidRPr="0013396E">
        <w:rPr>
          <w:bCs/>
          <w:lang w:val="pt-BR"/>
        </w:rPr>
        <w:t xml:space="preserve">) * TLMP </w:t>
      </w:r>
      <w:r w:rsidRPr="0013396E">
        <w:rPr>
          <w:bCs/>
          <w:i/>
          <w:vertAlign w:val="subscript"/>
          <w:lang w:val="pt-BR"/>
        </w:rPr>
        <w:t>y</w:t>
      </w:r>
      <w:r w:rsidRPr="0013396E">
        <w:rPr>
          <w:bCs/>
          <w:lang w:val="pt-BR"/>
        </w:rPr>
        <w:t xml:space="preserve">) </w:t>
      </w:r>
      <w:r w:rsidRPr="0013396E">
        <w:rPr>
          <w:b/>
          <w:bCs/>
          <w:sz w:val="32"/>
          <w:szCs w:val="32"/>
          <w:lang w:val="pt-BR"/>
        </w:rPr>
        <w:t>/</w:t>
      </w:r>
    </w:p>
    <w:p w14:paraId="618ED38A" w14:textId="77777777" w:rsidR="00C236A2" w:rsidRPr="0013396E" w:rsidRDefault="00C236A2" w:rsidP="00C236A2">
      <w:pPr>
        <w:tabs>
          <w:tab w:val="left" w:pos="2340"/>
          <w:tab w:val="left" w:pos="2880"/>
        </w:tabs>
        <w:spacing w:after="240"/>
        <w:ind w:left="720"/>
        <w:rPr>
          <w:bCs/>
          <w:lang w:val="es-MX"/>
        </w:rPr>
      </w:pPr>
      <w:r w:rsidRPr="0013396E">
        <w:rPr>
          <w:bCs/>
          <w:lang w:val="pt-BR"/>
        </w:rPr>
        <w:tab/>
      </w:r>
      <w:r w:rsidRPr="0013396E">
        <w:rPr>
          <w:bCs/>
          <w:lang w:val="pt-BR"/>
        </w:rPr>
        <w:tab/>
      </w:r>
      <w:r w:rsidRPr="0013396E">
        <w:rPr>
          <w:bCs/>
          <w:lang w:val="pt-BR"/>
        </w:rPr>
        <w:tab/>
      </w:r>
      <w:r w:rsidRPr="0013396E">
        <w:rPr>
          <w:bCs/>
          <w:lang w:val="pt-BR"/>
        </w:rPr>
        <w:tab/>
      </w:r>
      <w:r w:rsidRPr="0013396E">
        <w:rPr>
          <w:bCs/>
          <w:position w:val="-22"/>
        </w:rPr>
        <w:object w:dxaOrig="225" w:dyaOrig="450" w14:anchorId="12CF31A8">
          <v:shape id="_x0000_i1204" type="#_x0000_t75" style="width:12pt;height:24pt" o:ole="">
            <v:imagedata r:id="rId257" o:title=""/>
          </v:shape>
          <o:OLEObject Type="Embed" ProgID="Equation.3" ShapeID="_x0000_i1204" DrawAspect="Content" ObjectID="_1849065834" r:id="rId261"/>
        </w:object>
      </w:r>
      <w:r w:rsidRPr="0013396E">
        <w:rPr>
          <w:bCs/>
          <w:lang w:val="es-MX"/>
        </w:rPr>
        <w:t>(</w:t>
      </w:r>
      <w:r w:rsidRPr="0013396E">
        <w:rPr>
          <w:bCs/>
          <w:lang w:val="pt-BR"/>
        </w:rPr>
        <w:t xml:space="preserve">Min (-0.001, </w:t>
      </w:r>
      <w:r w:rsidRPr="0013396E">
        <w:rPr>
          <w:bCs/>
          <w:lang w:val="es-MX"/>
        </w:rPr>
        <w:t xml:space="preserve">EBP </w:t>
      </w:r>
      <w:r w:rsidRPr="0013396E">
        <w:rPr>
          <w:bCs/>
          <w:i/>
          <w:vertAlign w:val="subscript"/>
          <w:lang w:val="es-MX"/>
        </w:rPr>
        <w:t>q, r, p,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3F564A19" w14:textId="77777777" w:rsidR="00C236A2" w:rsidRPr="0013396E" w:rsidRDefault="00C236A2" w:rsidP="00C236A2">
      <w:pPr>
        <w:tabs>
          <w:tab w:val="left" w:pos="2340"/>
          <w:tab w:val="left" w:pos="2880"/>
        </w:tabs>
        <w:spacing w:after="240"/>
        <w:ind w:left="720"/>
        <w:rPr>
          <w:bCs/>
          <w:lang w:val="es-MX"/>
        </w:rPr>
      </w:pPr>
      <w:r w:rsidRPr="0013396E">
        <w:rPr>
          <w:bCs/>
          <w:lang w:val="pt-BR"/>
        </w:rPr>
        <w:lastRenderedPageBreak/>
        <w:t>EMRELOAD</w:t>
      </w:r>
      <w:r w:rsidRPr="0013396E">
        <w:rPr>
          <w:bCs/>
          <w:lang w:val="es-MX"/>
        </w:rPr>
        <w:t xml:space="preserve"> </w:t>
      </w:r>
      <w:r w:rsidRPr="0013396E">
        <w:rPr>
          <w:bCs/>
          <w:i/>
          <w:vertAlign w:val="subscript"/>
          <w:lang w:val="es-MX"/>
        </w:rPr>
        <w:t>q, r, p</w:t>
      </w:r>
      <w:r w:rsidRPr="0013396E">
        <w:rPr>
          <w:bCs/>
          <w:lang w:val="es-MX"/>
        </w:rPr>
        <w:tab/>
        <w:t>=      Min (0, Max (</w:t>
      </w:r>
      <w:r w:rsidRPr="0013396E">
        <w:rPr>
          <w:bCs/>
          <w:lang w:val="pt-BR"/>
        </w:rPr>
        <w:t>AEBPLOAD</w:t>
      </w:r>
      <w:r w:rsidRPr="0013396E">
        <w:rPr>
          <w:bCs/>
          <w:vertAlign w:val="subscript"/>
          <w:lang w:val="pt-BR"/>
        </w:rPr>
        <w:t xml:space="preserve"> </w:t>
      </w:r>
      <w:r w:rsidRPr="0013396E">
        <w:rPr>
          <w:bCs/>
          <w:i/>
          <w:vertAlign w:val="subscript"/>
          <w:lang w:val="pt-BR"/>
        </w:rPr>
        <w:t>q, r, p</w:t>
      </w:r>
      <w:r w:rsidRPr="0013396E">
        <w:rPr>
          <w:bCs/>
          <w:lang w:val="pt-BR"/>
        </w:rPr>
        <w:t>,</w:t>
      </w:r>
      <w:r w:rsidRPr="0013396E">
        <w:rPr>
          <w:bCs/>
          <w:lang w:val="es-MX"/>
        </w:rPr>
        <w:t xml:space="preserve"> RTCL </w:t>
      </w:r>
      <w:r w:rsidRPr="0013396E">
        <w:rPr>
          <w:bCs/>
          <w:i/>
          <w:vertAlign w:val="subscript"/>
          <w:lang w:val="es-MX"/>
        </w:rPr>
        <w:t>q, r, p</w:t>
      </w:r>
      <w:r w:rsidRPr="0013396E">
        <w:rPr>
          <w:bCs/>
          <w:lang w:val="es-MX"/>
        </w:rPr>
        <w:t xml:space="preserve">) – ¼ * Min (0, BP </w:t>
      </w:r>
      <w:r w:rsidRPr="0013396E">
        <w:rPr>
          <w:bCs/>
          <w:i/>
          <w:vertAlign w:val="subscript"/>
          <w:lang w:val="es-MX"/>
        </w:rPr>
        <w:t>q, r, p</w:t>
      </w:r>
      <w:r w:rsidRPr="0013396E">
        <w:rPr>
          <w:bCs/>
          <w:lang w:val="es-MX"/>
        </w:rPr>
        <w:t>))</w:t>
      </w:r>
    </w:p>
    <w:p w14:paraId="6C65694F" w14:textId="77777777" w:rsidR="00C236A2" w:rsidRPr="0013396E" w:rsidRDefault="00C236A2" w:rsidP="00C236A2">
      <w:pPr>
        <w:tabs>
          <w:tab w:val="left" w:pos="2340"/>
          <w:tab w:val="left" w:pos="2880"/>
        </w:tabs>
        <w:spacing w:after="240"/>
        <w:ind w:left="720"/>
        <w:rPr>
          <w:bCs/>
          <w:lang w:val="pt-BR"/>
        </w:rPr>
      </w:pPr>
      <w:r w:rsidRPr="0013396E">
        <w:rPr>
          <w:bCs/>
          <w:lang w:val="pt-BR"/>
        </w:rPr>
        <w:t>AEBPLOAD</w:t>
      </w:r>
      <w:r w:rsidRPr="0013396E">
        <w:rPr>
          <w:bCs/>
          <w:i/>
          <w:vertAlign w:val="subscript"/>
          <w:lang w:val="pt-BR"/>
        </w:rPr>
        <w:t xml:space="preserve"> q, r, p</w:t>
      </w:r>
      <w:r w:rsidRPr="0013396E">
        <w:rPr>
          <w:bCs/>
          <w:lang w:val="pt-BR"/>
        </w:rPr>
        <w:tab/>
        <w:t>=</w:t>
      </w:r>
      <w:r w:rsidRPr="0013396E">
        <w:rPr>
          <w:bCs/>
          <w:lang w:val="pt-BR"/>
        </w:rPr>
        <w:tab/>
      </w:r>
      <w:r w:rsidRPr="0013396E">
        <w:rPr>
          <w:bCs/>
          <w:position w:val="-22"/>
        </w:rPr>
        <w:object w:dxaOrig="225" w:dyaOrig="450" w14:anchorId="31B0BE11">
          <v:shape id="_x0000_i1205" type="#_x0000_t75" style="width:12pt;height:24pt" o:ole="">
            <v:imagedata r:id="rId257" o:title=""/>
          </v:shape>
          <o:OLEObject Type="Embed" ProgID="Equation.3" ShapeID="_x0000_i1205" DrawAspect="Content" ObjectID="_1849065835" r:id="rId262"/>
        </w:object>
      </w:r>
      <w:r w:rsidRPr="0013396E">
        <w:rPr>
          <w:bCs/>
          <w:lang w:val="pt-BR"/>
        </w:rPr>
        <w:t xml:space="preserve"> (Min (0, EBP </w:t>
      </w:r>
      <w:r w:rsidRPr="0013396E">
        <w:rPr>
          <w:bCs/>
          <w:i/>
          <w:vertAlign w:val="subscript"/>
          <w:lang w:val="pt-BR"/>
        </w:rPr>
        <w:t>q, r, p, y</w:t>
      </w:r>
      <w:r w:rsidRPr="0013396E">
        <w:rPr>
          <w:bCs/>
          <w:lang w:val="pt-BR"/>
        </w:rPr>
        <w:t>) * TLMP</w:t>
      </w:r>
      <w:r w:rsidRPr="0013396E">
        <w:rPr>
          <w:bCs/>
          <w:i/>
          <w:vertAlign w:val="subscript"/>
          <w:lang w:val="pt-BR"/>
        </w:rPr>
        <w:t>y</w:t>
      </w:r>
      <w:r w:rsidRPr="0013396E">
        <w:rPr>
          <w:bCs/>
          <w:lang w:val="pt-BR"/>
        </w:rPr>
        <w:t xml:space="preserve"> / 3600)</w:t>
      </w:r>
    </w:p>
    <w:p w14:paraId="0985FFCD" w14:textId="77777777" w:rsidR="00C236A2" w:rsidRPr="0013396E" w:rsidRDefault="00C236A2" w:rsidP="00C236A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7"/>
        <w:gridCol w:w="899"/>
        <w:gridCol w:w="6704"/>
      </w:tblGrid>
      <w:tr w:rsidR="00C236A2" w:rsidRPr="0013396E" w14:paraId="436EB66B" w14:textId="77777777" w:rsidTr="0099759E">
        <w:trPr>
          <w:cantSplit/>
          <w:tblHeader/>
        </w:trPr>
        <w:tc>
          <w:tcPr>
            <w:tcW w:w="934" w:type="pct"/>
          </w:tcPr>
          <w:p w14:paraId="74B317F0" w14:textId="77777777" w:rsidR="00C236A2" w:rsidRPr="0013396E" w:rsidRDefault="00C236A2" w:rsidP="0099759E">
            <w:pPr>
              <w:spacing w:after="240"/>
              <w:rPr>
                <w:b/>
                <w:iCs/>
                <w:sz w:val="20"/>
              </w:rPr>
            </w:pPr>
            <w:r w:rsidRPr="0013396E">
              <w:rPr>
                <w:b/>
                <w:iCs/>
                <w:sz w:val="20"/>
              </w:rPr>
              <w:t>Variable</w:t>
            </w:r>
          </w:p>
        </w:tc>
        <w:tc>
          <w:tcPr>
            <w:tcW w:w="481" w:type="pct"/>
          </w:tcPr>
          <w:p w14:paraId="15AA426F" w14:textId="77777777" w:rsidR="00C236A2" w:rsidRPr="0013396E" w:rsidRDefault="00C236A2" w:rsidP="0099759E">
            <w:pPr>
              <w:spacing w:after="240"/>
              <w:rPr>
                <w:b/>
                <w:iCs/>
                <w:sz w:val="20"/>
              </w:rPr>
            </w:pPr>
            <w:r w:rsidRPr="0013396E">
              <w:rPr>
                <w:b/>
                <w:iCs/>
                <w:sz w:val="20"/>
              </w:rPr>
              <w:t>Unit</w:t>
            </w:r>
          </w:p>
        </w:tc>
        <w:tc>
          <w:tcPr>
            <w:tcW w:w="3585" w:type="pct"/>
          </w:tcPr>
          <w:p w14:paraId="3FC353B2" w14:textId="77777777" w:rsidR="00C236A2" w:rsidRPr="0013396E" w:rsidRDefault="00C236A2" w:rsidP="0099759E">
            <w:pPr>
              <w:spacing w:after="240"/>
              <w:rPr>
                <w:b/>
                <w:iCs/>
                <w:sz w:val="20"/>
              </w:rPr>
            </w:pPr>
            <w:r w:rsidRPr="0013396E">
              <w:rPr>
                <w:b/>
                <w:iCs/>
                <w:sz w:val="20"/>
              </w:rPr>
              <w:t>Definition</w:t>
            </w:r>
          </w:p>
        </w:tc>
      </w:tr>
      <w:tr w:rsidR="00C236A2" w:rsidRPr="0013396E" w14:paraId="52E2F8ED" w14:textId="77777777" w:rsidTr="0099759E">
        <w:trPr>
          <w:cantSplit/>
        </w:trPr>
        <w:tc>
          <w:tcPr>
            <w:tcW w:w="934" w:type="pct"/>
          </w:tcPr>
          <w:p w14:paraId="09591026" w14:textId="77777777" w:rsidR="00C236A2" w:rsidRPr="0013396E" w:rsidRDefault="00C236A2" w:rsidP="0099759E">
            <w:pPr>
              <w:spacing w:after="60"/>
              <w:rPr>
                <w:iCs/>
                <w:sz w:val="20"/>
              </w:rPr>
            </w:pPr>
            <w:r w:rsidRPr="0013396E">
              <w:rPr>
                <w:iCs/>
                <w:sz w:val="20"/>
              </w:rPr>
              <w:t xml:space="preserve">EMREAMT </w:t>
            </w:r>
            <w:r w:rsidRPr="0013396E">
              <w:rPr>
                <w:i/>
                <w:iCs/>
                <w:sz w:val="20"/>
                <w:vertAlign w:val="subscript"/>
              </w:rPr>
              <w:t>q, r, p</w:t>
            </w:r>
          </w:p>
        </w:tc>
        <w:tc>
          <w:tcPr>
            <w:tcW w:w="481" w:type="pct"/>
          </w:tcPr>
          <w:p w14:paraId="38CD3D26" w14:textId="77777777" w:rsidR="00C236A2" w:rsidRPr="0013396E" w:rsidRDefault="00C236A2" w:rsidP="0099759E">
            <w:pPr>
              <w:spacing w:after="60"/>
              <w:rPr>
                <w:iCs/>
                <w:sz w:val="20"/>
              </w:rPr>
            </w:pPr>
            <w:r w:rsidRPr="0013396E">
              <w:rPr>
                <w:iCs/>
                <w:sz w:val="20"/>
              </w:rPr>
              <w:t>$</w:t>
            </w:r>
          </w:p>
        </w:tc>
        <w:tc>
          <w:tcPr>
            <w:tcW w:w="3585" w:type="pct"/>
          </w:tcPr>
          <w:p w14:paraId="34AFAF40" w14:textId="77777777" w:rsidR="00C236A2" w:rsidRPr="0013396E" w:rsidRDefault="00C236A2" w:rsidP="0099759E">
            <w:pPr>
              <w:spacing w:after="60"/>
              <w:rPr>
                <w:iCs/>
                <w:sz w:val="20"/>
              </w:rPr>
            </w:pPr>
            <w:r w:rsidRPr="0013396E">
              <w:rPr>
                <w:i/>
                <w:iCs/>
                <w:sz w:val="20"/>
              </w:rPr>
              <w:t>Emergency Energy Amount per QSE per Settlement Point per Resource</w:t>
            </w:r>
            <w:r w:rsidRPr="0013396E">
              <w:rPr>
                <w:iCs/>
                <w:sz w:val="20"/>
              </w:rPr>
              <w:t xml:space="preserve">—The payment to QSE </w:t>
            </w:r>
            <w:r w:rsidRPr="0013396E">
              <w:rPr>
                <w:i/>
                <w:iCs/>
                <w:sz w:val="20"/>
              </w:rPr>
              <w:t>q</w:t>
            </w:r>
            <w:r w:rsidRPr="0013396E">
              <w:rPr>
                <w:iCs/>
                <w:sz w:val="20"/>
              </w:rPr>
              <w:t xml:space="preserve"> as additional compensation for the additional energy or Ancillary Services produced or consumed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in Real-Time during the Emergency Condition or Watch,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7D128C7E" w14:textId="77777777" w:rsidTr="0099759E">
        <w:trPr>
          <w:cantSplit/>
        </w:trPr>
        <w:tc>
          <w:tcPr>
            <w:tcW w:w="934" w:type="pct"/>
          </w:tcPr>
          <w:p w14:paraId="68746B4B" w14:textId="77777777" w:rsidR="00C236A2" w:rsidRPr="0013396E" w:rsidRDefault="00C236A2" w:rsidP="0099759E">
            <w:pPr>
              <w:spacing w:after="60"/>
              <w:rPr>
                <w:iCs/>
                <w:sz w:val="20"/>
              </w:rPr>
            </w:pPr>
            <w:r w:rsidRPr="0013396E">
              <w:rPr>
                <w:iCs/>
                <w:sz w:val="20"/>
              </w:rPr>
              <w:t xml:space="preserve">EMREPRGEN </w:t>
            </w:r>
            <w:r w:rsidRPr="0013396E">
              <w:rPr>
                <w:i/>
                <w:iCs/>
                <w:sz w:val="20"/>
                <w:vertAlign w:val="subscript"/>
              </w:rPr>
              <w:t>q, r, p</w:t>
            </w:r>
          </w:p>
        </w:tc>
        <w:tc>
          <w:tcPr>
            <w:tcW w:w="481" w:type="pct"/>
          </w:tcPr>
          <w:p w14:paraId="55451C39" w14:textId="77777777" w:rsidR="00C236A2" w:rsidRPr="0013396E" w:rsidRDefault="00C236A2" w:rsidP="0099759E">
            <w:pPr>
              <w:spacing w:after="60"/>
              <w:rPr>
                <w:iCs/>
                <w:sz w:val="20"/>
              </w:rPr>
            </w:pPr>
            <w:r w:rsidRPr="0013396E">
              <w:rPr>
                <w:iCs/>
                <w:sz w:val="20"/>
              </w:rPr>
              <w:t>$/MWh</w:t>
            </w:r>
          </w:p>
        </w:tc>
        <w:tc>
          <w:tcPr>
            <w:tcW w:w="3585" w:type="pct"/>
          </w:tcPr>
          <w:p w14:paraId="575899D6" w14:textId="77777777" w:rsidR="00C236A2" w:rsidRPr="0013396E" w:rsidRDefault="00C236A2" w:rsidP="0099759E">
            <w:pPr>
              <w:spacing w:after="60"/>
              <w:rPr>
                <w:i/>
                <w:iCs/>
                <w:sz w:val="20"/>
              </w:rPr>
            </w:pPr>
            <w:r w:rsidRPr="0013396E">
              <w:rPr>
                <w:i/>
                <w:iCs/>
                <w:sz w:val="20"/>
              </w:rPr>
              <w:t>Emergency Energy Price for Generation per QSE per Settlement Point per Resource</w:t>
            </w:r>
            <w:r w:rsidRPr="0013396E">
              <w:rPr>
                <w:iCs/>
                <w:sz w:val="20"/>
              </w:rPr>
              <w:t xml:space="preserve">—The compensation rate for the generation produced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during the Emergency Condition or Watch,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0F7768E8" w14:textId="77777777" w:rsidTr="0099759E">
        <w:trPr>
          <w:cantSplit/>
        </w:trPr>
        <w:tc>
          <w:tcPr>
            <w:tcW w:w="934" w:type="pct"/>
          </w:tcPr>
          <w:p w14:paraId="4BA4B13D" w14:textId="77777777" w:rsidR="00C236A2" w:rsidRPr="0013396E" w:rsidRDefault="00C236A2" w:rsidP="0099759E">
            <w:pPr>
              <w:spacing w:after="60"/>
              <w:rPr>
                <w:iCs/>
                <w:sz w:val="20"/>
              </w:rPr>
            </w:pPr>
            <w:r w:rsidRPr="0013396E">
              <w:rPr>
                <w:iCs/>
                <w:sz w:val="20"/>
              </w:rPr>
              <w:t xml:space="preserve">EMREPRLOAD </w:t>
            </w:r>
            <w:r w:rsidRPr="0013396E">
              <w:rPr>
                <w:i/>
                <w:iCs/>
                <w:sz w:val="20"/>
                <w:vertAlign w:val="subscript"/>
              </w:rPr>
              <w:t>q, r, p</w:t>
            </w:r>
          </w:p>
        </w:tc>
        <w:tc>
          <w:tcPr>
            <w:tcW w:w="481" w:type="pct"/>
          </w:tcPr>
          <w:p w14:paraId="0830478E" w14:textId="77777777" w:rsidR="00C236A2" w:rsidRPr="0013396E" w:rsidRDefault="00C236A2" w:rsidP="0099759E">
            <w:pPr>
              <w:spacing w:after="60"/>
              <w:rPr>
                <w:iCs/>
                <w:sz w:val="20"/>
              </w:rPr>
            </w:pPr>
            <w:r w:rsidRPr="0013396E">
              <w:rPr>
                <w:iCs/>
                <w:sz w:val="20"/>
              </w:rPr>
              <w:t>$/MWh</w:t>
            </w:r>
          </w:p>
        </w:tc>
        <w:tc>
          <w:tcPr>
            <w:tcW w:w="3585" w:type="pct"/>
          </w:tcPr>
          <w:p w14:paraId="3F35D69F" w14:textId="77777777" w:rsidR="00C236A2" w:rsidRPr="0013396E" w:rsidRDefault="00C236A2" w:rsidP="0099759E">
            <w:pPr>
              <w:spacing w:after="60"/>
              <w:rPr>
                <w:iCs/>
                <w:sz w:val="20"/>
              </w:rPr>
            </w:pPr>
            <w:r w:rsidRPr="0013396E">
              <w:rPr>
                <w:i/>
                <w:iCs/>
                <w:sz w:val="20"/>
              </w:rPr>
              <w:t>Emergency Energy Price for Charging Load per QSE per Settlement Point per Resource</w:t>
            </w:r>
            <w:r w:rsidRPr="0013396E">
              <w:rPr>
                <w:iCs/>
                <w:sz w:val="20"/>
              </w:rPr>
              <w:t xml:space="preserve">—The compensation rate for the charging load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during the Emergency Condition or Watch, for the 15-minute Settlement Interval.</w:t>
            </w:r>
          </w:p>
        </w:tc>
      </w:tr>
      <w:tr w:rsidR="00C236A2" w:rsidRPr="0013396E" w14:paraId="0EC2B417" w14:textId="77777777" w:rsidTr="0099759E">
        <w:trPr>
          <w:cantSplit/>
        </w:trPr>
        <w:tc>
          <w:tcPr>
            <w:tcW w:w="934" w:type="pct"/>
          </w:tcPr>
          <w:p w14:paraId="73004945" w14:textId="77777777" w:rsidR="00C236A2" w:rsidRPr="0013396E" w:rsidRDefault="00C236A2" w:rsidP="0099759E">
            <w:pPr>
              <w:spacing w:after="60"/>
              <w:rPr>
                <w:iCs/>
                <w:sz w:val="20"/>
              </w:rPr>
            </w:pPr>
            <w:r w:rsidRPr="0013396E">
              <w:rPr>
                <w:iCs/>
                <w:sz w:val="20"/>
              </w:rPr>
              <w:t xml:space="preserve">EMREGEN </w:t>
            </w:r>
            <w:r w:rsidRPr="0013396E">
              <w:rPr>
                <w:i/>
                <w:iCs/>
                <w:sz w:val="20"/>
                <w:vertAlign w:val="subscript"/>
              </w:rPr>
              <w:t>q, r, p</w:t>
            </w:r>
          </w:p>
        </w:tc>
        <w:tc>
          <w:tcPr>
            <w:tcW w:w="481" w:type="pct"/>
          </w:tcPr>
          <w:p w14:paraId="6D07D6B9" w14:textId="77777777" w:rsidR="00C236A2" w:rsidRPr="0013396E" w:rsidRDefault="00C236A2" w:rsidP="0099759E">
            <w:pPr>
              <w:spacing w:after="60"/>
              <w:rPr>
                <w:iCs/>
                <w:sz w:val="20"/>
              </w:rPr>
            </w:pPr>
            <w:r w:rsidRPr="0013396E">
              <w:rPr>
                <w:iCs/>
                <w:sz w:val="20"/>
              </w:rPr>
              <w:t>MWh</w:t>
            </w:r>
          </w:p>
        </w:tc>
        <w:tc>
          <w:tcPr>
            <w:tcW w:w="3585" w:type="pct"/>
          </w:tcPr>
          <w:p w14:paraId="60C55E62" w14:textId="77777777" w:rsidR="00C236A2" w:rsidRPr="0013396E" w:rsidRDefault="00C236A2" w:rsidP="0099759E">
            <w:pPr>
              <w:spacing w:after="60"/>
              <w:rPr>
                <w:i/>
                <w:iCs/>
                <w:sz w:val="20"/>
              </w:rPr>
            </w:pPr>
            <w:r w:rsidRPr="0013396E">
              <w:rPr>
                <w:i/>
                <w:iCs/>
                <w:sz w:val="20"/>
              </w:rPr>
              <w:t>Emergency Energy for Generation per QSE per Settlement Point per Resource</w:t>
            </w:r>
            <w:r w:rsidRPr="0013396E">
              <w:rPr>
                <w:iCs/>
                <w:sz w:val="20"/>
              </w:rPr>
              <w:t xml:space="preserve">—The generation produced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during the Emergency Condition or Watch,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5B7029FA" w14:textId="77777777" w:rsidTr="0099759E">
        <w:trPr>
          <w:cantSplit/>
        </w:trPr>
        <w:tc>
          <w:tcPr>
            <w:tcW w:w="934" w:type="pct"/>
          </w:tcPr>
          <w:p w14:paraId="5E838BB4" w14:textId="77777777" w:rsidR="00C236A2" w:rsidRPr="0013396E" w:rsidRDefault="00C236A2" w:rsidP="0099759E">
            <w:pPr>
              <w:spacing w:after="60"/>
              <w:rPr>
                <w:iCs/>
                <w:sz w:val="20"/>
              </w:rPr>
            </w:pPr>
            <w:r w:rsidRPr="0013396E">
              <w:rPr>
                <w:iCs/>
                <w:sz w:val="20"/>
              </w:rPr>
              <w:t xml:space="preserve">EMRELOAD </w:t>
            </w:r>
            <w:r w:rsidRPr="0013396E">
              <w:rPr>
                <w:i/>
                <w:iCs/>
                <w:sz w:val="20"/>
                <w:vertAlign w:val="subscript"/>
              </w:rPr>
              <w:t>q, r, p</w:t>
            </w:r>
          </w:p>
        </w:tc>
        <w:tc>
          <w:tcPr>
            <w:tcW w:w="481" w:type="pct"/>
          </w:tcPr>
          <w:p w14:paraId="77935ED1" w14:textId="77777777" w:rsidR="00C236A2" w:rsidRPr="0013396E" w:rsidRDefault="00C236A2" w:rsidP="0099759E">
            <w:pPr>
              <w:spacing w:after="60"/>
              <w:rPr>
                <w:iCs/>
                <w:sz w:val="20"/>
              </w:rPr>
            </w:pPr>
            <w:r w:rsidRPr="0013396E">
              <w:rPr>
                <w:iCs/>
                <w:sz w:val="20"/>
              </w:rPr>
              <w:t>MWh</w:t>
            </w:r>
          </w:p>
        </w:tc>
        <w:tc>
          <w:tcPr>
            <w:tcW w:w="3585" w:type="pct"/>
          </w:tcPr>
          <w:p w14:paraId="6BA95D60" w14:textId="77777777" w:rsidR="00C236A2" w:rsidRPr="0013396E" w:rsidRDefault="00C236A2" w:rsidP="0099759E">
            <w:pPr>
              <w:spacing w:after="60"/>
              <w:rPr>
                <w:i/>
                <w:iCs/>
                <w:sz w:val="20"/>
              </w:rPr>
            </w:pPr>
            <w:r w:rsidRPr="0013396E">
              <w:rPr>
                <w:i/>
                <w:iCs/>
                <w:sz w:val="20"/>
              </w:rPr>
              <w:t>Emergency Energy for Charging Load per QSE per Settlement Point per Resource</w:t>
            </w:r>
            <w:r w:rsidRPr="0013396E">
              <w:rPr>
                <w:iCs/>
                <w:sz w:val="20"/>
              </w:rPr>
              <w:t xml:space="preserve">—The charging load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during the Emergency Condition or Watch, for the 15-minute Settlement Interval.</w:t>
            </w:r>
          </w:p>
        </w:tc>
      </w:tr>
      <w:tr w:rsidR="00C236A2" w:rsidRPr="0013396E" w14:paraId="1EDED8A4" w14:textId="77777777" w:rsidTr="0099759E">
        <w:trPr>
          <w:cantSplit/>
        </w:trPr>
        <w:tc>
          <w:tcPr>
            <w:tcW w:w="934" w:type="pct"/>
          </w:tcPr>
          <w:p w14:paraId="790750A1" w14:textId="77777777" w:rsidR="00C236A2" w:rsidRPr="0013396E" w:rsidRDefault="00C236A2" w:rsidP="0099759E">
            <w:pPr>
              <w:spacing w:after="60"/>
              <w:rPr>
                <w:iCs/>
                <w:sz w:val="20"/>
              </w:rPr>
            </w:pPr>
            <w:r w:rsidRPr="0013396E">
              <w:rPr>
                <w:iCs/>
                <w:sz w:val="20"/>
              </w:rPr>
              <w:t xml:space="preserve">EBPWAPRGEN </w:t>
            </w:r>
            <w:r w:rsidRPr="0013396E">
              <w:rPr>
                <w:i/>
                <w:iCs/>
                <w:sz w:val="20"/>
                <w:vertAlign w:val="subscript"/>
              </w:rPr>
              <w:t>q, r, p</w:t>
            </w:r>
          </w:p>
        </w:tc>
        <w:tc>
          <w:tcPr>
            <w:tcW w:w="481" w:type="pct"/>
          </w:tcPr>
          <w:p w14:paraId="28AD3783" w14:textId="77777777" w:rsidR="00C236A2" w:rsidRPr="0013396E" w:rsidRDefault="00C236A2" w:rsidP="0099759E">
            <w:pPr>
              <w:spacing w:after="60"/>
              <w:rPr>
                <w:iCs/>
                <w:sz w:val="20"/>
              </w:rPr>
            </w:pPr>
            <w:r w:rsidRPr="0013396E">
              <w:rPr>
                <w:iCs/>
                <w:sz w:val="20"/>
              </w:rPr>
              <w:t>$/MWh</w:t>
            </w:r>
          </w:p>
        </w:tc>
        <w:tc>
          <w:tcPr>
            <w:tcW w:w="3585" w:type="pct"/>
          </w:tcPr>
          <w:p w14:paraId="18375C5B" w14:textId="77777777" w:rsidR="00C236A2" w:rsidRPr="0013396E" w:rsidRDefault="00C236A2" w:rsidP="0099759E">
            <w:pPr>
              <w:spacing w:after="60"/>
              <w:rPr>
                <w:i/>
                <w:iCs/>
                <w:sz w:val="20"/>
              </w:rPr>
            </w:pPr>
            <w:r w:rsidRPr="0013396E">
              <w:rPr>
                <w:i/>
                <w:iCs/>
                <w:sz w:val="20"/>
              </w:rPr>
              <w:t>Emergency Base Point Weighted Average Price for Generation per QSE per Settlement Point per Resource</w:t>
            </w:r>
            <w:r w:rsidRPr="0013396E">
              <w:rPr>
                <w:iCs/>
                <w:sz w:val="20"/>
              </w:rPr>
              <w:t xml:space="preserve">—The weighted average of the Emergency Base Point Prices corresponding with the positive Emergency Base Points,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056E6D7A" w14:textId="77777777" w:rsidTr="0099759E">
        <w:trPr>
          <w:cantSplit/>
        </w:trPr>
        <w:tc>
          <w:tcPr>
            <w:tcW w:w="934" w:type="pct"/>
          </w:tcPr>
          <w:p w14:paraId="6629CD4A" w14:textId="77777777" w:rsidR="00C236A2" w:rsidRPr="0013396E" w:rsidRDefault="00C236A2" w:rsidP="0099759E">
            <w:pPr>
              <w:spacing w:after="60"/>
              <w:rPr>
                <w:iCs/>
                <w:sz w:val="20"/>
              </w:rPr>
            </w:pPr>
            <w:r w:rsidRPr="0013396E">
              <w:rPr>
                <w:iCs/>
                <w:sz w:val="20"/>
              </w:rPr>
              <w:t xml:space="preserve">EBPWAPRLOAD </w:t>
            </w:r>
            <w:r w:rsidRPr="0013396E">
              <w:rPr>
                <w:i/>
                <w:iCs/>
                <w:sz w:val="20"/>
                <w:vertAlign w:val="subscript"/>
              </w:rPr>
              <w:t>q, r, p</w:t>
            </w:r>
          </w:p>
        </w:tc>
        <w:tc>
          <w:tcPr>
            <w:tcW w:w="481" w:type="pct"/>
          </w:tcPr>
          <w:p w14:paraId="6CB5752F" w14:textId="77777777" w:rsidR="00C236A2" w:rsidRPr="0013396E" w:rsidRDefault="00C236A2" w:rsidP="0099759E">
            <w:pPr>
              <w:spacing w:after="60"/>
              <w:rPr>
                <w:iCs/>
                <w:sz w:val="20"/>
              </w:rPr>
            </w:pPr>
            <w:r w:rsidRPr="0013396E">
              <w:rPr>
                <w:iCs/>
                <w:sz w:val="20"/>
              </w:rPr>
              <w:t>$/MWh</w:t>
            </w:r>
          </w:p>
        </w:tc>
        <w:tc>
          <w:tcPr>
            <w:tcW w:w="3585" w:type="pct"/>
          </w:tcPr>
          <w:p w14:paraId="085D7C19" w14:textId="77777777" w:rsidR="00C236A2" w:rsidRPr="0013396E" w:rsidRDefault="00C236A2" w:rsidP="0099759E">
            <w:pPr>
              <w:spacing w:after="60"/>
              <w:rPr>
                <w:i/>
                <w:iCs/>
                <w:sz w:val="20"/>
              </w:rPr>
            </w:pPr>
            <w:r w:rsidRPr="0013396E">
              <w:rPr>
                <w:i/>
                <w:iCs/>
                <w:sz w:val="20"/>
              </w:rPr>
              <w:t>Emergency Base Point Weighted Average Price for Charging Load per QSE per Settlement Point per Resource</w:t>
            </w:r>
            <w:r w:rsidRPr="0013396E">
              <w:rPr>
                <w:iCs/>
                <w:sz w:val="20"/>
              </w:rPr>
              <w:t xml:space="preserve">—The weighted average of the Emergency Base Point Prices corresponding with the negative Emergency Base Points,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for the 15-minute Settlement Interval.</w:t>
            </w:r>
          </w:p>
        </w:tc>
      </w:tr>
      <w:tr w:rsidR="00C236A2" w:rsidRPr="0013396E" w14:paraId="1E983A30" w14:textId="77777777" w:rsidTr="0099759E">
        <w:trPr>
          <w:cantSplit/>
        </w:trPr>
        <w:tc>
          <w:tcPr>
            <w:tcW w:w="934" w:type="pct"/>
          </w:tcPr>
          <w:p w14:paraId="786AA31B" w14:textId="77777777" w:rsidR="00C236A2" w:rsidRPr="0013396E" w:rsidRDefault="00C236A2" w:rsidP="0099759E">
            <w:pPr>
              <w:spacing w:after="60"/>
              <w:rPr>
                <w:iCs/>
                <w:sz w:val="20"/>
              </w:rPr>
            </w:pPr>
            <w:r w:rsidRPr="0013396E">
              <w:rPr>
                <w:iCs/>
                <w:sz w:val="20"/>
              </w:rPr>
              <w:t xml:space="preserve">BP </w:t>
            </w:r>
            <w:r w:rsidRPr="0013396E">
              <w:rPr>
                <w:i/>
                <w:iCs/>
                <w:sz w:val="20"/>
                <w:vertAlign w:val="subscript"/>
              </w:rPr>
              <w:t>q, r, p</w:t>
            </w:r>
          </w:p>
        </w:tc>
        <w:tc>
          <w:tcPr>
            <w:tcW w:w="481" w:type="pct"/>
          </w:tcPr>
          <w:p w14:paraId="2E002F15" w14:textId="77777777" w:rsidR="00C236A2" w:rsidRPr="0013396E" w:rsidRDefault="00C236A2" w:rsidP="0099759E">
            <w:pPr>
              <w:spacing w:after="60"/>
              <w:rPr>
                <w:iCs/>
                <w:sz w:val="20"/>
              </w:rPr>
            </w:pPr>
            <w:r w:rsidRPr="0013396E">
              <w:rPr>
                <w:iCs/>
                <w:sz w:val="20"/>
              </w:rPr>
              <w:t>MW</w:t>
            </w:r>
          </w:p>
        </w:tc>
        <w:tc>
          <w:tcPr>
            <w:tcW w:w="3585" w:type="pct"/>
          </w:tcPr>
          <w:p w14:paraId="581AFE3C" w14:textId="77777777" w:rsidR="00C236A2" w:rsidRPr="0013396E" w:rsidRDefault="00C236A2" w:rsidP="0099759E">
            <w:pPr>
              <w:spacing w:after="60"/>
              <w:rPr>
                <w:iCs/>
                <w:sz w:val="20"/>
              </w:rPr>
            </w:pPr>
            <w:r w:rsidRPr="0013396E">
              <w:rPr>
                <w:i/>
                <w:iCs/>
                <w:sz w:val="20"/>
              </w:rPr>
              <w:t>Base Point per QSE per Settlement Point per Resource</w:t>
            </w:r>
            <w:r w:rsidRPr="0013396E">
              <w:rPr>
                <w:iCs/>
                <w:sz w:val="20"/>
              </w:rPr>
              <w:t xml:space="preserve">—The Base Point of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from the SCED prior to the Emergency Condition or Watch.  For a Combined Cycle Train, the Resource </w:t>
            </w:r>
            <w:r w:rsidRPr="0013396E">
              <w:rPr>
                <w:i/>
                <w:iCs/>
                <w:sz w:val="20"/>
              </w:rPr>
              <w:t>r</w:t>
            </w:r>
            <w:r w:rsidRPr="0013396E">
              <w:rPr>
                <w:iCs/>
                <w:sz w:val="20"/>
              </w:rPr>
              <w:t xml:space="preserve"> must be one of the registered Combined Cycle Generation Resources within the Combined Cycle Train.</w:t>
            </w:r>
          </w:p>
        </w:tc>
      </w:tr>
      <w:tr w:rsidR="00C236A2" w:rsidRPr="0013396E" w14:paraId="79B19D5B"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50FCF69D" w14:textId="77777777" w:rsidR="00C236A2" w:rsidRPr="0013396E" w:rsidRDefault="00C236A2" w:rsidP="0099759E">
            <w:pPr>
              <w:spacing w:after="60"/>
              <w:rPr>
                <w:iCs/>
                <w:sz w:val="20"/>
              </w:rPr>
            </w:pPr>
            <w:r w:rsidRPr="0013396E">
              <w:rPr>
                <w:iCs/>
                <w:sz w:val="20"/>
              </w:rPr>
              <w:lastRenderedPageBreak/>
              <w:t>AEBPGEN</w:t>
            </w:r>
            <w:r w:rsidRPr="0013396E">
              <w:rPr>
                <w:iCs/>
                <w:sz w:val="20"/>
                <w:vertAlign w:val="subscript"/>
              </w:rPr>
              <w:t xml:space="preserve"> </w:t>
            </w:r>
            <w:r w:rsidRPr="0013396E">
              <w:rPr>
                <w:i/>
                <w:iCs/>
                <w:sz w:val="20"/>
                <w:vertAlign w:val="subscript"/>
              </w:rPr>
              <w:t>q, r, p</w:t>
            </w:r>
          </w:p>
        </w:tc>
        <w:tc>
          <w:tcPr>
            <w:tcW w:w="481" w:type="pct"/>
            <w:tcBorders>
              <w:top w:val="single" w:sz="4" w:space="0" w:color="auto"/>
              <w:left w:val="single" w:sz="4" w:space="0" w:color="auto"/>
              <w:bottom w:val="single" w:sz="4" w:space="0" w:color="auto"/>
              <w:right w:val="single" w:sz="4" w:space="0" w:color="auto"/>
            </w:tcBorders>
          </w:tcPr>
          <w:p w14:paraId="138DC133" w14:textId="77777777" w:rsidR="00C236A2" w:rsidRPr="0013396E" w:rsidRDefault="00C236A2" w:rsidP="0099759E">
            <w:pPr>
              <w:spacing w:after="60"/>
              <w:rPr>
                <w:iCs/>
                <w:sz w:val="20"/>
              </w:rPr>
            </w:pPr>
            <w:r w:rsidRPr="0013396E">
              <w:rPr>
                <w:iCs/>
                <w:sz w:val="20"/>
              </w:rPr>
              <w:t>MWh</w:t>
            </w:r>
          </w:p>
        </w:tc>
        <w:tc>
          <w:tcPr>
            <w:tcW w:w="3585" w:type="pct"/>
            <w:tcBorders>
              <w:top w:val="single" w:sz="4" w:space="0" w:color="auto"/>
              <w:left w:val="single" w:sz="4" w:space="0" w:color="auto"/>
              <w:bottom w:val="single" w:sz="4" w:space="0" w:color="auto"/>
              <w:right w:val="single" w:sz="4" w:space="0" w:color="auto"/>
            </w:tcBorders>
          </w:tcPr>
          <w:p w14:paraId="4039850A" w14:textId="77777777" w:rsidR="00C236A2" w:rsidRPr="0013396E" w:rsidRDefault="00C236A2" w:rsidP="0099759E">
            <w:pPr>
              <w:spacing w:after="60"/>
              <w:rPr>
                <w:i/>
                <w:iCs/>
                <w:sz w:val="20"/>
              </w:rPr>
            </w:pPr>
            <w:r w:rsidRPr="0013396E">
              <w:rPr>
                <w:i/>
                <w:iCs/>
                <w:sz w:val="20"/>
              </w:rPr>
              <w:t>Aggregated Emergency Base Point for Generation</w:t>
            </w:r>
            <w:r w:rsidRPr="0013396E">
              <w:rPr>
                <w:iCs/>
                <w:sz w:val="20"/>
              </w:rPr>
              <w:t xml:space="preserve">—The aggregation of the positive Emergency Base Points for the Resource </w:t>
            </w:r>
            <w:r w:rsidRPr="0013396E">
              <w:rPr>
                <w:i/>
                <w:iCs/>
                <w:sz w:val="20"/>
              </w:rPr>
              <w:t>r</w:t>
            </w:r>
            <w:r w:rsidRPr="0013396E">
              <w:rPr>
                <w:iCs/>
                <w:sz w:val="20"/>
              </w:rPr>
              <w:t xml:space="preserve"> represented by QSE </w:t>
            </w:r>
            <w:r w:rsidRPr="0013396E">
              <w:rPr>
                <w:i/>
                <w:iCs/>
                <w:sz w:val="20"/>
              </w:rPr>
              <w:t>q</w:t>
            </w:r>
            <w:r w:rsidRPr="0013396E">
              <w:rPr>
                <w:iCs/>
                <w:sz w:val="20"/>
              </w:rPr>
              <w:t>, for the 15-minute Settlement Interval.  Where for a Combined Cycle Train, AEBP is calculated for the Combined Cycle Train considering all emergency Dispatch Instructions to any Combined Cycle Generation Resources within the Combined Cycle Train.</w:t>
            </w:r>
          </w:p>
        </w:tc>
      </w:tr>
      <w:tr w:rsidR="00C236A2" w:rsidRPr="0013396E" w14:paraId="3FEA5ACD"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2DEEAC43" w14:textId="77777777" w:rsidR="00C236A2" w:rsidRPr="0013396E" w:rsidRDefault="00C236A2" w:rsidP="0099759E">
            <w:pPr>
              <w:spacing w:after="60"/>
              <w:rPr>
                <w:iCs/>
                <w:sz w:val="20"/>
              </w:rPr>
            </w:pPr>
            <w:r w:rsidRPr="0013396E">
              <w:rPr>
                <w:iCs/>
                <w:sz w:val="20"/>
              </w:rPr>
              <w:t>AEBPLOAD</w:t>
            </w:r>
            <w:r w:rsidRPr="0013396E">
              <w:rPr>
                <w:iCs/>
                <w:sz w:val="20"/>
                <w:vertAlign w:val="subscript"/>
              </w:rPr>
              <w:t xml:space="preserve"> </w:t>
            </w:r>
            <w:r w:rsidRPr="0013396E">
              <w:rPr>
                <w:i/>
                <w:iCs/>
                <w:sz w:val="20"/>
                <w:vertAlign w:val="subscript"/>
              </w:rPr>
              <w:t>q, r, p</w:t>
            </w:r>
          </w:p>
        </w:tc>
        <w:tc>
          <w:tcPr>
            <w:tcW w:w="481" w:type="pct"/>
            <w:tcBorders>
              <w:top w:val="single" w:sz="4" w:space="0" w:color="auto"/>
              <w:left w:val="single" w:sz="4" w:space="0" w:color="auto"/>
              <w:bottom w:val="single" w:sz="4" w:space="0" w:color="auto"/>
              <w:right w:val="single" w:sz="4" w:space="0" w:color="auto"/>
            </w:tcBorders>
          </w:tcPr>
          <w:p w14:paraId="38535816" w14:textId="77777777" w:rsidR="00C236A2" w:rsidRPr="0013396E" w:rsidRDefault="00C236A2" w:rsidP="0099759E">
            <w:pPr>
              <w:spacing w:after="60"/>
              <w:rPr>
                <w:iCs/>
                <w:sz w:val="20"/>
              </w:rPr>
            </w:pPr>
            <w:r w:rsidRPr="0013396E">
              <w:rPr>
                <w:iCs/>
                <w:sz w:val="20"/>
              </w:rPr>
              <w:t>MWh</w:t>
            </w:r>
          </w:p>
        </w:tc>
        <w:tc>
          <w:tcPr>
            <w:tcW w:w="3585" w:type="pct"/>
            <w:tcBorders>
              <w:top w:val="single" w:sz="4" w:space="0" w:color="auto"/>
              <w:left w:val="single" w:sz="4" w:space="0" w:color="auto"/>
              <w:bottom w:val="single" w:sz="4" w:space="0" w:color="auto"/>
              <w:right w:val="single" w:sz="4" w:space="0" w:color="auto"/>
            </w:tcBorders>
          </w:tcPr>
          <w:p w14:paraId="70672459" w14:textId="77777777" w:rsidR="00C236A2" w:rsidRPr="0013396E" w:rsidRDefault="00C236A2" w:rsidP="0099759E">
            <w:pPr>
              <w:spacing w:after="60"/>
              <w:rPr>
                <w:i/>
                <w:iCs/>
                <w:sz w:val="20"/>
              </w:rPr>
            </w:pPr>
            <w:r w:rsidRPr="0013396E">
              <w:rPr>
                <w:i/>
                <w:iCs/>
                <w:sz w:val="20"/>
              </w:rPr>
              <w:t>Aggregated Emergency Base Point for Charging Load</w:t>
            </w:r>
            <w:r w:rsidRPr="0013396E">
              <w:rPr>
                <w:iCs/>
                <w:sz w:val="20"/>
              </w:rPr>
              <w:t xml:space="preserve">—The aggregation of the negative Emergency Base Points for the Resource </w:t>
            </w:r>
            <w:r w:rsidRPr="0013396E">
              <w:rPr>
                <w:i/>
                <w:iCs/>
                <w:sz w:val="20"/>
              </w:rPr>
              <w:t xml:space="preserve">r </w:t>
            </w:r>
            <w:r w:rsidRPr="0013396E">
              <w:rPr>
                <w:iCs/>
                <w:sz w:val="20"/>
              </w:rPr>
              <w:t xml:space="preserve">represented by QSE </w:t>
            </w:r>
            <w:r w:rsidRPr="0013396E">
              <w:rPr>
                <w:i/>
                <w:iCs/>
                <w:sz w:val="20"/>
              </w:rPr>
              <w:t>q</w:t>
            </w:r>
            <w:r w:rsidRPr="0013396E">
              <w:rPr>
                <w:iCs/>
                <w:sz w:val="20"/>
              </w:rPr>
              <w:t xml:space="preserve">, for the 15-minute Settlement Interval.  </w:t>
            </w:r>
          </w:p>
        </w:tc>
      </w:tr>
      <w:tr w:rsidR="00C236A2" w:rsidRPr="0013396E" w14:paraId="208E0C43" w14:textId="77777777" w:rsidTr="0099759E">
        <w:trPr>
          <w:cantSplit/>
        </w:trPr>
        <w:tc>
          <w:tcPr>
            <w:tcW w:w="934" w:type="pct"/>
          </w:tcPr>
          <w:p w14:paraId="1CAA36AD" w14:textId="77777777" w:rsidR="00C236A2" w:rsidRPr="0013396E" w:rsidRDefault="00C236A2" w:rsidP="0099759E">
            <w:pPr>
              <w:spacing w:after="60"/>
              <w:rPr>
                <w:iCs/>
                <w:sz w:val="20"/>
              </w:rPr>
            </w:pPr>
            <w:r w:rsidRPr="0013396E">
              <w:rPr>
                <w:iCs/>
                <w:sz w:val="20"/>
              </w:rPr>
              <w:t xml:space="preserve">EBP </w:t>
            </w:r>
            <w:r w:rsidRPr="0013396E">
              <w:rPr>
                <w:i/>
                <w:iCs/>
                <w:sz w:val="20"/>
                <w:vertAlign w:val="subscript"/>
              </w:rPr>
              <w:t>q, r, p, y</w:t>
            </w:r>
          </w:p>
        </w:tc>
        <w:tc>
          <w:tcPr>
            <w:tcW w:w="481" w:type="pct"/>
          </w:tcPr>
          <w:p w14:paraId="49005A45" w14:textId="77777777" w:rsidR="00C236A2" w:rsidRPr="0013396E" w:rsidRDefault="00C236A2" w:rsidP="0099759E">
            <w:pPr>
              <w:spacing w:after="60"/>
              <w:rPr>
                <w:iCs/>
                <w:sz w:val="20"/>
              </w:rPr>
            </w:pPr>
            <w:r w:rsidRPr="0013396E">
              <w:rPr>
                <w:iCs/>
                <w:sz w:val="20"/>
              </w:rPr>
              <w:t>MW</w:t>
            </w:r>
          </w:p>
        </w:tc>
        <w:tc>
          <w:tcPr>
            <w:tcW w:w="3585" w:type="pct"/>
          </w:tcPr>
          <w:p w14:paraId="2D93F796" w14:textId="77777777" w:rsidR="00C236A2" w:rsidRPr="0013396E" w:rsidRDefault="00C236A2" w:rsidP="0099759E">
            <w:pPr>
              <w:spacing w:after="60"/>
              <w:rPr>
                <w:iCs/>
                <w:sz w:val="20"/>
              </w:rPr>
            </w:pPr>
            <w:r w:rsidRPr="0013396E">
              <w:rPr>
                <w:i/>
                <w:iCs/>
                <w:sz w:val="20"/>
              </w:rPr>
              <w:t>Emergency Base Point per QSE per Settlement Point per Resource by interval</w:t>
            </w:r>
            <w:r w:rsidRPr="0013396E">
              <w:rPr>
                <w:iCs/>
                <w:sz w:val="20"/>
              </w:rPr>
              <w:t xml:space="preserve">—The Emergency Base Point of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Emergency Base Point interval or SCED interval</w:t>
            </w:r>
            <w:r w:rsidRPr="0013396E">
              <w:rPr>
                <w:i/>
                <w:iCs/>
                <w:sz w:val="20"/>
              </w:rPr>
              <w:t xml:space="preserve"> y</w:t>
            </w:r>
            <w:r w:rsidRPr="0013396E">
              <w:rPr>
                <w:iCs/>
                <w:sz w:val="20"/>
              </w:rPr>
              <w:t xml:space="preserve">.  If a Base Point instead of an Emergency Base Point is effective during the interval </w:t>
            </w:r>
            <w:r w:rsidRPr="0013396E">
              <w:rPr>
                <w:i/>
                <w:iCs/>
                <w:sz w:val="20"/>
              </w:rPr>
              <w:t>y</w:t>
            </w:r>
            <w:r w:rsidRPr="0013396E">
              <w:rPr>
                <w:iCs/>
                <w:sz w:val="20"/>
              </w:rPr>
              <w:t xml:space="preserve">, its value equals the Base Point.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59D787F6" w14:textId="77777777" w:rsidTr="0099759E">
        <w:trPr>
          <w:cantSplit/>
        </w:trPr>
        <w:tc>
          <w:tcPr>
            <w:tcW w:w="934" w:type="pct"/>
          </w:tcPr>
          <w:p w14:paraId="047926DB" w14:textId="77777777" w:rsidR="00C236A2" w:rsidRPr="0013396E" w:rsidRDefault="00C236A2" w:rsidP="0099759E">
            <w:pPr>
              <w:spacing w:after="60"/>
              <w:rPr>
                <w:iCs/>
                <w:sz w:val="20"/>
              </w:rPr>
            </w:pPr>
            <w:r w:rsidRPr="0013396E">
              <w:rPr>
                <w:iCs/>
                <w:sz w:val="20"/>
              </w:rPr>
              <w:t xml:space="preserve">EBPPR </w:t>
            </w:r>
            <w:r w:rsidRPr="0013396E">
              <w:rPr>
                <w:i/>
                <w:iCs/>
                <w:sz w:val="20"/>
                <w:vertAlign w:val="subscript"/>
              </w:rPr>
              <w:t>q, r, p, y</w:t>
            </w:r>
          </w:p>
        </w:tc>
        <w:tc>
          <w:tcPr>
            <w:tcW w:w="481" w:type="pct"/>
          </w:tcPr>
          <w:p w14:paraId="36D46219" w14:textId="77777777" w:rsidR="00C236A2" w:rsidRPr="0013396E" w:rsidRDefault="00C236A2" w:rsidP="0099759E">
            <w:pPr>
              <w:spacing w:after="60"/>
              <w:rPr>
                <w:iCs/>
                <w:sz w:val="20"/>
              </w:rPr>
            </w:pPr>
            <w:r w:rsidRPr="0013396E">
              <w:rPr>
                <w:iCs/>
                <w:sz w:val="20"/>
              </w:rPr>
              <w:t>$/MWh</w:t>
            </w:r>
          </w:p>
        </w:tc>
        <w:tc>
          <w:tcPr>
            <w:tcW w:w="3585" w:type="pct"/>
          </w:tcPr>
          <w:p w14:paraId="0CC417F3" w14:textId="06D1374F" w:rsidR="00C236A2" w:rsidRPr="0013396E" w:rsidRDefault="00C236A2" w:rsidP="0099759E">
            <w:pPr>
              <w:spacing w:after="60"/>
              <w:rPr>
                <w:iCs/>
                <w:sz w:val="20"/>
              </w:rPr>
            </w:pPr>
            <w:r w:rsidRPr="0013396E">
              <w:rPr>
                <w:i/>
                <w:iCs/>
                <w:sz w:val="20"/>
              </w:rPr>
              <w:t>Emergency Base Point Price per QSE per Settlement Point per Resource by interval</w:t>
            </w:r>
            <w:r w:rsidRPr="0013396E">
              <w:rPr>
                <w:iCs/>
                <w:sz w:val="20"/>
              </w:rPr>
              <w:t xml:space="preserve">—The price on the Energy Offer Curve or Energy Bid/Offer Curve corresponding to the Emergency Base Point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Emergency Base Point interval or SCED interval </w:t>
            </w:r>
            <w:r w:rsidRPr="0013396E">
              <w:rPr>
                <w:i/>
                <w:iCs/>
                <w:sz w:val="20"/>
              </w:rPr>
              <w:t>y</w:t>
            </w:r>
            <w:r w:rsidRPr="0013396E">
              <w:rPr>
                <w:iCs/>
                <w:sz w:val="20"/>
              </w:rPr>
              <w:t>.  The Energy Offer Curve shall be capped by the MOC pursuant to Section 4.4.9.4.1, Mitigated Offer Cap</w:t>
            </w:r>
            <w:r w:rsidR="004A7B1D">
              <w:rPr>
                <w:iCs/>
                <w:sz w:val="20"/>
              </w:rPr>
              <w:t>,</w:t>
            </w:r>
            <w:r w:rsidRPr="0013396E">
              <w:rPr>
                <w:rFonts w:asciiTheme="minorHAnsi" w:eastAsiaTheme="minorHAnsi" w:hAnsiTheme="minorHAnsi" w:cstheme="minorBidi"/>
                <w:sz w:val="22"/>
                <w:szCs w:val="22"/>
              </w:rPr>
              <w:t xml:space="preserve"> </w:t>
            </w:r>
            <w:r w:rsidRPr="0013396E">
              <w:rPr>
                <w:iCs/>
                <w:sz w:val="20"/>
              </w:rPr>
              <w:t>and the Energy Bid/Offer Curve shall be capped by the maximum RTSPP at the Settlement Point for the Operating Day, per paragraph (1</w:t>
            </w:r>
            <w:r w:rsidR="00911D6C">
              <w:rPr>
                <w:iCs/>
                <w:sz w:val="20"/>
              </w:rPr>
              <w:t>0</w:t>
            </w:r>
            <w:r w:rsidRPr="0013396E">
              <w:rPr>
                <w:iCs/>
                <w:sz w:val="20"/>
              </w:rPr>
              <w:t xml:space="preserve">) of Section 6.6.9.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7CFE532B" w14:textId="77777777" w:rsidTr="0099759E">
        <w:trPr>
          <w:cantSplit/>
        </w:trPr>
        <w:tc>
          <w:tcPr>
            <w:tcW w:w="934" w:type="pct"/>
          </w:tcPr>
          <w:p w14:paraId="3C87DB88" w14:textId="77777777" w:rsidR="00C236A2" w:rsidRPr="0013396E" w:rsidRDefault="00C236A2" w:rsidP="0099759E">
            <w:pPr>
              <w:spacing w:after="60"/>
              <w:rPr>
                <w:iCs/>
                <w:sz w:val="20"/>
              </w:rPr>
            </w:pPr>
            <w:r w:rsidRPr="0013396E">
              <w:rPr>
                <w:iCs/>
                <w:sz w:val="20"/>
              </w:rPr>
              <w:t>RTSPP</w:t>
            </w:r>
            <w:r w:rsidRPr="0013396E">
              <w:rPr>
                <w:i/>
                <w:iCs/>
                <w:sz w:val="20"/>
              </w:rPr>
              <w:t xml:space="preserve"> </w:t>
            </w:r>
            <w:r w:rsidRPr="0013396E">
              <w:rPr>
                <w:i/>
                <w:iCs/>
                <w:sz w:val="20"/>
                <w:vertAlign w:val="subscript"/>
              </w:rPr>
              <w:t>p</w:t>
            </w:r>
          </w:p>
        </w:tc>
        <w:tc>
          <w:tcPr>
            <w:tcW w:w="481" w:type="pct"/>
          </w:tcPr>
          <w:p w14:paraId="42FDD137" w14:textId="77777777" w:rsidR="00C236A2" w:rsidRPr="0013396E" w:rsidRDefault="00C236A2" w:rsidP="0099759E">
            <w:pPr>
              <w:spacing w:after="60"/>
              <w:rPr>
                <w:iCs/>
                <w:sz w:val="20"/>
              </w:rPr>
            </w:pPr>
            <w:r w:rsidRPr="0013396E">
              <w:rPr>
                <w:iCs/>
                <w:sz w:val="20"/>
              </w:rPr>
              <w:t>$/MWh</w:t>
            </w:r>
          </w:p>
        </w:tc>
        <w:tc>
          <w:tcPr>
            <w:tcW w:w="3585" w:type="pct"/>
          </w:tcPr>
          <w:p w14:paraId="1E4FF889" w14:textId="77777777" w:rsidR="00C236A2" w:rsidRPr="0013396E" w:rsidRDefault="00C236A2" w:rsidP="0099759E">
            <w:pPr>
              <w:spacing w:after="60"/>
              <w:rPr>
                <w:iCs/>
                <w:sz w:val="20"/>
              </w:rPr>
            </w:pPr>
            <w:r w:rsidRPr="0013396E">
              <w:rPr>
                <w:i/>
                <w:iCs/>
                <w:sz w:val="20"/>
              </w:rPr>
              <w:t>Real-Time Settlement Point Price per Settlement Point</w:t>
            </w:r>
            <w:r w:rsidRPr="0013396E">
              <w:rPr>
                <w:iCs/>
                <w:sz w:val="20"/>
              </w:rPr>
              <w:t xml:space="preserve">—The Real-Time Settlement Point Price at Settlement Point </w:t>
            </w:r>
            <w:r w:rsidRPr="0013396E">
              <w:rPr>
                <w:i/>
                <w:iCs/>
                <w:sz w:val="20"/>
              </w:rPr>
              <w:t>p</w:t>
            </w:r>
            <w:r w:rsidRPr="0013396E">
              <w:rPr>
                <w:iCs/>
                <w:sz w:val="20"/>
              </w:rPr>
              <w:t>, for the 15-minute Settlement Interval.</w:t>
            </w:r>
          </w:p>
        </w:tc>
      </w:tr>
      <w:tr w:rsidR="00C236A2" w:rsidRPr="0013396E" w14:paraId="567A30A7" w14:textId="77777777" w:rsidTr="0099759E">
        <w:trPr>
          <w:cantSplit/>
        </w:trPr>
        <w:tc>
          <w:tcPr>
            <w:tcW w:w="934" w:type="pct"/>
          </w:tcPr>
          <w:p w14:paraId="43C989B0" w14:textId="77777777" w:rsidR="00C236A2" w:rsidRPr="0013396E" w:rsidRDefault="00C236A2" w:rsidP="0099759E">
            <w:pPr>
              <w:spacing w:after="60"/>
              <w:rPr>
                <w:iCs/>
                <w:sz w:val="20"/>
              </w:rPr>
            </w:pPr>
            <w:r w:rsidRPr="0013396E">
              <w:rPr>
                <w:iCs/>
                <w:sz w:val="20"/>
              </w:rPr>
              <w:t xml:space="preserve">RTMG </w:t>
            </w:r>
            <w:r w:rsidRPr="0013396E">
              <w:rPr>
                <w:i/>
                <w:iCs/>
                <w:sz w:val="20"/>
                <w:vertAlign w:val="subscript"/>
              </w:rPr>
              <w:t>q, r, p</w:t>
            </w:r>
          </w:p>
        </w:tc>
        <w:tc>
          <w:tcPr>
            <w:tcW w:w="481" w:type="pct"/>
          </w:tcPr>
          <w:p w14:paraId="25B40286" w14:textId="77777777" w:rsidR="00C236A2" w:rsidRPr="0013396E" w:rsidRDefault="00C236A2" w:rsidP="0099759E">
            <w:pPr>
              <w:spacing w:after="60"/>
              <w:rPr>
                <w:iCs/>
                <w:sz w:val="20"/>
              </w:rPr>
            </w:pPr>
            <w:r w:rsidRPr="0013396E">
              <w:rPr>
                <w:iCs/>
                <w:sz w:val="20"/>
              </w:rPr>
              <w:t>MWh</w:t>
            </w:r>
          </w:p>
        </w:tc>
        <w:tc>
          <w:tcPr>
            <w:tcW w:w="3585" w:type="pct"/>
          </w:tcPr>
          <w:p w14:paraId="05D1A381" w14:textId="77777777" w:rsidR="00C236A2" w:rsidRPr="0013396E" w:rsidRDefault="00C236A2" w:rsidP="0099759E">
            <w:pPr>
              <w:spacing w:after="60"/>
              <w:rPr>
                <w:iCs/>
                <w:sz w:val="20"/>
              </w:rPr>
            </w:pPr>
            <w:r w:rsidRPr="0013396E">
              <w:rPr>
                <w:i/>
                <w:iCs/>
                <w:sz w:val="20"/>
              </w:rPr>
              <w:t>Real-Time Metered Generation per QSE per Settlement Point per Resource</w:t>
            </w:r>
            <w:r w:rsidRPr="0013396E">
              <w:rPr>
                <w:iCs/>
                <w:sz w:val="20"/>
              </w:rPr>
              <w:t xml:space="preserve">—The metered generation of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14D92168" w14:textId="77777777" w:rsidTr="0099759E">
        <w:trPr>
          <w:cantSplit/>
        </w:trPr>
        <w:tc>
          <w:tcPr>
            <w:tcW w:w="934" w:type="pct"/>
          </w:tcPr>
          <w:p w14:paraId="28A957A0" w14:textId="77777777" w:rsidR="00C236A2" w:rsidRPr="0013396E" w:rsidRDefault="00C236A2" w:rsidP="0099759E">
            <w:pPr>
              <w:spacing w:after="60"/>
              <w:rPr>
                <w:iCs/>
                <w:sz w:val="20"/>
              </w:rPr>
            </w:pPr>
            <w:r w:rsidRPr="0013396E">
              <w:rPr>
                <w:iCs/>
                <w:sz w:val="20"/>
              </w:rPr>
              <w:t xml:space="preserve">RTCL </w:t>
            </w:r>
            <w:r w:rsidRPr="0013396E">
              <w:rPr>
                <w:i/>
                <w:iCs/>
                <w:sz w:val="20"/>
                <w:vertAlign w:val="subscript"/>
              </w:rPr>
              <w:t>q, r, p</w:t>
            </w:r>
          </w:p>
        </w:tc>
        <w:tc>
          <w:tcPr>
            <w:tcW w:w="481" w:type="pct"/>
          </w:tcPr>
          <w:p w14:paraId="0393709E" w14:textId="77777777" w:rsidR="00C236A2" w:rsidRPr="0013396E" w:rsidRDefault="00C236A2" w:rsidP="0099759E">
            <w:pPr>
              <w:spacing w:after="60"/>
              <w:rPr>
                <w:iCs/>
                <w:sz w:val="20"/>
              </w:rPr>
            </w:pPr>
            <w:r w:rsidRPr="0013396E">
              <w:rPr>
                <w:iCs/>
                <w:sz w:val="20"/>
              </w:rPr>
              <w:t>MWh</w:t>
            </w:r>
          </w:p>
        </w:tc>
        <w:tc>
          <w:tcPr>
            <w:tcW w:w="3585" w:type="pct"/>
          </w:tcPr>
          <w:p w14:paraId="4A54088F" w14:textId="77777777" w:rsidR="00C236A2" w:rsidRPr="0013396E" w:rsidRDefault="00C236A2" w:rsidP="0099759E">
            <w:pPr>
              <w:spacing w:after="60"/>
              <w:rPr>
                <w:i/>
                <w:iCs/>
                <w:sz w:val="20"/>
              </w:rPr>
            </w:pPr>
            <w:r w:rsidRPr="0013396E">
              <w:rPr>
                <w:i/>
                <w:iCs/>
                <w:sz w:val="20"/>
              </w:rPr>
              <w:t>Real-Time Charging Load per QSE per Resource per Settlement Point</w:t>
            </w:r>
            <w:r w:rsidRPr="0013396E">
              <w:rPr>
                <w:iCs/>
                <w:sz w:val="20"/>
              </w:rPr>
              <w:t xml:space="preserve">—The charging load for Resource </w:t>
            </w:r>
            <w:r w:rsidRPr="0013396E">
              <w:rPr>
                <w:i/>
                <w:iCs/>
                <w:sz w:val="20"/>
              </w:rPr>
              <w:t xml:space="preserve">r </w:t>
            </w:r>
            <w:r w:rsidRPr="0013396E">
              <w:rPr>
                <w:iCs/>
                <w:sz w:val="20"/>
              </w:rPr>
              <w:t>at Resource Node</w:t>
            </w:r>
            <w:r w:rsidRPr="0013396E">
              <w:rPr>
                <w:i/>
                <w:iCs/>
                <w:sz w:val="20"/>
              </w:rPr>
              <w:t xml:space="preserve"> p </w:t>
            </w:r>
            <w:r w:rsidRPr="0013396E">
              <w:rPr>
                <w:iCs/>
                <w:sz w:val="20"/>
              </w:rPr>
              <w:t xml:space="preserve">represented by the QSE </w:t>
            </w:r>
            <w:r w:rsidRPr="0013396E">
              <w:rPr>
                <w:i/>
                <w:iCs/>
                <w:sz w:val="20"/>
              </w:rPr>
              <w:t xml:space="preserve">q, </w:t>
            </w:r>
            <w:r w:rsidRPr="0013396E">
              <w:rPr>
                <w:iCs/>
                <w:sz w:val="20"/>
              </w:rPr>
              <w:t>represented as a negative value,</w:t>
            </w:r>
            <w:r w:rsidRPr="0013396E">
              <w:rPr>
                <w:i/>
                <w:iCs/>
                <w:sz w:val="20"/>
              </w:rPr>
              <w:t xml:space="preserve"> </w:t>
            </w:r>
            <w:r w:rsidRPr="0013396E">
              <w:rPr>
                <w:iCs/>
                <w:sz w:val="20"/>
              </w:rPr>
              <w:t xml:space="preserve">for the 15-minute Settlement Interval. </w:t>
            </w:r>
          </w:p>
        </w:tc>
      </w:tr>
      <w:tr w:rsidR="00C236A2" w:rsidRPr="0013396E" w14:paraId="5D7D11C3"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68E342E2" w14:textId="77777777" w:rsidR="00C236A2" w:rsidRPr="0013396E" w:rsidRDefault="00C236A2" w:rsidP="0099759E">
            <w:pPr>
              <w:spacing w:after="60"/>
              <w:rPr>
                <w:iCs/>
                <w:sz w:val="20"/>
              </w:rPr>
            </w:pPr>
            <w:r w:rsidRPr="0013396E">
              <w:rPr>
                <w:iCs/>
                <w:sz w:val="20"/>
              </w:rPr>
              <w:t xml:space="preserve">TLMP </w:t>
            </w:r>
            <w:r w:rsidRPr="0013396E">
              <w:rPr>
                <w:i/>
                <w:iCs/>
                <w:sz w:val="20"/>
                <w:vertAlign w:val="subscript"/>
              </w:rPr>
              <w:t>y</w:t>
            </w:r>
          </w:p>
        </w:tc>
        <w:tc>
          <w:tcPr>
            <w:tcW w:w="481" w:type="pct"/>
            <w:tcBorders>
              <w:top w:val="single" w:sz="4" w:space="0" w:color="auto"/>
              <w:left w:val="single" w:sz="4" w:space="0" w:color="auto"/>
              <w:bottom w:val="single" w:sz="4" w:space="0" w:color="auto"/>
              <w:right w:val="single" w:sz="4" w:space="0" w:color="auto"/>
            </w:tcBorders>
          </w:tcPr>
          <w:p w14:paraId="7189C977" w14:textId="77777777" w:rsidR="00C236A2" w:rsidRPr="0013396E" w:rsidRDefault="00C236A2" w:rsidP="0099759E">
            <w:pPr>
              <w:spacing w:after="60"/>
              <w:rPr>
                <w:iCs/>
                <w:sz w:val="20"/>
              </w:rPr>
            </w:pPr>
            <w:r w:rsidRPr="0013396E">
              <w:rPr>
                <w:iCs/>
                <w:sz w:val="20"/>
              </w:rPr>
              <w:t>second</w:t>
            </w:r>
          </w:p>
        </w:tc>
        <w:tc>
          <w:tcPr>
            <w:tcW w:w="3585" w:type="pct"/>
            <w:tcBorders>
              <w:top w:val="single" w:sz="4" w:space="0" w:color="auto"/>
              <w:left w:val="single" w:sz="4" w:space="0" w:color="auto"/>
              <w:bottom w:val="single" w:sz="4" w:space="0" w:color="auto"/>
              <w:right w:val="single" w:sz="4" w:space="0" w:color="auto"/>
            </w:tcBorders>
          </w:tcPr>
          <w:p w14:paraId="4E02D39D" w14:textId="77777777" w:rsidR="00C236A2" w:rsidRPr="0013396E" w:rsidRDefault="00C236A2" w:rsidP="0099759E">
            <w:pPr>
              <w:spacing w:after="60"/>
              <w:rPr>
                <w:iCs/>
                <w:sz w:val="20"/>
              </w:rPr>
            </w:pPr>
            <w:r w:rsidRPr="0013396E">
              <w:rPr>
                <w:i/>
                <w:sz w:val="20"/>
              </w:rPr>
              <w:t>Duration of Emergency Base Point interval or SCED interval per interval</w:t>
            </w:r>
            <w:r w:rsidRPr="0013396E">
              <w:rPr>
                <w:iCs/>
                <w:sz w:val="20"/>
              </w:rPr>
              <w:t xml:space="preserve">—The duration of the portion of the Emergency Base Point interval or SCED interval </w:t>
            </w:r>
            <w:r w:rsidRPr="0013396E">
              <w:rPr>
                <w:i/>
                <w:iCs/>
                <w:sz w:val="20"/>
              </w:rPr>
              <w:t>y</w:t>
            </w:r>
            <w:r w:rsidRPr="0013396E">
              <w:rPr>
                <w:iCs/>
                <w:sz w:val="20"/>
              </w:rPr>
              <w:t xml:space="preserve"> </w:t>
            </w:r>
            <w:r w:rsidRPr="0013396E">
              <w:rPr>
                <w:sz w:val="20"/>
              </w:rPr>
              <w:t>within the 15-minute Settlement Interval</w:t>
            </w:r>
            <w:r w:rsidRPr="0013396E">
              <w:rPr>
                <w:iCs/>
                <w:sz w:val="20"/>
              </w:rPr>
              <w:t>.</w:t>
            </w:r>
          </w:p>
        </w:tc>
      </w:tr>
      <w:tr w:rsidR="00C236A2" w:rsidRPr="0013396E" w14:paraId="1881E948"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221F5CFA" w14:textId="77777777" w:rsidR="00C236A2" w:rsidRPr="0013396E" w:rsidRDefault="00C236A2" w:rsidP="0099759E">
            <w:pPr>
              <w:spacing w:after="60"/>
              <w:rPr>
                <w:i/>
                <w:iCs/>
                <w:sz w:val="20"/>
              </w:rPr>
            </w:pPr>
            <w:r w:rsidRPr="0013396E">
              <w:rPr>
                <w:i/>
                <w:iCs/>
                <w:sz w:val="20"/>
              </w:rPr>
              <w:t>q</w:t>
            </w:r>
          </w:p>
        </w:tc>
        <w:tc>
          <w:tcPr>
            <w:tcW w:w="481" w:type="pct"/>
            <w:tcBorders>
              <w:top w:val="single" w:sz="4" w:space="0" w:color="auto"/>
              <w:left w:val="single" w:sz="4" w:space="0" w:color="auto"/>
              <w:bottom w:val="single" w:sz="4" w:space="0" w:color="auto"/>
              <w:right w:val="single" w:sz="4" w:space="0" w:color="auto"/>
            </w:tcBorders>
          </w:tcPr>
          <w:p w14:paraId="283EB551"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08BEBDBE" w14:textId="77777777" w:rsidR="00C236A2" w:rsidRPr="0013396E" w:rsidRDefault="00C236A2" w:rsidP="0099759E">
            <w:pPr>
              <w:spacing w:after="60"/>
              <w:rPr>
                <w:iCs/>
                <w:sz w:val="20"/>
              </w:rPr>
            </w:pPr>
            <w:r w:rsidRPr="0013396E">
              <w:rPr>
                <w:iCs/>
                <w:sz w:val="20"/>
              </w:rPr>
              <w:t>A QSE.</w:t>
            </w:r>
          </w:p>
        </w:tc>
      </w:tr>
      <w:tr w:rsidR="00C236A2" w:rsidRPr="0013396E" w14:paraId="2518359D"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4ADF3F08" w14:textId="77777777" w:rsidR="00C236A2" w:rsidRPr="0013396E" w:rsidRDefault="00C236A2" w:rsidP="0099759E">
            <w:pPr>
              <w:spacing w:after="60"/>
              <w:rPr>
                <w:i/>
                <w:iCs/>
                <w:sz w:val="20"/>
              </w:rPr>
            </w:pPr>
            <w:r w:rsidRPr="0013396E">
              <w:rPr>
                <w:i/>
                <w:iCs/>
                <w:sz w:val="20"/>
              </w:rPr>
              <w:t>p</w:t>
            </w:r>
          </w:p>
        </w:tc>
        <w:tc>
          <w:tcPr>
            <w:tcW w:w="481" w:type="pct"/>
            <w:tcBorders>
              <w:top w:val="single" w:sz="4" w:space="0" w:color="auto"/>
              <w:left w:val="single" w:sz="4" w:space="0" w:color="auto"/>
              <w:bottom w:val="single" w:sz="4" w:space="0" w:color="auto"/>
              <w:right w:val="single" w:sz="4" w:space="0" w:color="auto"/>
            </w:tcBorders>
          </w:tcPr>
          <w:p w14:paraId="7181E182"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1EB51CA2" w14:textId="77777777" w:rsidR="00C236A2" w:rsidRPr="0013396E" w:rsidRDefault="00C236A2" w:rsidP="0099759E">
            <w:pPr>
              <w:spacing w:after="60"/>
              <w:rPr>
                <w:iCs/>
                <w:sz w:val="20"/>
              </w:rPr>
            </w:pPr>
            <w:r w:rsidRPr="0013396E">
              <w:rPr>
                <w:iCs/>
                <w:sz w:val="20"/>
              </w:rPr>
              <w:t>A Resource Node Settlement Point.</w:t>
            </w:r>
          </w:p>
        </w:tc>
      </w:tr>
      <w:tr w:rsidR="00C236A2" w:rsidRPr="0013396E" w14:paraId="3D23048D"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2CCD9BCE" w14:textId="77777777" w:rsidR="00C236A2" w:rsidRPr="0013396E" w:rsidRDefault="00C236A2" w:rsidP="0099759E">
            <w:pPr>
              <w:spacing w:after="60"/>
              <w:rPr>
                <w:i/>
                <w:iCs/>
                <w:sz w:val="20"/>
              </w:rPr>
            </w:pPr>
            <w:r w:rsidRPr="0013396E">
              <w:rPr>
                <w:i/>
                <w:iCs/>
                <w:sz w:val="20"/>
              </w:rPr>
              <w:t>r</w:t>
            </w:r>
          </w:p>
        </w:tc>
        <w:tc>
          <w:tcPr>
            <w:tcW w:w="481" w:type="pct"/>
            <w:tcBorders>
              <w:top w:val="single" w:sz="4" w:space="0" w:color="auto"/>
              <w:left w:val="single" w:sz="4" w:space="0" w:color="auto"/>
              <w:bottom w:val="single" w:sz="4" w:space="0" w:color="auto"/>
              <w:right w:val="single" w:sz="4" w:space="0" w:color="auto"/>
            </w:tcBorders>
          </w:tcPr>
          <w:p w14:paraId="66DF0A85"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15A3849C" w14:textId="77777777" w:rsidR="00C236A2" w:rsidRPr="0013396E" w:rsidRDefault="00C236A2" w:rsidP="0099759E">
            <w:pPr>
              <w:spacing w:after="60"/>
              <w:rPr>
                <w:iCs/>
                <w:sz w:val="20"/>
              </w:rPr>
            </w:pPr>
            <w:r w:rsidRPr="0013396E">
              <w:rPr>
                <w:iCs/>
                <w:sz w:val="20"/>
              </w:rPr>
              <w:t>A Generation Resource or ESR.</w:t>
            </w:r>
          </w:p>
        </w:tc>
      </w:tr>
      <w:tr w:rsidR="00C236A2" w:rsidRPr="0013396E" w14:paraId="0BCCDE03"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037271B0" w14:textId="77777777" w:rsidR="00C236A2" w:rsidRPr="0013396E" w:rsidRDefault="00C236A2" w:rsidP="0099759E">
            <w:pPr>
              <w:spacing w:after="60"/>
              <w:rPr>
                <w:i/>
                <w:iCs/>
                <w:sz w:val="20"/>
              </w:rPr>
            </w:pPr>
            <w:r w:rsidRPr="0013396E">
              <w:rPr>
                <w:i/>
                <w:iCs/>
                <w:sz w:val="20"/>
              </w:rPr>
              <w:t>y</w:t>
            </w:r>
          </w:p>
        </w:tc>
        <w:tc>
          <w:tcPr>
            <w:tcW w:w="481" w:type="pct"/>
            <w:tcBorders>
              <w:top w:val="single" w:sz="4" w:space="0" w:color="auto"/>
              <w:left w:val="single" w:sz="4" w:space="0" w:color="auto"/>
              <w:bottom w:val="single" w:sz="4" w:space="0" w:color="auto"/>
              <w:right w:val="single" w:sz="4" w:space="0" w:color="auto"/>
            </w:tcBorders>
          </w:tcPr>
          <w:p w14:paraId="588025F5"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473D0A9C" w14:textId="77777777" w:rsidR="00C236A2" w:rsidRPr="0013396E" w:rsidRDefault="00C236A2" w:rsidP="0099759E">
            <w:pPr>
              <w:spacing w:after="60"/>
              <w:rPr>
                <w:iCs/>
                <w:sz w:val="20"/>
              </w:rPr>
            </w:pPr>
            <w:r w:rsidRPr="0013396E">
              <w:rPr>
                <w:iCs/>
                <w:sz w:val="20"/>
              </w:rPr>
              <w:t>An Emergency Base Point interval or SCED interval that overlaps the 15-minute Settlement Interval.</w:t>
            </w:r>
          </w:p>
        </w:tc>
      </w:tr>
      <w:tr w:rsidR="00C236A2" w:rsidRPr="0013396E" w14:paraId="4DBDDE07"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4D6DDCAD" w14:textId="77777777" w:rsidR="00C236A2" w:rsidRPr="0013396E" w:rsidRDefault="00C236A2" w:rsidP="0099759E">
            <w:pPr>
              <w:spacing w:after="60"/>
              <w:rPr>
                <w:iCs/>
                <w:sz w:val="20"/>
              </w:rPr>
            </w:pPr>
            <w:r w:rsidRPr="0013396E">
              <w:rPr>
                <w:iCs/>
                <w:sz w:val="20"/>
              </w:rPr>
              <w:t>3600</w:t>
            </w:r>
          </w:p>
        </w:tc>
        <w:tc>
          <w:tcPr>
            <w:tcW w:w="481" w:type="pct"/>
            <w:tcBorders>
              <w:top w:val="single" w:sz="4" w:space="0" w:color="auto"/>
              <w:left w:val="single" w:sz="4" w:space="0" w:color="auto"/>
              <w:bottom w:val="single" w:sz="4" w:space="0" w:color="auto"/>
              <w:right w:val="single" w:sz="4" w:space="0" w:color="auto"/>
            </w:tcBorders>
          </w:tcPr>
          <w:p w14:paraId="0AB7AC8C"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43632637" w14:textId="77777777" w:rsidR="00C236A2" w:rsidRPr="0013396E" w:rsidRDefault="00C236A2" w:rsidP="0099759E">
            <w:pPr>
              <w:spacing w:after="60"/>
              <w:rPr>
                <w:iCs/>
                <w:sz w:val="20"/>
              </w:rPr>
            </w:pPr>
            <w:r w:rsidRPr="0013396E">
              <w:rPr>
                <w:iCs/>
                <w:sz w:val="20"/>
              </w:rPr>
              <w:t>The number of seconds in one hour.</w:t>
            </w:r>
          </w:p>
        </w:tc>
      </w:tr>
    </w:tbl>
    <w:p w14:paraId="07FB886A" w14:textId="77777777" w:rsidR="00C236A2" w:rsidRPr="0013396E" w:rsidRDefault="00C236A2" w:rsidP="00C236A2">
      <w:pPr>
        <w:spacing w:before="240" w:after="240"/>
        <w:ind w:left="720" w:hanging="720"/>
        <w:rPr>
          <w:iCs/>
        </w:rPr>
      </w:pPr>
      <w:r w:rsidRPr="0013396E">
        <w:rPr>
          <w:iCs/>
        </w:rPr>
        <w:t>(2)</w:t>
      </w:r>
      <w:r w:rsidRPr="0013396E">
        <w:rPr>
          <w:iCs/>
        </w:rPr>
        <w:tab/>
        <w:t>ERCOT shall pay the QSE additional compensation for the Resource at its Resource Node Settlement Point during the Settlement Intervals that qualify for emergency Settlement as described in Section 6.6.9, Emergency Operations Settlement.  The payment for a given 15-minute Settlement Interval is calculated as follows:</w:t>
      </w:r>
    </w:p>
    <w:p w14:paraId="57AD0420" w14:textId="77777777" w:rsidR="00C236A2" w:rsidRPr="0013396E" w:rsidRDefault="00C236A2" w:rsidP="00C236A2">
      <w:pPr>
        <w:tabs>
          <w:tab w:val="left" w:pos="2880"/>
        </w:tabs>
        <w:spacing w:after="240"/>
        <w:ind w:left="720"/>
        <w:rPr>
          <w:b/>
        </w:rPr>
      </w:pPr>
      <w:r w:rsidRPr="0013396E">
        <w:rPr>
          <w:b/>
          <w:lang w:val="pt-BR"/>
        </w:rPr>
        <w:lastRenderedPageBreak/>
        <w:t xml:space="preserve">EMREAMT </w:t>
      </w:r>
      <w:r w:rsidRPr="0013396E">
        <w:rPr>
          <w:b/>
          <w:bCs/>
          <w:i/>
          <w:iCs/>
          <w:sz w:val="16"/>
          <w:szCs w:val="16"/>
        </w:rPr>
        <w:t xml:space="preserve">q, r, p </w:t>
      </w:r>
      <w:r w:rsidRPr="0013396E">
        <w:rPr>
          <w:b/>
          <w:bCs/>
          <w:i/>
          <w:iCs/>
          <w:sz w:val="16"/>
          <w:szCs w:val="16"/>
        </w:rPr>
        <w:tab/>
      </w:r>
      <w:r w:rsidRPr="0013396E">
        <w:rPr>
          <w:b/>
        </w:rPr>
        <w:t xml:space="preserve"> = </w:t>
      </w:r>
      <w:r w:rsidRPr="0013396E">
        <w:rPr>
          <w:b/>
        </w:rPr>
        <w:tab/>
        <w:t xml:space="preserve">Min (0, </w:t>
      </w:r>
      <w:r w:rsidRPr="0013396E">
        <w:rPr>
          <w:b/>
          <w:lang w:val="pt-BR"/>
        </w:rPr>
        <w:t xml:space="preserve">RTENET </w:t>
      </w:r>
      <w:r w:rsidRPr="0013396E">
        <w:rPr>
          <w:b/>
          <w:i/>
          <w:vertAlign w:val="subscript"/>
          <w:lang w:val="pt-BR"/>
        </w:rPr>
        <w:t>q, r, p</w:t>
      </w:r>
      <w:r w:rsidRPr="0013396E">
        <w:rPr>
          <w:b/>
        </w:rPr>
        <w:t xml:space="preserve"> + RTASNET </w:t>
      </w:r>
      <w:r w:rsidRPr="0013396E">
        <w:rPr>
          <w:b/>
          <w:bCs/>
          <w:i/>
          <w:iCs/>
          <w:sz w:val="16"/>
          <w:szCs w:val="16"/>
        </w:rPr>
        <w:t>q, r</w:t>
      </w:r>
      <w:r w:rsidRPr="0013396E">
        <w:rPr>
          <w:b/>
        </w:rPr>
        <w:t>)</w:t>
      </w:r>
    </w:p>
    <w:p w14:paraId="2384339E" w14:textId="77777777" w:rsidR="00C236A2" w:rsidRPr="0013396E" w:rsidRDefault="00C236A2" w:rsidP="00C236A2">
      <w:pPr>
        <w:spacing w:after="240"/>
        <w:ind w:left="1440" w:hanging="720"/>
      </w:pPr>
      <w:r w:rsidRPr="0013396E">
        <w:t>(a)</w:t>
      </w:r>
      <w:r w:rsidRPr="0013396E">
        <w:tab/>
        <w:t>Where the Real-Time Energy Net Revenue is calculated as follows:</w:t>
      </w:r>
    </w:p>
    <w:p w14:paraId="21BCEEC5" w14:textId="77777777" w:rsidR="00C236A2" w:rsidRPr="0013396E" w:rsidRDefault="00C236A2" w:rsidP="00C236A2">
      <w:pPr>
        <w:spacing w:after="240"/>
        <w:ind w:left="2340" w:hanging="1620"/>
        <w:rPr>
          <w:i/>
          <w:vertAlign w:val="subscript"/>
          <w:lang w:val="pt-BR"/>
        </w:rPr>
      </w:pPr>
      <w:r w:rsidRPr="0013396E">
        <w:rPr>
          <w:lang w:val="pt-BR"/>
        </w:rPr>
        <w:t xml:space="preserve">RTENET </w:t>
      </w:r>
      <w:r w:rsidRPr="0013396E">
        <w:rPr>
          <w:bCs/>
          <w:i/>
          <w:iCs/>
          <w:sz w:val="16"/>
          <w:szCs w:val="16"/>
          <w:lang w:val="pt-BR"/>
        </w:rPr>
        <w:t>q, r, p</w:t>
      </w:r>
      <w:r w:rsidRPr="0013396E">
        <w:rPr>
          <w:bCs/>
          <w:i/>
          <w:iCs/>
          <w:sz w:val="16"/>
          <w:szCs w:val="16"/>
          <w:lang w:val="pt-BR"/>
        </w:rPr>
        <w:tab/>
      </w:r>
      <w:r w:rsidRPr="0013396E">
        <w:rPr>
          <w:bCs/>
          <w:i/>
          <w:iCs/>
          <w:sz w:val="16"/>
          <w:szCs w:val="16"/>
          <w:lang w:val="pt-BR"/>
        </w:rPr>
        <w:tab/>
      </w:r>
      <w:r w:rsidRPr="0013396E">
        <w:rPr>
          <w:lang w:val="pt-BR"/>
        </w:rPr>
        <w:t xml:space="preserve">= </w:t>
      </w:r>
      <w:r w:rsidRPr="0013396E">
        <w:rPr>
          <w:lang w:val="pt-BR"/>
        </w:rPr>
        <w:tab/>
        <w:t>RTEREV</w:t>
      </w:r>
      <w:r w:rsidRPr="0013396E">
        <w:rPr>
          <w:i/>
          <w:vertAlign w:val="subscript"/>
          <w:lang w:val="pt-BR"/>
        </w:rPr>
        <w:t xml:space="preserve">q, r, p </w:t>
      </w:r>
      <w:r w:rsidRPr="0013396E">
        <w:rPr>
          <w:lang w:val="pt-BR"/>
        </w:rPr>
        <w:t>- RTEREVT</w:t>
      </w:r>
      <w:r w:rsidRPr="0013396E">
        <w:rPr>
          <w:i/>
          <w:vertAlign w:val="subscript"/>
          <w:lang w:val="pt-BR"/>
        </w:rPr>
        <w:t xml:space="preserve">q, r, p </w:t>
      </w:r>
    </w:p>
    <w:p w14:paraId="6820C226" w14:textId="77777777" w:rsidR="00C236A2" w:rsidRPr="0013396E" w:rsidRDefault="00C236A2" w:rsidP="00C236A2">
      <w:pPr>
        <w:spacing w:after="240"/>
        <w:ind w:left="2340" w:hanging="1620"/>
        <w:rPr>
          <w:i/>
          <w:vertAlign w:val="subscript"/>
          <w:lang w:val="pt-BR"/>
        </w:rPr>
      </w:pPr>
      <w:r w:rsidRPr="0013396E">
        <w:rPr>
          <w:lang w:val="pt-BR"/>
        </w:rPr>
        <w:t>Where:</w:t>
      </w:r>
    </w:p>
    <w:p w14:paraId="4BC509B0"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RTEREV</w:t>
      </w:r>
      <w:r w:rsidRPr="0013396E">
        <w:rPr>
          <w:bCs/>
          <w:i/>
          <w:vertAlign w:val="subscript"/>
          <w:lang w:val="pt-BR"/>
        </w:rPr>
        <w:t>q, r, p</w:t>
      </w:r>
      <w:r w:rsidRPr="0013396E">
        <w:rPr>
          <w:bCs/>
          <w:lang w:val="pt-BR"/>
        </w:rPr>
        <w:tab/>
      </w:r>
      <w:r w:rsidRPr="0013396E">
        <w:rPr>
          <w:bCs/>
          <w:lang w:val="pt-BR"/>
        </w:rPr>
        <w:tab/>
        <w:t>=</w:t>
      </w:r>
      <w:r w:rsidRPr="0013396E">
        <w:rPr>
          <w:bCs/>
          <w:lang w:val="pt-BR"/>
        </w:rPr>
        <w:tab/>
        <w:t xml:space="preserve">RTSPP </w:t>
      </w:r>
      <w:r w:rsidRPr="0013396E">
        <w:rPr>
          <w:bCs/>
          <w:i/>
          <w:vertAlign w:val="subscript"/>
          <w:lang w:val="pt-BR"/>
        </w:rPr>
        <w:t>p</w:t>
      </w:r>
      <w:r w:rsidRPr="0013396E">
        <w:rPr>
          <w:bCs/>
          <w:lang w:val="pt-BR"/>
        </w:rPr>
        <w:t xml:space="preserve"> * (EMREGEN </w:t>
      </w:r>
      <w:r w:rsidRPr="0013396E">
        <w:rPr>
          <w:bCs/>
          <w:i/>
          <w:vertAlign w:val="subscript"/>
          <w:lang w:val="pt-BR"/>
        </w:rPr>
        <w:t xml:space="preserve">q, r, p </w:t>
      </w:r>
      <w:r w:rsidRPr="0013396E">
        <w:rPr>
          <w:rFonts w:eastAsiaTheme="minorHAnsi"/>
          <w:lang w:val="pt-BR"/>
        </w:rPr>
        <w:t xml:space="preserve">+ EMRELOAD </w:t>
      </w:r>
      <w:r w:rsidRPr="0013396E">
        <w:rPr>
          <w:rFonts w:eastAsiaTheme="minorHAnsi"/>
          <w:i/>
          <w:vertAlign w:val="subscript"/>
          <w:lang w:val="pt-BR"/>
        </w:rPr>
        <w:t>q, r, p</w:t>
      </w:r>
      <w:r w:rsidRPr="0013396E">
        <w:rPr>
          <w:rFonts w:eastAsiaTheme="minorHAnsi"/>
          <w:lang w:val="pt-BR"/>
        </w:rPr>
        <w:t>)</w:t>
      </w:r>
    </w:p>
    <w:p w14:paraId="611195A1" w14:textId="77777777" w:rsidR="00C236A2" w:rsidRPr="0013396E" w:rsidRDefault="00C236A2" w:rsidP="00C236A2">
      <w:pPr>
        <w:tabs>
          <w:tab w:val="left" w:pos="2340"/>
          <w:tab w:val="left" w:pos="2880"/>
        </w:tabs>
        <w:spacing w:after="240"/>
        <w:ind w:left="987" w:hanging="269"/>
        <w:rPr>
          <w:rFonts w:eastAsiaTheme="minorHAnsi"/>
          <w:lang w:val="pt-BR"/>
        </w:rPr>
      </w:pPr>
      <w:r w:rsidRPr="0013396E">
        <w:rPr>
          <w:bCs/>
          <w:lang w:val="pt-BR"/>
        </w:rPr>
        <w:t>RTEREVT</w:t>
      </w:r>
      <w:r w:rsidRPr="0013396E">
        <w:rPr>
          <w:bCs/>
          <w:i/>
          <w:vertAlign w:val="subscript"/>
          <w:lang w:val="pt-BR"/>
        </w:rPr>
        <w:t>q, r, p</w:t>
      </w:r>
      <w:r w:rsidRPr="0013396E">
        <w:rPr>
          <w:bCs/>
          <w:lang w:val="pt-BR"/>
        </w:rPr>
        <w:tab/>
      </w:r>
      <w:r w:rsidRPr="0013396E">
        <w:rPr>
          <w:bCs/>
          <w:lang w:val="pt-BR"/>
        </w:rPr>
        <w:tab/>
        <w:t>=</w:t>
      </w:r>
      <w:r w:rsidRPr="0013396E">
        <w:rPr>
          <w:bCs/>
          <w:lang w:val="pt-BR"/>
        </w:rPr>
        <w:tab/>
        <w:t xml:space="preserve">EBPWAPRGEN </w:t>
      </w:r>
      <w:r w:rsidRPr="0013396E">
        <w:rPr>
          <w:bCs/>
          <w:i/>
          <w:vertAlign w:val="subscript"/>
          <w:lang w:val="pt-BR"/>
        </w:rPr>
        <w:t>q, r, p</w:t>
      </w:r>
      <w:r w:rsidRPr="0013396E">
        <w:rPr>
          <w:bCs/>
          <w:lang w:val="pt-BR"/>
        </w:rPr>
        <w:t xml:space="preserve"> * EMREGEN </w:t>
      </w:r>
      <w:r w:rsidRPr="0013396E">
        <w:rPr>
          <w:bCs/>
          <w:i/>
          <w:vertAlign w:val="subscript"/>
          <w:lang w:val="pt-BR"/>
        </w:rPr>
        <w:t>q, r, p</w:t>
      </w:r>
      <w:r w:rsidRPr="0013396E">
        <w:rPr>
          <w:rFonts w:eastAsiaTheme="minorHAnsi"/>
          <w:lang w:val="pt-BR"/>
        </w:rPr>
        <w:t xml:space="preserve"> + </w:t>
      </w:r>
    </w:p>
    <w:p w14:paraId="7AA62284"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ab/>
      </w:r>
      <w:r w:rsidRPr="0013396E">
        <w:rPr>
          <w:bCs/>
          <w:lang w:val="pt-BR"/>
        </w:rPr>
        <w:tab/>
      </w:r>
      <w:r w:rsidRPr="0013396E">
        <w:rPr>
          <w:bCs/>
          <w:lang w:val="pt-BR"/>
        </w:rPr>
        <w:tab/>
      </w:r>
      <w:r w:rsidRPr="0013396E">
        <w:rPr>
          <w:bCs/>
          <w:lang w:val="pt-BR"/>
        </w:rPr>
        <w:tab/>
      </w:r>
      <w:r w:rsidRPr="0013396E">
        <w:rPr>
          <w:rFonts w:eastAsiaTheme="minorHAnsi"/>
          <w:lang w:val="pt-BR"/>
        </w:rPr>
        <w:t xml:space="preserve">EBPWAPRLOAD </w:t>
      </w:r>
      <w:r w:rsidRPr="0013396E">
        <w:rPr>
          <w:rFonts w:eastAsiaTheme="minorHAnsi"/>
          <w:i/>
          <w:vertAlign w:val="subscript"/>
          <w:lang w:val="pt-BR"/>
        </w:rPr>
        <w:t>q, r, p</w:t>
      </w:r>
      <w:r w:rsidRPr="0013396E">
        <w:rPr>
          <w:rFonts w:eastAsiaTheme="minorHAnsi"/>
          <w:lang w:val="pt-BR"/>
        </w:rPr>
        <w:t xml:space="preserve"> * EMRELOAD </w:t>
      </w:r>
      <w:r w:rsidRPr="0013396E">
        <w:rPr>
          <w:rFonts w:eastAsiaTheme="minorHAnsi"/>
          <w:i/>
          <w:vertAlign w:val="subscript"/>
          <w:lang w:val="pt-BR"/>
        </w:rPr>
        <w:t>q, r, p</w:t>
      </w:r>
      <w:r w:rsidRPr="0013396E">
        <w:rPr>
          <w:rFonts w:asciiTheme="minorHAnsi" w:eastAsiaTheme="minorHAnsi" w:hAnsiTheme="minorHAnsi" w:cstheme="minorBidi"/>
          <w:i/>
          <w:sz w:val="22"/>
          <w:szCs w:val="22"/>
          <w:vertAlign w:val="subscript"/>
          <w:lang w:val="pt-BR"/>
        </w:rPr>
        <w:t xml:space="preserve">  </w:t>
      </w:r>
    </w:p>
    <w:p w14:paraId="52872AC5"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If any EBP &gt; 0 then:</w:t>
      </w:r>
    </w:p>
    <w:p w14:paraId="2680BB7B"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 xml:space="preserve">EBPWAPRGEN </w:t>
      </w:r>
      <w:r w:rsidRPr="0013396E">
        <w:rPr>
          <w:bCs/>
          <w:i/>
          <w:vertAlign w:val="subscript"/>
          <w:lang w:val="pt-BR"/>
        </w:rPr>
        <w:t>q, r, p</w:t>
      </w:r>
      <w:r w:rsidRPr="0013396E">
        <w:rPr>
          <w:bCs/>
          <w:lang w:val="pt-BR"/>
        </w:rPr>
        <w:tab/>
      </w:r>
      <w:r w:rsidRPr="0013396E">
        <w:rPr>
          <w:bCs/>
          <w:lang w:val="pt-BR"/>
        </w:rPr>
        <w:tab/>
        <w:t xml:space="preserve">=  </w:t>
      </w:r>
      <w:r w:rsidRPr="0013396E">
        <w:rPr>
          <w:bCs/>
          <w:lang w:val="pt-BR"/>
        </w:rPr>
        <w:tab/>
      </w:r>
      <w:r w:rsidRPr="0013396E">
        <w:rPr>
          <w:bCs/>
          <w:position w:val="-22"/>
        </w:rPr>
        <w:object w:dxaOrig="225" w:dyaOrig="450" w14:anchorId="64786951">
          <v:shape id="_x0000_i1206" type="#_x0000_t75" style="width:12pt;height:24pt" o:ole="">
            <v:imagedata r:id="rId255" o:title=""/>
          </v:shape>
          <o:OLEObject Type="Embed" ProgID="Equation.3" ShapeID="_x0000_i1206" DrawAspect="Content" ObjectID="_1849065836" r:id="rId263"/>
        </w:object>
      </w:r>
      <w:r w:rsidRPr="0013396E">
        <w:rPr>
          <w:bCs/>
          <w:lang w:val="pt-BR"/>
        </w:rPr>
        <w:t xml:space="preserve">(EBPPR </w:t>
      </w:r>
      <w:r w:rsidRPr="0013396E">
        <w:rPr>
          <w:bCs/>
          <w:i/>
          <w:vertAlign w:val="subscript"/>
          <w:lang w:val="pt-BR"/>
        </w:rPr>
        <w:t>q, r, p, y</w:t>
      </w:r>
      <w:r w:rsidRPr="0013396E">
        <w:rPr>
          <w:bCs/>
          <w:lang w:val="pt-BR"/>
        </w:rPr>
        <w:t xml:space="preserve"> * Max (0.001, EBP </w:t>
      </w:r>
      <w:r w:rsidRPr="0013396E">
        <w:rPr>
          <w:bCs/>
          <w:i/>
          <w:vertAlign w:val="subscript"/>
          <w:lang w:val="pt-BR"/>
        </w:rPr>
        <w:t>q, r, p, y</w:t>
      </w:r>
      <w:r w:rsidRPr="0013396E">
        <w:rPr>
          <w:bCs/>
          <w:lang w:val="es-MX"/>
        </w:rPr>
        <w:t xml:space="preserve">) </w:t>
      </w:r>
      <w:r w:rsidRPr="0013396E">
        <w:rPr>
          <w:bCs/>
          <w:lang w:val="pt-BR"/>
        </w:rPr>
        <w:t xml:space="preserve">* TLMP </w:t>
      </w:r>
      <w:r w:rsidRPr="0013396E">
        <w:rPr>
          <w:bCs/>
          <w:i/>
          <w:vertAlign w:val="subscript"/>
          <w:lang w:val="pt-BR"/>
        </w:rPr>
        <w:t>y</w:t>
      </w:r>
      <w:r w:rsidRPr="0013396E">
        <w:rPr>
          <w:bCs/>
          <w:lang w:val="pt-BR"/>
        </w:rPr>
        <w:t xml:space="preserve">) </w:t>
      </w:r>
      <w:r w:rsidRPr="0013396E">
        <w:rPr>
          <w:b/>
          <w:bCs/>
          <w:sz w:val="32"/>
          <w:szCs w:val="32"/>
          <w:lang w:val="pt-BR"/>
        </w:rPr>
        <w:t>/</w:t>
      </w:r>
    </w:p>
    <w:p w14:paraId="33A53773" w14:textId="77777777" w:rsidR="00C236A2" w:rsidRPr="0013396E" w:rsidRDefault="00C236A2" w:rsidP="00C236A2">
      <w:pPr>
        <w:tabs>
          <w:tab w:val="left" w:pos="2340"/>
          <w:tab w:val="left" w:pos="2880"/>
        </w:tabs>
        <w:spacing w:after="240"/>
        <w:ind w:left="987" w:hanging="269"/>
        <w:rPr>
          <w:bCs/>
          <w:lang w:val="es-MX"/>
        </w:rPr>
      </w:pPr>
      <w:r w:rsidRPr="0013396E">
        <w:rPr>
          <w:bCs/>
        </w:rPr>
        <w:tab/>
      </w:r>
      <w:r w:rsidRPr="0013396E">
        <w:rPr>
          <w:bCs/>
        </w:rPr>
        <w:tab/>
      </w:r>
      <w:r w:rsidRPr="0013396E">
        <w:rPr>
          <w:bCs/>
        </w:rPr>
        <w:tab/>
      </w:r>
      <w:r w:rsidRPr="0013396E">
        <w:rPr>
          <w:bCs/>
        </w:rPr>
        <w:tab/>
      </w:r>
      <w:r w:rsidRPr="0013396E">
        <w:rPr>
          <w:bCs/>
          <w:position w:val="-22"/>
        </w:rPr>
        <w:object w:dxaOrig="225" w:dyaOrig="450" w14:anchorId="7A6D2BC7">
          <v:shape id="_x0000_i1207" type="#_x0000_t75" style="width:12pt;height:24pt" o:ole="">
            <v:imagedata r:id="rId257" o:title=""/>
          </v:shape>
          <o:OLEObject Type="Embed" ProgID="Equation.3" ShapeID="_x0000_i1207" DrawAspect="Content" ObjectID="_1849065837" r:id="rId264"/>
        </w:object>
      </w:r>
      <w:r w:rsidRPr="0013396E">
        <w:rPr>
          <w:bCs/>
          <w:lang w:val="es-MX"/>
        </w:rPr>
        <w:t>(</w:t>
      </w:r>
      <w:r w:rsidRPr="0013396E">
        <w:rPr>
          <w:bCs/>
          <w:lang w:val="pt-BR"/>
        </w:rPr>
        <w:t xml:space="preserve">Max (0.001, </w:t>
      </w:r>
      <w:r w:rsidRPr="0013396E">
        <w:rPr>
          <w:bCs/>
          <w:lang w:val="es-MX"/>
        </w:rPr>
        <w:t xml:space="preserve">EBP </w:t>
      </w:r>
      <w:r w:rsidRPr="0013396E">
        <w:rPr>
          <w:bCs/>
          <w:i/>
          <w:vertAlign w:val="subscript"/>
          <w:lang w:val="es-MX"/>
        </w:rPr>
        <w:t>q, r, p,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644D017B"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EMREGEN</w:t>
      </w:r>
      <w:r w:rsidRPr="0013396E">
        <w:rPr>
          <w:bCs/>
          <w:lang w:val="es-MX"/>
        </w:rPr>
        <w:t xml:space="preserve"> </w:t>
      </w:r>
      <w:r w:rsidRPr="0013396E">
        <w:rPr>
          <w:bCs/>
          <w:i/>
          <w:vertAlign w:val="subscript"/>
          <w:lang w:val="es-MX"/>
        </w:rPr>
        <w:t>q, r, p</w:t>
      </w:r>
      <w:r w:rsidRPr="0013396E">
        <w:rPr>
          <w:bCs/>
          <w:lang w:val="es-MX"/>
        </w:rPr>
        <w:tab/>
      </w:r>
      <w:r w:rsidRPr="0013396E">
        <w:rPr>
          <w:bCs/>
          <w:lang w:val="es-MX"/>
        </w:rPr>
        <w:tab/>
        <w:t xml:space="preserve">=  </w:t>
      </w:r>
      <w:r w:rsidRPr="0013396E">
        <w:rPr>
          <w:bCs/>
          <w:lang w:val="es-MX"/>
        </w:rPr>
        <w:tab/>
        <w:t>Max (0, Min (</w:t>
      </w:r>
      <w:r w:rsidRPr="0013396E">
        <w:rPr>
          <w:bCs/>
          <w:lang w:val="pt-BR"/>
        </w:rPr>
        <w:t>AEBPGEN</w:t>
      </w:r>
      <w:r w:rsidRPr="0013396E">
        <w:rPr>
          <w:bCs/>
          <w:vertAlign w:val="subscript"/>
          <w:lang w:val="pt-BR"/>
        </w:rPr>
        <w:t xml:space="preserve"> </w:t>
      </w:r>
      <w:r w:rsidRPr="0013396E">
        <w:rPr>
          <w:bCs/>
          <w:i/>
          <w:vertAlign w:val="subscript"/>
          <w:lang w:val="pt-BR"/>
        </w:rPr>
        <w:t>q, r, p</w:t>
      </w:r>
      <w:r w:rsidRPr="0013396E">
        <w:rPr>
          <w:bCs/>
          <w:lang w:val="pt-BR"/>
        </w:rPr>
        <w:t>,</w:t>
      </w:r>
      <w:r w:rsidRPr="0013396E">
        <w:rPr>
          <w:bCs/>
          <w:lang w:val="es-MX"/>
        </w:rPr>
        <w:t xml:space="preserve"> RTMG </w:t>
      </w:r>
      <w:r w:rsidRPr="0013396E">
        <w:rPr>
          <w:bCs/>
          <w:i/>
          <w:vertAlign w:val="subscript"/>
          <w:lang w:val="es-MX"/>
        </w:rPr>
        <w:t>q, r, p</w:t>
      </w:r>
      <w:r w:rsidRPr="0013396E">
        <w:rPr>
          <w:bCs/>
          <w:lang w:val="es-MX"/>
        </w:rPr>
        <w:t>))</w:t>
      </w:r>
    </w:p>
    <w:p w14:paraId="793EA931"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AEBPGEN</w:t>
      </w:r>
      <w:r w:rsidRPr="0013396E">
        <w:rPr>
          <w:bCs/>
          <w:vertAlign w:val="subscript"/>
          <w:lang w:val="pt-BR"/>
        </w:rPr>
        <w:t xml:space="preserve"> </w:t>
      </w:r>
      <w:r w:rsidRPr="0013396E">
        <w:rPr>
          <w:bCs/>
          <w:i/>
          <w:vertAlign w:val="subscript"/>
          <w:lang w:val="pt-BR"/>
        </w:rPr>
        <w:t>q, r, p</w:t>
      </w:r>
      <w:r w:rsidRPr="0013396E">
        <w:rPr>
          <w:bCs/>
          <w:lang w:val="pt-BR"/>
        </w:rPr>
        <w:tab/>
      </w:r>
      <w:r w:rsidRPr="0013396E">
        <w:rPr>
          <w:bCs/>
          <w:lang w:val="pt-BR"/>
        </w:rPr>
        <w:tab/>
        <w:t xml:space="preserve">= </w:t>
      </w:r>
      <w:r w:rsidRPr="0013396E">
        <w:rPr>
          <w:bCs/>
          <w:lang w:val="pt-BR"/>
        </w:rPr>
        <w:tab/>
        <w:t xml:space="preserve"> </w:t>
      </w:r>
      <w:r w:rsidRPr="0013396E">
        <w:rPr>
          <w:bCs/>
          <w:position w:val="-22"/>
        </w:rPr>
        <w:object w:dxaOrig="225" w:dyaOrig="450" w14:anchorId="49356BF3">
          <v:shape id="_x0000_i1208" type="#_x0000_t75" style="width:12pt;height:24pt" o:ole="">
            <v:imagedata r:id="rId257" o:title=""/>
          </v:shape>
          <o:OLEObject Type="Embed" ProgID="Equation.3" ShapeID="_x0000_i1208" DrawAspect="Content" ObjectID="_1849065838" r:id="rId265"/>
        </w:object>
      </w:r>
      <w:r w:rsidRPr="0013396E">
        <w:rPr>
          <w:bCs/>
          <w:lang w:val="pt-BR"/>
        </w:rPr>
        <w:t xml:space="preserve"> (Max (0, EBP </w:t>
      </w:r>
      <w:r w:rsidRPr="0013396E">
        <w:rPr>
          <w:bCs/>
          <w:i/>
          <w:vertAlign w:val="subscript"/>
          <w:lang w:val="pt-BR"/>
        </w:rPr>
        <w:t>q, r, p, y</w:t>
      </w:r>
      <w:r w:rsidRPr="0013396E">
        <w:rPr>
          <w:bCs/>
          <w:lang w:val="pt-BR"/>
        </w:rPr>
        <w:t>) * TLMP</w:t>
      </w:r>
      <w:r w:rsidRPr="0013396E">
        <w:rPr>
          <w:bCs/>
          <w:i/>
          <w:vertAlign w:val="subscript"/>
          <w:lang w:val="pt-BR"/>
        </w:rPr>
        <w:t>y</w:t>
      </w:r>
      <w:r w:rsidRPr="0013396E">
        <w:rPr>
          <w:bCs/>
          <w:lang w:val="pt-BR"/>
        </w:rPr>
        <w:t xml:space="preserve"> / 3600)</w:t>
      </w:r>
    </w:p>
    <w:p w14:paraId="73EDB103"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If any EBP &lt; 0 then:</w:t>
      </w:r>
    </w:p>
    <w:p w14:paraId="00ACB5CE" w14:textId="77777777" w:rsidR="00C236A2" w:rsidRPr="0013396E" w:rsidRDefault="00C236A2" w:rsidP="00C236A2">
      <w:pPr>
        <w:tabs>
          <w:tab w:val="left" w:pos="2340"/>
          <w:tab w:val="left" w:pos="2880"/>
        </w:tabs>
        <w:spacing w:after="240"/>
        <w:ind w:left="987" w:hanging="269"/>
        <w:rPr>
          <w:b/>
          <w:bCs/>
          <w:sz w:val="32"/>
          <w:szCs w:val="32"/>
          <w:lang w:val="pt-BR"/>
        </w:rPr>
      </w:pPr>
      <w:r w:rsidRPr="0013396E">
        <w:rPr>
          <w:bCs/>
          <w:lang w:val="pt-BR"/>
        </w:rPr>
        <w:t xml:space="preserve">EBPWAPRLOAD </w:t>
      </w:r>
      <w:r w:rsidRPr="0013396E">
        <w:rPr>
          <w:bCs/>
          <w:i/>
          <w:vertAlign w:val="subscript"/>
          <w:lang w:val="pt-BR"/>
        </w:rPr>
        <w:t>q, r, p</w:t>
      </w:r>
      <w:r w:rsidRPr="0013396E">
        <w:rPr>
          <w:bCs/>
          <w:lang w:val="pt-BR"/>
        </w:rPr>
        <w:tab/>
        <w:t>=</w:t>
      </w:r>
      <w:r w:rsidRPr="0013396E">
        <w:rPr>
          <w:bCs/>
          <w:lang w:val="pt-BR"/>
        </w:rPr>
        <w:tab/>
      </w:r>
      <w:r w:rsidRPr="0013396E">
        <w:rPr>
          <w:bCs/>
          <w:position w:val="-22"/>
        </w:rPr>
        <w:object w:dxaOrig="225" w:dyaOrig="450" w14:anchorId="217B3075">
          <v:shape id="_x0000_i1209" type="#_x0000_t75" style="width:12pt;height:24pt" o:ole="">
            <v:imagedata r:id="rId255" o:title=""/>
          </v:shape>
          <o:OLEObject Type="Embed" ProgID="Equation.3" ShapeID="_x0000_i1209" DrawAspect="Content" ObjectID="_1849065839" r:id="rId266"/>
        </w:object>
      </w:r>
      <w:r w:rsidRPr="0013396E">
        <w:rPr>
          <w:bCs/>
          <w:lang w:val="pt-BR"/>
        </w:rPr>
        <w:t xml:space="preserve">(EBPPR </w:t>
      </w:r>
      <w:r w:rsidRPr="0013396E">
        <w:rPr>
          <w:bCs/>
          <w:i/>
          <w:vertAlign w:val="subscript"/>
          <w:lang w:val="pt-BR"/>
        </w:rPr>
        <w:t>q, r, p, y</w:t>
      </w:r>
      <w:r w:rsidRPr="0013396E">
        <w:rPr>
          <w:bCs/>
          <w:lang w:val="pt-BR"/>
        </w:rPr>
        <w:t xml:space="preserve"> * Min (-0.001, EBP </w:t>
      </w:r>
      <w:r w:rsidRPr="0013396E">
        <w:rPr>
          <w:bCs/>
          <w:i/>
          <w:vertAlign w:val="subscript"/>
          <w:lang w:val="pt-BR"/>
        </w:rPr>
        <w:t>q, r, p, y</w:t>
      </w:r>
      <w:r w:rsidRPr="0013396E">
        <w:rPr>
          <w:bCs/>
          <w:lang w:val="pt-BR"/>
        </w:rPr>
        <w:t xml:space="preserve">) * TLMP </w:t>
      </w:r>
      <w:r w:rsidRPr="0013396E">
        <w:rPr>
          <w:bCs/>
          <w:i/>
          <w:vertAlign w:val="subscript"/>
          <w:lang w:val="pt-BR"/>
        </w:rPr>
        <w:t>y</w:t>
      </w:r>
      <w:r w:rsidRPr="0013396E">
        <w:rPr>
          <w:bCs/>
          <w:lang w:val="pt-BR"/>
        </w:rPr>
        <w:t xml:space="preserve">) </w:t>
      </w:r>
      <w:r w:rsidRPr="0013396E">
        <w:rPr>
          <w:b/>
          <w:bCs/>
          <w:sz w:val="32"/>
          <w:szCs w:val="32"/>
          <w:lang w:val="pt-BR"/>
        </w:rPr>
        <w:t>/</w:t>
      </w:r>
    </w:p>
    <w:p w14:paraId="7CC76118"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ab/>
      </w:r>
      <w:r w:rsidRPr="0013396E">
        <w:rPr>
          <w:bCs/>
          <w:lang w:val="pt-BR"/>
        </w:rPr>
        <w:tab/>
      </w:r>
      <w:r w:rsidRPr="0013396E">
        <w:rPr>
          <w:bCs/>
          <w:lang w:val="pt-BR"/>
        </w:rPr>
        <w:tab/>
      </w:r>
      <w:r w:rsidRPr="0013396E">
        <w:rPr>
          <w:bCs/>
          <w:lang w:val="pt-BR"/>
        </w:rPr>
        <w:tab/>
      </w:r>
      <w:r w:rsidRPr="0013396E">
        <w:rPr>
          <w:bCs/>
          <w:lang w:val="pt-BR"/>
        </w:rPr>
        <w:tab/>
      </w:r>
      <w:r w:rsidRPr="0013396E">
        <w:rPr>
          <w:bCs/>
          <w:position w:val="-22"/>
        </w:rPr>
        <w:object w:dxaOrig="225" w:dyaOrig="450" w14:anchorId="0DFEB08E">
          <v:shape id="_x0000_i1210" type="#_x0000_t75" style="width:12pt;height:24pt" o:ole="">
            <v:imagedata r:id="rId257" o:title=""/>
          </v:shape>
          <o:OLEObject Type="Embed" ProgID="Equation.3" ShapeID="_x0000_i1210" DrawAspect="Content" ObjectID="_1849065840" r:id="rId267"/>
        </w:object>
      </w:r>
      <w:r w:rsidRPr="0013396E">
        <w:rPr>
          <w:bCs/>
          <w:lang w:val="es-MX"/>
        </w:rPr>
        <w:t>(</w:t>
      </w:r>
      <w:r w:rsidRPr="0013396E">
        <w:rPr>
          <w:bCs/>
          <w:lang w:val="pt-BR"/>
        </w:rPr>
        <w:t xml:space="preserve">Min (-0.001, </w:t>
      </w:r>
      <w:r w:rsidRPr="0013396E">
        <w:rPr>
          <w:bCs/>
          <w:lang w:val="es-MX"/>
        </w:rPr>
        <w:t xml:space="preserve">EBP </w:t>
      </w:r>
      <w:r w:rsidRPr="0013396E">
        <w:rPr>
          <w:bCs/>
          <w:i/>
          <w:vertAlign w:val="subscript"/>
          <w:lang w:val="es-MX"/>
        </w:rPr>
        <w:t>q, r, p,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07E4DDF1"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EMRELOAD</w:t>
      </w:r>
      <w:r w:rsidRPr="0013396E">
        <w:rPr>
          <w:bCs/>
          <w:lang w:val="es-MX"/>
        </w:rPr>
        <w:t xml:space="preserve"> </w:t>
      </w:r>
      <w:r w:rsidRPr="0013396E">
        <w:rPr>
          <w:bCs/>
          <w:i/>
          <w:vertAlign w:val="subscript"/>
          <w:lang w:val="es-MX"/>
        </w:rPr>
        <w:t>q, r, p</w:t>
      </w:r>
      <w:r w:rsidRPr="0013396E">
        <w:rPr>
          <w:bCs/>
          <w:lang w:val="es-MX"/>
        </w:rPr>
        <w:tab/>
        <w:t>=</w:t>
      </w:r>
      <w:r w:rsidRPr="0013396E">
        <w:rPr>
          <w:bCs/>
          <w:lang w:val="es-MX"/>
        </w:rPr>
        <w:tab/>
        <w:t>Min (0, Max (</w:t>
      </w:r>
      <w:r w:rsidRPr="0013396E">
        <w:rPr>
          <w:bCs/>
          <w:lang w:val="pt-BR"/>
        </w:rPr>
        <w:t>AEBPLOAD</w:t>
      </w:r>
      <w:r w:rsidRPr="0013396E">
        <w:rPr>
          <w:bCs/>
          <w:vertAlign w:val="subscript"/>
          <w:lang w:val="pt-BR"/>
        </w:rPr>
        <w:t xml:space="preserve"> </w:t>
      </w:r>
      <w:r w:rsidRPr="0013396E">
        <w:rPr>
          <w:bCs/>
          <w:i/>
          <w:vertAlign w:val="subscript"/>
          <w:lang w:val="pt-BR"/>
        </w:rPr>
        <w:t>q, r, p</w:t>
      </w:r>
      <w:r w:rsidRPr="0013396E">
        <w:rPr>
          <w:bCs/>
          <w:lang w:val="pt-BR"/>
        </w:rPr>
        <w:t>,</w:t>
      </w:r>
      <w:r w:rsidRPr="0013396E">
        <w:rPr>
          <w:bCs/>
          <w:lang w:val="es-MX"/>
        </w:rPr>
        <w:t xml:space="preserve"> RTCL </w:t>
      </w:r>
      <w:r w:rsidRPr="0013396E">
        <w:rPr>
          <w:bCs/>
          <w:i/>
          <w:vertAlign w:val="subscript"/>
          <w:lang w:val="es-MX"/>
        </w:rPr>
        <w:t>q, r, p</w:t>
      </w:r>
      <w:r w:rsidRPr="0013396E">
        <w:rPr>
          <w:bCs/>
          <w:lang w:val="es-MX"/>
        </w:rPr>
        <w:t>))</w:t>
      </w:r>
    </w:p>
    <w:p w14:paraId="72232E1B"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AEBPLOAD</w:t>
      </w:r>
      <w:r w:rsidRPr="0013396E">
        <w:rPr>
          <w:bCs/>
          <w:i/>
          <w:vertAlign w:val="subscript"/>
          <w:lang w:val="pt-BR"/>
        </w:rPr>
        <w:t xml:space="preserve"> q, r, p</w:t>
      </w:r>
      <w:r w:rsidRPr="0013396E">
        <w:rPr>
          <w:bCs/>
          <w:lang w:val="pt-BR"/>
        </w:rPr>
        <w:tab/>
        <w:t>=</w:t>
      </w:r>
      <w:r w:rsidRPr="0013396E">
        <w:rPr>
          <w:bCs/>
          <w:lang w:val="pt-BR"/>
        </w:rPr>
        <w:tab/>
      </w:r>
      <w:r w:rsidRPr="0013396E">
        <w:rPr>
          <w:bCs/>
          <w:position w:val="-22"/>
        </w:rPr>
        <w:object w:dxaOrig="225" w:dyaOrig="450" w14:anchorId="7EC7E5F7">
          <v:shape id="_x0000_i1211" type="#_x0000_t75" style="width:12pt;height:24pt" o:ole="">
            <v:imagedata r:id="rId257" o:title=""/>
          </v:shape>
          <o:OLEObject Type="Embed" ProgID="Equation.3" ShapeID="_x0000_i1211" DrawAspect="Content" ObjectID="_1849065841" r:id="rId268"/>
        </w:object>
      </w:r>
      <w:r w:rsidRPr="0013396E">
        <w:rPr>
          <w:bCs/>
          <w:lang w:val="pt-BR"/>
        </w:rPr>
        <w:t xml:space="preserve"> (Min (0, EBP </w:t>
      </w:r>
      <w:r w:rsidRPr="0013396E">
        <w:rPr>
          <w:bCs/>
          <w:i/>
          <w:vertAlign w:val="subscript"/>
          <w:lang w:val="pt-BR"/>
        </w:rPr>
        <w:t>q, r, p, y</w:t>
      </w:r>
      <w:r w:rsidRPr="0013396E">
        <w:rPr>
          <w:bCs/>
          <w:lang w:val="pt-BR"/>
        </w:rPr>
        <w:t>) * TLMP</w:t>
      </w:r>
      <w:r w:rsidRPr="0013396E">
        <w:rPr>
          <w:bCs/>
          <w:i/>
          <w:vertAlign w:val="subscript"/>
          <w:lang w:val="pt-BR"/>
        </w:rPr>
        <w:t>y</w:t>
      </w:r>
      <w:r w:rsidRPr="0013396E">
        <w:rPr>
          <w:bCs/>
          <w:lang w:val="pt-BR"/>
        </w:rPr>
        <w:t xml:space="preserve"> / 3600)</w:t>
      </w:r>
    </w:p>
    <w:p w14:paraId="4AACAD8E" w14:textId="77777777" w:rsidR="00C236A2" w:rsidRPr="0013396E" w:rsidRDefault="00C236A2" w:rsidP="00C236A2">
      <w:pPr>
        <w:spacing w:after="240"/>
        <w:ind w:left="1440" w:hanging="720"/>
        <w:rPr>
          <w:lang w:val="pt-BR"/>
        </w:rPr>
      </w:pPr>
      <w:r w:rsidRPr="0013396E">
        <w:rPr>
          <w:lang w:val="pt-BR"/>
        </w:rPr>
        <w:t>(b)</w:t>
      </w:r>
      <w:r w:rsidRPr="0013396E">
        <w:rPr>
          <w:lang w:val="pt-BR"/>
        </w:rPr>
        <w:tab/>
        <w:t>Where the Real-Time Ancillary Services Net Revenue is calculated as follows:</w:t>
      </w:r>
    </w:p>
    <w:p w14:paraId="5D8B0237" w14:textId="77777777" w:rsidR="00C236A2" w:rsidRPr="0013396E" w:rsidRDefault="00C236A2" w:rsidP="00C236A2">
      <w:pPr>
        <w:tabs>
          <w:tab w:val="left" w:pos="2790"/>
        </w:tabs>
        <w:spacing w:after="240"/>
        <w:ind w:left="3600" w:hanging="2880"/>
        <w:rPr>
          <w:lang w:val="pt-BR"/>
        </w:rPr>
      </w:pPr>
      <w:r w:rsidRPr="0013396E">
        <w:rPr>
          <w:lang w:val="pt-BR"/>
        </w:rPr>
        <w:t>RTASNET</w:t>
      </w:r>
      <w:r w:rsidRPr="0013396E">
        <w:rPr>
          <w:b/>
          <w:bCs/>
          <w:i/>
          <w:iCs/>
          <w:sz w:val="16"/>
          <w:szCs w:val="16"/>
          <w:lang w:val="pt-BR"/>
        </w:rPr>
        <w:t xml:space="preserve"> </w:t>
      </w:r>
      <w:r w:rsidRPr="0013396E">
        <w:rPr>
          <w:bCs/>
          <w:i/>
          <w:iCs/>
          <w:sz w:val="16"/>
          <w:szCs w:val="16"/>
          <w:lang w:val="pt-BR"/>
        </w:rPr>
        <w:t xml:space="preserve">q, r </w:t>
      </w:r>
      <w:r w:rsidRPr="0013396E">
        <w:rPr>
          <w:bCs/>
          <w:i/>
          <w:iCs/>
          <w:sz w:val="16"/>
          <w:szCs w:val="16"/>
          <w:lang w:val="pt-BR"/>
        </w:rPr>
        <w:tab/>
        <w:t xml:space="preserve">  </w:t>
      </w:r>
      <w:r w:rsidRPr="0013396E">
        <w:rPr>
          <w:bCs/>
          <w:iCs/>
          <w:sz w:val="20"/>
          <w:szCs w:val="16"/>
          <w:lang w:val="pt-BR"/>
        </w:rPr>
        <w:t xml:space="preserve">=  </w:t>
      </w:r>
      <w:r w:rsidRPr="0013396E">
        <w:rPr>
          <w:bCs/>
          <w:iCs/>
          <w:sz w:val="20"/>
          <w:szCs w:val="16"/>
          <w:lang w:val="pt-BR"/>
        </w:rPr>
        <w:tab/>
      </w:r>
      <w:r w:rsidRPr="0013396E">
        <w:rPr>
          <w:bCs/>
          <w:iCs/>
          <w:lang w:val="pt-BR"/>
        </w:rPr>
        <w:t xml:space="preserve">RTRUNET </w:t>
      </w:r>
      <w:r w:rsidRPr="0013396E">
        <w:rPr>
          <w:bCs/>
          <w:i/>
          <w:iCs/>
          <w:vertAlign w:val="subscript"/>
          <w:lang w:val="pt-BR"/>
        </w:rPr>
        <w:t>q, r</w:t>
      </w:r>
      <w:r w:rsidRPr="0013396E">
        <w:rPr>
          <w:bCs/>
          <w:iCs/>
          <w:vertAlign w:val="subscript"/>
          <w:lang w:val="pt-BR"/>
        </w:rPr>
        <w:t xml:space="preserve"> </w:t>
      </w:r>
      <w:r w:rsidRPr="0013396E">
        <w:rPr>
          <w:bCs/>
          <w:iCs/>
          <w:lang w:val="pt-BR"/>
        </w:rPr>
        <w:t xml:space="preserve">+ RTRDNET </w:t>
      </w:r>
      <w:r w:rsidRPr="0013396E">
        <w:rPr>
          <w:bCs/>
          <w:i/>
          <w:iCs/>
          <w:vertAlign w:val="subscript"/>
          <w:lang w:val="pt-BR"/>
        </w:rPr>
        <w:t xml:space="preserve">q, r </w:t>
      </w:r>
      <w:r w:rsidRPr="0013396E">
        <w:rPr>
          <w:bCs/>
          <w:iCs/>
          <w:lang w:val="pt-BR"/>
        </w:rPr>
        <w:t xml:space="preserve">+ RTNSNET </w:t>
      </w:r>
      <w:r w:rsidRPr="0013396E">
        <w:rPr>
          <w:bCs/>
          <w:i/>
          <w:iCs/>
          <w:vertAlign w:val="subscript"/>
          <w:lang w:val="pt-BR"/>
        </w:rPr>
        <w:t>q, r</w:t>
      </w:r>
      <w:r w:rsidRPr="0013396E">
        <w:rPr>
          <w:bCs/>
          <w:iCs/>
          <w:lang w:val="pt-BR"/>
        </w:rPr>
        <w:t xml:space="preserve"> + RTRRNET </w:t>
      </w:r>
      <w:r w:rsidRPr="0013396E">
        <w:rPr>
          <w:bCs/>
          <w:i/>
          <w:iCs/>
          <w:vertAlign w:val="subscript"/>
          <w:lang w:val="pt-BR"/>
        </w:rPr>
        <w:t>q, r</w:t>
      </w:r>
      <w:r w:rsidRPr="0013396E">
        <w:rPr>
          <w:bCs/>
          <w:iCs/>
          <w:lang w:val="pt-BR"/>
        </w:rPr>
        <w:t xml:space="preserve"> + RTECRNET </w:t>
      </w:r>
      <w:r w:rsidRPr="0013396E">
        <w:rPr>
          <w:bCs/>
          <w:i/>
          <w:iCs/>
          <w:vertAlign w:val="subscript"/>
          <w:lang w:val="pt-BR"/>
        </w:rPr>
        <w:t>q, r</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A7B1D" w:rsidRPr="0013396E" w14:paraId="69DB948A" w14:textId="77777777" w:rsidTr="00A86863">
        <w:trPr>
          <w:trHeight w:val="206"/>
        </w:trPr>
        <w:tc>
          <w:tcPr>
            <w:tcW w:w="9350" w:type="dxa"/>
            <w:shd w:val="pct12" w:color="auto" w:fill="auto"/>
          </w:tcPr>
          <w:p w14:paraId="79CCC6E4" w14:textId="57C9E94A" w:rsidR="004A7B1D" w:rsidRPr="0013396E" w:rsidRDefault="004A7B1D" w:rsidP="00A86863">
            <w:pPr>
              <w:spacing w:before="120" w:after="240"/>
              <w:rPr>
                <w:b/>
                <w:i/>
                <w:iCs/>
                <w:szCs w:val="24"/>
              </w:rPr>
            </w:pPr>
            <w:r w:rsidRPr="0013396E">
              <w:rPr>
                <w:b/>
                <w:i/>
                <w:iCs/>
                <w:szCs w:val="24"/>
              </w:rPr>
              <w:lastRenderedPageBreak/>
              <w:t>[NPRR1</w:t>
            </w:r>
            <w:r>
              <w:rPr>
                <w:b/>
                <w:i/>
                <w:iCs/>
                <w:szCs w:val="24"/>
              </w:rPr>
              <w:t>309</w:t>
            </w:r>
            <w:r w:rsidRPr="0013396E">
              <w:rPr>
                <w:b/>
                <w:i/>
                <w:iCs/>
                <w:szCs w:val="24"/>
              </w:rPr>
              <w:t xml:space="preserve">: </w:t>
            </w:r>
            <w:r>
              <w:rPr>
                <w:b/>
                <w:i/>
                <w:iCs/>
                <w:szCs w:val="24"/>
              </w:rPr>
              <w:t xml:space="preserve"> Replace the formula “</w:t>
            </w:r>
            <w:r w:rsidRPr="004A7B1D">
              <w:rPr>
                <w:b/>
                <w:i/>
                <w:iCs/>
                <w:szCs w:val="24"/>
              </w:rPr>
              <w:t>RTASNET</w:t>
            </w:r>
            <w:r w:rsidRPr="004A7B1D">
              <w:rPr>
                <w:b/>
                <w:i/>
                <w:iCs/>
                <w:szCs w:val="24"/>
                <w:vertAlign w:val="subscript"/>
              </w:rPr>
              <w:t xml:space="preserve"> q, r</w:t>
            </w:r>
            <w:r>
              <w:rPr>
                <w:b/>
                <w:i/>
                <w:iCs/>
                <w:szCs w:val="24"/>
              </w:rPr>
              <w:t>” above with the following</w:t>
            </w:r>
            <w:r w:rsidRPr="0013396E">
              <w:rPr>
                <w:b/>
                <w:i/>
                <w:iCs/>
                <w:szCs w:val="24"/>
              </w:rPr>
              <w:t xml:space="preserve"> upon system implementation:]</w:t>
            </w:r>
          </w:p>
          <w:p w14:paraId="20A15F8E" w14:textId="58F93BE7" w:rsidR="004A7B1D" w:rsidRPr="004A7B1D" w:rsidRDefault="004A7B1D" w:rsidP="004A7B1D">
            <w:pPr>
              <w:tabs>
                <w:tab w:val="left" w:pos="2790"/>
              </w:tabs>
              <w:spacing w:after="240"/>
              <w:ind w:left="3600" w:hanging="2880"/>
              <w:rPr>
                <w:lang w:val="pt-BR"/>
              </w:rPr>
            </w:pPr>
            <w:r w:rsidRPr="004A7B1D">
              <w:rPr>
                <w:lang w:val="pt-BR"/>
              </w:rPr>
              <w:t>RTASNET</w:t>
            </w:r>
            <w:r w:rsidRPr="004A7B1D">
              <w:rPr>
                <w:b/>
                <w:bCs/>
                <w:i/>
                <w:iCs/>
                <w:sz w:val="16"/>
                <w:szCs w:val="16"/>
                <w:lang w:val="pt-BR"/>
              </w:rPr>
              <w:t xml:space="preserve"> </w:t>
            </w:r>
            <w:r w:rsidRPr="004A7B1D">
              <w:rPr>
                <w:bCs/>
                <w:i/>
                <w:iCs/>
                <w:sz w:val="16"/>
                <w:szCs w:val="16"/>
                <w:lang w:val="pt-BR"/>
              </w:rPr>
              <w:t xml:space="preserve">q, r </w:t>
            </w:r>
            <w:r w:rsidRPr="004A7B1D">
              <w:rPr>
                <w:bCs/>
                <w:i/>
                <w:iCs/>
                <w:sz w:val="16"/>
                <w:szCs w:val="16"/>
                <w:lang w:val="pt-BR"/>
              </w:rPr>
              <w:tab/>
              <w:t xml:space="preserve">  </w:t>
            </w:r>
            <w:r w:rsidRPr="004A7B1D">
              <w:rPr>
                <w:bCs/>
                <w:iCs/>
                <w:sz w:val="20"/>
                <w:szCs w:val="16"/>
                <w:lang w:val="pt-BR"/>
              </w:rPr>
              <w:t xml:space="preserve">=  </w:t>
            </w:r>
            <w:r w:rsidRPr="004A7B1D">
              <w:rPr>
                <w:bCs/>
                <w:iCs/>
                <w:sz w:val="20"/>
                <w:szCs w:val="16"/>
                <w:lang w:val="pt-BR"/>
              </w:rPr>
              <w:tab/>
            </w:r>
            <w:r w:rsidRPr="004A7B1D">
              <w:rPr>
                <w:bCs/>
                <w:iCs/>
                <w:lang w:val="pt-BR"/>
              </w:rPr>
              <w:t xml:space="preserve">RTRUNET </w:t>
            </w:r>
            <w:r w:rsidRPr="004A7B1D">
              <w:rPr>
                <w:bCs/>
                <w:i/>
                <w:iCs/>
                <w:vertAlign w:val="subscript"/>
                <w:lang w:val="pt-BR"/>
              </w:rPr>
              <w:t>q, r</w:t>
            </w:r>
            <w:r w:rsidRPr="004A7B1D">
              <w:rPr>
                <w:bCs/>
                <w:iCs/>
                <w:vertAlign w:val="subscript"/>
                <w:lang w:val="pt-BR"/>
              </w:rPr>
              <w:t xml:space="preserve"> </w:t>
            </w:r>
            <w:r w:rsidRPr="004A7B1D">
              <w:rPr>
                <w:bCs/>
                <w:iCs/>
                <w:lang w:val="pt-BR"/>
              </w:rPr>
              <w:t xml:space="preserve">+ RTRDNET </w:t>
            </w:r>
            <w:r w:rsidRPr="004A7B1D">
              <w:rPr>
                <w:bCs/>
                <w:i/>
                <w:iCs/>
                <w:vertAlign w:val="subscript"/>
                <w:lang w:val="pt-BR"/>
              </w:rPr>
              <w:t xml:space="preserve">q, r </w:t>
            </w:r>
            <w:r w:rsidRPr="004A7B1D">
              <w:rPr>
                <w:bCs/>
                <w:iCs/>
                <w:lang w:val="pt-BR"/>
              </w:rPr>
              <w:t xml:space="preserve">+ RTNSNET </w:t>
            </w:r>
            <w:r w:rsidRPr="004A7B1D">
              <w:rPr>
                <w:bCs/>
                <w:i/>
                <w:iCs/>
                <w:vertAlign w:val="subscript"/>
                <w:lang w:val="pt-BR"/>
              </w:rPr>
              <w:t>q, r</w:t>
            </w:r>
            <w:r w:rsidRPr="004A7B1D">
              <w:rPr>
                <w:bCs/>
                <w:iCs/>
                <w:lang w:val="pt-BR"/>
              </w:rPr>
              <w:t xml:space="preserve"> + RTRRNET </w:t>
            </w:r>
            <w:r w:rsidRPr="004A7B1D">
              <w:rPr>
                <w:bCs/>
                <w:i/>
                <w:iCs/>
                <w:vertAlign w:val="subscript"/>
                <w:lang w:val="pt-BR"/>
              </w:rPr>
              <w:t>q, r</w:t>
            </w:r>
            <w:r w:rsidRPr="004A7B1D">
              <w:rPr>
                <w:bCs/>
                <w:iCs/>
                <w:lang w:val="pt-BR"/>
              </w:rPr>
              <w:t xml:space="preserve"> + RTECRNET </w:t>
            </w:r>
            <w:r w:rsidRPr="004A7B1D">
              <w:rPr>
                <w:bCs/>
                <w:i/>
                <w:iCs/>
                <w:vertAlign w:val="subscript"/>
                <w:lang w:val="pt-BR"/>
              </w:rPr>
              <w:t xml:space="preserve">q, r </w:t>
            </w:r>
            <w:r w:rsidRPr="004A7B1D">
              <w:rPr>
                <w:bCs/>
                <w:iCs/>
                <w:lang w:val="pt-BR"/>
              </w:rPr>
              <w:t xml:space="preserve">+ RTDRRNET </w:t>
            </w:r>
            <w:r w:rsidRPr="004A7B1D">
              <w:rPr>
                <w:bCs/>
                <w:i/>
                <w:iCs/>
                <w:vertAlign w:val="subscript"/>
                <w:lang w:val="pt-BR"/>
              </w:rPr>
              <w:t>q, r</w:t>
            </w:r>
          </w:p>
        </w:tc>
      </w:tr>
    </w:tbl>
    <w:p w14:paraId="38E0EBD2" w14:textId="77777777" w:rsidR="00C236A2" w:rsidRPr="0013396E" w:rsidRDefault="00C236A2" w:rsidP="004A7B1D">
      <w:pPr>
        <w:tabs>
          <w:tab w:val="left" w:pos="2340"/>
          <w:tab w:val="left" w:pos="2880"/>
        </w:tabs>
        <w:spacing w:before="240" w:after="240"/>
        <w:ind w:left="987" w:hanging="269"/>
        <w:rPr>
          <w:bCs/>
        </w:rPr>
      </w:pPr>
      <w:r w:rsidRPr="0013396E">
        <w:rPr>
          <w:bCs/>
        </w:rPr>
        <w:t>Where for Reg-Up:</w:t>
      </w:r>
    </w:p>
    <w:p w14:paraId="27C3AA16" w14:textId="77777777" w:rsidR="00C236A2" w:rsidRPr="0013396E" w:rsidRDefault="00C236A2" w:rsidP="00C236A2">
      <w:pPr>
        <w:tabs>
          <w:tab w:val="left" w:pos="2340"/>
          <w:tab w:val="left" w:pos="2880"/>
        </w:tabs>
        <w:spacing w:after="240"/>
        <w:ind w:left="987" w:hanging="269"/>
        <w:rPr>
          <w:bCs/>
          <w:i/>
          <w:vertAlign w:val="subscript"/>
        </w:rPr>
      </w:pPr>
      <w:r w:rsidRPr="0013396E">
        <w:rPr>
          <w:bCs/>
        </w:rPr>
        <w:t xml:space="preserve">RTRUNET </w:t>
      </w:r>
      <w:r w:rsidRPr="0013396E">
        <w:rPr>
          <w:bCs/>
          <w:i/>
          <w:iCs/>
          <w:sz w:val="16"/>
          <w:szCs w:val="16"/>
        </w:rPr>
        <w:t xml:space="preserve">q, r </w:t>
      </w:r>
      <w:r w:rsidRPr="0013396E">
        <w:rPr>
          <w:bCs/>
        </w:rPr>
        <w:t xml:space="preserve"> </w:t>
      </w:r>
      <w:r w:rsidRPr="0013396E">
        <w:rPr>
          <w:bCs/>
        </w:rPr>
        <w:tab/>
      </w:r>
      <w:r w:rsidRPr="0013396E">
        <w:rPr>
          <w:bCs/>
        </w:rPr>
        <w:tab/>
        <w:t xml:space="preserve">= </w:t>
      </w:r>
      <w:r w:rsidRPr="0013396E">
        <w:rPr>
          <w:bCs/>
        </w:rPr>
        <w:tab/>
      </w:r>
      <w:r w:rsidRPr="0013396E">
        <w:rPr>
          <w:bCs/>
          <w:lang w:val="pt-BR"/>
        </w:rPr>
        <w:t xml:space="preserve">RTRUREV </w:t>
      </w:r>
      <w:r w:rsidRPr="0013396E">
        <w:rPr>
          <w:bCs/>
          <w:i/>
          <w:vertAlign w:val="subscript"/>
          <w:lang w:val="pt-BR"/>
        </w:rPr>
        <w:t xml:space="preserve">q, r </w:t>
      </w:r>
      <w:r w:rsidRPr="0013396E">
        <w:rPr>
          <w:bCs/>
        </w:rPr>
        <w:t>- (</w:t>
      </w:r>
      <w:r w:rsidRPr="0013396E">
        <w:rPr>
          <w:bCs/>
          <w:lang w:val="es-MX"/>
        </w:rPr>
        <w:t>¼</w:t>
      </w:r>
      <w:r w:rsidRPr="0013396E">
        <w:rPr>
          <w:bCs/>
        </w:rPr>
        <w:t xml:space="preserve">) * RTRUREVT </w:t>
      </w:r>
      <w:r w:rsidRPr="0013396E">
        <w:rPr>
          <w:bCs/>
          <w:i/>
          <w:iCs/>
          <w:sz w:val="16"/>
          <w:szCs w:val="16"/>
        </w:rPr>
        <w:t>q, r, p</w:t>
      </w:r>
      <w:r w:rsidRPr="0013396E">
        <w:rPr>
          <w:bCs/>
          <w:i/>
          <w:vertAlign w:val="subscript"/>
        </w:rPr>
        <w:t xml:space="preserve"> </w:t>
      </w:r>
    </w:p>
    <w:p w14:paraId="1860DCD2"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RTRUREVT</w:t>
      </w:r>
      <w:r w:rsidRPr="0013396E">
        <w:rPr>
          <w:bCs/>
          <w:i/>
          <w:vertAlign w:val="subscript"/>
          <w:lang w:val="pt-BR"/>
        </w:rPr>
        <w:t>q, r, p</w:t>
      </w:r>
      <w:r w:rsidRPr="0013396E">
        <w:rPr>
          <w:bCs/>
          <w:lang w:val="pt-BR"/>
        </w:rPr>
        <w:tab/>
        <w:t>=</w:t>
      </w:r>
      <w:r w:rsidRPr="0013396E">
        <w:rPr>
          <w:bCs/>
          <w:lang w:val="pt-BR"/>
        </w:rPr>
        <w:tab/>
        <w:t xml:space="preserve">RTRUWAPR </w:t>
      </w:r>
      <w:r w:rsidRPr="0013396E">
        <w:rPr>
          <w:bCs/>
          <w:i/>
          <w:vertAlign w:val="subscript"/>
          <w:lang w:val="pt-BR"/>
        </w:rPr>
        <w:t>q, r, p</w:t>
      </w:r>
      <w:r w:rsidRPr="0013396E">
        <w:rPr>
          <w:bCs/>
          <w:lang w:val="pt-BR"/>
        </w:rPr>
        <w:t xml:space="preserve"> * RTRUAWD </w:t>
      </w:r>
      <w:r w:rsidRPr="0013396E">
        <w:rPr>
          <w:bCs/>
          <w:i/>
          <w:vertAlign w:val="subscript"/>
          <w:lang w:val="pt-BR"/>
        </w:rPr>
        <w:t>q, r</w:t>
      </w:r>
    </w:p>
    <w:p w14:paraId="57041B10"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 xml:space="preserve">RTRUWAPR </w:t>
      </w:r>
      <w:r w:rsidRPr="0013396E">
        <w:rPr>
          <w:bCs/>
          <w:i/>
          <w:vertAlign w:val="subscript"/>
          <w:lang w:val="pt-BR"/>
        </w:rPr>
        <w:t>q, r, p</w:t>
      </w:r>
      <w:r w:rsidRPr="0013396E">
        <w:rPr>
          <w:bCs/>
          <w:lang w:val="pt-BR"/>
        </w:rPr>
        <w:tab/>
        <w:t xml:space="preserve">= </w:t>
      </w:r>
      <w:r w:rsidRPr="0013396E">
        <w:rPr>
          <w:bCs/>
          <w:lang w:val="pt-BR"/>
        </w:rPr>
        <w:tab/>
        <w:t xml:space="preserve"> </w:t>
      </w:r>
      <w:r w:rsidRPr="0013396E">
        <w:rPr>
          <w:bCs/>
          <w:position w:val="-22"/>
        </w:rPr>
        <w:object w:dxaOrig="225" w:dyaOrig="450" w14:anchorId="55CE1F47">
          <v:shape id="_x0000_i1212" type="#_x0000_t75" style="width:12pt;height:24pt" o:ole="">
            <v:imagedata r:id="rId255" o:title=""/>
          </v:shape>
          <o:OLEObject Type="Embed" ProgID="Equation.3" ShapeID="_x0000_i1212" DrawAspect="Content" ObjectID="_1849065842" r:id="rId269"/>
        </w:object>
      </w:r>
      <w:r w:rsidRPr="0013396E">
        <w:rPr>
          <w:bCs/>
          <w:lang w:val="pt-BR"/>
        </w:rPr>
        <w:t xml:space="preserve">(RTRUOPR </w:t>
      </w:r>
      <w:r w:rsidRPr="0013396E">
        <w:rPr>
          <w:bCs/>
          <w:i/>
          <w:vertAlign w:val="subscript"/>
          <w:lang w:val="pt-BR"/>
        </w:rPr>
        <w:t>q, r, y</w:t>
      </w:r>
      <w:r w:rsidRPr="0013396E">
        <w:rPr>
          <w:bCs/>
          <w:lang w:val="pt-BR"/>
        </w:rPr>
        <w:t xml:space="preserve"> * Max (0.001, RTRUAWDS </w:t>
      </w:r>
      <w:r w:rsidRPr="0013396E">
        <w:rPr>
          <w:bCs/>
          <w:i/>
          <w:vertAlign w:val="subscript"/>
          <w:lang w:val="pt-BR"/>
        </w:rPr>
        <w:t>q, r, y</w:t>
      </w:r>
      <w:r w:rsidRPr="0013396E">
        <w:rPr>
          <w:bCs/>
          <w:lang w:val="es-MX"/>
        </w:rPr>
        <w:t>)</w:t>
      </w:r>
      <w:r w:rsidRPr="0013396E">
        <w:rPr>
          <w:bCs/>
          <w:lang w:val="pt-BR"/>
        </w:rPr>
        <w:t xml:space="preserve"> * TLMP </w:t>
      </w:r>
      <w:r w:rsidRPr="0013396E">
        <w:rPr>
          <w:bCs/>
          <w:i/>
          <w:vertAlign w:val="subscript"/>
          <w:lang w:val="pt-BR"/>
        </w:rPr>
        <w:t>y</w:t>
      </w:r>
      <w:r w:rsidRPr="0013396E">
        <w:rPr>
          <w:bCs/>
          <w:lang w:val="pt-BR"/>
        </w:rPr>
        <w:t xml:space="preserve">) </w:t>
      </w:r>
      <w:r w:rsidRPr="0013396E">
        <w:rPr>
          <w:b/>
          <w:bCs/>
          <w:sz w:val="32"/>
          <w:szCs w:val="32"/>
          <w:lang w:val="pt-BR"/>
        </w:rPr>
        <w:t>/</w:t>
      </w:r>
    </w:p>
    <w:p w14:paraId="538F062F" w14:textId="77777777" w:rsidR="00C236A2" w:rsidRPr="0013396E" w:rsidRDefault="00C236A2" w:rsidP="00C236A2">
      <w:pPr>
        <w:tabs>
          <w:tab w:val="left" w:pos="2340"/>
          <w:tab w:val="left" w:pos="2880"/>
        </w:tabs>
        <w:spacing w:after="240"/>
        <w:ind w:left="987" w:hanging="269"/>
        <w:rPr>
          <w:bCs/>
          <w:lang w:val="es-MX"/>
        </w:rPr>
      </w:pPr>
      <w:r w:rsidRPr="0013396E">
        <w:rPr>
          <w:bCs/>
        </w:rPr>
        <w:tab/>
      </w:r>
      <w:r w:rsidRPr="0013396E">
        <w:rPr>
          <w:bCs/>
        </w:rPr>
        <w:tab/>
      </w:r>
      <w:r w:rsidRPr="0013396E">
        <w:rPr>
          <w:bCs/>
        </w:rPr>
        <w:tab/>
      </w:r>
      <w:r w:rsidRPr="0013396E">
        <w:rPr>
          <w:bCs/>
          <w:position w:val="-22"/>
        </w:rPr>
        <w:object w:dxaOrig="225" w:dyaOrig="450" w14:anchorId="5F92CC05">
          <v:shape id="_x0000_i1213" type="#_x0000_t75" style="width:12pt;height:24pt" o:ole="">
            <v:imagedata r:id="rId257" o:title=""/>
          </v:shape>
          <o:OLEObject Type="Embed" ProgID="Equation.3" ShapeID="_x0000_i1213" DrawAspect="Content" ObjectID="_1849065843" r:id="rId270"/>
        </w:object>
      </w:r>
      <w:r w:rsidRPr="0013396E">
        <w:rPr>
          <w:bCs/>
          <w:lang w:val="es-MX"/>
        </w:rPr>
        <w:t>(</w:t>
      </w:r>
      <w:r w:rsidRPr="0013396E">
        <w:rPr>
          <w:bCs/>
          <w:lang w:val="pt-BR"/>
        </w:rPr>
        <w:t xml:space="preserve">Max (0.001, </w:t>
      </w:r>
      <w:r w:rsidRPr="0013396E">
        <w:rPr>
          <w:bCs/>
          <w:lang w:val="es-MX"/>
        </w:rPr>
        <w:t xml:space="preserve">RTRUAWDS </w:t>
      </w:r>
      <w:r w:rsidRPr="0013396E">
        <w:rPr>
          <w:bCs/>
          <w:i/>
          <w:vertAlign w:val="subscript"/>
          <w:lang w:val="es-MX"/>
        </w:rPr>
        <w:t>q, r,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30ED1CF4" w14:textId="77777777" w:rsidR="00C236A2" w:rsidRPr="0013396E" w:rsidRDefault="00C236A2" w:rsidP="00C236A2">
      <w:pPr>
        <w:tabs>
          <w:tab w:val="left" w:pos="2340"/>
          <w:tab w:val="left" w:pos="2880"/>
        </w:tabs>
        <w:spacing w:after="240"/>
        <w:ind w:left="987" w:hanging="269"/>
        <w:rPr>
          <w:bCs/>
        </w:rPr>
      </w:pPr>
      <w:r w:rsidRPr="0013396E">
        <w:rPr>
          <w:bCs/>
        </w:rPr>
        <w:t>Where for Reg-Down:</w:t>
      </w:r>
    </w:p>
    <w:p w14:paraId="137C9B5A" w14:textId="77777777" w:rsidR="00C236A2" w:rsidRPr="0013396E" w:rsidRDefault="00C236A2" w:rsidP="00C236A2">
      <w:pPr>
        <w:spacing w:after="240"/>
        <w:ind w:left="2340" w:hanging="1620"/>
        <w:rPr>
          <w:i/>
          <w:vertAlign w:val="subscript"/>
          <w:lang w:val="pt-BR"/>
        </w:rPr>
      </w:pPr>
      <w:r w:rsidRPr="0013396E">
        <w:rPr>
          <w:lang w:val="pt-BR"/>
        </w:rPr>
        <w:t xml:space="preserve">RTRDNET </w:t>
      </w:r>
      <w:r w:rsidRPr="0013396E">
        <w:rPr>
          <w:bCs/>
          <w:i/>
          <w:iCs/>
          <w:sz w:val="16"/>
          <w:szCs w:val="16"/>
          <w:lang w:val="pt-BR"/>
        </w:rPr>
        <w:t>q, r</w:t>
      </w:r>
      <w:r w:rsidRPr="0013396E">
        <w:rPr>
          <w:bCs/>
          <w:i/>
          <w:iCs/>
          <w:sz w:val="16"/>
          <w:szCs w:val="16"/>
          <w:lang w:val="pt-BR"/>
        </w:rPr>
        <w:tab/>
      </w:r>
      <w:r w:rsidRPr="0013396E">
        <w:rPr>
          <w:bCs/>
          <w:i/>
          <w:iCs/>
          <w:sz w:val="16"/>
          <w:szCs w:val="16"/>
          <w:lang w:val="pt-BR"/>
        </w:rPr>
        <w:tab/>
      </w:r>
      <w:r w:rsidRPr="0013396E">
        <w:rPr>
          <w:lang w:val="pt-BR"/>
        </w:rPr>
        <w:t xml:space="preserve">= </w:t>
      </w:r>
      <w:r w:rsidRPr="0013396E">
        <w:rPr>
          <w:lang w:val="pt-BR"/>
        </w:rPr>
        <w:tab/>
      </w:r>
      <w:r w:rsidRPr="0013396E">
        <w:rPr>
          <w:iCs/>
          <w:lang w:val="pt-BR"/>
        </w:rPr>
        <w:t xml:space="preserve">RTRDREV </w:t>
      </w:r>
      <w:r w:rsidRPr="0013396E">
        <w:rPr>
          <w:i/>
          <w:vertAlign w:val="subscript"/>
          <w:lang w:val="pt-BR"/>
        </w:rPr>
        <w:t xml:space="preserve">q, r </w:t>
      </w:r>
      <w:r w:rsidRPr="0013396E">
        <w:rPr>
          <w:lang w:val="pt-BR"/>
        </w:rPr>
        <w:t>- (</w:t>
      </w:r>
      <w:r w:rsidRPr="0013396E">
        <w:rPr>
          <w:lang w:val="es-MX"/>
        </w:rPr>
        <w:t>¼</w:t>
      </w:r>
      <w:r w:rsidRPr="0013396E">
        <w:rPr>
          <w:lang w:val="pt-BR"/>
        </w:rPr>
        <w:t xml:space="preserve">) * RTRDREVT </w:t>
      </w:r>
      <w:r w:rsidRPr="0013396E">
        <w:rPr>
          <w:bCs/>
          <w:i/>
          <w:iCs/>
          <w:sz w:val="16"/>
          <w:szCs w:val="16"/>
          <w:lang w:val="pt-BR"/>
        </w:rPr>
        <w:t>q, r, p</w:t>
      </w:r>
    </w:p>
    <w:p w14:paraId="2E6095F3"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RTRDREVT</w:t>
      </w:r>
      <w:r w:rsidRPr="0013396E">
        <w:rPr>
          <w:bCs/>
          <w:i/>
          <w:vertAlign w:val="subscript"/>
          <w:lang w:val="pt-BR"/>
        </w:rPr>
        <w:t>q, r, p</w:t>
      </w:r>
      <w:r w:rsidRPr="0013396E">
        <w:rPr>
          <w:bCs/>
          <w:lang w:val="pt-BR"/>
        </w:rPr>
        <w:tab/>
        <w:t>=</w:t>
      </w:r>
      <w:r w:rsidRPr="0013396E">
        <w:rPr>
          <w:bCs/>
          <w:lang w:val="pt-BR"/>
        </w:rPr>
        <w:tab/>
        <w:t xml:space="preserve">RTRDWAPR </w:t>
      </w:r>
      <w:r w:rsidRPr="0013396E">
        <w:rPr>
          <w:bCs/>
          <w:i/>
          <w:vertAlign w:val="subscript"/>
          <w:lang w:val="pt-BR"/>
        </w:rPr>
        <w:t>q, r, p</w:t>
      </w:r>
      <w:r w:rsidRPr="0013396E">
        <w:rPr>
          <w:bCs/>
          <w:lang w:val="pt-BR"/>
        </w:rPr>
        <w:t xml:space="preserve"> * RTRDAWD </w:t>
      </w:r>
      <w:r w:rsidRPr="0013396E">
        <w:rPr>
          <w:bCs/>
          <w:i/>
          <w:vertAlign w:val="subscript"/>
          <w:lang w:val="pt-BR"/>
        </w:rPr>
        <w:t>q, r</w:t>
      </w:r>
    </w:p>
    <w:p w14:paraId="4A656557"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 xml:space="preserve">RTRDWAPR </w:t>
      </w:r>
      <w:r w:rsidRPr="0013396E">
        <w:rPr>
          <w:bCs/>
          <w:i/>
          <w:vertAlign w:val="subscript"/>
          <w:lang w:val="pt-BR"/>
        </w:rPr>
        <w:t>q, r, p</w:t>
      </w:r>
      <w:r w:rsidRPr="0013396E">
        <w:rPr>
          <w:bCs/>
          <w:lang w:val="pt-BR"/>
        </w:rPr>
        <w:tab/>
        <w:t xml:space="preserve">=  </w:t>
      </w:r>
      <w:r w:rsidRPr="0013396E">
        <w:rPr>
          <w:bCs/>
          <w:lang w:val="pt-BR"/>
        </w:rPr>
        <w:tab/>
      </w:r>
      <w:r w:rsidRPr="0013396E">
        <w:rPr>
          <w:bCs/>
          <w:position w:val="-22"/>
        </w:rPr>
        <w:object w:dxaOrig="225" w:dyaOrig="450" w14:anchorId="1DA9C4DE">
          <v:shape id="_x0000_i1214" type="#_x0000_t75" style="width:12pt;height:24pt" o:ole="">
            <v:imagedata r:id="rId255" o:title=""/>
          </v:shape>
          <o:OLEObject Type="Embed" ProgID="Equation.3" ShapeID="_x0000_i1214" DrawAspect="Content" ObjectID="_1849065844" r:id="rId271"/>
        </w:object>
      </w:r>
      <w:r w:rsidRPr="0013396E">
        <w:rPr>
          <w:bCs/>
          <w:lang w:val="pt-BR"/>
        </w:rPr>
        <w:t xml:space="preserve">(RTRDOPR </w:t>
      </w:r>
      <w:r w:rsidRPr="0013396E">
        <w:rPr>
          <w:bCs/>
          <w:i/>
          <w:vertAlign w:val="subscript"/>
          <w:lang w:val="pt-BR"/>
        </w:rPr>
        <w:t>q, r, y</w:t>
      </w:r>
      <w:r w:rsidRPr="0013396E">
        <w:rPr>
          <w:bCs/>
          <w:lang w:val="pt-BR"/>
        </w:rPr>
        <w:t xml:space="preserve"> * Max (0.001, RTRDAWDS </w:t>
      </w:r>
      <w:r w:rsidRPr="0013396E">
        <w:rPr>
          <w:bCs/>
          <w:i/>
          <w:vertAlign w:val="subscript"/>
          <w:lang w:val="pt-BR"/>
        </w:rPr>
        <w:t>q, r, y</w:t>
      </w:r>
      <w:r w:rsidRPr="0013396E">
        <w:rPr>
          <w:bCs/>
          <w:lang w:val="es-MX"/>
        </w:rPr>
        <w:t xml:space="preserve">) </w:t>
      </w:r>
      <w:r w:rsidRPr="0013396E">
        <w:rPr>
          <w:bCs/>
          <w:lang w:val="pt-BR"/>
        </w:rPr>
        <w:t xml:space="preserve">* TLMP </w:t>
      </w:r>
      <w:r w:rsidRPr="0013396E">
        <w:rPr>
          <w:bCs/>
          <w:i/>
          <w:vertAlign w:val="subscript"/>
          <w:lang w:val="pt-BR"/>
        </w:rPr>
        <w:t>y</w:t>
      </w:r>
      <w:r w:rsidRPr="0013396E">
        <w:rPr>
          <w:bCs/>
          <w:lang w:val="pt-BR"/>
        </w:rPr>
        <w:t xml:space="preserve">) </w:t>
      </w:r>
      <w:r w:rsidRPr="0013396E">
        <w:rPr>
          <w:b/>
          <w:bCs/>
          <w:sz w:val="32"/>
          <w:szCs w:val="32"/>
          <w:lang w:val="pt-BR"/>
        </w:rPr>
        <w:t>/</w:t>
      </w:r>
    </w:p>
    <w:p w14:paraId="2EEDA12F" w14:textId="77777777" w:rsidR="00C236A2" w:rsidRPr="0013396E" w:rsidRDefault="00C236A2" w:rsidP="00C236A2">
      <w:pPr>
        <w:tabs>
          <w:tab w:val="left" w:pos="2340"/>
          <w:tab w:val="left" w:pos="2880"/>
        </w:tabs>
        <w:spacing w:after="240"/>
        <w:ind w:left="987" w:hanging="269"/>
        <w:rPr>
          <w:bCs/>
          <w:lang w:val="es-MX"/>
        </w:rPr>
      </w:pPr>
      <w:r w:rsidRPr="0013396E">
        <w:rPr>
          <w:bCs/>
        </w:rPr>
        <w:tab/>
      </w:r>
      <w:r w:rsidRPr="0013396E">
        <w:rPr>
          <w:bCs/>
        </w:rPr>
        <w:tab/>
      </w:r>
      <w:r w:rsidRPr="0013396E">
        <w:rPr>
          <w:bCs/>
        </w:rPr>
        <w:tab/>
      </w:r>
      <w:r w:rsidRPr="0013396E">
        <w:rPr>
          <w:bCs/>
          <w:position w:val="-22"/>
        </w:rPr>
        <w:object w:dxaOrig="225" w:dyaOrig="450" w14:anchorId="14F24574">
          <v:shape id="_x0000_i1215" type="#_x0000_t75" style="width:12pt;height:24pt" o:ole="">
            <v:imagedata r:id="rId257" o:title=""/>
          </v:shape>
          <o:OLEObject Type="Embed" ProgID="Equation.3" ShapeID="_x0000_i1215" DrawAspect="Content" ObjectID="_1849065845" r:id="rId272"/>
        </w:object>
      </w:r>
      <w:r w:rsidRPr="0013396E">
        <w:rPr>
          <w:bCs/>
          <w:lang w:val="es-MX"/>
        </w:rPr>
        <w:t>(</w:t>
      </w:r>
      <w:r w:rsidRPr="0013396E">
        <w:rPr>
          <w:bCs/>
          <w:lang w:val="pt-BR"/>
        </w:rPr>
        <w:t xml:space="preserve">Max (0.001, </w:t>
      </w:r>
      <w:r w:rsidRPr="0013396E">
        <w:rPr>
          <w:bCs/>
          <w:lang w:val="es-MX"/>
        </w:rPr>
        <w:t xml:space="preserve">RTRDAWDS </w:t>
      </w:r>
      <w:r w:rsidRPr="0013396E">
        <w:rPr>
          <w:bCs/>
          <w:i/>
          <w:vertAlign w:val="subscript"/>
          <w:lang w:val="es-MX"/>
        </w:rPr>
        <w:t>q, r,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6D4D5519" w14:textId="77777777" w:rsidR="00C236A2" w:rsidRPr="0013396E" w:rsidRDefault="00C236A2" w:rsidP="00C236A2">
      <w:pPr>
        <w:tabs>
          <w:tab w:val="left" w:pos="2340"/>
          <w:tab w:val="left" w:pos="2880"/>
        </w:tabs>
        <w:spacing w:after="240"/>
        <w:ind w:left="987" w:hanging="269"/>
        <w:rPr>
          <w:bCs/>
        </w:rPr>
      </w:pPr>
      <w:r w:rsidRPr="0013396E">
        <w:rPr>
          <w:bCs/>
        </w:rPr>
        <w:t>Where for RRS:</w:t>
      </w:r>
    </w:p>
    <w:p w14:paraId="4AC695CB" w14:textId="77777777" w:rsidR="00C236A2" w:rsidRPr="0013396E" w:rsidRDefault="00C236A2" w:rsidP="00C236A2">
      <w:pPr>
        <w:spacing w:after="240"/>
        <w:ind w:left="2340" w:hanging="1620"/>
        <w:rPr>
          <w:bCs/>
          <w:i/>
          <w:iCs/>
          <w:sz w:val="16"/>
          <w:szCs w:val="16"/>
          <w:lang w:val="pt-BR"/>
        </w:rPr>
      </w:pPr>
      <w:r w:rsidRPr="0013396E">
        <w:rPr>
          <w:lang w:val="pt-BR"/>
        </w:rPr>
        <w:t xml:space="preserve">RTRRNET </w:t>
      </w:r>
      <w:r w:rsidRPr="0013396E">
        <w:rPr>
          <w:bCs/>
          <w:i/>
          <w:iCs/>
          <w:sz w:val="16"/>
          <w:szCs w:val="16"/>
          <w:lang w:val="pt-BR"/>
        </w:rPr>
        <w:t xml:space="preserve">q, r </w:t>
      </w:r>
      <w:r w:rsidRPr="0013396E">
        <w:rPr>
          <w:lang w:val="pt-BR"/>
        </w:rPr>
        <w:t xml:space="preserve"> </w:t>
      </w:r>
      <w:r w:rsidRPr="0013396E">
        <w:rPr>
          <w:lang w:val="pt-BR"/>
        </w:rPr>
        <w:tab/>
      </w:r>
      <w:r w:rsidRPr="0013396E">
        <w:rPr>
          <w:lang w:val="pt-BR"/>
        </w:rPr>
        <w:tab/>
        <w:t xml:space="preserve">= </w:t>
      </w:r>
      <w:r w:rsidRPr="0013396E">
        <w:rPr>
          <w:lang w:val="pt-BR"/>
        </w:rPr>
        <w:tab/>
      </w:r>
      <w:r w:rsidRPr="0013396E">
        <w:rPr>
          <w:iCs/>
          <w:lang w:val="pt-BR"/>
        </w:rPr>
        <w:t xml:space="preserve">RTRRREV </w:t>
      </w:r>
      <w:r w:rsidRPr="0013396E">
        <w:rPr>
          <w:i/>
          <w:vertAlign w:val="subscript"/>
          <w:lang w:val="pt-BR"/>
        </w:rPr>
        <w:t xml:space="preserve">q, r </w:t>
      </w:r>
      <w:r w:rsidRPr="0013396E">
        <w:rPr>
          <w:lang w:val="pt-BR"/>
        </w:rPr>
        <w:t>- (</w:t>
      </w:r>
      <w:r w:rsidRPr="0013396E">
        <w:rPr>
          <w:lang w:val="es-MX"/>
        </w:rPr>
        <w:t>¼</w:t>
      </w:r>
      <w:r w:rsidRPr="0013396E">
        <w:rPr>
          <w:lang w:val="pt-BR"/>
        </w:rPr>
        <w:t xml:space="preserve">) * RTRRREVT </w:t>
      </w:r>
      <w:r w:rsidRPr="0013396E">
        <w:rPr>
          <w:bCs/>
          <w:i/>
          <w:iCs/>
          <w:sz w:val="16"/>
          <w:szCs w:val="16"/>
          <w:lang w:val="pt-BR"/>
        </w:rPr>
        <w:t>q, r, p</w:t>
      </w:r>
    </w:p>
    <w:p w14:paraId="3F6D745F"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RTRRREVT</w:t>
      </w:r>
      <w:r w:rsidRPr="0013396E">
        <w:rPr>
          <w:bCs/>
          <w:i/>
          <w:vertAlign w:val="subscript"/>
          <w:lang w:val="pt-BR"/>
        </w:rPr>
        <w:t>q, r, p</w:t>
      </w:r>
      <w:r w:rsidRPr="0013396E">
        <w:rPr>
          <w:bCs/>
          <w:lang w:val="pt-BR"/>
        </w:rPr>
        <w:tab/>
        <w:t>=</w:t>
      </w:r>
      <w:r w:rsidRPr="0013396E">
        <w:rPr>
          <w:bCs/>
          <w:lang w:val="pt-BR"/>
        </w:rPr>
        <w:tab/>
        <w:t xml:space="preserve">RTRRWAPR </w:t>
      </w:r>
      <w:r w:rsidRPr="0013396E">
        <w:rPr>
          <w:bCs/>
          <w:i/>
          <w:vertAlign w:val="subscript"/>
          <w:lang w:val="pt-BR"/>
        </w:rPr>
        <w:t>q, r, p</w:t>
      </w:r>
      <w:r w:rsidRPr="0013396E">
        <w:rPr>
          <w:bCs/>
          <w:lang w:val="pt-BR"/>
        </w:rPr>
        <w:t xml:space="preserve"> * RTRRAWD </w:t>
      </w:r>
      <w:r w:rsidRPr="0013396E">
        <w:rPr>
          <w:bCs/>
          <w:i/>
          <w:vertAlign w:val="subscript"/>
          <w:lang w:val="pt-BR"/>
        </w:rPr>
        <w:t>q, r</w:t>
      </w:r>
    </w:p>
    <w:p w14:paraId="6516425E"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 xml:space="preserve">RTRRWAPR </w:t>
      </w:r>
      <w:r w:rsidRPr="0013396E">
        <w:rPr>
          <w:bCs/>
          <w:i/>
          <w:vertAlign w:val="subscript"/>
          <w:lang w:val="pt-BR"/>
        </w:rPr>
        <w:t>q, r, p</w:t>
      </w:r>
      <w:r w:rsidRPr="0013396E">
        <w:rPr>
          <w:bCs/>
          <w:lang w:val="pt-BR"/>
        </w:rPr>
        <w:tab/>
        <w:t>=</w:t>
      </w:r>
      <w:r w:rsidRPr="0013396E">
        <w:rPr>
          <w:bCs/>
          <w:lang w:val="pt-BR"/>
        </w:rPr>
        <w:tab/>
      </w:r>
      <w:r w:rsidRPr="0013396E">
        <w:rPr>
          <w:bCs/>
          <w:position w:val="-22"/>
        </w:rPr>
        <w:object w:dxaOrig="225" w:dyaOrig="450" w14:anchorId="2D5F2D96">
          <v:shape id="_x0000_i1216" type="#_x0000_t75" style="width:12pt;height:24pt" o:ole="">
            <v:imagedata r:id="rId255" o:title=""/>
          </v:shape>
          <o:OLEObject Type="Embed" ProgID="Equation.3" ShapeID="_x0000_i1216" DrawAspect="Content" ObjectID="_1849065846" r:id="rId273"/>
        </w:object>
      </w:r>
      <w:r w:rsidRPr="0013396E">
        <w:rPr>
          <w:bCs/>
          <w:lang w:val="pt-BR"/>
        </w:rPr>
        <w:t xml:space="preserve">(RTRROPR </w:t>
      </w:r>
      <w:r w:rsidRPr="0013396E">
        <w:rPr>
          <w:bCs/>
          <w:i/>
          <w:vertAlign w:val="subscript"/>
          <w:lang w:val="pt-BR"/>
        </w:rPr>
        <w:t>q, r, y</w:t>
      </w:r>
      <w:r w:rsidRPr="0013396E">
        <w:rPr>
          <w:bCs/>
          <w:lang w:val="pt-BR"/>
        </w:rPr>
        <w:t xml:space="preserve"> * Max (0.001, RTRRAWDS </w:t>
      </w:r>
      <w:r w:rsidRPr="0013396E">
        <w:rPr>
          <w:bCs/>
          <w:i/>
          <w:vertAlign w:val="subscript"/>
          <w:lang w:val="pt-BR"/>
        </w:rPr>
        <w:t>q, r, y</w:t>
      </w:r>
      <w:r w:rsidRPr="0013396E">
        <w:rPr>
          <w:bCs/>
          <w:lang w:val="es-MX"/>
        </w:rPr>
        <w:t xml:space="preserve">) </w:t>
      </w:r>
      <w:r w:rsidRPr="0013396E">
        <w:rPr>
          <w:bCs/>
          <w:lang w:val="pt-BR"/>
        </w:rPr>
        <w:t xml:space="preserve">* TLMP </w:t>
      </w:r>
      <w:r w:rsidRPr="0013396E">
        <w:rPr>
          <w:bCs/>
          <w:i/>
          <w:vertAlign w:val="subscript"/>
          <w:lang w:val="pt-BR"/>
        </w:rPr>
        <w:t>y</w:t>
      </w:r>
      <w:r w:rsidRPr="0013396E">
        <w:rPr>
          <w:bCs/>
          <w:lang w:val="pt-BR"/>
        </w:rPr>
        <w:t xml:space="preserve">) </w:t>
      </w:r>
      <w:r w:rsidRPr="0013396E">
        <w:rPr>
          <w:b/>
          <w:bCs/>
          <w:sz w:val="32"/>
          <w:szCs w:val="32"/>
          <w:lang w:val="pt-BR"/>
        </w:rPr>
        <w:t xml:space="preserve">/ </w:t>
      </w:r>
      <w:r w:rsidRPr="0013396E">
        <w:rPr>
          <w:bCs/>
          <w:position w:val="-22"/>
        </w:rPr>
        <w:object w:dxaOrig="225" w:dyaOrig="450" w14:anchorId="3764A10B">
          <v:shape id="_x0000_i1217" type="#_x0000_t75" style="width:12pt;height:24pt" o:ole="">
            <v:imagedata r:id="rId257" o:title=""/>
          </v:shape>
          <o:OLEObject Type="Embed" ProgID="Equation.3" ShapeID="_x0000_i1217" DrawAspect="Content" ObjectID="_1849065847" r:id="rId274"/>
        </w:object>
      </w:r>
      <w:r w:rsidRPr="0013396E">
        <w:rPr>
          <w:bCs/>
          <w:lang w:val="es-MX"/>
        </w:rPr>
        <w:t>(</w:t>
      </w:r>
      <w:r w:rsidRPr="0013396E">
        <w:rPr>
          <w:bCs/>
          <w:lang w:val="pt-BR"/>
        </w:rPr>
        <w:t xml:space="preserve">Max (0.001, </w:t>
      </w:r>
      <w:r w:rsidRPr="0013396E">
        <w:rPr>
          <w:bCs/>
          <w:lang w:val="es-MX"/>
        </w:rPr>
        <w:t xml:space="preserve">RTRRAWDS </w:t>
      </w:r>
      <w:r w:rsidRPr="0013396E">
        <w:rPr>
          <w:bCs/>
          <w:i/>
          <w:vertAlign w:val="subscript"/>
          <w:lang w:val="es-MX"/>
        </w:rPr>
        <w:t>q, r,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21FCF288" w14:textId="77777777" w:rsidR="00C236A2" w:rsidRPr="0013396E" w:rsidRDefault="00C236A2" w:rsidP="00C236A2">
      <w:pPr>
        <w:tabs>
          <w:tab w:val="left" w:pos="2340"/>
          <w:tab w:val="left" w:pos="2880"/>
        </w:tabs>
        <w:spacing w:after="240"/>
        <w:ind w:left="987" w:hanging="269"/>
        <w:rPr>
          <w:bCs/>
        </w:rPr>
      </w:pPr>
      <w:r w:rsidRPr="0013396E">
        <w:rPr>
          <w:bCs/>
        </w:rPr>
        <w:t>Where for Non-Spin:</w:t>
      </w:r>
    </w:p>
    <w:p w14:paraId="7FF111D6" w14:textId="77777777" w:rsidR="00C236A2" w:rsidRPr="0013396E" w:rsidRDefault="00C236A2" w:rsidP="00C236A2">
      <w:pPr>
        <w:spacing w:after="240"/>
        <w:ind w:left="2340" w:hanging="1620"/>
        <w:rPr>
          <w:bCs/>
          <w:i/>
          <w:iCs/>
          <w:sz w:val="16"/>
          <w:szCs w:val="16"/>
          <w:lang w:val="pt-BR"/>
        </w:rPr>
      </w:pPr>
      <w:r w:rsidRPr="0013396E">
        <w:rPr>
          <w:lang w:val="pt-BR"/>
        </w:rPr>
        <w:t xml:space="preserve">RTNSNET </w:t>
      </w:r>
      <w:r w:rsidRPr="0013396E">
        <w:rPr>
          <w:bCs/>
          <w:i/>
          <w:iCs/>
          <w:sz w:val="16"/>
          <w:szCs w:val="16"/>
          <w:lang w:val="pt-BR"/>
        </w:rPr>
        <w:t xml:space="preserve">q, r </w:t>
      </w:r>
      <w:r w:rsidRPr="0013396E">
        <w:rPr>
          <w:lang w:val="pt-BR"/>
        </w:rPr>
        <w:t xml:space="preserve"> </w:t>
      </w:r>
      <w:r w:rsidRPr="0013396E">
        <w:rPr>
          <w:lang w:val="pt-BR"/>
        </w:rPr>
        <w:tab/>
      </w:r>
      <w:r w:rsidRPr="0013396E">
        <w:rPr>
          <w:lang w:val="pt-BR"/>
        </w:rPr>
        <w:tab/>
        <w:t xml:space="preserve">= </w:t>
      </w:r>
      <w:r w:rsidRPr="0013396E">
        <w:rPr>
          <w:lang w:val="pt-BR"/>
        </w:rPr>
        <w:tab/>
      </w:r>
      <w:r w:rsidRPr="0013396E">
        <w:rPr>
          <w:iCs/>
          <w:lang w:val="pt-BR"/>
        </w:rPr>
        <w:t xml:space="preserve">RTNSREV </w:t>
      </w:r>
      <w:r w:rsidRPr="0013396E">
        <w:rPr>
          <w:i/>
          <w:vertAlign w:val="subscript"/>
          <w:lang w:val="pt-BR"/>
        </w:rPr>
        <w:t xml:space="preserve">q, r </w:t>
      </w:r>
      <w:r w:rsidRPr="0013396E">
        <w:rPr>
          <w:lang w:val="pt-BR"/>
        </w:rPr>
        <w:t>- (</w:t>
      </w:r>
      <w:r w:rsidRPr="0013396E">
        <w:rPr>
          <w:lang w:val="es-MX"/>
        </w:rPr>
        <w:t>¼</w:t>
      </w:r>
      <w:r w:rsidRPr="0013396E">
        <w:rPr>
          <w:lang w:val="pt-BR"/>
        </w:rPr>
        <w:t xml:space="preserve">) * RTNSREVT </w:t>
      </w:r>
      <w:r w:rsidRPr="0013396E">
        <w:rPr>
          <w:bCs/>
          <w:i/>
          <w:iCs/>
          <w:sz w:val="16"/>
          <w:szCs w:val="16"/>
          <w:lang w:val="pt-BR"/>
        </w:rPr>
        <w:t>q, r, p</w:t>
      </w:r>
    </w:p>
    <w:p w14:paraId="5E46350D"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RTNSREVT</w:t>
      </w:r>
      <w:r w:rsidRPr="0013396E">
        <w:rPr>
          <w:bCs/>
          <w:i/>
          <w:vertAlign w:val="subscript"/>
          <w:lang w:val="pt-BR"/>
        </w:rPr>
        <w:t>q, r, p</w:t>
      </w:r>
      <w:r w:rsidRPr="0013396E">
        <w:rPr>
          <w:bCs/>
          <w:lang w:val="pt-BR"/>
        </w:rPr>
        <w:tab/>
        <w:t>=</w:t>
      </w:r>
      <w:r w:rsidRPr="0013396E">
        <w:rPr>
          <w:bCs/>
          <w:lang w:val="pt-BR"/>
        </w:rPr>
        <w:tab/>
        <w:t xml:space="preserve">RTNSWAPR </w:t>
      </w:r>
      <w:r w:rsidRPr="0013396E">
        <w:rPr>
          <w:bCs/>
          <w:i/>
          <w:vertAlign w:val="subscript"/>
          <w:lang w:val="pt-BR"/>
        </w:rPr>
        <w:t>q, r, p</w:t>
      </w:r>
      <w:r w:rsidRPr="0013396E">
        <w:rPr>
          <w:bCs/>
          <w:lang w:val="pt-BR"/>
        </w:rPr>
        <w:t xml:space="preserve"> * RTNSAWD </w:t>
      </w:r>
      <w:r w:rsidRPr="0013396E">
        <w:rPr>
          <w:bCs/>
          <w:i/>
          <w:vertAlign w:val="subscript"/>
          <w:lang w:val="pt-BR"/>
        </w:rPr>
        <w:t>q, r</w:t>
      </w:r>
    </w:p>
    <w:p w14:paraId="466E2CBB"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lastRenderedPageBreak/>
        <w:t xml:space="preserve">RTNSWAPR </w:t>
      </w:r>
      <w:r w:rsidRPr="0013396E">
        <w:rPr>
          <w:bCs/>
          <w:i/>
          <w:vertAlign w:val="subscript"/>
          <w:lang w:val="pt-BR"/>
        </w:rPr>
        <w:t>q, r, p</w:t>
      </w:r>
      <w:r w:rsidRPr="0013396E">
        <w:rPr>
          <w:bCs/>
          <w:lang w:val="pt-BR"/>
        </w:rPr>
        <w:tab/>
        <w:t xml:space="preserve">=  </w:t>
      </w:r>
      <w:r w:rsidRPr="0013396E">
        <w:rPr>
          <w:bCs/>
          <w:lang w:val="pt-BR"/>
        </w:rPr>
        <w:tab/>
      </w:r>
      <w:r w:rsidRPr="0013396E">
        <w:rPr>
          <w:bCs/>
          <w:position w:val="-22"/>
        </w:rPr>
        <w:object w:dxaOrig="225" w:dyaOrig="450" w14:anchorId="2A82FCC3">
          <v:shape id="_x0000_i1218" type="#_x0000_t75" style="width:12pt;height:24pt" o:ole="">
            <v:imagedata r:id="rId255" o:title=""/>
          </v:shape>
          <o:OLEObject Type="Embed" ProgID="Equation.3" ShapeID="_x0000_i1218" DrawAspect="Content" ObjectID="_1849065848" r:id="rId275"/>
        </w:object>
      </w:r>
      <w:r w:rsidRPr="0013396E">
        <w:rPr>
          <w:bCs/>
          <w:lang w:val="pt-BR"/>
        </w:rPr>
        <w:t xml:space="preserve">(RTNSOPR </w:t>
      </w:r>
      <w:r w:rsidRPr="0013396E">
        <w:rPr>
          <w:bCs/>
          <w:i/>
          <w:vertAlign w:val="subscript"/>
          <w:lang w:val="pt-BR"/>
        </w:rPr>
        <w:t>q, r, y</w:t>
      </w:r>
      <w:r w:rsidRPr="0013396E">
        <w:rPr>
          <w:bCs/>
          <w:lang w:val="pt-BR"/>
        </w:rPr>
        <w:t xml:space="preserve"> * Max (0.001, RTNSAWDS </w:t>
      </w:r>
      <w:r w:rsidRPr="0013396E">
        <w:rPr>
          <w:bCs/>
          <w:i/>
          <w:vertAlign w:val="subscript"/>
          <w:lang w:val="pt-BR"/>
        </w:rPr>
        <w:t>q, r, y</w:t>
      </w:r>
      <w:r w:rsidRPr="0013396E">
        <w:rPr>
          <w:bCs/>
          <w:lang w:val="es-MX"/>
        </w:rPr>
        <w:t xml:space="preserve">) </w:t>
      </w:r>
      <w:r w:rsidRPr="0013396E">
        <w:rPr>
          <w:bCs/>
          <w:lang w:val="pt-BR"/>
        </w:rPr>
        <w:t xml:space="preserve">* TLMP </w:t>
      </w:r>
      <w:r w:rsidRPr="0013396E">
        <w:rPr>
          <w:bCs/>
          <w:i/>
          <w:vertAlign w:val="subscript"/>
          <w:lang w:val="pt-BR"/>
        </w:rPr>
        <w:t>y</w:t>
      </w:r>
      <w:r w:rsidRPr="0013396E">
        <w:rPr>
          <w:bCs/>
          <w:lang w:val="pt-BR"/>
        </w:rPr>
        <w:t xml:space="preserve">) </w:t>
      </w:r>
      <w:r w:rsidRPr="0013396E">
        <w:rPr>
          <w:b/>
          <w:bCs/>
          <w:sz w:val="32"/>
          <w:szCs w:val="32"/>
          <w:lang w:val="pt-BR"/>
        </w:rPr>
        <w:t>/</w:t>
      </w:r>
      <w:r w:rsidRPr="0013396E">
        <w:rPr>
          <w:bCs/>
          <w:position w:val="-22"/>
        </w:rPr>
        <w:object w:dxaOrig="225" w:dyaOrig="450" w14:anchorId="7E278F8A">
          <v:shape id="_x0000_i1219" type="#_x0000_t75" style="width:12pt;height:24pt" o:ole="">
            <v:imagedata r:id="rId257" o:title=""/>
          </v:shape>
          <o:OLEObject Type="Embed" ProgID="Equation.3" ShapeID="_x0000_i1219" DrawAspect="Content" ObjectID="_1849065849" r:id="rId276"/>
        </w:object>
      </w:r>
      <w:r w:rsidRPr="0013396E">
        <w:rPr>
          <w:bCs/>
          <w:lang w:val="es-MX"/>
        </w:rPr>
        <w:t>(</w:t>
      </w:r>
      <w:r w:rsidRPr="0013396E">
        <w:rPr>
          <w:bCs/>
          <w:lang w:val="pt-BR"/>
        </w:rPr>
        <w:t xml:space="preserve">Max (0.001, </w:t>
      </w:r>
      <w:r w:rsidRPr="0013396E">
        <w:rPr>
          <w:bCs/>
          <w:lang w:val="es-MX"/>
        </w:rPr>
        <w:t xml:space="preserve">RTNSAWDS </w:t>
      </w:r>
      <w:r w:rsidRPr="0013396E">
        <w:rPr>
          <w:bCs/>
          <w:i/>
          <w:vertAlign w:val="subscript"/>
          <w:lang w:val="es-MX"/>
        </w:rPr>
        <w:t>q, r,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p w14:paraId="0BB6E930" w14:textId="77777777" w:rsidR="00C236A2" w:rsidRPr="0013396E" w:rsidRDefault="00C236A2" w:rsidP="00C236A2">
      <w:pPr>
        <w:tabs>
          <w:tab w:val="left" w:pos="2340"/>
          <w:tab w:val="left" w:pos="2880"/>
        </w:tabs>
        <w:spacing w:after="240"/>
        <w:ind w:left="987" w:hanging="269"/>
        <w:rPr>
          <w:bCs/>
        </w:rPr>
      </w:pPr>
      <w:r w:rsidRPr="0013396E">
        <w:rPr>
          <w:bCs/>
        </w:rPr>
        <w:t>Where for ERCOT Contingency Reserve (ECRS):</w:t>
      </w:r>
    </w:p>
    <w:p w14:paraId="031C9575" w14:textId="77777777" w:rsidR="00C236A2" w:rsidRPr="0013396E" w:rsidRDefault="00C236A2" w:rsidP="00C236A2">
      <w:pPr>
        <w:spacing w:after="240"/>
        <w:ind w:left="2340" w:hanging="1620"/>
        <w:rPr>
          <w:bCs/>
          <w:i/>
          <w:iCs/>
          <w:sz w:val="16"/>
          <w:szCs w:val="16"/>
          <w:lang w:val="pt-BR"/>
        </w:rPr>
      </w:pPr>
      <w:r w:rsidRPr="0013396E">
        <w:rPr>
          <w:lang w:val="pt-BR"/>
        </w:rPr>
        <w:t xml:space="preserve">RTECRNET </w:t>
      </w:r>
      <w:r w:rsidRPr="0013396E">
        <w:rPr>
          <w:bCs/>
          <w:i/>
          <w:iCs/>
          <w:sz w:val="16"/>
          <w:szCs w:val="16"/>
          <w:lang w:val="pt-BR"/>
        </w:rPr>
        <w:t xml:space="preserve">q, r </w:t>
      </w:r>
      <w:r w:rsidRPr="0013396E">
        <w:rPr>
          <w:lang w:val="pt-BR"/>
        </w:rPr>
        <w:t xml:space="preserve"> </w:t>
      </w:r>
      <w:r w:rsidRPr="0013396E">
        <w:rPr>
          <w:lang w:val="pt-BR"/>
        </w:rPr>
        <w:tab/>
        <w:t xml:space="preserve">= </w:t>
      </w:r>
      <w:r w:rsidRPr="0013396E">
        <w:rPr>
          <w:lang w:val="pt-BR"/>
        </w:rPr>
        <w:tab/>
      </w:r>
      <w:r w:rsidRPr="0013396E">
        <w:rPr>
          <w:iCs/>
          <w:lang w:val="pt-BR"/>
        </w:rPr>
        <w:t xml:space="preserve">RTECRREV </w:t>
      </w:r>
      <w:r w:rsidRPr="0013396E">
        <w:rPr>
          <w:i/>
          <w:vertAlign w:val="subscript"/>
          <w:lang w:val="pt-BR"/>
        </w:rPr>
        <w:t xml:space="preserve">q, r </w:t>
      </w:r>
      <w:r w:rsidRPr="0013396E">
        <w:rPr>
          <w:lang w:val="pt-BR"/>
        </w:rPr>
        <w:t>- (</w:t>
      </w:r>
      <w:r w:rsidRPr="0013396E">
        <w:rPr>
          <w:lang w:val="es-MX"/>
        </w:rPr>
        <w:t>¼</w:t>
      </w:r>
      <w:r w:rsidRPr="0013396E">
        <w:rPr>
          <w:lang w:val="pt-BR"/>
        </w:rPr>
        <w:t xml:space="preserve">) * RTECRREVT </w:t>
      </w:r>
      <w:r w:rsidRPr="0013396E">
        <w:rPr>
          <w:bCs/>
          <w:i/>
          <w:iCs/>
          <w:sz w:val="16"/>
          <w:szCs w:val="16"/>
          <w:lang w:val="pt-BR"/>
        </w:rPr>
        <w:t>q, r, p</w:t>
      </w:r>
    </w:p>
    <w:p w14:paraId="7A9E53C3" w14:textId="77777777" w:rsidR="00C236A2" w:rsidRPr="0013396E" w:rsidRDefault="00C236A2" w:rsidP="00C236A2">
      <w:pPr>
        <w:tabs>
          <w:tab w:val="left" w:pos="2340"/>
          <w:tab w:val="left" w:pos="2880"/>
        </w:tabs>
        <w:spacing w:after="240"/>
        <w:ind w:left="987" w:hanging="269"/>
        <w:rPr>
          <w:bCs/>
          <w:lang w:val="pt-BR"/>
        </w:rPr>
      </w:pPr>
      <w:r w:rsidRPr="0013396E">
        <w:rPr>
          <w:bCs/>
          <w:lang w:val="pt-BR"/>
        </w:rPr>
        <w:t>RTECRREVT</w:t>
      </w:r>
      <w:r w:rsidRPr="0013396E">
        <w:rPr>
          <w:bCs/>
          <w:i/>
          <w:vertAlign w:val="subscript"/>
          <w:lang w:val="pt-BR"/>
        </w:rPr>
        <w:t>q, r, p</w:t>
      </w:r>
      <w:r w:rsidRPr="0013396E">
        <w:rPr>
          <w:bCs/>
          <w:lang w:val="pt-BR"/>
        </w:rPr>
        <w:tab/>
        <w:t>=</w:t>
      </w:r>
      <w:r w:rsidRPr="0013396E">
        <w:rPr>
          <w:bCs/>
          <w:lang w:val="pt-BR"/>
        </w:rPr>
        <w:tab/>
        <w:t xml:space="preserve">RTECRWAPR </w:t>
      </w:r>
      <w:r w:rsidRPr="0013396E">
        <w:rPr>
          <w:bCs/>
          <w:i/>
          <w:vertAlign w:val="subscript"/>
          <w:lang w:val="pt-BR"/>
        </w:rPr>
        <w:t>q, r, p</w:t>
      </w:r>
      <w:r w:rsidRPr="0013396E">
        <w:rPr>
          <w:bCs/>
          <w:lang w:val="pt-BR"/>
        </w:rPr>
        <w:t xml:space="preserve"> * RTECRAWD </w:t>
      </w:r>
      <w:r w:rsidRPr="0013396E">
        <w:rPr>
          <w:bCs/>
          <w:i/>
          <w:vertAlign w:val="subscript"/>
          <w:lang w:val="pt-BR"/>
        </w:rPr>
        <w:t>q, r</w:t>
      </w:r>
    </w:p>
    <w:p w14:paraId="27004AC4" w14:textId="77777777" w:rsidR="00C236A2" w:rsidRPr="0013396E" w:rsidRDefault="00C236A2" w:rsidP="00C236A2">
      <w:pPr>
        <w:tabs>
          <w:tab w:val="left" w:pos="2340"/>
          <w:tab w:val="left" w:pos="2880"/>
        </w:tabs>
        <w:spacing w:after="240"/>
        <w:ind w:left="987" w:hanging="269"/>
        <w:rPr>
          <w:bCs/>
          <w:lang w:val="es-MX"/>
        </w:rPr>
      </w:pPr>
      <w:r w:rsidRPr="0013396E">
        <w:rPr>
          <w:bCs/>
          <w:lang w:val="pt-BR"/>
        </w:rPr>
        <w:t xml:space="preserve">RTECRWAPR </w:t>
      </w:r>
      <w:r w:rsidRPr="0013396E">
        <w:rPr>
          <w:bCs/>
          <w:i/>
          <w:vertAlign w:val="subscript"/>
          <w:lang w:val="pt-BR"/>
        </w:rPr>
        <w:t>q, r, p</w:t>
      </w:r>
      <w:r w:rsidRPr="0013396E">
        <w:rPr>
          <w:bCs/>
          <w:lang w:val="pt-BR"/>
        </w:rPr>
        <w:tab/>
        <w:t xml:space="preserve">=  </w:t>
      </w:r>
      <w:r w:rsidRPr="0013396E">
        <w:rPr>
          <w:bCs/>
          <w:lang w:val="pt-BR"/>
        </w:rPr>
        <w:tab/>
      </w:r>
      <w:r w:rsidRPr="0013396E">
        <w:rPr>
          <w:bCs/>
          <w:position w:val="-22"/>
        </w:rPr>
        <w:object w:dxaOrig="225" w:dyaOrig="450" w14:anchorId="4EBAA502">
          <v:shape id="_x0000_i1220" type="#_x0000_t75" style="width:12pt;height:24pt" o:ole="">
            <v:imagedata r:id="rId255" o:title=""/>
          </v:shape>
          <o:OLEObject Type="Embed" ProgID="Equation.3" ShapeID="_x0000_i1220" DrawAspect="Content" ObjectID="_1849065850" r:id="rId277"/>
        </w:object>
      </w:r>
      <w:r w:rsidRPr="0013396E">
        <w:rPr>
          <w:bCs/>
          <w:lang w:val="pt-BR"/>
        </w:rPr>
        <w:t xml:space="preserve">(RTECROPR </w:t>
      </w:r>
      <w:r w:rsidRPr="0013396E">
        <w:rPr>
          <w:bCs/>
          <w:i/>
          <w:vertAlign w:val="subscript"/>
          <w:lang w:val="pt-BR"/>
        </w:rPr>
        <w:t>q, r, y</w:t>
      </w:r>
      <w:r w:rsidRPr="0013396E">
        <w:rPr>
          <w:bCs/>
          <w:lang w:val="pt-BR"/>
        </w:rPr>
        <w:t xml:space="preserve"> * Max (0.001, RTECRAWDS </w:t>
      </w:r>
      <w:r w:rsidRPr="0013396E">
        <w:rPr>
          <w:bCs/>
          <w:i/>
          <w:vertAlign w:val="subscript"/>
          <w:lang w:val="pt-BR"/>
        </w:rPr>
        <w:t>q, r, y</w:t>
      </w:r>
      <w:r w:rsidRPr="0013396E">
        <w:rPr>
          <w:bCs/>
          <w:lang w:val="es-MX"/>
        </w:rPr>
        <w:t>)</w:t>
      </w:r>
      <w:r w:rsidRPr="0013396E">
        <w:rPr>
          <w:bCs/>
          <w:lang w:val="pt-BR"/>
        </w:rPr>
        <w:t xml:space="preserve"> * TLMP </w:t>
      </w:r>
      <w:r w:rsidRPr="0013396E">
        <w:rPr>
          <w:bCs/>
          <w:i/>
          <w:vertAlign w:val="subscript"/>
          <w:lang w:val="pt-BR"/>
        </w:rPr>
        <w:t>y</w:t>
      </w:r>
      <w:r w:rsidRPr="0013396E">
        <w:rPr>
          <w:bCs/>
          <w:lang w:val="pt-BR"/>
        </w:rPr>
        <w:t xml:space="preserve">) </w:t>
      </w:r>
      <w:r w:rsidRPr="0013396E">
        <w:rPr>
          <w:b/>
          <w:bCs/>
          <w:sz w:val="32"/>
          <w:szCs w:val="32"/>
          <w:lang w:val="pt-BR"/>
        </w:rPr>
        <w:t>/</w:t>
      </w:r>
      <w:r w:rsidRPr="0013396E">
        <w:rPr>
          <w:bCs/>
        </w:rPr>
        <w:tab/>
      </w:r>
      <w:r w:rsidRPr="0013396E">
        <w:rPr>
          <w:bCs/>
          <w:position w:val="-22"/>
        </w:rPr>
        <w:object w:dxaOrig="225" w:dyaOrig="450" w14:anchorId="69590B93">
          <v:shape id="_x0000_i1221" type="#_x0000_t75" style="width:12pt;height:24pt" o:ole="">
            <v:imagedata r:id="rId257" o:title=""/>
          </v:shape>
          <o:OLEObject Type="Embed" ProgID="Equation.3" ShapeID="_x0000_i1221" DrawAspect="Content" ObjectID="_1849065851" r:id="rId278"/>
        </w:object>
      </w:r>
      <w:r w:rsidRPr="0013396E">
        <w:rPr>
          <w:bCs/>
          <w:lang w:val="es-MX"/>
        </w:rPr>
        <w:t>(</w:t>
      </w:r>
      <w:r w:rsidRPr="0013396E">
        <w:rPr>
          <w:bCs/>
          <w:lang w:val="pt-BR"/>
        </w:rPr>
        <w:t xml:space="preserve">Max (0.001, </w:t>
      </w:r>
      <w:r w:rsidRPr="0013396E">
        <w:rPr>
          <w:bCs/>
          <w:lang w:val="es-MX"/>
        </w:rPr>
        <w:t xml:space="preserve">RTECRAWDS </w:t>
      </w:r>
      <w:r w:rsidRPr="0013396E">
        <w:rPr>
          <w:bCs/>
          <w:i/>
          <w:vertAlign w:val="subscript"/>
          <w:lang w:val="es-MX"/>
        </w:rPr>
        <w:t>q, r, y</w:t>
      </w:r>
      <w:r w:rsidRPr="0013396E">
        <w:rPr>
          <w:bCs/>
          <w:lang w:val="es-MX"/>
        </w:rPr>
        <w:t>)</w:t>
      </w:r>
      <w:r w:rsidRPr="0013396E">
        <w:rPr>
          <w:bCs/>
          <w:i/>
          <w:vertAlign w:val="subscript"/>
          <w:lang w:val="es-MX"/>
        </w:rPr>
        <w:t xml:space="preserve"> </w:t>
      </w:r>
      <w:r w:rsidRPr="0013396E">
        <w:rPr>
          <w:bCs/>
          <w:lang w:val="es-MX"/>
        </w:rPr>
        <w:t>* TLMP</w:t>
      </w:r>
      <w:r w:rsidRPr="0013396E">
        <w:rPr>
          <w:bCs/>
          <w:i/>
          <w:vertAlign w:val="subscript"/>
          <w:lang w:val="es-MX"/>
        </w:rPr>
        <w:t xml:space="preserve"> y</w:t>
      </w:r>
      <w:r w:rsidRPr="0013396E">
        <w:rPr>
          <w:bCs/>
          <w:lang w:val="es-MX"/>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83E7E" w:rsidRPr="0013396E" w14:paraId="1E315132" w14:textId="77777777" w:rsidTr="00A86863">
        <w:trPr>
          <w:trHeight w:val="206"/>
        </w:trPr>
        <w:tc>
          <w:tcPr>
            <w:tcW w:w="9350" w:type="dxa"/>
            <w:shd w:val="pct12" w:color="auto" w:fill="auto"/>
          </w:tcPr>
          <w:p w14:paraId="12367664" w14:textId="5FF8411C" w:rsidR="00583E7E" w:rsidRPr="0013396E" w:rsidRDefault="00583E7E" w:rsidP="00A8686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language below</w:t>
            </w:r>
            <w:r w:rsidRPr="0013396E">
              <w:rPr>
                <w:b/>
                <w:i/>
                <w:iCs/>
                <w:szCs w:val="24"/>
              </w:rPr>
              <w:t xml:space="preserve"> upon system implementation:]</w:t>
            </w:r>
          </w:p>
          <w:p w14:paraId="24101613" w14:textId="37B26DD5" w:rsidR="00583E7E" w:rsidRPr="00583E7E" w:rsidRDefault="00583E7E" w:rsidP="00583E7E">
            <w:pPr>
              <w:tabs>
                <w:tab w:val="left" w:pos="2340"/>
                <w:tab w:val="left" w:pos="2880"/>
              </w:tabs>
              <w:spacing w:after="240"/>
              <w:ind w:left="987" w:hanging="269"/>
              <w:rPr>
                <w:szCs w:val="24"/>
              </w:rPr>
            </w:pPr>
            <w:r w:rsidRPr="00583E7E">
              <w:rPr>
                <w:szCs w:val="24"/>
              </w:rPr>
              <w:t>Where for DRRS:</w:t>
            </w:r>
          </w:p>
          <w:p w14:paraId="182BA6EE" w14:textId="77777777" w:rsidR="00583E7E" w:rsidRPr="00583E7E" w:rsidRDefault="00583E7E" w:rsidP="00583E7E">
            <w:pPr>
              <w:spacing w:after="240"/>
              <w:ind w:left="2340" w:hanging="1620"/>
              <w:rPr>
                <w:bCs/>
                <w:i/>
                <w:iCs/>
                <w:sz w:val="16"/>
                <w:szCs w:val="16"/>
                <w:lang w:val="pt-BR"/>
              </w:rPr>
            </w:pPr>
            <w:r w:rsidRPr="00583E7E">
              <w:rPr>
                <w:lang w:val="pt-BR"/>
              </w:rPr>
              <w:t xml:space="preserve">RTDRRNET </w:t>
            </w:r>
            <w:r w:rsidRPr="00583E7E">
              <w:rPr>
                <w:bCs/>
                <w:i/>
                <w:iCs/>
                <w:sz w:val="16"/>
                <w:szCs w:val="16"/>
                <w:lang w:val="pt-BR"/>
              </w:rPr>
              <w:t xml:space="preserve">q, r </w:t>
            </w:r>
            <w:r w:rsidRPr="00583E7E">
              <w:rPr>
                <w:lang w:val="pt-BR"/>
              </w:rPr>
              <w:t xml:space="preserve"> </w:t>
            </w:r>
            <w:r w:rsidRPr="00583E7E">
              <w:rPr>
                <w:lang w:val="pt-BR"/>
              </w:rPr>
              <w:tab/>
              <w:t xml:space="preserve">= </w:t>
            </w:r>
            <w:r w:rsidRPr="00583E7E">
              <w:rPr>
                <w:lang w:val="pt-BR"/>
              </w:rPr>
              <w:tab/>
            </w:r>
            <w:r w:rsidRPr="00583E7E">
              <w:rPr>
                <w:iCs/>
                <w:lang w:val="pt-BR"/>
              </w:rPr>
              <w:t xml:space="preserve">RTDRRREV </w:t>
            </w:r>
            <w:r w:rsidRPr="00583E7E">
              <w:rPr>
                <w:i/>
                <w:vertAlign w:val="subscript"/>
                <w:lang w:val="pt-BR"/>
              </w:rPr>
              <w:t xml:space="preserve">q, r </w:t>
            </w:r>
            <w:r w:rsidRPr="00583E7E">
              <w:rPr>
                <w:lang w:val="pt-BR"/>
              </w:rPr>
              <w:t>- (</w:t>
            </w:r>
            <w:r w:rsidRPr="00583E7E">
              <w:rPr>
                <w:lang w:val="es-MX"/>
              </w:rPr>
              <w:t>¼</w:t>
            </w:r>
            <w:r w:rsidRPr="00583E7E">
              <w:rPr>
                <w:lang w:val="pt-BR"/>
              </w:rPr>
              <w:t xml:space="preserve">) * RTDRRREVT </w:t>
            </w:r>
            <w:r w:rsidRPr="00583E7E">
              <w:rPr>
                <w:bCs/>
                <w:i/>
                <w:iCs/>
                <w:sz w:val="16"/>
                <w:szCs w:val="16"/>
                <w:lang w:val="pt-BR"/>
              </w:rPr>
              <w:t>q, r, p</w:t>
            </w:r>
          </w:p>
          <w:p w14:paraId="5DAFABA3" w14:textId="77777777" w:rsidR="00583E7E" w:rsidRPr="00583E7E" w:rsidRDefault="00583E7E" w:rsidP="00583E7E">
            <w:pPr>
              <w:tabs>
                <w:tab w:val="left" w:pos="2340"/>
                <w:tab w:val="left" w:pos="2880"/>
              </w:tabs>
              <w:spacing w:after="240"/>
              <w:ind w:left="987" w:hanging="269"/>
              <w:rPr>
                <w:bCs/>
                <w:lang w:val="pt-BR"/>
              </w:rPr>
            </w:pPr>
            <w:r w:rsidRPr="00583E7E">
              <w:rPr>
                <w:bCs/>
                <w:lang w:val="pt-BR"/>
              </w:rPr>
              <w:t>RTDRRREVT</w:t>
            </w:r>
            <w:r w:rsidRPr="00583E7E">
              <w:rPr>
                <w:bCs/>
                <w:i/>
                <w:vertAlign w:val="subscript"/>
                <w:lang w:val="pt-BR"/>
              </w:rPr>
              <w:t>q, r, p</w:t>
            </w:r>
            <w:r w:rsidRPr="00583E7E">
              <w:rPr>
                <w:bCs/>
                <w:lang w:val="pt-BR"/>
              </w:rPr>
              <w:tab/>
              <w:t>=</w:t>
            </w:r>
            <w:r w:rsidRPr="00583E7E">
              <w:rPr>
                <w:bCs/>
                <w:lang w:val="pt-BR"/>
              </w:rPr>
              <w:tab/>
              <w:t xml:space="preserve">RTDRRWAPR </w:t>
            </w:r>
            <w:r w:rsidRPr="00583E7E">
              <w:rPr>
                <w:bCs/>
                <w:i/>
                <w:vertAlign w:val="subscript"/>
                <w:lang w:val="pt-BR"/>
              </w:rPr>
              <w:t>q, r, p</w:t>
            </w:r>
            <w:r w:rsidRPr="00583E7E">
              <w:rPr>
                <w:bCs/>
                <w:lang w:val="pt-BR"/>
              </w:rPr>
              <w:t xml:space="preserve"> * RTDRRAWD </w:t>
            </w:r>
            <w:r w:rsidRPr="00583E7E">
              <w:rPr>
                <w:bCs/>
                <w:i/>
                <w:vertAlign w:val="subscript"/>
                <w:lang w:val="pt-BR"/>
              </w:rPr>
              <w:t>q, r</w:t>
            </w:r>
          </w:p>
          <w:p w14:paraId="4E689BE4" w14:textId="5BD49348" w:rsidR="00583E7E" w:rsidRPr="00583E7E" w:rsidRDefault="00583E7E" w:rsidP="00583E7E">
            <w:pPr>
              <w:tabs>
                <w:tab w:val="left" w:pos="2340"/>
                <w:tab w:val="left" w:pos="2880"/>
              </w:tabs>
              <w:spacing w:after="240"/>
              <w:ind w:left="987" w:hanging="269"/>
              <w:rPr>
                <w:szCs w:val="24"/>
                <w:lang w:val="es-MX"/>
              </w:rPr>
            </w:pPr>
            <w:r w:rsidRPr="00583E7E">
              <w:rPr>
                <w:szCs w:val="24"/>
                <w:lang w:val="pt-BR"/>
              </w:rPr>
              <w:t xml:space="preserve">RTDRRWAPR </w:t>
            </w:r>
            <w:r w:rsidRPr="00583E7E">
              <w:rPr>
                <w:i/>
                <w:iCs/>
                <w:szCs w:val="24"/>
                <w:vertAlign w:val="subscript"/>
                <w:lang w:val="pt-BR"/>
              </w:rPr>
              <w:t>q, r, p</w:t>
            </w:r>
            <w:r w:rsidRPr="00583E7E">
              <w:rPr>
                <w:rFonts w:eastAsia="SimSun"/>
                <w:szCs w:val="24"/>
              </w:rPr>
              <w:tab/>
            </w:r>
            <w:r w:rsidRPr="00583E7E">
              <w:rPr>
                <w:szCs w:val="24"/>
                <w:lang w:val="pt-BR"/>
              </w:rPr>
              <w:t xml:space="preserve">=  </w:t>
            </w:r>
            <w:r w:rsidRPr="00583E7E">
              <w:rPr>
                <w:rFonts w:eastAsia="SimSun"/>
                <w:szCs w:val="24"/>
              </w:rPr>
              <w:tab/>
            </w:r>
            <w:r w:rsidRPr="00583E7E">
              <w:rPr>
                <w:b/>
                <w:bCs/>
                <w:position w:val="-22"/>
                <w:szCs w:val="24"/>
              </w:rPr>
              <w:object w:dxaOrig="225" w:dyaOrig="465" w14:anchorId="3A222031">
                <v:shape id="_x0000_i1222" type="#_x0000_t75" style="width:22.8pt;height:28.8pt" o:ole="">
                  <v:imagedata r:id="rId20" o:title=""/>
                </v:shape>
                <o:OLEObject Type="Embed" ProgID="Equation.3" ShapeID="_x0000_i1222" DrawAspect="Content" ObjectID="_1849065852" r:id="rId279"/>
              </w:object>
            </w:r>
            <w:r w:rsidRPr="00583E7E">
              <w:rPr>
                <w:szCs w:val="24"/>
                <w:lang w:val="pt-BR"/>
              </w:rPr>
              <w:t xml:space="preserve">(RTDRROPR </w:t>
            </w:r>
            <w:r w:rsidRPr="00583E7E">
              <w:rPr>
                <w:i/>
                <w:iCs/>
                <w:szCs w:val="24"/>
                <w:vertAlign w:val="subscript"/>
                <w:lang w:val="pt-BR"/>
              </w:rPr>
              <w:t>q, r, y</w:t>
            </w:r>
            <w:r w:rsidRPr="00583E7E">
              <w:rPr>
                <w:szCs w:val="24"/>
                <w:lang w:val="pt-BR"/>
              </w:rPr>
              <w:t xml:space="preserve"> * Max (0.001, RTDRRAWDS </w:t>
            </w:r>
            <w:r w:rsidRPr="00583E7E">
              <w:rPr>
                <w:i/>
                <w:iCs/>
                <w:szCs w:val="24"/>
                <w:vertAlign w:val="subscript"/>
                <w:lang w:val="pt-BR"/>
              </w:rPr>
              <w:t>q, r, y</w:t>
            </w:r>
            <w:r w:rsidRPr="00583E7E">
              <w:rPr>
                <w:szCs w:val="24"/>
                <w:lang w:val="es-MX"/>
              </w:rPr>
              <w:t>)</w:t>
            </w:r>
            <w:r w:rsidRPr="00583E7E">
              <w:rPr>
                <w:szCs w:val="24"/>
                <w:lang w:val="pt-BR"/>
              </w:rPr>
              <w:t xml:space="preserve"> * TLMP </w:t>
            </w:r>
            <w:r w:rsidRPr="00583E7E">
              <w:rPr>
                <w:i/>
                <w:iCs/>
                <w:szCs w:val="24"/>
                <w:vertAlign w:val="subscript"/>
                <w:lang w:val="pt-BR"/>
              </w:rPr>
              <w:t>y</w:t>
            </w:r>
            <w:r w:rsidRPr="00583E7E">
              <w:rPr>
                <w:szCs w:val="24"/>
                <w:lang w:val="pt-BR"/>
              </w:rPr>
              <w:t xml:space="preserve">) </w:t>
            </w:r>
            <w:r w:rsidRPr="00583E7E">
              <w:rPr>
                <w:b/>
                <w:bCs/>
                <w:sz w:val="32"/>
                <w:szCs w:val="32"/>
                <w:lang w:val="pt-BR"/>
              </w:rPr>
              <w:t>/</w:t>
            </w:r>
            <w:r w:rsidRPr="00583E7E">
              <w:rPr>
                <w:rFonts w:eastAsia="SimSun"/>
                <w:szCs w:val="24"/>
              </w:rPr>
              <w:tab/>
            </w:r>
            <w:r w:rsidRPr="00583E7E">
              <w:rPr>
                <w:szCs w:val="24"/>
                <w:lang w:val="es-MX"/>
              </w:rPr>
              <w:t xml:space="preserve"> </w:t>
            </w:r>
            <w:r w:rsidRPr="00583E7E">
              <w:rPr>
                <w:b/>
                <w:bCs/>
                <w:position w:val="-22"/>
                <w:szCs w:val="24"/>
              </w:rPr>
              <w:object w:dxaOrig="225" w:dyaOrig="465" w14:anchorId="4A39BCE2">
                <v:shape id="_x0000_i1223" type="#_x0000_t75" style="width:22.8pt;height:28.8pt" o:ole="">
                  <v:imagedata r:id="rId20" o:title=""/>
                </v:shape>
                <o:OLEObject Type="Embed" ProgID="Equation.3" ShapeID="_x0000_i1223" DrawAspect="Content" ObjectID="_1849065853" r:id="rId280"/>
              </w:object>
            </w:r>
            <w:r w:rsidRPr="00583E7E">
              <w:rPr>
                <w:szCs w:val="24"/>
                <w:lang w:val="es-MX"/>
              </w:rPr>
              <w:t>(</w:t>
            </w:r>
            <w:r w:rsidRPr="00583E7E">
              <w:rPr>
                <w:szCs w:val="24"/>
                <w:lang w:val="pt-BR"/>
              </w:rPr>
              <w:t xml:space="preserve">Max (0.001, </w:t>
            </w:r>
            <w:r w:rsidRPr="00583E7E">
              <w:rPr>
                <w:szCs w:val="24"/>
                <w:lang w:val="es-MX"/>
              </w:rPr>
              <w:t xml:space="preserve">RTDRRAWDS </w:t>
            </w:r>
            <w:r w:rsidRPr="00583E7E">
              <w:rPr>
                <w:i/>
                <w:iCs/>
                <w:szCs w:val="24"/>
                <w:vertAlign w:val="subscript"/>
                <w:lang w:val="es-MX"/>
              </w:rPr>
              <w:t>q, r, y</w:t>
            </w:r>
            <w:r w:rsidRPr="00583E7E">
              <w:rPr>
                <w:szCs w:val="24"/>
                <w:lang w:val="es-MX"/>
              </w:rPr>
              <w:t>)</w:t>
            </w:r>
            <w:r w:rsidRPr="00583E7E">
              <w:rPr>
                <w:i/>
                <w:iCs/>
                <w:szCs w:val="24"/>
                <w:vertAlign w:val="subscript"/>
                <w:lang w:val="es-MX"/>
              </w:rPr>
              <w:t xml:space="preserve"> </w:t>
            </w:r>
            <w:r w:rsidRPr="00583E7E">
              <w:rPr>
                <w:szCs w:val="24"/>
                <w:lang w:val="es-MX"/>
              </w:rPr>
              <w:t>* TLMP</w:t>
            </w:r>
            <w:r w:rsidRPr="00583E7E">
              <w:rPr>
                <w:i/>
                <w:iCs/>
                <w:szCs w:val="24"/>
                <w:vertAlign w:val="subscript"/>
                <w:lang w:val="es-MX"/>
              </w:rPr>
              <w:t xml:space="preserve"> y</w:t>
            </w:r>
            <w:r w:rsidRPr="00583E7E">
              <w:rPr>
                <w:szCs w:val="24"/>
                <w:lang w:val="es-MX"/>
              </w:rPr>
              <w:t>)</w:t>
            </w:r>
          </w:p>
        </w:tc>
      </w:tr>
    </w:tbl>
    <w:p w14:paraId="51411366" w14:textId="77777777" w:rsidR="00C236A2" w:rsidRPr="0013396E" w:rsidRDefault="00C236A2" w:rsidP="007C3E74">
      <w:pPr>
        <w:spacing w:before="240"/>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7"/>
        <w:gridCol w:w="899"/>
        <w:gridCol w:w="6704"/>
      </w:tblGrid>
      <w:tr w:rsidR="00C236A2" w:rsidRPr="0013396E" w14:paraId="7327000A" w14:textId="77777777" w:rsidTr="0099759E">
        <w:trPr>
          <w:cantSplit/>
          <w:tblHeader/>
        </w:trPr>
        <w:tc>
          <w:tcPr>
            <w:tcW w:w="934" w:type="pct"/>
          </w:tcPr>
          <w:p w14:paraId="489213DC" w14:textId="77777777" w:rsidR="00C236A2" w:rsidRPr="0013396E" w:rsidRDefault="00C236A2" w:rsidP="0099759E">
            <w:pPr>
              <w:spacing w:after="240"/>
              <w:rPr>
                <w:b/>
                <w:iCs/>
                <w:sz w:val="20"/>
              </w:rPr>
            </w:pPr>
            <w:r w:rsidRPr="0013396E">
              <w:rPr>
                <w:b/>
                <w:iCs/>
                <w:sz w:val="20"/>
              </w:rPr>
              <w:t>Variable</w:t>
            </w:r>
          </w:p>
        </w:tc>
        <w:tc>
          <w:tcPr>
            <w:tcW w:w="481" w:type="pct"/>
          </w:tcPr>
          <w:p w14:paraId="2710B6AA" w14:textId="77777777" w:rsidR="00C236A2" w:rsidRPr="0013396E" w:rsidRDefault="00C236A2" w:rsidP="0099759E">
            <w:pPr>
              <w:spacing w:after="240"/>
              <w:rPr>
                <w:b/>
                <w:iCs/>
                <w:sz w:val="20"/>
              </w:rPr>
            </w:pPr>
            <w:r w:rsidRPr="0013396E">
              <w:rPr>
                <w:b/>
                <w:iCs/>
                <w:sz w:val="20"/>
              </w:rPr>
              <w:t>Unit</w:t>
            </w:r>
          </w:p>
        </w:tc>
        <w:tc>
          <w:tcPr>
            <w:tcW w:w="3585" w:type="pct"/>
          </w:tcPr>
          <w:p w14:paraId="473C6622" w14:textId="77777777" w:rsidR="00C236A2" w:rsidRPr="0013396E" w:rsidRDefault="00C236A2" w:rsidP="0099759E">
            <w:pPr>
              <w:spacing w:after="240"/>
              <w:rPr>
                <w:b/>
                <w:iCs/>
                <w:sz w:val="20"/>
              </w:rPr>
            </w:pPr>
            <w:r w:rsidRPr="0013396E">
              <w:rPr>
                <w:b/>
                <w:iCs/>
                <w:sz w:val="20"/>
              </w:rPr>
              <w:t>Definition</w:t>
            </w:r>
          </w:p>
        </w:tc>
      </w:tr>
      <w:tr w:rsidR="00C236A2" w:rsidRPr="0013396E" w14:paraId="7D9D7EF6" w14:textId="77777777" w:rsidTr="0099759E">
        <w:trPr>
          <w:cantSplit/>
        </w:trPr>
        <w:tc>
          <w:tcPr>
            <w:tcW w:w="934" w:type="pct"/>
          </w:tcPr>
          <w:p w14:paraId="3A3969BB" w14:textId="77777777" w:rsidR="00C236A2" w:rsidRPr="0013396E" w:rsidRDefault="00C236A2" w:rsidP="0099759E">
            <w:pPr>
              <w:spacing w:after="60"/>
              <w:rPr>
                <w:iCs/>
                <w:sz w:val="20"/>
              </w:rPr>
            </w:pPr>
            <w:r w:rsidRPr="0013396E">
              <w:rPr>
                <w:iCs/>
                <w:sz w:val="20"/>
              </w:rPr>
              <w:t xml:space="preserve">EMREAMT </w:t>
            </w:r>
            <w:r w:rsidRPr="0013396E">
              <w:rPr>
                <w:i/>
                <w:iCs/>
                <w:sz w:val="20"/>
                <w:vertAlign w:val="subscript"/>
              </w:rPr>
              <w:t>q, r, p</w:t>
            </w:r>
          </w:p>
        </w:tc>
        <w:tc>
          <w:tcPr>
            <w:tcW w:w="481" w:type="pct"/>
          </w:tcPr>
          <w:p w14:paraId="479A0C91" w14:textId="77777777" w:rsidR="00C236A2" w:rsidRPr="0013396E" w:rsidRDefault="00C236A2" w:rsidP="0099759E">
            <w:pPr>
              <w:spacing w:after="60"/>
              <w:rPr>
                <w:iCs/>
                <w:sz w:val="20"/>
              </w:rPr>
            </w:pPr>
            <w:r w:rsidRPr="0013396E">
              <w:rPr>
                <w:iCs/>
                <w:sz w:val="20"/>
              </w:rPr>
              <w:t>$</w:t>
            </w:r>
          </w:p>
        </w:tc>
        <w:tc>
          <w:tcPr>
            <w:tcW w:w="3585" w:type="pct"/>
          </w:tcPr>
          <w:p w14:paraId="7BE0E426" w14:textId="77777777" w:rsidR="00C236A2" w:rsidRPr="0013396E" w:rsidRDefault="00C236A2" w:rsidP="0099759E">
            <w:pPr>
              <w:spacing w:after="60"/>
              <w:rPr>
                <w:iCs/>
                <w:sz w:val="20"/>
              </w:rPr>
            </w:pPr>
            <w:r w:rsidRPr="0013396E">
              <w:rPr>
                <w:i/>
                <w:iCs/>
                <w:sz w:val="20"/>
              </w:rPr>
              <w:t>Emergency Energy Amount per QSE per Settlement Point per Resource</w:t>
            </w:r>
            <w:r w:rsidRPr="0013396E">
              <w:rPr>
                <w:iCs/>
                <w:sz w:val="20"/>
              </w:rPr>
              <w:t xml:space="preserve">—The payment to QSE </w:t>
            </w:r>
            <w:r w:rsidRPr="0013396E">
              <w:rPr>
                <w:i/>
                <w:iCs/>
                <w:sz w:val="20"/>
              </w:rPr>
              <w:t>q</w:t>
            </w:r>
            <w:r w:rsidRPr="0013396E">
              <w:rPr>
                <w:iCs/>
                <w:sz w:val="20"/>
              </w:rPr>
              <w:t xml:space="preserve"> as additional compensation for the additional energy or Ancillary Services produced or consumed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in Real-Time during the Emergency Condition or Watch,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029D29BE" w14:textId="77777777" w:rsidTr="0099759E">
        <w:trPr>
          <w:cantSplit/>
        </w:trPr>
        <w:tc>
          <w:tcPr>
            <w:tcW w:w="934" w:type="pct"/>
          </w:tcPr>
          <w:p w14:paraId="1E1C98A2" w14:textId="77777777" w:rsidR="00C236A2" w:rsidRPr="0013396E" w:rsidRDefault="00C236A2" w:rsidP="0099759E">
            <w:pPr>
              <w:spacing w:after="60"/>
              <w:rPr>
                <w:iCs/>
                <w:sz w:val="20"/>
              </w:rPr>
            </w:pPr>
            <w:r w:rsidRPr="0013396E">
              <w:rPr>
                <w:iCs/>
                <w:sz w:val="20"/>
                <w:lang w:val="pt-BR"/>
              </w:rPr>
              <w:t xml:space="preserve">RTENET </w:t>
            </w:r>
            <w:r w:rsidRPr="0013396E">
              <w:rPr>
                <w:i/>
                <w:iCs/>
                <w:sz w:val="20"/>
                <w:vertAlign w:val="subscript"/>
                <w:lang w:val="pt-BR"/>
              </w:rPr>
              <w:t>q, r, p</w:t>
            </w:r>
          </w:p>
        </w:tc>
        <w:tc>
          <w:tcPr>
            <w:tcW w:w="481" w:type="pct"/>
          </w:tcPr>
          <w:p w14:paraId="4A183CAB" w14:textId="77777777" w:rsidR="00C236A2" w:rsidRPr="0013396E" w:rsidRDefault="00C236A2" w:rsidP="0099759E">
            <w:pPr>
              <w:spacing w:after="60"/>
              <w:rPr>
                <w:iCs/>
                <w:sz w:val="20"/>
              </w:rPr>
            </w:pPr>
            <w:r w:rsidRPr="0013396E">
              <w:rPr>
                <w:iCs/>
                <w:sz w:val="20"/>
              </w:rPr>
              <w:t>$</w:t>
            </w:r>
          </w:p>
        </w:tc>
        <w:tc>
          <w:tcPr>
            <w:tcW w:w="3585" w:type="pct"/>
          </w:tcPr>
          <w:p w14:paraId="1EDC4058" w14:textId="77777777" w:rsidR="00C236A2" w:rsidRPr="0013396E" w:rsidRDefault="00C236A2" w:rsidP="0099759E">
            <w:pPr>
              <w:spacing w:after="60"/>
              <w:rPr>
                <w:iCs/>
                <w:sz w:val="20"/>
              </w:rPr>
            </w:pPr>
            <w:r w:rsidRPr="0013396E">
              <w:rPr>
                <w:i/>
                <w:iCs/>
                <w:sz w:val="20"/>
              </w:rPr>
              <w:t>Real-Time Energy Net Revenue</w:t>
            </w:r>
            <w:r w:rsidRPr="0013396E">
              <w:rPr>
                <w:iCs/>
                <w:sz w:val="20"/>
              </w:rPr>
              <w:t xml:space="preserve">—The net difference between the Real-Time Energy Revenue and the Real-Time Energy Revenue Target for QSE </w:t>
            </w:r>
            <w:r w:rsidRPr="0013396E">
              <w:rPr>
                <w:i/>
                <w:iCs/>
                <w:sz w:val="20"/>
              </w:rPr>
              <w:t xml:space="preserve">q </w:t>
            </w:r>
            <w:r w:rsidRPr="0013396E">
              <w:rPr>
                <w:iCs/>
                <w:sz w:val="20"/>
              </w:rPr>
              <w:t xml:space="preserve">for Resource </w:t>
            </w:r>
            <w:r w:rsidRPr="0013396E">
              <w:rPr>
                <w:i/>
                <w:iCs/>
                <w:sz w:val="20"/>
              </w:rPr>
              <w:t xml:space="preserve">r </w:t>
            </w:r>
            <w:r w:rsidRPr="0013396E">
              <w:rPr>
                <w:iCs/>
                <w:sz w:val="20"/>
              </w:rPr>
              <w:t xml:space="preserve">at Resource node </w:t>
            </w:r>
            <w:r w:rsidRPr="0013396E">
              <w:rPr>
                <w:i/>
                <w:iCs/>
                <w:sz w:val="20"/>
              </w:rPr>
              <w:t xml:space="preserve">p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035A4011" w14:textId="77777777" w:rsidTr="0099759E">
        <w:trPr>
          <w:cantSplit/>
        </w:trPr>
        <w:tc>
          <w:tcPr>
            <w:tcW w:w="934" w:type="pct"/>
          </w:tcPr>
          <w:p w14:paraId="62571339" w14:textId="77777777" w:rsidR="00C236A2" w:rsidRPr="0013396E" w:rsidRDefault="00C236A2" w:rsidP="0099759E">
            <w:pPr>
              <w:spacing w:after="60"/>
              <w:rPr>
                <w:iCs/>
                <w:sz w:val="20"/>
                <w:lang w:val="pt-BR"/>
              </w:rPr>
            </w:pPr>
            <w:r w:rsidRPr="0013396E">
              <w:rPr>
                <w:iCs/>
                <w:sz w:val="20"/>
              </w:rPr>
              <w:t xml:space="preserve">RTASNET </w:t>
            </w:r>
            <w:r w:rsidRPr="0013396E">
              <w:rPr>
                <w:bCs/>
                <w:i/>
                <w:sz w:val="20"/>
                <w:vertAlign w:val="subscript"/>
              </w:rPr>
              <w:t>q, r</w:t>
            </w:r>
          </w:p>
        </w:tc>
        <w:tc>
          <w:tcPr>
            <w:tcW w:w="481" w:type="pct"/>
          </w:tcPr>
          <w:p w14:paraId="41894A33" w14:textId="77777777" w:rsidR="00C236A2" w:rsidRPr="0013396E" w:rsidRDefault="00C236A2" w:rsidP="0099759E">
            <w:pPr>
              <w:spacing w:after="60"/>
              <w:rPr>
                <w:iCs/>
                <w:sz w:val="20"/>
              </w:rPr>
            </w:pPr>
            <w:r w:rsidRPr="0013396E">
              <w:rPr>
                <w:iCs/>
                <w:sz w:val="20"/>
              </w:rPr>
              <w:t>$</w:t>
            </w:r>
          </w:p>
        </w:tc>
        <w:tc>
          <w:tcPr>
            <w:tcW w:w="3585" w:type="pct"/>
          </w:tcPr>
          <w:p w14:paraId="4AF064DD" w14:textId="77777777" w:rsidR="00C236A2" w:rsidRPr="0013396E" w:rsidRDefault="00C236A2" w:rsidP="0099759E">
            <w:pPr>
              <w:spacing w:after="60"/>
              <w:rPr>
                <w:i/>
                <w:iCs/>
                <w:sz w:val="20"/>
              </w:rPr>
            </w:pPr>
            <w:r w:rsidRPr="0013396E">
              <w:rPr>
                <w:i/>
                <w:iCs/>
                <w:sz w:val="20"/>
              </w:rPr>
              <w:t>Real-Time Ancillary Service Net Revenue</w:t>
            </w:r>
            <w:r w:rsidRPr="0013396E">
              <w:rPr>
                <w:iCs/>
                <w:sz w:val="20"/>
              </w:rPr>
              <w:t xml:space="preserve">—The sum of the Ancillary Service net revenues for QSE </w:t>
            </w:r>
            <w:r w:rsidRPr="0013396E">
              <w:rPr>
                <w:i/>
                <w:iCs/>
                <w:sz w:val="20"/>
              </w:rPr>
              <w:t xml:space="preserve">q </w:t>
            </w:r>
            <w:r w:rsidRPr="0013396E">
              <w:rPr>
                <w:iCs/>
                <w:sz w:val="20"/>
              </w:rPr>
              <w:t xml:space="preserve">for 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1A85E26B" w14:textId="77777777" w:rsidTr="0099759E">
        <w:trPr>
          <w:cantSplit/>
        </w:trPr>
        <w:tc>
          <w:tcPr>
            <w:tcW w:w="934" w:type="pct"/>
          </w:tcPr>
          <w:p w14:paraId="38586E1E" w14:textId="77777777" w:rsidR="00C236A2" w:rsidRPr="0013396E" w:rsidRDefault="00C236A2" w:rsidP="0099759E">
            <w:pPr>
              <w:spacing w:after="60"/>
              <w:rPr>
                <w:bCs/>
                <w:sz w:val="20"/>
              </w:rPr>
            </w:pPr>
            <w:r w:rsidRPr="0013396E">
              <w:rPr>
                <w:iCs/>
                <w:sz w:val="20"/>
              </w:rPr>
              <w:t xml:space="preserve">RTEREV </w:t>
            </w:r>
            <w:r w:rsidRPr="0013396E">
              <w:rPr>
                <w:i/>
                <w:iCs/>
                <w:sz w:val="20"/>
                <w:vertAlign w:val="subscript"/>
              </w:rPr>
              <w:t>q, r, p</w:t>
            </w:r>
          </w:p>
        </w:tc>
        <w:tc>
          <w:tcPr>
            <w:tcW w:w="481" w:type="pct"/>
          </w:tcPr>
          <w:p w14:paraId="3385599A" w14:textId="77777777" w:rsidR="00C236A2" w:rsidRPr="0013396E" w:rsidRDefault="00C236A2" w:rsidP="0099759E">
            <w:pPr>
              <w:spacing w:after="60"/>
              <w:rPr>
                <w:iCs/>
                <w:sz w:val="20"/>
              </w:rPr>
            </w:pPr>
            <w:r w:rsidRPr="0013396E">
              <w:rPr>
                <w:iCs/>
                <w:sz w:val="20"/>
              </w:rPr>
              <w:t>$</w:t>
            </w:r>
          </w:p>
        </w:tc>
        <w:tc>
          <w:tcPr>
            <w:tcW w:w="3585" w:type="pct"/>
          </w:tcPr>
          <w:p w14:paraId="1DCB4795" w14:textId="77777777" w:rsidR="00C236A2" w:rsidRPr="0013396E" w:rsidRDefault="00C236A2" w:rsidP="0099759E">
            <w:pPr>
              <w:spacing w:after="60"/>
              <w:rPr>
                <w:i/>
                <w:iCs/>
                <w:sz w:val="20"/>
              </w:rPr>
            </w:pPr>
            <w:r w:rsidRPr="0013396E">
              <w:rPr>
                <w:i/>
                <w:iCs/>
                <w:sz w:val="20"/>
              </w:rPr>
              <w:t>Real-Time Energy Revenue</w:t>
            </w:r>
            <w:r w:rsidRPr="0013396E">
              <w:rPr>
                <w:iCs/>
                <w:sz w:val="20"/>
              </w:rPr>
              <w:t xml:space="preserve">—The calculated Real-Time energy revenue at the RTSPP for QSE </w:t>
            </w:r>
            <w:r w:rsidRPr="0013396E">
              <w:rPr>
                <w:i/>
                <w:iCs/>
                <w:sz w:val="20"/>
              </w:rPr>
              <w:t xml:space="preserve">q </w:t>
            </w:r>
            <w:r w:rsidRPr="0013396E">
              <w:rPr>
                <w:iCs/>
                <w:sz w:val="20"/>
              </w:rPr>
              <w:t>calculated for</w:t>
            </w:r>
            <w:r w:rsidRPr="0013396E">
              <w:rPr>
                <w:i/>
                <w:iCs/>
                <w:sz w:val="20"/>
              </w:rPr>
              <w:t xml:space="preserve"> </w:t>
            </w:r>
            <w:r w:rsidRPr="0013396E">
              <w:rPr>
                <w:iCs/>
                <w:sz w:val="20"/>
              </w:rPr>
              <w:t xml:space="preserve">Resource </w:t>
            </w:r>
            <w:r w:rsidRPr="0013396E">
              <w:rPr>
                <w:i/>
                <w:iCs/>
                <w:sz w:val="20"/>
              </w:rPr>
              <w:t>r</w:t>
            </w:r>
            <w:r w:rsidRPr="0013396E">
              <w:rPr>
                <w:iCs/>
                <w:sz w:val="20"/>
              </w:rPr>
              <w:t xml:space="preserve"> at Resource node </w:t>
            </w:r>
            <w:r w:rsidRPr="0013396E">
              <w:rPr>
                <w:i/>
                <w:iCs/>
                <w:sz w:val="20"/>
              </w:rPr>
              <w:t xml:space="preserve">p </w:t>
            </w:r>
            <w:r w:rsidRPr="0013396E">
              <w:rPr>
                <w:iCs/>
                <w:sz w:val="20"/>
              </w:rPr>
              <w:t xml:space="preserve">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3EC31F1A" w14:textId="77777777" w:rsidTr="0099759E">
        <w:trPr>
          <w:cantSplit/>
        </w:trPr>
        <w:tc>
          <w:tcPr>
            <w:tcW w:w="934" w:type="pct"/>
          </w:tcPr>
          <w:p w14:paraId="1D4BDAB2" w14:textId="77777777" w:rsidR="00C236A2" w:rsidRPr="0013396E" w:rsidRDefault="00C236A2" w:rsidP="0099759E">
            <w:pPr>
              <w:spacing w:after="60"/>
              <w:rPr>
                <w:iCs/>
                <w:sz w:val="20"/>
              </w:rPr>
            </w:pPr>
            <w:r w:rsidRPr="0013396E">
              <w:rPr>
                <w:iCs/>
                <w:sz w:val="20"/>
              </w:rPr>
              <w:lastRenderedPageBreak/>
              <w:t xml:space="preserve">EMREGEN </w:t>
            </w:r>
            <w:r w:rsidRPr="0013396E">
              <w:rPr>
                <w:i/>
                <w:iCs/>
                <w:sz w:val="20"/>
                <w:vertAlign w:val="subscript"/>
              </w:rPr>
              <w:t>q, r, p</w:t>
            </w:r>
          </w:p>
        </w:tc>
        <w:tc>
          <w:tcPr>
            <w:tcW w:w="481" w:type="pct"/>
          </w:tcPr>
          <w:p w14:paraId="02119E82" w14:textId="77777777" w:rsidR="00C236A2" w:rsidRPr="0013396E" w:rsidRDefault="00C236A2" w:rsidP="0099759E">
            <w:pPr>
              <w:spacing w:after="60"/>
              <w:rPr>
                <w:iCs/>
                <w:sz w:val="20"/>
              </w:rPr>
            </w:pPr>
            <w:r w:rsidRPr="0013396E">
              <w:rPr>
                <w:iCs/>
                <w:sz w:val="20"/>
              </w:rPr>
              <w:t>MWh</w:t>
            </w:r>
          </w:p>
        </w:tc>
        <w:tc>
          <w:tcPr>
            <w:tcW w:w="3585" w:type="pct"/>
          </w:tcPr>
          <w:p w14:paraId="78FA8B68" w14:textId="77777777" w:rsidR="00C236A2" w:rsidRPr="0013396E" w:rsidRDefault="00C236A2" w:rsidP="0099759E">
            <w:pPr>
              <w:spacing w:after="60"/>
              <w:rPr>
                <w:i/>
                <w:iCs/>
                <w:sz w:val="20"/>
              </w:rPr>
            </w:pPr>
            <w:r w:rsidRPr="0013396E">
              <w:rPr>
                <w:i/>
                <w:iCs/>
                <w:sz w:val="20"/>
              </w:rPr>
              <w:t>Emergency Energy for Generation per QSE per Settlement Point per Resource</w:t>
            </w:r>
            <w:r w:rsidRPr="0013396E">
              <w:rPr>
                <w:iCs/>
                <w:sz w:val="20"/>
              </w:rPr>
              <w:t xml:space="preserve">—The generation produced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during the Emergency Condition or Watch,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0F2BE5B4" w14:textId="77777777" w:rsidTr="0099759E">
        <w:trPr>
          <w:cantSplit/>
        </w:trPr>
        <w:tc>
          <w:tcPr>
            <w:tcW w:w="934" w:type="pct"/>
          </w:tcPr>
          <w:p w14:paraId="5E8CFED6" w14:textId="77777777" w:rsidR="00C236A2" w:rsidRPr="0013396E" w:rsidRDefault="00C236A2" w:rsidP="0099759E">
            <w:pPr>
              <w:spacing w:after="60"/>
              <w:rPr>
                <w:iCs/>
                <w:sz w:val="20"/>
              </w:rPr>
            </w:pPr>
            <w:r w:rsidRPr="0013396E">
              <w:rPr>
                <w:iCs/>
                <w:sz w:val="20"/>
              </w:rPr>
              <w:t xml:space="preserve">EMRELOAD </w:t>
            </w:r>
            <w:r w:rsidRPr="0013396E">
              <w:rPr>
                <w:i/>
                <w:iCs/>
                <w:sz w:val="20"/>
                <w:vertAlign w:val="subscript"/>
              </w:rPr>
              <w:t>q, r, p</w:t>
            </w:r>
          </w:p>
        </w:tc>
        <w:tc>
          <w:tcPr>
            <w:tcW w:w="481" w:type="pct"/>
          </w:tcPr>
          <w:p w14:paraId="62194223" w14:textId="77777777" w:rsidR="00C236A2" w:rsidRPr="0013396E" w:rsidRDefault="00C236A2" w:rsidP="0099759E">
            <w:pPr>
              <w:spacing w:after="60"/>
              <w:rPr>
                <w:iCs/>
                <w:sz w:val="20"/>
              </w:rPr>
            </w:pPr>
            <w:r w:rsidRPr="0013396E">
              <w:rPr>
                <w:iCs/>
                <w:sz w:val="20"/>
              </w:rPr>
              <w:t>MWh</w:t>
            </w:r>
          </w:p>
        </w:tc>
        <w:tc>
          <w:tcPr>
            <w:tcW w:w="3585" w:type="pct"/>
          </w:tcPr>
          <w:p w14:paraId="7E0B3637" w14:textId="77777777" w:rsidR="00C236A2" w:rsidRPr="0013396E" w:rsidRDefault="00C236A2" w:rsidP="0099759E">
            <w:pPr>
              <w:spacing w:after="60"/>
              <w:rPr>
                <w:i/>
                <w:iCs/>
                <w:sz w:val="20"/>
              </w:rPr>
            </w:pPr>
            <w:r w:rsidRPr="0013396E">
              <w:rPr>
                <w:i/>
                <w:iCs/>
                <w:sz w:val="20"/>
              </w:rPr>
              <w:t>Emergency Energy for Charging Load per QSE per Settlement Point per Resource</w:t>
            </w:r>
            <w:r w:rsidRPr="0013396E">
              <w:rPr>
                <w:iCs/>
                <w:sz w:val="20"/>
              </w:rPr>
              <w:t xml:space="preserve">—The charging load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during the Emergency Condition or Watch, for the 15-minute Settlement Interval.</w:t>
            </w:r>
          </w:p>
        </w:tc>
      </w:tr>
      <w:tr w:rsidR="00C236A2" w:rsidRPr="0013396E" w14:paraId="7E7D7255" w14:textId="77777777" w:rsidTr="0099759E">
        <w:trPr>
          <w:cantSplit/>
        </w:trPr>
        <w:tc>
          <w:tcPr>
            <w:tcW w:w="934" w:type="pct"/>
          </w:tcPr>
          <w:p w14:paraId="2217D879" w14:textId="77777777" w:rsidR="00C236A2" w:rsidRPr="0013396E" w:rsidRDefault="00C236A2" w:rsidP="0099759E">
            <w:pPr>
              <w:spacing w:after="60"/>
              <w:rPr>
                <w:bCs/>
                <w:sz w:val="20"/>
              </w:rPr>
            </w:pPr>
            <w:r w:rsidRPr="0013396E">
              <w:rPr>
                <w:iCs/>
                <w:sz w:val="20"/>
              </w:rPr>
              <w:t xml:space="preserve">RTEREVT </w:t>
            </w:r>
            <w:r w:rsidRPr="0013396E">
              <w:rPr>
                <w:bCs/>
                <w:i/>
                <w:sz w:val="20"/>
                <w:szCs w:val="16"/>
                <w:vertAlign w:val="subscript"/>
              </w:rPr>
              <w:t>q, r, p</w:t>
            </w:r>
          </w:p>
        </w:tc>
        <w:tc>
          <w:tcPr>
            <w:tcW w:w="481" w:type="pct"/>
          </w:tcPr>
          <w:p w14:paraId="07D868A3" w14:textId="77777777" w:rsidR="00C236A2" w:rsidRPr="0013396E" w:rsidRDefault="00C236A2" w:rsidP="0099759E">
            <w:pPr>
              <w:spacing w:after="60"/>
              <w:rPr>
                <w:iCs/>
                <w:sz w:val="20"/>
              </w:rPr>
            </w:pPr>
            <w:r w:rsidRPr="0013396E">
              <w:rPr>
                <w:iCs/>
                <w:sz w:val="20"/>
              </w:rPr>
              <w:t>$</w:t>
            </w:r>
          </w:p>
        </w:tc>
        <w:tc>
          <w:tcPr>
            <w:tcW w:w="3585" w:type="pct"/>
          </w:tcPr>
          <w:p w14:paraId="1432DE0E" w14:textId="77777777" w:rsidR="00C236A2" w:rsidRPr="0013396E" w:rsidRDefault="00C236A2" w:rsidP="0099759E">
            <w:pPr>
              <w:spacing w:after="60"/>
              <w:rPr>
                <w:iCs/>
                <w:sz w:val="20"/>
              </w:rPr>
            </w:pPr>
            <w:r w:rsidRPr="0013396E">
              <w:rPr>
                <w:i/>
                <w:iCs/>
                <w:sz w:val="20"/>
              </w:rPr>
              <w:t>Real-Time Energy Revenue Target</w:t>
            </w:r>
            <w:r w:rsidRPr="0013396E">
              <w:rPr>
                <w:iCs/>
                <w:sz w:val="20"/>
              </w:rPr>
              <w:t xml:space="preserve">—The energy revenue target at the EBPWAPRGEN and EBPWAPRLOAD of the Resource </w:t>
            </w:r>
            <w:r w:rsidRPr="0013396E">
              <w:rPr>
                <w:i/>
                <w:iCs/>
                <w:sz w:val="20"/>
              </w:rPr>
              <w:t xml:space="preserve">r </w:t>
            </w:r>
            <w:r w:rsidRPr="0013396E">
              <w:rPr>
                <w:iCs/>
                <w:sz w:val="20"/>
              </w:rPr>
              <w:t xml:space="preserve">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523AAA0B" w14:textId="77777777" w:rsidTr="0099759E">
        <w:trPr>
          <w:cantSplit/>
        </w:trPr>
        <w:tc>
          <w:tcPr>
            <w:tcW w:w="934" w:type="pct"/>
          </w:tcPr>
          <w:p w14:paraId="2D983060" w14:textId="77777777" w:rsidR="00C236A2" w:rsidRPr="0013396E" w:rsidRDefault="00C236A2" w:rsidP="0099759E">
            <w:pPr>
              <w:spacing w:after="60"/>
              <w:rPr>
                <w:iCs/>
                <w:sz w:val="20"/>
              </w:rPr>
            </w:pPr>
            <w:r w:rsidRPr="0013396E">
              <w:rPr>
                <w:iCs/>
                <w:sz w:val="20"/>
              </w:rPr>
              <w:t xml:space="preserve">EBPWAPRGEN </w:t>
            </w:r>
            <w:r w:rsidRPr="0013396E">
              <w:rPr>
                <w:i/>
                <w:iCs/>
                <w:sz w:val="20"/>
                <w:vertAlign w:val="subscript"/>
              </w:rPr>
              <w:t>q, r, p</w:t>
            </w:r>
          </w:p>
        </w:tc>
        <w:tc>
          <w:tcPr>
            <w:tcW w:w="481" w:type="pct"/>
          </w:tcPr>
          <w:p w14:paraId="42849257" w14:textId="77777777" w:rsidR="00C236A2" w:rsidRPr="0013396E" w:rsidRDefault="00C236A2" w:rsidP="0099759E">
            <w:pPr>
              <w:spacing w:after="60"/>
              <w:rPr>
                <w:iCs/>
                <w:sz w:val="20"/>
              </w:rPr>
            </w:pPr>
            <w:r w:rsidRPr="0013396E">
              <w:rPr>
                <w:iCs/>
                <w:sz w:val="20"/>
              </w:rPr>
              <w:t>$/MWh</w:t>
            </w:r>
          </w:p>
        </w:tc>
        <w:tc>
          <w:tcPr>
            <w:tcW w:w="3585" w:type="pct"/>
          </w:tcPr>
          <w:p w14:paraId="72EEE7AC" w14:textId="77777777" w:rsidR="00C236A2" w:rsidRPr="0013396E" w:rsidRDefault="00C236A2" w:rsidP="0099759E">
            <w:pPr>
              <w:spacing w:after="60"/>
              <w:rPr>
                <w:i/>
                <w:iCs/>
                <w:sz w:val="20"/>
              </w:rPr>
            </w:pPr>
            <w:r w:rsidRPr="0013396E">
              <w:rPr>
                <w:i/>
                <w:iCs/>
                <w:sz w:val="20"/>
              </w:rPr>
              <w:t>Emergency Base Point Weighted Average Price for Generation per QSE per Settlement Point per Resource</w:t>
            </w:r>
            <w:r w:rsidRPr="0013396E">
              <w:rPr>
                <w:iCs/>
                <w:sz w:val="20"/>
              </w:rPr>
              <w:t xml:space="preserve">—The weighted average of the Emergency Base Point Prices corresponding with the positive Emergency Base Points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4CF3AFF3" w14:textId="77777777" w:rsidTr="0099759E">
        <w:trPr>
          <w:cantSplit/>
        </w:trPr>
        <w:tc>
          <w:tcPr>
            <w:tcW w:w="934" w:type="pct"/>
          </w:tcPr>
          <w:p w14:paraId="2F9A4BE0" w14:textId="77777777" w:rsidR="00C236A2" w:rsidRPr="0013396E" w:rsidRDefault="00C236A2" w:rsidP="0099759E">
            <w:pPr>
              <w:spacing w:after="60"/>
              <w:rPr>
                <w:iCs/>
                <w:sz w:val="20"/>
              </w:rPr>
            </w:pPr>
            <w:r w:rsidRPr="0013396E">
              <w:rPr>
                <w:iCs/>
                <w:sz w:val="20"/>
              </w:rPr>
              <w:t xml:space="preserve">EBPWAPRLOAD </w:t>
            </w:r>
            <w:r w:rsidRPr="0013396E">
              <w:rPr>
                <w:i/>
                <w:iCs/>
                <w:sz w:val="20"/>
                <w:vertAlign w:val="subscript"/>
              </w:rPr>
              <w:t>q, r, p</w:t>
            </w:r>
          </w:p>
        </w:tc>
        <w:tc>
          <w:tcPr>
            <w:tcW w:w="481" w:type="pct"/>
          </w:tcPr>
          <w:p w14:paraId="4D5DAF15" w14:textId="77777777" w:rsidR="00C236A2" w:rsidRPr="0013396E" w:rsidRDefault="00C236A2" w:rsidP="0099759E">
            <w:pPr>
              <w:spacing w:after="60"/>
              <w:rPr>
                <w:iCs/>
                <w:sz w:val="20"/>
              </w:rPr>
            </w:pPr>
            <w:r w:rsidRPr="0013396E">
              <w:rPr>
                <w:iCs/>
                <w:sz w:val="20"/>
              </w:rPr>
              <w:t>$/MWh</w:t>
            </w:r>
          </w:p>
        </w:tc>
        <w:tc>
          <w:tcPr>
            <w:tcW w:w="3585" w:type="pct"/>
          </w:tcPr>
          <w:p w14:paraId="1E12A940" w14:textId="77777777" w:rsidR="00C236A2" w:rsidRPr="0013396E" w:rsidRDefault="00C236A2" w:rsidP="0099759E">
            <w:pPr>
              <w:spacing w:after="60"/>
              <w:rPr>
                <w:i/>
                <w:iCs/>
                <w:sz w:val="20"/>
              </w:rPr>
            </w:pPr>
            <w:r w:rsidRPr="0013396E">
              <w:rPr>
                <w:i/>
                <w:iCs/>
                <w:sz w:val="20"/>
              </w:rPr>
              <w:t>Emergency Base Point Weighted Average Price for Charging Load per QSE per Settlement Point per Resource</w:t>
            </w:r>
            <w:r w:rsidRPr="0013396E">
              <w:rPr>
                <w:iCs/>
                <w:sz w:val="20"/>
              </w:rPr>
              <w:t xml:space="preserve">—The weighted average of the Emergency Base Point Prices corresponding with the negative Emergency Base Points,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for the 15-minute Settlement Interval.</w:t>
            </w:r>
          </w:p>
        </w:tc>
      </w:tr>
      <w:tr w:rsidR="00C236A2" w:rsidRPr="0013396E" w14:paraId="571D21A8"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3BB1E3DB" w14:textId="77777777" w:rsidR="00C236A2" w:rsidRPr="0013396E" w:rsidRDefault="00C236A2" w:rsidP="0099759E">
            <w:pPr>
              <w:spacing w:after="60"/>
              <w:rPr>
                <w:iCs/>
                <w:sz w:val="20"/>
              </w:rPr>
            </w:pPr>
            <w:r w:rsidRPr="0013396E">
              <w:rPr>
                <w:iCs/>
                <w:sz w:val="20"/>
              </w:rPr>
              <w:t>AEBPGEN</w:t>
            </w:r>
            <w:r w:rsidRPr="0013396E">
              <w:rPr>
                <w:iCs/>
                <w:sz w:val="20"/>
                <w:vertAlign w:val="subscript"/>
              </w:rPr>
              <w:t xml:space="preserve"> </w:t>
            </w:r>
            <w:r w:rsidRPr="0013396E">
              <w:rPr>
                <w:i/>
                <w:iCs/>
                <w:sz w:val="20"/>
                <w:vertAlign w:val="subscript"/>
              </w:rPr>
              <w:t>q, r, p</w:t>
            </w:r>
          </w:p>
        </w:tc>
        <w:tc>
          <w:tcPr>
            <w:tcW w:w="481" w:type="pct"/>
            <w:tcBorders>
              <w:top w:val="single" w:sz="4" w:space="0" w:color="auto"/>
              <w:left w:val="single" w:sz="4" w:space="0" w:color="auto"/>
              <w:bottom w:val="single" w:sz="4" w:space="0" w:color="auto"/>
              <w:right w:val="single" w:sz="4" w:space="0" w:color="auto"/>
            </w:tcBorders>
          </w:tcPr>
          <w:p w14:paraId="327F1596" w14:textId="77777777" w:rsidR="00C236A2" w:rsidRPr="0013396E" w:rsidRDefault="00C236A2" w:rsidP="0099759E">
            <w:pPr>
              <w:spacing w:after="60"/>
              <w:rPr>
                <w:iCs/>
                <w:sz w:val="20"/>
              </w:rPr>
            </w:pPr>
            <w:r w:rsidRPr="0013396E">
              <w:rPr>
                <w:iCs/>
                <w:sz w:val="20"/>
              </w:rPr>
              <w:t>MWh</w:t>
            </w:r>
          </w:p>
        </w:tc>
        <w:tc>
          <w:tcPr>
            <w:tcW w:w="3585" w:type="pct"/>
            <w:tcBorders>
              <w:top w:val="single" w:sz="4" w:space="0" w:color="auto"/>
              <w:left w:val="single" w:sz="4" w:space="0" w:color="auto"/>
              <w:bottom w:val="single" w:sz="4" w:space="0" w:color="auto"/>
              <w:right w:val="single" w:sz="4" w:space="0" w:color="auto"/>
            </w:tcBorders>
          </w:tcPr>
          <w:p w14:paraId="506BEAD7" w14:textId="77777777" w:rsidR="00C236A2" w:rsidRPr="0013396E" w:rsidRDefault="00C236A2" w:rsidP="0099759E">
            <w:pPr>
              <w:spacing w:after="60"/>
              <w:rPr>
                <w:i/>
                <w:iCs/>
                <w:sz w:val="20"/>
              </w:rPr>
            </w:pPr>
            <w:r w:rsidRPr="0013396E">
              <w:rPr>
                <w:i/>
                <w:iCs/>
                <w:sz w:val="20"/>
              </w:rPr>
              <w:t>Aggregated Emergency Base Point for Generation</w:t>
            </w:r>
            <w:r w:rsidRPr="0013396E">
              <w:rPr>
                <w:iCs/>
                <w:sz w:val="20"/>
              </w:rPr>
              <w:t xml:space="preserve">—The aggregation of the positive Emergency Base Points for the Resource </w:t>
            </w:r>
            <w:r w:rsidRPr="0013396E">
              <w:rPr>
                <w:i/>
                <w:iCs/>
                <w:sz w:val="20"/>
              </w:rPr>
              <w:t>r</w:t>
            </w:r>
            <w:r w:rsidRPr="0013396E">
              <w:rPr>
                <w:iCs/>
                <w:sz w:val="20"/>
              </w:rPr>
              <w:t xml:space="preserve"> represented by QSE </w:t>
            </w:r>
            <w:r w:rsidRPr="0013396E">
              <w:rPr>
                <w:i/>
                <w:iCs/>
                <w:sz w:val="20"/>
              </w:rPr>
              <w:t>q</w:t>
            </w:r>
            <w:r w:rsidRPr="0013396E">
              <w:rPr>
                <w:iCs/>
                <w:sz w:val="20"/>
              </w:rPr>
              <w:t>, for the 15-minute Settlement Interval.  Where for a Combined Cycle Train, AEBP is calculated for the Combined Cycle Train considering all emergency Dispatch Instructions to any Combined Cycle Generation Resources within the Combined Cycle Train.</w:t>
            </w:r>
          </w:p>
        </w:tc>
      </w:tr>
      <w:tr w:rsidR="00C236A2" w:rsidRPr="0013396E" w14:paraId="5651E9CB"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13A104EC" w14:textId="77777777" w:rsidR="00C236A2" w:rsidRPr="0013396E" w:rsidRDefault="00C236A2" w:rsidP="0099759E">
            <w:pPr>
              <w:spacing w:after="60"/>
              <w:rPr>
                <w:iCs/>
                <w:sz w:val="20"/>
              </w:rPr>
            </w:pPr>
            <w:r w:rsidRPr="0013396E">
              <w:rPr>
                <w:iCs/>
                <w:sz w:val="20"/>
              </w:rPr>
              <w:t>AEBPLOAD</w:t>
            </w:r>
            <w:r w:rsidRPr="0013396E">
              <w:rPr>
                <w:iCs/>
                <w:sz w:val="20"/>
                <w:vertAlign w:val="subscript"/>
              </w:rPr>
              <w:t xml:space="preserve"> </w:t>
            </w:r>
            <w:r w:rsidRPr="0013396E">
              <w:rPr>
                <w:i/>
                <w:iCs/>
                <w:sz w:val="20"/>
                <w:vertAlign w:val="subscript"/>
              </w:rPr>
              <w:t>q, r, p</w:t>
            </w:r>
          </w:p>
        </w:tc>
        <w:tc>
          <w:tcPr>
            <w:tcW w:w="481" w:type="pct"/>
            <w:tcBorders>
              <w:top w:val="single" w:sz="4" w:space="0" w:color="auto"/>
              <w:left w:val="single" w:sz="4" w:space="0" w:color="auto"/>
              <w:bottom w:val="single" w:sz="4" w:space="0" w:color="auto"/>
              <w:right w:val="single" w:sz="4" w:space="0" w:color="auto"/>
            </w:tcBorders>
          </w:tcPr>
          <w:p w14:paraId="234691E0" w14:textId="77777777" w:rsidR="00C236A2" w:rsidRPr="0013396E" w:rsidRDefault="00C236A2" w:rsidP="0099759E">
            <w:pPr>
              <w:spacing w:after="60"/>
              <w:rPr>
                <w:iCs/>
                <w:sz w:val="20"/>
              </w:rPr>
            </w:pPr>
            <w:r w:rsidRPr="0013396E">
              <w:rPr>
                <w:iCs/>
                <w:sz w:val="20"/>
              </w:rPr>
              <w:t>MWh</w:t>
            </w:r>
          </w:p>
        </w:tc>
        <w:tc>
          <w:tcPr>
            <w:tcW w:w="3585" w:type="pct"/>
            <w:tcBorders>
              <w:top w:val="single" w:sz="4" w:space="0" w:color="auto"/>
              <w:left w:val="single" w:sz="4" w:space="0" w:color="auto"/>
              <w:bottom w:val="single" w:sz="4" w:space="0" w:color="auto"/>
              <w:right w:val="single" w:sz="4" w:space="0" w:color="auto"/>
            </w:tcBorders>
          </w:tcPr>
          <w:p w14:paraId="6557046E" w14:textId="77777777" w:rsidR="00C236A2" w:rsidRPr="0013396E" w:rsidRDefault="00C236A2" w:rsidP="0099759E">
            <w:pPr>
              <w:spacing w:after="60"/>
              <w:rPr>
                <w:i/>
                <w:iCs/>
                <w:sz w:val="20"/>
              </w:rPr>
            </w:pPr>
            <w:r w:rsidRPr="0013396E">
              <w:rPr>
                <w:i/>
                <w:iCs/>
                <w:sz w:val="20"/>
              </w:rPr>
              <w:t>Aggregated Emergency Base Point for Charging Load</w:t>
            </w:r>
            <w:r w:rsidRPr="0013396E">
              <w:rPr>
                <w:iCs/>
                <w:sz w:val="20"/>
              </w:rPr>
              <w:t xml:space="preserve">—The aggregation of the negative Emergency Base Points for the Resource </w:t>
            </w:r>
            <w:r w:rsidRPr="0013396E">
              <w:rPr>
                <w:i/>
                <w:iCs/>
                <w:sz w:val="20"/>
              </w:rPr>
              <w:t xml:space="preserve">r </w:t>
            </w:r>
            <w:r w:rsidRPr="0013396E">
              <w:rPr>
                <w:iCs/>
                <w:sz w:val="20"/>
              </w:rPr>
              <w:t xml:space="preserve">represented by QSE </w:t>
            </w:r>
            <w:r w:rsidRPr="0013396E">
              <w:rPr>
                <w:i/>
                <w:iCs/>
                <w:sz w:val="20"/>
              </w:rPr>
              <w:t>q</w:t>
            </w:r>
            <w:r w:rsidRPr="0013396E">
              <w:rPr>
                <w:iCs/>
                <w:sz w:val="20"/>
              </w:rPr>
              <w:t xml:space="preserve">, for the 15-minute Settlement Interval.  </w:t>
            </w:r>
          </w:p>
        </w:tc>
      </w:tr>
      <w:tr w:rsidR="00C236A2" w:rsidRPr="0013396E" w14:paraId="67B2C4B2" w14:textId="77777777" w:rsidTr="0099759E">
        <w:trPr>
          <w:cantSplit/>
        </w:trPr>
        <w:tc>
          <w:tcPr>
            <w:tcW w:w="934" w:type="pct"/>
          </w:tcPr>
          <w:p w14:paraId="1F82F7ED" w14:textId="77777777" w:rsidR="00C236A2" w:rsidRPr="0013396E" w:rsidRDefault="00C236A2" w:rsidP="0099759E">
            <w:pPr>
              <w:spacing w:after="60"/>
              <w:rPr>
                <w:iCs/>
                <w:sz w:val="20"/>
              </w:rPr>
            </w:pPr>
            <w:r w:rsidRPr="0013396E">
              <w:rPr>
                <w:iCs/>
                <w:sz w:val="20"/>
              </w:rPr>
              <w:t xml:space="preserve">EBP </w:t>
            </w:r>
            <w:r w:rsidRPr="0013396E">
              <w:rPr>
                <w:i/>
                <w:iCs/>
                <w:sz w:val="20"/>
                <w:vertAlign w:val="subscript"/>
              </w:rPr>
              <w:t>q, r, p, y</w:t>
            </w:r>
          </w:p>
        </w:tc>
        <w:tc>
          <w:tcPr>
            <w:tcW w:w="481" w:type="pct"/>
          </w:tcPr>
          <w:p w14:paraId="7E6DF724" w14:textId="77777777" w:rsidR="00C236A2" w:rsidRPr="0013396E" w:rsidRDefault="00C236A2" w:rsidP="0099759E">
            <w:pPr>
              <w:spacing w:after="60"/>
              <w:rPr>
                <w:iCs/>
                <w:sz w:val="20"/>
              </w:rPr>
            </w:pPr>
            <w:r w:rsidRPr="0013396E">
              <w:rPr>
                <w:iCs/>
                <w:sz w:val="20"/>
              </w:rPr>
              <w:t>MW</w:t>
            </w:r>
          </w:p>
        </w:tc>
        <w:tc>
          <w:tcPr>
            <w:tcW w:w="3585" w:type="pct"/>
          </w:tcPr>
          <w:p w14:paraId="5BAF1B2F" w14:textId="77777777" w:rsidR="00C236A2" w:rsidRPr="0013396E" w:rsidRDefault="00C236A2" w:rsidP="0099759E">
            <w:pPr>
              <w:spacing w:after="60"/>
              <w:rPr>
                <w:iCs/>
                <w:sz w:val="20"/>
              </w:rPr>
            </w:pPr>
            <w:r w:rsidRPr="0013396E">
              <w:rPr>
                <w:i/>
                <w:iCs/>
                <w:sz w:val="20"/>
              </w:rPr>
              <w:t>Emergency Base Point per QSE per Settlement Point per Resource by interval</w:t>
            </w:r>
            <w:r w:rsidRPr="0013396E">
              <w:rPr>
                <w:iCs/>
                <w:sz w:val="20"/>
              </w:rPr>
              <w:t xml:space="preserve">—The Emergency Base Point of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Emergency Base Point interval or SCED interval</w:t>
            </w:r>
            <w:r w:rsidRPr="0013396E">
              <w:rPr>
                <w:i/>
                <w:iCs/>
                <w:sz w:val="20"/>
              </w:rPr>
              <w:t xml:space="preserve"> y</w:t>
            </w:r>
            <w:r w:rsidRPr="0013396E">
              <w:rPr>
                <w:iCs/>
                <w:sz w:val="20"/>
              </w:rPr>
              <w:t xml:space="preserve">.  If a Base Point instead of an Emergency Base Point is effective during the interval </w:t>
            </w:r>
            <w:r w:rsidRPr="0013396E">
              <w:rPr>
                <w:i/>
                <w:iCs/>
                <w:sz w:val="20"/>
              </w:rPr>
              <w:t>y</w:t>
            </w:r>
            <w:r w:rsidRPr="0013396E">
              <w:rPr>
                <w:iCs/>
                <w:sz w:val="20"/>
              </w:rPr>
              <w:t xml:space="preserve">, its value equals the Base Point.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5E98C964" w14:textId="77777777" w:rsidTr="0099759E">
        <w:trPr>
          <w:cantSplit/>
        </w:trPr>
        <w:tc>
          <w:tcPr>
            <w:tcW w:w="934" w:type="pct"/>
          </w:tcPr>
          <w:p w14:paraId="5030CCB6" w14:textId="77777777" w:rsidR="00C236A2" w:rsidRPr="0013396E" w:rsidRDefault="00C236A2" w:rsidP="0099759E">
            <w:pPr>
              <w:spacing w:after="60"/>
              <w:rPr>
                <w:iCs/>
                <w:sz w:val="20"/>
              </w:rPr>
            </w:pPr>
            <w:r w:rsidRPr="0013396E">
              <w:rPr>
                <w:iCs/>
                <w:sz w:val="20"/>
              </w:rPr>
              <w:t xml:space="preserve">EBPPR </w:t>
            </w:r>
            <w:r w:rsidRPr="0013396E">
              <w:rPr>
                <w:i/>
                <w:iCs/>
                <w:sz w:val="20"/>
                <w:vertAlign w:val="subscript"/>
              </w:rPr>
              <w:t>q, r, p, y</w:t>
            </w:r>
          </w:p>
        </w:tc>
        <w:tc>
          <w:tcPr>
            <w:tcW w:w="481" w:type="pct"/>
          </w:tcPr>
          <w:p w14:paraId="7B2A391B" w14:textId="77777777" w:rsidR="00C236A2" w:rsidRPr="0013396E" w:rsidRDefault="00C236A2" w:rsidP="0099759E">
            <w:pPr>
              <w:spacing w:after="60"/>
              <w:rPr>
                <w:iCs/>
                <w:sz w:val="20"/>
              </w:rPr>
            </w:pPr>
            <w:r w:rsidRPr="0013396E">
              <w:rPr>
                <w:iCs/>
                <w:sz w:val="20"/>
              </w:rPr>
              <w:t>$/MWh</w:t>
            </w:r>
          </w:p>
        </w:tc>
        <w:tc>
          <w:tcPr>
            <w:tcW w:w="3585" w:type="pct"/>
          </w:tcPr>
          <w:p w14:paraId="1DDDBC98" w14:textId="1B5D8C9D" w:rsidR="00C236A2" w:rsidRPr="0013396E" w:rsidRDefault="00C236A2" w:rsidP="0099759E">
            <w:pPr>
              <w:spacing w:after="60"/>
              <w:rPr>
                <w:iCs/>
                <w:sz w:val="20"/>
              </w:rPr>
            </w:pPr>
            <w:r w:rsidRPr="0013396E">
              <w:rPr>
                <w:i/>
                <w:iCs/>
                <w:sz w:val="20"/>
              </w:rPr>
              <w:t>Emergency Base Point Price per QSE per Settlement Point per Resource by interval</w:t>
            </w:r>
            <w:r w:rsidRPr="0013396E">
              <w:rPr>
                <w:iCs/>
                <w:sz w:val="20"/>
              </w:rPr>
              <w:t>—The price on the Energy Offer Curve</w:t>
            </w:r>
            <w:r w:rsidRPr="0013396E">
              <w:rPr>
                <w:rFonts w:asciiTheme="minorHAnsi" w:eastAsiaTheme="minorHAnsi" w:hAnsiTheme="minorHAnsi" w:cstheme="minorBidi"/>
                <w:sz w:val="22"/>
                <w:szCs w:val="22"/>
              </w:rPr>
              <w:t xml:space="preserve"> </w:t>
            </w:r>
            <w:r w:rsidRPr="0013396E">
              <w:rPr>
                <w:iCs/>
                <w:sz w:val="20"/>
              </w:rPr>
              <w:t>or Energy Bid/Offer Curve corresponding to the Emergency Base Point</w:t>
            </w:r>
            <w:r w:rsidRPr="0013396E">
              <w:rPr>
                <w:rFonts w:asciiTheme="minorHAnsi" w:eastAsiaTheme="minorHAnsi" w:hAnsiTheme="minorHAnsi" w:cstheme="minorBidi"/>
                <w:sz w:val="22"/>
                <w:szCs w:val="22"/>
              </w:rPr>
              <w:t xml:space="preserve"> </w:t>
            </w:r>
            <w:r w:rsidRPr="0013396E">
              <w:rPr>
                <w:iCs/>
                <w:sz w:val="20"/>
              </w:rPr>
              <w:t xml:space="preserve">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Emergency Base Point interval or SCED interval </w:t>
            </w:r>
            <w:r w:rsidRPr="0013396E">
              <w:rPr>
                <w:i/>
                <w:iCs/>
                <w:sz w:val="20"/>
              </w:rPr>
              <w:t>y</w:t>
            </w:r>
            <w:r w:rsidRPr="0013396E">
              <w:rPr>
                <w:iCs/>
                <w:sz w:val="20"/>
              </w:rPr>
              <w:t>.  The Energy Offer Curve shall be capped by the MOC pursuant to Section 4.4.9.4.1, Mitigated Offer Cap, and the Energy Bid/Offer Curve shall be capped by the maximum RTSPP at the Settlement Point for the Operating Day, per paragraph (1</w:t>
            </w:r>
            <w:r w:rsidR="00911D6C">
              <w:rPr>
                <w:iCs/>
                <w:sz w:val="20"/>
              </w:rPr>
              <w:t>0</w:t>
            </w:r>
            <w:r w:rsidRPr="0013396E">
              <w:rPr>
                <w:iCs/>
                <w:sz w:val="20"/>
              </w:rPr>
              <w:t xml:space="preserve">) of Section 6.6.9.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20DE6D4E" w14:textId="77777777" w:rsidTr="0099759E">
        <w:trPr>
          <w:cantSplit/>
        </w:trPr>
        <w:tc>
          <w:tcPr>
            <w:tcW w:w="934" w:type="pct"/>
          </w:tcPr>
          <w:p w14:paraId="2672E7AF" w14:textId="77777777" w:rsidR="00C236A2" w:rsidRPr="0013396E" w:rsidRDefault="00C236A2" w:rsidP="0099759E">
            <w:pPr>
              <w:spacing w:after="60"/>
              <w:rPr>
                <w:iCs/>
                <w:sz w:val="20"/>
              </w:rPr>
            </w:pPr>
            <w:r w:rsidRPr="0013396E">
              <w:rPr>
                <w:iCs/>
                <w:sz w:val="20"/>
              </w:rPr>
              <w:lastRenderedPageBreak/>
              <w:t>RTSPP</w:t>
            </w:r>
            <w:r w:rsidRPr="0013396E">
              <w:rPr>
                <w:i/>
                <w:iCs/>
                <w:sz w:val="20"/>
              </w:rPr>
              <w:t xml:space="preserve"> </w:t>
            </w:r>
            <w:r w:rsidRPr="0013396E">
              <w:rPr>
                <w:i/>
                <w:iCs/>
                <w:sz w:val="20"/>
                <w:vertAlign w:val="subscript"/>
              </w:rPr>
              <w:t>p</w:t>
            </w:r>
          </w:p>
        </w:tc>
        <w:tc>
          <w:tcPr>
            <w:tcW w:w="481" w:type="pct"/>
          </w:tcPr>
          <w:p w14:paraId="212EDCB3" w14:textId="77777777" w:rsidR="00C236A2" w:rsidRPr="0013396E" w:rsidRDefault="00C236A2" w:rsidP="0099759E">
            <w:pPr>
              <w:spacing w:after="60"/>
              <w:rPr>
                <w:iCs/>
                <w:sz w:val="20"/>
              </w:rPr>
            </w:pPr>
            <w:r w:rsidRPr="0013396E">
              <w:rPr>
                <w:iCs/>
                <w:sz w:val="20"/>
              </w:rPr>
              <w:t>$/MWh</w:t>
            </w:r>
          </w:p>
        </w:tc>
        <w:tc>
          <w:tcPr>
            <w:tcW w:w="3585" w:type="pct"/>
          </w:tcPr>
          <w:p w14:paraId="1DD57461" w14:textId="77777777" w:rsidR="00C236A2" w:rsidRPr="0013396E" w:rsidRDefault="00C236A2" w:rsidP="0099759E">
            <w:pPr>
              <w:spacing w:after="60"/>
              <w:rPr>
                <w:iCs/>
                <w:sz w:val="20"/>
              </w:rPr>
            </w:pPr>
            <w:r w:rsidRPr="0013396E">
              <w:rPr>
                <w:i/>
                <w:iCs/>
                <w:sz w:val="20"/>
              </w:rPr>
              <w:t>Real-Time Settlement Point Price per Settlement Point</w:t>
            </w:r>
            <w:r w:rsidRPr="0013396E">
              <w:rPr>
                <w:iCs/>
                <w:sz w:val="20"/>
              </w:rPr>
              <w:t xml:space="preserve">—The Real-Time Settlement Point Price at Settlement Point </w:t>
            </w:r>
            <w:r w:rsidRPr="0013396E">
              <w:rPr>
                <w:i/>
                <w:iCs/>
                <w:sz w:val="20"/>
              </w:rPr>
              <w:t>p</w:t>
            </w:r>
            <w:r w:rsidRPr="0013396E">
              <w:rPr>
                <w:iCs/>
                <w:sz w:val="20"/>
              </w:rPr>
              <w:t>, for the 15-minute Settlement Interval.</w:t>
            </w:r>
          </w:p>
        </w:tc>
      </w:tr>
      <w:tr w:rsidR="00C236A2" w:rsidRPr="0013396E" w14:paraId="62B83B17" w14:textId="77777777" w:rsidTr="0099759E">
        <w:trPr>
          <w:cantSplit/>
        </w:trPr>
        <w:tc>
          <w:tcPr>
            <w:tcW w:w="934" w:type="pct"/>
          </w:tcPr>
          <w:p w14:paraId="1014086E" w14:textId="77777777" w:rsidR="00C236A2" w:rsidRPr="0013396E" w:rsidRDefault="00C236A2" w:rsidP="0099759E">
            <w:pPr>
              <w:spacing w:after="60"/>
              <w:rPr>
                <w:iCs/>
                <w:sz w:val="20"/>
              </w:rPr>
            </w:pPr>
            <w:r w:rsidRPr="0013396E">
              <w:rPr>
                <w:iCs/>
                <w:sz w:val="20"/>
              </w:rPr>
              <w:t xml:space="preserve">RTMG </w:t>
            </w:r>
            <w:r w:rsidRPr="0013396E">
              <w:rPr>
                <w:i/>
                <w:iCs/>
                <w:sz w:val="20"/>
                <w:vertAlign w:val="subscript"/>
              </w:rPr>
              <w:t>q, r, p</w:t>
            </w:r>
          </w:p>
        </w:tc>
        <w:tc>
          <w:tcPr>
            <w:tcW w:w="481" w:type="pct"/>
          </w:tcPr>
          <w:p w14:paraId="6B941530" w14:textId="77777777" w:rsidR="00C236A2" w:rsidRPr="0013396E" w:rsidRDefault="00C236A2" w:rsidP="0099759E">
            <w:pPr>
              <w:spacing w:after="60"/>
              <w:rPr>
                <w:iCs/>
                <w:sz w:val="20"/>
              </w:rPr>
            </w:pPr>
            <w:r w:rsidRPr="0013396E">
              <w:rPr>
                <w:iCs/>
                <w:sz w:val="20"/>
              </w:rPr>
              <w:t>MWh</w:t>
            </w:r>
          </w:p>
        </w:tc>
        <w:tc>
          <w:tcPr>
            <w:tcW w:w="3585" w:type="pct"/>
          </w:tcPr>
          <w:p w14:paraId="2AFDB93E" w14:textId="77777777" w:rsidR="00C236A2" w:rsidRPr="0013396E" w:rsidRDefault="00C236A2" w:rsidP="0099759E">
            <w:pPr>
              <w:spacing w:after="60"/>
              <w:rPr>
                <w:iCs/>
                <w:sz w:val="20"/>
              </w:rPr>
            </w:pPr>
            <w:r w:rsidRPr="0013396E">
              <w:rPr>
                <w:i/>
                <w:iCs/>
                <w:sz w:val="20"/>
              </w:rPr>
              <w:t>Real-Time Metered Generation per QSE per Settlement Point per Resource</w:t>
            </w:r>
            <w:r w:rsidRPr="0013396E">
              <w:rPr>
                <w:iCs/>
                <w:sz w:val="20"/>
              </w:rPr>
              <w:t xml:space="preserve">—The metered generation of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in Real-Time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0115CD8E" w14:textId="77777777" w:rsidTr="0099759E">
        <w:trPr>
          <w:cantSplit/>
        </w:trPr>
        <w:tc>
          <w:tcPr>
            <w:tcW w:w="934" w:type="pct"/>
          </w:tcPr>
          <w:p w14:paraId="50BFCAB4" w14:textId="77777777" w:rsidR="00C236A2" w:rsidRPr="0013396E" w:rsidRDefault="00C236A2" w:rsidP="0099759E">
            <w:pPr>
              <w:spacing w:after="60"/>
              <w:rPr>
                <w:iCs/>
                <w:sz w:val="20"/>
              </w:rPr>
            </w:pPr>
            <w:r w:rsidRPr="0013396E">
              <w:rPr>
                <w:iCs/>
                <w:sz w:val="20"/>
              </w:rPr>
              <w:t xml:space="preserve">RTCL </w:t>
            </w:r>
            <w:r w:rsidRPr="0013396E">
              <w:rPr>
                <w:i/>
                <w:iCs/>
                <w:sz w:val="20"/>
                <w:vertAlign w:val="subscript"/>
              </w:rPr>
              <w:t>q, r, p</w:t>
            </w:r>
          </w:p>
        </w:tc>
        <w:tc>
          <w:tcPr>
            <w:tcW w:w="481" w:type="pct"/>
          </w:tcPr>
          <w:p w14:paraId="68D04410" w14:textId="77777777" w:rsidR="00C236A2" w:rsidRPr="0013396E" w:rsidRDefault="00C236A2" w:rsidP="0099759E">
            <w:pPr>
              <w:spacing w:after="60"/>
              <w:rPr>
                <w:iCs/>
                <w:sz w:val="20"/>
              </w:rPr>
            </w:pPr>
            <w:r w:rsidRPr="0013396E">
              <w:rPr>
                <w:iCs/>
                <w:sz w:val="20"/>
              </w:rPr>
              <w:t>MWh</w:t>
            </w:r>
          </w:p>
        </w:tc>
        <w:tc>
          <w:tcPr>
            <w:tcW w:w="3585" w:type="pct"/>
          </w:tcPr>
          <w:p w14:paraId="18D01080" w14:textId="77777777" w:rsidR="00C236A2" w:rsidRPr="0013396E" w:rsidRDefault="00C236A2" w:rsidP="0099759E">
            <w:pPr>
              <w:spacing w:after="60"/>
              <w:rPr>
                <w:i/>
                <w:iCs/>
                <w:sz w:val="20"/>
              </w:rPr>
            </w:pPr>
            <w:r w:rsidRPr="0013396E">
              <w:rPr>
                <w:i/>
                <w:iCs/>
                <w:sz w:val="20"/>
              </w:rPr>
              <w:t>Real-Time Charging Load per QSE per Resource per Settlement Point</w:t>
            </w:r>
            <w:r w:rsidRPr="0013396E">
              <w:rPr>
                <w:iCs/>
                <w:sz w:val="20"/>
              </w:rPr>
              <w:t xml:space="preserve">—The charging load for Resource </w:t>
            </w:r>
            <w:r w:rsidRPr="0013396E">
              <w:rPr>
                <w:i/>
                <w:iCs/>
                <w:sz w:val="20"/>
              </w:rPr>
              <w:t xml:space="preserve">r </w:t>
            </w:r>
            <w:r w:rsidRPr="0013396E">
              <w:rPr>
                <w:iCs/>
                <w:sz w:val="20"/>
              </w:rPr>
              <w:t xml:space="preserve">at Resource Node </w:t>
            </w:r>
            <w:r w:rsidRPr="0013396E">
              <w:rPr>
                <w:i/>
                <w:iCs/>
                <w:sz w:val="20"/>
              </w:rPr>
              <w:t xml:space="preserve">p </w:t>
            </w:r>
            <w:r w:rsidRPr="0013396E">
              <w:rPr>
                <w:iCs/>
                <w:sz w:val="20"/>
              </w:rPr>
              <w:t xml:space="preserve">represented by the QSE </w:t>
            </w:r>
            <w:r w:rsidRPr="0013396E">
              <w:rPr>
                <w:i/>
                <w:iCs/>
                <w:sz w:val="20"/>
              </w:rPr>
              <w:t xml:space="preserve">q, </w:t>
            </w:r>
            <w:r w:rsidRPr="0013396E">
              <w:rPr>
                <w:iCs/>
                <w:sz w:val="20"/>
              </w:rPr>
              <w:t>represented as a negative value,</w:t>
            </w:r>
            <w:r w:rsidRPr="0013396E">
              <w:rPr>
                <w:i/>
                <w:iCs/>
                <w:sz w:val="20"/>
              </w:rPr>
              <w:t xml:space="preserve"> </w:t>
            </w:r>
            <w:r w:rsidRPr="0013396E">
              <w:rPr>
                <w:iCs/>
                <w:sz w:val="20"/>
              </w:rPr>
              <w:t xml:space="preserve">for the 15-minute Settlement Interval. </w:t>
            </w:r>
          </w:p>
        </w:tc>
      </w:tr>
      <w:tr w:rsidR="00C236A2" w:rsidRPr="0013396E" w14:paraId="72D395CD" w14:textId="77777777" w:rsidTr="0099759E">
        <w:trPr>
          <w:cantSplit/>
        </w:trPr>
        <w:tc>
          <w:tcPr>
            <w:tcW w:w="934" w:type="pct"/>
          </w:tcPr>
          <w:p w14:paraId="3C7B65E7" w14:textId="77777777" w:rsidR="00C236A2" w:rsidRPr="0013396E" w:rsidRDefault="00C236A2" w:rsidP="0099759E">
            <w:pPr>
              <w:spacing w:after="60"/>
              <w:rPr>
                <w:iCs/>
                <w:sz w:val="20"/>
              </w:rPr>
            </w:pPr>
            <w:r w:rsidRPr="0013396E">
              <w:rPr>
                <w:bCs/>
                <w:sz w:val="20"/>
              </w:rPr>
              <w:t>RTRUNET</w:t>
            </w:r>
            <w:r w:rsidRPr="0013396E">
              <w:rPr>
                <w:bCs/>
                <w:iCs/>
              </w:rPr>
              <w:t xml:space="preserve"> </w:t>
            </w:r>
            <w:r w:rsidRPr="0013396E">
              <w:rPr>
                <w:bCs/>
                <w:i/>
                <w:iCs/>
                <w:vertAlign w:val="subscript"/>
              </w:rPr>
              <w:t>q, r</w:t>
            </w:r>
          </w:p>
        </w:tc>
        <w:tc>
          <w:tcPr>
            <w:tcW w:w="481" w:type="pct"/>
          </w:tcPr>
          <w:p w14:paraId="650113ED" w14:textId="77777777" w:rsidR="00C236A2" w:rsidRPr="0013396E" w:rsidRDefault="00C236A2" w:rsidP="0099759E">
            <w:pPr>
              <w:spacing w:after="60"/>
              <w:rPr>
                <w:iCs/>
                <w:sz w:val="20"/>
              </w:rPr>
            </w:pPr>
            <w:r w:rsidRPr="0013396E">
              <w:rPr>
                <w:iCs/>
                <w:sz w:val="20"/>
              </w:rPr>
              <w:t>$</w:t>
            </w:r>
          </w:p>
        </w:tc>
        <w:tc>
          <w:tcPr>
            <w:tcW w:w="3585" w:type="pct"/>
          </w:tcPr>
          <w:p w14:paraId="75665B90" w14:textId="77777777" w:rsidR="00C236A2" w:rsidRPr="0013396E" w:rsidRDefault="00C236A2" w:rsidP="0099759E">
            <w:pPr>
              <w:spacing w:after="60"/>
              <w:rPr>
                <w:iCs/>
                <w:sz w:val="20"/>
              </w:rPr>
            </w:pPr>
            <w:r w:rsidRPr="0013396E">
              <w:rPr>
                <w:i/>
                <w:iCs/>
                <w:sz w:val="20"/>
              </w:rPr>
              <w:t>Real-Time Reg-Up Net Revenue</w:t>
            </w:r>
            <w:r w:rsidRPr="0013396E">
              <w:rPr>
                <w:iCs/>
                <w:sz w:val="20"/>
              </w:rPr>
              <w:t xml:space="preserve">—The difference between the Real-Time Reg-Up Revenue and the Real-Time Reg-Up Revenue Target for QSE </w:t>
            </w:r>
            <w:r w:rsidRPr="0013396E">
              <w:rPr>
                <w:i/>
                <w:iCs/>
                <w:sz w:val="20"/>
              </w:rPr>
              <w:t>q</w:t>
            </w:r>
            <w:r w:rsidRPr="0013396E">
              <w:rPr>
                <w:iCs/>
                <w:sz w:val="20"/>
              </w:rPr>
              <w:t xml:space="preserve"> for 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49B35EFA" w14:textId="77777777" w:rsidTr="0099759E">
        <w:trPr>
          <w:cantSplit/>
        </w:trPr>
        <w:tc>
          <w:tcPr>
            <w:tcW w:w="934" w:type="pct"/>
          </w:tcPr>
          <w:p w14:paraId="3A26C84B" w14:textId="77777777" w:rsidR="00C236A2" w:rsidRPr="0013396E" w:rsidRDefault="00C236A2" w:rsidP="0099759E">
            <w:pPr>
              <w:spacing w:after="60"/>
              <w:rPr>
                <w:iCs/>
                <w:sz w:val="20"/>
              </w:rPr>
            </w:pPr>
            <w:r w:rsidRPr="0013396E">
              <w:rPr>
                <w:bCs/>
                <w:sz w:val="20"/>
              </w:rPr>
              <w:t>RTRDNET</w:t>
            </w:r>
            <w:r w:rsidRPr="0013396E">
              <w:rPr>
                <w:bCs/>
                <w:iCs/>
              </w:rPr>
              <w:t xml:space="preserve"> </w:t>
            </w:r>
            <w:r w:rsidRPr="0013396E">
              <w:rPr>
                <w:bCs/>
                <w:i/>
                <w:iCs/>
                <w:vertAlign w:val="subscript"/>
              </w:rPr>
              <w:t>q, r</w:t>
            </w:r>
          </w:p>
        </w:tc>
        <w:tc>
          <w:tcPr>
            <w:tcW w:w="481" w:type="pct"/>
          </w:tcPr>
          <w:p w14:paraId="7CDEB198" w14:textId="77777777" w:rsidR="00C236A2" w:rsidRPr="0013396E" w:rsidRDefault="00C236A2" w:rsidP="0099759E">
            <w:pPr>
              <w:spacing w:after="60"/>
              <w:rPr>
                <w:iCs/>
                <w:sz w:val="20"/>
              </w:rPr>
            </w:pPr>
            <w:r w:rsidRPr="0013396E">
              <w:rPr>
                <w:iCs/>
                <w:sz w:val="20"/>
              </w:rPr>
              <w:t>$</w:t>
            </w:r>
          </w:p>
        </w:tc>
        <w:tc>
          <w:tcPr>
            <w:tcW w:w="3585" w:type="pct"/>
          </w:tcPr>
          <w:p w14:paraId="065017F2" w14:textId="77777777" w:rsidR="00C236A2" w:rsidRPr="0013396E" w:rsidRDefault="00C236A2" w:rsidP="0099759E">
            <w:pPr>
              <w:spacing w:after="60"/>
              <w:rPr>
                <w:i/>
                <w:iCs/>
                <w:sz w:val="20"/>
              </w:rPr>
            </w:pPr>
            <w:r w:rsidRPr="0013396E">
              <w:rPr>
                <w:i/>
                <w:iCs/>
                <w:sz w:val="20"/>
              </w:rPr>
              <w:t>Real-Time Reg-Down Net Revenue</w:t>
            </w:r>
            <w:r w:rsidRPr="0013396E">
              <w:rPr>
                <w:iCs/>
                <w:sz w:val="20"/>
              </w:rPr>
              <w:t xml:space="preserve">—The difference between calculated revenue for the Real-Time Reg-Down Revenue and the Real-Time Reg-Down Revenue Target for QSE </w:t>
            </w:r>
            <w:r w:rsidRPr="0013396E">
              <w:rPr>
                <w:i/>
                <w:iCs/>
                <w:sz w:val="20"/>
              </w:rPr>
              <w:t>q</w:t>
            </w:r>
            <w:r w:rsidRPr="0013396E">
              <w:rPr>
                <w:iCs/>
                <w:sz w:val="20"/>
              </w:rPr>
              <w:t xml:space="preserve"> for 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29EE2FCC" w14:textId="77777777" w:rsidTr="0099759E">
        <w:trPr>
          <w:cantSplit/>
        </w:trPr>
        <w:tc>
          <w:tcPr>
            <w:tcW w:w="934" w:type="pct"/>
          </w:tcPr>
          <w:p w14:paraId="014F8247" w14:textId="77777777" w:rsidR="00C236A2" w:rsidRPr="0013396E" w:rsidRDefault="00C236A2" w:rsidP="0099759E">
            <w:pPr>
              <w:spacing w:after="60"/>
              <w:rPr>
                <w:bCs/>
                <w:sz w:val="20"/>
              </w:rPr>
            </w:pPr>
            <w:r w:rsidRPr="0013396E">
              <w:rPr>
                <w:bCs/>
                <w:sz w:val="20"/>
              </w:rPr>
              <w:t>RTRRNET</w:t>
            </w:r>
            <w:r w:rsidRPr="0013396E">
              <w:rPr>
                <w:bCs/>
                <w:iCs/>
              </w:rPr>
              <w:t xml:space="preserve"> </w:t>
            </w:r>
            <w:r w:rsidRPr="0013396E">
              <w:rPr>
                <w:bCs/>
                <w:i/>
                <w:iCs/>
                <w:vertAlign w:val="subscript"/>
              </w:rPr>
              <w:t>q, r</w:t>
            </w:r>
          </w:p>
        </w:tc>
        <w:tc>
          <w:tcPr>
            <w:tcW w:w="481" w:type="pct"/>
          </w:tcPr>
          <w:p w14:paraId="62458F05" w14:textId="77777777" w:rsidR="00C236A2" w:rsidRPr="0013396E" w:rsidRDefault="00C236A2" w:rsidP="0099759E">
            <w:pPr>
              <w:spacing w:after="60"/>
              <w:rPr>
                <w:iCs/>
                <w:sz w:val="20"/>
              </w:rPr>
            </w:pPr>
            <w:r w:rsidRPr="0013396E">
              <w:rPr>
                <w:iCs/>
                <w:sz w:val="20"/>
              </w:rPr>
              <w:t>$</w:t>
            </w:r>
          </w:p>
        </w:tc>
        <w:tc>
          <w:tcPr>
            <w:tcW w:w="3585" w:type="pct"/>
          </w:tcPr>
          <w:p w14:paraId="218C999F" w14:textId="77777777" w:rsidR="00C236A2" w:rsidRPr="0013396E" w:rsidRDefault="00C236A2" w:rsidP="0099759E">
            <w:pPr>
              <w:spacing w:after="60"/>
              <w:rPr>
                <w:i/>
                <w:iCs/>
                <w:sz w:val="20"/>
              </w:rPr>
            </w:pPr>
            <w:r w:rsidRPr="0013396E">
              <w:rPr>
                <w:i/>
                <w:iCs/>
                <w:sz w:val="20"/>
              </w:rPr>
              <w:t>Real-Time Responsive Reserve Net Revenue</w:t>
            </w:r>
            <w:r w:rsidRPr="0013396E">
              <w:rPr>
                <w:iCs/>
                <w:sz w:val="20"/>
              </w:rPr>
              <w:t xml:space="preserve">—The difference between Real-Time RRS Revenue and the Real-Time RRS Revenue Target for QSE </w:t>
            </w:r>
            <w:r w:rsidRPr="0013396E">
              <w:rPr>
                <w:i/>
                <w:iCs/>
                <w:sz w:val="20"/>
              </w:rPr>
              <w:t>q</w:t>
            </w:r>
            <w:r w:rsidRPr="0013396E">
              <w:rPr>
                <w:iCs/>
                <w:sz w:val="20"/>
              </w:rPr>
              <w:t xml:space="preserve"> for 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49317ACE" w14:textId="77777777" w:rsidTr="0099759E">
        <w:trPr>
          <w:cantSplit/>
        </w:trPr>
        <w:tc>
          <w:tcPr>
            <w:tcW w:w="934" w:type="pct"/>
          </w:tcPr>
          <w:p w14:paraId="31AC6014" w14:textId="77777777" w:rsidR="00C236A2" w:rsidRPr="0013396E" w:rsidRDefault="00C236A2" w:rsidP="0099759E">
            <w:pPr>
              <w:spacing w:after="60"/>
              <w:rPr>
                <w:bCs/>
                <w:sz w:val="20"/>
              </w:rPr>
            </w:pPr>
            <w:r w:rsidRPr="0013396E">
              <w:rPr>
                <w:bCs/>
                <w:sz w:val="20"/>
              </w:rPr>
              <w:t>RTNSNET</w:t>
            </w:r>
            <w:r w:rsidRPr="0013396E">
              <w:rPr>
                <w:bCs/>
                <w:iCs/>
              </w:rPr>
              <w:t xml:space="preserve"> </w:t>
            </w:r>
            <w:r w:rsidRPr="0013396E">
              <w:rPr>
                <w:bCs/>
                <w:i/>
                <w:iCs/>
                <w:vertAlign w:val="subscript"/>
              </w:rPr>
              <w:t>q, r</w:t>
            </w:r>
          </w:p>
        </w:tc>
        <w:tc>
          <w:tcPr>
            <w:tcW w:w="481" w:type="pct"/>
          </w:tcPr>
          <w:p w14:paraId="3CEEB73B" w14:textId="77777777" w:rsidR="00C236A2" w:rsidRPr="0013396E" w:rsidRDefault="00C236A2" w:rsidP="0099759E">
            <w:pPr>
              <w:spacing w:after="60"/>
              <w:rPr>
                <w:iCs/>
                <w:sz w:val="20"/>
              </w:rPr>
            </w:pPr>
            <w:r w:rsidRPr="0013396E">
              <w:rPr>
                <w:iCs/>
                <w:sz w:val="20"/>
              </w:rPr>
              <w:t>$</w:t>
            </w:r>
          </w:p>
        </w:tc>
        <w:tc>
          <w:tcPr>
            <w:tcW w:w="3585" w:type="pct"/>
          </w:tcPr>
          <w:p w14:paraId="2CF835B7" w14:textId="77777777" w:rsidR="00C236A2" w:rsidRPr="0013396E" w:rsidRDefault="00C236A2" w:rsidP="0099759E">
            <w:pPr>
              <w:spacing w:after="60"/>
              <w:rPr>
                <w:i/>
                <w:iCs/>
                <w:sz w:val="20"/>
              </w:rPr>
            </w:pPr>
            <w:r w:rsidRPr="0013396E">
              <w:rPr>
                <w:i/>
                <w:iCs/>
                <w:sz w:val="20"/>
              </w:rPr>
              <w:t>Real-Time Non-Spin Net Revenue</w:t>
            </w:r>
            <w:r w:rsidRPr="0013396E">
              <w:rPr>
                <w:iCs/>
                <w:sz w:val="20"/>
              </w:rPr>
              <w:t xml:space="preserve">—The difference between Real-Time Non-Spin Revenue and the Real-Time Non-Spin Revenue Target for 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3F894819" w14:textId="77777777" w:rsidTr="0099759E">
        <w:trPr>
          <w:cantSplit/>
        </w:trPr>
        <w:tc>
          <w:tcPr>
            <w:tcW w:w="934" w:type="pct"/>
          </w:tcPr>
          <w:p w14:paraId="0A411C10" w14:textId="77777777" w:rsidR="00C236A2" w:rsidRPr="0013396E" w:rsidRDefault="00C236A2" w:rsidP="0099759E">
            <w:pPr>
              <w:spacing w:after="60"/>
              <w:rPr>
                <w:bCs/>
                <w:sz w:val="20"/>
              </w:rPr>
            </w:pPr>
            <w:r w:rsidRPr="0013396E">
              <w:rPr>
                <w:bCs/>
                <w:sz w:val="20"/>
              </w:rPr>
              <w:t>RTECRNET</w:t>
            </w:r>
            <w:r w:rsidRPr="0013396E">
              <w:rPr>
                <w:bCs/>
                <w:iCs/>
              </w:rPr>
              <w:t xml:space="preserve"> </w:t>
            </w:r>
            <w:r w:rsidRPr="0013396E">
              <w:rPr>
                <w:bCs/>
                <w:i/>
                <w:iCs/>
                <w:vertAlign w:val="subscript"/>
              </w:rPr>
              <w:t>q, r</w:t>
            </w:r>
          </w:p>
        </w:tc>
        <w:tc>
          <w:tcPr>
            <w:tcW w:w="481" w:type="pct"/>
          </w:tcPr>
          <w:p w14:paraId="7EDE4283" w14:textId="77777777" w:rsidR="00C236A2" w:rsidRPr="0013396E" w:rsidRDefault="00C236A2" w:rsidP="0099759E">
            <w:pPr>
              <w:spacing w:after="60"/>
              <w:rPr>
                <w:iCs/>
                <w:sz w:val="20"/>
              </w:rPr>
            </w:pPr>
            <w:r w:rsidRPr="0013396E">
              <w:rPr>
                <w:iCs/>
                <w:sz w:val="20"/>
              </w:rPr>
              <w:t>$</w:t>
            </w:r>
          </w:p>
        </w:tc>
        <w:tc>
          <w:tcPr>
            <w:tcW w:w="3585" w:type="pct"/>
          </w:tcPr>
          <w:p w14:paraId="2FAA9E57" w14:textId="77777777" w:rsidR="00C236A2" w:rsidRPr="0013396E" w:rsidRDefault="00C236A2" w:rsidP="0099759E">
            <w:pPr>
              <w:spacing w:after="60"/>
              <w:rPr>
                <w:i/>
                <w:iCs/>
                <w:sz w:val="20"/>
              </w:rPr>
            </w:pPr>
            <w:r w:rsidRPr="0013396E">
              <w:rPr>
                <w:i/>
                <w:iCs/>
                <w:sz w:val="20"/>
              </w:rPr>
              <w:t>Real-Time ERCOT Contingency Reserve Service Net Revenue</w:t>
            </w:r>
            <w:r w:rsidRPr="0013396E">
              <w:rPr>
                <w:iCs/>
                <w:sz w:val="20"/>
              </w:rPr>
              <w:t xml:space="preserve">—The difference between Real-Time ECRS Revenue and the Real-Time ECRS Revenue Target for 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 xml:space="preserve">r </w:t>
            </w:r>
            <w:r w:rsidRPr="0013396E">
              <w:rPr>
                <w:iCs/>
                <w:sz w:val="20"/>
              </w:rPr>
              <w:t>is the Combined Cycle Train.</w:t>
            </w:r>
          </w:p>
        </w:tc>
      </w:tr>
      <w:tr w:rsidR="00583E7E" w:rsidRPr="0013396E" w14:paraId="440CAEF3" w14:textId="77777777" w:rsidTr="00583E7E">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25199DDF" w14:textId="77777777" w:rsidTr="00A86863">
              <w:trPr>
                <w:trHeight w:val="206"/>
              </w:trPr>
              <w:tc>
                <w:tcPr>
                  <w:tcW w:w="9350" w:type="dxa"/>
                  <w:shd w:val="pct12" w:color="auto" w:fill="auto"/>
                </w:tcPr>
                <w:p w14:paraId="0011E721" w14:textId="5ABAD855" w:rsidR="00583E7E" w:rsidRPr="0013396E" w:rsidRDefault="00583E7E" w:rsidP="00583E7E">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RTDRRNET</w:t>
                  </w:r>
                  <w:r w:rsidRPr="00583E7E">
                    <w:rPr>
                      <w:b/>
                      <w:i/>
                      <w:iCs/>
                      <w:szCs w:val="24"/>
                      <w:vertAlign w:val="subscript"/>
                    </w:rPr>
                    <w:t xml:space="preserve"> q, r</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67D1446C" w14:textId="77777777" w:rsidTr="00A86863">
                    <w:trPr>
                      <w:cantSplit/>
                    </w:trPr>
                    <w:tc>
                      <w:tcPr>
                        <w:tcW w:w="934" w:type="pct"/>
                      </w:tcPr>
                      <w:p w14:paraId="1A64B5FB" w14:textId="77777777" w:rsidR="00583E7E" w:rsidRPr="003F34DA" w:rsidRDefault="00583E7E" w:rsidP="00583E7E">
                        <w:pPr>
                          <w:spacing w:after="60"/>
                          <w:rPr>
                            <w:bCs/>
                            <w:sz w:val="20"/>
                          </w:rPr>
                        </w:pPr>
                        <w:r w:rsidRPr="003F34DA">
                          <w:rPr>
                            <w:bCs/>
                            <w:sz w:val="20"/>
                          </w:rPr>
                          <w:t>RTDRRNET</w:t>
                        </w:r>
                        <w:r w:rsidRPr="003F34DA">
                          <w:rPr>
                            <w:bCs/>
                            <w:iCs/>
                          </w:rPr>
                          <w:t xml:space="preserve"> </w:t>
                        </w:r>
                        <w:r w:rsidRPr="003F34DA">
                          <w:rPr>
                            <w:bCs/>
                            <w:i/>
                            <w:iCs/>
                            <w:vertAlign w:val="subscript"/>
                          </w:rPr>
                          <w:t>q, r</w:t>
                        </w:r>
                      </w:p>
                    </w:tc>
                    <w:tc>
                      <w:tcPr>
                        <w:tcW w:w="481" w:type="pct"/>
                      </w:tcPr>
                      <w:p w14:paraId="24A62C7C" w14:textId="77777777" w:rsidR="00583E7E" w:rsidRPr="003F34DA" w:rsidRDefault="00583E7E" w:rsidP="00583E7E">
                        <w:pPr>
                          <w:spacing w:after="60"/>
                          <w:rPr>
                            <w:iCs/>
                            <w:sz w:val="20"/>
                          </w:rPr>
                        </w:pPr>
                        <w:r w:rsidRPr="003F34DA">
                          <w:rPr>
                            <w:iCs/>
                            <w:sz w:val="20"/>
                          </w:rPr>
                          <w:t>$</w:t>
                        </w:r>
                      </w:p>
                    </w:tc>
                    <w:tc>
                      <w:tcPr>
                        <w:tcW w:w="3585" w:type="pct"/>
                      </w:tcPr>
                      <w:p w14:paraId="160563C5" w14:textId="77777777" w:rsidR="00583E7E" w:rsidRPr="003F34DA" w:rsidRDefault="00583E7E" w:rsidP="00583E7E">
                        <w:pPr>
                          <w:spacing w:after="60"/>
                          <w:rPr>
                            <w:i/>
                            <w:iCs/>
                            <w:sz w:val="20"/>
                          </w:rPr>
                        </w:pPr>
                        <w:r w:rsidRPr="003F34DA">
                          <w:rPr>
                            <w:i/>
                            <w:iCs/>
                            <w:sz w:val="20"/>
                          </w:rPr>
                          <w:t>Real-Time Dispatchable Reliability Reserve Service Net Revenue</w:t>
                        </w:r>
                        <w:r w:rsidRPr="003F34DA">
                          <w:rPr>
                            <w:iCs/>
                            <w:sz w:val="20"/>
                          </w:rPr>
                          <w:t xml:space="preserve">—The difference between Real-Time DRRS Revenue and the Real-Time DRRS Revenue Target for Resource </w:t>
                        </w:r>
                        <w:r w:rsidRPr="003F34DA">
                          <w:rPr>
                            <w:i/>
                            <w:iCs/>
                            <w:sz w:val="20"/>
                          </w:rPr>
                          <w:t xml:space="preserve">r </w:t>
                        </w:r>
                        <w:r w:rsidRPr="003F34DA">
                          <w:rPr>
                            <w:iCs/>
                            <w:sz w:val="20"/>
                          </w:rPr>
                          <w:t xml:space="preserve">for the 15-minute Settlement Interval.  Where for a Combined Cycle Train, the Resource </w:t>
                        </w:r>
                        <w:r w:rsidRPr="003F34DA">
                          <w:rPr>
                            <w:i/>
                            <w:iCs/>
                            <w:sz w:val="20"/>
                          </w:rPr>
                          <w:t xml:space="preserve">r </w:t>
                        </w:r>
                        <w:r w:rsidRPr="003F34DA">
                          <w:rPr>
                            <w:iCs/>
                            <w:sz w:val="20"/>
                          </w:rPr>
                          <w:t>is the Combined Cycle Train.</w:t>
                        </w:r>
                      </w:p>
                    </w:tc>
                  </w:tr>
                </w:tbl>
                <w:p w14:paraId="50F6BF66" w14:textId="0C54BB65" w:rsidR="00583E7E" w:rsidRPr="00583E7E" w:rsidRDefault="00583E7E" w:rsidP="00583E7E">
                  <w:pPr>
                    <w:tabs>
                      <w:tab w:val="left" w:pos="2340"/>
                      <w:tab w:val="left" w:pos="2880"/>
                    </w:tabs>
                    <w:spacing w:after="240"/>
                    <w:ind w:left="987" w:hanging="269"/>
                    <w:rPr>
                      <w:szCs w:val="24"/>
                      <w:lang w:val="es-MX"/>
                    </w:rPr>
                  </w:pPr>
                </w:p>
              </w:tc>
            </w:tr>
          </w:tbl>
          <w:p w14:paraId="7D65C392" w14:textId="77777777" w:rsidR="00583E7E" w:rsidRPr="0013396E" w:rsidRDefault="00583E7E" w:rsidP="0099759E">
            <w:pPr>
              <w:spacing w:after="60"/>
              <w:rPr>
                <w:i/>
                <w:iCs/>
                <w:sz w:val="20"/>
              </w:rPr>
            </w:pPr>
          </w:p>
        </w:tc>
      </w:tr>
      <w:tr w:rsidR="00C236A2" w:rsidRPr="0013396E" w14:paraId="5BE6FE20" w14:textId="77777777" w:rsidTr="0099759E">
        <w:trPr>
          <w:cantSplit/>
        </w:trPr>
        <w:tc>
          <w:tcPr>
            <w:tcW w:w="934" w:type="pct"/>
          </w:tcPr>
          <w:p w14:paraId="109FAE6B" w14:textId="77777777" w:rsidR="00C236A2" w:rsidRPr="0013396E" w:rsidRDefault="00C236A2" w:rsidP="0099759E">
            <w:pPr>
              <w:spacing w:after="60"/>
              <w:rPr>
                <w:bCs/>
                <w:sz w:val="20"/>
              </w:rPr>
            </w:pPr>
            <w:r w:rsidRPr="0013396E">
              <w:rPr>
                <w:iCs/>
                <w:sz w:val="20"/>
              </w:rPr>
              <w:t xml:space="preserve">RTRUREV </w:t>
            </w:r>
            <w:r w:rsidRPr="0013396E">
              <w:rPr>
                <w:i/>
                <w:iCs/>
                <w:sz w:val="20"/>
                <w:vertAlign w:val="subscript"/>
              </w:rPr>
              <w:t>q, r</w:t>
            </w:r>
          </w:p>
        </w:tc>
        <w:tc>
          <w:tcPr>
            <w:tcW w:w="481" w:type="pct"/>
          </w:tcPr>
          <w:p w14:paraId="58F2EF59" w14:textId="77777777" w:rsidR="00C236A2" w:rsidRPr="0013396E" w:rsidRDefault="00C236A2" w:rsidP="0099759E">
            <w:pPr>
              <w:spacing w:after="60"/>
              <w:rPr>
                <w:iCs/>
                <w:sz w:val="20"/>
              </w:rPr>
            </w:pPr>
            <w:r w:rsidRPr="0013396E">
              <w:rPr>
                <w:iCs/>
                <w:sz w:val="20"/>
              </w:rPr>
              <w:t>$</w:t>
            </w:r>
          </w:p>
        </w:tc>
        <w:tc>
          <w:tcPr>
            <w:tcW w:w="3585" w:type="pct"/>
          </w:tcPr>
          <w:p w14:paraId="7AD5172C" w14:textId="77777777" w:rsidR="00C236A2" w:rsidRPr="0013396E" w:rsidRDefault="00C236A2" w:rsidP="0099759E">
            <w:pPr>
              <w:spacing w:after="60"/>
              <w:rPr>
                <w:i/>
                <w:iCs/>
                <w:sz w:val="20"/>
              </w:rPr>
            </w:pPr>
            <w:r w:rsidRPr="0013396E">
              <w:rPr>
                <w:i/>
                <w:iCs/>
                <w:sz w:val="20"/>
              </w:rPr>
              <w:t>Real-Time Reg-Up Revenue</w:t>
            </w:r>
            <w:r w:rsidRPr="0013396E">
              <w:rPr>
                <w:iCs/>
                <w:sz w:val="20"/>
              </w:rPr>
              <w:t xml:space="preserve">—The calculated Real-Time Reg-Up revenue for QSE </w:t>
            </w:r>
            <w:r w:rsidRPr="0013396E">
              <w:rPr>
                <w:i/>
                <w:iCs/>
                <w:sz w:val="20"/>
              </w:rPr>
              <w:t xml:space="preserve">q </w:t>
            </w:r>
            <w:r w:rsidRPr="0013396E">
              <w:rPr>
                <w:iCs/>
                <w:sz w:val="20"/>
              </w:rPr>
              <w:t>calculated for</w:t>
            </w:r>
            <w:r w:rsidRPr="0013396E">
              <w:rPr>
                <w:i/>
                <w:iCs/>
                <w:sz w:val="20"/>
              </w:rPr>
              <w:t xml:space="preserve"> </w:t>
            </w:r>
            <w:r w:rsidRPr="0013396E">
              <w:rPr>
                <w:iCs/>
                <w:sz w:val="20"/>
              </w:rPr>
              <w:t xml:space="preserve">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5CC04CF6" w14:textId="77777777" w:rsidTr="0099759E">
        <w:trPr>
          <w:cantSplit/>
        </w:trPr>
        <w:tc>
          <w:tcPr>
            <w:tcW w:w="934" w:type="pct"/>
          </w:tcPr>
          <w:p w14:paraId="47AFF74D" w14:textId="77777777" w:rsidR="00C236A2" w:rsidRPr="0013396E" w:rsidRDefault="00C236A2" w:rsidP="0099759E">
            <w:pPr>
              <w:spacing w:after="60"/>
              <w:rPr>
                <w:bCs/>
                <w:sz w:val="20"/>
              </w:rPr>
            </w:pPr>
            <w:r w:rsidRPr="0013396E">
              <w:rPr>
                <w:iCs/>
                <w:sz w:val="20"/>
              </w:rPr>
              <w:t xml:space="preserve">RTRDREV </w:t>
            </w:r>
            <w:r w:rsidRPr="0013396E">
              <w:rPr>
                <w:i/>
                <w:iCs/>
                <w:sz w:val="20"/>
                <w:vertAlign w:val="subscript"/>
              </w:rPr>
              <w:t>q, r</w:t>
            </w:r>
          </w:p>
        </w:tc>
        <w:tc>
          <w:tcPr>
            <w:tcW w:w="481" w:type="pct"/>
          </w:tcPr>
          <w:p w14:paraId="44AF3178" w14:textId="77777777" w:rsidR="00C236A2" w:rsidRPr="0013396E" w:rsidRDefault="00C236A2" w:rsidP="0099759E">
            <w:pPr>
              <w:spacing w:after="60"/>
              <w:rPr>
                <w:iCs/>
                <w:sz w:val="20"/>
              </w:rPr>
            </w:pPr>
            <w:r w:rsidRPr="0013396E">
              <w:rPr>
                <w:iCs/>
                <w:sz w:val="20"/>
              </w:rPr>
              <w:t>$</w:t>
            </w:r>
          </w:p>
        </w:tc>
        <w:tc>
          <w:tcPr>
            <w:tcW w:w="3585" w:type="pct"/>
          </w:tcPr>
          <w:p w14:paraId="1009A309" w14:textId="77777777" w:rsidR="00C236A2" w:rsidRPr="0013396E" w:rsidRDefault="00C236A2" w:rsidP="0099759E">
            <w:pPr>
              <w:spacing w:after="60"/>
              <w:rPr>
                <w:i/>
                <w:iCs/>
                <w:sz w:val="20"/>
              </w:rPr>
            </w:pPr>
            <w:r w:rsidRPr="0013396E">
              <w:rPr>
                <w:i/>
                <w:iCs/>
                <w:sz w:val="20"/>
              </w:rPr>
              <w:t>Real-Time Reg-Down Revenue</w:t>
            </w:r>
            <w:r w:rsidRPr="0013396E">
              <w:rPr>
                <w:iCs/>
                <w:sz w:val="20"/>
              </w:rPr>
              <w:t xml:space="preserve">—The calculated Real-Time Reg-Down revenue for QSE </w:t>
            </w:r>
            <w:r w:rsidRPr="0013396E">
              <w:rPr>
                <w:i/>
                <w:iCs/>
                <w:sz w:val="20"/>
              </w:rPr>
              <w:t xml:space="preserve">q </w:t>
            </w:r>
            <w:r w:rsidRPr="0013396E">
              <w:rPr>
                <w:iCs/>
                <w:sz w:val="20"/>
              </w:rPr>
              <w:t>calculated for</w:t>
            </w:r>
            <w:r w:rsidRPr="0013396E">
              <w:rPr>
                <w:i/>
                <w:iCs/>
                <w:sz w:val="20"/>
              </w:rPr>
              <w:t xml:space="preserve"> </w:t>
            </w:r>
            <w:r w:rsidRPr="0013396E">
              <w:rPr>
                <w:iCs/>
                <w:sz w:val="20"/>
              </w:rPr>
              <w:t xml:space="preserve">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2334F105" w14:textId="77777777" w:rsidTr="0099759E">
        <w:trPr>
          <w:cantSplit/>
        </w:trPr>
        <w:tc>
          <w:tcPr>
            <w:tcW w:w="934" w:type="pct"/>
          </w:tcPr>
          <w:p w14:paraId="58555826" w14:textId="77777777" w:rsidR="00C236A2" w:rsidRPr="0013396E" w:rsidRDefault="00C236A2" w:rsidP="0099759E">
            <w:pPr>
              <w:spacing w:after="60"/>
              <w:rPr>
                <w:bCs/>
                <w:sz w:val="20"/>
              </w:rPr>
            </w:pPr>
            <w:r w:rsidRPr="0013396E">
              <w:rPr>
                <w:iCs/>
                <w:sz w:val="20"/>
              </w:rPr>
              <w:t xml:space="preserve">RTRRREV </w:t>
            </w:r>
            <w:r w:rsidRPr="0013396E">
              <w:rPr>
                <w:i/>
                <w:iCs/>
                <w:sz w:val="20"/>
                <w:vertAlign w:val="subscript"/>
              </w:rPr>
              <w:t>q, r</w:t>
            </w:r>
          </w:p>
        </w:tc>
        <w:tc>
          <w:tcPr>
            <w:tcW w:w="481" w:type="pct"/>
          </w:tcPr>
          <w:p w14:paraId="5D23A164" w14:textId="77777777" w:rsidR="00C236A2" w:rsidRPr="0013396E" w:rsidRDefault="00C236A2" w:rsidP="0099759E">
            <w:pPr>
              <w:spacing w:after="60"/>
              <w:rPr>
                <w:iCs/>
                <w:sz w:val="20"/>
              </w:rPr>
            </w:pPr>
            <w:r w:rsidRPr="0013396E">
              <w:rPr>
                <w:iCs/>
                <w:sz w:val="20"/>
              </w:rPr>
              <w:t>$</w:t>
            </w:r>
          </w:p>
        </w:tc>
        <w:tc>
          <w:tcPr>
            <w:tcW w:w="3585" w:type="pct"/>
          </w:tcPr>
          <w:p w14:paraId="3AF34F46" w14:textId="77777777" w:rsidR="00C236A2" w:rsidRPr="0013396E" w:rsidRDefault="00C236A2" w:rsidP="0099759E">
            <w:pPr>
              <w:spacing w:after="60"/>
              <w:rPr>
                <w:i/>
                <w:iCs/>
                <w:sz w:val="20"/>
              </w:rPr>
            </w:pPr>
            <w:r w:rsidRPr="0013396E">
              <w:rPr>
                <w:i/>
                <w:iCs/>
                <w:sz w:val="20"/>
              </w:rPr>
              <w:t>Real-Time Responsive Reserve Revenue</w:t>
            </w:r>
            <w:r w:rsidRPr="0013396E">
              <w:rPr>
                <w:iCs/>
                <w:sz w:val="20"/>
              </w:rPr>
              <w:t xml:space="preserve">—The calculated Real-Time RRS revenue for QSE </w:t>
            </w:r>
            <w:r w:rsidRPr="0013396E">
              <w:rPr>
                <w:i/>
                <w:iCs/>
                <w:sz w:val="20"/>
              </w:rPr>
              <w:t xml:space="preserve">q </w:t>
            </w:r>
            <w:r w:rsidRPr="0013396E">
              <w:rPr>
                <w:iCs/>
                <w:sz w:val="20"/>
              </w:rPr>
              <w:t>calculated for</w:t>
            </w:r>
            <w:r w:rsidRPr="0013396E">
              <w:rPr>
                <w:i/>
                <w:iCs/>
                <w:sz w:val="20"/>
              </w:rPr>
              <w:t xml:space="preserve"> </w:t>
            </w:r>
            <w:r w:rsidRPr="0013396E">
              <w:rPr>
                <w:iCs/>
                <w:sz w:val="20"/>
              </w:rPr>
              <w:t xml:space="preserve">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5F27F0C0" w14:textId="77777777" w:rsidTr="0099759E">
        <w:trPr>
          <w:cantSplit/>
        </w:trPr>
        <w:tc>
          <w:tcPr>
            <w:tcW w:w="934" w:type="pct"/>
          </w:tcPr>
          <w:p w14:paraId="410F1652" w14:textId="77777777" w:rsidR="00C236A2" w:rsidRPr="0013396E" w:rsidRDefault="00C236A2" w:rsidP="0099759E">
            <w:pPr>
              <w:spacing w:after="60"/>
              <w:rPr>
                <w:bCs/>
                <w:sz w:val="20"/>
              </w:rPr>
            </w:pPr>
            <w:r w:rsidRPr="0013396E">
              <w:rPr>
                <w:iCs/>
                <w:sz w:val="20"/>
              </w:rPr>
              <w:lastRenderedPageBreak/>
              <w:t xml:space="preserve">RTNSREV </w:t>
            </w:r>
            <w:r w:rsidRPr="0013396E">
              <w:rPr>
                <w:i/>
                <w:iCs/>
                <w:sz w:val="20"/>
                <w:vertAlign w:val="subscript"/>
              </w:rPr>
              <w:t>q, r</w:t>
            </w:r>
          </w:p>
        </w:tc>
        <w:tc>
          <w:tcPr>
            <w:tcW w:w="481" w:type="pct"/>
          </w:tcPr>
          <w:p w14:paraId="7AD828E5" w14:textId="77777777" w:rsidR="00C236A2" w:rsidRPr="0013396E" w:rsidRDefault="00C236A2" w:rsidP="0099759E">
            <w:pPr>
              <w:spacing w:after="60"/>
              <w:rPr>
                <w:iCs/>
                <w:sz w:val="20"/>
              </w:rPr>
            </w:pPr>
            <w:r w:rsidRPr="0013396E">
              <w:rPr>
                <w:iCs/>
                <w:sz w:val="20"/>
              </w:rPr>
              <w:t>$</w:t>
            </w:r>
          </w:p>
        </w:tc>
        <w:tc>
          <w:tcPr>
            <w:tcW w:w="3585" w:type="pct"/>
          </w:tcPr>
          <w:p w14:paraId="51A5C29D" w14:textId="77777777" w:rsidR="00C236A2" w:rsidRPr="0013396E" w:rsidRDefault="00C236A2" w:rsidP="0099759E">
            <w:pPr>
              <w:spacing w:after="60"/>
              <w:rPr>
                <w:i/>
                <w:iCs/>
                <w:sz w:val="20"/>
              </w:rPr>
            </w:pPr>
            <w:r w:rsidRPr="0013396E">
              <w:rPr>
                <w:i/>
                <w:iCs/>
                <w:sz w:val="20"/>
              </w:rPr>
              <w:t>Real-Time Non-Spin Revenue</w:t>
            </w:r>
            <w:r w:rsidRPr="0013396E">
              <w:rPr>
                <w:iCs/>
                <w:sz w:val="20"/>
              </w:rPr>
              <w:t xml:space="preserve">—The calculated Real-Time Non-Spin revenue for QSE </w:t>
            </w:r>
            <w:r w:rsidRPr="0013396E">
              <w:rPr>
                <w:i/>
                <w:iCs/>
                <w:sz w:val="20"/>
              </w:rPr>
              <w:t xml:space="preserve">q </w:t>
            </w:r>
            <w:r w:rsidRPr="0013396E">
              <w:rPr>
                <w:iCs/>
                <w:sz w:val="20"/>
              </w:rPr>
              <w:t>calculated for</w:t>
            </w:r>
            <w:r w:rsidRPr="0013396E">
              <w:rPr>
                <w:i/>
                <w:iCs/>
                <w:sz w:val="20"/>
              </w:rPr>
              <w:t xml:space="preserve"> </w:t>
            </w:r>
            <w:r w:rsidRPr="0013396E">
              <w:rPr>
                <w:iCs/>
                <w:sz w:val="20"/>
              </w:rPr>
              <w:t xml:space="preserve">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3463C752" w14:textId="77777777" w:rsidTr="0099759E">
        <w:trPr>
          <w:cantSplit/>
        </w:trPr>
        <w:tc>
          <w:tcPr>
            <w:tcW w:w="934" w:type="pct"/>
          </w:tcPr>
          <w:p w14:paraId="1A4BEF49" w14:textId="77777777" w:rsidR="00C236A2" w:rsidRPr="0013396E" w:rsidRDefault="00C236A2" w:rsidP="0099759E">
            <w:pPr>
              <w:spacing w:after="60"/>
              <w:rPr>
                <w:bCs/>
                <w:sz w:val="20"/>
              </w:rPr>
            </w:pPr>
            <w:r w:rsidRPr="0013396E">
              <w:rPr>
                <w:iCs/>
                <w:sz w:val="20"/>
              </w:rPr>
              <w:t xml:space="preserve">RTECRREV </w:t>
            </w:r>
            <w:r w:rsidRPr="0013396E">
              <w:rPr>
                <w:i/>
                <w:iCs/>
                <w:sz w:val="20"/>
                <w:vertAlign w:val="subscript"/>
              </w:rPr>
              <w:t>q, r</w:t>
            </w:r>
          </w:p>
        </w:tc>
        <w:tc>
          <w:tcPr>
            <w:tcW w:w="481" w:type="pct"/>
          </w:tcPr>
          <w:p w14:paraId="6E278ED2" w14:textId="77777777" w:rsidR="00C236A2" w:rsidRPr="0013396E" w:rsidRDefault="00C236A2" w:rsidP="0099759E">
            <w:pPr>
              <w:spacing w:after="60"/>
              <w:rPr>
                <w:iCs/>
                <w:sz w:val="20"/>
              </w:rPr>
            </w:pPr>
            <w:r w:rsidRPr="0013396E">
              <w:rPr>
                <w:iCs/>
                <w:sz w:val="20"/>
              </w:rPr>
              <w:t>$</w:t>
            </w:r>
          </w:p>
        </w:tc>
        <w:tc>
          <w:tcPr>
            <w:tcW w:w="3585" w:type="pct"/>
          </w:tcPr>
          <w:p w14:paraId="7E9EFD2E" w14:textId="77777777" w:rsidR="00C236A2" w:rsidRPr="0013396E" w:rsidRDefault="00C236A2" w:rsidP="0099759E">
            <w:pPr>
              <w:spacing w:after="60"/>
              <w:rPr>
                <w:i/>
                <w:iCs/>
                <w:sz w:val="20"/>
              </w:rPr>
            </w:pPr>
            <w:r w:rsidRPr="0013396E">
              <w:rPr>
                <w:i/>
                <w:iCs/>
                <w:sz w:val="20"/>
              </w:rPr>
              <w:t>Real-Time ERCOT Contingency Reserve Service Revenue</w:t>
            </w:r>
            <w:r w:rsidRPr="0013396E">
              <w:rPr>
                <w:iCs/>
                <w:sz w:val="20"/>
              </w:rPr>
              <w:t xml:space="preserve">—The calculated Real-Time ECRS revenue for QSE </w:t>
            </w:r>
            <w:r w:rsidRPr="0013396E">
              <w:rPr>
                <w:i/>
                <w:iCs/>
                <w:sz w:val="20"/>
              </w:rPr>
              <w:t xml:space="preserve">q </w:t>
            </w:r>
            <w:r w:rsidRPr="0013396E">
              <w:rPr>
                <w:iCs/>
                <w:sz w:val="20"/>
              </w:rPr>
              <w:t>calculated for</w:t>
            </w:r>
            <w:r w:rsidRPr="0013396E">
              <w:rPr>
                <w:i/>
                <w:iCs/>
                <w:sz w:val="20"/>
              </w:rPr>
              <w:t xml:space="preserve"> </w:t>
            </w:r>
            <w:r w:rsidRPr="0013396E">
              <w:rPr>
                <w:iCs/>
                <w:sz w:val="20"/>
              </w:rPr>
              <w:t xml:space="preserve">Resource </w:t>
            </w:r>
            <w:r w:rsidRPr="0013396E">
              <w:rPr>
                <w:i/>
                <w:iCs/>
                <w:sz w:val="20"/>
              </w:rPr>
              <w:t xml:space="preserve">r </w:t>
            </w:r>
            <w:r w:rsidRPr="0013396E">
              <w:rPr>
                <w:iCs/>
                <w:sz w:val="20"/>
              </w:rPr>
              <w:t xml:space="preserve">for the 15-minute Settlement interval.  Where for a Combined Cycle Train, the Resource </w:t>
            </w:r>
            <w:r w:rsidRPr="0013396E">
              <w:rPr>
                <w:i/>
                <w:iCs/>
                <w:sz w:val="20"/>
              </w:rPr>
              <w:t>r</w:t>
            </w:r>
            <w:r w:rsidRPr="0013396E">
              <w:rPr>
                <w:iCs/>
                <w:sz w:val="20"/>
              </w:rPr>
              <w:t xml:space="preserve"> is the Combined Cycle Train.</w:t>
            </w:r>
          </w:p>
        </w:tc>
      </w:tr>
      <w:tr w:rsidR="00583E7E" w:rsidRPr="0013396E" w14:paraId="450149AE" w14:textId="77777777" w:rsidTr="00583E7E">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562A3FAA" w14:textId="77777777" w:rsidTr="00A86863">
              <w:trPr>
                <w:trHeight w:val="206"/>
              </w:trPr>
              <w:tc>
                <w:tcPr>
                  <w:tcW w:w="9350" w:type="dxa"/>
                  <w:shd w:val="pct12" w:color="auto" w:fill="auto"/>
                </w:tcPr>
                <w:p w14:paraId="51CF725D" w14:textId="0F04A122" w:rsidR="00583E7E" w:rsidRPr="0013396E" w:rsidRDefault="00583E7E" w:rsidP="00583E7E">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RTDRRREV</w:t>
                  </w:r>
                  <w:r w:rsidRPr="00583E7E">
                    <w:rPr>
                      <w:b/>
                      <w:i/>
                      <w:iCs/>
                      <w:szCs w:val="24"/>
                      <w:vertAlign w:val="subscript"/>
                    </w:rPr>
                    <w:t xml:space="preserve"> q, r</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3FC9616A" w14:textId="77777777" w:rsidTr="00A86863">
                    <w:trPr>
                      <w:cantSplit/>
                    </w:trPr>
                    <w:tc>
                      <w:tcPr>
                        <w:tcW w:w="934" w:type="pct"/>
                      </w:tcPr>
                      <w:p w14:paraId="1E6340D0" w14:textId="472DF7BE" w:rsidR="00583E7E" w:rsidRPr="003F34DA" w:rsidRDefault="00583E7E" w:rsidP="00583E7E">
                        <w:pPr>
                          <w:spacing w:after="60"/>
                          <w:rPr>
                            <w:bCs/>
                            <w:sz w:val="20"/>
                          </w:rPr>
                        </w:pPr>
                        <w:r w:rsidRPr="003F34DA">
                          <w:rPr>
                            <w:iCs/>
                            <w:sz w:val="20"/>
                          </w:rPr>
                          <w:t xml:space="preserve">RTDRRREV </w:t>
                        </w:r>
                        <w:r w:rsidRPr="003F34DA">
                          <w:rPr>
                            <w:i/>
                            <w:iCs/>
                            <w:sz w:val="20"/>
                            <w:vertAlign w:val="subscript"/>
                          </w:rPr>
                          <w:t>q, r</w:t>
                        </w:r>
                      </w:p>
                    </w:tc>
                    <w:tc>
                      <w:tcPr>
                        <w:tcW w:w="481" w:type="pct"/>
                      </w:tcPr>
                      <w:p w14:paraId="60BA3C09" w14:textId="39276DEE" w:rsidR="00583E7E" w:rsidRPr="003F34DA" w:rsidRDefault="00583E7E" w:rsidP="00583E7E">
                        <w:pPr>
                          <w:spacing w:after="60"/>
                          <w:rPr>
                            <w:iCs/>
                            <w:sz w:val="20"/>
                          </w:rPr>
                        </w:pPr>
                        <w:r w:rsidRPr="003F34DA">
                          <w:rPr>
                            <w:iCs/>
                            <w:sz w:val="20"/>
                          </w:rPr>
                          <w:t>$</w:t>
                        </w:r>
                      </w:p>
                    </w:tc>
                    <w:tc>
                      <w:tcPr>
                        <w:tcW w:w="3585" w:type="pct"/>
                      </w:tcPr>
                      <w:p w14:paraId="639E0241" w14:textId="3FB89029" w:rsidR="00583E7E" w:rsidRPr="003F34DA" w:rsidRDefault="00583E7E" w:rsidP="00583E7E">
                        <w:pPr>
                          <w:spacing w:after="60"/>
                          <w:rPr>
                            <w:i/>
                            <w:iCs/>
                            <w:sz w:val="20"/>
                          </w:rPr>
                        </w:pPr>
                        <w:r w:rsidRPr="003F34DA">
                          <w:rPr>
                            <w:i/>
                            <w:iCs/>
                            <w:sz w:val="20"/>
                          </w:rPr>
                          <w:t>Real-Time Dispatchable Reliability Reserve Service Revenue</w:t>
                        </w:r>
                        <w:r w:rsidRPr="003F34DA">
                          <w:rPr>
                            <w:iCs/>
                            <w:sz w:val="20"/>
                          </w:rPr>
                          <w:t xml:space="preserve">—The calculated Real-Time DRRS revenue for QSE </w:t>
                        </w:r>
                        <w:r w:rsidRPr="003F34DA">
                          <w:rPr>
                            <w:i/>
                            <w:iCs/>
                            <w:sz w:val="20"/>
                          </w:rPr>
                          <w:t xml:space="preserve">q </w:t>
                        </w:r>
                        <w:r w:rsidRPr="003F34DA">
                          <w:rPr>
                            <w:iCs/>
                            <w:sz w:val="20"/>
                          </w:rPr>
                          <w:t>calculated for</w:t>
                        </w:r>
                        <w:r w:rsidRPr="003F34DA">
                          <w:rPr>
                            <w:i/>
                            <w:iCs/>
                            <w:sz w:val="20"/>
                          </w:rPr>
                          <w:t xml:space="preserve"> </w:t>
                        </w:r>
                        <w:r w:rsidRPr="003F34DA">
                          <w:rPr>
                            <w:iCs/>
                            <w:sz w:val="20"/>
                          </w:rPr>
                          <w:t xml:space="preserve">Resource </w:t>
                        </w:r>
                        <w:r w:rsidRPr="003F34DA">
                          <w:rPr>
                            <w:i/>
                            <w:iCs/>
                            <w:sz w:val="20"/>
                          </w:rPr>
                          <w:t xml:space="preserve">r </w:t>
                        </w:r>
                        <w:r w:rsidRPr="003F34DA">
                          <w:rPr>
                            <w:iCs/>
                            <w:sz w:val="20"/>
                          </w:rPr>
                          <w:t xml:space="preserve">for the 15-minute Settlement interval.  Where for a Combined Cycle Train, the Resource </w:t>
                        </w:r>
                        <w:r w:rsidRPr="003F34DA">
                          <w:rPr>
                            <w:i/>
                            <w:iCs/>
                            <w:sz w:val="20"/>
                          </w:rPr>
                          <w:t>r</w:t>
                        </w:r>
                        <w:r w:rsidRPr="003F34DA">
                          <w:rPr>
                            <w:iCs/>
                            <w:sz w:val="20"/>
                          </w:rPr>
                          <w:t xml:space="preserve"> is the Combined Cycle Train.</w:t>
                        </w:r>
                      </w:p>
                    </w:tc>
                  </w:tr>
                </w:tbl>
                <w:p w14:paraId="2BAAE545" w14:textId="77777777" w:rsidR="00583E7E" w:rsidRPr="00583E7E" w:rsidRDefault="00583E7E" w:rsidP="00583E7E">
                  <w:pPr>
                    <w:tabs>
                      <w:tab w:val="left" w:pos="2340"/>
                      <w:tab w:val="left" w:pos="2880"/>
                    </w:tabs>
                    <w:spacing w:after="240"/>
                    <w:ind w:left="987" w:hanging="269"/>
                    <w:rPr>
                      <w:szCs w:val="24"/>
                      <w:lang w:val="es-MX"/>
                    </w:rPr>
                  </w:pPr>
                </w:p>
              </w:tc>
            </w:tr>
          </w:tbl>
          <w:p w14:paraId="2D9EED45" w14:textId="77777777" w:rsidR="00583E7E" w:rsidRPr="0013396E" w:rsidRDefault="00583E7E" w:rsidP="0099759E">
            <w:pPr>
              <w:spacing w:after="60"/>
              <w:rPr>
                <w:i/>
                <w:iCs/>
                <w:sz w:val="20"/>
              </w:rPr>
            </w:pPr>
          </w:p>
        </w:tc>
      </w:tr>
      <w:tr w:rsidR="00C236A2" w:rsidRPr="0013396E" w14:paraId="6BF09848" w14:textId="77777777" w:rsidTr="0099759E">
        <w:trPr>
          <w:cantSplit/>
        </w:trPr>
        <w:tc>
          <w:tcPr>
            <w:tcW w:w="934" w:type="pct"/>
          </w:tcPr>
          <w:p w14:paraId="72E26722" w14:textId="77777777" w:rsidR="00C236A2" w:rsidRPr="0013396E" w:rsidRDefault="00C236A2" w:rsidP="0099759E">
            <w:pPr>
              <w:spacing w:after="60"/>
              <w:rPr>
                <w:bCs/>
                <w:sz w:val="20"/>
              </w:rPr>
            </w:pPr>
            <w:r w:rsidRPr="0013396E">
              <w:rPr>
                <w:iCs/>
                <w:sz w:val="20"/>
              </w:rPr>
              <w:t xml:space="preserve">RTRUREVT </w:t>
            </w:r>
            <w:r w:rsidRPr="0013396E">
              <w:rPr>
                <w:bCs/>
                <w:i/>
                <w:sz w:val="20"/>
                <w:szCs w:val="16"/>
                <w:vertAlign w:val="subscript"/>
              </w:rPr>
              <w:t>q, r, p</w:t>
            </w:r>
          </w:p>
        </w:tc>
        <w:tc>
          <w:tcPr>
            <w:tcW w:w="481" w:type="pct"/>
          </w:tcPr>
          <w:p w14:paraId="729B7517" w14:textId="77777777" w:rsidR="00C236A2" w:rsidRPr="0013396E" w:rsidRDefault="00C236A2" w:rsidP="0099759E">
            <w:pPr>
              <w:spacing w:after="60"/>
              <w:rPr>
                <w:iCs/>
                <w:sz w:val="20"/>
              </w:rPr>
            </w:pPr>
            <w:r w:rsidRPr="0013396E">
              <w:rPr>
                <w:iCs/>
                <w:sz w:val="20"/>
              </w:rPr>
              <w:t>$</w:t>
            </w:r>
          </w:p>
        </w:tc>
        <w:tc>
          <w:tcPr>
            <w:tcW w:w="3585" w:type="pct"/>
          </w:tcPr>
          <w:p w14:paraId="50E7E95E" w14:textId="77777777" w:rsidR="00C236A2" w:rsidRPr="0013396E" w:rsidRDefault="00C236A2" w:rsidP="0099759E">
            <w:pPr>
              <w:spacing w:after="60"/>
              <w:rPr>
                <w:iCs/>
                <w:sz w:val="20"/>
              </w:rPr>
            </w:pPr>
            <w:r w:rsidRPr="0013396E">
              <w:rPr>
                <w:i/>
                <w:iCs/>
                <w:sz w:val="20"/>
              </w:rPr>
              <w:t>Real-Time Reg-Up Revenue Target</w:t>
            </w:r>
            <w:r w:rsidRPr="0013396E">
              <w:rPr>
                <w:iCs/>
                <w:sz w:val="20"/>
              </w:rPr>
              <w:t xml:space="preserve">—The revenue target of the Reg-Up award to Resource </w:t>
            </w:r>
            <w:r w:rsidRPr="0013396E">
              <w:rPr>
                <w:i/>
                <w:iCs/>
                <w:sz w:val="20"/>
              </w:rPr>
              <w:t xml:space="preserve">r </w:t>
            </w:r>
            <w:r w:rsidRPr="0013396E">
              <w:rPr>
                <w:iCs/>
                <w:sz w:val="20"/>
              </w:rPr>
              <w:t xml:space="preserve">at Resource Node </w:t>
            </w:r>
            <w:r w:rsidRPr="0013396E">
              <w:rPr>
                <w:i/>
                <w:iCs/>
                <w:sz w:val="20"/>
              </w:rPr>
              <w:t xml:space="preserve">p </w:t>
            </w:r>
            <w:r w:rsidRPr="0013396E">
              <w:rPr>
                <w:iCs/>
                <w:sz w:val="20"/>
              </w:rPr>
              <w:t xml:space="preserve">represented by QSE </w:t>
            </w:r>
            <w:r w:rsidRPr="0013396E">
              <w:rPr>
                <w:i/>
                <w:iCs/>
                <w:sz w:val="20"/>
              </w:rPr>
              <w:t>q</w:t>
            </w:r>
            <w:r w:rsidRPr="0013396E">
              <w:rPr>
                <w:iCs/>
                <w:sz w:val="20"/>
              </w:rPr>
              <w:t xml:space="preserve"> based on the Ancillary Service Offer 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62019444" w14:textId="77777777" w:rsidTr="0099759E">
        <w:trPr>
          <w:cantSplit/>
        </w:trPr>
        <w:tc>
          <w:tcPr>
            <w:tcW w:w="934" w:type="pct"/>
          </w:tcPr>
          <w:p w14:paraId="080EF9E5" w14:textId="77777777" w:rsidR="00C236A2" w:rsidRPr="0013396E" w:rsidRDefault="00C236A2" w:rsidP="0099759E">
            <w:pPr>
              <w:spacing w:after="60"/>
              <w:rPr>
                <w:bCs/>
                <w:sz w:val="20"/>
              </w:rPr>
            </w:pPr>
            <w:r w:rsidRPr="0013396E">
              <w:rPr>
                <w:iCs/>
                <w:sz w:val="20"/>
              </w:rPr>
              <w:t xml:space="preserve">RTRDREVT </w:t>
            </w:r>
            <w:r w:rsidRPr="0013396E">
              <w:rPr>
                <w:bCs/>
                <w:i/>
                <w:sz w:val="20"/>
                <w:szCs w:val="16"/>
                <w:vertAlign w:val="subscript"/>
              </w:rPr>
              <w:t>q, r, p</w:t>
            </w:r>
          </w:p>
        </w:tc>
        <w:tc>
          <w:tcPr>
            <w:tcW w:w="481" w:type="pct"/>
          </w:tcPr>
          <w:p w14:paraId="419583DC" w14:textId="77777777" w:rsidR="00C236A2" w:rsidRPr="0013396E" w:rsidRDefault="00C236A2" w:rsidP="0099759E">
            <w:pPr>
              <w:spacing w:after="60"/>
              <w:rPr>
                <w:iCs/>
                <w:sz w:val="20"/>
              </w:rPr>
            </w:pPr>
            <w:r w:rsidRPr="0013396E">
              <w:rPr>
                <w:iCs/>
                <w:sz w:val="20"/>
              </w:rPr>
              <w:t>$</w:t>
            </w:r>
          </w:p>
        </w:tc>
        <w:tc>
          <w:tcPr>
            <w:tcW w:w="3585" w:type="pct"/>
          </w:tcPr>
          <w:p w14:paraId="1FF05535" w14:textId="77777777" w:rsidR="00C236A2" w:rsidRPr="0013396E" w:rsidRDefault="00C236A2" w:rsidP="0099759E">
            <w:pPr>
              <w:spacing w:after="60"/>
              <w:rPr>
                <w:i/>
                <w:iCs/>
                <w:sz w:val="20"/>
              </w:rPr>
            </w:pPr>
            <w:r w:rsidRPr="0013396E">
              <w:rPr>
                <w:i/>
                <w:iCs/>
                <w:sz w:val="20"/>
              </w:rPr>
              <w:t>Real-Time Reg-Down Revenue Target</w:t>
            </w:r>
            <w:r w:rsidRPr="0013396E">
              <w:rPr>
                <w:iCs/>
                <w:sz w:val="20"/>
              </w:rPr>
              <w:t xml:space="preserve">—The revenue target of the Reg-Down award to Resource </w:t>
            </w:r>
            <w:r w:rsidRPr="0013396E">
              <w:rPr>
                <w:i/>
                <w:iCs/>
                <w:sz w:val="20"/>
              </w:rPr>
              <w:t>r</w:t>
            </w:r>
            <w:r w:rsidRPr="0013396E">
              <w:rPr>
                <w:iCs/>
                <w:sz w:val="20"/>
              </w:rPr>
              <w:t xml:space="preserve"> at Resource Node </w:t>
            </w:r>
            <w:r w:rsidRPr="0013396E">
              <w:rPr>
                <w:i/>
                <w:iCs/>
                <w:sz w:val="20"/>
              </w:rPr>
              <w:t xml:space="preserve">p </w:t>
            </w:r>
            <w:r w:rsidRPr="0013396E">
              <w:rPr>
                <w:iCs/>
                <w:sz w:val="20"/>
              </w:rPr>
              <w:t xml:space="preserve">represented by QSE </w:t>
            </w:r>
            <w:r w:rsidRPr="0013396E">
              <w:rPr>
                <w:i/>
                <w:iCs/>
                <w:sz w:val="20"/>
              </w:rPr>
              <w:t>q</w:t>
            </w:r>
            <w:r w:rsidRPr="0013396E">
              <w:rPr>
                <w:iCs/>
                <w:sz w:val="20"/>
              </w:rPr>
              <w:t xml:space="preserve"> based on the Ancillary Service Offer 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6326CED2" w14:textId="77777777" w:rsidTr="0099759E">
        <w:trPr>
          <w:cantSplit/>
        </w:trPr>
        <w:tc>
          <w:tcPr>
            <w:tcW w:w="934" w:type="pct"/>
          </w:tcPr>
          <w:p w14:paraId="71A1CF83" w14:textId="77777777" w:rsidR="00C236A2" w:rsidRPr="0013396E" w:rsidRDefault="00C236A2" w:rsidP="0099759E">
            <w:pPr>
              <w:spacing w:after="60"/>
              <w:rPr>
                <w:bCs/>
                <w:sz w:val="20"/>
              </w:rPr>
            </w:pPr>
            <w:r w:rsidRPr="0013396E">
              <w:rPr>
                <w:iCs/>
                <w:sz w:val="20"/>
              </w:rPr>
              <w:t xml:space="preserve">RTRRREVT </w:t>
            </w:r>
            <w:r w:rsidRPr="0013396E">
              <w:rPr>
                <w:bCs/>
                <w:i/>
                <w:sz w:val="20"/>
                <w:szCs w:val="16"/>
                <w:vertAlign w:val="subscript"/>
              </w:rPr>
              <w:t>q, r, p</w:t>
            </w:r>
          </w:p>
        </w:tc>
        <w:tc>
          <w:tcPr>
            <w:tcW w:w="481" w:type="pct"/>
          </w:tcPr>
          <w:p w14:paraId="67A2DA7C" w14:textId="77777777" w:rsidR="00C236A2" w:rsidRPr="0013396E" w:rsidRDefault="00C236A2" w:rsidP="0099759E">
            <w:pPr>
              <w:spacing w:after="60"/>
              <w:rPr>
                <w:iCs/>
                <w:sz w:val="20"/>
              </w:rPr>
            </w:pPr>
            <w:r w:rsidRPr="0013396E">
              <w:rPr>
                <w:iCs/>
                <w:sz w:val="20"/>
              </w:rPr>
              <w:t>$</w:t>
            </w:r>
          </w:p>
        </w:tc>
        <w:tc>
          <w:tcPr>
            <w:tcW w:w="3585" w:type="pct"/>
          </w:tcPr>
          <w:p w14:paraId="6DA4B7A9" w14:textId="77777777" w:rsidR="00C236A2" w:rsidRPr="0013396E" w:rsidRDefault="00C236A2" w:rsidP="0099759E">
            <w:pPr>
              <w:spacing w:after="60"/>
              <w:rPr>
                <w:i/>
                <w:iCs/>
                <w:sz w:val="20"/>
              </w:rPr>
            </w:pPr>
            <w:r w:rsidRPr="0013396E">
              <w:rPr>
                <w:i/>
                <w:iCs/>
                <w:sz w:val="20"/>
              </w:rPr>
              <w:t>Real-Time Responsive Reserve Revenue Target</w:t>
            </w:r>
            <w:r w:rsidRPr="0013396E">
              <w:rPr>
                <w:iCs/>
                <w:sz w:val="20"/>
              </w:rPr>
              <w:t xml:space="preserve">—The revenue target of the RRS award to Resource </w:t>
            </w:r>
            <w:r w:rsidRPr="0013396E">
              <w:rPr>
                <w:i/>
                <w:iCs/>
                <w:sz w:val="20"/>
              </w:rPr>
              <w:t>r</w:t>
            </w:r>
            <w:r w:rsidRPr="0013396E">
              <w:rPr>
                <w:iCs/>
                <w:sz w:val="20"/>
              </w:rPr>
              <w:t xml:space="preserve"> at Resource Node </w:t>
            </w:r>
            <w:r w:rsidRPr="0013396E">
              <w:rPr>
                <w:i/>
                <w:iCs/>
                <w:sz w:val="20"/>
              </w:rPr>
              <w:t xml:space="preserve">p </w:t>
            </w:r>
            <w:r w:rsidRPr="0013396E">
              <w:rPr>
                <w:iCs/>
                <w:sz w:val="20"/>
              </w:rPr>
              <w:t xml:space="preserve">represented by QSE </w:t>
            </w:r>
            <w:r w:rsidRPr="0013396E">
              <w:rPr>
                <w:i/>
                <w:iCs/>
                <w:sz w:val="20"/>
              </w:rPr>
              <w:t>q</w:t>
            </w:r>
            <w:r w:rsidRPr="0013396E">
              <w:rPr>
                <w:iCs/>
                <w:sz w:val="20"/>
              </w:rPr>
              <w:t xml:space="preserve"> based on the Ancillary Service Offer 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423DAF1F" w14:textId="77777777" w:rsidTr="0099759E">
        <w:trPr>
          <w:cantSplit/>
        </w:trPr>
        <w:tc>
          <w:tcPr>
            <w:tcW w:w="934" w:type="pct"/>
          </w:tcPr>
          <w:p w14:paraId="62D93504" w14:textId="77777777" w:rsidR="00C236A2" w:rsidRPr="0013396E" w:rsidRDefault="00C236A2" w:rsidP="0099759E">
            <w:pPr>
              <w:spacing w:after="60"/>
              <w:rPr>
                <w:iCs/>
                <w:sz w:val="20"/>
              </w:rPr>
            </w:pPr>
            <w:r w:rsidRPr="0013396E">
              <w:rPr>
                <w:iCs/>
                <w:sz w:val="20"/>
              </w:rPr>
              <w:t xml:space="preserve">RTNSREVT </w:t>
            </w:r>
            <w:r w:rsidRPr="0013396E">
              <w:rPr>
                <w:bCs/>
                <w:i/>
                <w:sz w:val="20"/>
                <w:szCs w:val="16"/>
                <w:vertAlign w:val="subscript"/>
              </w:rPr>
              <w:t>q, r, p</w:t>
            </w:r>
          </w:p>
        </w:tc>
        <w:tc>
          <w:tcPr>
            <w:tcW w:w="481" w:type="pct"/>
          </w:tcPr>
          <w:p w14:paraId="41D3B56B" w14:textId="77777777" w:rsidR="00C236A2" w:rsidRPr="0013396E" w:rsidRDefault="00C236A2" w:rsidP="0099759E">
            <w:pPr>
              <w:spacing w:after="60"/>
              <w:rPr>
                <w:iCs/>
                <w:sz w:val="20"/>
              </w:rPr>
            </w:pPr>
            <w:r w:rsidRPr="0013396E">
              <w:rPr>
                <w:iCs/>
                <w:sz w:val="20"/>
              </w:rPr>
              <w:t>$</w:t>
            </w:r>
          </w:p>
        </w:tc>
        <w:tc>
          <w:tcPr>
            <w:tcW w:w="3585" w:type="pct"/>
          </w:tcPr>
          <w:p w14:paraId="71E390FA" w14:textId="77777777" w:rsidR="00C236A2" w:rsidRPr="0013396E" w:rsidRDefault="00C236A2" w:rsidP="0099759E">
            <w:pPr>
              <w:spacing w:after="60"/>
              <w:rPr>
                <w:i/>
                <w:iCs/>
                <w:sz w:val="20"/>
              </w:rPr>
            </w:pPr>
            <w:r w:rsidRPr="0013396E">
              <w:rPr>
                <w:i/>
                <w:iCs/>
                <w:sz w:val="20"/>
              </w:rPr>
              <w:t>Real-Time Non-Spin Revenue Target</w:t>
            </w:r>
            <w:r w:rsidRPr="0013396E">
              <w:rPr>
                <w:iCs/>
                <w:sz w:val="20"/>
              </w:rPr>
              <w:t xml:space="preserve">—The revenue target of the Non-Spin award to Resource </w:t>
            </w:r>
            <w:r w:rsidRPr="0013396E">
              <w:rPr>
                <w:i/>
                <w:iCs/>
                <w:sz w:val="20"/>
              </w:rPr>
              <w:t>r</w:t>
            </w:r>
            <w:r w:rsidRPr="0013396E">
              <w:rPr>
                <w:iCs/>
                <w:sz w:val="20"/>
              </w:rPr>
              <w:t xml:space="preserve"> at Resource Node </w:t>
            </w:r>
            <w:r w:rsidRPr="0013396E">
              <w:rPr>
                <w:i/>
                <w:iCs/>
                <w:sz w:val="20"/>
              </w:rPr>
              <w:t xml:space="preserve">p </w:t>
            </w:r>
            <w:r w:rsidRPr="0013396E">
              <w:rPr>
                <w:iCs/>
                <w:sz w:val="20"/>
              </w:rPr>
              <w:t xml:space="preserve">represented by QSE </w:t>
            </w:r>
            <w:r w:rsidRPr="0013396E">
              <w:rPr>
                <w:i/>
                <w:iCs/>
                <w:sz w:val="20"/>
              </w:rPr>
              <w:t>q</w:t>
            </w:r>
            <w:r w:rsidRPr="0013396E">
              <w:rPr>
                <w:iCs/>
                <w:sz w:val="20"/>
              </w:rPr>
              <w:t xml:space="preserve"> based on the Ancillary Service Offer for the 15-minute Settlement Interval.  Where for a Combined Cycle Train, the Resource </w:t>
            </w:r>
            <w:r w:rsidRPr="0013396E">
              <w:rPr>
                <w:i/>
                <w:iCs/>
                <w:sz w:val="20"/>
              </w:rPr>
              <w:t>r</w:t>
            </w:r>
            <w:r w:rsidRPr="0013396E">
              <w:rPr>
                <w:iCs/>
                <w:sz w:val="20"/>
              </w:rPr>
              <w:t xml:space="preserve"> is the Combined Cycle Train.</w:t>
            </w:r>
          </w:p>
        </w:tc>
      </w:tr>
      <w:tr w:rsidR="00C236A2" w:rsidRPr="0013396E" w14:paraId="412AD5E3" w14:textId="77777777" w:rsidTr="0099759E">
        <w:trPr>
          <w:cantSplit/>
        </w:trPr>
        <w:tc>
          <w:tcPr>
            <w:tcW w:w="934" w:type="pct"/>
          </w:tcPr>
          <w:p w14:paraId="53740C1B" w14:textId="77777777" w:rsidR="00C236A2" w:rsidRPr="0013396E" w:rsidRDefault="00C236A2" w:rsidP="0099759E">
            <w:pPr>
              <w:spacing w:after="60"/>
              <w:rPr>
                <w:iCs/>
                <w:sz w:val="20"/>
              </w:rPr>
            </w:pPr>
            <w:r w:rsidRPr="0013396E">
              <w:rPr>
                <w:iCs/>
                <w:sz w:val="20"/>
              </w:rPr>
              <w:t xml:space="preserve">RTECRREVT </w:t>
            </w:r>
            <w:r w:rsidRPr="0013396E">
              <w:rPr>
                <w:bCs/>
                <w:i/>
                <w:sz w:val="20"/>
                <w:szCs w:val="16"/>
                <w:vertAlign w:val="subscript"/>
              </w:rPr>
              <w:t>q, r, p</w:t>
            </w:r>
          </w:p>
        </w:tc>
        <w:tc>
          <w:tcPr>
            <w:tcW w:w="481" w:type="pct"/>
          </w:tcPr>
          <w:p w14:paraId="26014B77" w14:textId="77777777" w:rsidR="00C236A2" w:rsidRPr="0013396E" w:rsidRDefault="00C236A2" w:rsidP="0099759E">
            <w:pPr>
              <w:spacing w:after="60"/>
              <w:rPr>
                <w:iCs/>
                <w:sz w:val="20"/>
              </w:rPr>
            </w:pPr>
            <w:r w:rsidRPr="0013396E">
              <w:rPr>
                <w:iCs/>
                <w:sz w:val="20"/>
              </w:rPr>
              <w:t>$</w:t>
            </w:r>
          </w:p>
        </w:tc>
        <w:tc>
          <w:tcPr>
            <w:tcW w:w="3585" w:type="pct"/>
          </w:tcPr>
          <w:p w14:paraId="1AB8DE0A" w14:textId="77777777" w:rsidR="00C236A2" w:rsidRPr="0013396E" w:rsidRDefault="00C236A2" w:rsidP="0099759E">
            <w:pPr>
              <w:spacing w:after="60"/>
              <w:rPr>
                <w:i/>
                <w:iCs/>
                <w:sz w:val="20"/>
              </w:rPr>
            </w:pPr>
            <w:r w:rsidRPr="0013396E">
              <w:rPr>
                <w:i/>
                <w:iCs/>
                <w:sz w:val="20"/>
              </w:rPr>
              <w:t>Real-Time ERCOT Contingency Reserve Service Revenue Target</w:t>
            </w:r>
            <w:r w:rsidRPr="0013396E">
              <w:rPr>
                <w:iCs/>
                <w:sz w:val="20"/>
              </w:rPr>
              <w:t xml:space="preserve">—The revenue target of the ECRS award to Resource </w:t>
            </w:r>
            <w:r w:rsidRPr="0013396E">
              <w:rPr>
                <w:i/>
                <w:iCs/>
                <w:sz w:val="20"/>
              </w:rPr>
              <w:t>r</w:t>
            </w:r>
            <w:r w:rsidRPr="0013396E">
              <w:rPr>
                <w:iCs/>
                <w:sz w:val="20"/>
              </w:rPr>
              <w:t xml:space="preserve"> at Resource Node </w:t>
            </w:r>
            <w:r w:rsidRPr="0013396E">
              <w:rPr>
                <w:i/>
                <w:iCs/>
                <w:sz w:val="20"/>
              </w:rPr>
              <w:t xml:space="preserve">p </w:t>
            </w:r>
            <w:r w:rsidRPr="0013396E">
              <w:rPr>
                <w:iCs/>
                <w:sz w:val="20"/>
              </w:rPr>
              <w:t xml:space="preserve">represented by QSE </w:t>
            </w:r>
            <w:r w:rsidRPr="0013396E">
              <w:rPr>
                <w:i/>
                <w:iCs/>
                <w:sz w:val="20"/>
              </w:rPr>
              <w:t>q</w:t>
            </w:r>
            <w:r w:rsidRPr="0013396E">
              <w:rPr>
                <w:iCs/>
                <w:sz w:val="20"/>
              </w:rPr>
              <w:t xml:space="preserve"> based on the Ancillary Service Offer for the 15-minute Settlement Interval.  Where for a Combined Cycle Train, the Resource </w:t>
            </w:r>
            <w:r w:rsidRPr="0013396E">
              <w:rPr>
                <w:i/>
                <w:iCs/>
                <w:sz w:val="20"/>
              </w:rPr>
              <w:t>r</w:t>
            </w:r>
            <w:r w:rsidRPr="0013396E">
              <w:rPr>
                <w:iCs/>
                <w:sz w:val="20"/>
              </w:rPr>
              <w:t xml:space="preserve"> is the Combined Cycle Train.</w:t>
            </w:r>
          </w:p>
        </w:tc>
      </w:tr>
      <w:tr w:rsidR="00583E7E" w:rsidRPr="0013396E" w14:paraId="3EDDCAF2" w14:textId="77777777" w:rsidTr="00583E7E">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79843D68" w14:textId="77777777" w:rsidTr="00A86863">
              <w:trPr>
                <w:trHeight w:val="206"/>
              </w:trPr>
              <w:tc>
                <w:tcPr>
                  <w:tcW w:w="9350" w:type="dxa"/>
                  <w:shd w:val="pct12" w:color="auto" w:fill="auto"/>
                </w:tcPr>
                <w:p w14:paraId="27008CEA" w14:textId="0464517B" w:rsidR="00583E7E" w:rsidRPr="0013396E" w:rsidRDefault="00583E7E" w:rsidP="00583E7E">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RTDRRREVT</w:t>
                  </w:r>
                  <w:r w:rsidRPr="00583E7E">
                    <w:rPr>
                      <w:b/>
                      <w:i/>
                      <w:iCs/>
                      <w:szCs w:val="24"/>
                      <w:vertAlign w:val="subscript"/>
                    </w:rPr>
                    <w:t xml:space="preserve"> q, r, p</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0623FE0B" w14:textId="77777777" w:rsidTr="00A86863">
                    <w:trPr>
                      <w:cantSplit/>
                    </w:trPr>
                    <w:tc>
                      <w:tcPr>
                        <w:tcW w:w="934" w:type="pct"/>
                      </w:tcPr>
                      <w:p w14:paraId="5B2AA667" w14:textId="6690302A" w:rsidR="00583E7E" w:rsidRPr="003F34DA" w:rsidRDefault="00583E7E" w:rsidP="00583E7E">
                        <w:pPr>
                          <w:spacing w:after="60"/>
                          <w:rPr>
                            <w:bCs/>
                            <w:sz w:val="20"/>
                          </w:rPr>
                        </w:pPr>
                        <w:r w:rsidRPr="003F34DA">
                          <w:rPr>
                            <w:iCs/>
                            <w:sz w:val="20"/>
                          </w:rPr>
                          <w:t xml:space="preserve">RTDRRREVT </w:t>
                        </w:r>
                        <w:r w:rsidRPr="003F34DA">
                          <w:rPr>
                            <w:bCs/>
                            <w:i/>
                            <w:sz w:val="20"/>
                            <w:szCs w:val="16"/>
                            <w:vertAlign w:val="subscript"/>
                          </w:rPr>
                          <w:t>q, r, p</w:t>
                        </w:r>
                      </w:p>
                    </w:tc>
                    <w:tc>
                      <w:tcPr>
                        <w:tcW w:w="481" w:type="pct"/>
                      </w:tcPr>
                      <w:p w14:paraId="0E3E9C81" w14:textId="15C0B3E2" w:rsidR="00583E7E" w:rsidRPr="003F34DA" w:rsidRDefault="00583E7E" w:rsidP="00583E7E">
                        <w:pPr>
                          <w:spacing w:after="60"/>
                          <w:rPr>
                            <w:iCs/>
                            <w:sz w:val="20"/>
                          </w:rPr>
                        </w:pPr>
                        <w:r w:rsidRPr="003F34DA">
                          <w:rPr>
                            <w:iCs/>
                            <w:sz w:val="20"/>
                          </w:rPr>
                          <w:t>$</w:t>
                        </w:r>
                      </w:p>
                    </w:tc>
                    <w:tc>
                      <w:tcPr>
                        <w:tcW w:w="3585" w:type="pct"/>
                      </w:tcPr>
                      <w:p w14:paraId="1306C799" w14:textId="70994D15" w:rsidR="00583E7E" w:rsidRPr="003F34DA" w:rsidRDefault="00583E7E" w:rsidP="00583E7E">
                        <w:pPr>
                          <w:spacing w:after="60"/>
                          <w:rPr>
                            <w:i/>
                            <w:iCs/>
                            <w:sz w:val="20"/>
                          </w:rPr>
                        </w:pPr>
                        <w:r w:rsidRPr="003F34DA">
                          <w:rPr>
                            <w:i/>
                            <w:iCs/>
                            <w:sz w:val="20"/>
                          </w:rPr>
                          <w:t>Real-Time Dispatchable Reliability Reserve Service Revenue Target</w:t>
                        </w:r>
                        <w:r w:rsidRPr="003F34DA">
                          <w:rPr>
                            <w:iCs/>
                            <w:sz w:val="20"/>
                          </w:rPr>
                          <w:t xml:space="preserve">—The revenue target of the DRRS award to Resource </w:t>
                        </w:r>
                        <w:r w:rsidRPr="003F34DA">
                          <w:rPr>
                            <w:i/>
                            <w:iCs/>
                            <w:sz w:val="20"/>
                          </w:rPr>
                          <w:t>r</w:t>
                        </w:r>
                        <w:r w:rsidRPr="003F34DA">
                          <w:rPr>
                            <w:iCs/>
                            <w:sz w:val="20"/>
                          </w:rPr>
                          <w:t xml:space="preserve"> at Resource Node </w:t>
                        </w:r>
                        <w:r w:rsidRPr="003F34DA">
                          <w:rPr>
                            <w:i/>
                            <w:iCs/>
                            <w:sz w:val="20"/>
                          </w:rPr>
                          <w:t xml:space="preserve">p </w:t>
                        </w:r>
                        <w:r w:rsidRPr="003F34DA">
                          <w:rPr>
                            <w:iCs/>
                            <w:sz w:val="20"/>
                          </w:rPr>
                          <w:t xml:space="preserve">represented by QSE </w:t>
                        </w:r>
                        <w:r w:rsidRPr="003F34DA">
                          <w:rPr>
                            <w:i/>
                            <w:iCs/>
                            <w:sz w:val="20"/>
                          </w:rPr>
                          <w:t>q</w:t>
                        </w:r>
                        <w:r w:rsidRPr="003F34DA">
                          <w:rPr>
                            <w:iCs/>
                            <w:sz w:val="20"/>
                          </w:rPr>
                          <w:t xml:space="preserve"> based on the Ancillary Service Offer for the 15-minute Settlement Interval.  Where for a Combined Cycle Train, the Resource </w:t>
                        </w:r>
                        <w:r w:rsidRPr="003F34DA">
                          <w:rPr>
                            <w:i/>
                            <w:iCs/>
                            <w:sz w:val="20"/>
                          </w:rPr>
                          <w:t>r</w:t>
                        </w:r>
                        <w:r w:rsidRPr="003F34DA">
                          <w:rPr>
                            <w:iCs/>
                            <w:sz w:val="20"/>
                          </w:rPr>
                          <w:t xml:space="preserve"> is the Combined Cycle Train.</w:t>
                        </w:r>
                      </w:p>
                    </w:tc>
                  </w:tr>
                </w:tbl>
                <w:p w14:paraId="2DD5AE16" w14:textId="77777777" w:rsidR="00583E7E" w:rsidRPr="00583E7E" w:rsidRDefault="00583E7E" w:rsidP="00583E7E">
                  <w:pPr>
                    <w:tabs>
                      <w:tab w:val="left" w:pos="2340"/>
                      <w:tab w:val="left" w:pos="2880"/>
                    </w:tabs>
                    <w:spacing w:after="240"/>
                    <w:ind w:left="987" w:hanging="269"/>
                    <w:rPr>
                      <w:szCs w:val="24"/>
                      <w:lang w:val="es-MX"/>
                    </w:rPr>
                  </w:pPr>
                </w:p>
              </w:tc>
            </w:tr>
          </w:tbl>
          <w:p w14:paraId="2ED8666A" w14:textId="77777777" w:rsidR="00583E7E" w:rsidRPr="0013396E" w:rsidRDefault="00583E7E" w:rsidP="0099759E">
            <w:pPr>
              <w:spacing w:after="60"/>
              <w:rPr>
                <w:i/>
                <w:iCs/>
                <w:sz w:val="20"/>
              </w:rPr>
            </w:pPr>
          </w:p>
        </w:tc>
      </w:tr>
      <w:tr w:rsidR="00C236A2" w:rsidRPr="0013396E" w14:paraId="4625A5B1" w14:textId="77777777" w:rsidTr="0099759E">
        <w:trPr>
          <w:cantSplit/>
        </w:trPr>
        <w:tc>
          <w:tcPr>
            <w:tcW w:w="934" w:type="pct"/>
          </w:tcPr>
          <w:p w14:paraId="235C3E68" w14:textId="77777777" w:rsidR="00C236A2" w:rsidRPr="0013396E" w:rsidRDefault="00C236A2" w:rsidP="0099759E">
            <w:pPr>
              <w:spacing w:after="60"/>
              <w:rPr>
                <w:iCs/>
                <w:sz w:val="20"/>
              </w:rPr>
            </w:pPr>
            <w:r w:rsidRPr="0013396E">
              <w:rPr>
                <w:iCs/>
                <w:sz w:val="20"/>
                <w:lang w:val="pt-BR"/>
              </w:rPr>
              <w:t xml:space="preserve">RTRUWAPR </w:t>
            </w:r>
            <w:r w:rsidRPr="0013396E">
              <w:rPr>
                <w:i/>
                <w:iCs/>
                <w:sz w:val="20"/>
                <w:vertAlign w:val="subscript"/>
                <w:lang w:val="pt-BR"/>
              </w:rPr>
              <w:t>q, r, p</w:t>
            </w:r>
          </w:p>
        </w:tc>
        <w:tc>
          <w:tcPr>
            <w:tcW w:w="481" w:type="pct"/>
          </w:tcPr>
          <w:p w14:paraId="24D2E690" w14:textId="77777777" w:rsidR="00C236A2" w:rsidRPr="0013396E" w:rsidRDefault="00C236A2" w:rsidP="0099759E">
            <w:pPr>
              <w:spacing w:after="60"/>
              <w:rPr>
                <w:iCs/>
                <w:sz w:val="20"/>
              </w:rPr>
            </w:pPr>
            <w:r w:rsidRPr="0013396E">
              <w:rPr>
                <w:iCs/>
                <w:sz w:val="20"/>
              </w:rPr>
              <w:t>$/MW</w:t>
            </w:r>
          </w:p>
        </w:tc>
        <w:tc>
          <w:tcPr>
            <w:tcW w:w="3585" w:type="pct"/>
          </w:tcPr>
          <w:p w14:paraId="49E3E06E" w14:textId="77777777" w:rsidR="00C236A2" w:rsidRPr="0013396E" w:rsidRDefault="00C236A2" w:rsidP="0099759E">
            <w:pPr>
              <w:spacing w:after="60"/>
              <w:rPr>
                <w:iCs/>
                <w:sz w:val="20"/>
              </w:rPr>
            </w:pPr>
            <w:r w:rsidRPr="0013396E">
              <w:rPr>
                <w:i/>
                <w:iCs/>
                <w:sz w:val="20"/>
              </w:rPr>
              <w:t>Real-Time Reg-Up Weighted-Average Price</w:t>
            </w:r>
            <w:r w:rsidRPr="0013396E">
              <w:rPr>
                <w:iCs/>
                <w:sz w:val="20"/>
              </w:rPr>
              <w:t xml:space="preserve">—The weighted average of the Ancillary Service Offer prices corresponding with the Reg-Up awards from the Ancillary Service Offer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584E55BA" w14:textId="77777777" w:rsidTr="0099759E">
        <w:trPr>
          <w:cantSplit/>
        </w:trPr>
        <w:tc>
          <w:tcPr>
            <w:tcW w:w="934" w:type="pct"/>
          </w:tcPr>
          <w:p w14:paraId="2D5246F3" w14:textId="77777777" w:rsidR="00C236A2" w:rsidRPr="0013396E" w:rsidRDefault="00C236A2" w:rsidP="0099759E">
            <w:pPr>
              <w:spacing w:after="60"/>
              <w:rPr>
                <w:iCs/>
                <w:sz w:val="20"/>
              </w:rPr>
            </w:pPr>
            <w:r w:rsidRPr="0013396E">
              <w:rPr>
                <w:iCs/>
                <w:sz w:val="20"/>
                <w:lang w:val="pt-BR"/>
              </w:rPr>
              <w:lastRenderedPageBreak/>
              <w:t xml:space="preserve">RTRDWAPR </w:t>
            </w:r>
            <w:r w:rsidRPr="0013396E">
              <w:rPr>
                <w:i/>
                <w:iCs/>
                <w:sz w:val="20"/>
                <w:vertAlign w:val="subscript"/>
                <w:lang w:val="pt-BR"/>
              </w:rPr>
              <w:t>q, r, p</w:t>
            </w:r>
          </w:p>
        </w:tc>
        <w:tc>
          <w:tcPr>
            <w:tcW w:w="481" w:type="pct"/>
          </w:tcPr>
          <w:p w14:paraId="4878B557" w14:textId="77777777" w:rsidR="00C236A2" w:rsidRPr="0013396E" w:rsidRDefault="00C236A2" w:rsidP="0099759E">
            <w:pPr>
              <w:spacing w:after="60"/>
              <w:rPr>
                <w:iCs/>
                <w:sz w:val="20"/>
              </w:rPr>
            </w:pPr>
            <w:r w:rsidRPr="0013396E">
              <w:rPr>
                <w:iCs/>
                <w:sz w:val="20"/>
              </w:rPr>
              <w:t>$/MW</w:t>
            </w:r>
          </w:p>
        </w:tc>
        <w:tc>
          <w:tcPr>
            <w:tcW w:w="3585" w:type="pct"/>
          </w:tcPr>
          <w:p w14:paraId="59D19502" w14:textId="77777777" w:rsidR="00C236A2" w:rsidRPr="0013396E" w:rsidRDefault="00C236A2" w:rsidP="0099759E">
            <w:pPr>
              <w:spacing w:after="60"/>
              <w:rPr>
                <w:i/>
                <w:iCs/>
                <w:sz w:val="20"/>
              </w:rPr>
            </w:pPr>
            <w:r w:rsidRPr="0013396E">
              <w:rPr>
                <w:i/>
                <w:iCs/>
                <w:sz w:val="20"/>
              </w:rPr>
              <w:t>Real-Time Reg-Down Weighted-Average Price</w:t>
            </w:r>
            <w:r w:rsidRPr="0013396E">
              <w:rPr>
                <w:iCs/>
                <w:sz w:val="20"/>
              </w:rPr>
              <w:t xml:space="preserve">—The weighted average of the Ancillary Service Offer prices corresponding with the Reg-Down awards from the Ancillary Service Offer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6E6713D0" w14:textId="77777777" w:rsidTr="0099759E">
        <w:trPr>
          <w:cantSplit/>
        </w:trPr>
        <w:tc>
          <w:tcPr>
            <w:tcW w:w="934" w:type="pct"/>
          </w:tcPr>
          <w:p w14:paraId="503B9EE8" w14:textId="77777777" w:rsidR="00C236A2" w:rsidRPr="0013396E" w:rsidRDefault="00C236A2" w:rsidP="0099759E">
            <w:pPr>
              <w:spacing w:after="60"/>
              <w:rPr>
                <w:iCs/>
                <w:sz w:val="20"/>
              </w:rPr>
            </w:pPr>
            <w:r w:rsidRPr="0013396E">
              <w:rPr>
                <w:iCs/>
                <w:sz w:val="20"/>
                <w:lang w:val="pt-BR"/>
              </w:rPr>
              <w:t xml:space="preserve">RTRRWAPR </w:t>
            </w:r>
            <w:r w:rsidRPr="0013396E">
              <w:rPr>
                <w:i/>
                <w:iCs/>
                <w:sz w:val="20"/>
                <w:vertAlign w:val="subscript"/>
                <w:lang w:val="pt-BR"/>
              </w:rPr>
              <w:t>q, r, p</w:t>
            </w:r>
          </w:p>
        </w:tc>
        <w:tc>
          <w:tcPr>
            <w:tcW w:w="481" w:type="pct"/>
          </w:tcPr>
          <w:p w14:paraId="1A4BF80F" w14:textId="77777777" w:rsidR="00C236A2" w:rsidRPr="0013396E" w:rsidRDefault="00C236A2" w:rsidP="0099759E">
            <w:pPr>
              <w:spacing w:after="60"/>
              <w:rPr>
                <w:iCs/>
                <w:sz w:val="20"/>
              </w:rPr>
            </w:pPr>
            <w:r w:rsidRPr="0013396E">
              <w:rPr>
                <w:iCs/>
                <w:sz w:val="20"/>
              </w:rPr>
              <w:t>$/MW</w:t>
            </w:r>
          </w:p>
        </w:tc>
        <w:tc>
          <w:tcPr>
            <w:tcW w:w="3585" w:type="pct"/>
          </w:tcPr>
          <w:p w14:paraId="6F781FC1" w14:textId="77777777" w:rsidR="00C236A2" w:rsidRPr="0013396E" w:rsidRDefault="00C236A2" w:rsidP="0099759E">
            <w:pPr>
              <w:spacing w:after="60"/>
              <w:rPr>
                <w:i/>
                <w:iCs/>
                <w:sz w:val="20"/>
              </w:rPr>
            </w:pPr>
            <w:r w:rsidRPr="0013396E">
              <w:rPr>
                <w:i/>
                <w:iCs/>
                <w:sz w:val="20"/>
              </w:rPr>
              <w:t>Real-Time Responsive Reserve Weighted-Average Price</w:t>
            </w:r>
            <w:r w:rsidRPr="0013396E">
              <w:rPr>
                <w:iCs/>
                <w:sz w:val="20"/>
              </w:rPr>
              <w:t xml:space="preserve">—The weighted average of the Ancillary Service Offer prices corresponding with the RRS awards from the Ancillary Service Offer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5EED3072" w14:textId="77777777" w:rsidTr="0099759E">
        <w:trPr>
          <w:cantSplit/>
        </w:trPr>
        <w:tc>
          <w:tcPr>
            <w:tcW w:w="934" w:type="pct"/>
          </w:tcPr>
          <w:p w14:paraId="03701790" w14:textId="77777777" w:rsidR="00C236A2" w:rsidRPr="0013396E" w:rsidRDefault="00C236A2" w:rsidP="0099759E">
            <w:pPr>
              <w:spacing w:after="60"/>
              <w:rPr>
                <w:iCs/>
                <w:sz w:val="20"/>
              </w:rPr>
            </w:pPr>
            <w:r w:rsidRPr="0013396E">
              <w:rPr>
                <w:iCs/>
                <w:sz w:val="20"/>
                <w:lang w:val="pt-BR"/>
              </w:rPr>
              <w:t xml:space="preserve">RTNSWAPR </w:t>
            </w:r>
            <w:r w:rsidRPr="0013396E">
              <w:rPr>
                <w:i/>
                <w:iCs/>
                <w:sz w:val="20"/>
                <w:vertAlign w:val="subscript"/>
                <w:lang w:val="pt-BR"/>
              </w:rPr>
              <w:t>q, r, p</w:t>
            </w:r>
          </w:p>
        </w:tc>
        <w:tc>
          <w:tcPr>
            <w:tcW w:w="481" w:type="pct"/>
          </w:tcPr>
          <w:p w14:paraId="7E44B2AB" w14:textId="77777777" w:rsidR="00C236A2" w:rsidRPr="0013396E" w:rsidRDefault="00C236A2" w:rsidP="0099759E">
            <w:pPr>
              <w:spacing w:after="60"/>
              <w:rPr>
                <w:iCs/>
                <w:sz w:val="20"/>
              </w:rPr>
            </w:pPr>
            <w:r w:rsidRPr="0013396E">
              <w:rPr>
                <w:iCs/>
                <w:sz w:val="20"/>
              </w:rPr>
              <w:t>$/MW</w:t>
            </w:r>
          </w:p>
        </w:tc>
        <w:tc>
          <w:tcPr>
            <w:tcW w:w="3585" w:type="pct"/>
          </w:tcPr>
          <w:p w14:paraId="2C8755A4" w14:textId="77777777" w:rsidR="00C236A2" w:rsidRPr="0013396E" w:rsidRDefault="00C236A2" w:rsidP="0099759E">
            <w:pPr>
              <w:spacing w:after="60"/>
              <w:rPr>
                <w:i/>
                <w:iCs/>
                <w:sz w:val="20"/>
              </w:rPr>
            </w:pPr>
            <w:r w:rsidRPr="0013396E">
              <w:rPr>
                <w:i/>
                <w:iCs/>
                <w:sz w:val="20"/>
              </w:rPr>
              <w:t>Real-Time Non-Spin Weighted-Average Price</w:t>
            </w:r>
            <w:r w:rsidRPr="0013396E">
              <w:rPr>
                <w:iCs/>
                <w:sz w:val="20"/>
              </w:rPr>
              <w:t xml:space="preserve">—The weighted average of the Ancillary Service Offer prices corresponding with the Non-Spin awards from the Ancillary Service Offer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4A2DDD74" w14:textId="77777777" w:rsidTr="0099759E">
        <w:trPr>
          <w:cantSplit/>
        </w:trPr>
        <w:tc>
          <w:tcPr>
            <w:tcW w:w="934" w:type="pct"/>
          </w:tcPr>
          <w:p w14:paraId="4C686446" w14:textId="77777777" w:rsidR="00C236A2" w:rsidRPr="0013396E" w:rsidRDefault="00C236A2" w:rsidP="0099759E">
            <w:pPr>
              <w:spacing w:after="60"/>
              <w:rPr>
                <w:iCs/>
                <w:sz w:val="20"/>
                <w:lang w:val="pt-BR"/>
              </w:rPr>
            </w:pPr>
            <w:r w:rsidRPr="0013396E">
              <w:rPr>
                <w:iCs/>
                <w:sz w:val="20"/>
                <w:lang w:val="pt-BR"/>
              </w:rPr>
              <w:t xml:space="preserve">RTECRWAPR </w:t>
            </w:r>
            <w:r w:rsidRPr="0013396E">
              <w:rPr>
                <w:i/>
                <w:iCs/>
                <w:sz w:val="20"/>
                <w:vertAlign w:val="subscript"/>
                <w:lang w:val="pt-BR"/>
              </w:rPr>
              <w:t>q, r, p</w:t>
            </w:r>
          </w:p>
        </w:tc>
        <w:tc>
          <w:tcPr>
            <w:tcW w:w="481" w:type="pct"/>
          </w:tcPr>
          <w:p w14:paraId="5BDBA99E" w14:textId="77777777" w:rsidR="00C236A2" w:rsidRPr="0013396E" w:rsidRDefault="00C236A2" w:rsidP="0099759E">
            <w:pPr>
              <w:spacing w:after="60"/>
              <w:rPr>
                <w:iCs/>
                <w:sz w:val="20"/>
              </w:rPr>
            </w:pPr>
            <w:r w:rsidRPr="0013396E">
              <w:rPr>
                <w:iCs/>
                <w:sz w:val="20"/>
              </w:rPr>
              <w:t>$/MW</w:t>
            </w:r>
          </w:p>
        </w:tc>
        <w:tc>
          <w:tcPr>
            <w:tcW w:w="3585" w:type="pct"/>
          </w:tcPr>
          <w:p w14:paraId="15070A96" w14:textId="77777777" w:rsidR="00C236A2" w:rsidRPr="0013396E" w:rsidRDefault="00C236A2" w:rsidP="0099759E">
            <w:pPr>
              <w:spacing w:after="60"/>
              <w:rPr>
                <w:i/>
                <w:iCs/>
                <w:sz w:val="20"/>
              </w:rPr>
            </w:pPr>
            <w:r w:rsidRPr="0013396E">
              <w:rPr>
                <w:i/>
                <w:iCs/>
                <w:sz w:val="20"/>
              </w:rPr>
              <w:t>Real-Time ERCOT Contingency Reserve Service Weighted-Average Price</w:t>
            </w:r>
            <w:r w:rsidRPr="0013396E">
              <w:rPr>
                <w:iCs/>
                <w:sz w:val="20"/>
              </w:rPr>
              <w:t xml:space="preserve">—The weighted average of the Ancillary Service Offer prices corresponding with the ECRS awards from the Ancillary Service Offer for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Train, the Resource </w:t>
            </w:r>
            <w:r w:rsidRPr="0013396E">
              <w:rPr>
                <w:i/>
                <w:iCs/>
                <w:sz w:val="20"/>
              </w:rPr>
              <w:t xml:space="preserve">r </w:t>
            </w:r>
            <w:r w:rsidRPr="0013396E">
              <w:rPr>
                <w:iCs/>
                <w:sz w:val="20"/>
              </w:rPr>
              <w:t>is the Combined Cycle Train.</w:t>
            </w:r>
          </w:p>
        </w:tc>
      </w:tr>
      <w:tr w:rsidR="00583E7E" w:rsidRPr="0013396E" w14:paraId="0B304882" w14:textId="77777777" w:rsidTr="00583E7E">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391AEE4C" w14:textId="77777777" w:rsidTr="00A86863">
              <w:trPr>
                <w:trHeight w:val="206"/>
              </w:trPr>
              <w:tc>
                <w:tcPr>
                  <w:tcW w:w="9350" w:type="dxa"/>
                  <w:shd w:val="pct12" w:color="auto" w:fill="auto"/>
                </w:tcPr>
                <w:p w14:paraId="06AEC17A" w14:textId="2FC2C164" w:rsidR="00583E7E" w:rsidRPr="0013396E" w:rsidRDefault="00583E7E" w:rsidP="00583E7E">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RTDRRWAPR</w:t>
                  </w:r>
                  <w:r w:rsidRPr="00583E7E">
                    <w:rPr>
                      <w:b/>
                      <w:i/>
                      <w:iCs/>
                      <w:szCs w:val="24"/>
                      <w:vertAlign w:val="subscript"/>
                    </w:rPr>
                    <w:t xml:space="preserve"> q, r, p</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3A35F250" w14:textId="77777777" w:rsidTr="00A86863">
                    <w:trPr>
                      <w:cantSplit/>
                    </w:trPr>
                    <w:tc>
                      <w:tcPr>
                        <w:tcW w:w="934" w:type="pct"/>
                      </w:tcPr>
                      <w:p w14:paraId="794116D8" w14:textId="1E300899" w:rsidR="00583E7E" w:rsidRPr="003F34DA" w:rsidRDefault="00583E7E" w:rsidP="00583E7E">
                        <w:pPr>
                          <w:spacing w:after="60"/>
                          <w:rPr>
                            <w:bCs/>
                            <w:sz w:val="20"/>
                          </w:rPr>
                        </w:pPr>
                        <w:r w:rsidRPr="003F34DA">
                          <w:rPr>
                            <w:iCs/>
                            <w:sz w:val="20"/>
                            <w:lang w:val="pt-BR"/>
                          </w:rPr>
                          <w:t xml:space="preserve">RTDRRWAPR </w:t>
                        </w:r>
                        <w:r w:rsidRPr="003F34DA">
                          <w:rPr>
                            <w:i/>
                            <w:iCs/>
                            <w:sz w:val="20"/>
                            <w:vertAlign w:val="subscript"/>
                            <w:lang w:val="pt-BR"/>
                          </w:rPr>
                          <w:t>q, r, p</w:t>
                        </w:r>
                      </w:p>
                    </w:tc>
                    <w:tc>
                      <w:tcPr>
                        <w:tcW w:w="481" w:type="pct"/>
                      </w:tcPr>
                      <w:p w14:paraId="51165F25" w14:textId="65E60F31" w:rsidR="00583E7E" w:rsidRPr="003F34DA" w:rsidRDefault="00583E7E" w:rsidP="00583E7E">
                        <w:pPr>
                          <w:spacing w:after="60"/>
                          <w:rPr>
                            <w:iCs/>
                            <w:sz w:val="20"/>
                          </w:rPr>
                        </w:pPr>
                        <w:r w:rsidRPr="003F34DA">
                          <w:rPr>
                            <w:iCs/>
                            <w:sz w:val="20"/>
                          </w:rPr>
                          <w:t>$/MW</w:t>
                        </w:r>
                      </w:p>
                    </w:tc>
                    <w:tc>
                      <w:tcPr>
                        <w:tcW w:w="3585" w:type="pct"/>
                      </w:tcPr>
                      <w:p w14:paraId="624CDFE3" w14:textId="4E99229A" w:rsidR="00583E7E" w:rsidRPr="003F34DA" w:rsidRDefault="00583E7E" w:rsidP="00583E7E">
                        <w:pPr>
                          <w:spacing w:after="60"/>
                          <w:rPr>
                            <w:i/>
                            <w:iCs/>
                            <w:sz w:val="20"/>
                          </w:rPr>
                        </w:pPr>
                        <w:r w:rsidRPr="003F34DA">
                          <w:rPr>
                            <w:i/>
                            <w:iCs/>
                            <w:sz w:val="20"/>
                          </w:rPr>
                          <w:t>Real-Time Dispatchable Reliability Reserve Service Weighted-Average Price</w:t>
                        </w:r>
                        <w:r w:rsidRPr="003F34DA">
                          <w:rPr>
                            <w:iCs/>
                            <w:sz w:val="20"/>
                          </w:rPr>
                          <w:t xml:space="preserve">—The weighted average of the Ancillary Service Offer prices corresponding with the DRRS awards from the Ancillary Service Offer for Resource </w:t>
                        </w:r>
                        <w:r w:rsidRPr="003F34DA">
                          <w:rPr>
                            <w:i/>
                            <w:iCs/>
                            <w:sz w:val="20"/>
                          </w:rPr>
                          <w:t>r</w:t>
                        </w:r>
                        <w:r w:rsidRPr="003F34DA">
                          <w:rPr>
                            <w:iCs/>
                            <w:sz w:val="20"/>
                          </w:rPr>
                          <w:t xml:space="preserve"> at Resource Node </w:t>
                        </w:r>
                        <w:r w:rsidRPr="003F34DA">
                          <w:rPr>
                            <w:i/>
                            <w:iCs/>
                            <w:sz w:val="20"/>
                          </w:rPr>
                          <w:t>p</w:t>
                        </w:r>
                        <w:r w:rsidRPr="003F34DA">
                          <w:rPr>
                            <w:iCs/>
                            <w:sz w:val="20"/>
                          </w:rPr>
                          <w:t xml:space="preserve"> represented by QSE </w:t>
                        </w:r>
                        <w:r w:rsidRPr="003F34DA">
                          <w:rPr>
                            <w:i/>
                            <w:iCs/>
                            <w:sz w:val="20"/>
                          </w:rPr>
                          <w:t>q</w:t>
                        </w:r>
                        <w:r w:rsidRPr="003F34DA">
                          <w:rPr>
                            <w:iCs/>
                            <w:sz w:val="20"/>
                          </w:rPr>
                          <w:t xml:space="preserve">, for the 15-minute Settlement Interval.  Where for a Combined Cycle Train, the Resource </w:t>
                        </w:r>
                        <w:r w:rsidRPr="003F34DA">
                          <w:rPr>
                            <w:i/>
                            <w:iCs/>
                            <w:sz w:val="20"/>
                          </w:rPr>
                          <w:t xml:space="preserve">r </w:t>
                        </w:r>
                        <w:r w:rsidRPr="003F34DA">
                          <w:rPr>
                            <w:iCs/>
                            <w:sz w:val="20"/>
                          </w:rPr>
                          <w:t>is the Combined Cycle Train.</w:t>
                        </w:r>
                      </w:p>
                    </w:tc>
                  </w:tr>
                </w:tbl>
                <w:p w14:paraId="429DC1A7" w14:textId="77777777" w:rsidR="00583E7E" w:rsidRPr="00583E7E" w:rsidRDefault="00583E7E" w:rsidP="00583E7E">
                  <w:pPr>
                    <w:tabs>
                      <w:tab w:val="left" w:pos="2340"/>
                      <w:tab w:val="left" w:pos="2880"/>
                    </w:tabs>
                    <w:spacing w:after="240"/>
                    <w:ind w:left="987" w:hanging="269"/>
                    <w:rPr>
                      <w:szCs w:val="24"/>
                      <w:lang w:val="es-MX"/>
                    </w:rPr>
                  </w:pPr>
                </w:p>
              </w:tc>
            </w:tr>
          </w:tbl>
          <w:p w14:paraId="35E0C69D" w14:textId="77777777" w:rsidR="00583E7E" w:rsidRPr="0013396E" w:rsidRDefault="00583E7E" w:rsidP="0099759E">
            <w:pPr>
              <w:spacing w:after="60"/>
              <w:rPr>
                <w:i/>
                <w:iCs/>
                <w:sz w:val="20"/>
              </w:rPr>
            </w:pPr>
          </w:p>
        </w:tc>
      </w:tr>
      <w:tr w:rsidR="00C236A2" w:rsidRPr="0013396E" w14:paraId="027F4E97" w14:textId="77777777" w:rsidTr="0099759E">
        <w:trPr>
          <w:cantSplit/>
        </w:trPr>
        <w:tc>
          <w:tcPr>
            <w:tcW w:w="934" w:type="pct"/>
          </w:tcPr>
          <w:p w14:paraId="5C95977C" w14:textId="77777777" w:rsidR="00C236A2" w:rsidRPr="0013396E" w:rsidRDefault="00C236A2" w:rsidP="0099759E">
            <w:pPr>
              <w:spacing w:after="60"/>
              <w:rPr>
                <w:iCs/>
                <w:sz w:val="20"/>
                <w:lang w:val="pt-BR"/>
              </w:rPr>
            </w:pPr>
            <w:r w:rsidRPr="0013396E">
              <w:rPr>
                <w:iCs/>
                <w:sz w:val="20"/>
              </w:rPr>
              <w:t>RTRUAWD</w:t>
            </w:r>
            <w:r w:rsidRPr="0013396E">
              <w:rPr>
                <w:i/>
                <w:iCs/>
                <w:sz w:val="20"/>
                <w:vertAlign w:val="subscript"/>
              </w:rPr>
              <w:t xml:space="preserve"> q, r</w:t>
            </w:r>
          </w:p>
        </w:tc>
        <w:tc>
          <w:tcPr>
            <w:tcW w:w="481" w:type="pct"/>
          </w:tcPr>
          <w:p w14:paraId="71E162E9" w14:textId="77777777" w:rsidR="00C236A2" w:rsidRPr="0013396E" w:rsidRDefault="00C236A2" w:rsidP="0099759E">
            <w:pPr>
              <w:spacing w:after="60"/>
              <w:rPr>
                <w:iCs/>
                <w:sz w:val="20"/>
              </w:rPr>
            </w:pPr>
            <w:r w:rsidRPr="0013396E">
              <w:rPr>
                <w:iCs/>
                <w:sz w:val="20"/>
              </w:rPr>
              <w:t>MW</w:t>
            </w:r>
          </w:p>
        </w:tc>
        <w:tc>
          <w:tcPr>
            <w:tcW w:w="3585" w:type="pct"/>
          </w:tcPr>
          <w:p w14:paraId="6E9C6FF0" w14:textId="77777777" w:rsidR="00C236A2" w:rsidRPr="0013396E" w:rsidRDefault="00C236A2" w:rsidP="0099759E">
            <w:pPr>
              <w:spacing w:after="60"/>
              <w:rPr>
                <w:i/>
                <w:iCs/>
                <w:sz w:val="20"/>
              </w:rPr>
            </w:pPr>
            <w:r w:rsidRPr="0013396E">
              <w:rPr>
                <w:i/>
                <w:iCs/>
                <w:sz w:val="20"/>
              </w:rPr>
              <w:t>Real-Time Reg-Up Award per Resource per QSE</w:t>
            </w:r>
            <w:r w:rsidRPr="0013396E">
              <w:rPr>
                <w:iCs/>
                <w:sz w:val="20"/>
              </w:rPr>
              <w:t xml:space="preserve">—The Reg-Up amount awarded to QSE </w:t>
            </w:r>
            <w:r w:rsidRPr="0013396E">
              <w:rPr>
                <w:i/>
                <w:iCs/>
                <w:sz w:val="20"/>
              </w:rPr>
              <w:t>q</w:t>
            </w:r>
            <w:r w:rsidRPr="0013396E">
              <w:rPr>
                <w:iCs/>
                <w:sz w:val="20"/>
              </w:rPr>
              <w:t xml:space="preserve"> for Resource </w:t>
            </w:r>
            <w:r w:rsidRPr="0013396E">
              <w:rPr>
                <w:i/>
                <w:iCs/>
                <w:sz w:val="20"/>
              </w:rPr>
              <w:t>r</w:t>
            </w:r>
            <w:r w:rsidRPr="0013396E">
              <w:rPr>
                <w:iCs/>
                <w:sz w:val="20"/>
              </w:rPr>
              <w:t xml:space="preserve"> in Real-Time </w:t>
            </w:r>
            <w:r w:rsidRPr="0013396E">
              <w:rPr>
                <w:iCs/>
                <w:sz w:val="20"/>
                <w:szCs w:val="18"/>
              </w:rPr>
              <w:t xml:space="preserve">for </w:t>
            </w:r>
            <w:r w:rsidRPr="0013396E">
              <w:rPr>
                <w:iCs/>
                <w:sz w:val="20"/>
              </w:rPr>
              <w:t xml:space="preserve">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399C2B81" w14:textId="77777777" w:rsidTr="0099759E">
        <w:trPr>
          <w:cantSplit/>
        </w:trPr>
        <w:tc>
          <w:tcPr>
            <w:tcW w:w="934" w:type="pct"/>
          </w:tcPr>
          <w:p w14:paraId="68F6A8D5" w14:textId="77777777" w:rsidR="00C236A2" w:rsidRPr="0013396E" w:rsidRDefault="00C236A2" w:rsidP="0099759E">
            <w:pPr>
              <w:spacing w:after="60"/>
              <w:rPr>
                <w:iCs/>
                <w:sz w:val="20"/>
                <w:lang w:val="pt-BR"/>
              </w:rPr>
            </w:pPr>
            <w:r w:rsidRPr="0013396E">
              <w:rPr>
                <w:iCs/>
                <w:sz w:val="20"/>
              </w:rPr>
              <w:t>RTRDAWD</w:t>
            </w:r>
            <w:r w:rsidRPr="0013396E">
              <w:rPr>
                <w:i/>
                <w:iCs/>
                <w:sz w:val="20"/>
                <w:vertAlign w:val="subscript"/>
              </w:rPr>
              <w:t xml:space="preserve"> q, r</w:t>
            </w:r>
          </w:p>
        </w:tc>
        <w:tc>
          <w:tcPr>
            <w:tcW w:w="481" w:type="pct"/>
          </w:tcPr>
          <w:p w14:paraId="59B7D323" w14:textId="77777777" w:rsidR="00C236A2" w:rsidRPr="0013396E" w:rsidRDefault="00C236A2" w:rsidP="0099759E">
            <w:pPr>
              <w:spacing w:after="60"/>
              <w:rPr>
                <w:iCs/>
                <w:sz w:val="20"/>
              </w:rPr>
            </w:pPr>
            <w:r w:rsidRPr="0013396E">
              <w:rPr>
                <w:iCs/>
                <w:sz w:val="20"/>
              </w:rPr>
              <w:t>MW</w:t>
            </w:r>
          </w:p>
        </w:tc>
        <w:tc>
          <w:tcPr>
            <w:tcW w:w="3585" w:type="pct"/>
          </w:tcPr>
          <w:p w14:paraId="7C2BDBCC" w14:textId="77777777" w:rsidR="00C236A2" w:rsidRPr="0013396E" w:rsidRDefault="00C236A2" w:rsidP="0099759E">
            <w:pPr>
              <w:spacing w:after="60"/>
              <w:rPr>
                <w:i/>
                <w:iCs/>
                <w:sz w:val="20"/>
              </w:rPr>
            </w:pPr>
            <w:r w:rsidRPr="0013396E">
              <w:rPr>
                <w:i/>
                <w:iCs/>
                <w:sz w:val="20"/>
              </w:rPr>
              <w:t>Real-Time Reg-Down Award per Resource per QSE</w:t>
            </w:r>
            <w:r w:rsidRPr="0013396E">
              <w:rPr>
                <w:iCs/>
                <w:sz w:val="20"/>
              </w:rPr>
              <w:t xml:space="preserve">—The Reg-Down amount awarded to QSE </w:t>
            </w:r>
            <w:r w:rsidRPr="0013396E">
              <w:rPr>
                <w:i/>
                <w:iCs/>
                <w:sz w:val="20"/>
              </w:rPr>
              <w:t>q</w:t>
            </w:r>
            <w:r w:rsidRPr="0013396E">
              <w:rPr>
                <w:iCs/>
                <w:sz w:val="20"/>
              </w:rPr>
              <w:t xml:space="preserve"> for Resource </w:t>
            </w:r>
            <w:r w:rsidRPr="0013396E">
              <w:rPr>
                <w:i/>
                <w:iCs/>
                <w:sz w:val="20"/>
              </w:rPr>
              <w:t>r</w:t>
            </w:r>
            <w:r w:rsidRPr="0013396E">
              <w:rPr>
                <w:iCs/>
                <w:sz w:val="20"/>
              </w:rPr>
              <w:t xml:space="preserve"> in Real-Time </w:t>
            </w:r>
            <w:r w:rsidRPr="0013396E">
              <w:rPr>
                <w:iCs/>
                <w:sz w:val="20"/>
                <w:szCs w:val="18"/>
              </w:rPr>
              <w:t xml:space="preserve">for </w:t>
            </w:r>
            <w:r w:rsidRPr="0013396E">
              <w:rPr>
                <w:iCs/>
                <w:sz w:val="20"/>
              </w:rPr>
              <w:t xml:space="preserve">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54F16B65" w14:textId="77777777" w:rsidTr="0099759E">
        <w:trPr>
          <w:cantSplit/>
        </w:trPr>
        <w:tc>
          <w:tcPr>
            <w:tcW w:w="934" w:type="pct"/>
          </w:tcPr>
          <w:p w14:paraId="373DBA39" w14:textId="77777777" w:rsidR="00C236A2" w:rsidRPr="0013396E" w:rsidRDefault="00C236A2" w:rsidP="0099759E">
            <w:pPr>
              <w:spacing w:after="60"/>
              <w:rPr>
                <w:iCs/>
                <w:sz w:val="20"/>
                <w:lang w:val="pt-BR"/>
              </w:rPr>
            </w:pPr>
            <w:r w:rsidRPr="0013396E">
              <w:rPr>
                <w:iCs/>
                <w:sz w:val="20"/>
              </w:rPr>
              <w:t>RTRRAWD</w:t>
            </w:r>
            <w:r w:rsidRPr="0013396E">
              <w:rPr>
                <w:i/>
                <w:iCs/>
                <w:sz w:val="20"/>
                <w:vertAlign w:val="subscript"/>
              </w:rPr>
              <w:t xml:space="preserve"> q, r</w:t>
            </w:r>
          </w:p>
        </w:tc>
        <w:tc>
          <w:tcPr>
            <w:tcW w:w="481" w:type="pct"/>
          </w:tcPr>
          <w:p w14:paraId="561DE5B0" w14:textId="77777777" w:rsidR="00C236A2" w:rsidRPr="0013396E" w:rsidRDefault="00C236A2" w:rsidP="0099759E">
            <w:pPr>
              <w:spacing w:after="60"/>
              <w:rPr>
                <w:iCs/>
                <w:sz w:val="20"/>
              </w:rPr>
            </w:pPr>
            <w:r w:rsidRPr="0013396E">
              <w:rPr>
                <w:iCs/>
                <w:sz w:val="20"/>
              </w:rPr>
              <w:t>MW</w:t>
            </w:r>
          </w:p>
        </w:tc>
        <w:tc>
          <w:tcPr>
            <w:tcW w:w="3585" w:type="pct"/>
          </w:tcPr>
          <w:p w14:paraId="540167A1" w14:textId="77777777" w:rsidR="00C236A2" w:rsidRPr="0013396E" w:rsidRDefault="00C236A2" w:rsidP="0099759E">
            <w:pPr>
              <w:spacing w:after="60"/>
              <w:rPr>
                <w:i/>
                <w:iCs/>
                <w:sz w:val="20"/>
              </w:rPr>
            </w:pPr>
            <w:r w:rsidRPr="0013396E">
              <w:rPr>
                <w:i/>
                <w:iCs/>
                <w:sz w:val="20"/>
              </w:rPr>
              <w:t>Real-Time Responsive Reserve Award per Resource per QSE</w:t>
            </w:r>
            <w:r w:rsidRPr="0013396E">
              <w:rPr>
                <w:iCs/>
                <w:sz w:val="20"/>
              </w:rPr>
              <w:t xml:space="preserve">—The RRS amount awarded to QSE </w:t>
            </w:r>
            <w:r w:rsidRPr="0013396E">
              <w:rPr>
                <w:i/>
                <w:iCs/>
                <w:sz w:val="20"/>
              </w:rPr>
              <w:t>q</w:t>
            </w:r>
            <w:r w:rsidRPr="0013396E">
              <w:rPr>
                <w:iCs/>
                <w:sz w:val="20"/>
              </w:rPr>
              <w:t xml:space="preserve"> for Resource </w:t>
            </w:r>
            <w:r w:rsidRPr="0013396E">
              <w:rPr>
                <w:i/>
                <w:iCs/>
                <w:sz w:val="20"/>
              </w:rPr>
              <w:t>r</w:t>
            </w:r>
            <w:r w:rsidRPr="0013396E">
              <w:rPr>
                <w:iCs/>
                <w:sz w:val="20"/>
              </w:rPr>
              <w:t xml:space="preserve"> in Real-Time </w:t>
            </w:r>
            <w:r w:rsidRPr="0013396E">
              <w:rPr>
                <w:iCs/>
                <w:sz w:val="20"/>
                <w:szCs w:val="18"/>
              </w:rPr>
              <w:t xml:space="preserve">for </w:t>
            </w:r>
            <w:r w:rsidRPr="0013396E">
              <w:rPr>
                <w:iCs/>
                <w:sz w:val="20"/>
              </w:rPr>
              <w:t xml:space="preserve">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6690F92A" w14:textId="77777777" w:rsidTr="0099759E">
        <w:trPr>
          <w:cantSplit/>
        </w:trPr>
        <w:tc>
          <w:tcPr>
            <w:tcW w:w="934" w:type="pct"/>
          </w:tcPr>
          <w:p w14:paraId="4CB1EEB6" w14:textId="77777777" w:rsidR="00C236A2" w:rsidRPr="0013396E" w:rsidRDefault="00C236A2" w:rsidP="0099759E">
            <w:pPr>
              <w:spacing w:after="60"/>
              <w:rPr>
                <w:iCs/>
                <w:sz w:val="20"/>
                <w:lang w:val="pt-BR"/>
              </w:rPr>
            </w:pPr>
            <w:r w:rsidRPr="0013396E">
              <w:rPr>
                <w:iCs/>
                <w:sz w:val="20"/>
              </w:rPr>
              <w:t>RTNSAWD</w:t>
            </w:r>
            <w:r w:rsidRPr="0013396E">
              <w:rPr>
                <w:i/>
                <w:iCs/>
                <w:sz w:val="20"/>
                <w:vertAlign w:val="subscript"/>
              </w:rPr>
              <w:t xml:space="preserve"> q, r</w:t>
            </w:r>
          </w:p>
        </w:tc>
        <w:tc>
          <w:tcPr>
            <w:tcW w:w="481" w:type="pct"/>
          </w:tcPr>
          <w:p w14:paraId="611FA0F8" w14:textId="77777777" w:rsidR="00C236A2" w:rsidRPr="0013396E" w:rsidRDefault="00C236A2" w:rsidP="0099759E">
            <w:pPr>
              <w:spacing w:after="60"/>
              <w:rPr>
                <w:iCs/>
                <w:sz w:val="20"/>
              </w:rPr>
            </w:pPr>
            <w:r w:rsidRPr="0013396E">
              <w:rPr>
                <w:iCs/>
                <w:sz w:val="20"/>
              </w:rPr>
              <w:t>MW</w:t>
            </w:r>
          </w:p>
        </w:tc>
        <w:tc>
          <w:tcPr>
            <w:tcW w:w="3585" w:type="pct"/>
          </w:tcPr>
          <w:p w14:paraId="156F36AB" w14:textId="77777777" w:rsidR="00C236A2" w:rsidRPr="0013396E" w:rsidRDefault="00C236A2" w:rsidP="0099759E">
            <w:pPr>
              <w:spacing w:after="60"/>
              <w:rPr>
                <w:i/>
                <w:iCs/>
                <w:sz w:val="20"/>
              </w:rPr>
            </w:pPr>
            <w:r w:rsidRPr="0013396E">
              <w:rPr>
                <w:i/>
                <w:iCs/>
                <w:sz w:val="20"/>
              </w:rPr>
              <w:t>Real-Time Non-Spin Award per Resource per QSE</w:t>
            </w:r>
            <w:r w:rsidRPr="0013396E">
              <w:rPr>
                <w:iCs/>
                <w:sz w:val="20"/>
              </w:rPr>
              <w:t xml:space="preserve">—The Non-Spin amount awarded to QSE </w:t>
            </w:r>
            <w:r w:rsidRPr="0013396E">
              <w:rPr>
                <w:i/>
                <w:iCs/>
                <w:sz w:val="20"/>
              </w:rPr>
              <w:t>q</w:t>
            </w:r>
            <w:r w:rsidRPr="0013396E">
              <w:rPr>
                <w:iCs/>
                <w:sz w:val="20"/>
              </w:rPr>
              <w:t xml:space="preserve"> for Resource </w:t>
            </w:r>
            <w:r w:rsidRPr="0013396E">
              <w:rPr>
                <w:i/>
                <w:iCs/>
                <w:sz w:val="20"/>
              </w:rPr>
              <w:t>r</w:t>
            </w:r>
            <w:r w:rsidRPr="0013396E">
              <w:rPr>
                <w:iCs/>
                <w:sz w:val="20"/>
              </w:rPr>
              <w:t xml:space="preserve"> in Real-Time </w:t>
            </w:r>
            <w:r w:rsidRPr="0013396E">
              <w:rPr>
                <w:iCs/>
                <w:sz w:val="20"/>
                <w:szCs w:val="18"/>
              </w:rPr>
              <w:t xml:space="preserve">for </w:t>
            </w:r>
            <w:r w:rsidRPr="0013396E">
              <w:rPr>
                <w:iCs/>
                <w:sz w:val="20"/>
              </w:rPr>
              <w:t xml:space="preserve">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22F313E1" w14:textId="77777777" w:rsidTr="0099759E">
        <w:trPr>
          <w:cantSplit/>
        </w:trPr>
        <w:tc>
          <w:tcPr>
            <w:tcW w:w="934" w:type="pct"/>
          </w:tcPr>
          <w:p w14:paraId="62B39F31" w14:textId="77777777" w:rsidR="00C236A2" w:rsidRPr="0013396E" w:rsidRDefault="00C236A2" w:rsidP="0099759E">
            <w:pPr>
              <w:spacing w:after="60"/>
              <w:rPr>
                <w:iCs/>
                <w:sz w:val="20"/>
                <w:lang w:val="pt-BR"/>
              </w:rPr>
            </w:pPr>
            <w:r w:rsidRPr="0013396E">
              <w:rPr>
                <w:iCs/>
                <w:sz w:val="20"/>
              </w:rPr>
              <w:t>RTECRAWD</w:t>
            </w:r>
            <w:r w:rsidRPr="0013396E">
              <w:rPr>
                <w:i/>
                <w:iCs/>
                <w:sz w:val="20"/>
                <w:vertAlign w:val="subscript"/>
              </w:rPr>
              <w:t xml:space="preserve"> q, r</w:t>
            </w:r>
          </w:p>
        </w:tc>
        <w:tc>
          <w:tcPr>
            <w:tcW w:w="481" w:type="pct"/>
          </w:tcPr>
          <w:p w14:paraId="1FEEF9F6" w14:textId="77777777" w:rsidR="00C236A2" w:rsidRPr="0013396E" w:rsidRDefault="00C236A2" w:rsidP="0099759E">
            <w:pPr>
              <w:spacing w:after="60"/>
              <w:rPr>
                <w:iCs/>
                <w:sz w:val="20"/>
              </w:rPr>
            </w:pPr>
            <w:r w:rsidRPr="0013396E">
              <w:rPr>
                <w:iCs/>
                <w:sz w:val="20"/>
              </w:rPr>
              <w:t>MW</w:t>
            </w:r>
          </w:p>
        </w:tc>
        <w:tc>
          <w:tcPr>
            <w:tcW w:w="3585" w:type="pct"/>
          </w:tcPr>
          <w:p w14:paraId="2DF82012" w14:textId="77777777" w:rsidR="00C236A2" w:rsidRPr="0013396E" w:rsidRDefault="00C236A2" w:rsidP="0099759E">
            <w:pPr>
              <w:spacing w:after="60"/>
              <w:rPr>
                <w:i/>
                <w:iCs/>
                <w:sz w:val="20"/>
              </w:rPr>
            </w:pPr>
            <w:r w:rsidRPr="0013396E">
              <w:rPr>
                <w:i/>
                <w:iCs/>
                <w:sz w:val="20"/>
              </w:rPr>
              <w:t>Real-Time ERCOT Contingency Reserve Service Award per Resource per QSE</w:t>
            </w:r>
            <w:r w:rsidRPr="0013396E">
              <w:rPr>
                <w:iCs/>
                <w:sz w:val="20"/>
              </w:rPr>
              <w:t xml:space="preserve">—The ECRS amount awarded to QSE </w:t>
            </w:r>
            <w:r w:rsidRPr="0013396E">
              <w:rPr>
                <w:i/>
                <w:iCs/>
                <w:sz w:val="20"/>
              </w:rPr>
              <w:t>q</w:t>
            </w:r>
            <w:r w:rsidRPr="0013396E">
              <w:rPr>
                <w:iCs/>
                <w:sz w:val="20"/>
              </w:rPr>
              <w:t xml:space="preserve"> for Resource </w:t>
            </w:r>
            <w:r w:rsidRPr="0013396E">
              <w:rPr>
                <w:i/>
                <w:iCs/>
                <w:sz w:val="20"/>
              </w:rPr>
              <w:t>r</w:t>
            </w:r>
            <w:r w:rsidRPr="0013396E">
              <w:rPr>
                <w:iCs/>
                <w:sz w:val="20"/>
              </w:rPr>
              <w:t xml:space="preserve"> in Real-Time </w:t>
            </w:r>
            <w:r w:rsidRPr="0013396E">
              <w:rPr>
                <w:iCs/>
                <w:sz w:val="20"/>
                <w:szCs w:val="18"/>
              </w:rPr>
              <w:t xml:space="preserve">for </w:t>
            </w:r>
            <w:r w:rsidRPr="0013396E">
              <w:rPr>
                <w:iCs/>
                <w:sz w:val="20"/>
              </w:rPr>
              <w:t xml:space="preserve">the 15-minute Settlement Interval.  Where for a Combined Cycle Train, the Resource </w:t>
            </w:r>
            <w:r w:rsidRPr="0013396E">
              <w:rPr>
                <w:i/>
                <w:iCs/>
                <w:sz w:val="20"/>
              </w:rPr>
              <w:t xml:space="preserve">r </w:t>
            </w:r>
            <w:r w:rsidRPr="0013396E">
              <w:rPr>
                <w:iCs/>
                <w:sz w:val="20"/>
              </w:rPr>
              <w:t>is the Combined Cycle Train.</w:t>
            </w:r>
          </w:p>
        </w:tc>
      </w:tr>
      <w:tr w:rsidR="00583E7E" w:rsidRPr="0013396E" w14:paraId="6006B71D" w14:textId="77777777" w:rsidTr="00583E7E">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113AC24E" w14:textId="77777777" w:rsidTr="00A86863">
              <w:trPr>
                <w:trHeight w:val="206"/>
              </w:trPr>
              <w:tc>
                <w:tcPr>
                  <w:tcW w:w="9350" w:type="dxa"/>
                  <w:shd w:val="pct12" w:color="auto" w:fill="auto"/>
                </w:tcPr>
                <w:p w14:paraId="57A59AE8" w14:textId="101745AF" w:rsidR="00583E7E" w:rsidRPr="0013396E" w:rsidRDefault="00583E7E" w:rsidP="00583E7E">
                  <w:pPr>
                    <w:spacing w:before="120" w:after="240"/>
                    <w:rPr>
                      <w:b/>
                      <w:i/>
                      <w:iCs/>
                      <w:szCs w:val="24"/>
                    </w:rPr>
                  </w:pPr>
                  <w:r w:rsidRPr="0013396E">
                    <w:rPr>
                      <w:b/>
                      <w:i/>
                      <w:iCs/>
                      <w:szCs w:val="24"/>
                    </w:rPr>
                    <w:lastRenderedPageBreak/>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RTDRRAWD</w:t>
                  </w:r>
                  <w:r w:rsidRPr="00583E7E">
                    <w:rPr>
                      <w:b/>
                      <w:i/>
                      <w:iCs/>
                      <w:szCs w:val="24"/>
                      <w:vertAlign w:val="subscript"/>
                    </w:rPr>
                    <w:t xml:space="preserve"> q, r</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2DCB89EC" w14:textId="77777777" w:rsidTr="00A86863">
                    <w:trPr>
                      <w:cantSplit/>
                    </w:trPr>
                    <w:tc>
                      <w:tcPr>
                        <w:tcW w:w="934" w:type="pct"/>
                      </w:tcPr>
                      <w:p w14:paraId="07349E10" w14:textId="788B90E0" w:rsidR="00583E7E" w:rsidRPr="003F34DA" w:rsidRDefault="00583E7E" w:rsidP="00583E7E">
                        <w:pPr>
                          <w:spacing w:after="60"/>
                          <w:rPr>
                            <w:bCs/>
                            <w:sz w:val="20"/>
                          </w:rPr>
                        </w:pPr>
                        <w:r w:rsidRPr="003F34DA">
                          <w:rPr>
                            <w:iCs/>
                            <w:sz w:val="20"/>
                          </w:rPr>
                          <w:t>RTDRRAWD</w:t>
                        </w:r>
                        <w:r w:rsidRPr="003F34DA">
                          <w:rPr>
                            <w:i/>
                            <w:iCs/>
                            <w:sz w:val="20"/>
                            <w:vertAlign w:val="subscript"/>
                          </w:rPr>
                          <w:t xml:space="preserve"> q, r</w:t>
                        </w:r>
                      </w:p>
                    </w:tc>
                    <w:tc>
                      <w:tcPr>
                        <w:tcW w:w="481" w:type="pct"/>
                      </w:tcPr>
                      <w:p w14:paraId="08A06EE2" w14:textId="02162C59" w:rsidR="00583E7E" w:rsidRPr="003F34DA" w:rsidRDefault="00583E7E" w:rsidP="00583E7E">
                        <w:pPr>
                          <w:spacing w:after="60"/>
                          <w:rPr>
                            <w:iCs/>
                            <w:sz w:val="20"/>
                          </w:rPr>
                        </w:pPr>
                        <w:r w:rsidRPr="003F34DA">
                          <w:rPr>
                            <w:iCs/>
                            <w:sz w:val="20"/>
                          </w:rPr>
                          <w:t>MW</w:t>
                        </w:r>
                      </w:p>
                    </w:tc>
                    <w:tc>
                      <w:tcPr>
                        <w:tcW w:w="3585" w:type="pct"/>
                      </w:tcPr>
                      <w:p w14:paraId="0DCA87E1" w14:textId="6C727C4B" w:rsidR="00583E7E" w:rsidRPr="003F34DA" w:rsidRDefault="00583E7E" w:rsidP="00583E7E">
                        <w:pPr>
                          <w:spacing w:after="60"/>
                          <w:rPr>
                            <w:i/>
                            <w:iCs/>
                            <w:sz w:val="20"/>
                          </w:rPr>
                        </w:pPr>
                        <w:r w:rsidRPr="003F34DA">
                          <w:rPr>
                            <w:i/>
                            <w:iCs/>
                            <w:sz w:val="20"/>
                          </w:rPr>
                          <w:t>Real-Time Dispatchable Reliability Reserve Service Award per Resource per QSE</w:t>
                        </w:r>
                        <w:r w:rsidRPr="003F34DA">
                          <w:rPr>
                            <w:iCs/>
                            <w:sz w:val="20"/>
                          </w:rPr>
                          <w:t xml:space="preserve">—The DRRS amount awarded to QSE </w:t>
                        </w:r>
                        <w:r w:rsidRPr="003F34DA">
                          <w:rPr>
                            <w:i/>
                            <w:iCs/>
                            <w:sz w:val="20"/>
                          </w:rPr>
                          <w:t>q</w:t>
                        </w:r>
                        <w:r w:rsidRPr="003F34DA">
                          <w:rPr>
                            <w:iCs/>
                            <w:sz w:val="20"/>
                          </w:rPr>
                          <w:t xml:space="preserve"> for Resource </w:t>
                        </w:r>
                        <w:r w:rsidRPr="003F34DA">
                          <w:rPr>
                            <w:i/>
                            <w:iCs/>
                            <w:sz w:val="20"/>
                          </w:rPr>
                          <w:t>r</w:t>
                        </w:r>
                        <w:r w:rsidRPr="003F34DA">
                          <w:rPr>
                            <w:iCs/>
                            <w:sz w:val="20"/>
                          </w:rPr>
                          <w:t xml:space="preserve"> in Real-Time </w:t>
                        </w:r>
                        <w:r w:rsidRPr="003F34DA">
                          <w:rPr>
                            <w:iCs/>
                            <w:sz w:val="20"/>
                            <w:szCs w:val="18"/>
                          </w:rPr>
                          <w:t xml:space="preserve">for </w:t>
                        </w:r>
                        <w:r w:rsidRPr="003F34DA">
                          <w:rPr>
                            <w:iCs/>
                            <w:sz w:val="20"/>
                          </w:rPr>
                          <w:t xml:space="preserve">the 15-minute Settlement Interval.  Where for a Combined Cycle Train, the Resource </w:t>
                        </w:r>
                        <w:r w:rsidRPr="003F34DA">
                          <w:rPr>
                            <w:i/>
                            <w:iCs/>
                            <w:sz w:val="20"/>
                          </w:rPr>
                          <w:t xml:space="preserve">r </w:t>
                        </w:r>
                        <w:r w:rsidRPr="003F34DA">
                          <w:rPr>
                            <w:iCs/>
                            <w:sz w:val="20"/>
                          </w:rPr>
                          <w:t>is the Combined Cycle Train.</w:t>
                        </w:r>
                      </w:p>
                    </w:tc>
                  </w:tr>
                </w:tbl>
                <w:p w14:paraId="7476EBA3" w14:textId="77777777" w:rsidR="00583E7E" w:rsidRPr="00583E7E" w:rsidRDefault="00583E7E" w:rsidP="00583E7E">
                  <w:pPr>
                    <w:tabs>
                      <w:tab w:val="left" w:pos="2340"/>
                      <w:tab w:val="left" w:pos="2880"/>
                    </w:tabs>
                    <w:spacing w:after="240"/>
                    <w:ind w:left="987" w:hanging="269"/>
                    <w:rPr>
                      <w:szCs w:val="24"/>
                      <w:lang w:val="es-MX"/>
                    </w:rPr>
                  </w:pPr>
                </w:p>
              </w:tc>
            </w:tr>
          </w:tbl>
          <w:p w14:paraId="200E4F58" w14:textId="77777777" w:rsidR="00583E7E" w:rsidRPr="0013396E" w:rsidRDefault="00583E7E" w:rsidP="0099759E">
            <w:pPr>
              <w:spacing w:after="60"/>
              <w:rPr>
                <w:i/>
                <w:iCs/>
                <w:sz w:val="20"/>
              </w:rPr>
            </w:pPr>
          </w:p>
        </w:tc>
      </w:tr>
      <w:tr w:rsidR="00C236A2" w:rsidRPr="0013396E" w14:paraId="5CE3774D" w14:textId="77777777" w:rsidTr="0099759E">
        <w:trPr>
          <w:cantSplit/>
        </w:trPr>
        <w:tc>
          <w:tcPr>
            <w:tcW w:w="934" w:type="pct"/>
          </w:tcPr>
          <w:p w14:paraId="624E6133" w14:textId="77777777" w:rsidR="00C236A2" w:rsidRPr="0013396E" w:rsidRDefault="00C236A2" w:rsidP="0099759E">
            <w:pPr>
              <w:spacing w:after="60"/>
              <w:rPr>
                <w:iCs/>
                <w:sz w:val="20"/>
              </w:rPr>
            </w:pPr>
            <w:r w:rsidRPr="0013396E">
              <w:rPr>
                <w:iCs/>
                <w:sz w:val="20"/>
                <w:lang w:val="pt-BR"/>
              </w:rPr>
              <w:t xml:space="preserve">RTRUOPR </w:t>
            </w:r>
            <w:r w:rsidRPr="0013396E">
              <w:rPr>
                <w:i/>
                <w:iCs/>
                <w:sz w:val="20"/>
                <w:vertAlign w:val="subscript"/>
                <w:lang w:val="pt-BR"/>
              </w:rPr>
              <w:t>q, r, y</w:t>
            </w:r>
          </w:p>
        </w:tc>
        <w:tc>
          <w:tcPr>
            <w:tcW w:w="481" w:type="pct"/>
          </w:tcPr>
          <w:p w14:paraId="73F3BFC9" w14:textId="77777777" w:rsidR="00C236A2" w:rsidRPr="0013396E" w:rsidRDefault="00C236A2" w:rsidP="0099759E">
            <w:pPr>
              <w:spacing w:after="60"/>
              <w:rPr>
                <w:iCs/>
                <w:sz w:val="20"/>
              </w:rPr>
            </w:pPr>
            <w:r w:rsidRPr="0013396E">
              <w:rPr>
                <w:iCs/>
                <w:sz w:val="20"/>
              </w:rPr>
              <w:t>$/MW</w:t>
            </w:r>
          </w:p>
        </w:tc>
        <w:tc>
          <w:tcPr>
            <w:tcW w:w="3585" w:type="pct"/>
          </w:tcPr>
          <w:p w14:paraId="69116F30" w14:textId="77777777" w:rsidR="00C236A2" w:rsidRPr="0013396E" w:rsidRDefault="00C236A2" w:rsidP="0099759E">
            <w:pPr>
              <w:spacing w:after="60"/>
              <w:rPr>
                <w:iCs/>
                <w:sz w:val="20"/>
              </w:rPr>
            </w:pPr>
            <w:r w:rsidRPr="0013396E">
              <w:rPr>
                <w:i/>
                <w:iCs/>
                <w:sz w:val="20"/>
              </w:rPr>
              <w:t>Real-Time Reg-Up Offer Price</w:t>
            </w:r>
            <w:r w:rsidRPr="0013396E">
              <w:rPr>
                <w:iCs/>
                <w:sz w:val="20"/>
              </w:rPr>
              <w:t xml:space="preserve">—The price from the submitted Ancillary Service Offer at the Reg-Up award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SCED interval</w:t>
            </w:r>
            <w:r w:rsidRPr="0013396E">
              <w:rPr>
                <w:i/>
                <w:iCs/>
                <w:sz w:val="20"/>
              </w:rPr>
              <w:t xml:space="preserve"> y</w:t>
            </w:r>
            <w:r w:rsidRPr="0013396E">
              <w:rPr>
                <w:iCs/>
                <w:sz w:val="20"/>
              </w:rPr>
              <w:t xml:space="preserve">.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2B1BD4E9" w14:textId="77777777" w:rsidTr="0099759E">
        <w:trPr>
          <w:cantSplit/>
        </w:trPr>
        <w:tc>
          <w:tcPr>
            <w:tcW w:w="934" w:type="pct"/>
          </w:tcPr>
          <w:p w14:paraId="1D64B046" w14:textId="77777777" w:rsidR="00C236A2" w:rsidRPr="0013396E" w:rsidRDefault="00C236A2" w:rsidP="0099759E">
            <w:pPr>
              <w:spacing w:after="60"/>
              <w:rPr>
                <w:iCs/>
                <w:sz w:val="20"/>
              </w:rPr>
            </w:pPr>
            <w:r w:rsidRPr="0013396E">
              <w:rPr>
                <w:iCs/>
                <w:sz w:val="20"/>
                <w:lang w:val="pt-BR"/>
              </w:rPr>
              <w:t xml:space="preserve">RTRDOPR </w:t>
            </w:r>
            <w:r w:rsidRPr="0013396E">
              <w:rPr>
                <w:i/>
                <w:iCs/>
                <w:sz w:val="20"/>
                <w:vertAlign w:val="subscript"/>
                <w:lang w:val="pt-BR"/>
              </w:rPr>
              <w:t>q, r, y</w:t>
            </w:r>
          </w:p>
        </w:tc>
        <w:tc>
          <w:tcPr>
            <w:tcW w:w="481" w:type="pct"/>
          </w:tcPr>
          <w:p w14:paraId="3ACB251A" w14:textId="77777777" w:rsidR="00C236A2" w:rsidRPr="0013396E" w:rsidRDefault="00C236A2" w:rsidP="0099759E">
            <w:pPr>
              <w:spacing w:after="60"/>
              <w:rPr>
                <w:iCs/>
                <w:sz w:val="20"/>
              </w:rPr>
            </w:pPr>
            <w:r w:rsidRPr="0013396E">
              <w:rPr>
                <w:iCs/>
                <w:sz w:val="20"/>
              </w:rPr>
              <w:t>$/MW</w:t>
            </w:r>
          </w:p>
        </w:tc>
        <w:tc>
          <w:tcPr>
            <w:tcW w:w="3585" w:type="pct"/>
          </w:tcPr>
          <w:p w14:paraId="1E5B2EB7" w14:textId="77777777" w:rsidR="00C236A2" w:rsidRPr="0013396E" w:rsidRDefault="00C236A2" w:rsidP="0099759E">
            <w:pPr>
              <w:spacing w:after="60"/>
              <w:rPr>
                <w:i/>
                <w:iCs/>
                <w:sz w:val="20"/>
              </w:rPr>
            </w:pPr>
            <w:r w:rsidRPr="0013396E">
              <w:rPr>
                <w:i/>
                <w:iCs/>
                <w:sz w:val="20"/>
              </w:rPr>
              <w:t>Real-Time Reg-Down Offer Price</w:t>
            </w:r>
            <w:r w:rsidRPr="0013396E">
              <w:rPr>
                <w:iCs/>
                <w:sz w:val="20"/>
              </w:rPr>
              <w:t xml:space="preserve">—The price from the submitted Ancillary Service Offer at the Reg-Down award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SCED interval</w:t>
            </w:r>
            <w:r w:rsidRPr="0013396E">
              <w:rPr>
                <w:i/>
                <w:iCs/>
                <w:sz w:val="20"/>
              </w:rPr>
              <w:t xml:space="preserve"> y</w:t>
            </w:r>
            <w:r w:rsidRPr="0013396E">
              <w:rPr>
                <w:iCs/>
                <w:sz w:val="20"/>
              </w:rPr>
              <w:t xml:space="preserve">.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5977C78D" w14:textId="77777777" w:rsidTr="0099759E">
        <w:trPr>
          <w:cantSplit/>
        </w:trPr>
        <w:tc>
          <w:tcPr>
            <w:tcW w:w="934" w:type="pct"/>
          </w:tcPr>
          <w:p w14:paraId="65C3AB7C" w14:textId="77777777" w:rsidR="00C236A2" w:rsidRPr="0013396E" w:rsidRDefault="00C236A2" w:rsidP="0099759E">
            <w:pPr>
              <w:spacing w:after="60"/>
              <w:rPr>
                <w:iCs/>
                <w:sz w:val="20"/>
              </w:rPr>
            </w:pPr>
            <w:r w:rsidRPr="0013396E">
              <w:rPr>
                <w:iCs/>
                <w:sz w:val="20"/>
                <w:lang w:val="pt-BR"/>
              </w:rPr>
              <w:t xml:space="preserve">RTRROPR </w:t>
            </w:r>
            <w:r w:rsidRPr="0013396E">
              <w:rPr>
                <w:i/>
                <w:iCs/>
                <w:sz w:val="20"/>
                <w:vertAlign w:val="subscript"/>
                <w:lang w:val="pt-BR"/>
              </w:rPr>
              <w:t>q, r, y</w:t>
            </w:r>
          </w:p>
        </w:tc>
        <w:tc>
          <w:tcPr>
            <w:tcW w:w="481" w:type="pct"/>
          </w:tcPr>
          <w:p w14:paraId="1E96A0C5" w14:textId="77777777" w:rsidR="00C236A2" w:rsidRPr="0013396E" w:rsidRDefault="00C236A2" w:rsidP="0099759E">
            <w:pPr>
              <w:spacing w:after="60"/>
              <w:rPr>
                <w:iCs/>
                <w:sz w:val="20"/>
              </w:rPr>
            </w:pPr>
            <w:r w:rsidRPr="0013396E">
              <w:rPr>
                <w:iCs/>
                <w:sz w:val="20"/>
              </w:rPr>
              <w:t>$/MW</w:t>
            </w:r>
          </w:p>
        </w:tc>
        <w:tc>
          <w:tcPr>
            <w:tcW w:w="3585" w:type="pct"/>
          </w:tcPr>
          <w:p w14:paraId="13A26E8D" w14:textId="77777777" w:rsidR="00C236A2" w:rsidRPr="0013396E" w:rsidRDefault="00C236A2" w:rsidP="0099759E">
            <w:pPr>
              <w:spacing w:after="60"/>
              <w:rPr>
                <w:i/>
                <w:iCs/>
                <w:sz w:val="20"/>
              </w:rPr>
            </w:pPr>
            <w:r w:rsidRPr="0013396E">
              <w:rPr>
                <w:i/>
                <w:iCs/>
                <w:sz w:val="20"/>
              </w:rPr>
              <w:t>Real-Time Responsive Reserve Offer Price</w:t>
            </w:r>
            <w:r w:rsidRPr="0013396E">
              <w:rPr>
                <w:iCs/>
                <w:sz w:val="20"/>
              </w:rPr>
              <w:t xml:space="preserve">—The price from the submitted Ancillary Service Offer at the RRS award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SCED interval</w:t>
            </w:r>
            <w:r w:rsidRPr="0013396E">
              <w:rPr>
                <w:i/>
                <w:iCs/>
                <w:sz w:val="20"/>
              </w:rPr>
              <w:t xml:space="preserve"> y</w:t>
            </w:r>
            <w:r w:rsidRPr="0013396E">
              <w:rPr>
                <w:iCs/>
                <w:sz w:val="20"/>
              </w:rPr>
              <w:t xml:space="preserve">.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3F2B7A56" w14:textId="77777777" w:rsidTr="0099759E">
        <w:trPr>
          <w:cantSplit/>
        </w:trPr>
        <w:tc>
          <w:tcPr>
            <w:tcW w:w="934" w:type="pct"/>
          </w:tcPr>
          <w:p w14:paraId="632F4C21" w14:textId="77777777" w:rsidR="00C236A2" w:rsidRPr="0013396E" w:rsidRDefault="00C236A2" w:rsidP="0099759E">
            <w:pPr>
              <w:spacing w:after="60"/>
              <w:rPr>
                <w:iCs/>
                <w:sz w:val="20"/>
              </w:rPr>
            </w:pPr>
            <w:r w:rsidRPr="0013396E">
              <w:rPr>
                <w:iCs/>
                <w:sz w:val="20"/>
                <w:lang w:val="pt-BR"/>
              </w:rPr>
              <w:t xml:space="preserve">RTNSOPR </w:t>
            </w:r>
            <w:r w:rsidRPr="0013396E">
              <w:rPr>
                <w:i/>
                <w:iCs/>
                <w:sz w:val="20"/>
                <w:vertAlign w:val="subscript"/>
                <w:lang w:val="pt-BR"/>
              </w:rPr>
              <w:t>q, r, y</w:t>
            </w:r>
          </w:p>
        </w:tc>
        <w:tc>
          <w:tcPr>
            <w:tcW w:w="481" w:type="pct"/>
          </w:tcPr>
          <w:p w14:paraId="28887B03" w14:textId="77777777" w:rsidR="00C236A2" w:rsidRPr="0013396E" w:rsidRDefault="00C236A2" w:rsidP="0099759E">
            <w:pPr>
              <w:spacing w:after="60"/>
              <w:rPr>
                <w:iCs/>
                <w:sz w:val="20"/>
              </w:rPr>
            </w:pPr>
            <w:r w:rsidRPr="0013396E">
              <w:rPr>
                <w:iCs/>
                <w:sz w:val="20"/>
              </w:rPr>
              <w:t>$/MW</w:t>
            </w:r>
          </w:p>
        </w:tc>
        <w:tc>
          <w:tcPr>
            <w:tcW w:w="3585" w:type="pct"/>
          </w:tcPr>
          <w:p w14:paraId="16E3E095" w14:textId="77777777" w:rsidR="00C236A2" w:rsidRPr="0013396E" w:rsidRDefault="00C236A2" w:rsidP="0099759E">
            <w:pPr>
              <w:spacing w:after="60"/>
              <w:rPr>
                <w:i/>
                <w:iCs/>
                <w:sz w:val="20"/>
              </w:rPr>
            </w:pPr>
            <w:r w:rsidRPr="0013396E">
              <w:rPr>
                <w:i/>
                <w:iCs/>
                <w:sz w:val="20"/>
              </w:rPr>
              <w:t>Real-Time Non-Spin Offer Price</w:t>
            </w:r>
            <w:r w:rsidRPr="0013396E">
              <w:rPr>
                <w:iCs/>
                <w:sz w:val="20"/>
              </w:rPr>
              <w:t xml:space="preserve">—The price from the submitted Ancillary Service Offer at the Non-Spin award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SCED interval</w:t>
            </w:r>
            <w:r w:rsidRPr="0013396E">
              <w:rPr>
                <w:i/>
                <w:iCs/>
                <w:sz w:val="20"/>
              </w:rPr>
              <w:t xml:space="preserve"> y</w:t>
            </w:r>
            <w:r w:rsidRPr="0013396E">
              <w:rPr>
                <w:iCs/>
                <w:sz w:val="20"/>
              </w:rPr>
              <w:t xml:space="preserve">.  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6B65AA91" w14:textId="77777777" w:rsidTr="0099759E">
        <w:trPr>
          <w:cantSplit/>
        </w:trPr>
        <w:tc>
          <w:tcPr>
            <w:tcW w:w="934" w:type="pct"/>
          </w:tcPr>
          <w:p w14:paraId="020116A7" w14:textId="77777777" w:rsidR="00C236A2" w:rsidRPr="0013396E" w:rsidRDefault="00C236A2" w:rsidP="0099759E">
            <w:pPr>
              <w:spacing w:after="60"/>
              <w:rPr>
                <w:iCs/>
                <w:sz w:val="20"/>
              </w:rPr>
            </w:pPr>
            <w:r w:rsidRPr="0013396E">
              <w:rPr>
                <w:iCs/>
                <w:sz w:val="20"/>
                <w:lang w:val="pt-BR"/>
              </w:rPr>
              <w:t xml:space="preserve">RTECROPR </w:t>
            </w:r>
            <w:r w:rsidRPr="0013396E">
              <w:rPr>
                <w:i/>
                <w:iCs/>
                <w:sz w:val="20"/>
                <w:vertAlign w:val="subscript"/>
                <w:lang w:val="pt-BR"/>
              </w:rPr>
              <w:t>q, r, y</w:t>
            </w:r>
          </w:p>
        </w:tc>
        <w:tc>
          <w:tcPr>
            <w:tcW w:w="481" w:type="pct"/>
          </w:tcPr>
          <w:p w14:paraId="7ECEBD3C" w14:textId="77777777" w:rsidR="00C236A2" w:rsidRPr="0013396E" w:rsidRDefault="00C236A2" w:rsidP="0099759E">
            <w:pPr>
              <w:spacing w:after="60"/>
              <w:rPr>
                <w:iCs/>
                <w:sz w:val="20"/>
              </w:rPr>
            </w:pPr>
            <w:r w:rsidRPr="0013396E">
              <w:rPr>
                <w:iCs/>
                <w:sz w:val="20"/>
              </w:rPr>
              <w:t>$/MW</w:t>
            </w:r>
          </w:p>
        </w:tc>
        <w:tc>
          <w:tcPr>
            <w:tcW w:w="3585" w:type="pct"/>
          </w:tcPr>
          <w:p w14:paraId="5C3EAC52" w14:textId="77777777" w:rsidR="00C236A2" w:rsidRPr="0013396E" w:rsidRDefault="00C236A2" w:rsidP="0099759E">
            <w:pPr>
              <w:spacing w:after="60"/>
              <w:rPr>
                <w:i/>
                <w:iCs/>
                <w:sz w:val="20"/>
              </w:rPr>
            </w:pPr>
            <w:r w:rsidRPr="0013396E">
              <w:rPr>
                <w:i/>
                <w:iCs/>
                <w:sz w:val="20"/>
              </w:rPr>
              <w:t>Real-Time ERCOT Contingency Reserve Service Offer Price</w:t>
            </w:r>
            <w:r w:rsidRPr="0013396E">
              <w:rPr>
                <w:iCs/>
                <w:sz w:val="20"/>
              </w:rPr>
              <w:t xml:space="preserve">—The price from the submitted Ancillary Service Offer at the ECRS award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SCED interval</w:t>
            </w:r>
            <w:r w:rsidRPr="0013396E">
              <w:rPr>
                <w:i/>
                <w:iCs/>
                <w:sz w:val="20"/>
              </w:rPr>
              <w:t xml:space="preserve"> y</w:t>
            </w:r>
            <w:r w:rsidRPr="0013396E">
              <w:rPr>
                <w:iCs/>
                <w:sz w:val="20"/>
              </w:rPr>
              <w:t xml:space="preserve">.  Where for a Combined Cycle Train, the Resource </w:t>
            </w:r>
            <w:r w:rsidRPr="0013396E">
              <w:rPr>
                <w:i/>
                <w:iCs/>
                <w:sz w:val="20"/>
              </w:rPr>
              <w:t xml:space="preserve">r </w:t>
            </w:r>
            <w:r w:rsidRPr="0013396E">
              <w:rPr>
                <w:iCs/>
                <w:sz w:val="20"/>
              </w:rPr>
              <w:t>is a Combined Cycle Generation Resource within the Combined Cycle Train.</w:t>
            </w:r>
          </w:p>
        </w:tc>
      </w:tr>
      <w:tr w:rsidR="00583E7E" w:rsidRPr="0013396E" w14:paraId="147F85B2" w14:textId="77777777" w:rsidTr="00583E7E">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262F81EE" w14:textId="77777777" w:rsidTr="00A86863">
              <w:trPr>
                <w:trHeight w:val="206"/>
              </w:trPr>
              <w:tc>
                <w:tcPr>
                  <w:tcW w:w="9350" w:type="dxa"/>
                  <w:shd w:val="pct12" w:color="auto" w:fill="auto"/>
                </w:tcPr>
                <w:p w14:paraId="4623CB88" w14:textId="6A095300" w:rsidR="00583E7E" w:rsidRPr="0013396E" w:rsidRDefault="00583E7E" w:rsidP="00583E7E">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RTDRROPR</w:t>
                  </w:r>
                  <w:r w:rsidRPr="00583E7E">
                    <w:rPr>
                      <w:b/>
                      <w:i/>
                      <w:iCs/>
                      <w:szCs w:val="24"/>
                      <w:vertAlign w:val="subscript"/>
                    </w:rPr>
                    <w:t xml:space="preserve"> q, r, y</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0C619C8C" w14:textId="77777777" w:rsidTr="00A86863">
                    <w:trPr>
                      <w:cantSplit/>
                    </w:trPr>
                    <w:tc>
                      <w:tcPr>
                        <w:tcW w:w="934" w:type="pct"/>
                      </w:tcPr>
                      <w:p w14:paraId="6644082E" w14:textId="79600262" w:rsidR="00583E7E" w:rsidRPr="003F34DA" w:rsidRDefault="00583E7E" w:rsidP="00583E7E">
                        <w:pPr>
                          <w:spacing w:after="60"/>
                          <w:rPr>
                            <w:bCs/>
                            <w:sz w:val="20"/>
                          </w:rPr>
                        </w:pPr>
                        <w:r w:rsidRPr="003F34DA">
                          <w:rPr>
                            <w:iCs/>
                            <w:sz w:val="20"/>
                            <w:lang w:val="pt-BR"/>
                          </w:rPr>
                          <w:t xml:space="preserve">RTDRROPR </w:t>
                        </w:r>
                        <w:r w:rsidRPr="003F34DA">
                          <w:rPr>
                            <w:i/>
                            <w:iCs/>
                            <w:sz w:val="20"/>
                            <w:vertAlign w:val="subscript"/>
                            <w:lang w:val="pt-BR"/>
                          </w:rPr>
                          <w:t>q, r, y</w:t>
                        </w:r>
                      </w:p>
                    </w:tc>
                    <w:tc>
                      <w:tcPr>
                        <w:tcW w:w="481" w:type="pct"/>
                      </w:tcPr>
                      <w:p w14:paraId="5AFABC81" w14:textId="3974F396" w:rsidR="00583E7E" w:rsidRPr="003F34DA" w:rsidRDefault="00583E7E" w:rsidP="00583E7E">
                        <w:pPr>
                          <w:spacing w:after="60"/>
                          <w:rPr>
                            <w:iCs/>
                            <w:sz w:val="20"/>
                          </w:rPr>
                        </w:pPr>
                        <w:r w:rsidRPr="003F34DA">
                          <w:rPr>
                            <w:iCs/>
                            <w:sz w:val="20"/>
                          </w:rPr>
                          <w:t>$/MW</w:t>
                        </w:r>
                      </w:p>
                    </w:tc>
                    <w:tc>
                      <w:tcPr>
                        <w:tcW w:w="3585" w:type="pct"/>
                      </w:tcPr>
                      <w:p w14:paraId="601E7B00" w14:textId="125C76D0" w:rsidR="00583E7E" w:rsidRPr="003F34DA" w:rsidRDefault="00583E7E" w:rsidP="00583E7E">
                        <w:pPr>
                          <w:spacing w:after="60"/>
                          <w:rPr>
                            <w:i/>
                            <w:iCs/>
                            <w:sz w:val="20"/>
                          </w:rPr>
                        </w:pPr>
                        <w:r w:rsidRPr="003F34DA">
                          <w:rPr>
                            <w:i/>
                            <w:iCs/>
                            <w:sz w:val="20"/>
                          </w:rPr>
                          <w:t>Real-Time Dispatchable Reliability Reserve Service Offer Price</w:t>
                        </w:r>
                        <w:r w:rsidRPr="003F34DA">
                          <w:rPr>
                            <w:iCs/>
                            <w:sz w:val="20"/>
                          </w:rPr>
                          <w:t xml:space="preserve">—The price from the submitted Ancillary Service Offer at the DRRS award of Resource </w:t>
                        </w:r>
                        <w:r w:rsidRPr="003F34DA">
                          <w:rPr>
                            <w:i/>
                            <w:iCs/>
                            <w:sz w:val="20"/>
                          </w:rPr>
                          <w:t>r</w:t>
                        </w:r>
                        <w:r w:rsidRPr="003F34DA">
                          <w:rPr>
                            <w:iCs/>
                            <w:sz w:val="20"/>
                          </w:rPr>
                          <w:t xml:space="preserve"> represented by QSE </w:t>
                        </w:r>
                        <w:r w:rsidRPr="003F34DA">
                          <w:rPr>
                            <w:i/>
                            <w:iCs/>
                            <w:sz w:val="20"/>
                          </w:rPr>
                          <w:t>q</w:t>
                        </w:r>
                        <w:r w:rsidRPr="003F34DA">
                          <w:rPr>
                            <w:iCs/>
                            <w:sz w:val="20"/>
                          </w:rPr>
                          <w:t xml:space="preserve"> for the SCED interval</w:t>
                        </w:r>
                        <w:r w:rsidRPr="003F34DA">
                          <w:rPr>
                            <w:i/>
                            <w:iCs/>
                            <w:sz w:val="20"/>
                          </w:rPr>
                          <w:t xml:space="preserve"> y</w:t>
                        </w:r>
                        <w:r w:rsidRPr="003F34DA">
                          <w:rPr>
                            <w:iCs/>
                            <w:sz w:val="20"/>
                          </w:rPr>
                          <w:t xml:space="preserve">.  Where for a Combined Cycle Train, the Resource </w:t>
                        </w:r>
                        <w:r w:rsidRPr="003F34DA">
                          <w:rPr>
                            <w:i/>
                            <w:iCs/>
                            <w:sz w:val="20"/>
                          </w:rPr>
                          <w:t xml:space="preserve">r </w:t>
                        </w:r>
                        <w:r w:rsidRPr="003F34DA">
                          <w:rPr>
                            <w:iCs/>
                            <w:sz w:val="20"/>
                          </w:rPr>
                          <w:t>is a Combined Cycle Generation Resource within the Combined Cycle Train.</w:t>
                        </w:r>
                      </w:p>
                    </w:tc>
                  </w:tr>
                </w:tbl>
                <w:p w14:paraId="17BF6FC4" w14:textId="77777777" w:rsidR="00583E7E" w:rsidRPr="00583E7E" w:rsidRDefault="00583E7E" w:rsidP="00583E7E">
                  <w:pPr>
                    <w:tabs>
                      <w:tab w:val="left" w:pos="2340"/>
                      <w:tab w:val="left" w:pos="2880"/>
                    </w:tabs>
                    <w:spacing w:after="240"/>
                    <w:ind w:left="987" w:hanging="269"/>
                    <w:rPr>
                      <w:szCs w:val="24"/>
                      <w:lang w:val="es-MX"/>
                    </w:rPr>
                  </w:pPr>
                </w:p>
              </w:tc>
            </w:tr>
          </w:tbl>
          <w:p w14:paraId="650BE5E6" w14:textId="77777777" w:rsidR="00583E7E" w:rsidRPr="0013396E" w:rsidRDefault="00583E7E" w:rsidP="0099759E">
            <w:pPr>
              <w:spacing w:after="60"/>
              <w:rPr>
                <w:i/>
                <w:iCs/>
                <w:sz w:val="20"/>
              </w:rPr>
            </w:pPr>
          </w:p>
        </w:tc>
      </w:tr>
      <w:tr w:rsidR="00C236A2" w:rsidRPr="0013396E" w14:paraId="55E03C03" w14:textId="77777777" w:rsidTr="0099759E">
        <w:trPr>
          <w:cantSplit/>
        </w:trPr>
        <w:tc>
          <w:tcPr>
            <w:tcW w:w="934" w:type="pct"/>
          </w:tcPr>
          <w:p w14:paraId="364D6248" w14:textId="77777777" w:rsidR="00C236A2" w:rsidRPr="0013396E" w:rsidRDefault="00C236A2" w:rsidP="0099759E">
            <w:pPr>
              <w:spacing w:after="60"/>
              <w:rPr>
                <w:iCs/>
                <w:sz w:val="20"/>
                <w:lang w:val="pt-BR"/>
              </w:rPr>
            </w:pPr>
            <w:r w:rsidRPr="0013396E">
              <w:rPr>
                <w:iCs/>
                <w:sz w:val="20"/>
              </w:rPr>
              <w:t xml:space="preserve">RTRUAWDS </w:t>
            </w:r>
            <w:r w:rsidRPr="0013396E">
              <w:rPr>
                <w:i/>
                <w:iCs/>
                <w:sz w:val="20"/>
                <w:vertAlign w:val="subscript"/>
              </w:rPr>
              <w:t>q, r, y</w:t>
            </w:r>
          </w:p>
        </w:tc>
        <w:tc>
          <w:tcPr>
            <w:tcW w:w="481" w:type="pct"/>
          </w:tcPr>
          <w:p w14:paraId="51C02352" w14:textId="77777777" w:rsidR="00C236A2" w:rsidRPr="0013396E" w:rsidRDefault="00C236A2" w:rsidP="0099759E">
            <w:pPr>
              <w:spacing w:after="60"/>
              <w:rPr>
                <w:iCs/>
                <w:sz w:val="20"/>
              </w:rPr>
            </w:pPr>
            <w:r w:rsidRPr="0013396E">
              <w:rPr>
                <w:iCs/>
                <w:sz w:val="20"/>
              </w:rPr>
              <w:t>MW</w:t>
            </w:r>
          </w:p>
        </w:tc>
        <w:tc>
          <w:tcPr>
            <w:tcW w:w="3585" w:type="pct"/>
          </w:tcPr>
          <w:p w14:paraId="5317DF59" w14:textId="77777777" w:rsidR="00C236A2" w:rsidRPr="0013396E" w:rsidRDefault="00C236A2" w:rsidP="0099759E">
            <w:pPr>
              <w:spacing w:after="60"/>
              <w:rPr>
                <w:i/>
                <w:iCs/>
                <w:sz w:val="20"/>
              </w:rPr>
            </w:pPr>
            <w:r w:rsidRPr="0013396E">
              <w:rPr>
                <w:i/>
                <w:iCs/>
                <w:sz w:val="20"/>
              </w:rPr>
              <w:t>Real-Time Reg-Up Award per Resource per QSE per SCED interval</w:t>
            </w:r>
            <w:r w:rsidRPr="0013396E">
              <w:rPr>
                <w:iCs/>
                <w:sz w:val="20"/>
              </w:rPr>
              <w:t xml:space="preserve">—The Reg-Up amount awarded to QSE </w:t>
            </w:r>
            <w:r w:rsidRPr="0013396E">
              <w:rPr>
                <w:i/>
                <w:iCs/>
                <w:sz w:val="20"/>
              </w:rPr>
              <w:t>q</w:t>
            </w:r>
            <w:r w:rsidRPr="0013396E">
              <w:rPr>
                <w:iCs/>
                <w:sz w:val="20"/>
              </w:rPr>
              <w:t xml:space="preserve"> for Resource </w:t>
            </w:r>
            <w:r w:rsidRPr="0013396E">
              <w:rPr>
                <w:i/>
                <w:iCs/>
                <w:sz w:val="20"/>
              </w:rPr>
              <w:t xml:space="preserve">r </w:t>
            </w:r>
            <w:r w:rsidRPr="0013396E">
              <w:rPr>
                <w:iCs/>
                <w:sz w:val="20"/>
              </w:rPr>
              <w:t>in Real-Time</w:t>
            </w:r>
            <w:r w:rsidRPr="0013396E">
              <w:rPr>
                <w:i/>
                <w:iCs/>
                <w:sz w:val="20"/>
              </w:rPr>
              <w:t xml:space="preserve"> </w:t>
            </w:r>
            <w:r w:rsidRPr="0013396E">
              <w:rPr>
                <w:iCs/>
                <w:sz w:val="20"/>
              </w:rPr>
              <w:t xml:space="preserve">for the SCED interval </w:t>
            </w:r>
            <w:r w:rsidRPr="0013396E">
              <w:rPr>
                <w:i/>
                <w:iCs/>
                <w:sz w:val="20"/>
              </w:rPr>
              <w:t xml:space="preserve">y.  </w:t>
            </w:r>
            <w:r w:rsidRPr="0013396E">
              <w:rPr>
                <w:iCs/>
                <w:sz w:val="20"/>
              </w:rPr>
              <w:t xml:space="preserve">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1A980F2A" w14:textId="77777777" w:rsidTr="0099759E">
        <w:trPr>
          <w:cantSplit/>
        </w:trPr>
        <w:tc>
          <w:tcPr>
            <w:tcW w:w="934" w:type="pct"/>
          </w:tcPr>
          <w:p w14:paraId="166B2166" w14:textId="77777777" w:rsidR="00C236A2" w:rsidRPr="0013396E" w:rsidRDefault="00C236A2" w:rsidP="0099759E">
            <w:pPr>
              <w:spacing w:after="60"/>
              <w:rPr>
                <w:iCs/>
                <w:sz w:val="20"/>
              </w:rPr>
            </w:pPr>
            <w:r w:rsidRPr="0013396E">
              <w:rPr>
                <w:iCs/>
                <w:sz w:val="20"/>
              </w:rPr>
              <w:t xml:space="preserve">RTRDAWDS </w:t>
            </w:r>
            <w:r w:rsidRPr="0013396E">
              <w:rPr>
                <w:i/>
                <w:iCs/>
                <w:sz w:val="20"/>
                <w:vertAlign w:val="subscript"/>
              </w:rPr>
              <w:t>q, r, y</w:t>
            </w:r>
          </w:p>
        </w:tc>
        <w:tc>
          <w:tcPr>
            <w:tcW w:w="481" w:type="pct"/>
          </w:tcPr>
          <w:p w14:paraId="26ED0585" w14:textId="77777777" w:rsidR="00C236A2" w:rsidRPr="0013396E" w:rsidRDefault="00C236A2" w:rsidP="0099759E">
            <w:pPr>
              <w:spacing w:after="60"/>
              <w:rPr>
                <w:iCs/>
                <w:sz w:val="20"/>
              </w:rPr>
            </w:pPr>
            <w:r w:rsidRPr="0013396E">
              <w:rPr>
                <w:iCs/>
                <w:sz w:val="20"/>
              </w:rPr>
              <w:t>MW</w:t>
            </w:r>
          </w:p>
        </w:tc>
        <w:tc>
          <w:tcPr>
            <w:tcW w:w="3585" w:type="pct"/>
          </w:tcPr>
          <w:p w14:paraId="6DF99362" w14:textId="77777777" w:rsidR="00C236A2" w:rsidRPr="0013396E" w:rsidRDefault="00C236A2" w:rsidP="0099759E">
            <w:pPr>
              <w:spacing w:after="60"/>
              <w:rPr>
                <w:i/>
                <w:iCs/>
                <w:sz w:val="20"/>
              </w:rPr>
            </w:pPr>
            <w:r w:rsidRPr="0013396E">
              <w:rPr>
                <w:i/>
                <w:iCs/>
                <w:sz w:val="20"/>
              </w:rPr>
              <w:t>Real-Time Reg-Down Award per Resource per QSE per SCED interval</w:t>
            </w:r>
            <w:r w:rsidRPr="0013396E">
              <w:rPr>
                <w:iCs/>
                <w:sz w:val="20"/>
              </w:rPr>
              <w:t xml:space="preserve">—The Reg-Down amount awarded to QSE </w:t>
            </w:r>
            <w:r w:rsidRPr="0013396E">
              <w:rPr>
                <w:i/>
                <w:iCs/>
                <w:sz w:val="20"/>
              </w:rPr>
              <w:t>q</w:t>
            </w:r>
            <w:r w:rsidRPr="0013396E">
              <w:rPr>
                <w:iCs/>
                <w:sz w:val="20"/>
              </w:rPr>
              <w:t xml:space="preserve"> for Resource </w:t>
            </w:r>
            <w:r w:rsidRPr="0013396E">
              <w:rPr>
                <w:i/>
                <w:iCs/>
                <w:sz w:val="20"/>
              </w:rPr>
              <w:t xml:space="preserve">r </w:t>
            </w:r>
            <w:r w:rsidRPr="0013396E">
              <w:rPr>
                <w:iCs/>
                <w:sz w:val="20"/>
              </w:rPr>
              <w:t>in Real-Time</w:t>
            </w:r>
            <w:r w:rsidRPr="0013396E">
              <w:rPr>
                <w:i/>
                <w:iCs/>
                <w:sz w:val="20"/>
              </w:rPr>
              <w:t xml:space="preserve"> </w:t>
            </w:r>
            <w:r w:rsidRPr="0013396E">
              <w:rPr>
                <w:iCs/>
                <w:sz w:val="20"/>
              </w:rPr>
              <w:t xml:space="preserve">for the SCED interval </w:t>
            </w:r>
            <w:r w:rsidRPr="0013396E">
              <w:rPr>
                <w:i/>
                <w:iCs/>
                <w:sz w:val="20"/>
              </w:rPr>
              <w:t xml:space="preserve">y.  </w:t>
            </w:r>
            <w:r w:rsidRPr="0013396E">
              <w:rPr>
                <w:iCs/>
                <w:sz w:val="20"/>
              </w:rPr>
              <w:t xml:space="preserve">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77A24F71" w14:textId="77777777" w:rsidTr="0099759E">
        <w:trPr>
          <w:cantSplit/>
        </w:trPr>
        <w:tc>
          <w:tcPr>
            <w:tcW w:w="934" w:type="pct"/>
          </w:tcPr>
          <w:p w14:paraId="568A7BC6" w14:textId="77777777" w:rsidR="00C236A2" w:rsidRPr="0013396E" w:rsidRDefault="00C236A2" w:rsidP="0099759E">
            <w:pPr>
              <w:spacing w:after="60"/>
              <w:rPr>
                <w:iCs/>
                <w:sz w:val="20"/>
              </w:rPr>
            </w:pPr>
            <w:r w:rsidRPr="0013396E">
              <w:rPr>
                <w:iCs/>
                <w:sz w:val="20"/>
              </w:rPr>
              <w:t xml:space="preserve">RTRRAWDS </w:t>
            </w:r>
            <w:r w:rsidRPr="0013396E">
              <w:rPr>
                <w:i/>
                <w:iCs/>
                <w:sz w:val="20"/>
                <w:vertAlign w:val="subscript"/>
              </w:rPr>
              <w:t>q, r, y</w:t>
            </w:r>
          </w:p>
        </w:tc>
        <w:tc>
          <w:tcPr>
            <w:tcW w:w="481" w:type="pct"/>
          </w:tcPr>
          <w:p w14:paraId="19BB39A4" w14:textId="77777777" w:rsidR="00C236A2" w:rsidRPr="0013396E" w:rsidRDefault="00C236A2" w:rsidP="0099759E">
            <w:pPr>
              <w:spacing w:after="60"/>
              <w:rPr>
                <w:iCs/>
                <w:sz w:val="20"/>
              </w:rPr>
            </w:pPr>
            <w:r w:rsidRPr="0013396E">
              <w:rPr>
                <w:iCs/>
                <w:sz w:val="20"/>
              </w:rPr>
              <w:t>MW</w:t>
            </w:r>
          </w:p>
        </w:tc>
        <w:tc>
          <w:tcPr>
            <w:tcW w:w="3585" w:type="pct"/>
          </w:tcPr>
          <w:p w14:paraId="3E9F12D5" w14:textId="77777777" w:rsidR="00C236A2" w:rsidRPr="0013396E" w:rsidRDefault="00C236A2" w:rsidP="0099759E">
            <w:pPr>
              <w:spacing w:after="60"/>
              <w:rPr>
                <w:i/>
                <w:iCs/>
                <w:sz w:val="20"/>
              </w:rPr>
            </w:pPr>
            <w:r w:rsidRPr="0013396E">
              <w:rPr>
                <w:i/>
                <w:iCs/>
                <w:sz w:val="20"/>
              </w:rPr>
              <w:t>Real-Time Responsive Reserve Award per Resource per QSE per SCED interval</w:t>
            </w:r>
            <w:r w:rsidRPr="0013396E">
              <w:rPr>
                <w:iCs/>
                <w:sz w:val="20"/>
              </w:rPr>
              <w:t xml:space="preserve">—The RRS amount awarded to QSE </w:t>
            </w:r>
            <w:r w:rsidRPr="0013396E">
              <w:rPr>
                <w:i/>
                <w:iCs/>
                <w:sz w:val="20"/>
              </w:rPr>
              <w:t>q</w:t>
            </w:r>
            <w:r w:rsidRPr="0013396E">
              <w:rPr>
                <w:iCs/>
                <w:sz w:val="20"/>
              </w:rPr>
              <w:t xml:space="preserve"> for Resource </w:t>
            </w:r>
            <w:r w:rsidRPr="0013396E">
              <w:rPr>
                <w:i/>
                <w:iCs/>
                <w:sz w:val="20"/>
              </w:rPr>
              <w:t xml:space="preserve">r </w:t>
            </w:r>
            <w:r w:rsidRPr="0013396E">
              <w:rPr>
                <w:iCs/>
                <w:sz w:val="20"/>
              </w:rPr>
              <w:t>in Real-Time</w:t>
            </w:r>
            <w:r w:rsidRPr="0013396E">
              <w:rPr>
                <w:i/>
                <w:iCs/>
                <w:sz w:val="20"/>
              </w:rPr>
              <w:t xml:space="preserve"> </w:t>
            </w:r>
            <w:r w:rsidRPr="0013396E">
              <w:rPr>
                <w:iCs/>
                <w:sz w:val="20"/>
              </w:rPr>
              <w:t xml:space="preserve">for the SCED interval </w:t>
            </w:r>
            <w:r w:rsidRPr="0013396E">
              <w:rPr>
                <w:i/>
                <w:iCs/>
                <w:sz w:val="20"/>
              </w:rPr>
              <w:t xml:space="preserve">y.  </w:t>
            </w:r>
            <w:r w:rsidRPr="0013396E">
              <w:rPr>
                <w:iCs/>
                <w:sz w:val="20"/>
              </w:rPr>
              <w:t xml:space="preserve">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5EDF736A" w14:textId="77777777" w:rsidTr="0099759E">
        <w:trPr>
          <w:cantSplit/>
        </w:trPr>
        <w:tc>
          <w:tcPr>
            <w:tcW w:w="934" w:type="pct"/>
          </w:tcPr>
          <w:p w14:paraId="28CE88A1" w14:textId="77777777" w:rsidR="00C236A2" w:rsidRPr="0013396E" w:rsidRDefault="00C236A2" w:rsidP="0099759E">
            <w:pPr>
              <w:spacing w:after="60"/>
              <w:rPr>
                <w:iCs/>
                <w:sz w:val="20"/>
              </w:rPr>
            </w:pPr>
            <w:r w:rsidRPr="0013396E">
              <w:rPr>
                <w:iCs/>
                <w:sz w:val="20"/>
              </w:rPr>
              <w:lastRenderedPageBreak/>
              <w:t xml:space="preserve">RTNSAWDS </w:t>
            </w:r>
            <w:r w:rsidRPr="0013396E">
              <w:rPr>
                <w:i/>
                <w:iCs/>
                <w:sz w:val="20"/>
                <w:vertAlign w:val="subscript"/>
              </w:rPr>
              <w:t>q, r, y</w:t>
            </w:r>
          </w:p>
        </w:tc>
        <w:tc>
          <w:tcPr>
            <w:tcW w:w="481" w:type="pct"/>
          </w:tcPr>
          <w:p w14:paraId="165C5598" w14:textId="77777777" w:rsidR="00C236A2" w:rsidRPr="0013396E" w:rsidRDefault="00C236A2" w:rsidP="0099759E">
            <w:pPr>
              <w:spacing w:after="60"/>
              <w:rPr>
                <w:iCs/>
                <w:sz w:val="20"/>
              </w:rPr>
            </w:pPr>
            <w:r w:rsidRPr="0013396E">
              <w:rPr>
                <w:iCs/>
                <w:sz w:val="20"/>
              </w:rPr>
              <w:t>MW</w:t>
            </w:r>
          </w:p>
        </w:tc>
        <w:tc>
          <w:tcPr>
            <w:tcW w:w="3585" w:type="pct"/>
          </w:tcPr>
          <w:p w14:paraId="6F4C582C" w14:textId="77777777" w:rsidR="00C236A2" w:rsidRPr="0013396E" w:rsidRDefault="00C236A2" w:rsidP="0099759E">
            <w:pPr>
              <w:spacing w:after="60"/>
              <w:rPr>
                <w:i/>
                <w:iCs/>
                <w:sz w:val="20"/>
              </w:rPr>
            </w:pPr>
            <w:r w:rsidRPr="0013396E">
              <w:rPr>
                <w:i/>
                <w:iCs/>
                <w:sz w:val="20"/>
              </w:rPr>
              <w:t>Real-Time Non-Spin Award per Resource per QSE per SCED interval</w:t>
            </w:r>
            <w:r w:rsidRPr="0013396E">
              <w:rPr>
                <w:iCs/>
                <w:sz w:val="20"/>
              </w:rPr>
              <w:t xml:space="preserve">—The Non-Spin amount awarded to QSE </w:t>
            </w:r>
            <w:r w:rsidRPr="0013396E">
              <w:rPr>
                <w:i/>
                <w:iCs/>
                <w:sz w:val="20"/>
              </w:rPr>
              <w:t>q</w:t>
            </w:r>
            <w:r w:rsidRPr="0013396E">
              <w:rPr>
                <w:iCs/>
                <w:sz w:val="20"/>
              </w:rPr>
              <w:t xml:space="preserve"> for Resource </w:t>
            </w:r>
            <w:r w:rsidRPr="0013396E">
              <w:rPr>
                <w:i/>
                <w:iCs/>
                <w:sz w:val="20"/>
              </w:rPr>
              <w:t xml:space="preserve">r </w:t>
            </w:r>
            <w:r w:rsidRPr="0013396E">
              <w:rPr>
                <w:iCs/>
                <w:sz w:val="20"/>
              </w:rPr>
              <w:t>in Real-Time</w:t>
            </w:r>
            <w:r w:rsidRPr="0013396E">
              <w:rPr>
                <w:i/>
                <w:iCs/>
                <w:sz w:val="20"/>
              </w:rPr>
              <w:t xml:space="preserve"> </w:t>
            </w:r>
            <w:r w:rsidRPr="0013396E">
              <w:rPr>
                <w:iCs/>
                <w:sz w:val="20"/>
              </w:rPr>
              <w:t xml:space="preserve">for the SCED interval </w:t>
            </w:r>
            <w:r w:rsidRPr="0013396E">
              <w:rPr>
                <w:i/>
                <w:iCs/>
                <w:sz w:val="20"/>
              </w:rPr>
              <w:t xml:space="preserve">y.  </w:t>
            </w:r>
            <w:r w:rsidRPr="0013396E">
              <w:rPr>
                <w:iCs/>
                <w:sz w:val="20"/>
              </w:rPr>
              <w:t xml:space="preserve">Where for a Combined Cycle Train, the Resource </w:t>
            </w:r>
            <w:r w:rsidRPr="0013396E">
              <w:rPr>
                <w:i/>
                <w:iCs/>
                <w:sz w:val="20"/>
              </w:rPr>
              <w:t xml:space="preserve">r </w:t>
            </w:r>
            <w:r w:rsidRPr="0013396E">
              <w:rPr>
                <w:iCs/>
                <w:sz w:val="20"/>
              </w:rPr>
              <w:t>is a Combined Cycle Generation Resource within the Combined Cycle Train.</w:t>
            </w:r>
          </w:p>
        </w:tc>
      </w:tr>
      <w:tr w:rsidR="00C236A2" w:rsidRPr="0013396E" w14:paraId="37E59878" w14:textId="77777777" w:rsidTr="0099759E">
        <w:trPr>
          <w:cantSplit/>
        </w:trPr>
        <w:tc>
          <w:tcPr>
            <w:tcW w:w="934" w:type="pct"/>
          </w:tcPr>
          <w:p w14:paraId="3D5B84D9" w14:textId="77777777" w:rsidR="00C236A2" w:rsidRPr="0013396E" w:rsidRDefault="00C236A2" w:rsidP="0099759E">
            <w:pPr>
              <w:spacing w:after="60"/>
              <w:rPr>
                <w:iCs/>
                <w:sz w:val="20"/>
              </w:rPr>
            </w:pPr>
            <w:r w:rsidRPr="0013396E">
              <w:rPr>
                <w:iCs/>
                <w:sz w:val="20"/>
              </w:rPr>
              <w:t xml:space="preserve">RTECRAWDS </w:t>
            </w:r>
            <w:r w:rsidRPr="0013396E">
              <w:rPr>
                <w:i/>
                <w:iCs/>
                <w:sz w:val="20"/>
                <w:vertAlign w:val="subscript"/>
              </w:rPr>
              <w:t>q, r, y</w:t>
            </w:r>
          </w:p>
        </w:tc>
        <w:tc>
          <w:tcPr>
            <w:tcW w:w="481" w:type="pct"/>
          </w:tcPr>
          <w:p w14:paraId="7B043C6A" w14:textId="77777777" w:rsidR="00C236A2" w:rsidRPr="0013396E" w:rsidRDefault="00C236A2" w:rsidP="0099759E">
            <w:pPr>
              <w:spacing w:after="60"/>
              <w:rPr>
                <w:iCs/>
                <w:sz w:val="20"/>
              </w:rPr>
            </w:pPr>
            <w:r w:rsidRPr="0013396E">
              <w:rPr>
                <w:iCs/>
                <w:sz w:val="20"/>
              </w:rPr>
              <w:t>MW</w:t>
            </w:r>
          </w:p>
        </w:tc>
        <w:tc>
          <w:tcPr>
            <w:tcW w:w="3585" w:type="pct"/>
          </w:tcPr>
          <w:p w14:paraId="6C8EA890" w14:textId="77777777" w:rsidR="00C236A2" w:rsidRPr="0013396E" w:rsidRDefault="00C236A2" w:rsidP="0099759E">
            <w:pPr>
              <w:spacing w:after="60"/>
              <w:rPr>
                <w:i/>
                <w:iCs/>
                <w:sz w:val="20"/>
              </w:rPr>
            </w:pPr>
            <w:r w:rsidRPr="0013396E">
              <w:rPr>
                <w:i/>
                <w:iCs/>
                <w:sz w:val="20"/>
              </w:rPr>
              <w:t>Real-Time ERCOT Contingency Reserve Service Award per Resource per QSE per SCED interval</w:t>
            </w:r>
            <w:r w:rsidRPr="0013396E">
              <w:rPr>
                <w:iCs/>
                <w:sz w:val="20"/>
              </w:rPr>
              <w:t xml:space="preserve">—The ECRS amount awarded to QSE </w:t>
            </w:r>
            <w:r w:rsidRPr="0013396E">
              <w:rPr>
                <w:i/>
                <w:iCs/>
                <w:sz w:val="20"/>
              </w:rPr>
              <w:t>q</w:t>
            </w:r>
            <w:r w:rsidRPr="0013396E">
              <w:rPr>
                <w:iCs/>
                <w:sz w:val="20"/>
              </w:rPr>
              <w:t xml:space="preserve"> for Resource </w:t>
            </w:r>
            <w:r w:rsidRPr="0013396E">
              <w:rPr>
                <w:i/>
                <w:iCs/>
                <w:sz w:val="20"/>
              </w:rPr>
              <w:t xml:space="preserve">r </w:t>
            </w:r>
            <w:r w:rsidRPr="0013396E">
              <w:rPr>
                <w:iCs/>
                <w:sz w:val="20"/>
              </w:rPr>
              <w:t>in Real-Time</w:t>
            </w:r>
            <w:r w:rsidRPr="0013396E">
              <w:rPr>
                <w:i/>
                <w:iCs/>
                <w:sz w:val="20"/>
              </w:rPr>
              <w:t xml:space="preserve"> </w:t>
            </w:r>
            <w:r w:rsidRPr="0013396E">
              <w:rPr>
                <w:iCs/>
                <w:sz w:val="20"/>
              </w:rPr>
              <w:t xml:space="preserve">for the SCED interval </w:t>
            </w:r>
            <w:r w:rsidRPr="0013396E">
              <w:rPr>
                <w:i/>
                <w:iCs/>
                <w:sz w:val="20"/>
              </w:rPr>
              <w:t xml:space="preserve">y.  </w:t>
            </w:r>
            <w:r w:rsidRPr="0013396E">
              <w:rPr>
                <w:iCs/>
                <w:sz w:val="20"/>
              </w:rPr>
              <w:t xml:space="preserve">Where for a Combined Cycle Train, the Resource </w:t>
            </w:r>
            <w:r w:rsidRPr="0013396E">
              <w:rPr>
                <w:i/>
                <w:iCs/>
                <w:sz w:val="20"/>
              </w:rPr>
              <w:t xml:space="preserve">r </w:t>
            </w:r>
            <w:r w:rsidRPr="0013396E">
              <w:rPr>
                <w:iCs/>
                <w:sz w:val="20"/>
              </w:rPr>
              <w:t>is a Combined Cycle Generation Resource within the Combined Cycle Train.</w:t>
            </w:r>
          </w:p>
        </w:tc>
      </w:tr>
      <w:tr w:rsidR="00583E7E" w:rsidRPr="0013396E" w14:paraId="4253A814" w14:textId="77777777" w:rsidTr="00583E7E">
        <w:trPr>
          <w:cantSplit/>
        </w:trPr>
        <w:tc>
          <w:tcPr>
            <w:tcW w:w="5000" w:type="pct"/>
            <w:gridSpan w:val="3"/>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583E7E" w:rsidRPr="0013396E" w14:paraId="1481943C" w14:textId="77777777" w:rsidTr="00A86863">
              <w:trPr>
                <w:trHeight w:val="206"/>
              </w:trPr>
              <w:tc>
                <w:tcPr>
                  <w:tcW w:w="9350" w:type="dxa"/>
                  <w:shd w:val="pct12" w:color="auto" w:fill="auto"/>
                </w:tcPr>
                <w:p w14:paraId="722B062E" w14:textId="4C184D95" w:rsidR="00583E7E" w:rsidRPr="0013396E" w:rsidRDefault="00583E7E" w:rsidP="00583E7E">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583E7E">
                    <w:rPr>
                      <w:b/>
                      <w:i/>
                      <w:iCs/>
                      <w:szCs w:val="24"/>
                    </w:rPr>
                    <w:t>RTDRRAWDS</w:t>
                  </w:r>
                  <w:r w:rsidRPr="00583E7E">
                    <w:rPr>
                      <w:b/>
                      <w:i/>
                      <w:iCs/>
                      <w:szCs w:val="24"/>
                      <w:vertAlign w:val="subscript"/>
                    </w:rPr>
                    <w:t xml:space="preserve"> q, r, y</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583E7E" w:rsidRPr="003F34DA" w14:paraId="72319EE1" w14:textId="77777777" w:rsidTr="00A86863">
                    <w:trPr>
                      <w:cantSplit/>
                    </w:trPr>
                    <w:tc>
                      <w:tcPr>
                        <w:tcW w:w="934" w:type="pct"/>
                      </w:tcPr>
                      <w:p w14:paraId="779916F5" w14:textId="308D8BD3" w:rsidR="00583E7E" w:rsidRPr="003F34DA" w:rsidRDefault="00583E7E" w:rsidP="00583E7E">
                        <w:pPr>
                          <w:spacing w:after="60"/>
                          <w:rPr>
                            <w:bCs/>
                            <w:sz w:val="20"/>
                          </w:rPr>
                        </w:pPr>
                        <w:r w:rsidRPr="003F34DA">
                          <w:rPr>
                            <w:iCs/>
                            <w:sz w:val="20"/>
                          </w:rPr>
                          <w:t xml:space="preserve">RTDRRAWDS </w:t>
                        </w:r>
                        <w:r w:rsidRPr="003F34DA">
                          <w:rPr>
                            <w:i/>
                            <w:iCs/>
                            <w:sz w:val="20"/>
                            <w:vertAlign w:val="subscript"/>
                          </w:rPr>
                          <w:t>q, r, y</w:t>
                        </w:r>
                      </w:p>
                    </w:tc>
                    <w:tc>
                      <w:tcPr>
                        <w:tcW w:w="481" w:type="pct"/>
                      </w:tcPr>
                      <w:p w14:paraId="4712A5C5" w14:textId="685408E2" w:rsidR="00583E7E" w:rsidRPr="003F34DA" w:rsidRDefault="00583E7E" w:rsidP="00583E7E">
                        <w:pPr>
                          <w:spacing w:after="60"/>
                          <w:rPr>
                            <w:iCs/>
                            <w:sz w:val="20"/>
                          </w:rPr>
                        </w:pPr>
                        <w:r w:rsidRPr="003F34DA">
                          <w:rPr>
                            <w:iCs/>
                            <w:sz w:val="20"/>
                          </w:rPr>
                          <w:t>MW</w:t>
                        </w:r>
                      </w:p>
                    </w:tc>
                    <w:tc>
                      <w:tcPr>
                        <w:tcW w:w="3585" w:type="pct"/>
                      </w:tcPr>
                      <w:p w14:paraId="316E5EA5" w14:textId="030143A6" w:rsidR="00583E7E" w:rsidRPr="003F34DA" w:rsidRDefault="00583E7E" w:rsidP="00583E7E">
                        <w:pPr>
                          <w:spacing w:after="60"/>
                          <w:rPr>
                            <w:i/>
                            <w:iCs/>
                            <w:sz w:val="20"/>
                          </w:rPr>
                        </w:pPr>
                        <w:r w:rsidRPr="003F34DA">
                          <w:rPr>
                            <w:i/>
                            <w:iCs/>
                            <w:sz w:val="20"/>
                          </w:rPr>
                          <w:t>Real-Time Dispatchable Reliability Reserve Service Award per Resource per QSE per SCED interval</w:t>
                        </w:r>
                        <w:r w:rsidRPr="003F34DA">
                          <w:rPr>
                            <w:iCs/>
                            <w:sz w:val="20"/>
                          </w:rPr>
                          <w:t xml:space="preserve">—The DRRS amount awarded to QSE </w:t>
                        </w:r>
                        <w:r w:rsidRPr="003F34DA">
                          <w:rPr>
                            <w:i/>
                            <w:iCs/>
                            <w:sz w:val="20"/>
                          </w:rPr>
                          <w:t>q</w:t>
                        </w:r>
                        <w:r w:rsidRPr="003F34DA">
                          <w:rPr>
                            <w:iCs/>
                            <w:sz w:val="20"/>
                          </w:rPr>
                          <w:t xml:space="preserve"> for Resource </w:t>
                        </w:r>
                        <w:r w:rsidRPr="003F34DA">
                          <w:rPr>
                            <w:i/>
                            <w:iCs/>
                            <w:sz w:val="20"/>
                          </w:rPr>
                          <w:t xml:space="preserve">r </w:t>
                        </w:r>
                        <w:r w:rsidRPr="003F34DA">
                          <w:rPr>
                            <w:iCs/>
                            <w:sz w:val="20"/>
                          </w:rPr>
                          <w:t>in Real-Time</w:t>
                        </w:r>
                        <w:r w:rsidRPr="003F34DA">
                          <w:rPr>
                            <w:i/>
                            <w:iCs/>
                            <w:sz w:val="20"/>
                          </w:rPr>
                          <w:t xml:space="preserve"> </w:t>
                        </w:r>
                        <w:r w:rsidRPr="003F34DA">
                          <w:rPr>
                            <w:iCs/>
                            <w:sz w:val="20"/>
                          </w:rPr>
                          <w:t xml:space="preserve">for the SCED interval </w:t>
                        </w:r>
                        <w:r w:rsidRPr="003F34DA">
                          <w:rPr>
                            <w:i/>
                            <w:iCs/>
                            <w:sz w:val="20"/>
                          </w:rPr>
                          <w:t xml:space="preserve">y.  </w:t>
                        </w:r>
                        <w:r w:rsidRPr="003F34DA">
                          <w:rPr>
                            <w:iCs/>
                            <w:sz w:val="20"/>
                          </w:rPr>
                          <w:t xml:space="preserve">Where for a Combined Cycle Train, the Resource </w:t>
                        </w:r>
                        <w:r w:rsidRPr="003F34DA">
                          <w:rPr>
                            <w:i/>
                            <w:iCs/>
                            <w:sz w:val="20"/>
                          </w:rPr>
                          <w:t xml:space="preserve">r </w:t>
                        </w:r>
                        <w:r w:rsidRPr="003F34DA">
                          <w:rPr>
                            <w:iCs/>
                            <w:sz w:val="20"/>
                          </w:rPr>
                          <w:t>is a Combined Cycle Generation Resource within the Combined Cycle Train.</w:t>
                        </w:r>
                      </w:p>
                    </w:tc>
                  </w:tr>
                </w:tbl>
                <w:p w14:paraId="74A90DC1" w14:textId="77777777" w:rsidR="00583E7E" w:rsidRPr="00583E7E" w:rsidRDefault="00583E7E" w:rsidP="00583E7E">
                  <w:pPr>
                    <w:tabs>
                      <w:tab w:val="left" w:pos="2340"/>
                      <w:tab w:val="left" w:pos="2880"/>
                    </w:tabs>
                    <w:spacing w:after="240"/>
                    <w:ind w:left="987" w:hanging="269"/>
                    <w:rPr>
                      <w:szCs w:val="24"/>
                      <w:lang w:val="es-MX"/>
                    </w:rPr>
                  </w:pPr>
                </w:p>
              </w:tc>
            </w:tr>
          </w:tbl>
          <w:p w14:paraId="5269DD17" w14:textId="77777777" w:rsidR="00583E7E" w:rsidRPr="0013396E" w:rsidRDefault="00583E7E" w:rsidP="0099759E">
            <w:pPr>
              <w:spacing w:after="60"/>
              <w:rPr>
                <w:i/>
                <w:sz w:val="20"/>
              </w:rPr>
            </w:pPr>
          </w:p>
        </w:tc>
      </w:tr>
      <w:tr w:rsidR="00C236A2" w:rsidRPr="0013396E" w14:paraId="74A114BD"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7E170CAE" w14:textId="77777777" w:rsidR="00C236A2" w:rsidRPr="0013396E" w:rsidRDefault="00C236A2" w:rsidP="0099759E">
            <w:pPr>
              <w:spacing w:after="60"/>
              <w:rPr>
                <w:iCs/>
                <w:sz w:val="20"/>
              </w:rPr>
            </w:pPr>
            <w:r w:rsidRPr="0013396E">
              <w:rPr>
                <w:iCs/>
                <w:sz w:val="20"/>
              </w:rPr>
              <w:t xml:space="preserve">TLMP </w:t>
            </w:r>
            <w:r w:rsidRPr="0013396E">
              <w:rPr>
                <w:i/>
                <w:iCs/>
                <w:sz w:val="20"/>
                <w:vertAlign w:val="subscript"/>
              </w:rPr>
              <w:t>y</w:t>
            </w:r>
          </w:p>
        </w:tc>
        <w:tc>
          <w:tcPr>
            <w:tcW w:w="481" w:type="pct"/>
            <w:tcBorders>
              <w:top w:val="single" w:sz="4" w:space="0" w:color="auto"/>
              <w:left w:val="single" w:sz="4" w:space="0" w:color="auto"/>
              <w:bottom w:val="single" w:sz="4" w:space="0" w:color="auto"/>
              <w:right w:val="single" w:sz="4" w:space="0" w:color="auto"/>
            </w:tcBorders>
          </w:tcPr>
          <w:p w14:paraId="554E6E4A" w14:textId="77777777" w:rsidR="00C236A2" w:rsidRPr="0013396E" w:rsidRDefault="00C236A2" w:rsidP="0099759E">
            <w:pPr>
              <w:spacing w:after="60"/>
              <w:rPr>
                <w:iCs/>
                <w:sz w:val="20"/>
              </w:rPr>
            </w:pPr>
            <w:r w:rsidRPr="0013396E">
              <w:rPr>
                <w:iCs/>
                <w:sz w:val="20"/>
              </w:rPr>
              <w:t>second</w:t>
            </w:r>
          </w:p>
        </w:tc>
        <w:tc>
          <w:tcPr>
            <w:tcW w:w="3585" w:type="pct"/>
            <w:tcBorders>
              <w:top w:val="single" w:sz="4" w:space="0" w:color="auto"/>
              <w:left w:val="single" w:sz="4" w:space="0" w:color="auto"/>
              <w:bottom w:val="single" w:sz="4" w:space="0" w:color="auto"/>
              <w:right w:val="single" w:sz="4" w:space="0" w:color="auto"/>
            </w:tcBorders>
          </w:tcPr>
          <w:p w14:paraId="3CE9E91F" w14:textId="77777777" w:rsidR="00C236A2" w:rsidRPr="0013396E" w:rsidRDefault="00C236A2" w:rsidP="0099759E">
            <w:pPr>
              <w:spacing w:after="60"/>
              <w:rPr>
                <w:iCs/>
                <w:sz w:val="20"/>
              </w:rPr>
            </w:pPr>
            <w:r w:rsidRPr="0013396E">
              <w:rPr>
                <w:i/>
                <w:sz w:val="20"/>
              </w:rPr>
              <w:t>Duration of Emergency Base Point interval or SCED interval per interval</w:t>
            </w:r>
            <w:r w:rsidRPr="0013396E">
              <w:rPr>
                <w:iCs/>
                <w:sz w:val="20"/>
              </w:rPr>
              <w:t xml:space="preserve">—The duration of the portion of the Emergency Base Point interval or SCED interval </w:t>
            </w:r>
            <w:r w:rsidRPr="0013396E">
              <w:rPr>
                <w:i/>
                <w:iCs/>
                <w:sz w:val="20"/>
              </w:rPr>
              <w:t>y</w:t>
            </w:r>
            <w:r w:rsidRPr="0013396E">
              <w:rPr>
                <w:iCs/>
                <w:sz w:val="20"/>
              </w:rPr>
              <w:t xml:space="preserve"> </w:t>
            </w:r>
            <w:r w:rsidRPr="0013396E">
              <w:rPr>
                <w:sz w:val="20"/>
              </w:rPr>
              <w:t>within the 15-minute Settlement Interval</w:t>
            </w:r>
            <w:r w:rsidRPr="0013396E">
              <w:rPr>
                <w:iCs/>
                <w:sz w:val="20"/>
              </w:rPr>
              <w:t>.</w:t>
            </w:r>
          </w:p>
        </w:tc>
      </w:tr>
      <w:tr w:rsidR="00C236A2" w:rsidRPr="0013396E" w14:paraId="4D23312C"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62A585A1" w14:textId="77777777" w:rsidR="00C236A2" w:rsidRPr="0013396E" w:rsidRDefault="00C236A2" w:rsidP="0099759E">
            <w:pPr>
              <w:spacing w:after="60"/>
              <w:rPr>
                <w:i/>
                <w:iCs/>
                <w:sz w:val="20"/>
              </w:rPr>
            </w:pPr>
            <w:r w:rsidRPr="0013396E">
              <w:rPr>
                <w:i/>
                <w:iCs/>
                <w:sz w:val="20"/>
              </w:rPr>
              <w:t>q</w:t>
            </w:r>
          </w:p>
        </w:tc>
        <w:tc>
          <w:tcPr>
            <w:tcW w:w="481" w:type="pct"/>
            <w:tcBorders>
              <w:top w:val="single" w:sz="4" w:space="0" w:color="auto"/>
              <w:left w:val="single" w:sz="4" w:space="0" w:color="auto"/>
              <w:bottom w:val="single" w:sz="4" w:space="0" w:color="auto"/>
              <w:right w:val="single" w:sz="4" w:space="0" w:color="auto"/>
            </w:tcBorders>
          </w:tcPr>
          <w:p w14:paraId="03044BC8"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56DBE669" w14:textId="77777777" w:rsidR="00C236A2" w:rsidRPr="0013396E" w:rsidRDefault="00C236A2" w:rsidP="0099759E">
            <w:pPr>
              <w:spacing w:after="60"/>
              <w:rPr>
                <w:iCs/>
                <w:sz w:val="20"/>
              </w:rPr>
            </w:pPr>
            <w:r w:rsidRPr="0013396E">
              <w:rPr>
                <w:iCs/>
                <w:sz w:val="20"/>
              </w:rPr>
              <w:t>A QSE.</w:t>
            </w:r>
          </w:p>
        </w:tc>
      </w:tr>
      <w:tr w:rsidR="00C236A2" w:rsidRPr="0013396E" w14:paraId="5E1752B3"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5A224C76" w14:textId="77777777" w:rsidR="00C236A2" w:rsidRPr="0013396E" w:rsidRDefault="00C236A2" w:rsidP="0099759E">
            <w:pPr>
              <w:spacing w:after="60"/>
              <w:rPr>
                <w:i/>
                <w:iCs/>
                <w:sz w:val="20"/>
              </w:rPr>
            </w:pPr>
            <w:r w:rsidRPr="0013396E">
              <w:rPr>
                <w:i/>
                <w:iCs/>
                <w:sz w:val="20"/>
              </w:rPr>
              <w:t>p</w:t>
            </w:r>
          </w:p>
        </w:tc>
        <w:tc>
          <w:tcPr>
            <w:tcW w:w="481" w:type="pct"/>
            <w:tcBorders>
              <w:top w:val="single" w:sz="4" w:space="0" w:color="auto"/>
              <w:left w:val="single" w:sz="4" w:space="0" w:color="auto"/>
              <w:bottom w:val="single" w:sz="4" w:space="0" w:color="auto"/>
              <w:right w:val="single" w:sz="4" w:space="0" w:color="auto"/>
            </w:tcBorders>
          </w:tcPr>
          <w:p w14:paraId="70DC1EC9"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4795EFA4" w14:textId="77777777" w:rsidR="00C236A2" w:rsidRPr="0013396E" w:rsidRDefault="00C236A2" w:rsidP="0099759E">
            <w:pPr>
              <w:spacing w:after="60"/>
              <w:rPr>
                <w:iCs/>
                <w:sz w:val="20"/>
              </w:rPr>
            </w:pPr>
            <w:r w:rsidRPr="0013396E">
              <w:rPr>
                <w:iCs/>
                <w:sz w:val="20"/>
              </w:rPr>
              <w:t>A Resource Node Settlement Point.</w:t>
            </w:r>
          </w:p>
        </w:tc>
      </w:tr>
      <w:tr w:rsidR="00C236A2" w:rsidRPr="0013396E" w14:paraId="68683916"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3FCC7AFD" w14:textId="77777777" w:rsidR="00C236A2" w:rsidRPr="0013396E" w:rsidRDefault="00C236A2" w:rsidP="0099759E">
            <w:pPr>
              <w:spacing w:after="60"/>
              <w:rPr>
                <w:i/>
                <w:iCs/>
                <w:sz w:val="20"/>
              </w:rPr>
            </w:pPr>
            <w:r w:rsidRPr="0013396E">
              <w:rPr>
                <w:i/>
                <w:iCs/>
                <w:sz w:val="20"/>
              </w:rPr>
              <w:t>r</w:t>
            </w:r>
          </w:p>
        </w:tc>
        <w:tc>
          <w:tcPr>
            <w:tcW w:w="481" w:type="pct"/>
            <w:tcBorders>
              <w:top w:val="single" w:sz="4" w:space="0" w:color="auto"/>
              <w:left w:val="single" w:sz="4" w:space="0" w:color="auto"/>
              <w:bottom w:val="single" w:sz="4" w:space="0" w:color="auto"/>
              <w:right w:val="single" w:sz="4" w:space="0" w:color="auto"/>
            </w:tcBorders>
          </w:tcPr>
          <w:p w14:paraId="22970D36"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17E2872B" w14:textId="77777777" w:rsidR="00C236A2" w:rsidRPr="0013396E" w:rsidRDefault="00C236A2" w:rsidP="0099759E">
            <w:pPr>
              <w:spacing w:after="60"/>
              <w:rPr>
                <w:iCs/>
                <w:sz w:val="20"/>
              </w:rPr>
            </w:pPr>
            <w:r w:rsidRPr="0013396E">
              <w:rPr>
                <w:iCs/>
                <w:sz w:val="20"/>
              </w:rPr>
              <w:t>A Generation Resource or ESR.</w:t>
            </w:r>
          </w:p>
        </w:tc>
      </w:tr>
      <w:tr w:rsidR="00C236A2" w:rsidRPr="0013396E" w14:paraId="4BC2A1DA"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0162F13D" w14:textId="77777777" w:rsidR="00C236A2" w:rsidRPr="0013396E" w:rsidRDefault="00C236A2" w:rsidP="0099759E">
            <w:pPr>
              <w:spacing w:after="60"/>
              <w:rPr>
                <w:i/>
                <w:iCs/>
                <w:sz w:val="20"/>
              </w:rPr>
            </w:pPr>
            <w:r w:rsidRPr="0013396E">
              <w:rPr>
                <w:i/>
                <w:iCs/>
                <w:sz w:val="20"/>
              </w:rPr>
              <w:t>y</w:t>
            </w:r>
          </w:p>
        </w:tc>
        <w:tc>
          <w:tcPr>
            <w:tcW w:w="481" w:type="pct"/>
            <w:tcBorders>
              <w:top w:val="single" w:sz="4" w:space="0" w:color="auto"/>
              <w:left w:val="single" w:sz="4" w:space="0" w:color="auto"/>
              <w:bottom w:val="single" w:sz="4" w:space="0" w:color="auto"/>
              <w:right w:val="single" w:sz="4" w:space="0" w:color="auto"/>
            </w:tcBorders>
          </w:tcPr>
          <w:p w14:paraId="4BCD6862"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222A4C6C" w14:textId="77777777" w:rsidR="00C236A2" w:rsidRPr="0013396E" w:rsidRDefault="00C236A2" w:rsidP="0099759E">
            <w:pPr>
              <w:spacing w:after="60"/>
              <w:rPr>
                <w:iCs/>
                <w:sz w:val="20"/>
              </w:rPr>
            </w:pPr>
            <w:r w:rsidRPr="0013396E">
              <w:rPr>
                <w:iCs/>
                <w:sz w:val="20"/>
              </w:rPr>
              <w:t>An Emergency Base Point interval or SCED interval that overlaps the 15-minute Settlement Interval.</w:t>
            </w:r>
          </w:p>
        </w:tc>
      </w:tr>
      <w:tr w:rsidR="00C236A2" w:rsidRPr="0013396E" w14:paraId="21838B58" w14:textId="77777777" w:rsidTr="0099759E">
        <w:trPr>
          <w:cantSplit/>
        </w:trPr>
        <w:tc>
          <w:tcPr>
            <w:tcW w:w="934" w:type="pct"/>
            <w:tcBorders>
              <w:top w:val="single" w:sz="4" w:space="0" w:color="auto"/>
              <w:left w:val="single" w:sz="4" w:space="0" w:color="auto"/>
              <w:bottom w:val="single" w:sz="4" w:space="0" w:color="auto"/>
              <w:right w:val="single" w:sz="4" w:space="0" w:color="auto"/>
            </w:tcBorders>
          </w:tcPr>
          <w:p w14:paraId="04C80124" w14:textId="77777777" w:rsidR="00C236A2" w:rsidRPr="0013396E" w:rsidRDefault="00C236A2" w:rsidP="0099759E">
            <w:pPr>
              <w:spacing w:after="60"/>
              <w:rPr>
                <w:iCs/>
                <w:sz w:val="20"/>
              </w:rPr>
            </w:pPr>
            <w:r w:rsidRPr="0013396E">
              <w:rPr>
                <w:iCs/>
                <w:sz w:val="20"/>
              </w:rPr>
              <w:t>3600</w:t>
            </w:r>
          </w:p>
        </w:tc>
        <w:tc>
          <w:tcPr>
            <w:tcW w:w="481" w:type="pct"/>
            <w:tcBorders>
              <w:top w:val="single" w:sz="4" w:space="0" w:color="auto"/>
              <w:left w:val="single" w:sz="4" w:space="0" w:color="auto"/>
              <w:bottom w:val="single" w:sz="4" w:space="0" w:color="auto"/>
              <w:right w:val="single" w:sz="4" w:space="0" w:color="auto"/>
            </w:tcBorders>
          </w:tcPr>
          <w:p w14:paraId="07E0667F" w14:textId="77777777" w:rsidR="00C236A2" w:rsidRPr="0013396E" w:rsidRDefault="00C236A2" w:rsidP="0099759E">
            <w:pPr>
              <w:spacing w:after="60"/>
              <w:rPr>
                <w:iCs/>
                <w:sz w:val="20"/>
              </w:rPr>
            </w:pPr>
            <w:r w:rsidRPr="0013396E">
              <w:rPr>
                <w:iCs/>
                <w:sz w:val="20"/>
              </w:rPr>
              <w:t>none</w:t>
            </w:r>
          </w:p>
        </w:tc>
        <w:tc>
          <w:tcPr>
            <w:tcW w:w="3585" w:type="pct"/>
            <w:tcBorders>
              <w:top w:val="single" w:sz="4" w:space="0" w:color="auto"/>
              <w:left w:val="single" w:sz="4" w:space="0" w:color="auto"/>
              <w:bottom w:val="single" w:sz="4" w:space="0" w:color="auto"/>
              <w:right w:val="single" w:sz="4" w:space="0" w:color="auto"/>
            </w:tcBorders>
          </w:tcPr>
          <w:p w14:paraId="46C8D441" w14:textId="77777777" w:rsidR="00C236A2" w:rsidRPr="0013396E" w:rsidRDefault="00C236A2" w:rsidP="0099759E">
            <w:pPr>
              <w:spacing w:after="60"/>
              <w:rPr>
                <w:iCs/>
                <w:sz w:val="20"/>
              </w:rPr>
            </w:pPr>
            <w:r w:rsidRPr="0013396E">
              <w:rPr>
                <w:iCs/>
                <w:sz w:val="20"/>
              </w:rPr>
              <w:t>The number of seconds in one hour.</w:t>
            </w:r>
          </w:p>
        </w:tc>
      </w:tr>
    </w:tbl>
    <w:p w14:paraId="4E857E9E" w14:textId="77777777" w:rsidR="00C236A2" w:rsidRPr="0013396E" w:rsidRDefault="00C236A2" w:rsidP="00C236A2">
      <w:pPr>
        <w:spacing w:before="240" w:after="240"/>
        <w:ind w:left="720" w:hanging="720"/>
        <w:rPr>
          <w:iCs/>
        </w:rPr>
      </w:pPr>
      <w:r w:rsidRPr="0013396E">
        <w:rPr>
          <w:iCs/>
        </w:rPr>
        <w:t>(3)</w:t>
      </w:r>
      <w:r w:rsidRPr="0013396E">
        <w:rPr>
          <w:iCs/>
        </w:rPr>
        <w:tab/>
        <w:t>The extension of the Energy Offer Curve or Energy Bid/Offer Curve and Mitigated Offer Cap (MOC) is used to calculate the Emergency Base Point Price (EBPPR).  If the Emergency Base Point MW value is greater than the largest MW value on the Energy Offer Curve or Energy Bid/Offer Curve submitted by the QSE for the Resource, or the Resource’s MOC, then the Energy Offer Curve, Energy Bid/Offer Curve, or MOC is extended to the Emergency Base Point MW value with a $/MWh value that is equal to the highest $/MWh value on the applicable curve.  If the Emergency Base Point MW value is lower than the lowest MW value on the Energy Offer Curve or Energy Bid/Offer Curve submitted by the QSE for the Resource, or the Resource’s MOC, then the Energy Offer Curve, Energy Bid/Offer Curve or MOC is extended to the Emergency Base Point MW value with a $/MWh value that is equal to the lowest $/MWh value on the applicable curve.</w:t>
      </w:r>
    </w:p>
    <w:p w14:paraId="72575075" w14:textId="77777777" w:rsidR="00C236A2" w:rsidRPr="0013396E" w:rsidRDefault="00C236A2" w:rsidP="00C236A2">
      <w:pPr>
        <w:spacing w:after="240"/>
        <w:ind w:left="720" w:hanging="720"/>
        <w:rPr>
          <w:iCs/>
        </w:rPr>
      </w:pPr>
      <w:r w:rsidRPr="0013396E">
        <w:rPr>
          <w:iCs/>
        </w:rPr>
        <w:t xml:space="preserve">(4)       If the Real-Time Ancillary Service Award is greater than the total quantity from the Resource-Specific Ancillary Service Offer submitted by the QSE, then the Real-Time Ancillary Service Offer price for the Resource will be equal to the highest price from the submitted Resource-Specific Ancillary Service Offer for the Ancillary Service type. </w:t>
      </w:r>
    </w:p>
    <w:p w14:paraId="1AB68946" w14:textId="77777777" w:rsidR="00C236A2" w:rsidRPr="0013396E" w:rsidRDefault="00C236A2" w:rsidP="00C236A2">
      <w:pPr>
        <w:spacing w:after="240"/>
        <w:ind w:left="720" w:hanging="720"/>
        <w:rPr>
          <w:iCs/>
        </w:rPr>
      </w:pPr>
      <w:r w:rsidRPr="0013396E">
        <w:rPr>
          <w:iCs/>
        </w:rPr>
        <w:lastRenderedPageBreak/>
        <w:t>(5)</w:t>
      </w:r>
      <w:r w:rsidRPr="0013396E">
        <w:rPr>
          <w:iCs/>
        </w:rPr>
        <w:tab/>
        <w:t>The total additional compensation to each QSE for emergency Settlement of Resources for the 15-minute Settlement Interval is calculated as follows:</w:t>
      </w:r>
    </w:p>
    <w:p w14:paraId="67BD0424" w14:textId="77777777" w:rsidR="00C236A2" w:rsidRPr="0013396E" w:rsidRDefault="00C236A2" w:rsidP="00C236A2">
      <w:pPr>
        <w:tabs>
          <w:tab w:val="left" w:pos="2340"/>
          <w:tab w:val="left" w:pos="3420"/>
        </w:tabs>
        <w:spacing w:before="240" w:after="240"/>
        <w:ind w:left="3420" w:hanging="2700"/>
        <w:rPr>
          <w:b/>
          <w:bCs/>
        </w:rPr>
      </w:pPr>
      <w:r w:rsidRPr="0013396E">
        <w:rPr>
          <w:b/>
          <w:bCs/>
        </w:rPr>
        <w:t xml:space="preserve">EMREAMTQSETOT </w:t>
      </w:r>
      <w:r w:rsidRPr="0013396E">
        <w:rPr>
          <w:b/>
          <w:bCs/>
          <w:i/>
          <w:vertAlign w:val="subscript"/>
        </w:rPr>
        <w:t>q</w:t>
      </w:r>
      <w:r w:rsidRPr="0013396E">
        <w:rPr>
          <w:b/>
          <w:bCs/>
        </w:rPr>
        <w:tab/>
        <w:t>=</w:t>
      </w:r>
      <w:r w:rsidRPr="0013396E">
        <w:rPr>
          <w:b/>
          <w:bCs/>
        </w:rPr>
        <w:tab/>
      </w:r>
      <w:r w:rsidRPr="0013396E">
        <w:rPr>
          <w:b/>
          <w:bCs/>
          <w:position w:val="-18"/>
        </w:rPr>
        <w:object w:dxaOrig="225" w:dyaOrig="420" w14:anchorId="181DFC0B">
          <v:shape id="_x0000_i1224" type="#_x0000_t75" style="width:12pt;height:24pt" o:ole="">
            <v:imagedata r:id="rId201" o:title=""/>
          </v:shape>
          <o:OLEObject Type="Embed" ProgID="Equation.3" ShapeID="_x0000_i1224" DrawAspect="Content" ObjectID="_1849065854" r:id="rId281"/>
        </w:object>
      </w:r>
      <w:r w:rsidRPr="0013396E">
        <w:rPr>
          <w:b/>
          <w:bCs/>
          <w:position w:val="-22"/>
        </w:rPr>
        <w:object w:dxaOrig="225" w:dyaOrig="465" w14:anchorId="515AEC37">
          <v:shape id="_x0000_i1225" type="#_x0000_t75" style="width:12pt;height:24pt" o:ole="">
            <v:imagedata r:id="rId142" o:title=""/>
          </v:shape>
          <o:OLEObject Type="Embed" ProgID="Equation.3" ShapeID="_x0000_i1225" DrawAspect="Content" ObjectID="_1849065855" r:id="rId282"/>
        </w:object>
      </w:r>
      <w:r w:rsidRPr="0013396E">
        <w:rPr>
          <w:b/>
          <w:bCs/>
        </w:rPr>
        <w:t xml:space="preserve">EMREAMT </w:t>
      </w:r>
      <w:r w:rsidRPr="0013396E">
        <w:rPr>
          <w:b/>
          <w:bCs/>
          <w:i/>
          <w:vertAlign w:val="subscript"/>
        </w:rPr>
        <w:t>q, r, p</w:t>
      </w:r>
    </w:p>
    <w:p w14:paraId="5954BE61" w14:textId="77777777" w:rsidR="00C236A2" w:rsidRPr="0013396E" w:rsidRDefault="00C236A2" w:rsidP="00C236A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7"/>
        <w:gridCol w:w="847"/>
        <w:gridCol w:w="6186"/>
      </w:tblGrid>
      <w:tr w:rsidR="00C236A2" w:rsidRPr="0013396E" w14:paraId="7377A515" w14:textId="77777777" w:rsidTr="0099759E">
        <w:trPr>
          <w:cantSplit/>
          <w:tblHeader/>
        </w:trPr>
        <w:tc>
          <w:tcPr>
            <w:tcW w:w="1239" w:type="pct"/>
          </w:tcPr>
          <w:p w14:paraId="23187F42" w14:textId="77777777" w:rsidR="00C236A2" w:rsidRPr="0013396E" w:rsidRDefault="00C236A2" w:rsidP="0099759E">
            <w:pPr>
              <w:spacing w:after="240"/>
              <w:rPr>
                <w:b/>
                <w:iCs/>
                <w:sz w:val="20"/>
              </w:rPr>
            </w:pPr>
            <w:r w:rsidRPr="0013396E">
              <w:rPr>
                <w:b/>
                <w:iCs/>
                <w:sz w:val="20"/>
              </w:rPr>
              <w:t>Variable</w:t>
            </w:r>
          </w:p>
        </w:tc>
        <w:tc>
          <w:tcPr>
            <w:tcW w:w="453" w:type="pct"/>
          </w:tcPr>
          <w:p w14:paraId="7DD6CFA7" w14:textId="77777777" w:rsidR="00C236A2" w:rsidRPr="0013396E" w:rsidRDefault="00C236A2" w:rsidP="0099759E">
            <w:pPr>
              <w:spacing w:after="240"/>
              <w:rPr>
                <w:b/>
                <w:iCs/>
                <w:sz w:val="20"/>
              </w:rPr>
            </w:pPr>
            <w:r w:rsidRPr="0013396E">
              <w:rPr>
                <w:b/>
                <w:iCs/>
                <w:sz w:val="20"/>
              </w:rPr>
              <w:t>Unit</w:t>
            </w:r>
          </w:p>
        </w:tc>
        <w:tc>
          <w:tcPr>
            <w:tcW w:w="3308" w:type="pct"/>
          </w:tcPr>
          <w:p w14:paraId="34E94137" w14:textId="77777777" w:rsidR="00C236A2" w:rsidRPr="0013396E" w:rsidRDefault="00C236A2" w:rsidP="0099759E">
            <w:pPr>
              <w:spacing w:after="240"/>
              <w:rPr>
                <w:b/>
                <w:iCs/>
                <w:sz w:val="20"/>
              </w:rPr>
            </w:pPr>
            <w:r w:rsidRPr="0013396E">
              <w:rPr>
                <w:b/>
                <w:iCs/>
                <w:sz w:val="20"/>
              </w:rPr>
              <w:t>Definition</w:t>
            </w:r>
          </w:p>
        </w:tc>
      </w:tr>
      <w:tr w:rsidR="00C236A2" w:rsidRPr="0013396E" w14:paraId="521EC0CE" w14:textId="77777777" w:rsidTr="0099759E">
        <w:trPr>
          <w:cantSplit/>
        </w:trPr>
        <w:tc>
          <w:tcPr>
            <w:tcW w:w="1239" w:type="pct"/>
          </w:tcPr>
          <w:p w14:paraId="5005091E" w14:textId="77777777" w:rsidR="00C236A2" w:rsidRPr="0013396E" w:rsidRDefault="00C236A2" w:rsidP="0099759E">
            <w:pPr>
              <w:spacing w:after="60"/>
              <w:rPr>
                <w:iCs/>
                <w:sz w:val="20"/>
              </w:rPr>
            </w:pPr>
            <w:r w:rsidRPr="0013396E">
              <w:rPr>
                <w:iCs/>
                <w:sz w:val="20"/>
              </w:rPr>
              <w:t xml:space="preserve">EMREAMTQSETOT </w:t>
            </w:r>
            <w:r w:rsidRPr="0013396E">
              <w:rPr>
                <w:i/>
                <w:iCs/>
                <w:sz w:val="20"/>
                <w:vertAlign w:val="subscript"/>
              </w:rPr>
              <w:t>q</w:t>
            </w:r>
          </w:p>
        </w:tc>
        <w:tc>
          <w:tcPr>
            <w:tcW w:w="453" w:type="pct"/>
          </w:tcPr>
          <w:p w14:paraId="6C3BB2B7" w14:textId="77777777" w:rsidR="00C236A2" w:rsidRPr="0013396E" w:rsidRDefault="00C236A2" w:rsidP="0099759E">
            <w:pPr>
              <w:spacing w:after="60"/>
              <w:rPr>
                <w:iCs/>
                <w:sz w:val="20"/>
              </w:rPr>
            </w:pPr>
            <w:r w:rsidRPr="0013396E">
              <w:rPr>
                <w:iCs/>
                <w:sz w:val="20"/>
              </w:rPr>
              <w:t>$</w:t>
            </w:r>
          </w:p>
        </w:tc>
        <w:tc>
          <w:tcPr>
            <w:tcW w:w="3308" w:type="pct"/>
          </w:tcPr>
          <w:p w14:paraId="4944091F" w14:textId="77777777" w:rsidR="00C236A2" w:rsidRPr="0013396E" w:rsidRDefault="00C236A2" w:rsidP="0099759E">
            <w:pPr>
              <w:spacing w:after="60"/>
              <w:rPr>
                <w:iCs/>
                <w:sz w:val="20"/>
              </w:rPr>
            </w:pPr>
            <w:r w:rsidRPr="0013396E">
              <w:rPr>
                <w:i/>
                <w:iCs/>
                <w:sz w:val="20"/>
              </w:rPr>
              <w:t>Emergency Energy Amount QSE Total per QSE</w:t>
            </w:r>
            <w:r w:rsidRPr="0013396E">
              <w:rPr>
                <w:iCs/>
                <w:sz w:val="20"/>
              </w:rPr>
              <w:sym w:font="Symbol" w:char="F0BE"/>
            </w:r>
            <w:r w:rsidRPr="0013396E">
              <w:rPr>
                <w:iCs/>
                <w:sz w:val="20"/>
              </w:rPr>
              <w:t xml:space="preserve">The total of the payments to QSE </w:t>
            </w:r>
            <w:r w:rsidRPr="0013396E">
              <w:rPr>
                <w:i/>
                <w:iCs/>
                <w:sz w:val="20"/>
              </w:rPr>
              <w:t>q</w:t>
            </w:r>
            <w:r w:rsidRPr="0013396E">
              <w:rPr>
                <w:iCs/>
                <w:sz w:val="20"/>
              </w:rPr>
              <w:t xml:space="preserve"> as additional compensation for additional energy or Ancillary Services of the Resources represented by this QSE for the 15-minute Settlement Interval.</w:t>
            </w:r>
          </w:p>
        </w:tc>
      </w:tr>
      <w:tr w:rsidR="00C236A2" w:rsidRPr="0013396E" w14:paraId="68F3E527" w14:textId="77777777" w:rsidTr="0099759E">
        <w:trPr>
          <w:cantSplit/>
        </w:trPr>
        <w:tc>
          <w:tcPr>
            <w:tcW w:w="1239" w:type="pct"/>
          </w:tcPr>
          <w:p w14:paraId="00D770D0" w14:textId="77777777" w:rsidR="00C236A2" w:rsidRPr="0013396E" w:rsidRDefault="00C236A2" w:rsidP="0099759E">
            <w:pPr>
              <w:spacing w:after="60"/>
              <w:rPr>
                <w:iCs/>
                <w:sz w:val="20"/>
              </w:rPr>
            </w:pPr>
            <w:r w:rsidRPr="0013396E">
              <w:rPr>
                <w:iCs/>
                <w:sz w:val="20"/>
              </w:rPr>
              <w:t xml:space="preserve">EMREAMT </w:t>
            </w:r>
            <w:r w:rsidRPr="0013396E">
              <w:rPr>
                <w:i/>
                <w:iCs/>
                <w:sz w:val="20"/>
                <w:vertAlign w:val="subscript"/>
              </w:rPr>
              <w:t>q, r, p</w:t>
            </w:r>
          </w:p>
        </w:tc>
        <w:tc>
          <w:tcPr>
            <w:tcW w:w="453" w:type="pct"/>
          </w:tcPr>
          <w:p w14:paraId="640F8419" w14:textId="77777777" w:rsidR="00C236A2" w:rsidRPr="0013396E" w:rsidRDefault="00C236A2" w:rsidP="0099759E">
            <w:pPr>
              <w:spacing w:after="60"/>
              <w:rPr>
                <w:iCs/>
                <w:sz w:val="20"/>
              </w:rPr>
            </w:pPr>
            <w:r w:rsidRPr="0013396E">
              <w:rPr>
                <w:iCs/>
                <w:sz w:val="20"/>
              </w:rPr>
              <w:t>$</w:t>
            </w:r>
          </w:p>
        </w:tc>
        <w:tc>
          <w:tcPr>
            <w:tcW w:w="3308" w:type="pct"/>
          </w:tcPr>
          <w:p w14:paraId="424B9730" w14:textId="77777777" w:rsidR="00C236A2" w:rsidRPr="0013396E" w:rsidRDefault="00C236A2" w:rsidP="0099759E">
            <w:pPr>
              <w:spacing w:after="60"/>
              <w:rPr>
                <w:iCs/>
                <w:sz w:val="20"/>
              </w:rPr>
            </w:pPr>
            <w:r w:rsidRPr="0013396E">
              <w:rPr>
                <w:i/>
                <w:iCs/>
                <w:sz w:val="20"/>
              </w:rPr>
              <w:t>Emergency Energy Amount per QSE per Settlement Point per Resource</w:t>
            </w:r>
            <w:r w:rsidRPr="0013396E">
              <w:rPr>
                <w:iCs/>
                <w:sz w:val="20"/>
              </w:rPr>
              <w:t xml:space="preserve">—The payment to QSE </w:t>
            </w:r>
            <w:r w:rsidRPr="0013396E">
              <w:rPr>
                <w:i/>
                <w:iCs/>
                <w:sz w:val="20"/>
              </w:rPr>
              <w:t>q</w:t>
            </w:r>
            <w:r w:rsidRPr="0013396E">
              <w:rPr>
                <w:iCs/>
                <w:sz w:val="20"/>
              </w:rPr>
              <w:t xml:space="preserve"> as additional compensation for the additional energy or Ancillary Services produced or consumed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in Real-Time during the Emergency Condition or Watch, for the 15-minute Settlement Interval.  Where for a Combined Cycle Train, the Resource </w:t>
            </w:r>
            <w:r w:rsidRPr="0013396E">
              <w:rPr>
                <w:i/>
                <w:iCs/>
                <w:sz w:val="20"/>
              </w:rPr>
              <w:t xml:space="preserve">r </w:t>
            </w:r>
            <w:r w:rsidRPr="0013396E">
              <w:rPr>
                <w:iCs/>
                <w:sz w:val="20"/>
              </w:rPr>
              <w:t>is the Combined Cycle Train.</w:t>
            </w:r>
          </w:p>
        </w:tc>
      </w:tr>
      <w:tr w:rsidR="00C236A2" w:rsidRPr="0013396E" w14:paraId="221300DF" w14:textId="77777777" w:rsidTr="0099759E">
        <w:trPr>
          <w:cantSplit/>
        </w:trPr>
        <w:tc>
          <w:tcPr>
            <w:tcW w:w="1239" w:type="pct"/>
            <w:tcBorders>
              <w:top w:val="single" w:sz="4" w:space="0" w:color="auto"/>
              <w:left w:val="single" w:sz="4" w:space="0" w:color="auto"/>
              <w:bottom w:val="single" w:sz="4" w:space="0" w:color="auto"/>
              <w:right w:val="single" w:sz="4" w:space="0" w:color="auto"/>
            </w:tcBorders>
          </w:tcPr>
          <w:p w14:paraId="6FAAE567" w14:textId="77777777" w:rsidR="00C236A2" w:rsidRPr="0013396E" w:rsidRDefault="00C236A2" w:rsidP="0099759E">
            <w:pPr>
              <w:spacing w:after="60"/>
              <w:rPr>
                <w:i/>
                <w:iCs/>
                <w:sz w:val="20"/>
              </w:rPr>
            </w:pPr>
            <w:r w:rsidRPr="0013396E">
              <w:rPr>
                <w:i/>
                <w:iCs/>
                <w:sz w:val="20"/>
              </w:rPr>
              <w:t>q</w:t>
            </w:r>
          </w:p>
        </w:tc>
        <w:tc>
          <w:tcPr>
            <w:tcW w:w="453" w:type="pct"/>
            <w:tcBorders>
              <w:top w:val="single" w:sz="4" w:space="0" w:color="auto"/>
              <w:left w:val="single" w:sz="4" w:space="0" w:color="auto"/>
              <w:bottom w:val="single" w:sz="4" w:space="0" w:color="auto"/>
              <w:right w:val="single" w:sz="4" w:space="0" w:color="auto"/>
            </w:tcBorders>
          </w:tcPr>
          <w:p w14:paraId="0A2F9143" w14:textId="77777777" w:rsidR="00C236A2" w:rsidRPr="0013396E" w:rsidRDefault="00C236A2" w:rsidP="0099759E">
            <w:pPr>
              <w:spacing w:after="60"/>
              <w:rPr>
                <w:iCs/>
                <w:sz w:val="20"/>
              </w:rPr>
            </w:pPr>
            <w:r w:rsidRPr="0013396E">
              <w:rPr>
                <w:iCs/>
                <w:sz w:val="20"/>
              </w:rPr>
              <w:t>none</w:t>
            </w:r>
          </w:p>
        </w:tc>
        <w:tc>
          <w:tcPr>
            <w:tcW w:w="3308" w:type="pct"/>
            <w:tcBorders>
              <w:top w:val="single" w:sz="4" w:space="0" w:color="auto"/>
              <w:left w:val="single" w:sz="4" w:space="0" w:color="auto"/>
              <w:bottom w:val="single" w:sz="4" w:space="0" w:color="auto"/>
              <w:right w:val="single" w:sz="4" w:space="0" w:color="auto"/>
            </w:tcBorders>
          </w:tcPr>
          <w:p w14:paraId="5DE48018" w14:textId="77777777" w:rsidR="00C236A2" w:rsidRPr="0013396E" w:rsidRDefault="00C236A2" w:rsidP="0099759E">
            <w:pPr>
              <w:spacing w:after="60"/>
              <w:rPr>
                <w:iCs/>
                <w:sz w:val="20"/>
              </w:rPr>
            </w:pPr>
            <w:r w:rsidRPr="0013396E">
              <w:rPr>
                <w:iCs/>
                <w:sz w:val="20"/>
              </w:rPr>
              <w:t>A QSE.</w:t>
            </w:r>
          </w:p>
        </w:tc>
      </w:tr>
      <w:tr w:rsidR="00C236A2" w:rsidRPr="0013396E" w14:paraId="04C48DED" w14:textId="77777777" w:rsidTr="0099759E">
        <w:trPr>
          <w:cantSplit/>
        </w:trPr>
        <w:tc>
          <w:tcPr>
            <w:tcW w:w="1239" w:type="pct"/>
            <w:tcBorders>
              <w:top w:val="single" w:sz="4" w:space="0" w:color="auto"/>
              <w:left w:val="single" w:sz="4" w:space="0" w:color="auto"/>
              <w:bottom w:val="single" w:sz="4" w:space="0" w:color="auto"/>
              <w:right w:val="single" w:sz="4" w:space="0" w:color="auto"/>
            </w:tcBorders>
          </w:tcPr>
          <w:p w14:paraId="4E1530EB" w14:textId="77777777" w:rsidR="00C236A2" w:rsidRPr="0013396E" w:rsidRDefault="00C236A2" w:rsidP="0099759E">
            <w:pPr>
              <w:spacing w:after="60"/>
              <w:rPr>
                <w:i/>
                <w:iCs/>
                <w:sz w:val="20"/>
              </w:rPr>
            </w:pPr>
            <w:r w:rsidRPr="0013396E">
              <w:rPr>
                <w:i/>
                <w:iCs/>
                <w:sz w:val="20"/>
              </w:rPr>
              <w:t>p</w:t>
            </w:r>
          </w:p>
        </w:tc>
        <w:tc>
          <w:tcPr>
            <w:tcW w:w="453" w:type="pct"/>
            <w:tcBorders>
              <w:top w:val="single" w:sz="4" w:space="0" w:color="auto"/>
              <w:left w:val="single" w:sz="4" w:space="0" w:color="auto"/>
              <w:bottom w:val="single" w:sz="4" w:space="0" w:color="auto"/>
              <w:right w:val="single" w:sz="4" w:space="0" w:color="auto"/>
            </w:tcBorders>
          </w:tcPr>
          <w:p w14:paraId="1E029345" w14:textId="77777777" w:rsidR="00C236A2" w:rsidRPr="0013396E" w:rsidRDefault="00C236A2" w:rsidP="0099759E">
            <w:pPr>
              <w:spacing w:after="60"/>
              <w:rPr>
                <w:iCs/>
                <w:sz w:val="20"/>
              </w:rPr>
            </w:pPr>
            <w:r w:rsidRPr="0013396E">
              <w:rPr>
                <w:iCs/>
                <w:sz w:val="20"/>
              </w:rPr>
              <w:t>none</w:t>
            </w:r>
          </w:p>
        </w:tc>
        <w:tc>
          <w:tcPr>
            <w:tcW w:w="3308" w:type="pct"/>
            <w:tcBorders>
              <w:top w:val="single" w:sz="4" w:space="0" w:color="auto"/>
              <w:left w:val="single" w:sz="4" w:space="0" w:color="auto"/>
              <w:bottom w:val="single" w:sz="4" w:space="0" w:color="auto"/>
              <w:right w:val="single" w:sz="4" w:space="0" w:color="auto"/>
            </w:tcBorders>
          </w:tcPr>
          <w:p w14:paraId="63D8871F" w14:textId="77777777" w:rsidR="00C236A2" w:rsidRPr="0013396E" w:rsidRDefault="00C236A2" w:rsidP="0099759E">
            <w:pPr>
              <w:spacing w:after="60"/>
              <w:rPr>
                <w:iCs/>
                <w:sz w:val="20"/>
              </w:rPr>
            </w:pPr>
            <w:r w:rsidRPr="0013396E">
              <w:rPr>
                <w:iCs/>
                <w:sz w:val="20"/>
              </w:rPr>
              <w:t>A Resource Node Settlement Point.</w:t>
            </w:r>
          </w:p>
        </w:tc>
      </w:tr>
      <w:tr w:rsidR="00C236A2" w:rsidRPr="0013396E" w14:paraId="2AA46BBF" w14:textId="77777777" w:rsidTr="0099759E">
        <w:trPr>
          <w:cantSplit/>
        </w:trPr>
        <w:tc>
          <w:tcPr>
            <w:tcW w:w="1239" w:type="pct"/>
            <w:tcBorders>
              <w:top w:val="single" w:sz="4" w:space="0" w:color="auto"/>
              <w:left w:val="single" w:sz="4" w:space="0" w:color="auto"/>
              <w:bottom w:val="single" w:sz="4" w:space="0" w:color="auto"/>
              <w:right w:val="single" w:sz="4" w:space="0" w:color="auto"/>
            </w:tcBorders>
          </w:tcPr>
          <w:p w14:paraId="03857287" w14:textId="77777777" w:rsidR="00C236A2" w:rsidRPr="0013396E" w:rsidRDefault="00C236A2" w:rsidP="0099759E">
            <w:pPr>
              <w:spacing w:after="60"/>
              <w:rPr>
                <w:i/>
                <w:iCs/>
                <w:sz w:val="20"/>
              </w:rPr>
            </w:pPr>
            <w:r w:rsidRPr="0013396E">
              <w:rPr>
                <w:i/>
                <w:iCs/>
                <w:sz w:val="20"/>
              </w:rPr>
              <w:t>r</w:t>
            </w:r>
          </w:p>
        </w:tc>
        <w:tc>
          <w:tcPr>
            <w:tcW w:w="453" w:type="pct"/>
            <w:tcBorders>
              <w:top w:val="single" w:sz="4" w:space="0" w:color="auto"/>
              <w:left w:val="single" w:sz="4" w:space="0" w:color="auto"/>
              <w:bottom w:val="single" w:sz="4" w:space="0" w:color="auto"/>
              <w:right w:val="single" w:sz="4" w:space="0" w:color="auto"/>
            </w:tcBorders>
          </w:tcPr>
          <w:p w14:paraId="318745B7" w14:textId="77777777" w:rsidR="00C236A2" w:rsidRPr="0013396E" w:rsidRDefault="00C236A2" w:rsidP="0099759E">
            <w:pPr>
              <w:spacing w:after="60"/>
              <w:rPr>
                <w:iCs/>
                <w:sz w:val="20"/>
              </w:rPr>
            </w:pPr>
            <w:r w:rsidRPr="0013396E">
              <w:rPr>
                <w:iCs/>
                <w:sz w:val="20"/>
              </w:rPr>
              <w:t>none</w:t>
            </w:r>
          </w:p>
        </w:tc>
        <w:tc>
          <w:tcPr>
            <w:tcW w:w="3308" w:type="pct"/>
            <w:tcBorders>
              <w:top w:val="single" w:sz="4" w:space="0" w:color="auto"/>
              <w:left w:val="single" w:sz="4" w:space="0" w:color="auto"/>
              <w:bottom w:val="single" w:sz="4" w:space="0" w:color="auto"/>
              <w:right w:val="single" w:sz="4" w:space="0" w:color="auto"/>
            </w:tcBorders>
          </w:tcPr>
          <w:p w14:paraId="2D8A3873" w14:textId="77777777" w:rsidR="00C236A2" w:rsidRPr="0013396E" w:rsidRDefault="00C236A2" w:rsidP="0099759E">
            <w:pPr>
              <w:spacing w:after="60"/>
              <w:rPr>
                <w:iCs/>
                <w:sz w:val="20"/>
              </w:rPr>
            </w:pPr>
            <w:r w:rsidRPr="0013396E">
              <w:rPr>
                <w:iCs/>
                <w:sz w:val="20"/>
              </w:rPr>
              <w:t>A Generation Resource or ESR.</w:t>
            </w:r>
          </w:p>
        </w:tc>
      </w:tr>
    </w:tbl>
    <w:p w14:paraId="6D2932EA" w14:textId="77777777" w:rsidR="001F04FD" w:rsidRPr="0013396E" w:rsidRDefault="001F04FD" w:rsidP="001F04FD">
      <w:bookmarkStart w:id="2123" w:name="_Toc109009420"/>
      <w:bookmarkStart w:id="2124" w:name="_Toc87951816"/>
    </w:p>
    <w:p w14:paraId="055512FC" w14:textId="77777777" w:rsidR="00C236A2" w:rsidRPr="0013396E" w:rsidRDefault="00C236A2" w:rsidP="00C236A2">
      <w:pPr>
        <w:keepNext/>
        <w:widowControl w:val="0"/>
        <w:tabs>
          <w:tab w:val="left" w:pos="1260"/>
        </w:tabs>
        <w:spacing w:before="240" w:after="240"/>
        <w:ind w:left="1260" w:hanging="1260"/>
        <w:outlineLvl w:val="3"/>
        <w:rPr>
          <w:b/>
          <w:bCs/>
          <w:snapToGrid w:val="0"/>
        </w:rPr>
      </w:pPr>
      <w:bookmarkStart w:id="2125" w:name="_Toc236220225"/>
      <w:bookmarkStart w:id="2126" w:name="_Toc397505040"/>
      <w:bookmarkStart w:id="2127" w:name="_Toc402357172"/>
      <w:bookmarkStart w:id="2128" w:name="_Toc422486552"/>
      <w:bookmarkStart w:id="2129" w:name="_Toc433093405"/>
      <w:bookmarkStart w:id="2130" w:name="_Toc433093563"/>
      <w:bookmarkStart w:id="2131" w:name="_Toc440874793"/>
      <w:bookmarkStart w:id="2132" w:name="_Toc448142350"/>
      <w:bookmarkStart w:id="2133" w:name="_Toc448142507"/>
      <w:bookmarkStart w:id="2134" w:name="_Toc458770348"/>
      <w:bookmarkStart w:id="2135" w:name="_Toc459294316"/>
      <w:bookmarkStart w:id="2136" w:name="_Toc463262810"/>
      <w:bookmarkStart w:id="2137" w:name="_Toc468286883"/>
      <w:bookmarkStart w:id="2138" w:name="_Toc481502923"/>
      <w:bookmarkStart w:id="2139" w:name="_Toc496080091"/>
      <w:r w:rsidRPr="0013396E">
        <w:rPr>
          <w:b/>
          <w:bCs/>
          <w:snapToGrid w:val="0"/>
        </w:rPr>
        <w:t>6.6.9.2</w:t>
      </w:r>
      <w:r w:rsidRPr="0013396E">
        <w:rPr>
          <w:b/>
          <w:bCs/>
          <w:snapToGrid w:val="0"/>
        </w:rPr>
        <w:tab/>
        <w:t>Charge for Emergency Operations Settlement</w:t>
      </w:r>
      <w:bookmarkEnd w:id="2125"/>
      <w:r w:rsidRPr="0013396E">
        <w:rPr>
          <w:b/>
          <w:bCs/>
          <w:snapToGrid w:val="0"/>
        </w:rPr>
        <w:t xml:space="preserve"> </w:t>
      </w:r>
    </w:p>
    <w:p w14:paraId="2BC5F988" w14:textId="77777777" w:rsidR="00C236A2" w:rsidRPr="0013396E" w:rsidRDefault="00C236A2" w:rsidP="00C236A2">
      <w:pPr>
        <w:spacing w:after="240"/>
        <w:ind w:left="720" w:hanging="720"/>
        <w:rPr>
          <w:iCs/>
        </w:rPr>
      </w:pPr>
      <w:r w:rsidRPr="0013396E">
        <w:rPr>
          <w:iCs/>
        </w:rPr>
        <w:t>(1)</w:t>
      </w:r>
      <w:r w:rsidRPr="0013396E">
        <w:rPr>
          <w:iCs/>
        </w:rPr>
        <w:tab/>
        <w:t>The total cost for additional compensation for emergency Settlement as calculated in Section 6.6.9.1, Payment for Emergency Operations Settlement, is allocated to the QSEs representing Loads based on LRS.  The charge to each QSE for a given 15-minute Settlement Interval is calculated as follows:</w:t>
      </w:r>
    </w:p>
    <w:p w14:paraId="6502A1C8" w14:textId="77777777" w:rsidR="00C236A2" w:rsidRPr="0013396E" w:rsidRDefault="00C236A2" w:rsidP="00C236A2">
      <w:pPr>
        <w:tabs>
          <w:tab w:val="left" w:pos="2340"/>
          <w:tab w:val="left" w:pos="3420"/>
        </w:tabs>
        <w:spacing w:before="240" w:after="240"/>
        <w:ind w:left="3420" w:hanging="2700"/>
        <w:rPr>
          <w:b/>
          <w:bCs/>
        </w:rPr>
      </w:pPr>
      <w:r w:rsidRPr="0013396E">
        <w:rPr>
          <w:b/>
          <w:bCs/>
        </w:rPr>
        <w:t xml:space="preserve">LAEMREAMT </w:t>
      </w:r>
      <w:r w:rsidRPr="0013396E">
        <w:rPr>
          <w:b/>
          <w:bCs/>
          <w:i/>
          <w:vertAlign w:val="subscript"/>
        </w:rPr>
        <w:t>q</w:t>
      </w:r>
      <w:r w:rsidRPr="0013396E">
        <w:rPr>
          <w:b/>
          <w:bCs/>
        </w:rPr>
        <w:tab/>
        <w:t>=</w:t>
      </w:r>
      <w:r w:rsidRPr="0013396E">
        <w:rPr>
          <w:b/>
          <w:bCs/>
        </w:rPr>
        <w:tab/>
        <w:t xml:space="preserve">(-1) * EMREAMTTOT * LRS </w:t>
      </w:r>
      <w:r w:rsidRPr="0013396E">
        <w:rPr>
          <w:b/>
          <w:bCs/>
          <w:i/>
          <w:vertAlign w:val="subscript"/>
        </w:rPr>
        <w:t>q</w:t>
      </w:r>
    </w:p>
    <w:p w14:paraId="31056B85" w14:textId="77777777" w:rsidR="00C236A2" w:rsidRPr="0013396E" w:rsidRDefault="00C236A2" w:rsidP="00C236A2">
      <w:pPr>
        <w:spacing w:after="240"/>
      </w:pPr>
      <w:r w:rsidRPr="0013396E">
        <w:t>Where:</w:t>
      </w:r>
    </w:p>
    <w:p w14:paraId="37FA9C71" w14:textId="77777777" w:rsidR="00C236A2" w:rsidRPr="0013396E" w:rsidRDefault="00C236A2" w:rsidP="00C236A2">
      <w:pPr>
        <w:tabs>
          <w:tab w:val="left" w:pos="2340"/>
          <w:tab w:val="left" w:pos="2880"/>
        </w:tabs>
        <w:spacing w:after="240"/>
        <w:ind w:left="987" w:hanging="269"/>
        <w:rPr>
          <w:bCs/>
        </w:rPr>
      </w:pPr>
      <w:r w:rsidRPr="0013396E">
        <w:rPr>
          <w:bCs/>
        </w:rPr>
        <w:t>EMREAMTTOT</w:t>
      </w:r>
      <w:r w:rsidRPr="0013396E">
        <w:rPr>
          <w:bCs/>
        </w:rPr>
        <w:tab/>
        <w:t>=</w:t>
      </w:r>
      <w:r w:rsidRPr="0013396E">
        <w:rPr>
          <w:bCs/>
        </w:rPr>
        <w:tab/>
      </w:r>
      <w:r w:rsidRPr="0013396E">
        <w:rPr>
          <w:bCs/>
          <w:position w:val="-22"/>
        </w:rPr>
        <w:object w:dxaOrig="210" w:dyaOrig="465" w14:anchorId="6B3C59FC">
          <v:shape id="_x0000_i1226" type="#_x0000_t75" style="width:6pt;height:24pt" o:ole="">
            <v:imagedata r:id="rId283" o:title=""/>
          </v:shape>
          <o:OLEObject Type="Embed" ProgID="Equation.3" ShapeID="_x0000_i1226" DrawAspect="Content" ObjectID="_1849065856" r:id="rId284"/>
        </w:object>
      </w:r>
      <w:r w:rsidRPr="0013396E">
        <w:rPr>
          <w:bCs/>
        </w:rPr>
        <w:t xml:space="preserve">EMREAMTQSETOT </w:t>
      </w:r>
      <w:r w:rsidRPr="0013396E">
        <w:rPr>
          <w:bCs/>
          <w:i/>
          <w:vertAlign w:val="subscript"/>
        </w:rPr>
        <w:t>q</w:t>
      </w:r>
    </w:p>
    <w:p w14:paraId="24506DB3" w14:textId="77777777" w:rsidR="00C236A2" w:rsidRPr="0013396E" w:rsidRDefault="00C236A2" w:rsidP="00C236A2">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605"/>
        <w:gridCol w:w="6508"/>
      </w:tblGrid>
      <w:tr w:rsidR="00C236A2" w:rsidRPr="0013396E" w14:paraId="173AB56B" w14:textId="77777777" w:rsidTr="0099759E">
        <w:trPr>
          <w:tblHeader/>
        </w:trPr>
        <w:tc>
          <w:tcPr>
            <w:tcW w:w="1203" w:type="pct"/>
          </w:tcPr>
          <w:p w14:paraId="3C8D2CEA" w14:textId="77777777" w:rsidR="00C236A2" w:rsidRPr="0013396E" w:rsidRDefault="00C236A2" w:rsidP="0099759E">
            <w:pPr>
              <w:spacing w:after="240"/>
              <w:rPr>
                <w:b/>
                <w:iCs/>
                <w:sz w:val="20"/>
              </w:rPr>
            </w:pPr>
            <w:r w:rsidRPr="0013396E">
              <w:rPr>
                <w:b/>
                <w:iCs/>
                <w:sz w:val="20"/>
              </w:rPr>
              <w:t>Variable</w:t>
            </w:r>
          </w:p>
        </w:tc>
        <w:tc>
          <w:tcPr>
            <w:tcW w:w="310" w:type="pct"/>
          </w:tcPr>
          <w:p w14:paraId="0F00F264" w14:textId="77777777" w:rsidR="00C236A2" w:rsidRPr="0013396E" w:rsidRDefault="00C236A2" w:rsidP="0099759E">
            <w:pPr>
              <w:spacing w:after="240"/>
              <w:rPr>
                <w:b/>
                <w:iCs/>
                <w:sz w:val="20"/>
              </w:rPr>
            </w:pPr>
            <w:r w:rsidRPr="0013396E">
              <w:rPr>
                <w:b/>
                <w:iCs/>
                <w:sz w:val="20"/>
              </w:rPr>
              <w:t>Unit</w:t>
            </w:r>
          </w:p>
        </w:tc>
        <w:tc>
          <w:tcPr>
            <w:tcW w:w="3487" w:type="pct"/>
          </w:tcPr>
          <w:p w14:paraId="325F9097" w14:textId="77777777" w:rsidR="00C236A2" w:rsidRPr="0013396E" w:rsidRDefault="00C236A2" w:rsidP="0099759E">
            <w:pPr>
              <w:spacing w:after="240"/>
              <w:rPr>
                <w:b/>
                <w:iCs/>
                <w:sz w:val="20"/>
              </w:rPr>
            </w:pPr>
            <w:r w:rsidRPr="0013396E">
              <w:rPr>
                <w:b/>
                <w:iCs/>
                <w:sz w:val="20"/>
              </w:rPr>
              <w:t>Definition</w:t>
            </w:r>
          </w:p>
        </w:tc>
      </w:tr>
      <w:tr w:rsidR="00C236A2" w:rsidRPr="0013396E" w14:paraId="43B27B39" w14:textId="77777777" w:rsidTr="0099759E">
        <w:tc>
          <w:tcPr>
            <w:tcW w:w="1203" w:type="pct"/>
          </w:tcPr>
          <w:p w14:paraId="424E8511" w14:textId="77777777" w:rsidR="00C236A2" w:rsidRPr="0013396E" w:rsidRDefault="00C236A2" w:rsidP="0099759E">
            <w:pPr>
              <w:spacing w:after="60"/>
              <w:rPr>
                <w:iCs/>
                <w:sz w:val="20"/>
              </w:rPr>
            </w:pPr>
            <w:r w:rsidRPr="0013396E">
              <w:rPr>
                <w:iCs/>
                <w:sz w:val="20"/>
              </w:rPr>
              <w:t xml:space="preserve">LAEMREAMT </w:t>
            </w:r>
            <w:r w:rsidRPr="0013396E">
              <w:rPr>
                <w:i/>
                <w:iCs/>
                <w:sz w:val="20"/>
                <w:vertAlign w:val="subscript"/>
              </w:rPr>
              <w:t>q</w:t>
            </w:r>
          </w:p>
        </w:tc>
        <w:tc>
          <w:tcPr>
            <w:tcW w:w="310" w:type="pct"/>
          </w:tcPr>
          <w:p w14:paraId="5953A3AF" w14:textId="77777777" w:rsidR="00C236A2" w:rsidRPr="0013396E" w:rsidRDefault="00C236A2" w:rsidP="0099759E">
            <w:pPr>
              <w:spacing w:after="60"/>
              <w:rPr>
                <w:iCs/>
                <w:sz w:val="20"/>
              </w:rPr>
            </w:pPr>
            <w:r w:rsidRPr="0013396E">
              <w:rPr>
                <w:iCs/>
                <w:sz w:val="20"/>
              </w:rPr>
              <w:t>$</w:t>
            </w:r>
          </w:p>
        </w:tc>
        <w:tc>
          <w:tcPr>
            <w:tcW w:w="3487" w:type="pct"/>
          </w:tcPr>
          <w:p w14:paraId="78BB477D" w14:textId="77777777" w:rsidR="00C236A2" w:rsidRPr="0013396E" w:rsidRDefault="00C236A2" w:rsidP="0099759E">
            <w:pPr>
              <w:spacing w:after="60"/>
              <w:rPr>
                <w:iCs/>
                <w:sz w:val="20"/>
              </w:rPr>
            </w:pPr>
            <w:r w:rsidRPr="0013396E">
              <w:rPr>
                <w:i/>
                <w:iCs/>
                <w:sz w:val="20"/>
              </w:rPr>
              <w:t>Load-Allocated Emergency Energy Amount per QSE</w:t>
            </w:r>
            <w:r w:rsidRPr="0013396E">
              <w:rPr>
                <w:iCs/>
                <w:sz w:val="20"/>
              </w:rPr>
              <w:t xml:space="preserve">—The QSE </w:t>
            </w:r>
            <w:r w:rsidRPr="0013396E">
              <w:rPr>
                <w:i/>
                <w:iCs/>
                <w:sz w:val="20"/>
              </w:rPr>
              <w:t>q</w:t>
            </w:r>
            <w:r w:rsidRPr="0013396E">
              <w:rPr>
                <w:iCs/>
                <w:sz w:val="20"/>
              </w:rPr>
              <w:t>’s Load-allocated amount of the total payments for all the Resources with Real-Time Emergency Base Points, for the 15-minute Settlement Interval.</w:t>
            </w:r>
          </w:p>
        </w:tc>
      </w:tr>
      <w:tr w:rsidR="00C236A2" w:rsidRPr="0013396E" w14:paraId="2729CFFE" w14:textId="77777777" w:rsidTr="0099759E">
        <w:tc>
          <w:tcPr>
            <w:tcW w:w="1203" w:type="pct"/>
          </w:tcPr>
          <w:p w14:paraId="312E1A71" w14:textId="77777777" w:rsidR="00C236A2" w:rsidRPr="0013396E" w:rsidRDefault="00C236A2" w:rsidP="0099759E">
            <w:pPr>
              <w:spacing w:after="60"/>
              <w:rPr>
                <w:iCs/>
                <w:sz w:val="20"/>
              </w:rPr>
            </w:pPr>
            <w:r w:rsidRPr="0013396E">
              <w:rPr>
                <w:iCs/>
                <w:sz w:val="20"/>
              </w:rPr>
              <w:t>EMREAMTTOT</w:t>
            </w:r>
          </w:p>
        </w:tc>
        <w:tc>
          <w:tcPr>
            <w:tcW w:w="310" w:type="pct"/>
          </w:tcPr>
          <w:p w14:paraId="50B927A2" w14:textId="77777777" w:rsidR="00C236A2" w:rsidRPr="0013396E" w:rsidRDefault="00C236A2" w:rsidP="0099759E">
            <w:pPr>
              <w:spacing w:after="60"/>
              <w:rPr>
                <w:iCs/>
                <w:sz w:val="20"/>
              </w:rPr>
            </w:pPr>
            <w:r w:rsidRPr="0013396E">
              <w:rPr>
                <w:iCs/>
                <w:sz w:val="20"/>
              </w:rPr>
              <w:t>$</w:t>
            </w:r>
          </w:p>
        </w:tc>
        <w:tc>
          <w:tcPr>
            <w:tcW w:w="3487" w:type="pct"/>
          </w:tcPr>
          <w:p w14:paraId="6A324FBC" w14:textId="77777777" w:rsidR="00C236A2" w:rsidRPr="0013396E" w:rsidRDefault="00C236A2" w:rsidP="0099759E">
            <w:pPr>
              <w:spacing w:after="60"/>
              <w:rPr>
                <w:iCs/>
                <w:sz w:val="20"/>
              </w:rPr>
            </w:pPr>
            <w:r w:rsidRPr="0013396E">
              <w:rPr>
                <w:i/>
                <w:iCs/>
                <w:sz w:val="20"/>
              </w:rPr>
              <w:t>Emergency Energy Amount Total</w:t>
            </w:r>
            <w:r w:rsidRPr="0013396E">
              <w:rPr>
                <w:iCs/>
                <w:sz w:val="20"/>
              </w:rPr>
              <w:sym w:font="Symbol" w:char="F0BE"/>
            </w:r>
            <w:r w:rsidRPr="0013396E">
              <w:rPr>
                <w:iCs/>
                <w:sz w:val="20"/>
              </w:rPr>
              <w:t>The total of the payments to all QSEs as additional compensation for additional energy or Ancillary Services of the Resources for the 15-minute Settlement Interval.</w:t>
            </w:r>
          </w:p>
        </w:tc>
      </w:tr>
      <w:tr w:rsidR="00C236A2" w:rsidRPr="0013396E" w14:paraId="466220D1" w14:textId="77777777" w:rsidTr="0099759E">
        <w:tc>
          <w:tcPr>
            <w:tcW w:w="1203" w:type="pct"/>
          </w:tcPr>
          <w:p w14:paraId="0A1CFDF2" w14:textId="77777777" w:rsidR="00C236A2" w:rsidRPr="0013396E" w:rsidRDefault="00C236A2" w:rsidP="0099759E">
            <w:pPr>
              <w:spacing w:after="60"/>
              <w:rPr>
                <w:iCs/>
                <w:sz w:val="20"/>
              </w:rPr>
            </w:pPr>
            <w:r w:rsidRPr="0013396E">
              <w:rPr>
                <w:iCs/>
                <w:sz w:val="20"/>
              </w:rPr>
              <w:t xml:space="preserve">EMREAMTQSETOT </w:t>
            </w:r>
            <w:r w:rsidRPr="0013396E">
              <w:rPr>
                <w:i/>
                <w:iCs/>
                <w:sz w:val="20"/>
                <w:vertAlign w:val="subscript"/>
              </w:rPr>
              <w:t>q</w:t>
            </w:r>
          </w:p>
        </w:tc>
        <w:tc>
          <w:tcPr>
            <w:tcW w:w="310" w:type="pct"/>
          </w:tcPr>
          <w:p w14:paraId="1546E902" w14:textId="77777777" w:rsidR="00C236A2" w:rsidRPr="0013396E" w:rsidRDefault="00C236A2" w:rsidP="0099759E">
            <w:pPr>
              <w:spacing w:after="60"/>
              <w:rPr>
                <w:iCs/>
                <w:sz w:val="20"/>
              </w:rPr>
            </w:pPr>
            <w:r w:rsidRPr="0013396E">
              <w:rPr>
                <w:iCs/>
                <w:sz w:val="20"/>
              </w:rPr>
              <w:t>$</w:t>
            </w:r>
          </w:p>
        </w:tc>
        <w:tc>
          <w:tcPr>
            <w:tcW w:w="3487" w:type="pct"/>
          </w:tcPr>
          <w:p w14:paraId="5C65BF20" w14:textId="77777777" w:rsidR="00C236A2" w:rsidRPr="0013396E" w:rsidRDefault="00C236A2" w:rsidP="0099759E">
            <w:pPr>
              <w:spacing w:after="60"/>
              <w:rPr>
                <w:iCs/>
                <w:sz w:val="20"/>
              </w:rPr>
            </w:pPr>
            <w:r w:rsidRPr="0013396E">
              <w:rPr>
                <w:i/>
                <w:iCs/>
                <w:sz w:val="20"/>
              </w:rPr>
              <w:t>Emergency Energy Amount QSE Total per QSE</w:t>
            </w:r>
            <w:r w:rsidRPr="0013396E">
              <w:rPr>
                <w:iCs/>
                <w:sz w:val="20"/>
              </w:rPr>
              <w:sym w:font="Symbol" w:char="F0BE"/>
            </w:r>
            <w:r w:rsidRPr="0013396E">
              <w:rPr>
                <w:iCs/>
                <w:sz w:val="20"/>
              </w:rPr>
              <w:t xml:space="preserve">The total of the payments to QSE </w:t>
            </w:r>
            <w:r w:rsidRPr="0013396E">
              <w:rPr>
                <w:i/>
                <w:iCs/>
                <w:sz w:val="20"/>
              </w:rPr>
              <w:t>q</w:t>
            </w:r>
            <w:r w:rsidRPr="0013396E">
              <w:rPr>
                <w:iCs/>
                <w:sz w:val="20"/>
              </w:rPr>
              <w:t xml:space="preserve"> as additional compensation for additional energy or Ancillary Services </w:t>
            </w:r>
            <w:r w:rsidRPr="0013396E">
              <w:rPr>
                <w:iCs/>
                <w:sz w:val="20"/>
              </w:rPr>
              <w:lastRenderedPageBreak/>
              <w:t>of the Resources represented by this QSE for the 15-minute Settlement Interval.</w:t>
            </w:r>
          </w:p>
        </w:tc>
      </w:tr>
      <w:tr w:rsidR="00C236A2" w:rsidRPr="0013396E" w14:paraId="645683C6" w14:textId="77777777" w:rsidTr="0099759E">
        <w:tc>
          <w:tcPr>
            <w:tcW w:w="1203" w:type="pct"/>
          </w:tcPr>
          <w:p w14:paraId="3D91C4DF" w14:textId="77777777" w:rsidR="00C236A2" w:rsidRPr="0013396E" w:rsidRDefault="00C236A2" w:rsidP="0099759E">
            <w:pPr>
              <w:spacing w:after="60"/>
              <w:rPr>
                <w:iCs/>
                <w:sz w:val="20"/>
              </w:rPr>
            </w:pPr>
            <w:r w:rsidRPr="0013396E">
              <w:rPr>
                <w:iCs/>
                <w:sz w:val="20"/>
              </w:rPr>
              <w:lastRenderedPageBreak/>
              <w:t xml:space="preserve">LRS </w:t>
            </w:r>
            <w:r w:rsidRPr="0013396E">
              <w:rPr>
                <w:i/>
                <w:iCs/>
                <w:sz w:val="20"/>
                <w:vertAlign w:val="subscript"/>
              </w:rPr>
              <w:t>q</w:t>
            </w:r>
          </w:p>
        </w:tc>
        <w:tc>
          <w:tcPr>
            <w:tcW w:w="310" w:type="pct"/>
          </w:tcPr>
          <w:p w14:paraId="1C3A7BC7" w14:textId="77777777" w:rsidR="00C236A2" w:rsidRPr="0013396E" w:rsidRDefault="00C236A2" w:rsidP="0099759E">
            <w:pPr>
              <w:spacing w:after="60"/>
              <w:rPr>
                <w:iCs/>
                <w:sz w:val="20"/>
              </w:rPr>
            </w:pPr>
            <w:r w:rsidRPr="0013396E">
              <w:rPr>
                <w:iCs/>
                <w:sz w:val="20"/>
              </w:rPr>
              <w:t>none</w:t>
            </w:r>
          </w:p>
        </w:tc>
        <w:tc>
          <w:tcPr>
            <w:tcW w:w="3487" w:type="pct"/>
          </w:tcPr>
          <w:p w14:paraId="0AAB2FD4" w14:textId="77777777" w:rsidR="00C236A2" w:rsidRPr="0013396E" w:rsidRDefault="00C236A2" w:rsidP="0099759E">
            <w:pPr>
              <w:spacing w:after="60"/>
              <w:rPr>
                <w:iCs/>
                <w:sz w:val="20"/>
              </w:rPr>
            </w:pPr>
            <w:r w:rsidRPr="0013396E">
              <w:rPr>
                <w:iCs/>
                <w:sz w:val="20"/>
              </w:rPr>
              <w:t xml:space="preserve">The LRS calculated for QSE </w:t>
            </w:r>
            <w:r w:rsidRPr="0013396E">
              <w:rPr>
                <w:i/>
                <w:iCs/>
                <w:sz w:val="20"/>
              </w:rPr>
              <w:t>q</w:t>
            </w:r>
            <w:r w:rsidRPr="0013396E">
              <w:rPr>
                <w:iCs/>
                <w:sz w:val="20"/>
              </w:rPr>
              <w:t xml:space="preserve"> for the 15-minute Settlement Interval.  See Section 6.6.2.2, QSE Load Ratio Share for a 15-Minute Settlement Interval.</w:t>
            </w:r>
          </w:p>
        </w:tc>
      </w:tr>
      <w:tr w:rsidR="00C236A2" w:rsidRPr="0013396E" w14:paraId="31253B8F" w14:textId="77777777" w:rsidTr="0099759E">
        <w:tc>
          <w:tcPr>
            <w:tcW w:w="1203" w:type="pct"/>
          </w:tcPr>
          <w:p w14:paraId="660A1FC4" w14:textId="77777777" w:rsidR="00C236A2" w:rsidRPr="0013396E" w:rsidRDefault="00C236A2" w:rsidP="0099759E">
            <w:pPr>
              <w:spacing w:after="60"/>
              <w:rPr>
                <w:i/>
                <w:iCs/>
                <w:sz w:val="20"/>
              </w:rPr>
            </w:pPr>
            <w:r w:rsidRPr="0013396E">
              <w:rPr>
                <w:i/>
                <w:iCs/>
                <w:sz w:val="20"/>
              </w:rPr>
              <w:t>q</w:t>
            </w:r>
          </w:p>
        </w:tc>
        <w:tc>
          <w:tcPr>
            <w:tcW w:w="310" w:type="pct"/>
          </w:tcPr>
          <w:p w14:paraId="2D717E11" w14:textId="77777777" w:rsidR="00C236A2" w:rsidRPr="0013396E" w:rsidRDefault="00C236A2" w:rsidP="0099759E">
            <w:pPr>
              <w:spacing w:after="60"/>
              <w:rPr>
                <w:iCs/>
                <w:sz w:val="20"/>
              </w:rPr>
            </w:pPr>
            <w:r w:rsidRPr="0013396E">
              <w:rPr>
                <w:iCs/>
                <w:sz w:val="20"/>
              </w:rPr>
              <w:t>none</w:t>
            </w:r>
          </w:p>
        </w:tc>
        <w:tc>
          <w:tcPr>
            <w:tcW w:w="3487" w:type="pct"/>
          </w:tcPr>
          <w:p w14:paraId="75FE202C" w14:textId="77777777" w:rsidR="00C236A2" w:rsidRPr="0013396E" w:rsidRDefault="00C236A2" w:rsidP="0099759E">
            <w:pPr>
              <w:spacing w:after="60"/>
              <w:rPr>
                <w:i/>
                <w:iCs/>
                <w:sz w:val="20"/>
              </w:rPr>
            </w:pPr>
            <w:r w:rsidRPr="0013396E">
              <w:rPr>
                <w:iCs/>
                <w:sz w:val="20"/>
              </w:rPr>
              <w:t>A QSE.</w:t>
            </w:r>
          </w:p>
        </w:tc>
      </w:tr>
    </w:tbl>
    <w:p w14:paraId="4886BF7C" w14:textId="4FFE92F7" w:rsidR="001F04FD" w:rsidRPr="0013396E" w:rsidRDefault="001F04FD" w:rsidP="00FB599C">
      <w:pPr>
        <w:pStyle w:val="H3"/>
        <w:spacing w:before="600"/>
      </w:pPr>
      <w:bookmarkStart w:id="2140" w:name="_Toc397505041"/>
      <w:bookmarkStart w:id="2141" w:name="_Toc402357173"/>
      <w:bookmarkStart w:id="2142" w:name="_Toc422486553"/>
      <w:bookmarkStart w:id="2143" w:name="_Toc433093406"/>
      <w:bookmarkStart w:id="2144" w:name="_Toc433093564"/>
      <w:bookmarkStart w:id="2145" w:name="_Toc440874794"/>
      <w:bookmarkStart w:id="2146" w:name="_Toc448142351"/>
      <w:bookmarkStart w:id="2147" w:name="_Toc448142508"/>
      <w:bookmarkStart w:id="2148" w:name="_Toc458770349"/>
      <w:bookmarkStart w:id="2149" w:name="_Toc459294317"/>
      <w:bookmarkStart w:id="2150" w:name="_Toc463262811"/>
      <w:bookmarkStart w:id="2151" w:name="_Toc468286884"/>
      <w:bookmarkStart w:id="2152" w:name="_Toc481502924"/>
      <w:bookmarkStart w:id="2153" w:name="_Toc496080092"/>
      <w:bookmarkStart w:id="2154" w:name="_Toc236220226"/>
      <w:bookmarkStart w:id="2155" w:name="_Toc109009422"/>
      <w:bookmarkEnd w:id="2123"/>
      <w:bookmarkEnd w:id="2124"/>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sidRPr="0013396E">
        <w:t>6.6.10</w:t>
      </w:r>
      <w:r w:rsidRPr="0013396E">
        <w:tab/>
        <w:t>Real-Time Revenue Neutrality Allocation</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14:paraId="746CC419" w14:textId="77777777" w:rsidR="001F04FD" w:rsidRPr="0013396E" w:rsidRDefault="001F04FD" w:rsidP="001F04FD">
      <w:pPr>
        <w:pStyle w:val="BodyTextNumbered"/>
      </w:pPr>
      <w:r w:rsidRPr="0013396E">
        <w:t>(1)</w:t>
      </w:r>
      <w:r w:rsidRPr="0013396E">
        <w:tab/>
        <w:t>ERCOT must be revenue-neutral in each Settlement Interval.  Each QSE receives an allocated share, on a LRS basis, of the net amount of:</w:t>
      </w:r>
    </w:p>
    <w:p w14:paraId="0BABDAF0" w14:textId="77777777" w:rsidR="001F04FD" w:rsidRPr="0013396E" w:rsidRDefault="001F04FD" w:rsidP="001F04FD">
      <w:pPr>
        <w:pStyle w:val="List"/>
      </w:pPr>
      <w:r w:rsidRPr="0013396E">
        <w:t>(a)</w:t>
      </w:r>
      <w:r w:rsidRPr="0013396E">
        <w:tab/>
        <w:t>Real-Time Energy Imbalance payments or charges under Section 6.6.3.1, Real-Time Energy Imbalance Payment or Charge at a Resource Node;</w:t>
      </w:r>
    </w:p>
    <w:p w14:paraId="5AFAD35F" w14:textId="77777777" w:rsidR="001F04FD" w:rsidRPr="0013396E" w:rsidRDefault="001F04FD" w:rsidP="00E228C6">
      <w:pPr>
        <w:spacing w:after="240"/>
        <w:ind w:left="1440" w:hanging="720"/>
      </w:pPr>
      <w:r w:rsidRPr="0013396E">
        <w:t>(b)</w:t>
      </w:r>
      <w:r w:rsidRPr="0013396E">
        <w:tab/>
        <w:t>Real-Time Energy Imbalance payments or charges under Section 6.6.3.2, Real-Time Energy Imbalance Payment or Charge at a Load Zone;</w:t>
      </w:r>
    </w:p>
    <w:p w14:paraId="638BC777" w14:textId="77777777" w:rsidR="001F04FD" w:rsidRPr="0013396E" w:rsidRDefault="001F04FD" w:rsidP="00E228C6">
      <w:pPr>
        <w:spacing w:after="240"/>
        <w:ind w:left="1440" w:hanging="720"/>
      </w:pPr>
      <w:r w:rsidRPr="0013396E">
        <w:t>(c)</w:t>
      </w:r>
      <w:r w:rsidRPr="0013396E">
        <w:tab/>
        <w:t>Real-Time Energy Imbalance payments or charges under Section 6.6.3.3, Real-Time Energy Imbalance Payment or Charge at a Hub;</w:t>
      </w:r>
    </w:p>
    <w:p w14:paraId="047005EA" w14:textId="77777777" w:rsidR="001F04FD" w:rsidRPr="0013396E" w:rsidRDefault="001F04FD" w:rsidP="00E228C6">
      <w:pPr>
        <w:spacing w:after="240"/>
        <w:ind w:left="1440" w:hanging="720"/>
      </w:pPr>
      <w:r w:rsidRPr="0013396E">
        <w:t>(d)</w:t>
      </w:r>
      <w:r w:rsidRPr="0013396E">
        <w:tab/>
        <w:t>Real-Time energy payments under Section 6.6.3.4, Real-Time Energy Payment for DC Tie Import;</w:t>
      </w:r>
    </w:p>
    <w:p w14:paraId="589F81C7" w14:textId="2EBFA04A" w:rsidR="001F04FD" w:rsidRPr="0013396E" w:rsidRDefault="001F04FD" w:rsidP="00E228C6">
      <w:pPr>
        <w:spacing w:after="240"/>
        <w:ind w:left="1440" w:hanging="720"/>
      </w:pPr>
      <w:r w:rsidRPr="0013396E">
        <w:t>(e)</w:t>
      </w:r>
      <w:r w:rsidRPr="0013396E">
        <w:tab/>
        <w:t>Real-Time energy payments under Section 6.6.3.5, Real-Time Payment for a Block Load Transfer Point;</w:t>
      </w:r>
    </w:p>
    <w:p w14:paraId="08751346" w14:textId="0D9907AC" w:rsidR="0024071F" w:rsidRPr="0013396E" w:rsidRDefault="0024071F" w:rsidP="00E228C6">
      <w:pPr>
        <w:spacing w:after="240"/>
        <w:ind w:left="1440" w:hanging="720"/>
      </w:pPr>
      <w:r w:rsidRPr="0013396E">
        <w:t>(f)</w:t>
      </w:r>
      <w:r w:rsidRPr="0013396E">
        <w:tab/>
        <w:t>Real-Time Energy payments or charges under Section 6.6.3.</w:t>
      </w:r>
      <w:r w:rsidR="00720B34" w:rsidRPr="0013396E">
        <w:t>8</w:t>
      </w:r>
      <w:r w:rsidRPr="0013396E">
        <w:t>, Real-Time Payment or Charge for Energy from a Settlement Only Distribution Generator (SODG) or a Settlement Only Transmission Generator (SOTG);</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E228C6" w:rsidRPr="0013396E" w14:paraId="6E0ABAA0" w14:textId="77777777" w:rsidTr="001335E7">
        <w:trPr>
          <w:trHeight w:val="206"/>
        </w:trPr>
        <w:tc>
          <w:tcPr>
            <w:tcW w:w="5000" w:type="pct"/>
            <w:shd w:val="pct12" w:color="auto" w:fill="auto"/>
          </w:tcPr>
          <w:p w14:paraId="65AAADFD" w14:textId="5690D89B" w:rsidR="00E228C6" w:rsidRPr="0013396E" w:rsidRDefault="00E228C6" w:rsidP="00E228C6">
            <w:pPr>
              <w:pStyle w:val="Instructions"/>
            </w:pPr>
            <w:r w:rsidRPr="0013396E">
              <w:t>[</w:t>
            </w:r>
            <w:r w:rsidR="00851766" w:rsidRPr="0013396E">
              <w:t>NPRR995</w:t>
            </w:r>
            <w:r w:rsidRPr="0013396E">
              <w:t xml:space="preserve">:  </w:t>
            </w:r>
            <w:r w:rsidR="0024071F" w:rsidRPr="0013396E">
              <w:t xml:space="preserve">Replace </w:t>
            </w:r>
            <w:r w:rsidRPr="0013396E">
              <w:t>item (</w:t>
            </w:r>
            <w:r w:rsidR="0024071F" w:rsidRPr="0013396E">
              <w:t>f</w:t>
            </w:r>
            <w:r w:rsidRPr="0013396E">
              <w:t xml:space="preserve">) </w:t>
            </w:r>
            <w:r w:rsidR="0024071F" w:rsidRPr="0013396E">
              <w:t>above with the following</w:t>
            </w:r>
            <w:r w:rsidRPr="0013396E">
              <w:t xml:space="preserve"> upon system implementation:]</w:t>
            </w:r>
          </w:p>
          <w:p w14:paraId="5FE1A1D8" w14:textId="42C810F3" w:rsidR="00E228C6" w:rsidRPr="0013396E" w:rsidRDefault="00E228C6" w:rsidP="00E228C6">
            <w:pPr>
              <w:spacing w:after="120"/>
              <w:ind w:left="1440" w:hanging="720"/>
            </w:pPr>
            <w:r w:rsidRPr="0013396E">
              <w:t>(</w:t>
            </w:r>
            <w:r w:rsidR="0024071F" w:rsidRPr="0013396E">
              <w:t>f</w:t>
            </w:r>
            <w:r w:rsidRPr="0013396E">
              <w:t>)</w:t>
            </w:r>
            <w:r w:rsidRPr="0013396E">
              <w:tab/>
              <w:t>Real-Time Energy payments or charges under Section 6.6.3.</w:t>
            </w:r>
            <w:r w:rsidR="00720B34" w:rsidRPr="0013396E">
              <w:t>8</w:t>
            </w:r>
            <w:r w:rsidRPr="0013396E">
              <w:t>, Real-Time Payment or Charge for Energy from a Settlement Only Distribution Generator (SODG)</w:t>
            </w:r>
            <w:r w:rsidR="00851766" w:rsidRPr="0013396E">
              <w:t>,</w:t>
            </w:r>
            <w:r w:rsidRPr="0013396E">
              <w:t xml:space="preserve"> Settlement Only Transmission Generator (SOTG)</w:t>
            </w:r>
            <w:r w:rsidR="00851766" w:rsidRPr="0013396E">
              <w:t>, Settlement Only Distribution Energy Storage System (SODESS), or Settlement Only Transmission Energy Storage System (SOTESS)</w:t>
            </w:r>
            <w:r w:rsidRPr="0013396E">
              <w:t>;</w:t>
            </w:r>
          </w:p>
        </w:tc>
      </w:tr>
    </w:tbl>
    <w:p w14:paraId="2CA68031" w14:textId="77777777" w:rsidR="001F04FD" w:rsidRPr="0013396E" w:rsidRDefault="001F04FD" w:rsidP="004A39F9">
      <w:pPr>
        <w:spacing w:before="240" w:after="240"/>
        <w:ind w:left="1440" w:hanging="720"/>
      </w:pPr>
      <w:r w:rsidRPr="0013396E">
        <w:t>(g)</w:t>
      </w:r>
      <w:r w:rsidRPr="0013396E">
        <w:tab/>
        <w:t>Real-Time congestion payments or charges under Section 6.6.4, Real-Time Congestion Payment or Charge for Self-Schedules; and</w:t>
      </w:r>
    </w:p>
    <w:p w14:paraId="0A909937" w14:textId="77777777" w:rsidR="001F04FD" w:rsidRPr="0013396E" w:rsidRDefault="001F04FD" w:rsidP="00E228C6">
      <w:pPr>
        <w:pStyle w:val="List"/>
      </w:pPr>
      <w:r w:rsidRPr="0013396E">
        <w:t>(h)</w:t>
      </w:r>
      <w:r w:rsidRPr="0013396E">
        <w:tab/>
        <w:t>Real-Time payments or charges to the Congestion Revenue Right (CRR) Owners under Section 7.9.2, Real-Time CRR Payments and Charges.</w:t>
      </w:r>
    </w:p>
    <w:p w14:paraId="68529C68" w14:textId="77777777" w:rsidR="001F04FD" w:rsidRPr="0013396E" w:rsidRDefault="001F04FD" w:rsidP="001F04FD">
      <w:pPr>
        <w:pStyle w:val="BodyTextNumbered"/>
        <w:rPr>
          <w:iCs/>
        </w:rPr>
      </w:pPr>
      <w:r w:rsidRPr="0013396E">
        <w:rPr>
          <w:iCs/>
        </w:rPr>
        <w:lastRenderedPageBreak/>
        <w:t>(2)</w:t>
      </w:r>
      <w:r w:rsidRPr="0013396E">
        <w:rPr>
          <w:iCs/>
        </w:rPr>
        <w:tab/>
        <w:t>The Real-Time Revenue Neutrality Allocation for each QSE for a given 15-minute Settlement Interval is calculated as follows:</w:t>
      </w:r>
    </w:p>
    <w:p w14:paraId="44474249" w14:textId="64A19995" w:rsidR="001F04FD" w:rsidRPr="0013396E" w:rsidRDefault="001F04FD" w:rsidP="001F04FD">
      <w:pPr>
        <w:pStyle w:val="FormulaBold"/>
        <w:tabs>
          <w:tab w:val="clear" w:pos="2250"/>
          <w:tab w:val="clear" w:pos="3960"/>
          <w:tab w:val="left" w:pos="2700"/>
        </w:tabs>
        <w:ind w:left="3150" w:hanging="2430"/>
        <w:rPr>
          <w:i/>
          <w:vertAlign w:val="subscript"/>
        </w:rPr>
      </w:pPr>
      <w:r w:rsidRPr="0013396E">
        <w:t xml:space="preserve">LARTRNAMT </w:t>
      </w:r>
      <w:r w:rsidRPr="0013396E">
        <w:rPr>
          <w:i/>
          <w:vertAlign w:val="subscript"/>
        </w:rPr>
        <w:t>q</w:t>
      </w:r>
      <w:r w:rsidRPr="0013396E">
        <w:tab/>
        <w:t>=</w:t>
      </w:r>
      <w:r w:rsidRPr="0013396E">
        <w:tab/>
        <w:t xml:space="preserve">(-1) * (RTEIAMTTOT + BLTRAMTTOT + RTDCIMPAMTTOT + </w:t>
      </w:r>
      <w:r w:rsidR="0024071F" w:rsidRPr="0013396E">
        <w:t xml:space="preserve">RTESOGAMTTOT + </w:t>
      </w:r>
      <w:r w:rsidRPr="0013396E">
        <w:t xml:space="preserve">RTCCAMTTOT + RTOBLAMTTOT / 4 + RTOBLLOAMTTOT / 4) * LRS </w:t>
      </w:r>
      <w:r w:rsidRPr="0013396E">
        <w:rPr>
          <w:i/>
          <w:vertAlign w:val="subscript"/>
        </w:rPr>
        <w:t>q</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F620F" w:rsidRPr="0013396E" w14:paraId="1703A669" w14:textId="77777777" w:rsidTr="008B123E">
        <w:trPr>
          <w:trHeight w:val="206"/>
        </w:trPr>
        <w:tc>
          <w:tcPr>
            <w:tcW w:w="9576" w:type="dxa"/>
            <w:shd w:val="pct12" w:color="auto" w:fill="auto"/>
          </w:tcPr>
          <w:p w14:paraId="7CC6B1B3" w14:textId="0DBF8537" w:rsidR="000F620F" w:rsidRPr="0013396E" w:rsidRDefault="000F620F" w:rsidP="008B123E">
            <w:pPr>
              <w:pStyle w:val="Instructions"/>
              <w:spacing w:before="120"/>
            </w:pPr>
            <w:r w:rsidRPr="0013396E">
              <w:t>[</w:t>
            </w:r>
            <w:r w:rsidR="00851766" w:rsidRPr="0013396E">
              <w:t>NPRR995</w:t>
            </w:r>
            <w:r w:rsidRPr="0013396E">
              <w:t xml:space="preserve">:  Replace the formula “LARTRNAMT </w:t>
            </w:r>
            <w:r w:rsidRPr="0013396E">
              <w:rPr>
                <w:vertAlign w:val="subscript"/>
              </w:rPr>
              <w:t>q</w:t>
            </w:r>
            <w:r w:rsidRPr="0013396E">
              <w:t>” above with the following upon system implementation:]</w:t>
            </w:r>
          </w:p>
          <w:p w14:paraId="6D9C0F4B" w14:textId="4ECA584C" w:rsidR="000F620F" w:rsidRPr="0013396E" w:rsidRDefault="000F620F" w:rsidP="008B66B5">
            <w:pPr>
              <w:tabs>
                <w:tab w:val="left" w:pos="2700"/>
                <w:tab w:val="left" w:pos="3150"/>
              </w:tabs>
              <w:spacing w:after="240"/>
              <w:ind w:left="3150" w:hanging="2430"/>
              <w:rPr>
                <w:b/>
                <w:bCs/>
                <w:i/>
                <w:vertAlign w:val="subscript"/>
              </w:rPr>
            </w:pPr>
            <w:r w:rsidRPr="0013396E">
              <w:rPr>
                <w:b/>
                <w:bCs/>
              </w:rPr>
              <w:t xml:space="preserve">LARTRNAMT </w:t>
            </w:r>
            <w:r w:rsidRPr="0013396E">
              <w:rPr>
                <w:b/>
                <w:bCs/>
                <w:i/>
                <w:vertAlign w:val="subscript"/>
              </w:rPr>
              <w:t>q</w:t>
            </w:r>
            <w:r w:rsidRPr="0013396E">
              <w:rPr>
                <w:b/>
                <w:bCs/>
              </w:rPr>
              <w:tab/>
              <w:t>=</w:t>
            </w:r>
            <w:r w:rsidRPr="0013396E">
              <w:rPr>
                <w:b/>
                <w:bCs/>
              </w:rPr>
              <w:tab/>
              <w:t xml:space="preserve">(-1) * (RTEIAMTTOT + BLTRAMTTOT + RTDCIMPAMTTOT + RTESOAMTTOT + RTCCAMTTOT + RTOBLAMTTOT / 4 + RTOBLLOAMTTOT / 4) * LRS </w:t>
            </w:r>
            <w:r w:rsidRPr="0013396E">
              <w:rPr>
                <w:b/>
                <w:bCs/>
                <w:i/>
                <w:vertAlign w:val="subscript"/>
              </w:rPr>
              <w:t>q</w:t>
            </w:r>
          </w:p>
        </w:tc>
      </w:tr>
    </w:tbl>
    <w:p w14:paraId="0213CEDC" w14:textId="77777777" w:rsidR="001F04FD" w:rsidRPr="0013396E" w:rsidRDefault="001F04FD" w:rsidP="004A39F9">
      <w:pPr>
        <w:pStyle w:val="BodyText"/>
        <w:spacing w:before="240"/>
      </w:pPr>
      <w:r w:rsidRPr="0013396E">
        <w:t>Where:</w:t>
      </w:r>
    </w:p>
    <w:p w14:paraId="4CF370B0" w14:textId="77777777" w:rsidR="001F04FD" w:rsidRPr="0013396E" w:rsidRDefault="001F04FD" w:rsidP="001F04FD">
      <w:pPr>
        <w:ind w:firstLine="720"/>
      </w:pPr>
      <w:r w:rsidRPr="0013396E">
        <w:t xml:space="preserve">Total </w:t>
      </w:r>
      <w:r w:rsidRPr="0013396E">
        <w:rPr>
          <w:szCs w:val="24"/>
        </w:rPr>
        <w:t>Real</w:t>
      </w:r>
      <w:r w:rsidRPr="0013396E">
        <w:t>-Time Energy Imbalance Payment (or Charge) at Settlement Point (or Hub)</w:t>
      </w:r>
    </w:p>
    <w:p w14:paraId="3236F492" w14:textId="4F7E3CBF" w:rsidR="001F04FD" w:rsidRPr="0013396E" w:rsidRDefault="001F04FD" w:rsidP="001F04FD">
      <w:pPr>
        <w:pStyle w:val="Formula"/>
        <w:tabs>
          <w:tab w:val="clear" w:pos="2160"/>
          <w:tab w:val="clear" w:pos="2880"/>
          <w:tab w:val="left" w:pos="2340"/>
          <w:tab w:val="left" w:pos="3420"/>
        </w:tabs>
        <w:ind w:leftChars="600" w:left="3600" w:hanging="2160"/>
        <w:rPr>
          <w:i/>
          <w:vertAlign w:val="subscript"/>
        </w:rPr>
      </w:pPr>
      <w:r w:rsidRPr="0013396E">
        <w:t>RTEIAMTTOT</w:t>
      </w:r>
      <w:r w:rsidRPr="0013396E">
        <w:tab/>
      </w:r>
      <w:r w:rsidRPr="0013396E">
        <w:tab/>
        <w:t>=</w:t>
      </w:r>
      <w:r w:rsidRPr="0013396E">
        <w:tab/>
      </w:r>
      <w:r w:rsidRPr="0013396E">
        <w:rPr>
          <w:position w:val="-22"/>
        </w:rPr>
        <w:object w:dxaOrig="210" w:dyaOrig="465" w14:anchorId="0A9B124C">
          <v:shape id="_x0000_i1227" type="#_x0000_t75" style="width:6pt;height:24pt" o:ole="">
            <v:imagedata r:id="rId285" o:title=""/>
          </v:shape>
          <o:OLEObject Type="Embed" ProgID="Equation.3" ShapeID="_x0000_i1227" DrawAspect="Content" ObjectID="_1849065857" r:id="rId286"/>
        </w:object>
      </w:r>
      <w:r w:rsidR="006C375B" w:rsidRPr="0013396E">
        <w:t xml:space="preserve"> </w:t>
      </w:r>
      <w:r w:rsidRPr="0013396E">
        <w:t xml:space="preserve">RTEIAMTQSETOT </w:t>
      </w:r>
      <w:r w:rsidRPr="0013396E">
        <w:rPr>
          <w:i/>
          <w:vertAlign w:val="subscript"/>
        </w:rPr>
        <w:t>q</w:t>
      </w:r>
    </w:p>
    <w:p w14:paraId="01514D59" w14:textId="77777777" w:rsidR="001F04FD" w:rsidRPr="0013396E" w:rsidRDefault="001F04FD" w:rsidP="001F04FD">
      <w:pPr>
        <w:ind w:firstLine="720"/>
      </w:pPr>
      <w:r w:rsidRPr="0013396E">
        <w:t>Total Real-Time Payment for BLT Resources</w:t>
      </w:r>
    </w:p>
    <w:p w14:paraId="27110DAD" w14:textId="342147BF" w:rsidR="001F04FD" w:rsidRPr="0013396E" w:rsidRDefault="001F04FD" w:rsidP="001F04FD">
      <w:pPr>
        <w:pStyle w:val="Formula"/>
        <w:ind w:leftChars="600" w:left="3600" w:hanging="2160"/>
      </w:pPr>
      <w:r w:rsidRPr="0013396E">
        <w:t>BLTRAMTTOT</w:t>
      </w:r>
      <w:r w:rsidRPr="0013396E">
        <w:tab/>
        <w:t>=</w:t>
      </w:r>
      <w:r w:rsidRPr="0013396E">
        <w:tab/>
      </w:r>
      <w:r w:rsidRPr="0013396E">
        <w:rPr>
          <w:position w:val="-22"/>
        </w:rPr>
        <w:object w:dxaOrig="210" w:dyaOrig="465" w14:anchorId="7A199638">
          <v:shape id="_x0000_i1228" type="#_x0000_t75" style="width:6pt;height:24pt" o:ole="">
            <v:imagedata r:id="rId151" o:title=""/>
          </v:shape>
          <o:OLEObject Type="Embed" ProgID="Equation.3" ShapeID="_x0000_i1228" DrawAspect="Content" ObjectID="_1849065858" r:id="rId287"/>
        </w:object>
      </w:r>
      <w:r w:rsidR="006C375B" w:rsidRPr="0013396E">
        <w:t xml:space="preserve"> </w:t>
      </w:r>
      <w:r w:rsidRPr="0013396E">
        <w:t xml:space="preserve">BLTRAMTQSETOT </w:t>
      </w:r>
      <w:r w:rsidRPr="0013396E">
        <w:rPr>
          <w:i/>
          <w:vertAlign w:val="subscript"/>
        </w:rPr>
        <w:t>q</w:t>
      </w:r>
    </w:p>
    <w:p w14:paraId="54465E1E" w14:textId="77777777" w:rsidR="001F04FD" w:rsidRPr="0013396E" w:rsidRDefault="001F04FD" w:rsidP="001F04FD">
      <w:pPr>
        <w:ind w:firstLine="720"/>
      </w:pPr>
      <w:r w:rsidRPr="0013396E">
        <w:t>Total Real-Time Payment for DC Tie Imports</w:t>
      </w:r>
    </w:p>
    <w:p w14:paraId="2A959A0D" w14:textId="77777777" w:rsidR="001F04FD" w:rsidRPr="0013396E" w:rsidRDefault="001F04FD" w:rsidP="001F04FD">
      <w:pPr>
        <w:pStyle w:val="Formula"/>
        <w:ind w:leftChars="600" w:left="3600" w:hanging="2160"/>
      </w:pPr>
      <w:r w:rsidRPr="0013396E">
        <w:t>RTDCIMPAMTTOT</w:t>
      </w:r>
      <w:r w:rsidRPr="0013396E">
        <w:tab/>
      </w:r>
      <w:r w:rsidRPr="0013396E">
        <w:tab/>
        <w:t>=</w:t>
      </w:r>
      <w:r w:rsidRPr="0013396E">
        <w:tab/>
      </w:r>
      <w:r w:rsidRPr="0013396E">
        <w:rPr>
          <w:position w:val="-22"/>
        </w:rPr>
        <w:object w:dxaOrig="225" w:dyaOrig="465" w14:anchorId="42A4CD6B">
          <v:shape id="_x0000_i1229" type="#_x0000_t75" style="width:12pt;height:24pt" o:ole="">
            <v:imagedata r:id="rId288" o:title=""/>
          </v:shape>
          <o:OLEObject Type="Embed" ProgID="Equation.3" ShapeID="_x0000_i1229" DrawAspect="Content" ObjectID="_1849065859" r:id="rId289"/>
        </w:object>
      </w:r>
      <w:r w:rsidRPr="0013396E">
        <w:t xml:space="preserve">RTDCIMPAMTQSETOT </w:t>
      </w:r>
      <w:r w:rsidRPr="0013396E">
        <w:rPr>
          <w:i/>
          <w:vertAlign w:val="subscript"/>
        </w:rPr>
        <w:t>q</w:t>
      </w:r>
    </w:p>
    <w:p w14:paraId="02E85A42" w14:textId="721B6AEE" w:rsidR="001F04FD" w:rsidRPr="0013396E" w:rsidRDefault="001F04FD" w:rsidP="00776B44">
      <w:pPr>
        <w:ind w:firstLine="720"/>
      </w:pPr>
      <w:r w:rsidRPr="0013396E">
        <w:t>Total Real-Time Congestion Payment or Charge for Self-Schedules</w:t>
      </w:r>
    </w:p>
    <w:p w14:paraId="26DB4FE6" w14:textId="77777777" w:rsidR="001F04FD" w:rsidRPr="0013396E" w:rsidRDefault="001F04FD" w:rsidP="001F04FD">
      <w:pPr>
        <w:pStyle w:val="Formula"/>
        <w:ind w:leftChars="600" w:left="3600" w:hanging="2160"/>
      </w:pPr>
      <w:r w:rsidRPr="0013396E">
        <w:t>RTCCAMTTOT</w:t>
      </w:r>
      <w:r w:rsidRPr="0013396E">
        <w:tab/>
        <w:t>=</w:t>
      </w:r>
      <w:r w:rsidRPr="0013396E">
        <w:tab/>
      </w:r>
      <w:r w:rsidRPr="0013396E">
        <w:rPr>
          <w:position w:val="-22"/>
        </w:rPr>
        <w:object w:dxaOrig="225" w:dyaOrig="465" w14:anchorId="2D720380">
          <v:shape id="_x0000_i1230" type="#_x0000_t75" style="width:12pt;height:24pt" o:ole="">
            <v:imagedata r:id="rId288" o:title=""/>
          </v:shape>
          <o:OLEObject Type="Embed" ProgID="Equation.3" ShapeID="_x0000_i1230" DrawAspect="Content" ObjectID="_1849065860" r:id="rId290"/>
        </w:object>
      </w:r>
      <w:r w:rsidRPr="0013396E">
        <w:t xml:space="preserve">RTCCAMTQSETOT </w:t>
      </w:r>
      <w:r w:rsidRPr="0013396E">
        <w:rPr>
          <w:i/>
          <w:vertAlign w:val="subscript"/>
        </w:rPr>
        <w:t>q</w:t>
      </w:r>
    </w:p>
    <w:p w14:paraId="4694EDB1" w14:textId="77777777" w:rsidR="001F04FD" w:rsidRPr="0013396E" w:rsidRDefault="001F04FD" w:rsidP="001F04FD">
      <w:pPr>
        <w:ind w:firstLine="720"/>
      </w:pPr>
      <w:r w:rsidRPr="0013396E">
        <w:t>Total Real-Time Payment or Charge for Point-to-Point (PTP) Obligations</w:t>
      </w:r>
    </w:p>
    <w:p w14:paraId="5A6F868D" w14:textId="77777777" w:rsidR="001F04FD" w:rsidRPr="0013396E" w:rsidRDefault="001F04FD" w:rsidP="001F04FD">
      <w:pPr>
        <w:pStyle w:val="Formula"/>
        <w:ind w:leftChars="600" w:left="3600" w:hanging="2160"/>
      </w:pPr>
      <w:r w:rsidRPr="0013396E">
        <w:t>RTOBLAMTTOT</w:t>
      </w:r>
      <w:r w:rsidRPr="0013396E">
        <w:tab/>
        <w:t>=</w:t>
      </w:r>
      <w:r w:rsidRPr="0013396E">
        <w:tab/>
      </w:r>
      <w:r w:rsidRPr="0013396E">
        <w:rPr>
          <w:position w:val="-22"/>
        </w:rPr>
        <w:object w:dxaOrig="225" w:dyaOrig="465" w14:anchorId="09FD190C">
          <v:shape id="_x0000_i1231" type="#_x0000_t75" style="width:12pt;height:24pt" o:ole="">
            <v:imagedata r:id="rId288" o:title=""/>
          </v:shape>
          <o:OLEObject Type="Embed" ProgID="Equation.3" ShapeID="_x0000_i1231" DrawAspect="Content" ObjectID="_1849065861" r:id="rId291"/>
        </w:object>
      </w:r>
      <w:r w:rsidRPr="0013396E">
        <w:t xml:space="preserve">RTOBLAMTQSETOT </w:t>
      </w:r>
      <w:r w:rsidRPr="0013396E">
        <w:rPr>
          <w:i/>
          <w:vertAlign w:val="subscript"/>
        </w:rPr>
        <w:t>q</w:t>
      </w:r>
      <w:r w:rsidRPr="0013396E">
        <w:t xml:space="preserve"> </w:t>
      </w:r>
    </w:p>
    <w:p w14:paraId="0389B49B" w14:textId="77777777" w:rsidR="001F04FD" w:rsidRPr="0013396E" w:rsidRDefault="001F04FD" w:rsidP="001F04FD">
      <w:pPr>
        <w:ind w:firstLine="720"/>
      </w:pPr>
      <w:r w:rsidRPr="0013396E">
        <w:t>Total Real-Time Payment for PTP Obligations with Links to Options</w:t>
      </w:r>
    </w:p>
    <w:p w14:paraId="54E24891" w14:textId="7C20850F" w:rsidR="001F04FD" w:rsidRPr="0013396E" w:rsidRDefault="001F04FD" w:rsidP="001F04FD">
      <w:pPr>
        <w:pStyle w:val="Formula"/>
        <w:ind w:leftChars="600" w:left="3600" w:hanging="2160"/>
      </w:pPr>
      <w:r w:rsidRPr="0013396E">
        <w:t>RTOBLLOAMTTOT</w:t>
      </w:r>
      <w:r w:rsidRPr="0013396E">
        <w:tab/>
        <w:t>=</w:t>
      </w:r>
      <w:r w:rsidRPr="0013396E">
        <w:tab/>
      </w:r>
      <w:r w:rsidRPr="0013396E">
        <w:rPr>
          <w:position w:val="-22"/>
        </w:rPr>
        <w:object w:dxaOrig="225" w:dyaOrig="450" w14:anchorId="4DB6A924">
          <v:shape id="_x0000_i1232" type="#_x0000_t75" style="width:12pt;height:24pt" o:ole="">
            <v:imagedata r:id="rId288" o:title=""/>
          </v:shape>
          <o:OLEObject Type="Embed" ProgID="Equation.3" ShapeID="_x0000_i1232" DrawAspect="Content" ObjectID="_1849065862" r:id="rId292"/>
        </w:object>
      </w:r>
      <w:r w:rsidRPr="0013396E">
        <w:t xml:space="preserve">RTOBLLOAMTQSETOT </w:t>
      </w:r>
      <w:r w:rsidRPr="0013396E">
        <w:rPr>
          <w:i/>
          <w:vertAlign w:val="subscript"/>
        </w:rPr>
        <w:t>q</w:t>
      </w:r>
      <w:r w:rsidRPr="0013396E">
        <w:t xml:space="preserve"> </w:t>
      </w:r>
    </w:p>
    <w:p w14:paraId="54630664" w14:textId="77777777" w:rsidR="00DF0BE4" w:rsidRPr="0013396E" w:rsidRDefault="00DF0BE4" w:rsidP="00DF0BE4">
      <w:pPr>
        <w:spacing w:after="120"/>
        <w:ind w:left="720"/>
      </w:pPr>
      <w:r w:rsidRPr="0013396E">
        <w:t>Total Real-Time Payment or Charge for energy from SODGs and SOTGs</w:t>
      </w:r>
    </w:p>
    <w:p w14:paraId="6A2CD136" w14:textId="4418CE2A" w:rsidR="00DF0BE4" w:rsidRPr="0013396E" w:rsidRDefault="00DF0BE4" w:rsidP="00DF0BE4">
      <w:pPr>
        <w:pStyle w:val="Formula"/>
        <w:ind w:leftChars="600" w:left="3600" w:hanging="2160"/>
      </w:pPr>
      <w:r w:rsidRPr="0013396E">
        <w:rPr>
          <w:szCs w:val="20"/>
        </w:rPr>
        <w:t>RTESOGAMTTOT</w:t>
      </w:r>
      <w:r w:rsidRPr="0013396E">
        <w:rPr>
          <w:szCs w:val="20"/>
        </w:rPr>
        <w:tab/>
        <w:t>=</w:t>
      </w:r>
      <w:r w:rsidRPr="0013396E">
        <w:rPr>
          <w:szCs w:val="20"/>
        </w:rPr>
        <w:tab/>
      </w:r>
      <w:r w:rsidRPr="0013396E">
        <w:rPr>
          <w:noProof/>
          <w:position w:val="-22"/>
          <w:szCs w:val="20"/>
        </w:rPr>
        <w:drawing>
          <wp:inline distT="0" distB="0" distL="0" distR="0" wp14:anchorId="70970F75" wp14:editId="6E38F81B">
            <wp:extent cx="133350" cy="295275"/>
            <wp:effectExtent l="0" t="0" r="0" b="9525"/>
            <wp:docPr id="4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33350" cy="295275"/>
                    </a:xfrm>
                    <a:prstGeom prst="rect">
                      <a:avLst/>
                    </a:prstGeom>
                    <a:noFill/>
                    <a:ln>
                      <a:noFill/>
                    </a:ln>
                  </pic:spPr>
                </pic:pic>
              </a:graphicData>
            </a:graphic>
          </wp:inline>
        </w:drawing>
      </w:r>
      <w:r w:rsidRPr="0013396E">
        <w:rPr>
          <w:szCs w:val="20"/>
        </w:rPr>
        <w:t xml:space="preserve">RTESOGAMTQSETOT </w:t>
      </w:r>
      <w:r w:rsidRPr="0013396E">
        <w:rPr>
          <w:i/>
          <w:szCs w:val="20"/>
          <w:vertAlign w:val="subscript"/>
        </w:rPr>
        <w:t>q</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F620F" w:rsidRPr="0013396E" w14:paraId="42597869" w14:textId="77777777" w:rsidTr="008B123E">
        <w:trPr>
          <w:trHeight w:val="206"/>
        </w:trPr>
        <w:tc>
          <w:tcPr>
            <w:tcW w:w="9576" w:type="dxa"/>
            <w:shd w:val="pct12" w:color="auto" w:fill="auto"/>
          </w:tcPr>
          <w:p w14:paraId="0806CD9A" w14:textId="46312606" w:rsidR="000F620F" w:rsidRPr="0013396E" w:rsidRDefault="000F620F" w:rsidP="008B123E">
            <w:pPr>
              <w:pStyle w:val="Instructions"/>
              <w:spacing w:before="120"/>
            </w:pPr>
            <w:r w:rsidRPr="0013396E">
              <w:lastRenderedPageBreak/>
              <w:t>[</w:t>
            </w:r>
            <w:r w:rsidR="00C04382" w:rsidRPr="0013396E">
              <w:t>NPRR995</w:t>
            </w:r>
            <w:r w:rsidRPr="0013396E">
              <w:t xml:space="preserve">:  </w:t>
            </w:r>
            <w:r w:rsidR="00DF0BE4" w:rsidRPr="0013396E">
              <w:t xml:space="preserve">Replace </w:t>
            </w:r>
            <w:r w:rsidRPr="0013396E">
              <w:t xml:space="preserve">the language </w:t>
            </w:r>
            <w:r w:rsidR="00DF0BE4" w:rsidRPr="0013396E">
              <w:t>above with the following</w:t>
            </w:r>
            <w:r w:rsidRPr="0013396E">
              <w:t xml:space="preserve"> upon system implementation:]</w:t>
            </w:r>
          </w:p>
          <w:p w14:paraId="080A4824" w14:textId="43AA43C3" w:rsidR="002F5823" w:rsidRPr="0013396E" w:rsidRDefault="002F5823" w:rsidP="002F5823">
            <w:pPr>
              <w:ind w:left="720"/>
            </w:pPr>
            <w:r w:rsidRPr="0013396E">
              <w:t>Total Real-Time Payment or Charge for energy from SODGs</w:t>
            </w:r>
            <w:r w:rsidR="00C04382" w:rsidRPr="0013396E">
              <w:t>,</w:t>
            </w:r>
            <w:r w:rsidRPr="0013396E">
              <w:t xml:space="preserve"> SOTGs</w:t>
            </w:r>
            <w:r w:rsidR="00C04382" w:rsidRPr="0013396E">
              <w:t>, SODESSs, or SOTESSs</w:t>
            </w:r>
            <w:r w:rsidRPr="0013396E">
              <w:t xml:space="preserve"> </w:t>
            </w:r>
          </w:p>
          <w:p w14:paraId="0D7E5397" w14:textId="06446C4A" w:rsidR="000F620F" w:rsidRPr="0013396E" w:rsidRDefault="002F5823" w:rsidP="002F5823">
            <w:pPr>
              <w:pStyle w:val="Formula"/>
              <w:ind w:leftChars="600" w:left="3600" w:hanging="2160"/>
            </w:pPr>
            <w:r w:rsidRPr="0013396E">
              <w:t>RTESOAMTTOT</w:t>
            </w:r>
            <w:r w:rsidRPr="0013396E">
              <w:tab/>
              <w:t>=</w:t>
            </w:r>
            <w:r w:rsidRPr="0013396E">
              <w:tab/>
            </w:r>
            <w:r w:rsidRPr="0013396E">
              <w:rPr>
                <w:position w:val="-22"/>
              </w:rPr>
              <w:object w:dxaOrig="210" w:dyaOrig="465" w14:anchorId="7383A45D">
                <v:shape id="_x0000_i1233" type="#_x0000_t75" style="width:12pt;height:29.4pt" o:ole="">
                  <v:imagedata r:id="rId294" o:title=""/>
                </v:shape>
                <o:OLEObject Type="Embed" ProgID="Equation.3" ShapeID="_x0000_i1233" DrawAspect="Content" ObjectID="_1849065863" r:id="rId295"/>
              </w:object>
            </w:r>
            <w:r w:rsidRPr="0013396E">
              <w:t xml:space="preserve"> RTESOAMTQSETOT </w:t>
            </w:r>
            <w:r w:rsidRPr="0013396E">
              <w:rPr>
                <w:i/>
                <w:vertAlign w:val="subscript"/>
              </w:rPr>
              <w:t>q</w:t>
            </w:r>
          </w:p>
        </w:tc>
      </w:tr>
    </w:tbl>
    <w:p w14:paraId="7D6D2297" w14:textId="77777777" w:rsidR="001F04FD" w:rsidRPr="0013396E" w:rsidRDefault="001F04FD" w:rsidP="004A39F9">
      <w:pPr>
        <w:spacing w:before="240"/>
      </w:pPr>
      <w:r w:rsidRPr="0013396E">
        <w:t xml:space="preserve">The above </w:t>
      </w:r>
      <w:r w:rsidRPr="0013396E">
        <w:rPr>
          <w:szCs w:val="24"/>
        </w:rPr>
        <w:t>variables</w:t>
      </w:r>
      <w:r w:rsidRPr="0013396E">
        <w:t xml:space="preserve">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634"/>
        <w:gridCol w:w="6324"/>
      </w:tblGrid>
      <w:tr w:rsidR="001F04FD" w:rsidRPr="0013396E" w14:paraId="3E843120" w14:textId="77777777" w:rsidTr="00AC4DEE">
        <w:trPr>
          <w:cantSplit/>
          <w:tblHeader/>
        </w:trPr>
        <w:tc>
          <w:tcPr>
            <w:tcW w:w="1279" w:type="pct"/>
          </w:tcPr>
          <w:p w14:paraId="5ED501E0" w14:textId="77777777" w:rsidR="001F04FD" w:rsidRPr="0013396E" w:rsidRDefault="001F04FD" w:rsidP="00AC4DEE">
            <w:pPr>
              <w:pStyle w:val="TableHead"/>
            </w:pPr>
            <w:r w:rsidRPr="0013396E">
              <w:t>Variable</w:t>
            </w:r>
          </w:p>
        </w:tc>
        <w:tc>
          <w:tcPr>
            <w:tcW w:w="339" w:type="pct"/>
          </w:tcPr>
          <w:p w14:paraId="2CB5D481" w14:textId="77777777" w:rsidR="001F04FD" w:rsidRPr="0013396E" w:rsidRDefault="001F04FD" w:rsidP="00AC4DEE">
            <w:pPr>
              <w:pStyle w:val="TableHead"/>
            </w:pPr>
            <w:r w:rsidRPr="0013396E">
              <w:t>Unit</w:t>
            </w:r>
          </w:p>
        </w:tc>
        <w:tc>
          <w:tcPr>
            <w:tcW w:w="3382" w:type="pct"/>
          </w:tcPr>
          <w:p w14:paraId="56A62271" w14:textId="77777777" w:rsidR="001F04FD" w:rsidRPr="0013396E" w:rsidRDefault="001F04FD" w:rsidP="00AC4DEE">
            <w:pPr>
              <w:pStyle w:val="TableHead"/>
            </w:pPr>
            <w:r w:rsidRPr="0013396E">
              <w:t>Description</w:t>
            </w:r>
          </w:p>
        </w:tc>
      </w:tr>
      <w:tr w:rsidR="001F04FD" w:rsidRPr="0013396E" w14:paraId="6E213ED1" w14:textId="77777777" w:rsidTr="00AC4DEE">
        <w:trPr>
          <w:cantSplit/>
        </w:trPr>
        <w:tc>
          <w:tcPr>
            <w:tcW w:w="1279" w:type="pct"/>
          </w:tcPr>
          <w:p w14:paraId="705D7DED" w14:textId="77777777" w:rsidR="001F04FD" w:rsidRPr="0013396E" w:rsidRDefault="001F04FD" w:rsidP="00AC4DEE">
            <w:pPr>
              <w:pStyle w:val="TableBody"/>
            </w:pPr>
            <w:r w:rsidRPr="0013396E">
              <w:t xml:space="preserve">LARTRNAMT </w:t>
            </w:r>
            <w:r w:rsidRPr="0013396E">
              <w:rPr>
                <w:i/>
                <w:vertAlign w:val="subscript"/>
              </w:rPr>
              <w:t>q</w:t>
            </w:r>
          </w:p>
        </w:tc>
        <w:tc>
          <w:tcPr>
            <w:tcW w:w="339" w:type="pct"/>
          </w:tcPr>
          <w:p w14:paraId="4DB4DD1D" w14:textId="77777777" w:rsidR="001F04FD" w:rsidRPr="0013396E" w:rsidRDefault="001F04FD" w:rsidP="00AC4DEE">
            <w:pPr>
              <w:pStyle w:val="TableBody"/>
            </w:pPr>
            <w:r w:rsidRPr="0013396E">
              <w:t>$</w:t>
            </w:r>
          </w:p>
        </w:tc>
        <w:tc>
          <w:tcPr>
            <w:tcW w:w="3382" w:type="pct"/>
          </w:tcPr>
          <w:p w14:paraId="2E9390A8" w14:textId="77777777" w:rsidR="001F04FD" w:rsidRPr="0013396E" w:rsidRDefault="001F04FD" w:rsidP="00AC4DEE">
            <w:pPr>
              <w:pStyle w:val="TableBody"/>
            </w:pPr>
            <w:r w:rsidRPr="0013396E">
              <w:rPr>
                <w:i/>
              </w:rPr>
              <w:t>Load-Allocated Real-Time Revenue Neutrality Amount per QSE</w:t>
            </w:r>
            <w:r w:rsidRPr="0013396E">
              <w:t xml:space="preserve">—The QSE </w:t>
            </w:r>
            <w:r w:rsidRPr="0013396E">
              <w:rPr>
                <w:i/>
              </w:rPr>
              <w:t>q</w:t>
            </w:r>
            <w:r w:rsidRPr="0013396E">
              <w:t>’s share of the total Real-Time revenue neutrality amount, for the 15-minute Settlement Interval.</w:t>
            </w:r>
          </w:p>
        </w:tc>
      </w:tr>
      <w:tr w:rsidR="001F04FD" w:rsidRPr="0013396E" w14:paraId="45785033" w14:textId="77777777" w:rsidTr="00AC4DEE">
        <w:trPr>
          <w:cantSplit/>
        </w:trPr>
        <w:tc>
          <w:tcPr>
            <w:tcW w:w="1279" w:type="pct"/>
          </w:tcPr>
          <w:p w14:paraId="0C73C433" w14:textId="77777777" w:rsidR="001F04FD" w:rsidRPr="0013396E" w:rsidRDefault="001F04FD" w:rsidP="00AC4DEE">
            <w:pPr>
              <w:pStyle w:val="TableBody"/>
            </w:pPr>
            <w:r w:rsidRPr="0013396E">
              <w:t xml:space="preserve">RTEIAMTTOT </w:t>
            </w:r>
            <w:r w:rsidRPr="0013396E">
              <w:rPr>
                <w:i/>
                <w:vertAlign w:val="subscript"/>
              </w:rPr>
              <w:t xml:space="preserve">q </w:t>
            </w:r>
          </w:p>
        </w:tc>
        <w:tc>
          <w:tcPr>
            <w:tcW w:w="339" w:type="pct"/>
          </w:tcPr>
          <w:p w14:paraId="503A9E23" w14:textId="77777777" w:rsidR="001F04FD" w:rsidRPr="0013396E" w:rsidRDefault="001F04FD" w:rsidP="00AC4DEE">
            <w:pPr>
              <w:pStyle w:val="TableBody"/>
            </w:pPr>
            <w:r w:rsidRPr="0013396E">
              <w:t>$</w:t>
            </w:r>
          </w:p>
        </w:tc>
        <w:tc>
          <w:tcPr>
            <w:tcW w:w="3382" w:type="pct"/>
          </w:tcPr>
          <w:p w14:paraId="73D174BC" w14:textId="77777777" w:rsidR="001F04FD" w:rsidRPr="0013396E" w:rsidRDefault="001F04FD" w:rsidP="00AC4DEE">
            <w:pPr>
              <w:pStyle w:val="TableBody"/>
            </w:pPr>
            <w:r w:rsidRPr="0013396E">
              <w:rPr>
                <w:i/>
              </w:rPr>
              <w:t>Real-Time Energy Imbalance Amount Total</w:t>
            </w:r>
            <w:r w:rsidRPr="0013396E">
              <w:t>—The total net payments and charges for Real-Time Energy Imbalance Service at all Settlement Points (Resource, Load Zone or Hub) for the 15-minute Interval.</w:t>
            </w:r>
          </w:p>
        </w:tc>
      </w:tr>
      <w:tr w:rsidR="001F04FD" w:rsidRPr="0013396E" w14:paraId="78BA79EC" w14:textId="77777777" w:rsidTr="00AC4DEE">
        <w:trPr>
          <w:cantSplit/>
        </w:trPr>
        <w:tc>
          <w:tcPr>
            <w:tcW w:w="1279" w:type="pct"/>
          </w:tcPr>
          <w:p w14:paraId="33A990C4" w14:textId="77777777" w:rsidR="001F04FD" w:rsidRPr="0013396E" w:rsidRDefault="001F04FD" w:rsidP="00AC4DEE">
            <w:pPr>
              <w:pStyle w:val="TableBody"/>
            </w:pPr>
            <w:r w:rsidRPr="0013396E">
              <w:t>BLTRAMTTOT</w:t>
            </w:r>
          </w:p>
        </w:tc>
        <w:tc>
          <w:tcPr>
            <w:tcW w:w="339" w:type="pct"/>
          </w:tcPr>
          <w:p w14:paraId="0B2379AF" w14:textId="77777777" w:rsidR="001F04FD" w:rsidRPr="0013396E" w:rsidRDefault="001F04FD" w:rsidP="00AC4DEE">
            <w:pPr>
              <w:pStyle w:val="TableBody"/>
            </w:pPr>
            <w:r w:rsidRPr="0013396E">
              <w:t>$</w:t>
            </w:r>
          </w:p>
        </w:tc>
        <w:tc>
          <w:tcPr>
            <w:tcW w:w="3382" w:type="pct"/>
          </w:tcPr>
          <w:p w14:paraId="6AFFF72D" w14:textId="77777777" w:rsidR="001F04FD" w:rsidRPr="0013396E" w:rsidRDefault="001F04FD" w:rsidP="00AC4DEE">
            <w:pPr>
              <w:pStyle w:val="TableBody"/>
            </w:pPr>
            <w:r w:rsidRPr="0013396E">
              <w:rPr>
                <w:i/>
              </w:rPr>
              <w:t>Block Load Transfer Resource Amount Total</w:t>
            </w:r>
            <w:r w:rsidRPr="0013396E">
              <w:sym w:font="Symbol" w:char="F0BE"/>
            </w:r>
            <w:r w:rsidRPr="0013396E">
              <w:t>The total of payments for energy delivered into the ERCOT Region through BLT points for the 15-minute Settlement Interval.</w:t>
            </w:r>
          </w:p>
        </w:tc>
      </w:tr>
      <w:tr w:rsidR="001F04FD" w:rsidRPr="0013396E" w14:paraId="7703E48B" w14:textId="77777777" w:rsidTr="00AC4DEE">
        <w:trPr>
          <w:cantSplit/>
        </w:trPr>
        <w:tc>
          <w:tcPr>
            <w:tcW w:w="1279" w:type="pct"/>
          </w:tcPr>
          <w:p w14:paraId="24E44740" w14:textId="77777777" w:rsidR="001F04FD" w:rsidRPr="0013396E" w:rsidRDefault="001F04FD" w:rsidP="00AC4DEE">
            <w:pPr>
              <w:pStyle w:val="TableBody"/>
            </w:pPr>
            <w:r w:rsidRPr="0013396E">
              <w:t>RTDCIMPAMTTOT</w:t>
            </w:r>
          </w:p>
        </w:tc>
        <w:tc>
          <w:tcPr>
            <w:tcW w:w="339" w:type="pct"/>
          </w:tcPr>
          <w:p w14:paraId="648E271B" w14:textId="77777777" w:rsidR="001F04FD" w:rsidRPr="0013396E" w:rsidRDefault="001F04FD" w:rsidP="00AC4DEE">
            <w:pPr>
              <w:pStyle w:val="TableBody"/>
            </w:pPr>
            <w:r w:rsidRPr="0013396E">
              <w:t>$</w:t>
            </w:r>
          </w:p>
        </w:tc>
        <w:tc>
          <w:tcPr>
            <w:tcW w:w="3382" w:type="pct"/>
            <w:vAlign w:val="center"/>
          </w:tcPr>
          <w:p w14:paraId="3C7F343D" w14:textId="77777777" w:rsidR="001F04FD" w:rsidRPr="0013396E" w:rsidRDefault="001F04FD" w:rsidP="00AC4DEE">
            <w:pPr>
              <w:pStyle w:val="TableBody"/>
              <w:spacing w:after="0"/>
            </w:pPr>
            <w:r w:rsidRPr="0013396E">
              <w:rPr>
                <w:i/>
              </w:rPr>
              <w:t>Real-Time DC Import Amount Total</w:t>
            </w:r>
            <w:r w:rsidRPr="0013396E">
              <w:t>—The summation of payments for DC Tie imports for the 15-minute Settlement Interval.</w:t>
            </w:r>
          </w:p>
        </w:tc>
      </w:tr>
      <w:tr w:rsidR="001F04FD" w:rsidRPr="0013396E" w14:paraId="132F185A" w14:textId="77777777" w:rsidTr="00AC4DEE">
        <w:trPr>
          <w:cantSplit/>
        </w:trPr>
        <w:tc>
          <w:tcPr>
            <w:tcW w:w="1279" w:type="pct"/>
          </w:tcPr>
          <w:p w14:paraId="0DC77BB8" w14:textId="77777777" w:rsidR="001F04FD" w:rsidRPr="0013396E" w:rsidRDefault="001F04FD" w:rsidP="00AC4DEE">
            <w:pPr>
              <w:pStyle w:val="TableBody"/>
            </w:pPr>
            <w:r w:rsidRPr="0013396E">
              <w:t xml:space="preserve">RTCCAMTTOT </w:t>
            </w:r>
          </w:p>
        </w:tc>
        <w:tc>
          <w:tcPr>
            <w:tcW w:w="339" w:type="pct"/>
          </w:tcPr>
          <w:p w14:paraId="38E1EFC7" w14:textId="77777777" w:rsidR="001F04FD" w:rsidRPr="0013396E" w:rsidRDefault="001F04FD" w:rsidP="00AC4DEE">
            <w:pPr>
              <w:pStyle w:val="TableBody"/>
            </w:pPr>
            <w:r w:rsidRPr="0013396E">
              <w:t>$</w:t>
            </w:r>
          </w:p>
        </w:tc>
        <w:tc>
          <w:tcPr>
            <w:tcW w:w="3382" w:type="pct"/>
          </w:tcPr>
          <w:p w14:paraId="4EB86608" w14:textId="77777777" w:rsidR="001F04FD" w:rsidRPr="0013396E" w:rsidRDefault="001F04FD" w:rsidP="00AC4DEE">
            <w:pPr>
              <w:pStyle w:val="TableBody"/>
            </w:pPr>
            <w:r w:rsidRPr="0013396E">
              <w:rPr>
                <w:i/>
              </w:rPr>
              <w:t>Real-Time Energy Congestion Cost Amount Total</w:t>
            </w:r>
            <w:r w:rsidRPr="0013396E">
              <w:t>—The total net congestion payments and charges for all Self-Schedules for the 15-minute Settlement Interval.</w:t>
            </w:r>
          </w:p>
        </w:tc>
      </w:tr>
      <w:tr w:rsidR="001F04FD" w:rsidRPr="0013396E" w14:paraId="08D111D4" w14:textId="77777777" w:rsidTr="00AC4DEE">
        <w:trPr>
          <w:cantSplit/>
        </w:trPr>
        <w:tc>
          <w:tcPr>
            <w:tcW w:w="1279" w:type="pct"/>
          </w:tcPr>
          <w:p w14:paraId="10C5E733" w14:textId="77777777" w:rsidR="001F04FD" w:rsidRPr="0013396E" w:rsidRDefault="001F04FD" w:rsidP="00AC4DEE">
            <w:pPr>
              <w:pStyle w:val="TableBody"/>
            </w:pPr>
            <w:r w:rsidRPr="0013396E">
              <w:t>RTOBLAMTTOT</w:t>
            </w:r>
          </w:p>
        </w:tc>
        <w:tc>
          <w:tcPr>
            <w:tcW w:w="339" w:type="pct"/>
          </w:tcPr>
          <w:p w14:paraId="13435357" w14:textId="77777777" w:rsidR="001F04FD" w:rsidRPr="0013396E" w:rsidRDefault="001F04FD" w:rsidP="00AC4DEE">
            <w:pPr>
              <w:pStyle w:val="TableBody"/>
            </w:pPr>
            <w:r w:rsidRPr="0013396E">
              <w:t>$</w:t>
            </w:r>
          </w:p>
        </w:tc>
        <w:tc>
          <w:tcPr>
            <w:tcW w:w="3382" w:type="pct"/>
          </w:tcPr>
          <w:p w14:paraId="18E0F2D8" w14:textId="77777777" w:rsidR="001F04FD" w:rsidRPr="0013396E" w:rsidRDefault="001F04FD" w:rsidP="00AC4DEE">
            <w:pPr>
              <w:pStyle w:val="TableBody"/>
              <w:rPr>
                <w:i/>
              </w:rPr>
            </w:pPr>
            <w:r w:rsidRPr="0013396E">
              <w:rPr>
                <w:i/>
              </w:rPr>
              <w:t>Real-Time Obligation Amount Total</w:t>
            </w:r>
            <w:r w:rsidRPr="0013396E">
              <w:t>—The sum of all payments and charges for PTP Obligations settled in Real-Time for the hour that includes the 15-minute Settlement Interval.</w:t>
            </w:r>
          </w:p>
        </w:tc>
      </w:tr>
      <w:tr w:rsidR="001F04FD" w:rsidRPr="0013396E" w14:paraId="1F060504" w14:textId="77777777" w:rsidTr="00AC4DEE">
        <w:trPr>
          <w:cantSplit/>
        </w:trPr>
        <w:tc>
          <w:tcPr>
            <w:tcW w:w="1279" w:type="pct"/>
          </w:tcPr>
          <w:p w14:paraId="57A59ED2" w14:textId="77777777" w:rsidR="001F04FD" w:rsidRPr="0013396E" w:rsidRDefault="001F04FD" w:rsidP="00AC4DEE">
            <w:pPr>
              <w:pStyle w:val="TableBody"/>
            </w:pPr>
            <w:r w:rsidRPr="0013396E">
              <w:t>RTOBLLOAMTTOT</w:t>
            </w:r>
          </w:p>
        </w:tc>
        <w:tc>
          <w:tcPr>
            <w:tcW w:w="339" w:type="pct"/>
          </w:tcPr>
          <w:p w14:paraId="07CACFF6" w14:textId="77777777" w:rsidR="001F04FD" w:rsidRPr="0013396E" w:rsidRDefault="001F04FD" w:rsidP="00AC4DEE">
            <w:pPr>
              <w:pStyle w:val="TableBody"/>
            </w:pPr>
            <w:r w:rsidRPr="0013396E">
              <w:t>$</w:t>
            </w:r>
          </w:p>
        </w:tc>
        <w:tc>
          <w:tcPr>
            <w:tcW w:w="3382" w:type="pct"/>
          </w:tcPr>
          <w:p w14:paraId="0A98B28A" w14:textId="77777777" w:rsidR="001F04FD" w:rsidRPr="0013396E" w:rsidRDefault="001F04FD" w:rsidP="00AC4DEE">
            <w:pPr>
              <w:pStyle w:val="TableBody"/>
              <w:rPr>
                <w:i/>
              </w:rPr>
            </w:pPr>
            <w:r w:rsidRPr="0013396E">
              <w:rPr>
                <w:i/>
              </w:rPr>
              <w:t>Real-Time Obligation with Links to an Option Amount Total</w:t>
            </w:r>
            <w:r w:rsidRPr="0013396E">
              <w:t>—The sum of all payments for PTP Obligations with Links to an Option settled in Real-Time for the hour that includes the 15-minute Settlement Interval.</w:t>
            </w:r>
          </w:p>
        </w:tc>
      </w:tr>
      <w:tr w:rsidR="001F04FD" w:rsidRPr="0013396E" w14:paraId="7D258495"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44FB3CB9" w14:textId="77777777" w:rsidR="001F04FD" w:rsidRPr="0013396E" w:rsidRDefault="001F04FD" w:rsidP="00AC4DEE">
            <w:pPr>
              <w:pStyle w:val="TableBody"/>
            </w:pPr>
            <w:r w:rsidRPr="0013396E">
              <w:t xml:space="preserve">RTEIAMTQSETOT </w:t>
            </w:r>
            <w:r w:rsidRPr="0013396E">
              <w:rPr>
                <w:i/>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75556FFA" w14:textId="77777777" w:rsidR="001F04FD" w:rsidRPr="0013396E" w:rsidRDefault="001F04FD" w:rsidP="00AC4DEE">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69B5C3CD" w14:textId="77777777" w:rsidR="001F04FD" w:rsidRPr="0013396E" w:rsidRDefault="001F04FD" w:rsidP="00AC4DEE">
            <w:pPr>
              <w:pStyle w:val="TableBody"/>
              <w:rPr>
                <w:bCs/>
              </w:rPr>
            </w:pPr>
            <w:r w:rsidRPr="0013396E">
              <w:rPr>
                <w:bCs/>
                <w:i/>
              </w:rPr>
              <w:t>Real-Time Energy Imbalance Amount QSE Total per QSE</w:t>
            </w:r>
            <w:r w:rsidRPr="0013396E">
              <w:rPr>
                <w:bCs/>
              </w:rPr>
              <w:sym w:font="Symbol" w:char="F0BE"/>
            </w:r>
            <w:r w:rsidRPr="0013396E">
              <w:rPr>
                <w:bCs/>
              </w:rPr>
              <w:t xml:space="preserve">The total net payments and charges to QSE </w:t>
            </w:r>
            <w:r w:rsidRPr="0013396E">
              <w:rPr>
                <w:bCs/>
                <w:i/>
              </w:rPr>
              <w:t>q</w:t>
            </w:r>
            <w:r w:rsidRPr="0013396E">
              <w:rPr>
                <w:bCs/>
              </w:rPr>
              <w:t xml:space="preserve"> for Real-Time Energy Imbalance at all Resource Node Settlement Points for the 15-minute Settlement Interval.</w:t>
            </w:r>
          </w:p>
        </w:tc>
      </w:tr>
      <w:tr w:rsidR="001F04FD" w:rsidRPr="0013396E" w14:paraId="747D871A"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235C44A9" w14:textId="77777777" w:rsidR="001F04FD" w:rsidRPr="0013396E" w:rsidRDefault="001F04FD" w:rsidP="00AC4DEE">
            <w:pPr>
              <w:pStyle w:val="TableBody"/>
            </w:pPr>
            <w:r w:rsidRPr="0013396E">
              <w:t xml:space="preserve">RTCCAMTQSETOT </w:t>
            </w:r>
            <w:r w:rsidRPr="0013396E">
              <w:rPr>
                <w:i/>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25C2DD0A" w14:textId="77777777" w:rsidR="001F04FD" w:rsidRPr="0013396E" w:rsidRDefault="001F04FD" w:rsidP="00AC4DEE">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3FA693B6" w14:textId="77777777" w:rsidR="001F04FD" w:rsidRPr="0013396E" w:rsidRDefault="001F04FD" w:rsidP="00AC4DEE">
            <w:pPr>
              <w:pStyle w:val="TableBody"/>
              <w:rPr>
                <w:bCs/>
              </w:rPr>
            </w:pPr>
            <w:r w:rsidRPr="0013396E">
              <w:rPr>
                <w:bCs/>
                <w:i/>
              </w:rPr>
              <w:t>Real-Time Congestion Cost Amount QSE Total per QSE</w:t>
            </w:r>
            <w:r w:rsidRPr="0013396E">
              <w:rPr>
                <w:bCs/>
              </w:rPr>
              <w:sym w:font="Symbol" w:char="F0BE"/>
            </w:r>
            <w:r w:rsidRPr="0013396E">
              <w:rPr>
                <w:bCs/>
              </w:rPr>
              <w:t xml:space="preserve">The total net congestion payments and charges to QSE </w:t>
            </w:r>
            <w:r w:rsidRPr="0013396E">
              <w:rPr>
                <w:bCs/>
                <w:i/>
              </w:rPr>
              <w:t>q</w:t>
            </w:r>
            <w:r w:rsidRPr="0013396E">
              <w:rPr>
                <w:bCs/>
              </w:rPr>
              <w:t xml:space="preserve"> for its Self-Schedules for the 15-minute Settlement Interval.</w:t>
            </w:r>
          </w:p>
        </w:tc>
      </w:tr>
      <w:tr w:rsidR="001F04FD" w:rsidRPr="0013396E" w14:paraId="1A7DBE75"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0EB4F66C" w14:textId="77777777" w:rsidR="001F04FD" w:rsidRPr="0013396E" w:rsidRDefault="001F04FD" w:rsidP="00AC4DEE">
            <w:pPr>
              <w:pStyle w:val="TableBody"/>
            </w:pPr>
            <w:r w:rsidRPr="0013396E">
              <w:t xml:space="preserve">BLTRAMTQSETOT </w:t>
            </w:r>
            <w:r w:rsidRPr="0013396E">
              <w:rPr>
                <w:i/>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4F5E3805" w14:textId="77777777" w:rsidR="001F04FD" w:rsidRPr="0013396E" w:rsidRDefault="001F04FD" w:rsidP="00AC4DEE">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6C97E6CA" w14:textId="77777777" w:rsidR="001F04FD" w:rsidRPr="0013396E" w:rsidRDefault="001F04FD" w:rsidP="00AC4DEE">
            <w:pPr>
              <w:pStyle w:val="TableBody"/>
              <w:rPr>
                <w:bCs/>
              </w:rPr>
            </w:pPr>
            <w:r w:rsidRPr="0013396E">
              <w:rPr>
                <w:bCs/>
                <w:i/>
              </w:rPr>
              <w:t>Block Load Transfer Resource Amount QSE Total per QSE</w:t>
            </w:r>
            <w:r w:rsidRPr="0013396E">
              <w:rPr>
                <w:bCs/>
              </w:rPr>
              <w:sym w:font="Symbol" w:char="F0BE"/>
            </w:r>
            <w:r w:rsidRPr="0013396E">
              <w:rPr>
                <w:bCs/>
              </w:rPr>
              <w:t xml:space="preserve">The total of the payments to QSE </w:t>
            </w:r>
            <w:r w:rsidRPr="0013396E">
              <w:rPr>
                <w:bCs/>
                <w:i/>
              </w:rPr>
              <w:t>q</w:t>
            </w:r>
            <w:r w:rsidRPr="0013396E">
              <w:rPr>
                <w:bCs/>
              </w:rPr>
              <w:t xml:space="preserve"> for energy delivered into the ERCOT Region through BLT points for the 15-minute Settlement Interval.</w:t>
            </w:r>
          </w:p>
        </w:tc>
      </w:tr>
      <w:tr w:rsidR="001F04FD" w:rsidRPr="0013396E" w14:paraId="650E784E"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650057B5" w14:textId="77777777" w:rsidR="001F04FD" w:rsidRPr="0013396E" w:rsidRDefault="001F04FD" w:rsidP="00AC4DEE">
            <w:pPr>
              <w:pStyle w:val="TableBody"/>
            </w:pPr>
            <w:r w:rsidRPr="0013396E">
              <w:t xml:space="preserve">RTDCIMPAMTQSETOT </w:t>
            </w:r>
            <w:r w:rsidRPr="0013396E">
              <w:rPr>
                <w:i/>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5931A65A" w14:textId="77777777" w:rsidR="001F04FD" w:rsidRPr="0013396E" w:rsidRDefault="001F04FD" w:rsidP="00AC4DEE">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60C79E3D" w14:textId="77777777" w:rsidR="001F04FD" w:rsidRPr="0013396E" w:rsidRDefault="001F04FD" w:rsidP="00AC4DEE">
            <w:pPr>
              <w:pStyle w:val="TableBody"/>
              <w:rPr>
                <w:bCs/>
              </w:rPr>
            </w:pPr>
            <w:r w:rsidRPr="0013396E">
              <w:rPr>
                <w:bCs/>
                <w:i/>
              </w:rPr>
              <w:t>Real-Time DC Import Amount QSE Total per QSE</w:t>
            </w:r>
            <w:r w:rsidRPr="0013396E">
              <w:rPr>
                <w:bCs/>
              </w:rPr>
              <w:sym w:font="Symbol" w:char="F0BE"/>
            </w:r>
            <w:r w:rsidRPr="0013396E">
              <w:rPr>
                <w:bCs/>
              </w:rPr>
              <w:t xml:space="preserve">The total of the payments to QSE </w:t>
            </w:r>
            <w:r w:rsidRPr="0013396E">
              <w:rPr>
                <w:bCs/>
                <w:i/>
              </w:rPr>
              <w:t>q</w:t>
            </w:r>
            <w:r w:rsidRPr="0013396E">
              <w:rPr>
                <w:bCs/>
              </w:rPr>
              <w:t xml:space="preserve"> for energy imported into the ERCOT Region through DC Ties for the 15-minute Settlement Interval.</w:t>
            </w:r>
          </w:p>
        </w:tc>
      </w:tr>
      <w:tr w:rsidR="001F04FD" w:rsidRPr="0013396E" w14:paraId="23ADF615"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195F5CCD" w14:textId="77777777" w:rsidR="001F04FD" w:rsidRPr="0013396E" w:rsidRDefault="001F04FD" w:rsidP="00AC4DEE">
            <w:pPr>
              <w:pStyle w:val="TableBody"/>
            </w:pPr>
            <w:r w:rsidRPr="0013396E">
              <w:t xml:space="preserve">RTOBLAMTQSETOT </w:t>
            </w:r>
            <w:r w:rsidRPr="0013396E">
              <w:rPr>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7A77F5EB" w14:textId="77777777" w:rsidR="001F04FD" w:rsidRPr="0013396E" w:rsidRDefault="001F04FD" w:rsidP="00AC4DEE">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67222337" w14:textId="77777777" w:rsidR="001F04FD" w:rsidRPr="0013396E" w:rsidRDefault="001F04FD" w:rsidP="00AC4DEE">
            <w:pPr>
              <w:pStyle w:val="TableBody"/>
              <w:rPr>
                <w:bCs/>
              </w:rPr>
            </w:pPr>
            <w:r w:rsidRPr="0013396E">
              <w:rPr>
                <w:bCs/>
                <w:i/>
              </w:rPr>
              <w:t>Real-Time Obligation Amount QSE Total per QSE</w:t>
            </w:r>
            <w:r w:rsidRPr="0013396E">
              <w:rPr>
                <w:bCs/>
              </w:rPr>
              <w:t xml:space="preserve">—The net total payment or charge to QSE </w:t>
            </w:r>
            <w:r w:rsidRPr="0013396E">
              <w:rPr>
                <w:bCs/>
                <w:i/>
              </w:rPr>
              <w:t>q</w:t>
            </w:r>
            <w:r w:rsidRPr="0013396E">
              <w:rPr>
                <w:bCs/>
              </w:rPr>
              <w:t xml:space="preserve"> of all its PTP Obligations settled in Real-Time for the hour that includes the 15-minute Settlement Interval.  See paragraph (2) of Section 7.9.2.1, Payments and Charges for PTP Obligations Settled in Real-Time.</w:t>
            </w:r>
          </w:p>
        </w:tc>
      </w:tr>
      <w:tr w:rsidR="001F04FD" w:rsidRPr="0013396E" w14:paraId="33E97B7F"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63C65C31" w14:textId="77777777" w:rsidR="001F04FD" w:rsidRPr="0013396E" w:rsidRDefault="001F04FD" w:rsidP="00AC4DEE">
            <w:pPr>
              <w:pStyle w:val="TableBody"/>
            </w:pPr>
            <w:r w:rsidRPr="0013396E">
              <w:lastRenderedPageBreak/>
              <w:t xml:space="preserve">RTOBLLOAMTQSETOT </w:t>
            </w:r>
            <w:r w:rsidRPr="0013396E">
              <w:rPr>
                <w:i/>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4BCBB877" w14:textId="77777777" w:rsidR="001F04FD" w:rsidRPr="0013396E" w:rsidRDefault="001F04FD" w:rsidP="00AC4DEE">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61707FF3" w14:textId="77777777" w:rsidR="001F04FD" w:rsidRPr="0013396E" w:rsidRDefault="001F04FD" w:rsidP="00AC4DEE">
            <w:pPr>
              <w:pStyle w:val="TableBody"/>
              <w:rPr>
                <w:bCs/>
                <w:i/>
              </w:rPr>
            </w:pPr>
            <w:r w:rsidRPr="0013396E">
              <w:rPr>
                <w:bCs/>
                <w:i/>
              </w:rPr>
              <w:t>Real-Time Obligation with Links to an Option Amount QSE Total per QSE</w:t>
            </w:r>
            <w:r w:rsidRPr="0013396E">
              <w:rPr>
                <w:bCs/>
              </w:rPr>
              <w:t xml:space="preserve">—The total payment to QSE </w:t>
            </w:r>
            <w:r w:rsidRPr="0013396E">
              <w:rPr>
                <w:bCs/>
                <w:i/>
              </w:rPr>
              <w:t>q</w:t>
            </w:r>
            <w:r w:rsidRPr="0013396E">
              <w:rPr>
                <w:bCs/>
              </w:rPr>
              <w:t xml:space="preserve"> for all of its PTP Obligations with Links to an Option settled in Real-Time for the hour that includes the 15-minute Settlement Interval.  See paragraph (2) of Section 7.9.2.1.</w:t>
            </w:r>
          </w:p>
        </w:tc>
      </w:tr>
      <w:tr w:rsidR="00DF0BE4" w:rsidRPr="0013396E" w14:paraId="72B579A2"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76B05252" w14:textId="55455ED9" w:rsidR="00DF0BE4" w:rsidRPr="0013396E" w:rsidRDefault="00DF0BE4" w:rsidP="00DF0BE4">
            <w:pPr>
              <w:pStyle w:val="TableBody"/>
            </w:pPr>
            <w:r w:rsidRPr="0013396E">
              <w:t xml:space="preserve">RTESOGAMTQSETOT </w:t>
            </w:r>
            <w:r w:rsidRPr="0013396E">
              <w:rPr>
                <w:i/>
                <w:vertAlign w:val="subscript"/>
              </w:rPr>
              <w:t>q</w:t>
            </w:r>
          </w:p>
        </w:tc>
        <w:tc>
          <w:tcPr>
            <w:tcW w:w="339" w:type="pct"/>
            <w:tcBorders>
              <w:top w:val="single" w:sz="4" w:space="0" w:color="auto"/>
              <w:left w:val="single" w:sz="4" w:space="0" w:color="auto"/>
              <w:bottom w:val="single" w:sz="4" w:space="0" w:color="auto"/>
              <w:right w:val="single" w:sz="4" w:space="0" w:color="auto"/>
            </w:tcBorders>
          </w:tcPr>
          <w:p w14:paraId="65531D5B" w14:textId="61549DC5" w:rsidR="00DF0BE4" w:rsidRPr="0013396E" w:rsidRDefault="00DF0BE4" w:rsidP="00DF0BE4">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409A18C8" w14:textId="063580D6" w:rsidR="00DF0BE4" w:rsidRPr="0013396E" w:rsidRDefault="00DF0BE4" w:rsidP="00DF0BE4">
            <w:pPr>
              <w:pStyle w:val="TableBody"/>
              <w:rPr>
                <w:bCs/>
                <w:i/>
              </w:rPr>
            </w:pPr>
            <w:r w:rsidRPr="0013396E">
              <w:rPr>
                <w:i/>
              </w:rPr>
              <w:t xml:space="preserve">Real-Time Energy Payment or Charge per QSE for Energy from SODGs and SOTGs </w:t>
            </w:r>
            <w:r w:rsidRPr="0013396E">
              <w:t xml:space="preserve">—The payment or charge to QSE </w:t>
            </w:r>
            <w:r w:rsidRPr="0013396E">
              <w:rPr>
                <w:i/>
              </w:rPr>
              <w:t>q</w:t>
            </w:r>
            <w:r w:rsidRPr="0013396E">
              <w:t xml:space="preserve"> for Real-Time energy from SODGs and SOTGs, for the 15-minute Settlement Interval.</w:t>
            </w:r>
          </w:p>
        </w:tc>
      </w:tr>
      <w:tr w:rsidR="00DF0BE4" w:rsidRPr="0013396E" w14:paraId="6CEB71EA" w14:textId="77777777" w:rsidTr="00AC4DEE">
        <w:trPr>
          <w:cantSplit/>
        </w:trPr>
        <w:tc>
          <w:tcPr>
            <w:tcW w:w="1279" w:type="pct"/>
            <w:tcBorders>
              <w:top w:val="single" w:sz="4" w:space="0" w:color="auto"/>
              <w:left w:val="single" w:sz="4" w:space="0" w:color="auto"/>
              <w:bottom w:val="single" w:sz="4" w:space="0" w:color="auto"/>
              <w:right w:val="single" w:sz="4" w:space="0" w:color="auto"/>
            </w:tcBorders>
          </w:tcPr>
          <w:p w14:paraId="4D49A5D7" w14:textId="4D9C454B" w:rsidR="00DF0BE4" w:rsidRPr="0013396E" w:rsidRDefault="00DF0BE4" w:rsidP="00DF0BE4">
            <w:pPr>
              <w:pStyle w:val="TableBody"/>
            </w:pPr>
            <w:r w:rsidRPr="0013396E">
              <w:t>RTESOGAMTTOT</w:t>
            </w:r>
          </w:p>
        </w:tc>
        <w:tc>
          <w:tcPr>
            <w:tcW w:w="339" w:type="pct"/>
            <w:tcBorders>
              <w:top w:val="single" w:sz="4" w:space="0" w:color="auto"/>
              <w:left w:val="single" w:sz="4" w:space="0" w:color="auto"/>
              <w:bottom w:val="single" w:sz="4" w:space="0" w:color="auto"/>
              <w:right w:val="single" w:sz="4" w:space="0" w:color="auto"/>
            </w:tcBorders>
          </w:tcPr>
          <w:p w14:paraId="1D6C0917" w14:textId="7F1B26E2" w:rsidR="00DF0BE4" w:rsidRPr="0013396E" w:rsidRDefault="00DF0BE4" w:rsidP="00DF0BE4">
            <w:pPr>
              <w:pStyle w:val="TableBody"/>
              <w:rPr>
                <w:bCs/>
              </w:rPr>
            </w:pPr>
            <w:r w:rsidRPr="0013396E">
              <w:rPr>
                <w:bCs/>
              </w:rPr>
              <w:t>$</w:t>
            </w:r>
          </w:p>
        </w:tc>
        <w:tc>
          <w:tcPr>
            <w:tcW w:w="3382" w:type="pct"/>
            <w:tcBorders>
              <w:top w:val="single" w:sz="4" w:space="0" w:color="auto"/>
              <w:left w:val="single" w:sz="4" w:space="0" w:color="auto"/>
              <w:bottom w:val="single" w:sz="4" w:space="0" w:color="auto"/>
              <w:right w:val="single" w:sz="4" w:space="0" w:color="auto"/>
            </w:tcBorders>
          </w:tcPr>
          <w:p w14:paraId="54A584FB" w14:textId="4FAFA7BC" w:rsidR="00DF0BE4" w:rsidRPr="0013396E" w:rsidRDefault="00DF0BE4" w:rsidP="00DF0BE4">
            <w:pPr>
              <w:pStyle w:val="TableBody"/>
              <w:rPr>
                <w:bCs/>
                <w:i/>
              </w:rPr>
            </w:pPr>
            <w:r w:rsidRPr="0013396E">
              <w:rPr>
                <w:i/>
              </w:rPr>
              <w:t xml:space="preserve">Real-Time Energy Amount Total for Energy from all SODGs and SOTGs </w:t>
            </w:r>
            <w:r w:rsidRPr="0013396E">
              <w:t>—The total net payments and charges to all QSEs for Real-Time energy from SODGs and SOTGs, for the 15-minute Settlement Interval.</w:t>
            </w:r>
          </w:p>
        </w:tc>
      </w:tr>
      <w:tr w:rsidR="002F5823" w:rsidRPr="0013396E" w14:paraId="4DF5C7B9" w14:textId="77777777" w:rsidTr="002F5823">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2F5823" w:rsidRPr="0013396E" w14:paraId="1553525B" w14:textId="77777777" w:rsidTr="008B123E">
              <w:trPr>
                <w:trHeight w:val="206"/>
              </w:trPr>
              <w:tc>
                <w:tcPr>
                  <w:tcW w:w="9576" w:type="dxa"/>
                  <w:shd w:val="pct12" w:color="auto" w:fill="auto"/>
                </w:tcPr>
                <w:p w14:paraId="1F339865" w14:textId="5E9F0EB0" w:rsidR="002F5823" w:rsidRPr="0013396E" w:rsidRDefault="002F5823" w:rsidP="002F5823">
                  <w:pPr>
                    <w:pStyle w:val="Instructions"/>
                    <w:spacing w:before="120"/>
                  </w:pPr>
                  <w:r w:rsidRPr="0013396E">
                    <w:t>[</w:t>
                  </w:r>
                  <w:r w:rsidR="00C04382" w:rsidRPr="0013396E">
                    <w:t>NPRR995</w:t>
                  </w:r>
                  <w:r w:rsidRPr="0013396E">
                    <w:t xml:space="preserve">:  </w:t>
                  </w:r>
                  <w:r w:rsidR="00DF0BE4" w:rsidRPr="0013396E">
                    <w:t>Replace</w:t>
                  </w:r>
                  <w:r w:rsidRPr="0013396E">
                    <w:t xml:space="preserve"> the variables “RTESO</w:t>
                  </w:r>
                  <w:r w:rsidR="00F26601" w:rsidRPr="0013396E">
                    <w:t>G</w:t>
                  </w:r>
                  <w:r w:rsidRPr="0013396E">
                    <w:t xml:space="preserve">AMTQSETOT </w:t>
                  </w:r>
                  <w:r w:rsidRPr="0013396E">
                    <w:rPr>
                      <w:vertAlign w:val="subscript"/>
                    </w:rPr>
                    <w:t>q</w:t>
                  </w:r>
                  <w:r w:rsidRPr="0013396E">
                    <w:t>” and “RTESO</w:t>
                  </w:r>
                  <w:r w:rsidR="00F26601" w:rsidRPr="0013396E">
                    <w:t>G</w:t>
                  </w:r>
                  <w:r w:rsidRPr="0013396E">
                    <w:t xml:space="preserve">AMTTOT” </w:t>
                  </w:r>
                  <w:r w:rsidR="00DF0BE4" w:rsidRPr="0013396E">
                    <w:t>above with the following</w:t>
                  </w:r>
                  <w:r w:rsidRPr="0013396E">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34"/>
                    <w:gridCol w:w="704"/>
                    <w:gridCol w:w="5846"/>
                  </w:tblGrid>
                  <w:tr w:rsidR="002F5823" w:rsidRPr="0013396E" w14:paraId="75358A54" w14:textId="77777777" w:rsidTr="002F5823">
                    <w:trPr>
                      <w:cantSplit/>
                    </w:trPr>
                    <w:tc>
                      <w:tcPr>
                        <w:tcW w:w="1314" w:type="pct"/>
                        <w:tcBorders>
                          <w:bottom w:val="single" w:sz="4" w:space="0" w:color="auto"/>
                        </w:tcBorders>
                      </w:tcPr>
                      <w:p w14:paraId="196A2BB1" w14:textId="0CA5CF9A" w:rsidR="002F5823" w:rsidRPr="0013396E" w:rsidRDefault="002F5823" w:rsidP="002F5823">
                        <w:pPr>
                          <w:pStyle w:val="tablebody0"/>
                        </w:pPr>
                        <w:r w:rsidRPr="0013396E">
                          <w:t xml:space="preserve">RTESOAMTQSETOT </w:t>
                        </w:r>
                        <w:r w:rsidRPr="0013396E">
                          <w:rPr>
                            <w:i/>
                            <w:vertAlign w:val="subscript"/>
                          </w:rPr>
                          <w:t>q</w:t>
                        </w:r>
                      </w:p>
                    </w:tc>
                    <w:tc>
                      <w:tcPr>
                        <w:tcW w:w="396" w:type="pct"/>
                        <w:tcBorders>
                          <w:bottom w:val="single" w:sz="4" w:space="0" w:color="auto"/>
                        </w:tcBorders>
                      </w:tcPr>
                      <w:p w14:paraId="191AE657" w14:textId="77777777" w:rsidR="002F5823" w:rsidRPr="0013396E" w:rsidRDefault="002F5823" w:rsidP="002F5823">
                        <w:pPr>
                          <w:pStyle w:val="tablebody0"/>
                        </w:pPr>
                        <w:r w:rsidRPr="0013396E">
                          <w:rPr>
                            <w:bCs/>
                          </w:rPr>
                          <w:t>$</w:t>
                        </w:r>
                      </w:p>
                    </w:tc>
                    <w:tc>
                      <w:tcPr>
                        <w:tcW w:w="3290" w:type="pct"/>
                        <w:tcBorders>
                          <w:bottom w:val="single" w:sz="4" w:space="0" w:color="auto"/>
                        </w:tcBorders>
                      </w:tcPr>
                      <w:p w14:paraId="3803648F" w14:textId="36C04706" w:rsidR="002F5823" w:rsidRPr="0013396E" w:rsidRDefault="002F5823" w:rsidP="002F5823">
                        <w:pPr>
                          <w:pStyle w:val="tablebody0"/>
                          <w:rPr>
                            <w:i/>
                          </w:rPr>
                        </w:pPr>
                        <w:r w:rsidRPr="0013396E">
                          <w:rPr>
                            <w:i/>
                          </w:rPr>
                          <w:t>Real-Time Energy Payment or Charge per QSE for SODGs</w:t>
                        </w:r>
                        <w:r w:rsidR="00C04382" w:rsidRPr="0013396E">
                          <w:rPr>
                            <w:i/>
                          </w:rPr>
                          <w:t>,</w:t>
                        </w:r>
                        <w:r w:rsidRPr="0013396E">
                          <w:rPr>
                            <w:i/>
                          </w:rPr>
                          <w:t xml:space="preserve"> SOTGs</w:t>
                        </w:r>
                        <w:r w:rsidR="00C04382" w:rsidRPr="0013396E">
                          <w:rPr>
                            <w:i/>
                          </w:rPr>
                          <w:t>, SODESSs, or SOTESSs</w:t>
                        </w:r>
                        <w:r w:rsidR="00E87687" w:rsidRPr="0013396E">
                          <w:rPr>
                            <w:i/>
                          </w:rPr>
                          <w:t xml:space="preserve"> </w:t>
                        </w:r>
                        <w:r w:rsidRPr="0013396E">
                          <w:t xml:space="preserve">—The payment or charge to QSE </w:t>
                        </w:r>
                        <w:r w:rsidRPr="0013396E">
                          <w:rPr>
                            <w:i/>
                          </w:rPr>
                          <w:t>q</w:t>
                        </w:r>
                        <w:r w:rsidRPr="0013396E">
                          <w:t xml:space="preserve"> for Real-Time energy from SODGs</w:t>
                        </w:r>
                        <w:r w:rsidR="00C04382" w:rsidRPr="0013396E">
                          <w:t>,</w:t>
                        </w:r>
                        <w:r w:rsidRPr="0013396E">
                          <w:t xml:space="preserve"> SOTGs</w:t>
                        </w:r>
                        <w:r w:rsidR="00C04382" w:rsidRPr="0013396E">
                          <w:t>, SODESSs, or SOTESSs</w:t>
                        </w:r>
                        <w:r w:rsidRPr="0013396E">
                          <w:t>, for the 15-minute Settlement Interval.</w:t>
                        </w:r>
                      </w:p>
                    </w:tc>
                  </w:tr>
                  <w:tr w:rsidR="002F5823" w:rsidRPr="0013396E" w14:paraId="16E92988" w14:textId="77777777" w:rsidTr="002F5823">
                    <w:trPr>
                      <w:cantSplit/>
                    </w:trPr>
                    <w:tc>
                      <w:tcPr>
                        <w:tcW w:w="1314" w:type="pct"/>
                        <w:tcBorders>
                          <w:bottom w:val="single" w:sz="4" w:space="0" w:color="auto"/>
                        </w:tcBorders>
                      </w:tcPr>
                      <w:p w14:paraId="2208A431" w14:textId="097194D7" w:rsidR="002F5823" w:rsidRPr="0013396E" w:rsidRDefault="002F5823" w:rsidP="002F5823">
                        <w:pPr>
                          <w:pStyle w:val="tablebody0"/>
                        </w:pPr>
                        <w:r w:rsidRPr="0013396E">
                          <w:t>RTESOAMTTOT</w:t>
                        </w:r>
                      </w:p>
                    </w:tc>
                    <w:tc>
                      <w:tcPr>
                        <w:tcW w:w="396" w:type="pct"/>
                        <w:tcBorders>
                          <w:bottom w:val="single" w:sz="4" w:space="0" w:color="auto"/>
                        </w:tcBorders>
                      </w:tcPr>
                      <w:p w14:paraId="408FA007" w14:textId="77777777" w:rsidR="002F5823" w:rsidRPr="0013396E" w:rsidRDefault="002F5823" w:rsidP="002F5823">
                        <w:pPr>
                          <w:pStyle w:val="tablebody0"/>
                        </w:pPr>
                        <w:r w:rsidRPr="0013396E">
                          <w:rPr>
                            <w:bCs/>
                          </w:rPr>
                          <w:t>$</w:t>
                        </w:r>
                      </w:p>
                    </w:tc>
                    <w:tc>
                      <w:tcPr>
                        <w:tcW w:w="3290" w:type="pct"/>
                        <w:tcBorders>
                          <w:bottom w:val="single" w:sz="4" w:space="0" w:color="auto"/>
                        </w:tcBorders>
                      </w:tcPr>
                      <w:p w14:paraId="60FAF72B" w14:textId="3B2CE543" w:rsidR="002F5823" w:rsidRPr="0013396E" w:rsidRDefault="002F5823" w:rsidP="002F5823">
                        <w:pPr>
                          <w:pStyle w:val="tablebody0"/>
                          <w:rPr>
                            <w:i/>
                          </w:rPr>
                        </w:pPr>
                        <w:r w:rsidRPr="0013396E">
                          <w:rPr>
                            <w:i/>
                          </w:rPr>
                          <w:t>Real-Time Energy Amount Total from all SODGs</w:t>
                        </w:r>
                        <w:r w:rsidR="00C04382" w:rsidRPr="0013396E">
                          <w:rPr>
                            <w:i/>
                          </w:rPr>
                          <w:t>,</w:t>
                        </w:r>
                        <w:r w:rsidRPr="0013396E">
                          <w:rPr>
                            <w:i/>
                          </w:rPr>
                          <w:t xml:space="preserve"> SOTGs</w:t>
                        </w:r>
                        <w:r w:rsidR="00C04382" w:rsidRPr="0013396E">
                          <w:rPr>
                            <w:i/>
                          </w:rPr>
                          <w:t>, SODESSs, or SOTESSs</w:t>
                        </w:r>
                        <w:r w:rsidR="00E87687" w:rsidRPr="0013396E">
                          <w:rPr>
                            <w:i/>
                          </w:rPr>
                          <w:t xml:space="preserve"> </w:t>
                        </w:r>
                        <w:r w:rsidRPr="0013396E">
                          <w:t>—The total net payments and charges to all QSEs for Real-Time energy from SODGs</w:t>
                        </w:r>
                        <w:r w:rsidR="00C04382" w:rsidRPr="0013396E">
                          <w:t>,</w:t>
                        </w:r>
                        <w:r w:rsidRPr="0013396E">
                          <w:t xml:space="preserve"> SOTGs</w:t>
                        </w:r>
                        <w:r w:rsidR="00C04382" w:rsidRPr="0013396E">
                          <w:t>, SODESSs, or SOTESSs</w:t>
                        </w:r>
                        <w:r w:rsidRPr="0013396E">
                          <w:t>, for the 15-minute Settlement Interval.</w:t>
                        </w:r>
                      </w:p>
                    </w:tc>
                  </w:tr>
                </w:tbl>
                <w:p w14:paraId="09EAF205" w14:textId="77777777" w:rsidR="002F5823" w:rsidRPr="0013396E" w:rsidRDefault="002F5823" w:rsidP="002F5823">
                  <w:pPr>
                    <w:pStyle w:val="tablebody0"/>
                    <w:rPr>
                      <w:i/>
                    </w:rPr>
                  </w:pPr>
                </w:p>
              </w:tc>
            </w:tr>
          </w:tbl>
          <w:p w14:paraId="388B2ACD" w14:textId="77777777" w:rsidR="002F5823" w:rsidRPr="0013396E" w:rsidRDefault="002F5823" w:rsidP="00AC4DEE">
            <w:pPr>
              <w:pStyle w:val="TableBody"/>
            </w:pPr>
          </w:p>
        </w:tc>
      </w:tr>
      <w:tr w:rsidR="001F04FD" w:rsidRPr="0013396E" w14:paraId="06E57E06" w14:textId="77777777" w:rsidTr="00AC4DEE">
        <w:trPr>
          <w:cantSplit/>
        </w:trPr>
        <w:tc>
          <w:tcPr>
            <w:tcW w:w="1279" w:type="pct"/>
          </w:tcPr>
          <w:p w14:paraId="68FBE875" w14:textId="77777777" w:rsidR="001F04FD" w:rsidRPr="0013396E" w:rsidRDefault="001F04FD" w:rsidP="00AC4DEE">
            <w:pPr>
              <w:pStyle w:val="TableBody"/>
            </w:pPr>
            <w:r w:rsidRPr="0013396E">
              <w:t xml:space="preserve">LRS </w:t>
            </w:r>
            <w:r w:rsidRPr="0013396E">
              <w:rPr>
                <w:i/>
                <w:vertAlign w:val="subscript"/>
              </w:rPr>
              <w:t>q</w:t>
            </w:r>
          </w:p>
        </w:tc>
        <w:tc>
          <w:tcPr>
            <w:tcW w:w="339" w:type="pct"/>
          </w:tcPr>
          <w:p w14:paraId="2311D20F" w14:textId="77777777" w:rsidR="001F04FD" w:rsidRPr="0013396E" w:rsidRDefault="001F04FD" w:rsidP="00AC4DEE">
            <w:pPr>
              <w:pStyle w:val="TableBody"/>
            </w:pPr>
            <w:r w:rsidRPr="0013396E">
              <w:t>none</w:t>
            </w:r>
          </w:p>
        </w:tc>
        <w:tc>
          <w:tcPr>
            <w:tcW w:w="3382" w:type="pct"/>
          </w:tcPr>
          <w:p w14:paraId="7DB43F18" w14:textId="77777777" w:rsidR="001F04FD" w:rsidRPr="0013396E" w:rsidRDefault="001F04FD" w:rsidP="00AC4DEE">
            <w:pPr>
              <w:pStyle w:val="TableBody"/>
            </w:pPr>
            <w:r w:rsidRPr="0013396E">
              <w:t xml:space="preserve">The LRS calculated for QSE </w:t>
            </w:r>
            <w:r w:rsidRPr="0013396E">
              <w:rPr>
                <w:i/>
              </w:rPr>
              <w:t>q</w:t>
            </w:r>
            <w:r w:rsidRPr="0013396E">
              <w:t xml:space="preserve"> for the 15-minute Settlement Interval.  See Section 6.6.2.2, QSE Load Ratio Share for a 15-Minute Settlement Interval.</w:t>
            </w:r>
          </w:p>
        </w:tc>
      </w:tr>
      <w:tr w:rsidR="001F04FD" w:rsidRPr="0013396E" w14:paraId="66EE4CE7" w14:textId="77777777" w:rsidTr="00AC4DEE">
        <w:trPr>
          <w:cantSplit/>
        </w:trPr>
        <w:tc>
          <w:tcPr>
            <w:tcW w:w="1279" w:type="pct"/>
          </w:tcPr>
          <w:p w14:paraId="2D205ADD" w14:textId="77777777" w:rsidR="001F04FD" w:rsidRPr="0013396E" w:rsidRDefault="001F04FD" w:rsidP="00AC4DEE">
            <w:pPr>
              <w:pStyle w:val="TableBody"/>
              <w:rPr>
                <w:i/>
              </w:rPr>
            </w:pPr>
            <w:r w:rsidRPr="0013396E">
              <w:rPr>
                <w:i/>
              </w:rPr>
              <w:t>q</w:t>
            </w:r>
          </w:p>
        </w:tc>
        <w:tc>
          <w:tcPr>
            <w:tcW w:w="339" w:type="pct"/>
          </w:tcPr>
          <w:p w14:paraId="4D4A89FB" w14:textId="77777777" w:rsidR="001F04FD" w:rsidRPr="0013396E" w:rsidRDefault="001F04FD" w:rsidP="00AC4DEE">
            <w:pPr>
              <w:pStyle w:val="TableBody"/>
              <w:rPr>
                <w:bCs/>
              </w:rPr>
            </w:pPr>
            <w:r w:rsidRPr="0013396E">
              <w:rPr>
                <w:bCs/>
              </w:rPr>
              <w:t>none</w:t>
            </w:r>
          </w:p>
        </w:tc>
        <w:tc>
          <w:tcPr>
            <w:tcW w:w="3382" w:type="pct"/>
          </w:tcPr>
          <w:p w14:paraId="3F9C36C7" w14:textId="77777777" w:rsidR="001F04FD" w:rsidRPr="0013396E" w:rsidRDefault="001F04FD" w:rsidP="00AC4DEE">
            <w:pPr>
              <w:pStyle w:val="TableBody"/>
              <w:rPr>
                <w:bCs/>
              </w:rPr>
            </w:pPr>
            <w:r w:rsidRPr="0013396E">
              <w:rPr>
                <w:bCs/>
              </w:rPr>
              <w:t>A QSE.</w:t>
            </w:r>
          </w:p>
        </w:tc>
      </w:tr>
      <w:tr w:rsidR="001F04FD" w:rsidRPr="0013396E" w14:paraId="0331A330" w14:textId="77777777" w:rsidTr="00AC4DEE">
        <w:trPr>
          <w:cantSplit/>
        </w:trPr>
        <w:tc>
          <w:tcPr>
            <w:tcW w:w="1279" w:type="pct"/>
          </w:tcPr>
          <w:p w14:paraId="5F09273D" w14:textId="77777777" w:rsidR="001F04FD" w:rsidRPr="0013396E" w:rsidRDefault="001F04FD" w:rsidP="00AC4DEE">
            <w:pPr>
              <w:pStyle w:val="TableBody"/>
              <w:rPr>
                <w:i/>
              </w:rPr>
            </w:pPr>
            <w:r w:rsidRPr="0013396E">
              <w:rPr>
                <w:i/>
              </w:rPr>
              <w:t>o</w:t>
            </w:r>
          </w:p>
        </w:tc>
        <w:tc>
          <w:tcPr>
            <w:tcW w:w="339" w:type="pct"/>
          </w:tcPr>
          <w:p w14:paraId="7D332985" w14:textId="77777777" w:rsidR="001F04FD" w:rsidRPr="0013396E" w:rsidRDefault="001F04FD" w:rsidP="00AC4DEE">
            <w:pPr>
              <w:pStyle w:val="TableBody"/>
              <w:rPr>
                <w:bCs/>
              </w:rPr>
            </w:pPr>
            <w:r w:rsidRPr="0013396E">
              <w:rPr>
                <w:bCs/>
              </w:rPr>
              <w:t>none</w:t>
            </w:r>
          </w:p>
        </w:tc>
        <w:tc>
          <w:tcPr>
            <w:tcW w:w="3382" w:type="pct"/>
          </w:tcPr>
          <w:p w14:paraId="2ECCD5C5" w14:textId="77777777" w:rsidR="001F04FD" w:rsidRPr="0013396E" w:rsidRDefault="001F04FD" w:rsidP="00AC4DEE">
            <w:pPr>
              <w:pStyle w:val="TableBody"/>
              <w:rPr>
                <w:bCs/>
              </w:rPr>
            </w:pPr>
            <w:r w:rsidRPr="0013396E">
              <w:rPr>
                <w:bCs/>
              </w:rPr>
              <w:t>A CRR owner.</w:t>
            </w:r>
          </w:p>
        </w:tc>
      </w:tr>
    </w:tbl>
    <w:p w14:paraId="224E19E4" w14:textId="77777777" w:rsidR="001F04FD" w:rsidRPr="0013396E" w:rsidRDefault="001F04FD" w:rsidP="001F04FD">
      <w:pPr>
        <w:pStyle w:val="BodyTextNumbered"/>
        <w:spacing w:before="240"/>
      </w:pPr>
      <w:r w:rsidRPr="0013396E">
        <w:t>(3)</w:t>
      </w:r>
      <w:r w:rsidRPr="0013396E">
        <w:tab/>
        <w:t>In the event that ERCOT is unable to execute the DAM, the Real-Time Revenue Neutrality Allocation for each QSE for a given 15-minute Settlement Interval is calculated as follows:</w:t>
      </w:r>
    </w:p>
    <w:p w14:paraId="2944152D" w14:textId="17035600" w:rsidR="001F04FD" w:rsidRPr="0013396E" w:rsidRDefault="001F04FD" w:rsidP="001F04FD">
      <w:pPr>
        <w:pStyle w:val="BodyText"/>
        <w:tabs>
          <w:tab w:val="left" w:pos="2880"/>
        </w:tabs>
        <w:ind w:left="3240" w:hanging="2520"/>
        <w:rPr>
          <w:b/>
        </w:rPr>
      </w:pPr>
      <w:r w:rsidRPr="0013396E">
        <w:rPr>
          <w:b/>
        </w:rPr>
        <w:t xml:space="preserve">LARTRNAMT </w:t>
      </w:r>
      <w:r w:rsidRPr="0013396E">
        <w:rPr>
          <w:b/>
          <w:i/>
          <w:vertAlign w:val="subscript"/>
        </w:rPr>
        <w:t>q</w:t>
      </w:r>
      <w:r w:rsidRPr="0013396E">
        <w:rPr>
          <w:b/>
        </w:rPr>
        <w:tab/>
        <w:t>=</w:t>
      </w:r>
      <w:r w:rsidRPr="0013396E">
        <w:rPr>
          <w:b/>
        </w:rPr>
        <w:tab/>
        <w:t xml:space="preserve">(-1) * (RTEIAMTTOT + BLTRAMTTOT + RTDCIMPAMTTOT + </w:t>
      </w:r>
      <w:r w:rsidR="00F26601" w:rsidRPr="0013396E">
        <w:rPr>
          <w:b/>
        </w:rPr>
        <w:t xml:space="preserve">RTESOGAMTTOT + </w:t>
      </w:r>
      <w:r w:rsidRPr="0013396E">
        <w:rPr>
          <w:b/>
        </w:rPr>
        <w:t xml:space="preserve">RTCCAMTTOT + NDRTOBLAMTTOT / 4 + NDRTOPTAMTTOT / 4 + NDRTOPTRAMTTOT / 4 + NDRTOBLRAMTTOT / 4) * LRS </w:t>
      </w:r>
      <w:r w:rsidRPr="0013396E">
        <w:rPr>
          <w:b/>
          <w:i/>
          <w:vertAlign w:val="subscript"/>
        </w:rPr>
        <w:t>q</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C54508" w:rsidRPr="0013396E" w14:paraId="7D0E8434" w14:textId="77777777" w:rsidTr="008B123E">
        <w:trPr>
          <w:trHeight w:val="206"/>
        </w:trPr>
        <w:tc>
          <w:tcPr>
            <w:tcW w:w="9576" w:type="dxa"/>
            <w:shd w:val="pct12" w:color="auto" w:fill="auto"/>
          </w:tcPr>
          <w:p w14:paraId="33ED258E" w14:textId="536CBC76" w:rsidR="00C54508" w:rsidRPr="0013396E" w:rsidRDefault="00C54508" w:rsidP="008B123E">
            <w:pPr>
              <w:pStyle w:val="Instructions"/>
              <w:spacing w:before="120"/>
            </w:pPr>
            <w:r w:rsidRPr="0013396E">
              <w:t>[</w:t>
            </w:r>
            <w:r w:rsidR="00C04382" w:rsidRPr="0013396E">
              <w:t>NPRR995</w:t>
            </w:r>
            <w:r w:rsidRPr="0013396E">
              <w:t xml:space="preserve">:  Replace the formula “LARTRNAMT </w:t>
            </w:r>
            <w:r w:rsidRPr="0013396E">
              <w:rPr>
                <w:vertAlign w:val="subscript"/>
              </w:rPr>
              <w:t>q</w:t>
            </w:r>
            <w:r w:rsidRPr="0013396E">
              <w:t>” above with the following upon system implementation:]</w:t>
            </w:r>
          </w:p>
          <w:p w14:paraId="2BC699FF" w14:textId="4464061E" w:rsidR="00C54508" w:rsidRPr="0013396E" w:rsidRDefault="00C54508" w:rsidP="008B66B5">
            <w:pPr>
              <w:tabs>
                <w:tab w:val="left" w:pos="2880"/>
              </w:tabs>
              <w:spacing w:after="240"/>
              <w:ind w:left="3240" w:hanging="2520"/>
              <w:rPr>
                <w:b/>
                <w:iCs/>
              </w:rPr>
            </w:pPr>
            <w:r w:rsidRPr="0013396E">
              <w:rPr>
                <w:b/>
                <w:iCs/>
              </w:rPr>
              <w:t xml:space="preserve">LARTRNAMT </w:t>
            </w:r>
            <w:r w:rsidRPr="0013396E">
              <w:rPr>
                <w:b/>
                <w:i/>
                <w:iCs/>
                <w:vertAlign w:val="subscript"/>
              </w:rPr>
              <w:t>q</w:t>
            </w:r>
            <w:r w:rsidRPr="0013396E">
              <w:rPr>
                <w:b/>
                <w:iCs/>
              </w:rPr>
              <w:tab/>
              <w:t>=</w:t>
            </w:r>
            <w:r w:rsidRPr="0013396E">
              <w:rPr>
                <w:b/>
                <w:iCs/>
              </w:rPr>
              <w:tab/>
              <w:t xml:space="preserve">(-1) * (RTEIAMTTOT + BLTRAMTTOT + RTDCIMPAMTTOT + </w:t>
            </w:r>
            <w:r w:rsidRPr="0013396E">
              <w:rPr>
                <w:b/>
              </w:rPr>
              <w:t xml:space="preserve">RTESOAMTTOT + </w:t>
            </w:r>
            <w:r w:rsidRPr="0013396E">
              <w:rPr>
                <w:b/>
                <w:iCs/>
              </w:rPr>
              <w:t xml:space="preserve">RTCCAMTTOT + NDRTOBLAMTTOT / 4 + NDRTOPTAMTTOT / 4 + NDRTOPTRAMTTOT / 4 + NDRTOBLRAMTTOT / 4) * LRS </w:t>
            </w:r>
            <w:r w:rsidRPr="0013396E">
              <w:rPr>
                <w:b/>
                <w:i/>
                <w:iCs/>
                <w:vertAlign w:val="subscript"/>
              </w:rPr>
              <w:t>q</w:t>
            </w:r>
          </w:p>
        </w:tc>
      </w:tr>
    </w:tbl>
    <w:p w14:paraId="30F2C46A" w14:textId="77777777" w:rsidR="001F04FD" w:rsidRPr="0013396E" w:rsidRDefault="001F04FD" w:rsidP="00C54508">
      <w:pPr>
        <w:pStyle w:val="BodyText"/>
        <w:spacing w:before="240"/>
      </w:pPr>
      <w:r w:rsidRPr="0013396E">
        <w:lastRenderedPageBreak/>
        <w:t xml:space="preserve">Where: </w:t>
      </w:r>
    </w:p>
    <w:p w14:paraId="6C65E45B" w14:textId="77777777" w:rsidR="001F04FD" w:rsidRPr="0013396E" w:rsidRDefault="001F04FD" w:rsidP="001F04FD">
      <w:pPr>
        <w:ind w:firstLine="720"/>
      </w:pPr>
      <w:r w:rsidRPr="0013396E">
        <w:t>Total Real-Time Energy Imbalance Payment (or Charge) at Settlement Point (or Hub)</w:t>
      </w:r>
    </w:p>
    <w:p w14:paraId="1BF66CB3" w14:textId="35568B25" w:rsidR="001F04FD" w:rsidRPr="0013396E" w:rsidRDefault="001F04FD" w:rsidP="001F04FD">
      <w:pPr>
        <w:pStyle w:val="Formula"/>
        <w:ind w:leftChars="600" w:left="3600" w:hanging="2160"/>
      </w:pPr>
      <w:r w:rsidRPr="0013396E">
        <w:t>RTEIAMTTOT</w:t>
      </w:r>
      <w:r w:rsidRPr="0013396E">
        <w:tab/>
        <w:t>=</w:t>
      </w:r>
      <w:r w:rsidRPr="0013396E">
        <w:tab/>
      </w:r>
      <w:r w:rsidRPr="0013396E">
        <w:rPr>
          <w:position w:val="-22"/>
        </w:rPr>
        <w:object w:dxaOrig="210" w:dyaOrig="465" w14:anchorId="1C457F45">
          <v:shape id="_x0000_i1234" type="#_x0000_t75" style="width:6pt;height:18.6pt" o:ole="">
            <v:imagedata r:id="rId285" o:title=""/>
          </v:shape>
          <o:OLEObject Type="Embed" ProgID="Equation.3" ShapeID="_x0000_i1234" DrawAspect="Content" ObjectID="_1849065864" r:id="rId296"/>
        </w:object>
      </w:r>
      <w:r w:rsidR="00130DBD" w:rsidRPr="0013396E">
        <w:t xml:space="preserve"> </w:t>
      </w:r>
      <w:r w:rsidRPr="0013396E">
        <w:t xml:space="preserve">RTEIAMTQSETOT </w:t>
      </w:r>
      <w:r w:rsidRPr="0013396E">
        <w:rPr>
          <w:i/>
          <w:vertAlign w:val="subscript"/>
        </w:rPr>
        <w:t>q</w:t>
      </w:r>
    </w:p>
    <w:p w14:paraId="57B4C965" w14:textId="77777777" w:rsidR="001F04FD" w:rsidRPr="0013396E" w:rsidRDefault="001F04FD" w:rsidP="001F04FD">
      <w:pPr>
        <w:ind w:firstLine="720"/>
      </w:pPr>
      <w:r w:rsidRPr="0013396E">
        <w:t>Total Real-Time Payment for BLT Resources</w:t>
      </w:r>
    </w:p>
    <w:p w14:paraId="4D9F14A3" w14:textId="387E0053" w:rsidR="001F04FD" w:rsidRPr="0013396E" w:rsidRDefault="001F04FD" w:rsidP="001F04FD">
      <w:pPr>
        <w:pStyle w:val="Formula"/>
        <w:ind w:leftChars="600" w:left="3600" w:hanging="2160"/>
      </w:pPr>
      <w:r w:rsidRPr="0013396E">
        <w:t>BLTRAMTTOT</w:t>
      </w:r>
      <w:r w:rsidRPr="0013396E">
        <w:tab/>
        <w:t>=</w:t>
      </w:r>
      <w:r w:rsidRPr="0013396E">
        <w:tab/>
      </w:r>
      <w:r w:rsidRPr="0013396E">
        <w:rPr>
          <w:position w:val="-22"/>
        </w:rPr>
        <w:object w:dxaOrig="210" w:dyaOrig="465" w14:anchorId="31303ABB">
          <v:shape id="_x0000_i1235" type="#_x0000_t75" style="width:6pt;height:18.6pt" o:ole="">
            <v:imagedata r:id="rId151" o:title=""/>
          </v:shape>
          <o:OLEObject Type="Embed" ProgID="Equation.3" ShapeID="_x0000_i1235" DrawAspect="Content" ObjectID="_1849065865" r:id="rId297"/>
        </w:object>
      </w:r>
      <w:r w:rsidR="00130DBD" w:rsidRPr="0013396E">
        <w:t xml:space="preserve"> </w:t>
      </w:r>
      <w:r w:rsidRPr="0013396E">
        <w:t xml:space="preserve">BLTRAMTQSETOT </w:t>
      </w:r>
      <w:r w:rsidRPr="0013396E">
        <w:rPr>
          <w:i/>
          <w:vertAlign w:val="subscript"/>
        </w:rPr>
        <w:t>q</w:t>
      </w:r>
    </w:p>
    <w:p w14:paraId="6AE78F19" w14:textId="77777777" w:rsidR="001F04FD" w:rsidRPr="0013396E" w:rsidRDefault="001F04FD" w:rsidP="001F04FD">
      <w:pPr>
        <w:ind w:firstLine="720"/>
      </w:pPr>
      <w:r w:rsidRPr="0013396E">
        <w:t>Total Real-Time Payment for DC Tie Imports</w:t>
      </w:r>
    </w:p>
    <w:p w14:paraId="5069A2C6" w14:textId="77777777" w:rsidR="001F04FD" w:rsidRPr="0013396E" w:rsidRDefault="001F04FD" w:rsidP="001F04FD">
      <w:pPr>
        <w:pStyle w:val="Formula"/>
        <w:ind w:leftChars="600" w:left="3600" w:hanging="2160"/>
      </w:pPr>
      <w:r w:rsidRPr="0013396E">
        <w:t>RTDCIMPAMTTOT</w:t>
      </w:r>
      <w:r w:rsidRPr="0013396E">
        <w:tab/>
      </w:r>
      <w:r w:rsidRPr="0013396E">
        <w:tab/>
        <w:t>=</w:t>
      </w:r>
      <w:r w:rsidRPr="0013396E">
        <w:tab/>
      </w:r>
      <w:r w:rsidRPr="0013396E">
        <w:rPr>
          <w:position w:val="-22"/>
        </w:rPr>
        <w:object w:dxaOrig="225" w:dyaOrig="465" w14:anchorId="2249E869">
          <v:shape id="_x0000_i1236" type="#_x0000_t75" style="width:12pt;height:18.6pt" o:ole="">
            <v:imagedata r:id="rId288" o:title=""/>
          </v:shape>
          <o:OLEObject Type="Embed" ProgID="Equation.3" ShapeID="_x0000_i1236" DrawAspect="Content" ObjectID="_1849065866" r:id="rId298"/>
        </w:object>
      </w:r>
      <w:r w:rsidRPr="0013396E">
        <w:t xml:space="preserve">RTDCIMPAMTQSETOT </w:t>
      </w:r>
      <w:r w:rsidRPr="0013396E">
        <w:rPr>
          <w:i/>
          <w:vertAlign w:val="subscript"/>
        </w:rPr>
        <w:t>q</w:t>
      </w:r>
    </w:p>
    <w:p w14:paraId="2EFCE534" w14:textId="77777777" w:rsidR="001F04FD" w:rsidRPr="0013396E" w:rsidRDefault="001F04FD" w:rsidP="001F04FD">
      <w:pPr>
        <w:ind w:firstLine="720"/>
      </w:pPr>
      <w:r w:rsidRPr="0013396E">
        <w:t>Total Real-Time Congestion Payment or Charge for Self Schedules</w:t>
      </w:r>
    </w:p>
    <w:p w14:paraId="36F1D5A8" w14:textId="77777777" w:rsidR="001F04FD" w:rsidRPr="0013396E" w:rsidRDefault="001F04FD" w:rsidP="001F04FD">
      <w:pPr>
        <w:pStyle w:val="Formula"/>
        <w:ind w:leftChars="600" w:left="3600" w:hanging="2160"/>
      </w:pPr>
      <w:r w:rsidRPr="0013396E">
        <w:t>RTCCAMTTOT</w:t>
      </w:r>
      <w:r w:rsidRPr="0013396E">
        <w:tab/>
        <w:t>=</w:t>
      </w:r>
      <w:r w:rsidRPr="0013396E">
        <w:tab/>
      </w:r>
      <w:r w:rsidRPr="0013396E">
        <w:rPr>
          <w:position w:val="-22"/>
        </w:rPr>
        <w:object w:dxaOrig="225" w:dyaOrig="465" w14:anchorId="41BADB01">
          <v:shape id="_x0000_i1237" type="#_x0000_t75" style="width:12pt;height:18.6pt" o:ole="">
            <v:imagedata r:id="rId288" o:title=""/>
          </v:shape>
          <o:OLEObject Type="Embed" ProgID="Equation.3" ShapeID="_x0000_i1237" DrawAspect="Content" ObjectID="_1849065867" r:id="rId299"/>
        </w:object>
      </w:r>
      <w:r w:rsidRPr="0013396E">
        <w:t xml:space="preserve">RTCCAMTQSETOT </w:t>
      </w:r>
      <w:r w:rsidRPr="0013396E">
        <w:rPr>
          <w:i/>
          <w:vertAlign w:val="subscript"/>
        </w:rPr>
        <w:t>q</w:t>
      </w:r>
    </w:p>
    <w:p w14:paraId="769E58BB" w14:textId="77777777" w:rsidR="001F04FD" w:rsidRPr="0013396E" w:rsidRDefault="001F04FD" w:rsidP="001F04FD">
      <w:pPr>
        <w:ind w:left="720"/>
      </w:pPr>
      <w:r w:rsidRPr="0013396E">
        <w:t>Total Real-Time Payment or Charge for PTP Obligations when ERCOT is unable to execute the DAM</w:t>
      </w:r>
    </w:p>
    <w:p w14:paraId="33BF01CF" w14:textId="77777777" w:rsidR="001F04FD" w:rsidRPr="0013396E" w:rsidRDefault="001F04FD" w:rsidP="001F04FD">
      <w:pPr>
        <w:pStyle w:val="Formula"/>
        <w:ind w:leftChars="600" w:left="3600" w:hanging="2160"/>
      </w:pPr>
      <w:r w:rsidRPr="0013396E">
        <w:t>NDRTOBLAMTTOT</w:t>
      </w:r>
      <w:r w:rsidRPr="0013396E">
        <w:tab/>
      </w:r>
      <w:r w:rsidRPr="0013396E">
        <w:tab/>
        <w:t>=</w:t>
      </w:r>
      <w:r w:rsidRPr="0013396E">
        <w:tab/>
      </w:r>
      <w:r w:rsidRPr="0013396E">
        <w:rPr>
          <w:position w:val="-20"/>
        </w:rPr>
        <w:object w:dxaOrig="225" w:dyaOrig="465" w14:anchorId="38707B1F">
          <v:shape id="_x0000_i1238" type="#_x0000_t75" style="width:12pt;height:18.6pt" o:ole="">
            <v:imagedata r:id="rId300" o:title=""/>
          </v:shape>
          <o:OLEObject Type="Embed" ProgID="Equation.3" ShapeID="_x0000_i1238" DrawAspect="Content" ObjectID="_1849065868" r:id="rId301"/>
        </w:object>
      </w:r>
      <w:r w:rsidRPr="0013396E">
        <w:t xml:space="preserve"> NDRTOBLAMTOTOT </w:t>
      </w:r>
      <w:r w:rsidRPr="0013396E">
        <w:rPr>
          <w:i/>
          <w:vertAlign w:val="subscript"/>
        </w:rPr>
        <w:t>o</w:t>
      </w:r>
      <w:r w:rsidRPr="0013396E">
        <w:t xml:space="preserve"> </w:t>
      </w:r>
    </w:p>
    <w:p w14:paraId="41B5300D" w14:textId="77777777" w:rsidR="001F04FD" w:rsidRPr="0013396E" w:rsidRDefault="001F04FD" w:rsidP="001F04FD">
      <w:pPr>
        <w:spacing w:before="120" w:after="120"/>
        <w:ind w:firstLine="720"/>
      </w:pPr>
      <w:r w:rsidRPr="0013396E">
        <w:t>Total Real-Time Payment for PTP Options when ERCOT is unable to execute the DAM</w:t>
      </w:r>
    </w:p>
    <w:p w14:paraId="5F0131FF" w14:textId="77777777" w:rsidR="001F04FD" w:rsidRPr="0013396E" w:rsidRDefault="001F04FD" w:rsidP="001F04FD">
      <w:pPr>
        <w:pStyle w:val="Formula"/>
        <w:spacing w:before="120" w:after="120"/>
        <w:ind w:leftChars="600" w:left="3600" w:hanging="2160"/>
      </w:pPr>
      <w:r w:rsidRPr="0013396E">
        <w:t>NDRTOPTAMTTOT</w:t>
      </w:r>
      <w:r w:rsidRPr="0013396E">
        <w:tab/>
      </w:r>
      <w:r w:rsidRPr="0013396E">
        <w:tab/>
        <w:t>=</w:t>
      </w:r>
      <w:r w:rsidRPr="0013396E">
        <w:tab/>
      </w:r>
      <w:r w:rsidRPr="0013396E">
        <w:rPr>
          <w:position w:val="-20"/>
        </w:rPr>
        <w:object w:dxaOrig="210" w:dyaOrig="465" w14:anchorId="4E303239">
          <v:shape id="_x0000_i1239" type="#_x0000_t75" style="width:6pt;height:18.6pt" o:ole="">
            <v:imagedata r:id="rId302" o:title=""/>
          </v:shape>
          <o:OLEObject Type="Embed" ProgID="Equation.3" ShapeID="_x0000_i1239" DrawAspect="Content" ObjectID="_1849065869" r:id="rId303"/>
        </w:object>
      </w:r>
      <w:r w:rsidRPr="0013396E">
        <w:rPr>
          <w:position w:val="-20"/>
        </w:rPr>
        <w:t xml:space="preserve"> </w:t>
      </w:r>
      <w:r w:rsidRPr="0013396E">
        <w:t xml:space="preserve">NDRTOPTAMTOTOT </w:t>
      </w:r>
      <w:r w:rsidRPr="0013396E">
        <w:rPr>
          <w:i/>
          <w:vertAlign w:val="subscript"/>
        </w:rPr>
        <w:t>o</w:t>
      </w:r>
    </w:p>
    <w:p w14:paraId="4BE7E438" w14:textId="77777777" w:rsidR="001F04FD" w:rsidRPr="0013396E" w:rsidRDefault="001F04FD" w:rsidP="001F04FD">
      <w:pPr>
        <w:spacing w:before="120" w:after="120"/>
        <w:ind w:left="720"/>
      </w:pPr>
      <w:r w:rsidRPr="0013396E">
        <w:t>Total Real-Time Payment for PTP Options with Refund when ERCOT is unable to execute the DAM</w:t>
      </w:r>
    </w:p>
    <w:p w14:paraId="1A2B175B" w14:textId="77777777" w:rsidR="001F04FD" w:rsidRPr="0013396E" w:rsidRDefault="001F04FD" w:rsidP="001F04FD">
      <w:pPr>
        <w:pStyle w:val="Formula"/>
        <w:spacing w:before="120" w:after="120"/>
        <w:ind w:leftChars="600" w:left="3600" w:hanging="2160"/>
        <w:rPr>
          <w:i/>
          <w:vertAlign w:val="subscript"/>
        </w:rPr>
      </w:pPr>
      <w:r w:rsidRPr="0013396E">
        <w:t>NDRTOPTRAMTTOT</w:t>
      </w:r>
      <w:r w:rsidRPr="0013396E">
        <w:tab/>
        <w:t>=</w:t>
      </w:r>
      <w:r w:rsidRPr="0013396E">
        <w:tab/>
      </w:r>
      <w:r w:rsidRPr="0013396E">
        <w:rPr>
          <w:position w:val="-20"/>
        </w:rPr>
        <w:object w:dxaOrig="240" w:dyaOrig="465" w14:anchorId="2A038602">
          <v:shape id="_x0000_i1240" type="#_x0000_t75" style="width:12pt;height:18.6pt" o:ole="">
            <v:imagedata r:id="rId304" o:title=""/>
          </v:shape>
          <o:OLEObject Type="Embed" ProgID="Equation.3" ShapeID="_x0000_i1240" DrawAspect="Content" ObjectID="_1849065870" r:id="rId305"/>
        </w:object>
      </w:r>
      <w:r w:rsidRPr="0013396E">
        <w:t xml:space="preserve">NDRTOPTRAMTOTOT </w:t>
      </w:r>
      <w:r w:rsidRPr="0013396E">
        <w:rPr>
          <w:i/>
          <w:vertAlign w:val="subscript"/>
        </w:rPr>
        <w:t>o</w:t>
      </w:r>
    </w:p>
    <w:p w14:paraId="022BBDD4" w14:textId="77777777" w:rsidR="001F04FD" w:rsidRPr="0013396E" w:rsidRDefault="001F04FD" w:rsidP="001F04FD">
      <w:pPr>
        <w:spacing w:before="120" w:after="120"/>
        <w:ind w:left="720"/>
      </w:pPr>
      <w:r w:rsidRPr="0013396E">
        <w:t>Total Real-Time Payment or Charge for PTP Obligations with Refund when ERCOT is unable to execute the DAM</w:t>
      </w:r>
    </w:p>
    <w:p w14:paraId="631E113B" w14:textId="592E1A0C" w:rsidR="001F04FD" w:rsidRPr="0013396E" w:rsidRDefault="001F04FD" w:rsidP="001F04FD">
      <w:pPr>
        <w:pStyle w:val="Formula"/>
        <w:spacing w:before="120" w:after="120"/>
        <w:ind w:leftChars="600" w:left="3600" w:hanging="2160"/>
        <w:rPr>
          <w:i/>
          <w:vertAlign w:val="subscript"/>
        </w:rPr>
      </w:pPr>
      <w:r w:rsidRPr="0013396E">
        <w:t>NDRTOBLRAMTTOT</w:t>
      </w:r>
      <w:r w:rsidRPr="0013396E">
        <w:tab/>
        <w:t>=</w:t>
      </w:r>
      <w:r w:rsidRPr="0013396E">
        <w:tab/>
      </w:r>
      <w:r w:rsidRPr="0013396E">
        <w:rPr>
          <w:position w:val="-20"/>
        </w:rPr>
        <w:object w:dxaOrig="240" w:dyaOrig="465" w14:anchorId="6438B146">
          <v:shape id="_x0000_i1241" type="#_x0000_t75" style="width:12pt;height:18.6pt" o:ole="">
            <v:imagedata r:id="rId304" o:title=""/>
          </v:shape>
          <o:OLEObject Type="Embed" ProgID="Equation.3" ShapeID="_x0000_i1241" DrawAspect="Content" ObjectID="_1849065871" r:id="rId306"/>
        </w:object>
      </w:r>
      <w:r w:rsidRPr="0013396E">
        <w:t xml:space="preserve"> NDRTOBLRAMTOTOT </w:t>
      </w:r>
      <w:r w:rsidRPr="0013396E">
        <w:rPr>
          <w:i/>
          <w:vertAlign w:val="subscript"/>
        </w:rPr>
        <w:t>o</w:t>
      </w:r>
    </w:p>
    <w:p w14:paraId="493ABC08" w14:textId="77777777" w:rsidR="00657819" w:rsidRPr="0013396E" w:rsidRDefault="00657819" w:rsidP="00657819">
      <w:pPr>
        <w:spacing w:after="120"/>
        <w:ind w:left="720"/>
      </w:pPr>
      <w:r w:rsidRPr="0013396E">
        <w:t>Total Real-Time Payment or Charge for energy from SODGs and SOTGs</w:t>
      </w:r>
    </w:p>
    <w:p w14:paraId="58AA21B7" w14:textId="7BE38352" w:rsidR="00657819" w:rsidRPr="0013396E" w:rsidRDefault="00657819" w:rsidP="00657819">
      <w:pPr>
        <w:spacing w:before="120" w:after="120"/>
        <w:ind w:left="720" w:firstLine="720"/>
      </w:pPr>
      <w:r w:rsidRPr="0013396E">
        <w:t>RTESOGAMTTOT</w:t>
      </w:r>
      <w:r w:rsidRPr="0013396E">
        <w:tab/>
      </w:r>
      <w:r w:rsidRPr="0013396E">
        <w:tab/>
        <w:t>=</w:t>
      </w:r>
      <w:r w:rsidRPr="0013396E">
        <w:tab/>
      </w:r>
      <w:r w:rsidRPr="0013396E">
        <w:rPr>
          <w:noProof/>
          <w:position w:val="-22"/>
        </w:rPr>
        <w:drawing>
          <wp:inline distT="0" distB="0" distL="0" distR="0" wp14:anchorId="11DC3DC7" wp14:editId="5A478CB1">
            <wp:extent cx="133350" cy="2952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33350" cy="295275"/>
                    </a:xfrm>
                    <a:prstGeom prst="rect">
                      <a:avLst/>
                    </a:prstGeom>
                    <a:noFill/>
                    <a:ln>
                      <a:noFill/>
                    </a:ln>
                  </pic:spPr>
                </pic:pic>
              </a:graphicData>
            </a:graphic>
          </wp:inline>
        </w:drawing>
      </w:r>
      <w:r w:rsidRPr="0013396E">
        <w:t xml:space="preserve">RTESOGAMTQSETOT </w:t>
      </w:r>
      <w:r w:rsidRPr="0013396E">
        <w:rPr>
          <w:i/>
          <w:vertAlign w:val="subscript"/>
        </w:rPr>
        <w:t>q</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C54508" w:rsidRPr="0013396E" w14:paraId="0A41C5EE" w14:textId="77777777" w:rsidTr="008B123E">
        <w:trPr>
          <w:trHeight w:val="206"/>
        </w:trPr>
        <w:tc>
          <w:tcPr>
            <w:tcW w:w="9576" w:type="dxa"/>
            <w:shd w:val="pct12" w:color="auto" w:fill="auto"/>
          </w:tcPr>
          <w:p w14:paraId="1387EC84" w14:textId="75DE4C8B" w:rsidR="00C54508" w:rsidRPr="0013396E" w:rsidRDefault="00C54508" w:rsidP="008B123E">
            <w:pPr>
              <w:pStyle w:val="Instructions"/>
              <w:spacing w:before="120"/>
            </w:pPr>
            <w:r w:rsidRPr="0013396E">
              <w:t>[</w:t>
            </w:r>
            <w:r w:rsidR="00C04382" w:rsidRPr="0013396E">
              <w:t>NPRR995</w:t>
            </w:r>
            <w:r w:rsidRPr="0013396E">
              <w:t xml:space="preserve">:  </w:t>
            </w:r>
            <w:r w:rsidR="00657819" w:rsidRPr="0013396E">
              <w:t>Replace</w:t>
            </w:r>
            <w:r w:rsidR="00E87687" w:rsidRPr="0013396E">
              <w:t xml:space="preserve"> </w:t>
            </w:r>
            <w:r w:rsidRPr="0013396E">
              <w:t xml:space="preserve">the language </w:t>
            </w:r>
            <w:r w:rsidR="00657819" w:rsidRPr="0013396E">
              <w:t>above with the following</w:t>
            </w:r>
            <w:r w:rsidRPr="0013396E">
              <w:t xml:space="preserve"> upon system implementation:]</w:t>
            </w:r>
          </w:p>
          <w:p w14:paraId="60893388" w14:textId="4C4B9160" w:rsidR="00C54508" w:rsidRPr="0013396E" w:rsidRDefault="00C54508" w:rsidP="00C54508">
            <w:pPr>
              <w:spacing w:after="120"/>
              <w:ind w:left="720"/>
            </w:pPr>
            <w:r w:rsidRPr="0013396E">
              <w:t>Total Real-Time Payment or Charge for energy from SODGs</w:t>
            </w:r>
            <w:r w:rsidR="00C04382" w:rsidRPr="0013396E">
              <w:t>,</w:t>
            </w:r>
            <w:r w:rsidRPr="0013396E">
              <w:t xml:space="preserve"> SOTGs</w:t>
            </w:r>
            <w:r w:rsidR="00C04382" w:rsidRPr="0013396E">
              <w:t>, SODESSs, or SOTESSs</w:t>
            </w:r>
          </w:p>
          <w:p w14:paraId="0A8ACF5C" w14:textId="62AC9CBE" w:rsidR="00C54508" w:rsidRPr="0013396E" w:rsidRDefault="00C54508" w:rsidP="00C54508">
            <w:pPr>
              <w:spacing w:before="120" w:after="120"/>
              <w:ind w:left="720" w:firstLine="720"/>
              <w:rPr>
                <w:bCs/>
              </w:rPr>
            </w:pPr>
            <w:r w:rsidRPr="0013396E">
              <w:t>RTESOAMTTOT</w:t>
            </w:r>
            <w:r w:rsidRPr="0013396E">
              <w:tab/>
            </w:r>
            <w:r w:rsidRPr="0013396E">
              <w:tab/>
              <w:t>=</w:t>
            </w:r>
            <w:r w:rsidRPr="0013396E">
              <w:tab/>
            </w:r>
            <w:r w:rsidR="00A94020" w:rsidRPr="0013396E">
              <w:rPr>
                <w:noProof/>
                <w:position w:val="-22"/>
              </w:rPr>
              <w:drawing>
                <wp:inline distT="0" distB="0" distL="0" distR="0" wp14:anchorId="6DF5AD42" wp14:editId="00466AC6">
                  <wp:extent cx="133350" cy="295275"/>
                  <wp:effectExtent l="0" t="0" r="0" b="9525"/>
                  <wp:docPr id="17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33350" cy="295275"/>
                          </a:xfrm>
                          <a:prstGeom prst="rect">
                            <a:avLst/>
                          </a:prstGeom>
                          <a:noFill/>
                          <a:ln>
                            <a:noFill/>
                          </a:ln>
                        </pic:spPr>
                      </pic:pic>
                    </a:graphicData>
                  </a:graphic>
                </wp:inline>
              </w:drawing>
            </w:r>
            <w:r w:rsidR="006C6A47" w:rsidRPr="0013396E">
              <w:t xml:space="preserve"> </w:t>
            </w:r>
            <w:r w:rsidRPr="0013396E">
              <w:t xml:space="preserve">RTESOAMTQSETOT </w:t>
            </w:r>
            <w:r w:rsidRPr="0013396E">
              <w:rPr>
                <w:i/>
                <w:vertAlign w:val="subscript"/>
              </w:rPr>
              <w:t>q</w:t>
            </w:r>
          </w:p>
        </w:tc>
      </w:tr>
    </w:tbl>
    <w:p w14:paraId="1852F635" w14:textId="77777777" w:rsidR="001F04FD" w:rsidRPr="0013396E" w:rsidRDefault="001F04FD" w:rsidP="004A39F9">
      <w:pPr>
        <w:spacing w:before="240"/>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8"/>
        <w:gridCol w:w="615"/>
        <w:gridCol w:w="6257"/>
      </w:tblGrid>
      <w:tr w:rsidR="001F04FD" w:rsidRPr="0013396E" w14:paraId="331D8B6E" w14:textId="77777777" w:rsidTr="008B66B5">
        <w:trPr>
          <w:cantSplit/>
          <w:tblHeader/>
        </w:trPr>
        <w:tc>
          <w:tcPr>
            <w:tcW w:w="1325" w:type="pct"/>
          </w:tcPr>
          <w:p w14:paraId="41BC1251" w14:textId="77777777" w:rsidR="001F04FD" w:rsidRPr="0013396E" w:rsidRDefault="001F04FD" w:rsidP="00AC4DEE">
            <w:pPr>
              <w:pStyle w:val="TableHead"/>
            </w:pPr>
            <w:r w:rsidRPr="0013396E">
              <w:lastRenderedPageBreak/>
              <w:t>Variable</w:t>
            </w:r>
          </w:p>
        </w:tc>
        <w:tc>
          <w:tcPr>
            <w:tcW w:w="329" w:type="pct"/>
          </w:tcPr>
          <w:p w14:paraId="671776B4" w14:textId="77777777" w:rsidR="001F04FD" w:rsidRPr="0013396E" w:rsidRDefault="001F04FD" w:rsidP="00AC4DEE">
            <w:pPr>
              <w:pStyle w:val="TableHead"/>
            </w:pPr>
            <w:r w:rsidRPr="0013396E">
              <w:t>Unit</w:t>
            </w:r>
          </w:p>
        </w:tc>
        <w:tc>
          <w:tcPr>
            <w:tcW w:w="3346" w:type="pct"/>
          </w:tcPr>
          <w:p w14:paraId="0A31C9F6" w14:textId="77777777" w:rsidR="001F04FD" w:rsidRPr="0013396E" w:rsidRDefault="001F04FD" w:rsidP="00AC4DEE">
            <w:pPr>
              <w:pStyle w:val="TableHead"/>
            </w:pPr>
            <w:r w:rsidRPr="0013396E">
              <w:t>Description</w:t>
            </w:r>
          </w:p>
        </w:tc>
      </w:tr>
      <w:tr w:rsidR="001F04FD" w:rsidRPr="0013396E" w14:paraId="10709BD4" w14:textId="77777777" w:rsidTr="008B66B5">
        <w:trPr>
          <w:cantSplit/>
        </w:trPr>
        <w:tc>
          <w:tcPr>
            <w:tcW w:w="1325" w:type="pct"/>
          </w:tcPr>
          <w:p w14:paraId="0F7AC31F" w14:textId="77777777" w:rsidR="001F04FD" w:rsidRPr="0013396E" w:rsidRDefault="001F04FD" w:rsidP="00AC4DEE">
            <w:pPr>
              <w:pStyle w:val="TableBody"/>
            </w:pPr>
            <w:r w:rsidRPr="0013396E">
              <w:t xml:space="preserve">LARTRNAMT </w:t>
            </w:r>
            <w:r w:rsidRPr="0013396E">
              <w:rPr>
                <w:i/>
                <w:vertAlign w:val="subscript"/>
              </w:rPr>
              <w:t>q</w:t>
            </w:r>
          </w:p>
        </w:tc>
        <w:tc>
          <w:tcPr>
            <w:tcW w:w="329" w:type="pct"/>
          </w:tcPr>
          <w:p w14:paraId="739C2CAA" w14:textId="77777777" w:rsidR="001F04FD" w:rsidRPr="0013396E" w:rsidRDefault="001F04FD" w:rsidP="00AC4DEE">
            <w:pPr>
              <w:pStyle w:val="TableBody"/>
            </w:pPr>
            <w:r w:rsidRPr="0013396E">
              <w:t>$</w:t>
            </w:r>
          </w:p>
        </w:tc>
        <w:tc>
          <w:tcPr>
            <w:tcW w:w="3346" w:type="pct"/>
          </w:tcPr>
          <w:p w14:paraId="496A5CA2" w14:textId="77777777" w:rsidR="001F04FD" w:rsidRPr="0013396E" w:rsidRDefault="001F04FD" w:rsidP="00AC4DEE">
            <w:pPr>
              <w:pStyle w:val="TableBody"/>
            </w:pPr>
            <w:r w:rsidRPr="0013396E">
              <w:rPr>
                <w:i/>
              </w:rPr>
              <w:t>Load-Allocated Real-Time Revenue Neutrality Amount per QSE</w:t>
            </w:r>
            <w:r w:rsidRPr="0013396E">
              <w:t xml:space="preserve">—The QSE </w:t>
            </w:r>
            <w:r w:rsidRPr="0013396E">
              <w:rPr>
                <w:i/>
              </w:rPr>
              <w:t>q</w:t>
            </w:r>
            <w:r w:rsidRPr="0013396E">
              <w:t>’s share of the total Real-Time revenue neutrality amount for the 15-minute Settlement Interval.</w:t>
            </w:r>
          </w:p>
        </w:tc>
      </w:tr>
      <w:tr w:rsidR="001F04FD" w:rsidRPr="0013396E" w14:paraId="165C52BE" w14:textId="77777777" w:rsidTr="008B66B5">
        <w:trPr>
          <w:cantSplit/>
        </w:trPr>
        <w:tc>
          <w:tcPr>
            <w:tcW w:w="1325" w:type="pct"/>
          </w:tcPr>
          <w:p w14:paraId="4B16D9D9" w14:textId="77777777" w:rsidR="001F04FD" w:rsidRPr="0013396E" w:rsidRDefault="001F04FD" w:rsidP="00AC4DEE">
            <w:pPr>
              <w:pStyle w:val="TableBody"/>
            </w:pPr>
            <w:r w:rsidRPr="0013396E">
              <w:t>RTEIAMTTOT</w:t>
            </w:r>
          </w:p>
        </w:tc>
        <w:tc>
          <w:tcPr>
            <w:tcW w:w="329" w:type="pct"/>
          </w:tcPr>
          <w:p w14:paraId="46B03EC3" w14:textId="77777777" w:rsidR="001F04FD" w:rsidRPr="0013396E" w:rsidRDefault="001F04FD" w:rsidP="00AC4DEE">
            <w:pPr>
              <w:pStyle w:val="TableBody"/>
            </w:pPr>
            <w:r w:rsidRPr="0013396E">
              <w:t>$</w:t>
            </w:r>
          </w:p>
        </w:tc>
        <w:tc>
          <w:tcPr>
            <w:tcW w:w="3346" w:type="pct"/>
          </w:tcPr>
          <w:p w14:paraId="72648C03" w14:textId="77777777" w:rsidR="001F04FD" w:rsidRPr="0013396E" w:rsidRDefault="001F04FD" w:rsidP="00AC4DEE">
            <w:pPr>
              <w:pStyle w:val="TableBody"/>
            </w:pPr>
            <w:r w:rsidRPr="0013396E">
              <w:rPr>
                <w:i/>
              </w:rPr>
              <w:t>Real-Time Energy Imbalance Amount Total</w:t>
            </w:r>
            <w:r w:rsidRPr="0013396E">
              <w:t>—The total net payments and charges for Real-Time Energy Imbalance at all Settlement Points (Resource, Load Zone, or Hub) for the 15-minute Interval.</w:t>
            </w:r>
          </w:p>
        </w:tc>
      </w:tr>
      <w:tr w:rsidR="001F04FD" w:rsidRPr="0013396E" w14:paraId="50AB3B2E" w14:textId="77777777" w:rsidTr="008B66B5">
        <w:trPr>
          <w:cantSplit/>
        </w:trPr>
        <w:tc>
          <w:tcPr>
            <w:tcW w:w="1325" w:type="pct"/>
          </w:tcPr>
          <w:p w14:paraId="6EDEFC0B" w14:textId="77777777" w:rsidR="001F04FD" w:rsidRPr="0013396E" w:rsidRDefault="001F04FD" w:rsidP="00AC4DEE">
            <w:pPr>
              <w:pStyle w:val="TableBody"/>
            </w:pPr>
            <w:r w:rsidRPr="0013396E">
              <w:t>BLTRAMTTOT</w:t>
            </w:r>
          </w:p>
        </w:tc>
        <w:tc>
          <w:tcPr>
            <w:tcW w:w="329" w:type="pct"/>
          </w:tcPr>
          <w:p w14:paraId="7B781499" w14:textId="77777777" w:rsidR="001F04FD" w:rsidRPr="0013396E" w:rsidRDefault="001F04FD" w:rsidP="00AC4DEE">
            <w:pPr>
              <w:pStyle w:val="TableBody"/>
            </w:pPr>
            <w:r w:rsidRPr="0013396E">
              <w:t>$</w:t>
            </w:r>
          </w:p>
        </w:tc>
        <w:tc>
          <w:tcPr>
            <w:tcW w:w="3346" w:type="pct"/>
          </w:tcPr>
          <w:p w14:paraId="48BB3348" w14:textId="77777777" w:rsidR="001F04FD" w:rsidRPr="0013396E" w:rsidRDefault="001F04FD" w:rsidP="00AC4DEE">
            <w:pPr>
              <w:pStyle w:val="TableBody"/>
            </w:pPr>
            <w:r w:rsidRPr="0013396E">
              <w:rPr>
                <w:i/>
              </w:rPr>
              <w:t>Block Load Transfer Resource Amount Total</w:t>
            </w:r>
            <w:r w:rsidRPr="0013396E">
              <w:sym w:font="Symbol" w:char="F0BE"/>
            </w:r>
            <w:r w:rsidRPr="0013396E">
              <w:t>The total of the payments for energy delivered into the ERCOT Region through BLT points for the 15-minute Settlement Interval.</w:t>
            </w:r>
          </w:p>
        </w:tc>
      </w:tr>
      <w:tr w:rsidR="001F04FD" w:rsidRPr="0013396E" w14:paraId="3974B996" w14:textId="77777777" w:rsidTr="008B66B5">
        <w:trPr>
          <w:cantSplit/>
        </w:trPr>
        <w:tc>
          <w:tcPr>
            <w:tcW w:w="1325" w:type="pct"/>
          </w:tcPr>
          <w:p w14:paraId="540A2E60" w14:textId="77777777" w:rsidR="001F04FD" w:rsidRPr="0013396E" w:rsidRDefault="001F04FD" w:rsidP="00AC4DEE">
            <w:pPr>
              <w:pStyle w:val="TableBody"/>
            </w:pPr>
            <w:r w:rsidRPr="0013396E">
              <w:t>RTDCIMPAMTTOT</w:t>
            </w:r>
          </w:p>
        </w:tc>
        <w:tc>
          <w:tcPr>
            <w:tcW w:w="329" w:type="pct"/>
          </w:tcPr>
          <w:p w14:paraId="25A1EA79" w14:textId="77777777" w:rsidR="001F04FD" w:rsidRPr="0013396E" w:rsidRDefault="001F04FD" w:rsidP="00AC4DEE">
            <w:pPr>
              <w:pStyle w:val="TableBody"/>
            </w:pPr>
            <w:r w:rsidRPr="0013396E">
              <w:t>$</w:t>
            </w:r>
          </w:p>
        </w:tc>
        <w:tc>
          <w:tcPr>
            <w:tcW w:w="3346" w:type="pct"/>
            <w:vAlign w:val="center"/>
          </w:tcPr>
          <w:p w14:paraId="4FACF661" w14:textId="77777777" w:rsidR="001F04FD" w:rsidRPr="0013396E" w:rsidRDefault="001F04FD" w:rsidP="00AC4DEE">
            <w:pPr>
              <w:pStyle w:val="TableBody"/>
              <w:spacing w:after="0"/>
            </w:pPr>
            <w:r w:rsidRPr="0013396E">
              <w:rPr>
                <w:i/>
              </w:rPr>
              <w:t>Real-Time DC Import Amount Total</w:t>
            </w:r>
            <w:r w:rsidRPr="0013396E">
              <w:t>—The summation of payments for DC Tie imports for the 15-minute Settlement Interval.</w:t>
            </w:r>
          </w:p>
        </w:tc>
      </w:tr>
      <w:tr w:rsidR="001F04FD" w:rsidRPr="0013396E" w14:paraId="0C9E0851" w14:textId="77777777" w:rsidTr="008B66B5">
        <w:trPr>
          <w:cantSplit/>
        </w:trPr>
        <w:tc>
          <w:tcPr>
            <w:tcW w:w="1325" w:type="pct"/>
          </w:tcPr>
          <w:p w14:paraId="53E341F3" w14:textId="77777777" w:rsidR="001F04FD" w:rsidRPr="0013396E" w:rsidRDefault="001F04FD" w:rsidP="00AC4DEE">
            <w:pPr>
              <w:pStyle w:val="TableBody"/>
            </w:pPr>
            <w:r w:rsidRPr="0013396E">
              <w:t xml:space="preserve">RTCCAMTTOT </w:t>
            </w:r>
          </w:p>
        </w:tc>
        <w:tc>
          <w:tcPr>
            <w:tcW w:w="329" w:type="pct"/>
          </w:tcPr>
          <w:p w14:paraId="5065F3B3" w14:textId="77777777" w:rsidR="001F04FD" w:rsidRPr="0013396E" w:rsidRDefault="001F04FD" w:rsidP="00AC4DEE">
            <w:pPr>
              <w:pStyle w:val="TableBody"/>
            </w:pPr>
            <w:r w:rsidRPr="0013396E">
              <w:t>$</w:t>
            </w:r>
          </w:p>
        </w:tc>
        <w:tc>
          <w:tcPr>
            <w:tcW w:w="3346" w:type="pct"/>
          </w:tcPr>
          <w:p w14:paraId="7242ED7F" w14:textId="77777777" w:rsidR="001F04FD" w:rsidRPr="0013396E" w:rsidRDefault="001F04FD" w:rsidP="00AC4DEE">
            <w:pPr>
              <w:pStyle w:val="TableBody"/>
            </w:pPr>
            <w:r w:rsidRPr="0013396E">
              <w:rPr>
                <w:i/>
              </w:rPr>
              <w:t>Real-Time Energy Congestion Cost Amount Total</w:t>
            </w:r>
            <w:r w:rsidRPr="0013396E">
              <w:t>—The total net congestion payments and charges for all Self-Schedules for the 15-minute Settlement Interval.</w:t>
            </w:r>
          </w:p>
        </w:tc>
      </w:tr>
      <w:tr w:rsidR="001F04FD" w:rsidRPr="0013396E" w14:paraId="68AADAAE" w14:textId="77777777" w:rsidTr="008B66B5">
        <w:trPr>
          <w:cantSplit/>
        </w:trPr>
        <w:tc>
          <w:tcPr>
            <w:tcW w:w="1325" w:type="pct"/>
          </w:tcPr>
          <w:p w14:paraId="25B1C38D" w14:textId="77777777" w:rsidR="001F04FD" w:rsidRPr="0013396E" w:rsidRDefault="001F04FD" w:rsidP="00AC4DEE">
            <w:pPr>
              <w:pStyle w:val="TableBody"/>
            </w:pPr>
            <w:r w:rsidRPr="0013396E">
              <w:t>NDRTOBLAMTTOT</w:t>
            </w:r>
          </w:p>
        </w:tc>
        <w:tc>
          <w:tcPr>
            <w:tcW w:w="329" w:type="pct"/>
          </w:tcPr>
          <w:p w14:paraId="2FA7AD93" w14:textId="77777777" w:rsidR="001F04FD" w:rsidRPr="0013396E" w:rsidRDefault="001F04FD" w:rsidP="00AC4DEE">
            <w:pPr>
              <w:pStyle w:val="TableBody"/>
            </w:pPr>
            <w:r w:rsidRPr="0013396E">
              <w:t>$</w:t>
            </w:r>
          </w:p>
        </w:tc>
        <w:tc>
          <w:tcPr>
            <w:tcW w:w="3346" w:type="pct"/>
          </w:tcPr>
          <w:p w14:paraId="4EBAA077" w14:textId="77777777" w:rsidR="001F04FD" w:rsidRPr="0013396E" w:rsidRDefault="001F04FD" w:rsidP="00AC4DEE">
            <w:pPr>
              <w:pStyle w:val="TableBody"/>
              <w:rPr>
                <w:i/>
              </w:rPr>
            </w:pPr>
            <w:r w:rsidRPr="0013396E">
              <w:rPr>
                <w:i/>
              </w:rPr>
              <w:t>No DAM Real-Time Obligation Amount Total</w:t>
            </w:r>
            <w:r w:rsidRPr="0013396E">
              <w:t>—The sum of all payments and charges for PTP Obligations settled in Real-Time, when ERCOT is unable to execute the DAM, for the hour that includes the 15-minute Settlement Interval.</w:t>
            </w:r>
          </w:p>
        </w:tc>
      </w:tr>
      <w:tr w:rsidR="001F04FD" w:rsidRPr="0013396E" w14:paraId="6BBA0096" w14:textId="77777777" w:rsidTr="008B66B5">
        <w:trPr>
          <w:cantSplit/>
        </w:trPr>
        <w:tc>
          <w:tcPr>
            <w:tcW w:w="1325" w:type="pct"/>
          </w:tcPr>
          <w:p w14:paraId="7D944329" w14:textId="77777777" w:rsidR="001F04FD" w:rsidRPr="0013396E" w:rsidRDefault="001F04FD" w:rsidP="00AC4DEE">
            <w:pPr>
              <w:pStyle w:val="TableBody"/>
            </w:pPr>
            <w:r w:rsidRPr="0013396E">
              <w:t>NDRTOPTAMTTOT</w:t>
            </w:r>
          </w:p>
        </w:tc>
        <w:tc>
          <w:tcPr>
            <w:tcW w:w="329" w:type="pct"/>
          </w:tcPr>
          <w:p w14:paraId="3BE1890F" w14:textId="77777777" w:rsidR="001F04FD" w:rsidRPr="0013396E" w:rsidRDefault="001F04FD" w:rsidP="00AC4DEE">
            <w:pPr>
              <w:pStyle w:val="TableBody"/>
            </w:pPr>
            <w:r w:rsidRPr="0013396E">
              <w:t>$</w:t>
            </w:r>
          </w:p>
        </w:tc>
        <w:tc>
          <w:tcPr>
            <w:tcW w:w="3346" w:type="pct"/>
          </w:tcPr>
          <w:p w14:paraId="5653E661" w14:textId="77777777" w:rsidR="001F04FD" w:rsidRPr="0013396E" w:rsidRDefault="001F04FD" w:rsidP="00AC4DEE">
            <w:pPr>
              <w:pStyle w:val="TableBody"/>
              <w:rPr>
                <w:i/>
              </w:rPr>
            </w:pPr>
            <w:r w:rsidRPr="0013396E">
              <w:rPr>
                <w:i/>
              </w:rPr>
              <w:t>No DAM Real-Time Option Amount Total</w:t>
            </w:r>
            <w:r w:rsidRPr="0013396E">
              <w:t>—The sum of all payments for PTP Options settled in Real-Time, when ERCOT is unable to execute the DAM, for the hour that includes the 15-minute Settlement Interval.</w:t>
            </w:r>
          </w:p>
        </w:tc>
      </w:tr>
      <w:tr w:rsidR="001F04FD" w:rsidRPr="0013396E" w14:paraId="39F5BB4D" w14:textId="77777777" w:rsidTr="008B66B5">
        <w:trPr>
          <w:cantSplit/>
        </w:trPr>
        <w:tc>
          <w:tcPr>
            <w:tcW w:w="1325" w:type="pct"/>
          </w:tcPr>
          <w:p w14:paraId="59B5632A" w14:textId="77777777" w:rsidR="001F04FD" w:rsidRPr="0013396E" w:rsidRDefault="001F04FD" w:rsidP="00AC4DEE">
            <w:pPr>
              <w:pStyle w:val="TableBody"/>
            </w:pPr>
            <w:r w:rsidRPr="0013396E">
              <w:t>NDRTOPTRAMTTOT</w:t>
            </w:r>
          </w:p>
        </w:tc>
        <w:tc>
          <w:tcPr>
            <w:tcW w:w="329" w:type="pct"/>
          </w:tcPr>
          <w:p w14:paraId="1EAA3906" w14:textId="77777777" w:rsidR="001F04FD" w:rsidRPr="0013396E" w:rsidRDefault="001F04FD" w:rsidP="00AC4DEE">
            <w:pPr>
              <w:pStyle w:val="TableBody"/>
            </w:pPr>
            <w:r w:rsidRPr="0013396E">
              <w:t>$</w:t>
            </w:r>
          </w:p>
        </w:tc>
        <w:tc>
          <w:tcPr>
            <w:tcW w:w="3346" w:type="pct"/>
          </w:tcPr>
          <w:p w14:paraId="035A4AD7" w14:textId="77777777" w:rsidR="001F04FD" w:rsidRPr="0013396E" w:rsidRDefault="001F04FD" w:rsidP="00AC4DEE">
            <w:pPr>
              <w:pStyle w:val="TableBody"/>
              <w:rPr>
                <w:i/>
              </w:rPr>
            </w:pPr>
            <w:r w:rsidRPr="0013396E">
              <w:rPr>
                <w:i/>
              </w:rPr>
              <w:t>No DAM Real-Time Option with Refund Amount Total</w:t>
            </w:r>
            <w:r w:rsidRPr="0013396E">
              <w:t>—The sum of all payments for PTP Options with Refund settled in Real-Time, when ERCOT is unable to execute the DAM, for the hour that includes the 15-minute Settlement Interval.</w:t>
            </w:r>
          </w:p>
        </w:tc>
      </w:tr>
      <w:tr w:rsidR="001F04FD" w:rsidRPr="0013396E" w14:paraId="7B8AD24E" w14:textId="77777777" w:rsidTr="008B66B5">
        <w:trPr>
          <w:cantSplit/>
        </w:trPr>
        <w:tc>
          <w:tcPr>
            <w:tcW w:w="1325" w:type="pct"/>
          </w:tcPr>
          <w:p w14:paraId="231F3E5C" w14:textId="77777777" w:rsidR="001F04FD" w:rsidRPr="0013396E" w:rsidRDefault="001F04FD" w:rsidP="00AC4DEE">
            <w:pPr>
              <w:pStyle w:val="TableBody"/>
            </w:pPr>
            <w:r w:rsidRPr="0013396E">
              <w:t>NDRTOBLRAMTTOT</w:t>
            </w:r>
          </w:p>
        </w:tc>
        <w:tc>
          <w:tcPr>
            <w:tcW w:w="329" w:type="pct"/>
          </w:tcPr>
          <w:p w14:paraId="00A80A8B" w14:textId="77777777" w:rsidR="001F04FD" w:rsidRPr="0013396E" w:rsidRDefault="001F04FD" w:rsidP="00AC4DEE">
            <w:pPr>
              <w:pStyle w:val="TableBody"/>
            </w:pPr>
            <w:r w:rsidRPr="0013396E">
              <w:t>$</w:t>
            </w:r>
          </w:p>
        </w:tc>
        <w:tc>
          <w:tcPr>
            <w:tcW w:w="3346" w:type="pct"/>
          </w:tcPr>
          <w:p w14:paraId="49A93609" w14:textId="7D37CA8A" w:rsidR="001F04FD" w:rsidRPr="0013396E" w:rsidRDefault="001F04FD" w:rsidP="003810AB">
            <w:pPr>
              <w:pStyle w:val="TableBody"/>
              <w:rPr>
                <w:i/>
              </w:rPr>
            </w:pPr>
            <w:r w:rsidRPr="0013396E">
              <w:rPr>
                <w:i/>
              </w:rPr>
              <w:t>No DAM Real-Time Obligation with Refund Amount Total</w:t>
            </w:r>
            <w:r w:rsidRPr="0013396E">
              <w:t>—The sum of all payments for PTP Obligations with Refund settled in Real-Time, when ERCOT is unable to execute the DAM, for the hour that includes the 15-minute Settlement Interval.</w:t>
            </w:r>
          </w:p>
        </w:tc>
      </w:tr>
      <w:tr w:rsidR="001F04FD" w:rsidRPr="0013396E" w14:paraId="793B195F" w14:textId="77777777" w:rsidTr="008B66B5">
        <w:trPr>
          <w:cantSplit/>
        </w:trPr>
        <w:tc>
          <w:tcPr>
            <w:tcW w:w="1325" w:type="pct"/>
            <w:tcBorders>
              <w:top w:val="single" w:sz="4" w:space="0" w:color="auto"/>
              <w:left w:val="single" w:sz="4" w:space="0" w:color="auto"/>
              <w:bottom w:val="single" w:sz="4" w:space="0" w:color="auto"/>
              <w:right w:val="single" w:sz="4" w:space="0" w:color="auto"/>
            </w:tcBorders>
          </w:tcPr>
          <w:p w14:paraId="17B2FA3E" w14:textId="77777777" w:rsidR="001F04FD" w:rsidRPr="0013396E" w:rsidRDefault="001F04FD" w:rsidP="00AC4DEE">
            <w:pPr>
              <w:pStyle w:val="TableBody"/>
            </w:pPr>
            <w:r w:rsidRPr="0013396E">
              <w:t>RTEIAMTQSETOT</w:t>
            </w:r>
            <w:r w:rsidRPr="0013396E">
              <w:rPr>
                <w:i/>
                <w:vertAlign w:val="subscript"/>
              </w:rPr>
              <w:t xml:space="preserve"> q</w:t>
            </w:r>
          </w:p>
        </w:tc>
        <w:tc>
          <w:tcPr>
            <w:tcW w:w="329" w:type="pct"/>
            <w:tcBorders>
              <w:top w:val="single" w:sz="4" w:space="0" w:color="auto"/>
              <w:left w:val="single" w:sz="4" w:space="0" w:color="auto"/>
              <w:bottom w:val="single" w:sz="4" w:space="0" w:color="auto"/>
              <w:right w:val="single" w:sz="4" w:space="0" w:color="auto"/>
            </w:tcBorders>
          </w:tcPr>
          <w:p w14:paraId="4836D266" w14:textId="77777777" w:rsidR="001F04FD" w:rsidRPr="0013396E" w:rsidRDefault="001F04FD" w:rsidP="00AC4DEE">
            <w:pPr>
              <w:pStyle w:val="TableBody"/>
            </w:pPr>
            <w:r w:rsidRPr="0013396E">
              <w:t>$</w:t>
            </w:r>
          </w:p>
        </w:tc>
        <w:tc>
          <w:tcPr>
            <w:tcW w:w="3346" w:type="pct"/>
            <w:tcBorders>
              <w:top w:val="single" w:sz="4" w:space="0" w:color="auto"/>
              <w:left w:val="single" w:sz="4" w:space="0" w:color="auto"/>
              <w:bottom w:val="single" w:sz="4" w:space="0" w:color="auto"/>
              <w:right w:val="single" w:sz="4" w:space="0" w:color="auto"/>
            </w:tcBorders>
          </w:tcPr>
          <w:p w14:paraId="7A325D88" w14:textId="77777777" w:rsidR="001F04FD" w:rsidRPr="0013396E" w:rsidRDefault="001F04FD" w:rsidP="00AC4DEE">
            <w:pPr>
              <w:pStyle w:val="TableBody"/>
            </w:pPr>
            <w:r w:rsidRPr="0013396E">
              <w:rPr>
                <w:i/>
              </w:rPr>
              <w:t>Real-Time Energy Imbalance Amount QSE Total per QSE</w:t>
            </w:r>
            <w:r w:rsidRPr="0013396E">
              <w:sym w:font="Symbol" w:char="F0BE"/>
            </w:r>
            <w:r w:rsidRPr="0013396E">
              <w:t xml:space="preserve">The total net payments and charges to QSE </w:t>
            </w:r>
            <w:r w:rsidRPr="0013396E">
              <w:rPr>
                <w:i/>
              </w:rPr>
              <w:t>q</w:t>
            </w:r>
            <w:r w:rsidRPr="0013396E">
              <w:t xml:space="preserve"> for Real-Time Energy Imbalance Service at all Resource Node Settlement Points for the 15-minute Settlement Interval.</w:t>
            </w:r>
          </w:p>
        </w:tc>
      </w:tr>
      <w:tr w:rsidR="001F04FD" w:rsidRPr="0013396E" w14:paraId="265AF73B" w14:textId="77777777" w:rsidTr="008B66B5">
        <w:trPr>
          <w:cantSplit/>
        </w:trPr>
        <w:tc>
          <w:tcPr>
            <w:tcW w:w="1325" w:type="pct"/>
            <w:tcBorders>
              <w:top w:val="single" w:sz="4" w:space="0" w:color="auto"/>
              <w:left w:val="single" w:sz="4" w:space="0" w:color="auto"/>
              <w:bottom w:val="single" w:sz="4" w:space="0" w:color="auto"/>
              <w:right w:val="single" w:sz="4" w:space="0" w:color="auto"/>
            </w:tcBorders>
          </w:tcPr>
          <w:p w14:paraId="6B495229" w14:textId="77777777" w:rsidR="001F04FD" w:rsidRPr="0013396E" w:rsidRDefault="001F04FD" w:rsidP="00AC4DEE">
            <w:pPr>
              <w:pStyle w:val="TableBody"/>
            </w:pPr>
            <w:r w:rsidRPr="0013396E">
              <w:t xml:space="preserve">RTCCAMTQSETOT </w:t>
            </w:r>
            <w:r w:rsidRPr="0013396E">
              <w:rPr>
                <w:i/>
                <w:vertAlign w:val="subscript"/>
              </w:rPr>
              <w:t>q</w:t>
            </w:r>
          </w:p>
        </w:tc>
        <w:tc>
          <w:tcPr>
            <w:tcW w:w="329" w:type="pct"/>
            <w:tcBorders>
              <w:top w:val="single" w:sz="4" w:space="0" w:color="auto"/>
              <w:left w:val="single" w:sz="4" w:space="0" w:color="auto"/>
              <w:bottom w:val="single" w:sz="4" w:space="0" w:color="auto"/>
              <w:right w:val="single" w:sz="4" w:space="0" w:color="auto"/>
            </w:tcBorders>
          </w:tcPr>
          <w:p w14:paraId="76E1EA73" w14:textId="77777777" w:rsidR="001F04FD" w:rsidRPr="0013396E" w:rsidRDefault="001F04FD" w:rsidP="00AC4DEE">
            <w:pPr>
              <w:pStyle w:val="TableBody"/>
            </w:pPr>
            <w:r w:rsidRPr="0013396E">
              <w:t>$</w:t>
            </w:r>
          </w:p>
        </w:tc>
        <w:tc>
          <w:tcPr>
            <w:tcW w:w="3346" w:type="pct"/>
            <w:tcBorders>
              <w:top w:val="single" w:sz="4" w:space="0" w:color="auto"/>
              <w:left w:val="single" w:sz="4" w:space="0" w:color="auto"/>
              <w:bottom w:val="single" w:sz="4" w:space="0" w:color="auto"/>
              <w:right w:val="single" w:sz="4" w:space="0" w:color="auto"/>
            </w:tcBorders>
          </w:tcPr>
          <w:p w14:paraId="53EC2BD9" w14:textId="77777777" w:rsidR="001F04FD" w:rsidRPr="0013396E" w:rsidRDefault="001F04FD" w:rsidP="00AC4DEE">
            <w:pPr>
              <w:pStyle w:val="TableBody"/>
            </w:pPr>
            <w:r w:rsidRPr="0013396E">
              <w:rPr>
                <w:i/>
              </w:rPr>
              <w:t>Real-Time Congestion Cost Amount QSE Total per QSE</w:t>
            </w:r>
            <w:r w:rsidRPr="0013396E">
              <w:sym w:font="Symbol" w:char="F0BE"/>
            </w:r>
            <w:r w:rsidRPr="0013396E">
              <w:t xml:space="preserve">The total net congestion payments and charges to QSE </w:t>
            </w:r>
            <w:r w:rsidRPr="0013396E">
              <w:rPr>
                <w:i/>
              </w:rPr>
              <w:t>q</w:t>
            </w:r>
            <w:r w:rsidRPr="0013396E">
              <w:t xml:space="preserve"> for its Self-Schedules for the 15-minute Settlement Interval.</w:t>
            </w:r>
          </w:p>
        </w:tc>
      </w:tr>
      <w:tr w:rsidR="001F04FD" w:rsidRPr="0013396E" w14:paraId="7E254262" w14:textId="77777777" w:rsidTr="008B66B5">
        <w:trPr>
          <w:cantSplit/>
        </w:trPr>
        <w:tc>
          <w:tcPr>
            <w:tcW w:w="1325" w:type="pct"/>
          </w:tcPr>
          <w:p w14:paraId="0ACB4C48" w14:textId="77777777" w:rsidR="001F04FD" w:rsidRPr="0013396E" w:rsidRDefault="001F04FD" w:rsidP="00AC4DEE">
            <w:pPr>
              <w:pStyle w:val="TableBody"/>
            </w:pPr>
            <w:r w:rsidRPr="0013396E">
              <w:t xml:space="preserve">BLTRAMTQSETOT </w:t>
            </w:r>
            <w:r w:rsidRPr="0013396E">
              <w:rPr>
                <w:i/>
                <w:vertAlign w:val="subscript"/>
              </w:rPr>
              <w:t>q</w:t>
            </w:r>
          </w:p>
        </w:tc>
        <w:tc>
          <w:tcPr>
            <w:tcW w:w="329" w:type="pct"/>
          </w:tcPr>
          <w:p w14:paraId="343A2253" w14:textId="77777777" w:rsidR="001F04FD" w:rsidRPr="0013396E" w:rsidRDefault="001F04FD" w:rsidP="00AC4DEE">
            <w:pPr>
              <w:pStyle w:val="TableBody"/>
            </w:pPr>
            <w:r w:rsidRPr="0013396E">
              <w:t>$</w:t>
            </w:r>
          </w:p>
        </w:tc>
        <w:tc>
          <w:tcPr>
            <w:tcW w:w="3346" w:type="pct"/>
          </w:tcPr>
          <w:p w14:paraId="35439E86" w14:textId="77777777" w:rsidR="001F04FD" w:rsidRPr="0013396E" w:rsidRDefault="001F04FD" w:rsidP="00AC4DEE">
            <w:pPr>
              <w:pStyle w:val="TableBody"/>
              <w:rPr>
                <w:bCs/>
              </w:rPr>
            </w:pPr>
            <w:r w:rsidRPr="0013396E">
              <w:rPr>
                <w:i/>
              </w:rPr>
              <w:t>Block Load Transfer Resource Amount QSE Total per QSE</w:t>
            </w:r>
            <w:r w:rsidRPr="0013396E">
              <w:sym w:font="Symbol" w:char="F0BE"/>
            </w:r>
            <w:r w:rsidRPr="0013396E">
              <w:t xml:space="preserve">The total of the payments to QSE </w:t>
            </w:r>
            <w:r w:rsidRPr="0013396E">
              <w:rPr>
                <w:i/>
              </w:rPr>
              <w:t>q</w:t>
            </w:r>
            <w:r w:rsidRPr="0013396E">
              <w:t xml:space="preserve"> for energy delivered into the ERCOT Region through BLT points for the 15-minute Settlement Interval.</w:t>
            </w:r>
          </w:p>
        </w:tc>
      </w:tr>
      <w:tr w:rsidR="001F04FD" w:rsidRPr="0013396E" w14:paraId="28E71ADB" w14:textId="77777777" w:rsidTr="008B66B5">
        <w:trPr>
          <w:cantSplit/>
        </w:trPr>
        <w:tc>
          <w:tcPr>
            <w:tcW w:w="1325" w:type="pct"/>
          </w:tcPr>
          <w:p w14:paraId="7670A348" w14:textId="77777777" w:rsidR="001F04FD" w:rsidRPr="0013396E" w:rsidRDefault="001F04FD" w:rsidP="00AC4DEE">
            <w:pPr>
              <w:pStyle w:val="TableBody"/>
            </w:pPr>
            <w:r w:rsidRPr="0013396E">
              <w:t xml:space="preserve">RTDCIMPAMTQSETOT </w:t>
            </w:r>
            <w:r w:rsidRPr="0013396E">
              <w:rPr>
                <w:i/>
                <w:vertAlign w:val="subscript"/>
              </w:rPr>
              <w:t>q</w:t>
            </w:r>
          </w:p>
        </w:tc>
        <w:tc>
          <w:tcPr>
            <w:tcW w:w="329" w:type="pct"/>
          </w:tcPr>
          <w:p w14:paraId="5A3500C2" w14:textId="77777777" w:rsidR="001F04FD" w:rsidRPr="0013396E" w:rsidRDefault="001F04FD" w:rsidP="00AC4DEE">
            <w:pPr>
              <w:pStyle w:val="TableBody"/>
            </w:pPr>
            <w:r w:rsidRPr="0013396E">
              <w:t>$</w:t>
            </w:r>
          </w:p>
        </w:tc>
        <w:tc>
          <w:tcPr>
            <w:tcW w:w="3346" w:type="pct"/>
          </w:tcPr>
          <w:p w14:paraId="3E6AF934" w14:textId="77777777" w:rsidR="001F04FD" w:rsidRPr="0013396E" w:rsidRDefault="001F04FD" w:rsidP="00AC4DEE">
            <w:pPr>
              <w:pStyle w:val="TableBody"/>
            </w:pPr>
            <w:r w:rsidRPr="0013396E">
              <w:rPr>
                <w:i/>
              </w:rPr>
              <w:t>Real-Time DC Import Amount QSE Total per QSE</w:t>
            </w:r>
            <w:r w:rsidRPr="0013396E">
              <w:sym w:font="Symbol" w:char="F0BE"/>
            </w:r>
            <w:r w:rsidRPr="0013396E">
              <w:t xml:space="preserve">The total of the payments to QSE </w:t>
            </w:r>
            <w:r w:rsidRPr="0013396E">
              <w:rPr>
                <w:i/>
              </w:rPr>
              <w:t>q</w:t>
            </w:r>
            <w:r w:rsidRPr="0013396E">
              <w:t xml:space="preserve"> for energy imported into the ERCOT Region through DC Ties for the 15-minute Settlement Interval.</w:t>
            </w:r>
          </w:p>
        </w:tc>
      </w:tr>
      <w:tr w:rsidR="001F04FD" w:rsidRPr="0013396E" w14:paraId="2B456E26" w14:textId="77777777" w:rsidTr="008B66B5">
        <w:trPr>
          <w:cantSplit/>
        </w:trPr>
        <w:tc>
          <w:tcPr>
            <w:tcW w:w="1325" w:type="pct"/>
          </w:tcPr>
          <w:p w14:paraId="284C06B9" w14:textId="77777777" w:rsidR="001F04FD" w:rsidRPr="0013396E" w:rsidRDefault="001F04FD" w:rsidP="00AC4DEE">
            <w:pPr>
              <w:pStyle w:val="TableBody"/>
            </w:pPr>
            <w:r w:rsidRPr="0013396E">
              <w:t xml:space="preserve">NDRTOBLAMTOTOT </w:t>
            </w:r>
            <w:r w:rsidRPr="0013396E">
              <w:rPr>
                <w:i/>
                <w:vertAlign w:val="subscript"/>
              </w:rPr>
              <w:t>o</w:t>
            </w:r>
          </w:p>
        </w:tc>
        <w:tc>
          <w:tcPr>
            <w:tcW w:w="329" w:type="pct"/>
          </w:tcPr>
          <w:p w14:paraId="07AABDD4" w14:textId="77777777" w:rsidR="001F04FD" w:rsidRPr="0013396E" w:rsidRDefault="001F04FD" w:rsidP="00AC4DEE">
            <w:pPr>
              <w:pStyle w:val="TableBody"/>
            </w:pPr>
            <w:r w:rsidRPr="0013396E">
              <w:t>$</w:t>
            </w:r>
          </w:p>
        </w:tc>
        <w:tc>
          <w:tcPr>
            <w:tcW w:w="3346" w:type="pct"/>
          </w:tcPr>
          <w:p w14:paraId="3C412C18" w14:textId="77777777" w:rsidR="001F04FD" w:rsidRPr="0013396E" w:rsidRDefault="001F04FD" w:rsidP="00AC4DEE">
            <w:pPr>
              <w:pStyle w:val="TableBody"/>
            </w:pPr>
            <w:r w:rsidRPr="0013396E">
              <w:rPr>
                <w:i/>
              </w:rPr>
              <w:t>No DAM Real-Time Obligation Amount Owner Total per CRR Owner</w:t>
            </w:r>
            <w:r w:rsidRPr="0013396E">
              <w:t xml:space="preserve">—The net total payment or charge to CRR owner </w:t>
            </w:r>
            <w:r w:rsidRPr="0013396E">
              <w:rPr>
                <w:i/>
              </w:rPr>
              <w:t>o</w:t>
            </w:r>
            <w:r w:rsidRPr="0013396E">
              <w:t xml:space="preserve"> of all its PTP Obligations settled in Real-Time when ERCOT is unable to execute the DAM, for the hour.</w:t>
            </w:r>
          </w:p>
        </w:tc>
      </w:tr>
      <w:tr w:rsidR="001F04FD" w:rsidRPr="0013396E" w14:paraId="7EC451CF" w14:textId="77777777" w:rsidTr="008B66B5">
        <w:trPr>
          <w:cantSplit/>
        </w:trPr>
        <w:tc>
          <w:tcPr>
            <w:tcW w:w="1325" w:type="pct"/>
          </w:tcPr>
          <w:p w14:paraId="219F664C" w14:textId="77777777" w:rsidR="001F04FD" w:rsidRPr="0013396E" w:rsidRDefault="001F04FD" w:rsidP="00AC4DEE">
            <w:pPr>
              <w:pStyle w:val="TableBody"/>
            </w:pPr>
            <w:r w:rsidRPr="0013396E">
              <w:t xml:space="preserve">NDRTOPTAMTOTOT </w:t>
            </w:r>
            <w:r w:rsidRPr="0013396E">
              <w:rPr>
                <w:i/>
                <w:vertAlign w:val="subscript"/>
              </w:rPr>
              <w:t>o</w:t>
            </w:r>
          </w:p>
        </w:tc>
        <w:tc>
          <w:tcPr>
            <w:tcW w:w="329" w:type="pct"/>
          </w:tcPr>
          <w:p w14:paraId="7B2437D0" w14:textId="77777777" w:rsidR="001F04FD" w:rsidRPr="0013396E" w:rsidRDefault="001F04FD" w:rsidP="00AC4DEE">
            <w:pPr>
              <w:pStyle w:val="TableBody"/>
            </w:pPr>
            <w:r w:rsidRPr="0013396E">
              <w:t>$</w:t>
            </w:r>
          </w:p>
        </w:tc>
        <w:tc>
          <w:tcPr>
            <w:tcW w:w="3346" w:type="pct"/>
          </w:tcPr>
          <w:p w14:paraId="377E2E55" w14:textId="77777777" w:rsidR="001F04FD" w:rsidRPr="0013396E" w:rsidRDefault="001F04FD" w:rsidP="00AC4DEE">
            <w:pPr>
              <w:pStyle w:val="TableBody"/>
            </w:pPr>
            <w:r w:rsidRPr="0013396E">
              <w:rPr>
                <w:i/>
              </w:rPr>
              <w:t>No DAM Real-Time Option Amount Owner Total per CRR Owner</w:t>
            </w:r>
            <w:r w:rsidRPr="0013396E">
              <w:t xml:space="preserve">—The total payment to CRR owner </w:t>
            </w:r>
            <w:r w:rsidRPr="0013396E">
              <w:rPr>
                <w:i/>
              </w:rPr>
              <w:t>o</w:t>
            </w:r>
            <w:r w:rsidRPr="0013396E">
              <w:t xml:space="preserve"> for all its PTP Options settled in Real-Time when ERCOT is unable to execute the DAM, for the hour.</w:t>
            </w:r>
          </w:p>
        </w:tc>
      </w:tr>
      <w:tr w:rsidR="001F04FD" w:rsidRPr="0013396E" w14:paraId="6BBB01CA" w14:textId="77777777" w:rsidTr="008B66B5">
        <w:trPr>
          <w:cantSplit/>
        </w:trPr>
        <w:tc>
          <w:tcPr>
            <w:tcW w:w="1325" w:type="pct"/>
          </w:tcPr>
          <w:p w14:paraId="4C8377B9" w14:textId="77777777" w:rsidR="001F04FD" w:rsidRPr="0013396E" w:rsidRDefault="001F04FD" w:rsidP="00AC4DEE">
            <w:pPr>
              <w:pStyle w:val="TableBody"/>
            </w:pPr>
            <w:r w:rsidRPr="0013396E">
              <w:lastRenderedPageBreak/>
              <w:t xml:space="preserve">NDRTOPTRAMTOTOT </w:t>
            </w:r>
            <w:r w:rsidRPr="0013396E">
              <w:rPr>
                <w:i/>
                <w:vertAlign w:val="subscript"/>
              </w:rPr>
              <w:t>o</w:t>
            </w:r>
          </w:p>
        </w:tc>
        <w:tc>
          <w:tcPr>
            <w:tcW w:w="329" w:type="pct"/>
          </w:tcPr>
          <w:p w14:paraId="6A94C20E" w14:textId="77777777" w:rsidR="001F04FD" w:rsidRPr="0013396E" w:rsidRDefault="001F04FD" w:rsidP="00AC4DEE">
            <w:pPr>
              <w:pStyle w:val="TableBody"/>
            </w:pPr>
            <w:r w:rsidRPr="0013396E">
              <w:t>$</w:t>
            </w:r>
          </w:p>
        </w:tc>
        <w:tc>
          <w:tcPr>
            <w:tcW w:w="3346" w:type="pct"/>
          </w:tcPr>
          <w:p w14:paraId="67E588B9" w14:textId="2E04DEC3" w:rsidR="001F04FD" w:rsidRPr="0013396E" w:rsidRDefault="001F04FD" w:rsidP="00F12B75">
            <w:pPr>
              <w:pStyle w:val="TableBody"/>
            </w:pPr>
            <w:r w:rsidRPr="0013396E">
              <w:rPr>
                <w:i/>
              </w:rPr>
              <w:t>No DAM Real-Time Option with Refund Amount Owner Total per CRR Owner</w:t>
            </w:r>
            <w:r w:rsidRPr="0013396E">
              <w:t xml:space="preserve">—The total payment to </w:t>
            </w:r>
            <w:r w:rsidR="00F12B75" w:rsidRPr="0013396E">
              <w:t>Non-Opt-In Entity (</w:t>
            </w:r>
            <w:r w:rsidRPr="0013396E">
              <w:t>NOIE</w:t>
            </w:r>
            <w:r w:rsidR="00F12B75" w:rsidRPr="0013396E">
              <w:t>)</w:t>
            </w:r>
            <w:r w:rsidRPr="0013396E">
              <w:t xml:space="preserve"> CRR owner </w:t>
            </w:r>
            <w:r w:rsidRPr="0013396E">
              <w:rPr>
                <w:i/>
              </w:rPr>
              <w:t>o</w:t>
            </w:r>
            <w:r w:rsidRPr="0013396E">
              <w:t xml:space="preserve"> for all its PTP Options with Refund settled in Real-Time when ERCOT is unable to execute the DAM, for the hour.</w:t>
            </w:r>
          </w:p>
        </w:tc>
      </w:tr>
      <w:tr w:rsidR="001F04FD" w:rsidRPr="0013396E" w14:paraId="2B08DD18" w14:textId="77777777" w:rsidTr="008B66B5">
        <w:trPr>
          <w:cantSplit/>
        </w:trPr>
        <w:tc>
          <w:tcPr>
            <w:tcW w:w="1325" w:type="pct"/>
          </w:tcPr>
          <w:p w14:paraId="00408165" w14:textId="77777777" w:rsidR="001F04FD" w:rsidRPr="0013396E" w:rsidRDefault="001F04FD" w:rsidP="00AC4DEE">
            <w:pPr>
              <w:pStyle w:val="TableBody"/>
            </w:pPr>
            <w:r w:rsidRPr="0013396E">
              <w:t xml:space="preserve">NDRTOBLRAMTOTOT </w:t>
            </w:r>
            <w:r w:rsidRPr="0013396E">
              <w:rPr>
                <w:i/>
                <w:vertAlign w:val="subscript"/>
              </w:rPr>
              <w:t>o</w:t>
            </w:r>
          </w:p>
        </w:tc>
        <w:tc>
          <w:tcPr>
            <w:tcW w:w="329" w:type="pct"/>
          </w:tcPr>
          <w:p w14:paraId="45B0BF75" w14:textId="77777777" w:rsidR="001F04FD" w:rsidRPr="0013396E" w:rsidRDefault="001F04FD" w:rsidP="00AC4DEE">
            <w:pPr>
              <w:pStyle w:val="TableBody"/>
            </w:pPr>
            <w:r w:rsidRPr="0013396E">
              <w:t>$</w:t>
            </w:r>
          </w:p>
        </w:tc>
        <w:tc>
          <w:tcPr>
            <w:tcW w:w="3346" w:type="pct"/>
          </w:tcPr>
          <w:p w14:paraId="28ADB516" w14:textId="77777777" w:rsidR="001F04FD" w:rsidRPr="0013396E" w:rsidRDefault="001F04FD" w:rsidP="00AC4DEE">
            <w:pPr>
              <w:pStyle w:val="TableBody"/>
            </w:pPr>
            <w:r w:rsidRPr="0013396E">
              <w:rPr>
                <w:i/>
              </w:rPr>
              <w:t>No DAM Real-Time Obligation with Refund Amount Owner Total per CRR Owner</w:t>
            </w:r>
            <w:r w:rsidRPr="0013396E">
              <w:t xml:space="preserve">—The net total payment or charge to CRR owner </w:t>
            </w:r>
            <w:r w:rsidRPr="0013396E">
              <w:rPr>
                <w:i/>
              </w:rPr>
              <w:t>o</w:t>
            </w:r>
            <w:r w:rsidRPr="0013396E">
              <w:t xml:space="preserve"> for all its PTP Obligations with Refund settled in Real-Time, when ERCOT is unable to execute the DAM, for the hour.</w:t>
            </w:r>
          </w:p>
        </w:tc>
      </w:tr>
      <w:tr w:rsidR="00657819" w:rsidRPr="0013396E" w14:paraId="767346B2" w14:textId="77777777" w:rsidTr="008B66B5">
        <w:trPr>
          <w:cantSplit/>
        </w:trPr>
        <w:tc>
          <w:tcPr>
            <w:tcW w:w="1325" w:type="pct"/>
          </w:tcPr>
          <w:p w14:paraId="20295A03" w14:textId="156B0B9E" w:rsidR="00657819" w:rsidRPr="0013396E" w:rsidRDefault="00657819" w:rsidP="00657819">
            <w:pPr>
              <w:pStyle w:val="TableBody"/>
            </w:pPr>
            <w:r w:rsidRPr="0013396E">
              <w:t xml:space="preserve">RTESOGAMTQSETOT </w:t>
            </w:r>
            <w:r w:rsidRPr="0013396E">
              <w:rPr>
                <w:i/>
                <w:vertAlign w:val="subscript"/>
              </w:rPr>
              <w:t>q</w:t>
            </w:r>
          </w:p>
        </w:tc>
        <w:tc>
          <w:tcPr>
            <w:tcW w:w="329" w:type="pct"/>
          </w:tcPr>
          <w:p w14:paraId="6D6EF20A" w14:textId="46A979A6" w:rsidR="00657819" w:rsidRPr="0013396E" w:rsidRDefault="00657819" w:rsidP="00657819">
            <w:pPr>
              <w:pStyle w:val="TableBody"/>
            </w:pPr>
            <w:r w:rsidRPr="0013396E">
              <w:rPr>
                <w:bCs/>
              </w:rPr>
              <w:t>$</w:t>
            </w:r>
          </w:p>
        </w:tc>
        <w:tc>
          <w:tcPr>
            <w:tcW w:w="3346" w:type="pct"/>
          </w:tcPr>
          <w:p w14:paraId="54485860" w14:textId="6EACB98E" w:rsidR="00657819" w:rsidRPr="0013396E" w:rsidRDefault="00657819" w:rsidP="00657819">
            <w:pPr>
              <w:pStyle w:val="TableBody"/>
              <w:rPr>
                <w:i/>
              </w:rPr>
            </w:pPr>
            <w:r w:rsidRPr="0013396E">
              <w:rPr>
                <w:i/>
              </w:rPr>
              <w:t xml:space="preserve">Real-Time Energy Payment or Charge per QSE for Energy from SODGs and SOTGs </w:t>
            </w:r>
            <w:r w:rsidRPr="0013396E">
              <w:t xml:space="preserve">—The payment or charge to QSE </w:t>
            </w:r>
            <w:r w:rsidRPr="0013396E">
              <w:rPr>
                <w:i/>
              </w:rPr>
              <w:t>q</w:t>
            </w:r>
            <w:r w:rsidRPr="0013396E">
              <w:t xml:space="preserve"> for Real-Time energy from SODGs and SOTGs, for the 15-minute Settlement Interval.</w:t>
            </w:r>
          </w:p>
        </w:tc>
      </w:tr>
      <w:tr w:rsidR="00657819" w:rsidRPr="0013396E" w14:paraId="38A69CC7" w14:textId="77777777" w:rsidTr="008B66B5">
        <w:trPr>
          <w:cantSplit/>
        </w:trPr>
        <w:tc>
          <w:tcPr>
            <w:tcW w:w="1325" w:type="pct"/>
          </w:tcPr>
          <w:p w14:paraId="5C4EB570" w14:textId="73577E22" w:rsidR="00657819" w:rsidRPr="0013396E" w:rsidRDefault="00657819" w:rsidP="00657819">
            <w:pPr>
              <w:pStyle w:val="TableBody"/>
            </w:pPr>
            <w:r w:rsidRPr="0013396E">
              <w:t>RTESOGAMTTOT</w:t>
            </w:r>
          </w:p>
        </w:tc>
        <w:tc>
          <w:tcPr>
            <w:tcW w:w="329" w:type="pct"/>
          </w:tcPr>
          <w:p w14:paraId="52938060" w14:textId="7E8EE0CC" w:rsidR="00657819" w:rsidRPr="0013396E" w:rsidRDefault="00657819" w:rsidP="00657819">
            <w:pPr>
              <w:pStyle w:val="TableBody"/>
            </w:pPr>
            <w:r w:rsidRPr="0013396E">
              <w:rPr>
                <w:bCs/>
              </w:rPr>
              <w:t>$</w:t>
            </w:r>
          </w:p>
        </w:tc>
        <w:tc>
          <w:tcPr>
            <w:tcW w:w="3346" w:type="pct"/>
          </w:tcPr>
          <w:p w14:paraId="7FB0B1EC" w14:textId="4A52FB74" w:rsidR="00657819" w:rsidRPr="0013396E" w:rsidRDefault="00657819" w:rsidP="00657819">
            <w:pPr>
              <w:pStyle w:val="TableBody"/>
              <w:rPr>
                <w:i/>
              </w:rPr>
            </w:pPr>
            <w:r w:rsidRPr="0013396E">
              <w:rPr>
                <w:i/>
              </w:rPr>
              <w:t xml:space="preserve">Real-Time Energy Amount Total for Energy from all SODGs and SOTGs </w:t>
            </w:r>
            <w:r w:rsidRPr="0013396E">
              <w:t>—The total net payments and charges to all QSEs for Real-Time energy from SODGs and SOTGs, for the 15-minute Settlement Interval.</w:t>
            </w:r>
          </w:p>
        </w:tc>
      </w:tr>
      <w:tr w:rsidR="00C54508" w:rsidRPr="0013396E" w14:paraId="1FA79B85" w14:textId="77777777" w:rsidTr="008B66B5">
        <w:trPr>
          <w:cantSplit/>
        </w:trPr>
        <w:tc>
          <w:tcPr>
            <w:tcW w:w="5000" w:type="pct"/>
            <w:gridSpan w:val="3"/>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124"/>
            </w:tblGrid>
            <w:tr w:rsidR="00C54508" w:rsidRPr="0013396E" w14:paraId="0EAFBB43" w14:textId="77777777" w:rsidTr="00F12B75">
              <w:trPr>
                <w:trHeight w:val="206"/>
              </w:trPr>
              <w:tc>
                <w:tcPr>
                  <w:tcW w:w="5000" w:type="pct"/>
                  <w:shd w:val="pct12" w:color="auto" w:fill="auto"/>
                </w:tcPr>
                <w:p w14:paraId="0E169BDE" w14:textId="432A60B2" w:rsidR="00C54508" w:rsidRPr="0013396E" w:rsidRDefault="00C54508" w:rsidP="00C54508">
                  <w:pPr>
                    <w:pStyle w:val="Instructions"/>
                    <w:spacing w:before="120"/>
                  </w:pPr>
                  <w:r w:rsidRPr="0013396E">
                    <w:t>[</w:t>
                  </w:r>
                  <w:r w:rsidR="00C04382" w:rsidRPr="0013396E">
                    <w:t>NPRR995</w:t>
                  </w:r>
                  <w:r w:rsidRPr="0013396E">
                    <w:t xml:space="preserve">:  </w:t>
                  </w:r>
                  <w:r w:rsidR="00657819" w:rsidRPr="0013396E">
                    <w:t>Replace</w:t>
                  </w:r>
                  <w:r w:rsidRPr="0013396E">
                    <w:t xml:space="preserve"> the variables “RTESO</w:t>
                  </w:r>
                  <w:r w:rsidR="00657819" w:rsidRPr="0013396E">
                    <w:t>G</w:t>
                  </w:r>
                  <w:r w:rsidRPr="0013396E">
                    <w:t xml:space="preserve">AMTQSETOT </w:t>
                  </w:r>
                  <w:r w:rsidRPr="0013396E">
                    <w:rPr>
                      <w:vertAlign w:val="subscript"/>
                    </w:rPr>
                    <w:t>q</w:t>
                  </w:r>
                  <w:r w:rsidRPr="0013396E">
                    <w:t>” and “RTESO</w:t>
                  </w:r>
                  <w:r w:rsidR="00657819" w:rsidRPr="0013396E">
                    <w:t>G</w:t>
                  </w:r>
                  <w:r w:rsidRPr="0013396E">
                    <w:t xml:space="preserve">AMTTOT” </w:t>
                  </w:r>
                  <w:r w:rsidR="00657819" w:rsidRPr="0013396E">
                    <w:t>above with the following</w:t>
                  </w:r>
                  <w:r w:rsidRPr="0013396E">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334"/>
                    <w:gridCol w:w="704"/>
                    <w:gridCol w:w="5846"/>
                  </w:tblGrid>
                  <w:tr w:rsidR="00C54508" w:rsidRPr="0013396E" w14:paraId="73F61A5B" w14:textId="77777777" w:rsidTr="00F12B75">
                    <w:trPr>
                      <w:cantSplit/>
                    </w:trPr>
                    <w:tc>
                      <w:tcPr>
                        <w:tcW w:w="1314" w:type="pct"/>
                        <w:tcBorders>
                          <w:bottom w:val="single" w:sz="4" w:space="0" w:color="auto"/>
                        </w:tcBorders>
                      </w:tcPr>
                      <w:p w14:paraId="14664554" w14:textId="30699AB1" w:rsidR="00C54508" w:rsidRPr="0013396E" w:rsidRDefault="00C54508" w:rsidP="00C54508">
                        <w:pPr>
                          <w:pStyle w:val="tablebody0"/>
                        </w:pPr>
                        <w:r w:rsidRPr="0013396E">
                          <w:t xml:space="preserve">RTESOAMTQSETOT </w:t>
                        </w:r>
                        <w:r w:rsidRPr="0013396E">
                          <w:rPr>
                            <w:i/>
                            <w:vertAlign w:val="subscript"/>
                          </w:rPr>
                          <w:t>q</w:t>
                        </w:r>
                      </w:p>
                    </w:tc>
                    <w:tc>
                      <w:tcPr>
                        <w:tcW w:w="396" w:type="pct"/>
                        <w:tcBorders>
                          <w:bottom w:val="single" w:sz="4" w:space="0" w:color="auto"/>
                        </w:tcBorders>
                      </w:tcPr>
                      <w:p w14:paraId="327E6B67" w14:textId="77777777" w:rsidR="00C54508" w:rsidRPr="0013396E" w:rsidRDefault="00C54508" w:rsidP="00C54508">
                        <w:pPr>
                          <w:pStyle w:val="tablebody0"/>
                        </w:pPr>
                        <w:r w:rsidRPr="0013396E">
                          <w:rPr>
                            <w:bCs/>
                          </w:rPr>
                          <w:t>$</w:t>
                        </w:r>
                      </w:p>
                    </w:tc>
                    <w:tc>
                      <w:tcPr>
                        <w:tcW w:w="3290" w:type="pct"/>
                        <w:tcBorders>
                          <w:bottom w:val="single" w:sz="4" w:space="0" w:color="auto"/>
                        </w:tcBorders>
                      </w:tcPr>
                      <w:p w14:paraId="36EB17A0" w14:textId="61767094" w:rsidR="00C54508" w:rsidRPr="0013396E" w:rsidRDefault="00C54508" w:rsidP="00C54508">
                        <w:pPr>
                          <w:pStyle w:val="tablebody0"/>
                          <w:rPr>
                            <w:i/>
                          </w:rPr>
                        </w:pPr>
                        <w:r w:rsidRPr="0013396E">
                          <w:rPr>
                            <w:i/>
                          </w:rPr>
                          <w:t>Real-Time Energy Payment or Charge per QSE for SODGs</w:t>
                        </w:r>
                        <w:r w:rsidR="00C04382" w:rsidRPr="0013396E">
                          <w:rPr>
                            <w:i/>
                          </w:rPr>
                          <w:t>,</w:t>
                        </w:r>
                        <w:r w:rsidRPr="0013396E">
                          <w:rPr>
                            <w:i/>
                          </w:rPr>
                          <w:t xml:space="preserve"> SOTGs</w:t>
                        </w:r>
                        <w:r w:rsidR="00C04382" w:rsidRPr="0013396E">
                          <w:rPr>
                            <w:i/>
                          </w:rPr>
                          <w:t>, SODESSs, or SOTESSs</w:t>
                        </w:r>
                        <w:r w:rsidR="00E87687" w:rsidRPr="0013396E">
                          <w:rPr>
                            <w:i/>
                          </w:rPr>
                          <w:t xml:space="preserve"> </w:t>
                        </w:r>
                        <w:r w:rsidRPr="0013396E">
                          <w:t xml:space="preserve">—The payment or charge to QSE </w:t>
                        </w:r>
                        <w:r w:rsidRPr="0013396E">
                          <w:rPr>
                            <w:i/>
                          </w:rPr>
                          <w:t>q</w:t>
                        </w:r>
                        <w:r w:rsidRPr="0013396E">
                          <w:t xml:space="preserve"> for Real-Time energy from SODGs</w:t>
                        </w:r>
                        <w:r w:rsidR="00C04382" w:rsidRPr="0013396E">
                          <w:t>,</w:t>
                        </w:r>
                        <w:r w:rsidRPr="0013396E">
                          <w:t xml:space="preserve"> SOTGs</w:t>
                        </w:r>
                        <w:r w:rsidR="00C04382" w:rsidRPr="0013396E">
                          <w:t>, SODESSs, or SOTESSs</w:t>
                        </w:r>
                        <w:r w:rsidRPr="0013396E">
                          <w:t>, for the 15-minute Settlement Interval.</w:t>
                        </w:r>
                      </w:p>
                    </w:tc>
                  </w:tr>
                  <w:tr w:rsidR="00C54508" w:rsidRPr="0013396E" w14:paraId="2B1516C5" w14:textId="77777777" w:rsidTr="00F12B75">
                    <w:trPr>
                      <w:cantSplit/>
                    </w:trPr>
                    <w:tc>
                      <w:tcPr>
                        <w:tcW w:w="1314" w:type="pct"/>
                        <w:tcBorders>
                          <w:bottom w:val="single" w:sz="4" w:space="0" w:color="auto"/>
                        </w:tcBorders>
                      </w:tcPr>
                      <w:p w14:paraId="435E0EF8" w14:textId="17C9C279" w:rsidR="00C54508" w:rsidRPr="0013396E" w:rsidRDefault="00C54508" w:rsidP="00C54508">
                        <w:pPr>
                          <w:pStyle w:val="tablebody0"/>
                        </w:pPr>
                        <w:r w:rsidRPr="0013396E">
                          <w:t>RTESOAMTTOT</w:t>
                        </w:r>
                      </w:p>
                    </w:tc>
                    <w:tc>
                      <w:tcPr>
                        <w:tcW w:w="396" w:type="pct"/>
                        <w:tcBorders>
                          <w:bottom w:val="single" w:sz="4" w:space="0" w:color="auto"/>
                        </w:tcBorders>
                      </w:tcPr>
                      <w:p w14:paraId="0A7107F4" w14:textId="77777777" w:rsidR="00C54508" w:rsidRPr="0013396E" w:rsidRDefault="00C54508" w:rsidP="00C54508">
                        <w:pPr>
                          <w:pStyle w:val="tablebody0"/>
                        </w:pPr>
                        <w:r w:rsidRPr="0013396E">
                          <w:rPr>
                            <w:bCs/>
                          </w:rPr>
                          <w:t>$</w:t>
                        </w:r>
                      </w:p>
                    </w:tc>
                    <w:tc>
                      <w:tcPr>
                        <w:tcW w:w="3290" w:type="pct"/>
                        <w:tcBorders>
                          <w:bottom w:val="single" w:sz="4" w:space="0" w:color="auto"/>
                        </w:tcBorders>
                      </w:tcPr>
                      <w:p w14:paraId="2D4AD689" w14:textId="5B895707" w:rsidR="00C54508" w:rsidRPr="0013396E" w:rsidRDefault="00C54508" w:rsidP="00C54508">
                        <w:pPr>
                          <w:pStyle w:val="tablebody0"/>
                          <w:rPr>
                            <w:i/>
                          </w:rPr>
                        </w:pPr>
                        <w:r w:rsidRPr="0013396E">
                          <w:rPr>
                            <w:i/>
                          </w:rPr>
                          <w:t>Real-Time Energy Amount Total from all SODGs</w:t>
                        </w:r>
                        <w:r w:rsidR="00C04382" w:rsidRPr="0013396E">
                          <w:rPr>
                            <w:i/>
                          </w:rPr>
                          <w:t>,</w:t>
                        </w:r>
                        <w:r w:rsidRPr="0013396E">
                          <w:rPr>
                            <w:i/>
                          </w:rPr>
                          <w:t xml:space="preserve"> SOTGs</w:t>
                        </w:r>
                        <w:r w:rsidR="00C04382" w:rsidRPr="0013396E">
                          <w:rPr>
                            <w:i/>
                          </w:rPr>
                          <w:t>, SODESSs, or SOTESSs</w:t>
                        </w:r>
                        <w:r w:rsidR="00E87687" w:rsidRPr="0013396E">
                          <w:rPr>
                            <w:i/>
                          </w:rPr>
                          <w:t xml:space="preserve"> </w:t>
                        </w:r>
                        <w:r w:rsidRPr="0013396E">
                          <w:t>—The total net payments and charges to all QSEs for Real-Time energy from SODGs</w:t>
                        </w:r>
                        <w:r w:rsidR="00C04382" w:rsidRPr="0013396E">
                          <w:t>,</w:t>
                        </w:r>
                        <w:r w:rsidRPr="0013396E">
                          <w:t xml:space="preserve"> SOTGs</w:t>
                        </w:r>
                        <w:r w:rsidR="00C04382" w:rsidRPr="0013396E">
                          <w:t>, SODESSs, or SOTESSs</w:t>
                        </w:r>
                        <w:r w:rsidRPr="0013396E">
                          <w:t>, for the 15-minute Settlement Interval.</w:t>
                        </w:r>
                      </w:p>
                    </w:tc>
                  </w:tr>
                </w:tbl>
                <w:p w14:paraId="6317449A" w14:textId="77777777" w:rsidR="00C54508" w:rsidRPr="0013396E" w:rsidRDefault="00C54508" w:rsidP="00C54508">
                  <w:pPr>
                    <w:pStyle w:val="tablebody0"/>
                    <w:rPr>
                      <w:i/>
                    </w:rPr>
                  </w:pPr>
                </w:p>
              </w:tc>
            </w:tr>
          </w:tbl>
          <w:p w14:paraId="06AFC1B9" w14:textId="77777777" w:rsidR="00C54508" w:rsidRPr="0013396E" w:rsidRDefault="00C54508" w:rsidP="00AC4DEE">
            <w:pPr>
              <w:pStyle w:val="TableBody"/>
            </w:pPr>
          </w:p>
        </w:tc>
      </w:tr>
      <w:tr w:rsidR="001F04FD" w:rsidRPr="0013396E" w14:paraId="7F6C3942" w14:textId="77777777" w:rsidTr="008B66B5">
        <w:trPr>
          <w:cantSplit/>
        </w:trPr>
        <w:tc>
          <w:tcPr>
            <w:tcW w:w="1325" w:type="pct"/>
          </w:tcPr>
          <w:p w14:paraId="7C05F177" w14:textId="77777777" w:rsidR="001F04FD" w:rsidRPr="0013396E" w:rsidRDefault="001F04FD" w:rsidP="00AC4DEE">
            <w:pPr>
              <w:pStyle w:val="TableBody"/>
            </w:pPr>
            <w:r w:rsidRPr="0013396E">
              <w:t xml:space="preserve">LRS </w:t>
            </w:r>
            <w:r w:rsidRPr="0013396E">
              <w:rPr>
                <w:i/>
                <w:vertAlign w:val="subscript"/>
              </w:rPr>
              <w:t>q</w:t>
            </w:r>
          </w:p>
        </w:tc>
        <w:tc>
          <w:tcPr>
            <w:tcW w:w="329" w:type="pct"/>
          </w:tcPr>
          <w:p w14:paraId="0B0D4C42" w14:textId="77777777" w:rsidR="001F04FD" w:rsidRPr="0013396E" w:rsidRDefault="001F04FD" w:rsidP="00AC4DEE">
            <w:pPr>
              <w:pStyle w:val="TableBody"/>
            </w:pPr>
            <w:r w:rsidRPr="0013396E">
              <w:t>none</w:t>
            </w:r>
          </w:p>
        </w:tc>
        <w:tc>
          <w:tcPr>
            <w:tcW w:w="3346" w:type="pct"/>
          </w:tcPr>
          <w:p w14:paraId="1833345B" w14:textId="7D47CCEC" w:rsidR="001F04FD" w:rsidRPr="0013396E" w:rsidRDefault="001F04FD" w:rsidP="00F12B75">
            <w:pPr>
              <w:pStyle w:val="TableBody"/>
            </w:pPr>
            <w:r w:rsidRPr="0013396E">
              <w:t xml:space="preserve">The LRS calculated for QSE </w:t>
            </w:r>
            <w:r w:rsidRPr="0013396E">
              <w:rPr>
                <w:i/>
              </w:rPr>
              <w:t>q</w:t>
            </w:r>
            <w:r w:rsidRPr="0013396E">
              <w:t xml:space="preserve"> for the 15-minute Settlement Interval.  See Section 6.6.2.2.</w:t>
            </w:r>
          </w:p>
        </w:tc>
      </w:tr>
      <w:tr w:rsidR="001F04FD" w:rsidRPr="0013396E" w14:paraId="1E783409" w14:textId="77777777" w:rsidTr="008B66B5">
        <w:trPr>
          <w:cantSplit/>
        </w:trPr>
        <w:tc>
          <w:tcPr>
            <w:tcW w:w="1325" w:type="pct"/>
          </w:tcPr>
          <w:p w14:paraId="75DD8DA3" w14:textId="77777777" w:rsidR="001F04FD" w:rsidRPr="0013396E" w:rsidRDefault="001F04FD" w:rsidP="00AC4DEE">
            <w:pPr>
              <w:pStyle w:val="TableBody"/>
              <w:rPr>
                <w:i/>
              </w:rPr>
            </w:pPr>
            <w:r w:rsidRPr="0013396E">
              <w:rPr>
                <w:i/>
              </w:rPr>
              <w:t>q</w:t>
            </w:r>
          </w:p>
        </w:tc>
        <w:tc>
          <w:tcPr>
            <w:tcW w:w="329" w:type="pct"/>
          </w:tcPr>
          <w:p w14:paraId="4F8F9F60" w14:textId="77777777" w:rsidR="001F04FD" w:rsidRPr="0013396E" w:rsidRDefault="001F04FD" w:rsidP="00AC4DEE">
            <w:pPr>
              <w:pStyle w:val="TableBody"/>
              <w:rPr>
                <w:bCs/>
              </w:rPr>
            </w:pPr>
            <w:r w:rsidRPr="0013396E">
              <w:rPr>
                <w:bCs/>
              </w:rPr>
              <w:t>none</w:t>
            </w:r>
          </w:p>
        </w:tc>
        <w:tc>
          <w:tcPr>
            <w:tcW w:w="3346" w:type="pct"/>
          </w:tcPr>
          <w:p w14:paraId="53E1F4C6" w14:textId="77777777" w:rsidR="001F04FD" w:rsidRPr="0013396E" w:rsidRDefault="001F04FD" w:rsidP="00AC4DEE">
            <w:pPr>
              <w:pStyle w:val="TableBody"/>
              <w:rPr>
                <w:bCs/>
              </w:rPr>
            </w:pPr>
            <w:r w:rsidRPr="0013396E">
              <w:rPr>
                <w:bCs/>
              </w:rPr>
              <w:t>A QSE.</w:t>
            </w:r>
          </w:p>
        </w:tc>
      </w:tr>
      <w:tr w:rsidR="001F04FD" w:rsidRPr="0013396E" w14:paraId="786FED27" w14:textId="77777777" w:rsidTr="008B66B5">
        <w:trPr>
          <w:cantSplit/>
        </w:trPr>
        <w:tc>
          <w:tcPr>
            <w:tcW w:w="1325" w:type="pct"/>
            <w:tcBorders>
              <w:top w:val="single" w:sz="4" w:space="0" w:color="auto"/>
              <w:left w:val="single" w:sz="4" w:space="0" w:color="auto"/>
              <w:bottom w:val="single" w:sz="4" w:space="0" w:color="auto"/>
              <w:right w:val="single" w:sz="4" w:space="0" w:color="auto"/>
            </w:tcBorders>
          </w:tcPr>
          <w:p w14:paraId="04710A86" w14:textId="77777777" w:rsidR="001F04FD" w:rsidRPr="0013396E" w:rsidRDefault="001F04FD" w:rsidP="00AC4DEE">
            <w:pPr>
              <w:pStyle w:val="TableBody"/>
              <w:rPr>
                <w:i/>
              </w:rPr>
            </w:pPr>
            <w:r w:rsidRPr="0013396E">
              <w:rPr>
                <w:i/>
              </w:rPr>
              <w:t>o</w:t>
            </w:r>
          </w:p>
        </w:tc>
        <w:tc>
          <w:tcPr>
            <w:tcW w:w="329" w:type="pct"/>
            <w:tcBorders>
              <w:top w:val="single" w:sz="4" w:space="0" w:color="auto"/>
              <w:left w:val="single" w:sz="4" w:space="0" w:color="auto"/>
              <w:bottom w:val="single" w:sz="4" w:space="0" w:color="auto"/>
              <w:right w:val="single" w:sz="4" w:space="0" w:color="auto"/>
            </w:tcBorders>
          </w:tcPr>
          <w:p w14:paraId="7FAD7491" w14:textId="77777777" w:rsidR="001F04FD" w:rsidRPr="0013396E" w:rsidRDefault="001F04FD" w:rsidP="00AC4DEE">
            <w:pPr>
              <w:pStyle w:val="TableBody"/>
              <w:rPr>
                <w:bCs/>
              </w:rPr>
            </w:pPr>
            <w:r w:rsidRPr="0013396E">
              <w:rPr>
                <w:bCs/>
              </w:rPr>
              <w:t>none</w:t>
            </w:r>
          </w:p>
        </w:tc>
        <w:tc>
          <w:tcPr>
            <w:tcW w:w="3346" w:type="pct"/>
            <w:tcBorders>
              <w:top w:val="single" w:sz="4" w:space="0" w:color="auto"/>
              <w:left w:val="single" w:sz="4" w:space="0" w:color="auto"/>
              <w:bottom w:val="single" w:sz="4" w:space="0" w:color="auto"/>
              <w:right w:val="single" w:sz="4" w:space="0" w:color="auto"/>
            </w:tcBorders>
          </w:tcPr>
          <w:p w14:paraId="3C5DE03A" w14:textId="77777777" w:rsidR="001F04FD" w:rsidRPr="0013396E" w:rsidRDefault="001F04FD" w:rsidP="00AC4DEE">
            <w:pPr>
              <w:pStyle w:val="TableBody"/>
              <w:rPr>
                <w:bCs/>
              </w:rPr>
            </w:pPr>
            <w:r w:rsidRPr="0013396E">
              <w:rPr>
                <w:bCs/>
              </w:rPr>
              <w:t>A CRR Owner.</w:t>
            </w:r>
          </w:p>
        </w:tc>
      </w:tr>
    </w:tbl>
    <w:p w14:paraId="78E9FA6F" w14:textId="77777777" w:rsidR="001F04FD" w:rsidRPr="0013396E" w:rsidRDefault="001F04FD" w:rsidP="001F04FD">
      <w:pPr>
        <w:pStyle w:val="H3"/>
        <w:spacing w:before="480"/>
      </w:pPr>
      <w:bookmarkStart w:id="2156" w:name="_Toc164659241"/>
      <w:bookmarkStart w:id="2157" w:name="_Toc397505042"/>
      <w:bookmarkStart w:id="2158" w:name="_Toc402357174"/>
      <w:bookmarkStart w:id="2159" w:name="_Toc422486554"/>
      <w:bookmarkStart w:id="2160" w:name="_Toc433093407"/>
      <w:bookmarkStart w:id="2161" w:name="_Toc433093565"/>
      <w:bookmarkStart w:id="2162" w:name="_Toc440874795"/>
      <w:bookmarkStart w:id="2163" w:name="_Toc448142352"/>
      <w:bookmarkStart w:id="2164" w:name="_Toc448142509"/>
      <w:bookmarkStart w:id="2165" w:name="_Toc458770350"/>
      <w:bookmarkStart w:id="2166" w:name="_Toc459294318"/>
      <w:bookmarkStart w:id="2167" w:name="_Toc463262812"/>
      <w:bookmarkStart w:id="2168" w:name="_Toc468286885"/>
      <w:bookmarkStart w:id="2169" w:name="_Toc481502925"/>
      <w:bookmarkStart w:id="2170" w:name="_Toc496080093"/>
      <w:bookmarkStart w:id="2171" w:name="_Toc236220227"/>
      <w:r w:rsidRPr="0013396E">
        <w:t>6.6.11</w:t>
      </w:r>
      <w:r w:rsidRPr="0013396E">
        <w:tab/>
        <w:t>Emergency Response Service Capacity</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14:paraId="43396B89" w14:textId="77777777" w:rsidR="001F04FD" w:rsidRPr="0013396E" w:rsidRDefault="001F04FD" w:rsidP="001F04FD">
      <w:pPr>
        <w:pStyle w:val="H4"/>
        <w:ind w:left="1267" w:hanging="1267"/>
      </w:pPr>
      <w:bookmarkStart w:id="2172" w:name="_Toc397505043"/>
      <w:bookmarkStart w:id="2173" w:name="_Toc402357175"/>
      <w:bookmarkStart w:id="2174" w:name="_Toc422486555"/>
      <w:bookmarkStart w:id="2175" w:name="_Toc433093408"/>
      <w:bookmarkStart w:id="2176" w:name="_Toc433093566"/>
      <w:bookmarkStart w:id="2177" w:name="_Toc440874796"/>
      <w:bookmarkStart w:id="2178" w:name="_Toc448142353"/>
      <w:bookmarkStart w:id="2179" w:name="_Toc448142510"/>
      <w:bookmarkStart w:id="2180" w:name="_Toc458770351"/>
      <w:bookmarkStart w:id="2181" w:name="_Toc459294319"/>
      <w:bookmarkStart w:id="2182" w:name="_Toc463262813"/>
      <w:bookmarkStart w:id="2183" w:name="_Toc468286886"/>
      <w:bookmarkStart w:id="2184" w:name="_Toc481502926"/>
      <w:bookmarkStart w:id="2185" w:name="_Toc496080094"/>
      <w:bookmarkStart w:id="2186" w:name="_Toc236220228"/>
      <w:r w:rsidRPr="0013396E">
        <w:t>6.6.11.1</w:t>
      </w:r>
      <w:r w:rsidRPr="0013396E">
        <w:tab/>
        <w:t>Emergency Response Service Capacity Payments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14:paraId="0CDF4050" w14:textId="77777777" w:rsidR="001F04FD" w:rsidRPr="0013396E" w:rsidRDefault="001F04FD" w:rsidP="001F04FD">
      <w:pPr>
        <w:pStyle w:val="BodyText"/>
        <w:ind w:left="720" w:hanging="720"/>
      </w:pPr>
      <w:r w:rsidRPr="0013396E">
        <w:t>(1)</w:t>
      </w:r>
      <w:r w:rsidRPr="0013396E">
        <w:tab/>
        <w:t>ERCOT shall pay, for each Emergency Response Service (ERS) Contract Period, the QSEs representing ERS Resources as follows:</w:t>
      </w:r>
    </w:p>
    <w:p w14:paraId="6BB2F2DC" w14:textId="77777777" w:rsidR="001F04FD" w:rsidRPr="0013396E" w:rsidRDefault="001F04FD" w:rsidP="001F04FD">
      <w:pPr>
        <w:pStyle w:val="FormulaBold"/>
        <w:rPr>
          <w:i/>
          <w:vertAlign w:val="subscript"/>
        </w:rPr>
      </w:pPr>
      <w:r w:rsidRPr="0013396E">
        <w:t>ERSPAMT </w:t>
      </w:r>
      <w:r w:rsidRPr="0013396E">
        <w:rPr>
          <w:i/>
          <w:vertAlign w:val="subscript"/>
        </w:rPr>
        <w:t>qc(tp)d</w:t>
      </w:r>
      <w:r w:rsidRPr="0013396E">
        <w:rPr>
          <w:rFonts w:ascii="Times New Roman Bold" w:hAnsi="Times New Roman Bold"/>
        </w:rPr>
        <w:t xml:space="preserve"> = COMPAMT</w:t>
      </w:r>
      <w:r w:rsidRPr="0013396E">
        <w:t> </w:t>
      </w:r>
      <w:r w:rsidRPr="0013396E">
        <w:rPr>
          <w:i/>
          <w:vertAlign w:val="subscript"/>
        </w:rPr>
        <w:t xml:space="preserve">qc(tp)d </w:t>
      </w:r>
      <w:r w:rsidRPr="0013396E">
        <w:rPr>
          <w:i/>
        </w:rPr>
        <w:t>+</w:t>
      </w:r>
      <w:r w:rsidRPr="0013396E">
        <w:rPr>
          <w:lang w:val="pt-BR"/>
        </w:rPr>
        <w:t xml:space="preserve"> SPAMT </w:t>
      </w:r>
      <w:r w:rsidRPr="0013396E">
        <w:rPr>
          <w:i/>
          <w:vertAlign w:val="subscript"/>
        </w:rPr>
        <w:t>qc(tp)d</w:t>
      </w:r>
    </w:p>
    <w:p w14:paraId="4B1BCBCC" w14:textId="77777777" w:rsidR="001F04FD" w:rsidRPr="0013396E" w:rsidRDefault="001F04FD" w:rsidP="001F04FD">
      <w:pPr>
        <w:pStyle w:val="FormulaBold"/>
        <w:rPr>
          <w:i/>
          <w:vertAlign w:val="subscript"/>
        </w:rPr>
      </w:pPr>
      <w:r w:rsidRPr="0013396E">
        <w:t>ERSPAMTQSETOT </w:t>
      </w:r>
      <w:r w:rsidRPr="0013396E">
        <w:rPr>
          <w:i/>
          <w:vertAlign w:val="subscript"/>
        </w:rPr>
        <w:t>qcd</w:t>
      </w:r>
      <w:r w:rsidRPr="0013396E">
        <w:rPr>
          <w:rFonts w:ascii="Times New Roman Bold" w:hAnsi="Times New Roman Bold"/>
        </w:rPr>
        <w:t xml:space="preserve"> = </w:t>
      </w:r>
      <w:r w:rsidRPr="0013396E">
        <w:rPr>
          <w:position w:val="-30"/>
        </w:rPr>
        <w:object w:dxaOrig="465" w:dyaOrig="720" w14:anchorId="0504AD39">
          <v:shape id="_x0000_i1242" type="#_x0000_t75" style="width:18.6pt;height:36pt" o:ole="">
            <v:imagedata r:id="rId307" o:title=""/>
          </v:shape>
          <o:OLEObject Type="Embed" ProgID="Equation.3" ShapeID="_x0000_i1242" DrawAspect="Content" ObjectID="_1849065872" r:id="rId308"/>
        </w:object>
      </w:r>
      <w:r w:rsidRPr="0013396E">
        <w:t>ERSPAMT </w:t>
      </w:r>
      <w:r w:rsidRPr="0013396E">
        <w:rPr>
          <w:i/>
          <w:vertAlign w:val="subscript"/>
        </w:rPr>
        <w:t>qc(tp)d</w:t>
      </w:r>
    </w:p>
    <w:p w14:paraId="04661DEA" w14:textId="77777777" w:rsidR="001F04FD" w:rsidRPr="0013396E" w:rsidRDefault="001F04FD" w:rsidP="001F04FD">
      <w:pPr>
        <w:pStyle w:val="FormulaBold"/>
        <w:rPr>
          <w:i/>
          <w:vertAlign w:val="subscript"/>
        </w:rPr>
      </w:pPr>
      <w:r w:rsidRPr="0013396E">
        <w:t>ERSPAMTTOT </w:t>
      </w:r>
      <w:r w:rsidRPr="0013396E">
        <w:rPr>
          <w:i/>
          <w:vertAlign w:val="subscript"/>
        </w:rPr>
        <w:t>c(tp)d</w:t>
      </w:r>
      <w:r w:rsidRPr="0013396E">
        <w:rPr>
          <w:rFonts w:ascii="Times New Roman Bold" w:hAnsi="Times New Roman Bold"/>
        </w:rPr>
        <w:t xml:space="preserve"> = </w:t>
      </w:r>
      <w:r w:rsidRPr="0013396E">
        <w:rPr>
          <w:position w:val="-30"/>
        </w:rPr>
        <w:object w:dxaOrig="465" w:dyaOrig="720" w14:anchorId="1F761B15">
          <v:shape id="_x0000_i1243" type="#_x0000_t75" style="width:18.6pt;height:36pt" o:ole="">
            <v:imagedata r:id="rId309" o:title=""/>
          </v:shape>
          <o:OLEObject Type="Embed" ProgID="Equation.3" ShapeID="_x0000_i1243" DrawAspect="Content" ObjectID="_1849065873" r:id="rId310"/>
        </w:object>
      </w:r>
      <w:r w:rsidRPr="0013396E">
        <w:t>ERSPAMT </w:t>
      </w:r>
      <w:r w:rsidRPr="0013396E">
        <w:rPr>
          <w:i/>
          <w:vertAlign w:val="subscript"/>
        </w:rPr>
        <w:t>qc(tp)d</w:t>
      </w:r>
    </w:p>
    <w:p w14:paraId="5C965473" w14:textId="77777777" w:rsidR="001F04FD" w:rsidRPr="0013396E" w:rsidRDefault="001F04FD" w:rsidP="001F04FD">
      <w:pPr>
        <w:pStyle w:val="BodyText"/>
      </w:pPr>
      <w:r w:rsidRPr="0013396E">
        <w:lastRenderedPageBreak/>
        <w:t>Where:</w:t>
      </w:r>
    </w:p>
    <w:p w14:paraId="0E32B3B2" w14:textId="77777777" w:rsidR="001F04FD" w:rsidRPr="0013396E" w:rsidRDefault="001F04FD" w:rsidP="001F04FD">
      <w:pPr>
        <w:pStyle w:val="FormulaBold"/>
        <w:rPr>
          <w:b w:val="0"/>
        </w:rPr>
      </w:pPr>
      <w:r w:rsidRPr="0013396E">
        <w:rPr>
          <w:b w:val="0"/>
        </w:rPr>
        <w:t xml:space="preserve">COMPAMT </w:t>
      </w:r>
      <w:r w:rsidRPr="0013396E">
        <w:rPr>
          <w:b w:val="0"/>
          <w:i/>
          <w:vertAlign w:val="subscript"/>
        </w:rPr>
        <w:t>qc(tp)d</w:t>
      </w:r>
      <w:r w:rsidRPr="0013396E">
        <w:rPr>
          <w:b w:val="0"/>
        </w:rPr>
        <w:t xml:space="preserve"> = -1 * ERSPRICE </w:t>
      </w:r>
      <w:r w:rsidRPr="0013396E">
        <w:rPr>
          <w:b w:val="0"/>
          <w:i/>
          <w:vertAlign w:val="subscript"/>
        </w:rPr>
        <w:t>qc(tp)d</w:t>
      </w:r>
      <w:r w:rsidRPr="0013396E">
        <w:rPr>
          <w:b w:val="0"/>
        </w:rPr>
        <w:t xml:space="preserve"> * COMPDELQSEMW </w:t>
      </w:r>
      <w:r w:rsidRPr="0013396E">
        <w:rPr>
          <w:b w:val="0"/>
          <w:i/>
          <w:vertAlign w:val="subscript"/>
        </w:rPr>
        <w:t>qcd(tp)d</w:t>
      </w:r>
      <w:r w:rsidRPr="0013396E">
        <w:rPr>
          <w:b w:val="0"/>
        </w:rPr>
        <w:t>* TPH </w:t>
      </w:r>
      <w:r w:rsidRPr="0013396E">
        <w:rPr>
          <w:b w:val="0"/>
          <w:i/>
          <w:vertAlign w:val="subscript"/>
        </w:rPr>
        <w:t>c(tp)d</w:t>
      </w:r>
    </w:p>
    <w:p w14:paraId="4A246711" w14:textId="77777777" w:rsidR="001F04FD" w:rsidRPr="0013396E" w:rsidRDefault="001F04FD" w:rsidP="001F04FD">
      <w:pPr>
        <w:pStyle w:val="FormulaBold"/>
        <w:rPr>
          <w:b w:val="0"/>
        </w:rPr>
      </w:pPr>
      <w:r w:rsidRPr="0013396E">
        <w:rPr>
          <w:b w:val="0"/>
          <w:bCs w:val="0"/>
          <w:lang w:val="pt-BR"/>
        </w:rPr>
        <w:t xml:space="preserve">SPAMT </w:t>
      </w:r>
      <w:r w:rsidRPr="0013396E">
        <w:rPr>
          <w:b w:val="0"/>
          <w:bCs w:val="0"/>
          <w:i/>
          <w:vertAlign w:val="subscript"/>
        </w:rPr>
        <w:t>qc(tp)d</w:t>
      </w:r>
      <w:r w:rsidRPr="0013396E">
        <w:rPr>
          <w:b w:val="0"/>
          <w:bCs w:val="0"/>
        </w:rPr>
        <w:t xml:space="preserve"> = -1 * (</w:t>
      </w:r>
      <w:r w:rsidRPr="0013396E">
        <w:rPr>
          <w:b w:val="0"/>
        </w:rPr>
        <w:t>ERSPRICE </w:t>
      </w:r>
      <w:r w:rsidRPr="0013396E">
        <w:rPr>
          <w:b w:val="0"/>
          <w:i/>
          <w:vertAlign w:val="subscript"/>
        </w:rPr>
        <w:t xml:space="preserve"> qc(tp)d </w:t>
      </w:r>
      <w:r w:rsidRPr="0013396E">
        <w:rPr>
          <w:b w:val="0"/>
          <w:i/>
        </w:rPr>
        <w:t xml:space="preserve">* </w:t>
      </w:r>
      <w:r w:rsidRPr="0013396E">
        <w:rPr>
          <w:b w:val="0"/>
          <w:i/>
          <w:vertAlign w:val="subscript"/>
        </w:rPr>
        <w:t xml:space="preserve"> </w:t>
      </w:r>
      <w:r w:rsidRPr="0013396E">
        <w:rPr>
          <w:b w:val="0"/>
          <w:bCs w:val="0"/>
        </w:rPr>
        <w:t xml:space="preserve">(Min(SPCUL </w:t>
      </w:r>
      <w:r w:rsidRPr="0013396E">
        <w:rPr>
          <w:b w:val="0"/>
          <w:bCs w:val="0"/>
          <w:i/>
          <w:vertAlign w:val="subscript"/>
        </w:rPr>
        <w:t>qc(tp)d,</w:t>
      </w:r>
      <w:r w:rsidRPr="0013396E">
        <w:rPr>
          <w:b w:val="0"/>
          <w:bCs w:val="0"/>
        </w:rPr>
        <w:t xml:space="preserve"> SPDELQSEMW </w:t>
      </w:r>
      <w:r w:rsidRPr="0013396E">
        <w:rPr>
          <w:b w:val="0"/>
          <w:bCs w:val="0"/>
          <w:i/>
          <w:vertAlign w:val="subscript"/>
        </w:rPr>
        <w:t>qc(tp)d</w:t>
      </w:r>
      <w:r w:rsidRPr="0013396E">
        <w:rPr>
          <w:b w:val="0"/>
          <w:bCs w:val="0"/>
        </w:rPr>
        <w:t>)</w:t>
      </w:r>
      <w:r w:rsidRPr="0013396E">
        <w:rPr>
          <w:b w:val="0"/>
          <w:bCs w:val="0"/>
          <w:i/>
        </w:rPr>
        <w:t xml:space="preserve">* </w:t>
      </w:r>
      <w:r w:rsidRPr="0013396E">
        <w:rPr>
          <w:b w:val="0"/>
          <w:bCs w:val="0"/>
        </w:rPr>
        <w:t>TPH </w:t>
      </w:r>
      <w:r w:rsidRPr="0013396E">
        <w:rPr>
          <w:b w:val="0"/>
          <w:bCs w:val="0"/>
          <w:i/>
          <w:vertAlign w:val="subscript"/>
        </w:rPr>
        <w:t>c(tp)d</w:t>
      </w:r>
      <w:r w:rsidRPr="0013396E">
        <w:rPr>
          <w:b w:val="0"/>
          <w:bCs w:val="0"/>
        </w:rPr>
        <w:t>)</w:t>
      </w:r>
    </w:p>
    <w:p w14:paraId="7192C1E0" w14:textId="68BCED3E" w:rsidR="001F04FD" w:rsidRPr="0013396E" w:rsidRDefault="001F04FD" w:rsidP="001F04FD">
      <w:pPr>
        <w:pStyle w:val="FormulaBold"/>
        <w:rPr>
          <w:b w:val="0"/>
        </w:rPr>
      </w:pPr>
      <w:r w:rsidRPr="0013396E">
        <w:rPr>
          <w:b w:val="0"/>
          <w:bCs w:val="0"/>
        </w:rPr>
        <w:t>COMPDELQSEMW </w:t>
      </w:r>
      <w:r w:rsidRPr="0013396E">
        <w:rPr>
          <w:b w:val="0"/>
          <w:bCs w:val="0"/>
          <w:i/>
          <w:vertAlign w:val="subscript"/>
        </w:rPr>
        <w:t xml:space="preserve">qc(tp)d </w:t>
      </w:r>
      <w:r w:rsidRPr="0013396E">
        <w:rPr>
          <w:b w:val="0"/>
          <w:bCs w:val="0"/>
        </w:rPr>
        <w:t xml:space="preserve"> = </w:t>
      </w:r>
      <w:r w:rsidR="00A94020" w:rsidRPr="0013396E">
        <w:rPr>
          <w:b w:val="0"/>
          <w:noProof/>
          <w:position w:val="-28"/>
        </w:rPr>
        <w:drawing>
          <wp:inline distT="0" distB="0" distL="0" distR="0" wp14:anchorId="10F9B106" wp14:editId="69CC96AA">
            <wp:extent cx="295275" cy="428625"/>
            <wp:effectExtent l="0" t="0" r="0" b="9525"/>
            <wp:docPr id="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295275" cy="428625"/>
                    </a:xfrm>
                    <a:prstGeom prst="rect">
                      <a:avLst/>
                    </a:prstGeom>
                    <a:noFill/>
                    <a:ln>
                      <a:noFill/>
                    </a:ln>
                  </pic:spPr>
                </pic:pic>
              </a:graphicData>
            </a:graphic>
          </wp:inline>
        </w:drawing>
      </w:r>
      <w:r w:rsidRPr="0013396E">
        <w:rPr>
          <w:b w:val="0"/>
          <w:bCs w:val="0"/>
        </w:rPr>
        <w:t>COMPDELMW </w:t>
      </w:r>
      <w:r w:rsidRPr="0013396E">
        <w:rPr>
          <w:b w:val="0"/>
          <w:bCs w:val="0"/>
          <w:i/>
          <w:vertAlign w:val="subscript"/>
        </w:rPr>
        <w:t>qce(tp)d</w:t>
      </w:r>
    </w:p>
    <w:p w14:paraId="2624B240" w14:textId="77777777" w:rsidR="001F04FD" w:rsidRPr="0013396E" w:rsidRDefault="001F04FD" w:rsidP="001F04FD">
      <w:pPr>
        <w:pStyle w:val="FormulaBold"/>
        <w:rPr>
          <w:b w:val="0"/>
          <w:i/>
          <w:vertAlign w:val="subscript"/>
        </w:rPr>
      </w:pPr>
      <w:r w:rsidRPr="0013396E">
        <w:rPr>
          <w:b w:val="0"/>
        </w:rPr>
        <w:t>COMPDELMWTOT </w:t>
      </w:r>
      <w:r w:rsidRPr="0013396E">
        <w:rPr>
          <w:b w:val="0"/>
          <w:i/>
          <w:vertAlign w:val="subscript"/>
        </w:rPr>
        <w:t>c(tp)d</w:t>
      </w:r>
      <w:r w:rsidRPr="0013396E">
        <w:rPr>
          <w:b w:val="0"/>
        </w:rPr>
        <w:t xml:space="preserve"> = </w:t>
      </w:r>
      <w:r w:rsidRPr="0013396E">
        <w:rPr>
          <w:b w:val="0"/>
          <w:position w:val="-30"/>
        </w:rPr>
        <w:object w:dxaOrig="465" w:dyaOrig="705" w14:anchorId="5608F617">
          <v:shape id="_x0000_i1244" type="#_x0000_t75" style="width:18.6pt;height:36pt" o:ole="">
            <v:imagedata r:id="rId312" o:title=""/>
          </v:shape>
          <o:OLEObject Type="Embed" ProgID="Equation.3" ShapeID="_x0000_i1244" DrawAspect="Content" ObjectID="_1849065874" r:id="rId313"/>
        </w:object>
      </w:r>
      <w:r w:rsidRPr="0013396E">
        <w:rPr>
          <w:b w:val="0"/>
        </w:rPr>
        <w:t>COMPDELQSEMW </w:t>
      </w:r>
      <w:r w:rsidRPr="0013396E">
        <w:rPr>
          <w:b w:val="0"/>
          <w:i/>
          <w:vertAlign w:val="subscript"/>
        </w:rPr>
        <w:t>qc(tp)d</w:t>
      </w:r>
    </w:p>
    <w:p w14:paraId="68D70F19" w14:textId="3BC88421" w:rsidR="001F04FD" w:rsidRPr="0013396E" w:rsidRDefault="001F04FD" w:rsidP="001F04FD">
      <w:pPr>
        <w:tabs>
          <w:tab w:val="left" w:pos="2340"/>
          <w:tab w:val="left" w:pos="3420"/>
        </w:tabs>
        <w:spacing w:after="240"/>
        <w:ind w:left="3420" w:hanging="2700"/>
        <w:rPr>
          <w:bCs/>
          <w:i/>
          <w:vertAlign w:val="subscript"/>
        </w:rPr>
      </w:pPr>
      <w:r w:rsidRPr="0013396E">
        <w:rPr>
          <w:bCs/>
        </w:rPr>
        <w:t>SPDELQSEMW </w:t>
      </w:r>
      <w:r w:rsidRPr="0013396E">
        <w:rPr>
          <w:bCs/>
          <w:i/>
          <w:vertAlign w:val="subscript"/>
        </w:rPr>
        <w:t xml:space="preserve">qc(tp)d </w:t>
      </w:r>
      <w:r w:rsidRPr="0013396E">
        <w:rPr>
          <w:bCs/>
        </w:rPr>
        <w:t xml:space="preserve"> = </w:t>
      </w:r>
      <w:r w:rsidR="00A94020" w:rsidRPr="0013396E">
        <w:rPr>
          <w:noProof/>
          <w:position w:val="-28"/>
        </w:rPr>
        <w:drawing>
          <wp:inline distT="0" distB="0" distL="0" distR="0" wp14:anchorId="30D5B210" wp14:editId="5E494427">
            <wp:extent cx="295275" cy="428625"/>
            <wp:effectExtent l="0" t="0" r="0" b="9525"/>
            <wp:docPr id="1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95275" cy="428625"/>
                    </a:xfrm>
                    <a:prstGeom prst="rect">
                      <a:avLst/>
                    </a:prstGeom>
                    <a:noFill/>
                    <a:ln>
                      <a:noFill/>
                    </a:ln>
                  </pic:spPr>
                </pic:pic>
              </a:graphicData>
            </a:graphic>
          </wp:inline>
        </w:drawing>
      </w:r>
      <w:r w:rsidRPr="0013396E">
        <w:rPr>
          <w:bCs/>
        </w:rPr>
        <w:t>SPDELMW </w:t>
      </w:r>
      <w:r w:rsidRPr="0013396E">
        <w:rPr>
          <w:bCs/>
          <w:i/>
          <w:vertAlign w:val="subscript"/>
        </w:rPr>
        <w:t>qce(tp)d</w:t>
      </w:r>
    </w:p>
    <w:p w14:paraId="1D6B27B9" w14:textId="6CE78A31" w:rsidR="001F04FD" w:rsidRPr="0013396E" w:rsidRDefault="001F04FD" w:rsidP="001F04FD">
      <w:pPr>
        <w:pStyle w:val="FormulaBold"/>
        <w:rPr>
          <w:b w:val="0"/>
        </w:rPr>
      </w:pPr>
      <w:r w:rsidRPr="0013396E">
        <w:rPr>
          <w:b w:val="0"/>
          <w:bCs w:val="0"/>
        </w:rPr>
        <w:t>SPDELMWTOT </w:t>
      </w:r>
      <w:r w:rsidRPr="0013396E">
        <w:rPr>
          <w:b w:val="0"/>
          <w:bCs w:val="0"/>
          <w:i/>
          <w:vertAlign w:val="subscript"/>
        </w:rPr>
        <w:t>c(tp)d</w:t>
      </w:r>
      <w:r w:rsidRPr="0013396E">
        <w:rPr>
          <w:b w:val="0"/>
          <w:bCs w:val="0"/>
        </w:rPr>
        <w:t xml:space="preserve"> = </w:t>
      </w:r>
      <w:r w:rsidR="00A94020" w:rsidRPr="0013396E">
        <w:rPr>
          <w:b w:val="0"/>
          <w:noProof/>
          <w:position w:val="-30"/>
        </w:rPr>
        <w:drawing>
          <wp:inline distT="0" distB="0" distL="0" distR="0" wp14:anchorId="111CE443" wp14:editId="69333790">
            <wp:extent cx="295275" cy="457200"/>
            <wp:effectExtent l="0" t="0" r="0" b="0"/>
            <wp:docPr id="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295275" cy="457200"/>
                    </a:xfrm>
                    <a:prstGeom prst="rect">
                      <a:avLst/>
                    </a:prstGeom>
                    <a:noFill/>
                    <a:ln>
                      <a:noFill/>
                    </a:ln>
                  </pic:spPr>
                </pic:pic>
              </a:graphicData>
            </a:graphic>
          </wp:inline>
        </w:drawing>
      </w:r>
      <w:r w:rsidRPr="0013396E">
        <w:rPr>
          <w:b w:val="0"/>
          <w:bCs w:val="0"/>
        </w:rPr>
        <w:t xml:space="preserve"> SPDELQSEMW </w:t>
      </w:r>
      <w:r w:rsidRPr="0013396E">
        <w:rPr>
          <w:b w:val="0"/>
          <w:bCs w:val="0"/>
          <w:i/>
          <w:vertAlign w:val="subscript"/>
        </w:rPr>
        <w:t>qc(tp)d</w:t>
      </w:r>
    </w:p>
    <w:p w14:paraId="32DF9E6D" w14:textId="77777777" w:rsidR="001F04FD" w:rsidRPr="0013396E" w:rsidRDefault="001F04FD" w:rsidP="001F04FD">
      <w:pPr>
        <w:tabs>
          <w:tab w:val="left" w:pos="2250"/>
          <w:tab w:val="left" w:pos="3150"/>
          <w:tab w:val="left" w:pos="3960"/>
        </w:tabs>
        <w:spacing w:after="240"/>
        <w:ind w:left="3960" w:hanging="3240"/>
        <w:rPr>
          <w:rFonts w:ascii="Times New Roman Bold" w:hAnsi="Times New Roman Bold"/>
          <w:bCs/>
        </w:rPr>
      </w:pPr>
      <w:r w:rsidRPr="0013396E">
        <w:rPr>
          <w:bCs/>
        </w:rPr>
        <w:t>COMPDELMW </w:t>
      </w:r>
      <w:r w:rsidRPr="0013396E">
        <w:rPr>
          <w:bCs/>
          <w:i/>
          <w:vertAlign w:val="subscript"/>
        </w:rPr>
        <w:t>qce(tp)d</w:t>
      </w:r>
      <w:r w:rsidRPr="0013396E">
        <w:rPr>
          <w:bCs/>
        </w:rPr>
        <w:t xml:space="preserve"> = ERSTESTPF </w:t>
      </w:r>
      <w:r w:rsidRPr="0013396E">
        <w:rPr>
          <w:bCs/>
          <w:i/>
          <w:vertAlign w:val="subscript"/>
        </w:rPr>
        <w:t>qred</w:t>
      </w:r>
      <w:r w:rsidRPr="0013396E">
        <w:rPr>
          <w:bCs/>
        </w:rPr>
        <w:t xml:space="preserve"> * COMPOFFERMW </w:t>
      </w:r>
      <w:r w:rsidRPr="0013396E">
        <w:rPr>
          <w:bCs/>
          <w:i/>
          <w:vertAlign w:val="subscript"/>
        </w:rPr>
        <w:t>qce(tp)d</w:t>
      </w:r>
      <w:r w:rsidRPr="0013396E">
        <w:rPr>
          <w:bCs/>
        </w:rPr>
        <w:t xml:space="preserve"> * </w:t>
      </w:r>
      <w:r w:rsidRPr="0013396E">
        <w:t xml:space="preserve">(ERSAFWT </w:t>
      </w:r>
      <w:r w:rsidRPr="0013396E">
        <w:rPr>
          <w:bCs/>
          <w:i/>
          <w:vertAlign w:val="subscript"/>
        </w:rPr>
        <w:t>qc</w:t>
      </w:r>
      <w:r w:rsidRPr="0013396E">
        <w:rPr>
          <w:i/>
          <w:vertAlign w:val="subscript"/>
        </w:rPr>
        <w:t xml:space="preserve">d </w:t>
      </w:r>
      <w:r w:rsidRPr="0013396E">
        <w:t xml:space="preserve">* Min (ERSAFCOMB </w:t>
      </w:r>
      <w:r w:rsidRPr="0013396E">
        <w:rPr>
          <w:bCs/>
          <w:i/>
          <w:vertAlign w:val="subscript"/>
        </w:rPr>
        <w:t>qrd</w:t>
      </w:r>
      <w:r w:rsidRPr="0013396E">
        <w:rPr>
          <w:bCs/>
        </w:rPr>
        <w:t>,1) + (</w:t>
      </w:r>
      <w:r w:rsidRPr="0013396E">
        <w:t>1</w:t>
      </w:r>
      <w:r w:rsidRPr="0013396E">
        <w:rPr>
          <w:bCs/>
        </w:rPr>
        <w:t xml:space="preserve"> - </w:t>
      </w:r>
      <w:r w:rsidRPr="0013396E">
        <w:t xml:space="preserve">ERSAFWT </w:t>
      </w:r>
      <w:r w:rsidRPr="0013396E">
        <w:rPr>
          <w:bCs/>
          <w:i/>
          <w:vertAlign w:val="subscript"/>
        </w:rPr>
        <w:t>qcd</w:t>
      </w:r>
      <w:r w:rsidRPr="0013396E">
        <w:rPr>
          <w:bCs/>
        </w:rPr>
        <w:t xml:space="preserve">) * Min (ERSEPF </w:t>
      </w:r>
      <w:r w:rsidRPr="0013396E">
        <w:rPr>
          <w:bCs/>
          <w:i/>
          <w:vertAlign w:val="subscript"/>
        </w:rPr>
        <w:t>qrd</w:t>
      </w:r>
      <w:r w:rsidRPr="0013396E">
        <w:rPr>
          <w:bCs/>
        </w:rPr>
        <w:t>,1))</w:t>
      </w:r>
    </w:p>
    <w:p w14:paraId="47CD9A9B" w14:textId="77777777" w:rsidR="001F04FD" w:rsidRPr="0013396E" w:rsidRDefault="001F04FD" w:rsidP="001F04FD">
      <w:pPr>
        <w:pStyle w:val="FormulaBold"/>
        <w:rPr>
          <w:b w:val="0"/>
        </w:rPr>
      </w:pPr>
      <w:r w:rsidRPr="0013396E">
        <w:rPr>
          <w:b w:val="0"/>
          <w:bCs w:val="0"/>
        </w:rPr>
        <w:t>SPDELMW </w:t>
      </w:r>
      <w:r w:rsidRPr="0013396E">
        <w:rPr>
          <w:b w:val="0"/>
          <w:bCs w:val="0"/>
          <w:i/>
          <w:vertAlign w:val="subscript"/>
        </w:rPr>
        <w:t xml:space="preserve">qc(tp)d </w:t>
      </w:r>
      <w:r w:rsidRPr="0013396E">
        <w:rPr>
          <w:b w:val="0"/>
          <w:bCs w:val="0"/>
        </w:rPr>
        <w:t xml:space="preserve">= ERSTESTPF </w:t>
      </w:r>
      <w:r w:rsidRPr="0013396E">
        <w:rPr>
          <w:b w:val="0"/>
          <w:bCs w:val="0"/>
          <w:i/>
          <w:vertAlign w:val="subscript"/>
        </w:rPr>
        <w:t>qre</w:t>
      </w:r>
      <w:r w:rsidRPr="0013396E">
        <w:rPr>
          <w:b w:val="0"/>
          <w:i/>
          <w:vertAlign w:val="subscript"/>
        </w:rPr>
        <w:t>d</w:t>
      </w:r>
      <w:r w:rsidRPr="0013396E">
        <w:rPr>
          <w:b w:val="0"/>
          <w:bCs w:val="0"/>
        </w:rPr>
        <w:t xml:space="preserve"> * SPOFFERMW </w:t>
      </w:r>
      <w:r w:rsidRPr="0013396E">
        <w:rPr>
          <w:b w:val="0"/>
          <w:bCs w:val="0"/>
          <w:i/>
          <w:vertAlign w:val="subscript"/>
        </w:rPr>
        <w:t>qce(tp)d</w:t>
      </w:r>
      <w:r w:rsidRPr="0013396E">
        <w:rPr>
          <w:b w:val="0"/>
          <w:bCs w:val="0"/>
        </w:rPr>
        <w:t xml:space="preserve"> * </w:t>
      </w:r>
      <w:r w:rsidRPr="0013396E">
        <w:rPr>
          <w:b w:val="0"/>
        </w:rPr>
        <w:t xml:space="preserve">(ERSAFWT </w:t>
      </w:r>
      <w:r w:rsidRPr="0013396E">
        <w:rPr>
          <w:b w:val="0"/>
          <w:bCs w:val="0"/>
          <w:i/>
          <w:vertAlign w:val="subscript"/>
        </w:rPr>
        <w:t>qcd</w:t>
      </w:r>
      <w:r w:rsidRPr="0013396E">
        <w:rPr>
          <w:b w:val="0"/>
          <w:bCs w:val="0"/>
        </w:rPr>
        <w:t xml:space="preserve"> </w:t>
      </w:r>
      <w:r w:rsidRPr="0013396E">
        <w:rPr>
          <w:b w:val="0"/>
        </w:rPr>
        <w:t xml:space="preserve">* Min(ERSAFCOMB </w:t>
      </w:r>
      <w:r w:rsidRPr="0013396E">
        <w:rPr>
          <w:b w:val="0"/>
          <w:bCs w:val="0"/>
          <w:i/>
          <w:vertAlign w:val="subscript"/>
        </w:rPr>
        <w:t>qrd</w:t>
      </w:r>
      <w:r w:rsidRPr="0013396E">
        <w:rPr>
          <w:b w:val="0"/>
          <w:bCs w:val="0"/>
        </w:rPr>
        <w:t>,1) +</w:t>
      </w:r>
      <w:r w:rsidRPr="0013396E">
        <w:rPr>
          <w:b w:val="0"/>
        </w:rPr>
        <w:t xml:space="preserve"> (1 – ERSAFWT </w:t>
      </w:r>
      <w:r w:rsidRPr="0013396E">
        <w:rPr>
          <w:b w:val="0"/>
          <w:bCs w:val="0"/>
          <w:i/>
          <w:vertAlign w:val="subscript"/>
        </w:rPr>
        <w:t>qcd</w:t>
      </w:r>
      <w:r w:rsidRPr="0013396E">
        <w:rPr>
          <w:b w:val="0"/>
          <w:bCs w:val="0"/>
        </w:rPr>
        <w:t>) * Min(</w:t>
      </w:r>
      <w:r w:rsidRPr="0013396E">
        <w:rPr>
          <w:b w:val="0"/>
        </w:rPr>
        <w:t xml:space="preserve">ERSEPF </w:t>
      </w:r>
      <w:r w:rsidRPr="0013396E">
        <w:rPr>
          <w:b w:val="0"/>
          <w:bCs w:val="0"/>
          <w:i/>
          <w:vertAlign w:val="subscript"/>
        </w:rPr>
        <w:t>qrd</w:t>
      </w:r>
      <w:r w:rsidRPr="0013396E">
        <w:rPr>
          <w:b w:val="0"/>
          <w:bCs w:val="0"/>
        </w:rPr>
        <w:t>,1))</w:t>
      </w:r>
      <w:r w:rsidRPr="0013396E">
        <w:rPr>
          <w:b w:val="0"/>
        </w:rPr>
        <w:t xml:space="preserve"> </w:t>
      </w:r>
    </w:p>
    <w:p w14:paraId="35B11270" w14:textId="77777777" w:rsidR="001F04FD" w:rsidRPr="0013396E" w:rsidRDefault="001F04FD" w:rsidP="001F04FD">
      <w:pPr>
        <w:pStyle w:val="List"/>
        <w:ind w:left="720" w:firstLine="0"/>
      </w:pPr>
      <w:r w:rsidRPr="0013396E">
        <w:t>The ERS Self-Provision Capacity Upper Limit</w:t>
      </w:r>
      <w:r w:rsidRPr="0013396E" w:rsidDel="009C4A0B">
        <w:t xml:space="preserve"> </w:t>
      </w:r>
      <w:r w:rsidRPr="0013396E">
        <w:t>for each self-providing QSE shall be calculated by ERCOT using a two-pass process for each of the four ERS service types.  The first pass will consist of simultaneously solving for all QSEs’ ERS Self-Provision Capacity Upper Limits with the constraint that each QSE’s ERS Self-Provision Capacity Upper Limit</w:t>
      </w:r>
      <w:r w:rsidRPr="0013396E" w:rsidDel="009C4A0B">
        <w:t xml:space="preserve"> </w:t>
      </w:r>
      <w:r w:rsidRPr="0013396E">
        <w:t>will equal its LRS multiplied by the total capacity awarded for competitive offers, plus the sum of all QSEs’ ERS Self-Provision Capacity Upper Limits.  The second pass will repeat the solution of the equations with a QSE’s delivered self-provided MW capacity (adjusted for availability and/or event performance) substituted for the ERS Self-Provision Capacity Upper Limit if the delivered MW capacity is less than the first pass calculation of the ERS Self-Provision Capacity Upper Limit.</w:t>
      </w:r>
    </w:p>
    <w:p w14:paraId="651D1C44" w14:textId="77777777" w:rsidR="001F04FD" w:rsidRPr="0013396E" w:rsidRDefault="001F04FD" w:rsidP="001F04FD">
      <w:pPr>
        <w:pStyle w:val="List"/>
        <w:ind w:left="2880" w:hanging="2160"/>
      </w:pPr>
      <w:r w:rsidRPr="0013396E">
        <w:t>Pass 1:</w:t>
      </w:r>
    </w:p>
    <w:p w14:paraId="28D244C8" w14:textId="77777777" w:rsidR="001F04FD" w:rsidRPr="0013396E" w:rsidRDefault="001F04FD" w:rsidP="001F04FD">
      <w:pPr>
        <w:pStyle w:val="List"/>
        <w:ind w:left="2880" w:hanging="1440"/>
      </w:pPr>
      <w:r w:rsidRPr="0013396E">
        <w:t>For QSE 1:</w:t>
      </w:r>
    </w:p>
    <w:p w14:paraId="25A56B99" w14:textId="77777777" w:rsidR="001F04FD" w:rsidRPr="0013396E" w:rsidRDefault="001F04FD" w:rsidP="001F04FD">
      <w:pPr>
        <w:pStyle w:val="FormulaBold"/>
      </w:pPr>
      <w:r w:rsidRPr="0013396E">
        <w:t>SPCUL</w:t>
      </w:r>
      <w:r w:rsidRPr="0013396E">
        <w:rPr>
          <w:vertAlign w:val="subscript"/>
        </w:rPr>
        <w:t xml:space="preserve"> </w:t>
      </w:r>
      <w:r w:rsidRPr="0013396E">
        <w:rPr>
          <w:i/>
          <w:vertAlign w:val="subscript"/>
        </w:rPr>
        <w:t>1c(tp)d</w:t>
      </w:r>
      <w:r w:rsidRPr="0013396E">
        <w:rPr>
          <w:vertAlign w:val="subscript"/>
        </w:rPr>
        <w:t xml:space="preserve"> </w:t>
      </w:r>
      <w:r w:rsidRPr="0013396E">
        <w:t>= ERSLRS </w:t>
      </w:r>
      <w:r w:rsidRPr="0013396E">
        <w:rPr>
          <w:i/>
          <w:vertAlign w:val="subscript"/>
        </w:rPr>
        <w:t>1c(tp)d</w:t>
      </w:r>
      <w:r w:rsidRPr="0013396E">
        <w:t xml:space="preserve"> * (COMPDELMWTOT </w:t>
      </w:r>
      <w:r w:rsidRPr="0013396E">
        <w:rPr>
          <w:i/>
          <w:vertAlign w:val="subscript"/>
        </w:rPr>
        <w:t>c(tp)d</w:t>
      </w:r>
      <w:r w:rsidRPr="0013396E">
        <w:t xml:space="preserve"> + SPCUL </w:t>
      </w:r>
      <w:r w:rsidRPr="0013396E">
        <w:rPr>
          <w:i/>
          <w:vertAlign w:val="subscript"/>
        </w:rPr>
        <w:t>1c(tp)d</w:t>
      </w:r>
      <w:r w:rsidRPr="0013396E">
        <w:t xml:space="preserve"> + SPCUL </w:t>
      </w:r>
      <w:r w:rsidRPr="0013396E">
        <w:rPr>
          <w:i/>
          <w:vertAlign w:val="subscript"/>
        </w:rPr>
        <w:t>2c(tp)d</w:t>
      </w:r>
      <w:r w:rsidRPr="0013396E">
        <w:rPr>
          <w:vertAlign w:val="subscript"/>
        </w:rPr>
        <w:t xml:space="preserve"> </w:t>
      </w:r>
      <w:r w:rsidRPr="0013396E">
        <w:t>+ … + SPCUL</w:t>
      </w:r>
      <w:r w:rsidRPr="0013396E">
        <w:rPr>
          <w:vertAlign w:val="subscript"/>
        </w:rPr>
        <w:t xml:space="preserve"> </w:t>
      </w:r>
      <w:r w:rsidRPr="0013396E">
        <w:rPr>
          <w:i/>
          <w:vertAlign w:val="subscript"/>
        </w:rPr>
        <w:t>nc(tp)d</w:t>
      </w:r>
      <w:r w:rsidRPr="0013396E">
        <w:t>)</w:t>
      </w:r>
    </w:p>
    <w:p w14:paraId="561D963C" w14:textId="77777777" w:rsidR="001F04FD" w:rsidRPr="0013396E" w:rsidRDefault="001F04FD" w:rsidP="001F04FD">
      <w:pPr>
        <w:pStyle w:val="BodyText"/>
        <w:ind w:left="720" w:firstLine="720"/>
      </w:pPr>
      <w:r w:rsidRPr="0013396E">
        <w:t>For QSE 2:</w:t>
      </w:r>
    </w:p>
    <w:p w14:paraId="48196AD7" w14:textId="77777777" w:rsidR="001F04FD" w:rsidRPr="0013396E" w:rsidRDefault="001F04FD" w:rsidP="001F04FD">
      <w:pPr>
        <w:pStyle w:val="FormulaBold"/>
      </w:pPr>
      <w:r w:rsidRPr="0013396E">
        <w:lastRenderedPageBreak/>
        <w:t>SPCUL</w:t>
      </w:r>
      <w:r w:rsidRPr="0013396E">
        <w:rPr>
          <w:vertAlign w:val="subscript"/>
        </w:rPr>
        <w:t xml:space="preserve"> </w:t>
      </w:r>
      <w:r w:rsidRPr="0013396E">
        <w:rPr>
          <w:i/>
          <w:vertAlign w:val="subscript"/>
        </w:rPr>
        <w:t>2c(tp)d</w:t>
      </w:r>
      <w:r w:rsidRPr="0013396E">
        <w:rPr>
          <w:vertAlign w:val="subscript"/>
        </w:rPr>
        <w:t xml:space="preserve"> </w:t>
      </w:r>
      <w:r w:rsidRPr="0013396E">
        <w:t>= ERSLRS </w:t>
      </w:r>
      <w:r w:rsidRPr="0013396E">
        <w:rPr>
          <w:i/>
          <w:vertAlign w:val="subscript"/>
        </w:rPr>
        <w:t>2c(tp)d</w:t>
      </w:r>
      <w:r w:rsidRPr="0013396E">
        <w:t xml:space="preserve"> * (COMPDELMWTOT </w:t>
      </w:r>
      <w:r w:rsidRPr="0013396E">
        <w:rPr>
          <w:i/>
          <w:vertAlign w:val="subscript"/>
        </w:rPr>
        <w:t>c(tp)d</w:t>
      </w:r>
      <w:r w:rsidRPr="0013396E">
        <w:t xml:space="preserve"> + SPCUL </w:t>
      </w:r>
      <w:r w:rsidRPr="0013396E">
        <w:rPr>
          <w:i/>
          <w:vertAlign w:val="subscript"/>
        </w:rPr>
        <w:t>1c(tp)d</w:t>
      </w:r>
      <w:r w:rsidRPr="0013396E">
        <w:t xml:space="preserve"> + SPCUL </w:t>
      </w:r>
      <w:r w:rsidRPr="0013396E">
        <w:rPr>
          <w:i/>
          <w:vertAlign w:val="subscript"/>
        </w:rPr>
        <w:t>2c(tp)d</w:t>
      </w:r>
      <w:r w:rsidRPr="0013396E">
        <w:rPr>
          <w:vertAlign w:val="subscript"/>
        </w:rPr>
        <w:t xml:space="preserve"> </w:t>
      </w:r>
      <w:r w:rsidRPr="0013396E">
        <w:t>+ … + SPCUL</w:t>
      </w:r>
      <w:r w:rsidRPr="0013396E">
        <w:rPr>
          <w:vertAlign w:val="subscript"/>
        </w:rPr>
        <w:t xml:space="preserve"> </w:t>
      </w:r>
      <w:r w:rsidRPr="0013396E">
        <w:rPr>
          <w:i/>
          <w:vertAlign w:val="subscript"/>
        </w:rPr>
        <w:t>nc(tp)d</w:t>
      </w:r>
      <w:r w:rsidRPr="0013396E">
        <w:t>)</w:t>
      </w:r>
    </w:p>
    <w:p w14:paraId="12249B4A" w14:textId="77777777" w:rsidR="001F04FD" w:rsidRPr="0013396E" w:rsidRDefault="001F04FD" w:rsidP="001F04FD">
      <w:pPr>
        <w:pStyle w:val="FormulaBold"/>
      </w:pPr>
      <w:r w:rsidRPr="0013396E">
        <w:t>…</w:t>
      </w:r>
    </w:p>
    <w:p w14:paraId="21662FEA" w14:textId="77777777" w:rsidR="001F04FD" w:rsidRPr="0013396E" w:rsidRDefault="001F04FD" w:rsidP="001F04FD">
      <w:pPr>
        <w:pStyle w:val="BodyText"/>
        <w:ind w:left="720" w:firstLine="720"/>
      </w:pPr>
      <w:r w:rsidRPr="0013396E">
        <w:t>For QSE n:</w:t>
      </w:r>
    </w:p>
    <w:p w14:paraId="6848E92A" w14:textId="77777777" w:rsidR="001F04FD" w:rsidRPr="0013396E" w:rsidRDefault="001F04FD" w:rsidP="001F04FD">
      <w:pPr>
        <w:pStyle w:val="FormulaBold"/>
      </w:pPr>
      <w:r w:rsidRPr="0013396E">
        <w:t>SPCUL</w:t>
      </w:r>
      <w:r w:rsidRPr="0013396E">
        <w:rPr>
          <w:vertAlign w:val="subscript"/>
        </w:rPr>
        <w:t xml:space="preserve"> </w:t>
      </w:r>
      <w:r w:rsidRPr="0013396E">
        <w:rPr>
          <w:i/>
          <w:vertAlign w:val="subscript"/>
        </w:rPr>
        <w:t>nc(tp)d</w:t>
      </w:r>
      <w:r w:rsidRPr="0013396E">
        <w:rPr>
          <w:vertAlign w:val="subscript"/>
        </w:rPr>
        <w:t xml:space="preserve"> </w:t>
      </w:r>
      <w:r w:rsidRPr="0013396E">
        <w:t>= ERSLRS </w:t>
      </w:r>
      <w:r w:rsidRPr="0013396E">
        <w:rPr>
          <w:i/>
          <w:vertAlign w:val="subscript"/>
        </w:rPr>
        <w:t>nc(tp)d</w:t>
      </w:r>
      <w:r w:rsidRPr="0013396E">
        <w:t xml:space="preserve"> * (COMPDELMWTOT </w:t>
      </w:r>
      <w:r w:rsidRPr="0013396E">
        <w:rPr>
          <w:i/>
          <w:vertAlign w:val="subscript"/>
        </w:rPr>
        <w:t>c(tp)d</w:t>
      </w:r>
      <w:r w:rsidRPr="0013396E">
        <w:t xml:space="preserve"> + SPCUL </w:t>
      </w:r>
      <w:r w:rsidRPr="0013396E">
        <w:rPr>
          <w:i/>
          <w:vertAlign w:val="subscript"/>
        </w:rPr>
        <w:t>1c(tp)d</w:t>
      </w:r>
      <w:r w:rsidRPr="0013396E">
        <w:t xml:space="preserve"> + SPCUL </w:t>
      </w:r>
      <w:r w:rsidRPr="0013396E">
        <w:rPr>
          <w:i/>
          <w:vertAlign w:val="subscript"/>
        </w:rPr>
        <w:t>2c(tp)d</w:t>
      </w:r>
      <w:r w:rsidRPr="0013396E">
        <w:rPr>
          <w:vertAlign w:val="subscript"/>
        </w:rPr>
        <w:t xml:space="preserve"> </w:t>
      </w:r>
      <w:r w:rsidRPr="0013396E">
        <w:t>+ … + SPCUL</w:t>
      </w:r>
      <w:r w:rsidRPr="0013396E">
        <w:rPr>
          <w:vertAlign w:val="subscript"/>
        </w:rPr>
        <w:t xml:space="preserve"> </w:t>
      </w:r>
      <w:r w:rsidRPr="0013396E">
        <w:rPr>
          <w:i/>
          <w:vertAlign w:val="subscript"/>
        </w:rPr>
        <w:t>nc(tp)d</w:t>
      </w:r>
      <w:r w:rsidRPr="0013396E">
        <w:t>)</w:t>
      </w:r>
    </w:p>
    <w:p w14:paraId="5025E332" w14:textId="77777777" w:rsidR="001F04FD" w:rsidRPr="0013396E" w:rsidRDefault="001F04FD" w:rsidP="001F04FD">
      <w:pPr>
        <w:pStyle w:val="List"/>
        <w:ind w:left="2880" w:hanging="2160"/>
      </w:pPr>
      <w:r w:rsidRPr="0013396E">
        <w:t>Pass 2:</w:t>
      </w:r>
    </w:p>
    <w:p w14:paraId="5889E76E" w14:textId="77777777" w:rsidR="001F04FD" w:rsidRPr="0013396E" w:rsidRDefault="001F04FD" w:rsidP="001F04FD">
      <w:pPr>
        <w:pStyle w:val="BodyText"/>
        <w:ind w:left="720" w:firstLine="720"/>
      </w:pPr>
      <w:r w:rsidRPr="0013396E">
        <w:t>For QSE 1:</w:t>
      </w:r>
    </w:p>
    <w:p w14:paraId="3D8040E0" w14:textId="77777777" w:rsidR="001F04FD" w:rsidRPr="0013396E" w:rsidRDefault="001F04FD" w:rsidP="001F04FD">
      <w:pPr>
        <w:pStyle w:val="FormulaBold"/>
      </w:pPr>
      <w:r w:rsidRPr="0013396E">
        <w:t>SPCUL</w:t>
      </w:r>
      <w:r w:rsidRPr="0013396E">
        <w:rPr>
          <w:vertAlign w:val="subscript"/>
        </w:rPr>
        <w:t xml:space="preserve"> </w:t>
      </w:r>
      <w:r w:rsidRPr="0013396E">
        <w:rPr>
          <w:i/>
          <w:vertAlign w:val="subscript"/>
        </w:rPr>
        <w:t>1c(tp)d</w:t>
      </w:r>
      <w:r w:rsidRPr="0013396E">
        <w:rPr>
          <w:vertAlign w:val="subscript"/>
        </w:rPr>
        <w:t xml:space="preserve"> </w:t>
      </w:r>
      <w:r w:rsidRPr="0013396E">
        <w:t>= ERSLRS </w:t>
      </w:r>
      <w:r w:rsidRPr="0013396E">
        <w:rPr>
          <w:i/>
          <w:vertAlign w:val="subscript"/>
        </w:rPr>
        <w:t>1c(tp)d</w:t>
      </w:r>
      <w:r w:rsidRPr="0013396E">
        <w:t xml:space="preserve"> * (COMPDELMWTOT </w:t>
      </w:r>
      <w:r w:rsidRPr="0013396E">
        <w:rPr>
          <w:i/>
          <w:vertAlign w:val="subscript"/>
        </w:rPr>
        <w:t>c(tp)d</w:t>
      </w:r>
      <w:r w:rsidRPr="0013396E">
        <w:t xml:space="preserve"> +</w:t>
      </w:r>
    </w:p>
    <w:p w14:paraId="7C45AA03" w14:textId="77777777" w:rsidR="001F04FD" w:rsidRPr="0013396E" w:rsidRDefault="001F04FD" w:rsidP="001F04FD">
      <w:pPr>
        <w:pStyle w:val="FormulaBold"/>
      </w:pPr>
      <w:r w:rsidRPr="0013396E">
        <w:t>Min(SPDELMW</w:t>
      </w:r>
      <w:r w:rsidRPr="0013396E">
        <w:rPr>
          <w:i/>
          <w:vertAlign w:val="subscript"/>
        </w:rPr>
        <w:t xml:space="preserve"> 1c(tp</w:t>
      </w:r>
      <w:r w:rsidRPr="0013396E">
        <w:rPr>
          <w:rFonts w:ascii="Times New Roman Bold" w:hAnsi="Times New Roman Bold"/>
          <w:i/>
          <w:vertAlign w:val="subscript"/>
        </w:rPr>
        <w:t>)d</w:t>
      </w:r>
      <w:r w:rsidRPr="0013396E">
        <w:rPr>
          <w:rFonts w:ascii="Times New Roman Bold" w:hAnsi="Times New Roman Bold"/>
          <w:i/>
        </w:rPr>
        <w:t>,</w:t>
      </w:r>
      <w:r w:rsidRPr="0013396E">
        <w:t>SPCUL </w:t>
      </w:r>
      <w:r w:rsidRPr="0013396E">
        <w:rPr>
          <w:i/>
          <w:vertAlign w:val="subscript"/>
        </w:rPr>
        <w:t>1c(tp)d</w:t>
      </w:r>
      <w:r w:rsidRPr="0013396E">
        <w:t>) +</w:t>
      </w:r>
    </w:p>
    <w:p w14:paraId="179830B9" w14:textId="77777777" w:rsidR="001F04FD" w:rsidRPr="0013396E" w:rsidRDefault="001F04FD" w:rsidP="001F04FD">
      <w:pPr>
        <w:pStyle w:val="FormulaBold"/>
        <w:rPr>
          <w:vertAlign w:val="subscript"/>
        </w:rPr>
      </w:pPr>
      <w:r w:rsidRPr="0013396E">
        <w:t>Min(SPDELMW</w:t>
      </w:r>
      <w:r w:rsidRPr="0013396E">
        <w:rPr>
          <w:i/>
          <w:vertAlign w:val="subscript"/>
        </w:rPr>
        <w:t xml:space="preserve"> 2c(tp</w:t>
      </w:r>
      <w:r w:rsidRPr="0013396E">
        <w:rPr>
          <w:rFonts w:ascii="Times New Roman Bold" w:hAnsi="Times New Roman Bold"/>
          <w:i/>
          <w:vertAlign w:val="subscript"/>
        </w:rPr>
        <w:t>)</w:t>
      </w:r>
      <w:r w:rsidRPr="0013396E">
        <w:rPr>
          <w:i/>
          <w:vertAlign w:val="subscript"/>
        </w:rPr>
        <w:t>d</w:t>
      </w:r>
      <w:r w:rsidRPr="0013396E">
        <w:rPr>
          <w:rFonts w:ascii="Times New Roman Bold" w:hAnsi="Times New Roman Bold"/>
          <w:i/>
        </w:rPr>
        <w:t>,</w:t>
      </w:r>
      <w:r w:rsidRPr="0013396E">
        <w:t>SPCUL </w:t>
      </w:r>
      <w:r w:rsidRPr="0013396E">
        <w:rPr>
          <w:i/>
          <w:vertAlign w:val="subscript"/>
        </w:rPr>
        <w:t>2c(tp)d</w:t>
      </w:r>
      <w:r w:rsidRPr="0013396E">
        <w:t>)</w:t>
      </w:r>
    </w:p>
    <w:p w14:paraId="4491F7F5" w14:textId="77777777" w:rsidR="001F04FD" w:rsidRPr="0013396E" w:rsidRDefault="001F04FD" w:rsidP="001F04FD">
      <w:pPr>
        <w:pStyle w:val="FormulaBold"/>
        <w:rPr>
          <w:lang w:val="fr-FR"/>
        </w:rPr>
      </w:pPr>
      <w:r w:rsidRPr="0013396E">
        <w:rPr>
          <w:lang w:val="fr-FR"/>
        </w:rPr>
        <w:t>+ … + Min(SPDELMW</w:t>
      </w:r>
      <w:r w:rsidRPr="0013396E">
        <w:rPr>
          <w:i/>
          <w:vertAlign w:val="subscript"/>
          <w:lang w:val="fr-FR"/>
        </w:rPr>
        <w:t xml:space="preserve"> nc(tp</w:t>
      </w:r>
      <w:r w:rsidRPr="0013396E">
        <w:rPr>
          <w:rFonts w:ascii="Times New Roman Bold" w:hAnsi="Times New Roman Bold"/>
          <w:i/>
          <w:vertAlign w:val="subscript"/>
          <w:lang w:val="fr-FR"/>
        </w:rPr>
        <w:t>)</w:t>
      </w:r>
      <w:r w:rsidRPr="0013396E">
        <w:rPr>
          <w:i/>
          <w:vertAlign w:val="subscript"/>
        </w:rPr>
        <w:t>d</w:t>
      </w:r>
      <w:r w:rsidRPr="0013396E">
        <w:rPr>
          <w:rFonts w:ascii="Times New Roman Bold" w:hAnsi="Times New Roman Bold"/>
          <w:i/>
          <w:lang w:val="fr-FR"/>
        </w:rPr>
        <w:t>,</w:t>
      </w:r>
      <w:r w:rsidRPr="0013396E">
        <w:rPr>
          <w:lang w:val="fr-FR"/>
        </w:rPr>
        <w:t>SPCUL </w:t>
      </w:r>
      <w:r w:rsidRPr="0013396E">
        <w:rPr>
          <w:i/>
          <w:vertAlign w:val="subscript"/>
          <w:lang w:val="fr-FR"/>
        </w:rPr>
        <w:t>nc(tp)d</w:t>
      </w:r>
      <w:r w:rsidRPr="0013396E">
        <w:rPr>
          <w:lang w:val="fr-FR"/>
        </w:rPr>
        <w:t>))</w:t>
      </w:r>
    </w:p>
    <w:p w14:paraId="2EE2482C" w14:textId="77777777" w:rsidR="001F04FD" w:rsidRPr="0013396E" w:rsidRDefault="001F04FD" w:rsidP="001F04FD">
      <w:pPr>
        <w:pStyle w:val="BodyText"/>
        <w:ind w:left="720" w:firstLine="720"/>
      </w:pPr>
      <w:r w:rsidRPr="0013396E">
        <w:t>For QSE 2:</w:t>
      </w:r>
    </w:p>
    <w:p w14:paraId="39F7957A" w14:textId="77777777" w:rsidR="001F04FD" w:rsidRPr="0013396E" w:rsidRDefault="001F04FD" w:rsidP="001F04FD">
      <w:pPr>
        <w:pStyle w:val="FormulaBold"/>
      </w:pPr>
      <w:r w:rsidRPr="0013396E">
        <w:t>SPCUL</w:t>
      </w:r>
      <w:r w:rsidRPr="0013396E">
        <w:rPr>
          <w:vertAlign w:val="subscript"/>
        </w:rPr>
        <w:t xml:space="preserve"> </w:t>
      </w:r>
      <w:r w:rsidRPr="0013396E">
        <w:rPr>
          <w:i/>
          <w:vertAlign w:val="subscript"/>
        </w:rPr>
        <w:t>2c(tp)d</w:t>
      </w:r>
      <w:r w:rsidRPr="0013396E">
        <w:rPr>
          <w:vertAlign w:val="subscript"/>
        </w:rPr>
        <w:t xml:space="preserve"> </w:t>
      </w:r>
      <w:r w:rsidRPr="0013396E">
        <w:t>= ERSLRS </w:t>
      </w:r>
      <w:r w:rsidRPr="0013396E">
        <w:rPr>
          <w:i/>
          <w:vertAlign w:val="subscript"/>
        </w:rPr>
        <w:t>2c(tp)d</w:t>
      </w:r>
      <w:r w:rsidRPr="0013396E">
        <w:t xml:space="preserve"> * (COMPDELMWTOT </w:t>
      </w:r>
      <w:r w:rsidRPr="0013396E">
        <w:rPr>
          <w:i/>
          <w:vertAlign w:val="subscript"/>
        </w:rPr>
        <w:t>c(tp)d</w:t>
      </w:r>
      <w:r w:rsidRPr="0013396E">
        <w:t xml:space="preserve"> +</w:t>
      </w:r>
    </w:p>
    <w:p w14:paraId="6A2E4CD3" w14:textId="77777777" w:rsidR="001F04FD" w:rsidRPr="0013396E" w:rsidRDefault="001F04FD" w:rsidP="001F04FD">
      <w:pPr>
        <w:pStyle w:val="FormulaBold"/>
      </w:pPr>
      <w:r w:rsidRPr="0013396E">
        <w:t>Min(SPDELMW</w:t>
      </w:r>
      <w:r w:rsidRPr="0013396E">
        <w:rPr>
          <w:i/>
          <w:vertAlign w:val="subscript"/>
        </w:rPr>
        <w:t xml:space="preserve"> 1c(tp</w:t>
      </w:r>
      <w:r w:rsidRPr="0013396E">
        <w:rPr>
          <w:rFonts w:ascii="Times New Roman Bold" w:hAnsi="Times New Roman Bold"/>
          <w:i/>
          <w:vertAlign w:val="subscript"/>
        </w:rPr>
        <w:t>)</w:t>
      </w:r>
      <w:r w:rsidRPr="0013396E">
        <w:rPr>
          <w:i/>
          <w:vertAlign w:val="subscript"/>
        </w:rPr>
        <w:t>d</w:t>
      </w:r>
      <w:r w:rsidRPr="0013396E">
        <w:rPr>
          <w:rFonts w:ascii="Times New Roman Bold" w:hAnsi="Times New Roman Bold"/>
          <w:i/>
        </w:rPr>
        <w:t>,</w:t>
      </w:r>
      <w:r w:rsidRPr="0013396E">
        <w:t>SPCUL </w:t>
      </w:r>
      <w:r w:rsidRPr="0013396E">
        <w:rPr>
          <w:i/>
          <w:vertAlign w:val="subscript"/>
        </w:rPr>
        <w:t>1c(tp)d</w:t>
      </w:r>
      <w:r w:rsidRPr="0013396E">
        <w:t>) +</w:t>
      </w:r>
    </w:p>
    <w:p w14:paraId="0D461CE3" w14:textId="77777777" w:rsidR="001F04FD" w:rsidRPr="0013396E" w:rsidRDefault="001F04FD" w:rsidP="001F04FD">
      <w:pPr>
        <w:pStyle w:val="FormulaBold"/>
        <w:rPr>
          <w:vertAlign w:val="subscript"/>
        </w:rPr>
      </w:pPr>
      <w:r w:rsidRPr="0013396E">
        <w:t>Min(SPDELMW</w:t>
      </w:r>
      <w:r w:rsidRPr="0013396E">
        <w:rPr>
          <w:i/>
          <w:vertAlign w:val="subscript"/>
        </w:rPr>
        <w:t xml:space="preserve"> 2c(tp</w:t>
      </w:r>
      <w:r w:rsidRPr="0013396E">
        <w:rPr>
          <w:rFonts w:ascii="Times New Roman Bold" w:hAnsi="Times New Roman Bold"/>
          <w:i/>
          <w:vertAlign w:val="subscript"/>
        </w:rPr>
        <w:t>)</w:t>
      </w:r>
      <w:r w:rsidRPr="0013396E">
        <w:rPr>
          <w:i/>
          <w:vertAlign w:val="subscript"/>
        </w:rPr>
        <w:t>d</w:t>
      </w:r>
      <w:r w:rsidRPr="0013396E">
        <w:rPr>
          <w:rFonts w:ascii="Times New Roman Bold" w:hAnsi="Times New Roman Bold"/>
          <w:i/>
        </w:rPr>
        <w:t>,</w:t>
      </w:r>
      <w:r w:rsidRPr="0013396E">
        <w:t>SPCUL </w:t>
      </w:r>
      <w:r w:rsidRPr="0013396E">
        <w:rPr>
          <w:i/>
          <w:vertAlign w:val="subscript"/>
        </w:rPr>
        <w:t>2c(tp)d</w:t>
      </w:r>
      <w:r w:rsidRPr="0013396E">
        <w:t>)</w:t>
      </w:r>
    </w:p>
    <w:p w14:paraId="55CEE8F6" w14:textId="77777777" w:rsidR="001F04FD" w:rsidRPr="0013396E" w:rsidRDefault="001F04FD" w:rsidP="001F04FD">
      <w:pPr>
        <w:pStyle w:val="FormulaBold"/>
        <w:rPr>
          <w:lang w:val="fr-FR"/>
        </w:rPr>
      </w:pPr>
      <w:r w:rsidRPr="0013396E">
        <w:rPr>
          <w:lang w:val="fr-FR"/>
        </w:rPr>
        <w:t>+ … + Min(SPDELMW</w:t>
      </w:r>
      <w:r w:rsidRPr="0013396E">
        <w:rPr>
          <w:i/>
          <w:vertAlign w:val="subscript"/>
          <w:lang w:val="fr-FR"/>
        </w:rPr>
        <w:t xml:space="preserve"> nc(tp</w:t>
      </w:r>
      <w:r w:rsidRPr="0013396E">
        <w:rPr>
          <w:rFonts w:ascii="Times New Roman Bold" w:hAnsi="Times New Roman Bold"/>
          <w:i/>
          <w:vertAlign w:val="subscript"/>
          <w:lang w:val="fr-FR"/>
        </w:rPr>
        <w:t>)</w:t>
      </w:r>
      <w:r w:rsidRPr="0013396E">
        <w:rPr>
          <w:i/>
          <w:vertAlign w:val="subscript"/>
        </w:rPr>
        <w:t>d</w:t>
      </w:r>
      <w:r w:rsidRPr="0013396E">
        <w:rPr>
          <w:rFonts w:ascii="Times New Roman Bold" w:hAnsi="Times New Roman Bold"/>
          <w:i/>
          <w:lang w:val="fr-FR"/>
        </w:rPr>
        <w:t>,</w:t>
      </w:r>
      <w:r w:rsidRPr="0013396E">
        <w:rPr>
          <w:lang w:val="fr-FR"/>
        </w:rPr>
        <w:t>SPCUL </w:t>
      </w:r>
      <w:r w:rsidRPr="0013396E">
        <w:rPr>
          <w:i/>
          <w:vertAlign w:val="subscript"/>
          <w:lang w:val="fr-FR"/>
        </w:rPr>
        <w:t>nc(tp)d</w:t>
      </w:r>
      <w:r w:rsidRPr="0013396E">
        <w:rPr>
          <w:lang w:val="fr-FR"/>
        </w:rPr>
        <w:t>))</w:t>
      </w:r>
    </w:p>
    <w:p w14:paraId="7DCBFD8E" w14:textId="77777777" w:rsidR="001F04FD" w:rsidRPr="0013396E" w:rsidRDefault="001F04FD" w:rsidP="001F04FD">
      <w:pPr>
        <w:pStyle w:val="FormulaBold"/>
      </w:pPr>
      <w:r w:rsidRPr="0013396E">
        <w:t>…</w:t>
      </w:r>
    </w:p>
    <w:p w14:paraId="15CB28C6" w14:textId="77777777" w:rsidR="001F04FD" w:rsidRPr="0013396E" w:rsidRDefault="001F04FD" w:rsidP="001F04FD">
      <w:pPr>
        <w:pStyle w:val="BodyText"/>
        <w:ind w:left="720" w:firstLine="720"/>
      </w:pPr>
      <w:r w:rsidRPr="0013396E">
        <w:t>For QSE n:</w:t>
      </w:r>
    </w:p>
    <w:p w14:paraId="2DE7F4E5" w14:textId="77777777" w:rsidR="001F04FD" w:rsidRPr="0013396E" w:rsidRDefault="001F04FD" w:rsidP="001F04FD">
      <w:pPr>
        <w:pStyle w:val="FormulaBold"/>
      </w:pPr>
      <w:r w:rsidRPr="0013396E">
        <w:t>SPCUL</w:t>
      </w:r>
      <w:r w:rsidRPr="0013396E">
        <w:rPr>
          <w:vertAlign w:val="subscript"/>
        </w:rPr>
        <w:t xml:space="preserve"> </w:t>
      </w:r>
      <w:r w:rsidRPr="0013396E">
        <w:rPr>
          <w:i/>
          <w:vertAlign w:val="subscript"/>
        </w:rPr>
        <w:t>nc(tp)d</w:t>
      </w:r>
      <w:r w:rsidRPr="0013396E">
        <w:rPr>
          <w:vertAlign w:val="subscript"/>
        </w:rPr>
        <w:t xml:space="preserve"> </w:t>
      </w:r>
      <w:r w:rsidRPr="0013396E">
        <w:t>= ERSLRS </w:t>
      </w:r>
      <w:r w:rsidRPr="0013396E">
        <w:rPr>
          <w:i/>
          <w:vertAlign w:val="subscript"/>
        </w:rPr>
        <w:t>nc(tp)d</w:t>
      </w:r>
      <w:r w:rsidRPr="0013396E">
        <w:t xml:space="preserve"> * (COMPDELMWTOT </w:t>
      </w:r>
      <w:r w:rsidRPr="0013396E">
        <w:rPr>
          <w:i/>
          <w:vertAlign w:val="subscript"/>
        </w:rPr>
        <w:t>c(tp)d</w:t>
      </w:r>
      <w:r w:rsidRPr="0013396E">
        <w:t xml:space="preserve"> +</w:t>
      </w:r>
    </w:p>
    <w:p w14:paraId="36AABB2D" w14:textId="77777777" w:rsidR="001F04FD" w:rsidRPr="0013396E" w:rsidRDefault="001F04FD" w:rsidP="001F04FD">
      <w:pPr>
        <w:pStyle w:val="FormulaBold"/>
      </w:pPr>
      <w:r w:rsidRPr="0013396E">
        <w:t>Min(SPDELMW</w:t>
      </w:r>
      <w:r w:rsidRPr="0013396E">
        <w:rPr>
          <w:i/>
          <w:vertAlign w:val="subscript"/>
        </w:rPr>
        <w:t xml:space="preserve"> 1c(tp</w:t>
      </w:r>
      <w:r w:rsidRPr="0013396E">
        <w:rPr>
          <w:rFonts w:ascii="Times New Roman Bold" w:hAnsi="Times New Roman Bold"/>
          <w:i/>
          <w:vertAlign w:val="subscript"/>
        </w:rPr>
        <w:t>)</w:t>
      </w:r>
      <w:r w:rsidRPr="0013396E">
        <w:rPr>
          <w:i/>
          <w:vertAlign w:val="subscript"/>
        </w:rPr>
        <w:t>d</w:t>
      </w:r>
      <w:r w:rsidRPr="0013396E">
        <w:rPr>
          <w:rFonts w:ascii="Times New Roman Bold" w:hAnsi="Times New Roman Bold"/>
          <w:i/>
        </w:rPr>
        <w:t>,</w:t>
      </w:r>
      <w:r w:rsidRPr="0013396E">
        <w:t>SPCUL </w:t>
      </w:r>
      <w:r w:rsidRPr="0013396E">
        <w:rPr>
          <w:i/>
          <w:vertAlign w:val="subscript"/>
        </w:rPr>
        <w:t>1c(tp)d</w:t>
      </w:r>
      <w:r w:rsidRPr="0013396E">
        <w:t>) +</w:t>
      </w:r>
    </w:p>
    <w:p w14:paraId="4EDB79D9" w14:textId="77777777" w:rsidR="001F04FD" w:rsidRPr="0013396E" w:rsidRDefault="001F04FD" w:rsidP="001F04FD">
      <w:pPr>
        <w:pStyle w:val="FormulaBold"/>
        <w:rPr>
          <w:vertAlign w:val="subscript"/>
        </w:rPr>
      </w:pPr>
      <w:r w:rsidRPr="0013396E">
        <w:t>Min(SPDELMW</w:t>
      </w:r>
      <w:r w:rsidRPr="0013396E">
        <w:rPr>
          <w:i/>
          <w:vertAlign w:val="subscript"/>
        </w:rPr>
        <w:t xml:space="preserve"> 2c(tp</w:t>
      </w:r>
      <w:r w:rsidRPr="0013396E">
        <w:rPr>
          <w:rFonts w:ascii="Times New Roman Bold" w:hAnsi="Times New Roman Bold"/>
          <w:i/>
          <w:vertAlign w:val="subscript"/>
        </w:rPr>
        <w:t>)</w:t>
      </w:r>
      <w:r w:rsidRPr="0013396E">
        <w:rPr>
          <w:i/>
          <w:vertAlign w:val="subscript"/>
        </w:rPr>
        <w:t>d</w:t>
      </w:r>
      <w:r w:rsidRPr="0013396E">
        <w:rPr>
          <w:rFonts w:ascii="Times New Roman Bold" w:hAnsi="Times New Roman Bold"/>
          <w:i/>
        </w:rPr>
        <w:t>,</w:t>
      </w:r>
      <w:r w:rsidRPr="0013396E">
        <w:t>SPCUL </w:t>
      </w:r>
      <w:r w:rsidRPr="0013396E">
        <w:rPr>
          <w:i/>
          <w:vertAlign w:val="subscript"/>
        </w:rPr>
        <w:t>2c(tp)d</w:t>
      </w:r>
      <w:r w:rsidRPr="0013396E">
        <w:t>)</w:t>
      </w:r>
    </w:p>
    <w:p w14:paraId="54DE6521" w14:textId="77777777" w:rsidR="001F04FD" w:rsidRPr="0013396E" w:rsidRDefault="001F04FD" w:rsidP="001F04FD">
      <w:pPr>
        <w:pStyle w:val="FormulaBold"/>
        <w:rPr>
          <w:lang w:val="fr-FR"/>
        </w:rPr>
      </w:pPr>
      <w:r w:rsidRPr="0013396E">
        <w:rPr>
          <w:lang w:val="fr-FR"/>
        </w:rPr>
        <w:t>+ … + Min(SPDELMW</w:t>
      </w:r>
      <w:r w:rsidRPr="0013396E">
        <w:rPr>
          <w:i/>
          <w:vertAlign w:val="subscript"/>
          <w:lang w:val="fr-FR"/>
        </w:rPr>
        <w:t xml:space="preserve"> nc(tp</w:t>
      </w:r>
      <w:r w:rsidRPr="0013396E">
        <w:rPr>
          <w:rFonts w:ascii="Times New Roman Bold" w:hAnsi="Times New Roman Bold"/>
          <w:i/>
          <w:vertAlign w:val="subscript"/>
          <w:lang w:val="fr-FR"/>
        </w:rPr>
        <w:t>)</w:t>
      </w:r>
      <w:r w:rsidRPr="0013396E">
        <w:rPr>
          <w:i/>
          <w:vertAlign w:val="subscript"/>
        </w:rPr>
        <w:t>d</w:t>
      </w:r>
      <w:r w:rsidRPr="0013396E">
        <w:rPr>
          <w:rFonts w:ascii="Times New Roman Bold" w:hAnsi="Times New Roman Bold"/>
          <w:i/>
          <w:lang w:val="fr-FR"/>
        </w:rPr>
        <w:t>,</w:t>
      </w:r>
      <w:r w:rsidRPr="0013396E">
        <w:rPr>
          <w:lang w:val="fr-FR"/>
        </w:rPr>
        <w:t>SPCUL </w:t>
      </w:r>
      <w:r w:rsidRPr="0013396E">
        <w:rPr>
          <w:i/>
          <w:vertAlign w:val="subscript"/>
          <w:lang w:val="fr-FR"/>
        </w:rPr>
        <w:t>nc(tp)d</w:t>
      </w:r>
      <w:r w:rsidRPr="0013396E">
        <w:rPr>
          <w:lang w:val="fr-FR"/>
        </w:rPr>
        <w:t>))</w:t>
      </w:r>
    </w:p>
    <w:p w14:paraId="72DA8105" w14:textId="77777777" w:rsidR="001F04FD" w:rsidRPr="0013396E" w:rsidRDefault="001F04FD" w:rsidP="001F04FD">
      <w:pPr>
        <w:rPr>
          <w:vertAlign w:val="subscript"/>
        </w:rPr>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8"/>
        <w:gridCol w:w="1058"/>
        <w:gridCol w:w="5864"/>
      </w:tblGrid>
      <w:tr w:rsidR="001F04FD" w:rsidRPr="0013396E" w14:paraId="0129743A" w14:textId="77777777" w:rsidTr="00AC4DEE">
        <w:tc>
          <w:tcPr>
            <w:tcW w:w="1298" w:type="pct"/>
          </w:tcPr>
          <w:p w14:paraId="43949B72" w14:textId="77777777" w:rsidR="001F04FD" w:rsidRPr="0013396E" w:rsidRDefault="001F04FD" w:rsidP="00AC4DEE">
            <w:pPr>
              <w:pStyle w:val="TableHead"/>
            </w:pPr>
            <w:r w:rsidRPr="0013396E">
              <w:t>Variable</w:t>
            </w:r>
          </w:p>
        </w:tc>
        <w:tc>
          <w:tcPr>
            <w:tcW w:w="566" w:type="pct"/>
          </w:tcPr>
          <w:p w14:paraId="371C3D5B" w14:textId="77777777" w:rsidR="001F04FD" w:rsidRPr="0013396E" w:rsidRDefault="001F04FD" w:rsidP="00AC4DEE">
            <w:pPr>
              <w:pStyle w:val="TableHead"/>
            </w:pPr>
            <w:r w:rsidRPr="0013396E">
              <w:t>Unit</w:t>
            </w:r>
          </w:p>
        </w:tc>
        <w:tc>
          <w:tcPr>
            <w:tcW w:w="3136" w:type="pct"/>
          </w:tcPr>
          <w:p w14:paraId="516A96D6" w14:textId="77777777" w:rsidR="001F04FD" w:rsidRPr="0013396E" w:rsidRDefault="001F04FD" w:rsidP="00AC4DEE">
            <w:pPr>
              <w:pStyle w:val="TableHead"/>
            </w:pPr>
            <w:r w:rsidRPr="0013396E">
              <w:t>Description</w:t>
            </w:r>
          </w:p>
        </w:tc>
      </w:tr>
      <w:tr w:rsidR="001F04FD" w:rsidRPr="0013396E" w14:paraId="60AF26E3" w14:textId="77777777" w:rsidTr="00AC4DEE">
        <w:trPr>
          <w:cantSplit/>
        </w:trPr>
        <w:tc>
          <w:tcPr>
            <w:tcW w:w="1298" w:type="pct"/>
          </w:tcPr>
          <w:p w14:paraId="2E5C7870" w14:textId="77777777" w:rsidR="001F04FD" w:rsidRPr="0013396E" w:rsidRDefault="001F04FD" w:rsidP="00AC4DEE">
            <w:pPr>
              <w:pStyle w:val="TableBody"/>
            </w:pPr>
            <w:r w:rsidRPr="0013396E">
              <w:lastRenderedPageBreak/>
              <w:t xml:space="preserve">ERSPAMT </w:t>
            </w:r>
            <w:r w:rsidRPr="0013396E">
              <w:rPr>
                <w:i/>
                <w:vertAlign w:val="subscript"/>
              </w:rPr>
              <w:t>qc(tp)d</w:t>
            </w:r>
          </w:p>
        </w:tc>
        <w:tc>
          <w:tcPr>
            <w:tcW w:w="566" w:type="pct"/>
          </w:tcPr>
          <w:p w14:paraId="2C853057" w14:textId="77777777" w:rsidR="001F04FD" w:rsidRPr="0013396E" w:rsidRDefault="001F04FD" w:rsidP="00AC4DEE">
            <w:pPr>
              <w:pStyle w:val="TableBody"/>
            </w:pPr>
            <w:r w:rsidRPr="0013396E">
              <w:t>$</w:t>
            </w:r>
          </w:p>
        </w:tc>
        <w:tc>
          <w:tcPr>
            <w:tcW w:w="3136" w:type="pct"/>
          </w:tcPr>
          <w:p w14:paraId="0C9C3BCF" w14:textId="77777777" w:rsidR="001F04FD" w:rsidRPr="0013396E" w:rsidRDefault="001F04FD" w:rsidP="00AC4DEE">
            <w:pPr>
              <w:pStyle w:val="TableBody"/>
            </w:pPr>
            <w:r w:rsidRPr="0013396E">
              <w:rPr>
                <w:i/>
              </w:rPr>
              <w:t>ERS Payment Amount per QSE per ERS Contract Period per ERS Time Period per ERS Service Type</w:t>
            </w:r>
            <w:r w:rsidRPr="0013396E">
              <w:t xml:space="preserve">—ERS total payment to QSE </w:t>
            </w:r>
            <w:r w:rsidRPr="0013396E">
              <w:rPr>
                <w:i/>
              </w:rPr>
              <w:t xml:space="preserve">q </w:t>
            </w:r>
            <w:r w:rsidRPr="0013396E">
              <w:t xml:space="preserve">for ERS Contract Period </w:t>
            </w:r>
            <w:r w:rsidRPr="0013396E">
              <w:rPr>
                <w:i/>
              </w:rPr>
              <w:t>c,</w:t>
            </w:r>
            <w:r w:rsidRPr="0013396E">
              <w:t xml:space="preserve"> and ERS Time Period </w:t>
            </w:r>
            <w:r w:rsidRPr="0013396E">
              <w:rPr>
                <w:i/>
              </w:rPr>
              <w:t xml:space="preserve">tp </w:t>
            </w:r>
            <w:r w:rsidRPr="0013396E">
              <w:t xml:space="preserve">and ERS service type </w:t>
            </w:r>
            <w:r w:rsidRPr="0013396E">
              <w:rPr>
                <w:i/>
              </w:rPr>
              <w:t>d</w:t>
            </w:r>
            <w:r w:rsidRPr="0013396E">
              <w:t>.</w:t>
            </w:r>
          </w:p>
        </w:tc>
      </w:tr>
      <w:tr w:rsidR="001F04FD" w:rsidRPr="0013396E" w14:paraId="0FAE439F" w14:textId="77777777" w:rsidTr="00AC4DEE">
        <w:trPr>
          <w:cantSplit/>
          <w:trHeight w:val="70"/>
        </w:trPr>
        <w:tc>
          <w:tcPr>
            <w:tcW w:w="1298" w:type="pct"/>
          </w:tcPr>
          <w:p w14:paraId="3A73BAE1" w14:textId="77777777" w:rsidR="001F04FD" w:rsidRPr="0013396E" w:rsidRDefault="001F04FD" w:rsidP="00AC4DEE">
            <w:pPr>
              <w:pStyle w:val="TableBody"/>
            </w:pPr>
            <w:r w:rsidRPr="0013396E">
              <w:t xml:space="preserve">COMPAMT </w:t>
            </w:r>
            <w:r w:rsidRPr="0013396E">
              <w:rPr>
                <w:i/>
                <w:vertAlign w:val="subscript"/>
              </w:rPr>
              <w:t>qc(tp)d</w:t>
            </w:r>
          </w:p>
        </w:tc>
        <w:tc>
          <w:tcPr>
            <w:tcW w:w="566" w:type="pct"/>
          </w:tcPr>
          <w:p w14:paraId="04D514D2" w14:textId="77777777" w:rsidR="001F04FD" w:rsidRPr="0013396E" w:rsidRDefault="001F04FD" w:rsidP="00AC4DEE">
            <w:pPr>
              <w:pStyle w:val="TableBody"/>
            </w:pPr>
            <w:r w:rsidRPr="0013396E">
              <w:t>$</w:t>
            </w:r>
          </w:p>
        </w:tc>
        <w:tc>
          <w:tcPr>
            <w:tcW w:w="3136" w:type="pct"/>
          </w:tcPr>
          <w:p w14:paraId="7D8C6FE9" w14:textId="77777777" w:rsidR="001F04FD" w:rsidRPr="0013396E" w:rsidRDefault="001F04FD" w:rsidP="00AC4DEE">
            <w:pPr>
              <w:pStyle w:val="TableBody"/>
            </w:pPr>
            <w:r w:rsidRPr="0013396E">
              <w:rPr>
                <w:i/>
              </w:rPr>
              <w:t>Competitive Amount per QSE per ERS Contract Period per ERS Time Period per ERS Service Type</w:t>
            </w:r>
            <w:r w:rsidRPr="0013396E">
              <w:t xml:space="preserve">—ERS total payment to QSE </w:t>
            </w:r>
            <w:r w:rsidRPr="0013396E">
              <w:rPr>
                <w:i/>
              </w:rPr>
              <w:t xml:space="preserve">q </w:t>
            </w:r>
            <w:r w:rsidRPr="0013396E">
              <w:t xml:space="preserve">for all competitively procured ERS Resources delivered for ERS Contract Period </w:t>
            </w:r>
            <w:r w:rsidRPr="0013396E">
              <w:rPr>
                <w:i/>
              </w:rPr>
              <w:t>c</w:t>
            </w:r>
            <w:r w:rsidRPr="0013396E">
              <w:t xml:space="preserve">, and ERS Time Period </w:t>
            </w:r>
            <w:r w:rsidRPr="0013396E">
              <w:rPr>
                <w:i/>
              </w:rPr>
              <w:t>tp</w:t>
            </w:r>
            <w:r w:rsidRPr="0013396E">
              <w:t xml:space="preserve"> and ERS service type </w:t>
            </w:r>
            <w:r w:rsidRPr="0013396E">
              <w:rPr>
                <w:i/>
              </w:rPr>
              <w:t>d</w:t>
            </w:r>
            <w:r w:rsidRPr="0013396E">
              <w:t>.</w:t>
            </w:r>
          </w:p>
        </w:tc>
      </w:tr>
      <w:tr w:rsidR="001F04FD" w:rsidRPr="0013396E" w14:paraId="0677E346" w14:textId="77777777" w:rsidTr="00AC4DEE">
        <w:trPr>
          <w:cantSplit/>
        </w:trPr>
        <w:tc>
          <w:tcPr>
            <w:tcW w:w="1298" w:type="pct"/>
          </w:tcPr>
          <w:p w14:paraId="2B64D58C" w14:textId="77777777" w:rsidR="001F04FD" w:rsidRPr="0013396E" w:rsidRDefault="001F04FD" w:rsidP="00AC4DEE">
            <w:pPr>
              <w:pStyle w:val="TableBody"/>
            </w:pPr>
            <w:r w:rsidRPr="0013396E">
              <w:rPr>
                <w:lang w:val="pt-BR"/>
              </w:rPr>
              <w:t xml:space="preserve">SPAMT </w:t>
            </w:r>
            <w:r w:rsidRPr="0013396E">
              <w:rPr>
                <w:i/>
                <w:vertAlign w:val="subscript"/>
              </w:rPr>
              <w:t>qc(tp)d</w:t>
            </w:r>
          </w:p>
        </w:tc>
        <w:tc>
          <w:tcPr>
            <w:tcW w:w="566" w:type="pct"/>
          </w:tcPr>
          <w:p w14:paraId="56612AD5" w14:textId="77777777" w:rsidR="001F04FD" w:rsidRPr="0013396E" w:rsidRDefault="001F04FD" w:rsidP="00AC4DEE">
            <w:pPr>
              <w:pStyle w:val="VariableDefinition"/>
              <w:tabs>
                <w:tab w:val="clear" w:pos="2160"/>
              </w:tabs>
              <w:spacing w:after="60"/>
              <w:ind w:left="0" w:firstLine="0"/>
              <w:rPr>
                <w:sz w:val="20"/>
              </w:rPr>
            </w:pPr>
            <w:r w:rsidRPr="0013396E">
              <w:rPr>
                <w:sz w:val="20"/>
              </w:rPr>
              <w:t>$</w:t>
            </w:r>
          </w:p>
        </w:tc>
        <w:tc>
          <w:tcPr>
            <w:tcW w:w="3136" w:type="pct"/>
          </w:tcPr>
          <w:p w14:paraId="68B51873" w14:textId="77777777" w:rsidR="001F04FD" w:rsidRPr="0013396E" w:rsidRDefault="001F04FD" w:rsidP="00AC4DEE">
            <w:pPr>
              <w:pStyle w:val="VariableDefinition"/>
              <w:tabs>
                <w:tab w:val="clear" w:pos="2160"/>
              </w:tabs>
              <w:spacing w:after="60"/>
              <w:ind w:left="0" w:firstLine="0"/>
              <w:rPr>
                <w:sz w:val="20"/>
              </w:rPr>
            </w:pPr>
            <w:r w:rsidRPr="0013396E">
              <w:rPr>
                <w:i/>
                <w:sz w:val="20"/>
              </w:rPr>
              <w:t>Self-Procured Amount</w:t>
            </w:r>
            <w:r w:rsidRPr="0013396E">
              <w:rPr>
                <w:sz w:val="20"/>
              </w:rPr>
              <w:t xml:space="preserve"> </w:t>
            </w:r>
            <w:r w:rsidRPr="0013396E">
              <w:rPr>
                <w:i/>
                <w:sz w:val="20"/>
              </w:rPr>
              <w:t>per QSE per ERS Contract Period per ERS Time Period per ERS Service Type</w:t>
            </w:r>
            <w:r w:rsidRPr="0013396E">
              <w:t>—</w:t>
            </w:r>
            <w:r w:rsidRPr="0013396E">
              <w:rPr>
                <w:sz w:val="20"/>
              </w:rPr>
              <w:t xml:space="preserve">ERS total payment to QSE </w:t>
            </w:r>
            <w:r w:rsidRPr="0013396E">
              <w:rPr>
                <w:i/>
                <w:sz w:val="20"/>
              </w:rPr>
              <w:t xml:space="preserve">q </w:t>
            </w:r>
            <w:r w:rsidRPr="0013396E">
              <w:rPr>
                <w:sz w:val="20"/>
              </w:rPr>
              <w:t xml:space="preserve">for its self-provided ERS Resources for ERS Contract Period </w:t>
            </w:r>
            <w:r w:rsidRPr="0013396E">
              <w:rPr>
                <w:i/>
                <w:sz w:val="20"/>
              </w:rPr>
              <w:t>c</w:t>
            </w:r>
            <w:r w:rsidRPr="0013396E">
              <w:rPr>
                <w:sz w:val="20"/>
              </w:rPr>
              <w:t xml:space="preserve">, ERS Time Period </w:t>
            </w:r>
            <w:r w:rsidRPr="0013396E">
              <w:rPr>
                <w:i/>
                <w:sz w:val="20"/>
              </w:rPr>
              <w:t>tp</w:t>
            </w:r>
            <w:r w:rsidRPr="0013396E">
              <w:rPr>
                <w:sz w:val="20"/>
              </w:rPr>
              <w:t xml:space="preserve"> and ERS service type </w:t>
            </w:r>
            <w:r w:rsidRPr="0013396E">
              <w:rPr>
                <w:i/>
                <w:sz w:val="20"/>
              </w:rPr>
              <w:t>d</w:t>
            </w:r>
            <w:r w:rsidRPr="0013396E">
              <w:rPr>
                <w:sz w:val="20"/>
              </w:rPr>
              <w:t>.</w:t>
            </w:r>
          </w:p>
        </w:tc>
      </w:tr>
      <w:tr w:rsidR="001F04FD" w:rsidRPr="0013396E" w14:paraId="6A30E054" w14:textId="77777777" w:rsidTr="00AC4DEE">
        <w:trPr>
          <w:cantSplit/>
        </w:trPr>
        <w:tc>
          <w:tcPr>
            <w:tcW w:w="1298" w:type="pct"/>
          </w:tcPr>
          <w:p w14:paraId="4056B2B2" w14:textId="77777777" w:rsidR="001F04FD" w:rsidRPr="0013396E" w:rsidRDefault="001F04FD" w:rsidP="00AC4DEE">
            <w:pPr>
              <w:pStyle w:val="TableBody"/>
            </w:pPr>
            <w:r w:rsidRPr="0013396E">
              <w:t xml:space="preserve">ERSPAMTQSETOT </w:t>
            </w:r>
            <w:r w:rsidRPr="0013396E">
              <w:rPr>
                <w:i/>
                <w:vertAlign w:val="subscript"/>
              </w:rPr>
              <w:t>q</w:t>
            </w:r>
          </w:p>
        </w:tc>
        <w:tc>
          <w:tcPr>
            <w:tcW w:w="566" w:type="pct"/>
          </w:tcPr>
          <w:p w14:paraId="59122E54" w14:textId="77777777" w:rsidR="001F04FD" w:rsidRPr="0013396E" w:rsidRDefault="001F04FD" w:rsidP="00AC4DEE">
            <w:pPr>
              <w:pStyle w:val="VariableDefinition"/>
              <w:tabs>
                <w:tab w:val="clear" w:pos="2160"/>
              </w:tabs>
              <w:spacing w:after="60"/>
              <w:ind w:left="0" w:firstLine="0"/>
              <w:rPr>
                <w:sz w:val="20"/>
              </w:rPr>
            </w:pPr>
            <w:r w:rsidRPr="0013396E">
              <w:rPr>
                <w:sz w:val="20"/>
              </w:rPr>
              <w:t>$</w:t>
            </w:r>
          </w:p>
        </w:tc>
        <w:tc>
          <w:tcPr>
            <w:tcW w:w="3136" w:type="pct"/>
          </w:tcPr>
          <w:p w14:paraId="29883A4A" w14:textId="77777777" w:rsidR="001F04FD" w:rsidRPr="0013396E" w:rsidRDefault="001F04FD" w:rsidP="00AC4DEE">
            <w:pPr>
              <w:pStyle w:val="VariableDefinition"/>
              <w:tabs>
                <w:tab w:val="clear" w:pos="2160"/>
              </w:tabs>
              <w:spacing w:after="60"/>
              <w:ind w:left="0" w:firstLine="0"/>
              <w:rPr>
                <w:sz w:val="20"/>
              </w:rPr>
            </w:pPr>
            <w:r w:rsidRPr="0013396E">
              <w:rPr>
                <w:i/>
                <w:sz w:val="20"/>
              </w:rPr>
              <w:t>ERS Payment QSE Total per QSE</w:t>
            </w:r>
            <w:r w:rsidRPr="0013396E">
              <w:t>—</w:t>
            </w:r>
            <w:r w:rsidRPr="0013396E">
              <w:rPr>
                <w:sz w:val="20"/>
              </w:rPr>
              <w:t xml:space="preserve">The total ERS total payments to QSE </w:t>
            </w:r>
            <w:r w:rsidRPr="0013396E">
              <w:rPr>
                <w:i/>
                <w:sz w:val="20"/>
              </w:rPr>
              <w:t>q</w:t>
            </w:r>
            <w:r w:rsidRPr="0013396E">
              <w:rPr>
                <w:sz w:val="20"/>
              </w:rPr>
              <w:t>.</w:t>
            </w:r>
          </w:p>
        </w:tc>
      </w:tr>
      <w:tr w:rsidR="001F04FD" w:rsidRPr="0013396E" w14:paraId="33B3901B" w14:textId="77777777" w:rsidTr="00AC4DEE">
        <w:trPr>
          <w:cantSplit/>
        </w:trPr>
        <w:tc>
          <w:tcPr>
            <w:tcW w:w="1298" w:type="pct"/>
          </w:tcPr>
          <w:p w14:paraId="701AE03D" w14:textId="77777777" w:rsidR="001F04FD" w:rsidRPr="0013396E" w:rsidRDefault="001F04FD" w:rsidP="00AC4DEE">
            <w:pPr>
              <w:pStyle w:val="TableBody"/>
            </w:pPr>
            <w:r w:rsidRPr="0013396E">
              <w:t>ERSPAMTTOT</w:t>
            </w:r>
            <w:r w:rsidRPr="0013396E">
              <w:rPr>
                <w:i/>
                <w:vertAlign w:val="subscript"/>
              </w:rPr>
              <w:t xml:space="preserve"> c(tp)d</w:t>
            </w:r>
          </w:p>
        </w:tc>
        <w:tc>
          <w:tcPr>
            <w:tcW w:w="566" w:type="pct"/>
          </w:tcPr>
          <w:p w14:paraId="52196950" w14:textId="77777777" w:rsidR="001F04FD" w:rsidRPr="0013396E" w:rsidRDefault="001F04FD" w:rsidP="00AC4DEE">
            <w:pPr>
              <w:pStyle w:val="VariableDefinition"/>
              <w:tabs>
                <w:tab w:val="clear" w:pos="2160"/>
              </w:tabs>
              <w:spacing w:after="60"/>
              <w:ind w:left="0" w:firstLine="0"/>
              <w:rPr>
                <w:sz w:val="20"/>
              </w:rPr>
            </w:pPr>
            <w:r w:rsidRPr="0013396E">
              <w:rPr>
                <w:sz w:val="20"/>
              </w:rPr>
              <w:t>$</w:t>
            </w:r>
          </w:p>
        </w:tc>
        <w:tc>
          <w:tcPr>
            <w:tcW w:w="3136" w:type="pct"/>
          </w:tcPr>
          <w:p w14:paraId="33EA044B" w14:textId="77777777" w:rsidR="001F04FD" w:rsidRPr="0013396E" w:rsidRDefault="001F04FD" w:rsidP="00AC4DEE">
            <w:pPr>
              <w:pStyle w:val="VariableDefinition"/>
              <w:tabs>
                <w:tab w:val="clear" w:pos="2160"/>
              </w:tabs>
              <w:spacing w:after="60"/>
              <w:ind w:left="0" w:firstLine="0"/>
              <w:rPr>
                <w:sz w:val="20"/>
              </w:rPr>
            </w:pPr>
            <w:r w:rsidRPr="0013396E">
              <w:rPr>
                <w:i/>
                <w:sz w:val="20"/>
              </w:rPr>
              <w:t>ERS Payment Amount Total per ERS Contract Period per ERS Time Period per ERS Service Type</w:t>
            </w:r>
            <w:r w:rsidRPr="0013396E">
              <w:t>—</w:t>
            </w:r>
            <w:r w:rsidRPr="0013396E">
              <w:rPr>
                <w:sz w:val="20"/>
              </w:rPr>
              <w:t xml:space="preserve">Total of all ERS payments for ERS Contract Period </w:t>
            </w:r>
            <w:r w:rsidRPr="0013396E">
              <w:rPr>
                <w:i/>
                <w:sz w:val="20"/>
              </w:rPr>
              <w:t>c</w:t>
            </w:r>
            <w:r w:rsidRPr="0013396E">
              <w:rPr>
                <w:sz w:val="20"/>
              </w:rPr>
              <w:t xml:space="preserve">, ERS Time Period </w:t>
            </w:r>
            <w:r w:rsidRPr="0013396E">
              <w:rPr>
                <w:i/>
                <w:sz w:val="20"/>
              </w:rPr>
              <w:t>tp</w:t>
            </w:r>
            <w:r w:rsidRPr="0013396E">
              <w:rPr>
                <w:sz w:val="20"/>
              </w:rPr>
              <w:t xml:space="preserve"> and ERS service type </w:t>
            </w:r>
            <w:r w:rsidRPr="0013396E">
              <w:rPr>
                <w:i/>
                <w:sz w:val="20"/>
              </w:rPr>
              <w:t>d</w:t>
            </w:r>
            <w:r w:rsidRPr="0013396E">
              <w:rPr>
                <w:sz w:val="20"/>
              </w:rPr>
              <w:t>.</w:t>
            </w:r>
          </w:p>
        </w:tc>
      </w:tr>
      <w:tr w:rsidR="001F04FD" w:rsidRPr="0013396E" w14:paraId="4CB71362" w14:textId="77777777" w:rsidTr="00AC4DEE">
        <w:trPr>
          <w:cantSplit/>
        </w:trPr>
        <w:tc>
          <w:tcPr>
            <w:tcW w:w="1298" w:type="pct"/>
          </w:tcPr>
          <w:p w14:paraId="0AAC3401" w14:textId="77777777" w:rsidR="001F04FD" w:rsidRPr="0013396E" w:rsidRDefault="001F04FD" w:rsidP="00AC4DEE">
            <w:pPr>
              <w:pStyle w:val="TableBody"/>
            </w:pPr>
            <w:r w:rsidRPr="0013396E">
              <w:t xml:space="preserve">ERSPRICE </w:t>
            </w:r>
            <w:r w:rsidRPr="0013396E">
              <w:rPr>
                <w:i/>
                <w:vertAlign w:val="subscript"/>
              </w:rPr>
              <w:t>qc(tp)d</w:t>
            </w:r>
          </w:p>
        </w:tc>
        <w:tc>
          <w:tcPr>
            <w:tcW w:w="566" w:type="pct"/>
          </w:tcPr>
          <w:p w14:paraId="0B53B5D3" w14:textId="77777777" w:rsidR="001F04FD" w:rsidRPr="0013396E" w:rsidRDefault="001F04FD" w:rsidP="00AC4DEE">
            <w:pPr>
              <w:pStyle w:val="VariableDefinition"/>
              <w:tabs>
                <w:tab w:val="clear" w:pos="2160"/>
              </w:tabs>
              <w:spacing w:after="60"/>
              <w:ind w:left="0" w:firstLine="0"/>
              <w:rPr>
                <w:sz w:val="20"/>
              </w:rPr>
            </w:pPr>
            <w:r w:rsidRPr="0013396E">
              <w:rPr>
                <w:sz w:val="20"/>
              </w:rPr>
              <w:t>$/MW per hour</w:t>
            </w:r>
          </w:p>
        </w:tc>
        <w:tc>
          <w:tcPr>
            <w:tcW w:w="3136" w:type="pct"/>
          </w:tcPr>
          <w:p w14:paraId="2573209E" w14:textId="77777777" w:rsidR="001F04FD" w:rsidRPr="0013396E" w:rsidRDefault="001F04FD" w:rsidP="00AC4DEE">
            <w:pPr>
              <w:pStyle w:val="VariableDefinition"/>
              <w:tabs>
                <w:tab w:val="clear" w:pos="2160"/>
              </w:tabs>
              <w:spacing w:after="60"/>
              <w:ind w:left="0" w:firstLine="0"/>
              <w:rPr>
                <w:i/>
                <w:sz w:val="20"/>
              </w:rPr>
            </w:pPr>
            <w:r w:rsidRPr="0013396E">
              <w:rPr>
                <w:i/>
                <w:sz w:val="20"/>
              </w:rPr>
              <w:t>Price of the Highest Offer Cleared per QSE per ERS Contract Period per ERS Time Period per ERS Service Type</w:t>
            </w:r>
            <w:r w:rsidRPr="0013396E">
              <w:t>—</w:t>
            </w:r>
            <w:r w:rsidRPr="0013396E">
              <w:rPr>
                <w:sz w:val="20"/>
              </w:rPr>
              <w:t xml:space="preserve">Contracted clearing price for QSE </w:t>
            </w:r>
            <w:r w:rsidRPr="0013396E">
              <w:rPr>
                <w:i/>
                <w:sz w:val="20"/>
              </w:rPr>
              <w:t>q</w:t>
            </w:r>
            <w:r w:rsidRPr="0013396E">
              <w:rPr>
                <w:sz w:val="20"/>
              </w:rPr>
              <w:t xml:space="preserve"> for ERS Contract Period </w:t>
            </w:r>
            <w:r w:rsidRPr="0013396E">
              <w:rPr>
                <w:i/>
                <w:sz w:val="20"/>
              </w:rPr>
              <w:t>c</w:t>
            </w:r>
            <w:r w:rsidRPr="0013396E">
              <w:rPr>
                <w:sz w:val="20"/>
              </w:rPr>
              <w:t xml:space="preserve">, ERS Time Period </w:t>
            </w:r>
            <w:r w:rsidRPr="0013396E">
              <w:rPr>
                <w:i/>
                <w:sz w:val="20"/>
              </w:rPr>
              <w:t xml:space="preserve">tp </w:t>
            </w:r>
            <w:r w:rsidRPr="0013396E">
              <w:rPr>
                <w:sz w:val="20"/>
              </w:rPr>
              <w:t xml:space="preserve">and ERS service type </w:t>
            </w:r>
            <w:r w:rsidRPr="0013396E">
              <w:rPr>
                <w:i/>
                <w:sz w:val="20"/>
              </w:rPr>
              <w:t>d</w:t>
            </w:r>
            <w:r w:rsidRPr="0013396E">
              <w:rPr>
                <w:sz w:val="20"/>
              </w:rPr>
              <w:t>.</w:t>
            </w:r>
          </w:p>
        </w:tc>
      </w:tr>
      <w:tr w:rsidR="001F04FD" w:rsidRPr="0013396E" w14:paraId="5445F1B7" w14:textId="77777777" w:rsidTr="00AC4DEE">
        <w:trPr>
          <w:cantSplit/>
        </w:trPr>
        <w:tc>
          <w:tcPr>
            <w:tcW w:w="1298" w:type="pct"/>
          </w:tcPr>
          <w:p w14:paraId="266F631B" w14:textId="77777777" w:rsidR="001F04FD" w:rsidRPr="0013396E" w:rsidRDefault="001F04FD" w:rsidP="00AC4DEE">
            <w:pPr>
              <w:pStyle w:val="TableBody"/>
            </w:pPr>
            <w:r w:rsidRPr="0013396E">
              <w:t xml:space="preserve">COMPDELMW </w:t>
            </w:r>
            <w:r w:rsidRPr="0013396E">
              <w:rPr>
                <w:i/>
                <w:vertAlign w:val="subscript"/>
              </w:rPr>
              <w:t>qce(tp)d</w:t>
            </w:r>
          </w:p>
        </w:tc>
        <w:tc>
          <w:tcPr>
            <w:tcW w:w="566" w:type="pct"/>
          </w:tcPr>
          <w:p w14:paraId="1A39C7BF"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35B0A20F" w14:textId="77777777" w:rsidR="001F04FD" w:rsidRPr="0013396E" w:rsidRDefault="001F04FD" w:rsidP="00AC4DEE">
            <w:pPr>
              <w:pStyle w:val="VariableDefinition"/>
              <w:tabs>
                <w:tab w:val="clear" w:pos="2160"/>
              </w:tabs>
              <w:spacing w:after="60"/>
              <w:ind w:left="0" w:firstLine="0"/>
              <w:rPr>
                <w:i/>
                <w:sz w:val="20"/>
              </w:rPr>
            </w:pPr>
            <w:r w:rsidRPr="0013396E">
              <w:rPr>
                <w:i/>
                <w:sz w:val="20"/>
              </w:rPr>
              <w:t>Competitive Delivered MW per QSE per ERS Contract Period per ERS Resource per ERS Time Period per ERS Service Type</w:t>
            </w:r>
            <w:r w:rsidRPr="0013396E">
              <w:t>—</w:t>
            </w:r>
            <w:r w:rsidRPr="0013396E">
              <w:rPr>
                <w:sz w:val="20"/>
              </w:rPr>
              <w:t xml:space="preserve">ERS capacity </w:t>
            </w:r>
            <w:r w:rsidRPr="0013396E">
              <w:rPr>
                <w:bCs/>
                <w:sz w:val="20"/>
              </w:rPr>
              <w:t xml:space="preserve">delivered </w:t>
            </w:r>
            <w:r w:rsidRPr="0013396E">
              <w:rPr>
                <w:sz w:val="20"/>
              </w:rPr>
              <w:t xml:space="preserve">by the QSE </w:t>
            </w:r>
            <w:r w:rsidRPr="0013396E">
              <w:rPr>
                <w:i/>
                <w:sz w:val="20"/>
              </w:rPr>
              <w:t>q</w:t>
            </w:r>
            <w:r w:rsidRPr="0013396E">
              <w:rPr>
                <w:sz w:val="20"/>
              </w:rPr>
              <w:t xml:space="preserve"> </w:t>
            </w:r>
            <w:r w:rsidRPr="0013396E">
              <w:rPr>
                <w:bCs/>
                <w:sz w:val="20"/>
              </w:rPr>
              <w:t xml:space="preserve">for ERS Contract Period </w:t>
            </w:r>
            <w:r w:rsidRPr="0013396E">
              <w:rPr>
                <w:bCs/>
                <w:i/>
                <w:sz w:val="20"/>
              </w:rPr>
              <w:t>c,</w:t>
            </w:r>
            <w:r w:rsidRPr="0013396E">
              <w:rPr>
                <w:sz w:val="20"/>
              </w:rPr>
              <w:t xml:space="preserve"> </w:t>
            </w:r>
            <w:r w:rsidRPr="0013396E">
              <w:rPr>
                <w:bCs/>
                <w:sz w:val="20"/>
              </w:rPr>
              <w:t xml:space="preserve">competitive ERS Resource </w:t>
            </w:r>
            <w:r w:rsidRPr="0013396E">
              <w:rPr>
                <w:bCs/>
                <w:i/>
                <w:sz w:val="20"/>
              </w:rPr>
              <w:t>e</w:t>
            </w:r>
            <w:r w:rsidRPr="0013396E">
              <w:rPr>
                <w:bCs/>
                <w:sz w:val="20"/>
              </w:rPr>
              <w:t>,</w:t>
            </w:r>
            <w:r w:rsidRPr="0013396E">
              <w:rPr>
                <w:sz w:val="20"/>
              </w:rPr>
              <w:t xml:space="preserve"> ERS Time Period </w:t>
            </w:r>
            <w:r w:rsidRPr="0013396E">
              <w:rPr>
                <w:i/>
                <w:sz w:val="20"/>
              </w:rPr>
              <w:t>tp</w:t>
            </w:r>
            <w:r w:rsidRPr="0013396E">
              <w:rPr>
                <w:sz w:val="20"/>
              </w:rPr>
              <w:t xml:space="preserve"> and ERS service type </w:t>
            </w:r>
            <w:r w:rsidRPr="0013396E">
              <w:rPr>
                <w:i/>
                <w:sz w:val="20"/>
              </w:rPr>
              <w:t>d</w:t>
            </w:r>
            <w:r w:rsidRPr="0013396E">
              <w:rPr>
                <w:sz w:val="20"/>
              </w:rPr>
              <w:t>.</w:t>
            </w:r>
          </w:p>
        </w:tc>
      </w:tr>
      <w:tr w:rsidR="001F04FD" w:rsidRPr="0013396E" w14:paraId="0112273C" w14:textId="77777777" w:rsidTr="00AC4DEE">
        <w:trPr>
          <w:cantSplit/>
        </w:trPr>
        <w:tc>
          <w:tcPr>
            <w:tcW w:w="1298" w:type="pct"/>
          </w:tcPr>
          <w:p w14:paraId="1A56D246" w14:textId="77777777" w:rsidR="001F04FD" w:rsidRPr="0013396E" w:rsidRDefault="001F04FD" w:rsidP="00AC4DEE">
            <w:pPr>
              <w:pStyle w:val="TableBody"/>
            </w:pPr>
            <w:r w:rsidRPr="0013396E">
              <w:t xml:space="preserve">TPH </w:t>
            </w:r>
            <w:r w:rsidRPr="0013396E">
              <w:rPr>
                <w:i/>
                <w:vertAlign w:val="subscript"/>
              </w:rPr>
              <w:t>c(tp)d</w:t>
            </w:r>
          </w:p>
        </w:tc>
        <w:tc>
          <w:tcPr>
            <w:tcW w:w="566" w:type="pct"/>
          </w:tcPr>
          <w:p w14:paraId="0FCD8446" w14:textId="77777777" w:rsidR="001F04FD" w:rsidRPr="0013396E" w:rsidRDefault="001F04FD" w:rsidP="00AC4DEE">
            <w:pPr>
              <w:pStyle w:val="VariableDefinition"/>
              <w:tabs>
                <w:tab w:val="clear" w:pos="2160"/>
              </w:tabs>
              <w:spacing w:after="60"/>
              <w:ind w:left="0" w:firstLine="0"/>
              <w:rPr>
                <w:sz w:val="20"/>
              </w:rPr>
            </w:pPr>
            <w:r w:rsidRPr="0013396E">
              <w:rPr>
                <w:sz w:val="20"/>
              </w:rPr>
              <w:t>Hours</w:t>
            </w:r>
          </w:p>
        </w:tc>
        <w:tc>
          <w:tcPr>
            <w:tcW w:w="3136" w:type="pct"/>
          </w:tcPr>
          <w:p w14:paraId="5A5837C9" w14:textId="77777777" w:rsidR="001F04FD" w:rsidRPr="0013396E" w:rsidRDefault="001F04FD" w:rsidP="00AC4DEE">
            <w:pPr>
              <w:pStyle w:val="VariableDefinition"/>
              <w:tabs>
                <w:tab w:val="clear" w:pos="2160"/>
              </w:tabs>
              <w:spacing w:after="60"/>
              <w:ind w:left="0" w:firstLine="0"/>
              <w:rPr>
                <w:sz w:val="20"/>
              </w:rPr>
            </w:pPr>
            <w:r w:rsidRPr="0013396E">
              <w:rPr>
                <w:sz w:val="20"/>
              </w:rPr>
              <w:t xml:space="preserve">Hours in ERS Time Period </w:t>
            </w:r>
            <w:r w:rsidRPr="0013396E">
              <w:rPr>
                <w:i/>
                <w:sz w:val="20"/>
              </w:rPr>
              <w:t xml:space="preserve">tp </w:t>
            </w:r>
            <w:r w:rsidRPr="0013396E">
              <w:rPr>
                <w:sz w:val="20"/>
              </w:rPr>
              <w:t xml:space="preserve">for ERS Contract Period </w:t>
            </w:r>
            <w:r w:rsidRPr="0013396E">
              <w:rPr>
                <w:i/>
                <w:sz w:val="20"/>
              </w:rPr>
              <w:t>c</w:t>
            </w:r>
            <w:r w:rsidRPr="0013396E">
              <w:rPr>
                <w:sz w:val="20"/>
              </w:rPr>
              <w:t xml:space="preserve">, and ERS service type </w:t>
            </w:r>
            <w:r w:rsidRPr="0013396E">
              <w:rPr>
                <w:i/>
                <w:sz w:val="20"/>
              </w:rPr>
              <w:t>d</w:t>
            </w:r>
            <w:r w:rsidRPr="0013396E">
              <w:rPr>
                <w:sz w:val="20"/>
              </w:rPr>
              <w:t>.</w:t>
            </w:r>
          </w:p>
          <w:p w14:paraId="0561095E" w14:textId="77777777" w:rsidR="001F04FD" w:rsidRPr="0013396E" w:rsidRDefault="001F04FD" w:rsidP="00AC4DEE">
            <w:pPr>
              <w:pStyle w:val="VariableDefinition"/>
              <w:tabs>
                <w:tab w:val="clear" w:pos="2160"/>
              </w:tabs>
              <w:spacing w:after="60"/>
              <w:ind w:left="0" w:firstLine="0"/>
              <w:rPr>
                <w:sz w:val="20"/>
              </w:rPr>
            </w:pPr>
            <w:r w:rsidRPr="0013396E">
              <w:rPr>
                <w:sz w:val="20"/>
              </w:rPr>
              <w:t>For ERS Resources</w:t>
            </w:r>
            <w:r w:rsidRPr="0013396E">
              <w:rPr>
                <w:bCs/>
                <w:sz w:val="20"/>
              </w:rPr>
              <w:t xml:space="preserve"> </w:t>
            </w:r>
            <w:r w:rsidRPr="0013396E">
              <w:rPr>
                <w:bCs/>
                <w:i/>
                <w:sz w:val="20"/>
              </w:rPr>
              <w:t>e</w:t>
            </w:r>
            <w:r w:rsidRPr="0013396E">
              <w:rPr>
                <w:sz w:val="20"/>
              </w:rPr>
              <w:t xml:space="preserve"> whose obligation is not exhausted in an ERS Contract Period</w:t>
            </w:r>
            <w:r w:rsidRPr="0013396E">
              <w:rPr>
                <w:bCs/>
                <w:sz w:val="20"/>
              </w:rPr>
              <w:t xml:space="preserve"> </w:t>
            </w:r>
            <w:r w:rsidRPr="0013396E">
              <w:rPr>
                <w:bCs/>
                <w:i/>
                <w:sz w:val="20"/>
              </w:rPr>
              <w:t xml:space="preserve">c, </w:t>
            </w:r>
            <w:r w:rsidRPr="0013396E">
              <w:rPr>
                <w:sz w:val="20"/>
              </w:rPr>
              <w:t xml:space="preserve">the number of hours in that ERS Time Period </w:t>
            </w:r>
            <w:r w:rsidRPr="0013396E">
              <w:rPr>
                <w:i/>
                <w:sz w:val="20"/>
              </w:rPr>
              <w:t>tp</w:t>
            </w:r>
            <w:r w:rsidRPr="0013396E">
              <w:rPr>
                <w:sz w:val="20"/>
              </w:rPr>
              <w:t xml:space="preserve"> in that ERS Contract Period</w:t>
            </w:r>
            <w:r w:rsidRPr="0013396E">
              <w:rPr>
                <w:bCs/>
                <w:sz w:val="20"/>
              </w:rPr>
              <w:t xml:space="preserve"> </w:t>
            </w:r>
            <w:r w:rsidRPr="0013396E">
              <w:rPr>
                <w:bCs/>
                <w:i/>
                <w:sz w:val="20"/>
              </w:rPr>
              <w:t>c</w:t>
            </w:r>
            <w:r w:rsidRPr="0013396E">
              <w:rPr>
                <w:sz w:val="20"/>
              </w:rPr>
              <w:t>.</w:t>
            </w:r>
          </w:p>
          <w:p w14:paraId="76B10B79" w14:textId="77777777" w:rsidR="001F04FD" w:rsidRPr="0013396E" w:rsidRDefault="001F04FD" w:rsidP="00AC4DEE">
            <w:pPr>
              <w:pStyle w:val="VariableDefinition"/>
              <w:tabs>
                <w:tab w:val="clear" w:pos="2160"/>
              </w:tabs>
              <w:spacing w:after="60"/>
              <w:ind w:left="0" w:firstLine="0"/>
              <w:rPr>
                <w:i/>
                <w:sz w:val="20"/>
              </w:rPr>
            </w:pPr>
            <w:r w:rsidRPr="0013396E">
              <w:rPr>
                <w:sz w:val="20"/>
              </w:rPr>
              <w:t>For ERS Resources</w:t>
            </w:r>
            <w:r w:rsidRPr="0013396E">
              <w:rPr>
                <w:bCs/>
                <w:sz w:val="20"/>
              </w:rPr>
              <w:t xml:space="preserve"> </w:t>
            </w:r>
            <w:r w:rsidRPr="0013396E">
              <w:rPr>
                <w:bCs/>
                <w:i/>
                <w:sz w:val="20"/>
              </w:rPr>
              <w:t>e</w:t>
            </w:r>
            <w:r w:rsidRPr="0013396E">
              <w:rPr>
                <w:sz w:val="20"/>
              </w:rPr>
              <w:t xml:space="preserve"> whose obligation is exhausted in an ERS Contract Period</w:t>
            </w:r>
            <w:r w:rsidRPr="0013396E">
              <w:rPr>
                <w:bCs/>
                <w:sz w:val="20"/>
              </w:rPr>
              <w:t xml:space="preserve"> </w:t>
            </w:r>
            <w:r w:rsidRPr="0013396E">
              <w:rPr>
                <w:bCs/>
                <w:i/>
                <w:sz w:val="20"/>
              </w:rPr>
              <w:t>c</w:t>
            </w:r>
            <w:r w:rsidRPr="0013396E">
              <w:rPr>
                <w:sz w:val="20"/>
              </w:rPr>
              <w:t>, the number of hours in that ERS Time Period</w:t>
            </w:r>
            <w:r w:rsidRPr="0013396E">
              <w:rPr>
                <w:i/>
                <w:sz w:val="20"/>
              </w:rPr>
              <w:t xml:space="preserve"> tp</w:t>
            </w:r>
            <w:r w:rsidRPr="0013396E">
              <w:rPr>
                <w:sz w:val="20"/>
              </w:rPr>
              <w:t xml:space="preserve"> from the beginning of the ERS Contract Period</w:t>
            </w:r>
            <w:r w:rsidRPr="0013396E">
              <w:rPr>
                <w:bCs/>
                <w:sz w:val="20"/>
              </w:rPr>
              <w:t xml:space="preserve"> </w:t>
            </w:r>
            <w:r w:rsidRPr="0013396E">
              <w:rPr>
                <w:bCs/>
                <w:i/>
                <w:sz w:val="20"/>
              </w:rPr>
              <w:t>c</w:t>
            </w:r>
            <w:r w:rsidRPr="0013396E">
              <w:rPr>
                <w:sz w:val="20"/>
              </w:rPr>
              <w:t xml:space="preserve"> to the end of the ERS Standard Contract Term.</w:t>
            </w:r>
          </w:p>
        </w:tc>
      </w:tr>
      <w:tr w:rsidR="001F04FD" w:rsidRPr="0013396E" w14:paraId="77B64151" w14:textId="77777777" w:rsidTr="00AC4DEE">
        <w:trPr>
          <w:cantSplit/>
        </w:trPr>
        <w:tc>
          <w:tcPr>
            <w:tcW w:w="1298" w:type="pct"/>
          </w:tcPr>
          <w:p w14:paraId="3077C918" w14:textId="77777777" w:rsidR="001F04FD" w:rsidRPr="0013396E" w:rsidRDefault="001F04FD" w:rsidP="00AC4DEE">
            <w:pPr>
              <w:pStyle w:val="TableBody"/>
            </w:pPr>
            <w:r w:rsidRPr="0013396E">
              <w:rPr>
                <w:bCs/>
              </w:rPr>
              <w:t xml:space="preserve">ERSTESTPF </w:t>
            </w:r>
            <w:r w:rsidRPr="0013396E">
              <w:rPr>
                <w:bCs/>
                <w:i/>
                <w:vertAlign w:val="subscript"/>
              </w:rPr>
              <w:t>qre</w:t>
            </w:r>
            <w:r w:rsidRPr="0013396E">
              <w:rPr>
                <w:i/>
                <w:iCs w:val="0"/>
                <w:vertAlign w:val="subscript"/>
              </w:rPr>
              <w:t>d</w:t>
            </w:r>
          </w:p>
        </w:tc>
        <w:tc>
          <w:tcPr>
            <w:tcW w:w="566" w:type="pct"/>
          </w:tcPr>
          <w:p w14:paraId="7E6A5C35" w14:textId="77777777" w:rsidR="001F04FD" w:rsidRPr="0013396E" w:rsidRDefault="001F04FD" w:rsidP="00AC4DEE">
            <w:pPr>
              <w:pStyle w:val="VariableDefinition"/>
              <w:tabs>
                <w:tab w:val="clear" w:pos="2160"/>
              </w:tabs>
              <w:spacing w:after="60"/>
              <w:ind w:left="0" w:firstLine="0"/>
              <w:rPr>
                <w:sz w:val="20"/>
              </w:rPr>
            </w:pPr>
            <w:r w:rsidRPr="0013396E">
              <w:rPr>
                <w:iCs w:val="0"/>
                <w:sz w:val="20"/>
              </w:rPr>
              <w:t>None</w:t>
            </w:r>
          </w:p>
        </w:tc>
        <w:tc>
          <w:tcPr>
            <w:tcW w:w="3136" w:type="pct"/>
          </w:tcPr>
          <w:p w14:paraId="51605553" w14:textId="77777777" w:rsidR="001F04FD" w:rsidRPr="0013396E" w:rsidRDefault="001F04FD" w:rsidP="00AC4DEE">
            <w:pPr>
              <w:pStyle w:val="VariableDefinition"/>
              <w:tabs>
                <w:tab w:val="clear" w:pos="2160"/>
              </w:tabs>
              <w:spacing w:after="60"/>
              <w:ind w:left="0" w:firstLine="0"/>
              <w:rPr>
                <w:sz w:val="20"/>
              </w:rPr>
            </w:pPr>
            <w:r w:rsidRPr="0013396E">
              <w:rPr>
                <w:i/>
                <w:iCs w:val="0"/>
                <w:sz w:val="20"/>
              </w:rPr>
              <w:t>ERS Test Performance Factor per QSE per ERS Standard Contract Term per ERS Resource per ERS Service Type</w:t>
            </w:r>
            <w:r w:rsidRPr="0013396E">
              <w:rPr>
                <w:iCs w:val="0"/>
                <w:sz w:val="20"/>
              </w:rPr>
              <w:t xml:space="preserve">—Test performance factor for QSE </w:t>
            </w:r>
            <w:r w:rsidRPr="0013396E">
              <w:rPr>
                <w:i/>
                <w:iCs w:val="0"/>
                <w:sz w:val="20"/>
              </w:rPr>
              <w:t xml:space="preserve">q </w:t>
            </w:r>
            <w:r w:rsidRPr="0013396E">
              <w:rPr>
                <w:iCs w:val="0"/>
                <w:sz w:val="20"/>
              </w:rPr>
              <w:t xml:space="preserve">in ERS Standard Contract Term </w:t>
            </w:r>
            <w:r w:rsidRPr="0013396E">
              <w:rPr>
                <w:i/>
                <w:iCs w:val="0"/>
                <w:sz w:val="20"/>
              </w:rPr>
              <w:t>r</w:t>
            </w:r>
            <w:r w:rsidRPr="0013396E">
              <w:rPr>
                <w:iCs w:val="0"/>
                <w:sz w:val="20"/>
              </w:rPr>
              <w:t xml:space="preserve"> for ERS Resource </w:t>
            </w:r>
            <w:r w:rsidRPr="0013396E">
              <w:rPr>
                <w:i/>
                <w:iCs w:val="0"/>
                <w:sz w:val="20"/>
              </w:rPr>
              <w:t>e</w:t>
            </w:r>
            <w:r w:rsidRPr="0013396E">
              <w:rPr>
                <w:iCs w:val="0"/>
                <w:sz w:val="20"/>
              </w:rPr>
              <w:t xml:space="preserve"> and ERS service type</w:t>
            </w:r>
            <w:r w:rsidRPr="0013396E">
              <w:rPr>
                <w:i/>
                <w:iCs w:val="0"/>
                <w:sz w:val="20"/>
              </w:rPr>
              <w:t xml:space="preserve"> d</w:t>
            </w:r>
            <w:r w:rsidRPr="0013396E">
              <w:rPr>
                <w:iCs w:val="0"/>
                <w:sz w:val="20"/>
              </w:rPr>
              <w:t xml:space="preserve"> as calculated pursuant to Section 8.1.3.3.1, Suspension of Qualification of Non-Weather-Sensitive Emergency Response Service Resources and/or their Qualified Scheduling Entities.</w:t>
            </w:r>
          </w:p>
        </w:tc>
      </w:tr>
      <w:tr w:rsidR="001F04FD" w:rsidRPr="0013396E" w14:paraId="0D544E07" w14:textId="77777777" w:rsidTr="00AC4DEE">
        <w:trPr>
          <w:cantSplit/>
        </w:trPr>
        <w:tc>
          <w:tcPr>
            <w:tcW w:w="1298" w:type="pct"/>
          </w:tcPr>
          <w:p w14:paraId="25F4BD68" w14:textId="77777777" w:rsidR="001F04FD" w:rsidRPr="0013396E" w:rsidRDefault="001F04FD" w:rsidP="00AC4DEE">
            <w:pPr>
              <w:pStyle w:val="TableBody"/>
            </w:pPr>
            <w:r w:rsidRPr="0013396E">
              <w:t xml:space="preserve">SPDELMW </w:t>
            </w:r>
            <w:r w:rsidRPr="0013396E">
              <w:rPr>
                <w:i/>
                <w:vertAlign w:val="subscript"/>
              </w:rPr>
              <w:t>qc(tp)d</w:t>
            </w:r>
          </w:p>
        </w:tc>
        <w:tc>
          <w:tcPr>
            <w:tcW w:w="566" w:type="pct"/>
          </w:tcPr>
          <w:p w14:paraId="391317B9"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2C81DEFD" w14:textId="77777777" w:rsidR="001F04FD" w:rsidRPr="0013396E" w:rsidRDefault="001F04FD" w:rsidP="00AC4DEE">
            <w:pPr>
              <w:pStyle w:val="VariableDefinition"/>
              <w:tabs>
                <w:tab w:val="clear" w:pos="2160"/>
              </w:tabs>
              <w:spacing w:after="60"/>
              <w:ind w:left="0" w:firstLine="0"/>
              <w:rPr>
                <w:i/>
                <w:sz w:val="20"/>
              </w:rPr>
            </w:pPr>
            <w:r w:rsidRPr="0013396E">
              <w:rPr>
                <w:i/>
                <w:sz w:val="20"/>
              </w:rPr>
              <w:t>Self-Provided Delivered MW</w:t>
            </w:r>
            <w:r w:rsidRPr="0013396E">
              <w:rPr>
                <w:sz w:val="20"/>
              </w:rPr>
              <w:t xml:space="preserve"> </w:t>
            </w:r>
            <w:r w:rsidRPr="0013396E">
              <w:rPr>
                <w:i/>
                <w:sz w:val="20"/>
              </w:rPr>
              <w:t>per QSE per ERS Contract Period per ERS Resource per ERS Time Period per ERS Service Type</w:t>
            </w:r>
            <w:r w:rsidRPr="0013396E">
              <w:t>—</w:t>
            </w:r>
            <w:r w:rsidRPr="0013396E">
              <w:rPr>
                <w:sz w:val="20"/>
              </w:rPr>
              <w:t xml:space="preserve">Total ERS capacity self-provided and delivered by QSE </w:t>
            </w:r>
            <w:r w:rsidRPr="0013396E">
              <w:rPr>
                <w:i/>
                <w:sz w:val="20"/>
              </w:rPr>
              <w:t xml:space="preserve">q </w:t>
            </w:r>
            <w:r w:rsidRPr="0013396E">
              <w:rPr>
                <w:bCs/>
                <w:sz w:val="20"/>
              </w:rPr>
              <w:t xml:space="preserve">for </w:t>
            </w:r>
            <w:r w:rsidRPr="0013396E">
              <w:rPr>
                <w:sz w:val="20"/>
              </w:rPr>
              <w:t xml:space="preserve">ERS Contract Period </w:t>
            </w:r>
            <w:r w:rsidRPr="0013396E">
              <w:rPr>
                <w:i/>
                <w:sz w:val="20"/>
              </w:rPr>
              <w:t xml:space="preserve">c, </w:t>
            </w:r>
            <w:r w:rsidRPr="0013396E">
              <w:rPr>
                <w:sz w:val="20"/>
              </w:rPr>
              <w:t xml:space="preserve">ERS Resource </w:t>
            </w:r>
            <w:r w:rsidRPr="0013396E">
              <w:rPr>
                <w:i/>
                <w:sz w:val="20"/>
              </w:rPr>
              <w:t>e</w:t>
            </w:r>
            <w:r w:rsidRPr="0013396E">
              <w:rPr>
                <w:sz w:val="20"/>
              </w:rPr>
              <w:t xml:space="preserve">, ERS Time Period </w:t>
            </w:r>
            <w:r w:rsidRPr="0013396E">
              <w:rPr>
                <w:i/>
                <w:sz w:val="20"/>
              </w:rPr>
              <w:t xml:space="preserve">tp </w:t>
            </w:r>
            <w:r w:rsidRPr="0013396E">
              <w:rPr>
                <w:sz w:val="20"/>
              </w:rPr>
              <w:t xml:space="preserve">and ERS service type </w:t>
            </w:r>
            <w:r w:rsidRPr="0013396E">
              <w:rPr>
                <w:i/>
                <w:sz w:val="20"/>
              </w:rPr>
              <w:t>d</w:t>
            </w:r>
            <w:r w:rsidRPr="0013396E">
              <w:rPr>
                <w:sz w:val="20"/>
              </w:rPr>
              <w:t>.</w:t>
            </w:r>
          </w:p>
        </w:tc>
      </w:tr>
      <w:tr w:rsidR="001F04FD" w:rsidRPr="0013396E" w14:paraId="7C567DC9" w14:textId="77777777" w:rsidTr="00AC4DEE">
        <w:trPr>
          <w:cantSplit/>
        </w:trPr>
        <w:tc>
          <w:tcPr>
            <w:tcW w:w="1298" w:type="pct"/>
          </w:tcPr>
          <w:p w14:paraId="76422C45" w14:textId="77777777" w:rsidR="001F04FD" w:rsidRPr="0013396E" w:rsidRDefault="001F04FD" w:rsidP="00AC4DEE">
            <w:pPr>
              <w:pStyle w:val="TableBody"/>
            </w:pPr>
            <w:r w:rsidRPr="0013396E">
              <w:t xml:space="preserve">COMPDELQSEMW </w:t>
            </w:r>
            <w:r w:rsidRPr="0013396E">
              <w:rPr>
                <w:i/>
                <w:vertAlign w:val="subscript"/>
              </w:rPr>
              <w:t>qc(tp)d</w:t>
            </w:r>
          </w:p>
        </w:tc>
        <w:tc>
          <w:tcPr>
            <w:tcW w:w="566" w:type="pct"/>
          </w:tcPr>
          <w:p w14:paraId="63A94914"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70656166" w14:textId="77777777" w:rsidR="001F04FD" w:rsidRPr="0013396E" w:rsidRDefault="001F04FD" w:rsidP="00AC4DEE">
            <w:pPr>
              <w:pStyle w:val="VariableDefinition"/>
              <w:tabs>
                <w:tab w:val="clear" w:pos="2160"/>
              </w:tabs>
              <w:spacing w:after="60"/>
              <w:ind w:left="0" w:firstLine="0"/>
              <w:rPr>
                <w:i/>
                <w:sz w:val="20"/>
              </w:rPr>
            </w:pPr>
            <w:r w:rsidRPr="0013396E">
              <w:rPr>
                <w:i/>
                <w:sz w:val="20"/>
              </w:rPr>
              <w:t>Competitive Delivered MW Total per QSE per ERS Contract Period per ERS Time Period per ERS service type</w:t>
            </w:r>
            <w:r w:rsidRPr="0013396E">
              <w:rPr>
                <w:sz w:val="20"/>
              </w:rPr>
              <w:t xml:space="preserve">—Total ERS competitive capacity delivered by QSE </w:t>
            </w:r>
            <w:r w:rsidRPr="0013396E">
              <w:rPr>
                <w:i/>
                <w:sz w:val="20"/>
              </w:rPr>
              <w:t xml:space="preserve">q </w:t>
            </w:r>
            <w:r w:rsidRPr="0013396E">
              <w:rPr>
                <w:bCs/>
                <w:sz w:val="20"/>
              </w:rPr>
              <w:t xml:space="preserve">for ERS Contract Period </w:t>
            </w:r>
            <w:r w:rsidRPr="0013396E">
              <w:rPr>
                <w:bCs/>
                <w:i/>
                <w:sz w:val="20"/>
              </w:rPr>
              <w:t xml:space="preserve">c </w:t>
            </w:r>
            <w:r w:rsidRPr="0013396E">
              <w:rPr>
                <w:bCs/>
                <w:sz w:val="20"/>
              </w:rPr>
              <w:t xml:space="preserve">and </w:t>
            </w:r>
            <w:r w:rsidRPr="0013396E">
              <w:rPr>
                <w:sz w:val="20"/>
              </w:rPr>
              <w:t>ERS Time Period</w:t>
            </w:r>
            <w:r w:rsidRPr="0013396E">
              <w:rPr>
                <w:i/>
                <w:sz w:val="20"/>
              </w:rPr>
              <w:t xml:space="preserve"> tp</w:t>
            </w:r>
            <w:r w:rsidRPr="0013396E">
              <w:rPr>
                <w:sz w:val="20"/>
              </w:rPr>
              <w:t xml:space="preserve"> and ERS service type</w:t>
            </w:r>
            <w:r w:rsidRPr="0013396E">
              <w:rPr>
                <w:i/>
                <w:sz w:val="20"/>
              </w:rPr>
              <w:t xml:space="preserve"> d</w:t>
            </w:r>
            <w:r w:rsidRPr="0013396E">
              <w:rPr>
                <w:sz w:val="20"/>
              </w:rPr>
              <w:t>.</w:t>
            </w:r>
          </w:p>
        </w:tc>
      </w:tr>
      <w:tr w:rsidR="001F04FD" w:rsidRPr="0013396E" w14:paraId="141C722F" w14:textId="77777777" w:rsidTr="00AC4DEE">
        <w:trPr>
          <w:cantSplit/>
        </w:trPr>
        <w:tc>
          <w:tcPr>
            <w:tcW w:w="1298" w:type="pct"/>
          </w:tcPr>
          <w:p w14:paraId="1D24926A" w14:textId="77777777" w:rsidR="001F04FD" w:rsidRPr="0013396E" w:rsidRDefault="001F04FD" w:rsidP="00AC4DEE">
            <w:pPr>
              <w:pStyle w:val="TableBody"/>
            </w:pPr>
            <w:r w:rsidRPr="0013396E">
              <w:lastRenderedPageBreak/>
              <w:t xml:space="preserve">COMPDELMWTOT </w:t>
            </w:r>
            <w:r w:rsidRPr="0013396E">
              <w:rPr>
                <w:i/>
                <w:vertAlign w:val="subscript"/>
              </w:rPr>
              <w:t>c(tp)d</w:t>
            </w:r>
          </w:p>
        </w:tc>
        <w:tc>
          <w:tcPr>
            <w:tcW w:w="566" w:type="pct"/>
          </w:tcPr>
          <w:p w14:paraId="1F11B2DE"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0507B7A2" w14:textId="77777777" w:rsidR="001F04FD" w:rsidRPr="0013396E" w:rsidRDefault="001F04FD" w:rsidP="00AC4DEE">
            <w:pPr>
              <w:pStyle w:val="VariableDefinition"/>
              <w:tabs>
                <w:tab w:val="clear" w:pos="2160"/>
              </w:tabs>
              <w:spacing w:after="60"/>
              <w:ind w:left="0" w:firstLine="0"/>
              <w:rPr>
                <w:sz w:val="20"/>
              </w:rPr>
            </w:pPr>
            <w:r w:rsidRPr="0013396E">
              <w:rPr>
                <w:i/>
                <w:sz w:val="20"/>
              </w:rPr>
              <w:t>Competitive Delivered MW Total per ERS Contract Period per ERS Time Period per ERS Service Type</w:t>
            </w:r>
            <w:r w:rsidRPr="0013396E">
              <w:t>—</w:t>
            </w:r>
            <w:r w:rsidRPr="0013396E">
              <w:rPr>
                <w:sz w:val="20"/>
              </w:rPr>
              <w:t xml:space="preserve">Total ERS competitive capacity delivered by all QSEs </w:t>
            </w:r>
            <w:r w:rsidRPr="0013396E">
              <w:rPr>
                <w:bCs/>
                <w:sz w:val="20"/>
              </w:rPr>
              <w:t xml:space="preserve">for ERS Contract Period </w:t>
            </w:r>
            <w:r w:rsidRPr="0013396E">
              <w:rPr>
                <w:bCs/>
                <w:i/>
                <w:sz w:val="20"/>
              </w:rPr>
              <w:t>c</w:t>
            </w:r>
            <w:r w:rsidRPr="0013396E">
              <w:rPr>
                <w:bCs/>
                <w:sz w:val="20"/>
              </w:rPr>
              <w:t xml:space="preserve">, </w:t>
            </w:r>
            <w:r w:rsidRPr="0013396E">
              <w:rPr>
                <w:sz w:val="20"/>
              </w:rPr>
              <w:t>ERS Time Period</w:t>
            </w:r>
            <w:r w:rsidRPr="0013396E">
              <w:rPr>
                <w:i/>
                <w:sz w:val="20"/>
              </w:rPr>
              <w:t xml:space="preserve"> tp </w:t>
            </w:r>
            <w:r w:rsidRPr="0013396E">
              <w:rPr>
                <w:sz w:val="20"/>
              </w:rPr>
              <w:t xml:space="preserve">and ERS service type </w:t>
            </w:r>
            <w:r w:rsidRPr="0013396E">
              <w:rPr>
                <w:i/>
                <w:sz w:val="20"/>
              </w:rPr>
              <w:t>d</w:t>
            </w:r>
            <w:r w:rsidRPr="0013396E">
              <w:rPr>
                <w:sz w:val="20"/>
              </w:rPr>
              <w:t>.</w:t>
            </w:r>
          </w:p>
        </w:tc>
      </w:tr>
      <w:tr w:rsidR="001F04FD" w:rsidRPr="0013396E" w14:paraId="1CE18EC8" w14:textId="77777777" w:rsidTr="00AC4DEE">
        <w:trPr>
          <w:cantSplit/>
        </w:trPr>
        <w:tc>
          <w:tcPr>
            <w:tcW w:w="1298" w:type="pct"/>
          </w:tcPr>
          <w:p w14:paraId="22552E9F" w14:textId="77777777" w:rsidR="001F04FD" w:rsidRPr="0013396E" w:rsidRDefault="001F04FD" w:rsidP="00AC4DEE">
            <w:pPr>
              <w:pStyle w:val="TableBody"/>
            </w:pPr>
            <w:r w:rsidRPr="0013396E">
              <w:t xml:space="preserve">SPDELQSEMW </w:t>
            </w:r>
            <w:r w:rsidRPr="0013396E">
              <w:rPr>
                <w:i/>
                <w:vertAlign w:val="subscript"/>
              </w:rPr>
              <w:t>qc(tp)d</w:t>
            </w:r>
          </w:p>
        </w:tc>
        <w:tc>
          <w:tcPr>
            <w:tcW w:w="566" w:type="pct"/>
          </w:tcPr>
          <w:p w14:paraId="38EA506B"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101BFDBA" w14:textId="77777777" w:rsidR="001F04FD" w:rsidRPr="0013396E" w:rsidRDefault="001F04FD" w:rsidP="00E91BBF">
            <w:pPr>
              <w:pStyle w:val="VariableDefinition"/>
              <w:tabs>
                <w:tab w:val="clear" w:pos="2160"/>
              </w:tabs>
              <w:spacing w:after="60"/>
              <w:ind w:left="0" w:firstLine="0"/>
              <w:rPr>
                <w:i/>
                <w:sz w:val="20"/>
              </w:rPr>
            </w:pPr>
            <w:r w:rsidRPr="0013396E">
              <w:rPr>
                <w:i/>
                <w:sz w:val="20"/>
              </w:rPr>
              <w:t xml:space="preserve">Self-Provision Delivered Total MW per QSE per ERS Contract Period per ERS Time Period per ERS </w:t>
            </w:r>
            <w:r w:rsidR="00E91BBF" w:rsidRPr="0013396E">
              <w:rPr>
                <w:i/>
                <w:sz w:val="20"/>
              </w:rPr>
              <w:t>S</w:t>
            </w:r>
            <w:r w:rsidRPr="0013396E">
              <w:rPr>
                <w:i/>
                <w:sz w:val="20"/>
              </w:rPr>
              <w:t xml:space="preserve">ervice </w:t>
            </w:r>
            <w:r w:rsidR="00E91BBF" w:rsidRPr="0013396E">
              <w:rPr>
                <w:i/>
                <w:sz w:val="20"/>
              </w:rPr>
              <w:t>T</w:t>
            </w:r>
            <w:r w:rsidRPr="0013396E">
              <w:rPr>
                <w:i/>
                <w:sz w:val="20"/>
              </w:rPr>
              <w:t>ype</w:t>
            </w:r>
            <w:r w:rsidRPr="0013396E">
              <w:rPr>
                <w:sz w:val="20"/>
              </w:rPr>
              <w:t xml:space="preserve">—Total ERS self-provision capacity delivered by QSE </w:t>
            </w:r>
            <w:r w:rsidRPr="0013396E">
              <w:rPr>
                <w:i/>
                <w:sz w:val="20"/>
              </w:rPr>
              <w:t>q</w:t>
            </w:r>
            <w:r w:rsidRPr="0013396E">
              <w:rPr>
                <w:sz w:val="20"/>
              </w:rPr>
              <w:t xml:space="preserve"> </w:t>
            </w:r>
            <w:r w:rsidRPr="0013396E">
              <w:rPr>
                <w:bCs/>
                <w:sz w:val="20"/>
              </w:rPr>
              <w:t xml:space="preserve">for ERS Contract Period </w:t>
            </w:r>
            <w:r w:rsidRPr="0013396E">
              <w:rPr>
                <w:bCs/>
                <w:i/>
                <w:sz w:val="20"/>
              </w:rPr>
              <w:t xml:space="preserve">c </w:t>
            </w:r>
            <w:r w:rsidRPr="0013396E">
              <w:rPr>
                <w:bCs/>
                <w:sz w:val="20"/>
              </w:rPr>
              <w:t xml:space="preserve">and </w:t>
            </w:r>
            <w:r w:rsidRPr="0013396E">
              <w:rPr>
                <w:sz w:val="20"/>
              </w:rPr>
              <w:t>ERS Time Period</w:t>
            </w:r>
            <w:r w:rsidRPr="0013396E">
              <w:rPr>
                <w:i/>
                <w:sz w:val="20"/>
              </w:rPr>
              <w:t xml:space="preserve"> tp</w:t>
            </w:r>
            <w:r w:rsidRPr="0013396E">
              <w:rPr>
                <w:sz w:val="20"/>
              </w:rPr>
              <w:t xml:space="preserve"> and ERS service type</w:t>
            </w:r>
            <w:r w:rsidRPr="0013396E">
              <w:rPr>
                <w:i/>
                <w:sz w:val="20"/>
              </w:rPr>
              <w:t xml:space="preserve"> d</w:t>
            </w:r>
            <w:r w:rsidRPr="0013396E">
              <w:rPr>
                <w:sz w:val="20"/>
              </w:rPr>
              <w:t>.</w:t>
            </w:r>
          </w:p>
        </w:tc>
      </w:tr>
      <w:tr w:rsidR="001F04FD" w:rsidRPr="0013396E" w14:paraId="0DE5BAE6" w14:textId="77777777" w:rsidTr="00AC4DEE">
        <w:trPr>
          <w:cantSplit/>
        </w:trPr>
        <w:tc>
          <w:tcPr>
            <w:tcW w:w="1298" w:type="pct"/>
          </w:tcPr>
          <w:p w14:paraId="142F49B4" w14:textId="77777777" w:rsidR="001F04FD" w:rsidRPr="0013396E" w:rsidRDefault="001F04FD" w:rsidP="00AC4DEE">
            <w:pPr>
              <w:pStyle w:val="TableBody"/>
            </w:pPr>
            <w:r w:rsidRPr="0013396E">
              <w:t xml:space="preserve">SPDELMWTOT </w:t>
            </w:r>
            <w:r w:rsidRPr="0013396E">
              <w:rPr>
                <w:i/>
                <w:vertAlign w:val="subscript"/>
              </w:rPr>
              <w:t>c(tp)d</w:t>
            </w:r>
          </w:p>
        </w:tc>
        <w:tc>
          <w:tcPr>
            <w:tcW w:w="566" w:type="pct"/>
          </w:tcPr>
          <w:p w14:paraId="752B36F5"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15E85A87" w14:textId="77777777" w:rsidR="001F04FD" w:rsidRPr="0013396E" w:rsidRDefault="001F04FD" w:rsidP="00E91BBF">
            <w:pPr>
              <w:pStyle w:val="VariableDefinition"/>
              <w:tabs>
                <w:tab w:val="clear" w:pos="2160"/>
              </w:tabs>
              <w:spacing w:after="60"/>
              <w:ind w:left="0" w:firstLine="0"/>
              <w:rPr>
                <w:i/>
                <w:sz w:val="20"/>
              </w:rPr>
            </w:pPr>
            <w:r w:rsidRPr="0013396E">
              <w:rPr>
                <w:i/>
                <w:sz w:val="20"/>
              </w:rPr>
              <w:t xml:space="preserve">Self-Provision Delivered Total MW per ERS Contract Period per ERS Time Period per ERS </w:t>
            </w:r>
            <w:r w:rsidR="00E91BBF" w:rsidRPr="0013396E">
              <w:rPr>
                <w:i/>
                <w:sz w:val="20"/>
              </w:rPr>
              <w:t>S</w:t>
            </w:r>
            <w:r w:rsidRPr="0013396E">
              <w:rPr>
                <w:i/>
                <w:sz w:val="20"/>
              </w:rPr>
              <w:t xml:space="preserve">ervice </w:t>
            </w:r>
            <w:r w:rsidR="00E91BBF" w:rsidRPr="0013396E">
              <w:rPr>
                <w:i/>
                <w:sz w:val="20"/>
              </w:rPr>
              <w:t>T</w:t>
            </w:r>
            <w:r w:rsidRPr="0013396E">
              <w:rPr>
                <w:i/>
                <w:sz w:val="20"/>
              </w:rPr>
              <w:t>ype</w:t>
            </w:r>
            <w:r w:rsidRPr="0013396E">
              <w:rPr>
                <w:sz w:val="20"/>
              </w:rPr>
              <w:t xml:space="preserve">—Total ERS self-provision capacity delivered by all QSE </w:t>
            </w:r>
            <w:r w:rsidRPr="0013396E">
              <w:rPr>
                <w:i/>
                <w:sz w:val="20"/>
              </w:rPr>
              <w:t xml:space="preserve">q </w:t>
            </w:r>
            <w:r w:rsidRPr="0013396E">
              <w:rPr>
                <w:bCs/>
                <w:sz w:val="20"/>
              </w:rPr>
              <w:t xml:space="preserve">for ERS Contract Period </w:t>
            </w:r>
            <w:r w:rsidRPr="0013396E">
              <w:rPr>
                <w:bCs/>
                <w:i/>
                <w:sz w:val="20"/>
              </w:rPr>
              <w:t xml:space="preserve">c </w:t>
            </w:r>
            <w:r w:rsidRPr="0013396E">
              <w:rPr>
                <w:bCs/>
                <w:sz w:val="20"/>
              </w:rPr>
              <w:t xml:space="preserve">and </w:t>
            </w:r>
            <w:r w:rsidRPr="0013396E">
              <w:rPr>
                <w:sz w:val="20"/>
              </w:rPr>
              <w:t>ERS Time Period</w:t>
            </w:r>
            <w:r w:rsidRPr="0013396E">
              <w:rPr>
                <w:i/>
                <w:sz w:val="20"/>
              </w:rPr>
              <w:t xml:space="preserve"> tp</w:t>
            </w:r>
            <w:r w:rsidRPr="0013396E">
              <w:rPr>
                <w:sz w:val="20"/>
              </w:rPr>
              <w:t xml:space="preserve"> and ERS service type</w:t>
            </w:r>
            <w:r w:rsidRPr="0013396E">
              <w:rPr>
                <w:i/>
                <w:sz w:val="20"/>
              </w:rPr>
              <w:t xml:space="preserve"> d</w:t>
            </w:r>
            <w:r w:rsidRPr="0013396E">
              <w:rPr>
                <w:sz w:val="20"/>
              </w:rPr>
              <w:t>.</w:t>
            </w:r>
          </w:p>
        </w:tc>
      </w:tr>
      <w:tr w:rsidR="001F04FD" w:rsidRPr="0013396E" w14:paraId="44AA002B" w14:textId="77777777" w:rsidTr="00AC4DEE">
        <w:trPr>
          <w:cantSplit/>
        </w:trPr>
        <w:tc>
          <w:tcPr>
            <w:tcW w:w="1298" w:type="pct"/>
          </w:tcPr>
          <w:p w14:paraId="413FB277" w14:textId="77777777" w:rsidR="001F04FD" w:rsidRPr="0013396E" w:rsidRDefault="001F04FD" w:rsidP="00AC4DEE">
            <w:pPr>
              <w:pStyle w:val="TableBody"/>
            </w:pPr>
            <w:r w:rsidRPr="0013396E">
              <w:t xml:space="preserve">COMPOFFERMW </w:t>
            </w:r>
            <w:r w:rsidRPr="0013396E">
              <w:rPr>
                <w:i/>
                <w:vertAlign w:val="subscript"/>
              </w:rPr>
              <w:t>qce(tp)d</w:t>
            </w:r>
          </w:p>
        </w:tc>
        <w:tc>
          <w:tcPr>
            <w:tcW w:w="566" w:type="pct"/>
          </w:tcPr>
          <w:p w14:paraId="43AE5FD0" w14:textId="77777777" w:rsidR="001F04FD" w:rsidRPr="0013396E" w:rsidRDefault="001F04FD" w:rsidP="00AC4DEE">
            <w:pPr>
              <w:pStyle w:val="VariableDefinition"/>
              <w:tabs>
                <w:tab w:val="clear" w:pos="2160"/>
              </w:tabs>
              <w:spacing w:after="60"/>
              <w:ind w:left="0" w:firstLine="0"/>
              <w:rPr>
                <w:sz w:val="20"/>
              </w:rPr>
            </w:pPr>
            <w:r w:rsidRPr="0013396E">
              <w:rPr>
                <w:sz w:val="20"/>
              </w:rPr>
              <w:t>MW</w:t>
            </w:r>
          </w:p>
        </w:tc>
        <w:tc>
          <w:tcPr>
            <w:tcW w:w="3136" w:type="pct"/>
          </w:tcPr>
          <w:p w14:paraId="139E8D93" w14:textId="77777777" w:rsidR="001F04FD" w:rsidRPr="0013396E" w:rsidRDefault="001F04FD" w:rsidP="00AC4DEE">
            <w:pPr>
              <w:pStyle w:val="VariableDefinition"/>
              <w:tabs>
                <w:tab w:val="clear" w:pos="2160"/>
              </w:tabs>
              <w:spacing w:after="60"/>
              <w:ind w:left="0" w:firstLine="0"/>
              <w:rPr>
                <w:sz w:val="20"/>
              </w:rPr>
            </w:pPr>
            <w:r w:rsidRPr="0013396E">
              <w:rPr>
                <w:i/>
                <w:sz w:val="20"/>
              </w:rPr>
              <w:t>Competitive Offered MW Total per QSE per ERS Contract Period per ERS Resource per ERS Time Period per ERS Service Type</w:t>
            </w:r>
            <w:r w:rsidRPr="0013396E">
              <w:t>—</w:t>
            </w:r>
            <w:r w:rsidRPr="0013396E">
              <w:rPr>
                <w:sz w:val="20"/>
              </w:rPr>
              <w:t xml:space="preserve">ERS capacity </w:t>
            </w:r>
            <w:r w:rsidRPr="0013396E">
              <w:rPr>
                <w:bCs/>
                <w:sz w:val="20"/>
              </w:rPr>
              <w:t xml:space="preserve">offered </w:t>
            </w:r>
            <w:r w:rsidRPr="0013396E">
              <w:rPr>
                <w:sz w:val="20"/>
              </w:rPr>
              <w:t xml:space="preserve">by QSE </w:t>
            </w:r>
            <w:r w:rsidRPr="0013396E">
              <w:rPr>
                <w:i/>
                <w:sz w:val="20"/>
              </w:rPr>
              <w:t xml:space="preserve">q </w:t>
            </w:r>
            <w:r w:rsidRPr="0013396E">
              <w:rPr>
                <w:bCs/>
                <w:sz w:val="20"/>
              </w:rPr>
              <w:t xml:space="preserve">for ERS Contract Period </w:t>
            </w:r>
            <w:r w:rsidRPr="0013396E">
              <w:rPr>
                <w:bCs/>
                <w:i/>
                <w:sz w:val="20"/>
              </w:rPr>
              <w:t>c</w:t>
            </w:r>
            <w:r w:rsidRPr="0013396E">
              <w:rPr>
                <w:bCs/>
                <w:sz w:val="20"/>
              </w:rPr>
              <w:t xml:space="preserve">, competitive ERS Resource </w:t>
            </w:r>
            <w:r w:rsidRPr="0013396E">
              <w:rPr>
                <w:bCs/>
                <w:i/>
                <w:sz w:val="20"/>
              </w:rPr>
              <w:t>e</w:t>
            </w:r>
            <w:r w:rsidRPr="0013396E">
              <w:rPr>
                <w:bCs/>
                <w:sz w:val="20"/>
              </w:rPr>
              <w:t xml:space="preserve"> </w:t>
            </w:r>
            <w:r w:rsidRPr="0013396E">
              <w:rPr>
                <w:sz w:val="20"/>
              </w:rPr>
              <w:t xml:space="preserve">and ERS Time Period </w:t>
            </w:r>
            <w:r w:rsidRPr="0013396E">
              <w:rPr>
                <w:i/>
                <w:sz w:val="20"/>
              </w:rPr>
              <w:t>tp</w:t>
            </w:r>
            <w:r w:rsidRPr="0013396E">
              <w:rPr>
                <w:sz w:val="20"/>
              </w:rPr>
              <w:t xml:space="preserve"> and ERS service type </w:t>
            </w:r>
            <w:r w:rsidRPr="0013396E">
              <w:rPr>
                <w:i/>
                <w:sz w:val="20"/>
              </w:rPr>
              <w:t>d</w:t>
            </w:r>
            <w:r w:rsidRPr="0013396E">
              <w:rPr>
                <w:sz w:val="20"/>
              </w:rPr>
              <w:t>.</w:t>
            </w:r>
          </w:p>
        </w:tc>
      </w:tr>
      <w:tr w:rsidR="001F04FD" w:rsidRPr="0013396E" w14:paraId="53DDE8E7" w14:textId="77777777" w:rsidTr="00AC4DEE">
        <w:trPr>
          <w:cantSplit/>
        </w:trPr>
        <w:tc>
          <w:tcPr>
            <w:tcW w:w="1298" w:type="pct"/>
          </w:tcPr>
          <w:p w14:paraId="48D53B33" w14:textId="77777777" w:rsidR="001F04FD" w:rsidRPr="0013396E" w:rsidRDefault="001F04FD" w:rsidP="00AC4DEE">
            <w:pPr>
              <w:pStyle w:val="TableBody"/>
            </w:pPr>
            <w:r w:rsidRPr="0013396E">
              <w:t>ERSAFWT</w:t>
            </w:r>
            <w:r w:rsidRPr="0013396E">
              <w:rPr>
                <w:vertAlign w:val="subscript"/>
              </w:rPr>
              <w:t xml:space="preserve"> </w:t>
            </w:r>
            <w:r w:rsidRPr="0013396E">
              <w:rPr>
                <w:i/>
                <w:vertAlign w:val="subscript"/>
              </w:rPr>
              <w:t>qcd</w:t>
            </w:r>
          </w:p>
        </w:tc>
        <w:tc>
          <w:tcPr>
            <w:tcW w:w="566" w:type="pct"/>
          </w:tcPr>
          <w:p w14:paraId="374CFB9B" w14:textId="77777777" w:rsidR="001F04FD" w:rsidRPr="0013396E" w:rsidRDefault="001F04FD" w:rsidP="00AC4DEE">
            <w:pPr>
              <w:pStyle w:val="VariableDefinition"/>
              <w:tabs>
                <w:tab w:val="clear" w:pos="2160"/>
              </w:tabs>
              <w:spacing w:after="60"/>
              <w:ind w:left="0" w:firstLine="0"/>
              <w:rPr>
                <w:sz w:val="20"/>
              </w:rPr>
            </w:pPr>
            <w:r w:rsidRPr="0013396E">
              <w:rPr>
                <w:sz w:val="20"/>
              </w:rPr>
              <w:t>None</w:t>
            </w:r>
          </w:p>
        </w:tc>
        <w:tc>
          <w:tcPr>
            <w:tcW w:w="3136" w:type="pct"/>
          </w:tcPr>
          <w:p w14:paraId="1F5D2840" w14:textId="77777777" w:rsidR="001F04FD" w:rsidRPr="0013396E" w:rsidRDefault="001F04FD" w:rsidP="00AC4DEE">
            <w:pPr>
              <w:pStyle w:val="VariableDefinition"/>
              <w:tabs>
                <w:tab w:val="clear" w:pos="2160"/>
              </w:tabs>
              <w:spacing w:after="60"/>
              <w:ind w:left="0" w:firstLine="0"/>
              <w:rPr>
                <w:i/>
                <w:sz w:val="20"/>
              </w:rPr>
            </w:pPr>
            <w:r w:rsidRPr="0013396E">
              <w:rPr>
                <w:i/>
                <w:sz w:val="20"/>
              </w:rPr>
              <w:t>Availability Settlement weighting factor per QSE per ERS Contract Period per ERS Service Type</w:t>
            </w:r>
            <w:r w:rsidRPr="0013396E">
              <w:t>—</w:t>
            </w:r>
            <w:r w:rsidRPr="0013396E">
              <w:rPr>
                <w:sz w:val="20"/>
              </w:rPr>
              <w:t xml:space="preserve">The weighting factor for QSE </w:t>
            </w:r>
            <w:r w:rsidRPr="0013396E">
              <w:rPr>
                <w:i/>
                <w:sz w:val="20"/>
              </w:rPr>
              <w:t xml:space="preserve">q </w:t>
            </w:r>
            <w:r w:rsidRPr="0013396E">
              <w:rPr>
                <w:sz w:val="20"/>
              </w:rPr>
              <w:t>for ERS Contract Period</w:t>
            </w:r>
            <w:r w:rsidRPr="0013396E">
              <w:rPr>
                <w:i/>
                <w:sz w:val="20"/>
              </w:rPr>
              <w:t xml:space="preserve"> c</w:t>
            </w:r>
            <w:r w:rsidRPr="0013396E">
              <w:rPr>
                <w:sz w:val="20"/>
              </w:rPr>
              <w:t xml:space="preserve">, and ERS service type </w:t>
            </w:r>
            <w:r w:rsidRPr="0013396E">
              <w:rPr>
                <w:i/>
                <w:sz w:val="20"/>
              </w:rPr>
              <w:t xml:space="preserve">d </w:t>
            </w:r>
            <w:r w:rsidRPr="0013396E">
              <w:rPr>
                <w:sz w:val="20"/>
              </w:rPr>
              <w:t>to apply for Settlement as calculated pursuant to Section 8.1.3.1.3.3, Contract Period Availability Calculations for Emergency Response Service Resources.</w:t>
            </w:r>
          </w:p>
        </w:tc>
      </w:tr>
      <w:tr w:rsidR="001F04FD" w:rsidRPr="0013396E" w14:paraId="266F4AC7" w14:textId="77777777" w:rsidTr="00AC4DEE">
        <w:trPr>
          <w:cantSplit/>
        </w:trPr>
        <w:tc>
          <w:tcPr>
            <w:tcW w:w="1298" w:type="pct"/>
          </w:tcPr>
          <w:p w14:paraId="033CD4F7" w14:textId="77777777" w:rsidR="001F04FD" w:rsidRPr="0013396E" w:rsidRDefault="001F04FD" w:rsidP="00AC4DEE">
            <w:pPr>
              <w:pStyle w:val="TableBody"/>
            </w:pPr>
            <w:r w:rsidRPr="0013396E">
              <w:t xml:space="preserve">ERSAFCOMB </w:t>
            </w:r>
            <w:r w:rsidRPr="0013396E">
              <w:rPr>
                <w:i/>
                <w:vertAlign w:val="subscript"/>
              </w:rPr>
              <w:t>qrd</w:t>
            </w:r>
          </w:p>
        </w:tc>
        <w:tc>
          <w:tcPr>
            <w:tcW w:w="566" w:type="pct"/>
          </w:tcPr>
          <w:p w14:paraId="4FC2C28C" w14:textId="77777777" w:rsidR="001F04FD" w:rsidRPr="0013396E" w:rsidRDefault="001F04FD" w:rsidP="00AC4DEE">
            <w:pPr>
              <w:pStyle w:val="VariableDefinition"/>
              <w:tabs>
                <w:tab w:val="clear" w:pos="2160"/>
              </w:tabs>
              <w:spacing w:after="60"/>
              <w:ind w:left="0" w:firstLine="0"/>
              <w:rPr>
                <w:sz w:val="20"/>
              </w:rPr>
            </w:pPr>
            <w:r w:rsidRPr="0013396E">
              <w:rPr>
                <w:sz w:val="20"/>
              </w:rPr>
              <w:t>None</w:t>
            </w:r>
          </w:p>
        </w:tc>
        <w:tc>
          <w:tcPr>
            <w:tcW w:w="3136" w:type="pct"/>
          </w:tcPr>
          <w:p w14:paraId="7DAE6540" w14:textId="77777777" w:rsidR="001F04FD" w:rsidRPr="0013396E" w:rsidRDefault="001F04FD" w:rsidP="00AC4DEE">
            <w:pPr>
              <w:pStyle w:val="VariableDefinition"/>
              <w:tabs>
                <w:tab w:val="clear" w:pos="2160"/>
              </w:tabs>
              <w:spacing w:after="60"/>
              <w:ind w:left="0" w:firstLine="0"/>
              <w:rPr>
                <w:sz w:val="20"/>
              </w:rPr>
            </w:pPr>
            <w:r w:rsidRPr="0013396E">
              <w:rPr>
                <w:i/>
                <w:sz w:val="20"/>
              </w:rPr>
              <w:t>Time- and Capacity-Weighted ERS Availability Factor per QSE per ERS Standard Contract Term per ERS Service Type</w:t>
            </w:r>
            <w:r w:rsidRPr="0013396E">
              <w:t>—</w:t>
            </w:r>
            <w:r w:rsidRPr="0013396E">
              <w:rPr>
                <w:sz w:val="20"/>
              </w:rPr>
              <w:t xml:space="preserve">The availability factor for QSE </w:t>
            </w:r>
            <w:r w:rsidRPr="0013396E">
              <w:rPr>
                <w:i/>
                <w:sz w:val="20"/>
              </w:rPr>
              <w:t>q</w:t>
            </w:r>
            <w:r w:rsidRPr="0013396E">
              <w:rPr>
                <w:sz w:val="20"/>
              </w:rPr>
              <w:t xml:space="preserve"> for ERS Standard Contract Term </w:t>
            </w:r>
            <w:r w:rsidRPr="0013396E">
              <w:rPr>
                <w:i/>
                <w:sz w:val="20"/>
              </w:rPr>
              <w:t>r</w:t>
            </w:r>
            <w:r w:rsidRPr="0013396E">
              <w:rPr>
                <w:sz w:val="20"/>
              </w:rPr>
              <w:t xml:space="preserve"> and ERS service type </w:t>
            </w:r>
            <w:r w:rsidRPr="0013396E">
              <w:rPr>
                <w:i/>
                <w:sz w:val="20"/>
              </w:rPr>
              <w:t xml:space="preserve">d, </w:t>
            </w:r>
            <w:r w:rsidRPr="0013396E">
              <w:rPr>
                <w:sz w:val="20"/>
              </w:rPr>
              <w:t>as calculated pursuant to Section 8.1.3.3, Payment Reductions and Suspension of Qualification of Emergency Response Service Resources and/or their Qualified Scheduling Entities.</w:t>
            </w:r>
          </w:p>
        </w:tc>
      </w:tr>
      <w:tr w:rsidR="001F04FD" w:rsidRPr="0013396E" w14:paraId="43E7D63F" w14:textId="77777777" w:rsidTr="00AC4DEE">
        <w:trPr>
          <w:cantSplit/>
        </w:trPr>
        <w:tc>
          <w:tcPr>
            <w:tcW w:w="1298" w:type="pct"/>
          </w:tcPr>
          <w:p w14:paraId="169477F5" w14:textId="77777777" w:rsidR="001F04FD" w:rsidRPr="0013396E" w:rsidRDefault="001F04FD" w:rsidP="00AC4DEE">
            <w:pPr>
              <w:pStyle w:val="TableBody"/>
            </w:pPr>
            <w:r w:rsidRPr="0013396E">
              <w:t xml:space="preserve">ERSEPF </w:t>
            </w:r>
            <w:r w:rsidRPr="0013396E">
              <w:rPr>
                <w:i/>
                <w:vertAlign w:val="subscript"/>
              </w:rPr>
              <w:t>qrd</w:t>
            </w:r>
          </w:p>
        </w:tc>
        <w:tc>
          <w:tcPr>
            <w:tcW w:w="566" w:type="pct"/>
          </w:tcPr>
          <w:p w14:paraId="58CAA64D" w14:textId="77777777" w:rsidR="001F04FD" w:rsidRPr="0013396E" w:rsidRDefault="001F04FD" w:rsidP="00AC4DEE">
            <w:pPr>
              <w:pStyle w:val="VariableDefinition"/>
              <w:tabs>
                <w:tab w:val="clear" w:pos="2160"/>
              </w:tabs>
              <w:spacing w:after="60"/>
              <w:ind w:left="0" w:firstLine="0"/>
              <w:rPr>
                <w:sz w:val="20"/>
              </w:rPr>
            </w:pPr>
            <w:r w:rsidRPr="0013396E">
              <w:rPr>
                <w:sz w:val="20"/>
              </w:rPr>
              <w:t>None</w:t>
            </w:r>
          </w:p>
        </w:tc>
        <w:tc>
          <w:tcPr>
            <w:tcW w:w="3136" w:type="pct"/>
          </w:tcPr>
          <w:p w14:paraId="715ACFEE" w14:textId="77777777" w:rsidR="001F04FD" w:rsidRPr="0013396E" w:rsidRDefault="001F04FD" w:rsidP="00AC4DEE">
            <w:pPr>
              <w:pStyle w:val="VariableDefinition"/>
              <w:tabs>
                <w:tab w:val="clear" w:pos="2160"/>
              </w:tabs>
              <w:spacing w:after="60"/>
              <w:ind w:left="0" w:firstLine="0"/>
              <w:rPr>
                <w:i/>
                <w:sz w:val="20"/>
              </w:rPr>
            </w:pPr>
            <w:r w:rsidRPr="0013396E">
              <w:rPr>
                <w:i/>
                <w:sz w:val="20"/>
              </w:rPr>
              <w:t>ERS Event Performance Factor per QSE per ERS Standard Contract Term per ERS Service Type</w:t>
            </w:r>
            <w:r w:rsidRPr="0013396E">
              <w:t>—</w:t>
            </w:r>
            <w:r w:rsidRPr="0013396E">
              <w:rPr>
                <w:sz w:val="20"/>
              </w:rPr>
              <w:t xml:space="preserve">Event performance factor for QSE </w:t>
            </w:r>
            <w:r w:rsidRPr="0013396E">
              <w:rPr>
                <w:i/>
                <w:sz w:val="20"/>
              </w:rPr>
              <w:t xml:space="preserve">q </w:t>
            </w:r>
            <w:r w:rsidRPr="0013396E">
              <w:rPr>
                <w:sz w:val="20"/>
              </w:rPr>
              <w:t xml:space="preserve">in ERS Standard Contract Term </w:t>
            </w:r>
            <w:r w:rsidRPr="0013396E">
              <w:rPr>
                <w:i/>
                <w:sz w:val="20"/>
              </w:rPr>
              <w:t>r</w:t>
            </w:r>
            <w:r w:rsidRPr="0013396E">
              <w:rPr>
                <w:sz w:val="20"/>
              </w:rPr>
              <w:t xml:space="preserve"> and ERS service type </w:t>
            </w:r>
            <w:r w:rsidRPr="0013396E">
              <w:rPr>
                <w:i/>
                <w:sz w:val="20"/>
              </w:rPr>
              <w:t xml:space="preserve">d </w:t>
            </w:r>
            <w:r w:rsidRPr="0013396E">
              <w:rPr>
                <w:sz w:val="20"/>
              </w:rPr>
              <w:t>as calculated pursuant to Section 8.1.3.3.1.</w:t>
            </w:r>
          </w:p>
        </w:tc>
      </w:tr>
      <w:tr w:rsidR="001F04FD" w:rsidRPr="0013396E" w14:paraId="44DC62F5" w14:textId="77777777" w:rsidTr="00AC4DEE">
        <w:trPr>
          <w:cantSplit/>
        </w:trPr>
        <w:tc>
          <w:tcPr>
            <w:tcW w:w="1298" w:type="pct"/>
          </w:tcPr>
          <w:p w14:paraId="3013013C" w14:textId="77777777" w:rsidR="001F04FD" w:rsidRPr="0013396E" w:rsidRDefault="001F04FD" w:rsidP="00AC4DEE">
            <w:pPr>
              <w:pStyle w:val="TableBody"/>
            </w:pPr>
            <w:r w:rsidRPr="0013396E">
              <w:t xml:space="preserve">SPCUL </w:t>
            </w:r>
            <w:r w:rsidRPr="0013396E">
              <w:rPr>
                <w:i/>
                <w:vertAlign w:val="subscript"/>
              </w:rPr>
              <w:t>qc(tp)d</w:t>
            </w:r>
          </w:p>
        </w:tc>
        <w:tc>
          <w:tcPr>
            <w:tcW w:w="566" w:type="pct"/>
          </w:tcPr>
          <w:p w14:paraId="6423262C" w14:textId="77777777" w:rsidR="001F04FD" w:rsidRPr="0013396E" w:rsidRDefault="001F04FD" w:rsidP="00AC4DEE">
            <w:pPr>
              <w:pStyle w:val="VariableDefinition"/>
              <w:tabs>
                <w:tab w:val="clear" w:pos="2160"/>
              </w:tabs>
              <w:spacing w:after="60"/>
              <w:ind w:left="0" w:firstLine="0"/>
            </w:pPr>
            <w:r w:rsidRPr="0013396E">
              <w:rPr>
                <w:bCs/>
                <w:sz w:val="20"/>
              </w:rPr>
              <w:t>MW</w:t>
            </w:r>
          </w:p>
        </w:tc>
        <w:tc>
          <w:tcPr>
            <w:tcW w:w="3136" w:type="pct"/>
          </w:tcPr>
          <w:p w14:paraId="337C5BD9" w14:textId="77777777" w:rsidR="001F04FD" w:rsidRPr="0013396E" w:rsidRDefault="001F04FD" w:rsidP="00AC4DEE">
            <w:pPr>
              <w:pStyle w:val="VariableDefinition"/>
              <w:tabs>
                <w:tab w:val="clear" w:pos="2160"/>
              </w:tabs>
              <w:spacing w:after="60"/>
              <w:ind w:left="0" w:firstLine="0"/>
              <w:rPr>
                <w:i/>
                <w:sz w:val="20"/>
              </w:rPr>
            </w:pPr>
            <w:r w:rsidRPr="0013396E">
              <w:rPr>
                <w:i/>
                <w:sz w:val="20"/>
              </w:rPr>
              <w:t>Self-Provision Capacity Upper Limit per QSE per ERS Contract Period per ERS Time Period per ERS Service Type</w:t>
            </w:r>
            <w:r w:rsidRPr="0013396E">
              <w:t>—</w:t>
            </w:r>
            <w:r w:rsidRPr="0013396E">
              <w:rPr>
                <w:sz w:val="20"/>
              </w:rPr>
              <w:t>The ERS Self-Provision Capacity Upper Limit</w:t>
            </w:r>
            <w:r w:rsidRPr="0013396E" w:rsidDel="009C4A0B">
              <w:rPr>
                <w:sz w:val="20"/>
              </w:rPr>
              <w:t xml:space="preserve"> </w:t>
            </w:r>
            <w:r w:rsidRPr="0013396E">
              <w:rPr>
                <w:sz w:val="20"/>
              </w:rPr>
              <w:t xml:space="preserve">calculated by ERCOT for a self-providing QSE for ERS Contract Period </w:t>
            </w:r>
            <w:r w:rsidRPr="0013396E">
              <w:rPr>
                <w:i/>
                <w:sz w:val="20"/>
              </w:rPr>
              <w:t>c</w:t>
            </w:r>
            <w:r w:rsidRPr="0013396E">
              <w:rPr>
                <w:sz w:val="20"/>
              </w:rPr>
              <w:t xml:space="preserve"> and ERS Time Period </w:t>
            </w:r>
            <w:r w:rsidRPr="0013396E">
              <w:rPr>
                <w:i/>
                <w:sz w:val="20"/>
              </w:rPr>
              <w:t>tp</w:t>
            </w:r>
            <w:r w:rsidRPr="0013396E">
              <w:rPr>
                <w:sz w:val="20"/>
              </w:rPr>
              <w:t xml:space="preserve"> by simultaneously solving for all QSEs’ obligations with the constraint that each QSE’s ERS Self-Provision Capacity Upper Limit</w:t>
            </w:r>
            <w:r w:rsidRPr="0013396E" w:rsidDel="009C4A0B">
              <w:rPr>
                <w:sz w:val="20"/>
              </w:rPr>
              <w:t xml:space="preserve"> </w:t>
            </w:r>
            <w:r w:rsidRPr="0013396E">
              <w:rPr>
                <w:sz w:val="20"/>
              </w:rPr>
              <w:t>does not exceed its obligation.</w:t>
            </w:r>
          </w:p>
        </w:tc>
      </w:tr>
      <w:tr w:rsidR="001F04FD" w:rsidRPr="0013396E" w14:paraId="0011BE5C" w14:textId="77777777" w:rsidTr="00AC4DEE">
        <w:trPr>
          <w:cantSplit/>
        </w:trPr>
        <w:tc>
          <w:tcPr>
            <w:tcW w:w="1298" w:type="pct"/>
          </w:tcPr>
          <w:p w14:paraId="55CD23A6" w14:textId="77777777" w:rsidR="001F04FD" w:rsidRPr="0013396E" w:rsidRDefault="001F04FD" w:rsidP="00AC4DEE">
            <w:pPr>
              <w:pStyle w:val="TableBody"/>
            </w:pPr>
            <w:r w:rsidRPr="0013396E">
              <w:t xml:space="preserve">SPOFFERMW </w:t>
            </w:r>
            <w:r w:rsidRPr="0013396E">
              <w:rPr>
                <w:i/>
                <w:vertAlign w:val="subscript"/>
              </w:rPr>
              <w:t>qce(tp)d</w:t>
            </w:r>
          </w:p>
        </w:tc>
        <w:tc>
          <w:tcPr>
            <w:tcW w:w="566" w:type="pct"/>
          </w:tcPr>
          <w:p w14:paraId="39DD7E8E" w14:textId="77777777" w:rsidR="001F04FD" w:rsidRPr="0013396E" w:rsidRDefault="001F04FD" w:rsidP="00AC4DEE">
            <w:pPr>
              <w:pStyle w:val="VariableDefinition"/>
              <w:tabs>
                <w:tab w:val="clear" w:pos="2160"/>
              </w:tabs>
              <w:spacing w:after="60"/>
              <w:ind w:left="0" w:firstLine="0"/>
            </w:pPr>
            <w:r w:rsidRPr="0013396E">
              <w:rPr>
                <w:sz w:val="20"/>
              </w:rPr>
              <w:t>MW</w:t>
            </w:r>
          </w:p>
        </w:tc>
        <w:tc>
          <w:tcPr>
            <w:tcW w:w="3136" w:type="pct"/>
          </w:tcPr>
          <w:p w14:paraId="014CF2F8" w14:textId="77777777" w:rsidR="001F04FD" w:rsidRPr="0013396E" w:rsidRDefault="001F04FD" w:rsidP="00AC4DEE">
            <w:pPr>
              <w:pStyle w:val="VariableDefinition"/>
              <w:tabs>
                <w:tab w:val="clear" w:pos="2160"/>
              </w:tabs>
              <w:spacing w:after="60"/>
              <w:ind w:left="0" w:firstLine="0"/>
              <w:rPr>
                <w:i/>
                <w:sz w:val="20"/>
              </w:rPr>
            </w:pPr>
            <w:r w:rsidRPr="0013396E">
              <w:rPr>
                <w:i/>
                <w:sz w:val="20"/>
              </w:rPr>
              <w:t>Self-Provision Offer MW per QSE per ERS Contract Period per ERS Resource per ERS Time Period per ERS Service Type</w:t>
            </w:r>
            <w:r w:rsidRPr="0013396E">
              <w:t>—</w:t>
            </w:r>
            <w:r w:rsidRPr="0013396E">
              <w:rPr>
                <w:sz w:val="20"/>
              </w:rPr>
              <w:t xml:space="preserve">ERS capacity offered as self-provision by QSE </w:t>
            </w:r>
            <w:r w:rsidRPr="0013396E">
              <w:rPr>
                <w:i/>
                <w:sz w:val="20"/>
              </w:rPr>
              <w:t xml:space="preserve">q </w:t>
            </w:r>
            <w:r w:rsidRPr="0013396E">
              <w:rPr>
                <w:sz w:val="20"/>
              </w:rPr>
              <w:t xml:space="preserve">for ERS Contract Period </w:t>
            </w:r>
            <w:r w:rsidRPr="0013396E">
              <w:rPr>
                <w:i/>
                <w:sz w:val="20"/>
              </w:rPr>
              <w:t>c</w:t>
            </w:r>
            <w:r w:rsidRPr="0013396E">
              <w:rPr>
                <w:sz w:val="20"/>
              </w:rPr>
              <w:t xml:space="preserve">, ERS Resource </w:t>
            </w:r>
            <w:r w:rsidRPr="0013396E">
              <w:rPr>
                <w:i/>
                <w:sz w:val="20"/>
              </w:rPr>
              <w:t>e</w:t>
            </w:r>
            <w:r w:rsidRPr="0013396E">
              <w:rPr>
                <w:sz w:val="20"/>
              </w:rPr>
              <w:t>, ERS Time Period</w:t>
            </w:r>
            <w:r w:rsidRPr="0013396E">
              <w:rPr>
                <w:i/>
                <w:sz w:val="20"/>
              </w:rPr>
              <w:t xml:space="preserve"> tp</w:t>
            </w:r>
            <w:r w:rsidRPr="0013396E">
              <w:rPr>
                <w:sz w:val="20"/>
              </w:rPr>
              <w:t xml:space="preserve"> and ERS service type </w:t>
            </w:r>
            <w:r w:rsidRPr="0013396E">
              <w:rPr>
                <w:i/>
                <w:sz w:val="20"/>
              </w:rPr>
              <w:t>d</w:t>
            </w:r>
            <w:r w:rsidRPr="0013396E">
              <w:rPr>
                <w:sz w:val="20"/>
              </w:rPr>
              <w:t>.</w:t>
            </w:r>
          </w:p>
        </w:tc>
      </w:tr>
      <w:tr w:rsidR="001F04FD" w:rsidRPr="0013396E" w14:paraId="2E3472BE" w14:textId="77777777" w:rsidTr="00AC4DEE">
        <w:trPr>
          <w:cantSplit/>
        </w:trPr>
        <w:tc>
          <w:tcPr>
            <w:tcW w:w="1298" w:type="pct"/>
          </w:tcPr>
          <w:p w14:paraId="43C06D9F" w14:textId="77777777" w:rsidR="001F04FD" w:rsidRPr="0013396E" w:rsidRDefault="001F04FD" w:rsidP="00AC4DEE">
            <w:pPr>
              <w:pStyle w:val="TableBody"/>
            </w:pPr>
            <w:r w:rsidRPr="0013396E">
              <w:lastRenderedPageBreak/>
              <w:t xml:space="preserve">ERSLRS </w:t>
            </w:r>
            <w:r w:rsidRPr="0013396E">
              <w:rPr>
                <w:i/>
                <w:vertAlign w:val="subscript"/>
              </w:rPr>
              <w:t>qc(tp)</w:t>
            </w:r>
          </w:p>
        </w:tc>
        <w:tc>
          <w:tcPr>
            <w:tcW w:w="566" w:type="pct"/>
          </w:tcPr>
          <w:p w14:paraId="483A3374" w14:textId="77777777" w:rsidR="001F04FD" w:rsidRPr="0013396E" w:rsidRDefault="001F04FD" w:rsidP="00AC4DEE">
            <w:pPr>
              <w:pStyle w:val="VariableDefinition"/>
              <w:tabs>
                <w:tab w:val="clear" w:pos="2160"/>
              </w:tabs>
              <w:spacing w:after="60"/>
              <w:ind w:left="0" w:firstLine="0"/>
            </w:pPr>
            <w:r w:rsidRPr="0013396E">
              <w:rPr>
                <w:sz w:val="20"/>
              </w:rPr>
              <w:t>None</w:t>
            </w:r>
          </w:p>
        </w:tc>
        <w:tc>
          <w:tcPr>
            <w:tcW w:w="3136" w:type="pct"/>
          </w:tcPr>
          <w:p w14:paraId="7BD4CFCA" w14:textId="77777777" w:rsidR="001F04FD" w:rsidRPr="0013396E" w:rsidRDefault="001F04FD" w:rsidP="00AC4DEE">
            <w:pPr>
              <w:pStyle w:val="VariableDefinition"/>
              <w:tabs>
                <w:tab w:val="clear" w:pos="2160"/>
              </w:tabs>
              <w:spacing w:after="60"/>
              <w:ind w:left="0" w:firstLine="0"/>
              <w:rPr>
                <w:i/>
                <w:sz w:val="20"/>
              </w:rPr>
            </w:pPr>
            <w:r w:rsidRPr="0013396E">
              <w:rPr>
                <w:i/>
                <w:sz w:val="20"/>
              </w:rPr>
              <w:t>ERS Load Ratio Share per QSE per ERS Contract Period per ERS Time Period per ERS Service Type</w:t>
            </w:r>
            <w:r w:rsidRPr="0013396E">
              <w:t>—</w:t>
            </w:r>
            <w:r w:rsidRPr="0013396E">
              <w:rPr>
                <w:sz w:val="20"/>
              </w:rPr>
              <w:t xml:space="preserve">ERS LRS for QSE </w:t>
            </w:r>
            <w:r w:rsidRPr="0013396E">
              <w:rPr>
                <w:i/>
                <w:sz w:val="20"/>
              </w:rPr>
              <w:t xml:space="preserve">q </w:t>
            </w:r>
            <w:r w:rsidRPr="0013396E">
              <w:rPr>
                <w:bCs/>
                <w:sz w:val="20"/>
              </w:rPr>
              <w:t xml:space="preserve">for </w:t>
            </w:r>
            <w:r w:rsidRPr="0013396E">
              <w:rPr>
                <w:sz w:val="20"/>
              </w:rPr>
              <w:t xml:space="preserve">ERS Contract Period </w:t>
            </w:r>
            <w:r w:rsidRPr="0013396E">
              <w:rPr>
                <w:i/>
                <w:sz w:val="20"/>
              </w:rPr>
              <w:t>c</w:t>
            </w:r>
            <w:r w:rsidRPr="0013396E">
              <w:rPr>
                <w:sz w:val="20"/>
              </w:rPr>
              <w:t>, ERS Time Period</w:t>
            </w:r>
            <w:r w:rsidRPr="0013396E">
              <w:rPr>
                <w:i/>
                <w:sz w:val="20"/>
              </w:rPr>
              <w:t xml:space="preserve"> tp </w:t>
            </w:r>
            <w:r w:rsidRPr="0013396E">
              <w:rPr>
                <w:sz w:val="20"/>
              </w:rPr>
              <w:t xml:space="preserve">and ERS service type </w:t>
            </w:r>
            <w:r w:rsidRPr="0013396E">
              <w:rPr>
                <w:i/>
                <w:sz w:val="20"/>
              </w:rPr>
              <w:t xml:space="preserve">d, </w:t>
            </w:r>
            <w:r w:rsidRPr="0013396E">
              <w:rPr>
                <w:sz w:val="20"/>
              </w:rPr>
              <w:t>calculated starting with the first hour of the ERS Contract Period and ending with the earlier of the last hour of the ERS Contract Period or the hour containing the recall instruction in an ERS deployment event that results in the exhaustion of a QSE portfolio’s ERS obligation.</w:t>
            </w:r>
            <w:r w:rsidR="00BD4C7C" w:rsidRPr="0013396E">
              <w:rPr>
                <w:sz w:val="20"/>
              </w:rPr>
              <w:t xml:space="preserve">  </w:t>
            </w:r>
            <w:r w:rsidR="00BD4C7C" w:rsidRPr="0013396E">
              <w:rPr>
                <w:iCs w:val="0"/>
                <w:sz w:val="20"/>
              </w:rPr>
              <w:t>If the resultant QSE-level share is negative, the QSE’s share will be set to zero and all other QSE shares will be adjusted on a pro rata basis such that the sum of all shares is equal to one.</w:t>
            </w:r>
          </w:p>
        </w:tc>
      </w:tr>
      <w:tr w:rsidR="001F04FD" w:rsidRPr="0013396E" w14:paraId="61B9CC94" w14:textId="77777777" w:rsidTr="00AC4DEE">
        <w:trPr>
          <w:cantSplit/>
        </w:trPr>
        <w:tc>
          <w:tcPr>
            <w:tcW w:w="1298" w:type="pct"/>
          </w:tcPr>
          <w:p w14:paraId="2D22AE54" w14:textId="77777777" w:rsidR="001F04FD" w:rsidRPr="0013396E" w:rsidRDefault="001F04FD" w:rsidP="00AC4DEE">
            <w:pPr>
              <w:pStyle w:val="TableBody"/>
              <w:rPr>
                <w:i/>
              </w:rPr>
            </w:pPr>
            <w:r w:rsidRPr="0013396E">
              <w:rPr>
                <w:i/>
              </w:rPr>
              <w:t>q</w:t>
            </w:r>
          </w:p>
        </w:tc>
        <w:tc>
          <w:tcPr>
            <w:tcW w:w="566" w:type="pct"/>
          </w:tcPr>
          <w:p w14:paraId="2686950C" w14:textId="77777777" w:rsidR="001F04FD" w:rsidRPr="0013396E" w:rsidRDefault="001F04FD" w:rsidP="00AC4DEE">
            <w:pPr>
              <w:pStyle w:val="TableBody"/>
            </w:pPr>
            <w:r w:rsidRPr="0013396E">
              <w:t>None</w:t>
            </w:r>
          </w:p>
        </w:tc>
        <w:tc>
          <w:tcPr>
            <w:tcW w:w="3136" w:type="pct"/>
          </w:tcPr>
          <w:p w14:paraId="1410C09C" w14:textId="77777777" w:rsidR="001F04FD" w:rsidRPr="0013396E" w:rsidRDefault="001F04FD" w:rsidP="00AC4DEE">
            <w:pPr>
              <w:pStyle w:val="TableBody"/>
            </w:pPr>
            <w:r w:rsidRPr="0013396E">
              <w:t>A QSE.</w:t>
            </w:r>
          </w:p>
        </w:tc>
      </w:tr>
      <w:tr w:rsidR="001F04FD" w:rsidRPr="0013396E" w14:paraId="37B0D374" w14:textId="77777777" w:rsidTr="00AC4DEE">
        <w:trPr>
          <w:cantSplit/>
        </w:trPr>
        <w:tc>
          <w:tcPr>
            <w:tcW w:w="1298" w:type="pct"/>
          </w:tcPr>
          <w:p w14:paraId="2FEA348A" w14:textId="77777777" w:rsidR="001F04FD" w:rsidRPr="0013396E" w:rsidRDefault="001F04FD" w:rsidP="00AC4DEE">
            <w:pPr>
              <w:pStyle w:val="TableBody"/>
              <w:rPr>
                <w:i/>
              </w:rPr>
            </w:pPr>
            <w:r w:rsidRPr="0013396E">
              <w:rPr>
                <w:i/>
              </w:rPr>
              <w:t>c</w:t>
            </w:r>
          </w:p>
        </w:tc>
        <w:tc>
          <w:tcPr>
            <w:tcW w:w="566" w:type="pct"/>
          </w:tcPr>
          <w:p w14:paraId="46EE65C1" w14:textId="77777777" w:rsidR="001F04FD" w:rsidRPr="0013396E" w:rsidRDefault="001F04FD" w:rsidP="00AC4DEE">
            <w:pPr>
              <w:pStyle w:val="TableBody"/>
            </w:pPr>
            <w:r w:rsidRPr="0013396E">
              <w:t>None</w:t>
            </w:r>
          </w:p>
        </w:tc>
        <w:tc>
          <w:tcPr>
            <w:tcW w:w="3136" w:type="pct"/>
          </w:tcPr>
          <w:p w14:paraId="42C26BDD" w14:textId="77777777" w:rsidR="001F04FD" w:rsidRPr="0013396E" w:rsidRDefault="001F04FD" w:rsidP="00AC4DEE">
            <w:pPr>
              <w:pStyle w:val="TableBody"/>
            </w:pPr>
            <w:r w:rsidRPr="0013396E">
              <w:t>ERS Contract Period.</w:t>
            </w:r>
          </w:p>
        </w:tc>
      </w:tr>
      <w:tr w:rsidR="001F04FD" w:rsidRPr="0013396E" w14:paraId="6D7896BD" w14:textId="77777777" w:rsidTr="00AC4DEE">
        <w:trPr>
          <w:cantSplit/>
        </w:trPr>
        <w:tc>
          <w:tcPr>
            <w:tcW w:w="1298" w:type="pct"/>
          </w:tcPr>
          <w:p w14:paraId="15ACDEA3" w14:textId="77777777" w:rsidR="001F04FD" w:rsidRPr="0013396E" w:rsidRDefault="001F04FD" w:rsidP="00AC4DEE">
            <w:pPr>
              <w:pStyle w:val="TableBody"/>
              <w:rPr>
                <w:i/>
              </w:rPr>
            </w:pPr>
            <w:r w:rsidRPr="0013396E">
              <w:rPr>
                <w:i/>
              </w:rPr>
              <w:t>r</w:t>
            </w:r>
          </w:p>
        </w:tc>
        <w:tc>
          <w:tcPr>
            <w:tcW w:w="566" w:type="pct"/>
          </w:tcPr>
          <w:p w14:paraId="23E5D05C" w14:textId="77777777" w:rsidR="001F04FD" w:rsidRPr="0013396E" w:rsidRDefault="001F04FD" w:rsidP="00AC4DEE">
            <w:pPr>
              <w:pStyle w:val="TableBody"/>
            </w:pPr>
            <w:r w:rsidRPr="0013396E">
              <w:t>None</w:t>
            </w:r>
          </w:p>
        </w:tc>
        <w:tc>
          <w:tcPr>
            <w:tcW w:w="3136" w:type="pct"/>
          </w:tcPr>
          <w:p w14:paraId="4277154A" w14:textId="77777777" w:rsidR="001F04FD" w:rsidRPr="0013396E" w:rsidRDefault="001F04FD" w:rsidP="00AC4DEE">
            <w:pPr>
              <w:pStyle w:val="TableBody"/>
            </w:pPr>
            <w:r w:rsidRPr="0013396E">
              <w:t>ERS Standard Contract Term.</w:t>
            </w:r>
          </w:p>
        </w:tc>
      </w:tr>
      <w:tr w:rsidR="001F04FD" w:rsidRPr="0013396E" w14:paraId="18637D59" w14:textId="77777777" w:rsidTr="00AC4DEE">
        <w:trPr>
          <w:cantSplit/>
        </w:trPr>
        <w:tc>
          <w:tcPr>
            <w:tcW w:w="1298" w:type="pct"/>
          </w:tcPr>
          <w:p w14:paraId="463BCF37" w14:textId="77777777" w:rsidR="001F04FD" w:rsidRPr="0013396E" w:rsidRDefault="001F04FD" w:rsidP="00AC4DEE">
            <w:pPr>
              <w:pStyle w:val="TableBody"/>
              <w:rPr>
                <w:i/>
              </w:rPr>
            </w:pPr>
            <w:r w:rsidRPr="0013396E">
              <w:rPr>
                <w:i/>
              </w:rPr>
              <w:t>tp</w:t>
            </w:r>
          </w:p>
        </w:tc>
        <w:tc>
          <w:tcPr>
            <w:tcW w:w="566" w:type="pct"/>
          </w:tcPr>
          <w:p w14:paraId="7F8942E0" w14:textId="77777777" w:rsidR="001F04FD" w:rsidRPr="0013396E" w:rsidRDefault="001F04FD" w:rsidP="00AC4DEE">
            <w:pPr>
              <w:pStyle w:val="TableBody"/>
            </w:pPr>
            <w:r w:rsidRPr="0013396E">
              <w:t>None</w:t>
            </w:r>
          </w:p>
        </w:tc>
        <w:tc>
          <w:tcPr>
            <w:tcW w:w="3136" w:type="pct"/>
          </w:tcPr>
          <w:p w14:paraId="4FD779AB" w14:textId="77777777" w:rsidR="001F04FD" w:rsidRPr="0013396E" w:rsidRDefault="001F04FD" w:rsidP="00AC4DEE">
            <w:pPr>
              <w:pStyle w:val="TableBody"/>
            </w:pPr>
            <w:r w:rsidRPr="0013396E">
              <w:t>Hours in an ERS Time Period.</w:t>
            </w:r>
          </w:p>
        </w:tc>
      </w:tr>
      <w:tr w:rsidR="001F04FD" w:rsidRPr="0013396E" w14:paraId="6D886661" w14:textId="77777777" w:rsidTr="00AC4DEE">
        <w:trPr>
          <w:cantSplit/>
        </w:trPr>
        <w:tc>
          <w:tcPr>
            <w:tcW w:w="1298" w:type="pct"/>
          </w:tcPr>
          <w:p w14:paraId="3BCC8C36" w14:textId="77777777" w:rsidR="001F04FD" w:rsidRPr="0013396E" w:rsidRDefault="001F04FD" w:rsidP="00AC4DEE">
            <w:pPr>
              <w:pStyle w:val="TableBody"/>
              <w:rPr>
                <w:i/>
              </w:rPr>
            </w:pPr>
            <w:r w:rsidRPr="0013396E">
              <w:rPr>
                <w:i/>
              </w:rPr>
              <w:t>e</w:t>
            </w:r>
          </w:p>
        </w:tc>
        <w:tc>
          <w:tcPr>
            <w:tcW w:w="566" w:type="pct"/>
          </w:tcPr>
          <w:p w14:paraId="312BB508" w14:textId="77777777" w:rsidR="001F04FD" w:rsidRPr="0013396E" w:rsidRDefault="001F04FD" w:rsidP="00AC4DEE">
            <w:pPr>
              <w:pStyle w:val="TableBody"/>
              <w:rPr>
                <w:noProof/>
              </w:rPr>
            </w:pPr>
            <w:r w:rsidRPr="0013396E">
              <w:t>None</w:t>
            </w:r>
          </w:p>
        </w:tc>
        <w:tc>
          <w:tcPr>
            <w:tcW w:w="3136" w:type="pct"/>
          </w:tcPr>
          <w:p w14:paraId="74CCBD55" w14:textId="77777777" w:rsidR="001F04FD" w:rsidRPr="0013396E" w:rsidRDefault="001F04FD" w:rsidP="00AC4DEE">
            <w:pPr>
              <w:pStyle w:val="TableBody"/>
            </w:pPr>
            <w:r w:rsidRPr="0013396E">
              <w:rPr>
                <w:bCs/>
              </w:rPr>
              <w:t>An ERS Resource</w:t>
            </w:r>
            <w:r w:rsidRPr="0013396E">
              <w:t xml:space="preserve"> procured from a QSE for an ERS Contract Period.</w:t>
            </w:r>
          </w:p>
        </w:tc>
      </w:tr>
      <w:tr w:rsidR="001F04FD" w:rsidRPr="0013396E" w14:paraId="3EF8306A" w14:textId="77777777" w:rsidTr="00AC4DEE">
        <w:trPr>
          <w:cantSplit/>
        </w:trPr>
        <w:tc>
          <w:tcPr>
            <w:tcW w:w="1298" w:type="pct"/>
          </w:tcPr>
          <w:p w14:paraId="24CC84DC" w14:textId="77777777" w:rsidR="001F04FD" w:rsidRPr="0013396E" w:rsidRDefault="001F04FD" w:rsidP="00AC4DEE">
            <w:pPr>
              <w:pStyle w:val="TableBody"/>
              <w:rPr>
                <w:i/>
              </w:rPr>
            </w:pPr>
            <w:r w:rsidRPr="0013396E">
              <w:rPr>
                <w:i/>
              </w:rPr>
              <w:t>co</w:t>
            </w:r>
          </w:p>
        </w:tc>
        <w:tc>
          <w:tcPr>
            <w:tcW w:w="566" w:type="pct"/>
          </w:tcPr>
          <w:p w14:paraId="5511BBDF" w14:textId="77777777" w:rsidR="001F04FD" w:rsidRPr="0013396E" w:rsidRDefault="001F04FD" w:rsidP="00AC4DEE">
            <w:pPr>
              <w:pStyle w:val="TableBody"/>
            </w:pPr>
            <w:r w:rsidRPr="0013396E">
              <w:t>None</w:t>
            </w:r>
          </w:p>
        </w:tc>
        <w:tc>
          <w:tcPr>
            <w:tcW w:w="3136" w:type="pct"/>
          </w:tcPr>
          <w:p w14:paraId="24612C96" w14:textId="77777777" w:rsidR="001F04FD" w:rsidRPr="0013396E" w:rsidRDefault="001F04FD" w:rsidP="00AC4DEE">
            <w:pPr>
              <w:pStyle w:val="TableBody"/>
            </w:pPr>
            <w:r w:rsidRPr="0013396E">
              <w:t>The number of competitive ERS Resources procured from a QSE for an ERS Contract Period.</w:t>
            </w:r>
          </w:p>
        </w:tc>
      </w:tr>
      <w:tr w:rsidR="001F04FD" w:rsidRPr="0013396E" w14:paraId="16D9B3E7" w14:textId="77777777" w:rsidTr="00AC4DEE">
        <w:trPr>
          <w:cantSplit/>
        </w:trPr>
        <w:tc>
          <w:tcPr>
            <w:tcW w:w="1298" w:type="pct"/>
          </w:tcPr>
          <w:p w14:paraId="526615A5" w14:textId="77777777" w:rsidR="001F04FD" w:rsidRPr="0013396E" w:rsidRDefault="001F04FD" w:rsidP="00AC4DEE">
            <w:pPr>
              <w:pStyle w:val="TableBody"/>
              <w:rPr>
                <w:i/>
              </w:rPr>
            </w:pPr>
            <w:r w:rsidRPr="0013396E">
              <w:rPr>
                <w:i/>
              </w:rPr>
              <w:t>s</w:t>
            </w:r>
          </w:p>
        </w:tc>
        <w:tc>
          <w:tcPr>
            <w:tcW w:w="566" w:type="pct"/>
          </w:tcPr>
          <w:p w14:paraId="31592B31" w14:textId="77777777" w:rsidR="001F04FD" w:rsidRPr="0013396E" w:rsidRDefault="001F04FD" w:rsidP="00AC4DEE">
            <w:pPr>
              <w:pStyle w:val="TableBody"/>
            </w:pPr>
            <w:r w:rsidRPr="0013396E">
              <w:t>None</w:t>
            </w:r>
          </w:p>
        </w:tc>
        <w:tc>
          <w:tcPr>
            <w:tcW w:w="3136" w:type="pct"/>
          </w:tcPr>
          <w:p w14:paraId="44DABEE2" w14:textId="77777777" w:rsidR="001F04FD" w:rsidRPr="0013396E" w:rsidRDefault="001F04FD" w:rsidP="00AC4DEE">
            <w:pPr>
              <w:pStyle w:val="TableBody"/>
              <w:rPr>
                <w:bCs/>
              </w:rPr>
            </w:pPr>
            <w:r w:rsidRPr="0013396E">
              <w:t>The number of self-provided ERS Resources procured from a QSE for an ERS Contract Period.</w:t>
            </w:r>
          </w:p>
        </w:tc>
      </w:tr>
      <w:tr w:rsidR="001F04FD" w:rsidRPr="0013396E" w14:paraId="39F39C02" w14:textId="77777777" w:rsidTr="00AC4DEE">
        <w:trPr>
          <w:cantSplit/>
        </w:trPr>
        <w:tc>
          <w:tcPr>
            <w:tcW w:w="1298" w:type="pct"/>
          </w:tcPr>
          <w:p w14:paraId="38D7698E" w14:textId="77777777" w:rsidR="001F04FD" w:rsidRPr="0013396E" w:rsidRDefault="001F04FD" w:rsidP="00AC4DEE">
            <w:pPr>
              <w:pStyle w:val="TableBody"/>
              <w:rPr>
                <w:i/>
              </w:rPr>
            </w:pPr>
            <w:r w:rsidRPr="0013396E">
              <w:rPr>
                <w:i/>
              </w:rPr>
              <w:t>n</w:t>
            </w:r>
          </w:p>
        </w:tc>
        <w:tc>
          <w:tcPr>
            <w:tcW w:w="566" w:type="pct"/>
          </w:tcPr>
          <w:p w14:paraId="3AF92EC0" w14:textId="77777777" w:rsidR="001F04FD" w:rsidRPr="0013396E" w:rsidRDefault="001F04FD" w:rsidP="00AC4DEE">
            <w:pPr>
              <w:pStyle w:val="TableBody"/>
            </w:pPr>
            <w:r w:rsidRPr="0013396E">
              <w:t>None</w:t>
            </w:r>
          </w:p>
        </w:tc>
        <w:tc>
          <w:tcPr>
            <w:tcW w:w="3136" w:type="pct"/>
          </w:tcPr>
          <w:p w14:paraId="04833E24" w14:textId="77777777" w:rsidR="001F04FD" w:rsidRPr="0013396E" w:rsidRDefault="001F04FD" w:rsidP="00AC4DEE">
            <w:pPr>
              <w:pStyle w:val="TableBody"/>
            </w:pPr>
            <w:r w:rsidRPr="0013396E">
              <w:t>The number of QSEs for an ERS Contract Period.</w:t>
            </w:r>
            <w:r w:rsidRPr="0013396E" w:rsidDel="00BC1513">
              <w:t xml:space="preserve"> </w:t>
            </w:r>
          </w:p>
        </w:tc>
      </w:tr>
      <w:tr w:rsidR="001F04FD" w:rsidRPr="0013396E" w14:paraId="7C674814" w14:textId="77777777" w:rsidTr="00AC4DEE">
        <w:trPr>
          <w:cantSplit/>
        </w:trPr>
        <w:tc>
          <w:tcPr>
            <w:tcW w:w="1298" w:type="pct"/>
          </w:tcPr>
          <w:p w14:paraId="51B4C3A7" w14:textId="77777777" w:rsidR="001F04FD" w:rsidRPr="0013396E" w:rsidRDefault="001F04FD" w:rsidP="00AC4DEE">
            <w:pPr>
              <w:pStyle w:val="TableBody"/>
              <w:rPr>
                <w:i/>
              </w:rPr>
            </w:pPr>
            <w:r w:rsidRPr="0013396E">
              <w:rPr>
                <w:i/>
              </w:rPr>
              <w:t>d</w:t>
            </w:r>
          </w:p>
        </w:tc>
        <w:tc>
          <w:tcPr>
            <w:tcW w:w="566" w:type="pct"/>
          </w:tcPr>
          <w:p w14:paraId="1EC2D016" w14:textId="77777777" w:rsidR="001F04FD" w:rsidRPr="0013396E" w:rsidRDefault="001F04FD" w:rsidP="00AC4DEE">
            <w:pPr>
              <w:pStyle w:val="TableBody"/>
            </w:pPr>
            <w:r w:rsidRPr="0013396E">
              <w:t>None</w:t>
            </w:r>
          </w:p>
        </w:tc>
        <w:tc>
          <w:tcPr>
            <w:tcW w:w="3136" w:type="pct"/>
          </w:tcPr>
          <w:p w14:paraId="32B59D7B" w14:textId="77777777" w:rsidR="001F04FD" w:rsidRPr="0013396E" w:rsidRDefault="001F04FD" w:rsidP="00AC4DEE">
            <w:pPr>
              <w:pStyle w:val="TableBody"/>
            </w:pPr>
            <w:r w:rsidRPr="0013396E">
              <w:t>ERS service type (</w:t>
            </w:r>
            <w:r w:rsidRPr="0013396E">
              <w:rPr>
                <w:iCs w:val="0"/>
              </w:rPr>
              <w:t>Weather-Sensitive ERS-10, Non-Weather-Sensitive ERS-10, Weather-Sensitive ERS-30, or Non-Weather-Sensitive ERS-30</w:t>
            </w:r>
            <w:r w:rsidRPr="0013396E">
              <w:t>).</w:t>
            </w:r>
          </w:p>
        </w:tc>
      </w:tr>
    </w:tbl>
    <w:p w14:paraId="214523A6" w14:textId="77777777" w:rsidR="001F04FD" w:rsidRPr="0013396E" w:rsidRDefault="001F04FD" w:rsidP="001F04FD">
      <w:pPr>
        <w:pStyle w:val="H4"/>
        <w:spacing w:before="480"/>
        <w:ind w:left="1267" w:hanging="1267"/>
      </w:pPr>
      <w:bookmarkStart w:id="2187" w:name="_Toc397505044"/>
      <w:bookmarkStart w:id="2188" w:name="_Toc402357176"/>
      <w:bookmarkStart w:id="2189" w:name="_Toc422486556"/>
      <w:bookmarkStart w:id="2190" w:name="_Toc433093409"/>
      <w:bookmarkStart w:id="2191" w:name="_Toc433093567"/>
      <w:bookmarkStart w:id="2192" w:name="_Toc440874797"/>
      <w:bookmarkStart w:id="2193" w:name="_Toc448142354"/>
      <w:bookmarkStart w:id="2194" w:name="_Toc448142511"/>
      <w:bookmarkStart w:id="2195" w:name="_Toc458770352"/>
      <w:bookmarkStart w:id="2196" w:name="_Toc459294320"/>
      <w:bookmarkStart w:id="2197" w:name="_Toc463262814"/>
      <w:bookmarkStart w:id="2198" w:name="_Toc468286887"/>
      <w:bookmarkStart w:id="2199" w:name="_Toc481502927"/>
      <w:bookmarkStart w:id="2200" w:name="_Toc496080095"/>
      <w:bookmarkStart w:id="2201" w:name="_Toc236220229"/>
      <w:r w:rsidRPr="0013396E">
        <w:t>6.6.11.2</w:t>
      </w:r>
      <w:r w:rsidRPr="0013396E">
        <w:tab/>
        <w:t>Emergency Response Service Capacity Charge</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14:paraId="74755EDC" w14:textId="77777777" w:rsidR="001F04FD" w:rsidRPr="0013396E" w:rsidRDefault="001F04FD" w:rsidP="001F04FD">
      <w:pPr>
        <w:pStyle w:val="BodyTextNumbered"/>
      </w:pPr>
      <w:r w:rsidRPr="0013396E">
        <w:t>(1)</w:t>
      </w:r>
      <w:r w:rsidRPr="0013396E">
        <w:tab/>
        <w:t xml:space="preserve">ERCOT shall allocate costs for an ERS service type and ERS Contract Period based on the LRS of each QSE during each ERS Time Period in an ERS Contract Period.  A QSE’s LRS for an ERS Time Period shall be the QSE’s total Load for the ERS Time Period divided by the total ERCOT Load in the ERS Time Period.  For the first Settlement of the ERS Contract Period as described in paragraph (1) of Section 9.14.5, Settlement of Emergency Response Service, LRS will be calculated using the latest Settlement Load for each Operating Day in the ERS Contract Period.  For the resettlement of the ERS Contract Period as described in paragraph (2) of Section 9.14.5, the LRS will be calculated using the true-up Load for each Operating Day in the ERS Contract Period.  </w:t>
      </w:r>
    </w:p>
    <w:p w14:paraId="55C509AB" w14:textId="77777777" w:rsidR="001F04FD" w:rsidRPr="0013396E" w:rsidRDefault="001F04FD" w:rsidP="001F04FD">
      <w:pPr>
        <w:pStyle w:val="BodyTextNumbered"/>
        <w:ind w:left="0" w:firstLine="0"/>
      </w:pPr>
      <w:r w:rsidRPr="0013396E">
        <w:t>(2)</w:t>
      </w:r>
      <w:r w:rsidRPr="0013396E">
        <w:tab/>
        <w:t>ERCOT shall calculate each QSE’s ERS capacity charge as follows:</w:t>
      </w:r>
    </w:p>
    <w:p w14:paraId="0310C6C2" w14:textId="77777777" w:rsidR="001F04FD" w:rsidRPr="0013396E" w:rsidRDefault="001F04FD" w:rsidP="001F04FD">
      <w:pPr>
        <w:pStyle w:val="FormulaBold"/>
        <w:ind w:left="720" w:firstLine="0"/>
        <w:rPr>
          <w:i/>
          <w:vertAlign w:val="subscript"/>
        </w:rPr>
      </w:pPr>
      <w:r w:rsidRPr="0013396E">
        <w:rPr>
          <w:lang w:val="pt-BR"/>
        </w:rPr>
        <w:t>LAERSAMT  </w:t>
      </w:r>
      <w:r w:rsidRPr="0013396E">
        <w:rPr>
          <w:i/>
          <w:vertAlign w:val="subscript"/>
          <w:lang w:val="pt-BR"/>
        </w:rPr>
        <w:t>qc</w:t>
      </w:r>
      <w:r w:rsidRPr="0013396E">
        <w:rPr>
          <w:i/>
          <w:vertAlign w:val="subscript"/>
        </w:rPr>
        <w:t>(tp)d</w:t>
      </w:r>
      <w:r w:rsidRPr="0013396E">
        <w:t xml:space="preserve"> = ERSLRS </w:t>
      </w:r>
      <w:r w:rsidRPr="0013396E">
        <w:rPr>
          <w:i/>
          <w:vertAlign w:val="subscript"/>
        </w:rPr>
        <w:t>qc(tp)d</w:t>
      </w:r>
      <w:r w:rsidRPr="0013396E">
        <w:rPr>
          <w:vertAlign w:val="subscript"/>
        </w:rPr>
        <w:t xml:space="preserve"> </w:t>
      </w:r>
      <w:r w:rsidRPr="0013396E">
        <w:t>* ERSPAMTTOT </w:t>
      </w:r>
      <w:r w:rsidRPr="0013396E">
        <w:rPr>
          <w:i/>
          <w:vertAlign w:val="subscript"/>
        </w:rPr>
        <w:t>c(tp)d</w:t>
      </w:r>
      <w:r w:rsidRPr="0013396E" w:rsidDel="00665566">
        <w:rPr>
          <w:position w:val="-30"/>
        </w:rPr>
        <w:t xml:space="preserve"> </w:t>
      </w:r>
    </w:p>
    <w:p w14:paraId="35A5A797" w14:textId="77777777" w:rsidR="001F04FD" w:rsidRPr="0013396E" w:rsidRDefault="001F04FD" w:rsidP="001F04FD">
      <w:pPr>
        <w:pStyle w:val="FormulaBold"/>
        <w:rPr>
          <w:i/>
          <w:vertAlign w:val="subscript"/>
        </w:rPr>
      </w:pPr>
      <w:r w:rsidRPr="0013396E">
        <w:t>LAERSAMTQSETOT</w:t>
      </w:r>
      <w:r w:rsidRPr="0013396E">
        <w:rPr>
          <w:i/>
          <w:vertAlign w:val="subscript"/>
        </w:rPr>
        <w:t>q</w:t>
      </w:r>
      <w:r w:rsidRPr="0013396E">
        <w:rPr>
          <w:rFonts w:ascii="Times New Roman Bold" w:hAnsi="Times New Roman Bold"/>
        </w:rPr>
        <w:t xml:space="preserve"> = </w:t>
      </w:r>
      <w:r w:rsidRPr="0013396E">
        <w:rPr>
          <w:position w:val="-30"/>
        </w:rPr>
        <w:object w:dxaOrig="465" w:dyaOrig="720" w14:anchorId="1C6D86A7">
          <v:shape id="_x0000_i1245" type="#_x0000_t75" style="width:18.6pt;height:36pt" o:ole="">
            <v:imagedata r:id="rId307" o:title=""/>
          </v:shape>
          <o:OLEObject Type="Embed" ProgID="Equation.3" ShapeID="_x0000_i1245" DrawAspect="Content" ObjectID="_1849065875" r:id="rId316"/>
        </w:object>
      </w:r>
      <w:r w:rsidRPr="0013396E">
        <w:t>LAERSAMT </w:t>
      </w:r>
      <w:r w:rsidRPr="0013396E">
        <w:rPr>
          <w:i/>
          <w:vertAlign w:val="subscript"/>
        </w:rPr>
        <w:t>q(tp)d</w:t>
      </w:r>
    </w:p>
    <w:p w14:paraId="2F1B1EA8" w14:textId="77777777" w:rsidR="001F04FD" w:rsidRPr="0013396E" w:rsidRDefault="001F04FD" w:rsidP="001F04FD">
      <w:pPr>
        <w:rPr>
          <w:rFonts w:ascii="Times New Roman Bold" w:hAnsi="Times New Roman Bold"/>
          <w:b/>
        </w:rPr>
      </w:pPr>
      <w:r w:rsidRPr="0013396E">
        <w:t>The above variables are defined as follows:</w:t>
      </w:r>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4"/>
        <w:gridCol w:w="928"/>
        <w:gridCol w:w="6122"/>
      </w:tblGrid>
      <w:tr w:rsidR="001F04FD" w:rsidRPr="0013396E" w14:paraId="465DCCA8" w14:textId="77777777" w:rsidTr="00236104">
        <w:tc>
          <w:tcPr>
            <w:tcW w:w="1279" w:type="pct"/>
          </w:tcPr>
          <w:p w14:paraId="3E73D27F" w14:textId="77777777" w:rsidR="001F04FD" w:rsidRPr="0013396E" w:rsidRDefault="001F04FD" w:rsidP="00AC4DEE">
            <w:pPr>
              <w:pStyle w:val="TableHead"/>
            </w:pPr>
            <w:r w:rsidRPr="0013396E">
              <w:t>Variable</w:t>
            </w:r>
          </w:p>
        </w:tc>
        <w:tc>
          <w:tcPr>
            <w:tcW w:w="490" w:type="pct"/>
          </w:tcPr>
          <w:p w14:paraId="7C5F2634" w14:textId="77777777" w:rsidR="001F04FD" w:rsidRPr="0013396E" w:rsidRDefault="001F04FD" w:rsidP="00AC4DEE">
            <w:pPr>
              <w:pStyle w:val="TableHead"/>
            </w:pPr>
            <w:r w:rsidRPr="0013396E">
              <w:t>Unit</w:t>
            </w:r>
          </w:p>
        </w:tc>
        <w:tc>
          <w:tcPr>
            <w:tcW w:w="3231" w:type="pct"/>
          </w:tcPr>
          <w:p w14:paraId="69499173" w14:textId="77777777" w:rsidR="001F04FD" w:rsidRPr="0013396E" w:rsidRDefault="001F04FD" w:rsidP="00AC4DEE">
            <w:pPr>
              <w:pStyle w:val="TableHead"/>
            </w:pPr>
            <w:r w:rsidRPr="0013396E">
              <w:t>Description</w:t>
            </w:r>
          </w:p>
        </w:tc>
      </w:tr>
      <w:tr w:rsidR="001F04FD" w:rsidRPr="0013396E" w:rsidDel="00F954FC" w14:paraId="371E7F23" w14:textId="77777777" w:rsidTr="00236104">
        <w:trPr>
          <w:cantSplit/>
        </w:trPr>
        <w:tc>
          <w:tcPr>
            <w:tcW w:w="1279" w:type="pct"/>
          </w:tcPr>
          <w:p w14:paraId="178127BE" w14:textId="77777777" w:rsidR="001F04FD" w:rsidRPr="0013396E" w:rsidDel="00F954FC" w:rsidRDefault="001F04FD" w:rsidP="00AC4DEE">
            <w:pPr>
              <w:pStyle w:val="TableBody"/>
            </w:pPr>
            <w:r w:rsidRPr="0013396E">
              <w:lastRenderedPageBreak/>
              <w:t>ERSPAMTTOT</w:t>
            </w:r>
            <w:r w:rsidRPr="0013396E">
              <w:rPr>
                <w:i/>
                <w:vertAlign w:val="subscript"/>
              </w:rPr>
              <w:t xml:space="preserve"> c(tp)d</w:t>
            </w:r>
          </w:p>
        </w:tc>
        <w:tc>
          <w:tcPr>
            <w:tcW w:w="490" w:type="pct"/>
          </w:tcPr>
          <w:p w14:paraId="50DE6E47" w14:textId="77777777" w:rsidR="001F04FD" w:rsidRPr="0013396E" w:rsidRDefault="001F04FD" w:rsidP="00AC4DEE">
            <w:pPr>
              <w:pStyle w:val="VariableDefinition"/>
              <w:spacing w:after="60"/>
              <w:ind w:left="0" w:firstLine="0"/>
              <w:rPr>
                <w:sz w:val="20"/>
              </w:rPr>
            </w:pPr>
            <w:r w:rsidRPr="0013396E">
              <w:rPr>
                <w:sz w:val="20"/>
              </w:rPr>
              <w:t>$</w:t>
            </w:r>
          </w:p>
        </w:tc>
        <w:tc>
          <w:tcPr>
            <w:tcW w:w="3231" w:type="pct"/>
          </w:tcPr>
          <w:p w14:paraId="003973DC" w14:textId="77777777" w:rsidR="001F04FD" w:rsidRPr="0013396E" w:rsidDel="00F954FC" w:rsidRDefault="001F04FD" w:rsidP="00AC4DEE">
            <w:pPr>
              <w:pStyle w:val="VariableDefinition"/>
              <w:spacing w:after="60"/>
              <w:ind w:left="0" w:firstLine="0"/>
              <w:rPr>
                <w:sz w:val="20"/>
              </w:rPr>
            </w:pPr>
            <w:r w:rsidRPr="0013396E">
              <w:rPr>
                <w:i/>
                <w:sz w:val="20"/>
              </w:rPr>
              <w:t>ERS Payment Amount Total per ERS Contract Period per ERS Time Period per ERS Service Type</w:t>
            </w:r>
            <w:r w:rsidRPr="0013396E">
              <w:t>—</w:t>
            </w:r>
            <w:r w:rsidRPr="0013396E">
              <w:rPr>
                <w:sz w:val="20"/>
              </w:rPr>
              <w:t xml:space="preserve">Total of all ERS payments for ERS Contract Period </w:t>
            </w:r>
            <w:r w:rsidRPr="0013396E">
              <w:rPr>
                <w:i/>
                <w:sz w:val="20"/>
              </w:rPr>
              <w:t xml:space="preserve">c, </w:t>
            </w:r>
            <w:r w:rsidRPr="0013396E">
              <w:rPr>
                <w:sz w:val="20"/>
              </w:rPr>
              <w:t>ERS Time Period</w:t>
            </w:r>
            <w:r w:rsidRPr="0013396E">
              <w:rPr>
                <w:i/>
                <w:sz w:val="20"/>
              </w:rPr>
              <w:t xml:space="preserve"> tp </w:t>
            </w:r>
            <w:r w:rsidRPr="0013396E">
              <w:rPr>
                <w:sz w:val="20"/>
              </w:rPr>
              <w:t xml:space="preserve">and ERS service type </w:t>
            </w:r>
            <w:r w:rsidRPr="0013396E">
              <w:rPr>
                <w:i/>
                <w:sz w:val="20"/>
              </w:rPr>
              <w:t>d</w:t>
            </w:r>
            <w:r w:rsidRPr="0013396E">
              <w:rPr>
                <w:sz w:val="20"/>
              </w:rPr>
              <w:t>.</w:t>
            </w:r>
          </w:p>
        </w:tc>
      </w:tr>
      <w:tr w:rsidR="001F04FD" w:rsidRPr="0013396E" w14:paraId="0B952DB6" w14:textId="77777777" w:rsidTr="00236104">
        <w:trPr>
          <w:cantSplit/>
        </w:trPr>
        <w:tc>
          <w:tcPr>
            <w:tcW w:w="1279" w:type="pct"/>
          </w:tcPr>
          <w:p w14:paraId="28002EBF" w14:textId="77777777" w:rsidR="001F04FD" w:rsidRPr="0013396E" w:rsidRDefault="001F04FD" w:rsidP="00AC4DEE">
            <w:pPr>
              <w:pStyle w:val="TableBody"/>
            </w:pPr>
            <w:r w:rsidRPr="0013396E">
              <w:t xml:space="preserve">ERSLRS </w:t>
            </w:r>
            <w:r w:rsidRPr="0013396E">
              <w:rPr>
                <w:i/>
                <w:vertAlign w:val="subscript"/>
              </w:rPr>
              <w:t>qc(tp)d</w:t>
            </w:r>
          </w:p>
        </w:tc>
        <w:tc>
          <w:tcPr>
            <w:tcW w:w="490" w:type="pct"/>
          </w:tcPr>
          <w:p w14:paraId="2A0E0CC3" w14:textId="77777777" w:rsidR="001F04FD" w:rsidRPr="0013396E" w:rsidRDefault="001F04FD" w:rsidP="00AC4DEE">
            <w:pPr>
              <w:pStyle w:val="VariableDefinition"/>
              <w:tabs>
                <w:tab w:val="clear" w:pos="2160"/>
              </w:tabs>
              <w:spacing w:after="60"/>
              <w:ind w:left="0" w:firstLine="0"/>
              <w:rPr>
                <w:sz w:val="20"/>
              </w:rPr>
            </w:pPr>
            <w:r w:rsidRPr="0013396E">
              <w:rPr>
                <w:sz w:val="20"/>
              </w:rPr>
              <w:t>None</w:t>
            </w:r>
          </w:p>
        </w:tc>
        <w:tc>
          <w:tcPr>
            <w:tcW w:w="3231" w:type="pct"/>
          </w:tcPr>
          <w:p w14:paraId="780C513B" w14:textId="77777777" w:rsidR="001F04FD" w:rsidRPr="0013396E" w:rsidRDefault="001F04FD" w:rsidP="00AC4DEE">
            <w:pPr>
              <w:pStyle w:val="VariableDefinition"/>
              <w:tabs>
                <w:tab w:val="clear" w:pos="2160"/>
              </w:tabs>
              <w:spacing w:after="60"/>
              <w:ind w:left="0" w:firstLine="0"/>
              <w:rPr>
                <w:sz w:val="20"/>
              </w:rPr>
            </w:pPr>
            <w:r w:rsidRPr="0013396E">
              <w:rPr>
                <w:i/>
                <w:sz w:val="20"/>
              </w:rPr>
              <w:t>ERS Load Ratio Share per QSE per ERS Contract Period per ERS Time Period per ERS Service Type</w:t>
            </w:r>
            <w:r w:rsidRPr="0013396E">
              <w:t>—</w:t>
            </w:r>
            <w:r w:rsidRPr="0013396E">
              <w:rPr>
                <w:sz w:val="20"/>
              </w:rPr>
              <w:t xml:space="preserve">ERS LRS for QSE </w:t>
            </w:r>
            <w:r w:rsidRPr="0013396E">
              <w:rPr>
                <w:i/>
                <w:sz w:val="20"/>
              </w:rPr>
              <w:t>q</w:t>
            </w:r>
            <w:r w:rsidRPr="0013396E">
              <w:rPr>
                <w:sz w:val="20"/>
              </w:rPr>
              <w:t xml:space="preserve"> </w:t>
            </w:r>
            <w:r w:rsidRPr="0013396E">
              <w:rPr>
                <w:bCs/>
                <w:sz w:val="20"/>
              </w:rPr>
              <w:t xml:space="preserve">for </w:t>
            </w:r>
            <w:r w:rsidRPr="0013396E">
              <w:rPr>
                <w:sz w:val="20"/>
              </w:rPr>
              <w:t xml:space="preserve">ERS Contract Period </w:t>
            </w:r>
            <w:r w:rsidRPr="0013396E">
              <w:rPr>
                <w:i/>
                <w:sz w:val="20"/>
              </w:rPr>
              <w:t>c,</w:t>
            </w:r>
            <w:r w:rsidRPr="0013396E">
              <w:rPr>
                <w:sz w:val="20"/>
              </w:rPr>
              <w:t xml:space="preserve"> ERS Time Period </w:t>
            </w:r>
            <w:r w:rsidRPr="0013396E">
              <w:rPr>
                <w:i/>
                <w:sz w:val="20"/>
              </w:rPr>
              <w:t xml:space="preserve">tp </w:t>
            </w:r>
            <w:r w:rsidRPr="0013396E">
              <w:rPr>
                <w:sz w:val="20"/>
              </w:rPr>
              <w:t xml:space="preserve">and ERS service type </w:t>
            </w:r>
            <w:r w:rsidRPr="0013396E">
              <w:rPr>
                <w:i/>
                <w:sz w:val="20"/>
              </w:rPr>
              <w:t xml:space="preserve">d, </w:t>
            </w:r>
            <w:r w:rsidRPr="0013396E">
              <w:rPr>
                <w:sz w:val="20"/>
              </w:rPr>
              <w:t>calculated starting with the first hour of the ERS Contract Period and ending with the earlier of the last hour of the ERS Contract Period or the hour containing the recall instruction in an ERS deployment event that results in the exhaustion of a QSE portfolio’s ERS obligation.</w:t>
            </w:r>
            <w:r w:rsidR="00BD4C7C" w:rsidRPr="0013396E">
              <w:rPr>
                <w:sz w:val="20"/>
              </w:rPr>
              <w:t xml:space="preserve">  </w:t>
            </w:r>
            <w:r w:rsidR="00BD4C7C" w:rsidRPr="0013396E">
              <w:rPr>
                <w:iCs w:val="0"/>
                <w:sz w:val="20"/>
              </w:rPr>
              <w:t>If the resultant QSE-level share is negative, the QSE’s share will be set to zero and all other QSE shares will be adjusted on a pro rata basis such that the sum of all shares is equal to one.</w:t>
            </w:r>
          </w:p>
        </w:tc>
      </w:tr>
      <w:tr w:rsidR="001F04FD" w:rsidRPr="0013396E" w14:paraId="68B9CE0F" w14:textId="77777777" w:rsidTr="00236104">
        <w:trPr>
          <w:cantSplit/>
        </w:trPr>
        <w:tc>
          <w:tcPr>
            <w:tcW w:w="1279" w:type="pct"/>
          </w:tcPr>
          <w:p w14:paraId="75075A88" w14:textId="77777777" w:rsidR="001F04FD" w:rsidRPr="0013396E" w:rsidRDefault="001F04FD" w:rsidP="00AC4DEE">
            <w:pPr>
              <w:pStyle w:val="TableBody"/>
            </w:pPr>
            <w:r w:rsidRPr="0013396E">
              <w:t xml:space="preserve">LAERSAMT </w:t>
            </w:r>
            <w:r w:rsidRPr="0013396E">
              <w:rPr>
                <w:i/>
                <w:vertAlign w:val="subscript"/>
              </w:rPr>
              <w:t>qc(tp)d</w:t>
            </w:r>
          </w:p>
        </w:tc>
        <w:tc>
          <w:tcPr>
            <w:tcW w:w="490" w:type="pct"/>
          </w:tcPr>
          <w:p w14:paraId="3629152F" w14:textId="77777777" w:rsidR="001F04FD" w:rsidRPr="0013396E" w:rsidRDefault="001F04FD" w:rsidP="00AC4DEE">
            <w:pPr>
              <w:pStyle w:val="VariableDefinition"/>
              <w:tabs>
                <w:tab w:val="clear" w:pos="2160"/>
                <w:tab w:val="left" w:pos="2880"/>
              </w:tabs>
              <w:spacing w:after="60"/>
              <w:ind w:left="0" w:firstLine="0"/>
              <w:rPr>
                <w:sz w:val="20"/>
              </w:rPr>
            </w:pPr>
            <w:r w:rsidRPr="0013396E">
              <w:rPr>
                <w:sz w:val="20"/>
              </w:rPr>
              <w:t>$</w:t>
            </w:r>
          </w:p>
        </w:tc>
        <w:tc>
          <w:tcPr>
            <w:tcW w:w="3231" w:type="pct"/>
          </w:tcPr>
          <w:p w14:paraId="611E76A0" w14:textId="77777777" w:rsidR="001F04FD" w:rsidRPr="0013396E" w:rsidRDefault="001F04FD" w:rsidP="00AC4DEE">
            <w:pPr>
              <w:pStyle w:val="VariableDefinition"/>
              <w:tabs>
                <w:tab w:val="clear" w:pos="2160"/>
                <w:tab w:val="left" w:pos="2880"/>
              </w:tabs>
              <w:spacing w:after="60"/>
              <w:ind w:left="0" w:firstLine="0"/>
              <w:rPr>
                <w:sz w:val="20"/>
              </w:rPr>
            </w:pPr>
            <w:r w:rsidRPr="0013396E">
              <w:rPr>
                <w:i/>
                <w:sz w:val="20"/>
              </w:rPr>
              <w:t>Load-Allocated ERS Amount</w:t>
            </w:r>
            <w:r w:rsidRPr="0013396E">
              <w:rPr>
                <w:sz w:val="20"/>
              </w:rPr>
              <w:t xml:space="preserve"> </w:t>
            </w:r>
            <w:r w:rsidRPr="0013396E">
              <w:rPr>
                <w:i/>
                <w:sz w:val="20"/>
              </w:rPr>
              <w:t>per QSE per ERS Contract Period per ERS Time Period per ERS Service Type</w:t>
            </w:r>
            <w:r w:rsidRPr="0013396E">
              <w:t>—</w:t>
            </w:r>
            <w:r w:rsidRPr="0013396E">
              <w:rPr>
                <w:sz w:val="20"/>
              </w:rPr>
              <w:t>ERS charge for QSE</w:t>
            </w:r>
            <w:r w:rsidRPr="0013396E">
              <w:rPr>
                <w:bCs/>
                <w:sz w:val="20"/>
              </w:rPr>
              <w:t xml:space="preserve"> </w:t>
            </w:r>
            <w:r w:rsidRPr="0013396E">
              <w:rPr>
                <w:bCs/>
                <w:i/>
                <w:sz w:val="20"/>
              </w:rPr>
              <w:t>q</w:t>
            </w:r>
            <w:r w:rsidRPr="0013396E">
              <w:rPr>
                <w:bCs/>
                <w:sz w:val="20"/>
              </w:rPr>
              <w:t xml:space="preserve"> for </w:t>
            </w:r>
            <w:r w:rsidRPr="0013396E">
              <w:rPr>
                <w:sz w:val="20"/>
              </w:rPr>
              <w:t xml:space="preserve">ERS Contract Period </w:t>
            </w:r>
            <w:r w:rsidRPr="0013396E">
              <w:rPr>
                <w:i/>
                <w:sz w:val="20"/>
              </w:rPr>
              <w:t>c,</w:t>
            </w:r>
            <w:r w:rsidRPr="0013396E">
              <w:rPr>
                <w:sz w:val="20"/>
              </w:rPr>
              <w:t xml:space="preserve"> ERS Time Period</w:t>
            </w:r>
            <w:r w:rsidRPr="0013396E">
              <w:rPr>
                <w:i/>
                <w:sz w:val="20"/>
              </w:rPr>
              <w:t xml:space="preserve"> tp</w:t>
            </w:r>
            <w:r w:rsidRPr="0013396E">
              <w:rPr>
                <w:sz w:val="20"/>
              </w:rPr>
              <w:t xml:space="preserve"> and ERS service type </w:t>
            </w:r>
            <w:r w:rsidRPr="0013396E">
              <w:rPr>
                <w:i/>
                <w:sz w:val="20"/>
              </w:rPr>
              <w:t>d</w:t>
            </w:r>
            <w:r w:rsidRPr="0013396E">
              <w:rPr>
                <w:sz w:val="20"/>
              </w:rPr>
              <w:t>.</w:t>
            </w:r>
          </w:p>
        </w:tc>
      </w:tr>
      <w:tr w:rsidR="001F04FD" w:rsidRPr="0013396E" w14:paraId="6E8475B9" w14:textId="77777777" w:rsidTr="00236104">
        <w:trPr>
          <w:cantSplit/>
        </w:trPr>
        <w:tc>
          <w:tcPr>
            <w:tcW w:w="1279" w:type="pct"/>
          </w:tcPr>
          <w:p w14:paraId="3B2311E8" w14:textId="77777777" w:rsidR="001F04FD" w:rsidRPr="0013396E" w:rsidRDefault="001F04FD" w:rsidP="00AC4DEE">
            <w:pPr>
              <w:pStyle w:val="TableBody"/>
            </w:pPr>
            <w:r w:rsidRPr="0013396E">
              <w:t xml:space="preserve">LAERSAMTQSETOT </w:t>
            </w:r>
            <w:r w:rsidRPr="0013396E">
              <w:rPr>
                <w:i/>
                <w:vertAlign w:val="subscript"/>
              </w:rPr>
              <w:t>q</w:t>
            </w:r>
          </w:p>
        </w:tc>
        <w:tc>
          <w:tcPr>
            <w:tcW w:w="490" w:type="pct"/>
          </w:tcPr>
          <w:p w14:paraId="4B72BFCE" w14:textId="77777777" w:rsidR="001F04FD" w:rsidRPr="0013396E" w:rsidRDefault="001F04FD" w:rsidP="00AC4DEE">
            <w:pPr>
              <w:pStyle w:val="VariableDefinition"/>
              <w:tabs>
                <w:tab w:val="clear" w:pos="2160"/>
                <w:tab w:val="left" w:pos="2880"/>
              </w:tabs>
              <w:spacing w:after="60"/>
              <w:ind w:left="0" w:firstLine="0"/>
              <w:rPr>
                <w:sz w:val="20"/>
              </w:rPr>
            </w:pPr>
            <w:r w:rsidRPr="0013396E">
              <w:rPr>
                <w:sz w:val="20"/>
              </w:rPr>
              <w:t>$</w:t>
            </w:r>
          </w:p>
        </w:tc>
        <w:tc>
          <w:tcPr>
            <w:tcW w:w="3231" w:type="pct"/>
          </w:tcPr>
          <w:p w14:paraId="0C352977" w14:textId="77777777" w:rsidR="001F04FD" w:rsidRPr="0013396E" w:rsidRDefault="001F04FD" w:rsidP="00AC4DEE">
            <w:pPr>
              <w:pStyle w:val="VariableDefinition"/>
              <w:tabs>
                <w:tab w:val="clear" w:pos="2160"/>
                <w:tab w:val="left" w:pos="2880"/>
              </w:tabs>
              <w:spacing w:after="60"/>
              <w:ind w:left="0" w:firstLine="0"/>
              <w:rPr>
                <w:sz w:val="20"/>
              </w:rPr>
            </w:pPr>
            <w:r w:rsidRPr="0013396E">
              <w:rPr>
                <w:i/>
                <w:sz w:val="20"/>
              </w:rPr>
              <w:t>Load-Allocated ERS Amount QSE Total per QSE</w:t>
            </w:r>
            <w:r w:rsidRPr="0013396E">
              <w:t>—</w:t>
            </w:r>
            <w:r w:rsidRPr="0013396E">
              <w:rPr>
                <w:sz w:val="20"/>
              </w:rPr>
              <w:t>The total ERS charge for QSE</w:t>
            </w:r>
            <w:r w:rsidRPr="0013396E">
              <w:rPr>
                <w:bCs/>
                <w:sz w:val="20"/>
              </w:rPr>
              <w:t xml:space="preserve"> </w:t>
            </w:r>
            <w:r w:rsidRPr="0013396E">
              <w:rPr>
                <w:bCs/>
                <w:i/>
                <w:sz w:val="20"/>
              </w:rPr>
              <w:t>q</w:t>
            </w:r>
            <w:r w:rsidRPr="0013396E">
              <w:rPr>
                <w:sz w:val="20"/>
              </w:rPr>
              <w:t>.</w:t>
            </w:r>
          </w:p>
        </w:tc>
      </w:tr>
      <w:tr w:rsidR="001F04FD" w:rsidRPr="0013396E" w14:paraId="5F3620D7" w14:textId="77777777" w:rsidTr="00236104">
        <w:trPr>
          <w:cantSplit/>
        </w:trPr>
        <w:tc>
          <w:tcPr>
            <w:tcW w:w="1279" w:type="pct"/>
          </w:tcPr>
          <w:p w14:paraId="6AA51C96" w14:textId="77777777" w:rsidR="001F04FD" w:rsidRPr="0013396E" w:rsidRDefault="001F04FD" w:rsidP="00AC4DEE">
            <w:pPr>
              <w:pStyle w:val="TableBody"/>
              <w:rPr>
                <w:i/>
              </w:rPr>
            </w:pPr>
            <w:r w:rsidRPr="0013396E">
              <w:rPr>
                <w:i/>
              </w:rPr>
              <w:t>q</w:t>
            </w:r>
          </w:p>
        </w:tc>
        <w:tc>
          <w:tcPr>
            <w:tcW w:w="490" w:type="pct"/>
          </w:tcPr>
          <w:p w14:paraId="5B46935D" w14:textId="77777777" w:rsidR="001F04FD" w:rsidRPr="0013396E" w:rsidRDefault="001F04FD" w:rsidP="00AC4DEE">
            <w:pPr>
              <w:pStyle w:val="TableBody"/>
              <w:rPr>
                <w:noProof/>
              </w:rPr>
            </w:pPr>
            <w:r w:rsidRPr="0013396E">
              <w:t>None</w:t>
            </w:r>
          </w:p>
        </w:tc>
        <w:tc>
          <w:tcPr>
            <w:tcW w:w="3231" w:type="pct"/>
          </w:tcPr>
          <w:p w14:paraId="3D902DB4" w14:textId="77777777" w:rsidR="001F04FD" w:rsidRPr="0013396E" w:rsidRDefault="001F04FD" w:rsidP="00AC4DEE">
            <w:pPr>
              <w:pStyle w:val="TableBody"/>
            </w:pPr>
            <w:r w:rsidRPr="0013396E">
              <w:t>A QSE.</w:t>
            </w:r>
          </w:p>
        </w:tc>
      </w:tr>
      <w:tr w:rsidR="001F04FD" w:rsidRPr="0013396E" w14:paraId="64BA47C7" w14:textId="77777777" w:rsidTr="00236104">
        <w:trPr>
          <w:cantSplit/>
        </w:trPr>
        <w:tc>
          <w:tcPr>
            <w:tcW w:w="1279" w:type="pct"/>
          </w:tcPr>
          <w:p w14:paraId="3A96B8C3" w14:textId="77777777" w:rsidR="001F04FD" w:rsidRPr="0013396E" w:rsidRDefault="001F04FD" w:rsidP="00AC4DEE">
            <w:pPr>
              <w:pStyle w:val="TableBody"/>
              <w:rPr>
                <w:i/>
              </w:rPr>
            </w:pPr>
            <w:r w:rsidRPr="0013396E">
              <w:rPr>
                <w:i/>
              </w:rPr>
              <w:t>c</w:t>
            </w:r>
          </w:p>
        </w:tc>
        <w:tc>
          <w:tcPr>
            <w:tcW w:w="490" w:type="pct"/>
          </w:tcPr>
          <w:p w14:paraId="433AF6D1" w14:textId="77777777" w:rsidR="001F04FD" w:rsidRPr="0013396E" w:rsidRDefault="001F04FD" w:rsidP="00AC4DEE">
            <w:pPr>
              <w:pStyle w:val="TableBody"/>
            </w:pPr>
            <w:r w:rsidRPr="0013396E">
              <w:t>None</w:t>
            </w:r>
          </w:p>
        </w:tc>
        <w:tc>
          <w:tcPr>
            <w:tcW w:w="3231" w:type="pct"/>
          </w:tcPr>
          <w:p w14:paraId="481B91EF" w14:textId="77777777" w:rsidR="001F04FD" w:rsidRPr="0013396E" w:rsidRDefault="001F04FD" w:rsidP="00AC4DEE">
            <w:pPr>
              <w:pStyle w:val="TableBody"/>
            </w:pPr>
            <w:r w:rsidRPr="0013396E">
              <w:t>ERS Contract Period.</w:t>
            </w:r>
          </w:p>
        </w:tc>
      </w:tr>
      <w:tr w:rsidR="001F04FD" w:rsidRPr="0013396E" w14:paraId="12C8EC43" w14:textId="77777777" w:rsidTr="00236104">
        <w:trPr>
          <w:cantSplit/>
        </w:trPr>
        <w:tc>
          <w:tcPr>
            <w:tcW w:w="1279" w:type="pct"/>
          </w:tcPr>
          <w:p w14:paraId="596081D8" w14:textId="77777777" w:rsidR="001F04FD" w:rsidRPr="0013396E" w:rsidRDefault="001F04FD" w:rsidP="00AC4DEE">
            <w:pPr>
              <w:pStyle w:val="TableBody"/>
              <w:rPr>
                <w:i/>
              </w:rPr>
            </w:pPr>
            <w:r w:rsidRPr="0013396E">
              <w:rPr>
                <w:i/>
              </w:rPr>
              <w:t>tp</w:t>
            </w:r>
          </w:p>
        </w:tc>
        <w:tc>
          <w:tcPr>
            <w:tcW w:w="490" w:type="pct"/>
          </w:tcPr>
          <w:p w14:paraId="66623287" w14:textId="77777777" w:rsidR="001F04FD" w:rsidRPr="0013396E" w:rsidRDefault="001F04FD" w:rsidP="00AC4DEE">
            <w:pPr>
              <w:pStyle w:val="TableBody"/>
            </w:pPr>
            <w:r w:rsidRPr="0013396E">
              <w:t>None</w:t>
            </w:r>
          </w:p>
        </w:tc>
        <w:tc>
          <w:tcPr>
            <w:tcW w:w="3231" w:type="pct"/>
          </w:tcPr>
          <w:p w14:paraId="603956EF" w14:textId="77777777" w:rsidR="001F04FD" w:rsidRPr="0013396E" w:rsidRDefault="001F04FD" w:rsidP="00AC4DEE">
            <w:pPr>
              <w:pStyle w:val="TableBody"/>
            </w:pPr>
            <w:r w:rsidRPr="0013396E">
              <w:t>An ERS Time Period.</w:t>
            </w:r>
          </w:p>
        </w:tc>
      </w:tr>
      <w:tr w:rsidR="001F04FD" w:rsidRPr="0013396E" w:rsidDel="00F954FC" w14:paraId="645F0932" w14:textId="77777777" w:rsidTr="00236104">
        <w:trPr>
          <w:cantSplit/>
        </w:trPr>
        <w:tc>
          <w:tcPr>
            <w:tcW w:w="1279" w:type="pct"/>
          </w:tcPr>
          <w:p w14:paraId="411C8D39" w14:textId="77777777" w:rsidR="001F04FD" w:rsidRPr="0013396E" w:rsidRDefault="001F04FD" w:rsidP="00AC4DEE">
            <w:pPr>
              <w:pStyle w:val="TableBody"/>
              <w:rPr>
                <w:i/>
              </w:rPr>
            </w:pPr>
            <w:r w:rsidRPr="0013396E">
              <w:rPr>
                <w:i/>
              </w:rPr>
              <w:t>d</w:t>
            </w:r>
          </w:p>
        </w:tc>
        <w:tc>
          <w:tcPr>
            <w:tcW w:w="490" w:type="pct"/>
          </w:tcPr>
          <w:p w14:paraId="7F629719" w14:textId="77777777" w:rsidR="001F04FD" w:rsidRPr="0013396E" w:rsidRDefault="001F04FD" w:rsidP="00AC4DEE">
            <w:pPr>
              <w:pStyle w:val="VariableDefinition"/>
              <w:spacing w:after="60"/>
              <w:ind w:left="0" w:firstLine="0"/>
              <w:rPr>
                <w:sz w:val="20"/>
              </w:rPr>
            </w:pPr>
            <w:r w:rsidRPr="0013396E">
              <w:rPr>
                <w:sz w:val="20"/>
              </w:rPr>
              <w:t>None</w:t>
            </w:r>
          </w:p>
        </w:tc>
        <w:tc>
          <w:tcPr>
            <w:tcW w:w="3231" w:type="pct"/>
          </w:tcPr>
          <w:p w14:paraId="044BA0A8" w14:textId="77777777" w:rsidR="001F04FD" w:rsidRPr="0013396E" w:rsidRDefault="001F04FD" w:rsidP="00AC4DEE">
            <w:pPr>
              <w:pStyle w:val="VariableDefinition"/>
              <w:spacing w:after="60"/>
              <w:ind w:left="0" w:firstLine="0"/>
              <w:rPr>
                <w:sz w:val="20"/>
              </w:rPr>
            </w:pPr>
            <w:r w:rsidRPr="0013396E">
              <w:rPr>
                <w:sz w:val="20"/>
              </w:rPr>
              <w:t>ERS service type (</w:t>
            </w:r>
            <w:r w:rsidRPr="0013396E">
              <w:rPr>
                <w:iCs w:val="0"/>
                <w:sz w:val="20"/>
              </w:rPr>
              <w:t>Weather-Sensitive ERS-10, Non-Weather-Sensitive ERS-10, Weather-Sensitive ERS-30, or Non-Weather-Sensitive ERS-30</w:t>
            </w:r>
            <w:r w:rsidRPr="0013396E">
              <w:rPr>
                <w:sz w:val="20"/>
              </w:rPr>
              <w:t>).</w:t>
            </w:r>
          </w:p>
        </w:tc>
      </w:tr>
    </w:tbl>
    <w:p w14:paraId="2CF0BDE6" w14:textId="77777777" w:rsidR="00236104" w:rsidRPr="0013396E" w:rsidRDefault="00236104" w:rsidP="00236104">
      <w:pPr>
        <w:pStyle w:val="H3"/>
        <w:spacing w:before="480"/>
      </w:pPr>
      <w:bookmarkStart w:id="2202" w:name="_Toc236220230"/>
      <w:r w:rsidRPr="0013396E">
        <w:t>6.6.12</w:t>
      </w:r>
      <w:r w:rsidRPr="0013396E">
        <w:tab/>
        <w:t>Make-Whole Payment for Switchable Generation Resources Committed for Energy Emergency Alert (EEA)</w:t>
      </w:r>
      <w:bookmarkEnd w:id="2202"/>
    </w:p>
    <w:p w14:paraId="2AB1E843" w14:textId="77777777" w:rsidR="00236104" w:rsidRPr="0013396E" w:rsidRDefault="00236104" w:rsidP="00236104">
      <w:pPr>
        <w:pStyle w:val="BodyTextNumbered"/>
      </w:pPr>
      <w:r w:rsidRPr="0013396E">
        <w:t>(1)</w:t>
      </w:r>
      <w:r w:rsidRPr="0013396E">
        <w:tab/>
        <w:t xml:space="preserve">If ERCOT directs a Switchable Generation Resource (SWGR) to switch to the ERCOT Control Area for an actual or anticipated Energy Emergency Alert (EEA) condition, ERCOT shall pay the QSE representing the SWGR a Switchable Generation Make-Whole </w:t>
      </w:r>
      <w:r w:rsidR="00C0502C" w:rsidRPr="0013396E">
        <w:t xml:space="preserve">Payment (SWMWAMT) as </w:t>
      </w:r>
      <w:r w:rsidRPr="0013396E">
        <w:t>calculated in Section 6.6.12.1, Switchable Generation Make-Whole Payment, if the QSE has:</w:t>
      </w:r>
    </w:p>
    <w:p w14:paraId="062825AA" w14:textId="419E3E62" w:rsidR="00236104" w:rsidRPr="0013396E" w:rsidRDefault="00236104" w:rsidP="00236104">
      <w:pPr>
        <w:spacing w:after="240"/>
        <w:ind w:left="1440" w:hanging="720"/>
      </w:pPr>
      <w:r w:rsidRPr="0013396E">
        <w:t>(a)</w:t>
      </w:r>
      <w:r w:rsidRPr="0013396E">
        <w:tab/>
        <w:t>Not opted out of the RUC instruction</w:t>
      </w:r>
      <w:r w:rsidR="00FC5B77" w:rsidRPr="0013396E">
        <w:t>, which may be a verbal RUC,</w:t>
      </w:r>
      <w:r w:rsidRPr="0013396E">
        <w:t xml:space="preserve"> per the process described in paragraph (1</w:t>
      </w:r>
      <w:r w:rsidR="00910305" w:rsidRPr="0013396E">
        <w:t>4</w:t>
      </w:r>
      <w:r w:rsidRPr="0013396E">
        <w:t>) of Section 5.5.2, Reliability Unit Commitment (RUC) Process;</w:t>
      </w:r>
    </w:p>
    <w:p w14:paraId="4D399DA2" w14:textId="41A11D31" w:rsidR="00236104" w:rsidRPr="0013396E" w:rsidRDefault="00236104" w:rsidP="00E330FE">
      <w:pPr>
        <w:spacing w:after="240"/>
        <w:ind w:left="1440" w:hanging="720"/>
      </w:pPr>
      <w:r w:rsidRPr="0013396E">
        <w:t>(b)</w:t>
      </w:r>
      <w:r w:rsidRPr="0013396E">
        <w:tab/>
        <w:t>Complied with the RUC instruction</w:t>
      </w:r>
      <w:r w:rsidR="00FC5B77" w:rsidRPr="0013396E">
        <w:t>, which may be a verbal RUC,</w:t>
      </w:r>
      <w:r w:rsidRPr="0013396E">
        <w:t xml:space="preserve"> to switch to the ERCOT Control Area and start the Resource;</w:t>
      </w:r>
    </w:p>
    <w:p w14:paraId="36613681" w14:textId="77777777" w:rsidR="00236104" w:rsidRPr="0013396E" w:rsidRDefault="00236104" w:rsidP="00236104">
      <w:pPr>
        <w:spacing w:after="240"/>
        <w:ind w:left="1440" w:hanging="720"/>
      </w:pPr>
      <w:r w:rsidRPr="0013396E">
        <w:t>(c)</w:t>
      </w:r>
      <w:r w:rsidRPr="0013396E">
        <w:tab/>
        <w:t xml:space="preserve">Submitted a timely Settlement and billing dispute, including the following items: </w:t>
      </w:r>
    </w:p>
    <w:p w14:paraId="4A74C6DC" w14:textId="77777777" w:rsidR="00236104" w:rsidRPr="0013396E" w:rsidRDefault="00236104" w:rsidP="00236104">
      <w:pPr>
        <w:spacing w:after="240"/>
        <w:ind w:left="2160" w:hanging="720"/>
      </w:pPr>
      <w:r w:rsidRPr="0013396E">
        <w:t>(i)</w:t>
      </w:r>
      <w:r w:rsidRPr="0013396E">
        <w:tab/>
        <w:t>An attestation signed by an officer or executive with authority to bind the QSE stating that the information contained in the submission is accurate;</w:t>
      </w:r>
    </w:p>
    <w:p w14:paraId="7CFDB126" w14:textId="77777777" w:rsidR="00236104" w:rsidRPr="0013396E" w:rsidRDefault="00236104" w:rsidP="00236104">
      <w:pPr>
        <w:spacing w:after="240"/>
        <w:ind w:left="2160" w:hanging="720"/>
      </w:pPr>
      <w:r w:rsidRPr="0013396E">
        <w:t>(ii)</w:t>
      </w:r>
      <w:r w:rsidRPr="0013396E">
        <w:tab/>
        <w:t>The dollar amount and calculation of the financial loss, if applicable, by Settlement Interval for:</w:t>
      </w:r>
    </w:p>
    <w:p w14:paraId="2B81E6BB" w14:textId="7DEC3803" w:rsidR="00236104" w:rsidRPr="0013396E" w:rsidRDefault="00236104" w:rsidP="00236104">
      <w:pPr>
        <w:spacing w:after="240"/>
        <w:ind w:left="2880" w:hanging="720"/>
      </w:pPr>
      <w:r w:rsidRPr="0013396E">
        <w:lastRenderedPageBreak/>
        <w:t>(A)</w:t>
      </w:r>
      <w:r w:rsidRPr="0013396E">
        <w:tab/>
      </w:r>
      <w:r w:rsidR="00FC5B77" w:rsidRPr="0013396E">
        <w:t>E</w:t>
      </w:r>
      <w:r w:rsidRPr="0013396E">
        <w:t xml:space="preserve">nergy and ancillary service imbalance costs assessed under the non-ERCOT Control Area </w:t>
      </w:r>
      <w:r w:rsidR="00C0502C" w:rsidRPr="0013396E">
        <w:t xml:space="preserve">Operator’s (CAO’s) </w:t>
      </w:r>
      <w:r w:rsidRPr="0013396E">
        <w:t xml:space="preserve">settlement process arising from </w:t>
      </w:r>
      <w:r w:rsidR="00FC5B77" w:rsidRPr="0013396E">
        <w:t xml:space="preserve">DAM </w:t>
      </w:r>
      <w:r w:rsidRPr="0013396E">
        <w:t>energy and ancillary service obligations of the SWGR in the non-ERCOT Control Area for the time period starting at the initiation of the ramp-down in the non-ERCOT Control Area to two hours following the time ERCOT released the SWGR;</w:t>
      </w:r>
    </w:p>
    <w:p w14:paraId="317D6B60" w14:textId="77777777" w:rsidR="00236104" w:rsidRPr="0013396E" w:rsidRDefault="00236104" w:rsidP="00236104">
      <w:pPr>
        <w:pStyle w:val="List3"/>
      </w:pPr>
      <w:r w:rsidRPr="0013396E">
        <w:t>(B)</w:t>
      </w:r>
      <w:r w:rsidRPr="0013396E">
        <w:tab/>
        <w:t>Incremental fuel costs incurred to comply with the instruction.  Incremental fuel costs may include only those fuel costs described in Section 9.14.9, Incremental Fuel Costs for Switchable Generation Make-Whole Payment Disputes;</w:t>
      </w:r>
    </w:p>
    <w:p w14:paraId="338D1ABE" w14:textId="77777777" w:rsidR="00236104" w:rsidRPr="0013396E" w:rsidRDefault="00236104" w:rsidP="00236104">
      <w:pPr>
        <w:pStyle w:val="List3"/>
      </w:pPr>
      <w:r w:rsidRPr="0013396E">
        <w:t>(C)</w:t>
      </w:r>
      <w:r w:rsidRPr="0013396E">
        <w:tab/>
        <w:t xml:space="preserve">Make-Whole Payment distribution costs for the commitment of generation resources in the non-ERCOT Control Area arising from the need to replace the energy and ancillary service obligations of the generation instructed via a RUC instruction to switch into the ERCOT Control Area; </w:t>
      </w:r>
    </w:p>
    <w:p w14:paraId="4747AED5" w14:textId="77777777" w:rsidR="00236104" w:rsidRPr="0013396E" w:rsidRDefault="00236104" w:rsidP="00236104">
      <w:pPr>
        <w:pStyle w:val="List3"/>
      </w:pPr>
      <w:r w:rsidRPr="0013396E">
        <w:t>(D)</w:t>
      </w:r>
      <w:r w:rsidRPr="0013396E">
        <w:tab/>
        <w:t>Pipeline imbalance penalty costs arising from the SWGR not consuming or consuming over its contracted fuel quantities as a result of a switch from a non-ERCOT Control Area as requested by ERCOT.  Fuel imbalance penalty costs are limited to those costs assessed for the period starting at the initiation of the ramp-down in the non-ERCOT Control Area to two hours following the time ERCOT released the SWGR;</w:t>
      </w:r>
    </w:p>
    <w:p w14:paraId="240B09FB" w14:textId="77777777" w:rsidR="00236104" w:rsidRPr="0013396E" w:rsidRDefault="00236104" w:rsidP="00236104">
      <w:pPr>
        <w:spacing w:after="240"/>
        <w:ind w:left="2160" w:hanging="720"/>
      </w:pPr>
      <w:r w:rsidRPr="0013396E">
        <w:t>(iii)</w:t>
      </w:r>
      <w:r w:rsidRPr="0013396E">
        <w:tab/>
        <w:t xml:space="preserve">Sufficient documentation to support the QSE’s calculation of the amount of the financial loss and all submitted costs. </w:t>
      </w:r>
    </w:p>
    <w:p w14:paraId="568AAB8A" w14:textId="77777777" w:rsidR="00236104" w:rsidRPr="0013396E" w:rsidRDefault="00236104" w:rsidP="00236104">
      <w:pPr>
        <w:spacing w:after="240"/>
        <w:ind w:left="720" w:hanging="720"/>
      </w:pPr>
      <w:r w:rsidRPr="0013396E">
        <w:t>(2)</w:t>
      </w:r>
      <w:r w:rsidRPr="0013396E">
        <w:tab/>
        <w:t>For a SWGR without approved verifiable costs, the startup and minimum-energy costs will be determined based on generic costs as described in Section 4.4.9.2.3, Startup Offer and Minimum-Energy Offer Generic Caps.  If generic costs are insufficient to cover startup and minimum-energy costs of the SWGR, the QSE may provide documentation and request that generic costs be replaced by proxy costs, if available, as determined by ERCOT.</w:t>
      </w:r>
    </w:p>
    <w:p w14:paraId="20E3A04E" w14:textId="77777777" w:rsidR="00236104" w:rsidRPr="0013396E" w:rsidRDefault="00236104" w:rsidP="00236104">
      <w:pPr>
        <w:spacing w:after="240"/>
        <w:ind w:left="720" w:hanging="720"/>
      </w:pPr>
      <w:r w:rsidRPr="0013396E">
        <w:t>(3)</w:t>
      </w:r>
      <w:r w:rsidRPr="0013396E">
        <w:tab/>
        <w:t>For a SWGR that is a Combined Cycle Generation Resource, all operating costs are those costs for the Combined Cycle Generation Resource within the Combined Cycle Train that is instructed for the hour.  If the QSE representing a Combined Cycle Generation Resource complies with a RUC instruction by ERCOT to transition from one Combined Cycle Generation Resource to a different Combined Cycle Generation Resource within the Combined Cycle Train, the incremental cost to transition shall be included in the Switchable Generation Start-Up Cost (SWSUC), as calculated in Section 6.6.12.1, for the Combined Cycle Resource.</w:t>
      </w:r>
    </w:p>
    <w:p w14:paraId="370D2EE5" w14:textId="77777777" w:rsidR="00FC5B77" w:rsidRPr="0013396E" w:rsidRDefault="00FC5B77" w:rsidP="00FC5B77">
      <w:pPr>
        <w:spacing w:after="240"/>
        <w:ind w:left="720" w:hanging="720"/>
      </w:pPr>
      <w:r w:rsidRPr="0013396E">
        <w:lastRenderedPageBreak/>
        <w:t>(4)</w:t>
      </w:r>
      <w:r w:rsidRPr="0013396E">
        <w:tab/>
        <w:t xml:space="preserve">A QSE representing a SWGR that is committed through an ERCOT instruction to switch to the ERCOT Control Area may recover lost revenue, net of saved fuel costs, attributable to a reduction in the output of other ERCOT-connected generators that are part of a Combined Cycle Train that includes the RUC-committed SWGR if the following conditions have been met:  </w:t>
      </w:r>
    </w:p>
    <w:p w14:paraId="0FCCEB39" w14:textId="77777777" w:rsidR="00FC5B77" w:rsidRPr="0013396E" w:rsidRDefault="00FC5B77" w:rsidP="00FC5B77">
      <w:pPr>
        <w:spacing w:after="240"/>
        <w:ind w:left="1440" w:hanging="720"/>
      </w:pPr>
      <w:r w:rsidRPr="0013396E">
        <w:t xml:space="preserve">(a) </w:t>
      </w:r>
      <w:r w:rsidRPr="0013396E">
        <w:tab/>
        <w:t xml:space="preserve">The QSE had to turn off one or more generators that were physically connected to the non-ERCOT Control Area in order to achieve the instructed switch, or had to turn off one or more generators that were physically connected to the ERCOT System in order to switch back to the non-ERCOT Control Area, in which case it must have completed the shutdown sequence within 60 minutes of the end of the RUC instruction; and </w:t>
      </w:r>
    </w:p>
    <w:p w14:paraId="4368AFFD" w14:textId="77777777" w:rsidR="00FC5B77" w:rsidRPr="0013396E" w:rsidRDefault="00FC5B77" w:rsidP="00FC5B77">
      <w:pPr>
        <w:spacing w:after="240"/>
        <w:ind w:left="1440" w:hanging="720"/>
      </w:pPr>
      <w:r w:rsidRPr="0013396E">
        <w:t xml:space="preserve">(b) </w:t>
      </w:r>
      <w:r w:rsidRPr="0013396E">
        <w:tab/>
        <w:t>As a consequence of turning off one or more generators to facilitate a switch described in paragraph (a) above, the output of one or more generators in the configuration operating in ERCOT at the time of the instruction had to be reduced.</w:t>
      </w:r>
    </w:p>
    <w:p w14:paraId="2234654A" w14:textId="77777777" w:rsidR="00FC5B77" w:rsidRPr="0013396E" w:rsidRDefault="00FC5B77" w:rsidP="00FC5B77">
      <w:pPr>
        <w:spacing w:after="240"/>
        <w:ind w:left="720" w:hanging="720"/>
      </w:pPr>
      <w:r w:rsidRPr="0013396E">
        <w:t xml:space="preserve">(5) </w:t>
      </w:r>
      <w:r w:rsidRPr="0013396E">
        <w:tab/>
        <w:t xml:space="preserve">The lost revenue, net of saved fuel costs, described in paragraph (4) above shall be included in the Switchable Generation Cost Guarantee (SWCG), as calculated in Section 6.6.12.1, for the Combined Cycle Generation Resource.  </w:t>
      </w:r>
    </w:p>
    <w:p w14:paraId="4F1E7C55" w14:textId="2B0B6BF4" w:rsidR="00FC5B77" w:rsidRPr="0013396E" w:rsidRDefault="00FC5B77" w:rsidP="00FC5B77">
      <w:pPr>
        <w:spacing w:after="240"/>
        <w:ind w:left="720" w:hanging="720"/>
      </w:pPr>
      <w:r w:rsidRPr="0013396E">
        <w:t>(6)</w:t>
      </w:r>
      <w:r w:rsidRPr="0013396E">
        <w:tab/>
        <w:t xml:space="preserve">For a SWGR switching from a non-ERCOT Control Area, the compensation described in paragraph (4) above shall be determined for the period from the commencement of the shutdown sequence of the switched unit in the non-ERCOT Control Area until breaker close in the ERCOT Control Area.  For a SWGR switching to a non-ERCOT Control Area within 60 minutes of the end of the RUC </w:t>
      </w:r>
      <w:r w:rsidR="00CC0885" w:rsidRPr="0013396E">
        <w:t>i</w:t>
      </w:r>
      <w:r w:rsidRPr="0013396E">
        <w:t xml:space="preserve">nstruction, the compensation described in paragraph (4) above shall be determined for the period from the commencement of the shutdown sequence of the unit in the ERCOT System until breaker close in the non-ERCOT Control Area, with a maximum duration equal to the duration of the switch from the non-ERCOT Control Area to ERCOT pursuant to the RUC instruction.   </w:t>
      </w:r>
    </w:p>
    <w:p w14:paraId="5F94A869" w14:textId="095C92C8" w:rsidR="00FC5B77" w:rsidRPr="0013396E" w:rsidRDefault="00FC5B77" w:rsidP="00FC5B77">
      <w:pPr>
        <w:spacing w:after="240"/>
        <w:ind w:left="720" w:hanging="720"/>
      </w:pPr>
      <w:r w:rsidRPr="0013396E">
        <w:t xml:space="preserve">(7) </w:t>
      </w:r>
      <w:r w:rsidRPr="0013396E">
        <w:tab/>
        <w:t xml:space="preserve">A QSE that is entitled to compensation under paragraph (4) above, or the Resource Entity for the affected SWGR, must provide the following documentation for the Combined Cycle Train to verify the lost revenue: </w:t>
      </w:r>
    </w:p>
    <w:p w14:paraId="650DB4AF" w14:textId="77777777" w:rsidR="00FC5B77" w:rsidRPr="0013396E" w:rsidRDefault="00FC5B77" w:rsidP="00FC5B77">
      <w:pPr>
        <w:spacing w:after="240"/>
        <w:ind w:left="1440" w:hanging="720"/>
      </w:pPr>
      <w:r w:rsidRPr="0013396E">
        <w:t xml:space="preserve">(a) </w:t>
      </w:r>
      <w:r w:rsidRPr="0013396E">
        <w:tab/>
        <w:t>Documentation of the Real-Time output of each unit in the Combined Cycle Train, whether operating in ERCOT or in the non-ERCOT Control Area;</w:t>
      </w:r>
    </w:p>
    <w:p w14:paraId="59D99708" w14:textId="77777777" w:rsidR="00FC5B77" w:rsidRPr="0013396E" w:rsidRDefault="00FC5B77" w:rsidP="00FC5B77">
      <w:pPr>
        <w:spacing w:after="240"/>
        <w:ind w:left="1440" w:hanging="720"/>
      </w:pPr>
      <w:r w:rsidRPr="0013396E">
        <w:t xml:space="preserve">(b) </w:t>
      </w:r>
      <w:r w:rsidRPr="0013396E">
        <w:tab/>
        <w:t>For thermal units, the Input-Output Equation or other documentation that allows for calculating the reduction in fuel consumption if the unit had to reduce generation;</w:t>
      </w:r>
    </w:p>
    <w:p w14:paraId="0B83F89C" w14:textId="77777777" w:rsidR="00FC5B77" w:rsidRPr="0013396E" w:rsidRDefault="00FC5B77" w:rsidP="00FC5B77">
      <w:pPr>
        <w:spacing w:after="240"/>
        <w:ind w:left="1440" w:hanging="720"/>
      </w:pPr>
      <w:r w:rsidRPr="0013396E">
        <w:t xml:space="preserve">(c) </w:t>
      </w:r>
      <w:r w:rsidRPr="0013396E">
        <w:tab/>
        <w:t>Documentation of the time the shutdown sequence started while switching to ERCOT, and if the QSE seeks recovery of lost revenues for a switch to the non-ERCOT Control Area, documentation of the time the breaker closed in the non-ERCOT Control Area, which is subject to verification with the non-ERCOT Control Area operator;</w:t>
      </w:r>
    </w:p>
    <w:p w14:paraId="60E51EF5" w14:textId="77777777" w:rsidR="00FC5B77" w:rsidRPr="0013396E" w:rsidRDefault="00FC5B77" w:rsidP="00FC5B77">
      <w:pPr>
        <w:spacing w:after="240"/>
        <w:ind w:left="1440" w:hanging="720"/>
      </w:pPr>
      <w:r w:rsidRPr="0013396E">
        <w:lastRenderedPageBreak/>
        <w:t xml:space="preserve">(d) </w:t>
      </w:r>
      <w:r w:rsidRPr="0013396E">
        <w:tab/>
        <w:t>Documentation showing which combustion turbine of the Combined Cycle Generation Resource is providing the auxiliary service; and</w:t>
      </w:r>
    </w:p>
    <w:p w14:paraId="50E1963D" w14:textId="77777777" w:rsidR="00FC5B77" w:rsidRPr="0013396E" w:rsidRDefault="00FC5B77" w:rsidP="00FC5B77">
      <w:pPr>
        <w:spacing w:after="240"/>
        <w:ind w:left="1440" w:hanging="720"/>
      </w:pPr>
      <w:r w:rsidRPr="0013396E">
        <w:t xml:space="preserve">(e) </w:t>
      </w:r>
      <w:r w:rsidRPr="0013396E">
        <w:tab/>
        <w:t>Any other technical documentation ERCOT finds necessary to verify the performance and physical characteristics of the Combined Cycle Train or any component thereof, such as thermal balance diagrams.</w:t>
      </w:r>
    </w:p>
    <w:p w14:paraId="57899BA3" w14:textId="6A2DC8BE" w:rsidR="00236104" w:rsidRPr="0013396E" w:rsidRDefault="00236104" w:rsidP="00FC5B77">
      <w:pPr>
        <w:spacing w:after="240"/>
        <w:ind w:left="720" w:hanging="720"/>
      </w:pPr>
      <w:r w:rsidRPr="0013396E">
        <w:t>(</w:t>
      </w:r>
      <w:r w:rsidR="00FC5B77" w:rsidRPr="0013396E">
        <w:t>8</w:t>
      </w:r>
      <w:r w:rsidRPr="0013396E">
        <w:t>)</w:t>
      </w:r>
      <w:r w:rsidRPr="0013396E">
        <w:tab/>
        <w:t>The Startup Cost for the SWGR shall include the cost for starting in the ERCOT Control Area and, if the SWGR starts up in the non-ERCOT Control Area within 24 hours of being released from ERCOT, the cost of starting in the non-ERCOT Control Area, which will be based on the same warmth state.</w:t>
      </w:r>
    </w:p>
    <w:p w14:paraId="5524AB1C" w14:textId="797B1263" w:rsidR="00236104" w:rsidRPr="0013396E" w:rsidRDefault="00236104" w:rsidP="00236104">
      <w:pPr>
        <w:spacing w:after="240"/>
        <w:ind w:left="720" w:hanging="720"/>
      </w:pPr>
      <w:r w:rsidRPr="0013396E">
        <w:t>(</w:t>
      </w:r>
      <w:r w:rsidR="00FC5B77" w:rsidRPr="0013396E">
        <w:t>9</w:t>
      </w:r>
      <w:r w:rsidRPr="0013396E">
        <w:t xml:space="preserve">) </w:t>
      </w:r>
      <w:r w:rsidRPr="0013396E">
        <w:tab/>
        <w:t>ERCOT may request additional supporting documentation or explanation with respect to the submitted materials within 15 Business Days of receipt.  Additional information requested by ERCOT must be provided by the QSE within 15 Business Days of ERCOT’s request.  ERCOT will provide Notice of its acceptance or rejection of the claim for the</w:t>
      </w:r>
      <w:r w:rsidR="00C0502C" w:rsidRPr="0013396E">
        <w:t xml:space="preserve"> SWMWAMT</w:t>
      </w:r>
      <w:r w:rsidRPr="0013396E">
        <w:t xml:space="preserve"> within 15 Business Days of the updated submission.</w:t>
      </w:r>
    </w:p>
    <w:p w14:paraId="7AC5246A" w14:textId="784C370E" w:rsidR="0006334F" w:rsidRPr="0013396E" w:rsidRDefault="00236104" w:rsidP="00CC0885">
      <w:pPr>
        <w:spacing w:after="240"/>
        <w:ind w:left="720" w:hanging="720"/>
      </w:pPr>
      <w:r w:rsidRPr="0013396E">
        <w:t>(</w:t>
      </w:r>
      <w:r w:rsidR="00FC5B77" w:rsidRPr="0013396E">
        <w:t>10</w:t>
      </w:r>
      <w:r w:rsidRPr="0013396E">
        <w:t xml:space="preserve">) </w:t>
      </w:r>
      <w:r w:rsidRPr="0013396E">
        <w:tab/>
        <w:t>If ERCOT denies all or a portion of a QSE’s non-ERCOT Control Area costs, pursuant to paragraph (1)(c)(ii) above, the QSE may submit a request for ADR as described in Section 20, Alternative Dispute Resolution Procedure</w:t>
      </w:r>
      <w:r w:rsidR="00992E7F" w:rsidRPr="0013396E">
        <w:t xml:space="preserve"> and Procedure for Return of Settlement Funds</w:t>
      </w:r>
      <w:r w:rsidRPr="0013396E">
        <w:t>.</w:t>
      </w:r>
    </w:p>
    <w:p w14:paraId="7812EF24" w14:textId="77777777" w:rsidR="00236104" w:rsidRPr="0013396E" w:rsidRDefault="00236104" w:rsidP="00043D95">
      <w:pPr>
        <w:pStyle w:val="H4"/>
        <w:spacing w:before="480"/>
        <w:ind w:left="1267" w:hanging="1267"/>
      </w:pPr>
      <w:bookmarkStart w:id="2203" w:name="_Toc236220231"/>
      <w:bookmarkStart w:id="2204" w:name="_Toc397505045"/>
      <w:bookmarkStart w:id="2205" w:name="_Toc402357177"/>
      <w:bookmarkStart w:id="2206" w:name="_Toc422486557"/>
      <w:bookmarkStart w:id="2207" w:name="_Toc433093410"/>
      <w:bookmarkStart w:id="2208" w:name="_Toc433093568"/>
      <w:bookmarkStart w:id="2209" w:name="_Toc440874798"/>
      <w:bookmarkStart w:id="2210" w:name="_Toc448142355"/>
      <w:bookmarkStart w:id="2211" w:name="_Toc448142512"/>
      <w:bookmarkStart w:id="2212" w:name="_Toc458770353"/>
      <w:bookmarkStart w:id="2213" w:name="_Toc459294321"/>
      <w:bookmarkStart w:id="2214" w:name="_Toc463262815"/>
      <w:bookmarkStart w:id="2215" w:name="_Toc468286888"/>
      <w:bookmarkStart w:id="2216" w:name="_Toc481502928"/>
      <w:bookmarkStart w:id="2217" w:name="_Toc496080096"/>
      <w:r w:rsidRPr="0013396E">
        <w:t>6.6.12.1</w:t>
      </w:r>
      <w:r w:rsidRPr="0013396E">
        <w:tab/>
        <w:t>Switchable Generation Make-Whole Payment</w:t>
      </w:r>
      <w:bookmarkEnd w:id="2203"/>
    </w:p>
    <w:p w14:paraId="4DA171CC" w14:textId="77777777" w:rsidR="00C236A2" w:rsidRPr="0013396E" w:rsidRDefault="00C236A2" w:rsidP="00C236A2">
      <w:pPr>
        <w:ind w:left="720" w:hanging="720"/>
      </w:pPr>
      <w:r w:rsidRPr="0013396E">
        <w:t>(1)</w:t>
      </w:r>
      <w:r w:rsidRPr="0013396E">
        <w:tab/>
        <w:t>To compensate QSEs representing SWGRs that switch to the ERCOT Control Area from a non-ERCOT Control Area pursuant to an ERCOT RUC instruction for an actual or anticipated EEA condition, ERCOT shall calculate a Switchable Generation Make-Whole Payment (SWMWAMT) for an Operating Day, allocated to each instructed Operating Hour as follows:</w:t>
      </w:r>
    </w:p>
    <w:p w14:paraId="45978AEE" w14:textId="77777777" w:rsidR="00C236A2" w:rsidRPr="0013396E" w:rsidRDefault="00C236A2" w:rsidP="00C236A2"/>
    <w:p w14:paraId="61B9B4E9" w14:textId="77777777" w:rsidR="00C236A2" w:rsidRPr="0013396E" w:rsidRDefault="00C236A2" w:rsidP="00C236A2">
      <w:pPr>
        <w:tabs>
          <w:tab w:val="left" w:pos="2250"/>
          <w:tab w:val="left" w:pos="3150"/>
          <w:tab w:val="left" w:pos="3960"/>
        </w:tabs>
        <w:spacing w:after="240"/>
        <w:ind w:left="3960" w:hanging="3240"/>
        <w:rPr>
          <w:b/>
          <w:bCs/>
          <w:i/>
          <w:vertAlign w:val="subscript"/>
        </w:rPr>
      </w:pPr>
      <w:r w:rsidRPr="0013396E">
        <w:rPr>
          <w:b/>
          <w:bCs/>
        </w:rPr>
        <w:t xml:space="preserve">SWMWAMT </w:t>
      </w:r>
      <w:r w:rsidRPr="0013396E">
        <w:rPr>
          <w:b/>
          <w:bCs/>
          <w:i/>
          <w:vertAlign w:val="subscript"/>
        </w:rPr>
        <w:t>q, r</w:t>
      </w:r>
      <w:r w:rsidRPr="0013396E">
        <w:rPr>
          <w:b/>
          <w:bCs/>
        </w:rPr>
        <w:t xml:space="preserve">  =  (-1) * Max (0, (SWCG </w:t>
      </w:r>
      <w:r w:rsidRPr="0013396E">
        <w:rPr>
          <w:b/>
          <w:bCs/>
          <w:i/>
          <w:vertAlign w:val="subscript"/>
        </w:rPr>
        <w:t>q, r, d</w:t>
      </w:r>
      <w:r w:rsidRPr="0013396E">
        <w:rPr>
          <w:b/>
          <w:bCs/>
        </w:rPr>
        <w:t xml:space="preserve"> – </w:t>
      </w:r>
      <w:r w:rsidRPr="0013396E">
        <w:rPr>
          <w:b/>
          <w:bCs/>
          <w:lang w:val="pt-BR"/>
        </w:rPr>
        <w:t>SWRTREV</w:t>
      </w:r>
      <w:r w:rsidRPr="0013396E">
        <w:rPr>
          <w:b/>
          <w:bCs/>
          <w:i/>
          <w:vertAlign w:val="subscript"/>
          <w:lang w:val="pt-BR"/>
        </w:rPr>
        <w:t xml:space="preserve"> q, r, d</w:t>
      </w:r>
      <w:r w:rsidRPr="0013396E">
        <w:rPr>
          <w:b/>
          <w:bCs/>
        </w:rPr>
        <w:t xml:space="preserve">)) / SWIHR </w:t>
      </w:r>
      <w:r w:rsidRPr="0013396E">
        <w:rPr>
          <w:b/>
          <w:bCs/>
          <w:i/>
          <w:vertAlign w:val="subscript"/>
        </w:rPr>
        <w:t>q, r, d</w:t>
      </w:r>
    </w:p>
    <w:p w14:paraId="2C5E306D" w14:textId="77777777" w:rsidR="00C236A2" w:rsidRPr="0013396E" w:rsidRDefault="00C236A2" w:rsidP="00C236A2">
      <w:pPr>
        <w:spacing w:after="240"/>
        <w:ind w:left="720"/>
      </w:pPr>
      <w:r w:rsidRPr="0013396E">
        <w:t>Where:</w:t>
      </w:r>
    </w:p>
    <w:p w14:paraId="3474A103" w14:textId="77777777" w:rsidR="00C236A2" w:rsidRPr="0013396E" w:rsidRDefault="00C236A2" w:rsidP="00C236A2">
      <w:pPr>
        <w:spacing w:after="240"/>
        <w:ind w:left="2250" w:hanging="1530"/>
      </w:pPr>
      <w:r w:rsidRPr="0013396E">
        <w:t xml:space="preserve">SWCG </w:t>
      </w:r>
      <w:r w:rsidRPr="0013396E">
        <w:rPr>
          <w:i/>
          <w:vertAlign w:val="subscript"/>
        </w:rPr>
        <w:t>q, r, d</w:t>
      </w:r>
      <w:r w:rsidRPr="0013396E">
        <w:t xml:space="preserve">  =  SWSUC </w:t>
      </w:r>
      <w:r w:rsidRPr="0013396E">
        <w:rPr>
          <w:i/>
          <w:vertAlign w:val="subscript"/>
        </w:rPr>
        <w:t>q, r, d</w:t>
      </w:r>
      <w:r w:rsidRPr="0013396E">
        <w:t xml:space="preserve"> + SWMEC </w:t>
      </w:r>
      <w:r w:rsidRPr="0013396E">
        <w:rPr>
          <w:i/>
          <w:vertAlign w:val="subscript"/>
        </w:rPr>
        <w:t>q, r, d</w:t>
      </w:r>
      <w:r w:rsidRPr="0013396E">
        <w:t xml:space="preserve"> + SWOC </w:t>
      </w:r>
      <w:r w:rsidRPr="0013396E">
        <w:rPr>
          <w:i/>
          <w:vertAlign w:val="subscript"/>
        </w:rPr>
        <w:t>q, r, d</w:t>
      </w:r>
      <w:r w:rsidRPr="0013396E">
        <w:t xml:space="preserve"> + SWAC</w:t>
      </w:r>
      <w:r w:rsidRPr="0013396E">
        <w:rPr>
          <w:i/>
          <w:vertAlign w:val="subscript"/>
        </w:rPr>
        <w:t xml:space="preserve"> q, r, d</w:t>
      </w:r>
      <w:r w:rsidRPr="0013396E">
        <w:t xml:space="preserve">  + </w:t>
      </w:r>
    </w:p>
    <w:p w14:paraId="7951BAA4" w14:textId="77777777" w:rsidR="00C236A2" w:rsidRPr="0013396E" w:rsidRDefault="00C236A2" w:rsidP="00C236A2">
      <w:pPr>
        <w:spacing w:after="240"/>
        <w:ind w:left="2250" w:hanging="90"/>
      </w:pPr>
      <w:r w:rsidRPr="0013396E">
        <w:t>SWPSLR</w:t>
      </w:r>
      <w:r w:rsidRPr="0013396E">
        <w:rPr>
          <w:i/>
          <w:vertAlign w:val="subscript"/>
        </w:rPr>
        <w:t xml:space="preserve"> q, r, d</w:t>
      </w:r>
    </w:p>
    <w:p w14:paraId="4F721B84" w14:textId="77B1008C" w:rsidR="00C236A2" w:rsidRPr="0013396E" w:rsidRDefault="00C236A2" w:rsidP="00C236A2">
      <w:pPr>
        <w:spacing w:after="240"/>
        <w:ind w:left="2250" w:hanging="1530"/>
        <w:rPr>
          <w:lang w:val="pt-BR"/>
        </w:rPr>
      </w:pPr>
      <w:r w:rsidRPr="0013396E">
        <w:rPr>
          <w:lang w:val="pt-BR"/>
        </w:rPr>
        <w:t>SW</w:t>
      </w:r>
      <w:r w:rsidRPr="0013396E">
        <w:rPr>
          <w:bCs/>
          <w:lang w:val="pt-BR"/>
        </w:rPr>
        <w:t xml:space="preserve">RTREV </w:t>
      </w:r>
      <w:r w:rsidRPr="0013396E">
        <w:rPr>
          <w:i/>
          <w:vertAlign w:val="subscript"/>
          <w:lang w:val="pt-BR"/>
        </w:rPr>
        <w:t>q</w:t>
      </w:r>
      <w:r w:rsidRPr="0013396E">
        <w:rPr>
          <w:i/>
          <w:vertAlign w:val="subscript"/>
          <w:lang w:val="it-IT"/>
        </w:rPr>
        <w:t>, r, d</w:t>
      </w:r>
      <w:r w:rsidRPr="0013396E">
        <w:rPr>
          <w:lang w:val="it-IT"/>
        </w:rPr>
        <w:t xml:space="preserve">   </w:t>
      </w:r>
      <w:r w:rsidRPr="0013396E">
        <w:t xml:space="preserve">=  </w:t>
      </w:r>
      <w:r w:rsidRPr="0013396E">
        <w:rPr>
          <w:bCs/>
          <w:lang w:val="pt-BR"/>
        </w:rPr>
        <w:t xml:space="preserve">Max [0, </w:t>
      </w:r>
      <w:r w:rsidR="000B7133" w:rsidRPr="0013396E">
        <w:rPr>
          <w:position w:val="-20"/>
        </w:rPr>
        <w:object w:dxaOrig="220" w:dyaOrig="440" w14:anchorId="7E031067">
          <v:shape id="_x0000_i1246" type="#_x0000_t75" style="width:12pt;height:24pt" o:ole="">
            <v:imagedata r:id="rId93" o:title=""/>
          </v:shape>
          <o:OLEObject Type="Embed" ProgID="Equation.3" ShapeID="_x0000_i1246" DrawAspect="Content" ObjectID="_1849065876" r:id="rId317"/>
        </w:object>
      </w:r>
      <w:r w:rsidRPr="0013396E">
        <w:t>(</w:t>
      </w:r>
      <w:r w:rsidRPr="0013396E">
        <w:rPr>
          <w:bCs/>
          <w:lang w:val="pt-BR"/>
        </w:rPr>
        <w:t>RTSP</w:t>
      </w:r>
      <w:r w:rsidRPr="0013396E">
        <w:rPr>
          <w:lang w:val="pt-BR"/>
        </w:rPr>
        <w:t>P</w:t>
      </w:r>
      <w:r w:rsidRPr="0013396E">
        <w:rPr>
          <w:b/>
          <w:i/>
          <w:vertAlign w:val="subscript"/>
        </w:rPr>
        <w:t xml:space="preserve"> </w:t>
      </w:r>
      <w:r w:rsidRPr="0013396E">
        <w:rPr>
          <w:i/>
          <w:vertAlign w:val="subscript"/>
        </w:rPr>
        <w:t>p, i</w:t>
      </w:r>
      <w:r w:rsidRPr="0013396E">
        <w:rPr>
          <w:lang w:val="pt-BR"/>
        </w:rPr>
        <w:t xml:space="preserve"> * </w:t>
      </w:r>
      <w:r w:rsidRPr="0013396E">
        <w:t>RTMG</w:t>
      </w:r>
      <w:r w:rsidRPr="0013396E">
        <w:rPr>
          <w:b/>
          <w:i/>
          <w:vertAlign w:val="subscript"/>
        </w:rPr>
        <w:t xml:space="preserve"> </w:t>
      </w:r>
      <w:r w:rsidRPr="0013396E">
        <w:rPr>
          <w:i/>
          <w:vertAlign w:val="subscript"/>
        </w:rPr>
        <w:t>q, r, i</w:t>
      </w:r>
      <w:r w:rsidRPr="0013396E">
        <w:rPr>
          <w:iCs/>
        </w:rPr>
        <w:t xml:space="preserve"> </w:t>
      </w:r>
      <w:r w:rsidRPr="0013396E">
        <w:rPr>
          <w:bCs/>
          <w:lang w:val="pt-BR"/>
        </w:rPr>
        <w:t>+ (-1) * (</w:t>
      </w:r>
      <w:r w:rsidRPr="0013396E">
        <w:rPr>
          <w:lang w:val="pt-BR"/>
        </w:rPr>
        <w:t xml:space="preserve">EMREAMT </w:t>
      </w:r>
      <w:r w:rsidRPr="0013396E">
        <w:rPr>
          <w:i/>
          <w:vertAlign w:val="subscript"/>
          <w:lang w:val="pt-BR"/>
        </w:rPr>
        <w:t xml:space="preserve">q, r, p, i </w:t>
      </w:r>
      <w:r w:rsidRPr="0013396E">
        <w:rPr>
          <w:lang w:val="pt-BR"/>
        </w:rPr>
        <w:t xml:space="preserve"> +  VSSVARAMT</w:t>
      </w:r>
      <w:r w:rsidRPr="0013396E">
        <w:t xml:space="preserve"> </w:t>
      </w:r>
      <w:r w:rsidRPr="0013396E">
        <w:rPr>
          <w:i/>
          <w:vertAlign w:val="subscript"/>
        </w:rPr>
        <w:t>q, r, i</w:t>
      </w:r>
      <w:r w:rsidRPr="0013396E">
        <w:rPr>
          <w:iCs/>
          <w:vertAlign w:val="subscript"/>
        </w:rPr>
        <w:t xml:space="preserve"> </w:t>
      </w:r>
      <w:r w:rsidRPr="0013396E">
        <w:rPr>
          <w:bCs/>
          <w:lang w:val="pt-BR"/>
        </w:rPr>
        <w:t xml:space="preserve">+ </w:t>
      </w:r>
      <w:r w:rsidRPr="0013396E">
        <w:rPr>
          <w:lang w:val="pt-BR"/>
        </w:rPr>
        <w:t xml:space="preserve">VSSEAMT </w:t>
      </w:r>
      <w:r w:rsidRPr="0013396E">
        <w:rPr>
          <w:i/>
          <w:vertAlign w:val="subscript"/>
          <w:lang w:val="pt-BR"/>
        </w:rPr>
        <w:t>q, r, i</w:t>
      </w:r>
      <w:r w:rsidRPr="0013396E">
        <w:rPr>
          <w:lang w:val="pt-BR"/>
        </w:rPr>
        <w:t>) + RTRUREV</w:t>
      </w:r>
      <w:r w:rsidRPr="0013396E">
        <w:t xml:space="preserve"> </w:t>
      </w:r>
      <w:r w:rsidRPr="0013396E">
        <w:rPr>
          <w:i/>
          <w:vertAlign w:val="subscript"/>
        </w:rPr>
        <w:t>q, r, i</w:t>
      </w:r>
      <w:r w:rsidRPr="0013396E" w:rsidDel="00D93367">
        <w:rPr>
          <w:lang w:val="pt-BR"/>
        </w:rPr>
        <w:t xml:space="preserve"> </w:t>
      </w:r>
      <w:r w:rsidRPr="0013396E">
        <w:rPr>
          <w:lang w:val="pt-BR"/>
        </w:rPr>
        <w:t xml:space="preserve"> + </w:t>
      </w:r>
      <w:r w:rsidRPr="0013396E">
        <w:rPr>
          <w:iCs/>
        </w:rPr>
        <w:t xml:space="preserve">RTRDREV </w:t>
      </w:r>
      <w:r w:rsidRPr="0013396E">
        <w:rPr>
          <w:i/>
          <w:vertAlign w:val="subscript"/>
          <w:lang w:val="it-IT"/>
        </w:rPr>
        <w:t>q, r</w:t>
      </w:r>
      <w:r w:rsidRPr="0013396E">
        <w:rPr>
          <w:i/>
          <w:vertAlign w:val="subscript"/>
        </w:rPr>
        <w:t>, i</w:t>
      </w:r>
      <w:r w:rsidRPr="0013396E">
        <w:rPr>
          <w:i/>
          <w:vertAlign w:val="subscript"/>
          <w:lang w:val="it-IT"/>
        </w:rPr>
        <w:t xml:space="preserve"> </w:t>
      </w:r>
      <w:r w:rsidRPr="0013396E">
        <w:rPr>
          <w:i/>
        </w:rPr>
        <w:t xml:space="preserve"> + </w:t>
      </w:r>
      <w:r w:rsidRPr="0013396E">
        <w:rPr>
          <w:iCs/>
        </w:rPr>
        <w:t xml:space="preserve">RTRRREV </w:t>
      </w:r>
      <w:r w:rsidRPr="0013396E">
        <w:rPr>
          <w:i/>
          <w:vertAlign w:val="subscript"/>
          <w:lang w:val="it-IT"/>
        </w:rPr>
        <w:t>q, r</w:t>
      </w:r>
      <w:r w:rsidRPr="0013396E">
        <w:rPr>
          <w:i/>
          <w:vertAlign w:val="subscript"/>
        </w:rPr>
        <w:t>, i</w:t>
      </w:r>
      <w:r w:rsidRPr="0013396E">
        <w:rPr>
          <w:i/>
          <w:vertAlign w:val="subscript"/>
          <w:lang w:val="it-IT"/>
        </w:rPr>
        <w:t xml:space="preserve"> </w:t>
      </w:r>
      <w:r w:rsidRPr="0013396E">
        <w:rPr>
          <w:i/>
        </w:rPr>
        <w:t xml:space="preserve"> +</w:t>
      </w:r>
      <w:r w:rsidRPr="0013396E">
        <w:rPr>
          <w:iCs/>
        </w:rPr>
        <w:t xml:space="preserve"> RTNSREV </w:t>
      </w:r>
      <w:r w:rsidRPr="0013396E">
        <w:rPr>
          <w:i/>
          <w:vertAlign w:val="subscript"/>
          <w:lang w:val="it-IT"/>
        </w:rPr>
        <w:t>q, r</w:t>
      </w:r>
      <w:r w:rsidRPr="0013396E">
        <w:rPr>
          <w:i/>
          <w:vertAlign w:val="subscript"/>
        </w:rPr>
        <w:t>, i</w:t>
      </w:r>
      <w:r w:rsidRPr="0013396E">
        <w:rPr>
          <w:i/>
          <w:vertAlign w:val="subscript"/>
          <w:lang w:val="it-IT"/>
        </w:rPr>
        <w:t xml:space="preserve"> </w:t>
      </w:r>
      <w:r w:rsidRPr="0013396E">
        <w:rPr>
          <w:i/>
        </w:rPr>
        <w:t xml:space="preserve"> + </w:t>
      </w:r>
      <w:r w:rsidRPr="0013396E">
        <w:rPr>
          <w:iCs/>
        </w:rPr>
        <w:t xml:space="preserve">RTECRREV </w:t>
      </w:r>
      <w:r w:rsidRPr="0013396E">
        <w:rPr>
          <w:i/>
          <w:vertAlign w:val="subscript"/>
          <w:lang w:val="it-IT"/>
        </w:rPr>
        <w:t>q, r</w:t>
      </w:r>
      <w:r w:rsidRPr="0013396E">
        <w:rPr>
          <w:i/>
          <w:vertAlign w:val="subscript"/>
        </w:rPr>
        <w:t>, i</w:t>
      </w:r>
      <w:r w:rsidRPr="0013396E">
        <w:rPr>
          <w:i/>
          <w:vertAlign w:val="subscript"/>
          <w:lang w:val="it-IT"/>
        </w:rPr>
        <w:t xml:space="preserve"> </w:t>
      </w:r>
      <w:r w:rsidRPr="0013396E">
        <w:rPr>
          <w:lang w:val="pt-BR"/>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B60F5" w:rsidRPr="0013396E" w14:paraId="577E49C5" w14:textId="77777777" w:rsidTr="00A86863">
        <w:trPr>
          <w:trHeight w:val="206"/>
        </w:trPr>
        <w:tc>
          <w:tcPr>
            <w:tcW w:w="9350" w:type="dxa"/>
            <w:shd w:val="pct12" w:color="auto" w:fill="auto"/>
          </w:tcPr>
          <w:p w14:paraId="45AD4ECF" w14:textId="19DBCD71" w:rsidR="009B60F5" w:rsidRPr="0013396E" w:rsidRDefault="009B60F5" w:rsidP="00A86863">
            <w:pPr>
              <w:spacing w:before="120" w:after="240"/>
              <w:rPr>
                <w:b/>
                <w:i/>
                <w:iCs/>
                <w:szCs w:val="24"/>
              </w:rPr>
            </w:pPr>
            <w:r w:rsidRPr="0013396E">
              <w:rPr>
                <w:b/>
                <w:i/>
                <w:iCs/>
                <w:szCs w:val="24"/>
              </w:rPr>
              <w:lastRenderedPageBreak/>
              <w:t>[NPRR1</w:t>
            </w:r>
            <w:r>
              <w:rPr>
                <w:b/>
                <w:i/>
                <w:iCs/>
                <w:szCs w:val="24"/>
              </w:rPr>
              <w:t>309</w:t>
            </w:r>
            <w:r w:rsidRPr="0013396E">
              <w:rPr>
                <w:b/>
                <w:i/>
                <w:iCs/>
                <w:szCs w:val="24"/>
              </w:rPr>
              <w:t xml:space="preserve">: </w:t>
            </w:r>
            <w:r>
              <w:rPr>
                <w:b/>
                <w:i/>
                <w:iCs/>
                <w:szCs w:val="24"/>
              </w:rPr>
              <w:t xml:space="preserve"> Replace the formula “</w:t>
            </w:r>
            <w:r w:rsidRPr="009B60F5">
              <w:rPr>
                <w:b/>
                <w:i/>
                <w:iCs/>
                <w:szCs w:val="24"/>
              </w:rPr>
              <w:t>SWRTREV</w:t>
            </w:r>
            <w:r w:rsidRPr="009B60F5">
              <w:rPr>
                <w:b/>
                <w:i/>
                <w:iCs/>
                <w:szCs w:val="24"/>
                <w:vertAlign w:val="subscript"/>
              </w:rPr>
              <w:t xml:space="preserve"> q, r, d</w:t>
            </w:r>
            <w:r>
              <w:rPr>
                <w:b/>
                <w:i/>
                <w:iCs/>
                <w:szCs w:val="24"/>
              </w:rPr>
              <w:t>” above with the following</w:t>
            </w:r>
            <w:r w:rsidRPr="0013396E">
              <w:rPr>
                <w:b/>
                <w:i/>
                <w:iCs/>
                <w:szCs w:val="24"/>
              </w:rPr>
              <w:t xml:space="preserve"> upon system implementation:]</w:t>
            </w:r>
          </w:p>
          <w:p w14:paraId="24B539FC" w14:textId="1AFB31C3" w:rsidR="009B60F5" w:rsidRPr="004A7B1D" w:rsidRDefault="009B60F5" w:rsidP="009B60F5">
            <w:pPr>
              <w:spacing w:after="240"/>
              <w:ind w:left="2250" w:hanging="1530"/>
              <w:rPr>
                <w:lang w:val="pt-BR"/>
              </w:rPr>
            </w:pPr>
            <w:r w:rsidRPr="009B60F5">
              <w:rPr>
                <w:lang w:val="pt-BR"/>
              </w:rPr>
              <w:t>SW</w:t>
            </w:r>
            <w:r w:rsidRPr="009B60F5">
              <w:rPr>
                <w:bCs/>
                <w:lang w:val="pt-BR"/>
              </w:rPr>
              <w:t xml:space="preserve">RTREV </w:t>
            </w:r>
            <w:r w:rsidRPr="009B60F5">
              <w:rPr>
                <w:i/>
                <w:vertAlign w:val="subscript"/>
                <w:lang w:val="pt-BR"/>
              </w:rPr>
              <w:t>q</w:t>
            </w:r>
            <w:r w:rsidRPr="009B60F5">
              <w:rPr>
                <w:i/>
                <w:vertAlign w:val="subscript"/>
                <w:lang w:val="it-IT"/>
              </w:rPr>
              <w:t>, r, d</w:t>
            </w:r>
            <w:r w:rsidRPr="009B60F5">
              <w:rPr>
                <w:lang w:val="it-IT"/>
              </w:rPr>
              <w:t xml:space="preserve">   </w:t>
            </w:r>
            <w:r w:rsidRPr="009B60F5">
              <w:t xml:space="preserve">=  </w:t>
            </w:r>
            <w:r w:rsidRPr="009B60F5">
              <w:rPr>
                <w:bCs/>
                <w:lang w:val="pt-BR"/>
              </w:rPr>
              <w:t xml:space="preserve">Max [0, </w:t>
            </w:r>
            <w:r w:rsidRPr="009B60F5">
              <w:rPr>
                <w:position w:val="-20"/>
              </w:rPr>
              <w:object w:dxaOrig="220" w:dyaOrig="440" w14:anchorId="43A7CD7F">
                <v:shape id="_x0000_i1247" type="#_x0000_t75" style="width:13.2pt;height:21.6pt" o:ole="">
                  <v:imagedata r:id="rId93" o:title=""/>
                </v:shape>
                <o:OLEObject Type="Embed" ProgID="Equation.3" ShapeID="_x0000_i1247" DrawAspect="Content" ObjectID="_1849065877" r:id="rId318"/>
              </w:object>
            </w:r>
            <w:r w:rsidRPr="009B60F5">
              <w:t>(</w:t>
            </w:r>
            <w:r w:rsidRPr="009B60F5">
              <w:rPr>
                <w:bCs/>
                <w:lang w:val="pt-BR"/>
              </w:rPr>
              <w:t>RTSP</w:t>
            </w:r>
            <w:r w:rsidRPr="009B60F5">
              <w:rPr>
                <w:lang w:val="pt-BR"/>
              </w:rPr>
              <w:t>P</w:t>
            </w:r>
            <w:r w:rsidRPr="009B60F5">
              <w:rPr>
                <w:b/>
                <w:i/>
                <w:vertAlign w:val="subscript"/>
              </w:rPr>
              <w:t xml:space="preserve"> </w:t>
            </w:r>
            <w:r w:rsidRPr="009B60F5">
              <w:rPr>
                <w:i/>
                <w:vertAlign w:val="subscript"/>
              </w:rPr>
              <w:t>p, i</w:t>
            </w:r>
            <w:r w:rsidRPr="009B60F5">
              <w:rPr>
                <w:lang w:val="pt-BR"/>
              </w:rPr>
              <w:t xml:space="preserve"> * </w:t>
            </w:r>
            <w:r w:rsidRPr="009B60F5">
              <w:t>RTMG</w:t>
            </w:r>
            <w:r w:rsidRPr="009B60F5">
              <w:rPr>
                <w:b/>
                <w:i/>
                <w:vertAlign w:val="subscript"/>
              </w:rPr>
              <w:t xml:space="preserve"> </w:t>
            </w:r>
            <w:r w:rsidRPr="009B60F5">
              <w:rPr>
                <w:i/>
                <w:vertAlign w:val="subscript"/>
              </w:rPr>
              <w:t>q, r, i</w:t>
            </w:r>
            <w:r w:rsidRPr="009B60F5">
              <w:rPr>
                <w:iCs/>
              </w:rPr>
              <w:t xml:space="preserve"> </w:t>
            </w:r>
            <w:r w:rsidRPr="009B60F5">
              <w:rPr>
                <w:bCs/>
                <w:lang w:val="pt-BR"/>
              </w:rPr>
              <w:t>+ (-1) * (</w:t>
            </w:r>
            <w:r w:rsidRPr="009B60F5">
              <w:rPr>
                <w:lang w:val="pt-BR"/>
              </w:rPr>
              <w:t xml:space="preserve">EMREAMT </w:t>
            </w:r>
            <w:r w:rsidRPr="009B60F5">
              <w:rPr>
                <w:i/>
                <w:vertAlign w:val="subscript"/>
                <w:lang w:val="pt-BR"/>
              </w:rPr>
              <w:t xml:space="preserve">q, r, p, i </w:t>
            </w:r>
            <w:r w:rsidRPr="009B60F5">
              <w:rPr>
                <w:lang w:val="pt-BR"/>
              </w:rPr>
              <w:t xml:space="preserve"> +  VSSVARAMT</w:t>
            </w:r>
            <w:r w:rsidRPr="009B60F5">
              <w:t xml:space="preserve"> </w:t>
            </w:r>
            <w:r w:rsidRPr="009B60F5">
              <w:rPr>
                <w:i/>
                <w:vertAlign w:val="subscript"/>
              </w:rPr>
              <w:t>q, r, i</w:t>
            </w:r>
            <w:r w:rsidRPr="009B60F5">
              <w:rPr>
                <w:iCs/>
                <w:vertAlign w:val="subscript"/>
              </w:rPr>
              <w:t xml:space="preserve"> </w:t>
            </w:r>
            <w:r w:rsidRPr="009B60F5">
              <w:rPr>
                <w:bCs/>
                <w:lang w:val="pt-BR"/>
              </w:rPr>
              <w:t xml:space="preserve">+ </w:t>
            </w:r>
            <w:r w:rsidRPr="009B60F5">
              <w:rPr>
                <w:lang w:val="pt-BR"/>
              </w:rPr>
              <w:t xml:space="preserve">VSSEAMT </w:t>
            </w:r>
            <w:r w:rsidRPr="009B60F5">
              <w:rPr>
                <w:i/>
                <w:vertAlign w:val="subscript"/>
                <w:lang w:val="pt-BR"/>
              </w:rPr>
              <w:t>q, r, i</w:t>
            </w:r>
            <w:r w:rsidRPr="009B60F5">
              <w:rPr>
                <w:lang w:val="pt-BR"/>
              </w:rPr>
              <w:t>) + RTRUREV</w:t>
            </w:r>
            <w:r w:rsidRPr="009B60F5">
              <w:t xml:space="preserve"> </w:t>
            </w:r>
            <w:r w:rsidRPr="009B60F5">
              <w:rPr>
                <w:i/>
                <w:vertAlign w:val="subscript"/>
              </w:rPr>
              <w:t>q, r, i</w:t>
            </w:r>
            <w:r w:rsidRPr="009B60F5" w:rsidDel="00D93367">
              <w:rPr>
                <w:lang w:val="pt-BR"/>
              </w:rPr>
              <w:t xml:space="preserve"> </w:t>
            </w:r>
            <w:r w:rsidRPr="009B60F5">
              <w:rPr>
                <w:lang w:val="pt-BR"/>
              </w:rPr>
              <w:t xml:space="preserve"> + </w:t>
            </w:r>
            <w:r w:rsidRPr="009B60F5">
              <w:rPr>
                <w:iCs/>
              </w:rPr>
              <w:t xml:space="preserve">RTRDREV </w:t>
            </w:r>
            <w:r w:rsidRPr="009B60F5">
              <w:rPr>
                <w:i/>
                <w:vertAlign w:val="subscript"/>
                <w:lang w:val="it-IT"/>
              </w:rPr>
              <w:t>q, r</w:t>
            </w:r>
            <w:r w:rsidRPr="009B60F5">
              <w:rPr>
                <w:i/>
                <w:vertAlign w:val="subscript"/>
              </w:rPr>
              <w:t>, i</w:t>
            </w:r>
            <w:r w:rsidRPr="009B60F5">
              <w:rPr>
                <w:i/>
                <w:vertAlign w:val="subscript"/>
                <w:lang w:val="it-IT"/>
              </w:rPr>
              <w:t xml:space="preserve"> </w:t>
            </w:r>
            <w:r w:rsidRPr="009B60F5">
              <w:rPr>
                <w:i/>
              </w:rPr>
              <w:t xml:space="preserve"> + </w:t>
            </w:r>
            <w:r w:rsidRPr="009B60F5">
              <w:rPr>
                <w:iCs/>
              </w:rPr>
              <w:t xml:space="preserve">RTRRREV </w:t>
            </w:r>
            <w:r w:rsidRPr="009B60F5">
              <w:rPr>
                <w:i/>
                <w:vertAlign w:val="subscript"/>
                <w:lang w:val="it-IT"/>
              </w:rPr>
              <w:t>q, r</w:t>
            </w:r>
            <w:r w:rsidRPr="009B60F5">
              <w:rPr>
                <w:i/>
                <w:vertAlign w:val="subscript"/>
              </w:rPr>
              <w:t>, i</w:t>
            </w:r>
            <w:r w:rsidRPr="009B60F5">
              <w:rPr>
                <w:i/>
                <w:vertAlign w:val="subscript"/>
                <w:lang w:val="it-IT"/>
              </w:rPr>
              <w:t xml:space="preserve"> </w:t>
            </w:r>
            <w:r w:rsidRPr="009B60F5">
              <w:rPr>
                <w:i/>
              </w:rPr>
              <w:t xml:space="preserve"> +</w:t>
            </w:r>
            <w:r w:rsidRPr="009B60F5">
              <w:rPr>
                <w:iCs/>
              </w:rPr>
              <w:t xml:space="preserve"> RTNSREV </w:t>
            </w:r>
            <w:r w:rsidRPr="009B60F5">
              <w:rPr>
                <w:i/>
                <w:vertAlign w:val="subscript"/>
                <w:lang w:val="it-IT"/>
              </w:rPr>
              <w:t>q, r</w:t>
            </w:r>
            <w:r w:rsidRPr="009B60F5">
              <w:rPr>
                <w:i/>
                <w:vertAlign w:val="subscript"/>
              </w:rPr>
              <w:t>, i</w:t>
            </w:r>
            <w:r w:rsidRPr="009B60F5">
              <w:rPr>
                <w:i/>
                <w:vertAlign w:val="subscript"/>
                <w:lang w:val="it-IT"/>
              </w:rPr>
              <w:t xml:space="preserve"> </w:t>
            </w:r>
            <w:r w:rsidRPr="009B60F5">
              <w:rPr>
                <w:i/>
              </w:rPr>
              <w:t xml:space="preserve"> + </w:t>
            </w:r>
            <w:r w:rsidRPr="009B60F5">
              <w:rPr>
                <w:iCs/>
              </w:rPr>
              <w:t xml:space="preserve">RTECRREV </w:t>
            </w:r>
            <w:r w:rsidRPr="009B60F5">
              <w:rPr>
                <w:i/>
                <w:vertAlign w:val="subscript"/>
                <w:lang w:val="it-IT"/>
              </w:rPr>
              <w:t>q, r</w:t>
            </w:r>
            <w:r w:rsidRPr="009B60F5">
              <w:rPr>
                <w:i/>
                <w:vertAlign w:val="subscript"/>
              </w:rPr>
              <w:t>, i</w:t>
            </w:r>
            <w:r w:rsidRPr="009B60F5">
              <w:rPr>
                <w:i/>
                <w:vertAlign w:val="subscript"/>
                <w:lang w:val="it-IT"/>
              </w:rPr>
              <w:t xml:space="preserve"> </w:t>
            </w:r>
            <w:r w:rsidRPr="009B60F5">
              <w:rPr>
                <w:i/>
                <w:iCs/>
                <w:szCs w:val="24"/>
                <w:vertAlign w:val="subscript"/>
                <w:lang w:val="it-IT"/>
              </w:rPr>
              <w:t xml:space="preserve"> </w:t>
            </w:r>
            <w:r w:rsidRPr="009B60F5">
              <w:rPr>
                <w:i/>
                <w:iCs/>
                <w:szCs w:val="24"/>
              </w:rPr>
              <w:t xml:space="preserve">+ </w:t>
            </w:r>
            <w:r w:rsidRPr="009B60F5">
              <w:rPr>
                <w:szCs w:val="24"/>
              </w:rPr>
              <w:t xml:space="preserve">RTDRRREV </w:t>
            </w:r>
            <w:r w:rsidRPr="009B60F5">
              <w:rPr>
                <w:i/>
                <w:iCs/>
                <w:szCs w:val="24"/>
                <w:vertAlign w:val="subscript"/>
                <w:lang w:val="it-IT"/>
              </w:rPr>
              <w:t>q, r</w:t>
            </w:r>
            <w:r w:rsidRPr="009B60F5">
              <w:rPr>
                <w:i/>
                <w:iCs/>
                <w:szCs w:val="24"/>
                <w:vertAlign w:val="subscript"/>
              </w:rPr>
              <w:t xml:space="preserve">, </w:t>
            </w:r>
            <w:r w:rsidRPr="009B60F5">
              <w:rPr>
                <w:i/>
                <w:iCs/>
                <w:szCs w:val="24"/>
                <w:vertAlign w:val="subscript"/>
                <w:lang w:val="pt-BR"/>
              </w:rPr>
              <w:t>i</w:t>
            </w:r>
            <w:r w:rsidRPr="009B60F5">
              <w:rPr>
                <w:lang w:val="pt-BR"/>
              </w:rPr>
              <w:t>)]</w:t>
            </w:r>
          </w:p>
        </w:tc>
      </w:tr>
    </w:tbl>
    <w:p w14:paraId="67966D32" w14:textId="77777777" w:rsidR="00C236A2" w:rsidRPr="0013396E" w:rsidRDefault="00C236A2" w:rsidP="007C3E74">
      <w:pPr>
        <w:spacing w:before="240" w:after="240"/>
        <w:ind w:left="2250" w:hanging="1530"/>
        <w:rPr>
          <w:lang w:val="it-IT"/>
        </w:rPr>
      </w:pPr>
      <w:r w:rsidRPr="0013396E">
        <w:t>SWAC</w:t>
      </w:r>
      <w:r w:rsidRPr="0013396E">
        <w:rPr>
          <w:i/>
          <w:vertAlign w:val="subscript"/>
        </w:rPr>
        <w:t xml:space="preserve"> q, r, d</w:t>
      </w:r>
      <w:r w:rsidRPr="0013396E">
        <w:t xml:space="preserve">  =  SWFC</w:t>
      </w:r>
      <w:r w:rsidRPr="0013396E">
        <w:rPr>
          <w:i/>
          <w:vertAlign w:val="subscript"/>
        </w:rPr>
        <w:t xml:space="preserve"> q, r, d</w:t>
      </w:r>
      <w:r w:rsidRPr="0013396E">
        <w:rPr>
          <w:lang w:val="it-IT"/>
        </w:rPr>
        <w:t xml:space="preserve"> </w:t>
      </w:r>
      <w:r w:rsidRPr="0013396E">
        <w:t>+ SWEIC</w:t>
      </w:r>
      <w:r w:rsidRPr="0013396E">
        <w:rPr>
          <w:i/>
          <w:vertAlign w:val="subscript"/>
        </w:rPr>
        <w:t xml:space="preserve"> q, r, d</w:t>
      </w:r>
      <w:r w:rsidRPr="0013396E">
        <w:rPr>
          <w:lang w:val="it-IT"/>
        </w:rPr>
        <w:t xml:space="preserve"> </w:t>
      </w:r>
      <w:r w:rsidRPr="0013396E">
        <w:t>+ SWASIC</w:t>
      </w:r>
      <w:r w:rsidRPr="0013396E">
        <w:rPr>
          <w:i/>
          <w:vertAlign w:val="subscript"/>
        </w:rPr>
        <w:t xml:space="preserve"> q, r, d</w:t>
      </w:r>
      <w:r w:rsidRPr="0013396E">
        <w:rPr>
          <w:lang w:val="it-IT"/>
        </w:rPr>
        <w:t xml:space="preserve"> + </w:t>
      </w:r>
      <w:r w:rsidRPr="0013396E">
        <w:rPr>
          <w:lang w:val="pt-BR"/>
        </w:rPr>
        <w:t>SWMWDC</w:t>
      </w:r>
      <w:r w:rsidRPr="0013396E">
        <w:rPr>
          <w:i/>
          <w:vertAlign w:val="subscript"/>
        </w:rPr>
        <w:t xml:space="preserve"> q, r, d </w:t>
      </w:r>
      <w:r w:rsidRPr="0013396E">
        <w:rPr>
          <w:lang w:val="it-IT"/>
        </w:rPr>
        <w:t xml:space="preserve">+ </w:t>
      </w:r>
      <w:r w:rsidRPr="0013396E">
        <w:rPr>
          <w:lang w:val="pt-BR"/>
        </w:rPr>
        <w:t>SWFIPC</w:t>
      </w:r>
      <w:r w:rsidRPr="0013396E">
        <w:rPr>
          <w:i/>
          <w:vertAlign w:val="subscript"/>
        </w:rPr>
        <w:t xml:space="preserve"> q, r, d</w:t>
      </w:r>
    </w:p>
    <w:p w14:paraId="10E7F3A1" w14:textId="77777777" w:rsidR="00C236A2" w:rsidRPr="0013396E" w:rsidRDefault="00C236A2" w:rsidP="00C236A2">
      <w:pPr>
        <w:spacing w:after="240"/>
        <w:ind w:left="2250" w:hanging="1530"/>
        <w:rPr>
          <w:iCs/>
          <w:lang w:val="it-IT"/>
        </w:rPr>
      </w:pPr>
      <w:r w:rsidRPr="0013396E">
        <w:t>SWPSLR</w:t>
      </w:r>
      <w:r w:rsidRPr="0013396E">
        <w:rPr>
          <w:i/>
          <w:vertAlign w:val="subscript"/>
        </w:rPr>
        <w:t xml:space="preserve"> q, r, d</w:t>
      </w:r>
      <w:r w:rsidRPr="0013396E">
        <w:t xml:space="preserve">  =  </w:t>
      </w:r>
      <w:r w:rsidRPr="0013396E">
        <w:rPr>
          <w:position w:val="-20"/>
        </w:rPr>
        <w:object w:dxaOrig="220" w:dyaOrig="440" w14:anchorId="56992B3D">
          <v:shape id="_x0000_i1248" type="#_x0000_t75" style="width:12pt;height:24pt" o:ole="">
            <v:imagedata r:id="rId93" o:title=""/>
          </v:shape>
          <o:OLEObject Type="Embed" ProgID="Equation.3" ShapeID="_x0000_i1248" DrawAspect="Content" ObjectID="_1849065878" r:id="rId319"/>
        </w:object>
      </w:r>
      <w:r w:rsidRPr="0013396E">
        <w:t>(</w:t>
      </w:r>
      <w:r w:rsidRPr="0013396E">
        <w:rPr>
          <w:bCs/>
          <w:lang w:val="pt-BR"/>
        </w:rPr>
        <w:t>RTSP</w:t>
      </w:r>
      <w:r w:rsidRPr="0013396E">
        <w:rPr>
          <w:lang w:val="pt-BR"/>
        </w:rPr>
        <w:t>P</w:t>
      </w:r>
      <w:r w:rsidRPr="0013396E">
        <w:rPr>
          <w:b/>
          <w:i/>
          <w:vertAlign w:val="subscript"/>
        </w:rPr>
        <w:t xml:space="preserve"> </w:t>
      </w:r>
      <w:r w:rsidRPr="0013396E">
        <w:rPr>
          <w:i/>
          <w:vertAlign w:val="subscript"/>
        </w:rPr>
        <w:t>p, i</w:t>
      </w:r>
      <w:r w:rsidRPr="0013396E">
        <w:rPr>
          <w:lang w:val="pt-BR"/>
        </w:rPr>
        <w:t xml:space="preserve"> * </w:t>
      </w:r>
      <w:r w:rsidRPr="0013396E">
        <w:t xml:space="preserve">RTLPX </w:t>
      </w:r>
      <w:r w:rsidRPr="0013396E">
        <w:rPr>
          <w:i/>
          <w:vertAlign w:val="subscript"/>
        </w:rPr>
        <w:t xml:space="preserve">q, r, i </w:t>
      </w:r>
      <w:r w:rsidRPr="0013396E">
        <w:t xml:space="preserve">) – (FIP+FA) * SFC </w:t>
      </w:r>
      <w:r w:rsidRPr="0013396E">
        <w:rPr>
          <w:i/>
          <w:vertAlign w:val="subscript"/>
        </w:rPr>
        <w:t>d</w:t>
      </w:r>
    </w:p>
    <w:p w14:paraId="2D7A2083" w14:textId="77777777" w:rsidR="00C236A2" w:rsidRPr="0013396E" w:rsidRDefault="00C236A2" w:rsidP="00C236A2">
      <w:pPr>
        <w:spacing w:after="240"/>
        <w:ind w:left="1440" w:hanging="720"/>
      </w:pPr>
      <w:r w:rsidRPr="0013396E">
        <w:t>If ERCOT has approved verifiable costs for the SWGR:</w:t>
      </w:r>
    </w:p>
    <w:p w14:paraId="413DFDD5" w14:textId="20512AA5" w:rsidR="00C236A2" w:rsidRPr="0013396E" w:rsidRDefault="00C236A2" w:rsidP="00C236A2">
      <w:pPr>
        <w:tabs>
          <w:tab w:val="left" w:pos="1800"/>
        </w:tabs>
        <w:spacing w:after="240"/>
        <w:ind w:left="2160" w:hanging="1440"/>
        <w:rPr>
          <w:i/>
          <w:vertAlign w:val="subscript"/>
        </w:rPr>
      </w:pPr>
      <w:r w:rsidRPr="0013396E">
        <w:t xml:space="preserve">     SWSUC </w:t>
      </w:r>
      <w:r w:rsidRPr="0013396E">
        <w:rPr>
          <w:i/>
          <w:vertAlign w:val="subscript"/>
        </w:rPr>
        <w:t>q, r, d</w:t>
      </w:r>
      <w:r w:rsidRPr="0013396E">
        <w:t xml:space="preserve"> = </w:t>
      </w:r>
      <w:r w:rsidR="000B7133" w:rsidRPr="0013396E">
        <w:rPr>
          <w:position w:val="-20"/>
          <w:lang w:val="pt-BR"/>
        </w:rPr>
        <w:object w:dxaOrig="210" w:dyaOrig="450" w14:anchorId="4D1CABAF">
          <v:shape id="_x0000_i1249" type="#_x0000_t75" style="width:10.8pt;height:24pt" o:ole="">
            <v:imagedata r:id="rId320" o:title=""/>
          </v:shape>
          <o:OLEObject Type="Embed" ProgID="Equation.3" ShapeID="_x0000_i1249" DrawAspect="Content" ObjectID="_1849065879" r:id="rId321"/>
        </w:object>
      </w:r>
      <w:r w:rsidRPr="0013396E">
        <w:t xml:space="preserve"> [SWSF * </w:t>
      </w:r>
      <w:r w:rsidRPr="0013396E">
        <w:rPr>
          <w:lang w:val="pt-BR"/>
        </w:rPr>
        <w:t>(</w:t>
      </w:r>
      <w:r w:rsidRPr="0013396E">
        <w:rPr>
          <w:bCs/>
        </w:rPr>
        <w:t>DAFCRS</w:t>
      </w:r>
      <w:r w:rsidRPr="0013396E">
        <w:rPr>
          <w:bCs/>
          <w:i/>
          <w:vertAlign w:val="subscript"/>
        </w:rPr>
        <w:t xml:space="preserve"> r, s</w:t>
      </w:r>
      <w:r w:rsidRPr="0013396E">
        <w:rPr>
          <w:bCs/>
        </w:rPr>
        <w:t xml:space="preserve"> * </w:t>
      </w:r>
      <w:r w:rsidRPr="0013396E">
        <w:t xml:space="preserve">(GASPERSU </w:t>
      </w:r>
      <w:r w:rsidRPr="0013396E">
        <w:rPr>
          <w:bCs/>
          <w:i/>
          <w:vertAlign w:val="subscript"/>
        </w:rPr>
        <w:t>r, s</w:t>
      </w:r>
      <w:r w:rsidRPr="0013396E">
        <w:t xml:space="preserve"> * FIP + OILPERSU</w:t>
      </w:r>
      <w:r w:rsidRPr="0013396E">
        <w:rPr>
          <w:bCs/>
          <w:i/>
          <w:vertAlign w:val="subscript"/>
        </w:rPr>
        <w:t xml:space="preserve"> r, s</w:t>
      </w:r>
      <w:r w:rsidRPr="0013396E">
        <w:t xml:space="preserve"> * FOP + SFPERSU</w:t>
      </w:r>
      <w:r w:rsidRPr="0013396E">
        <w:rPr>
          <w:bCs/>
          <w:i/>
          <w:vertAlign w:val="subscript"/>
        </w:rPr>
        <w:t xml:space="preserve"> r, s</w:t>
      </w:r>
      <w:r w:rsidRPr="0013396E">
        <w:t xml:space="preserve"> * SFP) + VOMS</w:t>
      </w:r>
      <w:r w:rsidRPr="0013396E">
        <w:rPr>
          <w:i/>
          <w:vertAlign w:val="subscript"/>
        </w:rPr>
        <w:t xml:space="preserve"> </w:t>
      </w:r>
      <w:r w:rsidRPr="0013396E">
        <w:rPr>
          <w:bCs/>
          <w:i/>
          <w:vertAlign w:val="subscript"/>
        </w:rPr>
        <w:t>r, s</w:t>
      </w:r>
      <w:r w:rsidRPr="0013396E">
        <w:t xml:space="preserve">)] + ADJSWSUC </w:t>
      </w:r>
      <w:r w:rsidRPr="0013396E">
        <w:rPr>
          <w:i/>
          <w:vertAlign w:val="subscript"/>
        </w:rPr>
        <w:t>q, r, d</w:t>
      </w:r>
    </w:p>
    <w:p w14:paraId="023FAFB8" w14:textId="77777777" w:rsidR="00C236A2" w:rsidRPr="0013396E" w:rsidRDefault="00C236A2" w:rsidP="00C236A2">
      <w:pPr>
        <w:tabs>
          <w:tab w:val="left" w:pos="1800"/>
        </w:tabs>
        <w:spacing w:after="240"/>
        <w:ind w:left="2160" w:hanging="1440"/>
        <w:rPr>
          <w:i/>
          <w:vertAlign w:val="subscript"/>
        </w:rPr>
      </w:pPr>
      <w:r w:rsidRPr="0013396E">
        <w:t xml:space="preserve">     SWMEC </w:t>
      </w:r>
      <w:r w:rsidRPr="0013396E">
        <w:rPr>
          <w:i/>
          <w:vertAlign w:val="subscript"/>
        </w:rPr>
        <w:t>q, r, d</w:t>
      </w:r>
      <w:r w:rsidRPr="0013396E">
        <w:t xml:space="preserve"> = </w:t>
      </w:r>
      <w:r w:rsidRPr="0013396E">
        <w:rPr>
          <w:position w:val="-20"/>
          <w:lang w:val="pt-BR"/>
        </w:rPr>
        <w:object w:dxaOrig="220" w:dyaOrig="440" w14:anchorId="5FF34153">
          <v:shape id="_x0000_i1250" type="#_x0000_t75" style="width:12pt;height:24pt" o:ole="">
            <v:imagedata r:id="rId322" o:title=""/>
          </v:shape>
          <o:OLEObject Type="Embed" ProgID="Equation.3" ShapeID="_x0000_i1250" DrawAspect="Content" ObjectID="_1849065880" r:id="rId323"/>
        </w:object>
      </w:r>
      <w:r w:rsidRPr="0013396E">
        <w:rPr>
          <w:lang w:val="pt-BR"/>
        </w:rPr>
        <w:t>(</w:t>
      </w:r>
      <w:r w:rsidRPr="0013396E">
        <w:t>(</w:t>
      </w:r>
      <w:r w:rsidRPr="0013396E">
        <w:rPr>
          <w:lang w:val="pt-BR"/>
        </w:rPr>
        <w:t>AHR</w:t>
      </w:r>
      <w:r w:rsidRPr="0013396E">
        <w:rPr>
          <w:i/>
          <w:vertAlign w:val="subscript"/>
          <w:lang w:val="es-ES"/>
        </w:rPr>
        <w:t xml:space="preserve"> r, i</w:t>
      </w:r>
      <w:r w:rsidRPr="0013396E">
        <w:rPr>
          <w:lang w:val="pt-BR"/>
        </w:rPr>
        <w:t xml:space="preserve"> </w:t>
      </w:r>
      <w:r w:rsidRPr="0013396E">
        <w:t xml:space="preserve">* (GASPERME </w:t>
      </w:r>
      <w:r w:rsidRPr="0013396E">
        <w:rPr>
          <w:bCs/>
          <w:i/>
          <w:vertAlign w:val="subscript"/>
        </w:rPr>
        <w:t>r</w:t>
      </w:r>
      <w:r w:rsidRPr="0013396E">
        <w:t xml:space="preserve"> * FIP + OILPERME </w:t>
      </w:r>
      <w:r w:rsidRPr="0013396E">
        <w:rPr>
          <w:bCs/>
          <w:i/>
          <w:vertAlign w:val="subscript"/>
        </w:rPr>
        <w:t>r</w:t>
      </w:r>
      <w:r w:rsidRPr="0013396E">
        <w:t xml:space="preserve"> * FOP + SFPERME</w:t>
      </w:r>
      <w:r w:rsidRPr="0013396E">
        <w:rPr>
          <w:bCs/>
          <w:i/>
          <w:vertAlign w:val="subscript"/>
        </w:rPr>
        <w:t xml:space="preserve"> r</w:t>
      </w:r>
      <w:r w:rsidRPr="0013396E">
        <w:t xml:space="preserve">* SFP + FA </w:t>
      </w:r>
      <w:r w:rsidRPr="0013396E">
        <w:rPr>
          <w:i/>
          <w:vertAlign w:val="subscript"/>
        </w:rPr>
        <w:t>r</w:t>
      </w:r>
      <w:r w:rsidRPr="0013396E">
        <w:t>) + VOMLSL</w:t>
      </w:r>
      <w:r w:rsidRPr="0013396E">
        <w:rPr>
          <w:i/>
          <w:vertAlign w:val="subscript"/>
        </w:rPr>
        <w:t xml:space="preserve"> </w:t>
      </w:r>
      <w:r w:rsidRPr="0013396E">
        <w:rPr>
          <w:bCs/>
          <w:i/>
          <w:vertAlign w:val="subscript"/>
        </w:rPr>
        <w:t>r</w:t>
      </w:r>
      <w:r w:rsidRPr="0013396E">
        <w:t xml:space="preserve">) * Min (LSL </w:t>
      </w:r>
      <w:r w:rsidRPr="0013396E">
        <w:rPr>
          <w:i/>
          <w:vertAlign w:val="subscript"/>
        </w:rPr>
        <w:t>q, r, i</w:t>
      </w:r>
      <w:r w:rsidRPr="0013396E">
        <w:t xml:space="preserve"> * (¼), RTMG </w:t>
      </w:r>
      <w:r w:rsidRPr="0013396E">
        <w:rPr>
          <w:i/>
          <w:vertAlign w:val="subscript"/>
        </w:rPr>
        <w:t>q, r, i</w:t>
      </w:r>
      <w:r w:rsidRPr="0013396E">
        <w:t xml:space="preserve">)) </w:t>
      </w:r>
      <w:r w:rsidRPr="0013396E">
        <w:rPr>
          <w:i/>
          <w:vertAlign w:val="subscript"/>
        </w:rPr>
        <w:t xml:space="preserve">  </w:t>
      </w:r>
    </w:p>
    <w:p w14:paraId="6044E96D" w14:textId="77777777" w:rsidR="00C236A2" w:rsidRPr="0013396E" w:rsidRDefault="00C236A2" w:rsidP="00C236A2">
      <w:pPr>
        <w:pStyle w:val="BodyTextNumbered"/>
        <w:tabs>
          <w:tab w:val="left" w:pos="1800"/>
        </w:tabs>
        <w:ind w:left="2160" w:hanging="1440"/>
        <w:rPr>
          <w:i/>
          <w:vertAlign w:val="subscript"/>
        </w:rPr>
      </w:pPr>
      <w:r w:rsidRPr="0013396E">
        <w:t xml:space="preserve">     SWOC </w:t>
      </w:r>
      <w:r w:rsidRPr="0013396E">
        <w:rPr>
          <w:i/>
          <w:vertAlign w:val="subscript"/>
        </w:rPr>
        <w:t>q, r, d</w:t>
      </w:r>
      <w:r w:rsidRPr="0013396E">
        <w:t xml:space="preserve"> = </w:t>
      </w:r>
      <w:r w:rsidRPr="0013396E">
        <w:rPr>
          <w:position w:val="-20"/>
          <w:lang w:val="pt-BR"/>
        </w:rPr>
        <w:object w:dxaOrig="220" w:dyaOrig="440" w14:anchorId="121DE472">
          <v:shape id="_x0000_i1251" type="#_x0000_t75" style="width:12pt;height:24pt" o:ole="">
            <v:imagedata r:id="rId322" o:title=""/>
          </v:shape>
          <o:OLEObject Type="Embed" ProgID="Equation.3" ShapeID="_x0000_i1251" DrawAspect="Content" ObjectID="_1849065881" r:id="rId324"/>
        </w:object>
      </w:r>
      <w:r w:rsidRPr="0013396E">
        <w:rPr>
          <w:lang w:val="pt-BR"/>
        </w:rPr>
        <w:t>[</w:t>
      </w:r>
      <w:r w:rsidRPr="0013396E">
        <w:t>(</w:t>
      </w:r>
      <w:r w:rsidRPr="0013396E">
        <w:rPr>
          <w:lang w:val="pt-BR"/>
        </w:rPr>
        <w:t>AHR</w:t>
      </w:r>
      <w:r w:rsidRPr="0013396E">
        <w:rPr>
          <w:i/>
          <w:vertAlign w:val="subscript"/>
          <w:lang w:val="es-ES"/>
        </w:rPr>
        <w:t xml:space="preserve"> r, i</w:t>
      </w:r>
      <w:r w:rsidRPr="0013396E">
        <w:t xml:space="preserve"> * ((GASPEROL </w:t>
      </w:r>
      <w:r w:rsidRPr="0013396E">
        <w:rPr>
          <w:i/>
          <w:vertAlign w:val="subscript"/>
        </w:rPr>
        <w:t>r</w:t>
      </w:r>
      <w:r w:rsidRPr="0013396E">
        <w:t xml:space="preserve"> * FIP + OILPEROL</w:t>
      </w:r>
      <w:r w:rsidRPr="0013396E">
        <w:rPr>
          <w:i/>
          <w:vertAlign w:val="subscript"/>
        </w:rPr>
        <w:t xml:space="preserve"> r </w:t>
      </w:r>
      <w:r w:rsidRPr="0013396E">
        <w:t>* FOP + SFPEROL</w:t>
      </w:r>
      <w:r w:rsidRPr="0013396E">
        <w:rPr>
          <w:i/>
          <w:vertAlign w:val="subscript"/>
        </w:rPr>
        <w:t xml:space="preserve"> r</w:t>
      </w:r>
      <w:r w:rsidRPr="0013396E">
        <w:t xml:space="preserve"> * SFP) + FA</w:t>
      </w:r>
      <w:r w:rsidRPr="0013396E">
        <w:rPr>
          <w:i/>
          <w:vertAlign w:val="subscript"/>
        </w:rPr>
        <w:t xml:space="preserve"> r</w:t>
      </w:r>
      <w:r w:rsidRPr="0013396E">
        <w:t>) + OM</w:t>
      </w:r>
      <w:r w:rsidRPr="0013396E">
        <w:rPr>
          <w:i/>
          <w:vertAlign w:val="subscript"/>
        </w:rPr>
        <w:t xml:space="preserve"> r</w:t>
      </w:r>
      <w:r w:rsidRPr="0013396E">
        <w:t xml:space="preserve">) * Max(0, (RTMG </w:t>
      </w:r>
      <w:r w:rsidRPr="0013396E">
        <w:rPr>
          <w:i/>
          <w:vertAlign w:val="subscript"/>
        </w:rPr>
        <w:t>q, r, i</w:t>
      </w:r>
      <w:r w:rsidRPr="0013396E">
        <w:t xml:space="preserve"> – LSL </w:t>
      </w:r>
      <w:r w:rsidRPr="0013396E">
        <w:rPr>
          <w:i/>
          <w:vertAlign w:val="subscript"/>
        </w:rPr>
        <w:t>q, r, i</w:t>
      </w:r>
      <w:r w:rsidRPr="0013396E">
        <w:t xml:space="preserve"> * (¼)))] </w:t>
      </w:r>
      <w:r w:rsidRPr="0013396E">
        <w:rPr>
          <w:i/>
        </w:rPr>
        <w:t xml:space="preserve">- </w:t>
      </w:r>
      <w:r w:rsidRPr="0013396E">
        <w:rPr>
          <w:lang w:val="pt-BR"/>
        </w:rPr>
        <w:t>OPC</w:t>
      </w:r>
      <w:r w:rsidRPr="0013396E">
        <w:rPr>
          <w:i/>
          <w:vertAlign w:val="subscript"/>
          <w:lang w:val="es-ES"/>
        </w:rPr>
        <w:t xml:space="preserve"> r, d</w:t>
      </w:r>
      <w:r w:rsidRPr="0013396E">
        <w:t xml:space="preserve"> </w:t>
      </w:r>
      <w:r w:rsidRPr="0013396E">
        <w:rPr>
          <w:i/>
          <w:vertAlign w:val="subscript"/>
        </w:rPr>
        <w:t xml:space="preserve">  </w:t>
      </w:r>
    </w:p>
    <w:p w14:paraId="4EBBF4A8" w14:textId="77777777" w:rsidR="00C236A2" w:rsidRPr="0013396E" w:rsidRDefault="00C236A2" w:rsidP="00C236A2">
      <w:pPr>
        <w:pStyle w:val="BodyTextNumbered"/>
        <w:tabs>
          <w:tab w:val="left" w:pos="1800"/>
        </w:tabs>
        <w:ind w:left="2160" w:hanging="1440"/>
        <w:rPr>
          <w:lang w:val="pt-BR"/>
        </w:rPr>
      </w:pPr>
      <w:r w:rsidRPr="0013396E">
        <w:rPr>
          <w:lang w:val="pt-BR"/>
        </w:rPr>
        <w:t>Where,</w:t>
      </w:r>
    </w:p>
    <w:p w14:paraId="1BA5BDC1" w14:textId="77777777" w:rsidR="00C236A2" w:rsidRPr="0013396E" w:rsidRDefault="00C236A2" w:rsidP="00C236A2">
      <w:pPr>
        <w:pStyle w:val="Formula"/>
        <w:ind w:left="2880" w:hanging="2160"/>
        <w:rPr>
          <w:i/>
          <w:vertAlign w:val="subscript"/>
        </w:rPr>
      </w:pPr>
      <w:r w:rsidRPr="0013396E">
        <w:rPr>
          <w:lang w:val="pt-BR"/>
        </w:rPr>
        <w:t>OPC</w:t>
      </w:r>
      <w:r w:rsidRPr="0013396E">
        <w:rPr>
          <w:i/>
          <w:vertAlign w:val="subscript"/>
          <w:lang w:val="es-ES"/>
        </w:rPr>
        <w:t xml:space="preserve"> r, d</w:t>
      </w:r>
      <w:r w:rsidRPr="0013396E">
        <w:rPr>
          <w:lang w:val="pt-BR"/>
        </w:rPr>
        <w:t xml:space="preserve"> = </w:t>
      </w:r>
      <w:r w:rsidRPr="0013396E">
        <w:rPr>
          <w:position w:val="-20"/>
          <w:lang w:val="pt-BR"/>
        </w:rPr>
        <w:object w:dxaOrig="220" w:dyaOrig="440" w14:anchorId="1FD1B458">
          <v:shape id="_x0000_i1252" type="#_x0000_t75" style="width:12pt;height:24pt" o:ole="">
            <v:imagedata r:id="rId322" o:title=""/>
          </v:shape>
          <o:OLEObject Type="Embed" ProgID="Equation.3" ShapeID="_x0000_i1252" DrawAspect="Content" ObjectID="_1849065882" r:id="rId325"/>
        </w:object>
      </w:r>
      <w:r w:rsidRPr="0013396E">
        <w:rPr>
          <w:lang w:val="pt-BR"/>
        </w:rPr>
        <w:t>(</w:t>
      </w:r>
      <w:r w:rsidRPr="0013396E">
        <w:t>(P</w:t>
      </w:r>
      <w:r w:rsidRPr="0013396E">
        <w:rPr>
          <w:lang w:val="pt-BR"/>
        </w:rPr>
        <w:t>AHR</w:t>
      </w:r>
      <w:r w:rsidRPr="0013396E">
        <w:rPr>
          <w:i/>
          <w:vertAlign w:val="subscript"/>
          <w:lang w:val="es-ES"/>
        </w:rPr>
        <w:t xml:space="preserve"> r, i</w:t>
      </w:r>
      <w:r w:rsidRPr="0013396E">
        <w:t xml:space="preserve"> * (FIP + FA</w:t>
      </w:r>
      <w:r w:rsidRPr="0013396E">
        <w:rPr>
          <w:i/>
          <w:vertAlign w:val="subscript"/>
        </w:rPr>
        <w:t xml:space="preserve"> r</w:t>
      </w:r>
      <w:r w:rsidRPr="0013396E">
        <w:t xml:space="preserve">) + OM </w:t>
      </w:r>
      <w:r w:rsidRPr="0013396E">
        <w:rPr>
          <w:i/>
          <w:vertAlign w:val="subscript"/>
        </w:rPr>
        <w:t>r</w:t>
      </w:r>
      <w:r w:rsidRPr="0013396E">
        <w:t>) * AENG</w:t>
      </w:r>
      <w:r w:rsidRPr="0013396E">
        <w:rPr>
          <w:i/>
          <w:vertAlign w:val="subscript"/>
          <w:lang w:val="es-ES"/>
        </w:rPr>
        <w:t xml:space="preserve"> r, i</w:t>
      </w:r>
      <w:r w:rsidRPr="0013396E">
        <w:t xml:space="preserve">) </w:t>
      </w:r>
      <w:r w:rsidRPr="0013396E">
        <w:rPr>
          <w:i/>
          <w:vertAlign w:val="subscript"/>
        </w:rPr>
        <w:t xml:space="preserve">  </w:t>
      </w:r>
    </w:p>
    <w:p w14:paraId="406D5E18" w14:textId="77777777" w:rsidR="00C236A2" w:rsidRPr="0013396E" w:rsidRDefault="00C236A2" w:rsidP="00C236A2">
      <w:pPr>
        <w:spacing w:after="240"/>
        <w:ind w:left="1440" w:hanging="720"/>
      </w:pPr>
      <w:r w:rsidRPr="0013396E">
        <w:t>If ERCOT has not approved verifiable costs for the SWGR:</w:t>
      </w:r>
    </w:p>
    <w:p w14:paraId="3EBF9569" w14:textId="7C128554" w:rsidR="00C236A2" w:rsidRPr="0013396E" w:rsidRDefault="00C236A2" w:rsidP="00C236A2">
      <w:pPr>
        <w:tabs>
          <w:tab w:val="left" w:pos="2160"/>
          <w:tab w:val="left" w:pos="2880"/>
        </w:tabs>
        <w:spacing w:after="240"/>
        <w:ind w:leftChars="300" w:left="2880" w:hangingChars="900" w:hanging="2160"/>
        <w:rPr>
          <w:bCs/>
          <w:i/>
          <w:vertAlign w:val="subscript"/>
        </w:rPr>
      </w:pPr>
      <w:r w:rsidRPr="0013396E">
        <w:rPr>
          <w:bCs/>
        </w:rPr>
        <w:t xml:space="preserve">     SWSUC </w:t>
      </w:r>
      <w:r w:rsidRPr="0013396E">
        <w:rPr>
          <w:bCs/>
          <w:i/>
          <w:vertAlign w:val="subscript"/>
        </w:rPr>
        <w:t>q, r, d</w:t>
      </w:r>
      <w:r w:rsidRPr="0013396E">
        <w:rPr>
          <w:bCs/>
        </w:rPr>
        <w:t xml:space="preserve"> = </w:t>
      </w:r>
      <w:r w:rsidR="000B7133" w:rsidRPr="0013396E">
        <w:rPr>
          <w:bCs/>
          <w:position w:val="-20"/>
          <w:lang w:val="pt-BR"/>
        </w:rPr>
        <w:object w:dxaOrig="210" w:dyaOrig="450" w14:anchorId="4B006005">
          <v:shape id="_x0000_i1253" type="#_x0000_t75" style="width:11.4pt;height:24pt" o:ole="">
            <v:imagedata r:id="rId320" o:title=""/>
          </v:shape>
          <o:OLEObject Type="Embed" ProgID="Equation.3" ShapeID="_x0000_i1253" DrawAspect="Content" ObjectID="_1849065883" r:id="rId326"/>
        </w:object>
      </w:r>
      <w:r w:rsidRPr="0013396E">
        <w:rPr>
          <w:bCs/>
        </w:rPr>
        <w:t xml:space="preserve"> (SWSF * RCGSC </w:t>
      </w:r>
      <w:r w:rsidRPr="0013396E">
        <w:rPr>
          <w:bCs/>
          <w:i/>
          <w:vertAlign w:val="subscript"/>
        </w:rPr>
        <w:t>s, rc</w:t>
      </w:r>
      <w:r w:rsidRPr="0013396E">
        <w:rPr>
          <w:bCs/>
        </w:rPr>
        <w:t xml:space="preserve">) + ADJSWSUC </w:t>
      </w:r>
      <w:r w:rsidRPr="0013396E">
        <w:rPr>
          <w:bCs/>
          <w:i/>
          <w:vertAlign w:val="subscript"/>
        </w:rPr>
        <w:t>q, r, d</w:t>
      </w:r>
    </w:p>
    <w:p w14:paraId="56D3BD0D" w14:textId="77777777" w:rsidR="00C236A2" w:rsidRPr="0013396E" w:rsidRDefault="00C236A2" w:rsidP="00C236A2">
      <w:pPr>
        <w:tabs>
          <w:tab w:val="left" w:pos="1800"/>
        </w:tabs>
        <w:spacing w:after="240"/>
        <w:ind w:left="2160" w:hanging="1440"/>
        <w:rPr>
          <w:i/>
          <w:vertAlign w:val="subscript"/>
        </w:rPr>
      </w:pPr>
      <w:r w:rsidRPr="0013396E">
        <w:t xml:space="preserve">     SWMEC </w:t>
      </w:r>
      <w:r w:rsidRPr="0013396E">
        <w:rPr>
          <w:i/>
          <w:vertAlign w:val="subscript"/>
        </w:rPr>
        <w:t>q, r, d</w:t>
      </w:r>
      <w:r w:rsidRPr="0013396E">
        <w:t xml:space="preserve"> = </w:t>
      </w:r>
      <w:r w:rsidRPr="0013396E">
        <w:rPr>
          <w:position w:val="-20"/>
          <w:lang w:val="pt-BR"/>
        </w:rPr>
        <w:object w:dxaOrig="220" w:dyaOrig="440" w14:anchorId="687087AA">
          <v:shape id="_x0000_i1254" type="#_x0000_t75" style="width:12pt;height:24pt" o:ole="">
            <v:imagedata r:id="rId322" o:title=""/>
          </v:shape>
          <o:OLEObject Type="Embed" ProgID="Equation.3" ShapeID="_x0000_i1254" DrawAspect="Content" ObjectID="_1849065884" r:id="rId327"/>
        </w:object>
      </w:r>
      <w:r w:rsidRPr="0013396E">
        <w:t xml:space="preserve">(RCGMEC </w:t>
      </w:r>
      <w:r w:rsidRPr="0013396E">
        <w:rPr>
          <w:i/>
          <w:vertAlign w:val="subscript"/>
        </w:rPr>
        <w:t>i, rc</w:t>
      </w:r>
      <w:r w:rsidRPr="0013396E">
        <w:t xml:space="preserve"> * Min (LSL </w:t>
      </w:r>
      <w:r w:rsidRPr="0013396E">
        <w:rPr>
          <w:i/>
          <w:vertAlign w:val="subscript"/>
        </w:rPr>
        <w:t>q, r, i</w:t>
      </w:r>
      <w:r w:rsidRPr="0013396E">
        <w:t xml:space="preserve"> * (¼), RTMG </w:t>
      </w:r>
      <w:r w:rsidRPr="0013396E">
        <w:rPr>
          <w:i/>
          <w:vertAlign w:val="subscript"/>
        </w:rPr>
        <w:t>q, r, i</w:t>
      </w:r>
      <w:r w:rsidRPr="0013396E">
        <w:t xml:space="preserve">)) </w:t>
      </w:r>
      <w:r w:rsidRPr="0013396E">
        <w:rPr>
          <w:i/>
          <w:vertAlign w:val="subscript"/>
        </w:rPr>
        <w:t xml:space="preserve">  </w:t>
      </w:r>
    </w:p>
    <w:p w14:paraId="140888BF" w14:textId="77777777" w:rsidR="00C236A2" w:rsidRPr="0013396E" w:rsidRDefault="00C236A2" w:rsidP="00C236A2">
      <w:pPr>
        <w:tabs>
          <w:tab w:val="left" w:pos="2160"/>
          <w:tab w:val="left" w:pos="2880"/>
        </w:tabs>
        <w:spacing w:after="240"/>
        <w:ind w:leftChars="300" w:left="2880" w:hangingChars="900" w:hanging="2160"/>
        <w:rPr>
          <w:bCs/>
          <w:i/>
          <w:vertAlign w:val="subscript"/>
        </w:rPr>
      </w:pPr>
      <w:r w:rsidRPr="0013396E">
        <w:rPr>
          <w:bCs/>
        </w:rPr>
        <w:t xml:space="preserve">     SWOC </w:t>
      </w:r>
      <w:r w:rsidRPr="0013396E">
        <w:rPr>
          <w:bCs/>
          <w:i/>
          <w:vertAlign w:val="subscript"/>
        </w:rPr>
        <w:t>q, r, d</w:t>
      </w:r>
      <w:r w:rsidRPr="0013396E">
        <w:rPr>
          <w:bCs/>
        </w:rPr>
        <w:t xml:space="preserve"> = </w:t>
      </w:r>
      <w:r w:rsidRPr="0013396E">
        <w:rPr>
          <w:bCs/>
          <w:position w:val="-20"/>
          <w:lang w:val="pt-BR"/>
        </w:rPr>
        <w:object w:dxaOrig="220" w:dyaOrig="440" w14:anchorId="40117B85">
          <v:shape id="_x0000_i1255" type="#_x0000_t75" style="width:12pt;height:24pt" o:ole="">
            <v:imagedata r:id="rId322" o:title=""/>
          </v:shape>
          <o:OLEObject Type="Embed" ProgID="Equation.3" ShapeID="_x0000_i1255" DrawAspect="Content" ObjectID="_1849065885" r:id="rId328"/>
        </w:object>
      </w:r>
      <w:r w:rsidRPr="0013396E">
        <w:rPr>
          <w:bCs/>
        </w:rPr>
        <w:t>((PA</w:t>
      </w:r>
      <w:r w:rsidRPr="0013396E">
        <w:rPr>
          <w:bCs/>
          <w:lang w:val="pt-BR"/>
        </w:rPr>
        <w:t xml:space="preserve">HR </w:t>
      </w:r>
      <w:r w:rsidRPr="0013396E">
        <w:rPr>
          <w:bCs/>
          <w:i/>
          <w:vertAlign w:val="subscript"/>
        </w:rPr>
        <w:t xml:space="preserve">r, </w:t>
      </w:r>
      <w:r w:rsidRPr="0013396E">
        <w:rPr>
          <w:bCs/>
          <w:i/>
          <w:vertAlign w:val="subscript"/>
          <w:lang w:val="es-ES"/>
        </w:rPr>
        <w:t xml:space="preserve">i </w:t>
      </w:r>
      <w:r w:rsidRPr="0013396E">
        <w:rPr>
          <w:bCs/>
        </w:rPr>
        <w:t xml:space="preserve">* FIP + STOM </w:t>
      </w:r>
      <w:r w:rsidRPr="0013396E">
        <w:rPr>
          <w:bCs/>
          <w:i/>
          <w:vertAlign w:val="subscript"/>
        </w:rPr>
        <w:t>rc</w:t>
      </w:r>
      <w:r w:rsidRPr="0013396E">
        <w:rPr>
          <w:bCs/>
        </w:rPr>
        <w:t xml:space="preserve">) * Max(0, (RTMG </w:t>
      </w:r>
      <w:r w:rsidRPr="0013396E">
        <w:rPr>
          <w:bCs/>
          <w:i/>
          <w:vertAlign w:val="subscript"/>
        </w:rPr>
        <w:t>q, r, i</w:t>
      </w:r>
      <w:r w:rsidRPr="0013396E">
        <w:rPr>
          <w:bCs/>
        </w:rPr>
        <w:t xml:space="preserve"> – LSL </w:t>
      </w:r>
      <w:r w:rsidRPr="0013396E">
        <w:rPr>
          <w:bCs/>
          <w:i/>
          <w:vertAlign w:val="subscript"/>
        </w:rPr>
        <w:t>q, r, i</w:t>
      </w:r>
      <w:r w:rsidRPr="0013396E">
        <w:rPr>
          <w:bCs/>
        </w:rPr>
        <w:t xml:space="preserve"> * (¼)))) </w:t>
      </w:r>
      <w:r w:rsidRPr="0013396E">
        <w:rPr>
          <w:i/>
        </w:rPr>
        <w:t xml:space="preserve">- </w:t>
      </w:r>
      <w:r w:rsidRPr="0013396E">
        <w:rPr>
          <w:lang w:val="pt-BR"/>
        </w:rPr>
        <w:t>OPC</w:t>
      </w:r>
      <w:r w:rsidRPr="0013396E">
        <w:rPr>
          <w:i/>
          <w:vertAlign w:val="subscript"/>
          <w:lang w:val="es-ES"/>
        </w:rPr>
        <w:t xml:space="preserve"> r, d</w:t>
      </w:r>
      <w:r w:rsidRPr="0013396E">
        <w:rPr>
          <w:bCs/>
        </w:rPr>
        <w:t xml:space="preserve"> </w:t>
      </w:r>
      <w:r w:rsidRPr="0013396E">
        <w:rPr>
          <w:bCs/>
          <w:i/>
          <w:vertAlign w:val="subscript"/>
        </w:rPr>
        <w:t xml:space="preserve">  </w:t>
      </w:r>
    </w:p>
    <w:p w14:paraId="2672C5E1" w14:textId="77777777" w:rsidR="00C236A2" w:rsidRPr="0013396E" w:rsidRDefault="00C236A2" w:rsidP="00C236A2">
      <w:pPr>
        <w:tabs>
          <w:tab w:val="left" w:pos="1800"/>
        </w:tabs>
        <w:spacing w:after="240"/>
        <w:ind w:left="2160" w:hanging="1440"/>
        <w:rPr>
          <w:iCs/>
          <w:lang w:val="pt-BR"/>
        </w:rPr>
      </w:pPr>
      <w:r w:rsidRPr="0013396E">
        <w:rPr>
          <w:iCs/>
          <w:lang w:val="pt-BR"/>
        </w:rPr>
        <w:t>Where,</w:t>
      </w:r>
    </w:p>
    <w:p w14:paraId="1C1E0EF3" w14:textId="77777777" w:rsidR="00C236A2" w:rsidRPr="0013396E" w:rsidRDefault="00C236A2" w:rsidP="00C236A2">
      <w:pPr>
        <w:tabs>
          <w:tab w:val="left" w:pos="2340"/>
          <w:tab w:val="left" w:pos="2880"/>
        </w:tabs>
        <w:spacing w:after="240"/>
        <w:ind w:left="987" w:hanging="269"/>
        <w:rPr>
          <w:bCs/>
          <w:i/>
          <w:vertAlign w:val="subscript"/>
        </w:rPr>
      </w:pPr>
      <w:r w:rsidRPr="0013396E">
        <w:rPr>
          <w:bCs/>
          <w:lang w:val="pt-BR"/>
        </w:rPr>
        <w:lastRenderedPageBreak/>
        <w:t>OPC</w:t>
      </w:r>
      <w:r w:rsidRPr="0013396E">
        <w:rPr>
          <w:bCs/>
          <w:i/>
          <w:vertAlign w:val="subscript"/>
          <w:lang w:val="es-ES"/>
        </w:rPr>
        <w:t xml:space="preserve"> r, d</w:t>
      </w:r>
      <w:r w:rsidRPr="0013396E">
        <w:rPr>
          <w:bCs/>
          <w:lang w:val="pt-BR"/>
        </w:rPr>
        <w:t xml:space="preserve"> = </w:t>
      </w:r>
      <w:r w:rsidRPr="0013396E">
        <w:rPr>
          <w:bCs/>
          <w:position w:val="-20"/>
          <w:lang w:val="pt-BR"/>
        </w:rPr>
        <w:object w:dxaOrig="220" w:dyaOrig="440" w14:anchorId="79BC7355">
          <v:shape id="_x0000_i1256" type="#_x0000_t75" style="width:12pt;height:24pt" o:ole="">
            <v:imagedata r:id="rId322" o:title=""/>
          </v:shape>
          <o:OLEObject Type="Embed" ProgID="Equation.3" ShapeID="_x0000_i1256" DrawAspect="Content" ObjectID="_1849065886" r:id="rId329"/>
        </w:object>
      </w:r>
      <w:r w:rsidRPr="0013396E">
        <w:rPr>
          <w:bCs/>
          <w:lang w:val="pt-BR"/>
        </w:rPr>
        <w:t>(</w:t>
      </w:r>
      <w:r w:rsidRPr="0013396E">
        <w:rPr>
          <w:bCs/>
        </w:rPr>
        <w:t>(P</w:t>
      </w:r>
      <w:r w:rsidRPr="0013396E">
        <w:rPr>
          <w:bCs/>
          <w:lang w:val="pt-BR"/>
        </w:rPr>
        <w:t>AHR</w:t>
      </w:r>
      <w:r w:rsidRPr="0013396E">
        <w:rPr>
          <w:bCs/>
          <w:i/>
          <w:vertAlign w:val="subscript"/>
          <w:lang w:val="es-ES"/>
        </w:rPr>
        <w:t xml:space="preserve"> r, i</w:t>
      </w:r>
      <w:r w:rsidRPr="0013396E">
        <w:rPr>
          <w:bCs/>
        </w:rPr>
        <w:t xml:space="preserve"> * FIP + STOM </w:t>
      </w:r>
      <w:r w:rsidRPr="0013396E">
        <w:rPr>
          <w:bCs/>
          <w:i/>
          <w:vertAlign w:val="subscript"/>
        </w:rPr>
        <w:t>rc</w:t>
      </w:r>
      <w:r w:rsidRPr="0013396E">
        <w:rPr>
          <w:bCs/>
        </w:rPr>
        <w:t>) * AENG</w:t>
      </w:r>
      <w:r w:rsidRPr="0013396E">
        <w:rPr>
          <w:bCs/>
          <w:i/>
          <w:vertAlign w:val="subscript"/>
          <w:lang w:val="es-ES"/>
        </w:rPr>
        <w:t xml:space="preserve"> r, i</w:t>
      </w:r>
      <w:r w:rsidRPr="0013396E">
        <w:rPr>
          <w:bCs/>
        </w:rPr>
        <w:t xml:space="preserve">) </w:t>
      </w:r>
      <w:r w:rsidRPr="0013396E">
        <w:rPr>
          <w:bCs/>
          <w:i/>
          <w:vertAlign w:val="subscript"/>
        </w:rPr>
        <w:t xml:space="preserve">  </w:t>
      </w:r>
    </w:p>
    <w:p w14:paraId="48303B52" w14:textId="77777777" w:rsidR="00C236A2" w:rsidRPr="0013396E" w:rsidRDefault="00C236A2" w:rsidP="00C236A2">
      <w:r w:rsidRPr="0013396E">
        <w:t>The above variables are defined as follows:</w:t>
      </w:r>
    </w:p>
    <w:tbl>
      <w:tblPr>
        <w:tblW w:w="500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07"/>
        <w:gridCol w:w="1294"/>
        <w:gridCol w:w="6251"/>
      </w:tblGrid>
      <w:tr w:rsidR="00C236A2" w:rsidRPr="0013396E" w14:paraId="029BEE5A" w14:textId="77777777" w:rsidTr="0099759E">
        <w:trPr>
          <w:cantSplit/>
          <w:trHeight w:val="359"/>
          <w:tblHeader/>
        </w:trPr>
        <w:tc>
          <w:tcPr>
            <w:tcW w:w="966" w:type="pct"/>
            <w:tcBorders>
              <w:top w:val="single" w:sz="4" w:space="0" w:color="auto"/>
              <w:left w:val="single" w:sz="4" w:space="0" w:color="auto"/>
              <w:bottom w:val="single" w:sz="6" w:space="0" w:color="auto"/>
              <w:right w:val="single" w:sz="6" w:space="0" w:color="auto"/>
            </w:tcBorders>
            <w:hideMark/>
          </w:tcPr>
          <w:p w14:paraId="7D6097B8" w14:textId="77777777" w:rsidR="00C236A2" w:rsidRPr="0013396E" w:rsidRDefault="00C236A2" w:rsidP="0099759E">
            <w:pPr>
              <w:spacing w:after="120"/>
              <w:rPr>
                <w:b/>
                <w:iCs/>
                <w:sz w:val="20"/>
              </w:rPr>
            </w:pPr>
            <w:r w:rsidRPr="0013396E">
              <w:rPr>
                <w:b/>
                <w:iCs/>
                <w:sz w:val="20"/>
              </w:rPr>
              <w:t>Variable</w:t>
            </w:r>
          </w:p>
        </w:tc>
        <w:tc>
          <w:tcPr>
            <w:tcW w:w="692" w:type="pct"/>
            <w:tcBorders>
              <w:top w:val="single" w:sz="4" w:space="0" w:color="auto"/>
              <w:left w:val="single" w:sz="6" w:space="0" w:color="auto"/>
              <w:bottom w:val="single" w:sz="6" w:space="0" w:color="auto"/>
              <w:right w:val="single" w:sz="6" w:space="0" w:color="auto"/>
            </w:tcBorders>
            <w:hideMark/>
          </w:tcPr>
          <w:p w14:paraId="7DA9735D" w14:textId="77777777" w:rsidR="00C236A2" w:rsidRPr="0013396E" w:rsidRDefault="00C236A2" w:rsidP="0099759E">
            <w:pPr>
              <w:spacing w:after="120"/>
              <w:jc w:val="center"/>
              <w:rPr>
                <w:b/>
                <w:iCs/>
                <w:sz w:val="20"/>
              </w:rPr>
            </w:pPr>
            <w:r w:rsidRPr="0013396E">
              <w:rPr>
                <w:b/>
                <w:iCs/>
                <w:sz w:val="20"/>
              </w:rPr>
              <w:t>Unit</w:t>
            </w:r>
          </w:p>
        </w:tc>
        <w:tc>
          <w:tcPr>
            <w:tcW w:w="3342" w:type="pct"/>
            <w:tcBorders>
              <w:top w:val="single" w:sz="4" w:space="0" w:color="auto"/>
              <w:left w:val="single" w:sz="6" w:space="0" w:color="auto"/>
              <w:bottom w:val="single" w:sz="6" w:space="0" w:color="auto"/>
              <w:right w:val="single" w:sz="4" w:space="0" w:color="auto"/>
            </w:tcBorders>
            <w:hideMark/>
          </w:tcPr>
          <w:p w14:paraId="68BBAAFF" w14:textId="77777777" w:rsidR="00C236A2" w:rsidRPr="0013396E" w:rsidRDefault="00C236A2" w:rsidP="0099759E">
            <w:pPr>
              <w:spacing w:after="120"/>
              <w:rPr>
                <w:b/>
                <w:iCs/>
                <w:sz w:val="20"/>
              </w:rPr>
            </w:pPr>
            <w:r w:rsidRPr="0013396E">
              <w:rPr>
                <w:b/>
                <w:iCs/>
                <w:sz w:val="20"/>
              </w:rPr>
              <w:t>Definition</w:t>
            </w:r>
          </w:p>
        </w:tc>
      </w:tr>
      <w:tr w:rsidR="00C236A2" w:rsidRPr="0013396E" w14:paraId="14A5A7DE"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3313B3E2" w14:textId="77777777" w:rsidR="00C236A2" w:rsidRPr="0013396E" w:rsidRDefault="00C236A2" w:rsidP="0099759E">
            <w:pPr>
              <w:spacing w:after="60"/>
              <w:rPr>
                <w:iCs/>
                <w:sz w:val="20"/>
              </w:rPr>
            </w:pPr>
            <w:r w:rsidRPr="0013396E">
              <w:rPr>
                <w:iCs/>
                <w:sz w:val="20"/>
              </w:rPr>
              <w:t xml:space="preserve">SWMWAMT </w:t>
            </w:r>
            <w:r w:rsidRPr="0013396E">
              <w:rPr>
                <w:i/>
                <w:iCs/>
                <w:sz w:val="20"/>
                <w:vertAlign w:val="subscript"/>
              </w:rPr>
              <w:t>q, r</w:t>
            </w:r>
            <w:r w:rsidRPr="0013396E">
              <w:rPr>
                <w:b/>
                <w:iCs/>
                <w:sz w:val="20"/>
              </w:rPr>
              <w:t xml:space="preserve">  </w:t>
            </w:r>
          </w:p>
        </w:tc>
        <w:tc>
          <w:tcPr>
            <w:tcW w:w="692" w:type="pct"/>
            <w:tcBorders>
              <w:top w:val="single" w:sz="6" w:space="0" w:color="auto"/>
              <w:left w:val="single" w:sz="6" w:space="0" w:color="auto"/>
              <w:bottom w:val="single" w:sz="6" w:space="0" w:color="auto"/>
              <w:right w:val="single" w:sz="6" w:space="0" w:color="auto"/>
            </w:tcBorders>
            <w:hideMark/>
          </w:tcPr>
          <w:p w14:paraId="15E8BFFF"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hideMark/>
          </w:tcPr>
          <w:p w14:paraId="1D1A4A6B" w14:textId="77777777" w:rsidR="00C236A2" w:rsidRPr="0013396E" w:rsidRDefault="00C236A2" w:rsidP="007C3E74">
            <w:pPr>
              <w:rPr>
                <w:iCs/>
                <w:sz w:val="20"/>
              </w:rPr>
            </w:pPr>
            <w:r w:rsidRPr="0013396E">
              <w:rPr>
                <w:i/>
                <w:iCs/>
                <w:sz w:val="20"/>
              </w:rPr>
              <w:t>Switchable Generation Make-Whole Payment</w:t>
            </w:r>
            <w:r w:rsidRPr="0013396E">
              <w:rPr>
                <w:iCs/>
                <w:sz w:val="20"/>
              </w:rPr>
              <w:t xml:space="preserve">—The Switchable Generation Make-Whole Payment to the QSE </w:t>
            </w:r>
            <w:r w:rsidRPr="0013396E">
              <w:rPr>
                <w:i/>
                <w:iCs/>
                <w:sz w:val="20"/>
              </w:rPr>
              <w:t>q,</w:t>
            </w:r>
            <w:r w:rsidRPr="0013396E">
              <w:rPr>
                <w:iCs/>
                <w:sz w:val="20"/>
              </w:rPr>
              <w:t xml:space="preserve"> for Resource </w:t>
            </w:r>
            <w:r w:rsidRPr="0013396E">
              <w:rPr>
                <w:i/>
                <w:iCs/>
                <w:sz w:val="20"/>
              </w:rPr>
              <w:t>r</w:t>
            </w:r>
            <w:r w:rsidRPr="0013396E">
              <w:rPr>
                <w:iCs/>
                <w:sz w:val="20"/>
              </w:rPr>
              <w:t xml:space="preserve">, for the hour.  Where for a Combined Cycle Train, the Resource </w:t>
            </w:r>
            <w:r w:rsidRPr="0013396E">
              <w:rPr>
                <w:i/>
                <w:iCs/>
                <w:sz w:val="20"/>
              </w:rPr>
              <w:t xml:space="preserve">r </w:t>
            </w:r>
            <w:r w:rsidRPr="0013396E">
              <w:rPr>
                <w:iCs/>
                <w:sz w:val="20"/>
              </w:rPr>
              <w:t>is the Combined Cycle Train.</w:t>
            </w:r>
          </w:p>
        </w:tc>
      </w:tr>
      <w:tr w:rsidR="00C236A2" w:rsidRPr="0013396E" w14:paraId="37AB3C39"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2259D95" w14:textId="77777777" w:rsidR="00C236A2" w:rsidRPr="0013396E" w:rsidRDefault="00C236A2" w:rsidP="0099759E">
            <w:pPr>
              <w:spacing w:after="60"/>
              <w:rPr>
                <w:iCs/>
                <w:sz w:val="20"/>
              </w:rPr>
            </w:pPr>
            <w:r w:rsidRPr="0013396E">
              <w:rPr>
                <w:iCs/>
                <w:sz w:val="20"/>
              </w:rPr>
              <w:t xml:space="preserve">SWCG </w:t>
            </w:r>
            <w:r w:rsidRPr="0013396E">
              <w:rPr>
                <w:i/>
                <w:iCs/>
                <w:sz w:val="20"/>
                <w:vertAlign w:val="subscript"/>
              </w:rPr>
              <w:t>q, r, d</w:t>
            </w:r>
          </w:p>
        </w:tc>
        <w:tc>
          <w:tcPr>
            <w:tcW w:w="692" w:type="pct"/>
            <w:tcBorders>
              <w:top w:val="single" w:sz="6" w:space="0" w:color="auto"/>
              <w:left w:val="single" w:sz="6" w:space="0" w:color="auto"/>
              <w:bottom w:val="single" w:sz="6" w:space="0" w:color="auto"/>
              <w:right w:val="single" w:sz="6" w:space="0" w:color="auto"/>
            </w:tcBorders>
          </w:tcPr>
          <w:p w14:paraId="681B1DDD"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7355A516" w14:textId="77777777" w:rsidR="00C236A2" w:rsidRPr="0013396E" w:rsidRDefault="00C236A2" w:rsidP="007C3E74">
            <w:pPr>
              <w:rPr>
                <w:i/>
                <w:iCs/>
                <w:sz w:val="20"/>
              </w:rPr>
            </w:pPr>
            <w:r w:rsidRPr="0013396E">
              <w:rPr>
                <w:i/>
                <w:iCs/>
                <w:sz w:val="20"/>
              </w:rPr>
              <w:t>Switchable Generation Cost Guarantee</w:t>
            </w:r>
            <w:r w:rsidRPr="0013396E">
              <w:rPr>
                <w:iCs/>
                <w:sz w:val="20"/>
              </w:rPr>
              <w:t xml:space="preserve">—The sum of eligible Startup Costs, minimum-energy costs, operating costs, and other Switchable Generation approved costs for Resource </w:t>
            </w:r>
            <w:r w:rsidRPr="0013396E">
              <w:rPr>
                <w:i/>
                <w:iCs/>
                <w:sz w:val="20"/>
              </w:rPr>
              <w:t xml:space="preserve">r </w:t>
            </w:r>
            <w:r w:rsidRPr="0013396E">
              <w:rPr>
                <w:iCs/>
                <w:sz w:val="20"/>
              </w:rPr>
              <w:t xml:space="preserve">represented by QSE </w:t>
            </w:r>
            <w:r w:rsidRPr="0013396E">
              <w:rPr>
                <w:i/>
                <w:iCs/>
                <w:sz w:val="20"/>
              </w:rPr>
              <w:t>q</w:t>
            </w:r>
            <w:r w:rsidRPr="0013396E">
              <w:rPr>
                <w:iCs/>
                <w:sz w:val="20"/>
              </w:rPr>
              <w:t xml:space="preserve"> for all instructed hours, for the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C236A2" w:rsidRPr="0013396E" w14:paraId="186E1322"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F321AAB" w14:textId="77777777" w:rsidR="00C236A2" w:rsidRPr="0013396E" w:rsidRDefault="00C236A2" w:rsidP="0099759E">
            <w:pPr>
              <w:spacing w:after="60"/>
              <w:rPr>
                <w:iCs/>
                <w:sz w:val="20"/>
              </w:rPr>
            </w:pPr>
            <w:r w:rsidRPr="0013396E">
              <w:rPr>
                <w:sz w:val="20"/>
                <w:lang w:val="pt-BR"/>
              </w:rPr>
              <w:t>OPC</w:t>
            </w:r>
            <w:r w:rsidRPr="0013396E">
              <w:rPr>
                <w:i/>
                <w:sz w:val="20"/>
                <w:vertAlign w:val="subscript"/>
                <w:lang w:val="es-ES"/>
              </w:rPr>
              <w:t xml:space="preserve"> r, d</w:t>
            </w:r>
          </w:p>
        </w:tc>
        <w:tc>
          <w:tcPr>
            <w:tcW w:w="692" w:type="pct"/>
            <w:tcBorders>
              <w:top w:val="single" w:sz="6" w:space="0" w:color="auto"/>
              <w:left w:val="single" w:sz="6" w:space="0" w:color="auto"/>
              <w:bottom w:val="single" w:sz="6" w:space="0" w:color="auto"/>
              <w:right w:val="single" w:sz="6" w:space="0" w:color="auto"/>
            </w:tcBorders>
          </w:tcPr>
          <w:p w14:paraId="0035E24C" w14:textId="77777777" w:rsidR="00C236A2" w:rsidRPr="0013396E" w:rsidRDefault="00C236A2" w:rsidP="0099759E">
            <w:pPr>
              <w:spacing w:after="60"/>
              <w:rPr>
                <w:iCs/>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2E373EB9" w14:textId="77777777" w:rsidR="00C236A2" w:rsidRPr="0013396E" w:rsidRDefault="00C236A2" w:rsidP="007C3E74">
            <w:pPr>
              <w:rPr>
                <w:i/>
                <w:iCs/>
                <w:sz w:val="20"/>
              </w:rPr>
            </w:pPr>
            <w:r w:rsidRPr="0013396E">
              <w:rPr>
                <w:i/>
                <w:sz w:val="20"/>
              </w:rPr>
              <w:t xml:space="preserve">Operational Cost </w:t>
            </w:r>
            <w:r w:rsidRPr="0013396E">
              <w:rPr>
                <w:sz w:val="20"/>
              </w:rPr>
              <w:t xml:space="preserve">– The operational cost for the Resource </w:t>
            </w:r>
            <w:r w:rsidRPr="0013396E">
              <w:rPr>
                <w:i/>
                <w:sz w:val="20"/>
              </w:rPr>
              <w:t xml:space="preserve">r </w:t>
            </w:r>
            <w:r w:rsidRPr="0013396E">
              <w:rPr>
                <w:sz w:val="20"/>
              </w:rPr>
              <w:t xml:space="preserve">for the Operating Day </w:t>
            </w:r>
            <w:r w:rsidRPr="0013396E">
              <w:rPr>
                <w:i/>
                <w:sz w:val="20"/>
              </w:rPr>
              <w:t>d</w:t>
            </w:r>
            <w:r w:rsidRPr="0013396E">
              <w:rPr>
                <w:sz w:val="20"/>
              </w:rPr>
              <w:t xml:space="preserve"> in the non-ERCOT Control Area.  The operating costs represent the costs the Resource would have incurred to generate the awarded energy in the non-ERCOT Control Area Day-Ahead market absent a request to switch to ERCOT.  Where for a Combined Cycle Train, the Resource </w:t>
            </w:r>
            <w:r w:rsidRPr="0013396E">
              <w:rPr>
                <w:i/>
                <w:sz w:val="20"/>
              </w:rPr>
              <w:t xml:space="preserve">r </w:t>
            </w:r>
            <w:r w:rsidRPr="0013396E">
              <w:rPr>
                <w:sz w:val="20"/>
              </w:rPr>
              <w:t>is the Combined Cycle Train.</w:t>
            </w:r>
          </w:p>
        </w:tc>
      </w:tr>
      <w:tr w:rsidR="00C236A2" w:rsidRPr="0013396E" w14:paraId="13644647"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51E0ABA2" w14:textId="77777777" w:rsidR="00C236A2" w:rsidRPr="0013396E" w:rsidRDefault="00C236A2" w:rsidP="0099759E">
            <w:pPr>
              <w:spacing w:after="60"/>
              <w:rPr>
                <w:iCs/>
                <w:sz w:val="20"/>
              </w:rPr>
            </w:pPr>
            <w:r w:rsidRPr="0013396E">
              <w:rPr>
                <w:sz w:val="20"/>
              </w:rPr>
              <w:t>AENG</w:t>
            </w:r>
            <w:r w:rsidRPr="0013396E">
              <w:rPr>
                <w:i/>
                <w:sz w:val="20"/>
                <w:vertAlign w:val="subscript"/>
                <w:lang w:val="es-ES"/>
              </w:rPr>
              <w:t xml:space="preserve"> r, i</w:t>
            </w:r>
          </w:p>
        </w:tc>
        <w:tc>
          <w:tcPr>
            <w:tcW w:w="692" w:type="pct"/>
            <w:tcBorders>
              <w:top w:val="single" w:sz="6" w:space="0" w:color="auto"/>
              <w:left w:val="single" w:sz="6" w:space="0" w:color="auto"/>
              <w:bottom w:val="single" w:sz="6" w:space="0" w:color="auto"/>
              <w:right w:val="single" w:sz="6" w:space="0" w:color="auto"/>
            </w:tcBorders>
          </w:tcPr>
          <w:p w14:paraId="33254D1B" w14:textId="77777777" w:rsidR="00C236A2" w:rsidRPr="0013396E" w:rsidRDefault="00C236A2" w:rsidP="0099759E">
            <w:pPr>
              <w:spacing w:after="60"/>
              <w:rPr>
                <w:iCs/>
                <w:sz w:val="20"/>
              </w:rPr>
            </w:pPr>
            <w:r w:rsidRPr="0013396E">
              <w:rPr>
                <w:sz w:val="20"/>
              </w:rPr>
              <w:t>MWh</w:t>
            </w:r>
          </w:p>
        </w:tc>
        <w:tc>
          <w:tcPr>
            <w:tcW w:w="3342" w:type="pct"/>
            <w:tcBorders>
              <w:top w:val="single" w:sz="6" w:space="0" w:color="auto"/>
              <w:left w:val="single" w:sz="6" w:space="0" w:color="auto"/>
              <w:bottom w:val="single" w:sz="6" w:space="0" w:color="auto"/>
              <w:right w:val="single" w:sz="4" w:space="0" w:color="auto"/>
            </w:tcBorders>
          </w:tcPr>
          <w:p w14:paraId="390BC3D3" w14:textId="77777777" w:rsidR="00C236A2" w:rsidRPr="0013396E" w:rsidRDefault="00C236A2" w:rsidP="007C3E74">
            <w:pPr>
              <w:rPr>
                <w:i/>
                <w:iCs/>
                <w:sz w:val="20"/>
              </w:rPr>
            </w:pPr>
            <w:r w:rsidRPr="0013396E">
              <w:rPr>
                <w:i/>
                <w:sz w:val="20"/>
              </w:rPr>
              <w:t xml:space="preserve">Awarded Energy Non-ERCOT Day-Ahead Market </w:t>
            </w:r>
            <w:r w:rsidRPr="0013396E">
              <w:rPr>
                <w:sz w:val="20"/>
              </w:rPr>
              <w:t xml:space="preserve">– The awarded energy in the non-ERCOT Day-Ahead Market for the Resource </w:t>
            </w:r>
            <w:r w:rsidRPr="0013396E">
              <w:rPr>
                <w:i/>
                <w:sz w:val="20"/>
              </w:rPr>
              <w:t>r</w:t>
            </w:r>
            <w:r w:rsidRPr="0013396E">
              <w:rPr>
                <w:sz w:val="20"/>
              </w:rPr>
              <w:t xml:space="preserve"> during the Interval </w:t>
            </w:r>
            <w:r w:rsidRPr="0013396E">
              <w:rPr>
                <w:i/>
                <w:sz w:val="20"/>
              </w:rPr>
              <w:t>i</w:t>
            </w:r>
            <w:r w:rsidRPr="0013396E">
              <w:rPr>
                <w:sz w:val="20"/>
              </w:rPr>
              <w:t xml:space="preserve">.  The awarded energy in the non-ERCOT Control Area Day-Ahead market represents the energy award for the interval that was not generated by the Resource due to the switch to ERCOT.  Where for a Combined Cycle Train, the Resource </w:t>
            </w:r>
            <w:r w:rsidRPr="0013396E">
              <w:rPr>
                <w:i/>
                <w:sz w:val="20"/>
              </w:rPr>
              <w:t xml:space="preserve">r </w:t>
            </w:r>
            <w:r w:rsidRPr="0013396E">
              <w:rPr>
                <w:sz w:val="20"/>
              </w:rPr>
              <w:t>is the Combined Cycle Train.</w:t>
            </w:r>
          </w:p>
        </w:tc>
      </w:tr>
      <w:tr w:rsidR="00C236A2" w:rsidRPr="0013396E" w14:paraId="20AD6C2E"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08E8D65B" w14:textId="77777777" w:rsidR="00C236A2" w:rsidRPr="0013396E" w:rsidRDefault="00C236A2" w:rsidP="0099759E">
            <w:pPr>
              <w:spacing w:after="60"/>
              <w:rPr>
                <w:iCs/>
                <w:sz w:val="20"/>
              </w:rPr>
            </w:pPr>
            <w:r w:rsidRPr="0013396E">
              <w:rPr>
                <w:iCs/>
                <w:sz w:val="20"/>
              </w:rPr>
              <w:t xml:space="preserve">SWSUC </w:t>
            </w:r>
            <w:r w:rsidRPr="0013396E">
              <w:rPr>
                <w:i/>
                <w:iCs/>
                <w:sz w:val="20"/>
                <w:vertAlign w:val="subscript"/>
              </w:rPr>
              <w:t>q ,r, d</w:t>
            </w:r>
            <w:r w:rsidRPr="0013396E">
              <w:rPr>
                <w:iCs/>
                <w:sz w:val="20"/>
              </w:rPr>
              <w:t xml:space="preserve">    </w:t>
            </w:r>
          </w:p>
        </w:tc>
        <w:tc>
          <w:tcPr>
            <w:tcW w:w="692" w:type="pct"/>
            <w:tcBorders>
              <w:top w:val="single" w:sz="6" w:space="0" w:color="auto"/>
              <w:left w:val="single" w:sz="6" w:space="0" w:color="auto"/>
              <w:bottom w:val="single" w:sz="6" w:space="0" w:color="auto"/>
              <w:right w:val="single" w:sz="6" w:space="0" w:color="auto"/>
            </w:tcBorders>
            <w:hideMark/>
          </w:tcPr>
          <w:p w14:paraId="67741C40"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hideMark/>
          </w:tcPr>
          <w:p w14:paraId="6C6CB01E" w14:textId="77777777" w:rsidR="00C236A2" w:rsidRPr="0013396E" w:rsidRDefault="00C236A2" w:rsidP="007C3E74">
            <w:pPr>
              <w:rPr>
                <w:iCs/>
                <w:sz w:val="20"/>
              </w:rPr>
            </w:pPr>
            <w:r w:rsidRPr="0013396E">
              <w:rPr>
                <w:i/>
                <w:iCs/>
                <w:sz w:val="20"/>
              </w:rPr>
              <w:t>Switchable Generation</w:t>
            </w:r>
            <w:r w:rsidRPr="0013396E">
              <w:rPr>
                <w:iCs/>
                <w:sz w:val="20"/>
              </w:rPr>
              <w:t xml:space="preserve"> </w:t>
            </w:r>
            <w:r w:rsidRPr="0013396E">
              <w:rPr>
                <w:i/>
                <w:iCs/>
                <w:sz w:val="20"/>
              </w:rPr>
              <w:t xml:space="preserve">Start-Up Cost </w:t>
            </w:r>
            <w:r w:rsidRPr="0013396E">
              <w:rPr>
                <w:iCs/>
                <w:sz w:val="20"/>
              </w:rPr>
              <w:t xml:space="preserve">—The Startup Costs for Resource </w:t>
            </w:r>
            <w:r w:rsidRPr="0013396E">
              <w:rPr>
                <w:i/>
                <w:iCs/>
                <w:sz w:val="20"/>
              </w:rPr>
              <w:t xml:space="preserve">r </w:t>
            </w:r>
            <w:r w:rsidRPr="0013396E">
              <w:rPr>
                <w:iCs/>
                <w:sz w:val="20"/>
              </w:rPr>
              <w:t>represented by QSE</w:t>
            </w:r>
            <w:r w:rsidRPr="0013396E">
              <w:rPr>
                <w:i/>
                <w:iCs/>
                <w:sz w:val="20"/>
              </w:rPr>
              <w:t xml:space="preserve"> q </w:t>
            </w:r>
            <w:r w:rsidRPr="0013396E">
              <w:rPr>
                <w:iCs/>
                <w:sz w:val="20"/>
              </w:rPr>
              <w:t xml:space="preserve">for startup hours, for the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C236A2" w:rsidRPr="0013396E" w14:paraId="735EA988"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81BEF29" w14:textId="77777777" w:rsidR="00C236A2" w:rsidRPr="0013396E" w:rsidRDefault="00C236A2" w:rsidP="0099759E">
            <w:pPr>
              <w:spacing w:after="60"/>
              <w:rPr>
                <w:iCs/>
                <w:sz w:val="20"/>
              </w:rPr>
            </w:pPr>
            <w:r w:rsidRPr="0013396E">
              <w:rPr>
                <w:sz w:val="20"/>
              </w:rPr>
              <w:t>SWPSLR</w:t>
            </w:r>
            <w:r w:rsidRPr="0013396E">
              <w:rPr>
                <w:i/>
                <w:sz w:val="20"/>
                <w:vertAlign w:val="subscript"/>
              </w:rPr>
              <w:t xml:space="preserve"> q ,r, d</w:t>
            </w:r>
            <w:r w:rsidRPr="0013396E">
              <w:rPr>
                <w:sz w:val="20"/>
              </w:rPr>
              <w:t xml:space="preserve">    </w:t>
            </w:r>
          </w:p>
        </w:tc>
        <w:tc>
          <w:tcPr>
            <w:tcW w:w="692" w:type="pct"/>
            <w:tcBorders>
              <w:top w:val="single" w:sz="6" w:space="0" w:color="auto"/>
              <w:left w:val="single" w:sz="6" w:space="0" w:color="auto"/>
              <w:bottom w:val="single" w:sz="6" w:space="0" w:color="auto"/>
              <w:right w:val="single" w:sz="6" w:space="0" w:color="auto"/>
            </w:tcBorders>
          </w:tcPr>
          <w:p w14:paraId="22B2D88E" w14:textId="77777777" w:rsidR="00C236A2" w:rsidRPr="0013396E" w:rsidRDefault="00C236A2" w:rsidP="0099759E">
            <w:pPr>
              <w:spacing w:after="60"/>
              <w:rPr>
                <w:iCs/>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422A7F33" w14:textId="77777777" w:rsidR="00C236A2" w:rsidRPr="0013396E" w:rsidRDefault="00C236A2" w:rsidP="007C3E74">
            <w:pPr>
              <w:rPr>
                <w:i/>
                <w:iCs/>
                <w:sz w:val="20"/>
              </w:rPr>
            </w:pPr>
            <w:r w:rsidRPr="0013396E">
              <w:rPr>
                <w:i/>
                <w:sz w:val="20"/>
              </w:rPr>
              <w:t xml:space="preserve">Switchable Generation Physical Switch Lost Revenue – </w:t>
            </w:r>
            <w:r w:rsidRPr="0013396E">
              <w:rPr>
                <w:sz w:val="20"/>
              </w:rPr>
              <w:t xml:space="preserve">The loss of revenue, net of any saved costs including avoided fuel consumption, experienced by the QSE when the Combined Cycle Generation Resource operating in ERCOT must reduce its output to accommodate a switch from a non-ERCOT Control Area of one or more turbines needed to achieve a Combined Cycle Generation Resource configuration instructed by ERCOT.  Where for a Combined Cycle Train, the Resource </w:t>
            </w:r>
            <w:r w:rsidRPr="0013396E">
              <w:rPr>
                <w:i/>
                <w:sz w:val="20"/>
              </w:rPr>
              <w:t xml:space="preserve">r </w:t>
            </w:r>
            <w:r w:rsidRPr="0013396E">
              <w:rPr>
                <w:sz w:val="20"/>
              </w:rPr>
              <w:t>is the Combined Cycle Train.</w:t>
            </w:r>
          </w:p>
        </w:tc>
      </w:tr>
      <w:tr w:rsidR="00C236A2" w:rsidRPr="0013396E" w14:paraId="5C06A669" w14:textId="77777777" w:rsidTr="000B7133">
        <w:tc>
          <w:tcPr>
            <w:tcW w:w="966" w:type="pct"/>
            <w:tcBorders>
              <w:top w:val="single" w:sz="6" w:space="0" w:color="auto"/>
              <w:left w:val="single" w:sz="4" w:space="0" w:color="auto"/>
              <w:bottom w:val="single" w:sz="6" w:space="0" w:color="auto"/>
              <w:right w:val="single" w:sz="6" w:space="0" w:color="auto"/>
            </w:tcBorders>
          </w:tcPr>
          <w:p w14:paraId="119AB6BA" w14:textId="77777777" w:rsidR="00C236A2" w:rsidRPr="0013396E" w:rsidRDefault="00C236A2" w:rsidP="0099759E">
            <w:pPr>
              <w:spacing w:after="60"/>
              <w:rPr>
                <w:iCs/>
                <w:sz w:val="20"/>
              </w:rPr>
            </w:pPr>
            <w:r w:rsidRPr="0013396E">
              <w:rPr>
                <w:sz w:val="20"/>
              </w:rPr>
              <w:t xml:space="preserve">RTLPX </w:t>
            </w:r>
            <w:r w:rsidRPr="0013396E">
              <w:rPr>
                <w:i/>
                <w:sz w:val="20"/>
                <w:vertAlign w:val="subscript"/>
              </w:rPr>
              <w:t>q, r, i</w:t>
            </w:r>
          </w:p>
        </w:tc>
        <w:tc>
          <w:tcPr>
            <w:tcW w:w="692" w:type="pct"/>
            <w:tcBorders>
              <w:top w:val="single" w:sz="6" w:space="0" w:color="auto"/>
              <w:left w:val="single" w:sz="6" w:space="0" w:color="auto"/>
              <w:bottom w:val="single" w:sz="6" w:space="0" w:color="auto"/>
              <w:right w:val="single" w:sz="6" w:space="0" w:color="auto"/>
            </w:tcBorders>
          </w:tcPr>
          <w:p w14:paraId="7760BBD5" w14:textId="77777777" w:rsidR="00C236A2" w:rsidRPr="0013396E" w:rsidRDefault="00C236A2" w:rsidP="0099759E">
            <w:pPr>
              <w:spacing w:after="60"/>
              <w:rPr>
                <w:iCs/>
                <w:sz w:val="20"/>
              </w:rPr>
            </w:pPr>
            <w:r w:rsidRPr="0013396E">
              <w:rPr>
                <w:sz w:val="20"/>
              </w:rPr>
              <w:t>MWh</w:t>
            </w:r>
          </w:p>
        </w:tc>
        <w:tc>
          <w:tcPr>
            <w:tcW w:w="3342" w:type="pct"/>
            <w:tcBorders>
              <w:top w:val="single" w:sz="6" w:space="0" w:color="auto"/>
              <w:left w:val="single" w:sz="6" w:space="0" w:color="auto"/>
              <w:bottom w:val="single" w:sz="6" w:space="0" w:color="auto"/>
              <w:right w:val="single" w:sz="4" w:space="0" w:color="auto"/>
            </w:tcBorders>
          </w:tcPr>
          <w:p w14:paraId="5512D868" w14:textId="77777777" w:rsidR="00C236A2" w:rsidRPr="0013396E" w:rsidRDefault="00C236A2" w:rsidP="007C3E74">
            <w:pPr>
              <w:rPr>
                <w:iCs/>
                <w:sz w:val="20"/>
              </w:rPr>
            </w:pPr>
            <w:r w:rsidRPr="0013396E">
              <w:rPr>
                <w:i/>
                <w:iCs/>
                <w:sz w:val="20"/>
              </w:rPr>
              <w:t>Real-Time Proxy Generation per QSE per Resource by Settlement Interval</w:t>
            </w:r>
            <w:r w:rsidRPr="0013396E">
              <w:rPr>
                <w:iCs/>
                <w:sz w:val="20"/>
              </w:rPr>
              <w:t xml:space="preserve">—The Real-Time energy that was not generated in ERCOT by Combined Cycle Train,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t>
            </w:r>
            <w:r w:rsidRPr="0013396E">
              <w:rPr>
                <w:i/>
                <w:iCs/>
                <w:sz w:val="20"/>
              </w:rPr>
              <w:t>i</w:t>
            </w:r>
            <w:r w:rsidRPr="0013396E">
              <w:rPr>
                <w:iCs/>
                <w:sz w:val="20"/>
              </w:rPr>
              <w:t>, due to a reduction in output that was necessary to facilitate a switch of another unit in the same Combined Cycle Train to the ERCOT System from a non-ERCOT Control Area, or to a non-ERCOT Control Area from the ERCOT System, when the switch is instructed by ERCOT.</w:t>
            </w:r>
          </w:p>
          <w:p w14:paraId="4F04FBB3" w14:textId="77777777" w:rsidR="00C236A2" w:rsidRPr="0013396E" w:rsidRDefault="00C236A2" w:rsidP="007C3E74">
            <w:pPr>
              <w:rPr>
                <w:iCs/>
                <w:sz w:val="20"/>
              </w:rPr>
            </w:pPr>
            <w:r w:rsidRPr="0013396E">
              <w:rPr>
                <w:iCs/>
                <w:sz w:val="20"/>
              </w:rPr>
              <w:t xml:space="preserve">During a shutdown to switch to ERCOT, the value of RTLPX will be determined based on the reduced generation, by interval, for the period starting from the commencement of the shutdown sequence in the non-ERCOT Control Area until breaker close in ERCOT.  The reduction in generation shall be determined based on the last metered output value for the Combined Cycle Generation Resource operating in ERCOT immediately prior to the commencement of the shutdown sequence in the non-ERCOT Control Area as compared with the actual metered output </w:t>
            </w:r>
            <w:r w:rsidRPr="0013396E">
              <w:rPr>
                <w:iCs/>
                <w:sz w:val="20"/>
              </w:rPr>
              <w:lastRenderedPageBreak/>
              <w:t xml:space="preserve">during the relevant period, but only to the extent ERCOT determines the reduction in output was necessary to facilitate the switch.  </w:t>
            </w:r>
          </w:p>
          <w:p w14:paraId="0D38EDC7" w14:textId="77777777" w:rsidR="00C236A2" w:rsidRPr="0013396E" w:rsidRDefault="00C236A2" w:rsidP="007C3E74">
            <w:pPr>
              <w:rPr>
                <w:i/>
                <w:iCs/>
                <w:sz w:val="20"/>
              </w:rPr>
            </w:pPr>
            <w:r w:rsidRPr="0013396E">
              <w:rPr>
                <w:sz w:val="20"/>
              </w:rPr>
              <w:t>During a shutdown after an ERCOT release of the SWGR, the value of RTLPX will be determined based on the reduced generation, by interval, for the period starting from the commencement of the shutdown sequence in the ERCOT Control Area until breaker close in the non-ERCOT Control Area, with a maximum duration equal to the duration of the switch from the non-ERCOT Control Area to ERCOT</w:t>
            </w:r>
            <w:r w:rsidRPr="0013396E" w:rsidDel="00482822">
              <w:rPr>
                <w:sz w:val="20"/>
              </w:rPr>
              <w:t xml:space="preserve"> </w:t>
            </w:r>
            <w:r w:rsidRPr="0013396E">
              <w:rPr>
                <w:sz w:val="20"/>
              </w:rPr>
              <w:t xml:space="preserve">pursuant to the RUC instruction.  This proxy value will apply only if the QSE shuts down the unit within 60 minutes after the ERCOT release.  The reduction in generation shall be determined based on the last metered output value for the Combined Cycle Generation Resource operating in ERCOT immediately prior to the commencement of the shutdown sequence in ERCOT, as compared with the actual metered output during the relevant period, but only to the extent ERCOT determines the reduction in output was necessary to facilitate the switch.  </w:t>
            </w:r>
          </w:p>
        </w:tc>
      </w:tr>
      <w:tr w:rsidR="00C236A2" w:rsidRPr="0013396E" w14:paraId="42D3002B"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062AF00D" w14:textId="77777777" w:rsidR="00C236A2" w:rsidRPr="0013396E" w:rsidRDefault="00C236A2" w:rsidP="0099759E">
            <w:pPr>
              <w:spacing w:after="60"/>
              <w:rPr>
                <w:iCs/>
                <w:sz w:val="20"/>
              </w:rPr>
            </w:pPr>
            <w:r w:rsidRPr="0013396E">
              <w:rPr>
                <w:sz w:val="20"/>
              </w:rPr>
              <w:lastRenderedPageBreak/>
              <w:t xml:space="preserve">SFC </w:t>
            </w:r>
            <w:r w:rsidRPr="0013396E">
              <w:rPr>
                <w:i/>
                <w:sz w:val="20"/>
                <w:vertAlign w:val="subscript"/>
              </w:rPr>
              <w:t>d</w:t>
            </w:r>
          </w:p>
        </w:tc>
        <w:tc>
          <w:tcPr>
            <w:tcW w:w="692" w:type="pct"/>
            <w:tcBorders>
              <w:top w:val="single" w:sz="6" w:space="0" w:color="auto"/>
              <w:left w:val="single" w:sz="6" w:space="0" w:color="auto"/>
              <w:bottom w:val="single" w:sz="6" w:space="0" w:color="auto"/>
              <w:right w:val="single" w:sz="6" w:space="0" w:color="auto"/>
            </w:tcBorders>
          </w:tcPr>
          <w:p w14:paraId="3847D766" w14:textId="77777777" w:rsidR="00C236A2" w:rsidRPr="0013396E" w:rsidRDefault="00C236A2" w:rsidP="0099759E">
            <w:pPr>
              <w:spacing w:after="60"/>
              <w:rPr>
                <w:iCs/>
                <w:sz w:val="20"/>
              </w:rPr>
            </w:pPr>
            <w:r w:rsidRPr="0013396E">
              <w:rPr>
                <w:sz w:val="20"/>
              </w:rPr>
              <w:t>MMBtu</w:t>
            </w:r>
          </w:p>
        </w:tc>
        <w:tc>
          <w:tcPr>
            <w:tcW w:w="3342" w:type="pct"/>
            <w:tcBorders>
              <w:top w:val="single" w:sz="6" w:space="0" w:color="auto"/>
              <w:left w:val="single" w:sz="6" w:space="0" w:color="auto"/>
              <w:bottom w:val="single" w:sz="6" w:space="0" w:color="auto"/>
              <w:right w:val="single" w:sz="4" w:space="0" w:color="auto"/>
            </w:tcBorders>
          </w:tcPr>
          <w:p w14:paraId="371F3221" w14:textId="77777777" w:rsidR="00C236A2" w:rsidRPr="0013396E" w:rsidRDefault="00C236A2" w:rsidP="007C3E74">
            <w:pPr>
              <w:rPr>
                <w:i/>
                <w:iCs/>
                <w:sz w:val="20"/>
              </w:rPr>
            </w:pPr>
            <w:r w:rsidRPr="0013396E">
              <w:rPr>
                <w:i/>
                <w:sz w:val="20"/>
              </w:rPr>
              <w:t xml:space="preserve">Saved Fuel Consumption </w:t>
            </w:r>
            <w:r w:rsidRPr="0013396E">
              <w:rPr>
                <w:sz w:val="20"/>
              </w:rPr>
              <w:t>— Fuel quantity saved due to an output reduction of the combustion turbine(s) operating in ERCOT during the relevant period if necessary to accommodate the switch to and from the ERCOT area.</w:t>
            </w:r>
          </w:p>
        </w:tc>
      </w:tr>
      <w:tr w:rsidR="00C236A2" w:rsidRPr="0013396E" w14:paraId="26AB65B3"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3BA45D7" w14:textId="77777777" w:rsidR="00C236A2" w:rsidRPr="0013396E" w:rsidRDefault="00C236A2" w:rsidP="0099759E">
            <w:pPr>
              <w:spacing w:after="60"/>
              <w:rPr>
                <w:iCs/>
                <w:sz w:val="20"/>
              </w:rPr>
            </w:pPr>
            <w:r w:rsidRPr="0013396E">
              <w:rPr>
                <w:sz w:val="20"/>
              </w:rPr>
              <w:t>SWSF</w:t>
            </w:r>
          </w:p>
        </w:tc>
        <w:tc>
          <w:tcPr>
            <w:tcW w:w="692" w:type="pct"/>
            <w:tcBorders>
              <w:top w:val="single" w:sz="6" w:space="0" w:color="auto"/>
              <w:left w:val="single" w:sz="6" w:space="0" w:color="auto"/>
              <w:bottom w:val="single" w:sz="6" w:space="0" w:color="auto"/>
              <w:right w:val="single" w:sz="6" w:space="0" w:color="auto"/>
            </w:tcBorders>
          </w:tcPr>
          <w:p w14:paraId="0C16293E"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4938E4B9" w14:textId="77777777" w:rsidR="00C236A2" w:rsidRPr="0013396E" w:rsidRDefault="00C236A2" w:rsidP="007C3E74">
            <w:pPr>
              <w:rPr>
                <w:i/>
                <w:iCs/>
                <w:sz w:val="20"/>
              </w:rPr>
            </w:pPr>
            <w:r w:rsidRPr="0013396E">
              <w:rPr>
                <w:i/>
                <w:iCs/>
                <w:sz w:val="20"/>
              </w:rPr>
              <w:t>Switchable Generation</w:t>
            </w:r>
            <w:r w:rsidRPr="0013396E">
              <w:rPr>
                <w:iCs/>
                <w:sz w:val="20"/>
              </w:rPr>
              <w:t xml:space="preserve"> </w:t>
            </w:r>
            <w:r w:rsidRPr="0013396E">
              <w:rPr>
                <w:i/>
                <w:iCs/>
                <w:sz w:val="20"/>
              </w:rPr>
              <w:t xml:space="preserve">Startup Factor </w:t>
            </w:r>
            <w:r w:rsidRPr="0013396E">
              <w:rPr>
                <w:iCs/>
                <w:sz w:val="20"/>
              </w:rPr>
              <w:t>—The Switchable Generation Startup Factor for an SWGR.  The SWSF shall be set to a value of 2 if the SWGR has a COP Resource Status of EMRSWGR within 24 hours of being released by the ERCOT Operator.  Otherwise, the SWSF shall be set to a value of 1.</w:t>
            </w:r>
          </w:p>
        </w:tc>
      </w:tr>
      <w:tr w:rsidR="00C236A2" w:rsidRPr="0013396E" w14:paraId="38EA1EDB"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18694B5D" w14:textId="77777777" w:rsidR="00C236A2" w:rsidRPr="0013396E" w:rsidRDefault="00C236A2" w:rsidP="0099759E">
            <w:pPr>
              <w:spacing w:after="60"/>
              <w:rPr>
                <w:iCs/>
                <w:sz w:val="20"/>
              </w:rPr>
            </w:pPr>
            <w:r w:rsidRPr="0013396E">
              <w:rPr>
                <w:iCs/>
                <w:sz w:val="20"/>
              </w:rPr>
              <w:t xml:space="preserve">SWMEC </w:t>
            </w:r>
            <w:r w:rsidRPr="0013396E">
              <w:rPr>
                <w:i/>
                <w:iCs/>
                <w:sz w:val="20"/>
                <w:vertAlign w:val="subscript"/>
              </w:rPr>
              <w:t>q, r, d</w:t>
            </w:r>
          </w:p>
        </w:tc>
        <w:tc>
          <w:tcPr>
            <w:tcW w:w="692" w:type="pct"/>
            <w:tcBorders>
              <w:top w:val="single" w:sz="6" w:space="0" w:color="auto"/>
              <w:left w:val="single" w:sz="6" w:space="0" w:color="auto"/>
              <w:bottom w:val="single" w:sz="6" w:space="0" w:color="auto"/>
              <w:right w:val="single" w:sz="6" w:space="0" w:color="auto"/>
            </w:tcBorders>
          </w:tcPr>
          <w:p w14:paraId="1A7CDF44"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438DFB2F" w14:textId="77777777" w:rsidR="00C236A2" w:rsidRPr="0013396E" w:rsidRDefault="00C236A2" w:rsidP="007C3E74">
            <w:pPr>
              <w:rPr>
                <w:i/>
                <w:iCs/>
                <w:sz w:val="20"/>
              </w:rPr>
            </w:pPr>
            <w:r w:rsidRPr="0013396E">
              <w:rPr>
                <w:i/>
                <w:iCs/>
                <w:sz w:val="20"/>
              </w:rPr>
              <w:t>Switchable Generation</w:t>
            </w:r>
            <w:r w:rsidRPr="0013396E">
              <w:rPr>
                <w:iCs/>
                <w:sz w:val="20"/>
              </w:rPr>
              <w:t xml:space="preserve"> </w:t>
            </w:r>
            <w:r w:rsidRPr="0013396E">
              <w:rPr>
                <w:i/>
                <w:iCs/>
                <w:sz w:val="20"/>
              </w:rPr>
              <w:t xml:space="preserve">Minimum Energy Cost </w:t>
            </w:r>
            <w:r w:rsidRPr="0013396E">
              <w:rPr>
                <w:iCs/>
                <w:sz w:val="20"/>
              </w:rPr>
              <w:t xml:space="preserve">—The minimum energy costs for Resource </w:t>
            </w:r>
            <w:r w:rsidRPr="0013396E">
              <w:rPr>
                <w:i/>
                <w:iCs/>
                <w:sz w:val="20"/>
              </w:rPr>
              <w:t xml:space="preserve">r </w:t>
            </w:r>
            <w:r w:rsidRPr="0013396E">
              <w:rPr>
                <w:iCs/>
                <w:sz w:val="20"/>
              </w:rPr>
              <w:t>represented by QSE</w:t>
            </w:r>
            <w:r w:rsidRPr="0013396E">
              <w:rPr>
                <w:i/>
                <w:iCs/>
                <w:sz w:val="20"/>
              </w:rPr>
              <w:t xml:space="preserve"> q </w:t>
            </w:r>
            <w:r w:rsidRPr="0013396E">
              <w:rPr>
                <w:iCs/>
                <w:sz w:val="20"/>
              </w:rPr>
              <w:t xml:space="preserve">during instructed hours, for the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C236A2" w:rsidRPr="0013396E" w14:paraId="6F6C8A9C"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08AE76CD" w14:textId="77777777" w:rsidR="00C236A2" w:rsidRPr="0013396E" w:rsidRDefault="00C236A2" w:rsidP="0099759E">
            <w:pPr>
              <w:spacing w:after="60"/>
              <w:rPr>
                <w:iCs/>
                <w:sz w:val="20"/>
              </w:rPr>
            </w:pPr>
            <w:r w:rsidRPr="0013396E">
              <w:rPr>
                <w:iCs/>
                <w:sz w:val="20"/>
              </w:rPr>
              <w:t xml:space="preserve">SWOC </w:t>
            </w:r>
            <w:r w:rsidRPr="0013396E">
              <w:rPr>
                <w:i/>
                <w:iCs/>
                <w:sz w:val="20"/>
                <w:vertAlign w:val="subscript"/>
              </w:rPr>
              <w:t>q, r, d</w:t>
            </w:r>
          </w:p>
        </w:tc>
        <w:tc>
          <w:tcPr>
            <w:tcW w:w="692" w:type="pct"/>
            <w:tcBorders>
              <w:top w:val="single" w:sz="6" w:space="0" w:color="auto"/>
              <w:left w:val="single" w:sz="6" w:space="0" w:color="auto"/>
              <w:bottom w:val="single" w:sz="6" w:space="0" w:color="auto"/>
              <w:right w:val="single" w:sz="6" w:space="0" w:color="auto"/>
            </w:tcBorders>
          </w:tcPr>
          <w:p w14:paraId="281055A4"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15B22CC7" w14:textId="77777777" w:rsidR="00C236A2" w:rsidRPr="0013396E" w:rsidRDefault="00C236A2" w:rsidP="007C3E74">
            <w:pPr>
              <w:rPr>
                <w:i/>
                <w:iCs/>
                <w:sz w:val="20"/>
              </w:rPr>
            </w:pPr>
            <w:r w:rsidRPr="0013396E">
              <w:rPr>
                <w:i/>
                <w:sz w:val="20"/>
              </w:rPr>
              <w:t>Switchable Generation</w:t>
            </w:r>
            <w:r w:rsidRPr="0013396E">
              <w:rPr>
                <w:sz w:val="20"/>
              </w:rPr>
              <w:t xml:space="preserve"> </w:t>
            </w:r>
            <w:r w:rsidRPr="0013396E">
              <w:rPr>
                <w:i/>
                <w:sz w:val="20"/>
              </w:rPr>
              <w:t xml:space="preserve">Operating Cost </w:t>
            </w:r>
            <w:r w:rsidRPr="0013396E">
              <w:rPr>
                <w:sz w:val="20"/>
              </w:rPr>
              <w:t xml:space="preserve">—The operating costs for Resource </w:t>
            </w:r>
            <w:r w:rsidRPr="0013396E">
              <w:rPr>
                <w:i/>
                <w:sz w:val="20"/>
              </w:rPr>
              <w:t xml:space="preserve">r </w:t>
            </w:r>
            <w:r w:rsidRPr="0013396E">
              <w:rPr>
                <w:sz w:val="20"/>
              </w:rPr>
              <w:t>represented by QSE</w:t>
            </w:r>
            <w:r w:rsidRPr="0013396E">
              <w:rPr>
                <w:i/>
                <w:sz w:val="20"/>
              </w:rPr>
              <w:t xml:space="preserve"> q </w:t>
            </w:r>
            <w:r w:rsidRPr="0013396E">
              <w:rPr>
                <w:sz w:val="20"/>
              </w:rPr>
              <w:t xml:space="preserve">during instructed hours, for the Operating Day </w:t>
            </w:r>
            <w:r w:rsidRPr="0013396E">
              <w:rPr>
                <w:i/>
                <w:sz w:val="20"/>
              </w:rPr>
              <w:t>d</w:t>
            </w:r>
            <w:r w:rsidRPr="0013396E">
              <w:rPr>
                <w:sz w:val="20"/>
              </w:rPr>
              <w:t xml:space="preserve">.  Where for a Combined Cycle Train, the Resource </w:t>
            </w:r>
            <w:r w:rsidRPr="0013396E">
              <w:rPr>
                <w:i/>
                <w:sz w:val="20"/>
              </w:rPr>
              <w:t xml:space="preserve">r </w:t>
            </w:r>
            <w:r w:rsidRPr="0013396E">
              <w:rPr>
                <w:sz w:val="20"/>
              </w:rPr>
              <w:t>is the Combined Cycle Train.  Switchable generation operating cost represents the Real-Time operating costs in ERCOT reduced by the savings in operating costs not incurred due to the switch from the non-ERCOT Control Area.</w:t>
            </w:r>
          </w:p>
        </w:tc>
      </w:tr>
      <w:tr w:rsidR="00C236A2" w:rsidRPr="0013396E" w14:paraId="6163C938"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20E64FB" w14:textId="77777777" w:rsidR="00C236A2" w:rsidRPr="0013396E" w:rsidRDefault="00C236A2" w:rsidP="0099759E">
            <w:pPr>
              <w:spacing w:after="60"/>
              <w:rPr>
                <w:iCs/>
                <w:sz w:val="20"/>
              </w:rPr>
            </w:pPr>
            <w:r w:rsidRPr="0013396E">
              <w:rPr>
                <w:iCs/>
                <w:sz w:val="20"/>
              </w:rPr>
              <w:t>SWAC</w:t>
            </w:r>
            <w:r w:rsidRPr="0013396E">
              <w:rPr>
                <w:i/>
                <w:iCs/>
                <w:sz w:val="20"/>
                <w:vertAlign w:val="subscript"/>
              </w:rPr>
              <w:t xml:space="preserve"> q, r, d</w:t>
            </w:r>
          </w:p>
        </w:tc>
        <w:tc>
          <w:tcPr>
            <w:tcW w:w="692" w:type="pct"/>
            <w:tcBorders>
              <w:top w:val="single" w:sz="6" w:space="0" w:color="auto"/>
              <w:left w:val="single" w:sz="6" w:space="0" w:color="auto"/>
              <w:bottom w:val="single" w:sz="6" w:space="0" w:color="auto"/>
              <w:right w:val="single" w:sz="6" w:space="0" w:color="auto"/>
            </w:tcBorders>
          </w:tcPr>
          <w:p w14:paraId="6D44B0A5"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7F39A45F" w14:textId="77777777" w:rsidR="00C236A2" w:rsidRPr="0013396E" w:rsidRDefault="00C236A2" w:rsidP="007C3E74">
            <w:pPr>
              <w:rPr>
                <w:iCs/>
                <w:sz w:val="20"/>
              </w:rPr>
            </w:pPr>
            <w:r w:rsidRPr="0013396E">
              <w:rPr>
                <w:i/>
                <w:iCs/>
                <w:sz w:val="20"/>
              </w:rPr>
              <w:t xml:space="preserve">Switchable Generation Approved Costs – </w:t>
            </w:r>
            <w:r w:rsidRPr="0013396E">
              <w:rPr>
                <w:iCs/>
                <w:sz w:val="20"/>
              </w:rPr>
              <w:t xml:space="preserve">The total amount of the calculation of financial loss, as submitted by the QSE </w:t>
            </w:r>
            <w:r w:rsidRPr="0013396E">
              <w:rPr>
                <w:i/>
                <w:iCs/>
                <w:sz w:val="20"/>
              </w:rPr>
              <w:t xml:space="preserve">q </w:t>
            </w:r>
            <w:r w:rsidRPr="0013396E">
              <w:rPr>
                <w:iCs/>
                <w:sz w:val="20"/>
              </w:rPr>
              <w:t>for the Resource</w:t>
            </w:r>
            <w:r w:rsidRPr="0013396E">
              <w:rPr>
                <w:i/>
                <w:iCs/>
                <w:sz w:val="20"/>
              </w:rPr>
              <w:t xml:space="preserve"> r, </w:t>
            </w:r>
            <w:r w:rsidRPr="0013396E">
              <w:rPr>
                <w:iCs/>
                <w:sz w:val="20"/>
              </w:rPr>
              <w:t xml:space="preserve">as approved by ERCOT for the Operating Day </w:t>
            </w:r>
            <w:r w:rsidRPr="0013396E">
              <w:rPr>
                <w:i/>
                <w:iCs/>
                <w:sz w:val="20"/>
              </w:rPr>
              <w:t>d</w:t>
            </w:r>
            <w:r w:rsidRPr="0013396E">
              <w:rPr>
                <w:iCs/>
                <w:sz w:val="20"/>
              </w:rPr>
              <w:t xml:space="preserve">.  Where for a Combined Cycle Train, the Resource </w:t>
            </w:r>
            <w:r w:rsidRPr="0013396E">
              <w:rPr>
                <w:i/>
                <w:iCs/>
                <w:sz w:val="20"/>
              </w:rPr>
              <w:t>r</w:t>
            </w:r>
            <w:r w:rsidRPr="0013396E">
              <w:rPr>
                <w:iCs/>
                <w:sz w:val="20"/>
              </w:rPr>
              <w:t xml:space="preserve"> is the Combined Cycle Train.</w:t>
            </w:r>
          </w:p>
        </w:tc>
      </w:tr>
      <w:tr w:rsidR="00C236A2" w:rsidRPr="0013396E" w14:paraId="52A38467"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4C2B5B29" w14:textId="77777777" w:rsidR="00C236A2" w:rsidRPr="0013396E" w:rsidRDefault="00C236A2" w:rsidP="0099759E">
            <w:pPr>
              <w:spacing w:after="60"/>
              <w:rPr>
                <w:iCs/>
                <w:sz w:val="20"/>
              </w:rPr>
            </w:pPr>
            <w:r w:rsidRPr="0013396E">
              <w:rPr>
                <w:iCs/>
                <w:sz w:val="20"/>
              </w:rPr>
              <w:t>SWFC</w:t>
            </w:r>
            <w:r w:rsidRPr="0013396E">
              <w:rPr>
                <w:i/>
                <w:iCs/>
                <w:sz w:val="20"/>
                <w:vertAlign w:val="subscript"/>
              </w:rPr>
              <w:t xml:space="preserve"> q, r, d</w:t>
            </w:r>
            <w:r w:rsidRPr="0013396E">
              <w:rPr>
                <w:i/>
                <w:iCs/>
                <w:sz w:val="20"/>
                <w:vertAlign w:val="subscript"/>
                <w:lang w:val="it-IT"/>
              </w:rPr>
              <w:t xml:space="preserve">  </w:t>
            </w:r>
          </w:p>
        </w:tc>
        <w:tc>
          <w:tcPr>
            <w:tcW w:w="692" w:type="pct"/>
            <w:tcBorders>
              <w:top w:val="single" w:sz="6" w:space="0" w:color="auto"/>
              <w:left w:val="single" w:sz="6" w:space="0" w:color="auto"/>
              <w:bottom w:val="single" w:sz="6" w:space="0" w:color="auto"/>
              <w:right w:val="single" w:sz="6" w:space="0" w:color="auto"/>
            </w:tcBorders>
          </w:tcPr>
          <w:p w14:paraId="36550A5D"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777B5CC9" w14:textId="77777777" w:rsidR="00C236A2" w:rsidRPr="0013396E" w:rsidRDefault="00C236A2" w:rsidP="007C3E74">
            <w:pPr>
              <w:rPr>
                <w:i/>
                <w:iCs/>
                <w:sz w:val="20"/>
              </w:rPr>
            </w:pPr>
            <w:r w:rsidRPr="0013396E">
              <w:rPr>
                <w:i/>
                <w:iCs/>
                <w:sz w:val="20"/>
              </w:rPr>
              <w:t>Switchable Generator</w:t>
            </w:r>
            <w:r w:rsidRPr="0013396E">
              <w:rPr>
                <w:iCs/>
                <w:sz w:val="20"/>
              </w:rPr>
              <w:t xml:space="preserve"> </w:t>
            </w:r>
            <w:r w:rsidRPr="0013396E">
              <w:rPr>
                <w:i/>
                <w:iCs/>
                <w:sz w:val="20"/>
              </w:rPr>
              <w:t xml:space="preserve">Fuel Cost </w:t>
            </w:r>
            <w:r w:rsidRPr="0013396E">
              <w:rPr>
                <w:iCs/>
                <w:sz w:val="20"/>
              </w:rPr>
              <w:t xml:space="preserve">—The incremental fuel costs and fees for Resource </w:t>
            </w:r>
            <w:r w:rsidRPr="0013396E">
              <w:rPr>
                <w:i/>
                <w:iCs/>
                <w:sz w:val="20"/>
              </w:rPr>
              <w:t xml:space="preserve">r </w:t>
            </w:r>
            <w:r w:rsidRPr="0013396E">
              <w:rPr>
                <w:iCs/>
                <w:sz w:val="20"/>
              </w:rPr>
              <w:t>represented by QSE</w:t>
            </w:r>
            <w:r w:rsidRPr="0013396E">
              <w:rPr>
                <w:i/>
                <w:iCs/>
                <w:sz w:val="20"/>
              </w:rPr>
              <w:t xml:space="preserve"> q </w:t>
            </w:r>
            <w:r w:rsidRPr="0013396E">
              <w:rPr>
                <w:iCs/>
                <w:sz w:val="20"/>
              </w:rPr>
              <w:t xml:space="preserve">for all instructed hours, for the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 xml:space="preserve">is the Combined Cycle Train.  Incremental fuel costs must be based on those costs incurred as described in Section 9.14.9, Incremental Fuel Costs for Switchable Generation Make-Whole Payment. </w:t>
            </w:r>
          </w:p>
        </w:tc>
      </w:tr>
      <w:tr w:rsidR="00C236A2" w:rsidRPr="0013396E" w14:paraId="655058A7" w14:textId="77777777" w:rsidTr="000B7133">
        <w:tc>
          <w:tcPr>
            <w:tcW w:w="966" w:type="pct"/>
            <w:tcBorders>
              <w:top w:val="single" w:sz="6" w:space="0" w:color="auto"/>
              <w:left w:val="single" w:sz="4" w:space="0" w:color="auto"/>
              <w:bottom w:val="single" w:sz="6" w:space="0" w:color="auto"/>
              <w:right w:val="single" w:sz="6" w:space="0" w:color="auto"/>
            </w:tcBorders>
          </w:tcPr>
          <w:p w14:paraId="661B4725" w14:textId="77777777" w:rsidR="00C236A2" w:rsidRPr="0013396E" w:rsidRDefault="00C236A2" w:rsidP="0099759E">
            <w:pPr>
              <w:spacing w:after="60"/>
              <w:rPr>
                <w:iCs/>
                <w:sz w:val="20"/>
              </w:rPr>
            </w:pPr>
            <w:r w:rsidRPr="0013396E">
              <w:rPr>
                <w:iCs/>
                <w:sz w:val="20"/>
              </w:rPr>
              <w:t xml:space="preserve">SWFIPC </w:t>
            </w:r>
            <w:r w:rsidRPr="0013396E">
              <w:rPr>
                <w:i/>
                <w:iCs/>
                <w:sz w:val="20"/>
                <w:vertAlign w:val="subscript"/>
              </w:rPr>
              <w:t>q, r, d</w:t>
            </w:r>
            <w:r w:rsidRPr="0013396E">
              <w:rPr>
                <w:i/>
                <w:iCs/>
                <w:sz w:val="20"/>
              </w:rPr>
              <w:t xml:space="preserve">  </w:t>
            </w:r>
          </w:p>
        </w:tc>
        <w:tc>
          <w:tcPr>
            <w:tcW w:w="692" w:type="pct"/>
            <w:tcBorders>
              <w:top w:val="single" w:sz="6" w:space="0" w:color="auto"/>
              <w:left w:val="single" w:sz="6" w:space="0" w:color="auto"/>
              <w:bottom w:val="single" w:sz="6" w:space="0" w:color="auto"/>
              <w:right w:val="single" w:sz="6" w:space="0" w:color="auto"/>
            </w:tcBorders>
          </w:tcPr>
          <w:p w14:paraId="3F854D94"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77FDF942" w14:textId="77777777" w:rsidR="00C236A2" w:rsidRPr="0013396E" w:rsidRDefault="00C236A2" w:rsidP="007C3E74">
            <w:pPr>
              <w:rPr>
                <w:i/>
                <w:iCs/>
                <w:sz w:val="20"/>
              </w:rPr>
            </w:pPr>
            <w:r w:rsidRPr="0013396E">
              <w:rPr>
                <w:i/>
                <w:iCs/>
                <w:sz w:val="20"/>
              </w:rPr>
              <w:t>Switchable Generator Fuel Imbalance Penalty Cost</w:t>
            </w:r>
            <w:r w:rsidRPr="0013396E">
              <w:rPr>
                <w:iCs/>
                <w:sz w:val="20"/>
              </w:rPr>
              <w:t xml:space="preserve"> —The fuel imbalance penalty cost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Operating Day, arising from the SWGR not consuming its contracted fuel quantities as a result of a switch from a non-ERCOT Control Area as requested by ERCOT.  Fuel imbalance penalty costs are limited to those costs assessed for the period starting at the initiation of the ramp-down in the non-ERCOT Control Area to two hours following the time ERCOT released the SWGR. Where for a Combined Cycle Train, the Resource </w:t>
            </w:r>
            <w:r w:rsidRPr="0013396E">
              <w:rPr>
                <w:i/>
                <w:iCs/>
                <w:sz w:val="20"/>
              </w:rPr>
              <w:t>r</w:t>
            </w:r>
            <w:r w:rsidRPr="0013396E">
              <w:rPr>
                <w:iCs/>
                <w:sz w:val="20"/>
              </w:rPr>
              <w:t xml:space="preserve"> is the Combined Cycle Train.</w:t>
            </w:r>
          </w:p>
        </w:tc>
      </w:tr>
      <w:tr w:rsidR="00C236A2" w:rsidRPr="0013396E" w14:paraId="0928BBAC" w14:textId="77777777" w:rsidTr="000B7133">
        <w:tc>
          <w:tcPr>
            <w:tcW w:w="966" w:type="pct"/>
            <w:tcBorders>
              <w:top w:val="single" w:sz="6" w:space="0" w:color="auto"/>
              <w:left w:val="single" w:sz="4" w:space="0" w:color="auto"/>
              <w:bottom w:val="single" w:sz="6" w:space="0" w:color="auto"/>
              <w:right w:val="single" w:sz="6" w:space="0" w:color="auto"/>
            </w:tcBorders>
          </w:tcPr>
          <w:p w14:paraId="5665EC49" w14:textId="77777777" w:rsidR="00C236A2" w:rsidRPr="0013396E" w:rsidRDefault="00C236A2" w:rsidP="0099759E">
            <w:pPr>
              <w:spacing w:after="60"/>
              <w:rPr>
                <w:iCs/>
                <w:sz w:val="20"/>
              </w:rPr>
            </w:pPr>
            <w:r w:rsidRPr="0013396E">
              <w:rPr>
                <w:iCs/>
                <w:sz w:val="20"/>
              </w:rPr>
              <w:lastRenderedPageBreak/>
              <w:t>SWEIC</w:t>
            </w:r>
            <w:r w:rsidRPr="0013396E">
              <w:rPr>
                <w:i/>
                <w:sz w:val="20"/>
                <w:vertAlign w:val="subscript"/>
              </w:rPr>
              <w:t xml:space="preserve"> q, r, d</w:t>
            </w:r>
            <w:r w:rsidRPr="0013396E">
              <w:rPr>
                <w:i/>
                <w:sz w:val="20"/>
                <w:vertAlign w:val="subscript"/>
                <w:lang w:val="it-IT"/>
              </w:rPr>
              <w:t xml:space="preserve">   </w:t>
            </w:r>
          </w:p>
        </w:tc>
        <w:tc>
          <w:tcPr>
            <w:tcW w:w="692" w:type="pct"/>
            <w:tcBorders>
              <w:top w:val="single" w:sz="6" w:space="0" w:color="auto"/>
              <w:left w:val="single" w:sz="6" w:space="0" w:color="auto"/>
              <w:bottom w:val="single" w:sz="6" w:space="0" w:color="auto"/>
              <w:right w:val="single" w:sz="6" w:space="0" w:color="auto"/>
            </w:tcBorders>
          </w:tcPr>
          <w:p w14:paraId="1F26A2C2" w14:textId="77777777" w:rsidR="00C236A2" w:rsidRPr="0013396E" w:rsidRDefault="00C236A2" w:rsidP="0099759E">
            <w:pPr>
              <w:spacing w:after="60"/>
              <w:rPr>
                <w:iCs/>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283EB815" w14:textId="77777777" w:rsidR="00C236A2" w:rsidRPr="0013396E" w:rsidRDefault="00C236A2" w:rsidP="007C3E74">
            <w:pPr>
              <w:rPr>
                <w:iCs/>
                <w:sz w:val="20"/>
              </w:rPr>
            </w:pPr>
            <w:r w:rsidRPr="0013396E">
              <w:rPr>
                <w:i/>
                <w:sz w:val="20"/>
              </w:rPr>
              <w:t>Switchable Generator</w:t>
            </w:r>
            <w:r w:rsidRPr="0013396E">
              <w:rPr>
                <w:sz w:val="20"/>
              </w:rPr>
              <w:t xml:space="preserve"> </w:t>
            </w:r>
            <w:r w:rsidRPr="0013396E">
              <w:rPr>
                <w:i/>
                <w:sz w:val="20"/>
              </w:rPr>
              <w:t xml:space="preserve">Energy Imbalance Cost </w:t>
            </w:r>
            <w:r w:rsidRPr="0013396E">
              <w:rPr>
                <w:sz w:val="20"/>
              </w:rPr>
              <w:t xml:space="preserve">—The energy imbalance costs for Resource </w:t>
            </w:r>
            <w:r w:rsidRPr="0013396E">
              <w:rPr>
                <w:i/>
                <w:sz w:val="20"/>
              </w:rPr>
              <w:t xml:space="preserve">r </w:t>
            </w:r>
            <w:r w:rsidRPr="0013396E">
              <w:rPr>
                <w:sz w:val="20"/>
              </w:rPr>
              <w:t>represented by QSE</w:t>
            </w:r>
            <w:r w:rsidRPr="0013396E">
              <w:rPr>
                <w:i/>
                <w:sz w:val="20"/>
              </w:rPr>
              <w:t xml:space="preserve"> q </w:t>
            </w:r>
            <w:r w:rsidRPr="0013396E">
              <w:rPr>
                <w:sz w:val="20"/>
              </w:rPr>
              <w:t xml:space="preserve">for instructed hours, for the Operating Day </w:t>
            </w:r>
            <w:r w:rsidRPr="0013396E">
              <w:rPr>
                <w:i/>
                <w:sz w:val="20"/>
              </w:rPr>
              <w:t>d</w:t>
            </w:r>
            <w:r w:rsidRPr="0013396E">
              <w:rPr>
                <w:sz w:val="20"/>
              </w:rPr>
              <w:t xml:space="preserve">.  Where for a Combined Cycle Train, the Resource </w:t>
            </w:r>
            <w:r w:rsidRPr="0013396E">
              <w:rPr>
                <w:i/>
                <w:sz w:val="20"/>
              </w:rPr>
              <w:t xml:space="preserve">r </w:t>
            </w:r>
            <w:r w:rsidRPr="0013396E">
              <w:rPr>
                <w:sz w:val="20"/>
              </w:rPr>
              <w:t>is the Combined Cycle Train.  Energy imbalance costs represent Real-Time imbalance charges for the amount of energy the SWGR was not able to provide as required by its DAM commitment from the non-ERCOT Control Area, starting from the beginning of the ramp-down period in the other grid to two hours following the time ERCOT released the Resource.</w:t>
            </w:r>
          </w:p>
        </w:tc>
      </w:tr>
      <w:tr w:rsidR="00C236A2" w:rsidRPr="0013396E" w14:paraId="594B2196" w14:textId="77777777" w:rsidTr="000B7133">
        <w:tc>
          <w:tcPr>
            <w:tcW w:w="966" w:type="pct"/>
            <w:tcBorders>
              <w:top w:val="single" w:sz="6" w:space="0" w:color="auto"/>
              <w:left w:val="single" w:sz="4" w:space="0" w:color="auto"/>
              <w:bottom w:val="single" w:sz="6" w:space="0" w:color="auto"/>
              <w:right w:val="single" w:sz="6" w:space="0" w:color="auto"/>
            </w:tcBorders>
          </w:tcPr>
          <w:p w14:paraId="7AB4783E" w14:textId="77777777" w:rsidR="00C236A2" w:rsidRPr="0013396E" w:rsidRDefault="00C236A2" w:rsidP="0099759E">
            <w:pPr>
              <w:spacing w:after="60"/>
              <w:rPr>
                <w:iCs/>
                <w:sz w:val="20"/>
              </w:rPr>
            </w:pPr>
            <w:r w:rsidRPr="0013396E">
              <w:rPr>
                <w:iCs/>
                <w:sz w:val="20"/>
              </w:rPr>
              <w:t>SWASIC</w:t>
            </w:r>
            <w:r w:rsidRPr="0013396E">
              <w:rPr>
                <w:i/>
                <w:sz w:val="20"/>
                <w:vertAlign w:val="subscript"/>
              </w:rPr>
              <w:t xml:space="preserve"> q, r, d</w:t>
            </w:r>
          </w:p>
        </w:tc>
        <w:tc>
          <w:tcPr>
            <w:tcW w:w="692" w:type="pct"/>
            <w:tcBorders>
              <w:top w:val="single" w:sz="6" w:space="0" w:color="auto"/>
              <w:left w:val="single" w:sz="6" w:space="0" w:color="auto"/>
              <w:bottom w:val="single" w:sz="6" w:space="0" w:color="auto"/>
              <w:right w:val="single" w:sz="6" w:space="0" w:color="auto"/>
            </w:tcBorders>
          </w:tcPr>
          <w:p w14:paraId="7875DCA7" w14:textId="77777777" w:rsidR="00C236A2" w:rsidRPr="0013396E" w:rsidRDefault="00C236A2" w:rsidP="0099759E">
            <w:pPr>
              <w:spacing w:after="60"/>
              <w:rPr>
                <w:iCs/>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5C9EF5DE" w14:textId="77777777" w:rsidR="00C236A2" w:rsidRPr="0013396E" w:rsidRDefault="00C236A2" w:rsidP="007C3E74">
            <w:pPr>
              <w:rPr>
                <w:iCs/>
                <w:sz w:val="20"/>
              </w:rPr>
            </w:pPr>
            <w:r w:rsidRPr="0013396E">
              <w:rPr>
                <w:i/>
                <w:sz w:val="20"/>
              </w:rPr>
              <w:t>Switchable Generator</w:t>
            </w:r>
            <w:r w:rsidRPr="0013396E">
              <w:rPr>
                <w:sz w:val="20"/>
              </w:rPr>
              <w:t xml:space="preserve"> </w:t>
            </w:r>
            <w:r w:rsidRPr="0013396E">
              <w:rPr>
                <w:i/>
                <w:sz w:val="20"/>
              </w:rPr>
              <w:t xml:space="preserve">Ancillary Services Imbalance Cost </w:t>
            </w:r>
            <w:r w:rsidRPr="0013396E">
              <w:rPr>
                <w:sz w:val="20"/>
              </w:rPr>
              <w:t xml:space="preserve">—The Ancillary Service imbalance costs for Resource </w:t>
            </w:r>
            <w:r w:rsidRPr="0013396E">
              <w:rPr>
                <w:i/>
                <w:sz w:val="20"/>
              </w:rPr>
              <w:t xml:space="preserve">r </w:t>
            </w:r>
            <w:r w:rsidRPr="0013396E">
              <w:rPr>
                <w:sz w:val="20"/>
              </w:rPr>
              <w:t>represented by QSE</w:t>
            </w:r>
            <w:r w:rsidRPr="0013396E">
              <w:rPr>
                <w:i/>
                <w:sz w:val="20"/>
              </w:rPr>
              <w:t xml:space="preserve"> q </w:t>
            </w:r>
            <w:r w:rsidRPr="0013396E">
              <w:rPr>
                <w:sz w:val="20"/>
              </w:rPr>
              <w:t xml:space="preserve">for instructed hours, for the Operating Day </w:t>
            </w:r>
            <w:r w:rsidRPr="0013396E">
              <w:rPr>
                <w:i/>
                <w:sz w:val="20"/>
              </w:rPr>
              <w:t>d</w:t>
            </w:r>
            <w:r w:rsidRPr="0013396E">
              <w:rPr>
                <w:sz w:val="20"/>
              </w:rPr>
              <w:t xml:space="preserve">.  Where for a Combined Cycle Train, the Resource </w:t>
            </w:r>
            <w:r w:rsidRPr="0013396E">
              <w:rPr>
                <w:i/>
                <w:sz w:val="20"/>
              </w:rPr>
              <w:t xml:space="preserve">r </w:t>
            </w:r>
            <w:r w:rsidRPr="0013396E">
              <w:rPr>
                <w:sz w:val="20"/>
              </w:rPr>
              <w:t>is the Combined Cycle Train.  Ancillary Service imbalance costs represent Real-Time imbalance charges for the amount of Ancillary Services the SWGR was not able to provide as required by its Day-Ahead commitment from the non-ERCOT Control Area, starting from the time of shutdown in the other grid to two hours following the time ERCOT released the Resource.</w:t>
            </w:r>
          </w:p>
        </w:tc>
      </w:tr>
      <w:tr w:rsidR="00C236A2" w:rsidRPr="0013396E" w14:paraId="600BDD14" w14:textId="77777777" w:rsidTr="000B7133">
        <w:tc>
          <w:tcPr>
            <w:tcW w:w="966" w:type="pct"/>
            <w:tcBorders>
              <w:top w:val="single" w:sz="6" w:space="0" w:color="auto"/>
              <w:left w:val="single" w:sz="4" w:space="0" w:color="auto"/>
              <w:bottom w:val="single" w:sz="6" w:space="0" w:color="auto"/>
              <w:right w:val="single" w:sz="6" w:space="0" w:color="auto"/>
            </w:tcBorders>
          </w:tcPr>
          <w:p w14:paraId="32544C76" w14:textId="77777777" w:rsidR="00C236A2" w:rsidRPr="0013396E" w:rsidRDefault="00C236A2" w:rsidP="0099759E">
            <w:pPr>
              <w:spacing w:after="60"/>
              <w:rPr>
                <w:iCs/>
                <w:sz w:val="20"/>
                <w:lang w:val="pt-BR"/>
              </w:rPr>
            </w:pPr>
            <w:r w:rsidRPr="0013396E">
              <w:rPr>
                <w:iCs/>
                <w:sz w:val="20"/>
                <w:lang w:val="pt-BR"/>
              </w:rPr>
              <w:t>SWMWDC</w:t>
            </w:r>
            <w:r w:rsidRPr="0013396E">
              <w:rPr>
                <w:i/>
                <w:iCs/>
                <w:sz w:val="20"/>
                <w:vertAlign w:val="subscript"/>
              </w:rPr>
              <w:t xml:space="preserve"> q, r, d</w:t>
            </w:r>
          </w:p>
        </w:tc>
        <w:tc>
          <w:tcPr>
            <w:tcW w:w="692" w:type="pct"/>
            <w:tcBorders>
              <w:top w:val="single" w:sz="6" w:space="0" w:color="auto"/>
              <w:left w:val="single" w:sz="6" w:space="0" w:color="auto"/>
              <w:bottom w:val="single" w:sz="6" w:space="0" w:color="auto"/>
              <w:right w:val="single" w:sz="6" w:space="0" w:color="auto"/>
            </w:tcBorders>
          </w:tcPr>
          <w:p w14:paraId="670623F4"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719E46B7" w14:textId="77777777" w:rsidR="00C236A2" w:rsidRPr="0013396E" w:rsidRDefault="00C236A2" w:rsidP="007C3E74">
            <w:pPr>
              <w:rPr>
                <w:i/>
                <w:iCs/>
                <w:sz w:val="20"/>
              </w:rPr>
            </w:pPr>
            <w:r w:rsidRPr="0013396E">
              <w:rPr>
                <w:i/>
                <w:iCs/>
                <w:sz w:val="20"/>
              </w:rPr>
              <w:t>Switchable Generator</w:t>
            </w:r>
            <w:r w:rsidRPr="0013396E">
              <w:rPr>
                <w:iCs/>
                <w:sz w:val="20"/>
              </w:rPr>
              <w:t xml:space="preserve"> </w:t>
            </w:r>
            <w:r w:rsidRPr="0013396E">
              <w:rPr>
                <w:i/>
                <w:iCs/>
                <w:sz w:val="20"/>
              </w:rPr>
              <w:t xml:space="preserve">Make-Whole Payment Distribution Cost </w:t>
            </w:r>
            <w:r w:rsidRPr="0013396E">
              <w:rPr>
                <w:iCs/>
                <w:sz w:val="20"/>
              </w:rPr>
              <w:t>—The</w:t>
            </w:r>
            <w:r w:rsidRPr="0013396E" w:rsidDel="00E21E0A">
              <w:rPr>
                <w:iCs/>
                <w:sz w:val="20"/>
              </w:rPr>
              <w:t xml:space="preserve"> </w:t>
            </w:r>
            <w:r w:rsidRPr="0013396E">
              <w:rPr>
                <w:iCs/>
                <w:sz w:val="20"/>
              </w:rPr>
              <w:t>Make-Whole Payment distribution costs</w:t>
            </w:r>
            <w:r w:rsidRPr="0013396E">
              <w:rPr>
                <w:i/>
                <w:iCs/>
                <w:sz w:val="20"/>
              </w:rPr>
              <w:t xml:space="preserve"> </w:t>
            </w:r>
            <w:r w:rsidRPr="0013396E">
              <w:rPr>
                <w:iCs/>
                <w:sz w:val="20"/>
              </w:rPr>
              <w:t xml:space="preserve">for Resource </w:t>
            </w:r>
            <w:r w:rsidRPr="0013396E">
              <w:rPr>
                <w:i/>
                <w:iCs/>
                <w:sz w:val="20"/>
              </w:rPr>
              <w:t xml:space="preserve">r </w:t>
            </w:r>
            <w:r w:rsidRPr="0013396E">
              <w:rPr>
                <w:iCs/>
                <w:sz w:val="20"/>
              </w:rPr>
              <w:t>represented by QSE</w:t>
            </w:r>
            <w:r w:rsidRPr="0013396E">
              <w:rPr>
                <w:i/>
                <w:iCs/>
                <w:sz w:val="20"/>
              </w:rPr>
              <w:t xml:space="preserve"> q </w:t>
            </w:r>
            <w:r w:rsidRPr="0013396E">
              <w:rPr>
                <w:iCs/>
                <w:sz w:val="20"/>
              </w:rPr>
              <w:t xml:space="preserve">for instructed hours, for the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is the Combined Cycle Train.  Make-Whole Payment distribution costs represent charges from non-ERCOT Control Area from the time of shutdown in the other grid to two hours following the time ERCOT released the Resource.</w:t>
            </w:r>
          </w:p>
        </w:tc>
      </w:tr>
      <w:tr w:rsidR="00C236A2" w:rsidRPr="0013396E" w14:paraId="3BC57C95" w14:textId="77777777" w:rsidTr="000B7133">
        <w:tc>
          <w:tcPr>
            <w:tcW w:w="966" w:type="pct"/>
            <w:tcBorders>
              <w:top w:val="single" w:sz="6" w:space="0" w:color="auto"/>
              <w:left w:val="single" w:sz="4" w:space="0" w:color="auto"/>
              <w:bottom w:val="single" w:sz="6" w:space="0" w:color="auto"/>
              <w:right w:val="single" w:sz="6" w:space="0" w:color="auto"/>
            </w:tcBorders>
          </w:tcPr>
          <w:p w14:paraId="422D392F" w14:textId="77777777" w:rsidR="00C236A2" w:rsidRPr="0013396E" w:rsidRDefault="00C236A2" w:rsidP="0099759E">
            <w:pPr>
              <w:spacing w:after="60"/>
              <w:rPr>
                <w:iCs/>
                <w:sz w:val="20"/>
              </w:rPr>
            </w:pPr>
            <w:r w:rsidRPr="0013396E">
              <w:rPr>
                <w:iCs/>
                <w:sz w:val="20"/>
                <w:lang w:val="pt-BR"/>
              </w:rPr>
              <w:t>SWRTREV</w:t>
            </w:r>
            <w:r w:rsidRPr="0013396E">
              <w:rPr>
                <w:i/>
                <w:iCs/>
                <w:sz w:val="20"/>
                <w:vertAlign w:val="subscript"/>
                <w:lang w:val="pt-BR"/>
              </w:rPr>
              <w:t xml:space="preserve"> q, r, d</w:t>
            </w:r>
          </w:p>
        </w:tc>
        <w:tc>
          <w:tcPr>
            <w:tcW w:w="692" w:type="pct"/>
            <w:tcBorders>
              <w:top w:val="single" w:sz="6" w:space="0" w:color="auto"/>
              <w:left w:val="single" w:sz="6" w:space="0" w:color="auto"/>
              <w:bottom w:val="single" w:sz="6" w:space="0" w:color="auto"/>
              <w:right w:val="single" w:sz="6" w:space="0" w:color="auto"/>
            </w:tcBorders>
          </w:tcPr>
          <w:p w14:paraId="5BF78FA6"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434EA966" w14:textId="77777777" w:rsidR="00C236A2" w:rsidRPr="0013396E" w:rsidRDefault="00C236A2" w:rsidP="007C3E74">
            <w:pPr>
              <w:rPr>
                <w:iCs/>
                <w:sz w:val="20"/>
              </w:rPr>
            </w:pPr>
            <w:r w:rsidRPr="0013396E">
              <w:rPr>
                <w:i/>
                <w:iCs/>
                <w:sz w:val="20"/>
              </w:rPr>
              <w:t xml:space="preserve">Switchable Generation Real-Time Revenues – </w:t>
            </w:r>
            <w:r w:rsidRPr="0013396E">
              <w:rPr>
                <w:iCs/>
                <w:sz w:val="20"/>
              </w:rPr>
              <w:t xml:space="preserve">The sum of energy revenues for the Resource </w:t>
            </w:r>
            <w:r w:rsidRPr="0013396E">
              <w:rPr>
                <w:i/>
                <w:iCs/>
                <w:sz w:val="20"/>
              </w:rPr>
              <w:t xml:space="preserve">r, </w:t>
            </w:r>
            <w:r w:rsidRPr="0013396E">
              <w:rPr>
                <w:iCs/>
                <w:sz w:val="20"/>
              </w:rPr>
              <w:t xml:space="preserve">represented by QSE </w:t>
            </w:r>
            <w:r w:rsidRPr="0013396E">
              <w:rPr>
                <w:i/>
                <w:iCs/>
                <w:sz w:val="20"/>
              </w:rPr>
              <w:t xml:space="preserve">q, </w:t>
            </w:r>
            <w:r w:rsidRPr="0013396E">
              <w:rPr>
                <w:iCs/>
                <w:sz w:val="20"/>
              </w:rPr>
              <w:t xml:space="preserve">during all instructed hours for the Operating Day </w:t>
            </w:r>
            <w:r w:rsidRPr="0013396E">
              <w:rPr>
                <w:i/>
                <w:iCs/>
                <w:sz w:val="20"/>
              </w:rPr>
              <w:t xml:space="preserve">d. </w:t>
            </w:r>
            <w:r w:rsidRPr="0013396E">
              <w:rPr>
                <w:iCs/>
                <w:sz w:val="20"/>
              </w:rPr>
              <w:t xml:space="preserve"> Where for a Combined Cycle Train, Resource</w:t>
            </w:r>
            <w:r w:rsidRPr="0013396E">
              <w:rPr>
                <w:i/>
                <w:iCs/>
                <w:sz w:val="20"/>
              </w:rPr>
              <w:t xml:space="preserve"> r </w:t>
            </w:r>
            <w:r w:rsidRPr="0013396E">
              <w:rPr>
                <w:iCs/>
                <w:sz w:val="20"/>
              </w:rPr>
              <w:t>is the Combined Cycle Train.</w:t>
            </w:r>
          </w:p>
        </w:tc>
      </w:tr>
      <w:tr w:rsidR="00C236A2" w:rsidRPr="0013396E" w14:paraId="64865AEF" w14:textId="77777777" w:rsidTr="000B7133">
        <w:tc>
          <w:tcPr>
            <w:tcW w:w="966" w:type="pct"/>
            <w:tcBorders>
              <w:top w:val="single" w:sz="6" w:space="0" w:color="auto"/>
              <w:left w:val="single" w:sz="4" w:space="0" w:color="auto"/>
              <w:bottom w:val="single" w:sz="6" w:space="0" w:color="auto"/>
              <w:right w:val="single" w:sz="6" w:space="0" w:color="auto"/>
            </w:tcBorders>
          </w:tcPr>
          <w:p w14:paraId="22492165" w14:textId="77777777" w:rsidR="00C236A2" w:rsidRPr="0013396E" w:rsidRDefault="00C236A2" w:rsidP="0099759E">
            <w:pPr>
              <w:spacing w:after="60"/>
              <w:rPr>
                <w:iCs/>
                <w:sz w:val="20"/>
              </w:rPr>
            </w:pPr>
            <w:r w:rsidRPr="0013396E">
              <w:rPr>
                <w:iCs/>
                <w:sz w:val="20"/>
              </w:rPr>
              <w:t xml:space="preserve">GASPERSU </w:t>
            </w:r>
            <w:r w:rsidRPr="0013396E">
              <w:rPr>
                <w:i/>
                <w:iCs/>
                <w:sz w:val="20"/>
                <w:vertAlign w:val="subscript"/>
              </w:rPr>
              <w:t>r, s</w:t>
            </w:r>
          </w:p>
        </w:tc>
        <w:tc>
          <w:tcPr>
            <w:tcW w:w="692" w:type="pct"/>
            <w:tcBorders>
              <w:top w:val="single" w:sz="6" w:space="0" w:color="auto"/>
              <w:left w:val="single" w:sz="6" w:space="0" w:color="auto"/>
              <w:bottom w:val="single" w:sz="6" w:space="0" w:color="auto"/>
              <w:right w:val="single" w:sz="6" w:space="0" w:color="auto"/>
            </w:tcBorders>
          </w:tcPr>
          <w:p w14:paraId="6A92DB2F"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1EEF7C75" w14:textId="77777777" w:rsidR="00C236A2" w:rsidRPr="0013396E" w:rsidRDefault="00C236A2" w:rsidP="007C3E74">
            <w:pPr>
              <w:rPr>
                <w:i/>
                <w:iCs/>
                <w:sz w:val="20"/>
              </w:rPr>
            </w:pPr>
            <w:r w:rsidRPr="0013396E">
              <w:rPr>
                <w:i/>
                <w:iCs/>
                <w:sz w:val="20"/>
              </w:rPr>
              <w:t>Percent of Natural Gas to Operate per Start</w:t>
            </w:r>
            <w:r w:rsidRPr="0013396E">
              <w:rPr>
                <w:iCs/>
                <w:sz w:val="20"/>
              </w:rPr>
              <w:t xml:space="preserve">—The percentage of natural gas used by Resource </w:t>
            </w:r>
            <w:r w:rsidRPr="0013396E">
              <w:rPr>
                <w:i/>
                <w:iCs/>
                <w:sz w:val="20"/>
              </w:rPr>
              <w:t>r</w:t>
            </w:r>
            <w:r w:rsidRPr="0013396E">
              <w:rPr>
                <w:iCs/>
                <w:sz w:val="20"/>
              </w:rPr>
              <w:t xml:space="preserve"> to operate per start </w:t>
            </w:r>
            <w:r w:rsidRPr="0013396E">
              <w:rPr>
                <w:i/>
                <w:iCs/>
                <w:sz w:val="20"/>
              </w:rPr>
              <w:t>s</w:t>
            </w:r>
            <w:r w:rsidRPr="0013396E">
              <w:rPr>
                <w:iCs/>
                <w:sz w:val="20"/>
              </w:rPr>
              <w:t xml:space="preserve">,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4ABFE80C" w14:textId="77777777" w:rsidTr="000B7133">
        <w:tc>
          <w:tcPr>
            <w:tcW w:w="966" w:type="pct"/>
            <w:tcBorders>
              <w:top w:val="single" w:sz="6" w:space="0" w:color="auto"/>
              <w:left w:val="single" w:sz="4" w:space="0" w:color="auto"/>
              <w:bottom w:val="single" w:sz="6" w:space="0" w:color="auto"/>
              <w:right w:val="single" w:sz="6" w:space="0" w:color="auto"/>
            </w:tcBorders>
          </w:tcPr>
          <w:p w14:paraId="115B7924" w14:textId="77777777" w:rsidR="00C236A2" w:rsidRPr="0013396E" w:rsidRDefault="00C236A2" w:rsidP="0099759E">
            <w:pPr>
              <w:spacing w:after="60"/>
              <w:rPr>
                <w:iCs/>
                <w:sz w:val="20"/>
              </w:rPr>
            </w:pPr>
            <w:r w:rsidRPr="0013396E">
              <w:rPr>
                <w:iCs/>
                <w:sz w:val="20"/>
              </w:rPr>
              <w:t xml:space="preserve">OILPERSU </w:t>
            </w:r>
            <w:r w:rsidRPr="0013396E">
              <w:rPr>
                <w:i/>
                <w:iCs/>
                <w:sz w:val="20"/>
                <w:vertAlign w:val="subscript"/>
              </w:rPr>
              <w:t>r, s</w:t>
            </w:r>
          </w:p>
        </w:tc>
        <w:tc>
          <w:tcPr>
            <w:tcW w:w="692" w:type="pct"/>
            <w:tcBorders>
              <w:top w:val="single" w:sz="6" w:space="0" w:color="auto"/>
              <w:left w:val="single" w:sz="6" w:space="0" w:color="auto"/>
              <w:bottom w:val="single" w:sz="6" w:space="0" w:color="auto"/>
              <w:right w:val="single" w:sz="6" w:space="0" w:color="auto"/>
            </w:tcBorders>
          </w:tcPr>
          <w:p w14:paraId="7D430648"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0F54FECE" w14:textId="77777777" w:rsidR="00C236A2" w:rsidRPr="0013396E" w:rsidRDefault="00C236A2" w:rsidP="007C3E74">
            <w:pPr>
              <w:rPr>
                <w:i/>
                <w:iCs/>
                <w:sz w:val="20"/>
              </w:rPr>
            </w:pPr>
            <w:r w:rsidRPr="0013396E">
              <w:rPr>
                <w:i/>
                <w:iCs/>
                <w:sz w:val="20"/>
              </w:rPr>
              <w:t>Percent of Oil to Operate per Start</w:t>
            </w:r>
            <w:r w:rsidRPr="0013396E">
              <w:rPr>
                <w:iCs/>
                <w:sz w:val="20"/>
              </w:rPr>
              <w:t xml:space="preserve">—The percentage of fuel oil used by Resource </w:t>
            </w:r>
            <w:r w:rsidRPr="0013396E">
              <w:rPr>
                <w:i/>
                <w:iCs/>
                <w:sz w:val="20"/>
              </w:rPr>
              <w:t>r</w:t>
            </w:r>
            <w:r w:rsidRPr="0013396E">
              <w:rPr>
                <w:iCs/>
                <w:sz w:val="20"/>
              </w:rPr>
              <w:t xml:space="preserve"> to operate per start </w:t>
            </w:r>
            <w:r w:rsidRPr="0013396E">
              <w:rPr>
                <w:i/>
                <w:iCs/>
                <w:sz w:val="20"/>
              </w:rPr>
              <w:t>s</w:t>
            </w:r>
            <w:r w:rsidRPr="0013396E">
              <w:rPr>
                <w:iCs/>
                <w:sz w:val="20"/>
              </w:rPr>
              <w:t xml:space="preserve">,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78ECC37F" w14:textId="77777777" w:rsidTr="000B7133">
        <w:tc>
          <w:tcPr>
            <w:tcW w:w="966" w:type="pct"/>
            <w:tcBorders>
              <w:top w:val="single" w:sz="6" w:space="0" w:color="auto"/>
              <w:left w:val="single" w:sz="4" w:space="0" w:color="auto"/>
              <w:bottom w:val="single" w:sz="6" w:space="0" w:color="auto"/>
              <w:right w:val="single" w:sz="6" w:space="0" w:color="auto"/>
            </w:tcBorders>
          </w:tcPr>
          <w:p w14:paraId="3F35EB94" w14:textId="77777777" w:rsidR="00C236A2" w:rsidRPr="0013396E" w:rsidRDefault="00C236A2" w:rsidP="0099759E">
            <w:pPr>
              <w:spacing w:after="60"/>
              <w:rPr>
                <w:iCs/>
                <w:sz w:val="20"/>
              </w:rPr>
            </w:pPr>
            <w:r w:rsidRPr="0013396E">
              <w:rPr>
                <w:iCs/>
                <w:sz w:val="20"/>
              </w:rPr>
              <w:t xml:space="preserve">SFPERSU </w:t>
            </w:r>
            <w:r w:rsidRPr="0013396E">
              <w:rPr>
                <w:i/>
                <w:iCs/>
                <w:sz w:val="20"/>
                <w:vertAlign w:val="subscript"/>
              </w:rPr>
              <w:t>r, s</w:t>
            </w:r>
          </w:p>
        </w:tc>
        <w:tc>
          <w:tcPr>
            <w:tcW w:w="692" w:type="pct"/>
            <w:tcBorders>
              <w:top w:val="single" w:sz="6" w:space="0" w:color="auto"/>
              <w:left w:val="single" w:sz="6" w:space="0" w:color="auto"/>
              <w:bottom w:val="single" w:sz="6" w:space="0" w:color="auto"/>
              <w:right w:val="single" w:sz="6" w:space="0" w:color="auto"/>
            </w:tcBorders>
          </w:tcPr>
          <w:p w14:paraId="129B50BB"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6B74BFBE" w14:textId="77777777" w:rsidR="00C236A2" w:rsidRPr="0013396E" w:rsidRDefault="00C236A2" w:rsidP="007C3E74">
            <w:pPr>
              <w:rPr>
                <w:i/>
                <w:iCs/>
                <w:sz w:val="20"/>
              </w:rPr>
            </w:pPr>
            <w:r w:rsidRPr="0013396E">
              <w:rPr>
                <w:i/>
                <w:iCs/>
                <w:sz w:val="20"/>
              </w:rPr>
              <w:t>Percent of Solid Fuel to Operate per Start</w:t>
            </w:r>
            <w:r w:rsidRPr="0013396E">
              <w:rPr>
                <w:iCs/>
                <w:sz w:val="20"/>
              </w:rPr>
              <w:t xml:space="preserve">—The percentage of solid fuel used by Resource </w:t>
            </w:r>
            <w:r w:rsidRPr="0013396E">
              <w:rPr>
                <w:i/>
                <w:iCs/>
                <w:sz w:val="20"/>
              </w:rPr>
              <w:t>r</w:t>
            </w:r>
            <w:r w:rsidRPr="0013396E">
              <w:rPr>
                <w:iCs/>
                <w:sz w:val="20"/>
              </w:rPr>
              <w:t xml:space="preserve"> to operate per start </w:t>
            </w:r>
            <w:r w:rsidRPr="0013396E">
              <w:rPr>
                <w:i/>
                <w:iCs/>
                <w:sz w:val="20"/>
              </w:rPr>
              <w:t>s</w:t>
            </w:r>
            <w:r w:rsidRPr="0013396E">
              <w:rPr>
                <w:iCs/>
                <w:sz w:val="20"/>
              </w:rPr>
              <w:t xml:space="preserve">,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20CC8A60" w14:textId="77777777" w:rsidTr="000B7133">
        <w:tc>
          <w:tcPr>
            <w:tcW w:w="966" w:type="pct"/>
            <w:tcBorders>
              <w:top w:val="single" w:sz="6" w:space="0" w:color="auto"/>
              <w:left w:val="single" w:sz="4" w:space="0" w:color="auto"/>
              <w:bottom w:val="single" w:sz="6" w:space="0" w:color="auto"/>
              <w:right w:val="single" w:sz="6" w:space="0" w:color="auto"/>
            </w:tcBorders>
          </w:tcPr>
          <w:p w14:paraId="2E14D97F" w14:textId="77777777" w:rsidR="00C236A2" w:rsidRPr="0013396E" w:rsidRDefault="00C236A2" w:rsidP="0099759E">
            <w:pPr>
              <w:spacing w:after="60"/>
              <w:rPr>
                <w:iCs/>
                <w:sz w:val="20"/>
              </w:rPr>
            </w:pPr>
            <w:r w:rsidRPr="0013396E">
              <w:rPr>
                <w:iCs/>
                <w:sz w:val="20"/>
              </w:rPr>
              <w:t xml:space="preserve">GASPERME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70E8A870"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2892BF95" w14:textId="77777777" w:rsidR="00C236A2" w:rsidRPr="0013396E" w:rsidRDefault="00C236A2" w:rsidP="007C3E74">
            <w:pPr>
              <w:rPr>
                <w:iCs/>
                <w:sz w:val="20"/>
              </w:rPr>
            </w:pPr>
            <w:r w:rsidRPr="0013396E">
              <w:rPr>
                <w:i/>
                <w:iCs/>
                <w:sz w:val="20"/>
              </w:rPr>
              <w:t>Percent of Natural Gas to Operate at LSL</w:t>
            </w:r>
            <w:r w:rsidRPr="0013396E">
              <w:rPr>
                <w:iCs/>
                <w:sz w:val="20"/>
              </w:rPr>
              <w:t xml:space="preserve">—The percentage of natural gas used by Resource </w:t>
            </w:r>
            <w:r w:rsidRPr="0013396E">
              <w:rPr>
                <w:i/>
                <w:iCs/>
                <w:sz w:val="20"/>
              </w:rPr>
              <w:t>r</w:t>
            </w:r>
            <w:r w:rsidRPr="0013396E">
              <w:rPr>
                <w:iCs/>
                <w:sz w:val="20"/>
              </w:rPr>
              <w:t xml:space="preserve"> to operate at LSL,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496068B2" w14:textId="77777777" w:rsidTr="000B7133">
        <w:tc>
          <w:tcPr>
            <w:tcW w:w="966" w:type="pct"/>
            <w:tcBorders>
              <w:top w:val="single" w:sz="6" w:space="0" w:color="auto"/>
              <w:left w:val="single" w:sz="4" w:space="0" w:color="auto"/>
              <w:bottom w:val="single" w:sz="6" w:space="0" w:color="auto"/>
              <w:right w:val="single" w:sz="6" w:space="0" w:color="auto"/>
            </w:tcBorders>
          </w:tcPr>
          <w:p w14:paraId="61E55725" w14:textId="77777777" w:rsidR="00C236A2" w:rsidRPr="0013396E" w:rsidRDefault="00C236A2" w:rsidP="0099759E">
            <w:pPr>
              <w:spacing w:after="60"/>
              <w:rPr>
                <w:iCs/>
                <w:sz w:val="20"/>
              </w:rPr>
            </w:pPr>
            <w:r w:rsidRPr="0013396E">
              <w:rPr>
                <w:iCs/>
                <w:sz w:val="20"/>
              </w:rPr>
              <w:t xml:space="preserve">OILPERME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364D1137"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459A3E9A" w14:textId="77777777" w:rsidR="00C236A2" w:rsidRPr="0013396E" w:rsidRDefault="00C236A2" w:rsidP="007C3E74">
            <w:pPr>
              <w:rPr>
                <w:iCs/>
                <w:sz w:val="20"/>
              </w:rPr>
            </w:pPr>
            <w:r w:rsidRPr="0013396E">
              <w:rPr>
                <w:i/>
                <w:iCs/>
                <w:sz w:val="20"/>
              </w:rPr>
              <w:t>Percent of Oil to Operate at LSL</w:t>
            </w:r>
            <w:r w:rsidRPr="0013396E">
              <w:rPr>
                <w:iCs/>
                <w:sz w:val="20"/>
              </w:rPr>
              <w:t xml:space="preserve">—The percentage of fuel oil used by Resource </w:t>
            </w:r>
            <w:r w:rsidRPr="0013396E">
              <w:rPr>
                <w:i/>
                <w:iCs/>
                <w:sz w:val="20"/>
              </w:rPr>
              <w:t>r</w:t>
            </w:r>
            <w:r w:rsidRPr="0013396E">
              <w:rPr>
                <w:iCs/>
                <w:sz w:val="20"/>
              </w:rPr>
              <w:t xml:space="preserve"> to operate at LSL,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374C322F" w14:textId="77777777" w:rsidTr="000B7133">
        <w:tc>
          <w:tcPr>
            <w:tcW w:w="966" w:type="pct"/>
            <w:tcBorders>
              <w:top w:val="single" w:sz="6" w:space="0" w:color="auto"/>
              <w:left w:val="single" w:sz="4" w:space="0" w:color="auto"/>
              <w:bottom w:val="single" w:sz="6" w:space="0" w:color="auto"/>
              <w:right w:val="single" w:sz="6" w:space="0" w:color="auto"/>
            </w:tcBorders>
          </w:tcPr>
          <w:p w14:paraId="129D4AD6" w14:textId="77777777" w:rsidR="00C236A2" w:rsidRPr="0013396E" w:rsidRDefault="00C236A2" w:rsidP="0099759E">
            <w:pPr>
              <w:spacing w:after="60"/>
              <w:rPr>
                <w:iCs/>
                <w:sz w:val="20"/>
              </w:rPr>
            </w:pPr>
            <w:r w:rsidRPr="0013396E">
              <w:rPr>
                <w:iCs/>
                <w:sz w:val="20"/>
              </w:rPr>
              <w:t xml:space="preserve">SFPERME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374CA2DF" w14:textId="77777777" w:rsidR="00C236A2" w:rsidRPr="0013396E" w:rsidRDefault="00C236A2" w:rsidP="0099759E">
            <w:pPr>
              <w:spacing w:after="60"/>
              <w:rPr>
                <w:iCs/>
                <w:sz w:val="20"/>
              </w:rPr>
            </w:pPr>
            <w:r w:rsidRPr="0013396E">
              <w:rPr>
                <w:iCs/>
                <w:sz w:val="20"/>
              </w:rPr>
              <w:t xml:space="preserve">None </w:t>
            </w:r>
          </w:p>
        </w:tc>
        <w:tc>
          <w:tcPr>
            <w:tcW w:w="3342" w:type="pct"/>
            <w:tcBorders>
              <w:top w:val="single" w:sz="6" w:space="0" w:color="auto"/>
              <w:left w:val="single" w:sz="6" w:space="0" w:color="auto"/>
              <w:bottom w:val="single" w:sz="6" w:space="0" w:color="auto"/>
              <w:right w:val="single" w:sz="4" w:space="0" w:color="auto"/>
            </w:tcBorders>
          </w:tcPr>
          <w:p w14:paraId="12112885" w14:textId="77777777" w:rsidR="00C236A2" w:rsidRPr="0013396E" w:rsidRDefault="00C236A2" w:rsidP="007C3E74">
            <w:pPr>
              <w:rPr>
                <w:iCs/>
                <w:sz w:val="20"/>
              </w:rPr>
            </w:pPr>
            <w:r w:rsidRPr="0013396E">
              <w:rPr>
                <w:i/>
                <w:iCs/>
                <w:sz w:val="20"/>
              </w:rPr>
              <w:t>Percent of Solid Fuel to Operate at LSL</w:t>
            </w:r>
            <w:r w:rsidRPr="0013396E">
              <w:rPr>
                <w:iCs/>
                <w:sz w:val="20"/>
              </w:rPr>
              <w:t xml:space="preserve">—The percentage of solid fuel used by Resource </w:t>
            </w:r>
            <w:r w:rsidRPr="0013396E">
              <w:rPr>
                <w:i/>
                <w:iCs/>
                <w:sz w:val="20"/>
              </w:rPr>
              <w:t>r</w:t>
            </w:r>
            <w:r w:rsidRPr="0013396E">
              <w:rPr>
                <w:iCs/>
                <w:sz w:val="20"/>
              </w:rPr>
              <w:t xml:space="preserve"> to operate at LSL,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77915F37" w14:textId="77777777" w:rsidTr="000B7133">
        <w:tc>
          <w:tcPr>
            <w:tcW w:w="966" w:type="pct"/>
            <w:tcBorders>
              <w:top w:val="single" w:sz="6" w:space="0" w:color="auto"/>
              <w:left w:val="single" w:sz="4" w:space="0" w:color="auto"/>
              <w:bottom w:val="single" w:sz="6" w:space="0" w:color="auto"/>
              <w:right w:val="single" w:sz="6" w:space="0" w:color="auto"/>
            </w:tcBorders>
          </w:tcPr>
          <w:p w14:paraId="012E13F0" w14:textId="77777777" w:rsidR="00C236A2" w:rsidRPr="0013396E" w:rsidRDefault="00C236A2" w:rsidP="0099759E">
            <w:pPr>
              <w:spacing w:after="60"/>
              <w:rPr>
                <w:iCs/>
                <w:sz w:val="20"/>
              </w:rPr>
            </w:pPr>
            <w:r w:rsidRPr="0013396E">
              <w:rPr>
                <w:iCs/>
                <w:sz w:val="20"/>
              </w:rPr>
              <w:lastRenderedPageBreak/>
              <w:t xml:space="preserve">DAFCRS </w:t>
            </w:r>
            <w:r w:rsidRPr="0013396E">
              <w:rPr>
                <w:i/>
                <w:iCs/>
                <w:sz w:val="20"/>
                <w:vertAlign w:val="subscript"/>
              </w:rPr>
              <w:t>r, s</w:t>
            </w:r>
          </w:p>
        </w:tc>
        <w:tc>
          <w:tcPr>
            <w:tcW w:w="692" w:type="pct"/>
            <w:tcBorders>
              <w:top w:val="single" w:sz="6" w:space="0" w:color="auto"/>
              <w:left w:val="single" w:sz="6" w:space="0" w:color="auto"/>
              <w:bottom w:val="single" w:sz="6" w:space="0" w:color="auto"/>
              <w:right w:val="single" w:sz="6" w:space="0" w:color="auto"/>
            </w:tcBorders>
          </w:tcPr>
          <w:p w14:paraId="5FBF9003" w14:textId="77777777" w:rsidR="00C236A2" w:rsidRPr="0013396E" w:rsidRDefault="00C236A2" w:rsidP="0099759E">
            <w:pPr>
              <w:spacing w:after="60"/>
              <w:rPr>
                <w:iCs/>
                <w:sz w:val="20"/>
              </w:rPr>
            </w:pPr>
            <w:r w:rsidRPr="0013396E">
              <w:rPr>
                <w:iCs/>
                <w:sz w:val="20"/>
              </w:rPr>
              <w:t>MMBtu/Start</w:t>
            </w:r>
          </w:p>
        </w:tc>
        <w:tc>
          <w:tcPr>
            <w:tcW w:w="3342" w:type="pct"/>
            <w:tcBorders>
              <w:top w:val="single" w:sz="6" w:space="0" w:color="auto"/>
              <w:left w:val="single" w:sz="6" w:space="0" w:color="auto"/>
              <w:bottom w:val="single" w:sz="6" w:space="0" w:color="auto"/>
              <w:right w:val="single" w:sz="4" w:space="0" w:color="auto"/>
            </w:tcBorders>
          </w:tcPr>
          <w:p w14:paraId="5304BB46" w14:textId="77777777" w:rsidR="00C236A2" w:rsidRPr="0013396E" w:rsidRDefault="00C236A2" w:rsidP="007C3E74">
            <w:pPr>
              <w:rPr>
                <w:i/>
                <w:iCs/>
                <w:sz w:val="20"/>
              </w:rPr>
            </w:pPr>
            <w:r w:rsidRPr="0013396E">
              <w:rPr>
                <w:i/>
                <w:iCs/>
                <w:sz w:val="20"/>
              </w:rPr>
              <w:t>Day-Ahead Actual Fuel Consumption Rate per Start</w:t>
            </w:r>
            <w:r w:rsidRPr="0013396E">
              <w:rPr>
                <w:iCs/>
                <w:sz w:val="20"/>
              </w:rPr>
              <w:t xml:space="preserve">—The actual fuel consumption rate for Resource </w:t>
            </w:r>
            <w:r w:rsidRPr="0013396E">
              <w:rPr>
                <w:i/>
                <w:iCs/>
                <w:sz w:val="20"/>
              </w:rPr>
              <w:t>r</w:t>
            </w:r>
            <w:r w:rsidRPr="0013396E">
              <w:rPr>
                <w:iCs/>
                <w:sz w:val="20"/>
              </w:rPr>
              <w:t xml:space="preserve"> to startup per start type </w:t>
            </w:r>
            <w:r w:rsidRPr="0013396E">
              <w:rPr>
                <w:i/>
                <w:iCs/>
                <w:sz w:val="20"/>
              </w:rPr>
              <w:t>s</w:t>
            </w:r>
            <w:r w:rsidRPr="0013396E">
              <w:rPr>
                <w:iCs/>
                <w:sz w:val="20"/>
              </w:rPr>
              <w:t xml:space="preserve">, adjusted by VOXR as defined in the Verifiable Cost Manual.  Where for a Combined Cycle Train, the Resource </w:t>
            </w:r>
            <w:r w:rsidRPr="0013396E">
              <w:rPr>
                <w:i/>
                <w:iCs/>
                <w:sz w:val="20"/>
              </w:rPr>
              <w:t>r</w:t>
            </w:r>
            <w:r w:rsidRPr="0013396E">
              <w:rPr>
                <w:iCs/>
                <w:sz w:val="20"/>
              </w:rPr>
              <w:t xml:space="preserve"> is a Combined Cycle Generation Resource within the Combined Cycle Train.  For additional information, see Verifiable Cost Manual Section 3.3, Startup Fuel Consumption.</w:t>
            </w:r>
          </w:p>
        </w:tc>
      </w:tr>
      <w:tr w:rsidR="00C236A2" w:rsidRPr="0013396E" w14:paraId="21D2FFCC" w14:textId="77777777" w:rsidTr="000B7133">
        <w:tc>
          <w:tcPr>
            <w:tcW w:w="966" w:type="pct"/>
            <w:tcBorders>
              <w:top w:val="single" w:sz="6" w:space="0" w:color="auto"/>
              <w:left w:val="single" w:sz="4" w:space="0" w:color="auto"/>
              <w:bottom w:val="single" w:sz="6" w:space="0" w:color="auto"/>
              <w:right w:val="single" w:sz="6" w:space="0" w:color="auto"/>
            </w:tcBorders>
          </w:tcPr>
          <w:p w14:paraId="1EFECBAD" w14:textId="77777777" w:rsidR="00C236A2" w:rsidRPr="0013396E" w:rsidRDefault="00C236A2" w:rsidP="0099759E">
            <w:pPr>
              <w:spacing w:after="60"/>
              <w:rPr>
                <w:iCs/>
                <w:sz w:val="20"/>
              </w:rPr>
            </w:pPr>
            <w:r w:rsidRPr="0013396E">
              <w:rPr>
                <w:iCs/>
                <w:sz w:val="20"/>
              </w:rPr>
              <w:t xml:space="preserve">VOMS </w:t>
            </w:r>
            <w:r w:rsidRPr="0013396E">
              <w:rPr>
                <w:i/>
                <w:iCs/>
                <w:sz w:val="20"/>
                <w:vertAlign w:val="subscript"/>
              </w:rPr>
              <w:t>r, s</w:t>
            </w:r>
          </w:p>
        </w:tc>
        <w:tc>
          <w:tcPr>
            <w:tcW w:w="692" w:type="pct"/>
            <w:tcBorders>
              <w:top w:val="single" w:sz="6" w:space="0" w:color="auto"/>
              <w:left w:val="single" w:sz="6" w:space="0" w:color="auto"/>
              <w:bottom w:val="single" w:sz="6" w:space="0" w:color="auto"/>
              <w:right w:val="single" w:sz="6" w:space="0" w:color="auto"/>
            </w:tcBorders>
          </w:tcPr>
          <w:p w14:paraId="2FD867B7" w14:textId="77777777" w:rsidR="00C236A2" w:rsidRPr="0013396E" w:rsidRDefault="00C236A2" w:rsidP="0099759E">
            <w:pPr>
              <w:spacing w:after="60"/>
              <w:rPr>
                <w:iCs/>
                <w:sz w:val="20"/>
              </w:rPr>
            </w:pPr>
            <w:r w:rsidRPr="0013396E">
              <w:rPr>
                <w:sz w:val="20"/>
              </w:rPr>
              <w:t>$/Start</w:t>
            </w:r>
          </w:p>
        </w:tc>
        <w:tc>
          <w:tcPr>
            <w:tcW w:w="3342" w:type="pct"/>
            <w:tcBorders>
              <w:top w:val="single" w:sz="6" w:space="0" w:color="auto"/>
              <w:left w:val="single" w:sz="6" w:space="0" w:color="auto"/>
              <w:bottom w:val="single" w:sz="6" w:space="0" w:color="auto"/>
              <w:right w:val="single" w:sz="4" w:space="0" w:color="auto"/>
            </w:tcBorders>
          </w:tcPr>
          <w:p w14:paraId="1C0FB658" w14:textId="77777777" w:rsidR="00C236A2" w:rsidRPr="0013396E" w:rsidRDefault="00C236A2" w:rsidP="007C3E74">
            <w:pPr>
              <w:rPr>
                <w:i/>
                <w:iCs/>
                <w:sz w:val="20"/>
              </w:rPr>
            </w:pPr>
            <w:r w:rsidRPr="0013396E">
              <w:rPr>
                <w:i/>
                <w:sz w:val="20"/>
              </w:rPr>
              <w:t>Variable Operations and Maintenance Cost per Start</w:t>
            </w:r>
            <w:r w:rsidRPr="0013396E">
              <w:rPr>
                <w:iCs/>
                <w:sz w:val="20"/>
              </w:rPr>
              <w:t>—</w:t>
            </w:r>
            <w:r w:rsidRPr="0013396E">
              <w:rPr>
                <w:sz w:val="20"/>
              </w:rPr>
              <w:t xml:space="preserve">The operations and maintenance cost for Resource </w:t>
            </w:r>
            <w:r w:rsidRPr="0013396E">
              <w:rPr>
                <w:i/>
                <w:sz w:val="20"/>
              </w:rPr>
              <w:t>r</w:t>
            </w:r>
            <w:r w:rsidRPr="0013396E">
              <w:rPr>
                <w:sz w:val="20"/>
              </w:rPr>
              <w:t xml:space="preserve"> to startup, per start </w:t>
            </w:r>
            <w:r w:rsidRPr="0013396E">
              <w:rPr>
                <w:i/>
                <w:sz w:val="20"/>
              </w:rPr>
              <w:t>s</w:t>
            </w:r>
            <w:r w:rsidRPr="0013396E">
              <w:rPr>
                <w:sz w:val="20"/>
              </w:rPr>
              <w:t xml:space="preserve">, including an adjustment for emissions costs.  Where for a Combined Cycle Train, the Resource </w:t>
            </w:r>
            <w:r w:rsidRPr="0013396E">
              <w:rPr>
                <w:i/>
                <w:sz w:val="20"/>
              </w:rPr>
              <w:t>r</w:t>
            </w:r>
            <w:r w:rsidRPr="0013396E">
              <w:rPr>
                <w:sz w:val="20"/>
              </w:rPr>
              <w:t xml:space="preserve"> is a Combined Cycle Generation Resource within the Combined Cycle Train.  For additional information, see Verifiable Cost Manual Section 3.2, Submitting Startup Costs.</w:t>
            </w:r>
          </w:p>
        </w:tc>
      </w:tr>
      <w:tr w:rsidR="00C236A2" w:rsidRPr="0013396E" w14:paraId="289AD8A7" w14:textId="77777777" w:rsidTr="000B7133">
        <w:tc>
          <w:tcPr>
            <w:tcW w:w="966" w:type="pct"/>
            <w:tcBorders>
              <w:top w:val="single" w:sz="6" w:space="0" w:color="auto"/>
              <w:left w:val="single" w:sz="4" w:space="0" w:color="auto"/>
              <w:bottom w:val="single" w:sz="6" w:space="0" w:color="auto"/>
              <w:right w:val="single" w:sz="6" w:space="0" w:color="auto"/>
            </w:tcBorders>
          </w:tcPr>
          <w:p w14:paraId="36AC06EF" w14:textId="77777777" w:rsidR="00C236A2" w:rsidRPr="0013396E" w:rsidRDefault="00C236A2" w:rsidP="0099759E">
            <w:pPr>
              <w:spacing w:after="60"/>
              <w:rPr>
                <w:iCs/>
                <w:sz w:val="20"/>
              </w:rPr>
            </w:pPr>
            <w:r w:rsidRPr="0013396E">
              <w:rPr>
                <w:iCs/>
                <w:sz w:val="20"/>
              </w:rPr>
              <w:t xml:space="preserve">VOMLSL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0092BFCB" w14:textId="77777777" w:rsidR="00C236A2" w:rsidRPr="0013396E" w:rsidRDefault="00C236A2" w:rsidP="0099759E">
            <w:pPr>
              <w:spacing w:after="60"/>
              <w:rPr>
                <w:iCs/>
                <w:sz w:val="20"/>
              </w:rPr>
            </w:pPr>
            <w:r w:rsidRPr="0013396E">
              <w:rPr>
                <w:iCs/>
                <w:sz w:val="20"/>
              </w:rPr>
              <w:t>$/MWh</w:t>
            </w:r>
          </w:p>
        </w:tc>
        <w:tc>
          <w:tcPr>
            <w:tcW w:w="3342" w:type="pct"/>
            <w:tcBorders>
              <w:top w:val="single" w:sz="6" w:space="0" w:color="auto"/>
              <w:left w:val="single" w:sz="6" w:space="0" w:color="auto"/>
              <w:bottom w:val="single" w:sz="6" w:space="0" w:color="auto"/>
              <w:right w:val="single" w:sz="4" w:space="0" w:color="auto"/>
            </w:tcBorders>
          </w:tcPr>
          <w:p w14:paraId="18D46E5E" w14:textId="77777777" w:rsidR="00C236A2" w:rsidRPr="0013396E" w:rsidRDefault="00C236A2" w:rsidP="007C3E74">
            <w:pPr>
              <w:rPr>
                <w:i/>
                <w:iCs/>
                <w:sz w:val="20"/>
              </w:rPr>
            </w:pPr>
            <w:r w:rsidRPr="0013396E">
              <w:rPr>
                <w:i/>
                <w:iCs/>
                <w:sz w:val="20"/>
              </w:rPr>
              <w:t>Variable Operations and Maintenance Cost at LSL</w:t>
            </w:r>
            <w:r w:rsidRPr="0013396E">
              <w:rPr>
                <w:iCs/>
                <w:sz w:val="20"/>
              </w:rPr>
              <w:t xml:space="preserve">—The operations and maintenance cost for Resource </w:t>
            </w:r>
            <w:r w:rsidRPr="0013396E">
              <w:rPr>
                <w:i/>
                <w:iCs/>
                <w:sz w:val="20"/>
              </w:rPr>
              <w:t>r</w:t>
            </w:r>
            <w:r w:rsidRPr="0013396E">
              <w:rPr>
                <w:iCs/>
                <w:sz w:val="20"/>
              </w:rPr>
              <w:t xml:space="preserve"> to operate at LSL, including an adjustment for emissions costs.  Where for a Combined Cycle Train, the Resource </w:t>
            </w:r>
            <w:r w:rsidRPr="0013396E">
              <w:rPr>
                <w:i/>
                <w:iCs/>
                <w:sz w:val="20"/>
              </w:rPr>
              <w:t>r</w:t>
            </w:r>
            <w:r w:rsidRPr="0013396E">
              <w:rPr>
                <w:iCs/>
                <w:sz w:val="20"/>
              </w:rPr>
              <w:t xml:space="preserve"> is a Combined Cycle Generation Resource within the Combined Cycle Train.  For additional information, see Verifiable Cost Manual Section 4.2, Submitting Minimum Energy Costs.</w:t>
            </w:r>
          </w:p>
        </w:tc>
      </w:tr>
      <w:tr w:rsidR="00C236A2" w:rsidRPr="0013396E" w14:paraId="2DE0A4A1" w14:textId="77777777" w:rsidTr="000B7133">
        <w:tc>
          <w:tcPr>
            <w:tcW w:w="966" w:type="pct"/>
            <w:tcBorders>
              <w:top w:val="single" w:sz="6" w:space="0" w:color="auto"/>
              <w:left w:val="single" w:sz="4" w:space="0" w:color="auto"/>
              <w:bottom w:val="single" w:sz="6" w:space="0" w:color="auto"/>
              <w:right w:val="single" w:sz="6" w:space="0" w:color="auto"/>
            </w:tcBorders>
          </w:tcPr>
          <w:p w14:paraId="57764F1A" w14:textId="77777777" w:rsidR="00C236A2" w:rsidRPr="0013396E" w:rsidRDefault="00C236A2" w:rsidP="0099759E">
            <w:pPr>
              <w:spacing w:after="60"/>
              <w:rPr>
                <w:iCs/>
                <w:sz w:val="20"/>
              </w:rPr>
            </w:pPr>
            <w:r w:rsidRPr="0013396E">
              <w:rPr>
                <w:iCs/>
                <w:sz w:val="20"/>
              </w:rPr>
              <w:t xml:space="preserve">LSL </w:t>
            </w:r>
            <w:r w:rsidRPr="0013396E">
              <w:rPr>
                <w:i/>
                <w:iCs/>
                <w:sz w:val="20"/>
                <w:vertAlign w:val="subscript"/>
              </w:rPr>
              <w:t>q, r, i</w:t>
            </w:r>
          </w:p>
        </w:tc>
        <w:tc>
          <w:tcPr>
            <w:tcW w:w="692" w:type="pct"/>
            <w:tcBorders>
              <w:top w:val="single" w:sz="6" w:space="0" w:color="auto"/>
              <w:left w:val="single" w:sz="6" w:space="0" w:color="auto"/>
              <w:bottom w:val="single" w:sz="6" w:space="0" w:color="auto"/>
              <w:right w:val="single" w:sz="6" w:space="0" w:color="auto"/>
            </w:tcBorders>
          </w:tcPr>
          <w:p w14:paraId="70C58520" w14:textId="77777777" w:rsidR="00C236A2" w:rsidRPr="0013396E" w:rsidRDefault="00C236A2" w:rsidP="0099759E">
            <w:pPr>
              <w:spacing w:after="60"/>
              <w:rPr>
                <w:iCs/>
                <w:sz w:val="20"/>
              </w:rPr>
            </w:pPr>
            <w:r w:rsidRPr="0013396E">
              <w:rPr>
                <w:iCs/>
                <w:sz w:val="20"/>
              </w:rPr>
              <w:t>MW</w:t>
            </w:r>
          </w:p>
        </w:tc>
        <w:tc>
          <w:tcPr>
            <w:tcW w:w="3342" w:type="pct"/>
            <w:tcBorders>
              <w:top w:val="single" w:sz="6" w:space="0" w:color="auto"/>
              <w:left w:val="single" w:sz="6" w:space="0" w:color="auto"/>
              <w:bottom w:val="single" w:sz="6" w:space="0" w:color="auto"/>
              <w:right w:val="single" w:sz="4" w:space="0" w:color="auto"/>
            </w:tcBorders>
          </w:tcPr>
          <w:p w14:paraId="64911BB4" w14:textId="77777777" w:rsidR="00C236A2" w:rsidRPr="0013396E" w:rsidRDefault="00C236A2" w:rsidP="007C3E74">
            <w:pPr>
              <w:rPr>
                <w:i/>
                <w:iCs/>
                <w:sz w:val="20"/>
              </w:rPr>
            </w:pPr>
            <w:r w:rsidRPr="0013396E">
              <w:rPr>
                <w:i/>
                <w:iCs/>
                <w:sz w:val="20"/>
              </w:rPr>
              <w:t>Low Sustained Limit</w:t>
            </w:r>
            <w:r w:rsidRPr="0013396E">
              <w:rPr>
                <w:iCs/>
                <w:sz w:val="20"/>
              </w:rPr>
              <w:t xml:space="preserve">—The LSL of Generation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hour that includes the Settlement Interval </w:t>
            </w:r>
            <w:r w:rsidRPr="0013396E">
              <w:rPr>
                <w:i/>
                <w:iCs/>
                <w:sz w:val="20"/>
              </w:rPr>
              <w:t>i</w:t>
            </w:r>
            <w:r w:rsidRPr="0013396E">
              <w:rPr>
                <w:iCs/>
                <w:sz w:val="20"/>
              </w:rPr>
              <w:t xml:space="preserve">, as submitted in the COP.  Where for a Combined Cycle Train, the Resource </w:t>
            </w:r>
            <w:r w:rsidRPr="0013396E">
              <w:rPr>
                <w:i/>
                <w:iCs/>
                <w:sz w:val="20"/>
              </w:rPr>
              <w:t>r</w:t>
            </w:r>
            <w:r w:rsidRPr="0013396E">
              <w:rPr>
                <w:iCs/>
                <w:sz w:val="20"/>
              </w:rPr>
              <w:t xml:space="preserve"> is a Combined Cycle Generation Resource within the Combined Cycle Train.  </w:t>
            </w:r>
          </w:p>
        </w:tc>
      </w:tr>
      <w:tr w:rsidR="00C236A2" w:rsidRPr="0013396E" w14:paraId="36F969AD" w14:textId="77777777" w:rsidTr="000B7133">
        <w:tc>
          <w:tcPr>
            <w:tcW w:w="966" w:type="pct"/>
            <w:tcBorders>
              <w:top w:val="single" w:sz="6" w:space="0" w:color="auto"/>
              <w:left w:val="single" w:sz="4" w:space="0" w:color="auto"/>
              <w:bottom w:val="single" w:sz="6" w:space="0" w:color="auto"/>
              <w:right w:val="single" w:sz="6" w:space="0" w:color="auto"/>
            </w:tcBorders>
          </w:tcPr>
          <w:p w14:paraId="1E187EF8" w14:textId="77777777" w:rsidR="00C236A2" w:rsidRPr="0013396E" w:rsidRDefault="00C236A2" w:rsidP="0099759E">
            <w:pPr>
              <w:spacing w:after="60"/>
              <w:rPr>
                <w:iCs/>
                <w:sz w:val="20"/>
              </w:rPr>
            </w:pPr>
            <w:r w:rsidRPr="0013396E">
              <w:rPr>
                <w:iCs/>
                <w:sz w:val="20"/>
              </w:rPr>
              <w:t xml:space="preserve">RTMG </w:t>
            </w:r>
            <w:r w:rsidRPr="0013396E">
              <w:rPr>
                <w:i/>
                <w:iCs/>
                <w:sz w:val="20"/>
                <w:vertAlign w:val="subscript"/>
              </w:rPr>
              <w:t>q, r, i</w:t>
            </w:r>
          </w:p>
        </w:tc>
        <w:tc>
          <w:tcPr>
            <w:tcW w:w="692" w:type="pct"/>
            <w:tcBorders>
              <w:top w:val="single" w:sz="6" w:space="0" w:color="auto"/>
              <w:left w:val="single" w:sz="6" w:space="0" w:color="auto"/>
              <w:bottom w:val="single" w:sz="6" w:space="0" w:color="auto"/>
              <w:right w:val="single" w:sz="6" w:space="0" w:color="auto"/>
            </w:tcBorders>
          </w:tcPr>
          <w:p w14:paraId="2CCBB8B3" w14:textId="77777777" w:rsidR="00C236A2" w:rsidRPr="0013396E" w:rsidRDefault="00C236A2" w:rsidP="0099759E">
            <w:pPr>
              <w:spacing w:after="60"/>
              <w:rPr>
                <w:iCs/>
                <w:sz w:val="20"/>
              </w:rPr>
            </w:pPr>
            <w:r w:rsidRPr="0013396E">
              <w:rPr>
                <w:iCs/>
                <w:sz w:val="20"/>
              </w:rPr>
              <w:t>MWh</w:t>
            </w:r>
          </w:p>
        </w:tc>
        <w:tc>
          <w:tcPr>
            <w:tcW w:w="3342" w:type="pct"/>
            <w:tcBorders>
              <w:top w:val="single" w:sz="6" w:space="0" w:color="auto"/>
              <w:left w:val="single" w:sz="6" w:space="0" w:color="auto"/>
              <w:bottom w:val="single" w:sz="6" w:space="0" w:color="auto"/>
              <w:right w:val="single" w:sz="4" w:space="0" w:color="auto"/>
            </w:tcBorders>
          </w:tcPr>
          <w:p w14:paraId="1E79853E" w14:textId="77777777" w:rsidR="00C236A2" w:rsidRPr="0013396E" w:rsidRDefault="00C236A2" w:rsidP="007C3E74">
            <w:pPr>
              <w:rPr>
                <w:i/>
                <w:iCs/>
                <w:sz w:val="20"/>
              </w:rPr>
            </w:pPr>
            <w:r w:rsidRPr="0013396E">
              <w:rPr>
                <w:i/>
                <w:iCs/>
                <w:sz w:val="20"/>
              </w:rPr>
              <w:t>Real-Time Metered Generation per QSE per Resource by Settlement Interval by hour</w:t>
            </w:r>
            <w:r w:rsidRPr="0013396E">
              <w:rPr>
                <w:iCs/>
                <w:sz w:val="20"/>
              </w:rPr>
              <w:t xml:space="preserve">—The Real-Time energy from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t>
            </w:r>
            <w:r w:rsidRPr="0013396E">
              <w:rPr>
                <w:i/>
                <w:iCs/>
                <w:sz w:val="20"/>
              </w:rPr>
              <w:t>i</w:t>
            </w:r>
            <w:r w:rsidRPr="0013396E">
              <w:rPr>
                <w:iCs/>
                <w:sz w:val="20"/>
              </w:rPr>
              <w:t xml:space="preserve">.  Where for a Combined Cycle Train, the Resource </w:t>
            </w:r>
            <w:r w:rsidRPr="0013396E">
              <w:rPr>
                <w:i/>
                <w:iCs/>
                <w:sz w:val="20"/>
              </w:rPr>
              <w:t>r</w:t>
            </w:r>
            <w:r w:rsidRPr="0013396E">
              <w:rPr>
                <w:iCs/>
                <w:sz w:val="20"/>
              </w:rPr>
              <w:t xml:space="preserve"> is the Combined Cycle Train.</w:t>
            </w:r>
          </w:p>
        </w:tc>
      </w:tr>
      <w:tr w:rsidR="00C236A2" w:rsidRPr="0013396E" w14:paraId="68524D0F" w14:textId="77777777" w:rsidTr="000B7133">
        <w:tc>
          <w:tcPr>
            <w:tcW w:w="966" w:type="pct"/>
            <w:tcBorders>
              <w:top w:val="single" w:sz="6" w:space="0" w:color="auto"/>
              <w:left w:val="single" w:sz="4" w:space="0" w:color="auto"/>
              <w:bottom w:val="single" w:sz="6" w:space="0" w:color="auto"/>
              <w:right w:val="single" w:sz="6" w:space="0" w:color="auto"/>
            </w:tcBorders>
          </w:tcPr>
          <w:p w14:paraId="1957D6A2" w14:textId="77777777" w:rsidR="00C236A2" w:rsidRPr="0013396E" w:rsidRDefault="00C236A2" w:rsidP="0099759E">
            <w:pPr>
              <w:spacing w:after="60"/>
              <w:rPr>
                <w:iCs/>
                <w:sz w:val="20"/>
              </w:rPr>
            </w:pPr>
            <w:r w:rsidRPr="0013396E">
              <w:rPr>
                <w:iCs/>
                <w:sz w:val="20"/>
              </w:rPr>
              <w:t xml:space="preserve">AHR </w:t>
            </w:r>
            <w:r w:rsidRPr="0013396E">
              <w:rPr>
                <w:i/>
                <w:iCs/>
                <w:sz w:val="20"/>
                <w:vertAlign w:val="subscript"/>
              </w:rPr>
              <w:t>r, i</w:t>
            </w:r>
          </w:p>
        </w:tc>
        <w:tc>
          <w:tcPr>
            <w:tcW w:w="692" w:type="pct"/>
            <w:tcBorders>
              <w:top w:val="single" w:sz="6" w:space="0" w:color="auto"/>
              <w:left w:val="single" w:sz="6" w:space="0" w:color="auto"/>
              <w:bottom w:val="single" w:sz="6" w:space="0" w:color="auto"/>
              <w:right w:val="single" w:sz="6" w:space="0" w:color="auto"/>
            </w:tcBorders>
          </w:tcPr>
          <w:p w14:paraId="59D1D4F3" w14:textId="77777777" w:rsidR="00C236A2" w:rsidRPr="0013396E" w:rsidRDefault="00C236A2" w:rsidP="0099759E">
            <w:pPr>
              <w:spacing w:after="60"/>
              <w:rPr>
                <w:iCs/>
                <w:sz w:val="20"/>
              </w:rPr>
            </w:pPr>
            <w:r w:rsidRPr="0013396E">
              <w:rPr>
                <w:iCs/>
                <w:sz w:val="20"/>
              </w:rPr>
              <w:t>MMBtu / MWh</w:t>
            </w:r>
          </w:p>
        </w:tc>
        <w:tc>
          <w:tcPr>
            <w:tcW w:w="3342" w:type="pct"/>
            <w:tcBorders>
              <w:top w:val="single" w:sz="6" w:space="0" w:color="auto"/>
              <w:left w:val="single" w:sz="6" w:space="0" w:color="auto"/>
              <w:bottom w:val="single" w:sz="6" w:space="0" w:color="auto"/>
              <w:right w:val="single" w:sz="4" w:space="0" w:color="auto"/>
            </w:tcBorders>
          </w:tcPr>
          <w:p w14:paraId="61E34EC9" w14:textId="77777777" w:rsidR="00C236A2" w:rsidRPr="0013396E" w:rsidRDefault="00C236A2" w:rsidP="007C3E74">
            <w:pPr>
              <w:rPr>
                <w:i/>
                <w:iCs/>
                <w:sz w:val="20"/>
              </w:rPr>
            </w:pPr>
            <w:r w:rsidRPr="0013396E">
              <w:rPr>
                <w:i/>
                <w:iCs/>
                <w:sz w:val="20"/>
              </w:rPr>
              <w:t>Average Heat Rate per Resource</w:t>
            </w:r>
            <w:r w:rsidRPr="0013396E">
              <w:rPr>
                <w:iCs/>
                <w:sz w:val="20"/>
              </w:rPr>
              <w:t xml:space="preserve">– The verifiable average heat rate for the Resource </w:t>
            </w:r>
            <w:r w:rsidRPr="0013396E">
              <w:rPr>
                <w:i/>
                <w:iCs/>
                <w:sz w:val="20"/>
              </w:rPr>
              <w:t>r</w:t>
            </w:r>
            <w:r w:rsidRPr="0013396E">
              <w:rPr>
                <w:iCs/>
                <w:sz w:val="20"/>
              </w:rPr>
              <w:t xml:space="preserve">, for the operating level, for the 15-minute Settlement Interval </w:t>
            </w:r>
            <w:r w:rsidRPr="0013396E">
              <w:rPr>
                <w:i/>
                <w:iCs/>
                <w:sz w:val="20"/>
              </w:rPr>
              <w:t>i</w:t>
            </w:r>
            <w:r w:rsidRPr="0013396E">
              <w:rPr>
                <w:iCs/>
                <w:sz w:val="20"/>
              </w:rPr>
              <w:t xml:space="preserve">.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33AD0374" w14:textId="77777777" w:rsidTr="000B7133">
        <w:tc>
          <w:tcPr>
            <w:tcW w:w="966" w:type="pct"/>
            <w:tcBorders>
              <w:top w:val="single" w:sz="6" w:space="0" w:color="auto"/>
              <w:left w:val="single" w:sz="4" w:space="0" w:color="auto"/>
              <w:bottom w:val="single" w:sz="6" w:space="0" w:color="auto"/>
              <w:right w:val="single" w:sz="6" w:space="0" w:color="auto"/>
            </w:tcBorders>
          </w:tcPr>
          <w:p w14:paraId="386322B3" w14:textId="77777777" w:rsidR="00C236A2" w:rsidRPr="0013396E" w:rsidRDefault="00C236A2" w:rsidP="0099759E">
            <w:pPr>
              <w:spacing w:after="60"/>
              <w:rPr>
                <w:iCs/>
                <w:sz w:val="20"/>
              </w:rPr>
            </w:pPr>
            <w:r w:rsidRPr="0013396E">
              <w:rPr>
                <w:iCs/>
                <w:sz w:val="20"/>
              </w:rPr>
              <w:t xml:space="preserve">OM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4E36F63B" w14:textId="77777777" w:rsidR="00C236A2" w:rsidRPr="0013396E" w:rsidRDefault="00C236A2" w:rsidP="0099759E">
            <w:pPr>
              <w:spacing w:after="60"/>
              <w:rPr>
                <w:iCs/>
                <w:sz w:val="20"/>
              </w:rPr>
            </w:pPr>
            <w:r w:rsidRPr="0013396E">
              <w:rPr>
                <w:iCs/>
                <w:sz w:val="20"/>
              </w:rPr>
              <w:t>$/MWh</w:t>
            </w:r>
          </w:p>
        </w:tc>
        <w:tc>
          <w:tcPr>
            <w:tcW w:w="3342" w:type="pct"/>
            <w:tcBorders>
              <w:top w:val="single" w:sz="6" w:space="0" w:color="auto"/>
              <w:left w:val="single" w:sz="6" w:space="0" w:color="auto"/>
              <w:bottom w:val="single" w:sz="6" w:space="0" w:color="auto"/>
              <w:right w:val="single" w:sz="4" w:space="0" w:color="auto"/>
            </w:tcBorders>
          </w:tcPr>
          <w:p w14:paraId="2D912108" w14:textId="77777777" w:rsidR="00C236A2" w:rsidRPr="0013396E" w:rsidRDefault="00C236A2" w:rsidP="007C3E74">
            <w:pPr>
              <w:rPr>
                <w:i/>
                <w:iCs/>
                <w:sz w:val="20"/>
              </w:rPr>
            </w:pPr>
            <w:r w:rsidRPr="0013396E">
              <w:rPr>
                <w:i/>
                <w:iCs/>
                <w:sz w:val="20"/>
              </w:rPr>
              <w:t>Verifiable Operations and Maintenance Cost Above LSL</w:t>
            </w:r>
            <w:r w:rsidRPr="0013396E">
              <w:rPr>
                <w:iCs/>
                <w:sz w:val="20"/>
              </w:rPr>
              <w:t xml:space="preserve">– The O&amp;M cost for Resource </w:t>
            </w:r>
            <w:r w:rsidRPr="0013396E">
              <w:rPr>
                <w:i/>
                <w:iCs/>
                <w:sz w:val="20"/>
              </w:rPr>
              <w:t>r</w:t>
            </w:r>
            <w:r w:rsidRPr="0013396E">
              <w:rPr>
                <w:iCs/>
                <w:sz w:val="20"/>
              </w:rPr>
              <w:t xml:space="preserve"> to operate above LSL.  Where for a Combined Cycle Train, the Resource </w:t>
            </w:r>
            <w:r w:rsidRPr="0013396E">
              <w:rPr>
                <w:i/>
                <w:iCs/>
                <w:sz w:val="20"/>
              </w:rPr>
              <w:t>r</w:t>
            </w:r>
            <w:r w:rsidRPr="0013396E">
              <w:rPr>
                <w:iCs/>
                <w:sz w:val="20"/>
              </w:rPr>
              <w:t xml:space="preserve"> is a Combined Cycle Generation Resource within the Combined Cycle Train.  See the Verifiable Cost Manual for additional information. </w:t>
            </w:r>
          </w:p>
        </w:tc>
      </w:tr>
      <w:tr w:rsidR="00C236A2" w:rsidRPr="0013396E" w14:paraId="421E71A3" w14:textId="77777777" w:rsidTr="000B7133">
        <w:tc>
          <w:tcPr>
            <w:tcW w:w="966" w:type="pct"/>
            <w:tcBorders>
              <w:top w:val="single" w:sz="6" w:space="0" w:color="auto"/>
              <w:left w:val="single" w:sz="4" w:space="0" w:color="auto"/>
              <w:bottom w:val="single" w:sz="6" w:space="0" w:color="auto"/>
              <w:right w:val="single" w:sz="6" w:space="0" w:color="auto"/>
            </w:tcBorders>
          </w:tcPr>
          <w:p w14:paraId="0F6A40ED" w14:textId="77777777" w:rsidR="00C236A2" w:rsidRPr="0013396E" w:rsidRDefault="00C236A2" w:rsidP="0099759E">
            <w:pPr>
              <w:spacing w:after="60"/>
              <w:rPr>
                <w:iCs/>
                <w:sz w:val="20"/>
              </w:rPr>
            </w:pPr>
            <w:r w:rsidRPr="0013396E">
              <w:rPr>
                <w:iCs/>
                <w:sz w:val="20"/>
              </w:rPr>
              <w:t xml:space="preserve">SWIHR </w:t>
            </w:r>
            <w:r w:rsidRPr="0013396E">
              <w:rPr>
                <w:i/>
                <w:iCs/>
                <w:sz w:val="20"/>
                <w:vertAlign w:val="subscript"/>
              </w:rPr>
              <w:t>q, r, d</w:t>
            </w:r>
          </w:p>
        </w:tc>
        <w:tc>
          <w:tcPr>
            <w:tcW w:w="692" w:type="pct"/>
            <w:tcBorders>
              <w:top w:val="single" w:sz="6" w:space="0" w:color="auto"/>
              <w:left w:val="single" w:sz="6" w:space="0" w:color="auto"/>
              <w:bottom w:val="single" w:sz="6" w:space="0" w:color="auto"/>
              <w:right w:val="single" w:sz="6" w:space="0" w:color="auto"/>
            </w:tcBorders>
          </w:tcPr>
          <w:p w14:paraId="7A497805"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6F8E534C" w14:textId="77777777" w:rsidR="00C236A2" w:rsidRPr="0013396E" w:rsidRDefault="00C236A2" w:rsidP="007C3E74">
            <w:pPr>
              <w:rPr>
                <w:iCs/>
                <w:sz w:val="20"/>
              </w:rPr>
            </w:pPr>
            <w:r w:rsidRPr="0013396E">
              <w:rPr>
                <w:i/>
                <w:iCs/>
                <w:sz w:val="20"/>
              </w:rPr>
              <w:t>Switchable Generation Instructed Hours</w:t>
            </w:r>
            <w:r w:rsidRPr="0013396E">
              <w:rPr>
                <w:iCs/>
                <w:sz w:val="20"/>
              </w:rPr>
              <w:t xml:space="preserve">—The total number of Switchable Generation instructed hours,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Operating Day </w:t>
            </w:r>
            <w:r w:rsidRPr="0013396E">
              <w:rPr>
                <w:i/>
                <w:iCs/>
                <w:sz w:val="20"/>
              </w:rPr>
              <w:t>d</w:t>
            </w:r>
            <w:r w:rsidRPr="0013396E">
              <w:rPr>
                <w:iCs/>
                <w:sz w:val="20"/>
              </w:rPr>
              <w:t>.  When one or more Combined Cycle Generation Resources are committed by ERCOT, the total number of instructed hours is calculated for the Combined Cycle Train for all switchable instructed Combined Cycle Generation Resources.</w:t>
            </w:r>
          </w:p>
        </w:tc>
      </w:tr>
      <w:tr w:rsidR="00C236A2" w:rsidRPr="0013396E" w14:paraId="774EF6BA" w14:textId="77777777" w:rsidTr="000B7133">
        <w:tc>
          <w:tcPr>
            <w:tcW w:w="966" w:type="pct"/>
            <w:tcBorders>
              <w:top w:val="single" w:sz="6" w:space="0" w:color="auto"/>
              <w:left w:val="single" w:sz="4" w:space="0" w:color="auto"/>
              <w:bottom w:val="single" w:sz="6" w:space="0" w:color="auto"/>
              <w:right w:val="single" w:sz="6" w:space="0" w:color="auto"/>
            </w:tcBorders>
          </w:tcPr>
          <w:p w14:paraId="24FA4AC4" w14:textId="77777777" w:rsidR="00C236A2" w:rsidRPr="0013396E" w:rsidRDefault="00C236A2" w:rsidP="0099759E">
            <w:pPr>
              <w:spacing w:after="60"/>
              <w:rPr>
                <w:iCs/>
                <w:sz w:val="20"/>
              </w:rPr>
            </w:pPr>
            <w:r w:rsidRPr="0013396E">
              <w:rPr>
                <w:iCs/>
                <w:sz w:val="20"/>
              </w:rPr>
              <w:t>SFP</w:t>
            </w:r>
          </w:p>
        </w:tc>
        <w:tc>
          <w:tcPr>
            <w:tcW w:w="692" w:type="pct"/>
            <w:tcBorders>
              <w:top w:val="single" w:sz="6" w:space="0" w:color="auto"/>
              <w:left w:val="single" w:sz="6" w:space="0" w:color="auto"/>
              <w:bottom w:val="single" w:sz="6" w:space="0" w:color="auto"/>
              <w:right w:val="single" w:sz="6" w:space="0" w:color="auto"/>
            </w:tcBorders>
          </w:tcPr>
          <w:p w14:paraId="3112FECC" w14:textId="77777777" w:rsidR="00C236A2" w:rsidRPr="0013396E" w:rsidRDefault="00C236A2" w:rsidP="0099759E">
            <w:pPr>
              <w:spacing w:after="60"/>
              <w:rPr>
                <w:iCs/>
                <w:sz w:val="20"/>
              </w:rPr>
            </w:pPr>
            <w:r w:rsidRPr="0013396E">
              <w:rPr>
                <w:iCs/>
                <w:sz w:val="20"/>
              </w:rPr>
              <w:t>$/MMBtu</w:t>
            </w:r>
          </w:p>
        </w:tc>
        <w:tc>
          <w:tcPr>
            <w:tcW w:w="3342" w:type="pct"/>
            <w:tcBorders>
              <w:top w:val="single" w:sz="6" w:space="0" w:color="auto"/>
              <w:left w:val="single" w:sz="6" w:space="0" w:color="auto"/>
              <w:bottom w:val="single" w:sz="6" w:space="0" w:color="auto"/>
              <w:right w:val="single" w:sz="4" w:space="0" w:color="auto"/>
            </w:tcBorders>
          </w:tcPr>
          <w:p w14:paraId="40C5976D" w14:textId="77777777" w:rsidR="00C236A2" w:rsidRPr="0013396E" w:rsidRDefault="00C236A2" w:rsidP="007C3E74">
            <w:pPr>
              <w:rPr>
                <w:i/>
                <w:iCs/>
                <w:sz w:val="20"/>
              </w:rPr>
            </w:pPr>
            <w:r w:rsidRPr="007C3E74">
              <w:rPr>
                <w:i/>
                <w:sz w:val="20"/>
              </w:rPr>
              <w:t>Solid Fuel Price</w:t>
            </w:r>
            <w:r w:rsidRPr="0013396E">
              <w:rPr>
                <w:iCs/>
                <w:sz w:val="20"/>
              </w:rPr>
              <w:t xml:space="preserve">—The solid fuel index price is $1.50.  </w:t>
            </w:r>
          </w:p>
        </w:tc>
      </w:tr>
      <w:tr w:rsidR="00C236A2" w:rsidRPr="0013396E" w14:paraId="7A180BFA" w14:textId="77777777" w:rsidTr="000B7133">
        <w:tc>
          <w:tcPr>
            <w:tcW w:w="966" w:type="pct"/>
            <w:tcBorders>
              <w:top w:val="single" w:sz="6" w:space="0" w:color="auto"/>
              <w:left w:val="single" w:sz="4" w:space="0" w:color="auto"/>
              <w:bottom w:val="single" w:sz="6" w:space="0" w:color="auto"/>
              <w:right w:val="single" w:sz="6" w:space="0" w:color="auto"/>
            </w:tcBorders>
          </w:tcPr>
          <w:p w14:paraId="2B5C3E60" w14:textId="77777777" w:rsidR="00C236A2" w:rsidRPr="0013396E" w:rsidRDefault="00C236A2" w:rsidP="0099759E">
            <w:pPr>
              <w:spacing w:after="60"/>
              <w:rPr>
                <w:iCs/>
                <w:sz w:val="20"/>
              </w:rPr>
            </w:pPr>
            <w:r w:rsidRPr="0013396E">
              <w:rPr>
                <w:iCs/>
                <w:sz w:val="20"/>
              </w:rPr>
              <w:t xml:space="preserve">GASPEROL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0CD1A5A5"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61CC6A54" w14:textId="77777777" w:rsidR="00C236A2" w:rsidRPr="0013396E" w:rsidRDefault="00C236A2" w:rsidP="007C3E74">
            <w:pPr>
              <w:rPr>
                <w:i/>
                <w:iCs/>
                <w:sz w:val="20"/>
              </w:rPr>
            </w:pPr>
            <w:r w:rsidRPr="0013396E">
              <w:rPr>
                <w:i/>
                <w:iCs/>
                <w:sz w:val="20"/>
              </w:rPr>
              <w:t>Percent of Natural Gas to Operate Above LSL</w:t>
            </w:r>
            <w:r w:rsidRPr="0013396E">
              <w:rPr>
                <w:iCs/>
                <w:sz w:val="20"/>
              </w:rPr>
              <w:t xml:space="preserve">—The percentage of natural gas used by Resource </w:t>
            </w:r>
            <w:r w:rsidRPr="0013396E">
              <w:rPr>
                <w:i/>
                <w:iCs/>
                <w:sz w:val="20"/>
              </w:rPr>
              <w:t xml:space="preserve">r </w:t>
            </w:r>
            <w:r w:rsidRPr="0013396E">
              <w:rPr>
                <w:iCs/>
                <w:sz w:val="20"/>
              </w:rPr>
              <w:t xml:space="preserve">to operate above LSL,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4C238030" w14:textId="77777777" w:rsidTr="000B7133">
        <w:tc>
          <w:tcPr>
            <w:tcW w:w="966" w:type="pct"/>
            <w:tcBorders>
              <w:top w:val="single" w:sz="6" w:space="0" w:color="auto"/>
              <w:left w:val="single" w:sz="4" w:space="0" w:color="auto"/>
              <w:bottom w:val="single" w:sz="6" w:space="0" w:color="auto"/>
              <w:right w:val="single" w:sz="6" w:space="0" w:color="auto"/>
            </w:tcBorders>
          </w:tcPr>
          <w:p w14:paraId="07907281" w14:textId="77777777" w:rsidR="00C236A2" w:rsidRPr="0013396E" w:rsidRDefault="00C236A2" w:rsidP="0099759E">
            <w:pPr>
              <w:spacing w:after="60"/>
              <w:rPr>
                <w:iCs/>
                <w:sz w:val="20"/>
              </w:rPr>
            </w:pPr>
            <w:r w:rsidRPr="0013396E">
              <w:rPr>
                <w:iCs/>
                <w:sz w:val="20"/>
              </w:rPr>
              <w:t xml:space="preserve">OILPEROL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4B857BEE"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5AF034B9" w14:textId="77777777" w:rsidR="00C236A2" w:rsidRPr="0013396E" w:rsidRDefault="00C236A2" w:rsidP="007C3E74">
            <w:pPr>
              <w:rPr>
                <w:iCs/>
                <w:sz w:val="20"/>
              </w:rPr>
            </w:pPr>
            <w:r w:rsidRPr="0013396E">
              <w:rPr>
                <w:i/>
                <w:iCs/>
                <w:sz w:val="20"/>
              </w:rPr>
              <w:t>Percent of Oil to Operate Above LSL</w:t>
            </w:r>
            <w:r w:rsidRPr="0013396E">
              <w:rPr>
                <w:iCs/>
                <w:sz w:val="20"/>
              </w:rPr>
              <w:t xml:space="preserve">—The percentage of fuel oil used by Resource </w:t>
            </w:r>
            <w:r w:rsidRPr="0013396E">
              <w:rPr>
                <w:i/>
                <w:iCs/>
                <w:sz w:val="20"/>
              </w:rPr>
              <w:t xml:space="preserve">r </w:t>
            </w:r>
            <w:r w:rsidRPr="0013396E">
              <w:rPr>
                <w:iCs/>
                <w:sz w:val="20"/>
              </w:rPr>
              <w:t xml:space="preserve">to operate above LSL, as approved in the verifiable 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3E54F683" w14:textId="77777777" w:rsidTr="000B7133">
        <w:tc>
          <w:tcPr>
            <w:tcW w:w="966" w:type="pct"/>
            <w:tcBorders>
              <w:top w:val="single" w:sz="6" w:space="0" w:color="auto"/>
              <w:left w:val="single" w:sz="4" w:space="0" w:color="auto"/>
              <w:bottom w:val="single" w:sz="6" w:space="0" w:color="auto"/>
              <w:right w:val="single" w:sz="6" w:space="0" w:color="auto"/>
            </w:tcBorders>
          </w:tcPr>
          <w:p w14:paraId="08F98942" w14:textId="77777777" w:rsidR="00C236A2" w:rsidRPr="0013396E" w:rsidRDefault="00C236A2" w:rsidP="0099759E">
            <w:pPr>
              <w:spacing w:after="60"/>
              <w:rPr>
                <w:iCs/>
                <w:sz w:val="20"/>
              </w:rPr>
            </w:pPr>
            <w:r w:rsidRPr="0013396E">
              <w:rPr>
                <w:iCs/>
                <w:sz w:val="20"/>
              </w:rPr>
              <w:t xml:space="preserve">SFPEROL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tcPr>
          <w:p w14:paraId="681357F4"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49222792" w14:textId="77777777" w:rsidR="00C236A2" w:rsidRPr="0013396E" w:rsidRDefault="00C236A2" w:rsidP="007C3E74">
            <w:pPr>
              <w:rPr>
                <w:iCs/>
                <w:sz w:val="20"/>
              </w:rPr>
            </w:pPr>
            <w:r w:rsidRPr="0013396E">
              <w:rPr>
                <w:i/>
                <w:iCs/>
                <w:sz w:val="20"/>
              </w:rPr>
              <w:t>Percent of Solid Fuel to Operate Above LSL</w:t>
            </w:r>
            <w:r w:rsidRPr="0013396E">
              <w:rPr>
                <w:iCs/>
                <w:sz w:val="20"/>
              </w:rPr>
              <w:t xml:space="preserve">—The percentage of solid fuel used by Resource </w:t>
            </w:r>
            <w:r w:rsidRPr="0013396E">
              <w:rPr>
                <w:i/>
                <w:iCs/>
                <w:sz w:val="20"/>
              </w:rPr>
              <w:t>r</w:t>
            </w:r>
            <w:r w:rsidRPr="0013396E">
              <w:rPr>
                <w:iCs/>
                <w:sz w:val="20"/>
              </w:rPr>
              <w:t xml:space="preserve"> to operate above LSL, as approved in the verifiable </w:t>
            </w:r>
            <w:r w:rsidRPr="0013396E">
              <w:rPr>
                <w:iCs/>
                <w:sz w:val="20"/>
              </w:rPr>
              <w:lastRenderedPageBreak/>
              <w:t xml:space="preserve">cost process.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303C4675" w14:textId="77777777" w:rsidTr="000B7133">
        <w:tc>
          <w:tcPr>
            <w:tcW w:w="966" w:type="pct"/>
            <w:tcBorders>
              <w:top w:val="single" w:sz="6" w:space="0" w:color="auto"/>
              <w:left w:val="single" w:sz="4" w:space="0" w:color="auto"/>
              <w:bottom w:val="single" w:sz="6" w:space="0" w:color="auto"/>
              <w:right w:val="single" w:sz="6" w:space="0" w:color="auto"/>
            </w:tcBorders>
          </w:tcPr>
          <w:p w14:paraId="5C81DDB3" w14:textId="77777777" w:rsidR="00C236A2" w:rsidRPr="0013396E" w:rsidRDefault="00C236A2" w:rsidP="0099759E">
            <w:pPr>
              <w:spacing w:after="60"/>
              <w:rPr>
                <w:iCs/>
                <w:sz w:val="20"/>
              </w:rPr>
            </w:pPr>
            <w:r w:rsidRPr="0013396E">
              <w:rPr>
                <w:iCs/>
                <w:sz w:val="20"/>
              </w:rPr>
              <w:lastRenderedPageBreak/>
              <w:t xml:space="preserve">ADJSWSUC </w:t>
            </w:r>
            <w:r w:rsidRPr="0013396E">
              <w:rPr>
                <w:i/>
                <w:iCs/>
                <w:sz w:val="20"/>
                <w:vertAlign w:val="subscript"/>
              </w:rPr>
              <w:t>q, r, d</w:t>
            </w:r>
          </w:p>
        </w:tc>
        <w:tc>
          <w:tcPr>
            <w:tcW w:w="692" w:type="pct"/>
            <w:tcBorders>
              <w:top w:val="single" w:sz="6" w:space="0" w:color="auto"/>
              <w:left w:val="single" w:sz="6" w:space="0" w:color="auto"/>
              <w:bottom w:val="single" w:sz="6" w:space="0" w:color="auto"/>
              <w:right w:val="single" w:sz="6" w:space="0" w:color="auto"/>
            </w:tcBorders>
          </w:tcPr>
          <w:p w14:paraId="7D22FB42"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420E0E02" w14:textId="77777777" w:rsidR="00C236A2" w:rsidRPr="0013396E" w:rsidRDefault="00C236A2" w:rsidP="007C3E74">
            <w:pPr>
              <w:rPr>
                <w:iCs/>
                <w:sz w:val="20"/>
              </w:rPr>
            </w:pPr>
            <w:r w:rsidRPr="0013396E">
              <w:rPr>
                <w:i/>
                <w:iCs/>
                <w:sz w:val="20"/>
              </w:rPr>
              <w:t>Adjustment to Switchable Generation</w:t>
            </w:r>
            <w:r w:rsidRPr="0013396E">
              <w:rPr>
                <w:iCs/>
                <w:sz w:val="20"/>
              </w:rPr>
              <w:t xml:space="preserve"> </w:t>
            </w:r>
            <w:r w:rsidRPr="0013396E">
              <w:rPr>
                <w:i/>
                <w:iCs/>
                <w:sz w:val="20"/>
              </w:rPr>
              <w:t xml:space="preserve">Start-Up Cost </w:t>
            </w:r>
            <w:r w:rsidRPr="0013396E">
              <w:rPr>
                <w:iCs/>
                <w:sz w:val="20"/>
              </w:rPr>
              <w:t xml:space="preserve">— Adjustment to Switchable Generation Start-up Cost for Resource </w:t>
            </w:r>
            <w:r w:rsidRPr="0013396E">
              <w:rPr>
                <w:i/>
                <w:iCs/>
                <w:sz w:val="20"/>
              </w:rPr>
              <w:t xml:space="preserve">r </w:t>
            </w:r>
            <w:r w:rsidRPr="0013396E">
              <w:rPr>
                <w:iCs/>
                <w:sz w:val="20"/>
              </w:rPr>
              <w:t>represented by QSE</w:t>
            </w:r>
            <w:r w:rsidRPr="0013396E">
              <w:rPr>
                <w:i/>
                <w:iCs/>
                <w:sz w:val="20"/>
              </w:rPr>
              <w:t xml:space="preserve"> q</w:t>
            </w:r>
            <w:r w:rsidRPr="0013396E">
              <w:rPr>
                <w:iCs/>
                <w:sz w:val="20"/>
              </w:rPr>
              <w:t xml:space="preserve">, for the Operating Day </w:t>
            </w:r>
            <w:r w:rsidRPr="0013396E">
              <w:rPr>
                <w:i/>
                <w:iCs/>
                <w:sz w:val="20"/>
              </w:rPr>
              <w:t>d</w:t>
            </w:r>
            <w:r w:rsidRPr="0013396E">
              <w:rPr>
                <w:iCs/>
                <w:sz w:val="20"/>
              </w:rPr>
              <w:t xml:space="preserve">.  Where for a Combined Cycle Train, the Resource </w:t>
            </w:r>
            <w:r w:rsidRPr="0013396E">
              <w:rPr>
                <w:i/>
                <w:iCs/>
                <w:sz w:val="20"/>
              </w:rPr>
              <w:t xml:space="preserve">r </w:t>
            </w:r>
            <w:r w:rsidRPr="0013396E">
              <w:rPr>
                <w:iCs/>
                <w:sz w:val="20"/>
              </w:rPr>
              <w:t>is the Combined Cycle Train.  This adjustment may include eligible startup transition costs for a Combined Cycle Train or costs for any SWGR not captured in other billing determinants.</w:t>
            </w:r>
          </w:p>
        </w:tc>
      </w:tr>
      <w:tr w:rsidR="00C236A2" w:rsidRPr="0013396E" w14:paraId="1B6F24C9" w14:textId="77777777" w:rsidTr="000B7133">
        <w:tc>
          <w:tcPr>
            <w:tcW w:w="966" w:type="pct"/>
            <w:tcBorders>
              <w:top w:val="single" w:sz="6" w:space="0" w:color="auto"/>
              <w:left w:val="single" w:sz="4" w:space="0" w:color="auto"/>
              <w:bottom w:val="single" w:sz="6" w:space="0" w:color="auto"/>
              <w:right w:val="single" w:sz="6" w:space="0" w:color="auto"/>
            </w:tcBorders>
          </w:tcPr>
          <w:p w14:paraId="1367C748" w14:textId="77777777" w:rsidR="00C236A2" w:rsidRPr="0013396E" w:rsidRDefault="00C236A2" w:rsidP="0099759E">
            <w:pPr>
              <w:spacing w:after="60"/>
              <w:rPr>
                <w:iCs/>
                <w:sz w:val="20"/>
              </w:rPr>
            </w:pPr>
            <w:r w:rsidRPr="0013396E">
              <w:rPr>
                <w:iCs/>
                <w:sz w:val="20"/>
              </w:rPr>
              <w:t xml:space="preserve">RCGSC </w:t>
            </w:r>
            <w:r w:rsidRPr="0013396E">
              <w:rPr>
                <w:iCs/>
                <w:sz w:val="20"/>
                <w:vertAlign w:val="subscript"/>
              </w:rPr>
              <w:t xml:space="preserve">s, </w:t>
            </w:r>
            <w:r w:rsidRPr="0013396E">
              <w:rPr>
                <w:i/>
                <w:iCs/>
                <w:sz w:val="20"/>
                <w:vertAlign w:val="subscript"/>
              </w:rPr>
              <w:t>rc</w:t>
            </w:r>
          </w:p>
        </w:tc>
        <w:tc>
          <w:tcPr>
            <w:tcW w:w="692" w:type="pct"/>
            <w:tcBorders>
              <w:top w:val="single" w:sz="6" w:space="0" w:color="auto"/>
              <w:left w:val="single" w:sz="6" w:space="0" w:color="auto"/>
              <w:bottom w:val="single" w:sz="6" w:space="0" w:color="auto"/>
              <w:right w:val="single" w:sz="6" w:space="0" w:color="auto"/>
            </w:tcBorders>
          </w:tcPr>
          <w:p w14:paraId="0F54C14B" w14:textId="77777777" w:rsidR="00C236A2" w:rsidRPr="0013396E" w:rsidRDefault="00C236A2" w:rsidP="0099759E">
            <w:pPr>
              <w:spacing w:after="60"/>
              <w:rPr>
                <w:iCs/>
                <w:sz w:val="20"/>
              </w:rPr>
            </w:pPr>
            <w:r w:rsidRPr="0013396E">
              <w:rPr>
                <w:iCs/>
                <w:sz w:val="20"/>
              </w:rPr>
              <w:t>$/Start</w:t>
            </w:r>
          </w:p>
        </w:tc>
        <w:tc>
          <w:tcPr>
            <w:tcW w:w="3342" w:type="pct"/>
            <w:tcBorders>
              <w:top w:val="single" w:sz="6" w:space="0" w:color="auto"/>
              <w:left w:val="single" w:sz="6" w:space="0" w:color="auto"/>
              <w:bottom w:val="single" w:sz="6" w:space="0" w:color="auto"/>
              <w:right w:val="single" w:sz="4" w:space="0" w:color="auto"/>
            </w:tcBorders>
          </w:tcPr>
          <w:p w14:paraId="41880D33" w14:textId="77777777" w:rsidR="00C236A2" w:rsidRPr="0013396E" w:rsidRDefault="00C236A2" w:rsidP="007C3E74">
            <w:pPr>
              <w:rPr>
                <w:i/>
                <w:iCs/>
                <w:sz w:val="20"/>
              </w:rPr>
            </w:pPr>
            <w:r w:rsidRPr="0013396E">
              <w:rPr>
                <w:i/>
                <w:iCs/>
                <w:sz w:val="20"/>
              </w:rPr>
              <w:t>Resource Category Generic Startup Cost</w:t>
            </w:r>
            <w:r w:rsidRPr="0013396E">
              <w:rPr>
                <w:iCs/>
                <w:sz w:val="20"/>
              </w:rPr>
              <w:t xml:space="preserve">—The Resource Category Generic Startup Cost cap for the category of the Resource </w:t>
            </w:r>
            <w:r w:rsidRPr="0013396E">
              <w:rPr>
                <w:i/>
                <w:iCs/>
                <w:sz w:val="20"/>
              </w:rPr>
              <w:t>rc</w:t>
            </w:r>
            <w:r w:rsidRPr="0013396E">
              <w:rPr>
                <w:iCs/>
                <w:sz w:val="20"/>
              </w:rPr>
              <w:t>, according to Section 4.4.9.2.3, Startup Offer and Minimum-Energy Offer Generic Caps, for the Operating Day.</w:t>
            </w:r>
          </w:p>
        </w:tc>
      </w:tr>
      <w:tr w:rsidR="00C236A2" w:rsidRPr="0013396E" w14:paraId="4456B0EE" w14:textId="77777777" w:rsidTr="000B7133">
        <w:tc>
          <w:tcPr>
            <w:tcW w:w="966" w:type="pct"/>
            <w:tcBorders>
              <w:top w:val="single" w:sz="6" w:space="0" w:color="auto"/>
              <w:left w:val="single" w:sz="4" w:space="0" w:color="auto"/>
              <w:bottom w:val="single" w:sz="6" w:space="0" w:color="auto"/>
              <w:right w:val="single" w:sz="6" w:space="0" w:color="auto"/>
            </w:tcBorders>
          </w:tcPr>
          <w:p w14:paraId="11E302E5" w14:textId="77777777" w:rsidR="00C236A2" w:rsidRPr="0013396E" w:rsidRDefault="00C236A2" w:rsidP="0099759E">
            <w:pPr>
              <w:spacing w:after="60"/>
              <w:rPr>
                <w:iCs/>
                <w:sz w:val="20"/>
              </w:rPr>
            </w:pPr>
            <w:r w:rsidRPr="0013396E">
              <w:rPr>
                <w:iCs/>
                <w:sz w:val="20"/>
              </w:rPr>
              <w:t xml:space="preserve">RCGMEC </w:t>
            </w:r>
            <w:r w:rsidRPr="0013396E">
              <w:rPr>
                <w:i/>
                <w:iCs/>
                <w:sz w:val="20"/>
                <w:vertAlign w:val="subscript"/>
              </w:rPr>
              <w:t>i, rc</w:t>
            </w:r>
          </w:p>
        </w:tc>
        <w:tc>
          <w:tcPr>
            <w:tcW w:w="692" w:type="pct"/>
            <w:tcBorders>
              <w:top w:val="single" w:sz="6" w:space="0" w:color="auto"/>
              <w:left w:val="single" w:sz="6" w:space="0" w:color="auto"/>
              <w:bottom w:val="single" w:sz="6" w:space="0" w:color="auto"/>
              <w:right w:val="single" w:sz="6" w:space="0" w:color="auto"/>
            </w:tcBorders>
          </w:tcPr>
          <w:p w14:paraId="4CF2D6CB" w14:textId="77777777" w:rsidR="00C236A2" w:rsidRPr="0013396E" w:rsidRDefault="00C236A2" w:rsidP="0099759E">
            <w:pPr>
              <w:spacing w:after="60"/>
              <w:rPr>
                <w:iCs/>
                <w:sz w:val="20"/>
              </w:rPr>
            </w:pPr>
            <w:r w:rsidRPr="0013396E">
              <w:rPr>
                <w:iCs/>
                <w:sz w:val="20"/>
              </w:rPr>
              <w:t>$/MWh</w:t>
            </w:r>
          </w:p>
        </w:tc>
        <w:tc>
          <w:tcPr>
            <w:tcW w:w="3342" w:type="pct"/>
            <w:tcBorders>
              <w:top w:val="single" w:sz="6" w:space="0" w:color="auto"/>
              <w:left w:val="single" w:sz="6" w:space="0" w:color="auto"/>
              <w:bottom w:val="single" w:sz="6" w:space="0" w:color="auto"/>
              <w:right w:val="single" w:sz="4" w:space="0" w:color="auto"/>
            </w:tcBorders>
          </w:tcPr>
          <w:p w14:paraId="1B270E27" w14:textId="77777777" w:rsidR="00C236A2" w:rsidRPr="0013396E" w:rsidRDefault="00C236A2" w:rsidP="007C3E74">
            <w:pPr>
              <w:rPr>
                <w:iCs/>
                <w:sz w:val="20"/>
              </w:rPr>
            </w:pPr>
            <w:r w:rsidRPr="0013396E">
              <w:rPr>
                <w:i/>
                <w:iCs/>
                <w:sz w:val="20"/>
              </w:rPr>
              <w:t>Resource Category Generic Minimum-Energy Cost</w:t>
            </w:r>
            <w:r w:rsidRPr="0013396E">
              <w:rPr>
                <w:iCs/>
                <w:sz w:val="20"/>
              </w:rPr>
              <w:t xml:space="preserve">—The Resource Category Generic Minimum Energy Cost cap for the category of the Resource </w:t>
            </w:r>
            <w:r w:rsidRPr="0013396E">
              <w:rPr>
                <w:i/>
                <w:iCs/>
                <w:sz w:val="20"/>
              </w:rPr>
              <w:t>rc</w:t>
            </w:r>
            <w:r w:rsidRPr="0013396E">
              <w:rPr>
                <w:iCs/>
                <w:sz w:val="20"/>
              </w:rPr>
              <w:t>, according to Section 4.4.9.2.3, for the Operating Day.</w:t>
            </w:r>
          </w:p>
        </w:tc>
      </w:tr>
      <w:tr w:rsidR="00C236A2" w:rsidRPr="0013396E" w14:paraId="0D6348AF" w14:textId="77777777" w:rsidTr="000B7133">
        <w:tc>
          <w:tcPr>
            <w:tcW w:w="966" w:type="pct"/>
            <w:tcBorders>
              <w:top w:val="single" w:sz="6" w:space="0" w:color="auto"/>
              <w:left w:val="single" w:sz="4" w:space="0" w:color="auto"/>
              <w:bottom w:val="single" w:sz="6" w:space="0" w:color="auto"/>
              <w:right w:val="single" w:sz="6" w:space="0" w:color="auto"/>
            </w:tcBorders>
          </w:tcPr>
          <w:p w14:paraId="4CCE6E3B" w14:textId="77777777" w:rsidR="00C236A2" w:rsidRPr="0013396E" w:rsidRDefault="00C236A2" w:rsidP="0099759E">
            <w:pPr>
              <w:spacing w:after="60"/>
              <w:rPr>
                <w:iCs/>
                <w:sz w:val="20"/>
              </w:rPr>
            </w:pPr>
            <w:r w:rsidRPr="0013396E">
              <w:rPr>
                <w:iCs/>
                <w:sz w:val="20"/>
              </w:rPr>
              <w:t xml:space="preserve">PAHR </w:t>
            </w:r>
            <w:r w:rsidRPr="0013396E">
              <w:rPr>
                <w:i/>
                <w:iCs/>
                <w:sz w:val="20"/>
                <w:vertAlign w:val="subscript"/>
              </w:rPr>
              <w:t>r, i</w:t>
            </w:r>
          </w:p>
        </w:tc>
        <w:tc>
          <w:tcPr>
            <w:tcW w:w="692" w:type="pct"/>
            <w:tcBorders>
              <w:top w:val="single" w:sz="6" w:space="0" w:color="auto"/>
              <w:left w:val="single" w:sz="6" w:space="0" w:color="auto"/>
              <w:bottom w:val="single" w:sz="6" w:space="0" w:color="auto"/>
              <w:right w:val="single" w:sz="6" w:space="0" w:color="auto"/>
            </w:tcBorders>
          </w:tcPr>
          <w:p w14:paraId="2667AA1F" w14:textId="77777777" w:rsidR="00C236A2" w:rsidRPr="0013396E" w:rsidRDefault="00C236A2" w:rsidP="0099759E">
            <w:pPr>
              <w:spacing w:after="60"/>
              <w:rPr>
                <w:iCs/>
                <w:sz w:val="20"/>
              </w:rPr>
            </w:pPr>
            <w:r w:rsidRPr="0013396E">
              <w:rPr>
                <w:iCs/>
                <w:sz w:val="20"/>
              </w:rPr>
              <w:t>MMBtu / MWh</w:t>
            </w:r>
          </w:p>
        </w:tc>
        <w:tc>
          <w:tcPr>
            <w:tcW w:w="3342" w:type="pct"/>
            <w:tcBorders>
              <w:top w:val="single" w:sz="6" w:space="0" w:color="auto"/>
              <w:left w:val="single" w:sz="6" w:space="0" w:color="auto"/>
              <w:bottom w:val="single" w:sz="6" w:space="0" w:color="auto"/>
              <w:right w:val="single" w:sz="4" w:space="0" w:color="auto"/>
            </w:tcBorders>
          </w:tcPr>
          <w:p w14:paraId="71F6352F" w14:textId="77777777" w:rsidR="00C236A2" w:rsidRPr="0013396E" w:rsidRDefault="00C236A2" w:rsidP="007C3E74">
            <w:pPr>
              <w:rPr>
                <w:i/>
                <w:iCs/>
                <w:sz w:val="20"/>
              </w:rPr>
            </w:pPr>
            <w:r w:rsidRPr="0013396E">
              <w:rPr>
                <w:i/>
                <w:iCs/>
                <w:sz w:val="20"/>
              </w:rPr>
              <w:t>Proxy Average Heat Rate-</w:t>
            </w:r>
            <w:r w:rsidRPr="0013396E">
              <w:rPr>
                <w:iCs/>
                <w:sz w:val="20"/>
              </w:rPr>
              <w:t xml:space="preserve"> The proxy average heat rate for the Resource </w:t>
            </w:r>
            <w:r w:rsidRPr="0013396E">
              <w:rPr>
                <w:i/>
                <w:iCs/>
                <w:sz w:val="20"/>
              </w:rPr>
              <w:t>r</w:t>
            </w:r>
            <w:r w:rsidRPr="0013396E">
              <w:rPr>
                <w:iCs/>
                <w:sz w:val="20"/>
              </w:rPr>
              <w:t xml:space="preserve"> for the 15-minute Settlement Interval </w:t>
            </w:r>
            <w:r w:rsidRPr="0013396E">
              <w:rPr>
                <w:i/>
                <w:iCs/>
                <w:sz w:val="20"/>
              </w:rPr>
              <w:t>i</w:t>
            </w:r>
            <w:r w:rsidRPr="0013396E">
              <w:rPr>
                <w:iCs/>
                <w:sz w:val="20"/>
              </w:rPr>
              <w:t xml:space="preserve">.  Where for a Combined Cycle Train, the Resource </w:t>
            </w:r>
            <w:r w:rsidRPr="0013396E">
              <w:rPr>
                <w:i/>
                <w:iCs/>
                <w:sz w:val="20"/>
              </w:rPr>
              <w:t>r</w:t>
            </w:r>
            <w:r w:rsidRPr="0013396E">
              <w:rPr>
                <w:iCs/>
                <w:sz w:val="20"/>
              </w:rPr>
              <w:t xml:space="preserve"> is a Combined Cycle Generation Resource within the Combined Cycle Train.</w:t>
            </w:r>
          </w:p>
        </w:tc>
      </w:tr>
      <w:tr w:rsidR="00C236A2" w:rsidRPr="0013396E" w14:paraId="1B9A1428" w14:textId="77777777" w:rsidTr="000B7133">
        <w:tc>
          <w:tcPr>
            <w:tcW w:w="966" w:type="pct"/>
            <w:tcBorders>
              <w:top w:val="single" w:sz="6" w:space="0" w:color="auto"/>
              <w:left w:val="single" w:sz="4" w:space="0" w:color="auto"/>
              <w:bottom w:val="single" w:sz="6" w:space="0" w:color="auto"/>
              <w:right w:val="single" w:sz="6" w:space="0" w:color="auto"/>
            </w:tcBorders>
            <w:hideMark/>
          </w:tcPr>
          <w:p w14:paraId="34E817C0" w14:textId="77777777" w:rsidR="00C236A2" w:rsidRPr="0013396E" w:rsidRDefault="00C236A2" w:rsidP="0099759E">
            <w:pPr>
              <w:spacing w:after="60"/>
              <w:rPr>
                <w:iCs/>
                <w:sz w:val="20"/>
              </w:rPr>
            </w:pPr>
            <w:r w:rsidRPr="0013396E">
              <w:rPr>
                <w:iCs/>
                <w:sz w:val="20"/>
              </w:rPr>
              <w:t xml:space="preserve">STOM </w:t>
            </w:r>
            <w:r w:rsidRPr="0013396E">
              <w:rPr>
                <w:i/>
                <w:iCs/>
                <w:sz w:val="20"/>
                <w:vertAlign w:val="subscript"/>
              </w:rPr>
              <w:t>rc</w:t>
            </w:r>
            <w:r w:rsidRPr="0013396E">
              <w:rPr>
                <w:iCs/>
                <w:sz w:val="20"/>
                <w:vertAlign w:val="subscript"/>
              </w:rPr>
              <w:t xml:space="preserve"> </w:t>
            </w:r>
          </w:p>
        </w:tc>
        <w:tc>
          <w:tcPr>
            <w:tcW w:w="692" w:type="pct"/>
            <w:tcBorders>
              <w:top w:val="single" w:sz="6" w:space="0" w:color="auto"/>
              <w:left w:val="single" w:sz="6" w:space="0" w:color="auto"/>
              <w:bottom w:val="single" w:sz="6" w:space="0" w:color="auto"/>
              <w:right w:val="single" w:sz="6" w:space="0" w:color="auto"/>
            </w:tcBorders>
            <w:hideMark/>
          </w:tcPr>
          <w:p w14:paraId="46E3E0BD" w14:textId="77777777" w:rsidR="00C236A2" w:rsidRPr="0013396E" w:rsidRDefault="00C236A2" w:rsidP="0099759E">
            <w:pPr>
              <w:spacing w:after="60"/>
              <w:rPr>
                <w:iCs/>
                <w:sz w:val="20"/>
              </w:rPr>
            </w:pPr>
            <w:r w:rsidRPr="0013396E">
              <w:rPr>
                <w:iCs/>
                <w:sz w:val="20"/>
              </w:rPr>
              <w:t>$/MWh</w:t>
            </w:r>
          </w:p>
        </w:tc>
        <w:tc>
          <w:tcPr>
            <w:tcW w:w="3342" w:type="pct"/>
            <w:tcBorders>
              <w:top w:val="single" w:sz="6" w:space="0" w:color="auto"/>
              <w:left w:val="single" w:sz="6" w:space="0" w:color="auto"/>
              <w:bottom w:val="single" w:sz="6" w:space="0" w:color="auto"/>
              <w:right w:val="single" w:sz="4" w:space="0" w:color="auto"/>
            </w:tcBorders>
            <w:hideMark/>
          </w:tcPr>
          <w:p w14:paraId="2F319125" w14:textId="77777777" w:rsidR="00C236A2" w:rsidRPr="0013396E" w:rsidRDefault="00C236A2" w:rsidP="007C3E74">
            <w:pPr>
              <w:rPr>
                <w:iCs/>
                <w:sz w:val="20"/>
              </w:rPr>
            </w:pPr>
            <w:r w:rsidRPr="0013396E">
              <w:rPr>
                <w:i/>
                <w:iCs/>
                <w:sz w:val="20"/>
              </w:rPr>
              <w:t xml:space="preserve">Standard Operations and Maintenance Cost - </w:t>
            </w:r>
            <w:r w:rsidRPr="0013396E">
              <w:rPr>
                <w:iCs/>
                <w:sz w:val="20"/>
              </w:rPr>
              <w:t xml:space="preserve">The standard O&amp;M cost for the Resource Category </w:t>
            </w:r>
            <w:r w:rsidRPr="0013396E">
              <w:rPr>
                <w:i/>
                <w:iCs/>
                <w:sz w:val="20"/>
              </w:rPr>
              <w:t>rc</w:t>
            </w:r>
            <w:r w:rsidRPr="0013396E">
              <w:rPr>
                <w:iCs/>
                <w:sz w:val="20"/>
              </w:rPr>
              <w:t xml:space="preserve"> for operations above LSL, shall be set to the minimum energy variable O&amp;M costs, as described in paragraph (6)(c) of Section 5.6.1, Verifiable Costs.  </w:t>
            </w:r>
          </w:p>
        </w:tc>
      </w:tr>
      <w:tr w:rsidR="00C236A2" w:rsidRPr="0013396E" w14:paraId="792D4734" w14:textId="77777777" w:rsidTr="000B7133">
        <w:tc>
          <w:tcPr>
            <w:tcW w:w="966" w:type="pct"/>
            <w:tcBorders>
              <w:top w:val="single" w:sz="6" w:space="0" w:color="auto"/>
              <w:left w:val="single" w:sz="4" w:space="0" w:color="auto"/>
              <w:bottom w:val="single" w:sz="6" w:space="0" w:color="auto"/>
              <w:right w:val="single" w:sz="6" w:space="0" w:color="auto"/>
            </w:tcBorders>
          </w:tcPr>
          <w:p w14:paraId="01040299" w14:textId="77777777" w:rsidR="00C236A2" w:rsidRPr="0013396E" w:rsidRDefault="00C236A2" w:rsidP="0099759E">
            <w:pPr>
              <w:spacing w:after="60"/>
              <w:rPr>
                <w:iCs/>
                <w:sz w:val="20"/>
              </w:rPr>
            </w:pPr>
            <w:r w:rsidRPr="0013396E">
              <w:rPr>
                <w:iCs/>
                <w:sz w:val="20"/>
              </w:rPr>
              <w:t xml:space="preserve">RTSPP </w:t>
            </w:r>
            <w:r w:rsidRPr="0013396E">
              <w:rPr>
                <w:i/>
                <w:iCs/>
                <w:sz w:val="20"/>
                <w:vertAlign w:val="subscript"/>
              </w:rPr>
              <w:t>p, i</w:t>
            </w:r>
          </w:p>
        </w:tc>
        <w:tc>
          <w:tcPr>
            <w:tcW w:w="692" w:type="pct"/>
            <w:tcBorders>
              <w:top w:val="single" w:sz="6" w:space="0" w:color="auto"/>
              <w:left w:val="single" w:sz="6" w:space="0" w:color="auto"/>
              <w:bottom w:val="single" w:sz="6" w:space="0" w:color="auto"/>
              <w:right w:val="single" w:sz="6" w:space="0" w:color="auto"/>
            </w:tcBorders>
          </w:tcPr>
          <w:p w14:paraId="11E466AD" w14:textId="77777777" w:rsidR="00C236A2" w:rsidRPr="0013396E" w:rsidRDefault="00C236A2" w:rsidP="0099759E">
            <w:pPr>
              <w:spacing w:after="60"/>
              <w:rPr>
                <w:iCs/>
                <w:sz w:val="20"/>
              </w:rPr>
            </w:pPr>
            <w:r w:rsidRPr="0013396E">
              <w:rPr>
                <w:iCs/>
                <w:sz w:val="20"/>
              </w:rPr>
              <w:t>$/MWh</w:t>
            </w:r>
          </w:p>
        </w:tc>
        <w:tc>
          <w:tcPr>
            <w:tcW w:w="3342" w:type="pct"/>
            <w:tcBorders>
              <w:top w:val="single" w:sz="6" w:space="0" w:color="auto"/>
              <w:left w:val="single" w:sz="6" w:space="0" w:color="auto"/>
              <w:bottom w:val="single" w:sz="6" w:space="0" w:color="auto"/>
              <w:right w:val="single" w:sz="4" w:space="0" w:color="auto"/>
            </w:tcBorders>
          </w:tcPr>
          <w:p w14:paraId="0243AC15" w14:textId="77777777" w:rsidR="00C236A2" w:rsidRPr="0013396E" w:rsidRDefault="00C236A2" w:rsidP="007C3E74">
            <w:pPr>
              <w:rPr>
                <w:i/>
                <w:iCs/>
                <w:sz w:val="20"/>
              </w:rPr>
            </w:pPr>
            <w:r w:rsidRPr="0013396E">
              <w:rPr>
                <w:i/>
                <w:iCs/>
                <w:sz w:val="20"/>
              </w:rPr>
              <w:t>Real-Time Settlement Point Price</w:t>
            </w:r>
            <w:r w:rsidRPr="0013396E">
              <w:rPr>
                <w:iCs/>
                <w:sz w:val="20"/>
              </w:rPr>
              <w:t xml:space="preserve">—The Real-Time Settlement Point Price at Settlement Point </w:t>
            </w:r>
            <w:r w:rsidRPr="0013396E">
              <w:rPr>
                <w:i/>
                <w:iCs/>
                <w:sz w:val="20"/>
              </w:rPr>
              <w:t>p</w:t>
            </w:r>
            <w:r w:rsidRPr="0013396E">
              <w:rPr>
                <w:iCs/>
                <w:sz w:val="20"/>
              </w:rPr>
              <w:t xml:space="preserve">, for the 15-minute Settlement Interval </w:t>
            </w:r>
            <w:r w:rsidRPr="0013396E">
              <w:rPr>
                <w:i/>
                <w:iCs/>
                <w:sz w:val="20"/>
              </w:rPr>
              <w:t>i</w:t>
            </w:r>
            <w:r w:rsidRPr="0013396E">
              <w:rPr>
                <w:iCs/>
                <w:sz w:val="20"/>
              </w:rPr>
              <w:t>.</w:t>
            </w:r>
          </w:p>
        </w:tc>
      </w:tr>
      <w:tr w:rsidR="00C236A2" w:rsidRPr="0013396E" w14:paraId="2C7CC92C" w14:textId="77777777" w:rsidTr="000B7133">
        <w:tc>
          <w:tcPr>
            <w:tcW w:w="966" w:type="pct"/>
            <w:tcBorders>
              <w:top w:val="single" w:sz="6" w:space="0" w:color="auto"/>
              <w:left w:val="single" w:sz="4" w:space="0" w:color="auto"/>
              <w:bottom w:val="single" w:sz="6" w:space="0" w:color="auto"/>
              <w:right w:val="single" w:sz="6" w:space="0" w:color="auto"/>
            </w:tcBorders>
          </w:tcPr>
          <w:p w14:paraId="59118679" w14:textId="77777777" w:rsidR="00C236A2" w:rsidRPr="0013396E" w:rsidRDefault="00C236A2" w:rsidP="0099759E">
            <w:pPr>
              <w:spacing w:after="60"/>
              <w:rPr>
                <w:iCs/>
                <w:sz w:val="20"/>
              </w:rPr>
            </w:pPr>
            <w:r w:rsidRPr="0013396E">
              <w:rPr>
                <w:iCs/>
                <w:sz w:val="20"/>
              </w:rPr>
              <w:t>FIP</w:t>
            </w:r>
          </w:p>
        </w:tc>
        <w:tc>
          <w:tcPr>
            <w:tcW w:w="692" w:type="pct"/>
            <w:tcBorders>
              <w:top w:val="single" w:sz="6" w:space="0" w:color="auto"/>
              <w:left w:val="single" w:sz="6" w:space="0" w:color="auto"/>
              <w:bottom w:val="single" w:sz="6" w:space="0" w:color="auto"/>
              <w:right w:val="single" w:sz="6" w:space="0" w:color="auto"/>
            </w:tcBorders>
          </w:tcPr>
          <w:p w14:paraId="1060AA66" w14:textId="77777777" w:rsidR="00C236A2" w:rsidRPr="0013396E" w:rsidRDefault="00C236A2" w:rsidP="0099759E">
            <w:pPr>
              <w:spacing w:after="60"/>
              <w:rPr>
                <w:iCs/>
                <w:sz w:val="20"/>
              </w:rPr>
            </w:pPr>
            <w:r w:rsidRPr="0013396E">
              <w:rPr>
                <w:iCs/>
                <w:sz w:val="20"/>
              </w:rPr>
              <w:t>$/MMBtu</w:t>
            </w:r>
          </w:p>
        </w:tc>
        <w:tc>
          <w:tcPr>
            <w:tcW w:w="3342" w:type="pct"/>
            <w:tcBorders>
              <w:top w:val="single" w:sz="6" w:space="0" w:color="auto"/>
              <w:left w:val="single" w:sz="6" w:space="0" w:color="auto"/>
              <w:bottom w:val="single" w:sz="6" w:space="0" w:color="auto"/>
              <w:right w:val="single" w:sz="4" w:space="0" w:color="auto"/>
            </w:tcBorders>
          </w:tcPr>
          <w:p w14:paraId="6775C7BF" w14:textId="77777777" w:rsidR="00C236A2" w:rsidRPr="0013396E" w:rsidRDefault="00C236A2" w:rsidP="007C3E74">
            <w:pPr>
              <w:rPr>
                <w:i/>
                <w:iCs/>
                <w:sz w:val="20"/>
              </w:rPr>
            </w:pPr>
            <w:r w:rsidRPr="0013396E">
              <w:rPr>
                <w:i/>
                <w:iCs/>
                <w:sz w:val="20"/>
              </w:rPr>
              <w:t>Fuel Index Price</w:t>
            </w:r>
            <w:r w:rsidRPr="0013396E">
              <w:rPr>
                <w:iCs/>
                <w:sz w:val="20"/>
              </w:rPr>
              <w:t>—As defined in Section 2.1, Definitions.</w:t>
            </w:r>
          </w:p>
        </w:tc>
      </w:tr>
      <w:tr w:rsidR="00C236A2" w:rsidRPr="0013396E" w14:paraId="6EDB5E67" w14:textId="77777777" w:rsidTr="000B7133">
        <w:tc>
          <w:tcPr>
            <w:tcW w:w="966" w:type="pct"/>
            <w:tcBorders>
              <w:top w:val="single" w:sz="6" w:space="0" w:color="auto"/>
              <w:left w:val="single" w:sz="4" w:space="0" w:color="auto"/>
              <w:bottom w:val="single" w:sz="6" w:space="0" w:color="auto"/>
              <w:right w:val="single" w:sz="6" w:space="0" w:color="auto"/>
            </w:tcBorders>
          </w:tcPr>
          <w:p w14:paraId="4A3E6E35" w14:textId="77777777" w:rsidR="00C236A2" w:rsidRPr="0013396E" w:rsidRDefault="00C236A2" w:rsidP="0099759E">
            <w:pPr>
              <w:spacing w:after="60"/>
              <w:rPr>
                <w:iCs/>
                <w:sz w:val="20"/>
              </w:rPr>
            </w:pPr>
            <w:r w:rsidRPr="0013396E">
              <w:rPr>
                <w:iCs/>
                <w:sz w:val="20"/>
              </w:rPr>
              <w:t>FOP</w:t>
            </w:r>
          </w:p>
        </w:tc>
        <w:tc>
          <w:tcPr>
            <w:tcW w:w="692" w:type="pct"/>
            <w:tcBorders>
              <w:top w:val="single" w:sz="6" w:space="0" w:color="auto"/>
              <w:left w:val="single" w:sz="6" w:space="0" w:color="auto"/>
              <w:bottom w:val="single" w:sz="6" w:space="0" w:color="auto"/>
              <w:right w:val="single" w:sz="6" w:space="0" w:color="auto"/>
            </w:tcBorders>
          </w:tcPr>
          <w:p w14:paraId="5816BD32" w14:textId="77777777" w:rsidR="00C236A2" w:rsidRPr="0013396E" w:rsidRDefault="00C236A2" w:rsidP="0099759E">
            <w:pPr>
              <w:spacing w:after="60"/>
              <w:rPr>
                <w:iCs/>
                <w:sz w:val="20"/>
              </w:rPr>
            </w:pPr>
            <w:r w:rsidRPr="0013396E">
              <w:rPr>
                <w:iCs/>
                <w:sz w:val="20"/>
              </w:rPr>
              <w:t>$/MMBtu</w:t>
            </w:r>
          </w:p>
        </w:tc>
        <w:tc>
          <w:tcPr>
            <w:tcW w:w="3342" w:type="pct"/>
            <w:tcBorders>
              <w:top w:val="single" w:sz="6" w:space="0" w:color="auto"/>
              <w:left w:val="single" w:sz="6" w:space="0" w:color="auto"/>
              <w:bottom w:val="single" w:sz="6" w:space="0" w:color="auto"/>
              <w:right w:val="single" w:sz="4" w:space="0" w:color="auto"/>
            </w:tcBorders>
          </w:tcPr>
          <w:p w14:paraId="7B650E1D" w14:textId="77777777" w:rsidR="00C236A2" w:rsidRPr="0013396E" w:rsidRDefault="00C236A2" w:rsidP="007C3E74">
            <w:pPr>
              <w:rPr>
                <w:iCs/>
                <w:sz w:val="20"/>
              </w:rPr>
            </w:pPr>
            <w:r w:rsidRPr="0013396E">
              <w:rPr>
                <w:i/>
                <w:iCs/>
                <w:sz w:val="20"/>
              </w:rPr>
              <w:t>Fuel Oil Price</w:t>
            </w:r>
            <w:r w:rsidRPr="0013396E">
              <w:rPr>
                <w:iCs/>
                <w:sz w:val="20"/>
              </w:rPr>
              <w:t>—As defined in Section 2.1.</w:t>
            </w:r>
          </w:p>
        </w:tc>
      </w:tr>
      <w:tr w:rsidR="00C236A2" w:rsidRPr="0013396E" w14:paraId="25C5F586" w14:textId="77777777" w:rsidTr="000B7133">
        <w:tc>
          <w:tcPr>
            <w:tcW w:w="966" w:type="pct"/>
            <w:tcBorders>
              <w:top w:val="single" w:sz="6" w:space="0" w:color="auto"/>
              <w:left w:val="single" w:sz="4" w:space="0" w:color="auto"/>
              <w:bottom w:val="single" w:sz="6" w:space="0" w:color="auto"/>
              <w:right w:val="single" w:sz="6" w:space="0" w:color="auto"/>
            </w:tcBorders>
            <w:hideMark/>
          </w:tcPr>
          <w:p w14:paraId="70C17699" w14:textId="77777777" w:rsidR="00C236A2" w:rsidRPr="0013396E" w:rsidRDefault="00C236A2" w:rsidP="0099759E">
            <w:pPr>
              <w:spacing w:after="60"/>
              <w:rPr>
                <w:i/>
                <w:iCs/>
                <w:sz w:val="20"/>
              </w:rPr>
            </w:pPr>
            <w:r w:rsidRPr="0013396E">
              <w:rPr>
                <w:iCs/>
                <w:sz w:val="20"/>
              </w:rPr>
              <w:t xml:space="preserve">FA </w:t>
            </w:r>
            <w:r w:rsidRPr="0013396E">
              <w:rPr>
                <w:i/>
                <w:iCs/>
                <w:sz w:val="20"/>
                <w:vertAlign w:val="subscript"/>
              </w:rPr>
              <w:t>r</w:t>
            </w:r>
          </w:p>
        </w:tc>
        <w:tc>
          <w:tcPr>
            <w:tcW w:w="692" w:type="pct"/>
            <w:tcBorders>
              <w:top w:val="single" w:sz="6" w:space="0" w:color="auto"/>
              <w:left w:val="single" w:sz="6" w:space="0" w:color="auto"/>
              <w:bottom w:val="single" w:sz="6" w:space="0" w:color="auto"/>
              <w:right w:val="single" w:sz="6" w:space="0" w:color="auto"/>
            </w:tcBorders>
            <w:hideMark/>
          </w:tcPr>
          <w:p w14:paraId="48EFBC0D" w14:textId="77777777" w:rsidR="00C236A2" w:rsidRPr="0013396E" w:rsidRDefault="00C236A2" w:rsidP="0099759E">
            <w:pPr>
              <w:spacing w:after="60"/>
              <w:rPr>
                <w:iCs/>
                <w:sz w:val="20"/>
              </w:rPr>
            </w:pPr>
            <w:r w:rsidRPr="0013396E">
              <w:rPr>
                <w:iCs/>
                <w:sz w:val="20"/>
              </w:rPr>
              <w:t>$/MMBtu</w:t>
            </w:r>
          </w:p>
        </w:tc>
        <w:tc>
          <w:tcPr>
            <w:tcW w:w="3342" w:type="pct"/>
            <w:tcBorders>
              <w:top w:val="single" w:sz="6" w:space="0" w:color="auto"/>
              <w:left w:val="single" w:sz="6" w:space="0" w:color="auto"/>
              <w:bottom w:val="single" w:sz="6" w:space="0" w:color="auto"/>
              <w:right w:val="single" w:sz="4" w:space="0" w:color="auto"/>
            </w:tcBorders>
            <w:hideMark/>
          </w:tcPr>
          <w:p w14:paraId="300E0AED" w14:textId="77777777" w:rsidR="00C236A2" w:rsidRPr="0013396E" w:rsidRDefault="00C236A2" w:rsidP="007C3E74">
            <w:pPr>
              <w:rPr>
                <w:iCs/>
                <w:sz w:val="20"/>
              </w:rPr>
            </w:pPr>
            <w:r w:rsidRPr="0013396E">
              <w:rPr>
                <w:i/>
                <w:iCs/>
                <w:sz w:val="20"/>
              </w:rPr>
              <w:t>Fuel Adder</w:t>
            </w:r>
            <w:r w:rsidRPr="0013396E">
              <w:rPr>
                <w:iCs/>
                <w:sz w:val="20"/>
              </w:rPr>
              <w:t xml:space="preserve"> — The fuel adder is the average cost above the index price Resource </w:t>
            </w:r>
            <w:r w:rsidRPr="0013396E">
              <w:rPr>
                <w:i/>
                <w:iCs/>
                <w:sz w:val="20"/>
              </w:rPr>
              <w:t xml:space="preserve">r </w:t>
            </w:r>
            <w:r w:rsidRPr="0013396E">
              <w:rPr>
                <w:iCs/>
                <w:sz w:val="20"/>
              </w:rPr>
              <w:t xml:space="preserve">has paid to obtain fuel.  Where for a Combined Cycle Train, the Resource </w:t>
            </w:r>
            <w:r w:rsidRPr="0013396E">
              <w:rPr>
                <w:i/>
                <w:iCs/>
                <w:sz w:val="20"/>
              </w:rPr>
              <w:t xml:space="preserve">r </w:t>
            </w:r>
            <w:r w:rsidRPr="0013396E">
              <w:rPr>
                <w:iCs/>
                <w:sz w:val="20"/>
              </w:rPr>
              <w:t xml:space="preserve">is a Combined Cycle Generation Resource within the Combined Cycle Train.  See the Verifiable Cost Manual for additional information. </w:t>
            </w:r>
          </w:p>
        </w:tc>
      </w:tr>
      <w:tr w:rsidR="00C236A2" w:rsidRPr="0013396E" w14:paraId="7D9EE16B" w14:textId="77777777" w:rsidTr="000B7133">
        <w:tc>
          <w:tcPr>
            <w:tcW w:w="966" w:type="pct"/>
            <w:tcBorders>
              <w:top w:val="single" w:sz="6" w:space="0" w:color="auto"/>
              <w:left w:val="single" w:sz="4" w:space="0" w:color="auto"/>
              <w:bottom w:val="single" w:sz="6" w:space="0" w:color="auto"/>
              <w:right w:val="single" w:sz="6" w:space="0" w:color="auto"/>
            </w:tcBorders>
          </w:tcPr>
          <w:p w14:paraId="3668DDD6" w14:textId="77777777" w:rsidR="00C236A2" w:rsidRPr="0013396E" w:rsidRDefault="00C236A2" w:rsidP="0099759E">
            <w:pPr>
              <w:spacing w:after="60"/>
              <w:rPr>
                <w:iCs/>
                <w:sz w:val="20"/>
              </w:rPr>
            </w:pPr>
            <w:r w:rsidRPr="0013396E">
              <w:rPr>
                <w:iCs/>
                <w:sz w:val="20"/>
              </w:rPr>
              <w:t xml:space="preserve">EMREAMT </w:t>
            </w:r>
            <w:r w:rsidRPr="0013396E">
              <w:rPr>
                <w:i/>
                <w:iCs/>
                <w:sz w:val="20"/>
                <w:vertAlign w:val="subscript"/>
              </w:rPr>
              <w:t>q, r, p, i</w:t>
            </w:r>
          </w:p>
        </w:tc>
        <w:tc>
          <w:tcPr>
            <w:tcW w:w="692" w:type="pct"/>
            <w:tcBorders>
              <w:top w:val="single" w:sz="6" w:space="0" w:color="auto"/>
              <w:left w:val="single" w:sz="6" w:space="0" w:color="auto"/>
              <w:bottom w:val="single" w:sz="6" w:space="0" w:color="auto"/>
              <w:right w:val="single" w:sz="6" w:space="0" w:color="auto"/>
            </w:tcBorders>
          </w:tcPr>
          <w:p w14:paraId="70133182"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2B5F2F1B" w14:textId="77777777" w:rsidR="00C236A2" w:rsidRPr="0013396E" w:rsidRDefault="00C236A2" w:rsidP="007C3E74">
            <w:pPr>
              <w:rPr>
                <w:iCs/>
                <w:sz w:val="20"/>
              </w:rPr>
            </w:pPr>
            <w:r w:rsidRPr="0013396E">
              <w:rPr>
                <w:i/>
                <w:iCs/>
                <w:sz w:val="20"/>
              </w:rPr>
              <w:t>Emergency Energy Amount per QSE per Settlement Point per unit per interval</w:t>
            </w:r>
            <w:r w:rsidRPr="0013396E">
              <w:rPr>
                <w:iCs/>
                <w:sz w:val="20"/>
              </w:rPr>
              <w:t xml:space="preserve">—The payment to QSE </w:t>
            </w:r>
            <w:r w:rsidRPr="0013396E">
              <w:rPr>
                <w:i/>
                <w:iCs/>
                <w:sz w:val="20"/>
              </w:rPr>
              <w:t>q</w:t>
            </w:r>
            <w:r w:rsidRPr="0013396E">
              <w:rPr>
                <w:iCs/>
                <w:sz w:val="20"/>
              </w:rPr>
              <w:t xml:space="preserve"> for the additional energy or Ancillary Services produced or consumed by Resource </w:t>
            </w:r>
            <w:r w:rsidRPr="0013396E">
              <w:rPr>
                <w:i/>
                <w:iCs/>
                <w:sz w:val="20"/>
              </w:rPr>
              <w:t>r</w:t>
            </w:r>
            <w:r w:rsidRPr="0013396E">
              <w:rPr>
                <w:iCs/>
                <w:sz w:val="20"/>
              </w:rPr>
              <w:t xml:space="preserve"> at Resource Node </w:t>
            </w:r>
            <w:r w:rsidRPr="0013396E">
              <w:rPr>
                <w:i/>
                <w:iCs/>
                <w:sz w:val="20"/>
              </w:rPr>
              <w:t>p</w:t>
            </w:r>
            <w:r w:rsidRPr="0013396E">
              <w:rPr>
                <w:iCs/>
                <w:sz w:val="20"/>
              </w:rPr>
              <w:t xml:space="preserve"> in Real-Time during the Emergency Condition, for the 15-minute Settlement Interval </w:t>
            </w:r>
            <w:r w:rsidRPr="0013396E">
              <w:rPr>
                <w:i/>
                <w:iCs/>
                <w:sz w:val="20"/>
              </w:rPr>
              <w:t>i</w:t>
            </w:r>
            <w:r w:rsidRPr="0013396E">
              <w:rPr>
                <w:iCs/>
                <w:sz w:val="20"/>
              </w:rPr>
              <w:t>.  Payment for emergency energy is made to the Combined Cycle Train.</w:t>
            </w:r>
          </w:p>
        </w:tc>
      </w:tr>
      <w:tr w:rsidR="00C236A2" w:rsidRPr="0013396E" w14:paraId="16234BD6"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533AB211" w14:textId="77777777" w:rsidR="00C236A2" w:rsidRPr="0013396E" w:rsidRDefault="00C236A2" w:rsidP="0099759E">
            <w:pPr>
              <w:spacing w:after="60"/>
              <w:rPr>
                <w:iCs/>
                <w:sz w:val="20"/>
              </w:rPr>
            </w:pPr>
            <w:r w:rsidRPr="0013396E">
              <w:rPr>
                <w:iCs/>
                <w:sz w:val="20"/>
              </w:rPr>
              <w:t xml:space="preserve">VSSVARAMT </w:t>
            </w:r>
            <w:r w:rsidRPr="0013396E">
              <w:rPr>
                <w:i/>
                <w:iCs/>
                <w:sz w:val="20"/>
                <w:vertAlign w:val="subscript"/>
              </w:rPr>
              <w:t>q, r, i</w:t>
            </w:r>
          </w:p>
        </w:tc>
        <w:tc>
          <w:tcPr>
            <w:tcW w:w="692" w:type="pct"/>
            <w:tcBorders>
              <w:top w:val="single" w:sz="6" w:space="0" w:color="auto"/>
              <w:left w:val="single" w:sz="6" w:space="0" w:color="auto"/>
              <w:bottom w:val="single" w:sz="6" w:space="0" w:color="auto"/>
              <w:right w:val="single" w:sz="6" w:space="0" w:color="auto"/>
            </w:tcBorders>
          </w:tcPr>
          <w:p w14:paraId="0DCE1B1C"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36F2A7FC" w14:textId="77777777" w:rsidR="00C236A2" w:rsidRPr="0013396E" w:rsidRDefault="00C236A2" w:rsidP="007C3E74">
            <w:pPr>
              <w:rPr>
                <w:iCs/>
                <w:sz w:val="20"/>
              </w:rPr>
            </w:pPr>
            <w:r w:rsidRPr="0013396E">
              <w:rPr>
                <w:i/>
                <w:iCs/>
                <w:sz w:val="20"/>
              </w:rPr>
              <w:t>Voltage Support Service VAr Amount per QSE per Generation Resource -</w:t>
            </w:r>
            <w:r w:rsidRPr="0013396E">
              <w:rPr>
                <w:iCs/>
                <w:sz w:val="20"/>
              </w:rPr>
              <w:t xml:space="preserve"> The payment to QSE </w:t>
            </w:r>
            <w:r w:rsidRPr="0013396E">
              <w:rPr>
                <w:i/>
                <w:iCs/>
                <w:sz w:val="20"/>
              </w:rPr>
              <w:t>q</w:t>
            </w:r>
            <w:r w:rsidRPr="0013396E">
              <w:rPr>
                <w:iCs/>
                <w:sz w:val="20"/>
              </w:rPr>
              <w:t xml:space="preserve"> for the VSS provided by Generation Resource </w:t>
            </w:r>
            <w:r w:rsidRPr="0013396E">
              <w:rPr>
                <w:i/>
                <w:iCs/>
                <w:sz w:val="20"/>
              </w:rPr>
              <w:t>r,</w:t>
            </w:r>
            <w:r w:rsidRPr="0013396E">
              <w:rPr>
                <w:iCs/>
                <w:sz w:val="20"/>
              </w:rPr>
              <w:t xml:space="preserve"> for the 15-minute Settlement Interval </w:t>
            </w:r>
            <w:r w:rsidRPr="0013396E">
              <w:rPr>
                <w:i/>
                <w:iCs/>
                <w:sz w:val="20"/>
              </w:rPr>
              <w:t>i</w:t>
            </w:r>
            <w:r w:rsidRPr="0013396E">
              <w:rPr>
                <w:iCs/>
                <w:sz w:val="20"/>
              </w:rPr>
              <w:t>.  Where for a Combined Cycle Resource</w:t>
            </w:r>
            <w:r w:rsidRPr="0013396E">
              <w:rPr>
                <w:i/>
                <w:iCs/>
                <w:sz w:val="20"/>
              </w:rPr>
              <w:t xml:space="preserve"> r</w:t>
            </w:r>
            <w:r w:rsidRPr="0013396E">
              <w:rPr>
                <w:iCs/>
                <w:sz w:val="20"/>
              </w:rPr>
              <w:t xml:space="preserve"> is a Combined Cycle Train.</w:t>
            </w:r>
          </w:p>
        </w:tc>
      </w:tr>
      <w:tr w:rsidR="00C236A2" w:rsidRPr="0013396E" w14:paraId="1C08EF80"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632109B0" w14:textId="77777777" w:rsidR="00C236A2" w:rsidRPr="0013396E" w:rsidRDefault="00C236A2" w:rsidP="0099759E">
            <w:pPr>
              <w:spacing w:after="60"/>
              <w:rPr>
                <w:iCs/>
                <w:sz w:val="20"/>
              </w:rPr>
            </w:pPr>
            <w:r w:rsidRPr="0013396E">
              <w:rPr>
                <w:iCs/>
                <w:sz w:val="20"/>
              </w:rPr>
              <w:t xml:space="preserve">VSSEAMT </w:t>
            </w:r>
            <w:r w:rsidRPr="0013396E">
              <w:rPr>
                <w:i/>
                <w:iCs/>
                <w:sz w:val="20"/>
                <w:vertAlign w:val="subscript"/>
              </w:rPr>
              <w:t>q, r, i</w:t>
            </w:r>
          </w:p>
        </w:tc>
        <w:tc>
          <w:tcPr>
            <w:tcW w:w="692" w:type="pct"/>
            <w:tcBorders>
              <w:top w:val="single" w:sz="6" w:space="0" w:color="auto"/>
              <w:left w:val="single" w:sz="6" w:space="0" w:color="auto"/>
              <w:bottom w:val="single" w:sz="6" w:space="0" w:color="auto"/>
              <w:right w:val="single" w:sz="6" w:space="0" w:color="auto"/>
            </w:tcBorders>
          </w:tcPr>
          <w:p w14:paraId="057D8094" w14:textId="77777777" w:rsidR="00C236A2" w:rsidRPr="0013396E" w:rsidRDefault="00C236A2" w:rsidP="0099759E">
            <w:pPr>
              <w:spacing w:after="60"/>
              <w:rPr>
                <w:iCs/>
                <w:sz w:val="20"/>
              </w:rPr>
            </w:pPr>
            <w:r w:rsidRPr="0013396E">
              <w:rPr>
                <w:iCs/>
                <w:sz w:val="20"/>
              </w:rPr>
              <w:t>$</w:t>
            </w:r>
          </w:p>
        </w:tc>
        <w:tc>
          <w:tcPr>
            <w:tcW w:w="3342" w:type="pct"/>
            <w:tcBorders>
              <w:top w:val="single" w:sz="6" w:space="0" w:color="auto"/>
              <w:left w:val="single" w:sz="6" w:space="0" w:color="auto"/>
              <w:bottom w:val="single" w:sz="6" w:space="0" w:color="auto"/>
              <w:right w:val="single" w:sz="4" w:space="0" w:color="auto"/>
            </w:tcBorders>
          </w:tcPr>
          <w:p w14:paraId="3ABA66DD" w14:textId="77777777" w:rsidR="00C236A2" w:rsidRPr="0013396E" w:rsidRDefault="00C236A2" w:rsidP="007C3E74">
            <w:pPr>
              <w:rPr>
                <w:iCs/>
                <w:sz w:val="20"/>
              </w:rPr>
            </w:pPr>
            <w:r w:rsidRPr="0013396E">
              <w:rPr>
                <w:i/>
                <w:iCs/>
                <w:sz w:val="20"/>
              </w:rPr>
              <w:t>Voltage Support Service Energy Amount per QSE per Generation Resource</w:t>
            </w:r>
            <w:r w:rsidRPr="0013396E">
              <w:rPr>
                <w:iCs/>
                <w:sz w:val="20"/>
              </w:rPr>
              <w:t xml:space="preserve">—The lost opportunity payment to QSE </w:t>
            </w:r>
            <w:r w:rsidRPr="0013396E">
              <w:rPr>
                <w:i/>
                <w:iCs/>
                <w:sz w:val="20"/>
              </w:rPr>
              <w:t>q</w:t>
            </w:r>
            <w:r w:rsidRPr="0013396E">
              <w:rPr>
                <w:iCs/>
                <w:sz w:val="20"/>
              </w:rPr>
              <w:t xml:space="preserve"> for ERCOT-directed VSS from Generation Resource </w:t>
            </w:r>
            <w:r w:rsidRPr="0013396E">
              <w:rPr>
                <w:i/>
                <w:iCs/>
                <w:sz w:val="20"/>
              </w:rPr>
              <w:t>r</w:t>
            </w:r>
            <w:r w:rsidRPr="0013396E">
              <w:rPr>
                <w:iCs/>
                <w:sz w:val="20"/>
              </w:rPr>
              <w:t xml:space="preserve"> for the 15-minute Settlement Interval </w:t>
            </w:r>
            <w:r w:rsidRPr="0013396E">
              <w:rPr>
                <w:i/>
                <w:iCs/>
                <w:sz w:val="20"/>
              </w:rPr>
              <w:t>i</w:t>
            </w:r>
            <w:r w:rsidRPr="0013396E">
              <w:rPr>
                <w:iCs/>
                <w:sz w:val="20"/>
              </w:rPr>
              <w:t>.  Where for a Combined Cycle Resource</w:t>
            </w:r>
            <w:r w:rsidRPr="0013396E">
              <w:rPr>
                <w:i/>
                <w:iCs/>
                <w:sz w:val="20"/>
              </w:rPr>
              <w:t xml:space="preserve"> r </w:t>
            </w:r>
            <w:r w:rsidRPr="0013396E">
              <w:rPr>
                <w:iCs/>
                <w:sz w:val="20"/>
              </w:rPr>
              <w:t>is a Combined Cycle Train.</w:t>
            </w:r>
          </w:p>
        </w:tc>
      </w:tr>
      <w:tr w:rsidR="00C236A2" w:rsidRPr="0013396E" w14:paraId="276B1D63"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1DD8B25B" w14:textId="77777777" w:rsidR="00C236A2" w:rsidRPr="0013396E" w:rsidRDefault="00C236A2" w:rsidP="0099759E">
            <w:pPr>
              <w:spacing w:after="60"/>
              <w:rPr>
                <w:iCs/>
                <w:sz w:val="20"/>
              </w:rPr>
            </w:pPr>
            <w:r w:rsidRPr="0013396E">
              <w:rPr>
                <w:sz w:val="20"/>
              </w:rPr>
              <w:t xml:space="preserve">RTRUREV </w:t>
            </w:r>
            <w:r w:rsidRPr="0013396E">
              <w:rPr>
                <w:i/>
                <w:sz w:val="20"/>
                <w:vertAlign w:val="subscript"/>
              </w:rPr>
              <w:t>q, r</w:t>
            </w:r>
          </w:p>
        </w:tc>
        <w:tc>
          <w:tcPr>
            <w:tcW w:w="692" w:type="pct"/>
            <w:tcBorders>
              <w:top w:val="single" w:sz="6" w:space="0" w:color="auto"/>
              <w:left w:val="single" w:sz="6" w:space="0" w:color="auto"/>
              <w:bottom w:val="single" w:sz="6" w:space="0" w:color="auto"/>
              <w:right w:val="single" w:sz="6" w:space="0" w:color="auto"/>
            </w:tcBorders>
          </w:tcPr>
          <w:p w14:paraId="1D3F1105" w14:textId="77777777" w:rsidR="00C236A2" w:rsidRPr="0013396E" w:rsidRDefault="00C236A2" w:rsidP="0099759E">
            <w:pPr>
              <w:spacing w:after="60"/>
              <w:rPr>
                <w:iCs/>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177CBCFE" w14:textId="77777777" w:rsidR="00C236A2" w:rsidRPr="0013396E" w:rsidRDefault="00C236A2" w:rsidP="007C3E74">
            <w:pPr>
              <w:rPr>
                <w:i/>
                <w:iCs/>
                <w:sz w:val="20"/>
              </w:rPr>
            </w:pPr>
            <w:r w:rsidRPr="0013396E">
              <w:rPr>
                <w:i/>
                <w:sz w:val="20"/>
              </w:rPr>
              <w:t>Real-Time Reg-Up Revenue</w:t>
            </w:r>
            <w:r w:rsidRPr="0013396E">
              <w:rPr>
                <w:sz w:val="20"/>
              </w:rPr>
              <w:t xml:space="preserve">— The Real-Time Reg-Up revenue for QSE </w:t>
            </w:r>
            <w:r w:rsidRPr="0013396E">
              <w:rPr>
                <w:i/>
                <w:sz w:val="20"/>
              </w:rPr>
              <w:t xml:space="preserve">q </w:t>
            </w:r>
            <w:r w:rsidRPr="0013396E">
              <w:rPr>
                <w:sz w:val="20"/>
              </w:rPr>
              <w:t>calculated for</w:t>
            </w:r>
            <w:r w:rsidRPr="0013396E">
              <w:rPr>
                <w:i/>
                <w:sz w:val="20"/>
              </w:rPr>
              <w:t xml:space="preserve"> </w:t>
            </w:r>
            <w:r w:rsidRPr="0013396E">
              <w:rPr>
                <w:sz w:val="20"/>
              </w:rPr>
              <w:t xml:space="preserve">Resource </w:t>
            </w:r>
            <w:r w:rsidRPr="0013396E">
              <w:rPr>
                <w:i/>
                <w:sz w:val="20"/>
              </w:rPr>
              <w:t xml:space="preserve">r </w:t>
            </w:r>
            <w:r w:rsidRPr="0013396E">
              <w:rPr>
                <w:sz w:val="20"/>
              </w:rPr>
              <w:t xml:space="preserve">for the 15-minute Settlement Interval.  Where for a Combined Cycle Train, the Resource </w:t>
            </w:r>
            <w:r w:rsidRPr="0013396E">
              <w:rPr>
                <w:i/>
                <w:sz w:val="20"/>
              </w:rPr>
              <w:t>r</w:t>
            </w:r>
            <w:r w:rsidRPr="0013396E">
              <w:rPr>
                <w:sz w:val="20"/>
              </w:rPr>
              <w:t xml:space="preserve"> is the Combined Cycle Train.</w:t>
            </w:r>
          </w:p>
        </w:tc>
      </w:tr>
      <w:tr w:rsidR="00C236A2" w:rsidRPr="0013396E" w14:paraId="706B879A"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535332E2" w14:textId="77777777" w:rsidR="00C236A2" w:rsidRPr="0013396E" w:rsidRDefault="00C236A2" w:rsidP="0099759E">
            <w:pPr>
              <w:spacing w:after="60"/>
              <w:rPr>
                <w:sz w:val="20"/>
              </w:rPr>
            </w:pPr>
            <w:r w:rsidRPr="0013396E">
              <w:rPr>
                <w:sz w:val="20"/>
              </w:rPr>
              <w:t xml:space="preserve">RTRDREV </w:t>
            </w:r>
            <w:r w:rsidRPr="0013396E">
              <w:rPr>
                <w:i/>
                <w:sz w:val="20"/>
                <w:vertAlign w:val="subscript"/>
              </w:rPr>
              <w:t>q, r</w:t>
            </w:r>
          </w:p>
        </w:tc>
        <w:tc>
          <w:tcPr>
            <w:tcW w:w="692" w:type="pct"/>
            <w:tcBorders>
              <w:top w:val="single" w:sz="6" w:space="0" w:color="auto"/>
              <w:left w:val="single" w:sz="6" w:space="0" w:color="auto"/>
              <w:bottom w:val="single" w:sz="6" w:space="0" w:color="auto"/>
              <w:right w:val="single" w:sz="6" w:space="0" w:color="auto"/>
            </w:tcBorders>
          </w:tcPr>
          <w:p w14:paraId="39D3F2BA" w14:textId="77777777" w:rsidR="00C236A2" w:rsidRPr="0013396E" w:rsidRDefault="00C236A2" w:rsidP="0099759E">
            <w:pPr>
              <w:spacing w:after="60"/>
              <w:rPr>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13138F42" w14:textId="77777777" w:rsidR="00C236A2" w:rsidRPr="0013396E" w:rsidRDefault="00C236A2" w:rsidP="007C3E74">
            <w:pPr>
              <w:rPr>
                <w:i/>
                <w:sz w:val="20"/>
              </w:rPr>
            </w:pPr>
            <w:r w:rsidRPr="0013396E">
              <w:rPr>
                <w:i/>
                <w:sz w:val="20"/>
              </w:rPr>
              <w:t>Real-Time Reg-Down Revenue</w:t>
            </w:r>
            <w:r w:rsidRPr="0013396E">
              <w:rPr>
                <w:sz w:val="20"/>
              </w:rPr>
              <w:t xml:space="preserve">— The Real-Time Reg-Down revenue for QSE </w:t>
            </w:r>
            <w:r w:rsidRPr="0013396E">
              <w:rPr>
                <w:i/>
                <w:sz w:val="20"/>
              </w:rPr>
              <w:t xml:space="preserve">q </w:t>
            </w:r>
            <w:r w:rsidRPr="0013396E">
              <w:rPr>
                <w:sz w:val="20"/>
              </w:rPr>
              <w:t xml:space="preserve">calculated for Resource </w:t>
            </w:r>
            <w:r w:rsidRPr="0013396E">
              <w:rPr>
                <w:i/>
                <w:sz w:val="20"/>
              </w:rPr>
              <w:t>r</w:t>
            </w:r>
            <w:r w:rsidRPr="0013396E">
              <w:rPr>
                <w:sz w:val="20"/>
              </w:rPr>
              <w:t xml:space="preserve"> for the 15-minute Settlement Interval.  Where for a Combined Cycle Train, the Resource </w:t>
            </w:r>
            <w:r w:rsidRPr="0013396E">
              <w:rPr>
                <w:i/>
                <w:sz w:val="20"/>
              </w:rPr>
              <w:t>r</w:t>
            </w:r>
            <w:r w:rsidRPr="0013396E">
              <w:rPr>
                <w:sz w:val="20"/>
              </w:rPr>
              <w:t xml:space="preserve"> is the Combined Cycle Train.</w:t>
            </w:r>
          </w:p>
        </w:tc>
      </w:tr>
      <w:tr w:rsidR="00C236A2" w:rsidRPr="0013396E" w14:paraId="19750B62"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683E1ABA" w14:textId="77777777" w:rsidR="00C236A2" w:rsidRPr="0013396E" w:rsidRDefault="00C236A2" w:rsidP="0099759E">
            <w:pPr>
              <w:spacing w:after="60"/>
              <w:rPr>
                <w:sz w:val="20"/>
              </w:rPr>
            </w:pPr>
            <w:r w:rsidRPr="0013396E">
              <w:rPr>
                <w:sz w:val="20"/>
              </w:rPr>
              <w:lastRenderedPageBreak/>
              <w:t xml:space="preserve">RTRRREV </w:t>
            </w:r>
            <w:r w:rsidRPr="0013396E">
              <w:rPr>
                <w:i/>
                <w:sz w:val="20"/>
                <w:vertAlign w:val="subscript"/>
              </w:rPr>
              <w:t>q, r</w:t>
            </w:r>
          </w:p>
        </w:tc>
        <w:tc>
          <w:tcPr>
            <w:tcW w:w="692" w:type="pct"/>
            <w:tcBorders>
              <w:top w:val="single" w:sz="6" w:space="0" w:color="auto"/>
              <w:left w:val="single" w:sz="6" w:space="0" w:color="auto"/>
              <w:bottom w:val="single" w:sz="6" w:space="0" w:color="auto"/>
              <w:right w:val="single" w:sz="6" w:space="0" w:color="auto"/>
            </w:tcBorders>
          </w:tcPr>
          <w:p w14:paraId="31942E1C" w14:textId="77777777" w:rsidR="00C236A2" w:rsidRPr="0013396E" w:rsidRDefault="00C236A2" w:rsidP="0099759E">
            <w:pPr>
              <w:spacing w:after="60"/>
              <w:rPr>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1CB9A82A" w14:textId="77777777" w:rsidR="00C236A2" w:rsidRPr="0013396E" w:rsidRDefault="00C236A2" w:rsidP="007C3E74">
            <w:pPr>
              <w:rPr>
                <w:i/>
                <w:sz w:val="20"/>
              </w:rPr>
            </w:pPr>
            <w:r w:rsidRPr="0013396E">
              <w:rPr>
                <w:i/>
                <w:sz w:val="20"/>
              </w:rPr>
              <w:t>Real-Time Responsive Reserve Revenue</w:t>
            </w:r>
            <w:r w:rsidRPr="0013396E">
              <w:rPr>
                <w:sz w:val="20"/>
              </w:rPr>
              <w:t xml:space="preserve">— The Real-Time RRS revenue for QSE </w:t>
            </w:r>
            <w:r w:rsidRPr="0013396E">
              <w:rPr>
                <w:i/>
                <w:sz w:val="20"/>
              </w:rPr>
              <w:t xml:space="preserve">q </w:t>
            </w:r>
            <w:r w:rsidRPr="0013396E">
              <w:rPr>
                <w:sz w:val="20"/>
              </w:rPr>
              <w:t xml:space="preserve">calculated for Resource </w:t>
            </w:r>
            <w:r w:rsidRPr="0013396E">
              <w:rPr>
                <w:i/>
                <w:sz w:val="20"/>
              </w:rPr>
              <w:t xml:space="preserve">r </w:t>
            </w:r>
            <w:r w:rsidRPr="0013396E">
              <w:rPr>
                <w:sz w:val="20"/>
              </w:rPr>
              <w:t xml:space="preserve">for the 15-minute Settlement Interval.  Where for a Combined Cycle Train, the Resource </w:t>
            </w:r>
            <w:r w:rsidRPr="0013396E">
              <w:rPr>
                <w:i/>
                <w:sz w:val="20"/>
              </w:rPr>
              <w:t>r</w:t>
            </w:r>
            <w:r w:rsidRPr="0013396E">
              <w:rPr>
                <w:sz w:val="20"/>
              </w:rPr>
              <w:t xml:space="preserve"> is the Combined Cycle Train.</w:t>
            </w:r>
          </w:p>
        </w:tc>
      </w:tr>
      <w:tr w:rsidR="00C236A2" w:rsidRPr="0013396E" w14:paraId="6F089B0F"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A4263F4" w14:textId="77777777" w:rsidR="00C236A2" w:rsidRPr="0013396E" w:rsidRDefault="00C236A2" w:rsidP="0099759E">
            <w:pPr>
              <w:spacing w:after="60"/>
              <w:rPr>
                <w:sz w:val="20"/>
              </w:rPr>
            </w:pPr>
            <w:r w:rsidRPr="0013396E">
              <w:rPr>
                <w:sz w:val="20"/>
              </w:rPr>
              <w:t xml:space="preserve">RTNSREV </w:t>
            </w:r>
            <w:r w:rsidRPr="0013396E">
              <w:rPr>
                <w:i/>
                <w:sz w:val="20"/>
                <w:vertAlign w:val="subscript"/>
              </w:rPr>
              <w:t>q, r</w:t>
            </w:r>
          </w:p>
        </w:tc>
        <w:tc>
          <w:tcPr>
            <w:tcW w:w="692" w:type="pct"/>
            <w:tcBorders>
              <w:top w:val="single" w:sz="6" w:space="0" w:color="auto"/>
              <w:left w:val="single" w:sz="6" w:space="0" w:color="auto"/>
              <w:bottom w:val="single" w:sz="6" w:space="0" w:color="auto"/>
              <w:right w:val="single" w:sz="6" w:space="0" w:color="auto"/>
            </w:tcBorders>
          </w:tcPr>
          <w:p w14:paraId="200147B5" w14:textId="77777777" w:rsidR="00C236A2" w:rsidRPr="0013396E" w:rsidRDefault="00C236A2" w:rsidP="0099759E">
            <w:pPr>
              <w:spacing w:after="60"/>
              <w:rPr>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6C28A9D7" w14:textId="77777777" w:rsidR="00C236A2" w:rsidRPr="0013396E" w:rsidRDefault="00C236A2" w:rsidP="007C3E74">
            <w:pPr>
              <w:rPr>
                <w:i/>
                <w:sz w:val="20"/>
              </w:rPr>
            </w:pPr>
            <w:r w:rsidRPr="0013396E">
              <w:rPr>
                <w:i/>
                <w:sz w:val="20"/>
              </w:rPr>
              <w:t>Real-Time Non-Spin Revenue</w:t>
            </w:r>
            <w:r w:rsidRPr="0013396E">
              <w:rPr>
                <w:sz w:val="20"/>
              </w:rPr>
              <w:t xml:space="preserve">— The Real-Time Non-Spin revenue for QSE </w:t>
            </w:r>
            <w:r w:rsidRPr="0013396E">
              <w:rPr>
                <w:i/>
                <w:sz w:val="20"/>
              </w:rPr>
              <w:t xml:space="preserve">q </w:t>
            </w:r>
            <w:r w:rsidRPr="0013396E">
              <w:rPr>
                <w:sz w:val="20"/>
              </w:rPr>
              <w:t xml:space="preserve">calculated for Resource </w:t>
            </w:r>
            <w:r w:rsidRPr="0013396E">
              <w:rPr>
                <w:i/>
                <w:sz w:val="20"/>
              </w:rPr>
              <w:t>r</w:t>
            </w:r>
            <w:r w:rsidRPr="0013396E">
              <w:rPr>
                <w:sz w:val="20"/>
              </w:rPr>
              <w:t xml:space="preserve"> for the 15-minute Settlement Interval.  Where for a Combined Cycle Train, the Resource </w:t>
            </w:r>
            <w:r w:rsidRPr="0013396E">
              <w:rPr>
                <w:i/>
                <w:sz w:val="20"/>
              </w:rPr>
              <w:t>r</w:t>
            </w:r>
            <w:r w:rsidRPr="0013396E">
              <w:rPr>
                <w:sz w:val="20"/>
              </w:rPr>
              <w:t xml:space="preserve"> is the Combined Cycle Train.</w:t>
            </w:r>
          </w:p>
        </w:tc>
      </w:tr>
      <w:tr w:rsidR="00C236A2" w:rsidRPr="0013396E" w14:paraId="21C10238"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38317554" w14:textId="77777777" w:rsidR="00C236A2" w:rsidRPr="0013396E" w:rsidRDefault="00C236A2" w:rsidP="0099759E">
            <w:pPr>
              <w:spacing w:after="60"/>
              <w:rPr>
                <w:sz w:val="20"/>
              </w:rPr>
            </w:pPr>
            <w:r w:rsidRPr="0013396E">
              <w:rPr>
                <w:sz w:val="20"/>
              </w:rPr>
              <w:t xml:space="preserve">RTECRREV </w:t>
            </w:r>
            <w:r w:rsidRPr="0013396E">
              <w:rPr>
                <w:i/>
                <w:sz w:val="20"/>
                <w:vertAlign w:val="subscript"/>
              </w:rPr>
              <w:t>q, r</w:t>
            </w:r>
          </w:p>
        </w:tc>
        <w:tc>
          <w:tcPr>
            <w:tcW w:w="692" w:type="pct"/>
            <w:tcBorders>
              <w:top w:val="single" w:sz="6" w:space="0" w:color="auto"/>
              <w:left w:val="single" w:sz="6" w:space="0" w:color="auto"/>
              <w:bottom w:val="single" w:sz="6" w:space="0" w:color="auto"/>
              <w:right w:val="single" w:sz="6" w:space="0" w:color="auto"/>
            </w:tcBorders>
          </w:tcPr>
          <w:p w14:paraId="5C6EDA20" w14:textId="77777777" w:rsidR="00C236A2" w:rsidRPr="0013396E" w:rsidRDefault="00C236A2" w:rsidP="0099759E">
            <w:pPr>
              <w:spacing w:after="60"/>
              <w:rPr>
                <w:sz w:val="20"/>
              </w:rPr>
            </w:pPr>
            <w:r w:rsidRPr="0013396E">
              <w:rPr>
                <w:sz w:val="20"/>
              </w:rPr>
              <w:t>$</w:t>
            </w:r>
          </w:p>
        </w:tc>
        <w:tc>
          <w:tcPr>
            <w:tcW w:w="3342" w:type="pct"/>
            <w:tcBorders>
              <w:top w:val="single" w:sz="6" w:space="0" w:color="auto"/>
              <w:left w:val="single" w:sz="6" w:space="0" w:color="auto"/>
              <w:bottom w:val="single" w:sz="6" w:space="0" w:color="auto"/>
              <w:right w:val="single" w:sz="4" w:space="0" w:color="auto"/>
            </w:tcBorders>
          </w:tcPr>
          <w:p w14:paraId="23B2E9D3" w14:textId="77777777" w:rsidR="00C236A2" w:rsidRPr="0013396E" w:rsidRDefault="00C236A2" w:rsidP="007C3E74">
            <w:pPr>
              <w:rPr>
                <w:i/>
                <w:sz w:val="20"/>
              </w:rPr>
            </w:pPr>
            <w:r w:rsidRPr="0013396E">
              <w:rPr>
                <w:i/>
                <w:sz w:val="20"/>
              </w:rPr>
              <w:t>Real-Time ERCOT Contingency Reserve Service Revenue</w:t>
            </w:r>
            <w:r w:rsidRPr="0013396E">
              <w:rPr>
                <w:sz w:val="20"/>
              </w:rPr>
              <w:t xml:space="preserve">— The Real-Time ECRS revenue for QSE </w:t>
            </w:r>
            <w:r w:rsidRPr="0013396E">
              <w:rPr>
                <w:i/>
                <w:sz w:val="20"/>
              </w:rPr>
              <w:t xml:space="preserve">q </w:t>
            </w:r>
            <w:r w:rsidRPr="0013396E">
              <w:rPr>
                <w:sz w:val="20"/>
              </w:rPr>
              <w:t xml:space="preserve">calculated for Resource </w:t>
            </w:r>
            <w:r w:rsidRPr="0013396E">
              <w:rPr>
                <w:i/>
                <w:sz w:val="20"/>
              </w:rPr>
              <w:t>r</w:t>
            </w:r>
            <w:r w:rsidRPr="0013396E">
              <w:rPr>
                <w:sz w:val="20"/>
              </w:rPr>
              <w:t xml:space="preserve"> for the 15-minute Settlement Interval.  Where for a Combined Cycle Train, the Resource </w:t>
            </w:r>
            <w:r w:rsidRPr="0013396E">
              <w:rPr>
                <w:i/>
                <w:sz w:val="20"/>
              </w:rPr>
              <w:t>r</w:t>
            </w:r>
            <w:r w:rsidRPr="0013396E">
              <w:rPr>
                <w:sz w:val="20"/>
              </w:rPr>
              <w:t xml:space="preserve"> is the Combined Cycle Train.</w:t>
            </w:r>
          </w:p>
        </w:tc>
      </w:tr>
      <w:tr w:rsidR="006503F3" w:rsidRPr="0013396E" w14:paraId="21DEDB32" w14:textId="77777777" w:rsidTr="006503F3">
        <w:trPr>
          <w:cantSplit/>
        </w:trPr>
        <w:tc>
          <w:tcPr>
            <w:tcW w:w="5000" w:type="pct"/>
            <w:gridSpan w:val="3"/>
            <w:tcBorders>
              <w:top w:val="single" w:sz="6" w:space="0" w:color="auto"/>
              <w:left w:val="single" w:sz="4" w:space="0" w:color="auto"/>
              <w:bottom w:val="single" w:sz="6"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6"/>
            </w:tblGrid>
            <w:tr w:rsidR="006503F3" w:rsidRPr="0013396E" w14:paraId="533ACB9C" w14:textId="77777777" w:rsidTr="00A86863">
              <w:trPr>
                <w:trHeight w:val="206"/>
              </w:trPr>
              <w:tc>
                <w:tcPr>
                  <w:tcW w:w="9350" w:type="dxa"/>
                  <w:shd w:val="pct12" w:color="auto" w:fill="auto"/>
                </w:tcPr>
                <w:p w14:paraId="7E257AD5" w14:textId="26655FF4" w:rsidR="006503F3" w:rsidRPr="0013396E" w:rsidRDefault="006503F3" w:rsidP="006503F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6503F3">
                    <w:rPr>
                      <w:b/>
                      <w:i/>
                      <w:iCs/>
                      <w:szCs w:val="24"/>
                    </w:rPr>
                    <w:t>RTDRRREV</w:t>
                  </w:r>
                  <w:r w:rsidRPr="006503F3">
                    <w:rPr>
                      <w:b/>
                      <w:i/>
                      <w:iCs/>
                      <w:szCs w:val="24"/>
                      <w:vertAlign w:val="subscript"/>
                    </w:rPr>
                    <w:t xml:space="preserve"> q, r</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0"/>
                    <w:gridCol w:w="855"/>
                    <w:gridCol w:w="6371"/>
                  </w:tblGrid>
                  <w:tr w:rsidR="006503F3" w:rsidRPr="003F34DA" w14:paraId="2987C682" w14:textId="77777777" w:rsidTr="00A86863">
                    <w:trPr>
                      <w:cantSplit/>
                    </w:trPr>
                    <w:tc>
                      <w:tcPr>
                        <w:tcW w:w="934" w:type="pct"/>
                      </w:tcPr>
                      <w:p w14:paraId="7EE633B0" w14:textId="11F27334" w:rsidR="006503F3" w:rsidRPr="003F34DA" w:rsidRDefault="006503F3" w:rsidP="006503F3">
                        <w:pPr>
                          <w:spacing w:after="60"/>
                          <w:rPr>
                            <w:bCs/>
                            <w:sz w:val="20"/>
                          </w:rPr>
                        </w:pPr>
                        <w:r w:rsidRPr="003F34DA">
                          <w:rPr>
                            <w:sz w:val="20"/>
                          </w:rPr>
                          <w:t xml:space="preserve">RTDRRREV </w:t>
                        </w:r>
                        <w:r w:rsidRPr="003F34DA">
                          <w:rPr>
                            <w:i/>
                            <w:sz w:val="20"/>
                            <w:vertAlign w:val="subscript"/>
                          </w:rPr>
                          <w:t>q, r</w:t>
                        </w:r>
                      </w:p>
                    </w:tc>
                    <w:tc>
                      <w:tcPr>
                        <w:tcW w:w="481" w:type="pct"/>
                      </w:tcPr>
                      <w:p w14:paraId="6059DFF2" w14:textId="600832DF" w:rsidR="006503F3" w:rsidRPr="003F34DA" w:rsidRDefault="006503F3" w:rsidP="006503F3">
                        <w:pPr>
                          <w:spacing w:after="60"/>
                          <w:rPr>
                            <w:iCs/>
                            <w:sz w:val="20"/>
                          </w:rPr>
                        </w:pPr>
                        <w:r w:rsidRPr="003F34DA">
                          <w:rPr>
                            <w:sz w:val="20"/>
                          </w:rPr>
                          <w:t>$</w:t>
                        </w:r>
                      </w:p>
                    </w:tc>
                    <w:tc>
                      <w:tcPr>
                        <w:tcW w:w="3585" w:type="pct"/>
                      </w:tcPr>
                      <w:p w14:paraId="72F12E3D" w14:textId="6694FA01" w:rsidR="006503F3" w:rsidRPr="003F34DA" w:rsidRDefault="006503F3" w:rsidP="007C3E74">
                        <w:pPr>
                          <w:rPr>
                            <w:i/>
                            <w:iCs/>
                            <w:sz w:val="20"/>
                          </w:rPr>
                        </w:pPr>
                        <w:r w:rsidRPr="003F34DA">
                          <w:rPr>
                            <w:i/>
                            <w:sz w:val="20"/>
                          </w:rPr>
                          <w:t>Real-Time Dispatchable Reliability Reserve Service Revenue</w:t>
                        </w:r>
                        <w:r w:rsidRPr="003F34DA">
                          <w:rPr>
                            <w:sz w:val="20"/>
                          </w:rPr>
                          <w:t xml:space="preserve">— The Real-Time DRRS revenue for QSE </w:t>
                        </w:r>
                        <w:r w:rsidRPr="003F34DA">
                          <w:rPr>
                            <w:i/>
                            <w:sz w:val="20"/>
                          </w:rPr>
                          <w:t xml:space="preserve">q </w:t>
                        </w:r>
                        <w:r w:rsidRPr="003F34DA">
                          <w:rPr>
                            <w:sz w:val="20"/>
                          </w:rPr>
                          <w:t xml:space="preserve">calculated for Resource </w:t>
                        </w:r>
                        <w:r w:rsidRPr="003F34DA">
                          <w:rPr>
                            <w:i/>
                            <w:sz w:val="20"/>
                          </w:rPr>
                          <w:t>r</w:t>
                        </w:r>
                        <w:r w:rsidRPr="003F34DA">
                          <w:rPr>
                            <w:sz w:val="20"/>
                          </w:rPr>
                          <w:t xml:space="preserve"> for the 15-minute Settlement Interval.  Where for a Combined Cycle Train, the Resource </w:t>
                        </w:r>
                        <w:r w:rsidRPr="003F34DA">
                          <w:rPr>
                            <w:i/>
                            <w:sz w:val="20"/>
                          </w:rPr>
                          <w:t>r</w:t>
                        </w:r>
                        <w:r w:rsidRPr="003F34DA">
                          <w:rPr>
                            <w:sz w:val="20"/>
                          </w:rPr>
                          <w:t xml:space="preserve"> is the Combined Cycle Train.</w:t>
                        </w:r>
                      </w:p>
                    </w:tc>
                  </w:tr>
                </w:tbl>
                <w:p w14:paraId="58D735E1" w14:textId="77777777" w:rsidR="006503F3" w:rsidRPr="00583E7E" w:rsidRDefault="006503F3" w:rsidP="006503F3">
                  <w:pPr>
                    <w:tabs>
                      <w:tab w:val="left" w:pos="2340"/>
                      <w:tab w:val="left" w:pos="2880"/>
                    </w:tabs>
                    <w:spacing w:after="240"/>
                    <w:ind w:left="987" w:hanging="269"/>
                    <w:rPr>
                      <w:szCs w:val="24"/>
                      <w:lang w:val="es-MX"/>
                    </w:rPr>
                  </w:pPr>
                </w:p>
              </w:tc>
            </w:tr>
          </w:tbl>
          <w:p w14:paraId="0CCFFB0D" w14:textId="77777777" w:rsidR="006503F3" w:rsidRPr="0013396E" w:rsidRDefault="006503F3" w:rsidP="0099759E">
            <w:pPr>
              <w:spacing w:after="60"/>
              <w:rPr>
                <w:iCs/>
                <w:sz w:val="20"/>
              </w:rPr>
            </w:pPr>
          </w:p>
        </w:tc>
      </w:tr>
      <w:tr w:rsidR="00C236A2" w:rsidRPr="0013396E" w14:paraId="33E8DA40"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047EEB86" w14:textId="77777777" w:rsidR="00C236A2" w:rsidRPr="0013396E" w:rsidRDefault="00C236A2" w:rsidP="0099759E">
            <w:pPr>
              <w:spacing w:after="60"/>
              <w:rPr>
                <w:i/>
                <w:iCs/>
                <w:sz w:val="20"/>
              </w:rPr>
            </w:pPr>
            <w:r w:rsidRPr="0013396E">
              <w:rPr>
                <w:i/>
                <w:iCs/>
                <w:sz w:val="20"/>
              </w:rPr>
              <w:t>q</w:t>
            </w:r>
          </w:p>
        </w:tc>
        <w:tc>
          <w:tcPr>
            <w:tcW w:w="692" w:type="pct"/>
            <w:tcBorders>
              <w:top w:val="single" w:sz="6" w:space="0" w:color="auto"/>
              <w:left w:val="single" w:sz="6" w:space="0" w:color="auto"/>
              <w:bottom w:val="single" w:sz="6" w:space="0" w:color="auto"/>
              <w:right w:val="single" w:sz="6" w:space="0" w:color="auto"/>
            </w:tcBorders>
            <w:hideMark/>
          </w:tcPr>
          <w:p w14:paraId="141E2A9B"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hideMark/>
          </w:tcPr>
          <w:p w14:paraId="64553541" w14:textId="77777777" w:rsidR="00C236A2" w:rsidRPr="0013396E" w:rsidRDefault="00C236A2" w:rsidP="0099759E">
            <w:pPr>
              <w:spacing w:after="60"/>
              <w:rPr>
                <w:iCs/>
                <w:sz w:val="20"/>
              </w:rPr>
            </w:pPr>
            <w:r w:rsidRPr="0013396E">
              <w:rPr>
                <w:iCs/>
                <w:sz w:val="20"/>
              </w:rPr>
              <w:t>A QSE.</w:t>
            </w:r>
          </w:p>
        </w:tc>
      </w:tr>
      <w:tr w:rsidR="00C236A2" w:rsidRPr="0013396E" w14:paraId="7817E241"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0709A8B6" w14:textId="77777777" w:rsidR="00C236A2" w:rsidRPr="0013396E" w:rsidRDefault="00C236A2" w:rsidP="0099759E">
            <w:pPr>
              <w:spacing w:after="60"/>
              <w:rPr>
                <w:i/>
                <w:iCs/>
                <w:sz w:val="20"/>
              </w:rPr>
            </w:pPr>
            <w:r w:rsidRPr="0013396E">
              <w:rPr>
                <w:i/>
                <w:iCs/>
                <w:sz w:val="20"/>
              </w:rPr>
              <w:t>r</w:t>
            </w:r>
          </w:p>
        </w:tc>
        <w:tc>
          <w:tcPr>
            <w:tcW w:w="692" w:type="pct"/>
            <w:tcBorders>
              <w:top w:val="single" w:sz="6" w:space="0" w:color="auto"/>
              <w:left w:val="single" w:sz="6" w:space="0" w:color="auto"/>
              <w:bottom w:val="single" w:sz="6" w:space="0" w:color="auto"/>
              <w:right w:val="single" w:sz="6" w:space="0" w:color="auto"/>
            </w:tcBorders>
            <w:hideMark/>
          </w:tcPr>
          <w:p w14:paraId="189A1155"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hideMark/>
          </w:tcPr>
          <w:p w14:paraId="69979ABB" w14:textId="77777777" w:rsidR="00C236A2" w:rsidRPr="0013396E" w:rsidRDefault="00C236A2" w:rsidP="007C3E74">
            <w:pPr>
              <w:rPr>
                <w:iCs/>
                <w:sz w:val="20"/>
              </w:rPr>
            </w:pPr>
            <w:r w:rsidRPr="0013396E">
              <w:rPr>
                <w:iCs/>
                <w:sz w:val="20"/>
              </w:rPr>
              <w:t>A Switchable Generation Resource.</w:t>
            </w:r>
          </w:p>
        </w:tc>
      </w:tr>
      <w:tr w:rsidR="00C236A2" w:rsidRPr="0013396E" w14:paraId="7BB3244E"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474FCE26" w14:textId="77777777" w:rsidR="00C236A2" w:rsidRPr="0013396E" w:rsidRDefault="00C236A2" w:rsidP="0099759E">
            <w:pPr>
              <w:spacing w:after="60"/>
              <w:rPr>
                <w:i/>
                <w:iCs/>
                <w:sz w:val="20"/>
              </w:rPr>
            </w:pPr>
            <w:r w:rsidRPr="0013396E">
              <w:rPr>
                <w:i/>
                <w:iCs/>
                <w:sz w:val="20"/>
              </w:rPr>
              <w:t>d</w:t>
            </w:r>
          </w:p>
        </w:tc>
        <w:tc>
          <w:tcPr>
            <w:tcW w:w="692" w:type="pct"/>
            <w:tcBorders>
              <w:top w:val="single" w:sz="6" w:space="0" w:color="auto"/>
              <w:left w:val="single" w:sz="6" w:space="0" w:color="auto"/>
              <w:bottom w:val="single" w:sz="6" w:space="0" w:color="auto"/>
              <w:right w:val="single" w:sz="6" w:space="0" w:color="auto"/>
            </w:tcBorders>
            <w:hideMark/>
          </w:tcPr>
          <w:p w14:paraId="5BA46F6E"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hideMark/>
          </w:tcPr>
          <w:p w14:paraId="4E53B0D1" w14:textId="77777777" w:rsidR="00C236A2" w:rsidRPr="0013396E" w:rsidRDefault="00C236A2" w:rsidP="007C3E74">
            <w:pPr>
              <w:rPr>
                <w:iCs/>
                <w:sz w:val="20"/>
              </w:rPr>
            </w:pPr>
            <w:r w:rsidRPr="0013396E">
              <w:rPr>
                <w:iCs/>
                <w:sz w:val="20"/>
              </w:rPr>
              <w:t xml:space="preserve">An Operating Day containing the RUC instruction to the SWGR. </w:t>
            </w:r>
          </w:p>
        </w:tc>
      </w:tr>
      <w:tr w:rsidR="00C236A2" w:rsidRPr="0013396E" w14:paraId="5BD9BDC7"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2284B122" w14:textId="77777777" w:rsidR="00C236A2" w:rsidRPr="0013396E" w:rsidRDefault="00C236A2" w:rsidP="0099759E">
            <w:pPr>
              <w:spacing w:after="60"/>
              <w:rPr>
                <w:i/>
                <w:iCs/>
                <w:sz w:val="20"/>
              </w:rPr>
            </w:pPr>
            <w:r w:rsidRPr="0013396E">
              <w:rPr>
                <w:i/>
                <w:iCs/>
                <w:sz w:val="20"/>
              </w:rPr>
              <w:t>i</w:t>
            </w:r>
          </w:p>
        </w:tc>
        <w:tc>
          <w:tcPr>
            <w:tcW w:w="692" w:type="pct"/>
            <w:tcBorders>
              <w:top w:val="single" w:sz="6" w:space="0" w:color="auto"/>
              <w:left w:val="single" w:sz="6" w:space="0" w:color="auto"/>
              <w:bottom w:val="single" w:sz="6" w:space="0" w:color="auto"/>
              <w:right w:val="single" w:sz="6" w:space="0" w:color="auto"/>
            </w:tcBorders>
            <w:hideMark/>
          </w:tcPr>
          <w:p w14:paraId="578C354D"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hideMark/>
          </w:tcPr>
          <w:p w14:paraId="38E59D8B" w14:textId="77777777" w:rsidR="00C236A2" w:rsidRPr="0013396E" w:rsidRDefault="00C236A2" w:rsidP="007C3E74">
            <w:pPr>
              <w:rPr>
                <w:iCs/>
                <w:sz w:val="20"/>
              </w:rPr>
            </w:pPr>
            <w:r w:rsidRPr="0013396E">
              <w:rPr>
                <w:iCs/>
                <w:sz w:val="20"/>
              </w:rPr>
              <w:t>A 15-minute Settlement Interval within the hour of an Operating Day during which the SWGR is instructed by ERCOT.</w:t>
            </w:r>
          </w:p>
        </w:tc>
      </w:tr>
      <w:tr w:rsidR="00C236A2" w:rsidRPr="0013396E" w14:paraId="159EEFA5"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4B5264CB" w14:textId="77777777" w:rsidR="00C236A2" w:rsidRPr="0013396E" w:rsidRDefault="00C236A2" w:rsidP="0099759E">
            <w:pPr>
              <w:spacing w:after="60"/>
              <w:rPr>
                <w:i/>
                <w:iCs/>
                <w:sz w:val="20"/>
              </w:rPr>
            </w:pPr>
            <w:r w:rsidRPr="0013396E">
              <w:rPr>
                <w:i/>
                <w:iCs/>
                <w:sz w:val="20"/>
              </w:rPr>
              <w:t>s</w:t>
            </w:r>
          </w:p>
        </w:tc>
        <w:tc>
          <w:tcPr>
            <w:tcW w:w="692" w:type="pct"/>
            <w:tcBorders>
              <w:top w:val="single" w:sz="6" w:space="0" w:color="auto"/>
              <w:left w:val="single" w:sz="6" w:space="0" w:color="auto"/>
              <w:bottom w:val="single" w:sz="6" w:space="0" w:color="auto"/>
              <w:right w:val="single" w:sz="6" w:space="0" w:color="auto"/>
            </w:tcBorders>
            <w:hideMark/>
          </w:tcPr>
          <w:p w14:paraId="32F18FFF"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hideMark/>
          </w:tcPr>
          <w:p w14:paraId="782DF1B7" w14:textId="77777777" w:rsidR="00C236A2" w:rsidRPr="0013396E" w:rsidRDefault="00C236A2" w:rsidP="007C3E74">
            <w:pPr>
              <w:rPr>
                <w:iCs/>
                <w:sz w:val="20"/>
              </w:rPr>
            </w:pPr>
            <w:r w:rsidRPr="0013396E">
              <w:rPr>
                <w:iCs/>
                <w:sz w:val="20"/>
              </w:rPr>
              <w:t xml:space="preserve">An ERCOT area start that is eligible to have its costs included in the Switchable Generation Cost Guarantee. </w:t>
            </w:r>
          </w:p>
        </w:tc>
      </w:tr>
      <w:tr w:rsidR="00C236A2" w:rsidRPr="0013396E" w14:paraId="3E0F2454" w14:textId="77777777" w:rsidTr="0099759E">
        <w:trPr>
          <w:cantSplit/>
        </w:trPr>
        <w:tc>
          <w:tcPr>
            <w:tcW w:w="966" w:type="pct"/>
            <w:tcBorders>
              <w:top w:val="single" w:sz="6" w:space="0" w:color="auto"/>
              <w:left w:val="single" w:sz="4" w:space="0" w:color="auto"/>
              <w:bottom w:val="single" w:sz="6" w:space="0" w:color="auto"/>
              <w:right w:val="single" w:sz="6" w:space="0" w:color="auto"/>
            </w:tcBorders>
            <w:hideMark/>
          </w:tcPr>
          <w:p w14:paraId="0D5C51A7" w14:textId="77777777" w:rsidR="00C236A2" w:rsidRPr="0013396E" w:rsidRDefault="00C236A2" w:rsidP="0099759E">
            <w:pPr>
              <w:spacing w:after="60"/>
              <w:rPr>
                <w:i/>
                <w:iCs/>
                <w:sz w:val="20"/>
              </w:rPr>
            </w:pPr>
            <w:r w:rsidRPr="0013396E">
              <w:rPr>
                <w:i/>
                <w:iCs/>
                <w:sz w:val="20"/>
              </w:rPr>
              <w:t>rc</w:t>
            </w:r>
          </w:p>
        </w:tc>
        <w:tc>
          <w:tcPr>
            <w:tcW w:w="692" w:type="pct"/>
            <w:tcBorders>
              <w:top w:val="single" w:sz="6" w:space="0" w:color="auto"/>
              <w:left w:val="single" w:sz="6" w:space="0" w:color="auto"/>
              <w:bottom w:val="single" w:sz="6" w:space="0" w:color="auto"/>
              <w:right w:val="single" w:sz="6" w:space="0" w:color="auto"/>
            </w:tcBorders>
            <w:hideMark/>
          </w:tcPr>
          <w:p w14:paraId="29B53CCD"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hideMark/>
          </w:tcPr>
          <w:p w14:paraId="28EA42BD" w14:textId="77777777" w:rsidR="00C236A2" w:rsidRPr="0013396E" w:rsidRDefault="00C236A2" w:rsidP="007C3E74">
            <w:pPr>
              <w:rPr>
                <w:iCs/>
                <w:sz w:val="20"/>
              </w:rPr>
            </w:pPr>
            <w:r w:rsidRPr="0013396E">
              <w:rPr>
                <w:iCs/>
                <w:sz w:val="20"/>
              </w:rPr>
              <w:t>A Resource Category.</w:t>
            </w:r>
          </w:p>
        </w:tc>
      </w:tr>
      <w:tr w:rsidR="00C236A2" w:rsidRPr="0013396E" w14:paraId="32F7D793" w14:textId="77777777" w:rsidTr="0099759E">
        <w:trPr>
          <w:cantSplit/>
        </w:trPr>
        <w:tc>
          <w:tcPr>
            <w:tcW w:w="966" w:type="pct"/>
            <w:tcBorders>
              <w:top w:val="single" w:sz="6" w:space="0" w:color="auto"/>
              <w:left w:val="single" w:sz="4" w:space="0" w:color="auto"/>
              <w:bottom w:val="single" w:sz="6" w:space="0" w:color="auto"/>
              <w:right w:val="single" w:sz="6" w:space="0" w:color="auto"/>
            </w:tcBorders>
          </w:tcPr>
          <w:p w14:paraId="65F171EC" w14:textId="77777777" w:rsidR="00C236A2" w:rsidRPr="0013396E" w:rsidRDefault="00C236A2" w:rsidP="0099759E">
            <w:pPr>
              <w:spacing w:after="60"/>
              <w:rPr>
                <w:i/>
                <w:iCs/>
                <w:sz w:val="20"/>
              </w:rPr>
            </w:pPr>
            <w:r w:rsidRPr="0013396E">
              <w:rPr>
                <w:i/>
                <w:iCs/>
                <w:sz w:val="20"/>
              </w:rPr>
              <w:t>p</w:t>
            </w:r>
          </w:p>
        </w:tc>
        <w:tc>
          <w:tcPr>
            <w:tcW w:w="692" w:type="pct"/>
            <w:tcBorders>
              <w:top w:val="single" w:sz="6" w:space="0" w:color="auto"/>
              <w:left w:val="single" w:sz="6" w:space="0" w:color="auto"/>
              <w:bottom w:val="single" w:sz="6" w:space="0" w:color="auto"/>
              <w:right w:val="single" w:sz="6" w:space="0" w:color="auto"/>
            </w:tcBorders>
          </w:tcPr>
          <w:p w14:paraId="7AAC488B" w14:textId="77777777" w:rsidR="00C236A2" w:rsidRPr="0013396E" w:rsidRDefault="00C236A2" w:rsidP="0099759E">
            <w:pPr>
              <w:spacing w:after="60"/>
              <w:rPr>
                <w:iCs/>
                <w:sz w:val="20"/>
              </w:rPr>
            </w:pPr>
            <w:r w:rsidRPr="0013396E">
              <w:rPr>
                <w:iCs/>
                <w:sz w:val="20"/>
              </w:rPr>
              <w:t>none</w:t>
            </w:r>
          </w:p>
        </w:tc>
        <w:tc>
          <w:tcPr>
            <w:tcW w:w="3342" w:type="pct"/>
            <w:tcBorders>
              <w:top w:val="single" w:sz="6" w:space="0" w:color="auto"/>
              <w:left w:val="single" w:sz="6" w:space="0" w:color="auto"/>
              <w:bottom w:val="single" w:sz="6" w:space="0" w:color="auto"/>
              <w:right w:val="single" w:sz="4" w:space="0" w:color="auto"/>
            </w:tcBorders>
          </w:tcPr>
          <w:p w14:paraId="3E67E638" w14:textId="77777777" w:rsidR="00C236A2" w:rsidRPr="0013396E" w:rsidRDefault="00C236A2" w:rsidP="007C3E74">
            <w:pPr>
              <w:rPr>
                <w:iCs/>
                <w:sz w:val="20"/>
              </w:rPr>
            </w:pPr>
            <w:r w:rsidRPr="0013396E">
              <w:rPr>
                <w:iCs/>
                <w:sz w:val="20"/>
              </w:rPr>
              <w:t>A Resource Node Settlement Point.</w:t>
            </w:r>
          </w:p>
        </w:tc>
      </w:tr>
    </w:tbl>
    <w:p w14:paraId="724B9467" w14:textId="04EA6F34" w:rsidR="00236104" w:rsidRPr="0013396E" w:rsidRDefault="00236104" w:rsidP="00236104">
      <w:pPr>
        <w:pStyle w:val="BodyTextNumbered"/>
        <w:spacing w:before="240"/>
      </w:pPr>
      <w:r w:rsidRPr="0013396E">
        <w:t>(2)</w:t>
      </w:r>
      <w:r w:rsidRPr="0013396E">
        <w:tab/>
        <w:t>The total compensation to each QSE for the Switchable Generation Make-Whole Payment for a given hour in the Operating Day is calculated as follows:</w:t>
      </w:r>
    </w:p>
    <w:p w14:paraId="58892190" w14:textId="77777777" w:rsidR="00236104" w:rsidRPr="0013396E" w:rsidRDefault="00236104" w:rsidP="00236104">
      <w:pPr>
        <w:pStyle w:val="BodyTextNumbered"/>
        <w:ind w:left="1440"/>
        <w:rPr>
          <w:b/>
          <w:i/>
          <w:vertAlign w:val="subscript"/>
          <w:lang w:val="es-ES"/>
        </w:rPr>
      </w:pPr>
      <w:r w:rsidRPr="0013396E">
        <w:rPr>
          <w:b/>
        </w:rPr>
        <w:t xml:space="preserve">SWMWAMTQSETOT </w:t>
      </w:r>
      <w:r w:rsidRPr="0013396E">
        <w:rPr>
          <w:b/>
          <w:i/>
          <w:vertAlign w:val="subscript"/>
        </w:rPr>
        <w:t>q</w:t>
      </w:r>
      <w:r w:rsidRPr="0013396E">
        <w:rPr>
          <w:b/>
          <w:i/>
          <w:vertAlign w:val="subscript"/>
        </w:rPr>
        <w:tab/>
      </w:r>
      <w:r w:rsidRPr="0013396E">
        <w:rPr>
          <w:b/>
        </w:rPr>
        <w:t xml:space="preserve">=  </w:t>
      </w:r>
      <w:r w:rsidRPr="0013396E">
        <w:rPr>
          <w:b/>
          <w:position w:val="-18"/>
        </w:rPr>
        <w:object w:dxaOrig="220" w:dyaOrig="420" w14:anchorId="149310FE">
          <v:shape id="_x0000_i1257" type="#_x0000_t75" style="width:12pt;height:24pt" o:ole="">
            <v:imagedata r:id="rId330" o:title=""/>
          </v:shape>
          <o:OLEObject Type="Embed" ProgID="Equation.3" ShapeID="_x0000_i1257" DrawAspect="Content" ObjectID="_1849065887" r:id="rId331"/>
        </w:object>
      </w:r>
      <w:r w:rsidRPr="0013396E">
        <w:rPr>
          <w:b/>
        </w:rPr>
        <w:t xml:space="preserve"> SWMWAMT </w:t>
      </w:r>
      <w:r w:rsidRPr="0013396E">
        <w:rPr>
          <w:b/>
          <w:i/>
          <w:vertAlign w:val="subscript"/>
        </w:rPr>
        <w:t>q, r</w:t>
      </w:r>
    </w:p>
    <w:p w14:paraId="1FD97724" w14:textId="77777777" w:rsidR="00236104" w:rsidRPr="0013396E" w:rsidRDefault="00236104" w:rsidP="00236104">
      <w:pPr>
        <w:pStyle w:val="BodyTextNumbered"/>
        <w:spacing w:after="0"/>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810"/>
        <w:gridCol w:w="5935"/>
      </w:tblGrid>
      <w:tr w:rsidR="00236104" w:rsidRPr="0013396E" w14:paraId="5FDAF585" w14:textId="77777777" w:rsidTr="00BA73E7">
        <w:trPr>
          <w:cantSplit/>
          <w:tblHeader/>
        </w:trPr>
        <w:tc>
          <w:tcPr>
            <w:tcW w:w="1393" w:type="pct"/>
            <w:tcBorders>
              <w:top w:val="single" w:sz="4" w:space="0" w:color="auto"/>
              <w:left w:val="single" w:sz="4" w:space="0" w:color="auto"/>
              <w:bottom w:val="single" w:sz="4" w:space="0" w:color="auto"/>
              <w:right w:val="single" w:sz="4" w:space="0" w:color="auto"/>
            </w:tcBorders>
            <w:hideMark/>
          </w:tcPr>
          <w:p w14:paraId="74BC7425" w14:textId="77777777" w:rsidR="00236104" w:rsidRPr="0013396E" w:rsidRDefault="00236104" w:rsidP="00BA73E7">
            <w:pPr>
              <w:pStyle w:val="TableHead"/>
            </w:pPr>
            <w:r w:rsidRPr="0013396E">
              <w:t>Variable</w:t>
            </w:r>
          </w:p>
        </w:tc>
        <w:tc>
          <w:tcPr>
            <w:tcW w:w="433" w:type="pct"/>
            <w:tcBorders>
              <w:top w:val="single" w:sz="4" w:space="0" w:color="auto"/>
              <w:left w:val="single" w:sz="4" w:space="0" w:color="auto"/>
              <w:bottom w:val="single" w:sz="4" w:space="0" w:color="auto"/>
              <w:right w:val="single" w:sz="4" w:space="0" w:color="auto"/>
            </w:tcBorders>
            <w:hideMark/>
          </w:tcPr>
          <w:p w14:paraId="7CC0A7FF" w14:textId="77777777" w:rsidR="00236104" w:rsidRPr="0013396E" w:rsidRDefault="00236104" w:rsidP="00BA73E7">
            <w:pPr>
              <w:pStyle w:val="TableHead"/>
            </w:pPr>
            <w:r w:rsidRPr="0013396E">
              <w:t>Unit</w:t>
            </w:r>
          </w:p>
        </w:tc>
        <w:tc>
          <w:tcPr>
            <w:tcW w:w="3174" w:type="pct"/>
            <w:tcBorders>
              <w:top w:val="single" w:sz="4" w:space="0" w:color="auto"/>
              <w:left w:val="single" w:sz="4" w:space="0" w:color="auto"/>
              <w:bottom w:val="single" w:sz="4" w:space="0" w:color="auto"/>
              <w:right w:val="single" w:sz="4" w:space="0" w:color="auto"/>
            </w:tcBorders>
            <w:hideMark/>
          </w:tcPr>
          <w:p w14:paraId="05F9EBE2" w14:textId="77777777" w:rsidR="00236104" w:rsidRPr="0013396E" w:rsidRDefault="00236104" w:rsidP="00BA73E7">
            <w:pPr>
              <w:pStyle w:val="TableHead"/>
            </w:pPr>
            <w:r w:rsidRPr="0013396E">
              <w:t>Definition</w:t>
            </w:r>
          </w:p>
        </w:tc>
      </w:tr>
      <w:tr w:rsidR="00236104" w:rsidRPr="0013396E" w14:paraId="6AD8A9BF" w14:textId="77777777" w:rsidTr="00BA73E7">
        <w:trPr>
          <w:cantSplit/>
        </w:trPr>
        <w:tc>
          <w:tcPr>
            <w:tcW w:w="1393" w:type="pct"/>
            <w:tcBorders>
              <w:top w:val="single" w:sz="4" w:space="0" w:color="auto"/>
              <w:left w:val="single" w:sz="4" w:space="0" w:color="auto"/>
              <w:bottom w:val="single" w:sz="4" w:space="0" w:color="auto"/>
              <w:right w:val="single" w:sz="4" w:space="0" w:color="auto"/>
            </w:tcBorders>
            <w:hideMark/>
          </w:tcPr>
          <w:p w14:paraId="6E09E6E6" w14:textId="77777777" w:rsidR="00236104" w:rsidRPr="0013396E" w:rsidRDefault="00236104" w:rsidP="00BA73E7">
            <w:pPr>
              <w:pStyle w:val="TableBody"/>
            </w:pPr>
            <w:r w:rsidRPr="0013396E">
              <w:t>SWMWAMTQSETOT</w:t>
            </w:r>
            <w:r w:rsidRPr="0013396E">
              <w:rPr>
                <w:b/>
              </w:rPr>
              <w:t xml:space="preserve"> </w:t>
            </w:r>
            <w:r w:rsidRPr="0013396E">
              <w:rPr>
                <w:b/>
                <w:i/>
                <w:vertAlign w:val="subscript"/>
              </w:rPr>
              <w:t>q</w:t>
            </w:r>
          </w:p>
        </w:tc>
        <w:tc>
          <w:tcPr>
            <w:tcW w:w="433" w:type="pct"/>
            <w:tcBorders>
              <w:top w:val="single" w:sz="4" w:space="0" w:color="auto"/>
              <w:left w:val="single" w:sz="4" w:space="0" w:color="auto"/>
              <w:bottom w:val="single" w:sz="4" w:space="0" w:color="auto"/>
              <w:right w:val="single" w:sz="4" w:space="0" w:color="auto"/>
            </w:tcBorders>
            <w:hideMark/>
          </w:tcPr>
          <w:p w14:paraId="0CEC01DD" w14:textId="77777777" w:rsidR="00236104" w:rsidRPr="0013396E" w:rsidRDefault="00236104" w:rsidP="00BA73E7">
            <w:pPr>
              <w:pStyle w:val="TableBody"/>
            </w:pPr>
            <w:r w:rsidRPr="0013396E">
              <w:t>$</w:t>
            </w:r>
          </w:p>
        </w:tc>
        <w:tc>
          <w:tcPr>
            <w:tcW w:w="3174" w:type="pct"/>
            <w:tcBorders>
              <w:top w:val="single" w:sz="4" w:space="0" w:color="auto"/>
              <w:left w:val="single" w:sz="4" w:space="0" w:color="auto"/>
              <w:bottom w:val="single" w:sz="4" w:space="0" w:color="auto"/>
              <w:right w:val="single" w:sz="4" w:space="0" w:color="auto"/>
            </w:tcBorders>
            <w:hideMark/>
          </w:tcPr>
          <w:p w14:paraId="55103BF3" w14:textId="77777777" w:rsidR="00236104" w:rsidRPr="0013396E" w:rsidRDefault="00236104" w:rsidP="00BA73E7">
            <w:pPr>
              <w:pStyle w:val="TableBody"/>
            </w:pPr>
            <w:r w:rsidRPr="0013396E">
              <w:rPr>
                <w:i/>
              </w:rPr>
              <w:t>Switchable Generation Make-Whole Payment per QSE</w:t>
            </w:r>
            <w:r w:rsidRPr="0013396E">
              <w:t xml:space="preserve">—The total Switchable Generation Make-Whole Payment to the QSE </w:t>
            </w:r>
            <w:r w:rsidRPr="0013396E">
              <w:rPr>
                <w:i/>
              </w:rPr>
              <w:t>q</w:t>
            </w:r>
            <w:r w:rsidRPr="0013396E">
              <w:t xml:space="preserve">, for the hour.  </w:t>
            </w:r>
          </w:p>
        </w:tc>
      </w:tr>
      <w:tr w:rsidR="00236104" w:rsidRPr="0013396E" w14:paraId="7FCCDCF4" w14:textId="77777777" w:rsidTr="00BA73E7">
        <w:trPr>
          <w:cantSplit/>
        </w:trPr>
        <w:tc>
          <w:tcPr>
            <w:tcW w:w="1393" w:type="pct"/>
            <w:tcBorders>
              <w:top w:val="single" w:sz="4" w:space="0" w:color="auto"/>
              <w:left w:val="single" w:sz="4" w:space="0" w:color="auto"/>
              <w:bottom w:val="single" w:sz="4" w:space="0" w:color="auto"/>
              <w:right w:val="single" w:sz="4" w:space="0" w:color="auto"/>
            </w:tcBorders>
          </w:tcPr>
          <w:p w14:paraId="14F507BD" w14:textId="77777777" w:rsidR="00236104" w:rsidRPr="0013396E" w:rsidRDefault="00236104" w:rsidP="00BA73E7">
            <w:pPr>
              <w:pStyle w:val="TableBody"/>
              <w:rPr>
                <w:b/>
              </w:rPr>
            </w:pPr>
            <w:r w:rsidRPr="0013396E">
              <w:t xml:space="preserve">SWMWAMT </w:t>
            </w:r>
            <w:r w:rsidRPr="0013396E">
              <w:rPr>
                <w:i/>
                <w:vertAlign w:val="subscript"/>
              </w:rPr>
              <w:t>q, r</w:t>
            </w:r>
          </w:p>
        </w:tc>
        <w:tc>
          <w:tcPr>
            <w:tcW w:w="433" w:type="pct"/>
            <w:tcBorders>
              <w:top w:val="single" w:sz="4" w:space="0" w:color="auto"/>
              <w:left w:val="single" w:sz="4" w:space="0" w:color="auto"/>
              <w:bottom w:val="single" w:sz="4" w:space="0" w:color="auto"/>
              <w:right w:val="single" w:sz="4" w:space="0" w:color="auto"/>
            </w:tcBorders>
          </w:tcPr>
          <w:p w14:paraId="1736A12C" w14:textId="77777777" w:rsidR="00236104" w:rsidRPr="0013396E" w:rsidRDefault="00236104" w:rsidP="00BA73E7">
            <w:pPr>
              <w:pStyle w:val="TableBody"/>
            </w:pPr>
            <w:r w:rsidRPr="0013396E">
              <w:t>$</w:t>
            </w:r>
          </w:p>
        </w:tc>
        <w:tc>
          <w:tcPr>
            <w:tcW w:w="3174" w:type="pct"/>
            <w:tcBorders>
              <w:top w:val="single" w:sz="4" w:space="0" w:color="auto"/>
              <w:left w:val="single" w:sz="4" w:space="0" w:color="auto"/>
              <w:bottom w:val="single" w:sz="4" w:space="0" w:color="auto"/>
              <w:right w:val="single" w:sz="4" w:space="0" w:color="auto"/>
            </w:tcBorders>
          </w:tcPr>
          <w:p w14:paraId="25D1E1B6" w14:textId="77777777" w:rsidR="00236104" w:rsidRPr="0013396E" w:rsidRDefault="00236104" w:rsidP="00BA73E7">
            <w:pPr>
              <w:pStyle w:val="TableBody"/>
              <w:rPr>
                <w:i/>
              </w:rPr>
            </w:pPr>
            <w:r w:rsidRPr="0013396E">
              <w:rPr>
                <w:i/>
              </w:rPr>
              <w:t>Switchable Generation Make-Whole Payment</w:t>
            </w:r>
            <w:r w:rsidRPr="0013396E">
              <w:t xml:space="preserve">—The Switchable Generation Make-Whole Payment to the QSE </w:t>
            </w:r>
            <w:r w:rsidRPr="0013396E">
              <w:rPr>
                <w:i/>
              </w:rPr>
              <w:t>q,</w:t>
            </w:r>
            <w:r w:rsidRPr="0013396E">
              <w:t xml:space="preserve"> for Resource </w:t>
            </w:r>
            <w:r w:rsidRPr="0013396E">
              <w:rPr>
                <w:i/>
              </w:rPr>
              <w:t>r</w:t>
            </w:r>
            <w:r w:rsidRPr="0013396E">
              <w:t xml:space="preserve">, for the hour.  Where for a Combined Cycle Train, the Resource </w:t>
            </w:r>
            <w:r w:rsidRPr="0013396E">
              <w:rPr>
                <w:i/>
              </w:rPr>
              <w:t xml:space="preserve">r </w:t>
            </w:r>
            <w:r w:rsidRPr="0013396E">
              <w:t>is the Combined Cycle Train.</w:t>
            </w:r>
          </w:p>
        </w:tc>
      </w:tr>
      <w:tr w:rsidR="00236104" w:rsidRPr="0013396E" w14:paraId="512AF95E" w14:textId="77777777" w:rsidTr="00BA73E7">
        <w:trPr>
          <w:cantSplit/>
        </w:trPr>
        <w:tc>
          <w:tcPr>
            <w:tcW w:w="1393" w:type="pct"/>
            <w:tcBorders>
              <w:top w:val="single" w:sz="4" w:space="0" w:color="auto"/>
              <w:left w:val="single" w:sz="4" w:space="0" w:color="auto"/>
              <w:bottom w:val="single" w:sz="4" w:space="0" w:color="auto"/>
              <w:right w:val="single" w:sz="4" w:space="0" w:color="auto"/>
            </w:tcBorders>
            <w:hideMark/>
          </w:tcPr>
          <w:p w14:paraId="714574AC" w14:textId="77777777" w:rsidR="00236104" w:rsidRPr="0013396E" w:rsidRDefault="00236104" w:rsidP="00BA73E7">
            <w:pPr>
              <w:pStyle w:val="TableBody"/>
              <w:rPr>
                <w:i/>
              </w:rPr>
            </w:pPr>
            <w:r w:rsidRPr="0013396E">
              <w:rPr>
                <w:i/>
              </w:rPr>
              <w:t>q</w:t>
            </w:r>
          </w:p>
        </w:tc>
        <w:tc>
          <w:tcPr>
            <w:tcW w:w="433" w:type="pct"/>
            <w:tcBorders>
              <w:top w:val="single" w:sz="4" w:space="0" w:color="auto"/>
              <w:left w:val="single" w:sz="4" w:space="0" w:color="auto"/>
              <w:bottom w:val="single" w:sz="4" w:space="0" w:color="auto"/>
              <w:right w:val="single" w:sz="4" w:space="0" w:color="auto"/>
            </w:tcBorders>
            <w:hideMark/>
          </w:tcPr>
          <w:p w14:paraId="1099EA64" w14:textId="77777777" w:rsidR="00236104" w:rsidRPr="0013396E" w:rsidRDefault="00236104" w:rsidP="00BA73E7">
            <w:pPr>
              <w:pStyle w:val="TableBody"/>
            </w:pPr>
            <w:r w:rsidRPr="0013396E">
              <w:t>none</w:t>
            </w:r>
          </w:p>
        </w:tc>
        <w:tc>
          <w:tcPr>
            <w:tcW w:w="3174" w:type="pct"/>
            <w:tcBorders>
              <w:top w:val="single" w:sz="4" w:space="0" w:color="auto"/>
              <w:left w:val="single" w:sz="4" w:space="0" w:color="auto"/>
              <w:bottom w:val="single" w:sz="4" w:space="0" w:color="auto"/>
              <w:right w:val="single" w:sz="4" w:space="0" w:color="auto"/>
            </w:tcBorders>
            <w:hideMark/>
          </w:tcPr>
          <w:p w14:paraId="7BC1B433" w14:textId="77777777" w:rsidR="00236104" w:rsidRPr="0013396E" w:rsidRDefault="00236104" w:rsidP="00BA73E7">
            <w:pPr>
              <w:pStyle w:val="TableBody"/>
            </w:pPr>
            <w:r w:rsidRPr="0013396E">
              <w:t>A QSE.</w:t>
            </w:r>
          </w:p>
        </w:tc>
      </w:tr>
      <w:tr w:rsidR="00236104" w:rsidRPr="0013396E" w14:paraId="69AB95DE" w14:textId="77777777" w:rsidTr="00BA73E7">
        <w:trPr>
          <w:cantSplit/>
        </w:trPr>
        <w:tc>
          <w:tcPr>
            <w:tcW w:w="1393" w:type="pct"/>
            <w:tcBorders>
              <w:top w:val="single" w:sz="4" w:space="0" w:color="auto"/>
              <w:left w:val="single" w:sz="4" w:space="0" w:color="auto"/>
              <w:bottom w:val="single" w:sz="4" w:space="0" w:color="auto"/>
              <w:right w:val="single" w:sz="4" w:space="0" w:color="auto"/>
            </w:tcBorders>
            <w:hideMark/>
          </w:tcPr>
          <w:p w14:paraId="78AD7A44" w14:textId="77777777" w:rsidR="00236104" w:rsidRPr="0013396E" w:rsidRDefault="00236104" w:rsidP="00BA73E7">
            <w:pPr>
              <w:pStyle w:val="TableBody"/>
              <w:rPr>
                <w:i/>
              </w:rPr>
            </w:pPr>
            <w:r w:rsidRPr="0013396E">
              <w:rPr>
                <w:i/>
              </w:rPr>
              <w:t>r</w:t>
            </w:r>
          </w:p>
        </w:tc>
        <w:tc>
          <w:tcPr>
            <w:tcW w:w="433" w:type="pct"/>
            <w:tcBorders>
              <w:top w:val="single" w:sz="4" w:space="0" w:color="auto"/>
              <w:left w:val="single" w:sz="4" w:space="0" w:color="auto"/>
              <w:bottom w:val="single" w:sz="4" w:space="0" w:color="auto"/>
              <w:right w:val="single" w:sz="4" w:space="0" w:color="auto"/>
            </w:tcBorders>
            <w:hideMark/>
          </w:tcPr>
          <w:p w14:paraId="32386ADB" w14:textId="77777777" w:rsidR="00236104" w:rsidRPr="0013396E" w:rsidRDefault="00236104" w:rsidP="00BA73E7">
            <w:pPr>
              <w:pStyle w:val="TableBody"/>
            </w:pPr>
            <w:r w:rsidRPr="0013396E">
              <w:t>none</w:t>
            </w:r>
          </w:p>
        </w:tc>
        <w:tc>
          <w:tcPr>
            <w:tcW w:w="3174" w:type="pct"/>
            <w:tcBorders>
              <w:top w:val="single" w:sz="4" w:space="0" w:color="auto"/>
              <w:left w:val="single" w:sz="4" w:space="0" w:color="auto"/>
              <w:bottom w:val="single" w:sz="4" w:space="0" w:color="auto"/>
              <w:right w:val="single" w:sz="4" w:space="0" w:color="auto"/>
            </w:tcBorders>
            <w:hideMark/>
          </w:tcPr>
          <w:p w14:paraId="3968199E" w14:textId="77777777" w:rsidR="00236104" w:rsidRPr="0013396E" w:rsidRDefault="00236104" w:rsidP="00BA73E7">
            <w:pPr>
              <w:pStyle w:val="TableBody"/>
            </w:pPr>
            <w:r w:rsidRPr="0013396E">
              <w:t>A Switchable Generation Resource.</w:t>
            </w:r>
          </w:p>
        </w:tc>
      </w:tr>
    </w:tbl>
    <w:p w14:paraId="76A14CD2" w14:textId="7AAEE3B6" w:rsidR="00236104" w:rsidRPr="0013396E" w:rsidRDefault="00236104" w:rsidP="00236104">
      <w:pPr>
        <w:pStyle w:val="H4"/>
        <w:spacing w:before="480"/>
        <w:ind w:left="1267" w:hanging="1267"/>
      </w:pPr>
      <w:bookmarkStart w:id="2218" w:name="_Toc236220232"/>
      <w:r w:rsidRPr="0013396E">
        <w:lastRenderedPageBreak/>
        <w:t>6.6.12.2</w:t>
      </w:r>
      <w:r w:rsidRPr="0013396E">
        <w:tab/>
        <w:t>Switchable Generation Make-Whole Charge</w:t>
      </w:r>
      <w:bookmarkEnd w:id="2218"/>
      <w:r w:rsidRPr="0013396E">
        <w:t xml:space="preserve"> </w:t>
      </w:r>
    </w:p>
    <w:p w14:paraId="250D1910" w14:textId="77777777" w:rsidR="00236104" w:rsidRPr="0013396E" w:rsidRDefault="00236104" w:rsidP="00236104">
      <w:pPr>
        <w:spacing w:after="240"/>
        <w:ind w:left="720" w:hanging="720"/>
      </w:pPr>
      <w:r w:rsidRPr="0013396E">
        <w:t>(1)</w:t>
      </w:r>
      <w:r w:rsidRPr="0013396E">
        <w:tab/>
        <w:t xml:space="preserve">The total cost for Switchable Generation Make-Whole Payments associated with SWGRs that switch to the ERCOT Control Area from a non-ERCOT Control Area pursuant to an ERCOT RUC instruction for an actual or anticipated EEA condition is allocated to QSEs representing Load based on HLRS.  The Switchable Generation Make-Whole Charge for a given hour is calculated as follows:  </w:t>
      </w:r>
    </w:p>
    <w:p w14:paraId="02874F8F" w14:textId="77777777" w:rsidR="00236104" w:rsidRPr="0013396E" w:rsidRDefault="00236104" w:rsidP="00236104">
      <w:pPr>
        <w:tabs>
          <w:tab w:val="left" w:pos="2610"/>
          <w:tab w:val="left" w:pos="3060"/>
        </w:tabs>
        <w:spacing w:after="240"/>
        <w:ind w:left="3060" w:hanging="2340"/>
        <w:rPr>
          <w:b/>
          <w:bCs/>
          <w:i/>
          <w:szCs w:val="24"/>
          <w:vertAlign w:val="subscript"/>
        </w:rPr>
      </w:pPr>
      <w:r w:rsidRPr="0013396E">
        <w:rPr>
          <w:b/>
          <w:bCs/>
          <w:szCs w:val="24"/>
        </w:rPr>
        <w:t xml:space="preserve">LASWMWAMT </w:t>
      </w:r>
      <w:r w:rsidRPr="0013396E">
        <w:rPr>
          <w:b/>
          <w:bCs/>
          <w:i/>
          <w:szCs w:val="24"/>
          <w:vertAlign w:val="subscript"/>
        </w:rPr>
        <w:t>q</w:t>
      </w:r>
      <w:r w:rsidRPr="0013396E">
        <w:rPr>
          <w:b/>
          <w:bCs/>
          <w:szCs w:val="24"/>
        </w:rPr>
        <w:tab/>
      </w:r>
      <w:r w:rsidRPr="0013396E">
        <w:rPr>
          <w:b/>
        </w:rPr>
        <w:tab/>
      </w:r>
      <w:r w:rsidRPr="0013396E">
        <w:rPr>
          <w:b/>
          <w:bCs/>
          <w:szCs w:val="24"/>
        </w:rPr>
        <w:t>=</w:t>
      </w:r>
      <w:r w:rsidRPr="0013396E">
        <w:rPr>
          <w:b/>
          <w:bCs/>
          <w:szCs w:val="24"/>
        </w:rPr>
        <w:tab/>
        <w:t xml:space="preserve">(-1) * </w:t>
      </w:r>
      <w:r w:rsidRPr="0013396E">
        <w:rPr>
          <w:b/>
          <w:szCs w:val="24"/>
        </w:rPr>
        <w:t>SWMWAMTTOT</w:t>
      </w:r>
      <w:r w:rsidRPr="0013396E">
        <w:rPr>
          <w:b/>
          <w:bCs/>
          <w:szCs w:val="24"/>
        </w:rPr>
        <w:t xml:space="preserve"> * HLRS </w:t>
      </w:r>
      <w:r w:rsidRPr="0013396E">
        <w:rPr>
          <w:b/>
          <w:bCs/>
          <w:i/>
          <w:szCs w:val="24"/>
          <w:vertAlign w:val="subscript"/>
        </w:rPr>
        <w:t>q</w:t>
      </w:r>
    </w:p>
    <w:p w14:paraId="1C03E523" w14:textId="77777777" w:rsidR="00236104" w:rsidRPr="0013396E" w:rsidRDefault="00236104" w:rsidP="00236104">
      <w:pPr>
        <w:spacing w:before="240" w:after="240"/>
        <w:ind w:left="3600" w:hanging="2880"/>
        <w:rPr>
          <w:bCs/>
          <w:szCs w:val="24"/>
        </w:rPr>
      </w:pPr>
      <w:r w:rsidRPr="0013396E">
        <w:rPr>
          <w:bCs/>
          <w:szCs w:val="24"/>
        </w:rPr>
        <w:t>Where:</w:t>
      </w:r>
    </w:p>
    <w:p w14:paraId="5C7A2E6E" w14:textId="77777777" w:rsidR="00236104" w:rsidRPr="0013396E" w:rsidRDefault="00236104" w:rsidP="00236104">
      <w:pPr>
        <w:tabs>
          <w:tab w:val="left" w:pos="2610"/>
          <w:tab w:val="left" w:pos="3060"/>
        </w:tabs>
        <w:spacing w:after="240"/>
        <w:ind w:left="3060" w:hanging="2340"/>
        <w:rPr>
          <w:bCs/>
          <w:szCs w:val="24"/>
        </w:rPr>
      </w:pPr>
      <w:r w:rsidRPr="0013396E">
        <w:rPr>
          <w:bCs/>
          <w:szCs w:val="24"/>
        </w:rPr>
        <w:t>SWMWAMTTOT</w:t>
      </w:r>
      <w:r w:rsidRPr="0013396E">
        <w:tab/>
      </w:r>
      <w:r w:rsidRPr="0013396E">
        <w:tab/>
      </w:r>
      <w:r w:rsidRPr="0013396E">
        <w:rPr>
          <w:bCs/>
          <w:szCs w:val="24"/>
        </w:rPr>
        <w:t>=</w:t>
      </w:r>
      <w:r w:rsidRPr="0013396E">
        <w:rPr>
          <w:bCs/>
          <w:szCs w:val="24"/>
        </w:rPr>
        <w:tab/>
        <w:t xml:space="preserve"> </w:t>
      </w:r>
      <w:r w:rsidR="00A9698C">
        <w:rPr>
          <w:bCs/>
          <w:position w:val="-22"/>
          <w:szCs w:val="24"/>
        </w:rPr>
        <w:pict w14:anchorId="68FF9CE3">
          <v:shape id="_x0000_i1258" type="#_x0000_t75" style="width:12pt;height:30pt">
            <v:imagedata r:id="rId332" o:title=""/>
          </v:shape>
        </w:pict>
      </w:r>
      <w:r w:rsidRPr="0013396E">
        <w:rPr>
          <w:bCs/>
          <w:color w:val="000000"/>
          <w:szCs w:val="24"/>
        </w:rPr>
        <w:t xml:space="preserve"> </w:t>
      </w:r>
      <w:r w:rsidRPr="0013396E">
        <w:rPr>
          <w:bCs/>
          <w:szCs w:val="24"/>
        </w:rPr>
        <w:t>SWMWAMTQSETOT</w:t>
      </w:r>
      <w:r w:rsidRPr="0013396E">
        <w:rPr>
          <w:b/>
          <w:bCs/>
          <w:szCs w:val="24"/>
        </w:rPr>
        <w:t xml:space="preserve"> </w:t>
      </w:r>
      <w:r w:rsidRPr="0013396E">
        <w:rPr>
          <w:bCs/>
          <w:i/>
          <w:szCs w:val="24"/>
          <w:vertAlign w:val="subscript"/>
        </w:rPr>
        <w:t>q</w:t>
      </w:r>
    </w:p>
    <w:p w14:paraId="56542413" w14:textId="77777777" w:rsidR="00236104" w:rsidRPr="0013396E" w:rsidRDefault="00236104" w:rsidP="00236104">
      <w:pPr>
        <w:spacing w:before="120"/>
        <w:rPr>
          <w:szCs w:val="24"/>
        </w:rPr>
      </w:pPr>
      <w:r w:rsidRPr="0013396E">
        <w:rPr>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810"/>
        <w:gridCol w:w="5935"/>
      </w:tblGrid>
      <w:tr w:rsidR="00236104" w:rsidRPr="0013396E" w14:paraId="6764DF7C" w14:textId="77777777" w:rsidTr="00BA73E7">
        <w:trPr>
          <w:cantSplit/>
          <w:tblHeader/>
        </w:trPr>
        <w:tc>
          <w:tcPr>
            <w:tcW w:w="1393" w:type="pct"/>
            <w:tcBorders>
              <w:top w:val="single" w:sz="4" w:space="0" w:color="auto"/>
              <w:left w:val="single" w:sz="4" w:space="0" w:color="auto"/>
              <w:bottom w:val="single" w:sz="4" w:space="0" w:color="auto"/>
              <w:right w:val="single" w:sz="4" w:space="0" w:color="auto"/>
            </w:tcBorders>
            <w:hideMark/>
          </w:tcPr>
          <w:p w14:paraId="74F8DF3D" w14:textId="77777777" w:rsidR="00236104" w:rsidRPr="0013396E" w:rsidRDefault="00236104" w:rsidP="00BA73E7">
            <w:pPr>
              <w:pStyle w:val="TableHead"/>
            </w:pPr>
            <w:r w:rsidRPr="0013396E">
              <w:t>Variable</w:t>
            </w:r>
          </w:p>
        </w:tc>
        <w:tc>
          <w:tcPr>
            <w:tcW w:w="433" w:type="pct"/>
            <w:tcBorders>
              <w:top w:val="single" w:sz="4" w:space="0" w:color="auto"/>
              <w:left w:val="single" w:sz="4" w:space="0" w:color="auto"/>
              <w:bottom w:val="single" w:sz="4" w:space="0" w:color="auto"/>
              <w:right w:val="single" w:sz="4" w:space="0" w:color="auto"/>
            </w:tcBorders>
            <w:hideMark/>
          </w:tcPr>
          <w:p w14:paraId="0A992E69" w14:textId="77777777" w:rsidR="00236104" w:rsidRPr="0013396E" w:rsidRDefault="00236104" w:rsidP="00BA73E7">
            <w:pPr>
              <w:pStyle w:val="TableHead"/>
            </w:pPr>
            <w:r w:rsidRPr="0013396E">
              <w:t>Unit</w:t>
            </w:r>
          </w:p>
        </w:tc>
        <w:tc>
          <w:tcPr>
            <w:tcW w:w="3174" w:type="pct"/>
            <w:tcBorders>
              <w:top w:val="single" w:sz="4" w:space="0" w:color="auto"/>
              <w:left w:val="single" w:sz="4" w:space="0" w:color="auto"/>
              <w:bottom w:val="single" w:sz="4" w:space="0" w:color="auto"/>
              <w:right w:val="single" w:sz="4" w:space="0" w:color="auto"/>
            </w:tcBorders>
            <w:hideMark/>
          </w:tcPr>
          <w:p w14:paraId="31962060" w14:textId="77777777" w:rsidR="00236104" w:rsidRPr="0013396E" w:rsidRDefault="00236104" w:rsidP="00BA73E7">
            <w:pPr>
              <w:pStyle w:val="TableHead"/>
            </w:pPr>
            <w:r w:rsidRPr="0013396E">
              <w:t>Definition</w:t>
            </w:r>
          </w:p>
        </w:tc>
      </w:tr>
      <w:tr w:rsidR="00236104" w:rsidRPr="0013396E" w14:paraId="2E1941C1" w14:textId="77777777" w:rsidTr="00BA73E7">
        <w:trPr>
          <w:cantSplit/>
        </w:trPr>
        <w:tc>
          <w:tcPr>
            <w:tcW w:w="1393" w:type="pct"/>
            <w:tcBorders>
              <w:top w:val="single" w:sz="4" w:space="0" w:color="auto"/>
              <w:left w:val="single" w:sz="4" w:space="0" w:color="auto"/>
              <w:bottom w:val="single" w:sz="4" w:space="0" w:color="auto"/>
              <w:right w:val="single" w:sz="4" w:space="0" w:color="auto"/>
            </w:tcBorders>
          </w:tcPr>
          <w:p w14:paraId="23DE855F" w14:textId="77777777" w:rsidR="00236104" w:rsidRPr="0013396E" w:rsidRDefault="00236104" w:rsidP="00BA73E7">
            <w:pPr>
              <w:pStyle w:val="TableBody"/>
            </w:pPr>
            <w:r w:rsidRPr="0013396E">
              <w:rPr>
                <w:bCs/>
              </w:rPr>
              <w:t>LASWMWAMT</w:t>
            </w:r>
            <w:r w:rsidRPr="0013396E">
              <w:rPr>
                <w:i/>
                <w:vertAlign w:val="subscript"/>
              </w:rPr>
              <w:t xml:space="preserve"> q</w:t>
            </w:r>
          </w:p>
        </w:tc>
        <w:tc>
          <w:tcPr>
            <w:tcW w:w="433" w:type="pct"/>
            <w:tcBorders>
              <w:top w:val="single" w:sz="4" w:space="0" w:color="auto"/>
              <w:left w:val="single" w:sz="4" w:space="0" w:color="auto"/>
              <w:bottom w:val="single" w:sz="4" w:space="0" w:color="auto"/>
              <w:right w:val="single" w:sz="4" w:space="0" w:color="auto"/>
            </w:tcBorders>
          </w:tcPr>
          <w:p w14:paraId="2AAF4183" w14:textId="77777777" w:rsidR="00236104" w:rsidRPr="0013396E" w:rsidRDefault="00236104" w:rsidP="00BA73E7">
            <w:pPr>
              <w:pStyle w:val="TableBody"/>
            </w:pPr>
            <w:r w:rsidRPr="0013396E">
              <w:t>$</w:t>
            </w:r>
          </w:p>
        </w:tc>
        <w:tc>
          <w:tcPr>
            <w:tcW w:w="3174" w:type="pct"/>
            <w:tcBorders>
              <w:top w:val="single" w:sz="4" w:space="0" w:color="auto"/>
              <w:left w:val="single" w:sz="4" w:space="0" w:color="auto"/>
              <w:bottom w:val="single" w:sz="4" w:space="0" w:color="auto"/>
              <w:right w:val="single" w:sz="4" w:space="0" w:color="auto"/>
            </w:tcBorders>
          </w:tcPr>
          <w:p w14:paraId="20711AAE" w14:textId="77777777" w:rsidR="00236104" w:rsidRPr="0013396E" w:rsidRDefault="00236104" w:rsidP="00BA73E7">
            <w:pPr>
              <w:pStyle w:val="TableBody"/>
              <w:rPr>
                <w:i/>
              </w:rPr>
            </w:pPr>
            <w:r w:rsidRPr="0013396E">
              <w:rPr>
                <w:i/>
              </w:rPr>
              <w:t>Load Allocated Switchable Generation Make-Whole Charge Amount</w:t>
            </w:r>
            <w:r w:rsidRPr="0013396E">
              <w:rPr>
                <w:i/>
                <w:iCs w:val="0"/>
              </w:rPr>
              <w:t xml:space="preserve">– </w:t>
            </w:r>
            <w:r w:rsidRPr="0013396E">
              <w:t xml:space="preserve">The allocated charge to QSE </w:t>
            </w:r>
            <w:r w:rsidRPr="0013396E">
              <w:rPr>
                <w:i/>
              </w:rPr>
              <w:t>q</w:t>
            </w:r>
            <w:r w:rsidRPr="0013396E">
              <w:t xml:space="preserve"> for Switchable Generation Make-Whole Payments.</w:t>
            </w:r>
          </w:p>
        </w:tc>
      </w:tr>
      <w:tr w:rsidR="00236104" w:rsidRPr="0013396E" w14:paraId="78C03208" w14:textId="77777777" w:rsidTr="00BA73E7">
        <w:trPr>
          <w:cantSplit/>
        </w:trPr>
        <w:tc>
          <w:tcPr>
            <w:tcW w:w="1393" w:type="pct"/>
            <w:tcBorders>
              <w:top w:val="single" w:sz="4" w:space="0" w:color="auto"/>
              <w:left w:val="single" w:sz="4" w:space="0" w:color="auto"/>
              <w:bottom w:val="single" w:sz="4" w:space="0" w:color="auto"/>
              <w:right w:val="single" w:sz="4" w:space="0" w:color="auto"/>
            </w:tcBorders>
          </w:tcPr>
          <w:p w14:paraId="19FC59F7" w14:textId="77777777" w:rsidR="00236104" w:rsidRPr="0013396E" w:rsidRDefault="00236104" w:rsidP="00BA73E7">
            <w:pPr>
              <w:pStyle w:val="TableBody"/>
            </w:pPr>
            <w:r w:rsidRPr="0013396E">
              <w:t>SWMWAMTTOT</w:t>
            </w:r>
          </w:p>
        </w:tc>
        <w:tc>
          <w:tcPr>
            <w:tcW w:w="433" w:type="pct"/>
            <w:tcBorders>
              <w:top w:val="single" w:sz="4" w:space="0" w:color="auto"/>
              <w:left w:val="single" w:sz="4" w:space="0" w:color="auto"/>
              <w:bottom w:val="single" w:sz="4" w:space="0" w:color="auto"/>
              <w:right w:val="single" w:sz="4" w:space="0" w:color="auto"/>
            </w:tcBorders>
          </w:tcPr>
          <w:p w14:paraId="01140BD6" w14:textId="77777777" w:rsidR="00236104" w:rsidRPr="0013396E" w:rsidRDefault="00236104" w:rsidP="00BA73E7">
            <w:pPr>
              <w:pStyle w:val="TableBody"/>
            </w:pPr>
            <w:r w:rsidRPr="0013396E">
              <w:t>$</w:t>
            </w:r>
          </w:p>
        </w:tc>
        <w:tc>
          <w:tcPr>
            <w:tcW w:w="3174" w:type="pct"/>
            <w:tcBorders>
              <w:top w:val="single" w:sz="4" w:space="0" w:color="auto"/>
              <w:left w:val="single" w:sz="4" w:space="0" w:color="auto"/>
              <w:bottom w:val="single" w:sz="4" w:space="0" w:color="auto"/>
              <w:right w:val="single" w:sz="4" w:space="0" w:color="auto"/>
            </w:tcBorders>
          </w:tcPr>
          <w:p w14:paraId="7916BF92" w14:textId="77777777" w:rsidR="00236104" w:rsidRPr="0013396E" w:rsidRDefault="00236104" w:rsidP="00BA73E7">
            <w:pPr>
              <w:pStyle w:val="TableBody"/>
              <w:rPr>
                <w:i/>
              </w:rPr>
            </w:pPr>
            <w:r w:rsidRPr="0013396E">
              <w:rPr>
                <w:i/>
              </w:rPr>
              <w:t>Switchable Generation Make-Whole Payment Total—</w:t>
            </w:r>
            <w:r w:rsidRPr="0013396E">
              <w:t>The total Switchable Generation Make-Whole Payments to all QSEs for the hour.</w:t>
            </w:r>
            <w:r w:rsidRPr="0013396E">
              <w:rPr>
                <w:i/>
              </w:rPr>
              <w:t xml:space="preserve">  </w:t>
            </w:r>
          </w:p>
        </w:tc>
      </w:tr>
      <w:tr w:rsidR="00236104" w:rsidRPr="0013396E" w14:paraId="27034025" w14:textId="77777777" w:rsidTr="00BA73E7">
        <w:trPr>
          <w:cantSplit/>
        </w:trPr>
        <w:tc>
          <w:tcPr>
            <w:tcW w:w="1393" w:type="pct"/>
            <w:tcBorders>
              <w:top w:val="single" w:sz="4" w:space="0" w:color="auto"/>
              <w:left w:val="single" w:sz="4" w:space="0" w:color="auto"/>
              <w:bottom w:val="single" w:sz="4" w:space="0" w:color="auto"/>
              <w:right w:val="single" w:sz="4" w:space="0" w:color="auto"/>
            </w:tcBorders>
          </w:tcPr>
          <w:p w14:paraId="004C5B2A" w14:textId="77777777" w:rsidR="00236104" w:rsidRPr="0013396E" w:rsidDel="00FF5D22" w:rsidRDefault="00236104" w:rsidP="00BA73E7">
            <w:pPr>
              <w:pStyle w:val="TableBody"/>
            </w:pPr>
            <w:r w:rsidRPr="0013396E">
              <w:t>SWMWAMTQSETOT</w:t>
            </w:r>
            <w:r w:rsidRPr="0013396E">
              <w:rPr>
                <w:b/>
              </w:rPr>
              <w:t xml:space="preserve"> </w:t>
            </w:r>
            <w:r w:rsidRPr="0013396E">
              <w:rPr>
                <w:b/>
                <w:i/>
                <w:vertAlign w:val="subscript"/>
              </w:rPr>
              <w:t>q</w:t>
            </w:r>
          </w:p>
        </w:tc>
        <w:tc>
          <w:tcPr>
            <w:tcW w:w="433" w:type="pct"/>
            <w:tcBorders>
              <w:top w:val="single" w:sz="4" w:space="0" w:color="auto"/>
              <w:left w:val="single" w:sz="4" w:space="0" w:color="auto"/>
              <w:bottom w:val="single" w:sz="4" w:space="0" w:color="auto"/>
              <w:right w:val="single" w:sz="4" w:space="0" w:color="auto"/>
            </w:tcBorders>
          </w:tcPr>
          <w:p w14:paraId="0C521049" w14:textId="77777777" w:rsidR="00236104" w:rsidRPr="0013396E" w:rsidRDefault="00236104" w:rsidP="00BA73E7">
            <w:pPr>
              <w:pStyle w:val="TableBody"/>
            </w:pPr>
            <w:r w:rsidRPr="0013396E">
              <w:t>$</w:t>
            </w:r>
          </w:p>
        </w:tc>
        <w:tc>
          <w:tcPr>
            <w:tcW w:w="3174" w:type="pct"/>
            <w:tcBorders>
              <w:top w:val="single" w:sz="4" w:space="0" w:color="auto"/>
              <w:left w:val="single" w:sz="4" w:space="0" w:color="auto"/>
              <w:bottom w:val="single" w:sz="4" w:space="0" w:color="auto"/>
              <w:right w:val="single" w:sz="4" w:space="0" w:color="auto"/>
            </w:tcBorders>
          </w:tcPr>
          <w:p w14:paraId="43477293" w14:textId="77777777" w:rsidR="00236104" w:rsidRPr="0013396E" w:rsidRDefault="00236104" w:rsidP="00BA73E7">
            <w:pPr>
              <w:pStyle w:val="TableBody"/>
              <w:rPr>
                <w:i/>
              </w:rPr>
            </w:pPr>
            <w:r w:rsidRPr="0013396E">
              <w:rPr>
                <w:i/>
              </w:rPr>
              <w:t xml:space="preserve">Switchable Generation Make-Whole Payment per QSE </w:t>
            </w:r>
            <w:r w:rsidRPr="0013396E">
              <w:t xml:space="preserve">—The total Switchable Generation Make-Whole Payment to the QSE </w:t>
            </w:r>
            <w:r w:rsidRPr="0013396E">
              <w:rPr>
                <w:i/>
              </w:rPr>
              <w:t>q</w:t>
            </w:r>
            <w:r w:rsidRPr="0013396E">
              <w:t xml:space="preserve"> for the hour.  </w:t>
            </w:r>
          </w:p>
        </w:tc>
      </w:tr>
      <w:tr w:rsidR="00236104" w:rsidRPr="0013396E" w14:paraId="7CFD72B4" w14:textId="77777777" w:rsidTr="00BA73E7">
        <w:trPr>
          <w:cantSplit/>
        </w:trPr>
        <w:tc>
          <w:tcPr>
            <w:tcW w:w="1393" w:type="pct"/>
            <w:tcBorders>
              <w:top w:val="single" w:sz="4" w:space="0" w:color="auto"/>
              <w:left w:val="single" w:sz="4" w:space="0" w:color="auto"/>
              <w:bottom w:val="single" w:sz="4" w:space="0" w:color="auto"/>
              <w:right w:val="single" w:sz="4" w:space="0" w:color="auto"/>
            </w:tcBorders>
          </w:tcPr>
          <w:p w14:paraId="42C09253" w14:textId="77777777" w:rsidR="00236104" w:rsidRPr="0013396E" w:rsidRDefault="00236104" w:rsidP="00BA73E7">
            <w:pPr>
              <w:pStyle w:val="TableBody"/>
            </w:pPr>
            <w:r w:rsidRPr="0013396E">
              <w:t>HLRS</w:t>
            </w:r>
            <w:r w:rsidRPr="0013396E">
              <w:rPr>
                <w:i/>
                <w:vertAlign w:val="subscript"/>
              </w:rPr>
              <w:t xml:space="preserve"> q</w:t>
            </w:r>
          </w:p>
        </w:tc>
        <w:tc>
          <w:tcPr>
            <w:tcW w:w="433" w:type="pct"/>
            <w:tcBorders>
              <w:top w:val="single" w:sz="4" w:space="0" w:color="auto"/>
              <w:left w:val="single" w:sz="4" w:space="0" w:color="auto"/>
              <w:bottom w:val="single" w:sz="4" w:space="0" w:color="auto"/>
              <w:right w:val="single" w:sz="4" w:space="0" w:color="auto"/>
            </w:tcBorders>
          </w:tcPr>
          <w:p w14:paraId="70BA4D8B" w14:textId="77777777" w:rsidR="00236104" w:rsidRPr="0013396E" w:rsidRDefault="00236104" w:rsidP="00BA73E7">
            <w:pPr>
              <w:pStyle w:val="TableBody"/>
            </w:pPr>
            <w:r w:rsidRPr="0013396E">
              <w:t>none</w:t>
            </w:r>
          </w:p>
        </w:tc>
        <w:tc>
          <w:tcPr>
            <w:tcW w:w="3174" w:type="pct"/>
            <w:tcBorders>
              <w:top w:val="single" w:sz="4" w:space="0" w:color="auto"/>
              <w:left w:val="single" w:sz="4" w:space="0" w:color="auto"/>
              <w:bottom w:val="single" w:sz="4" w:space="0" w:color="auto"/>
              <w:right w:val="single" w:sz="4" w:space="0" w:color="auto"/>
            </w:tcBorders>
          </w:tcPr>
          <w:p w14:paraId="363DD411" w14:textId="77777777" w:rsidR="00236104" w:rsidRPr="0013396E" w:rsidRDefault="00236104" w:rsidP="00BA73E7">
            <w:pPr>
              <w:pStyle w:val="TableBody"/>
              <w:rPr>
                <w:i/>
              </w:rPr>
            </w:pPr>
            <w:r w:rsidRPr="0013396E">
              <w:rPr>
                <w:i/>
              </w:rPr>
              <w:t>The Hourly Load Ratio Share calculated for QSE q for the hour</w:t>
            </w:r>
            <w:r w:rsidRPr="0013396E">
              <w:t>.  See Section 6.6.2.4, QSE Load Ratio Share for an Operating Hour.</w:t>
            </w:r>
          </w:p>
        </w:tc>
      </w:tr>
      <w:tr w:rsidR="00236104" w:rsidRPr="0013396E" w14:paraId="20CDE28D" w14:textId="77777777" w:rsidTr="00BA73E7">
        <w:trPr>
          <w:cantSplit/>
        </w:trPr>
        <w:tc>
          <w:tcPr>
            <w:tcW w:w="1393" w:type="pct"/>
            <w:tcBorders>
              <w:top w:val="single" w:sz="4" w:space="0" w:color="auto"/>
              <w:left w:val="single" w:sz="4" w:space="0" w:color="auto"/>
              <w:bottom w:val="single" w:sz="4" w:space="0" w:color="auto"/>
              <w:right w:val="single" w:sz="4" w:space="0" w:color="auto"/>
            </w:tcBorders>
          </w:tcPr>
          <w:p w14:paraId="22265E20" w14:textId="77777777" w:rsidR="00236104" w:rsidRPr="0013396E" w:rsidRDefault="00236104" w:rsidP="00BA73E7">
            <w:pPr>
              <w:pStyle w:val="TableBody"/>
              <w:rPr>
                <w:i/>
              </w:rPr>
            </w:pPr>
            <w:r w:rsidRPr="0013396E">
              <w:rPr>
                <w:i/>
              </w:rPr>
              <w:t>q</w:t>
            </w:r>
          </w:p>
        </w:tc>
        <w:tc>
          <w:tcPr>
            <w:tcW w:w="433" w:type="pct"/>
            <w:tcBorders>
              <w:top w:val="single" w:sz="4" w:space="0" w:color="auto"/>
              <w:left w:val="single" w:sz="4" w:space="0" w:color="auto"/>
              <w:bottom w:val="single" w:sz="4" w:space="0" w:color="auto"/>
              <w:right w:val="single" w:sz="4" w:space="0" w:color="auto"/>
            </w:tcBorders>
          </w:tcPr>
          <w:p w14:paraId="34F5B97B" w14:textId="77777777" w:rsidR="00236104" w:rsidRPr="0013396E" w:rsidRDefault="00236104" w:rsidP="00BA73E7">
            <w:pPr>
              <w:pStyle w:val="TableBody"/>
            </w:pPr>
            <w:r w:rsidRPr="0013396E">
              <w:t>none</w:t>
            </w:r>
          </w:p>
        </w:tc>
        <w:tc>
          <w:tcPr>
            <w:tcW w:w="3174" w:type="pct"/>
            <w:tcBorders>
              <w:top w:val="single" w:sz="4" w:space="0" w:color="auto"/>
              <w:left w:val="single" w:sz="4" w:space="0" w:color="auto"/>
              <w:bottom w:val="single" w:sz="4" w:space="0" w:color="auto"/>
              <w:right w:val="single" w:sz="4" w:space="0" w:color="auto"/>
            </w:tcBorders>
          </w:tcPr>
          <w:p w14:paraId="51D984F1" w14:textId="77777777" w:rsidR="00236104" w:rsidRPr="0013396E" w:rsidRDefault="00236104" w:rsidP="00BA73E7">
            <w:pPr>
              <w:pStyle w:val="TableBody"/>
            </w:pPr>
            <w:r w:rsidRPr="0013396E">
              <w:t>A QSE.</w:t>
            </w:r>
          </w:p>
        </w:tc>
      </w:tr>
    </w:tbl>
    <w:p w14:paraId="1578FC43" w14:textId="3DD28978" w:rsidR="00236104" w:rsidRPr="0013396E" w:rsidRDefault="00236104" w:rsidP="00236104">
      <w:pPr>
        <w:pStyle w:val="H4"/>
        <w:spacing w:before="480"/>
        <w:ind w:left="1267" w:hanging="1267"/>
      </w:pPr>
      <w:bookmarkStart w:id="2219" w:name="_Toc236220233"/>
      <w:r w:rsidRPr="0013396E">
        <w:t>6.6.12.3</w:t>
      </w:r>
      <w:r w:rsidRPr="0013396E">
        <w:tab/>
        <w:t>Miscellaneous Invoice for Switchable Generation Make-Whole Payments and Charges</w:t>
      </w:r>
      <w:bookmarkEnd w:id="2219"/>
      <w:r w:rsidRPr="0013396E">
        <w:t xml:space="preserve"> </w:t>
      </w:r>
    </w:p>
    <w:p w14:paraId="5D72634A" w14:textId="77777777" w:rsidR="00236104" w:rsidRPr="0013396E" w:rsidRDefault="00236104" w:rsidP="00236104">
      <w:pPr>
        <w:spacing w:after="240"/>
        <w:ind w:left="720" w:hanging="720"/>
      </w:pPr>
      <w:r w:rsidRPr="0013396E">
        <w:t>(1)</w:t>
      </w:r>
      <w:r w:rsidRPr="0013396E">
        <w:tab/>
        <w:t>All approved disputes shall be settled as described in Section 9.14.2, Notice of Dispute.</w:t>
      </w:r>
      <w:r w:rsidRPr="0013396E" w:rsidDel="00A8410F">
        <w:t xml:space="preserve"> </w:t>
      </w:r>
    </w:p>
    <w:p w14:paraId="0857FCA1" w14:textId="77777777" w:rsidR="00236104" w:rsidRPr="0013396E" w:rsidRDefault="00236104" w:rsidP="00236104">
      <w:pPr>
        <w:spacing w:after="240"/>
        <w:ind w:left="720" w:hanging="720"/>
        <w:rPr>
          <w:bCs/>
        </w:rPr>
      </w:pPr>
      <w:r w:rsidRPr="0013396E">
        <w:rPr>
          <w:bCs/>
          <w:iCs/>
        </w:rPr>
        <w:t xml:space="preserve">(2) </w:t>
      </w:r>
      <w:r w:rsidRPr="0013396E">
        <w:rPr>
          <w:bCs/>
          <w:iCs/>
        </w:rPr>
        <w:tab/>
        <w:t xml:space="preserve">ERCOT shall issue a miscellaneous Invoice to a </w:t>
      </w:r>
      <w:r w:rsidRPr="0013396E">
        <w:t>QSE</w:t>
      </w:r>
      <w:r w:rsidRPr="0013396E">
        <w:rPr>
          <w:bCs/>
          <w:iCs/>
        </w:rPr>
        <w:t xml:space="preserve"> for </w:t>
      </w:r>
      <w:r w:rsidRPr="0013396E">
        <w:rPr>
          <w:bCs/>
        </w:rPr>
        <w:t xml:space="preserve">Switchable Generation Make-Whole Payments as described in Section 6.6.12.1, Switchable Generation Make-Whole Payment.  </w:t>
      </w:r>
    </w:p>
    <w:p w14:paraId="328371CC" w14:textId="77777777" w:rsidR="00236104" w:rsidRPr="0013396E" w:rsidRDefault="00236104" w:rsidP="00236104">
      <w:pPr>
        <w:spacing w:after="240"/>
        <w:ind w:left="720" w:hanging="720"/>
        <w:rPr>
          <w:bCs/>
          <w:iCs/>
        </w:rPr>
      </w:pPr>
      <w:r w:rsidRPr="0013396E">
        <w:rPr>
          <w:bCs/>
          <w:iCs/>
        </w:rPr>
        <w:t xml:space="preserve">(3)       ERCOT shall issue a miscellaneous Invoice to the QSE representing Load based on the HLRS as described in Section 6.6.12.2, Switchable Generation Make-Whole Charge. </w:t>
      </w:r>
    </w:p>
    <w:p w14:paraId="77B1799F" w14:textId="760E5A5B" w:rsidR="00234FA4" w:rsidRPr="0013396E" w:rsidRDefault="00236104" w:rsidP="00236104">
      <w:pPr>
        <w:spacing w:after="240"/>
        <w:ind w:left="720" w:hanging="720"/>
      </w:pPr>
      <w:r w:rsidRPr="0013396E">
        <w:t xml:space="preserve">(4) </w:t>
      </w:r>
      <w:r w:rsidRPr="0013396E">
        <w:tab/>
        <w:t xml:space="preserve">ERCOT </w:t>
      </w:r>
      <w:r w:rsidRPr="0013396E">
        <w:rPr>
          <w:bCs/>
        </w:rPr>
        <w:t>shall</w:t>
      </w:r>
      <w:r w:rsidRPr="0013396E">
        <w:t xml:space="preserve"> issue a Market Notice in conjunction with the issuance of the miscellaneous Invoice.</w:t>
      </w:r>
    </w:p>
    <w:p w14:paraId="5F4A6E1E" w14:textId="77777777" w:rsidR="00EE47CF" w:rsidRPr="0013396E" w:rsidRDefault="00EE47CF" w:rsidP="00EE47CF">
      <w:pPr>
        <w:pStyle w:val="H3"/>
        <w:spacing w:before="480"/>
      </w:pPr>
      <w:bookmarkStart w:id="2220" w:name="_Toc236220234"/>
      <w:r w:rsidRPr="0013396E">
        <w:lastRenderedPageBreak/>
        <w:t>6.6.13</w:t>
      </w:r>
      <w:r w:rsidRPr="0013396E">
        <w:tab/>
        <w:t>Wholesale Storage Load Reconciliation for ESRs Operating in a Private Microgrid Island</w:t>
      </w:r>
      <w:bookmarkEnd w:id="2220"/>
    </w:p>
    <w:p w14:paraId="456F61EB" w14:textId="71C2FDB5" w:rsidR="00EE47CF" w:rsidRPr="0013396E" w:rsidRDefault="00EE47CF" w:rsidP="00EE47CF">
      <w:pPr>
        <w:spacing w:after="240"/>
        <w:ind w:left="720" w:hanging="720"/>
        <w:rPr>
          <w:rFonts w:cs="Arial"/>
          <w:color w:val="201F1E"/>
        </w:rPr>
      </w:pPr>
      <w:r w:rsidRPr="0013396E">
        <w:t>(1)</w:t>
      </w:r>
      <w:r w:rsidRPr="0013396E">
        <w:tab/>
      </w:r>
      <w:bookmarkStart w:id="2221" w:name="_Hlk100001339"/>
      <w:bookmarkStart w:id="2222" w:name="_Hlk100005710"/>
      <w:r w:rsidRPr="0013396E">
        <w:t xml:space="preserve">A QSE representing an ESR operating in a Private Microgrid Island (PMI) configuration shall, within 96 hours of the end of such operations, submit a Settlement and billing dispute notifying ERCOT of the date and time that PMI operation began and ended. </w:t>
      </w:r>
      <w:bookmarkStart w:id="2223" w:name="_Hlk100002098"/>
      <w:r w:rsidRPr="0013396E">
        <w:t xml:space="preserve"> The QSE shall also notify the interconnecting Transmission and/or Distribution Service Provider(s) (TDSP(s)) of the time and date the PMI configuration began and ended within 96 hours of the end of such operations.  Following the submission of such a dispute, ERCOT shall use the outflow quantities recorded by the ERCOT-Polled Settlement (EPS) Meter measuring the ESR’s gross output net of any internal telemetered auxiliary Load, combined with any telemetered integrated auxiliary Load to determine the amount of Load served by the Resource during the period of PMI operation.  ERCOT shall then determine the minimum whole number of Operating Days including and successively preceding the beginning of PMI operation for which the cumulative amount of WSL consumed on those Operating Days would equal or exceed the amount of Load served by the Resource during the period of PMI operation.  ERCOT shall grant the dispute and recharacterize all WSL previously settled on each such Operating Day as non-WSL.  </w:t>
      </w:r>
      <w:bookmarkEnd w:id="2221"/>
      <w:bookmarkEnd w:id="2223"/>
      <w:r w:rsidRPr="0013396E">
        <w:t xml:space="preserve">The adjustment to Settlements based on the recharacterization of WSL </w:t>
      </w:r>
      <w:r w:rsidRPr="0013396E">
        <w:rPr>
          <w:rFonts w:cs="Arial"/>
          <w:color w:val="201F1E"/>
        </w:rPr>
        <w:t>will be included in the RTM Final Settlement and/or RTM True-Up Settlement for each Operating Day.</w:t>
      </w:r>
      <w:bookmarkEnd w:id="2222"/>
    </w:p>
    <w:p w14:paraId="5F183220" w14:textId="77777777" w:rsidR="00281DEA" w:rsidRPr="0013396E" w:rsidRDefault="00281DEA" w:rsidP="000445FA">
      <w:pPr>
        <w:pStyle w:val="H3"/>
        <w:spacing w:before="480"/>
      </w:pPr>
      <w:bookmarkStart w:id="2224" w:name="_Toc236220235"/>
      <w:r w:rsidRPr="0013396E">
        <w:t>6.6.14</w:t>
      </w:r>
      <w:r w:rsidRPr="0013396E">
        <w:tab/>
        <w:t>Firm Fuel Supply Service Capability</w:t>
      </w:r>
      <w:bookmarkEnd w:id="2224"/>
    </w:p>
    <w:p w14:paraId="3E47EEDC" w14:textId="77777777" w:rsidR="00281DEA" w:rsidRPr="0013396E" w:rsidRDefault="00281DEA" w:rsidP="00F510E2">
      <w:pPr>
        <w:pStyle w:val="H4"/>
        <w:spacing w:before="480"/>
        <w:ind w:left="1267" w:hanging="1267"/>
      </w:pPr>
      <w:bookmarkStart w:id="2225" w:name="_Toc236220236"/>
      <w:r w:rsidRPr="0013396E">
        <w:t>6.6.14.1</w:t>
      </w:r>
      <w:r w:rsidRPr="0013396E">
        <w:tab/>
        <w:t>Firm Fuel Supply Service Fuel Replacement Costs Recovery</w:t>
      </w:r>
      <w:bookmarkEnd w:id="2225"/>
    </w:p>
    <w:p w14:paraId="68A343B6" w14:textId="5862C569" w:rsidR="00281DEA" w:rsidRPr="0013396E" w:rsidRDefault="00281DEA" w:rsidP="00281DEA">
      <w:pPr>
        <w:pStyle w:val="BodyTextNumbered"/>
      </w:pPr>
      <w:r w:rsidRPr="0013396E">
        <w:t>(1)</w:t>
      </w:r>
      <w:r w:rsidRPr="0013396E">
        <w:tab/>
        <w:t>If ERCOT approves a Firm Fuel Supply Service Resource (FFSSR) to switch to consume the reserved fuel</w:t>
      </w:r>
      <w:r w:rsidR="00792AED" w:rsidRPr="0013396E">
        <w:t xml:space="preserve"> and directs or approves a restocking pursuant to paragraph (5) of Section 3.14.5, Firm Fuel Supply Service</w:t>
      </w:r>
      <w:r w:rsidRPr="0013396E">
        <w:t>, ERCOT shall pay the QSE representing the FFSSR for the replacement of burned fuel, if the QSE has:</w:t>
      </w:r>
    </w:p>
    <w:p w14:paraId="5A699C7E" w14:textId="77777777" w:rsidR="00281DEA" w:rsidRPr="0013396E" w:rsidRDefault="00281DEA" w:rsidP="00281DEA">
      <w:pPr>
        <w:spacing w:after="240"/>
        <w:ind w:left="1440" w:hanging="720"/>
      </w:pPr>
      <w:r w:rsidRPr="0013396E">
        <w:t>(a)</w:t>
      </w:r>
      <w:r w:rsidRPr="0013396E">
        <w:tab/>
        <w:t>Complied with the Firm Fuel Supply Service (FFSS) instruction to switch to the reserved fuel;</w:t>
      </w:r>
    </w:p>
    <w:p w14:paraId="20A585E3" w14:textId="77777777" w:rsidR="00281DEA" w:rsidRPr="0013396E" w:rsidRDefault="00281DEA" w:rsidP="00281DEA">
      <w:pPr>
        <w:spacing w:after="240"/>
        <w:ind w:left="1440" w:hanging="720"/>
      </w:pPr>
      <w:r w:rsidRPr="0013396E">
        <w:t>(b)</w:t>
      </w:r>
      <w:r w:rsidRPr="0013396E">
        <w:tab/>
        <w:t xml:space="preserve">Submitted a Settlement and billing dispute consistent with the dispute process described in Section 9.14, Settlement and Billing Dispute Process;  </w:t>
      </w:r>
    </w:p>
    <w:p w14:paraId="090E0F77" w14:textId="6B0872F2" w:rsidR="00281DEA" w:rsidRPr="0013396E" w:rsidRDefault="00281DEA" w:rsidP="00281DEA">
      <w:pPr>
        <w:spacing w:after="240"/>
        <w:ind w:left="1440" w:hanging="720"/>
      </w:pPr>
      <w:r w:rsidRPr="0013396E">
        <w:t>(c)</w:t>
      </w:r>
      <w:r w:rsidRPr="0013396E">
        <w:tab/>
        <w:t>Submitted the following within 90 days of the issuance of a RTM Initial Statement for the Operating Day on which the FFSS instruction was issued:</w:t>
      </w:r>
    </w:p>
    <w:p w14:paraId="7B73EBF8" w14:textId="77777777" w:rsidR="00281DEA" w:rsidRPr="0013396E" w:rsidRDefault="00281DEA" w:rsidP="00281DEA">
      <w:pPr>
        <w:spacing w:after="240"/>
        <w:ind w:left="2160" w:hanging="720"/>
      </w:pPr>
      <w:r w:rsidRPr="0013396E">
        <w:t>(i)</w:t>
      </w:r>
      <w:r w:rsidRPr="0013396E">
        <w:tab/>
        <w:t>An attestation signed by an officer or executive with authority to bind the QSE stating that the information contained in the dispute is accurate;</w:t>
      </w:r>
    </w:p>
    <w:p w14:paraId="29307B96" w14:textId="77777777" w:rsidR="00281DEA" w:rsidRPr="0013396E" w:rsidRDefault="00281DEA" w:rsidP="00281DEA">
      <w:pPr>
        <w:spacing w:after="240"/>
        <w:ind w:left="2160" w:hanging="720"/>
      </w:pPr>
      <w:r w:rsidRPr="0013396E">
        <w:t>(ii)</w:t>
      </w:r>
      <w:r w:rsidRPr="0013396E">
        <w:tab/>
        <w:t>For each deployment of FFSS, the quantity of total fuel consumed for the hours in each instance when FFSS was deployed;</w:t>
      </w:r>
    </w:p>
    <w:p w14:paraId="4401F1F3" w14:textId="77777777" w:rsidR="00281DEA" w:rsidRPr="0013396E" w:rsidRDefault="00281DEA" w:rsidP="00281DEA">
      <w:pPr>
        <w:spacing w:after="240"/>
        <w:ind w:left="2160" w:hanging="720"/>
      </w:pPr>
      <w:r w:rsidRPr="0013396E">
        <w:lastRenderedPageBreak/>
        <w:t>(iii)</w:t>
      </w:r>
      <w:r w:rsidRPr="0013396E">
        <w:tab/>
        <w:t>For thermal units, the input-output equation or other documentation that allows for verification of fuel consumption for the hours when FFSS was deployed;</w:t>
      </w:r>
    </w:p>
    <w:p w14:paraId="3FD7C203" w14:textId="77777777" w:rsidR="006E1C22" w:rsidRPr="0013396E" w:rsidRDefault="006E1C22" w:rsidP="006E1C22">
      <w:pPr>
        <w:spacing w:after="240"/>
        <w:ind w:left="2160" w:hanging="720"/>
      </w:pPr>
      <w:r w:rsidRPr="0013396E">
        <w:t>(iv)</w:t>
      </w:r>
      <w:r w:rsidRPr="0013396E">
        <w:tab/>
        <w:t>The heat content of the fuel, in terms of MMBtu/gal or similar units of measurement;</w:t>
      </w:r>
    </w:p>
    <w:p w14:paraId="19ABC38F" w14:textId="64E6A24A" w:rsidR="00281DEA" w:rsidRPr="0013396E" w:rsidRDefault="00281DEA" w:rsidP="00281DEA">
      <w:pPr>
        <w:spacing w:after="240"/>
        <w:ind w:left="2160" w:hanging="720"/>
      </w:pPr>
      <w:r w:rsidRPr="0013396E">
        <w:t>(v)</w:t>
      </w:r>
      <w:r w:rsidRPr="0013396E">
        <w:tab/>
        <w:t>The dollar amount and quantity of fuel purchased to replace the consumed fuel;</w:t>
      </w:r>
    </w:p>
    <w:p w14:paraId="6D79F4FA" w14:textId="3E78BD22" w:rsidR="00281DEA" w:rsidRPr="0013396E" w:rsidRDefault="00281DEA" w:rsidP="00281DEA">
      <w:pPr>
        <w:spacing w:after="240"/>
        <w:ind w:left="2160" w:hanging="720"/>
      </w:pPr>
      <w:r w:rsidRPr="0013396E">
        <w:t>(v</w:t>
      </w:r>
      <w:r w:rsidR="006E1C22" w:rsidRPr="0013396E">
        <w:t>i</w:t>
      </w:r>
      <w:r w:rsidRPr="0013396E">
        <w:t>)</w:t>
      </w:r>
      <w:r w:rsidRPr="0013396E">
        <w:tab/>
        <w:t xml:space="preserve">Sufficient documentation to support the QSE’s determination of the amount and cost of replaced fuel; and </w:t>
      </w:r>
    </w:p>
    <w:p w14:paraId="3F259490" w14:textId="1E408659" w:rsidR="00792AED" w:rsidRPr="0013396E" w:rsidRDefault="00281DEA" w:rsidP="00792AED">
      <w:pPr>
        <w:spacing w:after="240"/>
        <w:ind w:left="2160" w:hanging="720"/>
      </w:pPr>
      <w:r w:rsidRPr="0013396E">
        <w:t>(vi</w:t>
      </w:r>
      <w:r w:rsidR="006E1C22" w:rsidRPr="0013396E">
        <w:t>i</w:t>
      </w:r>
      <w:r w:rsidRPr="0013396E">
        <w:t>)</w:t>
      </w:r>
      <w:r w:rsidRPr="0013396E">
        <w:tab/>
        <w:t>Any other technical documentation within the possession of the QSE or Resource Entity which ERCOT finds reasonably necessary to verify paragraphs (i) through (v</w:t>
      </w:r>
      <w:r w:rsidR="006E1C22" w:rsidRPr="0013396E">
        <w:t>i</w:t>
      </w:r>
      <w:r w:rsidRPr="0013396E">
        <w:t xml:space="preserve">) above.  Any additional request from ERCOT for documentation or clarification of previously submitted documentation must be honored within 15 Business Days.  </w:t>
      </w:r>
      <w:r w:rsidR="00792AED" w:rsidRPr="0013396E">
        <w:t xml:space="preserve">  </w:t>
      </w:r>
    </w:p>
    <w:p w14:paraId="7AB80537" w14:textId="1FC11E73" w:rsidR="00281DEA" w:rsidRPr="0013396E" w:rsidRDefault="00792AED" w:rsidP="00792AED">
      <w:pPr>
        <w:pStyle w:val="BodyTextNumbered"/>
      </w:pPr>
      <w:r w:rsidRPr="0013396E">
        <w:t>(2)</w:t>
      </w:r>
      <w:r w:rsidRPr="0013396E">
        <w:tab/>
        <w:t>In addition to the requirements under paragraph (1)(c) above, for a Generation Resource that was awarded FFSS using reserved fuel based on a Firm Gas Storage Agreement and is requesting compensation for the cost of the replaced fuel, the QSE or Resource Entity representing the FFSSR must show proof that it purchased and nominated fuel in sufficient quantities (in MMBtu) that was consumed during the FFSS deployment and that its actual receipts and deliveries of such replacement fuel conformed with its nominated quantities.</w:t>
      </w:r>
    </w:p>
    <w:p w14:paraId="00AD0C7D" w14:textId="63245925" w:rsidR="00281DEA" w:rsidRPr="0013396E" w:rsidRDefault="00281DEA" w:rsidP="00281DEA">
      <w:pPr>
        <w:pStyle w:val="BodyTextNumbered"/>
      </w:pPr>
      <w:r w:rsidRPr="0013396E">
        <w:t>(</w:t>
      </w:r>
      <w:r w:rsidR="00792AED" w:rsidRPr="0013396E">
        <w:t>3</w:t>
      </w:r>
      <w:r w:rsidRPr="0013396E">
        <w:t>)</w:t>
      </w:r>
      <w:r w:rsidRPr="0013396E">
        <w:tab/>
        <w:t>The Firm Fuel Supply Service Fuel Replacement Cost shall only represent the replacement fuel costs not recovered during the FFSS deployment period through Day-Ahead energy sales and Real-Time energy imbalance settlement revenues related to the Resource with the FFSS award.</w:t>
      </w:r>
      <w:r w:rsidR="00792AED" w:rsidRPr="0013396E">
        <w:rPr>
          <w:shd w:val="clear" w:color="auto" w:fill="FFFFFF"/>
        </w:rPr>
        <w:t xml:space="preserve">  In addition, the Firm Fuel Supply Service Fuel Replacement Cost shall only include commodity and variable transportation costs directly attributable to the replenishment of fuel for the FFSSR.</w:t>
      </w:r>
    </w:p>
    <w:p w14:paraId="5032E45D" w14:textId="77777777" w:rsidR="00AD58D8" w:rsidRPr="0013396E" w:rsidRDefault="00AD58D8" w:rsidP="00AD58D8">
      <w:pPr>
        <w:spacing w:after="240"/>
        <w:ind w:left="720" w:hanging="720"/>
        <w:rPr>
          <w:iCs/>
          <w:shd w:val="clear" w:color="auto" w:fill="FFFFFF"/>
        </w:rPr>
      </w:pPr>
      <w:r w:rsidRPr="0013396E">
        <w:rPr>
          <w:iCs/>
        </w:rPr>
        <w:t xml:space="preserve">(4) </w:t>
      </w:r>
      <w:r w:rsidRPr="0013396E">
        <w:rPr>
          <w:iCs/>
        </w:rPr>
        <w:tab/>
        <w:t xml:space="preserve">If, after ERCOT approval, the fuel that was burned during FFSS deployment is replaced using existing fuel inventories, the </w:t>
      </w:r>
      <w:r w:rsidRPr="0013396E">
        <w:rPr>
          <w:iCs/>
          <w:shd w:val="clear" w:color="auto" w:fill="FFFFFF"/>
        </w:rPr>
        <w:t>Firm Fuel Supply Service Fuel Replacement Cost may be based on:</w:t>
      </w:r>
    </w:p>
    <w:p w14:paraId="4B6FB6CD" w14:textId="77777777" w:rsidR="00AD58D8" w:rsidRPr="0013396E" w:rsidRDefault="00AD58D8" w:rsidP="00AD58D8">
      <w:pPr>
        <w:spacing w:after="240"/>
        <w:ind w:left="1440" w:hanging="720"/>
        <w:rPr>
          <w:szCs w:val="24"/>
        </w:rPr>
      </w:pPr>
      <w:r w:rsidRPr="0013396E">
        <w:rPr>
          <w:szCs w:val="24"/>
        </w:rPr>
        <w:t>(a)</w:t>
      </w:r>
      <w:r w:rsidRPr="0013396E">
        <w:rPr>
          <w:szCs w:val="24"/>
        </w:rPr>
        <w:tab/>
        <w:t>New fuel purchases made within 30 days after ERCOT approves the restock of the burned fuel as described in paragraph (6) of Section 3.14.5; or</w:t>
      </w:r>
    </w:p>
    <w:p w14:paraId="17C4A959" w14:textId="77777777" w:rsidR="00AD58D8" w:rsidRPr="0013396E" w:rsidRDefault="00AD58D8" w:rsidP="00AD58D8">
      <w:pPr>
        <w:spacing w:after="240"/>
        <w:ind w:left="1440" w:hanging="720"/>
        <w:rPr>
          <w:szCs w:val="24"/>
        </w:rPr>
      </w:pPr>
      <w:r w:rsidRPr="0013396E">
        <w:rPr>
          <w:szCs w:val="24"/>
        </w:rPr>
        <w:t>(b)</w:t>
      </w:r>
      <w:r w:rsidRPr="0013396E">
        <w:rPr>
          <w:szCs w:val="24"/>
        </w:rPr>
        <w:tab/>
        <w:t>The Fuel Oil Index Price (FOP) for the Operating Day the QSE received approval to restock fuel, which includes $0.05/gallon to cover the cost of transportation.</w:t>
      </w:r>
    </w:p>
    <w:p w14:paraId="09C4D47B" w14:textId="66418761" w:rsidR="00281DEA" w:rsidRPr="0013396E" w:rsidRDefault="00281DEA" w:rsidP="000445FA">
      <w:pPr>
        <w:pStyle w:val="BodyTextNumbered"/>
      </w:pPr>
      <w:r w:rsidRPr="0013396E">
        <w:t>(</w:t>
      </w:r>
      <w:r w:rsidR="00AD58D8" w:rsidRPr="0013396E">
        <w:t>5</w:t>
      </w:r>
      <w:r w:rsidRPr="0013396E">
        <w:t>)</w:t>
      </w:r>
      <w:r w:rsidRPr="0013396E">
        <w:tab/>
        <w:t>ERCOT shall allocate any approved fuel replacement costs to the hours of the corresponding FFSS deployment period when the fuel was consumed following ERCOT’s approval to switch to utilize the awarded FFSS.</w:t>
      </w:r>
    </w:p>
    <w:p w14:paraId="5F182795" w14:textId="77777777" w:rsidR="00281DEA" w:rsidRPr="0013396E" w:rsidRDefault="00281DEA" w:rsidP="00426931">
      <w:pPr>
        <w:pStyle w:val="H4"/>
        <w:spacing w:before="480"/>
        <w:ind w:left="1267" w:hanging="1267"/>
      </w:pPr>
      <w:bookmarkStart w:id="2226" w:name="_Toc236220237"/>
      <w:r w:rsidRPr="0013396E">
        <w:lastRenderedPageBreak/>
        <w:t>6.6.14.2</w:t>
      </w:r>
      <w:r w:rsidRPr="0013396E">
        <w:tab/>
        <w:t>Firm Fuel Supply Service Hourly Standby Fee Payment and Fuel Replacement Cost Recovery</w:t>
      </w:r>
      <w:bookmarkEnd w:id="2226"/>
    </w:p>
    <w:p w14:paraId="160F9B52" w14:textId="77777777" w:rsidR="00426931" w:rsidRPr="0013396E" w:rsidRDefault="00426931" w:rsidP="00426931">
      <w:pPr>
        <w:ind w:left="720" w:hanging="720"/>
      </w:pPr>
      <w:r w:rsidRPr="0013396E">
        <w:t>(1)</w:t>
      </w:r>
      <w:r w:rsidRPr="0013396E">
        <w:tab/>
        <w:t xml:space="preserve">ERCOT shall pay </w:t>
      </w:r>
      <w:r w:rsidRPr="0013396E">
        <w:rPr>
          <w:iCs/>
        </w:rPr>
        <w:t>the FFSS</w:t>
      </w:r>
      <w:r w:rsidRPr="0013396E">
        <w:t xml:space="preserve"> Hourly Standby Fee to the QSE representing </w:t>
      </w:r>
      <w:r w:rsidRPr="0013396E">
        <w:rPr>
          <w:iCs/>
        </w:rPr>
        <w:t>the primary Generation Resource</w:t>
      </w:r>
      <w:r w:rsidRPr="0013396E">
        <w:t xml:space="preserve">.  This standby fee is determined through a competitive bidding process, with an adjustment for reliability based on an Hourly Rolling Equivalent Availability Factor, as well as adjustments for capacity and deployment. </w:t>
      </w:r>
    </w:p>
    <w:p w14:paraId="6FC656AD" w14:textId="77777777" w:rsidR="00426931" w:rsidRPr="0013396E" w:rsidRDefault="00426931" w:rsidP="00426931">
      <w:r w:rsidRPr="0013396E">
        <w:t xml:space="preserve"> </w:t>
      </w:r>
    </w:p>
    <w:p w14:paraId="26F82C67" w14:textId="77777777" w:rsidR="00426931" w:rsidRPr="0013396E" w:rsidRDefault="00426931" w:rsidP="00426931">
      <w:pPr>
        <w:spacing w:after="240"/>
        <w:ind w:left="720" w:hanging="720"/>
      </w:pPr>
      <w:r w:rsidRPr="0013396E">
        <w:t>(2)</w:t>
      </w:r>
      <w:r w:rsidRPr="0013396E">
        <w:tab/>
        <w:t>The FFSSR will be considered available when calculating the FFSS Hourly Rolling Equivalent Availability Factor:</w:t>
      </w:r>
    </w:p>
    <w:p w14:paraId="19CC2125" w14:textId="77777777" w:rsidR="00426931" w:rsidRPr="0013396E" w:rsidRDefault="00426931" w:rsidP="00426931">
      <w:pPr>
        <w:spacing w:after="240"/>
        <w:ind w:left="1410" w:hanging="720"/>
      </w:pPr>
      <w:r w:rsidRPr="0013396E">
        <w:t>(a)</w:t>
      </w:r>
      <w:r w:rsidRPr="0013396E">
        <w:tab/>
        <w:t xml:space="preserve">During each non-FFSS deployment hour for which the FFSSR shows available in its Availability Plan; </w:t>
      </w:r>
    </w:p>
    <w:p w14:paraId="472044FC" w14:textId="5DF1A029" w:rsidR="00426931" w:rsidRPr="0013396E" w:rsidRDefault="00426931" w:rsidP="00426931">
      <w:pPr>
        <w:spacing w:after="240"/>
        <w:ind w:left="1410" w:hanging="720"/>
      </w:pPr>
      <w:r w:rsidRPr="0013396E">
        <w:t>(b)</w:t>
      </w:r>
      <w:r w:rsidRPr="0013396E">
        <w:tab/>
        <w:t xml:space="preserve">During any successful FFSS deployment of the FFSSR in which the FFSSR shows available in its Availability Plan; </w:t>
      </w:r>
    </w:p>
    <w:p w14:paraId="3C034865" w14:textId="531E3DF9" w:rsidR="00426931" w:rsidRPr="0013396E" w:rsidRDefault="00426931" w:rsidP="00426931">
      <w:pPr>
        <w:spacing w:after="240"/>
        <w:ind w:left="1410" w:hanging="720"/>
      </w:pPr>
      <w:r w:rsidRPr="0013396E">
        <w:t>(c)</w:t>
      </w:r>
      <w:r w:rsidRPr="0013396E">
        <w:tab/>
      </w:r>
      <w:r w:rsidR="005C7988" w:rsidRPr="0013396E">
        <w:rPr>
          <w:szCs w:val="24"/>
        </w:rPr>
        <w:t>If the reserved fuel was exhausted during an FFSS deployment, starting the hour after the FFSSR has consumed all the fuel reserved to provide FFSS, through the approved hours when reserved fuel for FFSS is being restocked following a final approval from ERCOT to do so, per paragraph (5) of Section 3.14.5, Firm Fuel Supply Service;</w:t>
      </w:r>
    </w:p>
    <w:p w14:paraId="508537AB" w14:textId="2DAD707F" w:rsidR="005C7988" w:rsidRPr="0013396E" w:rsidRDefault="00426931" w:rsidP="005C7988">
      <w:pPr>
        <w:spacing w:after="240"/>
        <w:ind w:left="1410" w:hanging="720"/>
      </w:pPr>
      <w:r w:rsidRPr="0013396E">
        <w:t>(d)</w:t>
      </w:r>
      <w:r w:rsidRPr="0013396E">
        <w:tab/>
      </w:r>
      <w:r w:rsidR="005C7988" w:rsidRPr="0013396E">
        <w:t>In the event the FFSSR has consumed all the fuel reserved to provide FFSS and ERCOT does not issue an instruction or approval to restore FFSS capability, the FFSSR shall be considered to be available for the remainder of the FFSS obligation period in progress; or</w:t>
      </w:r>
    </w:p>
    <w:p w14:paraId="64FD2427" w14:textId="1BF8387B" w:rsidR="00426931" w:rsidRPr="0013396E" w:rsidRDefault="005C7988" w:rsidP="0087426F">
      <w:pPr>
        <w:spacing w:after="240"/>
        <w:ind w:left="1410" w:hanging="720"/>
      </w:pPr>
      <w:r w:rsidRPr="0013396E">
        <w:t>(e)</w:t>
      </w:r>
      <w:r w:rsidRPr="0013396E">
        <w:tab/>
        <w:t>If the FFSSR was deployed to provide FFSS and, as a result, has exhausted its emission hours allocated for the FFSSR, as specified in the FFSS Offer Submission Form.</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D4C23" w:rsidRPr="0013396E" w14:paraId="4A3A901D" w14:textId="77777777" w:rsidTr="00A86863">
        <w:trPr>
          <w:trHeight w:val="206"/>
        </w:trPr>
        <w:tc>
          <w:tcPr>
            <w:tcW w:w="9350" w:type="dxa"/>
            <w:shd w:val="pct12" w:color="auto" w:fill="auto"/>
          </w:tcPr>
          <w:p w14:paraId="313216B1" w14:textId="41635DED" w:rsidR="005D4C23" w:rsidRPr="0013396E" w:rsidRDefault="005D4C23" w:rsidP="00A86863">
            <w:pPr>
              <w:spacing w:before="120" w:after="240"/>
              <w:rPr>
                <w:b/>
                <w:i/>
                <w:iCs/>
                <w:szCs w:val="24"/>
              </w:rPr>
            </w:pPr>
            <w:r w:rsidRPr="0013396E">
              <w:rPr>
                <w:b/>
                <w:i/>
                <w:iCs/>
                <w:szCs w:val="24"/>
              </w:rPr>
              <w:t>[NPRR1</w:t>
            </w:r>
            <w:r>
              <w:rPr>
                <w:b/>
                <w:i/>
                <w:iCs/>
                <w:szCs w:val="24"/>
              </w:rPr>
              <w:t>327</w:t>
            </w:r>
            <w:r w:rsidRPr="0013396E">
              <w:rPr>
                <w:b/>
                <w:i/>
                <w:iCs/>
                <w:szCs w:val="24"/>
              </w:rPr>
              <w:t xml:space="preserve">: </w:t>
            </w:r>
            <w:r>
              <w:rPr>
                <w:b/>
                <w:i/>
                <w:iCs/>
                <w:szCs w:val="24"/>
              </w:rPr>
              <w:t xml:space="preserve"> Insert paragraph (3) below</w:t>
            </w:r>
            <w:r w:rsidRPr="0013396E">
              <w:rPr>
                <w:b/>
                <w:i/>
                <w:iCs/>
                <w:szCs w:val="24"/>
              </w:rPr>
              <w:t xml:space="preserve"> upon system implementation</w:t>
            </w:r>
            <w:r>
              <w:rPr>
                <w:b/>
                <w:i/>
                <w:iCs/>
                <w:szCs w:val="24"/>
              </w:rPr>
              <w:t xml:space="preserve"> of NPRR1281 and renumber accordingly</w:t>
            </w:r>
            <w:r w:rsidRPr="0013396E">
              <w:rPr>
                <w:b/>
                <w:i/>
                <w:iCs/>
                <w:szCs w:val="24"/>
              </w:rPr>
              <w:t>:]</w:t>
            </w:r>
          </w:p>
          <w:p w14:paraId="5C79DDB0" w14:textId="6AB46E14" w:rsidR="005D4C23" w:rsidRPr="005D4C23" w:rsidRDefault="005D4C23" w:rsidP="005D4C23">
            <w:pPr>
              <w:spacing w:after="240"/>
              <w:ind w:left="720" w:hanging="720"/>
            </w:pPr>
            <w:r w:rsidRPr="0013396E">
              <w:t>(3)</w:t>
            </w:r>
            <w:r w:rsidRPr="0013396E">
              <w:tab/>
            </w:r>
            <w:r>
              <w:t>For the calculation of the Available Capacity (AVCAP), if multiple alternate Generation Resources show available in their respective Availability Plan when the primary Generation Resource is unavailable, ERCOT will use the HSL of the alternate Generation Resource with the lowest value. For a Combined Cycle Train, the HSL will be the HSL of the largest Combined Cycle Generation Resource that is available.</w:t>
            </w:r>
          </w:p>
        </w:tc>
      </w:tr>
    </w:tbl>
    <w:p w14:paraId="5E60E7B9" w14:textId="2DCF7227" w:rsidR="00426931" w:rsidRPr="0013396E" w:rsidRDefault="00426931" w:rsidP="007C3E74">
      <w:pPr>
        <w:spacing w:before="240" w:after="240"/>
        <w:ind w:left="720" w:hanging="720"/>
      </w:pPr>
      <w:r w:rsidRPr="0013396E">
        <w:t>(3)</w:t>
      </w:r>
      <w:r w:rsidRPr="0013396E">
        <w:tab/>
        <w:t>The FFSS Hourly Standby Fee is subject to reduction and</w:t>
      </w:r>
      <w:r w:rsidRPr="0013396E">
        <w:rPr>
          <w:iCs/>
        </w:rPr>
        <w:t xml:space="preserve"> claw-back provisions as described in Section 8.1.1.2.1.6, </w:t>
      </w:r>
      <w:r w:rsidRPr="0013396E">
        <w:t>Firm Fuel Supply Service Resource Qualification, Testing, Decertification, and Recertification</w:t>
      </w:r>
      <w:r w:rsidRPr="0013396E">
        <w:rPr>
          <w:iCs/>
        </w:rPr>
        <w:t>.</w:t>
      </w:r>
      <w:r w:rsidRPr="0013396E">
        <w:t xml:space="preserve">  </w:t>
      </w:r>
    </w:p>
    <w:p w14:paraId="46A69234" w14:textId="77777777" w:rsidR="00426931" w:rsidRPr="0013396E" w:rsidRDefault="00426931" w:rsidP="00426931">
      <w:pPr>
        <w:spacing w:after="240"/>
        <w:ind w:left="720" w:hanging="720"/>
      </w:pPr>
      <w:r w:rsidRPr="0013396E">
        <w:lastRenderedPageBreak/>
        <w:t>(4)</w:t>
      </w:r>
      <w:r w:rsidRPr="0013396E">
        <w:tab/>
        <w:t>ERCOT shall pay an FFSS payment to each QSE for each FFSSR.  The FFSS payment for each hour of November 15, through March 15, i.e., during the FFSS obligation period, is calculated as follows:</w:t>
      </w:r>
    </w:p>
    <w:p w14:paraId="7F43A13D" w14:textId="77777777" w:rsidR="00426931" w:rsidRPr="0013396E" w:rsidRDefault="00426931" w:rsidP="00426931">
      <w:pPr>
        <w:tabs>
          <w:tab w:val="left" w:pos="2250"/>
          <w:tab w:val="left" w:pos="3150"/>
          <w:tab w:val="left" w:pos="3960"/>
        </w:tabs>
        <w:spacing w:after="240"/>
        <w:ind w:left="3960" w:hanging="3240"/>
        <w:rPr>
          <w:b/>
          <w:bCs/>
          <w:szCs w:val="24"/>
        </w:rPr>
      </w:pPr>
      <w:r w:rsidRPr="0013396E">
        <w:rPr>
          <w:b/>
          <w:bCs/>
          <w:szCs w:val="24"/>
        </w:rPr>
        <w:t xml:space="preserve">FFSSAMT </w:t>
      </w:r>
      <w:r w:rsidRPr="0013396E">
        <w:rPr>
          <w:b/>
          <w:bCs/>
          <w:i/>
          <w:szCs w:val="24"/>
          <w:vertAlign w:val="subscript"/>
        </w:rPr>
        <w:t>q, r, h</w:t>
      </w:r>
      <w:r w:rsidRPr="0013396E">
        <w:rPr>
          <w:b/>
          <w:bCs/>
          <w:szCs w:val="24"/>
        </w:rPr>
        <w:tab/>
        <w:t>=</w:t>
      </w:r>
      <w:r w:rsidRPr="0013396E">
        <w:rPr>
          <w:b/>
          <w:bCs/>
          <w:szCs w:val="24"/>
        </w:rPr>
        <w:tab/>
        <w:t>(-1) * (FFSSSBF</w:t>
      </w:r>
      <w:r w:rsidRPr="0013396E">
        <w:rPr>
          <w:b/>
          <w:bCs/>
          <w:i/>
          <w:szCs w:val="24"/>
          <w:vertAlign w:val="subscript"/>
        </w:rPr>
        <w:t xml:space="preserve"> q, r, h </w:t>
      </w:r>
      <w:r w:rsidRPr="0013396E">
        <w:rPr>
          <w:b/>
          <w:bCs/>
          <w:i/>
          <w:szCs w:val="24"/>
        </w:rPr>
        <w:t xml:space="preserve">+ </w:t>
      </w:r>
      <w:r w:rsidRPr="0013396E">
        <w:rPr>
          <w:b/>
          <w:bCs/>
          <w:szCs w:val="24"/>
        </w:rPr>
        <w:t xml:space="preserve">FFSSFRC </w:t>
      </w:r>
      <w:r w:rsidRPr="0013396E">
        <w:rPr>
          <w:b/>
          <w:bCs/>
          <w:i/>
          <w:szCs w:val="24"/>
          <w:vertAlign w:val="subscript"/>
        </w:rPr>
        <w:t>q, r, h</w:t>
      </w:r>
      <w:r w:rsidRPr="0013396E">
        <w:rPr>
          <w:b/>
          <w:bCs/>
          <w:szCs w:val="24"/>
        </w:rPr>
        <w:t>)</w:t>
      </w:r>
    </w:p>
    <w:p w14:paraId="608DA4E2" w14:textId="77777777" w:rsidR="00426931" w:rsidRPr="0013396E" w:rsidRDefault="00426931" w:rsidP="00426931">
      <w:pPr>
        <w:tabs>
          <w:tab w:val="left" w:pos="2250"/>
          <w:tab w:val="left" w:pos="3150"/>
          <w:tab w:val="left" w:pos="3960"/>
        </w:tabs>
        <w:spacing w:after="240"/>
        <w:ind w:left="3960" w:hanging="3240"/>
        <w:rPr>
          <w:szCs w:val="24"/>
        </w:rPr>
      </w:pPr>
      <w:r w:rsidRPr="0013396E">
        <w:rPr>
          <w:szCs w:val="24"/>
        </w:rPr>
        <w:t>Where:</w:t>
      </w:r>
    </w:p>
    <w:p w14:paraId="34FB5888" w14:textId="77777777" w:rsidR="00426931" w:rsidRPr="0013396E" w:rsidRDefault="00426931" w:rsidP="00426931">
      <w:pPr>
        <w:spacing w:after="240"/>
        <w:ind w:left="2315" w:hanging="1595"/>
        <w:rPr>
          <w:iCs/>
        </w:rPr>
      </w:pPr>
      <w:r w:rsidRPr="0013396E">
        <w:rPr>
          <w:iCs/>
        </w:rPr>
        <w:t>FFSSSBF</w:t>
      </w:r>
      <w:r w:rsidRPr="0013396E">
        <w:rPr>
          <w:i/>
          <w:iCs/>
          <w:vertAlign w:val="subscript"/>
        </w:rPr>
        <w:t xml:space="preserve"> q, r, h</w:t>
      </w:r>
      <w:r w:rsidRPr="0013396E">
        <w:rPr>
          <w:iCs/>
        </w:rPr>
        <w:tab/>
        <w:t>=</w:t>
      </w:r>
      <w:r w:rsidRPr="0013396E">
        <w:rPr>
          <w:iCs/>
        </w:rPr>
        <w:tab/>
        <w:t xml:space="preserve"> FFSSAWARD </w:t>
      </w:r>
      <w:r w:rsidRPr="0013396E">
        <w:rPr>
          <w:i/>
          <w:iCs/>
          <w:vertAlign w:val="subscript"/>
        </w:rPr>
        <w:t>q, r, h</w:t>
      </w:r>
      <w:r w:rsidRPr="0013396E">
        <w:rPr>
          <w:iCs/>
        </w:rPr>
        <w:t xml:space="preserve"> * </w:t>
      </w:r>
      <w:r w:rsidRPr="0013396E">
        <w:rPr>
          <w:iCs/>
          <w:lang w:val="pt-BR"/>
        </w:rPr>
        <w:t xml:space="preserve">FFSSCRF </w:t>
      </w:r>
      <w:r w:rsidRPr="0013396E">
        <w:rPr>
          <w:i/>
          <w:iCs/>
          <w:vertAlign w:val="subscript"/>
        </w:rPr>
        <w:t>q, r, h</w:t>
      </w:r>
      <w:r w:rsidRPr="0013396E">
        <w:rPr>
          <w:iCs/>
        </w:rPr>
        <w:t xml:space="preserve"> * FFSSARF </w:t>
      </w:r>
      <w:r w:rsidRPr="0013396E">
        <w:rPr>
          <w:i/>
          <w:iCs/>
          <w:vertAlign w:val="subscript"/>
        </w:rPr>
        <w:t>q, r, h</w:t>
      </w:r>
      <w:r w:rsidRPr="0013396E">
        <w:rPr>
          <w:iCs/>
        </w:rPr>
        <w:t xml:space="preserve"> * (1 - FFSSDRP</w:t>
      </w:r>
      <w:r w:rsidRPr="0013396E">
        <w:rPr>
          <w:i/>
          <w:iCs/>
          <w:vertAlign w:val="subscript"/>
        </w:rPr>
        <w:t xml:space="preserve"> q, r, h</w:t>
      </w:r>
      <w:r w:rsidRPr="0013396E">
        <w:rPr>
          <w:iCs/>
        </w:rPr>
        <w:t>)</w:t>
      </w:r>
    </w:p>
    <w:p w14:paraId="2980187F" w14:textId="77777777" w:rsidR="00426931" w:rsidRPr="0013396E" w:rsidRDefault="00426931" w:rsidP="00426931">
      <w:pPr>
        <w:spacing w:after="240"/>
        <w:ind w:firstLine="720"/>
        <w:rPr>
          <w:iCs/>
        </w:rPr>
      </w:pPr>
      <w:r w:rsidRPr="0013396E">
        <w:rPr>
          <w:iCs/>
        </w:rPr>
        <w:t>FFSSAWARD</w:t>
      </w:r>
      <w:r w:rsidRPr="0013396E">
        <w:rPr>
          <w:i/>
          <w:iCs/>
          <w:vertAlign w:val="subscript"/>
        </w:rPr>
        <w:t xml:space="preserve"> q, r, h</w:t>
      </w:r>
      <w:r w:rsidRPr="0013396E">
        <w:rPr>
          <w:iCs/>
        </w:rPr>
        <w:t xml:space="preserve"> = FFSSPR</w:t>
      </w:r>
      <w:r w:rsidRPr="0013396E">
        <w:rPr>
          <w:i/>
          <w:iCs/>
          <w:vertAlign w:val="subscript"/>
        </w:rPr>
        <w:t xml:space="preserve"> q, r, h</w:t>
      </w:r>
      <w:r w:rsidRPr="0013396E">
        <w:rPr>
          <w:iCs/>
        </w:rPr>
        <w:t xml:space="preserve"> * FFSSACAP</w:t>
      </w:r>
      <w:r w:rsidRPr="0013396E">
        <w:rPr>
          <w:i/>
          <w:iCs/>
          <w:vertAlign w:val="subscript"/>
        </w:rPr>
        <w:t xml:space="preserve"> q, r, h</w:t>
      </w:r>
      <w:r w:rsidRPr="0013396E">
        <w:rPr>
          <w:iCs/>
          <w:sz w:val="16"/>
          <w:szCs w:val="16"/>
        </w:rPr>
        <w:t xml:space="preserve"> </w:t>
      </w:r>
    </w:p>
    <w:p w14:paraId="323897BB" w14:textId="77777777" w:rsidR="00426931" w:rsidRPr="0013396E" w:rsidRDefault="00426931" w:rsidP="00426931">
      <w:pPr>
        <w:spacing w:after="240"/>
        <w:ind w:firstLine="720"/>
        <w:rPr>
          <w:iCs/>
        </w:rPr>
      </w:pPr>
      <w:r w:rsidRPr="0013396E">
        <w:rPr>
          <w:iCs/>
        </w:rPr>
        <w:t>And:</w:t>
      </w:r>
    </w:p>
    <w:p w14:paraId="4021A15F" w14:textId="77777777" w:rsidR="00426931" w:rsidRPr="0013396E" w:rsidRDefault="00426931" w:rsidP="00426931">
      <w:pPr>
        <w:spacing w:after="240"/>
        <w:ind w:firstLine="720"/>
      </w:pPr>
      <w:r w:rsidRPr="0013396E">
        <w:t>FFSS Capacity Reduction Factor</w:t>
      </w:r>
    </w:p>
    <w:p w14:paraId="65389B71" w14:textId="77777777" w:rsidR="00426931" w:rsidRPr="0013396E" w:rsidRDefault="00426931" w:rsidP="00426931">
      <w:pPr>
        <w:spacing w:after="240"/>
        <w:ind w:firstLine="720"/>
      </w:pPr>
      <w:r w:rsidRPr="0013396E">
        <w:t xml:space="preserve">If (FFSSTCAP </w:t>
      </w:r>
      <w:r w:rsidRPr="0013396E">
        <w:rPr>
          <w:i/>
          <w:vertAlign w:val="subscript"/>
        </w:rPr>
        <w:t>q, r, h</w:t>
      </w:r>
      <w:r w:rsidRPr="0013396E">
        <w:t xml:space="preserve"> ≥ FFSSACAP </w:t>
      </w:r>
      <w:r w:rsidRPr="0013396E">
        <w:rPr>
          <w:i/>
          <w:vertAlign w:val="subscript"/>
        </w:rPr>
        <w:t>q, r, h</w:t>
      </w:r>
      <w:r w:rsidRPr="0013396E">
        <w:t xml:space="preserve">) </w:t>
      </w:r>
    </w:p>
    <w:p w14:paraId="47B02766" w14:textId="77777777" w:rsidR="00426931" w:rsidRPr="0013396E" w:rsidRDefault="00426931" w:rsidP="00426931">
      <w:pPr>
        <w:spacing w:after="240"/>
        <w:ind w:firstLine="720"/>
        <w:rPr>
          <w:lang w:val="pt-BR"/>
        </w:rPr>
      </w:pPr>
      <w:r w:rsidRPr="0013396E">
        <w:rPr>
          <w:lang w:val="pt-BR"/>
        </w:rPr>
        <w:t xml:space="preserve">Then: </w:t>
      </w:r>
      <w:r w:rsidRPr="0013396E">
        <w:rPr>
          <w:lang w:val="pt-BR"/>
        </w:rPr>
        <w:tab/>
      </w:r>
      <w:r w:rsidRPr="0013396E">
        <w:rPr>
          <w:lang w:val="pt-BR"/>
        </w:rPr>
        <w:tab/>
        <w:t xml:space="preserve">FFSSCRF </w:t>
      </w:r>
      <w:r w:rsidRPr="0013396E">
        <w:rPr>
          <w:i/>
          <w:vertAlign w:val="subscript"/>
          <w:lang w:val="pt-BR"/>
        </w:rPr>
        <w:t>q, r, h</w:t>
      </w:r>
      <w:r w:rsidRPr="0013396E">
        <w:rPr>
          <w:lang w:val="pt-BR"/>
        </w:rPr>
        <w:t xml:space="preserve">  = 1</w:t>
      </w:r>
    </w:p>
    <w:p w14:paraId="4BE45CBB" w14:textId="77777777" w:rsidR="00426931" w:rsidRPr="0013396E" w:rsidRDefault="00426931" w:rsidP="00426931">
      <w:pPr>
        <w:ind w:firstLine="720"/>
        <w:rPr>
          <w:sz w:val="32"/>
          <w:szCs w:val="32"/>
          <w:lang w:val="pt-BR"/>
        </w:rPr>
      </w:pPr>
      <w:r w:rsidRPr="0013396E">
        <w:rPr>
          <w:lang w:val="pt-BR"/>
        </w:rPr>
        <w:t>Otherwise:</w:t>
      </w:r>
      <w:r w:rsidRPr="0013396E">
        <w:rPr>
          <w:lang w:val="pt-BR"/>
        </w:rPr>
        <w:tab/>
        <w:t xml:space="preserve">FFSSCRF </w:t>
      </w:r>
      <w:r w:rsidRPr="0013396E">
        <w:rPr>
          <w:i/>
          <w:vertAlign w:val="subscript"/>
          <w:lang w:val="pt-BR"/>
        </w:rPr>
        <w:t>q, r, h</w:t>
      </w:r>
      <w:r w:rsidRPr="0013396E">
        <w:rPr>
          <w:lang w:val="pt-BR"/>
        </w:rPr>
        <w:t xml:space="preserve"> = Max (0, 1 – 2 * (FFSSACAP </w:t>
      </w:r>
      <w:r w:rsidRPr="0013396E">
        <w:rPr>
          <w:i/>
          <w:vertAlign w:val="subscript"/>
          <w:lang w:val="pt-BR"/>
        </w:rPr>
        <w:t xml:space="preserve">q, r, h </w:t>
      </w:r>
      <w:r w:rsidRPr="0013396E">
        <w:rPr>
          <w:lang w:val="pt-BR"/>
        </w:rPr>
        <w:t xml:space="preserve">– FFSSTCAP </w:t>
      </w:r>
      <w:r w:rsidRPr="0013396E">
        <w:rPr>
          <w:i/>
          <w:vertAlign w:val="subscript"/>
          <w:lang w:val="pt-BR"/>
        </w:rPr>
        <w:t>q, r, h</w:t>
      </w:r>
      <w:r w:rsidRPr="0013396E">
        <w:rPr>
          <w:lang w:val="pt-BR"/>
        </w:rPr>
        <w:t xml:space="preserve">) </w:t>
      </w:r>
      <w:r w:rsidRPr="0013396E">
        <w:rPr>
          <w:b/>
          <w:sz w:val="32"/>
          <w:szCs w:val="32"/>
          <w:lang w:val="pt-BR"/>
        </w:rPr>
        <w:t>/</w:t>
      </w:r>
      <w:r w:rsidRPr="0013396E">
        <w:rPr>
          <w:sz w:val="32"/>
          <w:szCs w:val="32"/>
          <w:lang w:val="pt-BR"/>
        </w:rPr>
        <w:t xml:space="preserve"> </w:t>
      </w:r>
    </w:p>
    <w:p w14:paraId="12C64243" w14:textId="77777777" w:rsidR="00426931" w:rsidRPr="0013396E" w:rsidRDefault="00426931" w:rsidP="00426931">
      <w:pPr>
        <w:spacing w:after="240"/>
        <w:ind w:left="1440" w:firstLine="720"/>
        <w:rPr>
          <w:lang w:val="pt-BR"/>
        </w:rPr>
      </w:pPr>
      <w:r w:rsidRPr="0013396E">
        <w:rPr>
          <w:lang w:val="pt-BR"/>
        </w:rPr>
        <w:t xml:space="preserve">FFSSACAP </w:t>
      </w:r>
      <w:r w:rsidRPr="0013396E">
        <w:rPr>
          <w:i/>
          <w:vertAlign w:val="subscript"/>
          <w:lang w:val="pt-BR"/>
        </w:rPr>
        <w:t>q, r, h</w:t>
      </w:r>
      <w:r w:rsidRPr="0013396E">
        <w:rPr>
          <w:lang w:val="pt-BR"/>
        </w:rPr>
        <w:t>)</w:t>
      </w:r>
    </w:p>
    <w:p w14:paraId="5AE8AD06" w14:textId="77777777" w:rsidR="00426931" w:rsidRPr="0013396E" w:rsidRDefault="00426931" w:rsidP="00426931">
      <w:pPr>
        <w:spacing w:after="240"/>
        <w:ind w:firstLine="720"/>
      </w:pPr>
      <w:r w:rsidRPr="0013396E">
        <w:t>FFSS Availability Reduction Factor</w:t>
      </w:r>
    </w:p>
    <w:p w14:paraId="2B42B139" w14:textId="77777777" w:rsidR="00426931" w:rsidRPr="0013396E" w:rsidRDefault="00426931" w:rsidP="00426931">
      <w:pPr>
        <w:spacing w:after="240"/>
        <w:ind w:firstLine="720"/>
        <w:rPr>
          <w:lang w:val="pt-BR"/>
        </w:rPr>
      </w:pPr>
      <w:r w:rsidRPr="0013396E">
        <w:rPr>
          <w:lang w:val="pt-BR"/>
        </w:rPr>
        <w:t xml:space="preserve">If (FFSSHREAF </w:t>
      </w:r>
      <w:r w:rsidRPr="0013396E">
        <w:rPr>
          <w:i/>
          <w:vertAlign w:val="subscript"/>
          <w:lang w:val="pt-BR"/>
        </w:rPr>
        <w:t>q, r, h</w:t>
      </w:r>
      <w:r w:rsidRPr="0013396E">
        <w:rPr>
          <w:lang w:val="pt-BR"/>
        </w:rPr>
        <w:t xml:space="preserve"> </w:t>
      </w:r>
      <w:r w:rsidRPr="0013396E">
        <w:sym w:font="Symbol" w:char="F0B3"/>
      </w:r>
      <w:r w:rsidRPr="0013396E">
        <w:rPr>
          <w:lang w:val="pt-BR"/>
        </w:rPr>
        <w:t xml:space="preserve"> 0.90)</w:t>
      </w:r>
    </w:p>
    <w:p w14:paraId="38959CB7" w14:textId="77777777" w:rsidR="00426931" w:rsidRPr="0013396E" w:rsidRDefault="00426931" w:rsidP="00426931">
      <w:pPr>
        <w:spacing w:after="240"/>
        <w:ind w:firstLine="720"/>
        <w:rPr>
          <w:lang w:val="pt-BR"/>
        </w:rPr>
      </w:pPr>
      <w:r w:rsidRPr="0013396E">
        <w:rPr>
          <w:lang w:val="pt-BR"/>
        </w:rPr>
        <w:t>Then:</w:t>
      </w:r>
      <w:r w:rsidRPr="0013396E">
        <w:rPr>
          <w:lang w:val="pt-BR"/>
        </w:rPr>
        <w:tab/>
      </w:r>
      <w:r w:rsidRPr="0013396E">
        <w:rPr>
          <w:lang w:val="pt-BR"/>
        </w:rPr>
        <w:tab/>
        <w:t xml:space="preserve">FFSSARF </w:t>
      </w:r>
      <w:r w:rsidRPr="0013396E">
        <w:rPr>
          <w:i/>
          <w:vertAlign w:val="subscript"/>
          <w:lang w:val="pt-BR"/>
        </w:rPr>
        <w:t>q, r, h</w:t>
      </w:r>
      <w:r w:rsidRPr="0013396E">
        <w:rPr>
          <w:lang w:val="pt-BR"/>
        </w:rPr>
        <w:t xml:space="preserve"> </w:t>
      </w:r>
      <w:r w:rsidRPr="0013396E">
        <w:rPr>
          <w:lang w:val="pt-BR"/>
        </w:rPr>
        <w:tab/>
        <w:t>= 1</w:t>
      </w:r>
    </w:p>
    <w:p w14:paraId="5EA9FD7B" w14:textId="77777777" w:rsidR="00426931" w:rsidRPr="0013396E" w:rsidRDefault="00426931" w:rsidP="00426931">
      <w:pPr>
        <w:spacing w:after="240"/>
        <w:ind w:firstLine="720"/>
        <w:rPr>
          <w:lang w:val="pt-BR"/>
        </w:rPr>
      </w:pPr>
      <w:r w:rsidRPr="0013396E">
        <w:rPr>
          <w:lang w:val="pt-BR"/>
        </w:rPr>
        <w:t>Otherwise:</w:t>
      </w:r>
      <w:r w:rsidRPr="0013396E">
        <w:rPr>
          <w:lang w:val="pt-BR"/>
        </w:rPr>
        <w:tab/>
        <w:t xml:space="preserve">FFSSARF </w:t>
      </w:r>
      <w:r w:rsidRPr="0013396E">
        <w:rPr>
          <w:i/>
          <w:vertAlign w:val="subscript"/>
          <w:lang w:val="pt-BR"/>
        </w:rPr>
        <w:t>q, r, h</w:t>
      </w:r>
      <w:r w:rsidRPr="0013396E">
        <w:rPr>
          <w:lang w:val="pt-BR"/>
        </w:rPr>
        <w:t xml:space="preserve"> </w:t>
      </w:r>
      <w:r w:rsidRPr="0013396E">
        <w:rPr>
          <w:lang w:val="pt-BR"/>
        </w:rPr>
        <w:tab/>
        <w:t xml:space="preserve">= Max (0, 1 - (0.90 - FFSSHREAF </w:t>
      </w:r>
      <w:r w:rsidRPr="0013396E">
        <w:rPr>
          <w:i/>
          <w:vertAlign w:val="subscript"/>
          <w:lang w:val="pt-BR"/>
        </w:rPr>
        <w:t>q, r, h</w:t>
      </w:r>
      <w:r w:rsidRPr="0013396E">
        <w:rPr>
          <w:lang w:val="pt-BR"/>
        </w:rPr>
        <w:t>) * 2)</w:t>
      </w:r>
    </w:p>
    <w:p w14:paraId="3A6E5231" w14:textId="77777777" w:rsidR="00426931" w:rsidRPr="0013396E" w:rsidRDefault="00426931" w:rsidP="00426931">
      <w:pPr>
        <w:spacing w:after="240"/>
        <w:ind w:firstLine="720"/>
      </w:pPr>
      <w:r w:rsidRPr="0013396E">
        <w:t>FFSS Hourly Rolling Equivalent Availability Factor</w:t>
      </w:r>
    </w:p>
    <w:p w14:paraId="3553FAF7" w14:textId="77777777" w:rsidR="00426931" w:rsidRPr="0013396E" w:rsidRDefault="00426931" w:rsidP="00426931">
      <w:pPr>
        <w:spacing w:after="240"/>
        <w:ind w:left="3600" w:hanging="2160"/>
        <w:rPr>
          <w:iCs/>
          <w:lang w:val="pt-BR"/>
        </w:rPr>
      </w:pPr>
    </w:p>
    <w:p w14:paraId="71CFB569" w14:textId="77777777" w:rsidR="00426931" w:rsidRPr="0013396E" w:rsidRDefault="00426931" w:rsidP="00426931">
      <w:pPr>
        <w:spacing w:after="240"/>
        <w:ind w:left="3600" w:hanging="2160"/>
        <w:rPr>
          <w:iCs/>
          <w:lang w:val="pt-BR"/>
        </w:rPr>
      </w:pPr>
      <w:r w:rsidRPr="0013396E">
        <w:rPr>
          <w:lang w:val="pt-BR"/>
        </w:rPr>
        <w:t xml:space="preserve">FFSSHREAF </w:t>
      </w:r>
      <w:r w:rsidRPr="0013396E">
        <w:rPr>
          <w:i/>
          <w:vertAlign w:val="subscript"/>
          <w:lang w:val="pt-BR"/>
        </w:rPr>
        <w:t>q, r, h</w:t>
      </w:r>
      <w:r w:rsidRPr="0013396E">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w:rPr>
                <w:rFonts w:ascii="Cambria Math" w:hAnsi="Cambria Math"/>
                <w:lang w:val="pt-BR"/>
              </w:rPr>
              <m:t>(</m:t>
            </m:r>
          </m:e>
        </m:nary>
      </m:oMath>
      <w:r w:rsidRPr="0013396E">
        <w:rPr>
          <w:lang w:val="pt-BR"/>
        </w:rPr>
        <w:t xml:space="preserve">max(AVCAP </w:t>
      </w:r>
      <w:r w:rsidRPr="0013396E">
        <w:rPr>
          <w:i/>
          <w:vertAlign w:val="subscript"/>
          <w:lang w:val="pt-BR"/>
        </w:rPr>
        <w:t>q, r, hr</w:t>
      </w:r>
      <w:r w:rsidRPr="0013396E">
        <w:rPr>
          <w:iCs/>
          <w:lang w:val="pt-BR"/>
        </w:rPr>
        <w:t>))</w:t>
      </w:r>
      <w:r w:rsidRPr="0013396E">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m:rPr>
                <m:sty m:val="p"/>
              </m:rPr>
              <w:rPr>
                <w:rFonts w:ascii="Cambria Math" w:hAnsi="Cambria Math"/>
                <w:lang w:val="pt-BR"/>
              </w:rPr>
              <m:t>(</m:t>
            </m:r>
          </m:e>
        </m:nary>
      </m:oMath>
      <w:r w:rsidRPr="0013396E">
        <w:t xml:space="preserve">FFSSACAP </w:t>
      </w:r>
      <w:r w:rsidRPr="0013396E">
        <w:rPr>
          <w:i/>
          <w:vertAlign w:val="subscript"/>
          <w:lang w:val="pt-BR"/>
        </w:rPr>
        <w:t>q, r, hr</w:t>
      </w:r>
      <w:r w:rsidRPr="0013396E">
        <w:rPr>
          <w:iCs/>
          <w:lang w:val="pt-BR"/>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D4C23" w:rsidRPr="0013396E" w14:paraId="4DECD261" w14:textId="77777777" w:rsidTr="00A86863">
        <w:trPr>
          <w:trHeight w:val="206"/>
        </w:trPr>
        <w:tc>
          <w:tcPr>
            <w:tcW w:w="9350" w:type="dxa"/>
            <w:shd w:val="pct12" w:color="auto" w:fill="auto"/>
          </w:tcPr>
          <w:p w14:paraId="4325A3C1" w14:textId="5D68652C" w:rsidR="005D4C23" w:rsidRPr="0013396E" w:rsidRDefault="005D4C23" w:rsidP="00A86863">
            <w:pPr>
              <w:spacing w:before="120" w:after="240"/>
              <w:rPr>
                <w:b/>
                <w:i/>
                <w:iCs/>
                <w:szCs w:val="24"/>
              </w:rPr>
            </w:pPr>
            <w:r w:rsidRPr="0013396E">
              <w:rPr>
                <w:b/>
                <w:i/>
                <w:iCs/>
                <w:szCs w:val="24"/>
              </w:rPr>
              <w:t>[NPRR1</w:t>
            </w:r>
            <w:r>
              <w:rPr>
                <w:b/>
                <w:i/>
                <w:iCs/>
                <w:szCs w:val="24"/>
              </w:rPr>
              <w:t>327</w:t>
            </w:r>
            <w:r w:rsidRPr="0013396E">
              <w:rPr>
                <w:b/>
                <w:i/>
                <w:iCs/>
                <w:szCs w:val="24"/>
              </w:rPr>
              <w:t xml:space="preserve">: </w:t>
            </w:r>
            <w:r>
              <w:rPr>
                <w:b/>
                <w:i/>
                <w:iCs/>
                <w:szCs w:val="24"/>
              </w:rPr>
              <w:t xml:space="preserve"> Replace the formula “</w:t>
            </w:r>
            <w:r w:rsidRPr="005D4C23">
              <w:rPr>
                <w:b/>
                <w:i/>
                <w:iCs/>
                <w:szCs w:val="24"/>
              </w:rPr>
              <w:t>FFSSHREAF</w:t>
            </w:r>
            <w:r w:rsidRPr="005D4C23">
              <w:rPr>
                <w:b/>
                <w:i/>
                <w:iCs/>
                <w:szCs w:val="24"/>
                <w:vertAlign w:val="subscript"/>
              </w:rPr>
              <w:t xml:space="preserve"> q, r, h</w:t>
            </w:r>
            <w:r>
              <w:rPr>
                <w:b/>
                <w:i/>
                <w:iCs/>
                <w:szCs w:val="24"/>
              </w:rPr>
              <w:t>” above with the following</w:t>
            </w:r>
            <w:r w:rsidRPr="0013396E">
              <w:rPr>
                <w:b/>
                <w:i/>
                <w:iCs/>
                <w:szCs w:val="24"/>
              </w:rPr>
              <w:t xml:space="preserve"> upon system implementation</w:t>
            </w:r>
            <w:r>
              <w:rPr>
                <w:b/>
                <w:i/>
                <w:iCs/>
                <w:szCs w:val="24"/>
              </w:rPr>
              <w:t xml:space="preserve"> of NPRR1281</w:t>
            </w:r>
            <w:r w:rsidRPr="0013396E">
              <w:rPr>
                <w:b/>
                <w:i/>
                <w:iCs/>
                <w:szCs w:val="24"/>
              </w:rPr>
              <w:t>:]</w:t>
            </w:r>
          </w:p>
          <w:p w14:paraId="16080D24" w14:textId="4B3A5EF0" w:rsidR="005D4C23" w:rsidRPr="005D4C23" w:rsidRDefault="005D4C23" w:rsidP="005D4C23">
            <w:pPr>
              <w:spacing w:after="240"/>
              <w:ind w:left="3600" w:hanging="2160"/>
            </w:pPr>
            <w:r w:rsidRPr="0013396E">
              <w:rPr>
                <w:lang w:val="pt-BR"/>
              </w:rPr>
              <w:t xml:space="preserve">FFSSHREAF </w:t>
            </w:r>
            <w:r w:rsidRPr="0013396E">
              <w:rPr>
                <w:i/>
                <w:vertAlign w:val="subscript"/>
                <w:lang w:val="pt-BR"/>
              </w:rPr>
              <w:t>q, r, h</w:t>
            </w:r>
            <w:r w:rsidRPr="0013396E">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w:rPr>
                      <w:rFonts w:ascii="Cambria Math" w:hAnsi="Cambria Math"/>
                      <w:lang w:val="pt-BR"/>
                    </w:rPr>
                    <m:t>(</m:t>
                  </m:r>
                </m:e>
              </m:nary>
            </m:oMath>
            <w:r w:rsidRPr="0013396E">
              <w:rPr>
                <w:lang w:val="pt-BR"/>
              </w:rPr>
              <w:t xml:space="preserve">AVCAP </w:t>
            </w:r>
            <w:r w:rsidRPr="0013396E">
              <w:rPr>
                <w:i/>
                <w:vertAlign w:val="subscript"/>
                <w:lang w:val="pt-BR"/>
              </w:rPr>
              <w:t>q, r, hr</w:t>
            </w:r>
            <w:r w:rsidRPr="0013396E">
              <w:rPr>
                <w:iCs/>
                <w:lang w:val="pt-BR"/>
              </w:rPr>
              <w:t>)</w:t>
            </w:r>
            <w:r w:rsidRPr="0013396E">
              <w:rPr>
                <w:lang w:val="pt-BR"/>
              </w:rPr>
              <w:t xml:space="preserve"> / </w:t>
            </w:r>
            <m:oMath>
              <m:nary>
                <m:naryPr>
                  <m:chr m:val="∑"/>
                  <m:limLoc m:val="undOvr"/>
                  <m:ctrlPr>
                    <w:rPr>
                      <w:rFonts w:ascii="Cambria Math" w:hAnsi="Cambria Math"/>
                      <w:i/>
                      <w:lang w:val="pt-BR"/>
                    </w:rPr>
                  </m:ctrlPr>
                </m:naryPr>
                <m:sub>
                  <m:r>
                    <w:rPr>
                      <w:rFonts w:ascii="Cambria Math" w:hAnsi="Cambria Math"/>
                      <w:lang w:val="pt-BR"/>
                    </w:rPr>
                    <m:t>hr=h-</m:t>
                  </m:r>
                  <m:r>
                    <w:rPr>
                      <w:rFonts w:ascii="Cambria Math" w:hAnsi="Cambria Math"/>
                      <w:lang w:val="pt-BR"/>
                    </w:rPr>
                    <m:t>1451</m:t>
                  </m:r>
                </m:sub>
                <m:sup>
                  <m:r>
                    <w:rPr>
                      <w:rFonts w:ascii="Cambria Math" w:hAnsi="Cambria Math"/>
                      <w:lang w:val="pt-BR"/>
                    </w:rPr>
                    <m:t>h</m:t>
                  </m:r>
                </m:sup>
                <m:e>
                  <m:r>
                    <m:rPr>
                      <m:sty m:val="p"/>
                    </m:rPr>
                    <w:rPr>
                      <w:rFonts w:ascii="Cambria Math" w:hAnsi="Cambria Math"/>
                      <w:lang w:val="pt-BR"/>
                    </w:rPr>
                    <m:t>(</m:t>
                  </m:r>
                </m:e>
              </m:nary>
            </m:oMath>
            <w:r w:rsidRPr="0013396E">
              <w:t>FFSSACAP</w:t>
            </w:r>
          </w:p>
        </w:tc>
      </w:tr>
    </w:tbl>
    <w:p w14:paraId="486F7BA0" w14:textId="77777777" w:rsidR="00426931" w:rsidRPr="0013396E" w:rsidRDefault="00426931" w:rsidP="005D4C23">
      <w:pPr>
        <w:spacing w:before="240" w:after="240"/>
        <w:ind w:left="2880" w:hanging="2160"/>
      </w:pPr>
      <w:r w:rsidRPr="0013396E">
        <w:rPr>
          <w:iCs/>
          <w:lang w:val="pt-BR"/>
        </w:rPr>
        <w:t>Where,</w:t>
      </w:r>
    </w:p>
    <w:p w14:paraId="77E673FA" w14:textId="77777777" w:rsidR="00426931" w:rsidRPr="0013396E" w:rsidRDefault="00426931" w:rsidP="00426931">
      <w:pPr>
        <w:spacing w:after="240"/>
        <w:ind w:left="720" w:firstLine="720"/>
        <w:rPr>
          <w:lang w:val="pt-BR"/>
        </w:rPr>
      </w:pPr>
      <w:r w:rsidRPr="0013396E">
        <w:rPr>
          <w:lang w:val="pt-BR"/>
        </w:rPr>
        <w:t>If the Resource is a Combined Cycle Train:</w:t>
      </w:r>
    </w:p>
    <w:p w14:paraId="5EFC2944" w14:textId="77777777" w:rsidR="00426931" w:rsidRPr="0013396E" w:rsidRDefault="00426931" w:rsidP="00426931">
      <w:pPr>
        <w:spacing w:after="120"/>
        <w:ind w:left="3118" w:hanging="1710"/>
        <w:rPr>
          <w:i/>
          <w:vertAlign w:val="subscript"/>
          <w:lang w:val="pt-BR"/>
        </w:rPr>
      </w:pPr>
      <w:r w:rsidRPr="0013396E">
        <w:rPr>
          <w:lang w:val="pt-BR"/>
        </w:rPr>
        <w:lastRenderedPageBreak/>
        <w:t>AVCAP</w:t>
      </w:r>
      <w:r w:rsidRPr="0013396E">
        <w:rPr>
          <w:i/>
          <w:vertAlign w:val="subscript"/>
          <w:lang w:val="pt-BR"/>
        </w:rPr>
        <w:t xml:space="preserve">q, r, hr </w:t>
      </w:r>
      <w:r w:rsidRPr="0013396E">
        <w:rPr>
          <w:lang w:val="pt-BR"/>
        </w:rPr>
        <w:t xml:space="preserve"> = max</w:t>
      </w:r>
      <w:r w:rsidRPr="0013396E">
        <w:rPr>
          <w:i/>
          <w:vertAlign w:val="subscript"/>
          <w:lang w:val="pt-BR"/>
        </w:rPr>
        <w:t>train,hr</w:t>
      </w:r>
      <w:r w:rsidRPr="0013396E">
        <w:rPr>
          <w:lang w:val="pt-BR"/>
        </w:rPr>
        <w:t xml:space="preserve"> (max(FFSEDFLAG </w:t>
      </w:r>
      <w:r w:rsidRPr="0013396E">
        <w:rPr>
          <w:i/>
          <w:iCs/>
          <w:vertAlign w:val="subscript"/>
          <w:lang w:val="pt-BR"/>
        </w:rPr>
        <w:t>q, train, hr</w:t>
      </w:r>
      <w:r w:rsidRPr="0013396E">
        <w:rPr>
          <w:lang w:val="pt-BR"/>
        </w:rPr>
        <w:t xml:space="preserve">, FFSSAFLAG </w:t>
      </w:r>
      <w:r w:rsidRPr="0013396E">
        <w:rPr>
          <w:i/>
          <w:vertAlign w:val="subscript"/>
          <w:lang w:val="pt-BR"/>
        </w:rPr>
        <w:t>q, ccgr, hr</w:t>
      </w:r>
      <w:r w:rsidRPr="0013396E">
        <w:rPr>
          <w:iCs/>
          <w:lang w:val="pt-BR"/>
        </w:rPr>
        <w:t>)</w:t>
      </w:r>
      <w:r w:rsidRPr="0013396E">
        <w:rPr>
          <w:i/>
          <w:vertAlign w:val="subscript"/>
          <w:lang w:val="pt-BR"/>
        </w:rPr>
        <w:t xml:space="preserve"> </w:t>
      </w:r>
      <w:r w:rsidRPr="0013396E">
        <w:rPr>
          <w:lang w:val="pt-BR"/>
        </w:rPr>
        <w:t>* min(HSL</w:t>
      </w:r>
      <w:r w:rsidRPr="0013396E">
        <w:rPr>
          <w:i/>
          <w:vertAlign w:val="subscript"/>
          <w:lang w:val="pt-BR"/>
        </w:rPr>
        <w:t xml:space="preserve"> q, ccgr, hr</w:t>
      </w:r>
      <w:r w:rsidRPr="0013396E">
        <w:rPr>
          <w:lang w:val="pt-BR"/>
        </w:rPr>
        <w:t xml:space="preserve">, </w:t>
      </w:r>
      <w:r w:rsidRPr="0013396E">
        <w:t>FFSSACAP</w:t>
      </w:r>
      <w:r w:rsidRPr="0013396E">
        <w:rPr>
          <w:i/>
          <w:vertAlign w:val="subscript"/>
          <w:lang w:val="pt-BR"/>
        </w:rPr>
        <w:t>q, train, hr</w:t>
      </w:r>
      <w:r w:rsidRPr="0013396E">
        <w:rPr>
          <w:iCs/>
          <w:lang w:val="pt-BR"/>
        </w:rPr>
        <w:t>))</w:t>
      </w:r>
    </w:p>
    <w:p w14:paraId="0AC801D4" w14:textId="77777777" w:rsidR="00426931" w:rsidRPr="0013396E" w:rsidRDefault="00426931" w:rsidP="00426931">
      <w:pPr>
        <w:spacing w:after="240"/>
        <w:ind w:left="720" w:firstLine="720"/>
        <w:rPr>
          <w:lang w:val="pt-BR"/>
        </w:rPr>
      </w:pPr>
      <w:r w:rsidRPr="0013396E">
        <w:rPr>
          <w:lang w:val="pt-BR"/>
        </w:rPr>
        <w:t>Otherwise:</w:t>
      </w:r>
    </w:p>
    <w:p w14:paraId="35FAD99D" w14:textId="77777777" w:rsidR="00426931" w:rsidRPr="0013396E" w:rsidRDefault="00426931" w:rsidP="00426931">
      <w:pPr>
        <w:spacing w:after="120"/>
        <w:ind w:left="3118" w:hanging="1710"/>
        <w:rPr>
          <w:iCs/>
          <w:lang w:val="pt-BR"/>
        </w:rPr>
      </w:pPr>
      <w:r w:rsidRPr="0013396E">
        <w:rPr>
          <w:lang w:val="pt-BR"/>
        </w:rPr>
        <w:t xml:space="preserve">AVCAP </w:t>
      </w:r>
      <w:r w:rsidRPr="0013396E">
        <w:rPr>
          <w:i/>
          <w:iCs/>
          <w:vertAlign w:val="subscript"/>
          <w:lang w:val="pt-BR"/>
        </w:rPr>
        <w:t>q, r, hr</w:t>
      </w:r>
      <w:r w:rsidRPr="0013396E">
        <w:rPr>
          <w:lang w:val="pt-BR"/>
        </w:rPr>
        <w:t xml:space="preserve"> = max(FFSEDFLAG </w:t>
      </w:r>
      <w:r w:rsidRPr="0013396E">
        <w:rPr>
          <w:i/>
          <w:iCs/>
          <w:vertAlign w:val="subscript"/>
          <w:lang w:val="pt-BR"/>
        </w:rPr>
        <w:t>q, r, hr</w:t>
      </w:r>
      <w:r w:rsidRPr="0013396E">
        <w:rPr>
          <w:lang w:val="pt-BR"/>
        </w:rPr>
        <w:t xml:space="preserve">, FFSSAFLAG </w:t>
      </w:r>
      <w:r w:rsidRPr="0013396E">
        <w:rPr>
          <w:i/>
          <w:vertAlign w:val="subscript"/>
          <w:lang w:val="pt-BR"/>
        </w:rPr>
        <w:t>q, r, hr</w:t>
      </w:r>
      <w:r w:rsidRPr="0013396E">
        <w:rPr>
          <w:iCs/>
          <w:lang w:val="pt-BR"/>
        </w:rPr>
        <w:t>)</w:t>
      </w:r>
      <w:r w:rsidRPr="0013396E">
        <w:rPr>
          <w:i/>
          <w:vertAlign w:val="subscript"/>
          <w:lang w:val="pt-BR"/>
        </w:rPr>
        <w:t xml:space="preserve"> </w:t>
      </w:r>
      <w:r w:rsidRPr="0013396E">
        <w:rPr>
          <w:lang w:val="pt-BR"/>
        </w:rPr>
        <w:t>* min(HSL</w:t>
      </w:r>
      <w:r w:rsidRPr="0013396E">
        <w:rPr>
          <w:i/>
          <w:vertAlign w:val="subscript"/>
          <w:lang w:val="pt-BR"/>
        </w:rPr>
        <w:t xml:space="preserve"> q, r, hr</w:t>
      </w:r>
      <w:r w:rsidRPr="0013396E">
        <w:rPr>
          <w:lang w:val="pt-BR"/>
        </w:rPr>
        <w:t xml:space="preserve">, </w:t>
      </w:r>
      <w:r w:rsidRPr="0013396E">
        <w:t xml:space="preserve">FFSSACAP </w:t>
      </w:r>
      <w:r w:rsidRPr="0013396E">
        <w:rPr>
          <w:i/>
          <w:vertAlign w:val="subscript"/>
          <w:lang w:val="pt-BR"/>
        </w:rPr>
        <w:t>q, r, hr</w:t>
      </w:r>
      <w:r w:rsidRPr="0013396E">
        <w:rPr>
          <w:iCs/>
          <w:lang w:val="pt-BR"/>
        </w:rPr>
        <w:t>)</w:t>
      </w:r>
    </w:p>
    <w:p w14:paraId="737B2D54" w14:textId="77777777" w:rsidR="00426931" w:rsidRPr="0013396E" w:rsidRDefault="00426931" w:rsidP="00426931">
      <w:pPr>
        <w:spacing w:after="240"/>
        <w:ind w:left="1440"/>
        <w:rPr>
          <w:lang w:val="pt-BR"/>
        </w:rPr>
      </w:pPr>
      <w:r w:rsidRPr="0013396E">
        <w:t>Availability for a Combined Cycle Train will be determined pursuant to terms set forth in the RFP but no more than once per hour.</w:t>
      </w:r>
      <w:r w:rsidRPr="0013396E">
        <w:rPr>
          <w:lang w:val="pt-BR"/>
        </w:rPr>
        <w:t xml:space="preserve"> </w:t>
      </w:r>
    </w:p>
    <w:p w14:paraId="5786F2CA" w14:textId="77777777" w:rsidR="00426931" w:rsidRPr="0013396E" w:rsidRDefault="00426931" w:rsidP="00426931">
      <w:r w:rsidRPr="0013396E">
        <w:t>The above variables are defined as follows:</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1632"/>
        <w:gridCol w:w="5697"/>
      </w:tblGrid>
      <w:tr w:rsidR="00426931" w:rsidRPr="0013396E" w14:paraId="02B949CA" w14:textId="77777777" w:rsidTr="00426931">
        <w:trPr>
          <w:cantSplit/>
          <w:trHeight w:val="332"/>
          <w:tblHeader/>
        </w:trPr>
        <w:tc>
          <w:tcPr>
            <w:tcW w:w="2483" w:type="dxa"/>
            <w:tcBorders>
              <w:top w:val="single" w:sz="4" w:space="0" w:color="auto"/>
              <w:left w:val="single" w:sz="4" w:space="0" w:color="auto"/>
              <w:bottom w:val="single" w:sz="4" w:space="0" w:color="auto"/>
              <w:right w:val="single" w:sz="4" w:space="0" w:color="auto"/>
            </w:tcBorders>
            <w:hideMark/>
          </w:tcPr>
          <w:p w14:paraId="6F1D1236" w14:textId="77777777" w:rsidR="00426931" w:rsidRPr="0013396E" w:rsidRDefault="00426931" w:rsidP="00426931">
            <w:pPr>
              <w:spacing w:after="120"/>
              <w:rPr>
                <w:b/>
                <w:bCs/>
                <w:iCs/>
                <w:sz w:val="20"/>
              </w:rPr>
            </w:pPr>
            <w:r w:rsidRPr="0013396E">
              <w:rPr>
                <w:b/>
                <w:bCs/>
                <w:sz w:val="20"/>
              </w:rPr>
              <w:t>Variable</w:t>
            </w:r>
          </w:p>
        </w:tc>
        <w:tc>
          <w:tcPr>
            <w:tcW w:w="1632" w:type="dxa"/>
            <w:tcBorders>
              <w:top w:val="single" w:sz="4" w:space="0" w:color="auto"/>
              <w:left w:val="single" w:sz="4" w:space="0" w:color="auto"/>
              <w:bottom w:val="single" w:sz="4" w:space="0" w:color="auto"/>
              <w:right w:val="single" w:sz="4" w:space="0" w:color="auto"/>
            </w:tcBorders>
            <w:hideMark/>
          </w:tcPr>
          <w:p w14:paraId="495091DC" w14:textId="77777777" w:rsidR="00426931" w:rsidRPr="0013396E" w:rsidRDefault="00426931" w:rsidP="00426931">
            <w:pPr>
              <w:spacing w:after="120"/>
              <w:rPr>
                <w:b/>
                <w:iCs/>
                <w:sz w:val="20"/>
              </w:rPr>
            </w:pPr>
            <w:r w:rsidRPr="0013396E">
              <w:rPr>
                <w:b/>
                <w:iCs/>
                <w:sz w:val="20"/>
              </w:rPr>
              <w:t>Unit</w:t>
            </w:r>
          </w:p>
        </w:tc>
        <w:tc>
          <w:tcPr>
            <w:tcW w:w="5697" w:type="dxa"/>
            <w:tcBorders>
              <w:top w:val="single" w:sz="4" w:space="0" w:color="auto"/>
              <w:left w:val="single" w:sz="4" w:space="0" w:color="auto"/>
              <w:bottom w:val="single" w:sz="4" w:space="0" w:color="auto"/>
              <w:right w:val="single" w:sz="4" w:space="0" w:color="auto"/>
            </w:tcBorders>
            <w:hideMark/>
          </w:tcPr>
          <w:p w14:paraId="32F882A9" w14:textId="77777777" w:rsidR="00426931" w:rsidRPr="0013396E" w:rsidRDefault="00426931" w:rsidP="00426931">
            <w:pPr>
              <w:spacing w:after="120"/>
              <w:rPr>
                <w:b/>
                <w:iCs/>
                <w:sz w:val="20"/>
              </w:rPr>
            </w:pPr>
            <w:r w:rsidRPr="0013396E">
              <w:rPr>
                <w:b/>
                <w:iCs/>
                <w:sz w:val="20"/>
              </w:rPr>
              <w:t>Definition</w:t>
            </w:r>
          </w:p>
        </w:tc>
      </w:tr>
      <w:tr w:rsidR="00426931" w:rsidRPr="0013396E" w14:paraId="6E4292F6"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19508D4C" w14:textId="77777777" w:rsidR="00426931" w:rsidRPr="0013396E" w:rsidRDefault="00426931" w:rsidP="00426931">
            <w:pPr>
              <w:spacing w:after="60"/>
              <w:rPr>
                <w:bCs/>
                <w:iCs/>
                <w:sz w:val="20"/>
              </w:rPr>
            </w:pPr>
            <w:r w:rsidRPr="0013396E">
              <w:rPr>
                <w:bCs/>
                <w:iCs/>
                <w:sz w:val="20"/>
              </w:rPr>
              <w:t xml:space="preserve">FFSSAMT </w:t>
            </w:r>
            <w:r w:rsidRPr="0013396E">
              <w:rPr>
                <w:bCs/>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424957F5" w14:textId="77777777" w:rsidR="00426931" w:rsidRPr="0013396E" w:rsidRDefault="00426931" w:rsidP="00426931">
            <w:pPr>
              <w:spacing w:after="60"/>
              <w:rPr>
                <w:iCs/>
                <w:sz w:val="20"/>
              </w:rPr>
            </w:pPr>
            <w:r w:rsidRPr="0013396E">
              <w:rPr>
                <w:iCs/>
                <w:sz w:val="20"/>
              </w:rPr>
              <w:t>$</w:t>
            </w:r>
          </w:p>
        </w:tc>
        <w:tc>
          <w:tcPr>
            <w:tcW w:w="5697" w:type="dxa"/>
            <w:tcBorders>
              <w:top w:val="single" w:sz="4" w:space="0" w:color="auto"/>
              <w:left w:val="single" w:sz="4" w:space="0" w:color="auto"/>
              <w:bottom w:val="single" w:sz="4" w:space="0" w:color="auto"/>
              <w:right w:val="single" w:sz="4" w:space="0" w:color="auto"/>
            </w:tcBorders>
            <w:hideMark/>
          </w:tcPr>
          <w:p w14:paraId="12C01717" w14:textId="77777777" w:rsidR="00426931" w:rsidRPr="0013396E" w:rsidRDefault="00426931" w:rsidP="00426931">
            <w:pPr>
              <w:spacing w:after="60"/>
              <w:rPr>
                <w:iCs/>
                <w:sz w:val="20"/>
              </w:rPr>
            </w:pPr>
            <w:r w:rsidRPr="0013396E">
              <w:rPr>
                <w:i/>
                <w:iCs/>
                <w:sz w:val="20"/>
              </w:rPr>
              <w:t>Firm Fuel Supply Service Amount per QSE per Resource by hour</w:t>
            </w:r>
            <w:r w:rsidRPr="0013396E">
              <w:rPr>
                <w:iCs/>
                <w:sz w:val="20"/>
              </w:rPr>
              <w:t xml:space="preserve">—The payment to QSE </w:t>
            </w:r>
            <w:r w:rsidRPr="0013396E">
              <w:rPr>
                <w:i/>
                <w:iCs/>
                <w:sz w:val="20"/>
              </w:rPr>
              <w:t>q</w:t>
            </w:r>
            <w:r w:rsidRPr="0013396E">
              <w:rPr>
                <w:iCs/>
                <w:sz w:val="20"/>
              </w:rPr>
              <w:t xml:space="preserve"> assigned to the FFSS for the primary Generation Resource </w:t>
            </w:r>
            <w:r w:rsidRPr="0013396E">
              <w:rPr>
                <w:i/>
                <w:iCs/>
                <w:sz w:val="20"/>
              </w:rPr>
              <w:t>r</w:t>
            </w:r>
            <w:r w:rsidRPr="0013396E">
              <w:rPr>
                <w:iCs/>
                <w:sz w:val="20"/>
              </w:rPr>
              <w:t xml:space="preserve">, for the hour, calculated each hour of November 15 through March 15 during the awarded FFSS obligation period.  Where for a Combined Cycle Train, the Resource </w:t>
            </w:r>
            <w:r w:rsidRPr="0013396E">
              <w:rPr>
                <w:i/>
                <w:iCs/>
                <w:sz w:val="20"/>
              </w:rPr>
              <w:t xml:space="preserve">r </w:t>
            </w:r>
            <w:r w:rsidRPr="0013396E">
              <w:rPr>
                <w:iCs/>
                <w:sz w:val="20"/>
              </w:rPr>
              <w:t>is the Combined Cycle Train.</w:t>
            </w:r>
          </w:p>
        </w:tc>
      </w:tr>
      <w:tr w:rsidR="00426931" w:rsidRPr="0013396E" w14:paraId="27A0C6E4"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0B0CDDC2" w14:textId="77777777" w:rsidR="00426931" w:rsidRPr="0013396E" w:rsidRDefault="00426931" w:rsidP="00426931">
            <w:pPr>
              <w:spacing w:after="60"/>
              <w:rPr>
                <w:bCs/>
                <w:iCs/>
                <w:sz w:val="20"/>
              </w:rPr>
            </w:pPr>
            <w:r w:rsidRPr="0013396E">
              <w:rPr>
                <w:bCs/>
                <w:iCs/>
                <w:sz w:val="20"/>
              </w:rPr>
              <w:t xml:space="preserve">FFSSAWARD </w:t>
            </w:r>
            <w:r w:rsidRPr="0013396E">
              <w:rPr>
                <w:bCs/>
                <w:i/>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07A40EA8" w14:textId="77777777" w:rsidR="00426931" w:rsidRPr="0013396E" w:rsidRDefault="00426931" w:rsidP="00426931">
            <w:pPr>
              <w:spacing w:after="60"/>
              <w:rPr>
                <w:iCs/>
                <w:sz w:val="20"/>
              </w:rPr>
            </w:pPr>
            <w:r w:rsidRPr="0013396E">
              <w:rPr>
                <w:iCs/>
                <w:sz w:val="20"/>
              </w:rPr>
              <w:t>$</w:t>
            </w:r>
          </w:p>
        </w:tc>
        <w:tc>
          <w:tcPr>
            <w:tcW w:w="5697" w:type="dxa"/>
            <w:tcBorders>
              <w:top w:val="single" w:sz="4" w:space="0" w:color="auto"/>
              <w:left w:val="single" w:sz="4" w:space="0" w:color="auto"/>
              <w:bottom w:val="single" w:sz="4" w:space="0" w:color="auto"/>
              <w:right w:val="single" w:sz="4" w:space="0" w:color="auto"/>
            </w:tcBorders>
            <w:hideMark/>
          </w:tcPr>
          <w:p w14:paraId="3BD2F8D5" w14:textId="77777777" w:rsidR="00426931" w:rsidRPr="0013396E" w:rsidRDefault="00426931" w:rsidP="00426931">
            <w:pPr>
              <w:spacing w:after="60"/>
              <w:rPr>
                <w:i/>
                <w:iCs/>
                <w:sz w:val="20"/>
              </w:rPr>
            </w:pPr>
            <w:r w:rsidRPr="0013396E">
              <w:rPr>
                <w:i/>
                <w:iCs/>
                <w:sz w:val="20"/>
              </w:rPr>
              <w:t>Firm Fuel Supply Service Award Amount per QSE by hour—</w:t>
            </w:r>
            <w:r w:rsidRPr="0013396E">
              <w:rPr>
                <w:sz w:val="20"/>
              </w:rPr>
              <w:t xml:space="preserve">The payment to the QSE </w:t>
            </w:r>
            <w:r w:rsidRPr="0013396E">
              <w:rPr>
                <w:i/>
                <w:iCs/>
                <w:sz w:val="20"/>
              </w:rPr>
              <w:t>q</w:t>
            </w:r>
            <w:r w:rsidRPr="0013396E">
              <w:rPr>
                <w:sz w:val="20"/>
              </w:rPr>
              <w:t xml:space="preserve"> for the FFSS awarded to the </w:t>
            </w:r>
            <w:r w:rsidRPr="0013396E">
              <w:rPr>
                <w:iCs/>
                <w:sz w:val="20"/>
              </w:rPr>
              <w:t>primary Generation Resource</w:t>
            </w:r>
            <w:r w:rsidRPr="0013396E">
              <w:rPr>
                <w:sz w:val="20"/>
              </w:rPr>
              <w:t xml:space="preserve"> </w:t>
            </w:r>
            <w:r w:rsidRPr="0013396E">
              <w:rPr>
                <w:i/>
                <w:iCs/>
                <w:sz w:val="20"/>
              </w:rPr>
              <w:t>r</w:t>
            </w:r>
            <w:r w:rsidRPr="0013396E">
              <w:rPr>
                <w:sz w:val="20"/>
              </w:rPr>
              <w:t xml:space="preserve"> for each hour </w:t>
            </w:r>
            <w:r w:rsidRPr="0013396E">
              <w:rPr>
                <w:i/>
                <w:iCs/>
                <w:sz w:val="20"/>
              </w:rPr>
              <w:t>h</w:t>
            </w:r>
            <w:r w:rsidRPr="0013396E">
              <w:rPr>
                <w:sz w:val="20"/>
              </w:rPr>
              <w:t xml:space="preserve">, </w:t>
            </w:r>
            <w:r w:rsidRPr="0013396E">
              <w:rPr>
                <w:iCs/>
                <w:sz w:val="20"/>
              </w:rPr>
              <w:t>during the awarded FFSS obligation period.</w:t>
            </w:r>
            <w:r w:rsidRPr="0013396E">
              <w:rPr>
                <w:sz w:val="20"/>
              </w:rPr>
              <w:t xml:space="preserve"> </w:t>
            </w:r>
            <w:r w:rsidRPr="0013396E">
              <w:rPr>
                <w:iCs/>
                <w:sz w:val="20"/>
              </w:rPr>
              <w:t xml:space="preserve">Where for a Combined Cycle Train, the Resource </w:t>
            </w:r>
            <w:r w:rsidRPr="0013396E">
              <w:rPr>
                <w:i/>
                <w:iCs/>
                <w:sz w:val="20"/>
              </w:rPr>
              <w:t xml:space="preserve">r </w:t>
            </w:r>
            <w:r w:rsidRPr="0013396E">
              <w:rPr>
                <w:iCs/>
                <w:sz w:val="20"/>
              </w:rPr>
              <w:t>is the Combined Cycle Train.</w:t>
            </w:r>
          </w:p>
        </w:tc>
      </w:tr>
      <w:tr w:rsidR="00426931" w:rsidRPr="0013396E" w14:paraId="7F6FBD9A"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5DFAE58E" w14:textId="77777777" w:rsidR="00426931" w:rsidRPr="0013396E" w:rsidRDefault="00426931" w:rsidP="00426931">
            <w:pPr>
              <w:spacing w:after="60"/>
              <w:rPr>
                <w:iCs/>
                <w:sz w:val="20"/>
              </w:rPr>
            </w:pPr>
            <w:r w:rsidRPr="0013396E">
              <w:rPr>
                <w:iCs/>
                <w:sz w:val="20"/>
              </w:rPr>
              <w:t xml:space="preserve">FFSSPR </w:t>
            </w:r>
            <w:r w:rsidRPr="0013396E">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7D45526C" w14:textId="77777777" w:rsidR="00426931" w:rsidRPr="0013396E" w:rsidRDefault="00426931" w:rsidP="00426931">
            <w:pPr>
              <w:spacing w:after="60"/>
              <w:rPr>
                <w:iCs/>
                <w:sz w:val="20"/>
              </w:rPr>
            </w:pPr>
            <w:r w:rsidRPr="0013396E">
              <w:rPr>
                <w:iCs/>
                <w:sz w:val="20"/>
              </w:rPr>
              <w:t>$/MW per hour</w:t>
            </w:r>
          </w:p>
        </w:tc>
        <w:tc>
          <w:tcPr>
            <w:tcW w:w="5697" w:type="dxa"/>
            <w:tcBorders>
              <w:top w:val="single" w:sz="4" w:space="0" w:color="auto"/>
              <w:left w:val="single" w:sz="4" w:space="0" w:color="auto"/>
              <w:bottom w:val="single" w:sz="4" w:space="0" w:color="auto"/>
              <w:right w:val="single" w:sz="4" w:space="0" w:color="auto"/>
            </w:tcBorders>
            <w:hideMark/>
          </w:tcPr>
          <w:p w14:paraId="6777F144" w14:textId="77777777" w:rsidR="00426931" w:rsidRPr="0013396E" w:rsidRDefault="00426931" w:rsidP="00426931">
            <w:pPr>
              <w:spacing w:after="60"/>
              <w:rPr>
                <w:iCs/>
                <w:sz w:val="20"/>
              </w:rPr>
            </w:pPr>
            <w:r w:rsidRPr="0013396E">
              <w:rPr>
                <w:i/>
                <w:iCs/>
                <w:sz w:val="20"/>
              </w:rPr>
              <w:t>Firm Fuel Supply Service Price per QSE per Resource by hour</w:t>
            </w:r>
            <w:r w:rsidRPr="0013396E">
              <w:rPr>
                <w:iCs/>
                <w:sz w:val="20"/>
              </w:rPr>
              <w:t xml:space="preserve">—The standby price of the primary Generation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specified in the FFSS award.  Where for a Combined Cycle Train, the Resource </w:t>
            </w:r>
            <w:r w:rsidRPr="0013396E">
              <w:rPr>
                <w:i/>
                <w:iCs/>
                <w:sz w:val="20"/>
              </w:rPr>
              <w:t xml:space="preserve">r </w:t>
            </w:r>
            <w:r w:rsidRPr="0013396E">
              <w:rPr>
                <w:iCs/>
                <w:sz w:val="20"/>
              </w:rPr>
              <w:t>is the Combined Cycle Train.</w:t>
            </w:r>
          </w:p>
        </w:tc>
      </w:tr>
      <w:tr w:rsidR="00426931" w:rsidRPr="0013396E" w14:paraId="53030747"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7CC9BF78" w14:textId="77777777" w:rsidR="00426931" w:rsidRPr="0013396E" w:rsidRDefault="00426931" w:rsidP="00426931">
            <w:pPr>
              <w:spacing w:after="60"/>
              <w:rPr>
                <w:iCs/>
                <w:sz w:val="20"/>
              </w:rPr>
            </w:pPr>
            <w:r w:rsidRPr="0013396E">
              <w:rPr>
                <w:iCs/>
                <w:sz w:val="20"/>
              </w:rPr>
              <w:t xml:space="preserve">FFSSCRF </w:t>
            </w:r>
            <w:r w:rsidRPr="0013396E">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62C3489E"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78C5B022" w14:textId="77777777" w:rsidR="00426931" w:rsidRPr="0013396E" w:rsidRDefault="00426931" w:rsidP="00426931">
            <w:pPr>
              <w:spacing w:after="60"/>
              <w:rPr>
                <w:i/>
                <w:iCs/>
                <w:sz w:val="20"/>
              </w:rPr>
            </w:pPr>
            <w:r w:rsidRPr="0013396E">
              <w:rPr>
                <w:i/>
                <w:iCs/>
                <w:sz w:val="20"/>
              </w:rPr>
              <w:t xml:space="preserve">Firm Fuel Supply Service </w:t>
            </w:r>
            <w:r w:rsidRPr="0013396E">
              <w:rPr>
                <w:i/>
                <w:sz w:val="20"/>
              </w:rPr>
              <w:t>Capacity Reduction Factor per QSE per Resource by hour</w:t>
            </w:r>
            <w:r w:rsidRPr="0013396E">
              <w:rPr>
                <w:iCs/>
                <w:sz w:val="20"/>
              </w:rPr>
              <w:t xml:space="preserve">—The capacity reduction factor assigned to the primary Generation Resource </w:t>
            </w:r>
            <w:r w:rsidRPr="0013396E">
              <w:rPr>
                <w:i/>
                <w:sz w:val="20"/>
              </w:rPr>
              <w:t>r</w:t>
            </w:r>
            <w:r w:rsidRPr="0013396E">
              <w:rPr>
                <w:iCs/>
                <w:sz w:val="20"/>
              </w:rPr>
              <w:t xml:space="preserve">, represented by QSE </w:t>
            </w:r>
            <w:r w:rsidRPr="0013396E">
              <w:rPr>
                <w:i/>
                <w:sz w:val="20"/>
              </w:rPr>
              <w:t>q</w:t>
            </w:r>
            <w:r w:rsidRPr="0013396E">
              <w:rPr>
                <w:iCs/>
                <w:sz w:val="20"/>
              </w:rPr>
              <w:t xml:space="preserve">, for the hour.  Where for a Combined Cycle Train, the Resource </w:t>
            </w:r>
            <w:r w:rsidRPr="0013396E">
              <w:rPr>
                <w:i/>
                <w:sz w:val="20"/>
              </w:rPr>
              <w:t>r</w:t>
            </w:r>
            <w:r w:rsidRPr="0013396E">
              <w:rPr>
                <w:iCs/>
                <w:sz w:val="20"/>
              </w:rPr>
              <w:t xml:space="preserve"> is the Combined Cycle Train.</w:t>
            </w:r>
          </w:p>
        </w:tc>
      </w:tr>
      <w:tr w:rsidR="00426931" w:rsidRPr="0013396E" w14:paraId="5CE9BFC2"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363B239B" w14:textId="77777777" w:rsidR="00426931" w:rsidRPr="0013396E" w:rsidRDefault="00426931" w:rsidP="00426931">
            <w:pPr>
              <w:spacing w:after="60"/>
              <w:rPr>
                <w:iCs/>
                <w:sz w:val="20"/>
              </w:rPr>
            </w:pPr>
            <w:r w:rsidRPr="0013396E">
              <w:rPr>
                <w:iCs/>
                <w:sz w:val="20"/>
              </w:rPr>
              <w:t xml:space="preserve">HSL </w:t>
            </w:r>
            <w:r w:rsidRPr="0013396E">
              <w:rPr>
                <w:i/>
                <w:iCs/>
                <w:sz w:val="20"/>
                <w:vertAlign w:val="subscript"/>
              </w:rPr>
              <w:t>q, r, hr</w:t>
            </w:r>
          </w:p>
        </w:tc>
        <w:tc>
          <w:tcPr>
            <w:tcW w:w="1632" w:type="dxa"/>
            <w:tcBorders>
              <w:top w:val="single" w:sz="4" w:space="0" w:color="auto"/>
              <w:left w:val="single" w:sz="4" w:space="0" w:color="auto"/>
              <w:bottom w:val="single" w:sz="4" w:space="0" w:color="auto"/>
              <w:right w:val="single" w:sz="4" w:space="0" w:color="auto"/>
            </w:tcBorders>
            <w:hideMark/>
          </w:tcPr>
          <w:p w14:paraId="15D1D1F8" w14:textId="77777777" w:rsidR="00426931" w:rsidRPr="0013396E" w:rsidRDefault="00426931" w:rsidP="00426931">
            <w:pPr>
              <w:spacing w:after="60"/>
              <w:rPr>
                <w:iCs/>
                <w:sz w:val="20"/>
              </w:rPr>
            </w:pPr>
            <w:r w:rsidRPr="0013396E">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2D70D6B6" w14:textId="77777777" w:rsidR="00426931" w:rsidRPr="0013396E" w:rsidRDefault="00426931" w:rsidP="00426931">
            <w:pPr>
              <w:spacing w:after="60"/>
              <w:rPr>
                <w:i/>
                <w:iCs/>
                <w:sz w:val="20"/>
              </w:rPr>
            </w:pPr>
            <w:r w:rsidRPr="0013396E">
              <w:rPr>
                <w:i/>
                <w:sz w:val="20"/>
              </w:rPr>
              <w:t>High Sustained Limit</w:t>
            </w:r>
            <w:r w:rsidRPr="0013396E">
              <w:rPr>
                <w:iCs/>
                <w:sz w:val="20"/>
              </w:rPr>
              <w:t xml:space="preserve">—The HSL of the primary Generation Resource or the alternate Generation Resource </w:t>
            </w:r>
            <w:r w:rsidRPr="0013396E">
              <w:rPr>
                <w:i/>
                <w:sz w:val="20"/>
              </w:rPr>
              <w:t>r</w:t>
            </w:r>
            <w:r w:rsidRPr="0013396E">
              <w:rPr>
                <w:iCs/>
                <w:sz w:val="20"/>
              </w:rPr>
              <w:t xml:space="preserve"> represented by QSE </w:t>
            </w:r>
            <w:r w:rsidRPr="0013396E">
              <w:rPr>
                <w:i/>
                <w:sz w:val="20"/>
              </w:rPr>
              <w:t>q</w:t>
            </w:r>
            <w:r w:rsidRPr="0013396E">
              <w:rPr>
                <w:iCs/>
                <w:sz w:val="20"/>
              </w:rPr>
              <w:t xml:space="preserve"> as submitted in the COP, for the hour </w:t>
            </w:r>
            <w:r w:rsidRPr="0013396E">
              <w:rPr>
                <w:i/>
                <w:sz w:val="20"/>
              </w:rPr>
              <w:t>h</w:t>
            </w:r>
            <w:r w:rsidRPr="0013396E">
              <w:rPr>
                <w:iCs/>
                <w:sz w:val="20"/>
              </w:rPr>
              <w:t xml:space="preserve">.  Where for a combined cycle Resource </w:t>
            </w:r>
            <w:r w:rsidRPr="0013396E">
              <w:rPr>
                <w:i/>
                <w:sz w:val="20"/>
              </w:rPr>
              <w:t>r</w:t>
            </w:r>
            <w:r w:rsidRPr="0013396E">
              <w:rPr>
                <w:iCs/>
                <w:sz w:val="20"/>
              </w:rPr>
              <w:t xml:space="preserve"> is a Combined Cycle Generation Resource.</w:t>
            </w:r>
          </w:p>
        </w:tc>
      </w:tr>
      <w:tr w:rsidR="00426931" w:rsidRPr="0013396E" w14:paraId="557D0D03"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0E6E65CC" w14:textId="77777777" w:rsidR="00426931" w:rsidRPr="0013396E" w:rsidRDefault="00426931" w:rsidP="00426931">
            <w:pPr>
              <w:spacing w:after="60"/>
              <w:rPr>
                <w:iCs/>
                <w:sz w:val="20"/>
              </w:rPr>
            </w:pPr>
            <w:r w:rsidRPr="0013396E">
              <w:rPr>
                <w:iCs/>
                <w:sz w:val="20"/>
              </w:rPr>
              <w:t xml:space="preserve">FFSSFRC </w:t>
            </w:r>
            <w:r w:rsidRPr="0013396E">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3C44014D" w14:textId="77777777" w:rsidR="00426931" w:rsidRPr="0013396E" w:rsidRDefault="00426931" w:rsidP="00426931">
            <w:pPr>
              <w:spacing w:after="60"/>
              <w:rPr>
                <w:iCs/>
                <w:sz w:val="20"/>
              </w:rPr>
            </w:pPr>
            <w:r w:rsidRPr="0013396E">
              <w:rPr>
                <w:iCs/>
                <w:sz w:val="20"/>
              </w:rPr>
              <w:t>$ per hour</w:t>
            </w:r>
          </w:p>
        </w:tc>
        <w:tc>
          <w:tcPr>
            <w:tcW w:w="5697" w:type="dxa"/>
            <w:tcBorders>
              <w:top w:val="single" w:sz="4" w:space="0" w:color="auto"/>
              <w:left w:val="single" w:sz="4" w:space="0" w:color="auto"/>
              <w:bottom w:val="single" w:sz="4" w:space="0" w:color="auto"/>
              <w:right w:val="single" w:sz="4" w:space="0" w:color="auto"/>
            </w:tcBorders>
            <w:hideMark/>
          </w:tcPr>
          <w:p w14:paraId="17F2B7AC" w14:textId="77777777" w:rsidR="00426931" w:rsidRPr="0013396E" w:rsidRDefault="00426931" w:rsidP="00426931">
            <w:pPr>
              <w:spacing w:after="60"/>
              <w:rPr>
                <w:i/>
                <w:iCs/>
                <w:sz w:val="20"/>
              </w:rPr>
            </w:pPr>
            <w:r w:rsidRPr="0013396E">
              <w:rPr>
                <w:i/>
                <w:sz w:val="20"/>
              </w:rPr>
              <w:t>Firm Fuel Supply Service Fuel Replacement Cost</w:t>
            </w:r>
            <w:r w:rsidRPr="0013396E">
              <w:rPr>
                <w:iCs/>
                <w:sz w:val="20"/>
              </w:rPr>
              <w:t xml:space="preserve">—The fuel costs and fees to replace the burned fuel by the FFSSR, not recovered during the FFSS deployment period, paid to the primary Generation Resource </w:t>
            </w:r>
            <w:r w:rsidRPr="0013396E">
              <w:rPr>
                <w:i/>
                <w:sz w:val="20"/>
              </w:rPr>
              <w:t>r</w:t>
            </w:r>
            <w:r w:rsidRPr="0013396E">
              <w:rPr>
                <w:iCs/>
                <w:sz w:val="20"/>
              </w:rPr>
              <w:t xml:space="preserve"> represented by QSE </w:t>
            </w:r>
            <w:r w:rsidRPr="0013396E">
              <w:rPr>
                <w:i/>
                <w:sz w:val="20"/>
              </w:rPr>
              <w:t>q</w:t>
            </w:r>
            <w:r w:rsidRPr="0013396E">
              <w:rPr>
                <w:iCs/>
                <w:sz w:val="20"/>
              </w:rPr>
              <w:t xml:space="preserve"> for each FFSS instructed hour.  Where for a Combined Cycle Train, the Resource </w:t>
            </w:r>
            <w:r w:rsidRPr="0013396E">
              <w:rPr>
                <w:i/>
                <w:sz w:val="20"/>
              </w:rPr>
              <w:t>r</w:t>
            </w:r>
            <w:r w:rsidRPr="0013396E">
              <w:rPr>
                <w:iCs/>
                <w:sz w:val="20"/>
              </w:rPr>
              <w:t xml:space="preserve"> is the Combined Cycle Train.</w:t>
            </w:r>
          </w:p>
        </w:tc>
      </w:tr>
      <w:tr w:rsidR="00426931" w:rsidRPr="0013396E" w14:paraId="2B5552FC"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39690987" w14:textId="77777777" w:rsidR="00426931" w:rsidRPr="0013396E" w:rsidRDefault="00426931" w:rsidP="00426931">
            <w:pPr>
              <w:spacing w:after="60"/>
              <w:rPr>
                <w:iCs/>
                <w:sz w:val="20"/>
              </w:rPr>
            </w:pPr>
            <w:r w:rsidRPr="0013396E">
              <w:rPr>
                <w:iCs/>
                <w:sz w:val="20"/>
              </w:rPr>
              <w:t>FFSSDRP</w:t>
            </w:r>
            <w:r w:rsidRPr="0013396E">
              <w:rPr>
                <w:i/>
                <w:iCs/>
                <w:sz w:val="20"/>
                <w:vertAlign w:val="subscript"/>
              </w:rPr>
              <w:t xml:space="preserve"> q, r, h</w:t>
            </w:r>
          </w:p>
        </w:tc>
        <w:tc>
          <w:tcPr>
            <w:tcW w:w="1632" w:type="dxa"/>
            <w:tcBorders>
              <w:top w:val="single" w:sz="4" w:space="0" w:color="auto"/>
              <w:left w:val="single" w:sz="4" w:space="0" w:color="auto"/>
              <w:bottom w:val="single" w:sz="4" w:space="0" w:color="auto"/>
              <w:right w:val="single" w:sz="4" w:space="0" w:color="auto"/>
            </w:tcBorders>
            <w:hideMark/>
          </w:tcPr>
          <w:p w14:paraId="0D9F46EE"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3270C57E" w14:textId="77777777" w:rsidR="00426931" w:rsidRPr="0013396E" w:rsidRDefault="00426931" w:rsidP="00426931">
            <w:pPr>
              <w:spacing w:after="60"/>
              <w:rPr>
                <w:i/>
                <w:iCs/>
                <w:sz w:val="20"/>
              </w:rPr>
            </w:pPr>
            <w:r w:rsidRPr="0013396E">
              <w:rPr>
                <w:i/>
                <w:iCs/>
                <w:sz w:val="20"/>
              </w:rPr>
              <w:t>Firm Fuel Supply Service Deployment Reduction Percentage</w:t>
            </w:r>
            <w:r w:rsidRPr="0013396E">
              <w:rPr>
                <w:iCs/>
                <w:sz w:val="20"/>
              </w:rPr>
              <w:t>—</w:t>
            </w:r>
            <w:r w:rsidRPr="0013396E">
              <w:rPr>
                <w:sz w:val="20"/>
              </w:rPr>
              <w:t xml:space="preserve">The percentage of the </w:t>
            </w:r>
            <w:r w:rsidRPr="0013396E">
              <w:rPr>
                <w:iCs/>
                <w:sz w:val="20"/>
              </w:rPr>
              <w:t>Firm Fuel Supply Service Standby Fee subject to clawback per paragraphs (9) through (16) of Section 8.1.1.2.1.6, Firm Fuel Supply Service Resource Qualification, Testing, Decertification, and Recertification,</w:t>
            </w:r>
            <w:r w:rsidRPr="0013396E">
              <w:rPr>
                <w:i/>
                <w:iCs/>
                <w:sz w:val="20"/>
              </w:rPr>
              <w:t xml:space="preserve"> </w:t>
            </w:r>
            <w:r w:rsidRPr="0013396E">
              <w:rPr>
                <w:sz w:val="20"/>
              </w:rPr>
              <w:t xml:space="preserve">for the QSE </w:t>
            </w:r>
            <w:r w:rsidRPr="0013396E">
              <w:rPr>
                <w:i/>
                <w:iCs/>
                <w:sz w:val="20"/>
              </w:rPr>
              <w:t>q</w:t>
            </w:r>
            <w:r w:rsidRPr="0013396E">
              <w:rPr>
                <w:sz w:val="20"/>
              </w:rPr>
              <w:t xml:space="preserve">, assigned to the </w:t>
            </w:r>
            <w:r w:rsidRPr="0013396E">
              <w:rPr>
                <w:iCs/>
                <w:sz w:val="20"/>
              </w:rPr>
              <w:t>primary Generation Resource</w:t>
            </w:r>
            <w:r w:rsidRPr="0013396E">
              <w:rPr>
                <w:sz w:val="20"/>
              </w:rPr>
              <w:t xml:space="preserve"> </w:t>
            </w:r>
            <w:r w:rsidRPr="0013396E">
              <w:rPr>
                <w:i/>
                <w:iCs/>
                <w:sz w:val="20"/>
              </w:rPr>
              <w:t>r</w:t>
            </w:r>
            <w:r w:rsidRPr="0013396E">
              <w:rPr>
                <w:sz w:val="20"/>
              </w:rPr>
              <w:t xml:space="preserve">, for the hour </w:t>
            </w:r>
            <w:r w:rsidRPr="0013396E">
              <w:rPr>
                <w:i/>
                <w:iCs/>
                <w:sz w:val="20"/>
              </w:rPr>
              <w:t>h</w:t>
            </w:r>
            <w:r w:rsidRPr="0013396E">
              <w:rPr>
                <w:sz w:val="20"/>
              </w:rPr>
              <w:t xml:space="preserve">.  </w:t>
            </w:r>
            <w:r w:rsidRPr="0013396E">
              <w:rPr>
                <w:iCs/>
                <w:sz w:val="20"/>
              </w:rPr>
              <w:t xml:space="preserve">Where for a Combined Cycle Train, the Resource </w:t>
            </w:r>
            <w:r w:rsidRPr="0013396E">
              <w:rPr>
                <w:i/>
                <w:iCs/>
                <w:sz w:val="20"/>
              </w:rPr>
              <w:t xml:space="preserve">r </w:t>
            </w:r>
            <w:r w:rsidRPr="0013396E">
              <w:rPr>
                <w:iCs/>
                <w:sz w:val="20"/>
              </w:rPr>
              <w:t>is the Combined Cycle Train.</w:t>
            </w:r>
          </w:p>
        </w:tc>
      </w:tr>
      <w:tr w:rsidR="00426931" w:rsidRPr="0013396E" w14:paraId="2052883E"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035D49B8" w14:textId="77777777" w:rsidR="00426931" w:rsidRPr="0013396E" w:rsidRDefault="00426931" w:rsidP="00426931">
            <w:pPr>
              <w:spacing w:after="60"/>
              <w:rPr>
                <w:iCs/>
                <w:sz w:val="20"/>
              </w:rPr>
            </w:pPr>
            <w:r w:rsidRPr="0013396E">
              <w:rPr>
                <w:iCs/>
                <w:sz w:val="20"/>
              </w:rPr>
              <w:lastRenderedPageBreak/>
              <w:t>FFSSSBF</w:t>
            </w:r>
            <w:r w:rsidRPr="0013396E">
              <w:rPr>
                <w:i/>
                <w:iCs/>
                <w:sz w:val="20"/>
                <w:vertAlign w:val="subscript"/>
              </w:rPr>
              <w:t xml:space="preserve"> q, r, h</w:t>
            </w:r>
          </w:p>
        </w:tc>
        <w:tc>
          <w:tcPr>
            <w:tcW w:w="1632" w:type="dxa"/>
            <w:tcBorders>
              <w:top w:val="single" w:sz="4" w:space="0" w:color="auto"/>
              <w:left w:val="single" w:sz="4" w:space="0" w:color="auto"/>
              <w:bottom w:val="single" w:sz="4" w:space="0" w:color="auto"/>
              <w:right w:val="single" w:sz="4" w:space="0" w:color="auto"/>
            </w:tcBorders>
            <w:hideMark/>
          </w:tcPr>
          <w:p w14:paraId="2CE1C5DA" w14:textId="77777777" w:rsidR="00426931" w:rsidRPr="0013396E" w:rsidRDefault="00426931" w:rsidP="00426931">
            <w:pPr>
              <w:spacing w:after="60"/>
              <w:rPr>
                <w:iCs/>
                <w:sz w:val="20"/>
              </w:rPr>
            </w:pPr>
            <w:r w:rsidRPr="0013396E">
              <w:rPr>
                <w:iCs/>
                <w:sz w:val="20"/>
              </w:rPr>
              <w:t>$</w:t>
            </w:r>
          </w:p>
        </w:tc>
        <w:tc>
          <w:tcPr>
            <w:tcW w:w="5697" w:type="dxa"/>
            <w:tcBorders>
              <w:top w:val="single" w:sz="4" w:space="0" w:color="auto"/>
              <w:left w:val="single" w:sz="4" w:space="0" w:color="auto"/>
              <w:bottom w:val="single" w:sz="4" w:space="0" w:color="auto"/>
              <w:right w:val="single" w:sz="4" w:space="0" w:color="auto"/>
            </w:tcBorders>
            <w:hideMark/>
          </w:tcPr>
          <w:p w14:paraId="6C7003E6" w14:textId="77777777" w:rsidR="00426931" w:rsidRPr="0013396E" w:rsidRDefault="00426931" w:rsidP="00426931">
            <w:pPr>
              <w:spacing w:after="60"/>
              <w:rPr>
                <w:iCs/>
                <w:sz w:val="20"/>
              </w:rPr>
            </w:pPr>
            <w:r w:rsidRPr="0013396E">
              <w:rPr>
                <w:i/>
                <w:sz w:val="20"/>
              </w:rPr>
              <w:t>Firm Fuel Supply Service Standby Fee per QSE per Resource by hour</w:t>
            </w:r>
            <w:r w:rsidRPr="0013396E">
              <w:rPr>
                <w:iCs/>
                <w:sz w:val="20"/>
              </w:rPr>
              <w:t xml:space="preserve">—The standby fee to QSE </w:t>
            </w:r>
            <w:r w:rsidRPr="0013396E">
              <w:rPr>
                <w:i/>
                <w:iCs/>
                <w:sz w:val="20"/>
              </w:rPr>
              <w:t>q</w:t>
            </w:r>
            <w:r w:rsidRPr="0013396E">
              <w:rPr>
                <w:iCs/>
                <w:sz w:val="20"/>
              </w:rPr>
              <w:t xml:space="preserve"> for the FFSS assigned to the primary Generation Resource </w:t>
            </w:r>
            <w:r w:rsidRPr="0013396E">
              <w:rPr>
                <w:i/>
                <w:iCs/>
                <w:sz w:val="20"/>
              </w:rPr>
              <w:t>r</w:t>
            </w:r>
            <w:r w:rsidRPr="0013396E">
              <w:rPr>
                <w:iCs/>
                <w:sz w:val="20"/>
              </w:rPr>
              <w:t xml:space="preserve">, for the hour.  Where for a Combined Cycle Train, the Resource </w:t>
            </w:r>
            <w:r w:rsidRPr="0013396E">
              <w:rPr>
                <w:i/>
                <w:iCs/>
                <w:sz w:val="20"/>
              </w:rPr>
              <w:t xml:space="preserve">r </w:t>
            </w:r>
            <w:r w:rsidRPr="0013396E">
              <w:rPr>
                <w:iCs/>
                <w:sz w:val="20"/>
              </w:rPr>
              <w:t>is the Combined Cycle Train.</w:t>
            </w:r>
          </w:p>
        </w:tc>
      </w:tr>
      <w:tr w:rsidR="00426931" w:rsidRPr="0013396E" w14:paraId="63C1B80D"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19416567" w14:textId="77777777" w:rsidR="00426931" w:rsidRPr="0013396E" w:rsidRDefault="00426931" w:rsidP="00426931">
            <w:pPr>
              <w:spacing w:after="60"/>
              <w:rPr>
                <w:iCs/>
                <w:sz w:val="20"/>
              </w:rPr>
            </w:pPr>
            <w:r w:rsidRPr="0013396E">
              <w:rPr>
                <w:iCs/>
                <w:sz w:val="20"/>
              </w:rPr>
              <w:t xml:space="preserve">FFSSTCAP </w:t>
            </w:r>
            <w:r w:rsidRPr="0013396E">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7CDBE0B4" w14:textId="77777777" w:rsidR="00426931" w:rsidRPr="0013396E" w:rsidRDefault="00426931" w:rsidP="00426931">
            <w:pPr>
              <w:spacing w:after="60"/>
              <w:rPr>
                <w:iCs/>
                <w:sz w:val="20"/>
              </w:rPr>
            </w:pPr>
            <w:r w:rsidRPr="0013396E">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1A4853C0" w14:textId="77777777" w:rsidR="00426931" w:rsidRPr="0013396E" w:rsidRDefault="00426931" w:rsidP="00426931">
            <w:pPr>
              <w:spacing w:after="60"/>
              <w:rPr>
                <w:i/>
                <w:iCs/>
                <w:sz w:val="20"/>
              </w:rPr>
            </w:pPr>
            <w:r w:rsidRPr="0013396E">
              <w:rPr>
                <w:i/>
                <w:iCs/>
                <w:sz w:val="20"/>
              </w:rPr>
              <w:t xml:space="preserve">Firm Fuel Supply Service </w:t>
            </w:r>
            <w:r w:rsidRPr="0013396E">
              <w:rPr>
                <w:i/>
                <w:sz w:val="20"/>
              </w:rPr>
              <w:t>Testing Capacity per QSE per Resource</w:t>
            </w:r>
            <w:r w:rsidRPr="0013396E">
              <w:rPr>
                <w:iCs/>
                <w:sz w:val="20"/>
              </w:rPr>
              <w:t xml:space="preserve">—The tested capacity of the primary Generation Resource </w:t>
            </w:r>
            <w:r w:rsidRPr="0013396E">
              <w:rPr>
                <w:i/>
                <w:sz w:val="20"/>
              </w:rPr>
              <w:t>r</w:t>
            </w:r>
            <w:r w:rsidRPr="0013396E">
              <w:rPr>
                <w:iCs/>
                <w:sz w:val="20"/>
              </w:rPr>
              <w:t xml:space="preserve">, represented by QSE </w:t>
            </w:r>
            <w:r w:rsidRPr="0013396E">
              <w:rPr>
                <w:i/>
                <w:sz w:val="20"/>
              </w:rPr>
              <w:t>q</w:t>
            </w:r>
            <w:r w:rsidRPr="0013396E">
              <w:rPr>
                <w:iCs/>
                <w:sz w:val="20"/>
              </w:rPr>
              <w:t xml:space="preserve">, for the hour.  Where for a Combined Cycle Train, the Resource </w:t>
            </w:r>
            <w:r w:rsidRPr="0013396E">
              <w:rPr>
                <w:i/>
                <w:sz w:val="20"/>
              </w:rPr>
              <w:t>r</w:t>
            </w:r>
            <w:r w:rsidRPr="0013396E">
              <w:rPr>
                <w:iCs/>
                <w:sz w:val="20"/>
              </w:rPr>
              <w:t xml:space="preserve"> is the Combined Cycle Train.</w:t>
            </w:r>
          </w:p>
        </w:tc>
      </w:tr>
      <w:tr w:rsidR="00426931" w:rsidRPr="0013396E" w14:paraId="48EAFB64"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19BEB99F" w14:textId="77777777" w:rsidR="00426931" w:rsidRPr="0013396E" w:rsidRDefault="00426931" w:rsidP="00426931">
            <w:pPr>
              <w:spacing w:after="60"/>
              <w:rPr>
                <w:iCs/>
                <w:sz w:val="20"/>
              </w:rPr>
            </w:pPr>
            <w:r w:rsidRPr="0013396E">
              <w:rPr>
                <w:iCs/>
                <w:sz w:val="20"/>
              </w:rPr>
              <w:t xml:space="preserve">FFSSACAP </w:t>
            </w:r>
            <w:r w:rsidRPr="0013396E">
              <w:rPr>
                <w:i/>
                <w:iCs/>
                <w:sz w:val="20"/>
                <w:vertAlign w:val="subscript"/>
              </w:rPr>
              <w:t>q, r, hr</w:t>
            </w:r>
          </w:p>
        </w:tc>
        <w:tc>
          <w:tcPr>
            <w:tcW w:w="1632" w:type="dxa"/>
            <w:tcBorders>
              <w:top w:val="single" w:sz="4" w:space="0" w:color="auto"/>
              <w:left w:val="single" w:sz="4" w:space="0" w:color="auto"/>
              <w:bottom w:val="single" w:sz="4" w:space="0" w:color="auto"/>
              <w:right w:val="single" w:sz="4" w:space="0" w:color="auto"/>
            </w:tcBorders>
            <w:hideMark/>
          </w:tcPr>
          <w:p w14:paraId="44E3B5A5" w14:textId="77777777" w:rsidR="00426931" w:rsidRPr="0013396E" w:rsidRDefault="00426931" w:rsidP="00426931">
            <w:pPr>
              <w:spacing w:after="60"/>
              <w:rPr>
                <w:iCs/>
                <w:sz w:val="20"/>
              </w:rPr>
            </w:pPr>
            <w:r w:rsidRPr="0013396E">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6EBC4D36" w14:textId="77777777" w:rsidR="00426931" w:rsidRPr="0013396E" w:rsidRDefault="00426931" w:rsidP="00426931">
            <w:pPr>
              <w:spacing w:after="60"/>
              <w:rPr>
                <w:i/>
                <w:iCs/>
                <w:sz w:val="20"/>
              </w:rPr>
            </w:pPr>
            <w:r w:rsidRPr="0013396E">
              <w:rPr>
                <w:i/>
                <w:iCs/>
                <w:sz w:val="20"/>
              </w:rPr>
              <w:t xml:space="preserve">Firm Fuel Supply Service </w:t>
            </w:r>
            <w:r w:rsidRPr="0013396E">
              <w:rPr>
                <w:i/>
                <w:sz w:val="20"/>
              </w:rPr>
              <w:t>Awarded Capacity per QSE per Resource</w:t>
            </w:r>
            <w:r w:rsidRPr="0013396E">
              <w:rPr>
                <w:iCs/>
                <w:sz w:val="20"/>
              </w:rPr>
              <w:t xml:space="preserve">—The awarded FFSS capacity of the primary Generation Resource </w:t>
            </w:r>
            <w:r w:rsidRPr="0013396E">
              <w:rPr>
                <w:i/>
                <w:sz w:val="20"/>
              </w:rPr>
              <w:t>r</w:t>
            </w:r>
            <w:r w:rsidRPr="0013396E">
              <w:rPr>
                <w:iCs/>
                <w:sz w:val="20"/>
              </w:rPr>
              <w:t xml:space="preserve">, represented by QSE </w:t>
            </w:r>
            <w:r w:rsidRPr="0013396E">
              <w:rPr>
                <w:i/>
                <w:sz w:val="20"/>
              </w:rPr>
              <w:t>q</w:t>
            </w:r>
            <w:r w:rsidRPr="0013396E">
              <w:rPr>
                <w:iCs/>
                <w:sz w:val="20"/>
              </w:rPr>
              <w:t xml:space="preserve"> as specified in the FFSS award, applicable to each hour of November 15 through March 15 during the awarded FFSS obligation period.  Where for a Combined Cycle Train, the Resource </w:t>
            </w:r>
            <w:r w:rsidRPr="0013396E">
              <w:rPr>
                <w:i/>
                <w:sz w:val="20"/>
              </w:rPr>
              <w:t>r</w:t>
            </w:r>
            <w:r w:rsidRPr="0013396E">
              <w:rPr>
                <w:iCs/>
                <w:sz w:val="20"/>
              </w:rPr>
              <w:t xml:space="preserve"> is the Combined Cycle Train.</w:t>
            </w:r>
          </w:p>
        </w:tc>
      </w:tr>
      <w:tr w:rsidR="00426931" w:rsidRPr="0013396E" w14:paraId="0ADD3CD1"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79BAFF05" w14:textId="77777777" w:rsidR="00426931" w:rsidRPr="0013396E" w:rsidRDefault="00426931" w:rsidP="00426931">
            <w:pPr>
              <w:spacing w:after="60"/>
              <w:rPr>
                <w:iCs/>
                <w:sz w:val="20"/>
              </w:rPr>
            </w:pPr>
            <w:r w:rsidRPr="0013396E">
              <w:rPr>
                <w:iCs/>
                <w:sz w:val="20"/>
              </w:rPr>
              <w:t xml:space="preserve">FFSSARF </w:t>
            </w:r>
            <w:r w:rsidRPr="0013396E">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15D65EE7"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5C036F9A" w14:textId="77777777" w:rsidR="00426931" w:rsidRPr="0013396E" w:rsidRDefault="00426931" w:rsidP="00426931">
            <w:pPr>
              <w:spacing w:after="60"/>
              <w:rPr>
                <w:iCs/>
                <w:sz w:val="20"/>
              </w:rPr>
            </w:pPr>
            <w:r w:rsidRPr="0013396E">
              <w:rPr>
                <w:i/>
                <w:iCs/>
                <w:sz w:val="20"/>
              </w:rPr>
              <w:t>Firm Fuel Supply Service Availability Reduction Factor per QSE per Resource by hour</w:t>
            </w:r>
            <w:r w:rsidRPr="0013396E">
              <w:rPr>
                <w:iCs/>
                <w:sz w:val="20"/>
              </w:rPr>
              <w:t xml:space="preserve">—The availability reduction factor assigned to the primary Generation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hour.  Where for a Combined Cycle Train, the Resource </w:t>
            </w:r>
            <w:r w:rsidRPr="0013396E">
              <w:rPr>
                <w:i/>
                <w:iCs/>
                <w:sz w:val="20"/>
              </w:rPr>
              <w:t xml:space="preserve">r </w:t>
            </w:r>
            <w:r w:rsidRPr="0013396E">
              <w:rPr>
                <w:iCs/>
                <w:sz w:val="20"/>
              </w:rPr>
              <w:t>is the Combined Cycle Train.</w:t>
            </w:r>
          </w:p>
        </w:tc>
      </w:tr>
      <w:tr w:rsidR="00426931" w:rsidRPr="0013396E" w14:paraId="7A5A7B3C"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6472D78B" w14:textId="77777777" w:rsidR="00426931" w:rsidRPr="0013396E" w:rsidRDefault="00426931" w:rsidP="00426931">
            <w:pPr>
              <w:spacing w:after="60"/>
              <w:rPr>
                <w:iCs/>
                <w:sz w:val="20"/>
              </w:rPr>
            </w:pPr>
            <w:r w:rsidRPr="0013396E">
              <w:rPr>
                <w:iCs/>
                <w:sz w:val="20"/>
              </w:rPr>
              <w:t xml:space="preserve">FFSSHREAF </w:t>
            </w:r>
            <w:r w:rsidRPr="0013396E">
              <w:rPr>
                <w:i/>
                <w:iCs/>
                <w:sz w:val="20"/>
                <w:vertAlign w:val="subscript"/>
              </w:rPr>
              <w:t>q, r, h</w:t>
            </w:r>
          </w:p>
        </w:tc>
        <w:tc>
          <w:tcPr>
            <w:tcW w:w="1632" w:type="dxa"/>
            <w:tcBorders>
              <w:top w:val="single" w:sz="4" w:space="0" w:color="auto"/>
              <w:left w:val="single" w:sz="4" w:space="0" w:color="auto"/>
              <w:bottom w:val="single" w:sz="4" w:space="0" w:color="auto"/>
              <w:right w:val="single" w:sz="4" w:space="0" w:color="auto"/>
            </w:tcBorders>
            <w:hideMark/>
          </w:tcPr>
          <w:p w14:paraId="24C3E37D"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09FAECC8" w14:textId="77777777" w:rsidR="00426931" w:rsidRPr="0013396E" w:rsidRDefault="00426931" w:rsidP="00426931">
            <w:pPr>
              <w:spacing w:after="60"/>
              <w:rPr>
                <w:iCs/>
                <w:sz w:val="20"/>
              </w:rPr>
            </w:pPr>
            <w:r w:rsidRPr="0013396E">
              <w:rPr>
                <w:i/>
                <w:iCs/>
                <w:sz w:val="20"/>
              </w:rPr>
              <w:t>Firm Fuel Supply Service Hourly Rolling Equivalent Availability Factor per QSE per Resource by hour</w:t>
            </w:r>
            <w:r w:rsidRPr="0013396E">
              <w:rPr>
                <w:iCs/>
                <w:sz w:val="20"/>
              </w:rPr>
              <w:t xml:space="preserve">—The equivalent availability factor assigned to the primary Generation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over 1,452 hours, for the hour.  Where for a Combined Cycle Train, the Resource </w:t>
            </w:r>
            <w:r w:rsidRPr="0013396E">
              <w:rPr>
                <w:i/>
                <w:iCs/>
                <w:sz w:val="20"/>
              </w:rPr>
              <w:t xml:space="preserve">r </w:t>
            </w:r>
            <w:r w:rsidRPr="0013396E">
              <w:rPr>
                <w:iCs/>
                <w:sz w:val="20"/>
              </w:rPr>
              <w:t>is the Combined Cycle Train.</w:t>
            </w:r>
          </w:p>
        </w:tc>
      </w:tr>
      <w:tr w:rsidR="00426931" w:rsidRPr="0013396E" w14:paraId="31C8D150"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7C36B10B" w14:textId="77777777" w:rsidR="00426931" w:rsidRPr="0013396E" w:rsidRDefault="00426931" w:rsidP="00426931">
            <w:pPr>
              <w:spacing w:after="60"/>
              <w:rPr>
                <w:iCs/>
                <w:sz w:val="20"/>
              </w:rPr>
            </w:pPr>
            <w:r w:rsidRPr="0013396E">
              <w:rPr>
                <w:iCs/>
                <w:sz w:val="20"/>
              </w:rPr>
              <w:t xml:space="preserve">FFSSAFLAG </w:t>
            </w:r>
            <w:r w:rsidRPr="0013396E">
              <w:rPr>
                <w:i/>
                <w:iCs/>
                <w:sz w:val="20"/>
                <w:vertAlign w:val="subscript"/>
              </w:rPr>
              <w:t xml:space="preserve">q, r, </w:t>
            </w:r>
            <w:r w:rsidRPr="0013396E">
              <w:rPr>
                <w:i/>
                <w:sz w:val="20"/>
                <w:vertAlign w:val="subscript"/>
              </w:rPr>
              <w:t>hr</w:t>
            </w:r>
          </w:p>
        </w:tc>
        <w:tc>
          <w:tcPr>
            <w:tcW w:w="1632" w:type="dxa"/>
            <w:tcBorders>
              <w:top w:val="single" w:sz="4" w:space="0" w:color="auto"/>
              <w:left w:val="single" w:sz="4" w:space="0" w:color="auto"/>
              <w:bottom w:val="single" w:sz="4" w:space="0" w:color="auto"/>
              <w:right w:val="single" w:sz="4" w:space="0" w:color="auto"/>
            </w:tcBorders>
            <w:hideMark/>
          </w:tcPr>
          <w:p w14:paraId="5932E3C3"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105897EB" w14:textId="77777777" w:rsidR="00426931" w:rsidRPr="0013396E" w:rsidRDefault="00426931" w:rsidP="00426931">
            <w:pPr>
              <w:spacing w:after="60"/>
              <w:rPr>
                <w:iCs/>
                <w:sz w:val="20"/>
              </w:rPr>
            </w:pPr>
            <w:r w:rsidRPr="0013396E">
              <w:rPr>
                <w:i/>
                <w:iCs/>
                <w:sz w:val="20"/>
              </w:rPr>
              <w:t>Firm Fuel Supply Service Availability Flag per QSE per Resource by hour</w:t>
            </w:r>
            <w:r w:rsidRPr="0013396E">
              <w:rPr>
                <w:iCs/>
                <w:sz w:val="20"/>
              </w:rPr>
              <w:t>—The flag of the availability assigned to the primary Generation Resource or the alternate Generation Resource</w:t>
            </w:r>
            <w:r w:rsidRPr="0013396E">
              <w:rPr>
                <w:i/>
                <w:iCs/>
                <w:sz w:val="20"/>
              </w:rPr>
              <w:t xml:space="preserve"> r</w:t>
            </w:r>
            <w:r w:rsidRPr="0013396E">
              <w:rPr>
                <w:iCs/>
                <w:sz w:val="20"/>
              </w:rPr>
              <w:t xml:space="preserve"> represented by QSE </w:t>
            </w:r>
            <w:r w:rsidRPr="0013396E">
              <w:rPr>
                <w:i/>
                <w:iCs/>
                <w:sz w:val="20"/>
              </w:rPr>
              <w:t>q</w:t>
            </w:r>
            <w:r w:rsidRPr="0013396E">
              <w:rPr>
                <w:iCs/>
                <w:sz w:val="20"/>
              </w:rPr>
              <w:t xml:space="preserve">, 1 for available and 0 for unavailable, for the hour.  Where for a Combined Cycle Train, the Resource </w:t>
            </w:r>
            <w:r w:rsidRPr="0013396E">
              <w:rPr>
                <w:i/>
                <w:iCs/>
                <w:sz w:val="20"/>
              </w:rPr>
              <w:t xml:space="preserve">r </w:t>
            </w:r>
            <w:r w:rsidRPr="0013396E">
              <w:rPr>
                <w:iCs/>
                <w:sz w:val="20"/>
              </w:rPr>
              <w:t>is a Combined Cycle Generation Resource within the Combined Cycle Train.</w:t>
            </w:r>
          </w:p>
        </w:tc>
      </w:tr>
      <w:tr w:rsidR="00426931" w:rsidRPr="0013396E" w14:paraId="0298E8F5"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0012B3B9" w14:textId="77777777" w:rsidR="00426931" w:rsidRPr="0013396E" w:rsidRDefault="00426931" w:rsidP="00426931">
            <w:pPr>
              <w:spacing w:after="60"/>
              <w:rPr>
                <w:iCs/>
                <w:sz w:val="20"/>
              </w:rPr>
            </w:pPr>
            <w:r w:rsidRPr="0013396E">
              <w:rPr>
                <w:iCs/>
                <w:sz w:val="20"/>
              </w:rPr>
              <w:t xml:space="preserve">FFSEDFLAG </w:t>
            </w:r>
            <w:r w:rsidRPr="0013396E">
              <w:rPr>
                <w:i/>
                <w:iCs/>
                <w:sz w:val="20"/>
                <w:vertAlign w:val="subscript"/>
              </w:rPr>
              <w:t xml:space="preserve">q, r, </w:t>
            </w:r>
            <w:r w:rsidRPr="0013396E">
              <w:rPr>
                <w:i/>
                <w:sz w:val="20"/>
                <w:vertAlign w:val="subscript"/>
              </w:rPr>
              <w:t>hr</w:t>
            </w:r>
          </w:p>
        </w:tc>
        <w:tc>
          <w:tcPr>
            <w:tcW w:w="1632" w:type="dxa"/>
            <w:tcBorders>
              <w:top w:val="single" w:sz="4" w:space="0" w:color="auto"/>
              <w:left w:val="single" w:sz="4" w:space="0" w:color="auto"/>
              <w:bottom w:val="single" w:sz="4" w:space="0" w:color="auto"/>
              <w:right w:val="single" w:sz="4" w:space="0" w:color="auto"/>
            </w:tcBorders>
            <w:hideMark/>
          </w:tcPr>
          <w:p w14:paraId="68856286"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3C7D8D0D" w14:textId="26A08F5F" w:rsidR="00A36EAA" w:rsidRPr="0013396E" w:rsidRDefault="00426931" w:rsidP="00426931">
            <w:pPr>
              <w:spacing w:after="60"/>
              <w:rPr>
                <w:i/>
                <w:iCs/>
                <w:sz w:val="20"/>
              </w:rPr>
            </w:pPr>
            <w:r w:rsidRPr="0013396E">
              <w:rPr>
                <w:i/>
                <w:iCs/>
                <w:sz w:val="20"/>
              </w:rPr>
              <w:t>Firm Fuel Supply Event Deployment Flag per QSE per Resource by hour</w:t>
            </w:r>
            <w:r w:rsidRPr="0013396E">
              <w:rPr>
                <w:iCs/>
                <w:sz w:val="20"/>
              </w:rPr>
              <w:t>—</w:t>
            </w:r>
            <w:r w:rsidR="005C7988" w:rsidRPr="0013396E">
              <w:rPr>
                <w:iCs/>
                <w:sz w:val="20"/>
              </w:rPr>
              <w:t xml:space="preserve">The flag assigned to the primary Generation Resource </w:t>
            </w:r>
            <w:r w:rsidR="005C7988" w:rsidRPr="0013396E">
              <w:rPr>
                <w:i/>
                <w:sz w:val="20"/>
              </w:rPr>
              <w:t>r</w:t>
            </w:r>
            <w:r w:rsidR="005C7988" w:rsidRPr="0013396E">
              <w:rPr>
                <w:iCs/>
                <w:sz w:val="20"/>
              </w:rPr>
              <w:t xml:space="preserve">, represented by QSE </w:t>
            </w:r>
            <w:r w:rsidR="005C7988" w:rsidRPr="0013396E">
              <w:rPr>
                <w:i/>
                <w:sz w:val="20"/>
              </w:rPr>
              <w:t>q</w:t>
            </w:r>
            <w:r w:rsidR="005C7988" w:rsidRPr="0013396E">
              <w:rPr>
                <w:iCs/>
                <w:sz w:val="20"/>
              </w:rPr>
              <w:t xml:space="preserve">, that is used to determine if the FFSSR is considered available, as described in paragraph (2)(c) through (2)(e) above, 1 for available and 0 for unavailable, for the hour.  Where for a Combined Cycle Train, the Resource </w:t>
            </w:r>
            <w:r w:rsidR="005C7988" w:rsidRPr="0013396E">
              <w:rPr>
                <w:i/>
                <w:sz w:val="20"/>
              </w:rPr>
              <w:t>r</w:t>
            </w:r>
            <w:r w:rsidR="005C7988" w:rsidRPr="0013396E">
              <w:rPr>
                <w:iCs/>
                <w:sz w:val="20"/>
              </w:rPr>
              <w:t xml:space="preserve"> is the Combined Cycle Train.</w:t>
            </w:r>
          </w:p>
          <w:p w14:paraId="60218FDD" w14:textId="7CC569EC" w:rsidR="00426931" w:rsidRPr="0013396E" w:rsidRDefault="00426931" w:rsidP="00426931">
            <w:pPr>
              <w:spacing w:after="60"/>
              <w:rPr>
                <w:i/>
                <w:iCs/>
                <w:sz w:val="20"/>
              </w:rPr>
            </w:pPr>
          </w:p>
        </w:tc>
      </w:tr>
      <w:tr w:rsidR="00426931" w:rsidRPr="0013396E" w14:paraId="7D00366A"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3F2DA00C" w14:textId="77777777" w:rsidR="00426931" w:rsidRPr="0013396E" w:rsidRDefault="00426931" w:rsidP="00426931">
            <w:pPr>
              <w:spacing w:after="60"/>
              <w:rPr>
                <w:iCs/>
                <w:sz w:val="20"/>
              </w:rPr>
            </w:pPr>
            <w:r w:rsidRPr="0013396E">
              <w:rPr>
                <w:iCs/>
                <w:sz w:val="20"/>
                <w:lang w:val="pt-BR"/>
              </w:rPr>
              <w:t xml:space="preserve">AVCAP </w:t>
            </w:r>
            <w:r w:rsidRPr="0013396E">
              <w:rPr>
                <w:i/>
                <w:iCs/>
                <w:sz w:val="20"/>
                <w:vertAlign w:val="subscript"/>
                <w:lang w:val="pt-BR"/>
              </w:rPr>
              <w:t>q, r, hr</w:t>
            </w:r>
          </w:p>
        </w:tc>
        <w:tc>
          <w:tcPr>
            <w:tcW w:w="1632" w:type="dxa"/>
            <w:tcBorders>
              <w:top w:val="single" w:sz="4" w:space="0" w:color="auto"/>
              <w:left w:val="single" w:sz="4" w:space="0" w:color="auto"/>
              <w:bottom w:val="single" w:sz="4" w:space="0" w:color="auto"/>
              <w:right w:val="single" w:sz="4" w:space="0" w:color="auto"/>
            </w:tcBorders>
            <w:hideMark/>
          </w:tcPr>
          <w:p w14:paraId="5461CA2C" w14:textId="77777777" w:rsidR="00426931" w:rsidRPr="0013396E" w:rsidRDefault="00426931" w:rsidP="00426931">
            <w:pPr>
              <w:spacing w:after="60"/>
              <w:rPr>
                <w:iCs/>
                <w:sz w:val="20"/>
              </w:rPr>
            </w:pPr>
            <w:r w:rsidRPr="0013396E">
              <w:rPr>
                <w:iCs/>
                <w:sz w:val="20"/>
              </w:rPr>
              <w:t>MW</w:t>
            </w:r>
          </w:p>
        </w:tc>
        <w:tc>
          <w:tcPr>
            <w:tcW w:w="5697" w:type="dxa"/>
            <w:tcBorders>
              <w:top w:val="single" w:sz="4" w:space="0" w:color="auto"/>
              <w:left w:val="single" w:sz="4" w:space="0" w:color="auto"/>
              <w:bottom w:val="single" w:sz="4" w:space="0" w:color="auto"/>
              <w:right w:val="single" w:sz="4" w:space="0" w:color="auto"/>
            </w:tcBorders>
            <w:hideMark/>
          </w:tcPr>
          <w:p w14:paraId="4695D459" w14:textId="77777777" w:rsidR="00426931" w:rsidRPr="0013396E" w:rsidRDefault="00426931" w:rsidP="00426931">
            <w:pPr>
              <w:spacing w:after="60"/>
              <w:rPr>
                <w:i/>
                <w:iCs/>
                <w:sz w:val="20"/>
              </w:rPr>
            </w:pPr>
            <w:r w:rsidRPr="0013396E">
              <w:rPr>
                <w:i/>
                <w:iCs/>
                <w:sz w:val="20"/>
              </w:rPr>
              <w:t>Available Capacity per Resource by hour</w:t>
            </w:r>
            <w:r w:rsidRPr="0013396E">
              <w:rPr>
                <w:iCs/>
                <w:sz w:val="20"/>
              </w:rPr>
              <w:t xml:space="preserve">—The available capacity assigned to the primary Generation Resource </w:t>
            </w:r>
            <w:r w:rsidRPr="0013396E">
              <w:rPr>
                <w:i/>
                <w:sz w:val="20"/>
              </w:rPr>
              <w:t xml:space="preserve">r </w:t>
            </w:r>
            <w:r w:rsidRPr="0013396E">
              <w:rPr>
                <w:iCs/>
                <w:sz w:val="20"/>
              </w:rPr>
              <w:t xml:space="preserve">represented by QSE </w:t>
            </w:r>
            <w:r w:rsidRPr="0013396E">
              <w:rPr>
                <w:i/>
                <w:sz w:val="20"/>
              </w:rPr>
              <w:t>q</w:t>
            </w:r>
            <w:r w:rsidRPr="0013396E">
              <w:rPr>
                <w:iCs/>
                <w:sz w:val="20"/>
              </w:rPr>
              <w:t xml:space="preserve"> as calculated for the hour. Where for a Combined Cycle Train, the Resource </w:t>
            </w:r>
            <w:r w:rsidRPr="0013396E">
              <w:rPr>
                <w:i/>
                <w:iCs/>
                <w:sz w:val="20"/>
              </w:rPr>
              <w:t xml:space="preserve">r </w:t>
            </w:r>
            <w:r w:rsidRPr="0013396E">
              <w:rPr>
                <w:iCs/>
                <w:sz w:val="20"/>
              </w:rPr>
              <w:t>is the Combined Cycle Train.</w:t>
            </w:r>
          </w:p>
        </w:tc>
      </w:tr>
      <w:tr w:rsidR="00426931" w:rsidRPr="0013396E" w14:paraId="44D5D7B1"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0C3489C8" w14:textId="77777777" w:rsidR="00426931" w:rsidRPr="0013396E" w:rsidRDefault="00426931" w:rsidP="00426931">
            <w:pPr>
              <w:spacing w:after="60"/>
              <w:rPr>
                <w:i/>
                <w:iCs/>
                <w:sz w:val="20"/>
              </w:rPr>
            </w:pPr>
            <w:r w:rsidRPr="0013396E">
              <w:rPr>
                <w:i/>
                <w:iCs/>
                <w:sz w:val="20"/>
              </w:rPr>
              <w:t>q</w:t>
            </w:r>
          </w:p>
        </w:tc>
        <w:tc>
          <w:tcPr>
            <w:tcW w:w="1632" w:type="dxa"/>
            <w:tcBorders>
              <w:top w:val="single" w:sz="4" w:space="0" w:color="auto"/>
              <w:left w:val="single" w:sz="4" w:space="0" w:color="auto"/>
              <w:bottom w:val="single" w:sz="4" w:space="0" w:color="auto"/>
              <w:right w:val="single" w:sz="4" w:space="0" w:color="auto"/>
            </w:tcBorders>
            <w:hideMark/>
          </w:tcPr>
          <w:p w14:paraId="56966824"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6326068A" w14:textId="77777777" w:rsidR="00426931" w:rsidRPr="0013396E" w:rsidRDefault="00426931" w:rsidP="00426931">
            <w:pPr>
              <w:spacing w:after="60"/>
              <w:rPr>
                <w:iCs/>
                <w:sz w:val="20"/>
              </w:rPr>
            </w:pPr>
            <w:r w:rsidRPr="0013396E">
              <w:rPr>
                <w:iCs/>
                <w:sz w:val="20"/>
              </w:rPr>
              <w:t>A QSE.</w:t>
            </w:r>
          </w:p>
        </w:tc>
      </w:tr>
      <w:tr w:rsidR="00426931" w:rsidRPr="0013396E" w14:paraId="095FA209"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5AC068EE" w14:textId="77777777" w:rsidR="00426931" w:rsidRPr="0013396E" w:rsidRDefault="00426931" w:rsidP="00426931">
            <w:pPr>
              <w:spacing w:after="60"/>
              <w:rPr>
                <w:i/>
                <w:iCs/>
                <w:sz w:val="20"/>
              </w:rPr>
            </w:pPr>
            <w:r w:rsidRPr="0013396E">
              <w:rPr>
                <w:i/>
                <w:iCs/>
                <w:sz w:val="20"/>
              </w:rPr>
              <w:t>r</w:t>
            </w:r>
          </w:p>
        </w:tc>
        <w:tc>
          <w:tcPr>
            <w:tcW w:w="1632" w:type="dxa"/>
            <w:tcBorders>
              <w:top w:val="single" w:sz="4" w:space="0" w:color="auto"/>
              <w:left w:val="single" w:sz="4" w:space="0" w:color="auto"/>
              <w:bottom w:val="single" w:sz="4" w:space="0" w:color="auto"/>
              <w:right w:val="single" w:sz="4" w:space="0" w:color="auto"/>
            </w:tcBorders>
            <w:hideMark/>
          </w:tcPr>
          <w:p w14:paraId="2286652E"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18E44CB6" w14:textId="77777777" w:rsidR="00426931" w:rsidRPr="0013396E" w:rsidRDefault="00426931" w:rsidP="00426931">
            <w:pPr>
              <w:spacing w:after="60"/>
              <w:rPr>
                <w:iCs/>
                <w:sz w:val="20"/>
              </w:rPr>
            </w:pPr>
            <w:r w:rsidRPr="0013396E">
              <w:rPr>
                <w:iCs/>
                <w:sz w:val="20"/>
              </w:rPr>
              <w:t>A primary or alternate Generation Resource approved by ERCOT to provide FFSS.</w:t>
            </w:r>
          </w:p>
        </w:tc>
      </w:tr>
      <w:tr w:rsidR="00426931" w:rsidRPr="0013396E" w14:paraId="47D93F0B"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34D7E46C" w14:textId="77777777" w:rsidR="00426931" w:rsidRPr="0013396E" w:rsidRDefault="00426931" w:rsidP="00426931">
            <w:pPr>
              <w:spacing w:after="60"/>
              <w:rPr>
                <w:i/>
                <w:iCs/>
                <w:sz w:val="20"/>
              </w:rPr>
            </w:pPr>
            <w:r w:rsidRPr="0013396E">
              <w:rPr>
                <w:i/>
                <w:iCs/>
                <w:sz w:val="20"/>
              </w:rPr>
              <w:t>hr</w:t>
            </w:r>
          </w:p>
        </w:tc>
        <w:tc>
          <w:tcPr>
            <w:tcW w:w="1632" w:type="dxa"/>
            <w:tcBorders>
              <w:top w:val="single" w:sz="4" w:space="0" w:color="auto"/>
              <w:left w:val="single" w:sz="4" w:space="0" w:color="auto"/>
              <w:bottom w:val="single" w:sz="4" w:space="0" w:color="auto"/>
              <w:right w:val="single" w:sz="4" w:space="0" w:color="auto"/>
            </w:tcBorders>
            <w:hideMark/>
          </w:tcPr>
          <w:p w14:paraId="5962E311"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41ADE93A" w14:textId="77777777" w:rsidR="00426931" w:rsidRPr="0013396E" w:rsidRDefault="00426931" w:rsidP="00426931">
            <w:pPr>
              <w:spacing w:after="60"/>
              <w:rPr>
                <w:iCs/>
                <w:sz w:val="20"/>
              </w:rPr>
            </w:pPr>
            <w:r w:rsidRPr="0013396E">
              <w:rPr>
                <w:iCs/>
                <w:sz w:val="20"/>
              </w:rPr>
              <w:t>The index of a given hour and the previous 1,451 hours counted only during each hour of November 15 through March 15 during the awarded FFSS obligation period.</w:t>
            </w:r>
          </w:p>
        </w:tc>
      </w:tr>
      <w:tr w:rsidR="00426931" w:rsidRPr="0013396E" w14:paraId="2F77FB54"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74547531" w14:textId="77777777" w:rsidR="00426931" w:rsidRPr="0013396E" w:rsidRDefault="00426931" w:rsidP="00426931">
            <w:pPr>
              <w:spacing w:after="60"/>
              <w:rPr>
                <w:i/>
                <w:iCs/>
                <w:sz w:val="20"/>
              </w:rPr>
            </w:pPr>
            <w:r w:rsidRPr="0013396E">
              <w:rPr>
                <w:i/>
                <w:iCs/>
                <w:sz w:val="20"/>
              </w:rPr>
              <w:t>h</w:t>
            </w:r>
          </w:p>
        </w:tc>
        <w:tc>
          <w:tcPr>
            <w:tcW w:w="1632" w:type="dxa"/>
            <w:tcBorders>
              <w:top w:val="single" w:sz="4" w:space="0" w:color="auto"/>
              <w:left w:val="single" w:sz="4" w:space="0" w:color="auto"/>
              <w:bottom w:val="single" w:sz="4" w:space="0" w:color="auto"/>
              <w:right w:val="single" w:sz="4" w:space="0" w:color="auto"/>
            </w:tcBorders>
            <w:hideMark/>
          </w:tcPr>
          <w:p w14:paraId="6720BDBA"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6E1B7C2F" w14:textId="77777777" w:rsidR="00426931" w:rsidRPr="0013396E" w:rsidRDefault="00426931" w:rsidP="00426931">
            <w:pPr>
              <w:spacing w:after="60"/>
              <w:rPr>
                <w:iCs/>
                <w:sz w:val="20"/>
              </w:rPr>
            </w:pPr>
            <w:r w:rsidRPr="0013396E">
              <w:rPr>
                <w:iCs/>
                <w:sz w:val="20"/>
              </w:rPr>
              <w:t>The Operating Hour.</w:t>
            </w:r>
          </w:p>
        </w:tc>
      </w:tr>
      <w:tr w:rsidR="00426931" w:rsidRPr="0013396E" w14:paraId="455BB46F"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28F1A0DB" w14:textId="77777777" w:rsidR="00426931" w:rsidRPr="0013396E" w:rsidRDefault="00426931" w:rsidP="00426931">
            <w:pPr>
              <w:spacing w:after="60"/>
              <w:rPr>
                <w:i/>
                <w:iCs/>
                <w:sz w:val="20"/>
              </w:rPr>
            </w:pPr>
            <w:r w:rsidRPr="0013396E">
              <w:rPr>
                <w:i/>
                <w:iCs/>
                <w:sz w:val="20"/>
              </w:rPr>
              <w:lastRenderedPageBreak/>
              <w:t>train</w:t>
            </w:r>
          </w:p>
        </w:tc>
        <w:tc>
          <w:tcPr>
            <w:tcW w:w="1632" w:type="dxa"/>
            <w:tcBorders>
              <w:top w:val="single" w:sz="4" w:space="0" w:color="auto"/>
              <w:left w:val="single" w:sz="4" w:space="0" w:color="auto"/>
              <w:bottom w:val="single" w:sz="4" w:space="0" w:color="auto"/>
              <w:right w:val="single" w:sz="4" w:space="0" w:color="auto"/>
            </w:tcBorders>
            <w:hideMark/>
          </w:tcPr>
          <w:p w14:paraId="58B4B525" w14:textId="77777777" w:rsidR="00426931" w:rsidRPr="0013396E" w:rsidRDefault="00426931" w:rsidP="00426931">
            <w:pPr>
              <w:spacing w:after="60"/>
              <w:rPr>
                <w:iCs/>
                <w:sz w:val="20"/>
              </w:rPr>
            </w:pPr>
            <w:r w:rsidRPr="0013396E">
              <w:rPr>
                <w:iCs/>
                <w:sz w:val="20"/>
              </w:rPr>
              <w:t xml:space="preserve">none </w:t>
            </w:r>
          </w:p>
        </w:tc>
        <w:tc>
          <w:tcPr>
            <w:tcW w:w="5697" w:type="dxa"/>
            <w:tcBorders>
              <w:top w:val="single" w:sz="4" w:space="0" w:color="auto"/>
              <w:left w:val="single" w:sz="4" w:space="0" w:color="auto"/>
              <w:bottom w:val="single" w:sz="4" w:space="0" w:color="auto"/>
              <w:right w:val="single" w:sz="4" w:space="0" w:color="auto"/>
            </w:tcBorders>
            <w:hideMark/>
          </w:tcPr>
          <w:p w14:paraId="27962023" w14:textId="77777777" w:rsidR="00426931" w:rsidRPr="0013396E" w:rsidRDefault="00426931" w:rsidP="00426931">
            <w:pPr>
              <w:spacing w:after="60"/>
              <w:rPr>
                <w:iCs/>
                <w:sz w:val="20"/>
              </w:rPr>
            </w:pPr>
            <w:r w:rsidRPr="0013396E">
              <w:rPr>
                <w:iCs/>
                <w:sz w:val="20"/>
              </w:rPr>
              <w:t>A Combined Cycle Train or an alternate Combined Cycle Train approved by ERCOT.</w:t>
            </w:r>
          </w:p>
        </w:tc>
      </w:tr>
      <w:tr w:rsidR="00426931" w:rsidRPr="0013396E" w14:paraId="63A8D755" w14:textId="77777777" w:rsidTr="00426931">
        <w:trPr>
          <w:cantSplit/>
        </w:trPr>
        <w:tc>
          <w:tcPr>
            <w:tcW w:w="2483" w:type="dxa"/>
            <w:tcBorders>
              <w:top w:val="single" w:sz="4" w:space="0" w:color="auto"/>
              <w:left w:val="single" w:sz="4" w:space="0" w:color="auto"/>
              <w:bottom w:val="single" w:sz="4" w:space="0" w:color="auto"/>
              <w:right w:val="single" w:sz="4" w:space="0" w:color="auto"/>
            </w:tcBorders>
            <w:hideMark/>
          </w:tcPr>
          <w:p w14:paraId="6A25D85E" w14:textId="77777777" w:rsidR="00426931" w:rsidRPr="0013396E" w:rsidRDefault="00426931" w:rsidP="00426931">
            <w:pPr>
              <w:spacing w:after="60"/>
              <w:rPr>
                <w:i/>
                <w:sz w:val="20"/>
              </w:rPr>
            </w:pPr>
            <w:r w:rsidRPr="0013396E">
              <w:rPr>
                <w:i/>
                <w:sz w:val="20"/>
              </w:rPr>
              <w:t>ccgr</w:t>
            </w:r>
          </w:p>
        </w:tc>
        <w:tc>
          <w:tcPr>
            <w:tcW w:w="1632" w:type="dxa"/>
            <w:tcBorders>
              <w:top w:val="single" w:sz="4" w:space="0" w:color="auto"/>
              <w:left w:val="single" w:sz="4" w:space="0" w:color="auto"/>
              <w:bottom w:val="single" w:sz="4" w:space="0" w:color="auto"/>
              <w:right w:val="single" w:sz="4" w:space="0" w:color="auto"/>
            </w:tcBorders>
            <w:hideMark/>
          </w:tcPr>
          <w:p w14:paraId="48EA8A61" w14:textId="77777777" w:rsidR="00426931" w:rsidRPr="0013396E" w:rsidRDefault="00426931" w:rsidP="00426931">
            <w:pPr>
              <w:spacing w:after="60"/>
              <w:rPr>
                <w:iCs/>
                <w:sz w:val="20"/>
              </w:rPr>
            </w:pPr>
            <w:r w:rsidRPr="0013396E">
              <w:rPr>
                <w:iCs/>
                <w:sz w:val="20"/>
              </w:rPr>
              <w:t>none</w:t>
            </w:r>
          </w:p>
        </w:tc>
        <w:tc>
          <w:tcPr>
            <w:tcW w:w="5697" w:type="dxa"/>
            <w:tcBorders>
              <w:top w:val="single" w:sz="4" w:space="0" w:color="auto"/>
              <w:left w:val="single" w:sz="4" w:space="0" w:color="auto"/>
              <w:bottom w:val="single" w:sz="4" w:space="0" w:color="auto"/>
              <w:right w:val="single" w:sz="4" w:space="0" w:color="auto"/>
            </w:tcBorders>
            <w:hideMark/>
          </w:tcPr>
          <w:p w14:paraId="68CB8B38" w14:textId="77777777" w:rsidR="00426931" w:rsidRPr="0013396E" w:rsidRDefault="00426931" w:rsidP="00426931">
            <w:pPr>
              <w:spacing w:after="60"/>
              <w:rPr>
                <w:iCs/>
                <w:sz w:val="20"/>
              </w:rPr>
            </w:pPr>
            <w:r w:rsidRPr="0013396E">
              <w:rPr>
                <w:iCs/>
                <w:sz w:val="20"/>
              </w:rPr>
              <w:t>A Combined Cycle Generation Resource within the Combined Cycle Train.</w:t>
            </w:r>
          </w:p>
        </w:tc>
      </w:tr>
    </w:tbl>
    <w:p w14:paraId="5F59B89C" w14:textId="77777777" w:rsidR="00426931" w:rsidRPr="0013396E" w:rsidRDefault="00426931" w:rsidP="00426931">
      <w:pPr>
        <w:spacing w:before="240" w:after="240"/>
        <w:ind w:left="720" w:hanging="720"/>
      </w:pPr>
      <w:r w:rsidRPr="0013396E">
        <w:t>(5)</w:t>
      </w:r>
      <w:r w:rsidRPr="0013396E">
        <w:tab/>
        <w:t>The total of the payments to each QSE for all FFSSRs represented by this QSE for a given hour is calculated as follows:</w:t>
      </w:r>
    </w:p>
    <w:p w14:paraId="100C259F" w14:textId="77777777" w:rsidR="00426931" w:rsidRPr="0013396E" w:rsidRDefault="00426931" w:rsidP="00426931">
      <w:pPr>
        <w:tabs>
          <w:tab w:val="left" w:pos="2250"/>
          <w:tab w:val="left" w:pos="3150"/>
          <w:tab w:val="left" w:pos="3960"/>
        </w:tabs>
        <w:spacing w:after="240"/>
        <w:ind w:left="3960" w:hanging="3240"/>
        <w:rPr>
          <w:b/>
          <w:bCs/>
          <w:szCs w:val="24"/>
        </w:rPr>
      </w:pPr>
      <w:r w:rsidRPr="0013396E">
        <w:rPr>
          <w:b/>
          <w:bCs/>
          <w:szCs w:val="24"/>
        </w:rPr>
        <w:t xml:space="preserve">FFSSAMTQSETOT </w:t>
      </w:r>
      <w:r w:rsidRPr="0013396E">
        <w:rPr>
          <w:b/>
          <w:bCs/>
          <w:i/>
          <w:szCs w:val="24"/>
          <w:vertAlign w:val="subscript"/>
        </w:rPr>
        <w:t>q</w:t>
      </w:r>
      <w:r w:rsidRPr="0013396E">
        <w:rPr>
          <w:b/>
          <w:bCs/>
          <w:szCs w:val="24"/>
        </w:rPr>
        <w:tab/>
        <w:t>=</w:t>
      </w:r>
      <w:r w:rsidRPr="0013396E">
        <w:rPr>
          <w:b/>
          <w:bCs/>
          <w:szCs w:val="24"/>
        </w:rPr>
        <w:tab/>
      </w:r>
      <w:r w:rsidRPr="0013396E">
        <w:rPr>
          <w:b/>
          <w:bCs/>
          <w:position w:val="-18"/>
          <w:szCs w:val="24"/>
        </w:rPr>
        <w:object w:dxaOrig="240" w:dyaOrig="420" w14:anchorId="4584E345">
          <v:shape id="_x0000_i1259" type="#_x0000_t75" style="width:12pt;height:24pt" o:ole="">
            <v:imagedata r:id="rId201" o:title=""/>
          </v:shape>
          <o:OLEObject Type="Embed" ProgID="Equation.3" ShapeID="_x0000_i1259" DrawAspect="Content" ObjectID="_1849065888" r:id="rId333"/>
        </w:object>
      </w:r>
      <w:r w:rsidRPr="0013396E">
        <w:rPr>
          <w:b/>
          <w:bCs/>
          <w:szCs w:val="24"/>
        </w:rPr>
        <w:t xml:space="preserve">FFSSAMT </w:t>
      </w:r>
      <w:r w:rsidRPr="0013396E">
        <w:rPr>
          <w:b/>
          <w:bCs/>
          <w:i/>
          <w:szCs w:val="24"/>
          <w:vertAlign w:val="subscript"/>
        </w:rPr>
        <w:t>q, r</w:t>
      </w:r>
    </w:p>
    <w:p w14:paraId="3D0BFC49" w14:textId="77777777" w:rsidR="00426931" w:rsidRPr="0013396E" w:rsidRDefault="00426931" w:rsidP="00426931">
      <w:r w:rsidRPr="0013396E">
        <w:t>The above variables are defined as follows:</w:t>
      </w: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05"/>
        <w:gridCol w:w="7140"/>
      </w:tblGrid>
      <w:tr w:rsidR="00426931" w:rsidRPr="0013396E" w14:paraId="0C07F16E" w14:textId="77777777" w:rsidTr="00426931">
        <w:trPr>
          <w:cantSplit/>
          <w:tblHeader/>
        </w:trPr>
        <w:tc>
          <w:tcPr>
            <w:tcW w:w="1998" w:type="dxa"/>
            <w:tcBorders>
              <w:top w:val="single" w:sz="4" w:space="0" w:color="auto"/>
              <w:left w:val="single" w:sz="4" w:space="0" w:color="auto"/>
              <w:bottom w:val="single" w:sz="4" w:space="0" w:color="auto"/>
              <w:right w:val="single" w:sz="4" w:space="0" w:color="auto"/>
            </w:tcBorders>
            <w:hideMark/>
          </w:tcPr>
          <w:p w14:paraId="0FDA46DA" w14:textId="77777777" w:rsidR="00426931" w:rsidRPr="0013396E" w:rsidRDefault="00426931" w:rsidP="00426931">
            <w:pPr>
              <w:spacing w:after="120"/>
              <w:rPr>
                <w:b/>
                <w:iCs/>
                <w:sz w:val="20"/>
              </w:rPr>
            </w:pPr>
            <w:r w:rsidRPr="0013396E">
              <w:rPr>
                <w:b/>
                <w:iCs/>
                <w:sz w:val="20"/>
              </w:rPr>
              <w:t>Variable</w:t>
            </w:r>
          </w:p>
        </w:tc>
        <w:tc>
          <w:tcPr>
            <w:tcW w:w="0" w:type="auto"/>
            <w:tcBorders>
              <w:top w:val="single" w:sz="4" w:space="0" w:color="auto"/>
              <w:left w:val="single" w:sz="4" w:space="0" w:color="auto"/>
              <w:bottom w:val="single" w:sz="4" w:space="0" w:color="auto"/>
              <w:right w:val="single" w:sz="4" w:space="0" w:color="auto"/>
            </w:tcBorders>
            <w:hideMark/>
          </w:tcPr>
          <w:p w14:paraId="43DCD3DD" w14:textId="77777777" w:rsidR="00426931" w:rsidRPr="0013396E" w:rsidRDefault="00426931" w:rsidP="00426931">
            <w:pPr>
              <w:spacing w:after="120"/>
              <w:rPr>
                <w:b/>
                <w:iCs/>
                <w:sz w:val="20"/>
              </w:rPr>
            </w:pPr>
            <w:r w:rsidRPr="0013396E">
              <w:rPr>
                <w:b/>
                <w:iCs/>
                <w:sz w:val="20"/>
              </w:rPr>
              <w:t>Unit</w:t>
            </w:r>
          </w:p>
        </w:tc>
        <w:tc>
          <w:tcPr>
            <w:tcW w:w="0" w:type="auto"/>
            <w:tcBorders>
              <w:top w:val="single" w:sz="4" w:space="0" w:color="auto"/>
              <w:left w:val="single" w:sz="4" w:space="0" w:color="auto"/>
              <w:bottom w:val="single" w:sz="4" w:space="0" w:color="auto"/>
              <w:right w:val="single" w:sz="4" w:space="0" w:color="auto"/>
            </w:tcBorders>
            <w:hideMark/>
          </w:tcPr>
          <w:p w14:paraId="09B8A7BF" w14:textId="77777777" w:rsidR="00426931" w:rsidRPr="0013396E" w:rsidRDefault="00426931" w:rsidP="00426931">
            <w:pPr>
              <w:spacing w:after="120"/>
              <w:rPr>
                <w:b/>
                <w:iCs/>
                <w:sz w:val="20"/>
              </w:rPr>
            </w:pPr>
            <w:r w:rsidRPr="0013396E">
              <w:rPr>
                <w:b/>
                <w:iCs/>
                <w:sz w:val="20"/>
              </w:rPr>
              <w:t>Definition</w:t>
            </w:r>
          </w:p>
        </w:tc>
      </w:tr>
      <w:tr w:rsidR="00426931" w:rsidRPr="0013396E" w14:paraId="3FD2D3DF" w14:textId="77777777" w:rsidTr="00426931">
        <w:trPr>
          <w:cantSplit/>
        </w:trPr>
        <w:tc>
          <w:tcPr>
            <w:tcW w:w="1998" w:type="dxa"/>
            <w:tcBorders>
              <w:top w:val="single" w:sz="4" w:space="0" w:color="auto"/>
              <w:left w:val="single" w:sz="4" w:space="0" w:color="auto"/>
              <w:bottom w:val="single" w:sz="4" w:space="0" w:color="auto"/>
              <w:right w:val="single" w:sz="4" w:space="0" w:color="auto"/>
            </w:tcBorders>
            <w:hideMark/>
          </w:tcPr>
          <w:p w14:paraId="27C5AE6D" w14:textId="77777777" w:rsidR="00426931" w:rsidRPr="0013396E" w:rsidRDefault="00426931" w:rsidP="00426931">
            <w:pPr>
              <w:spacing w:after="60"/>
              <w:rPr>
                <w:iCs/>
                <w:sz w:val="20"/>
              </w:rPr>
            </w:pPr>
            <w:r w:rsidRPr="0013396E">
              <w:rPr>
                <w:iCs/>
                <w:sz w:val="20"/>
              </w:rPr>
              <w:t>FFSSAMTQSETOT</w:t>
            </w:r>
            <w:r w:rsidRPr="0013396E">
              <w:rPr>
                <w:i/>
                <w:iCs/>
                <w:sz w:val="20"/>
              </w:rPr>
              <w:t xml:space="preserve"> </w:t>
            </w:r>
            <w:r w:rsidRPr="0013396E">
              <w:rPr>
                <w:i/>
                <w:iCs/>
                <w:sz w:val="20"/>
                <w:vertAlign w:val="subscript"/>
              </w:rPr>
              <w:t>q</w:t>
            </w:r>
          </w:p>
        </w:tc>
        <w:tc>
          <w:tcPr>
            <w:tcW w:w="0" w:type="auto"/>
            <w:tcBorders>
              <w:top w:val="single" w:sz="4" w:space="0" w:color="auto"/>
              <w:left w:val="single" w:sz="4" w:space="0" w:color="auto"/>
              <w:bottom w:val="single" w:sz="4" w:space="0" w:color="auto"/>
              <w:right w:val="single" w:sz="4" w:space="0" w:color="auto"/>
            </w:tcBorders>
            <w:hideMark/>
          </w:tcPr>
          <w:p w14:paraId="65C15E8B" w14:textId="77777777" w:rsidR="00426931" w:rsidRPr="0013396E" w:rsidRDefault="00426931" w:rsidP="00426931">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4654D742" w14:textId="77777777" w:rsidR="00426931" w:rsidRPr="0013396E" w:rsidRDefault="00426931" w:rsidP="00426931">
            <w:pPr>
              <w:spacing w:after="60"/>
              <w:rPr>
                <w:iCs/>
                <w:sz w:val="20"/>
              </w:rPr>
            </w:pPr>
            <w:r w:rsidRPr="0013396E">
              <w:rPr>
                <w:i/>
                <w:iCs/>
                <w:sz w:val="20"/>
              </w:rPr>
              <w:t>Firm Fuel Supply Service Amount QSE Total per QSE</w:t>
            </w:r>
            <w:r w:rsidRPr="0013396E">
              <w:rPr>
                <w:iCs/>
                <w:sz w:val="20"/>
              </w:rPr>
              <w:sym w:font="Symbol" w:char="F0BE"/>
            </w:r>
            <w:r w:rsidRPr="0013396E">
              <w:rPr>
                <w:iCs/>
                <w:sz w:val="20"/>
              </w:rPr>
              <w:t xml:space="preserve">The total of the payments to QSE </w:t>
            </w:r>
            <w:r w:rsidRPr="0013396E">
              <w:rPr>
                <w:i/>
                <w:iCs/>
                <w:sz w:val="20"/>
              </w:rPr>
              <w:t>q</w:t>
            </w:r>
            <w:r w:rsidRPr="0013396E">
              <w:rPr>
                <w:iCs/>
                <w:sz w:val="20"/>
              </w:rPr>
              <w:t xml:space="preserve"> for FFSS provided by all the FFSS Resources represented by this QSE for the hour.</w:t>
            </w:r>
          </w:p>
        </w:tc>
      </w:tr>
      <w:tr w:rsidR="00426931" w:rsidRPr="0013396E" w14:paraId="75DBE1F8" w14:textId="77777777" w:rsidTr="00426931">
        <w:trPr>
          <w:cantSplit/>
        </w:trPr>
        <w:tc>
          <w:tcPr>
            <w:tcW w:w="1998" w:type="dxa"/>
            <w:tcBorders>
              <w:top w:val="single" w:sz="4" w:space="0" w:color="auto"/>
              <w:left w:val="single" w:sz="4" w:space="0" w:color="auto"/>
              <w:bottom w:val="single" w:sz="4" w:space="0" w:color="auto"/>
              <w:right w:val="single" w:sz="4" w:space="0" w:color="auto"/>
            </w:tcBorders>
            <w:hideMark/>
          </w:tcPr>
          <w:p w14:paraId="1616E423" w14:textId="77777777" w:rsidR="00426931" w:rsidRPr="0013396E" w:rsidRDefault="00426931" w:rsidP="00426931">
            <w:pPr>
              <w:spacing w:after="60"/>
              <w:rPr>
                <w:iCs/>
                <w:sz w:val="20"/>
              </w:rPr>
            </w:pPr>
            <w:r w:rsidRPr="0013396E">
              <w:rPr>
                <w:iCs/>
                <w:sz w:val="20"/>
              </w:rPr>
              <w:t xml:space="preserve">FFSSAMT </w:t>
            </w:r>
            <w:r w:rsidRPr="0013396E">
              <w:rPr>
                <w:i/>
                <w:iCs/>
                <w:sz w:val="20"/>
                <w:vertAlign w:val="subscript"/>
              </w:rPr>
              <w:t>q, r</w:t>
            </w:r>
          </w:p>
        </w:tc>
        <w:tc>
          <w:tcPr>
            <w:tcW w:w="0" w:type="auto"/>
            <w:tcBorders>
              <w:top w:val="single" w:sz="4" w:space="0" w:color="auto"/>
              <w:left w:val="single" w:sz="4" w:space="0" w:color="auto"/>
              <w:bottom w:val="single" w:sz="4" w:space="0" w:color="auto"/>
              <w:right w:val="single" w:sz="4" w:space="0" w:color="auto"/>
            </w:tcBorders>
            <w:hideMark/>
          </w:tcPr>
          <w:p w14:paraId="073AC931" w14:textId="77777777" w:rsidR="00426931" w:rsidRPr="0013396E" w:rsidRDefault="00426931" w:rsidP="00426931">
            <w:pPr>
              <w:spacing w:after="60"/>
              <w:rPr>
                <w:iCs/>
                <w:sz w:val="20"/>
              </w:rPr>
            </w:pPr>
            <w:r w:rsidRPr="0013396E">
              <w:rPr>
                <w:iCs/>
                <w:sz w:val="20"/>
              </w:rPr>
              <w:t>$</w:t>
            </w:r>
          </w:p>
        </w:tc>
        <w:tc>
          <w:tcPr>
            <w:tcW w:w="0" w:type="auto"/>
            <w:tcBorders>
              <w:top w:val="single" w:sz="4" w:space="0" w:color="auto"/>
              <w:left w:val="single" w:sz="4" w:space="0" w:color="auto"/>
              <w:bottom w:val="single" w:sz="4" w:space="0" w:color="auto"/>
              <w:right w:val="single" w:sz="4" w:space="0" w:color="auto"/>
            </w:tcBorders>
            <w:hideMark/>
          </w:tcPr>
          <w:p w14:paraId="7545124C" w14:textId="77777777" w:rsidR="00426931" w:rsidRPr="0013396E" w:rsidRDefault="00426931" w:rsidP="00426931">
            <w:pPr>
              <w:spacing w:after="60"/>
              <w:rPr>
                <w:iCs/>
                <w:sz w:val="20"/>
              </w:rPr>
            </w:pPr>
            <w:r w:rsidRPr="0013396E">
              <w:rPr>
                <w:i/>
                <w:iCs/>
                <w:sz w:val="20"/>
              </w:rPr>
              <w:t>Firm Fuel Supply Service Amount per QSE per Resource</w:t>
            </w:r>
            <w:r w:rsidRPr="0013396E">
              <w:rPr>
                <w:iCs/>
                <w:sz w:val="20"/>
              </w:rPr>
              <w:t xml:space="preserve">—The payment to QSE </w:t>
            </w:r>
            <w:r w:rsidRPr="0013396E">
              <w:rPr>
                <w:i/>
                <w:iCs/>
                <w:sz w:val="20"/>
              </w:rPr>
              <w:t>q</w:t>
            </w:r>
            <w:r w:rsidRPr="0013396E">
              <w:rPr>
                <w:iCs/>
                <w:sz w:val="20"/>
              </w:rPr>
              <w:t xml:space="preserve"> for the FFSS assigned to the primary Generation Resource </w:t>
            </w:r>
            <w:r w:rsidRPr="0013396E">
              <w:rPr>
                <w:i/>
                <w:iCs/>
                <w:sz w:val="20"/>
              </w:rPr>
              <w:t>r</w:t>
            </w:r>
            <w:r w:rsidRPr="0013396E">
              <w:rPr>
                <w:iCs/>
                <w:sz w:val="20"/>
              </w:rPr>
              <w:t xml:space="preserve">, for the hour, calculated each hour of November 15 through March 15 during the awarded FFSS obligation period.  Where for a Combined Cycle Train, the Resource </w:t>
            </w:r>
            <w:r w:rsidRPr="0013396E">
              <w:rPr>
                <w:i/>
                <w:iCs/>
                <w:sz w:val="20"/>
              </w:rPr>
              <w:t xml:space="preserve">r </w:t>
            </w:r>
            <w:r w:rsidRPr="0013396E">
              <w:rPr>
                <w:iCs/>
                <w:sz w:val="20"/>
              </w:rPr>
              <w:t>is the Combined Cycle Train.</w:t>
            </w:r>
          </w:p>
        </w:tc>
      </w:tr>
      <w:tr w:rsidR="00426931" w:rsidRPr="0013396E" w14:paraId="51DDF34D" w14:textId="77777777" w:rsidTr="00426931">
        <w:trPr>
          <w:cantSplit/>
        </w:trPr>
        <w:tc>
          <w:tcPr>
            <w:tcW w:w="1998" w:type="dxa"/>
            <w:tcBorders>
              <w:top w:val="single" w:sz="4" w:space="0" w:color="auto"/>
              <w:left w:val="single" w:sz="4" w:space="0" w:color="auto"/>
              <w:bottom w:val="single" w:sz="4" w:space="0" w:color="auto"/>
              <w:right w:val="single" w:sz="4" w:space="0" w:color="auto"/>
            </w:tcBorders>
            <w:hideMark/>
          </w:tcPr>
          <w:p w14:paraId="0F78EABF" w14:textId="77777777" w:rsidR="00426931" w:rsidRPr="0013396E" w:rsidRDefault="00426931" w:rsidP="00426931">
            <w:pPr>
              <w:spacing w:after="60"/>
              <w:rPr>
                <w:i/>
                <w:iCs/>
                <w:sz w:val="20"/>
              </w:rPr>
            </w:pPr>
            <w:r w:rsidRPr="0013396E">
              <w:rPr>
                <w:i/>
                <w:iCs/>
                <w:sz w:val="20"/>
              </w:rPr>
              <w:t>q</w:t>
            </w:r>
          </w:p>
        </w:tc>
        <w:tc>
          <w:tcPr>
            <w:tcW w:w="0" w:type="auto"/>
            <w:tcBorders>
              <w:top w:val="single" w:sz="4" w:space="0" w:color="auto"/>
              <w:left w:val="single" w:sz="4" w:space="0" w:color="auto"/>
              <w:bottom w:val="single" w:sz="4" w:space="0" w:color="auto"/>
              <w:right w:val="single" w:sz="4" w:space="0" w:color="auto"/>
            </w:tcBorders>
            <w:hideMark/>
          </w:tcPr>
          <w:p w14:paraId="2CD25A69" w14:textId="77777777" w:rsidR="00426931" w:rsidRPr="0013396E" w:rsidRDefault="00426931" w:rsidP="00426931">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1CE32A64" w14:textId="77777777" w:rsidR="00426931" w:rsidRPr="0013396E" w:rsidRDefault="00426931" w:rsidP="00426931">
            <w:pPr>
              <w:spacing w:after="60"/>
              <w:rPr>
                <w:iCs/>
                <w:sz w:val="20"/>
              </w:rPr>
            </w:pPr>
            <w:r w:rsidRPr="0013396E">
              <w:rPr>
                <w:iCs/>
                <w:sz w:val="20"/>
              </w:rPr>
              <w:t>A QSE.</w:t>
            </w:r>
          </w:p>
        </w:tc>
      </w:tr>
      <w:tr w:rsidR="00426931" w:rsidRPr="0013396E" w14:paraId="38216D42" w14:textId="77777777" w:rsidTr="00426931">
        <w:trPr>
          <w:cantSplit/>
        </w:trPr>
        <w:tc>
          <w:tcPr>
            <w:tcW w:w="1998" w:type="dxa"/>
            <w:tcBorders>
              <w:top w:val="single" w:sz="4" w:space="0" w:color="auto"/>
              <w:left w:val="single" w:sz="4" w:space="0" w:color="auto"/>
              <w:bottom w:val="single" w:sz="4" w:space="0" w:color="auto"/>
              <w:right w:val="single" w:sz="4" w:space="0" w:color="auto"/>
            </w:tcBorders>
            <w:hideMark/>
          </w:tcPr>
          <w:p w14:paraId="4ACBBAEC" w14:textId="03B7EFBF" w:rsidR="00426931" w:rsidRPr="0013396E" w:rsidRDefault="008417AF" w:rsidP="00426931">
            <w:pPr>
              <w:spacing w:after="60"/>
              <w:rPr>
                <w:i/>
                <w:iCs/>
                <w:sz w:val="20"/>
              </w:rPr>
            </w:pPr>
            <w:r w:rsidRPr="0013396E">
              <w:rPr>
                <w:i/>
                <w:iCs/>
                <w:sz w:val="20"/>
              </w:rPr>
              <w:t>r</w:t>
            </w:r>
          </w:p>
        </w:tc>
        <w:tc>
          <w:tcPr>
            <w:tcW w:w="0" w:type="auto"/>
            <w:tcBorders>
              <w:top w:val="single" w:sz="4" w:space="0" w:color="auto"/>
              <w:left w:val="single" w:sz="4" w:space="0" w:color="auto"/>
              <w:bottom w:val="single" w:sz="4" w:space="0" w:color="auto"/>
              <w:right w:val="single" w:sz="4" w:space="0" w:color="auto"/>
            </w:tcBorders>
            <w:hideMark/>
          </w:tcPr>
          <w:p w14:paraId="04CEC36F" w14:textId="77777777" w:rsidR="00426931" w:rsidRPr="0013396E" w:rsidRDefault="00426931" w:rsidP="00426931">
            <w:pPr>
              <w:spacing w:after="60"/>
              <w:rPr>
                <w:iCs/>
                <w:sz w:val="20"/>
              </w:rPr>
            </w:pPr>
            <w:r w:rsidRPr="0013396E">
              <w:rPr>
                <w:iCs/>
                <w:sz w:val="20"/>
              </w:rPr>
              <w:t>none</w:t>
            </w:r>
          </w:p>
        </w:tc>
        <w:tc>
          <w:tcPr>
            <w:tcW w:w="0" w:type="auto"/>
            <w:tcBorders>
              <w:top w:val="single" w:sz="4" w:space="0" w:color="auto"/>
              <w:left w:val="single" w:sz="4" w:space="0" w:color="auto"/>
              <w:bottom w:val="single" w:sz="4" w:space="0" w:color="auto"/>
              <w:right w:val="single" w:sz="4" w:space="0" w:color="auto"/>
            </w:tcBorders>
            <w:hideMark/>
          </w:tcPr>
          <w:p w14:paraId="0B2C28AF" w14:textId="77777777" w:rsidR="00426931" w:rsidRPr="0013396E" w:rsidRDefault="00426931" w:rsidP="00426931">
            <w:pPr>
              <w:spacing w:after="60"/>
              <w:rPr>
                <w:iCs/>
                <w:sz w:val="20"/>
              </w:rPr>
            </w:pPr>
            <w:r w:rsidRPr="0013396E">
              <w:rPr>
                <w:iCs/>
                <w:sz w:val="20"/>
              </w:rPr>
              <w:t>A primary or alternate Generation Resource approved by ERCOT to provide FFSS.</w:t>
            </w:r>
          </w:p>
        </w:tc>
      </w:tr>
    </w:tbl>
    <w:p w14:paraId="08D5AA10" w14:textId="77777777" w:rsidR="00281DEA" w:rsidRPr="0013396E" w:rsidRDefault="00281DEA" w:rsidP="00281DEA">
      <w:pPr>
        <w:pStyle w:val="H4"/>
        <w:spacing w:before="480"/>
        <w:ind w:left="1267" w:hanging="1267"/>
      </w:pPr>
      <w:bookmarkStart w:id="2227" w:name="_Toc236220238"/>
      <w:r w:rsidRPr="0013396E">
        <w:t>6.6.14.3</w:t>
      </w:r>
      <w:r w:rsidRPr="0013396E">
        <w:tab/>
        <w:t>Firm Fuel Supply Service Capacity Charge</w:t>
      </w:r>
      <w:bookmarkEnd w:id="2227"/>
    </w:p>
    <w:p w14:paraId="07E9DDFE" w14:textId="77777777" w:rsidR="00281DEA" w:rsidRPr="0013396E" w:rsidRDefault="00281DEA" w:rsidP="00281DEA">
      <w:pPr>
        <w:pStyle w:val="BodyTextNumbered"/>
        <w:spacing w:before="240"/>
      </w:pPr>
      <w:r w:rsidRPr="0013396E">
        <w:t>(1)</w:t>
      </w:r>
      <w:r w:rsidRPr="0013396E">
        <w:tab/>
        <w:t>ERCOT shall allocate the total FFSS capacity and fuel replacement payment to the QSEs representing Loads based on an hourly LRS.  The resulting charge to each QSE for a given hour is calculated as follows:</w:t>
      </w:r>
    </w:p>
    <w:p w14:paraId="31F5FE67" w14:textId="77777777" w:rsidR="00281DEA" w:rsidRPr="0013396E" w:rsidRDefault="00281DEA" w:rsidP="00281DEA">
      <w:pPr>
        <w:pStyle w:val="FormulaBold"/>
      </w:pPr>
      <w:r w:rsidRPr="0013396E">
        <w:t xml:space="preserve">LAFFSSAMT </w:t>
      </w:r>
      <w:r w:rsidRPr="0013396E">
        <w:rPr>
          <w:i/>
          <w:vertAlign w:val="subscript"/>
        </w:rPr>
        <w:t>q</w:t>
      </w:r>
      <w:r w:rsidRPr="0013396E">
        <w:tab/>
        <w:t>=</w:t>
      </w:r>
      <w:r w:rsidRPr="0013396E">
        <w:tab/>
        <w:t xml:space="preserve">(-1) * FFSSAMTTOT * HLRS </w:t>
      </w:r>
      <w:r w:rsidRPr="0013396E">
        <w:rPr>
          <w:i/>
          <w:vertAlign w:val="subscript"/>
        </w:rPr>
        <w:t>q</w:t>
      </w:r>
    </w:p>
    <w:p w14:paraId="452D7C30" w14:textId="77777777" w:rsidR="00281DEA" w:rsidRPr="0013396E" w:rsidRDefault="00281DEA" w:rsidP="00281DEA">
      <w:pPr>
        <w:pStyle w:val="BodyText"/>
      </w:pPr>
      <w:r w:rsidRPr="0013396E">
        <w:t>Where:</w:t>
      </w:r>
    </w:p>
    <w:p w14:paraId="7D02198F" w14:textId="77777777" w:rsidR="00281DEA" w:rsidRPr="0013396E" w:rsidRDefault="00281DEA" w:rsidP="00281DEA">
      <w:pPr>
        <w:pStyle w:val="Formula"/>
        <w:ind w:left="2880" w:hanging="2160"/>
      </w:pPr>
      <w:r w:rsidRPr="0013396E">
        <w:t>FFSSAMTTOT</w:t>
      </w:r>
      <w:r w:rsidRPr="0013396E">
        <w:tab/>
        <w:t>=</w:t>
      </w:r>
      <w:r w:rsidRPr="0013396E">
        <w:tab/>
      </w:r>
      <w:r w:rsidRPr="0013396E">
        <w:rPr>
          <w:position w:val="-22"/>
        </w:rPr>
        <w:object w:dxaOrig="255" w:dyaOrig="555" w14:anchorId="33BC6FC2">
          <v:shape id="_x0000_i1260" type="#_x0000_t75" style="width:12pt;height:29.4pt" o:ole="">
            <v:imagedata r:id="rId253" o:title=""/>
          </v:shape>
          <o:OLEObject Type="Embed" ProgID="Equation.3" ShapeID="_x0000_i1260" DrawAspect="Content" ObjectID="_1849065889" r:id="rId334"/>
        </w:object>
      </w:r>
      <w:r w:rsidRPr="0013396E">
        <w:t xml:space="preserve">FFSSAMTQSETOT </w:t>
      </w:r>
      <w:r w:rsidRPr="0013396E">
        <w:rPr>
          <w:i/>
          <w:vertAlign w:val="subscript"/>
        </w:rPr>
        <w:t>q</w:t>
      </w:r>
    </w:p>
    <w:p w14:paraId="549B7C7B" w14:textId="77777777" w:rsidR="00281DEA" w:rsidRPr="0013396E" w:rsidRDefault="00281DEA" w:rsidP="00281DEA">
      <w:r w:rsidRPr="0013396E">
        <w:t>The above variables are defined as follows:</w:t>
      </w: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05"/>
        <w:gridCol w:w="7113"/>
      </w:tblGrid>
      <w:tr w:rsidR="00281DEA" w:rsidRPr="0013396E" w14:paraId="1E2292D9" w14:textId="77777777" w:rsidTr="00D90E98">
        <w:tc>
          <w:tcPr>
            <w:tcW w:w="1998" w:type="dxa"/>
          </w:tcPr>
          <w:p w14:paraId="6C036C7F" w14:textId="77777777" w:rsidR="00281DEA" w:rsidRPr="0013396E" w:rsidRDefault="00281DEA" w:rsidP="00D90E98">
            <w:pPr>
              <w:pStyle w:val="TableHead"/>
            </w:pPr>
            <w:r w:rsidRPr="0013396E">
              <w:t>Variable</w:t>
            </w:r>
          </w:p>
        </w:tc>
        <w:tc>
          <w:tcPr>
            <w:tcW w:w="0" w:type="auto"/>
          </w:tcPr>
          <w:p w14:paraId="5A6640F7" w14:textId="77777777" w:rsidR="00281DEA" w:rsidRPr="0013396E" w:rsidRDefault="00281DEA" w:rsidP="00D90E98">
            <w:pPr>
              <w:pStyle w:val="TableHead"/>
            </w:pPr>
            <w:r w:rsidRPr="0013396E">
              <w:t>Unit</w:t>
            </w:r>
          </w:p>
        </w:tc>
        <w:tc>
          <w:tcPr>
            <w:tcW w:w="0" w:type="auto"/>
          </w:tcPr>
          <w:p w14:paraId="1FD73540" w14:textId="77777777" w:rsidR="00281DEA" w:rsidRPr="0013396E" w:rsidRDefault="00281DEA" w:rsidP="00D90E98">
            <w:pPr>
              <w:pStyle w:val="TableHead"/>
            </w:pPr>
            <w:r w:rsidRPr="0013396E">
              <w:t>Definition</w:t>
            </w:r>
          </w:p>
        </w:tc>
      </w:tr>
      <w:tr w:rsidR="00281DEA" w:rsidRPr="0013396E" w14:paraId="5AB0239A" w14:textId="77777777" w:rsidTr="00D90E98">
        <w:trPr>
          <w:cantSplit/>
        </w:trPr>
        <w:tc>
          <w:tcPr>
            <w:tcW w:w="1998" w:type="dxa"/>
          </w:tcPr>
          <w:p w14:paraId="2F6843F5" w14:textId="77777777" w:rsidR="00281DEA" w:rsidRPr="0013396E" w:rsidRDefault="00281DEA" w:rsidP="00D90E98">
            <w:pPr>
              <w:pStyle w:val="TableBody"/>
            </w:pPr>
            <w:r w:rsidRPr="0013396E">
              <w:t xml:space="preserve">LAFFSSAMT </w:t>
            </w:r>
            <w:r w:rsidRPr="0013396E">
              <w:rPr>
                <w:i/>
                <w:vertAlign w:val="subscript"/>
              </w:rPr>
              <w:t>q</w:t>
            </w:r>
          </w:p>
        </w:tc>
        <w:tc>
          <w:tcPr>
            <w:tcW w:w="0" w:type="auto"/>
          </w:tcPr>
          <w:p w14:paraId="4E03DF86" w14:textId="77777777" w:rsidR="00281DEA" w:rsidRPr="0013396E" w:rsidRDefault="00281DEA" w:rsidP="00D90E98">
            <w:pPr>
              <w:pStyle w:val="TableBody"/>
            </w:pPr>
            <w:r w:rsidRPr="0013396E">
              <w:t>$</w:t>
            </w:r>
          </w:p>
        </w:tc>
        <w:tc>
          <w:tcPr>
            <w:tcW w:w="0" w:type="auto"/>
          </w:tcPr>
          <w:p w14:paraId="05A30980" w14:textId="77777777" w:rsidR="00281DEA" w:rsidRPr="0013396E" w:rsidRDefault="00281DEA" w:rsidP="00D90E98">
            <w:pPr>
              <w:pStyle w:val="TableBody"/>
            </w:pPr>
            <w:r w:rsidRPr="0013396E">
              <w:rPr>
                <w:i/>
              </w:rPr>
              <w:t>Load-Allocated Firm Fuel Supply Service Amount per QSE</w:t>
            </w:r>
            <w:r w:rsidRPr="0013396E">
              <w:t xml:space="preserve">—The charge allocated to QSE </w:t>
            </w:r>
            <w:r w:rsidRPr="0013396E">
              <w:rPr>
                <w:i/>
              </w:rPr>
              <w:t>q</w:t>
            </w:r>
            <w:r w:rsidRPr="0013396E">
              <w:t xml:space="preserve"> for the FFSS, for the hour.</w:t>
            </w:r>
          </w:p>
        </w:tc>
      </w:tr>
      <w:tr w:rsidR="00281DEA" w:rsidRPr="0013396E" w14:paraId="2BCCDB32" w14:textId="77777777" w:rsidTr="00D90E98">
        <w:trPr>
          <w:cantSplit/>
        </w:trPr>
        <w:tc>
          <w:tcPr>
            <w:tcW w:w="1998" w:type="dxa"/>
          </w:tcPr>
          <w:p w14:paraId="3252BC50" w14:textId="77777777" w:rsidR="00281DEA" w:rsidRPr="0013396E" w:rsidRDefault="00281DEA" w:rsidP="00D90E98">
            <w:pPr>
              <w:pStyle w:val="TableBody"/>
            </w:pPr>
            <w:r w:rsidRPr="0013396E">
              <w:t xml:space="preserve">FFSSAMTQSETOT </w:t>
            </w:r>
            <w:r w:rsidRPr="0013396E">
              <w:rPr>
                <w:i/>
                <w:iCs w:val="0"/>
                <w:vertAlign w:val="subscript"/>
              </w:rPr>
              <w:t>q</w:t>
            </w:r>
          </w:p>
        </w:tc>
        <w:tc>
          <w:tcPr>
            <w:tcW w:w="0" w:type="auto"/>
          </w:tcPr>
          <w:p w14:paraId="2B0F1C16" w14:textId="77777777" w:rsidR="00281DEA" w:rsidRPr="0013396E" w:rsidRDefault="00281DEA" w:rsidP="00D90E98">
            <w:pPr>
              <w:pStyle w:val="TableBody"/>
            </w:pPr>
            <w:r w:rsidRPr="0013396E">
              <w:t>$</w:t>
            </w:r>
          </w:p>
        </w:tc>
        <w:tc>
          <w:tcPr>
            <w:tcW w:w="0" w:type="auto"/>
          </w:tcPr>
          <w:p w14:paraId="7DB5355B" w14:textId="77777777" w:rsidR="00281DEA" w:rsidRPr="0013396E" w:rsidRDefault="00281DEA" w:rsidP="00D90E98">
            <w:pPr>
              <w:pStyle w:val="TableBody"/>
            </w:pPr>
            <w:r w:rsidRPr="0013396E">
              <w:rPr>
                <w:i/>
              </w:rPr>
              <w:t>Firm Fuel Supply Service Amount QSE Total per QSE</w:t>
            </w:r>
            <w:r w:rsidRPr="0013396E">
              <w:sym w:font="Symbol" w:char="F0BE"/>
            </w:r>
            <w:r w:rsidRPr="0013396E">
              <w:t xml:space="preserve">The total of the payments to QSE </w:t>
            </w:r>
            <w:r w:rsidRPr="0013396E">
              <w:rPr>
                <w:i/>
              </w:rPr>
              <w:t>q</w:t>
            </w:r>
            <w:r w:rsidRPr="0013396E">
              <w:t xml:space="preserve"> for FFSS provided by all the FFSSRs represented by this QSE for the hour.</w:t>
            </w:r>
          </w:p>
        </w:tc>
      </w:tr>
      <w:tr w:rsidR="00281DEA" w:rsidRPr="0013396E" w14:paraId="28EA32F9" w14:textId="77777777" w:rsidTr="00D90E98">
        <w:trPr>
          <w:cantSplit/>
        </w:trPr>
        <w:tc>
          <w:tcPr>
            <w:tcW w:w="1998" w:type="dxa"/>
          </w:tcPr>
          <w:p w14:paraId="6D01DFCF" w14:textId="77777777" w:rsidR="00281DEA" w:rsidRPr="0013396E" w:rsidRDefault="00281DEA" w:rsidP="00D90E98">
            <w:pPr>
              <w:pStyle w:val="TableBody"/>
            </w:pPr>
            <w:r w:rsidRPr="0013396E">
              <w:t>FFSSAMTTOT</w:t>
            </w:r>
          </w:p>
        </w:tc>
        <w:tc>
          <w:tcPr>
            <w:tcW w:w="0" w:type="auto"/>
          </w:tcPr>
          <w:p w14:paraId="7BF3EF72" w14:textId="77777777" w:rsidR="00281DEA" w:rsidRPr="0013396E" w:rsidRDefault="00281DEA" w:rsidP="00D90E98">
            <w:pPr>
              <w:pStyle w:val="TableBody"/>
            </w:pPr>
            <w:r w:rsidRPr="0013396E">
              <w:t>$</w:t>
            </w:r>
          </w:p>
        </w:tc>
        <w:tc>
          <w:tcPr>
            <w:tcW w:w="0" w:type="auto"/>
          </w:tcPr>
          <w:p w14:paraId="5835F44E" w14:textId="77777777" w:rsidR="00281DEA" w:rsidRPr="0013396E" w:rsidRDefault="00281DEA" w:rsidP="00D90E98">
            <w:pPr>
              <w:pStyle w:val="TableBody"/>
            </w:pPr>
            <w:r w:rsidRPr="0013396E">
              <w:rPr>
                <w:i/>
              </w:rPr>
              <w:t>Firm Fuel Supply Service Amount QSE Total ERCOT-Wide—</w:t>
            </w:r>
            <w:r w:rsidRPr="0013396E">
              <w:t>The total of the payments to all QSEs for FFSS for the hour.</w:t>
            </w:r>
          </w:p>
        </w:tc>
      </w:tr>
      <w:tr w:rsidR="00281DEA" w:rsidRPr="0013396E" w14:paraId="7C6DF40C" w14:textId="77777777" w:rsidTr="00D90E98">
        <w:trPr>
          <w:cantSplit/>
        </w:trPr>
        <w:tc>
          <w:tcPr>
            <w:tcW w:w="1998" w:type="dxa"/>
          </w:tcPr>
          <w:p w14:paraId="3BB23DBE" w14:textId="77777777" w:rsidR="00281DEA" w:rsidRPr="0013396E" w:rsidRDefault="00281DEA" w:rsidP="00D90E98">
            <w:pPr>
              <w:pStyle w:val="TableBody"/>
            </w:pPr>
            <w:r w:rsidRPr="0013396E">
              <w:t xml:space="preserve">HLRS </w:t>
            </w:r>
            <w:r w:rsidRPr="0013396E">
              <w:rPr>
                <w:i/>
                <w:vertAlign w:val="subscript"/>
              </w:rPr>
              <w:t>q</w:t>
            </w:r>
          </w:p>
        </w:tc>
        <w:tc>
          <w:tcPr>
            <w:tcW w:w="0" w:type="auto"/>
          </w:tcPr>
          <w:p w14:paraId="3FF78035" w14:textId="77777777" w:rsidR="00281DEA" w:rsidRPr="0013396E" w:rsidRDefault="00281DEA" w:rsidP="00D90E98">
            <w:pPr>
              <w:pStyle w:val="TableBody"/>
            </w:pPr>
            <w:r w:rsidRPr="0013396E">
              <w:t>none</w:t>
            </w:r>
          </w:p>
        </w:tc>
        <w:tc>
          <w:tcPr>
            <w:tcW w:w="0" w:type="auto"/>
          </w:tcPr>
          <w:p w14:paraId="14FE5776" w14:textId="77777777" w:rsidR="00281DEA" w:rsidRPr="0013396E" w:rsidRDefault="00281DEA" w:rsidP="00D90E98">
            <w:pPr>
              <w:pStyle w:val="TableBody"/>
            </w:pPr>
            <w:r w:rsidRPr="0013396E">
              <w:t xml:space="preserve">The hourly LRS calculated for QSE </w:t>
            </w:r>
            <w:r w:rsidRPr="0013396E">
              <w:rPr>
                <w:i/>
              </w:rPr>
              <w:t>q</w:t>
            </w:r>
            <w:r w:rsidRPr="0013396E">
              <w:t xml:space="preserve"> for the hour.  See Section 6.6.2.4, QSE Load Ratio Share for an Operating Hour.</w:t>
            </w:r>
          </w:p>
        </w:tc>
      </w:tr>
      <w:tr w:rsidR="00281DEA" w:rsidRPr="0013396E" w14:paraId="34B30D92" w14:textId="77777777" w:rsidTr="00D90E98">
        <w:trPr>
          <w:cantSplit/>
        </w:trPr>
        <w:tc>
          <w:tcPr>
            <w:tcW w:w="1998" w:type="dxa"/>
            <w:tcBorders>
              <w:top w:val="single" w:sz="4" w:space="0" w:color="auto"/>
              <w:left w:val="single" w:sz="4" w:space="0" w:color="auto"/>
              <w:bottom w:val="single" w:sz="4" w:space="0" w:color="auto"/>
              <w:right w:val="single" w:sz="4" w:space="0" w:color="auto"/>
            </w:tcBorders>
          </w:tcPr>
          <w:p w14:paraId="21387AAE" w14:textId="77777777" w:rsidR="00281DEA" w:rsidRPr="0013396E" w:rsidRDefault="00281DEA" w:rsidP="00D90E98">
            <w:pPr>
              <w:pStyle w:val="TableBody"/>
              <w:rPr>
                <w:i/>
              </w:rPr>
            </w:pPr>
            <w:r w:rsidRPr="0013396E">
              <w:rPr>
                <w:i/>
              </w:rPr>
              <w:lastRenderedPageBreak/>
              <w:t>q</w:t>
            </w:r>
          </w:p>
        </w:tc>
        <w:tc>
          <w:tcPr>
            <w:tcW w:w="0" w:type="auto"/>
            <w:tcBorders>
              <w:top w:val="single" w:sz="4" w:space="0" w:color="auto"/>
              <w:left w:val="single" w:sz="4" w:space="0" w:color="auto"/>
              <w:bottom w:val="single" w:sz="4" w:space="0" w:color="auto"/>
              <w:right w:val="single" w:sz="4" w:space="0" w:color="auto"/>
            </w:tcBorders>
          </w:tcPr>
          <w:p w14:paraId="0EC724AE" w14:textId="77777777" w:rsidR="00281DEA" w:rsidRPr="0013396E" w:rsidRDefault="00281DEA" w:rsidP="00D90E98">
            <w:pPr>
              <w:pStyle w:val="TableBody"/>
            </w:pPr>
            <w:r w:rsidRPr="0013396E">
              <w:t>none</w:t>
            </w:r>
          </w:p>
        </w:tc>
        <w:tc>
          <w:tcPr>
            <w:tcW w:w="0" w:type="auto"/>
            <w:tcBorders>
              <w:top w:val="single" w:sz="4" w:space="0" w:color="auto"/>
              <w:left w:val="single" w:sz="4" w:space="0" w:color="auto"/>
              <w:bottom w:val="single" w:sz="4" w:space="0" w:color="auto"/>
              <w:right w:val="single" w:sz="4" w:space="0" w:color="auto"/>
            </w:tcBorders>
          </w:tcPr>
          <w:p w14:paraId="08D6D4EC" w14:textId="77777777" w:rsidR="00281DEA" w:rsidRPr="0013396E" w:rsidRDefault="00281DEA" w:rsidP="00D90E98">
            <w:pPr>
              <w:pStyle w:val="TableBody"/>
            </w:pPr>
            <w:r w:rsidRPr="0013396E">
              <w:t>A QSE.</w:t>
            </w:r>
          </w:p>
        </w:tc>
      </w:tr>
    </w:tbl>
    <w:p w14:paraId="6E93B2C8" w14:textId="77777777" w:rsidR="001F04FD" w:rsidRPr="0013396E" w:rsidRDefault="001F04FD" w:rsidP="001F04FD">
      <w:pPr>
        <w:pStyle w:val="H2"/>
        <w:spacing w:before="480"/>
        <w:ind w:left="907" w:hanging="907"/>
      </w:pPr>
      <w:bookmarkStart w:id="2228" w:name="_Toc236220239"/>
      <w:r w:rsidRPr="0013396E">
        <w:t>6.7</w:t>
      </w:r>
      <w:r w:rsidRPr="0013396E">
        <w:tab/>
        <w:t>Real-Time Settlement Calculations for the Ancillary Services</w:t>
      </w:r>
      <w:bookmarkEnd w:id="2155"/>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28"/>
    </w:p>
    <w:p w14:paraId="51557BBE" w14:textId="5F4B45AA" w:rsidR="001F04FD" w:rsidRPr="0013396E" w:rsidRDefault="001F04FD" w:rsidP="000B7133">
      <w:pPr>
        <w:pStyle w:val="H3"/>
      </w:pPr>
      <w:bookmarkStart w:id="2229" w:name="_Toc103141433"/>
      <w:bookmarkStart w:id="2230" w:name="_Toc109009425"/>
      <w:bookmarkStart w:id="2231" w:name="_Toc397505049"/>
      <w:bookmarkStart w:id="2232" w:name="_Toc402357181"/>
      <w:bookmarkStart w:id="2233" w:name="_Toc422486561"/>
      <w:bookmarkStart w:id="2234" w:name="_Toc433093414"/>
      <w:bookmarkStart w:id="2235" w:name="_Toc433093572"/>
      <w:bookmarkStart w:id="2236" w:name="_Toc440874802"/>
      <w:bookmarkStart w:id="2237" w:name="_Toc448142359"/>
      <w:bookmarkStart w:id="2238" w:name="_Toc448142516"/>
      <w:bookmarkStart w:id="2239" w:name="_Toc458770357"/>
      <w:bookmarkStart w:id="2240" w:name="_Toc459294325"/>
      <w:bookmarkStart w:id="2241" w:name="_Toc463262819"/>
      <w:bookmarkStart w:id="2242" w:name="_Toc468286893"/>
      <w:bookmarkStart w:id="2243" w:name="_Toc481502933"/>
      <w:bookmarkStart w:id="2244" w:name="_Toc496080101"/>
      <w:bookmarkStart w:id="2245" w:name="_Toc236220240"/>
      <w:r w:rsidRPr="0013396E">
        <w:t>6.7.</w:t>
      </w:r>
      <w:r w:rsidR="007C3D35" w:rsidRPr="0013396E">
        <w:t>1</w:t>
      </w:r>
      <w:r w:rsidRPr="0013396E">
        <w:tab/>
      </w:r>
      <w:r w:rsidR="00EF6376" w:rsidRPr="0013396E">
        <w:t>Real-Time Settlement for Updated Day-Ahead Market Ancillary Service Obligations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14:paraId="35F6BFA0" w14:textId="73EF2CD0" w:rsidR="00EF6376" w:rsidRPr="0013396E" w:rsidRDefault="00EF6376" w:rsidP="00EF6376">
      <w:pPr>
        <w:spacing w:after="240"/>
        <w:ind w:left="720" w:hanging="720"/>
        <w:rPr>
          <w:iCs/>
        </w:rPr>
      </w:pPr>
      <w:r w:rsidRPr="0013396E">
        <w:t>(1)</w:t>
      </w:r>
      <w:r w:rsidRPr="0013396E">
        <w:tab/>
      </w:r>
      <w:r w:rsidRPr="0013396E">
        <w:rPr>
          <w:iCs/>
        </w:rPr>
        <w:t xml:space="preserve">Each </w:t>
      </w:r>
      <w:r w:rsidR="0097220A">
        <w:rPr>
          <w:iCs/>
        </w:rPr>
        <w:t>Qualified Scheduling Entity (</w:t>
      </w:r>
      <w:r w:rsidRPr="0013396E">
        <w:rPr>
          <w:iCs/>
        </w:rPr>
        <w:t>QSE</w:t>
      </w:r>
      <w:r w:rsidR="0097220A">
        <w:rPr>
          <w:iCs/>
        </w:rPr>
        <w:t>)</w:t>
      </w:r>
      <w:r w:rsidRPr="0013396E">
        <w:rPr>
          <w:iCs/>
        </w:rPr>
        <w:t xml:space="preserve"> is charged or paid for net obligations for each Ancillary Service procured in the </w:t>
      </w:r>
      <w:r w:rsidR="0097220A">
        <w:rPr>
          <w:iCs/>
        </w:rPr>
        <w:t>Day-Ahead Market (</w:t>
      </w:r>
      <w:r w:rsidRPr="0013396E">
        <w:rPr>
          <w:iCs/>
        </w:rPr>
        <w:t>DAM</w:t>
      </w:r>
      <w:r w:rsidR="0097220A">
        <w:rPr>
          <w:iCs/>
        </w:rPr>
        <w:t>)</w:t>
      </w:r>
      <w:r w:rsidRPr="0013396E">
        <w:rPr>
          <w:iCs/>
        </w:rPr>
        <w:t xml:space="preserve">.  DAM costs are calculated for each QSE in accordance with Section 4.6.4, Settlement of Ancillary Services Procured in the DAM.  DAM net total costs for Ancillary Service procured in the DAM are re-calculated for each QSE under this Section based on Real-Time Load Ratio Share (LRS).  </w:t>
      </w:r>
      <w:r w:rsidRPr="0013396E">
        <w:t xml:space="preserve">Payments and/or charges for Ancillary Service obligations are calculated by Operating Hour as follows:      </w:t>
      </w:r>
    </w:p>
    <w:p w14:paraId="562220EF" w14:textId="77777777" w:rsidR="00EF6376" w:rsidRPr="0013396E" w:rsidRDefault="00EF6376" w:rsidP="00EF6376">
      <w:pPr>
        <w:pStyle w:val="BodyTextNumbered"/>
        <w:ind w:left="1440"/>
        <w:rPr>
          <w:iCs/>
        </w:rPr>
      </w:pPr>
      <w:r w:rsidRPr="0013396E">
        <w:rPr>
          <w:iCs/>
        </w:rPr>
        <w:t>(a)</w:t>
      </w:r>
      <w:r w:rsidRPr="0013396E">
        <w:rPr>
          <w:iCs/>
        </w:rPr>
        <w:tab/>
        <w:t>For Regulation Up Service (Reg-Up), if applicable:</w:t>
      </w:r>
    </w:p>
    <w:p w14:paraId="7656596C" w14:textId="77777777" w:rsidR="00EF6376" w:rsidRPr="0013396E" w:rsidRDefault="00EF6376" w:rsidP="00EF6376">
      <w:pPr>
        <w:pStyle w:val="BodyTextNumbered"/>
        <w:ind w:left="1440"/>
        <w:rPr>
          <w:iCs/>
        </w:rPr>
      </w:pPr>
      <w:r w:rsidRPr="0013396E">
        <w:rPr>
          <w:iCs/>
        </w:rPr>
        <w:t xml:space="preserve">DARTPCRUAMT </w:t>
      </w:r>
      <w:r w:rsidRPr="0013396E">
        <w:rPr>
          <w:i/>
          <w:iCs/>
          <w:vertAlign w:val="subscript"/>
        </w:rPr>
        <w:t>q</w:t>
      </w:r>
      <w:r w:rsidRPr="0013396E">
        <w:rPr>
          <w:iCs/>
          <w:vertAlign w:val="subscript"/>
        </w:rPr>
        <w:t xml:space="preserve">  </w:t>
      </w:r>
      <w:r w:rsidRPr="0013396E">
        <w:rPr>
          <w:iCs/>
        </w:rPr>
        <w:t>=  (DARUNOBL</w:t>
      </w:r>
      <w:r w:rsidRPr="0013396E">
        <w:rPr>
          <w:iCs/>
          <w:vertAlign w:val="subscript"/>
        </w:rPr>
        <w:t xml:space="preserve"> </w:t>
      </w:r>
      <w:r w:rsidRPr="0013396E">
        <w:rPr>
          <w:i/>
          <w:iCs/>
          <w:vertAlign w:val="subscript"/>
        </w:rPr>
        <w:t>q</w:t>
      </w:r>
      <w:r w:rsidRPr="0013396E">
        <w:rPr>
          <w:iCs/>
        </w:rPr>
        <w:t xml:space="preserve"> -</w:t>
      </w:r>
      <w:r w:rsidRPr="0013396E">
        <w:rPr>
          <w:i/>
          <w:iCs/>
          <w:vertAlign w:val="subscript"/>
        </w:rPr>
        <w:t xml:space="preserve"> </w:t>
      </w:r>
      <w:r w:rsidRPr="0013396E">
        <w:rPr>
          <w:iCs/>
        </w:rPr>
        <w:t xml:space="preserve">DASARUQ </w:t>
      </w:r>
      <w:r w:rsidRPr="0013396E">
        <w:rPr>
          <w:i/>
          <w:iCs/>
          <w:vertAlign w:val="subscript"/>
        </w:rPr>
        <w:t>q</w:t>
      </w:r>
      <w:r w:rsidRPr="0013396E">
        <w:rPr>
          <w:iCs/>
        </w:rPr>
        <w:t xml:space="preserve">) * DARUPR - DARUAMT </w:t>
      </w:r>
      <w:r w:rsidRPr="0013396E">
        <w:rPr>
          <w:i/>
          <w:iCs/>
          <w:vertAlign w:val="subscript"/>
        </w:rPr>
        <w:t>q</w:t>
      </w:r>
    </w:p>
    <w:p w14:paraId="69B173F3" w14:textId="77777777" w:rsidR="00EF6376" w:rsidRPr="0013396E" w:rsidRDefault="00EF6376" w:rsidP="00EF6376">
      <w:pPr>
        <w:pStyle w:val="BodyText"/>
        <w:tabs>
          <w:tab w:val="left" w:pos="2340"/>
        </w:tabs>
        <w:rPr>
          <w:iCs w:val="0"/>
          <w:szCs w:val="24"/>
          <w:lang w:val="pt-BR"/>
        </w:rPr>
      </w:pPr>
      <w:r w:rsidRPr="0013396E">
        <w:rPr>
          <w:lang w:val="pt-BR"/>
        </w:rPr>
        <w:t>Where:</w:t>
      </w:r>
    </w:p>
    <w:p w14:paraId="57BA2AE3" w14:textId="77777777" w:rsidR="00EF6376" w:rsidRPr="0013396E" w:rsidRDefault="00EF6376" w:rsidP="00EF6376">
      <w:pPr>
        <w:pStyle w:val="BodyTextNumbered"/>
        <w:ind w:left="1440"/>
        <w:rPr>
          <w:iCs/>
          <w:vertAlign w:val="subscript"/>
        </w:rPr>
      </w:pPr>
      <w:r w:rsidRPr="0013396E">
        <w:rPr>
          <w:iCs/>
        </w:rPr>
        <w:t xml:space="preserve">DARUNOBL </w:t>
      </w:r>
      <w:r w:rsidRPr="0013396E">
        <w:rPr>
          <w:i/>
          <w:iCs/>
          <w:vertAlign w:val="subscript"/>
        </w:rPr>
        <w:t>q</w:t>
      </w:r>
      <w:r w:rsidRPr="0013396E">
        <w:rPr>
          <w:iCs/>
        </w:rPr>
        <w:tab/>
        <w:t>=  DAPCRU</w:t>
      </w:r>
      <w:r w:rsidRPr="0013396E">
        <w:rPr>
          <w:iCs/>
          <w:lang w:val="pt-BR"/>
        </w:rPr>
        <w:t xml:space="preserve">QTOT </w:t>
      </w:r>
      <w:r w:rsidRPr="0013396E">
        <w:rPr>
          <w:iCs/>
        </w:rPr>
        <w:t xml:space="preserve">* HLRS </w:t>
      </w:r>
      <w:r w:rsidRPr="0013396E">
        <w:rPr>
          <w:i/>
          <w:iCs/>
          <w:vertAlign w:val="subscript"/>
        </w:rPr>
        <w:t>q</w:t>
      </w:r>
    </w:p>
    <w:p w14:paraId="1C0C18BD" w14:textId="77777777" w:rsidR="00EF6376" w:rsidRPr="0013396E" w:rsidRDefault="00EF6376" w:rsidP="00EF6376">
      <w:pPr>
        <w:pStyle w:val="BodyTextNumbered"/>
        <w:ind w:left="1440"/>
        <w:rPr>
          <w:iCs/>
          <w:lang w:val="pt-BR"/>
        </w:rPr>
      </w:pPr>
      <w:r w:rsidRPr="0013396E">
        <w:rPr>
          <w:iCs/>
        </w:rPr>
        <w:t>DAPCRU</w:t>
      </w:r>
      <w:r w:rsidRPr="0013396E">
        <w:rPr>
          <w:iCs/>
          <w:lang w:val="pt-BR"/>
        </w:rPr>
        <w:t>QTOT  =</w:t>
      </w:r>
      <w:r w:rsidRPr="0013396E">
        <w:rPr>
          <w:iCs/>
          <w:position w:val="-22"/>
        </w:rPr>
        <w:object w:dxaOrig="285" w:dyaOrig="285" w14:anchorId="6E88945D">
          <v:shape id="_x0000_i1261" type="#_x0000_t75" style="width:18pt;height:35.4pt" o:ole="">
            <v:imagedata r:id="rId335" o:title=""/>
          </v:shape>
          <o:OLEObject Type="Embed" ProgID="Equation.3" ShapeID="_x0000_i1261" DrawAspect="Content" ObjectID="_1849065890" r:id="rId336"/>
        </w:object>
      </w:r>
      <w:r w:rsidRPr="0013396E">
        <w:rPr>
          <w:iCs/>
        </w:rPr>
        <w:t xml:space="preserve"> (</w:t>
      </w:r>
      <w:r w:rsidRPr="0013396E">
        <w:rPr>
          <w:iCs/>
          <w:position w:val="-18"/>
        </w:rPr>
        <w:object w:dxaOrig="285" w:dyaOrig="570" w14:anchorId="08B09366">
          <v:shape id="_x0000_i1262" type="#_x0000_t75" style="width:12pt;height:30pt" o:ole="">
            <v:imagedata r:id="rId337" o:title=""/>
          </v:shape>
          <o:OLEObject Type="Embed" ProgID="Equation.3" ShapeID="_x0000_i1262" DrawAspect="Content" ObjectID="_1849065891" r:id="rId338"/>
        </w:object>
      </w:r>
      <w:r w:rsidRPr="0013396E">
        <w:rPr>
          <w:iCs/>
        </w:rPr>
        <w:t>PCRUR</w:t>
      </w:r>
      <w:r w:rsidRPr="0013396E">
        <w:rPr>
          <w:i/>
          <w:iCs/>
        </w:rPr>
        <w:t xml:space="preserve"> </w:t>
      </w:r>
      <w:r w:rsidRPr="0013396E">
        <w:rPr>
          <w:i/>
          <w:iCs/>
          <w:vertAlign w:val="subscript"/>
        </w:rPr>
        <w:t>r, q, DAM</w:t>
      </w:r>
      <w:r w:rsidRPr="0013396E">
        <w:rPr>
          <w:iCs/>
        </w:rPr>
        <w:t xml:space="preserve"> </w:t>
      </w:r>
      <w:r w:rsidRPr="0013396E">
        <w:rPr>
          <w:i/>
          <w:iCs/>
        </w:rPr>
        <w:t xml:space="preserve">+ </w:t>
      </w:r>
      <w:r w:rsidRPr="0013396E">
        <w:rPr>
          <w:iCs/>
        </w:rPr>
        <w:t xml:space="preserve">DARUOAWD </w:t>
      </w:r>
      <w:r w:rsidRPr="0013396E">
        <w:rPr>
          <w:i/>
          <w:iCs/>
          <w:vertAlign w:val="subscript"/>
        </w:rPr>
        <w:t xml:space="preserve">q </w:t>
      </w:r>
      <w:r w:rsidRPr="0013396E">
        <w:rPr>
          <w:iCs/>
        </w:rPr>
        <w:t>+</w:t>
      </w:r>
      <w:r w:rsidRPr="0013396E">
        <w:rPr>
          <w:i/>
          <w:iCs/>
          <w:vertAlign w:val="subscript"/>
        </w:rPr>
        <w:t xml:space="preserve"> </w:t>
      </w:r>
      <w:r w:rsidRPr="0013396E">
        <w:rPr>
          <w:iCs/>
        </w:rPr>
        <w:t xml:space="preserve">DASARUQ </w:t>
      </w:r>
      <w:r w:rsidRPr="0013396E">
        <w:rPr>
          <w:i/>
          <w:iCs/>
          <w:vertAlign w:val="subscript"/>
        </w:rPr>
        <w:t>q</w:t>
      </w:r>
      <w:r w:rsidRPr="0013396E">
        <w:rPr>
          <w:iCs/>
          <w:color w:val="000000"/>
        </w:rPr>
        <w:t xml:space="preserve">) </w:t>
      </w:r>
    </w:p>
    <w:p w14:paraId="171DCF13" w14:textId="77777777" w:rsidR="00EF6376" w:rsidRPr="0013396E" w:rsidRDefault="00EF6376" w:rsidP="00EF6376">
      <w:pPr>
        <w:rPr>
          <w:szCs w:val="24"/>
        </w:rPr>
      </w:pPr>
      <w:r w:rsidRPr="0013396E">
        <w:t>The above variables are defined as follows:</w:t>
      </w:r>
    </w:p>
    <w:tbl>
      <w:tblPr>
        <w:tblW w:w="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970"/>
        <w:gridCol w:w="6394"/>
      </w:tblGrid>
      <w:tr w:rsidR="00EF6376" w:rsidRPr="0013396E" w14:paraId="6EFD9F88" w14:textId="77777777" w:rsidTr="0099759E">
        <w:trPr>
          <w:cantSplit/>
          <w:tblHeader/>
        </w:trPr>
        <w:tc>
          <w:tcPr>
            <w:tcW w:w="1883" w:type="dxa"/>
            <w:tcBorders>
              <w:top w:val="single" w:sz="4" w:space="0" w:color="auto"/>
              <w:left w:val="single" w:sz="4" w:space="0" w:color="auto"/>
              <w:bottom w:val="single" w:sz="4" w:space="0" w:color="auto"/>
              <w:right w:val="single" w:sz="4" w:space="0" w:color="auto"/>
            </w:tcBorders>
            <w:hideMark/>
          </w:tcPr>
          <w:p w14:paraId="6D9DB928" w14:textId="77777777" w:rsidR="00EF6376" w:rsidRPr="0013396E" w:rsidRDefault="00EF6376" w:rsidP="0099759E">
            <w:pPr>
              <w:pStyle w:val="TableHead"/>
            </w:pPr>
            <w:r w:rsidRPr="0013396E">
              <w:rPr>
                <w:iCs w:val="0"/>
              </w:rPr>
              <w:t>Variable</w:t>
            </w:r>
          </w:p>
        </w:tc>
        <w:tc>
          <w:tcPr>
            <w:tcW w:w="990" w:type="dxa"/>
            <w:tcBorders>
              <w:top w:val="single" w:sz="4" w:space="0" w:color="auto"/>
              <w:left w:val="single" w:sz="4" w:space="0" w:color="auto"/>
              <w:bottom w:val="single" w:sz="4" w:space="0" w:color="auto"/>
              <w:right w:val="single" w:sz="4" w:space="0" w:color="auto"/>
            </w:tcBorders>
            <w:hideMark/>
          </w:tcPr>
          <w:p w14:paraId="56D528A5" w14:textId="77777777" w:rsidR="00EF6376" w:rsidRPr="0013396E" w:rsidRDefault="00EF6376" w:rsidP="0099759E">
            <w:pPr>
              <w:pStyle w:val="TableHead"/>
            </w:pPr>
            <w:r w:rsidRPr="0013396E">
              <w:t>Unit</w:t>
            </w:r>
          </w:p>
        </w:tc>
        <w:tc>
          <w:tcPr>
            <w:tcW w:w="6840" w:type="dxa"/>
            <w:tcBorders>
              <w:top w:val="single" w:sz="4" w:space="0" w:color="auto"/>
              <w:left w:val="single" w:sz="4" w:space="0" w:color="auto"/>
              <w:bottom w:val="single" w:sz="4" w:space="0" w:color="auto"/>
              <w:right w:val="single" w:sz="4" w:space="0" w:color="auto"/>
            </w:tcBorders>
            <w:hideMark/>
          </w:tcPr>
          <w:p w14:paraId="4A85182F" w14:textId="77777777" w:rsidR="00EF6376" w:rsidRPr="0013396E" w:rsidRDefault="00EF6376" w:rsidP="0099759E">
            <w:pPr>
              <w:pStyle w:val="TableHead"/>
            </w:pPr>
            <w:r w:rsidRPr="0013396E">
              <w:t>Description</w:t>
            </w:r>
          </w:p>
        </w:tc>
      </w:tr>
      <w:tr w:rsidR="00EF6376" w:rsidRPr="0013396E" w14:paraId="20076B8B"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12DE2A28" w14:textId="77777777" w:rsidR="00EF6376" w:rsidRPr="0013396E" w:rsidRDefault="00EF6376" w:rsidP="0099759E">
            <w:pPr>
              <w:pStyle w:val="TableBody"/>
            </w:pPr>
            <w:r w:rsidRPr="0013396E">
              <w:t xml:space="preserve">DARTPCRUAMT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7003FCD9"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6407F323" w14:textId="77777777" w:rsidR="00EF6376" w:rsidRPr="0013396E" w:rsidRDefault="00EF6376" w:rsidP="0099759E">
            <w:pPr>
              <w:pStyle w:val="TableBody"/>
            </w:pPr>
            <w:r w:rsidRPr="0013396E">
              <w:rPr>
                <w:i/>
              </w:rPr>
              <w:t>Day-Ahead Updated Real-Time Procured Capacity for Reg-Up Amount by QSE</w:t>
            </w:r>
            <w:r w:rsidRPr="0013396E">
              <w:t xml:space="preserve">—The payment or charge to QSE </w:t>
            </w:r>
            <w:r w:rsidRPr="0013396E">
              <w:rPr>
                <w:i/>
              </w:rPr>
              <w:t>q</w:t>
            </w:r>
            <w:r w:rsidRPr="0013396E">
              <w:t xml:space="preserve"> for Reg-Up, for the re-calculated Real-Time obligation, for the Operating Hour.</w:t>
            </w:r>
          </w:p>
        </w:tc>
      </w:tr>
      <w:tr w:rsidR="00EF6376" w:rsidRPr="0013396E" w14:paraId="6B120EAA"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57B58791" w14:textId="77777777" w:rsidR="00EF6376" w:rsidRPr="0013396E" w:rsidRDefault="00EF6376" w:rsidP="0099759E">
            <w:pPr>
              <w:pStyle w:val="TableBody"/>
            </w:pPr>
            <w:r w:rsidRPr="0013396E">
              <w:t>DARUPR</w:t>
            </w:r>
          </w:p>
        </w:tc>
        <w:tc>
          <w:tcPr>
            <w:tcW w:w="990" w:type="dxa"/>
            <w:tcBorders>
              <w:top w:val="single" w:sz="4" w:space="0" w:color="auto"/>
              <w:left w:val="single" w:sz="4" w:space="0" w:color="auto"/>
              <w:bottom w:val="single" w:sz="4" w:space="0" w:color="auto"/>
              <w:right w:val="single" w:sz="4" w:space="0" w:color="auto"/>
            </w:tcBorders>
            <w:hideMark/>
          </w:tcPr>
          <w:p w14:paraId="6A1E97DF" w14:textId="77777777" w:rsidR="00EF6376" w:rsidRPr="0013396E" w:rsidRDefault="00EF6376" w:rsidP="0099759E">
            <w:pPr>
              <w:pStyle w:val="TableBody"/>
            </w:pPr>
            <w:r w:rsidRPr="0013396E">
              <w:t xml:space="preserve">$/MW </w:t>
            </w:r>
          </w:p>
        </w:tc>
        <w:tc>
          <w:tcPr>
            <w:tcW w:w="6840" w:type="dxa"/>
            <w:tcBorders>
              <w:top w:val="single" w:sz="4" w:space="0" w:color="auto"/>
              <w:left w:val="single" w:sz="4" w:space="0" w:color="auto"/>
              <w:bottom w:val="single" w:sz="4" w:space="0" w:color="auto"/>
              <w:right w:val="single" w:sz="4" w:space="0" w:color="auto"/>
            </w:tcBorders>
            <w:hideMark/>
          </w:tcPr>
          <w:p w14:paraId="32B529D1" w14:textId="77777777" w:rsidR="00EF6376" w:rsidRPr="0013396E" w:rsidRDefault="00EF6376" w:rsidP="0099759E">
            <w:pPr>
              <w:pStyle w:val="TableBody"/>
              <w:rPr>
                <w:i/>
              </w:rPr>
            </w:pPr>
            <w:r w:rsidRPr="0013396E">
              <w:rPr>
                <w:i/>
              </w:rPr>
              <w:t>Day-Ahead Reg-Up Price</w:t>
            </w:r>
            <w:r w:rsidRPr="0013396E">
              <w:t>—The DAM Reg-Up price for the Operating Hour.</w:t>
            </w:r>
          </w:p>
        </w:tc>
      </w:tr>
      <w:tr w:rsidR="00EF6376" w:rsidRPr="0013396E" w14:paraId="4C48202A"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2EC9847F" w14:textId="77777777" w:rsidR="00EF6376" w:rsidRPr="0013396E" w:rsidRDefault="00EF6376" w:rsidP="0099759E">
            <w:pPr>
              <w:pStyle w:val="TableBody"/>
            </w:pPr>
            <w:r w:rsidRPr="0013396E">
              <w:t>DARUNOBL</w:t>
            </w:r>
            <w:r w:rsidRPr="0013396E">
              <w:rPr>
                <w:vertAlign w:val="subscript"/>
              </w:rPr>
              <w:t xml:space="preserve">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03ECD5FB"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2FD9A97E" w14:textId="77777777" w:rsidR="00EF6376" w:rsidRPr="0013396E" w:rsidRDefault="00EF6376" w:rsidP="0099759E">
            <w:pPr>
              <w:pStyle w:val="TableBody"/>
              <w:rPr>
                <w:i/>
              </w:rPr>
            </w:pPr>
            <w:r w:rsidRPr="0013396E">
              <w:rPr>
                <w:i/>
              </w:rPr>
              <w:t>Day-Ahead Reg-Up New Obligation per QSE—</w:t>
            </w:r>
            <w:r w:rsidRPr="0013396E">
              <w:t xml:space="preserve">The updated Reg-Up Ancillary Service Obligation in Real-Time for QSE </w:t>
            </w:r>
            <w:r w:rsidRPr="0013396E">
              <w:rPr>
                <w:i/>
              </w:rPr>
              <w:t>q</w:t>
            </w:r>
            <w:r w:rsidRPr="0013396E">
              <w:t xml:space="preserve"> for the Operating Hour.</w:t>
            </w:r>
          </w:p>
        </w:tc>
      </w:tr>
      <w:tr w:rsidR="00EF6376" w:rsidRPr="0013396E" w14:paraId="5EB10DA8"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0606B97D" w14:textId="77777777" w:rsidR="00EF6376" w:rsidRPr="0013396E" w:rsidRDefault="00EF6376" w:rsidP="0099759E">
            <w:pPr>
              <w:pStyle w:val="TableBody"/>
              <w:rPr>
                <w:i/>
              </w:rPr>
            </w:pPr>
            <w:r w:rsidRPr="0013396E">
              <w:t xml:space="preserve">DARUAMT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4B0695CD"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56ADA573" w14:textId="77777777" w:rsidR="00EF6376" w:rsidRPr="0013396E" w:rsidRDefault="00EF6376" w:rsidP="0099759E">
            <w:pPr>
              <w:pStyle w:val="TableBody"/>
            </w:pPr>
            <w:r w:rsidRPr="0013396E">
              <w:rPr>
                <w:i/>
              </w:rPr>
              <w:t>Day-Ahead Reg-Up Amount per QSE</w:t>
            </w:r>
            <w:r w:rsidRPr="0013396E">
              <w:t xml:space="preserve">—QSE </w:t>
            </w:r>
            <w:r w:rsidRPr="0013396E">
              <w:rPr>
                <w:i/>
              </w:rPr>
              <w:t>q</w:t>
            </w:r>
            <w:r w:rsidRPr="0013396E">
              <w:t>’s share of the DAM costs for Reg-Up for the Operating Hour.</w:t>
            </w:r>
          </w:p>
        </w:tc>
      </w:tr>
      <w:tr w:rsidR="00EF6376" w:rsidRPr="0013396E" w14:paraId="0A535C61"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4965E0EA" w14:textId="77777777" w:rsidR="00EF6376" w:rsidRPr="0013396E" w:rsidRDefault="00EF6376" w:rsidP="0099759E">
            <w:pPr>
              <w:pStyle w:val="TableBody"/>
            </w:pPr>
            <w:r w:rsidRPr="0013396E">
              <w:t xml:space="preserve">PCRUR </w:t>
            </w:r>
            <w:r w:rsidRPr="0013396E">
              <w:rPr>
                <w:i/>
                <w:vertAlign w:val="subscript"/>
              </w:rPr>
              <w:t>r,</w:t>
            </w:r>
            <w:r w:rsidRPr="0013396E">
              <w:rPr>
                <w:i/>
              </w:rPr>
              <w:t xml:space="preserve"> </w:t>
            </w:r>
            <w:r w:rsidRPr="0013396E">
              <w:rPr>
                <w:i/>
                <w:vertAlign w:val="subscript"/>
              </w:rPr>
              <w:t>q, DAM</w:t>
            </w:r>
          </w:p>
        </w:tc>
        <w:tc>
          <w:tcPr>
            <w:tcW w:w="990" w:type="dxa"/>
            <w:tcBorders>
              <w:top w:val="single" w:sz="4" w:space="0" w:color="auto"/>
              <w:left w:val="single" w:sz="4" w:space="0" w:color="auto"/>
              <w:bottom w:val="single" w:sz="4" w:space="0" w:color="auto"/>
              <w:right w:val="single" w:sz="4" w:space="0" w:color="auto"/>
            </w:tcBorders>
            <w:hideMark/>
          </w:tcPr>
          <w:p w14:paraId="647246A6"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F0D3FC0" w14:textId="77777777" w:rsidR="00EF6376" w:rsidRPr="0013396E" w:rsidRDefault="00EF6376" w:rsidP="0099759E">
            <w:pPr>
              <w:pStyle w:val="TableBody"/>
              <w:rPr>
                <w:i/>
              </w:rPr>
            </w:pPr>
            <w:r w:rsidRPr="0013396E">
              <w:rPr>
                <w:i/>
              </w:rPr>
              <w:t>Procured Capacity for Reg-Up per Resource per QSE in DAM</w:t>
            </w:r>
            <w:r w:rsidRPr="0013396E">
              <w:t xml:space="preserve">—The Reg-Up capacity awarded to QSE </w:t>
            </w:r>
            <w:r w:rsidRPr="0013396E">
              <w:rPr>
                <w:i/>
              </w:rPr>
              <w:t>q</w:t>
            </w:r>
            <w:r w:rsidRPr="0013396E">
              <w:t xml:space="preserve"> in the DAM for Resource </w:t>
            </w:r>
            <w:r w:rsidRPr="0013396E">
              <w:rPr>
                <w:i/>
              </w:rPr>
              <w:t>r</w:t>
            </w:r>
            <w:r w:rsidRPr="0013396E">
              <w:t xml:space="preserve"> for the Operating Hour.  Where for a Combined Cycle Train, the Resource </w:t>
            </w:r>
            <w:r w:rsidRPr="0013396E">
              <w:rPr>
                <w:i/>
              </w:rPr>
              <w:t>r</w:t>
            </w:r>
            <w:r w:rsidRPr="0013396E">
              <w:t xml:space="preserve"> is a Combined Cycle Generation Resource within the Combined Cycle Train.</w:t>
            </w:r>
          </w:p>
        </w:tc>
      </w:tr>
      <w:tr w:rsidR="00EF6376" w:rsidRPr="0013396E" w14:paraId="39FF9ECA"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3B0BAE7C" w14:textId="77777777" w:rsidR="00EF6376" w:rsidRPr="0013396E" w:rsidRDefault="00EF6376" w:rsidP="0099759E">
            <w:pPr>
              <w:pStyle w:val="TableBody"/>
            </w:pPr>
            <w:r w:rsidRPr="0013396E">
              <w:t xml:space="preserve">DARUOAWD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4A319C32"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6C41F923" w14:textId="77777777" w:rsidR="00EF6376" w:rsidRPr="0013396E" w:rsidRDefault="00EF6376" w:rsidP="0099759E">
            <w:pPr>
              <w:pStyle w:val="TableBody"/>
              <w:rPr>
                <w:i/>
              </w:rPr>
            </w:pPr>
            <w:r w:rsidRPr="0013396E">
              <w:rPr>
                <w:i/>
              </w:rPr>
              <w:t>Day-Ahead Reg-Up Award for the QSE</w:t>
            </w:r>
            <w:r w:rsidRPr="0013396E">
              <w:t xml:space="preserve">—The Reg-Up Only capacity awarded in the DAM to QSE </w:t>
            </w:r>
            <w:r w:rsidRPr="0013396E">
              <w:rPr>
                <w:i/>
              </w:rPr>
              <w:t>q</w:t>
            </w:r>
            <w:r w:rsidRPr="0013396E">
              <w:t xml:space="preserve"> for the Operating Hour.</w:t>
            </w:r>
          </w:p>
        </w:tc>
      </w:tr>
      <w:tr w:rsidR="00EF6376" w:rsidRPr="0013396E" w14:paraId="0C78D0B4"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1E7B7497" w14:textId="77777777" w:rsidR="00EF6376" w:rsidRPr="0013396E" w:rsidRDefault="00EF6376" w:rsidP="0099759E">
            <w:pPr>
              <w:pStyle w:val="TableBody"/>
            </w:pPr>
            <w:r w:rsidRPr="0013396E">
              <w:t>HLRS</w:t>
            </w:r>
            <w:r w:rsidRPr="0013396E">
              <w:rPr>
                <w:i/>
                <w:vertAlign w:val="subscript"/>
              </w:rPr>
              <w:t xml:space="preserve"> q</w:t>
            </w:r>
          </w:p>
        </w:tc>
        <w:tc>
          <w:tcPr>
            <w:tcW w:w="990" w:type="dxa"/>
            <w:tcBorders>
              <w:top w:val="single" w:sz="4" w:space="0" w:color="auto"/>
              <w:left w:val="single" w:sz="4" w:space="0" w:color="auto"/>
              <w:bottom w:val="single" w:sz="4" w:space="0" w:color="auto"/>
              <w:right w:val="single" w:sz="4" w:space="0" w:color="auto"/>
            </w:tcBorders>
            <w:hideMark/>
          </w:tcPr>
          <w:p w14:paraId="01348A18"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57A267E6" w14:textId="77777777" w:rsidR="00EF6376" w:rsidRPr="0013396E" w:rsidRDefault="00EF6376" w:rsidP="0099759E">
            <w:pPr>
              <w:pStyle w:val="TableBody"/>
            </w:pPr>
            <w:r w:rsidRPr="0013396E">
              <w:rPr>
                <w:i/>
              </w:rPr>
              <w:t>Hourly Load Ratio Share per QSE</w:t>
            </w:r>
            <w:r w:rsidRPr="0013396E">
              <w:t xml:space="preserve">—The Real-Time LRS as defined in Section 6.6.2.4, QSE Load Ratio Share for an Operating Hour, for QSE </w:t>
            </w:r>
            <w:r w:rsidRPr="0013396E">
              <w:rPr>
                <w:i/>
              </w:rPr>
              <w:t>q</w:t>
            </w:r>
            <w:r w:rsidRPr="0013396E">
              <w:t>, for the Operating Hour.</w:t>
            </w:r>
          </w:p>
        </w:tc>
      </w:tr>
      <w:tr w:rsidR="00EF6376" w:rsidRPr="0013396E" w14:paraId="16B2AC2E"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11EB48C8" w14:textId="77777777" w:rsidR="00EF6376" w:rsidRPr="0013396E" w:rsidRDefault="00EF6376" w:rsidP="0099759E">
            <w:pPr>
              <w:pStyle w:val="TableBody"/>
            </w:pPr>
            <w:r w:rsidRPr="0013396E">
              <w:lastRenderedPageBreak/>
              <w:t xml:space="preserve">DAPCRUQTOT  </w:t>
            </w:r>
          </w:p>
        </w:tc>
        <w:tc>
          <w:tcPr>
            <w:tcW w:w="990" w:type="dxa"/>
            <w:tcBorders>
              <w:top w:val="single" w:sz="4" w:space="0" w:color="auto"/>
              <w:left w:val="single" w:sz="4" w:space="0" w:color="auto"/>
              <w:bottom w:val="single" w:sz="4" w:space="0" w:color="auto"/>
              <w:right w:val="single" w:sz="4" w:space="0" w:color="auto"/>
            </w:tcBorders>
            <w:hideMark/>
          </w:tcPr>
          <w:p w14:paraId="0A53EDC3"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50D501CB" w14:textId="77777777" w:rsidR="00EF6376" w:rsidRPr="0013396E" w:rsidRDefault="00EF6376" w:rsidP="0099759E">
            <w:pPr>
              <w:pStyle w:val="TableBody"/>
              <w:rPr>
                <w:i/>
              </w:rPr>
            </w:pPr>
            <w:r w:rsidRPr="0013396E">
              <w:rPr>
                <w:i/>
              </w:rPr>
              <w:t>Day-Ahead Procured Capacity for Reg-Up Total</w:t>
            </w:r>
            <w:r w:rsidRPr="0013396E">
              <w:t>—The total Reg-Up capacity for all QSEs for all Reg-Up awarded and self-arranged in the DAM for the Operating Hour.</w:t>
            </w:r>
          </w:p>
        </w:tc>
      </w:tr>
      <w:tr w:rsidR="00EF6376" w:rsidRPr="0013396E" w14:paraId="05C11465"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5F84159C" w14:textId="77777777" w:rsidR="00EF6376" w:rsidRPr="0013396E" w:rsidRDefault="00EF6376" w:rsidP="0099759E">
            <w:pPr>
              <w:pStyle w:val="TableBody"/>
            </w:pPr>
            <w:r w:rsidRPr="0013396E">
              <w:t xml:space="preserve">DASARUQ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693DE4A6"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679B27D" w14:textId="77777777" w:rsidR="00EF6376" w:rsidRPr="0013396E" w:rsidRDefault="00EF6376" w:rsidP="0099759E">
            <w:pPr>
              <w:pStyle w:val="TableBody"/>
              <w:rPr>
                <w:i/>
              </w:rPr>
            </w:pPr>
            <w:r w:rsidRPr="0013396E">
              <w:rPr>
                <w:i/>
              </w:rPr>
              <w:t>Day-Ahead Self-Arranged Reg-Up Quantity per QSE</w:t>
            </w:r>
            <w:r w:rsidRPr="0013396E">
              <w:t xml:space="preserve">—The self-arranged Reg-Up capacity submitted by QSE </w:t>
            </w:r>
            <w:r w:rsidRPr="0013396E">
              <w:rPr>
                <w:i/>
              </w:rPr>
              <w:t>q</w:t>
            </w:r>
            <w:r w:rsidRPr="0013396E">
              <w:t xml:space="preserve"> before 1000 in the DAM for the Operating Hour.</w:t>
            </w:r>
          </w:p>
        </w:tc>
      </w:tr>
      <w:tr w:rsidR="00EF6376" w:rsidRPr="0013396E" w14:paraId="4C2A7AE2"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5B3815E5" w14:textId="77777777" w:rsidR="00EF6376" w:rsidRPr="0013396E" w:rsidRDefault="00EF6376" w:rsidP="0099759E">
            <w:pPr>
              <w:pStyle w:val="TableBody"/>
              <w:rPr>
                <w:i/>
              </w:rPr>
            </w:pPr>
            <w:r w:rsidRPr="0013396E">
              <w:rPr>
                <w:i/>
              </w:rPr>
              <w:t>q</w:t>
            </w:r>
          </w:p>
        </w:tc>
        <w:tc>
          <w:tcPr>
            <w:tcW w:w="990" w:type="dxa"/>
            <w:tcBorders>
              <w:top w:val="single" w:sz="4" w:space="0" w:color="auto"/>
              <w:left w:val="single" w:sz="4" w:space="0" w:color="auto"/>
              <w:bottom w:val="single" w:sz="4" w:space="0" w:color="auto"/>
              <w:right w:val="single" w:sz="4" w:space="0" w:color="auto"/>
            </w:tcBorders>
            <w:hideMark/>
          </w:tcPr>
          <w:p w14:paraId="11ACDCAB"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2F9A43DE" w14:textId="77777777" w:rsidR="00EF6376" w:rsidRPr="0013396E" w:rsidRDefault="00EF6376" w:rsidP="0099759E">
            <w:pPr>
              <w:pStyle w:val="TableBody"/>
            </w:pPr>
            <w:r w:rsidRPr="0013396E">
              <w:t>A QSE.</w:t>
            </w:r>
          </w:p>
        </w:tc>
      </w:tr>
      <w:tr w:rsidR="00EF6376" w:rsidRPr="0013396E" w14:paraId="67A01750"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14B904C6" w14:textId="77777777" w:rsidR="00EF6376" w:rsidRPr="0013396E" w:rsidRDefault="00EF6376" w:rsidP="0099759E">
            <w:pPr>
              <w:pStyle w:val="TableBody"/>
              <w:rPr>
                <w:i/>
              </w:rPr>
            </w:pPr>
            <w:r w:rsidRPr="0013396E">
              <w:rPr>
                <w:i/>
              </w:rPr>
              <w:t>r</w:t>
            </w:r>
          </w:p>
        </w:tc>
        <w:tc>
          <w:tcPr>
            <w:tcW w:w="990" w:type="dxa"/>
            <w:tcBorders>
              <w:top w:val="single" w:sz="4" w:space="0" w:color="auto"/>
              <w:left w:val="single" w:sz="4" w:space="0" w:color="auto"/>
              <w:bottom w:val="single" w:sz="4" w:space="0" w:color="auto"/>
              <w:right w:val="single" w:sz="4" w:space="0" w:color="auto"/>
            </w:tcBorders>
            <w:hideMark/>
          </w:tcPr>
          <w:p w14:paraId="18F8DD26"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1E48BDA5" w14:textId="77777777" w:rsidR="00EF6376" w:rsidRPr="0013396E" w:rsidRDefault="00EF6376" w:rsidP="0099759E">
            <w:pPr>
              <w:pStyle w:val="TableBody"/>
            </w:pPr>
            <w:r w:rsidRPr="0013396E">
              <w:t>A Resource.</w:t>
            </w:r>
          </w:p>
        </w:tc>
      </w:tr>
    </w:tbl>
    <w:p w14:paraId="03AB56FF" w14:textId="77777777" w:rsidR="00EF6376" w:rsidRPr="0013396E" w:rsidRDefault="00EF6376" w:rsidP="00EF6376">
      <w:pPr>
        <w:pStyle w:val="BodyTextNumbered"/>
        <w:spacing w:before="240"/>
        <w:ind w:left="1440"/>
        <w:rPr>
          <w:iCs/>
        </w:rPr>
      </w:pPr>
      <w:r w:rsidRPr="0013396E">
        <w:rPr>
          <w:iCs/>
        </w:rPr>
        <w:t>(b)</w:t>
      </w:r>
      <w:r w:rsidRPr="0013396E">
        <w:rPr>
          <w:iCs/>
        </w:rPr>
        <w:tab/>
        <w:t>For Regulation Down Service (Reg-Down), if applicable:</w:t>
      </w:r>
    </w:p>
    <w:p w14:paraId="5F351C92" w14:textId="77777777" w:rsidR="00EF6376" w:rsidRPr="0013396E" w:rsidRDefault="00EF6376" w:rsidP="00EF6376">
      <w:pPr>
        <w:pStyle w:val="BodyTextNumbered"/>
        <w:ind w:left="1440"/>
        <w:rPr>
          <w:iCs/>
        </w:rPr>
      </w:pPr>
      <w:r w:rsidRPr="0013396E">
        <w:rPr>
          <w:iCs/>
        </w:rPr>
        <w:t xml:space="preserve">DARTPCRDAMT </w:t>
      </w:r>
      <w:r w:rsidRPr="0013396E">
        <w:rPr>
          <w:i/>
          <w:iCs/>
          <w:vertAlign w:val="subscript"/>
        </w:rPr>
        <w:t>q</w:t>
      </w:r>
      <w:r w:rsidRPr="0013396E">
        <w:rPr>
          <w:iCs/>
          <w:vertAlign w:val="subscript"/>
        </w:rPr>
        <w:t xml:space="preserve"> </w:t>
      </w:r>
      <w:r w:rsidRPr="0013396E">
        <w:rPr>
          <w:iCs/>
        </w:rPr>
        <w:t>= (DARDNOBL</w:t>
      </w:r>
      <w:r w:rsidRPr="0013396E">
        <w:rPr>
          <w:iCs/>
          <w:vertAlign w:val="subscript"/>
        </w:rPr>
        <w:t xml:space="preserve"> </w:t>
      </w:r>
      <w:r w:rsidRPr="0013396E">
        <w:rPr>
          <w:i/>
          <w:iCs/>
          <w:vertAlign w:val="subscript"/>
        </w:rPr>
        <w:t>q</w:t>
      </w:r>
      <w:r w:rsidRPr="0013396E">
        <w:rPr>
          <w:iCs/>
          <w:vertAlign w:val="subscript"/>
        </w:rPr>
        <w:t xml:space="preserve"> </w:t>
      </w:r>
      <w:r w:rsidRPr="0013396E">
        <w:rPr>
          <w:iCs/>
        </w:rPr>
        <w:t xml:space="preserve">- DASARDQ </w:t>
      </w:r>
      <w:r w:rsidRPr="0013396E">
        <w:rPr>
          <w:i/>
          <w:iCs/>
          <w:vertAlign w:val="subscript"/>
        </w:rPr>
        <w:t>q</w:t>
      </w:r>
      <w:r w:rsidRPr="0013396E">
        <w:rPr>
          <w:iCs/>
        </w:rPr>
        <w:t xml:space="preserve">) * DARDPR - DARDAMT </w:t>
      </w:r>
      <w:r w:rsidRPr="0013396E">
        <w:rPr>
          <w:i/>
          <w:iCs/>
          <w:vertAlign w:val="subscript"/>
        </w:rPr>
        <w:t>q</w:t>
      </w:r>
    </w:p>
    <w:p w14:paraId="13960620" w14:textId="77777777" w:rsidR="00EF6376" w:rsidRPr="0013396E" w:rsidRDefault="00EF6376" w:rsidP="00EF6376">
      <w:pPr>
        <w:pStyle w:val="BodyText"/>
        <w:rPr>
          <w:iCs w:val="0"/>
          <w:szCs w:val="24"/>
          <w:lang w:val="pt-BR"/>
        </w:rPr>
      </w:pPr>
      <w:r w:rsidRPr="0013396E">
        <w:rPr>
          <w:lang w:val="pt-BR"/>
        </w:rPr>
        <w:t>Where:</w:t>
      </w:r>
    </w:p>
    <w:p w14:paraId="7D75C17A" w14:textId="77777777" w:rsidR="00EF6376" w:rsidRPr="0013396E" w:rsidRDefault="00EF6376" w:rsidP="00EF6376">
      <w:pPr>
        <w:pStyle w:val="BodyTextNumbered"/>
        <w:ind w:left="1440"/>
        <w:rPr>
          <w:iCs/>
        </w:rPr>
      </w:pPr>
      <w:r w:rsidRPr="0013396E">
        <w:rPr>
          <w:iCs/>
        </w:rPr>
        <w:t xml:space="preserve">DARDNOBL </w:t>
      </w:r>
      <w:r w:rsidRPr="0013396E">
        <w:rPr>
          <w:i/>
          <w:iCs/>
          <w:vertAlign w:val="subscript"/>
        </w:rPr>
        <w:t xml:space="preserve">q     </w:t>
      </w:r>
      <w:r w:rsidRPr="0013396E">
        <w:rPr>
          <w:iCs/>
        </w:rPr>
        <w:t xml:space="preserve">=  DAPCRDQTOT * HLRS </w:t>
      </w:r>
      <w:r w:rsidRPr="0013396E">
        <w:rPr>
          <w:i/>
          <w:iCs/>
          <w:vertAlign w:val="subscript"/>
        </w:rPr>
        <w:t>q</w:t>
      </w:r>
      <w:r w:rsidRPr="0013396E">
        <w:rPr>
          <w:iCs/>
        </w:rPr>
        <w:t xml:space="preserve"> </w:t>
      </w:r>
    </w:p>
    <w:p w14:paraId="298C6CF1" w14:textId="77777777" w:rsidR="00EF6376" w:rsidRPr="0013396E" w:rsidRDefault="00EF6376" w:rsidP="00EF6376">
      <w:pPr>
        <w:pStyle w:val="BodyTextNumbered"/>
        <w:ind w:left="1440"/>
        <w:rPr>
          <w:iCs/>
        </w:rPr>
      </w:pPr>
      <w:r w:rsidRPr="0013396E">
        <w:rPr>
          <w:iCs/>
        </w:rPr>
        <w:t xml:space="preserve">DAPCRDQTOT       = </w:t>
      </w:r>
      <w:r w:rsidRPr="0013396E">
        <w:rPr>
          <w:iCs/>
          <w:position w:val="-22"/>
        </w:rPr>
        <w:object w:dxaOrig="285" w:dyaOrig="285" w14:anchorId="79135AD6">
          <v:shape id="_x0000_i1263" type="#_x0000_t75" style="width:30pt;height:30pt" o:ole="">
            <v:imagedata r:id="rId335" o:title=""/>
          </v:shape>
          <o:OLEObject Type="Embed" ProgID="Equation.3" ShapeID="_x0000_i1263" DrawAspect="Content" ObjectID="_1849065892" r:id="rId339"/>
        </w:object>
      </w:r>
      <w:r w:rsidRPr="0013396E">
        <w:rPr>
          <w:iCs/>
        </w:rPr>
        <w:t xml:space="preserve"> (</w:t>
      </w:r>
      <w:r w:rsidRPr="0013396E">
        <w:rPr>
          <w:iCs/>
          <w:position w:val="-18"/>
        </w:rPr>
        <w:object w:dxaOrig="285" w:dyaOrig="570" w14:anchorId="7690B914">
          <v:shape id="_x0000_i1264" type="#_x0000_t75" style="width:12pt;height:30pt" o:ole="">
            <v:imagedata r:id="rId337" o:title=""/>
          </v:shape>
          <o:OLEObject Type="Embed" ProgID="Equation.3" ShapeID="_x0000_i1264" DrawAspect="Content" ObjectID="_1849065893" r:id="rId340"/>
        </w:object>
      </w:r>
      <w:r w:rsidRPr="0013396E">
        <w:rPr>
          <w:iCs/>
        </w:rPr>
        <w:t>PCRDR</w:t>
      </w:r>
      <w:r w:rsidRPr="0013396E">
        <w:rPr>
          <w:i/>
          <w:iCs/>
        </w:rPr>
        <w:t xml:space="preserve"> </w:t>
      </w:r>
      <w:r w:rsidRPr="0013396E">
        <w:rPr>
          <w:i/>
          <w:iCs/>
          <w:vertAlign w:val="subscript"/>
        </w:rPr>
        <w:t>r, q, DAM</w:t>
      </w:r>
      <w:r w:rsidRPr="0013396E">
        <w:rPr>
          <w:iCs/>
        </w:rPr>
        <w:t xml:space="preserve"> + DARDOAWD </w:t>
      </w:r>
      <w:r w:rsidRPr="0013396E">
        <w:rPr>
          <w:i/>
          <w:iCs/>
          <w:vertAlign w:val="subscript"/>
        </w:rPr>
        <w:t>q</w:t>
      </w:r>
      <w:r w:rsidRPr="0013396E">
        <w:rPr>
          <w:iCs/>
        </w:rPr>
        <w:t xml:space="preserve"> + DASARDQ </w:t>
      </w:r>
      <w:r w:rsidRPr="0013396E">
        <w:rPr>
          <w:i/>
          <w:iCs/>
          <w:vertAlign w:val="subscript"/>
        </w:rPr>
        <w:t>q</w:t>
      </w:r>
      <w:r w:rsidRPr="0013396E">
        <w:rPr>
          <w:iCs/>
        </w:rPr>
        <w:t>)</w:t>
      </w:r>
    </w:p>
    <w:p w14:paraId="0B3C2AB4" w14:textId="77777777" w:rsidR="00EF6376" w:rsidRPr="0013396E" w:rsidRDefault="00EF6376" w:rsidP="00EF6376">
      <w:pPr>
        <w:pStyle w:val="BodyText"/>
        <w:spacing w:after="0"/>
        <w:rPr>
          <w:iCs w:val="0"/>
          <w:szCs w:val="24"/>
        </w:rPr>
      </w:pPr>
      <w:r w:rsidRPr="0013396E">
        <w:t>The above variables are defined as follows:</w:t>
      </w:r>
    </w:p>
    <w:tbl>
      <w:tblPr>
        <w:tblW w:w="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970"/>
        <w:gridCol w:w="6394"/>
      </w:tblGrid>
      <w:tr w:rsidR="00EF6376" w:rsidRPr="0013396E" w14:paraId="02C5E88A" w14:textId="77777777" w:rsidTr="0099759E">
        <w:trPr>
          <w:cantSplit/>
          <w:tblHeader/>
        </w:trPr>
        <w:tc>
          <w:tcPr>
            <w:tcW w:w="1883" w:type="dxa"/>
            <w:tcBorders>
              <w:top w:val="single" w:sz="4" w:space="0" w:color="auto"/>
              <w:left w:val="single" w:sz="4" w:space="0" w:color="auto"/>
              <w:bottom w:val="single" w:sz="4" w:space="0" w:color="auto"/>
              <w:right w:val="single" w:sz="4" w:space="0" w:color="auto"/>
            </w:tcBorders>
            <w:hideMark/>
          </w:tcPr>
          <w:p w14:paraId="1E3EE401" w14:textId="77777777" w:rsidR="00EF6376" w:rsidRPr="0013396E" w:rsidRDefault="00EF6376" w:rsidP="0099759E">
            <w:pPr>
              <w:pStyle w:val="TableHead"/>
            </w:pPr>
            <w:r w:rsidRPr="0013396E">
              <w:rPr>
                <w:iCs w:val="0"/>
              </w:rPr>
              <w:t>Variable</w:t>
            </w:r>
          </w:p>
        </w:tc>
        <w:tc>
          <w:tcPr>
            <w:tcW w:w="990" w:type="dxa"/>
            <w:tcBorders>
              <w:top w:val="single" w:sz="4" w:space="0" w:color="auto"/>
              <w:left w:val="single" w:sz="4" w:space="0" w:color="auto"/>
              <w:bottom w:val="single" w:sz="4" w:space="0" w:color="auto"/>
              <w:right w:val="single" w:sz="4" w:space="0" w:color="auto"/>
            </w:tcBorders>
            <w:hideMark/>
          </w:tcPr>
          <w:p w14:paraId="6DBDBF12" w14:textId="77777777" w:rsidR="00EF6376" w:rsidRPr="0013396E" w:rsidRDefault="00EF6376" w:rsidP="0099759E">
            <w:pPr>
              <w:pStyle w:val="TableHead"/>
            </w:pPr>
            <w:r w:rsidRPr="0013396E">
              <w:t>Unit</w:t>
            </w:r>
          </w:p>
        </w:tc>
        <w:tc>
          <w:tcPr>
            <w:tcW w:w="6840" w:type="dxa"/>
            <w:tcBorders>
              <w:top w:val="single" w:sz="4" w:space="0" w:color="auto"/>
              <w:left w:val="single" w:sz="4" w:space="0" w:color="auto"/>
              <w:bottom w:val="single" w:sz="4" w:space="0" w:color="auto"/>
              <w:right w:val="single" w:sz="4" w:space="0" w:color="auto"/>
            </w:tcBorders>
            <w:hideMark/>
          </w:tcPr>
          <w:p w14:paraId="23580509" w14:textId="77777777" w:rsidR="00EF6376" w:rsidRPr="0013396E" w:rsidRDefault="00EF6376" w:rsidP="0099759E">
            <w:pPr>
              <w:pStyle w:val="TableHead"/>
            </w:pPr>
            <w:r w:rsidRPr="0013396E">
              <w:t>Description</w:t>
            </w:r>
          </w:p>
        </w:tc>
      </w:tr>
      <w:tr w:rsidR="00EF6376" w:rsidRPr="0013396E" w14:paraId="3D61CE10"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7D76A76F" w14:textId="77777777" w:rsidR="00EF6376" w:rsidRPr="0013396E" w:rsidRDefault="00EF6376" w:rsidP="0099759E">
            <w:pPr>
              <w:pStyle w:val="TableBody"/>
            </w:pPr>
            <w:r w:rsidRPr="0013396E">
              <w:t xml:space="preserve">DARTPCRDAMT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4C023B19"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0CA1FC89" w14:textId="77777777" w:rsidR="00EF6376" w:rsidRPr="0013396E" w:rsidRDefault="00EF6376" w:rsidP="0099759E">
            <w:pPr>
              <w:pStyle w:val="TableBody"/>
            </w:pPr>
            <w:r w:rsidRPr="0013396E">
              <w:rPr>
                <w:i/>
              </w:rPr>
              <w:t>Day-Ahead Updated Real-Time Procured Capacity for Reg-Down Amount by QSE</w:t>
            </w:r>
            <w:r w:rsidRPr="0013396E">
              <w:t xml:space="preserve">—The payment or charge to QSE </w:t>
            </w:r>
            <w:r w:rsidRPr="0013396E">
              <w:rPr>
                <w:i/>
              </w:rPr>
              <w:t>q</w:t>
            </w:r>
            <w:r w:rsidRPr="0013396E">
              <w:t xml:space="preserve"> for Reg-Down, for the re-calculated Real-Time obligation, for the Operating Hour.</w:t>
            </w:r>
          </w:p>
        </w:tc>
      </w:tr>
      <w:tr w:rsidR="00EF6376" w:rsidRPr="0013396E" w14:paraId="5EDEE0B5"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6C2B21CA" w14:textId="77777777" w:rsidR="00EF6376" w:rsidRPr="0013396E" w:rsidRDefault="00EF6376" w:rsidP="0099759E">
            <w:pPr>
              <w:pStyle w:val="TableBody"/>
            </w:pPr>
            <w:r w:rsidRPr="0013396E">
              <w:t>DARDPR</w:t>
            </w:r>
          </w:p>
        </w:tc>
        <w:tc>
          <w:tcPr>
            <w:tcW w:w="990" w:type="dxa"/>
            <w:tcBorders>
              <w:top w:val="single" w:sz="4" w:space="0" w:color="auto"/>
              <w:left w:val="single" w:sz="4" w:space="0" w:color="auto"/>
              <w:bottom w:val="single" w:sz="4" w:space="0" w:color="auto"/>
              <w:right w:val="single" w:sz="4" w:space="0" w:color="auto"/>
            </w:tcBorders>
            <w:hideMark/>
          </w:tcPr>
          <w:p w14:paraId="4DBC2463" w14:textId="77777777" w:rsidR="00EF6376" w:rsidRPr="0013396E" w:rsidRDefault="00EF6376" w:rsidP="0099759E">
            <w:pPr>
              <w:pStyle w:val="TableBody"/>
            </w:pPr>
            <w:r w:rsidRPr="0013396E">
              <w:t xml:space="preserve">$/MW </w:t>
            </w:r>
          </w:p>
        </w:tc>
        <w:tc>
          <w:tcPr>
            <w:tcW w:w="6840" w:type="dxa"/>
            <w:tcBorders>
              <w:top w:val="single" w:sz="4" w:space="0" w:color="auto"/>
              <w:left w:val="single" w:sz="4" w:space="0" w:color="auto"/>
              <w:bottom w:val="single" w:sz="4" w:space="0" w:color="auto"/>
              <w:right w:val="single" w:sz="4" w:space="0" w:color="auto"/>
            </w:tcBorders>
            <w:hideMark/>
          </w:tcPr>
          <w:p w14:paraId="45CCDA48" w14:textId="77777777" w:rsidR="00EF6376" w:rsidRPr="0013396E" w:rsidRDefault="00EF6376" w:rsidP="0099759E">
            <w:pPr>
              <w:pStyle w:val="TableBody"/>
              <w:rPr>
                <w:i/>
              </w:rPr>
            </w:pPr>
            <w:r w:rsidRPr="0013396E">
              <w:rPr>
                <w:i/>
              </w:rPr>
              <w:t>Day-Ahead Reg-Down Price</w:t>
            </w:r>
            <w:r w:rsidRPr="0013396E">
              <w:t>—The DAM Reg-Down price for the Operating Hour.</w:t>
            </w:r>
          </w:p>
        </w:tc>
      </w:tr>
      <w:tr w:rsidR="00EF6376" w:rsidRPr="0013396E" w14:paraId="1792EAA7"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275F76D1" w14:textId="77777777" w:rsidR="00EF6376" w:rsidRPr="0013396E" w:rsidRDefault="00EF6376" w:rsidP="0099759E">
            <w:pPr>
              <w:pStyle w:val="TableBody"/>
            </w:pPr>
            <w:r w:rsidRPr="0013396E">
              <w:t>DARDNOBL</w:t>
            </w:r>
            <w:r w:rsidRPr="0013396E">
              <w:rPr>
                <w:vertAlign w:val="subscript"/>
              </w:rPr>
              <w:t xml:space="preserve">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145DFB75"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74846E93" w14:textId="77777777" w:rsidR="00EF6376" w:rsidRPr="0013396E" w:rsidRDefault="00EF6376" w:rsidP="0099759E">
            <w:pPr>
              <w:pStyle w:val="TableBody"/>
              <w:rPr>
                <w:i/>
              </w:rPr>
            </w:pPr>
            <w:r w:rsidRPr="0013396E">
              <w:rPr>
                <w:i/>
              </w:rPr>
              <w:t>Day-Ahead Reg-Down New Obligation per QSE—</w:t>
            </w:r>
            <w:r w:rsidRPr="0013396E">
              <w:t xml:space="preserve">The updated Reg-Down Ancillary Service Obligation in Real-Time, for QSE </w:t>
            </w:r>
            <w:r w:rsidRPr="0013396E">
              <w:rPr>
                <w:i/>
              </w:rPr>
              <w:t>q</w:t>
            </w:r>
            <w:r w:rsidRPr="0013396E">
              <w:t>, for the Operating Hour.</w:t>
            </w:r>
          </w:p>
        </w:tc>
      </w:tr>
      <w:tr w:rsidR="00EF6376" w:rsidRPr="0013396E" w14:paraId="05E83F09"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7A40B5D9" w14:textId="77777777" w:rsidR="00EF6376" w:rsidRPr="0013396E" w:rsidRDefault="00EF6376" w:rsidP="0099759E">
            <w:pPr>
              <w:pStyle w:val="TableBody"/>
              <w:rPr>
                <w:i/>
              </w:rPr>
            </w:pPr>
            <w:r w:rsidRPr="0013396E">
              <w:t xml:space="preserve">DARDAMT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1F8D33FB"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070FD843" w14:textId="77777777" w:rsidR="00EF6376" w:rsidRPr="0013396E" w:rsidRDefault="00EF6376" w:rsidP="0099759E">
            <w:pPr>
              <w:pStyle w:val="TableBody"/>
            </w:pPr>
            <w:r w:rsidRPr="0013396E">
              <w:rPr>
                <w:i/>
              </w:rPr>
              <w:t>Day-Ahead Reg-Down Amount per QSE</w:t>
            </w:r>
            <w:r w:rsidRPr="0013396E">
              <w:t xml:space="preserve">—QSE </w:t>
            </w:r>
            <w:r w:rsidRPr="0013396E">
              <w:rPr>
                <w:i/>
              </w:rPr>
              <w:t>q</w:t>
            </w:r>
            <w:r w:rsidRPr="0013396E">
              <w:t>’s share of the DAM cost for Reg-Down, for the Operating Hour.</w:t>
            </w:r>
          </w:p>
        </w:tc>
      </w:tr>
      <w:tr w:rsidR="00EF6376" w:rsidRPr="0013396E" w14:paraId="4A76CFB6"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39C6F4B1" w14:textId="77777777" w:rsidR="00EF6376" w:rsidRPr="0013396E" w:rsidRDefault="00EF6376" w:rsidP="0099759E">
            <w:pPr>
              <w:pStyle w:val="TableBody"/>
            </w:pPr>
            <w:r w:rsidRPr="0013396E">
              <w:t xml:space="preserve">PCRDR </w:t>
            </w:r>
            <w:r w:rsidRPr="0013396E">
              <w:rPr>
                <w:i/>
                <w:vertAlign w:val="subscript"/>
              </w:rPr>
              <w:t>r,</w:t>
            </w:r>
            <w:r w:rsidRPr="0013396E">
              <w:rPr>
                <w:i/>
              </w:rPr>
              <w:t xml:space="preserve"> </w:t>
            </w:r>
            <w:r w:rsidRPr="0013396E">
              <w:rPr>
                <w:i/>
                <w:vertAlign w:val="subscript"/>
              </w:rPr>
              <w:t>q, DAM</w:t>
            </w:r>
          </w:p>
        </w:tc>
        <w:tc>
          <w:tcPr>
            <w:tcW w:w="990" w:type="dxa"/>
            <w:tcBorders>
              <w:top w:val="single" w:sz="4" w:space="0" w:color="auto"/>
              <w:left w:val="single" w:sz="4" w:space="0" w:color="auto"/>
              <w:bottom w:val="single" w:sz="4" w:space="0" w:color="auto"/>
              <w:right w:val="single" w:sz="4" w:space="0" w:color="auto"/>
            </w:tcBorders>
            <w:hideMark/>
          </w:tcPr>
          <w:p w14:paraId="20A5FB86"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1AAF19A0" w14:textId="77777777" w:rsidR="00EF6376" w:rsidRPr="0013396E" w:rsidRDefault="00EF6376" w:rsidP="0099759E">
            <w:pPr>
              <w:pStyle w:val="TableBody"/>
              <w:rPr>
                <w:i/>
              </w:rPr>
            </w:pPr>
            <w:r w:rsidRPr="0013396E">
              <w:rPr>
                <w:i/>
              </w:rPr>
              <w:t>Procured Capacity for Reg-Down per Resource per QSE in DAM</w:t>
            </w:r>
            <w:r w:rsidRPr="0013396E">
              <w:t xml:space="preserve">—The Reg-Down capacity awarded to QSE </w:t>
            </w:r>
            <w:r w:rsidRPr="0013396E">
              <w:rPr>
                <w:i/>
              </w:rPr>
              <w:t>q</w:t>
            </w:r>
            <w:r w:rsidRPr="0013396E">
              <w:t xml:space="preserve"> in the DAM for Resource </w:t>
            </w:r>
            <w:r w:rsidRPr="0013396E">
              <w:rPr>
                <w:i/>
              </w:rPr>
              <w:t>r</w:t>
            </w:r>
            <w:r w:rsidRPr="0013396E">
              <w:t xml:space="preserve"> for the Operating Hour.  Where for a Combined Cycle Train, the Resource </w:t>
            </w:r>
            <w:r w:rsidRPr="0013396E">
              <w:rPr>
                <w:i/>
              </w:rPr>
              <w:t xml:space="preserve">r </w:t>
            </w:r>
            <w:r w:rsidRPr="0013396E">
              <w:t>is a Combined Cycle Generation Resource within the Combined Cycle Train.</w:t>
            </w:r>
          </w:p>
        </w:tc>
      </w:tr>
      <w:tr w:rsidR="00EF6376" w:rsidRPr="0013396E" w14:paraId="4BC85E00"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4B0B68FC" w14:textId="77777777" w:rsidR="00EF6376" w:rsidRPr="0013396E" w:rsidRDefault="00EF6376" w:rsidP="0099759E">
            <w:pPr>
              <w:pStyle w:val="TableBody"/>
            </w:pPr>
            <w:r w:rsidRPr="0013396E">
              <w:t xml:space="preserve">DARDOAWD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0FC76CA8"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70A02C17" w14:textId="77777777" w:rsidR="00EF6376" w:rsidRPr="0013396E" w:rsidRDefault="00EF6376" w:rsidP="0099759E">
            <w:pPr>
              <w:pStyle w:val="TableBody"/>
            </w:pPr>
            <w:r w:rsidRPr="0013396E">
              <w:rPr>
                <w:i/>
              </w:rPr>
              <w:t>Day-Ahead Reg-Down Only Award for the QSE</w:t>
            </w:r>
            <w:r w:rsidRPr="0013396E">
              <w:t xml:space="preserve">—The Reg-Down Only capacity awarded in the DAM to QSE </w:t>
            </w:r>
            <w:r w:rsidRPr="0013396E">
              <w:rPr>
                <w:i/>
              </w:rPr>
              <w:t>q</w:t>
            </w:r>
            <w:r w:rsidRPr="0013396E">
              <w:t xml:space="preserve"> for the Operating Hour.</w:t>
            </w:r>
          </w:p>
        </w:tc>
      </w:tr>
      <w:tr w:rsidR="00EF6376" w:rsidRPr="0013396E" w14:paraId="7290CE4C"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60CAF25A" w14:textId="77777777" w:rsidR="00EF6376" w:rsidRPr="0013396E" w:rsidRDefault="00EF6376" w:rsidP="0099759E">
            <w:pPr>
              <w:pStyle w:val="TableBody"/>
            </w:pPr>
            <w:r w:rsidRPr="0013396E">
              <w:t>HLRS</w:t>
            </w:r>
            <w:r w:rsidRPr="0013396E">
              <w:rPr>
                <w:i/>
                <w:vertAlign w:val="subscript"/>
              </w:rPr>
              <w:t xml:space="preserve"> q</w:t>
            </w:r>
          </w:p>
        </w:tc>
        <w:tc>
          <w:tcPr>
            <w:tcW w:w="990" w:type="dxa"/>
            <w:tcBorders>
              <w:top w:val="single" w:sz="4" w:space="0" w:color="auto"/>
              <w:left w:val="single" w:sz="4" w:space="0" w:color="auto"/>
              <w:bottom w:val="single" w:sz="4" w:space="0" w:color="auto"/>
              <w:right w:val="single" w:sz="4" w:space="0" w:color="auto"/>
            </w:tcBorders>
            <w:hideMark/>
          </w:tcPr>
          <w:p w14:paraId="64C0440E"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3EFFB35D" w14:textId="75474BB6" w:rsidR="00EF6376" w:rsidRPr="0013396E" w:rsidRDefault="00EF6376" w:rsidP="0099759E">
            <w:pPr>
              <w:pStyle w:val="TableBody"/>
            </w:pPr>
            <w:r w:rsidRPr="0013396E">
              <w:rPr>
                <w:i/>
              </w:rPr>
              <w:t>Hourly Load Ratio Share per QSE</w:t>
            </w:r>
            <w:r w:rsidRPr="0013396E">
              <w:t xml:space="preserve">—The Real-Time as defined in Section 6.6.2.4, for QSE </w:t>
            </w:r>
            <w:r w:rsidRPr="0013396E">
              <w:rPr>
                <w:i/>
              </w:rPr>
              <w:t>q</w:t>
            </w:r>
            <w:r w:rsidRPr="0013396E">
              <w:t>, for the Operating Hour.</w:t>
            </w:r>
          </w:p>
        </w:tc>
      </w:tr>
      <w:tr w:rsidR="00EF6376" w:rsidRPr="0013396E" w14:paraId="714B56C6"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38473FCF" w14:textId="77777777" w:rsidR="00EF6376" w:rsidRPr="0013396E" w:rsidRDefault="00EF6376" w:rsidP="0099759E">
            <w:pPr>
              <w:pStyle w:val="TableBody"/>
            </w:pPr>
            <w:r w:rsidRPr="0013396E">
              <w:t xml:space="preserve">DAPCRDQTOT  </w:t>
            </w:r>
          </w:p>
        </w:tc>
        <w:tc>
          <w:tcPr>
            <w:tcW w:w="990" w:type="dxa"/>
            <w:tcBorders>
              <w:top w:val="single" w:sz="4" w:space="0" w:color="auto"/>
              <w:left w:val="single" w:sz="4" w:space="0" w:color="auto"/>
              <w:bottom w:val="single" w:sz="4" w:space="0" w:color="auto"/>
              <w:right w:val="single" w:sz="4" w:space="0" w:color="auto"/>
            </w:tcBorders>
            <w:hideMark/>
          </w:tcPr>
          <w:p w14:paraId="2067A7F7"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43A3784F" w14:textId="77777777" w:rsidR="00EF6376" w:rsidRPr="0013396E" w:rsidRDefault="00EF6376" w:rsidP="0099759E">
            <w:pPr>
              <w:pStyle w:val="TableBody"/>
              <w:rPr>
                <w:i/>
              </w:rPr>
            </w:pPr>
            <w:r w:rsidRPr="0013396E">
              <w:rPr>
                <w:i/>
              </w:rPr>
              <w:t>Day-Ahead Procured Capacity for Reg-Down Total</w:t>
            </w:r>
            <w:r w:rsidRPr="0013396E">
              <w:t>—The total Reg-Down capacity for all QSEs for all Reg-Down awarded and self-arranged, in the DAM for the Operating Hour.</w:t>
            </w:r>
          </w:p>
        </w:tc>
      </w:tr>
      <w:tr w:rsidR="00EF6376" w:rsidRPr="0013396E" w14:paraId="1A9CC558"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724CCF3B" w14:textId="77777777" w:rsidR="00EF6376" w:rsidRPr="0013396E" w:rsidRDefault="00EF6376" w:rsidP="0099759E">
            <w:pPr>
              <w:pStyle w:val="TableBody"/>
            </w:pPr>
            <w:r w:rsidRPr="0013396E">
              <w:t xml:space="preserve">DASARDQ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07B6FA75"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11B2FCE6" w14:textId="77777777" w:rsidR="00EF6376" w:rsidRPr="0013396E" w:rsidRDefault="00EF6376" w:rsidP="0099759E">
            <w:pPr>
              <w:pStyle w:val="TableBody"/>
            </w:pPr>
            <w:r w:rsidRPr="0013396E">
              <w:rPr>
                <w:i/>
              </w:rPr>
              <w:t>Day-Ahead Self-Arranged Reg-Down Quantity per QSE</w:t>
            </w:r>
            <w:r w:rsidRPr="0013396E">
              <w:t xml:space="preserve">—The self-arranged Reg-Down capacity submitted by QSE </w:t>
            </w:r>
            <w:r w:rsidRPr="0013396E">
              <w:rPr>
                <w:i/>
              </w:rPr>
              <w:t>q</w:t>
            </w:r>
            <w:r w:rsidRPr="0013396E">
              <w:t xml:space="preserve"> before 1000 in the DAM for the Operating Hour.</w:t>
            </w:r>
          </w:p>
        </w:tc>
      </w:tr>
      <w:tr w:rsidR="00EF6376" w:rsidRPr="0013396E" w14:paraId="7EEAA3C7"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0B4B86E1" w14:textId="77777777" w:rsidR="00EF6376" w:rsidRPr="0013396E" w:rsidRDefault="00EF6376" w:rsidP="0099759E">
            <w:pPr>
              <w:pStyle w:val="TableBody"/>
              <w:rPr>
                <w:i/>
              </w:rPr>
            </w:pPr>
            <w:r w:rsidRPr="0013396E">
              <w:rPr>
                <w:i/>
              </w:rPr>
              <w:t>q</w:t>
            </w:r>
          </w:p>
        </w:tc>
        <w:tc>
          <w:tcPr>
            <w:tcW w:w="990" w:type="dxa"/>
            <w:tcBorders>
              <w:top w:val="single" w:sz="4" w:space="0" w:color="auto"/>
              <w:left w:val="single" w:sz="4" w:space="0" w:color="auto"/>
              <w:bottom w:val="single" w:sz="4" w:space="0" w:color="auto"/>
              <w:right w:val="single" w:sz="4" w:space="0" w:color="auto"/>
            </w:tcBorders>
            <w:hideMark/>
          </w:tcPr>
          <w:p w14:paraId="6B822B45"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7BC2E57B" w14:textId="77777777" w:rsidR="00EF6376" w:rsidRPr="0013396E" w:rsidRDefault="00EF6376" w:rsidP="0099759E">
            <w:pPr>
              <w:pStyle w:val="TableBody"/>
            </w:pPr>
            <w:r w:rsidRPr="0013396E">
              <w:t>A QSE.</w:t>
            </w:r>
          </w:p>
        </w:tc>
      </w:tr>
      <w:tr w:rsidR="00EF6376" w:rsidRPr="0013396E" w14:paraId="2453A54E"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0A9A127E" w14:textId="77777777" w:rsidR="00EF6376" w:rsidRPr="0013396E" w:rsidRDefault="00EF6376" w:rsidP="0099759E">
            <w:pPr>
              <w:pStyle w:val="TableBody"/>
              <w:rPr>
                <w:i/>
              </w:rPr>
            </w:pPr>
            <w:r w:rsidRPr="0013396E">
              <w:rPr>
                <w:i/>
              </w:rPr>
              <w:lastRenderedPageBreak/>
              <w:t>r</w:t>
            </w:r>
          </w:p>
        </w:tc>
        <w:tc>
          <w:tcPr>
            <w:tcW w:w="990" w:type="dxa"/>
            <w:tcBorders>
              <w:top w:val="single" w:sz="4" w:space="0" w:color="auto"/>
              <w:left w:val="single" w:sz="4" w:space="0" w:color="auto"/>
              <w:bottom w:val="single" w:sz="4" w:space="0" w:color="auto"/>
              <w:right w:val="single" w:sz="4" w:space="0" w:color="auto"/>
            </w:tcBorders>
            <w:hideMark/>
          </w:tcPr>
          <w:p w14:paraId="53C40F5D"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238E4757" w14:textId="77777777" w:rsidR="00EF6376" w:rsidRPr="0013396E" w:rsidRDefault="00EF6376" w:rsidP="0099759E">
            <w:pPr>
              <w:pStyle w:val="TableBody"/>
            </w:pPr>
            <w:r w:rsidRPr="0013396E">
              <w:t>A Resource.</w:t>
            </w:r>
          </w:p>
        </w:tc>
      </w:tr>
    </w:tbl>
    <w:p w14:paraId="37F96CDD" w14:textId="77777777" w:rsidR="00EF6376" w:rsidRPr="0013396E" w:rsidRDefault="00EF6376" w:rsidP="00EF6376">
      <w:pPr>
        <w:pStyle w:val="BodyTextNumbered"/>
        <w:spacing w:before="240"/>
        <w:ind w:left="1440"/>
        <w:rPr>
          <w:iCs/>
        </w:rPr>
      </w:pPr>
      <w:r w:rsidRPr="0013396E">
        <w:rPr>
          <w:iCs/>
        </w:rPr>
        <w:t>(c)</w:t>
      </w:r>
      <w:r w:rsidRPr="0013396E">
        <w:rPr>
          <w:iCs/>
        </w:rPr>
        <w:tab/>
        <w:t>For Responsive Reserve (RRS), if applicable:</w:t>
      </w:r>
    </w:p>
    <w:p w14:paraId="76D237B8" w14:textId="77777777" w:rsidR="00EF6376" w:rsidRPr="0013396E" w:rsidRDefault="00EF6376" w:rsidP="00EF6376">
      <w:pPr>
        <w:pStyle w:val="BodyTextNumbered"/>
        <w:ind w:left="1440"/>
        <w:rPr>
          <w:iCs/>
        </w:rPr>
      </w:pPr>
      <w:r w:rsidRPr="0013396E">
        <w:rPr>
          <w:iCs/>
        </w:rPr>
        <w:t xml:space="preserve">DARTPCRRAMT </w:t>
      </w:r>
      <w:r w:rsidRPr="0013396E">
        <w:rPr>
          <w:i/>
          <w:iCs/>
          <w:vertAlign w:val="subscript"/>
        </w:rPr>
        <w:t>q</w:t>
      </w:r>
      <w:r w:rsidRPr="0013396E">
        <w:rPr>
          <w:iCs/>
        </w:rPr>
        <w:t xml:space="preserve">  =  (DARRNOBL </w:t>
      </w:r>
      <w:r w:rsidRPr="0013396E">
        <w:rPr>
          <w:i/>
          <w:iCs/>
          <w:vertAlign w:val="subscript"/>
        </w:rPr>
        <w:t>q</w:t>
      </w:r>
      <w:r w:rsidRPr="0013396E">
        <w:rPr>
          <w:iCs/>
        </w:rPr>
        <w:t xml:space="preserve"> – DASARRQ </w:t>
      </w:r>
      <w:r w:rsidRPr="0013396E">
        <w:rPr>
          <w:i/>
          <w:iCs/>
          <w:vertAlign w:val="subscript"/>
        </w:rPr>
        <w:t>q</w:t>
      </w:r>
      <w:r w:rsidRPr="0013396E">
        <w:rPr>
          <w:iCs/>
        </w:rPr>
        <w:t xml:space="preserve">) * DARRPR - DARRAMT </w:t>
      </w:r>
      <w:r w:rsidRPr="0013396E">
        <w:rPr>
          <w:i/>
          <w:iCs/>
          <w:vertAlign w:val="subscript"/>
        </w:rPr>
        <w:t>q</w:t>
      </w:r>
    </w:p>
    <w:p w14:paraId="79B07B16" w14:textId="77777777" w:rsidR="00EF6376" w:rsidRPr="0013396E" w:rsidRDefault="00EF6376" w:rsidP="00EF6376">
      <w:pPr>
        <w:pStyle w:val="BodyTextNumbered"/>
        <w:rPr>
          <w:iCs/>
        </w:rPr>
      </w:pPr>
      <w:r w:rsidRPr="0013396E">
        <w:rPr>
          <w:iCs/>
        </w:rPr>
        <w:t>Where:</w:t>
      </w:r>
    </w:p>
    <w:p w14:paraId="026EF4E8" w14:textId="77777777" w:rsidR="00EF6376" w:rsidRPr="0013396E" w:rsidRDefault="00EF6376" w:rsidP="00EF6376">
      <w:pPr>
        <w:pStyle w:val="BodyTextNumbered"/>
        <w:ind w:left="1440"/>
        <w:rPr>
          <w:iCs/>
        </w:rPr>
      </w:pPr>
      <w:r w:rsidRPr="0013396E">
        <w:rPr>
          <w:iCs/>
        </w:rPr>
        <w:t xml:space="preserve">DARRNOBL </w:t>
      </w:r>
      <w:r w:rsidRPr="0013396E">
        <w:rPr>
          <w:i/>
          <w:iCs/>
          <w:vertAlign w:val="subscript"/>
        </w:rPr>
        <w:t>q</w:t>
      </w:r>
      <w:r w:rsidRPr="0013396E">
        <w:rPr>
          <w:iCs/>
        </w:rPr>
        <w:tab/>
        <w:t xml:space="preserve">=  DAPCRRQTOT * HLRS </w:t>
      </w:r>
      <w:r w:rsidRPr="0013396E">
        <w:rPr>
          <w:i/>
          <w:iCs/>
          <w:vertAlign w:val="subscript"/>
        </w:rPr>
        <w:t>q</w:t>
      </w:r>
      <w:r w:rsidRPr="0013396E">
        <w:rPr>
          <w:iCs/>
        </w:rPr>
        <w:t xml:space="preserve"> </w:t>
      </w:r>
    </w:p>
    <w:p w14:paraId="75B609C5" w14:textId="77777777" w:rsidR="00EF6376" w:rsidRPr="0013396E" w:rsidRDefault="00EF6376" w:rsidP="00EF6376">
      <w:pPr>
        <w:pStyle w:val="BodyTextNumbered"/>
        <w:ind w:left="1440"/>
        <w:rPr>
          <w:iCs/>
        </w:rPr>
      </w:pPr>
      <w:r w:rsidRPr="0013396E">
        <w:rPr>
          <w:iCs/>
        </w:rPr>
        <w:t xml:space="preserve">DAPCRRQTOT  =  </w:t>
      </w:r>
      <w:r w:rsidRPr="0013396E">
        <w:rPr>
          <w:iCs/>
          <w:position w:val="-22"/>
        </w:rPr>
        <w:object w:dxaOrig="285" w:dyaOrig="285" w14:anchorId="29191F7D">
          <v:shape id="_x0000_i1265" type="#_x0000_t75" style="width:18pt;height:30pt" o:ole="">
            <v:imagedata r:id="rId335" o:title=""/>
          </v:shape>
          <o:OLEObject Type="Embed" ProgID="Equation.3" ShapeID="_x0000_i1265" DrawAspect="Content" ObjectID="_1849065894" r:id="rId341"/>
        </w:object>
      </w:r>
      <w:r w:rsidRPr="0013396E">
        <w:rPr>
          <w:iCs/>
        </w:rPr>
        <w:t>(</w:t>
      </w:r>
      <w:r w:rsidRPr="0013396E">
        <w:rPr>
          <w:iCs/>
          <w:position w:val="-18"/>
        </w:rPr>
        <w:object w:dxaOrig="285" w:dyaOrig="570" w14:anchorId="43D9D58D">
          <v:shape id="_x0000_i1266" type="#_x0000_t75" style="width:12pt;height:30pt" o:ole="">
            <v:imagedata r:id="rId337" o:title=""/>
          </v:shape>
          <o:OLEObject Type="Embed" ProgID="Equation.3" ShapeID="_x0000_i1266" DrawAspect="Content" ObjectID="_1849065895" r:id="rId342"/>
        </w:object>
      </w:r>
      <w:r w:rsidRPr="0013396E">
        <w:rPr>
          <w:iCs/>
        </w:rPr>
        <w:fldChar w:fldCharType="begin"/>
      </w:r>
      <w:r w:rsidRPr="0013396E">
        <w:rPr>
          <w:iCs/>
        </w:rPr>
        <w:fldChar w:fldCharType="separate"/>
      </w:r>
      <w:r w:rsidRPr="0013396E">
        <w:rPr>
          <w:iCs/>
          <w:noProof/>
          <w:position w:val="-18"/>
        </w:rPr>
        <w:drawing>
          <wp:inline distT="0" distB="0" distL="0" distR="0" wp14:anchorId="165C74E5" wp14:editId="73FD43A3">
            <wp:extent cx="155575" cy="310515"/>
            <wp:effectExtent l="0" t="0" r="0" b="0"/>
            <wp:docPr id="1620291524" name="Picture 162029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55575" cy="310515"/>
                    </a:xfrm>
                    <a:prstGeom prst="rect">
                      <a:avLst/>
                    </a:prstGeom>
                    <a:noFill/>
                    <a:ln>
                      <a:noFill/>
                    </a:ln>
                  </pic:spPr>
                </pic:pic>
              </a:graphicData>
            </a:graphic>
          </wp:inline>
        </w:drawing>
      </w:r>
      <w:r w:rsidRPr="0013396E">
        <w:rPr>
          <w:iCs/>
        </w:rPr>
        <w:fldChar w:fldCharType="end"/>
      </w:r>
      <w:r w:rsidRPr="0013396E">
        <w:rPr>
          <w:iCs/>
        </w:rPr>
        <w:t>PCRRR</w:t>
      </w:r>
      <w:r w:rsidRPr="0013396E">
        <w:rPr>
          <w:i/>
          <w:iCs/>
        </w:rPr>
        <w:t xml:space="preserve"> </w:t>
      </w:r>
      <w:r w:rsidRPr="0013396E">
        <w:rPr>
          <w:i/>
          <w:iCs/>
          <w:vertAlign w:val="subscript"/>
        </w:rPr>
        <w:t>r, q, DAM</w:t>
      </w:r>
      <w:r w:rsidRPr="0013396E">
        <w:rPr>
          <w:iCs/>
        </w:rPr>
        <w:t xml:space="preserve"> + DARROAWD </w:t>
      </w:r>
      <w:r w:rsidRPr="0013396E">
        <w:rPr>
          <w:i/>
          <w:iCs/>
          <w:vertAlign w:val="subscript"/>
        </w:rPr>
        <w:t>q</w:t>
      </w:r>
      <w:r w:rsidRPr="0013396E">
        <w:rPr>
          <w:iCs/>
        </w:rPr>
        <w:t xml:space="preserve"> + DASARRQ </w:t>
      </w:r>
      <w:r w:rsidRPr="0013396E">
        <w:rPr>
          <w:i/>
          <w:iCs/>
          <w:vertAlign w:val="subscript"/>
        </w:rPr>
        <w:t>q</w:t>
      </w:r>
      <w:r w:rsidRPr="0013396E">
        <w:rPr>
          <w:iCs/>
        </w:rPr>
        <w:t>)</w:t>
      </w:r>
    </w:p>
    <w:p w14:paraId="63A1D230" w14:textId="77777777" w:rsidR="00EF6376" w:rsidRPr="0013396E" w:rsidRDefault="00EF6376" w:rsidP="00EF6376">
      <w:pPr>
        <w:rPr>
          <w:szCs w:val="24"/>
        </w:rPr>
      </w:pPr>
      <w:r w:rsidRPr="0013396E">
        <w:t>The above variables are defined as follows:</w:t>
      </w:r>
    </w:p>
    <w:tbl>
      <w:tblPr>
        <w:tblW w:w="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970"/>
        <w:gridCol w:w="6395"/>
      </w:tblGrid>
      <w:tr w:rsidR="00EF6376" w:rsidRPr="0013396E" w14:paraId="4B23E483" w14:textId="77777777" w:rsidTr="0099759E">
        <w:trPr>
          <w:cantSplit/>
          <w:tblHeader/>
        </w:trPr>
        <w:tc>
          <w:tcPr>
            <w:tcW w:w="1883" w:type="dxa"/>
            <w:tcBorders>
              <w:top w:val="single" w:sz="4" w:space="0" w:color="auto"/>
              <w:left w:val="single" w:sz="4" w:space="0" w:color="auto"/>
              <w:bottom w:val="single" w:sz="4" w:space="0" w:color="auto"/>
              <w:right w:val="single" w:sz="4" w:space="0" w:color="auto"/>
            </w:tcBorders>
            <w:hideMark/>
          </w:tcPr>
          <w:p w14:paraId="52096383" w14:textId="77777777" w:rsidR="00EF6376" w:rsidRPr="0013396E" w:rsidRDefault="00EF6376" w:rsidP="0099759E">
            <w:pPr>
              <w:pStyle w:val="TableHead"/>
            </w:pPr>
            <w:r w:rsidRPr="0013396E">
              <w:rPr>
                <w:iCs w:val="0"/>
              </w:rPr>
              <w:t>Variable</w:t>
            </w:r>
          </w:p>
        </w:tc>
        <w:tc>
          <w:tcPr>
            <w:tcW w:w="990" w:type="dxa"/>
            <w:tcBorders>
              <w:top w:val="single" w:sz="4" w:space="0" w:color="auto"/>
              <w:left w:val="single" w:sz="4" w:space="0" w:color="auto"/>
              <w:bottom w:val="single" w:sz="4" w:space="0" w:color="auto"/>
              <w:right w:val="single" w:sz="4" w:space="0" w:color="auto"/>
            </w:tcBorders>
            <w:hideMark/>
          </w:tcPr>
          <w:p w14:paraId="4D3B7DE4" w14:textId="77777777" w:rsidR="00EF6376" w:rsidRPr="0013396E" w:rsidRDefault="00EF6376" w:rsidP="0099759E">
            <w:pPr>
              <w:pStyle w:val="TableHead"/>
            </w:pPr>
            <w:r w:rsidRPr="0013396E">
              <w:t>Unit</w:t>
            </w:r>
          </w:p>
        </w:tc>
        <w:tc>
          <w:tcPr>
            <w:tcW w:w="6840" w:type="dxa"/>
            <w:tcBorders>
              <w:top w:val="single" w:sz="4" w:space="0" w:color="auto"/>
              <w:left w:val="single" w:sz="4" w:space="0" w:color="auto"/>
              <w:bottom w:val="single" w:sz="4" w:space="0" w:color="auto"/>
              <w:right w:val="single" w:sz="4" w:space="0" w:color="auto"/>
            </w:tcBorders>
            <w:hideMark/>
          </w:tcPr>
          <w:p w14:paraId="7E5983D8" w14:textId="77777777" w:rsidR="00EF6376" w:rsidRPr="0013396E" w:rsidRDefault="00EF6376" w:rsidP="0099759E">
            <w:pPr>
              <w:pStyle w:val="TableHead"/>
            </w:pPr>
            <w:r w:rsidRPr="0013396E">
              <w:t>Description</w:t>
            </w:r>
          </w:p>
        </w:tc>
      </w:tr>
      <w:tr w:rsidR="00EF6376" w:rsidRPr="0013396E" w14:paraId="34C00D07"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3B0256EC" w14:textId="77777777" w:rsidR="00EF6376" w:rsidRPr="0013396E" w:rsidRDefault="00EF6376" w:rsidP="0099759E">
            <w:pPr>
              <w:pStyle w:val="TableBody"/>
            </w:pPr>
            <w:r w:rsidRPr="0013396E">
              <w:t xml:space="preserve">DARTPCRRAMT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63CD73B3"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5BDC7D4E" w14:textId="77777777" w:rsidR="00EF6376" w:rsidRPr="0013396E" w:rsidRDefault="00EF6376" w:rsidP="0099759E">
            <w:pPr>
              <w:pStyle w:val="TableBody"/>
            </w:pPr>
            <w:r w:rsidRPr="0013396E">
              <w:rPr>
                <w:i/>
              </w:rPr>
              <w:t>Day-Ahead Updated Real-Time Procured Capacity for Responsive Reserve Amount by QSE</w:t>
            </w:r>
            <w:r w:rsidRPr="0013396E">
              <w:t xml:space="preserve">—The payment or charge to QSE </w:t>
            </w:r>
            <w:r w:rsidRPr="0013396E">
              <w:rPr>
                <w:i/>
              </w:rPr>
              <w:t>q</w:t>
            </w:r>
            <w:r w:rsidRPr="0013396E">
              <w:t xml:space="preserve"> for RRS, for the re-calculated Real-Time obligation, for the Operating Hour.</w:t>
            </w:r>
          </w:p>
        </w:tc>
      </w:tr>
      <w:tr w:rsidR="00EF6376" w:rsidRPr="0013396E" w14:paraId="0EC32FBE"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46C08A67" w14:textId="77777777" w:rsidR="00EF6376" w:rsidRPr="0013396E" w:rsidRDefault="00EF6376" w:rsidP="0099759E">
            <w:pPr>
              <w:pStyle w:val="TableBody"/>
            </w:pPr>
            <w:r w:rsidRPr="0013396E">
              <w:t>DARRPR</w:t>
            </w:r>
          </w:p>
        </w:tc>
        <w:tc>
          <w:tcPr>
            <w:tcW w:w="990" w:type="dxa"/>
            <w:tcBorders>
              <w:top w:val="single" w:sz="4" w:space="0" w:color="auto"/>
              <w:left w:val="single" w:sz="4" w:space="0" w:color="auto"/>
              <w:bottom w:val="single" w:sz="4" w:space="0" w:color="auto"/>
              <w:right w:val="single" w:sz="4" w:space="0" w:color="auto"/>
            </w:tcBorders>
            <w:hideMark/>
          </w:tcPr>
          <w:p w14:paraId="638A687C"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4FD7396F" w14:textId="77777777" w:rsidR="00EF6376" w:rsidRPr="0013396E" w:rsidRDefault="00EF6376" w:rsidP="0099759E">
            <w:pPr>
              <w:pStyle w:val="TableBody"/>
              <w:rPr>
                <w:i/>
              </w:rPr>
            </w:pPr>
            <w:r w:rsidRPr="0013396E">
              <w:rPr>
                <w:i/>
              </w:rPr>
              <w:t>Day-Ahead Responsive Reserve Price</w:t>
            </w:r>
            <w:r w:rsidRPr="0013396E">
              <w:t>—The DAM RRS price for the Operating Hour.</w:t>
            </w:r>
          </w:p>
        </w:tc>
      </w:tr>
      <w:tr w:rsidR="00EF6376" w:rsidRPr="0013396E" w14:paraId="62CD1BB7"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710B4C62" w14:textId="77777777" w:rsidR="00EF6376" w:rsidRPr="0013396E" w:rsidRDefault="00EF6376" w:rsidP="0099759E">
            <w:pPr>
              <w:pStyle w:val="TableBody"/>
            </w:pPr>
            <w:r w:rsidRPr="0013396E">
              <w:t>DARRNOBL</w:t>
            </w:r>
            <w:r w:rsidRPr="0013396E">
              <w:rPr>
                <w:vertAlign w:val="subscript"/>
              </w:rPr>
              <w:t xml:space="preserve">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597E4CED"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5D5A0DB7" w14:textId="77777777" w:rsidR="00EF6376" w:rsidRPr="0013396E" w:rsidRDefault="00EF6376" w:rsidP="0099759E">
            <w:pPr>
              <w:pStyle w:val="TableBody"/>
              <w:rPr>
                <w:i/>
              </w:rPr>
            </w:pPr>
            <w:r w:rsidRPr="0013396E">
              <w:rPr>
                <w:i/>
              </w:rPr>
              <w:t>Day-Ahead Responsive Reserve New Obligation per QSE—</w:t>
            </w:r>
            <w:r w:rsidRPr="0013396E">
              <w:t xml:space="preserve">The updated RRS Ancillary Service Obligation in Real-Time for QSE </w:t>
            </w:r>
            <w:r w:rsidRPr="0013396E">
              <w:rPr>
                <w:i/>
              </w:rPr>
              <w:t>q</w:t>
            </w:r>
            <w:r w:rsidRPr="0013396E">
              <w:t xml:space="preserve"> for the Operating Hour.</w:t>
            </w:r>
          </w:p>
        </w:tc>
      </w:tr>
      <w:tr w:rsidR="00EF6376" w:rsidRPr="0013396E" w14:paraId="57C9977E"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71AD2D72" w14:textId="77777777" w:rsidR="00EF6376" w:rsidRPr="0013396E" w:rsidRDefault="00EF6376" w:rsidP="0099759E">
            <w:pPr>
              <w:pStyle w:val="TableBody"/>
            </w:pPr>
            <w:r w:rsidRPr="0013396E">
              <w:t xml:space="preserve">DARRAMT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1BB552D2"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1637050E" w14:textId="77777777" w:rsidR="00EF6376" w:rsidRPr="0013396E" w:rsidRDefault="00EF6376" w:rsidP="0099759E">
            <w:pPr>
              <w:pStyle w:val="TableBody"/>
              <w:rPr>
                <w:i/>
              </w:rPr>
            </w:pPr>
            <w:r w:rsidRPr="0013396E">
              <w:rPr>
                <w:i/>
              </w:rPr>
              <w:t>Day-Ahead Responsive Reserve Amount per QSE</w:t>
            </w:r>
            <w:r w:rsidRPr="0013396E">
              <w:t xml:space="preserve">—QSE </w:t>
            </w:r>
            <w:r w:rsidRPr="0013396E">
              <w:rPr>
                <w:i/>
              </w:rPr>
              <w:t>q</w:t>
            </w:r>
            <w:r w:rsidRPr="0013396E">
              <w:t>’s share of the DAM cost for RRS for the Operating Hour.</w:t>
            </w:r>
          </w:p>
        </w:tc>
      </w:tr>
      <w:tr w:rsidR="00EF6376" w:rsidRPr="0013396E" w14:paraId="4B6EBC5F"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6BC59975" w14:textId="77777777" w:rsidR="00EF6376" w:rsidRPr="0013396E" w:rsidRDefault="00EF6376" w:rsidP="0099759E">
            <w:pPr>
              <w:pStyle w:val="TableBody"/>
            </w:pPr>
            <w:r w:rsidRPr="0013396E">
              <w:t xml:space="preserve">PCRRR </w:t>
            </w:r>
            <w:r w:rsidRPr="0013396E">
              <w:rPr>
                <w:i/>
                <w:vertAlign w:val="subscript"/>
              </w:rPr>
              <w:t>r,</w:t>
            </w:r>
            <w:r w:rsidRPr="0013396E">
              <w:rPr>
                <w:i/>
              </w:rPr>
              <w:t xml:space="preserve"> </w:t>
            </w:r>
            <w:r w:rsidRPr="0013396E">
              <w:rPr>
                <w:i/>
                <w:vertAlign w:val="subscript"/>
              </w:rPr>
              <w:t>q, DAM</w:t>
            </w:r>
          </w:p>
        </w:tc>
        <w:tc>
          <w:tcPr>
            <w:tcW w:w="990" w:type="dxa"/>
            <w:tcBorders>
              <w:top w:val="single" w:sz="4" w:space="0" w:color="auto"/>
              <w:left w:val="single" w:sz="4" w:space="0" w:color="auto"/>
              <w:bottom w:val="single" w:sz="4" w:space="0" w:color="auto"/>
              <w:right w:val="single" w:sz="4" w:space="0" w:color="auto"/>
            </w:tcBorders>
            <w:hideMark/>
          </w:tcPr>
          <w:p w14:paraId="169D11CC"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22C06EFE" w14:textId="77777777" w:rsidR="00EF6376" w:rsidRPr="0013396E" w:rsidRDefault="00EF6376" w:rsidP="0099759E">
            <w:pPr>
              <w:pStyle w:val="TableBody"/>
              <w:rPr>
                <w:i/>
              </w:rPr>
            </w:pPr>
            <w:r w:rsidRPr="0013396E">
              <w:rPr>
                <w:i/>
              </w:rPr>
              <w:t>Procured Capacity for Responsive Reserve per Resource per QSE in DAM</w:t>
            </w:r>
            <w:r w:rsidRPr="0013396E">
              <w:t xml:space="preserve">—The RRS capacity awarded to QSE </w:t>
            </w:r>
            <w:r w:rsidRPr="0013396E">
              <w:rPr>
                <w:i/>
              </w:rPr>
              <w:t>q</w:t>
            </w:r>
            <w:r w:rsidRPr="0013396E">
              <w:t xml:space="preserve"> in the DAM for Resource </w:t>
            </w:r>
            <w:r w:rsidRPr="0013396E">
              <w:rPr>
                <w:i/>
              </w:rPr>
              <w:t>r</w:t>
            </w:r>
            <w:r w:rsidRPr="0013396E">
              <w:t xml:space="preserve"> for the Operating Hour.  Where for a Combined Cycle Train, the Resource </w:t>
            </w:r>
            <w:r w:rsidRPr="0013396E">
              <w:rPr>
                <w:i/>
              </w:rPr>
              <w:t xml:space="preserve">r </w:t>
            </w:r>
            <w:r w:rsidRPr="0013396E">
              <w:t>is a Combined Cycle Generation Resource within the Combined Cycle Train.</w:t>
            </w:r>
          </w:p>
        </w:tc>
      </w:tr>
      <w:tr w:rsidR="00EF6376" w:rsidRPr="0013396E" w14:paraId="4273A65D"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723D67E5" w14:textId="77777777" w:rsidR="00EF6376" w:rsidRPr="0013396E" w:rsidRDefault="00EF6376" w:rsidP="0099759E">
            <w:pPr>
              <w:pStyle w:val="TableBody"/>
            </w:pPr>
            <w:r w:rsidRPr="0013396E">
              <w:t xml:space="preserve">DARROAWD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38C79ECC"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5D23D372" w14:textId="77777777" w:rsidR="00EF6376" w:rsidRPr="0013396E" w:rsidRDefault="00EF6376" w:rsidP="0099759E">
            <w:pPr>
              <w:pStyle w:val="TableBody"/>
            </w:pPr>
            <w:r w:rsidRPr="0013396E">
              <w:rPr>
                <w:i/>
              </w:rPr>
              <w:t>Day-Ahead Responsive Reserve Only Award for the QSE</w:t>
            </w:r>
            <w:r w:rsidRPr="0013396E">
              <w:t xml:space="preserve">—The RRS Only capacity awarded in the DAM to QSE </w:t>
            </w:r>
            <w:r w:rsidRPr="0013396E">
              <w:rPr>
                <w:i/>
              </w:rPr>
              <w:t>q</w:t>
            </w:r>
            <w:r w:rsidRPr="0013396E">
              <w:t xml:space="preserve"> for the Operating Hour.  </w:t>
            </w:r>
          </w:p>
        </w:tc>
      </w:tr>
      <w:tr w:rsidR="00EF6376" w:rsidRPr="0013396E" w14:paraId="73DB0118"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69C2117A" w14:textId="77777777" w:rsidR="00EF6376" w:rsidRPr="0013396E" w:rsidRDefault="00EF6376" w:rsidP="0099759E">
            <w:pPr>
              <w:pStyle w:val="TableBody"/>
            </w:pPr>
            <w:r w:rsidRPr="0013396E">
              <w:t>HLRS</w:t>
            </w:r>
            <w:r w:rsidRPr="0013396E">
              <w:rPr>
                <w:i/>
                <w:vertAlign w:val="subscript"/>
              </w:rPr>
              <w:t xml:space="preserve"> q</w:t>
            </w:r>
          </w:p>
        </w:tc>
        <w:tc>
          <w:tcPr>
            <w:tcW w:w="990" w:type="dxa"/>
            <w:tcBorders>
              <w:top w:val="single" w:sz="4" w:space="0" w:color="auto"/>
              <w:left w:val="single" w:sz="4" w:space="0" w:color="auto"/>
              <w:bottom w:val="single" w:sz="4" w:space="0" w:color="auto"/>
              <w:right w:val="single" w:sz="4" w:space="0" w:color="auto"/>
            </w:tcBorders>
            <w:hideMark/>
          </w:tcPr>
          <w:p w14:paraId="55257167"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187C4E78" w14:textId="3CB5E5F4" w:rsidR="00EF6376" w:rsidRPr="0013396E" w:rsidRDefault="00EF6376" w:rsidP="0099759E">
            <w:pPr>
              <w:pStyle w:val="TableBody"/>
            </w:pPr>
            <w:r w:rsidRPr="0013396E">
              <w:rPr>
                <w:i/>
                <w:iCs w:val="0"/>
              </w:rPr>
              <w:t>Hourly Load Ratio Share per QSE</w:t>
            </w:r>
            <w:r w:rsidRPr="0013396E">
              <w:t>—The Real-Time LRS as defined in Section 6.6.2.4</w:t>
            </w:r>
            <w:r w:rsidR="007C3E74">
              <w:t xml:space="preserve"> </w:t>
            </w:r>
            <w:r w:rsidRPr="0013396E">
              <w:t xml:space="preserve">for QSE </w:t>
            </w:r>
            <w:r w:rsidRPr="0013396E">
              <w:rPr>
                <w:i/>
              </w:rPr>
              <w:t>q</w:t>
            </w:r>
            <w:r w:rsidRPr="0013396E">
              <w:t xml:space="preserve"> for the Operating Hour.</w:t>
            </w:r>
          </w:p>
        </w:tc>
      </w:tr>
      <w:tr w:rsidR="00EF6376" w:rsidRPr="0013396E" w14:paraId="3F6783BA"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33C5FC11" w14:textId="77777777" w:rsidR="00EF6376" w:rsidRPr="0013396E" w:rsidRDefault="00EF6376" w:rsidP="0099759E">
            <w:pPr>
              <w:pStyle w:val="TableBody"/>
            </w:pPr>
            <w:r w:rsidRPr="0013396E">
              <w:t xml:space="preserve">DAPCRRQTOT  </w:t>
            </w:r>
          </w:p>
        </w:tc>
        <w:tc>
          <w:tcPr>
            <w:tcW w:w="990" w:type="dxa"/>
            <w:tcBorders>
              <w:top w:val="single" w:sz="4" w:space="0" w:color="auto"/>
              <w:left w:val="single" w:sz="4" w:space="0" w:color="auto"/>
              <w:bottom w:val="single" w:sz="4" w:space="0" w:color="auto"/>
              <w:right w:val="single" w:sz="4" w:space="0" w:color="auto"/>
            </w:tcBorders>
            <w:hideMark/>
          </w:tcPr>
          <w:p w14:paraId="4D63E5E0"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C76AA14" w14:textId="77777777" w:rsidR="00EF6376" w:rsidRPr="0013396E" w:rsidRDefault="00EF6376" w:rsidP="0099759E">
            <w:pPr>
              <w:pStyle w:val="TableBody"/>
            </w:pPr>
            <w:r w:rsidRPr="0013396E">
              <w:rPr>
                <w:i/>
              </w:rPr>
              <w:t>Day-Ahead Procured Capacity for Responsive Reserve Total</w:t>
            </w:r>
            <w:r w:rsidRPr="0013396E">
              <w:t>—The total RRS capacity for all QSEs for all RRS awarded and self-arranged in the DAM for the Operating Hour.</w:t>
            </w:r>
          </w:p>
        </w:tc>
      </w:tr>
      <w:tr w:rsidR="00EF6376" w:rsidRPr="0013396E" w14:paraId="782B5D26"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013554D6" w14:textId="77777777" w:rsidR="00EF6376" w:rsidRPr="0013396E" w:rsidRDefault="00EF6376" w:rsidP="0099759E">
            <w:pPr>
              <w:pStyle w:val="TableBody"/>
            </w:pPr>
            <w:r w:rsidRPr="0013396E">
              <w:t xml:space="preserve">DASARRQ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7604362F"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1A9F9BDE" w14:textId="77777777" w:rsidR="00EF6376" w:rsidRPr="0013396E" w:rsidRDefault="00EF6376" w:rsidP="0099759E">
            <w:pPr>
              <w:pStyle w:val="TableBody"/>
              <w:rPr>
                <w:i/>
              </w:rPr>
            </w:pPr>
            <w:r w:rsidRPr="0013396E">
              <w:rPr>
                <w:i/>
              </w:rPr>
              <w:t>Day-Ahead Self-Arranged Responsive Reserve Quantity per QSE</w:t>
            </w:r>
            <w:r w:rsidRPr="0013396E">
              <w:t xml:space="preserve">—The self-arranged RRS capacity submitted by QSE </w:t>
            </w:r>
            <w:r w:rsidRPr="0013396E">
              <w:rPr>
                <w:i/>
              </w:rPr>
              <w:t>q</w:t>
            </w:r>
            <w:r w:rsidRPr="0013396E">
              <w:t xml:space="preserve"> before 1000 in the DAM for the Operating Hour.</w:t>
            </w:r>
          </w:p>
        </w:tc>
      </w:tr>
      <w:tr w:rsidR="00EF6376" w:rsidRPr="0013396E" w14:paraId="35FE9675"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32A18247" w14:textId="77777777" w:rsidR="00EF6376" w:rsidRPr="0013396E" w:rsidRDefault="00EF6376" w:rsidP="0099759E">
            <w:pPr>
              <w:pStyle w:val="TableBody"/>
              <w:rPr>
                <w:i/>
              </w:rPr>
            </w:pPr>
            <w:r w:rsidRPr="0013396E">
              <w:rPr>
                <w:i/>
              </w:rPr>
              <w:t>q</w:t>
            </w:r>
          </w:p>
        </w:tc>
        <w:tc>
          <w:tcPr>
            <w:tcW w:w="990" w:type="dxa"/>
            <w:tcBorders>
              <w:top w:val="single" w:sz="4" w:space="0" w:color="auto"/>
              <w:left w:val="single" w:sz="4" w:space="0" w:color="auto"/>
              <w:bottom w:val="single" w:sz="4" w:space="0" w:color="auto"/>
              <w:right w:val="single" w:sz="4" w:space="0" w:color="auto"/>
            </w:tcBorders>
            <w:hideMark/>
          </w:tcPr>
          <w:p w14:paraId="790FA0DA"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679ABAD6" w14:textId="77777777" w:rsidR="00EF6376" w:rsidRPr="0013396E" w:rsidRDefault="00EF6376" w:rsidP="0099759E">
            <w:pPr>
              <w:pStyle w:val="TableBody"/>
            </w:pPr>
            <w:r w:rsidRPr="0013396E">
              <w:t>A QSE.</w:t>
            </w:r>
          </w:p>
        </w:tc>
      </w:tr>
      <w:tr w:rsidR="00EF6376" w:rsidRPr="0013396E" w14:paraId="27572DDB"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02DEE3DE" w14:textId="77777777" w:rsidR="00EF6376" w:rsidRPr="0013396E" w:rsidRDefault="00EF6376" w:rsidP="0099759E">
            <w:pPr>
              <w:pStyle w:val="TableBody"/>
              <w:rPr>
                <w:i/>
              </w:rPr>
            </w:pPr>
            <w:r w:rsidRPr="0013396E">
              <w:rPr>
                <w:i/>
              </w:rPr>
              <w:t>r</w:t>
            </w:r>
          </w:p>
        </w:tc>
        <w:tc>
          <w:tcPr>
            <w:tcW w:w="990" w:type="dxa"/>
            <w:tcBorders>
              <w:top w:val="single" w:sz="4" w:space="0" w:color="auto"/>
              <w:left w:val="single" w:sz="4" w:space="0" w:color="auto"/>
              <w:bottom w:val="single" w:sz="4" w:space="0" w:color="auto"/>
              <w:right w:val="single" w:sz="4" w:space="0" w:color="auto"/>
            </w:tcBorders>
            <w:hideMark/>
          </w:tcPr>
          <w:p w14:paraId="3BD87B90"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7B091AD4" w14:textId="77777777" w:rsidR="00EF6376" w:rsidRPr="0013396E" w:rsidRDefault="00EF6376" w:rsidP="0099759E">
            <w:pPr>
              <w:pStyle w:val="TableBody"/>
            </w:pPr>
            <w:r w:rsidRPr="0013396E">
              <w:t>A Resource.</w:t>
            </w:r>
          </w:p>
        </w:tc>
      </w:tr>
    </w:tbl>
    <w:p w14:paraId="5686E155" w14:textId="77777777" w:rsidR="00EF6376" w:rsidRPr="0013396E" w:rsidRDefault="00EF6376" w:rsidP="00EF6376">
      <w:pPr>
        <w:pStyle w:val="BodyTextNumbered"/>
        <w:spacing w:before="240"/>
        <w:ind w:left="1440"/>
        <w:rPr>
          <w:iCs/>
        </w:rPr>
      </w:pPr>
      <w:r w:rsidRPr="0013396E">
        <w:rPr>
          <w:iCs/>
        </w:rPr>
        <w:t>(d)</w:t>
      </w:r>
      <w:r w:rsidRPr="0013396E">
        <w:rPr>
          <w:iCs/>
        </w:rPr>
        <w:tab/>
        <w:t xml:space="preserve">For Non-Spinning Reserve (Non-Spin), if applicable: </w:t>
      </w:r>
    </w:p>
    <w:p w14:paraId="0F7F4B41" w14:textId="77777777" w:rsidR="00EF6376" w:rsidRPr="0013396E" w:rsidRDefault="00EF6376" w:rsidP="00EF6376">
      <w:pPr>
        <w:pStyle w:val="BodyTextNumbered"/>
        <w:ind w:left="1440"/>
        <w:rPr>
          <w:iCs/>
        </w:rPr>
      </w:pPr>
      <w:r w:rsidRPr="0013396E">
        <w:rPr>
          <w:iCs/>
        </w:rPr>
        <w:t xml:space="preserve">DARTPCNSAMT </w:t>
      </w:r>
      <w:r w:rsidRPr="0013396E">
        <w:rPr>
          <w:i/>
          <w:iCs/>
          <w:vertAlign w:val="subscript"/>
        </w:rPr>
        <w:t>q</w:t>
      </w:r>
      <w:r w:rsidRPr="0013396E">
        <w:rPr>
          <w:iCs/>
        </w:rPr>
        <w:t xml:space="preserve"> = (DANSNOBL </w:t>
      </w:r>
      <w:r w:rsidRPr="0013396E">
        <w:rPr>
          <w:i/>
          <w:iCs/>
          <w:vertAlign w:val="subscript"/>
        </w:rPr>
        <w:t>q</w:t>
      </w:r>
      <w:r w:rsidRPr="0013396E">
        <w:rPr>
          <w:iCs/>
        </w:rPr>
        <w:t xml:space="preserve"> – DASANSQ </w:t>
      </w:r>
      <w:r w:rsidRPr="0013396E">
        <w:rPr>
          <w:i/>
          <w:iCs/>
          <w:vertAlign w:val="subscript"/>
        </w:rPr>
        <w:t>q</w:t>
      </w:r>
      <w:r w:rsidRPr="0013396E">
        <w:rPr>
          <w:iCs/>
        </w:rPr>
        <w:t xml:space="preserve">) * DANSPR - DANSAMT </w:t>
      </w:r>
      <w:r w:rsidRPr="0013396E">
        <w:rPr>
          <w:i/>
          <w:iCs/>
          <w:vertAlign w:val="subscript"/>
        </w:rPr>
        <w:t>q</w:t>
      </w:r>
    </w:p>
    <w:p w14:paraId="2176BA22" w14:textId="77777777" w:rsidR="00EF6376" w:rsidRPr="0013396E" w:rsidRDefault="00EF6376" w:rsidP="00EF6376">
      <w:pPr>
        <w:pStyle w:val="BodyTextNumbered"/>
        <w:rPr>
          <w:iCs/>
        </w:rPr>
      </w:pPr>
      <w:r w:rsidRPr="0013396E">
        <w:rPr>
          <w:iCs/>
        </w:rPr>
        <w:t>Where:</w:t>
      </w:r>
    </w:p>
    <w:p w14:paraId="62CF62B2" w14:textId="77777777" w:rsidR="00EF6376" w:rsidRPr="0013396E" w:rsidRDefault="00EF6376" w:rsidP="00EF6376">
      <w:pPr>
        <w:pStyle w:val="BodyTextNumbered"/>
        <w:ind w:left="1440"/>
        <w:rPr>
          <w:iCs/>
        </w:rPr>
      </w:pPr>
      <w:r w:rsidRPr="0013396E">
        <w:rPr>
          <w:iCs/>
        </w:rPr>
        <w:lastRenderedPageBreak/>
        <w:t xml:space="preserve">DANSNOBL </w:t>
      </w:r>
      <w:r w:rsidRPr="0013396E">
        <w:rPr>
          <w:i/>
          <w:iCs/>
          <w:vertAlign w:val="subscript"/>
        </w:rPr>
        <w:t xml:space="preserve">q </w:t>
      </w:r>
      <w:r w:rsidRPr="0013396E">
        <w:rPr>
          <w:iCs/>
        </w:rPr>
        <w:t xml:space="preserve">    =  DAPCNSQTOT * HLRS </w:t>
      </w:r>
      <w:r w:rsidRPr="0013396E">
        <w:rPr>
          <w:i/>
          <w:iCs/>
          <w:vertAlign w:val="subscript"/>
        </w:rPr>
        <w:t>q</w:t>
      </w:r>
      <w:r w:rsidRPr="0013396E">
        <w:rPr>
          <w:iCs/>
        </w:rPr>
        <w:t xml:space="preserve"> </w:t>
      </w:r>
    </w:p>
    <w:p w14:paraId="490A3748" w14:textId="77777777" w:rsidR="00EF6376" w:rsidRPr="0013396E" w:rsidRDefault="00EF6376" w:rsidP="00EF6376">
      <w:pPr>
        <w:pStyle w:val="BodyTextNumbered"/>
        <w:ind w:left="1440"/>
        <w:rPr>
          <w:iCs/>
        </w:rPr>
      </w:pPr>
      <w:r w:rsidRPr="0013396E">
        <w:rPr>
          <w:iCs/>
        </w:rPr>
        <w:t xml:space="preserve">DAPCNSQTOT      =  </w:t>
      </w:r>
      <w:r w:rsidRPr="0013396E">
        <w:rPr>
          <w:iCs/>
          <w:position w:val="-22"/>
        </w:rPr>
        <w:object w:dxaOrig="285" w:dyaOrig="285" w14:anchorId="16E26595">
          <v:shape id="_x0000_i1267" type="#_x0000_t75" style="width:30pt;height:30pt" o:ole="">
            <v:imagedata r:id="rId335" o:title=""/>
          </v:shape>
          <o:OLEObject Type="Embed" ProgID="Equation.3" ShapeID="_x0000_i1267" DrawAspect="Content" ObjectID="_1849065896" r:id="rId344"/>
        </w:object>
      </w:r>
      <w:r w:rsidRPr="0013396E">
        <w:rPr>
          <w:iCs/>
        </w:rPr>
        <w:t xml:space="preserve"> (</w:t>
      </w:r>
      <w:r w:rsidRPr="0013396E">
        <w:rPr>
          <w:iCs/>
          <w:position w:val="-18"/>
        </w:rPr>
        <w:object w:dxaOrig="285" w:dyaOrig="570" w14:anchorId="065FB310">
          <v:shape id="_x0000_i1268" type="#_x0000_t75" style="width:12pt;height:30pt" o:ole="">
            <v:imagedata r:id="rId337" o:title=""/>
          </v:shape>
          <o:OLEObject Type="Embed" ProgID="Equation.3" ShapeID="_x0000_i1268" DrawAspect="Content" ObjectID="_1849065897" r:id="rId345"/>
        </w:object>
      </w:r>
      <w:r w:rsidRPr="0013396E">
        <w:rPr>
          <w:iCs/>
        </w:rPr>
        <w:t>PCNSR</w:t>
      </w:r>
      <w:r w:rsidRPr="0013396E">
        <w:rPr>
          <w:i/>
          <w:iCs/>
        </w:rPr>
        <w:t xml:space="preserve"> </w:t>
      </w:r>
      <w:r w:rsidRPr="0013396E">
        <w:rPr>
          <w:i/>
          <w:iCs/>
          <w:vertAlign w:val="subscript"/>
        </w:rPr>
        <w:t>r, q, DAM</w:t>
      </w:r>
      <w:r w:rsidRPr="0013396E">
        <w:rPr>
          <w:iCs/>
        </w:rPr>
        <w:t xml:space="preserve"> + DANSOAWD </w:t>
      </w:r>
      <w:r w:rsidRPr="0013396E">
        <w:rPr>
          <w:i/>
          <w:iCs/>
          <w:vertAlign w:val="subscript"/>
        </w:rPr>
        <w:t>q</w:t>
      </w:r>
      <w:r w:rsidRPr="0013396E">
        <w:rPr>
          <w:iCs/>
        </w:rPr>
        <w:t xml:space="preserve"> + DASANSQ </w:t>
      </w:r>
      <w:r w:rsidRPr="0013396E">
        <w:rPr>
          <w:i/>
          <w:iCs/>
          <w:vertAlign w:val="subscript"/>
        </w:rPr>
        <w:t>q</w:t>
      </w:r>
      <w:r w:rsidRPr="0013396E">
        <w:rPr>
          <w:iCs/>
        </w:rPr>
        <w:t>)</w:t>
      </w:r>
    </w:p>
    <w:p w14:paraId="27F79F39" w14:textId="77777777" w:rsidR="00EF6376" w:rsidRPr="0013396E" w:rsidRDefault="00EF6376" w:rsidP="00EF6376">
      <w:pPr>
        <w:pStyle w:val="BodyTextNumbered"/>
        <w:spacing w:after="0"/>
        <w:rPr>
          <w:iCs/>
        </w:rPr>
      </w:pPr>
      <w:r w:rsidRPr="0013396E">
        <w:rPr>
          <w:iCs/>
        </w:rPr>
        <w:t>The above variables are defined as follows:</w:t>
      </w:r>
    </w:p>
    <w:tbl>
      <w:tblPr>
        <w:tblW w:w="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970"/>
        <w:gridCol w:w="6396"/>
      </w:tblGrid>
      <w:tr w:rsidR="00EF6376" w:rsidRPr="0013396E" w14:paraId="3DB83C10" w14:textId="77777777" w:rsidTr="0099759E">
        <w:trPr>
          <w:cantSplit/>
          <w:tblHeader/>
        </w:trPr>
        <w:tc>
          <w:tcPr>
            <w:tcW w:w="1883" w:type="dxa"/>
            <w:tcBorders>
              <w:top w:val="single" w:sz="4" w:space="0" w:color="auto"/>
              <w:left w:val="single" w:sz="4" w:space="0" w:color="auto"/>
              <w:bottom w:val="single" w:sz="4" w:space="0" w:color="auto"/>
              <w:right w:val="single" w:sz="4" w:space="0" w:color="auto"/>
            </w:tcBorders>
            <w:hideMark/>
          </w:tcPr>
          <w:p w14:paraId="61A40DEB" w14:textId="77777777" w:rsidR="00EF6376" w:rsidRPr="0013396E" w:rsidRDefault="00EF6376" w:rsidP="0099759E">
            <w:pPr>
              <w:pStyle w:val="TableHead"/>
            </w:pPr>
            <w:r w:rsidRPr="0013396E">
              <w:rPr>
                <w:iCs w:val="0"/>
              </w:rPr>
              <w:t>Variable</w:t>
            </w:r>
          </w:p>
        </w:tc>
        <w:tc>
          <w:tcPr>
            <w:tcW w:w="990" w:type="dxa"/>
            <w:tcBorders>
              <w:top w:val="single" w:sz="4" w:space="0" w:color="auto"/>
              <w:left w:val="single" w:sz="4" w:space="0" w:color="auto"/>
              <w:bottom w:val="single" w:sz="4" w:space="0" w:color="auto"/>
              <w:right w:val="single" w:sz="4" w:space="0" w:color="auto"/>
            </w:tcBorders>
            <w:hideMark/>
          </w:tcPr>
          <w:p w14:paraId="6DB6E3C2" w14:textId="77777777" w:rsidR="00EF6376" w:rsidRPr="0013396E" w:rsidRDefault="00EF6376" w:rsidP="0099759E">
            <w:pPr>
              <w:pStyle w:val="TableHead"/>
            </w:pPr>
            <w:r w:rsidRPr="0013396E">
              <w:t>Unit</w:t>
            </w:r>
          </w:p>
        </w:tc>
        <w:tc>
          <w:tcPr>
            <w:tcW w:w="6840" w:type="dxa"/>
            <w:tcBorders>
              <w:top w:val="single" w:sz="4" w:space="0" w:color="auto"/>
              <w:left w:val="single" w:sz="4" w:space="0" w:color="auto"/>
              <w:bottom w:val="single" w:sz="4" w:space="0" w:color="auto"/>
              <w:right w:val="single" w:sz="4" w:space="0" w:color="auto"/>
            </w:tcBorders>
            <w:hideMark/>
          </w:tcPr>
          <w:p w14:paraId="1C4C7F31" w14:textId="77777777" w:rsidR="00EF6376" w:rsidRPr="0013396E" w:rsidRDefault="00EF6376" w:rsidP="0099759E">
            <w:pPr>
              <w:pStyle w:val="TableHead"/>
            </w:pPr>
            <w:r w:rsidRPr="0013396E">
              <w:t>Description</w:t>
            </w:r>
          </w:p>
        </w:tc>
      </w:tr>
      <w:tr w:rsidR="00EF6376" w:rsidRPr="0013396E" w14:paraId="764B738E"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5FE513AB" w14:textId="77777777" w:rsidR="00EF6376" w:rsidRPr="0013396E" w:rsidRDefault="00EF6376" w:rsidP="0099759E">
            <w:pPr>
              <w:pStyle w:val="TableBody"/>
            </w:pPr>
            <w:r w:rsidRPr="0013396E">
              <w:t xml:space="preserve">DARTPCNSAMT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72306980"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464C404C" w14:textId="77777777" w:rsidR="00EF6376" w:rsidRPr="0013396E" w:rsidRDefault="00EF6376" w:rsidP="0099759E">
            <w:pPr>
              <w:pStyle w:val="TableBody"/>
            </w:pPr>
            <w:r w:rsidRPr="0013396E">
              <w:rPr>
                <w:i/>
              </w:rPr>
              <w:t>Day-Ahead Updated Real-Time Procured Capacity for Non-Spin Amount by QSE</w:t>
            </w:r>
            <w:r w:rsidRPr="0013396E">
              <w:t xml:space="preserve">—The payment or charge to QSE </w:t>
            </w:r>
            <w:r w:rsidRPr="0013396E">
              <w:rPr>
                <w:i/>
              </w:rPr>
              <w:t>q</w:t>
            </w:r>
            <w:r w:rsidRPr="0013396E">
              <w:t xml:space="preserve"> for Non-Spin for the re-calculated Real-Time obligation for the Operating Hour.</w:t>
            </w:r>
          </w:p>
        </w:tc>
      </w:tr>
      <w:tr w:rsidR="00EF6376" w:rsidRPr="0013396E" w14:paraId="34ECC5CF"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479D0785" w14:textId="77777777" w:rsidR="00EF6376" w:rsidRPr="0013396E" w:rsidRDefault="00EF6376" w:rsidP="0099759E">
            <w:pPr>
              <w:pStyle w:val="TableBody"/>
            </w:pPr>
            <w:r w:rsidRPr="0013396E">
              <w:t>DANSPR</w:t>
            </w:r>
          </w:p>
        </w:tc>
        <w:tc>
          <w:tcPr>
            <w:tcW w:w="990" w:type="dxa"/>
            <w:tcBorders>
              <w:top w:val="single" w:sz="4" w:space="0" w:color="auto"/>
              <w:left w:val="single" w:sz="4" w:space="0" w:color="auto"/>
              <w:bottom w:val="single" w:sz="4" w:space="0" w:color="auto"/>
              <w:right w:val="single" w:sz="4" w:space="0" w:color="auto"/>
            </w:tcBorders>
            <w:hideMark/>
          </w:tcPr>
          <w:p w14:paraId="6E3659BF"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361DEBD3" w14:textId="77777777" w:rsidR="00EF6376" w:rsidRPr="0013396E" w:rsidRDefault="00EF6376" w:rsidP="0099759E">
            <w:pPr>
              <w:pStyle w:val="TableBody"/>
              <w:rPr>
                <w:i/>
              </w:rPr>
            </w:pPr>
            <w:r w:rsidRPr="0013396E">
              <w:rPr>
                <w:i/>
              </w:rPr>
              <w:t>Day-Ahead Non-Spin Price</w:t>
            </w:r>
            <w:r w:rsidRPr="0013396E">
              <w:t>—The DAM Non-Spin price for the Operating Hour.</w:t>
            </w:r>
          </w:p>
        </w:tc>
      </w:tr>
      <w:tr w:rsidR="00EF6376" w:rsidRPr="0013396E" w14:paraId="02E0435B"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7A6D6CF7" w14:textId="77777777" w:rsidR="00EF6376" w:rsidRPr="0013396E" w:rsidRDefault="00EF6376" w:rsidP="0099759E">
            <w:pPr>
              <w:pStyle w:val="TableBody"/>
            </w:pPr>
            <w:r w:rsidRPr="0013396E">
              <w:t>DANSNOBL</w:t>
            </w:r>
            <w:r w:rsidRPr="0013396E">
              <w:rPr>
                <w:vertAlign w:val="subscript"/>
              </w:rPr>
              <w:t xml:space="preserve">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52FA269B"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61A7F148" w14:textId="77777777" w:rsidR="00EF6376" w:rsidRPr="0013396E" w:rsidRDefault="00EF6376" w:rsidP="0099759E">
            <w:pPr>
              <w:pStyle w:val="TableBody"/>
              <w:rPr>
                <w:i/>
              </w:rPr>
            </w:pPr>
            <w:r w:rsidRPr="0013396E">
              <w:rPr>
                <w:i/>
              </w:rPr>
              <w:t>Day-Ahead Non-Spin New Obligation per QSE—</w:t>
            </w:r>
            <w:r w:rsidRPr="0013396E">
              <w:t xml:space="preserve">The updated Non-Spin Ancillary Service Obligation in Real-Time for QSE </w:t>
            </w:r>
            <w:r w:rsidRPr="0013396E">
              <w:rPr>
                <w:i/>
              </w:rPr>
              <w:t>q</w:t>
            </w:r>
            <w:r w:rsidRPr="0013396E">
              <w:t xml:space="preserve"> for the Operating Hour.</w:t>
            </w:r>
          </w:p>
        </w:tc>
      </w:tr>
      <w:tr w:rsidR="00EF6376" w:rsidRPr="0013396E" w14:paraId="0FD65D75"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7084B89F" w14:textId="77777777" w:rsidR="00EF6376" w:rsidRPr="0013396E" w:rsidRDefault="00EF6376" w:rsidP="0099759E">
            <w:pPr>
              <w:pStyle w:val="TableBody"/>
            </w:pPr>
            <w:r w:rsidRPr="0013396E">
              <w:t xml:space="preserve">PCNSR </w:t>
            </w:r>
            <w:r w:rsidRPr="0013396E">
              <w:rPr>
                <w:i/>
                <w:vertAlign w:val="subscript"/>
              </w:rPr>
              <w:t>r,</w:t>
            </w:r>
            <w:r w:rsidRPr="0013396E">
              <w:rPr>
                <w:i/>
              </w:rPr>
              <w:t xml:space="preserve"> </w:t>
            </w:r>
            <w:r w:rsidRPr="0013396E">
              <w:rPr>
                <w:i/>
                <w:vertAlign w:val="subscript"/>
              </w:rPr>
              <w:t>q, DAM</w:t>
            </w:r>
          </w:p>
        </w:tc>
        <w:tc>
          <w:tcPr>
            <w:tcW w:w="990" w:type="dxa"/>
            <w:tcBorders>
              <w:top w:val="single" w:sz="4" w:space="0" w:color="auto"/>
              <w:left w:val="single" w:sz="4" w:space="0" w:color="auto"/>
              <w:bottom w:val="single" w:sz="4" w:space="0" w:color="auto"/>
              <w:right w:val="single" w:sz="4" w:space="0" w:color="auto"/>
            </w:tcBorders>
            <w:hideMark/>
          </w:tcPr>
          <w:p w14:paraId="2EAB9F4E"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90B4157" w14:textId="77777777" w:rsidR="00EF6376" w:rsidRPr="0013396E" w:rsidRDefault="00EF6376" w:rsidP="0099759E">
            <w:pPr>
              <w:pStyle w:val="TableBody"/>
              <w:rPr>
                <w:i/>
              </w:rPr>
            </w:pPr>
            <w:r w:rsidRPr="0013396E">
              <w:rPr>
                <w:i/>
              </w:rPr>
              <w:t>Procured Capacity for Non-Spin per Resource per QSE in DAM</w:t>
            </w:r>
            <w:r w:rsidRPr="0013396E">
              <w:t xml:space="preserve">—The Non-Spin capacity awarded to QSE </w:t>
            </w:r>
            <w:r w:rsidRPr="0013396E">
              <w:rPr>
                <w:i/>
              </w:rPr>
              <w:t>q</w:t>
            </w:r>
            <w:r w:rsidRPr="0013396E">
              <w:t xml:space="preserve"> in the DAM for Resource </w:t>
            </w:r>
            <w:r w:rsidRPr="0013396E">
              <w:rPr>
                <w:i/>
              </w:rPr>
              <w:t>r</w:t>
            </w:r>
            <w:r w:rsidRPr="0013396E">
              <w:t xml:space="preserve"> for the Operating Hour.  Where for a Combined Cycle Train, the Resource </w:t>
            </w:r>
            <w:r w:rsidRPr="0013396E">
              <w:rPr>
                <w:i/>
              </w:rPr>
              <w:t xml:space="preserve">r </w:t>
            </w:r>
            <w:r w:rsidRPr="0013396E">
              <w:t>is a Combined Cycle Generation Resource within the Combined Cycle Train.</w:t>
            </w:r>
          </w:p>
        </w:tc>
      </w:tr>
      <w:tr w:rsidR="00EF6376" w:rsidRPr="0013396E" w14:paraId="3BF82873"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2DCC037C" w14:textId="77777777" w:rsidR="00EF6376" w:rsidRPr="0013396E" w:rsidRDefault="00EF6376" w:rsidP="0099759E">
            <w:pPr>
              <w:pStyle w:val="TableBody"/>
            </w:pPr>
            <w:r w:rsidRPr="0013396E">
              <w:t xml:space="preserve">DANSOAWD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06AE6572"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6B767F22" w14:textId="77777777" w:rsidR="00EF6376" w:rsidRPr="0013396E" w:rsidRDefault="00EF6376" w:rsidP="0099759E">
            <w:pPr>
              <w:pStyle w:val="TableBody"/>
              <w:rPr>
                <w:i/>
              </w:rPr>
            </w:pPr>
            <w:r w:rsidRPr="0013396E">
              <w:rPr>
                <w:i/>
              </w:rPr>
              <w:t>Day-Ahead Non-Spin Only Award for the QSE</w:t>
            </w:r>
            <w:r w:rsidRPr="0013396E">
              <w:t xml:space="preserve">—The Non-Spin Only capacity awarded in the DAM to QSE </w:t>
            </w:r>
            <w:r w:rsidRPr="0013396E">
              <w:rPr>
                <w:i/>
              </w:rPr>
              <w:t>q</w:t>
            </w:r>
            <w:r w:rsidRPr="0013396E">
              <w:t xml:space="preserve"> for the Operating Hour.  </w:t>
            </w:r>
          </w:p>
        </w:tc>
      </w:tr>
      <w:tr w:rsidR="00EF6376" w:rsidRPr="0013396E" w14:paraId="647C8888"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3A34893D" w14:textId="77777777" w:rsidR="00EF6376" w:rsidRPr="0013396E" w:rsidRDefault="00EF6376" w:rsidP="0099759E">
            <w:pPr>
              <w:pStyle w:val="TableBody"/>
              <w:rPr>
                <w:i/>
              </w:rPr>
            </w:pPr>
            <w:r w:rsidRPr="0013396E">
              <w:t xml:space="preserve">DANSAMT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0C81AB40"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659371AB" w14:textId="77777777" w:rsidR="00EF6376" w:rsidRPr="0013396E" w:rsidRDefault="00EF6376" w:rsidP="0099759E">
            <w:pPr>
              <w:pStyle w:val="TableBody"/>
            </w:pPr>
            <w:r w:rsidRPr="0013396E">
              <w:rPr>
                <w:i/>
              </w:rPr>
              <w:t>Day-Ahead Non-Spin Amount per QSE</w:t>
            </w:r>
            <w:r w:rsidRPr="0013396E">
              <w:t xml:space="preserve">—QSE </w:t>
            </w:r>
            <w:r w:rsidRPr="0013396E">
              <w:rPr>
                <w:i/>
              </w:rPr>
              <w:t>q</w:t>
            </w:r>
            <w:r w:rsidRPr="0013396E">
              <w:t>’s share of the DAM cost for Non-Spin for the Operating Hour.</w:t>
            </w:r>
          </w:p>
        </w:tc>
      </w:tr>
      <w:tr w:rsidR="00EF6376" w:rsidRPr="0013396E" w14:paraId="393D2249"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188EBA53" w14:textId="77777777" w:rsidR="00EF6376" w:rsidRPr="0013396E" w:rsidRDefault="00EF6376" w:rsidP="0099759E">
            <w:pPr>
              <w:pStyle w:val="TableBody"/>
            </w:pPr>
            <w:r w:rsidRPr="0013396E">
              <w:t>HLRS</w:t>
            </w:r>
            <w:r w:rsidRPr="0013396E">
              <w:rPr>
                <w:i/>
                <w:vertAlign w:val="subscript"/>
              </w:rPr>
              <w:t xml:space="preserve"> q</w:t>
            </w:r>
          </w:p>
        </w:tc>
        <w:tc>
          <w:tcPr>
            <w:tcW w:w="990" w:type="dxa"/>
            <w:tcBorders>
              <w:top w:val="single" w:sz="4" w:space="0" w:color="auto"/>
              <w:left w:val="single" w:sz="4" w:space="0" w:color="auto"/>
              <w:bottom w:val="single" w:sz="4" w:space="0" w:color="auto"/>
              <w:right w:val="single" w:sz="4" w:space="0" w:color="auto"/>
            </w:tcBorders>
            <w:hideMark/>
          </w:tcPr>
          <w:p w14:paraId="368ED1BA"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2010A2AA" w14:textId="03D6F01A" w:rsidR="00EF6376" w:rsidRPr="0013396E" w:rsidRDefault="00EF6376" w:rsidP="0099759E">
            <w:pPr>
              <w:pStyle w:val="TableBody"/>
            </w:pPr>
            <w:r w:rsidRPr="0013396E">
              <w:rPr>
                <w:i/>
              </w:rPr>
              <w:t>Hourly Load Ratio Share per QSE</w:t>
            </w:r>
            <w:r w:rsidRPr="0013396E">
              <w:t xml:space="preserve">—The Real-Time LRS as defined in Section 6.6.2.4 for QSE </w:t>
            </w:r>
            <w:r w:rsidRPr="0013396E">
              <w:rPr>
                <w:i/>
              </w:rPr>
              <w:t>q</w:t>
            </w:r>
            <w:r w:rsidRPr="0013396E">
              <w:t xml:space="preserve"> for the Operating Hour.</w:t>
            </w:r>
          </w:p>
        </w:tc>
      </w:tr>
      <w:tr w:rsidR="00EF6376" w:rsidRPr="0013396E" w14:paraId="6765CEA1"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79590BC7" w14:textId="77777777" w:rsidR="00EF6376" w:rsidRPr="0013396E" w:rsidRDefault="00EF6376" w:rsidP="0099759E">
            <w:pPr>
              <w:pStyle w:val="TableBody"/>
            </w:pPr>
            <w:r w:rsidRPr="0013396E">
              <w:t xml:space="preserve">DAPCNSQTOT  </w:t>
            </w:r>
          </w:p>
        </w:tc>
        <w:tc>
          <w:tcPr>
            <w:tcW w:w="990" w:type="dxa"/>
            <w:tcBorders>
              <w:top w:val="single" w:sz="4" w:space="0" w:color="auto"/>
              <w:left w:val="single" w:sz="4" w:space="0" w:color="auto"/>
              <w:bottom w:val="single" w:sz="4" w:space="0" w:color="auto"/>
              <w:right w:val="single" w:sz="4" w:space="0" w:color="auto"/>
            </w:tcBorders>
            <w:hideMark/>
          </w:tcPr>
          <w:p w14:paraId="6825D983"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F165920" w14:textId="77777777" w:rsidR="00EF6376" w:rsidRPr="0013396E" w:rsidRDefault="00EF6376" w:rsidP="0099759E">
            <w:pPr>
              <w:pStyle w:val="TableBody"/>
            </w:pPr>
            <w:r w:rsidRPr="0013396E">
              <w:rPr>
                <w:i/>
              </w:rPr>
              <w:t>Day-Ahead Procured Capacity for Non-Spin Total</w:t>
            </w:r>
            <w:r w:rsidRPr="0013396E">
              <w:t>—The total Non-Spin capacity for all QSEs for all Non-Spin awarded and self-arranged in the DAM for the Operating Hour.</w:t>
            </w:r>
          </w:p>
        </w:tc>
      </w:tr>
      <w:tr w:rsidR="00EF6376" w:rsidRPr="0013396E" w14:paraId="1F2F83FE" w14:textId="77777777" w:rsidTr="0099759E">
        <w:trPr>
          <w:cantSplit/>
          <w:trHeight w:val="440"/>
        </w:trPr>
        <w:tc>
          <w:tcPr>
            <w:tcW w:w="1883" w:type="dxa"/>
            <w:tcBorders>
              <w:top w:val="single" w:sz="4" w:space="0" w:color="auto"/>
              <w:left w:val="single" w:sz="4" w:space="0" w:color="auto"/>
              <w:bottom w:val="single" w:sz="4" w:space="0" w:color="auto"/>
              <w:right w:val="single" w:sz="4" w:space="0" w:color="auto"/>
            </w:tcBorders>
            <w:hideMark/>
          </w:tcPr>
          <w:p w14:paraId="47B4E48F" w14:textId="77777777" w:rsidR="00EF6376" w:rsidRPr="0013396E" w:rsidRDefault="00EF6376" w:rsidP="0099759E">
            <w:pPr>
              <w:pStyle w:val="TableBody"/>
            </w:pPr>
            <w:r w:rsidRPr="0013396E">
              <w:t xml:space="preserve">DASANSQ </w:t>
            </w:r>
            <w:r w:rsidRPr="0013396E">
              <w:rPr>
                <w:i/>
                <w:vertAlign w:val="subscript"/>
              </w:rPr>
              <w:t>q</w:t>
            </w:r>
          </w:p>
        </w:tc>
        <w:tc>
          <w:tcPr>
            <w:tcW w:w="990" w:type="dxa"/>
            <w:tcBorders>
              <w:top w:val="single" w:sz="4" w:space="0" w:color="auto"/>
              <w:left w:val="single" w:sz="4" w:space="0" w:color="auto"/>
              <w:bottom w:val="single" w:sz="4" w:space="0" w:color="auto"/>
              <w:right w:val="single" w:sz="4" w:space="0" w:color="auto"/>
            </w:tcBorders>
            <w:hideMark/>
          </w:tcPr>
          <w:p w14:paraId="01B11546"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189D14F" w14:textId="77777777" w:rsidR="00EF6376" w:rsidRPr="0013396E" w:rsidRDefault="00EF6376" w:rsidP="0099759E">
            <w:pPr>
              <w:pStyle w:val="TableBody"/>
            </w:pPr>
            <w:r w:rsidRPr="0013396E">
              <w:rPr>
                <w:i/>
              </w:rPr>
              <w:t>Day-Ahead Self-Arranged Non-Spin Quantity per QSE</w:t>
            </w:r>
            <w:r w:rsidRPr="0013396E">
              <w:t xml:space="preserve">—The self-arranged Non-Spin capacity submitted by QSE </w:t>
            </w:r>
            <w:r w:rsidRPr="0013396E">
              <w:rPr>
                <w:i/>
              </w:rPr>
              <w:t>q</w:t>
            </w:r>
            <w:r w:rsidRPr="0013396E">
              <w:t xml:space="preserve"> before 1000 in the DAM for the Operating Hour.</w:t>
            </w:r>
          </w:p>
        </w:tc>
      </w:tr>
      <w:tr w:rsidR="00EF6376" w:rsidRPr="0013396E" w14:paraId="2902B8A3"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7CE76BE6" w14:textId="77777777" w:rsidR="00EF6376" w:rsidRPr="0013396E" w:rsidRDefault="00EF6376" w:rsidP="0099759E">
            <w:pPr>
              <w:pStyle w:val="TableBody"/>
              <w:rPr>
                <w:i/>
              </w:rPr>
            </w:pPr>
            <w:r w:rsidRPr="0013396E">
              <w:rPr>
                <w:i/>
              </w:rPr>
              <w:t>q</w:t>
            </w:r>
          </w:p>
        </w:tc>
        <w:tc>
          <w:tcPr>
            <w:tcW w:w="990" w:type="dxa"/>
            <w:tcBorders>
              <w:top w:val="single" w:sz="4" w:space="0" w:color="auto"/>
              <w:left w:val="single" w:sz="4" w:space="0" w:color="auto"/>
              <w:bottom w:val="single" w:sz="4" w:space="0" w:color="auto"/>
              <w:right w:val="single" w:sz="4" w:space="0" w:color="auto"/>
            </w:tcBorders>
            <w:hideMark/>
          </w:tcPr>
          <w:p w14:paraId="5523524C"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471919E1" w14:textId="77777777" w:rsidR="00EF6376" w:rsidRPr="0013396E" w:rsidRDefault="00EF6376" w:rsidP="0099759E">
            <w:pPr>
              <w:pStyle w:val="TableBody"/>
            </w:pPr>
            <w:r w:rsidRPr="0013396E">
              <w:t>A QSE.</w:t>
            </w:r>
          </w:p>
        </w:tc>
      </w:tr>
      <w:tr w:rsidR="00EF6376" w:rsidRPr="0013396E" w14:paraId="666E9987" w14:textId="77777777" w:rsidTr="0099759E">
        <w:trPr>
          <w:cantSplit/>
        </w:trPr>
        <w:tc>
          <w:tcPr>
            <w:tcW w:w="1883" w:type="dxa"/>
            <w:tcBorders>
              <w:top w:val="single" w:sz="4" w:space="0" w:color="auto"/>
              <w:left w:val="single" w:sz="4" w:space="0" w:color="auto"/>
              <w:bottom w:val="single" w:sz="4" w:space="0" w:color="auto"/>
              <w:right w:val="single" w:sz="4" w:space="0" w:color="auto"/>
            </w:tcBorders>
            <w:hideMark/>
          </w:tcPr>
          <w:p w14:paraId="68720E45" w14:textId="77777777" w:rsidR="00EF6376" w:rsidRPr="0013396E" w:rsidRDefault="00EF6376" w:rsidP="0099759E">
            <w:pPr>
              <w:pStyle w:val="TableBody"/>
              <w:rPr>
                <w:i/>
              </w:rPr>
            </w:pPr>
            <w:r w:rsidRPr="0013396E">
              <w:rPr>
                <w:i/>
              </w:rPr>
              <w:t>r</w:t>
            </w:r>
          </w:p>
        </w:tc>
        <w:tc>
          <w:tcPr>
            <w:tcW w:w="990" w:type="dxa"/>
            <w:tcBorders>
              <w:top w:val="single" w:sz="4" w:space="0" w:color="auto"/>
              <w:left w:val="single" w:sz="4" w:space="0" w:color="auto"/>
              <w:bottom w:val="single" w:sz="4" w:space="0" w:color="auto"/>
              <w:right w:val="single" w:sz="4" w:space="0" w:color="auto"/>
            </w:tcBorders>
            <w:hideMark/>
          </w:tcPr>
          <w:p w14:paraId="7A9A4AB9"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0C319D5C" w14:textId="77777777" w:rsidR="00EF6376" w:rsidRPr="0013396E" w:rsidRDefault="00EF6376" w:rsidP="0099759E">
            <w:pPr>
              <w:pStyle w:val="TableBody"/>
            </w:pPr>
            <w:r w:rsidRPr="0013396E">
              <w:t>A Resource.</w:t>
            </w:r>
          </w:p>
        </w:tc>
      </w:tr>
    </w:tbl>
    <w:p w14:paraId="3C04B858" w14:textId="77777777" w:rsidR="00EF6376" w:rsidRPr="0013396E" w:rsidRDefault="00EF6376" w:rsidP="00EF6376">
      <w:pPr>
        <w:pStyle w:val="BodyTextNumbered"/>
        <w:spacing w:before="240"/>
        <w:ind w:left="1440"/>
        <w:rPr>
          <w:iCs/>
        </w:rPr>
      </w:pPr>
      <w:r w:rsidRPr="0013396E">
        <w:rPr>
          <w:iCs/>
        </w:rPr>
        <w:t>(e)</w:t>
      </w:r>
      <w:r w:rsidRPr="0013396E">
        <w:rPr>
          <w:iCs/>
        </w:rPr>
        <w:tab/>
        <w:t>For ERCOT Contingency Reserve Service</w:t>
      </w:r>
      <w:r w:rsidRPr="0013396E">
        <w:rPr>
          <w:i/>
          <w:sz w:val="20"/>
        </w:rPr>
        <w:t xml:space="preserve"> </w:t>
      </w:r>
      <w:r w:rsidRPr="0013396E">
        <w:rPr>
          <w:iCs/>
        </w:rPr>
        <w:t>(ECRS), if applicable:</w:t>
      </w:r>
    </w:p>
    <w:p w14:paraId="1C20DBD1" w14:textId="77777777" w:rsidR="00EF6376" w:rsidRPr="0013396E" w:rsidRDefault="00EF6376" w:rsidP="00EF6376">
      <w:pPr>
        <w:pStyle w:val="BodyTextNumbered"/>
        <w:spacing w:after="0"/>
        <w:ind w:left="1440"/>
        <w:rPr>
          <w:iCs/>
        </w:rPr>
      </w:pPr>
      <w:r w:rsidRPr="0013396E">
        <w:rPr>
          <w:iCs/>
        </w:rPr>
        <w:t xml:space="preserve">DARTPCECRAMT </w:t>
      </w:r>
      <w:r w:rsidRPr="0013396E">
        <w:rPr>
          <w:i/>
          <w:iCs/>
          <w:vertAlign w:val="subscript"/>
        </w:rPr>
        <w:t>q</w:t>
      </w:r>
      <w:r w:rsidRPr="0013396E">
        <w:rPr>
          <w:iCs/>
        </w:rPr>
        <w:t xml:space="preserve"> = (DAECRNOBL </w:t>
      </w:r>
      <w:r w:rsidRPr="0013396E">
        <w:rPr>
          <w:i/>
          <w:iCs/>
          <w:vertAlign w:val="subscript"/>
        </w:rPr>
        <w:t>q</w:t>
      </w:r>
      <w:r w:rsidRPr="0013396E">
        <w:rPr>
          <w:iCs/>
        </w:rPr>
        <w:t xml:space="preserve"> – DASAECRQ </w:t>
      </w:r>
      <w:r w:rsidRPr="0013396E">
        <w:rPr>
          <w:i/>
          <w:iCs/>
          <w:vertAlign w:val="subscript"/>
        </w:rPr>
        <w:t>q</w:t>
      </w:r>
      <w:r w:rsidRPr="0013396E">
        <w:rPr>
          <w:iCs/>
        </w:rPr>
        <w:t xml:space="preserve">) * DAECRPR –  </w:t>
      </w:r>
    </w:p>
    <w:p w14:paraId="339D9E38" w14:textId="77777777" w:rsidR="00EF6376" w:rsidRPr="0013396E" w:rsidRDefault="00EF6376" w:rsidP="00EF6376">
      <w:pPr>
        <w:pStyle w:val="BodyTextNumbered"/>
        <w:ind w:left="2880" w:firstLine="0"/>
        <w:rPr>
          <w:iCs/>
        </w:rPr>
      </w:pPr>
      <w:r w:rsidRPr="0013396E">
        <w:rPr>
          <w:iCs/>
        </w:rPr>
        <w:t xml:space="preserve">      DAECRAMT </w:t>
      </w:r>
      <w:r w:rsidRPr="0013396E">
        <w:rPr>
          <w:i/>
          <w:iCs/>
          <w:vertAlign w:val="subscript"/>
        </w:rPr>
        <w:t>q</w:t>
      </w:r>
    </w:p>
    <w:p w14:paraId="40CB9426" w14:textId="77777777" w:rsidR="00EF6376" w:rsidRPr="0013396E" w:rsidRDefault="00EF6376" w:rsidP="00EF6376">
      <w:pPr>
        <w:pStyle w:val="BodyTextNumbered"/>
        <w:rPr>
          <w:iCs/>
        </w:rPr>
      </w:pPr>
      <w:r w:rsidRPr="0013396E">
        <w:rPr>
          <w:iCs/>
        </w:rPr>
        <w:t>Where:</w:t>
      </w:r>
    </w:p>
    <w:p w14:paraId="5CFF4C6C" w14:textId="77777777" w:rsidR="00EF6376" w:rsidRPr="0013396E" w:rsidRDefault="00EF6376" w:rsidP="00EF6376">
      <w:pPr>
        <w:pStyle w:val="BodyTextNumbered"/>
        <w:ind w:left="1440"/>
        <w:rPr>
          <w:iCs/>
        </w:rPr>
      </w:pPr>
      <w:r w:rsidRPr="0013396E">
        <w:rPr>
          <w:iCs/>
        </w:rPr>
        <w:t xml:space="preserve">DAECRNOBL </w:t>
      </w:r>
      <w:r w:rsidRPr="0013396E">
        <w:rPr>
          <w:i/>
          <w:iCs/>
          <w:vertAlign w:val="subscript"/>
        </w:rPr>
        <w:t>q</w:t>
      </w:r>
      <w:r w:rsidRPr="0013396E">
        <w:rPr>
          <w:iCs/>
        </w:rPr>
        <w:t xml:space="preserve"> = DAPCECRQTOT * HLRS </w:t>
      </w:r>
      <w:r w:rsidRPr="0013396E">
        <w:rPr>
          <w:i/>
          <w:iCs/>
          <w:vertAlign w:val="subscript"/>
        </w:rPr>
        <w:t>q</w:t>
      </w:r>
      <w:r w:rsidRPr="0013396E">
        <w:rPr>
          <w:iCs/>
        </w:rPr>
        <w:t xml:space="preserve"> </w:t>
      </w:r>
    </w:p>
    <w:p w14:paraId="4923A42D" w14:textId="77777777" w:rsidR="00EF6376" w:rsidRPr="0013396E" w:rsidRDefault="00EF6376" w:rsidP="00EF6376">
      <w:pPr>
        <w:pStyle w:val="BodyTextNumbered"/>
        <w:ind w:left="1440"/>
        <w:rPr>
          <w:iCs/>
        </w:rPr>
      </w:pPr>
      <w:r w:rsidRPr="0013396E">
        <w:rPr>
          <w:iCs/>
        </w:rPr>
        <w:t xml:space="preserve">DAPCECRQTOT  =  </w:t>
      </w:r>
      <w:r w:rsidRPr="0013396E">
        <w:rPr>
          <w:iCs/>
          <w:position w:val="-22"/>
        </w:rPr>
        <w:object w:dxaOrig="285" w:dyaOrig="285" w14:anchorId="20652D8E">
          <v:shape id="_x0000_i1269" type="#_x0000_t75" style="width:30pt;height:30pt" o:ole="">
            <v:imagedata r:id="rId335" o:title=""/>
          </v:shape>
          <o:OLEObject Type="Embed" ProgID="Equation.3" ShapeID="_x0000_i1269" DrawAspect="Content" ObjectID="_1849065898" r:id="rId346"/>
        </w:object>
      </w:r>
      <w:r w:rsidRPr="0013396E">
        <w:rPr>
          <w:iCs/>
        </w:rPr>
        <w:t>(</w:t>
      </w:r>
      <w:r w:rsidRPr="0013396E">
        <w:rPr>
          <w:iCs/>
          <w:position w:val="-18"/>
        </w:rPr>
        <w:object w:dxaOrig="285" w:dyaOrig="570" w14:anchorId="649151A9">
          <v:shape id="_x0000_i1270" type="#_x0000_t75" style="width:12pt;height:30pt" o:ole="">
            <v:imagedata r:id="rId337" o:title=""/>
          </v:shape>
          <o:OLEObject Type="Embed" ProgID="Equation.3" ShapeID="_x0000_i1270" DrawAspect="Content" ObjectID="_1849065899" r:id="rId347"/>
        </w:object>
      </w:r>
      <w:r w:rsidRPr="0013396E">
        <w:rPr>
          <w:bCs/>
          <w:iCs/>
        </w:rPr>
        <w:t>PCECRR</w:t>
      </w:r>
      <w:r w:rsidRPr="0013396E">
        <w:rPr>
          <w:bCs/>
          <w:i/>
          <w:iCs/>
        </w:rPr>
        <w:t xml:space="preserve"> </w:t>
      </w:r>
      <w:r w:rsidRPr="0013396E">
        <w:rPr>
          <w:bCs/>
          <w:i/>
          <w:iCs/>
          <w:vertAlign w:val="subscript"/>
        </w:rPr>
        <w:t>r, q, DAM</w:t>
      </w:r>
      <w:r w:rsidRPr="0013396E">
        <w:rPr>
          <w:iCs/>
        </w:rPr>
        <w:t xml:space="preserve"> + DAECROAWD </w:t>
      </w:r>
      <w:r w:rsidRPr="0013396E">
        <w:rPr>
          <w:i/>
          <w:iCs/>
          <w:vertAlign w:val="subscript"/>
        </w:rPr>
        <w:t>q</w:t>
      </w:r>
      <w:r w:rsidRPr="0013396E">
        <w:rPr>
          <w:iCs/>
        </w:rPr>
        <w:t xml:space="preserve"> + DASAECRQ </w:t>
      </w:r>
      <w:r w:rsidRPr="0013396E">
        <w:rPr>
          <w:i/>
          <w:iCs/>
          <w:vertAlign w:val="subscript"/>
        </w:rPr>
        <w:t>q</w:t>
      </w:r>
      <w:r w:rsidRPr="0013396E">
        <w:rPr>
          <w:iCs/>
        </w:rPr>
        <w:t>)</w:t>
      </w:r>
    </w:p>
    <w:p w14:paraId="775E1D1F" w14:textId="77777777" w:rsidR="00EF6376" w:rsidRPr="0013396E" w:rsidRDefault="00EF6376" w:rsidP="00EF6376">
      <w:pPr>
        <w:rPr>
          <w:szCs w:val="24"/>
        </w:rPr>
      </w:pPr>
      <w:r w:rsidRPr="0013396E">
        <w:t>The above variables are defined as follows:</w:t>
      </w:r>
    </w:p>
    <w:tbl>
      <w:tblPr>
        <w:tblW w:w="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887"/>
        <w:gridCol w:w="6386"/>
      </w:tblGrid>
      <w:tr w:rsidR="00EF6376" w:rsidRPr="0013396E" w14:paraId="4FFDE27A" w14:textId="77777777" w:rsidTr="0099759E">
        <w:trPr>
          <w:cantSplit/>
          <w:tblHeader/>
        </w:trPr>
        <w:tc>
          <w:tcPr>
            <w:tcW w:w="1973" w:type="dxa"/>
            <w:tcBorders>
              <w:top w:val="single" w:sz="4" w:space="0" w:color="auto"/>
              <w:left w:val="single" w:sz="4" w:space="0" w:color="auto"/>
              <w:bottom w:val="single" w:sz="4" w:space="0" w:color="auto"/>
              <w:right w:val="single" w:sz="4" w:space="0" w:color="auto"/>
            </w:tcBorders>
            <w:hideMark/>
          </w:tcPr>
          <w:p w14:paraId="7090391A" w14:textId="77777777" w:rsidR="00EF6376" w:rsidRPr="0013396E" w:rsidRDefault="00EF6376" w:rsidP="0099759E">
            <w:pPr>
              <w:pStyle w:val="TableHead"/>
            </w:pPr>
            <w:r w:rsidRPr="0013396E">
              <w:rPr>
                <w:iCs w:val="0"/>
              </w:rPr>
              <w:lastRenderedPageBreak/>
              <w:t>Variable</w:t>
            </w:r>
          </w:p>
        </w:tc>
        <w:tc>
          <w:tcPr>
            <w:tcW w:w="900" w:type="dxa"/>
            <w:tcBorders>
              <w:top w:val="single" w:sz="4" w:space="0" w:color="auto"/>
              <w:left w:val="single" w:sz="4" w:space="0" w:color="auto"/>
              <w:bottom w:val="single" w:sz="4" w:space="0" w:color="auto"/>
              <w:right w:val="single" w:sz="4" w:space="0" w:color="auto"/>
            </w:tcBorders>
            <w:hideMark/>
          </w:tcPr>
          <w:p w14:paraId="67EB8A9C" w14:textId="77777777" w:rsidR="00EF6376" w:rsidRPr="0013396E" w:rsidRDefault="00EF6376" w:rsidP="0099759E">
            <w:pPr>
              <w:pStyle w:val="TableHead"/>
            </w:pPr>
            <w:r w:rsidRPr="0013396E">
              <w:t>Unit</w:t>
            </w:r>
          </w:p>
        </w:tc>
        <w:tc>
          <w:tcPr>
            <w:tcW w:w="6840" w:type="dxa"/>
            <w:tcBorders>
              <w:top w:val="single" w:sz="4" w:space="0" w:color="auto"/>
              <w:left w:val="single" w:sz="4" w:space="0" w:color="auto"/>
              <w:bottom w:val="single" w:sz="4" w:space="0" w:color="auto"/>
              <w:right w:val="single" w:sz="4" w:space="0" w:color="auto"/>
            </w:tcBorders>
            <w:hideMark/>
          </w:tcPr>
          <w:p w14:paraId="52317FBA" w14:textId="77777777" w:rsidR="00EF6376" w:rsidRPr="0013396E" w:rsidRDefault="00EF6376" w:rsidP="0099759E">
            <w:pPr>
              <w:pStyle w:val="TableHead"/>
            </w:pPr>
            <w:r w:rsidRPr="0013396E">
              <w:t>Description</w:t>
            </w:r>
          </w:p>
        </w:tc>
      </w:tr>
      <w:tr w:rsidR="00EF6376" w:rsidRPr="0013396E" w14:paraId="44C7A462" w14:textId="77777777" w:rsidTr="0099759E">
        <w:trPr>
          <w:cantSplit/>
        </w:trPr>
        <w:tc>
          <w:tcPr>
            <w:tcW w:w="1973" w:type="dxa"/>
            <w:tcBorders>
              <w:top w:val="single" w:sz="4" w:space="0" w:color="auto"/>
              <w:left w:val="single" w:sz="4" w:space="0" w:color="auto"/>
              <w:bottom w:val="single" w:sz="4" w:space="0" w:color="auto"/>
              <w:right w:val="single" w:sz="4" w:space="0" w:color="auto"/>
            </w:tcBorders>
            <w:hideMark/>
          </w:tcPr>
          <w:p w14:paraId="59E64F57" w14:textId="77777777" w:rsidR="00EF6376" w:rsidRPr="0013396E" w:rsidRDefault="00EF6376" w:rsidP="0099759E">
            <w:pPr>
              <w:pStyle w:val="TableBody"/>
            </w:pPr>
            <w:r w:rsidRPr="0013396E">
              <w:t xml:space="preserve">DARTPCECRAMT </w:t>
            </w:r>
            <w:r w:rsidRPr="0013396E">
              <w:rPr>
                <w:i/>
                <w:vertAlign w:val="subscript"/>
              </w:rPr>
              <w:t>q</w:t>
            </w:r>
          </w:p>
        </w:tc>
        <w:tc>
          <w:tcPr>
            <w:tcW w:w="900" w:type="dxa"/>
            <w:tcBorders>
              <w:top w:val="single" w:sz="4" w:space="0" w:color="auto"/>
              <w:left w:val="single" w:sz="4" w:space="0" w:color="auto"/>
              <w:bottom w:val="single" w:sz="4" w:space="0" w:color="auto"/>
              <w:right w:val="single" w:sz="4" w:space="0" w:color="auto"/>
            </w:tcBorders>
            <w:hideMark/>
          </w:tcPr>
          <w:p w14:paraId="737EA175"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5C04F213" w14:textId="77777777" w:rsidR="00EF6376" w:rsidRPr="0013396E" w:rsidRDefault="00EF6376" w:rsidP="0099759E">
            <w:pPr>
              <w:pStyle w:val="TableBody"/>
            </w:pPr>
            <w:r w:rsidRPr="0013396E">
              <w:rPr>
                <w:i/>
              </w:rPr>
              <w:t xml:space="preserve">Day-Ahead Updated Real-Time Procured Capacity for </w:t>
            </w:r>
            <w:r w:rsidRPr="0013396E">
              <w:rPr>
                <w:i/>
                <w:iCs w:val="0"/>
              </w:rPr>
              <w:t xml:space="preserve">ERCOT Contingency Reserve Service </w:t>
            </w:r>
            <w:r w:rsidRPr="0013396E">
              <w:rPr>
                <w:i/>
              </w:rPr>
              <w:t>Amount by QSE</w:t>
            </w:r>
            <w:r w:rsidRPr="0013396E">
              <w:t xml:space="preserve">—The payment or charge to QSE </w:t>
            </w:r>
            <w:r w:rsidRPr="0013396E">
              <w:rPr>
                <w:i/>
              </w:rPr>
              <w:t>q</w:t>
            </w:r>
            <w:r w:rsidRPr="0013396E">
              <w:t xml:space="preserve"> for ECRS for the re-calculated Real-Time obligation for the Operating Hour.</w:t>
            </w:r>
          </w:p>
        </w:tc>
      </w:tr>
      <w:tr w:rsidR="00EF6376" w:rsidRPr="0013396E" w14:paraId="02318775" w14:textId="77777777" w:rsidTr="0099759E">
        <w:trPr>
          <w:cantSplit/>
        </w:trPr>
        <w:tc>
          <w:tcPr>
            <w:tcW w:w="1973" w:type="dxa"/>
            <w:tcBorders>
              <w:top w:val="single" w:sz="4" w:space="0" w:color="auto"/>
              <w:left w:val="single" w:sz="4" w:space="0" w:color="auto"/>
              <w:bottom w:val="single" w:sz="4" w:space="0" w:color="auto"/>
              <w:right w:val="single" w:sz="4" w:space="0" w:color="auto"/>
            </w:tcBorders>
            <w:hideMark/>
          </w:tcPr>
          <w:p w14:paraId="39FA2981" w14:textId="77777777" w:rsidR="00EF6376" w:rsidRPr="0013396E" w:rsidRDefault="00EF6376" w:rsidP="0099759E">
            <w:pPr>
              <w:pStyle w:val="TableBody"/>
            </w:pPr>
            <w:r w:rsidRPr="0013396E">
              <w:t>DAECRPR</w:t>
            </w:r>
          </w:p>
        </w:tc>
        <w:tc>
          <w:tcPr>
            <w:tcW w:w="900" w:type="dxa"/>
            <w:tcBorders>
              <w:top w:val="single" w:sz="4" w:space="0" w:color="auto"/>
              <w:left w:val="single" w:sz="4" w:space="0" w:color="auto"/>
              <w:bottom w:val="single" w:sz="4" w:space="0" w:color="auto"/>
              <w:right w:val="single" w:sz="4" w:space="0" w:color="auto"/>
            </w:tcBorders>
            <w:hideMark/>
          </w:tcPr>
          <w:p w14:paraId="4D1714E7"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0989AFFF" w14:textId="77777777" w:rsidR="00EF6376" w:rsidRPr="0013396E" w:rsidRDefault="00EF6376" w:rsidP="0099759E">
            <w:pPr>
              <w:pStyle w:val="TableBody"/>
              <w:rPr>
                <w:i/>
              </w:rPr>
            </w:pPr>
            <w:r w:rsidRPr="0013396E">
              <w:rPr>
                <w:i/>
              </w:rPr>
              <w:t>Day-Ahead ERCOT Contingency Reserve Price</w:t>
            </w:r>
            <w:r w:rsidRPr="0013396E">
              <w:t>—The DAM ECRS price for the Operating Hour.</w:t>
            </w:r>
          </w:p>
        </w:tc>
      </w:tr>
      <w:tr w:rsidR="00EF6376" w:rsidRPr="0013396E" w14:paraId="5458AFAA" w14:textId="77777777" w:rsidTr="0099759E">
        <w:trPr>
          <w:cantSplit/>
        </w:trPr>
        <w:tc>
          <w:tcPr>
            <w:tcW w:w="1973" w:type="dxa"/>
            <w:tcBorders>
              <w:top w:val="single" w:sz="4" w:space="0" w:color="auto"/>
              <w:left w:val="single" w:sz="4" w:space="0" w:color="auto"/>
              <w:bottom w:val="single" w:sz="4" w:space="0" w:color="auto"/>
              <w:right w:val="single" w:sz="4" w:space="0" w:color="auto"/>
            </w:tcBorders>
            <w:hideMark/>
          </w:tcPr>
          <w:p w14:paraId="4126415C" w14:textId="77777777" w:rsidR="00EF6376" w:rsidRPr="0013396E" w:rsidRDefault="00EF6376" w:rsidP="0099759E">
            <w:pPr>
              <w:pStyle w:val="TableBody"/>
            </w:pPr>
            <w:r w:rsidRPr="0013396E">
              <w:t>DAECRNOBL</w:t>
            </w:r>
            <w:r w:rsidRPr="0013396E">
              <w:rPr>
                <w:vertAlign w:val="subscript"/>
              </w:rPr>
              <w:t xml:space="preserve"> </w:t>
            </w:r>
            <w:r w:rsidRPr="0013396E">
              <w:rPr>
                <w:i/>
                <w:vertAlign w:val="subscript"/>
              </w:rPr>
              <w:t>q</w:t>
            </w:r>
          </w:p>
        </w:tc>
        <w:tc>
          <w:tcPr>
            <w:tcW w:w="900" w:type="dxa"/>
            <w:tcBorders>
              <w:top w:val="single" w:sz="4" w:space="0" w:color="auto"/>
              <w:left w:val="single" w:sz="4" w:space="0" w:color="auto"/>
              <w:bottom w:val="single" w:sz="4" w:space="0" w:color="auto"/>
              <w:right w:val="single" w:sz="4" w:space="0" w:color="auto"/>
            </w:tcBorders>
            <w:hideMark/>
          </w:tcPr>
          <w:p w14:paraId="73A6468E"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4CEDA827" w14:textId="77777777" w:rsidR="00EF6376" w:rsidRPr="0013396E" w:rsidRDefault="00EF6376" w:rsidP="0099759E">
            <w:pPr>
              <w:pStyle w:val="TableBody"/>
            </w:pPr>
            <w:r w:rsidRPr="0013396E">
              <w:rPr>
                <w:i/>
              </w:rPr>
              <w:t>Day-Ahead ERCOT Contingency Reserve Service New Obligation per QSE</w:t>
            </w:r>
            <w:r w:rsidRPr="0013396E">
              <w:t xml:space="preserve">—The updated ECRS Ancillary Service Obligation in Real-Time for QSE </w:t>
            </w:r>
            <w:r w:rsidRPr="0013396E">
              <w:rPr>
                <w:i/>
              </w:rPr>
              <w:t>q</w:t>
            </w:r>
            <w:r w:rsidRPr="0013396E">
              <w:t xml:space="preserve"> for the Operating Hour.</w:t>
            </w:r>
          </w:p>
        </w:tc>
      </w:tr>
      <w:tr w:rsidR="00EF6376" w:rsidRPr="0013396E" w14:paraId="0E26DF90" w14:textId="77777777" w:rsidTr="0099759E">
        <w:trPr>
          <w:cantSplit/>
        </w:trPr>
        <w:tc>
          <w:tcPr>
            <w:tcW w:w="1973" w:type="dxa"/>
            <w:tcBorders>
              <w:top w:val="single" w:sz="4" w:space="0" w:color="auto"/>
              <w:left w:val="single" w:sz="4" w:space="0" w:color="auto"/>
              <w:bottom w:val="single" w:sz="4" w:space="0" w:color="auto"/>
              <w:right w:val="single" w:sz="4" w:space="0" w:color="auto"/>
            </w:tcBorders>
            <w:hideMark/>
          </w:tcPr>
          <w:p w14:paraId="6958023E" w14:textId="77777777" w:rsidR="00EF6376" w:rsidRPr="0013396E" w:rsidRDefault="00EF6376" w:rsidP="0099759E">
            <w:pPr>
              <w:pStyle w:val="TableBody"/>
              <w:rPr>
                <w:iCs w:val="0"/>
              </w:rPr>
            </w:pPr>
            <w:r w:rsidRPr="0013396E">
              <w:t xml:space="preserve">PCECRR </w:t>
            </w:r>
            <w:r w:rsidRPr="0013396E">
              <w:rPr>
                <w:i/>
                <w:vertAlign w:val="subscript"/>
              </w:rPr>
              <w:t>r,</w:t>
            </w:r>
            <w:r w:rsidRPr="0013396E">
              <w:rPr>
                <w:i/>
              </w:rPr>
              <w:t xml:space="preserve"> </w:t>
            </w:r>
            <w:r w:rsidRPr="0013396E">
              <w:rPr>
                <w:i/>
                <w:vertAlign w:val="subscript"/>
              </w:rPr>
              <w:t>q, DAM</w:t>
            </w:r>
          </w:p>
        </w:tc>
        <w:tc>
          <w:tcPr>
            <w:tcW w:w="900" w:type="dxa"/>
            <w:tcBorders>
              <w:top w:val="single" w:sz="4" w:space="0" w:color="auto"/>
              <w:left w:val="single" w:sz="4" w:space="0" w:color="auto"/>
              <w:bottom w:val="single" w:sz="4" w:space="0" w:color="auto"/>
              <w:right w:val="single" w:sz="4" w:space="0" w:color="auto"/>
            </w:tcBorders>
            <w:hideMark/>
          </w:tcPr>
          <w:p w14:paraId="705AFD88" w14:textId="77777777" w:rsidR="00EF6376" w:rsidRPr="0013396E" w:rsidRDefault="00EF6376" w:rsidP="0099759E">
            <w:pPr>
              <w:pStyle w:val="TableBody"/>
              <w:rPr>
                <w:iCs w:val="0"/>
              </w:rPr>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6DBD31A8" w14:textId="77777777" w:rsidR="00EF6376" w:rsidRPr="0013396E" w:rsidRDefault="00EF6376" w:rsidP="0099759E">
            <w:pPr>
              <w:pStyle w:val="TableBody"/>
              <w:rPr>
                <w:i/>
              </w:rPr>
            </w:pPr>
            <w:r w:rsidRPr="0013396E">
              <w:rPr>
                <w:i/>
                <w:iCs w:val="0"/>
              </w:rPr>
              <w:t>Procured Capacity for ERCOT Contingency Reserve Service per Resource per QSE in DAM</w:t>
            </w:r>
            <w:r w:rsidRPr="0013396E">
              <w:rPr>
                <w:iCs w:val="0"/>
              </w:rPr>
              <w:t xml:space="preserve">—The ECRS capacity awarded to QSE </w:t>
            </w:r>
            <w:r w:rsidRPr="0013396E">
              <w:rPr>
                <w:i/>
                <w:iCs w:val="0"/>
              </w:rPr>
              <w:t>q</w:t>
            </w:r>
            <w:r w:rsidRPr="0013396E">
              <w:rPr>
                <w:iCs w:val="0"/>
              </w:rPr>
              <w:t xml:space="preserve"> in the DAM for Resource </w:t>
            </w:r>
            <w:r w:rsidRPr="0013396E">
              <w:rPr>
                <w:i/>
                <w:iCs w:val="0"/>
              </w:rPr>
              <w:t>r</w:t>
            </w:r>
            <w:r w:rsidRPr="0013396E">
              <w:rPr>
                <w:iCs w:val="0"/>
              </w:rPr>
              <w:t xml:space="preserve"> for the </w:t>
            </w:r>
            <w:r w:rsidRPr="0013396E">
              <w:t>Operating Hour</w:t>
            </w:r>
            <w:r w:rsidRPr="0013396E">
              <w:rPr>
                <w:iCs w:val="0"/>
              </w:rPr>
              <w:t xml:space="preserve">.  Where for a Combined Cycle Train, the Resource </w:t>
            </w:r>
            <w:r w:rsidRPr="0013396E">
              <w:rPr>
                <w:i/>
                <w:iCs w:val="0"/>
              </w:rPr>
              <w:t xml:space="preserve">r </w:t>
            </w:r>
            <w:r w:rsidRPr="0013396E">
              <w:rPr>
                <w:iCs w:val="0"/>
              </w:rPr>
              <w:t>is a Combined Cycle Generation Resource within the Combined Cycle Train.</w:t>
            </w:r>
          </w:p>
        </w:tc>
      </w:tr>
      <w:tr w:rsidR="00EF6376" w:rsidRPr="0013396E" w14:paraId="2DF58E86" w14:textId="77777777" w:rsidTr="0099759E">
        <w:trPr>
          <w:cantSplit/>
          <w:trHeight w:val="440"/>
        </w:trPr>
        <w:tc>
          <w:tcPr>
            <w:tcW w:w="1973" w:type="dxa"/>
            <w:tcBorders>
              <w:top w:val="single" w:sz="4" w:space="0" w:color="auto"/>
              <w:left w:val="single" w:sz="4" w:space="0" w:color="auto"/>
              <w:bottom w:val="single" w:sz="4" w:space="0" w:color="auto"/>
              <w:right w:val="single" w:sz="4" w:space="0" w:color="auto"/>
            </w:tcBorders>
            <w:hideMark/>
          </w:tcPr>
          <w:p w14:paraId="045B4F96" w14:textId="77777777" w:rsidR="00EF6376" w:rsidRPr="0013396E" w:rsidRDefault="00EF6376" w:rsidP="0099759E">
            <w:pPr>
              <w:pStyle w:val="TableBody"/>
              <w:rPr>
                <w:iCs w:val="0"/>
              </w:rPr>
            </w:pPr>
            <w:r w:rsidRPr="0013396E">
              <w:t>DAECROAWD</w:t>
            </w:r>
            <w:r w:rsidRPr="0013396E">
              <w:rPr>
                <w:i/>
                <w:iCs w:val="0"/>
              </w:rPr>
              <w:t xml:space="preserve"> </w:t>
            </w:r>
            <w:r w:rsidRPr="0013396E">
              <w:rPr>
                <w:i/>
                <w:iCs w:val="0"/>
                <w:vertAlign w:val="subscript"/>
              </w:rPr>
              <w:t>q</w:t>
            </w:r>
          </w:p>
        </w:tc>
        <w:tc>
          <w:tcPr>
            <w:tcW w:w="900" w:type="dxa"/>
            <w:tcBorders>
              <w:top w:val="single" w:sz="4" w:space="0" w:color="auto"/>
              <w:left w:val="single" w:sz="4" w:space="0" w:color="auto"/>
              <w:bottom w:val="single" w:sz="4" w:space="0" w:color="auto"/>
              <w:right w:val="single" w:sz="4" w:space="0" w:color="auto"/>
            </w:tcBorders>
            <w:hideMark/>
          </w:tcPr>
          <w:p w14:paraId="3E08F0C7"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7809E07A" w14:textId="77777777" w:rsidR="00EF6376" w:rsidRPr="0013396E" w:rsidRDefault="00EF6376" w:rsidP="0099759E">
            <w:pPr>
              <w:pStyle w:val="TableBody"/>
              <w:rPr>
                <w:i/>
              </w:rPr>
            </w:pPr>
            <w:r w:rsidRPr="0013396E">
              <w:rPr>
                <w:i/>
              </w:rPr>
              <w:t xml:space="preserve">Day-Ahead </w:t>
            </w:r>
            <w:r w:rsidRPr="0013396E">
              <w:rPr>
                <w:i/>
                <w:iCs w:val="0"/>
              </w:rPr>
              <w:t>ERCOT Contingency Reserve Service Only</w:t>
            </w:r>
            <w:r w:rsidRPr="0013396E">
              <w:rPr>
                <w:i/>
              </w:rPr>
              <w:t xml:space="preserve"> Award for the QSE—</w:t>
            </w:r>
            <w:r w:rsidRPr="0013396E">
              <w:t xml:space="preserve">The </w:t>
            </w:r>
            <w:r w:rsidRPr="0013396E">
              <w:rPr>
                <w:iCs w:val="0"/>
              </w:rPr>
              <w:t>ECRS</w:t>
            </w:r>
            <w:r w:rsidRPr="0013396E">
              <w:t xml:space="preserve"> Only capacity awarded in the DAM to QSE </w:t>
            </w:r>
            <w:r w:rsidRPr="0013396E">
              <w:rPr>
                <w:i/>
              </w:rPr>
              <w:t>q</w:t>
            </w:r>
            <w:r w:rsidRPr="0013396E">
              <w:t xml:space="preserve"> for the Operating Hour.  </w:t>
            </w:r>
          </w:p>
        </w:tc>
      </w:tr>
      <w:tr w:rsidR="00EF6376" w:rsidRPr="0013396E" w14:paraId="646CE10E" w14:textId="77777777" w:rsidTr="0099759E">
        <w:trPr>
          <w:cantSplit/>
          <w:trHeight w:val="440"/>
        </w:trPr>
        <w:tc>
          <w:tcPr>
            <w:tcW w:w="1973" w:type="dxa"/>
            <w:tcBorders>
              <w:top w:val="single" w:sz="4" w:space="0" w:color="auto"/>
              <w:left w:val="single" w:sz="4" w:space="0" w:color="auto"/>
              <w:bottom w:val="single" w:sz="4" w:space="0" w:color="auto"/>
              <w:right w:val="single" w:sz="4" w:space="0" w:color="auto"/>
            </w:tcBorders>
            <w:hideMark/>
          </w:tcPr>
          <w:p w14:paraId="40697B3A" w14:textId="77777777" w:rsidR="00EF6376" w:rsidRPr="0013396E" w:rsidRDefault="00EF6376" w:rsidP="0099759E">
            <w:pPr>
              <w:pStyle w:val="TableBody"/>
              <w:rPr>
                <w:i/>
              </w:rPr>
            </w:pPr>
            <w:r w:rsidRPr="0013396E">
              <w:rPr>
                <w:iCs w:val="0"/>
              </w:rPr>
              <w:t xml:space="preserve">DAECRAMT </w:t>
            </w:r>
            <w:r w:rsidRPr="0013396E">
              <w:rPr>
                <w:i/>
                <w:vertAlign w:val="subscript"/>
              </w:rPr>
              <w:t>q</w:t>
            </w:r>
          </w:p>
        </w:tc>
        <w:tc>
          <w:tcPr>
            <w:tcW w:w="900" w:type="dxa"/>
            <w:tcBorders>
              <w:top w:val="single" w:sz="4" w:space="0" w:color="auto"/>
              <w:left w:val="single" w:sz="4" w:space="0" w:color="auto"/>
              <w:bottom w:val="single" w:sz="4" w:space="0" w:color="auto"/>
              <w:right w:val="single" w:sz="4" w:space="0" w:color="auto"/>
            </w:tcBorders>
            <w:hideMark/>
          </w:tcPr>
          <w:p w14:paraId="29A94407" w14:textId="77777777" w:rsidR="00EF6376" w:rsidRPr="0013396E" w:rsidRDefault="00EF6376" w:rsidP="0099759E">
            <w:pPr>
              <w:pStyle w:val="TableBody"/>
            </w:pPr>
            <w:r w:rsidRPr="0013396E">
              <w:t>$</w:t>
            </w:r>
          </w:p>
        </w:tc>
        <w:tc>
          <w:tcPr>
            <w:tcW w:w="6840" w:type="dxa"/>
            <w:tcBorders>
              <w:top w:val="single" w:sz="4" w:space="0" w:color="auto"/>
              <w:left w:val="single" w:sz="4" w:space="0" w:color="auto"/>
              <w:bottom w:val="single" w:sz="4" w:space="0" w:color="auto"/>
              <w:right w:val="single" w:sz="4" w:space="0" w:color="auto"/>
            </w:tcBorders>
            <w:hideMark/>
          </w:tcPr>
          <w:p w14:paraId="5DA37FDB" w14:textId="77777777" w:rsidR="00EF6376" w:rsidRPr="0013396E" w:rsidRDefault="00EF6376" w:rsidP="0099759E">
            <w:pPr>
              <w:pStyle w:val="TableBody"/>
            </w:pPr>
            <w:r w:rsidRPr="0013396E">
              <w:rPr>
                <w:i/>
              </w:rPr>
              <w:t>Day-Ahead ERCOT Contingency Reserve Amount per QSE</w:t>
            </w:r>
            <w:r w:rsidRPr="0013396E">
              <w:t xml:space="preserve">—QSE </w:t>
            </w:r>
            <w:r w:rsidRPr="0013396E">
              <w:rPr>
                <w:i/>
              </w:rPr>
              <w:t>q</w:t>
            </w:r>
            <w:r w:rsidRPr="0013396E">
              <w:t>’s share of the DAM cost for ECRS for the Operating Hour.</w:t>
            </w:r>
          </w:p>
        </w:tc>
      </w:tr>
      <w:tr w:rsidR="00EF6376" w:rsidRPr="0013396E" w14:paraId="666554D9" w14:textId="77777777" w:rsidTr="0099759E">
        <w:trPr>
          <w:cantSplit/>
          <w:trHeight w:val="440"/>
        </w:trPr>
        <w:tc>
          <w:tcPr>
            <w:tcW w:w="1973" w:type="dxa"/>
            <w:tcBorders>
              <w:top w:val="single" w:sz="4" w:space="0" w:color="auto"/>
              <w:left w:val="single" w:sz="4" w:space="0" w:color="auto"/>
              <w:bottom w:val="single" w:sz="4" w:space="0" w:color="auto"/>
              <w:right w:val="single" w:sz="4" w:space="0" w:color="auto"/>
            </w:tcBorders>
            <w:hideMark/>
          </w:tcPr>
          <w:p w14:paraId="4002B086" w14:textId="77777777" w:rsidR="00EF6376" w:rsidRPr="0013396E" w:rsidRDefault="00EF6376" w:rsidP="0099759E">
            <w:pPr>
              <w:pStyle w:val="TableBody"/>
            </w:pPr>
            <w:r w:rsidRPr="0013396E">
              <w:t>HLRS</w:t>
            </w:r>
            <w:r w:rsidRPr="0013396E">
              <w:rPr>
                <w:i/>
                <w:vertAlign w:val="subscript"/>
              </w:rPr>
              <w:t xml:space="preserve"> q</w:t>
            </w:r>
          </w:p>
        </w:tc>
        <w:tc>
          <w:tcPr>
            <w:tcW w:w="900" w:type="dxa"/>
            <w:tcBorders>
              <w:top w:val="single" w:sz="4" w:space="0" w:color="auto"/>
              <w:left w:val="single" w:sz="4" w:space="0" w:color="auto"/>
              <w:bottom w:val="single" w:sz="4" w:space="0" w:color="auto"/>
              <w:right w:val="single" w:sz="4" w:space="0" w:color="auto"/>
            </w:tcBorders>
            <w:hideMark/>
          </w:tcPr>
          <w:p w14:paraId="423AE7BC"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68D8F614" w14:textId="0ED96B67" w:rsidR="00EF6376" w:rsidRPr="0013396E" w:rsidRDefault="00EF6376" w:rsidP="0099759E">
            <w:pPr>
              <w:pStyle w:val="TableBody"/>
            </w:pPr>
            <w:r w:rsidRPr="0013396E">
              <w:rPr>
                <w:i/>
              </w:rPr>
              <w:t>Hourly Load Ratio Share per QSE</w:t>
            </w:r>
            <w:r w:rsidRPr="0013396E">
              <w:t xml:space="preserve">—The Real-Time LRS as defined in Section 6.6.2.4 for QSE </w:t>
            </w:r>
            <w:r w:rsidRPr="0013396E">
              <w:rPr>
                <w:i/>
              </w:rPr>
              <w:t>q</w:t>
            </w:r>
            <w:r w:rsidRPr="0013396E">
              <w:t xml:space="preserve"> for the Operating Hour.</w:t>
            </w:r>
          </w:p>
        </w:tc>
      </w:tr>
      <w:tr w:rsidR="00EF6376" w:rsidRPr="0013396E" w14:paraId="3270263C" w14:textId="77777777" w:rsidTr="0099759E">
        <w:trPr>
          <w:cantSplit/>
          <w:trHeight w:val="440"/>
        </w:trPr>
        <w:tc>
          <w:tcPr>
            <w:tcW w:w="1973" w:type="dxa"/>
            <w:tcBorders>
              <w:top w:val="single" w:sz="4" w:space="0" w:color="auto"/>
              <w:left w:val="single" w:sz="4" w:space="0" w:color="auto"/>
              <w:bottom w:val="single" w:sz="4" w:space="0" w:color="auto"/>
              <w:right w:val="single" w:sz="4" w:space="0" w:color="auto"/>
            </w:tcBorders>
            <w:hideMark/>
          </w:tcPr>
          <w:p w14:paraId="58750523" w14:textId="77777777" w:rsidR="00EF6376" w:rsidRPr="0013396E" w:rsidRDefault="00EF6376" w:rsidP="0099759E">
            <w:pPr>
              <w:pStyle w:val="TableBody"/>
            </w:pPr>
            <w:r w:rsidRPr="0013396E">
              <w:t xml:space="preserve">DAPCECRQTOT  </w:t>
            </w:r>
          </w:p>
        </w:tc>
        <w:tc>
          <w:tcPr>
            <w:tcW w:w="900" w:type="dxa"/>
            <w:tcBorders>
              <w:top w:val="single" w:sz="4" w:space="0" w:color="auto"/>
              <w:left w:val="single" w:sz="4" w:space="0" w:color="auto"/>
              <w:bottom w:val="single" w:sz="4" w:space="0" w:color="auto"/>
              <w:right w:val="single" w:sz="4" w:space="0" w:color="auto"/>
            </w:tcBorders>
            <w:hideMark/>
          </w:tcPr>
          <w:p w14:paraId="1C52F6AB"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35CDC7A0" w14:textId="77777777" w:rsidR="00EF6376" w:rsidRPr="0013396E" w:rsidRDefault="00EF6376" w:rsidP="0099759E">
            <w:pPr>
              <w:pStyle w:val="TableBody"/>
            </w:pPr>
            <w:r w:rsidRPr="0013396E">
              <w:rPr>
                <w:i/>
              </w:rPr>
              <w:t>Day-Ahead Procured Capacity for ERCOT Contingency Reserve Total</w:t>
            </w:r>
            <w:r w:rsidRPr="0013396E">
              <w:t>—The total ECRS capacity for all QSEs for all ECRS awarded and self-arranged in the DAM for the Operating Hour.</w:t>
            </w:r>
          </w:p>
        </w:tc>
      </w:tr>
      <w:tr w:rsidR="00EF6376" w:rsidRPr="0013396E" w14:paraId="6FA49237" w14:textId="77777777" w:rsidTr="0099759E">
        <w:trPr>
          <w:cantSplit/>
          <w:trHeight w:val="440"/>
        </w:trPr>
        <w:tc>
          <w:tcPr>
            <w:tcW w:w="1973" w:type="dxa"/>
            <w:tcBorders>
              <w:top w:val="single" w:sz="4" w:space="0" w:color="auto"/>
              <w:left w:val="single" w:sz="4" w:space="0" w:color="auto"/>
              <w:bottom w:val="single" w:sz="4" w:space="0" w:color="auto"/>
              <w:right w:val="single" w:sz="4" w:space="0" w:color="auto"/>
            </w:tcBorders>
            <w:hideMark/>
          </w:tcPr>
          <w:p w14:paraId="13778EDC" w14:textId="77777777" w:rsidR="00EF6376" w:rsidRPr="0013396E" w:rsidRDefault="00EF6376" w:rsidP="0099759E">
            <w:pPr>
              <w:pStyle w:val="TableBody"/>
            </w:pPr>
            <w:r w:rsidRPr="0013396E">
              <w:t xml:space="preserve">DASAECRQ </w:t>
            </w:r>
            <w:r w:rsidRPr="0013396E">
              <w:rPr>
                <w:i/>
                <w:vertAlign w:val="subscript"/>
              </w:rPr>
              <w:t>q</w:t>
            </w:r>
          </w:p>
        </w:tc>
        <w:tc>
          <w:tcPr>
            <w:tcW w:w="900" w:type="dxa"/>
            <w:tcBorders>
              <w:top w:val="single" w:sz="4" w:space="0" w:color="auto"/>
              <w:left w:val="single" w:sz="4" w:space="0" w:color="auto"/>
              <w:bottom w:val="single" w:sz="4" w:space="0" w:color="auto"/>
              <w:right w:val="single" w:sz="4" w:space="0" w:color="auto"/>
            </w:tcBorders>
            <w:hideMark/>
          </w:tcPr>
          <w:p w14:paraId="6CB05733" w14:textId="77777777" w:rsidR="00EF6376" w:rsidRPr="0013396E" w:rsidRDefault="00EF6376" w:rsidP="0099759E">
            <w:pPr>
              <w:pStyle w:val="TableBody"/>
            </w:pPr>
            <w:r w:rsidRPr="0013396E">
              <w:t>MW</w:t>
            </w:r>
          </w:p>
        </w:tc>
        <w:tc>
          <w:tcPr>
            <w:tcW w:w="6840" w:type="dxa"/>
            <w:tcBorders>
              <w:top w:val="single" w:sz="4" w:space="0" w:color="auto"/>
              <w:left w:val="single" w:sz="4" w:space="0" w:color="auto"/>
              <w:bottom w:val="single" w:sz="4" w:space="0" w:color="auto"/>
              <w:right w:val="single" w:sz="4" w:space="0" w:color="auto"/>
            </w:tcBorders>
            <w:hideMark/>
          </w:tcPr>
          <w:p w14:paraId="440E3218" w14:textId="77777777" w:rsidR="00EF6376" w:rsidRPr="0013396E" w:rsidRDefault="00EF6376" w:rsidP="0099759E">
            <w:pPr>
              <w:pStyle w:val="TableBody"/>
            </w:pPr>
            <w:r w:rsidRPr="0013396E">
              <w:rPr>
                <w:i/>
              </w:rPr>
              <w:t>Day-Ahead Self-Arranged ERCOT Contingency Reserve Quantity per QSE</w:t>
            </w:r>
            <w:r w:rsidRPr="0013396E">
              <w:t xml:space="preserve">—The self-arranged ECRS capacity submitted by QSE </w:t>
            </w:r>
            <w:r w:rsidRPr="0013396E">
              <w:rPr>
                <w:i/>
              </w:rPr>
              <w:t>q</w:t>
            </w:r>
            <w:r w:rsidRPr="0013396E">
              <w:t xml:space="preserve"> before 1000 in the DAM for the Operating Hour.</w:t>
            </w:r>
          </w:p>
        </w:tc>
      </w:tr>
      <w:tr w:rsidR="00EF6376" w:rsidRPr="0013396E" w14:paraId="2F618F86" w14:textId="77777777" w:rsidTr="0099759E">
        <w:trPr>
          <w:cantSplit/>
        </w:trPr>
        <w:tc>
          <w:tcPr>
            <w:tcW w:w="1973" w:type="dxa"/>
            <w:tcBorders>
              <w:top w:val="single" w:sz="4" w:space="0" w:color="auto"/>
              <w:left w:val="single" w:sz="4" w:space="0" w:color="auto"/>
              <w:bottom w:val="single" w:sz="4" w:space="0" w:color="auto"/>
              <w:right w:val="single" w:sz="4" w:space="0" w:color="auto"/>
            </w:tcBorders>
            <w:hideMark/>
          </w:tcPr>
          <w:p w14:paraId="178A3D79" w14:textId="77777777" w:rsidR="00EF6376" w:rsidRPr="0013396E" w:rsidRDefault="00EF6376" w:rsidP="0099759E">
            <w:pPr>
              <w:pStyle w:val="TableBody"/>
              <w:rPr>
                <w:i/>
              </w:rPr>
            </w:pPr>
            <w:r w:rsidRPr="0013396E">
              <w:rPr>
                <w:i/>
              </w:rPr>
              <w:t>q</w:t>
            </w:r>
          </w:p>
        </w:tc>
        <w:tc>
          <w:tcPr>
            <w:tcW w:w="900" w:type="dxa"/>
            <w:tcBorders>
              <w:top w:val="single" w:sz="4" w:space="0" w:color="auto"/>
              <w:left w:val="single" w:sz="4" w:space="0" w:color="auto"/>
              <w:bottom w:val="single" w:sz="4" w:space="0" w:color="auto"/>
              <w:right w:val="single" w:sz="4" w:space="0" w:color="auto"/>
            </w:tcBorders>
            <w:hideMark/>
          </w:tcPr>
          <w:p w14:paraId="2D64F73E"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156DC66A" w14:textId="77777777" w:rsidR="00EF6376" w:rsidRPr="0013396E" w:rsidRDefault="00EF6376" w:rsidP="0099759E">
            <w:pPr>
              <w:pStyle w:val="TableBody"/>
            </w:pPr>
            <w:r w:rsidRPr="0013396E">
              <w:t>A QSE.</w:t>
            </w:r>
          </w:p>
        </w:tc>
      </w:tr>
      <w:tr w:rsidR="00EF6376" w:rsidRPr="0013396E" w14:paraId="254D0242" w14:textId="77777777" w:rsidTr="0099759E">
        <w:trPr>
          <w:cantSplit/>
        </w:trPr>
        <w:tc>
          <w:tcPr>
            <w:tcW w:w="1973" w:type="dxa"/>
            <w:tcBorders>
              <w:top w:val="single" w:sz="4" w:space="0" w:color="auto"/>
              <w:left w:val="single" w:sz="4" w:space="0" w:color="auto"/>
              <w:bottom w:val="single" w:sz="4" w:space="0" w:color="auto"/>
              <w:right w:val="single" w:sz="4" w:space="0" w:color="auto"/>
            </w:tcBorders>
            <w:hideMark/>
          </w:tcPr>
          <w:p w14:paraId="4CCBD84D" w14:textId="77777777" w:rsidR="00EF6376" w:rsidRPr="0013396E" w:rsidRDefault="00EF6376" w:rsidP="0099759E">
            <w:pPr>
              <w:pStyle w:val="TableBody"/>
              <w:rPr>
                <w:i/>
              </w:rPr>
            </w:pPr>
            <w:r w:rsidRPr="0013396E">
              <w:rPr>
                <w:i/>
              </w:rPr>
              <w:t>r</w:t>
            </w:r>
          </w:p>
        </w:tc>
        <w:tc>
          <w:tcPr>
            <w:tcW w:w="900" w:type="dxa"/>
            <w:tcBorders>
              <w:top w:val="single" w:sz="4" w:space="0" w:color="auto"/>
              <w:left w:val="single" w:sz="4" w:space="0" w:color="auto"/>
              <w:bottom w:val="single" w:sz="4" w:space="0" w:color="auto"/>
              <w:right w:val="single" w:sz="4" w:space="0" w:color="auto"/>
            </w:tcBorders>
            <w:hideMark/>
          </w:tcPr>
          <w:p w14:paraId="4335ECE5" w14:textId="77777777" w:rsidR="00EF6376" w:rsidRPr="0013396E" w:rsidRDefault="00EF6376" w:rsidP="0099759E">
            <w:pPr>
              <w:pStyle w:val="TableBody"/>
            </w:pPr>
            <w:r w:rsidRPr="0013396E">
              <w:t>none</w:t>
            </w:r>
          </w:p>
        </w:tc>
        <w:tc>
          <w:tcPr>
            <w:tcW w:w="6840" w:type="dxa"/>
            <w:tcBorders>
              <w:top w:val="single" w:sz="4" w:space="0" w:color="auto"/>
              <w:left w:val="single" w:sz="4" w:space="0" w:color="auto"/>
              <w:bottom w:val="single" w:sz="4" w:space="0" w:color="auto"/>
              <w:right w:val="single" w:sz="4" w:space="0" w:color="auto"/>
            </w:tcBorders>
            <w:hideMark/>
          </w:tcPr>
          <w:p w14:paraId="06CDEEC0" w14:textId="77777777" w:rsidR="00EF6376" w:rsidRPr="0013396E" w:rsidRDefault="00EF6376" w:rsidP="0099759E">
            <w:pPr>
              <w:pStyle w:val="TableBody"/>
            </w:pPr>
            <w:r w:rsidRPr="0013396E">
              <w:t>A Resource.</w:t>
            </w:r>
          </w:p>
        </w:tc>
      </w:tr>
    </w:tbl>
    <w:p w14:paraId="0B539F11" w14:textId="77777777" w:rsidR="008871B2" w:rsidRPr="0013396E" w:rsidRDefault="008871B2" w:rsidP="008871B2">
      <w:bookmarkStart w:id="2246" w:name="_Toc397505050"/>
      <w:bookmarkStart w:id="2247" w:name="_Toc402357182"/>
      <w:bookmarkStart w:id="2248" w:name="_Toc422486562"/>
      <w:bookmarkStart w:id="2249" w:name="_Toc433093415"/>
      <w:bookmarkStart w:id="2250" w:name="_Toc433093573"/>
      <w:bookmarkStart w:id="2251" w:name="_Toc440874803"/>
      <w:bookmarkStart w:id="2252" w:name="_Toc448142360"/>
      <w:bookmarkStart w:id="2253" w:name="_Toc448142517"/>
      <w:bookmarkStart w:id="2254" w:name="_Toc458770358"/>
      <w:bookmarkStart w:id="2255" w:name="_Toc459294326"/>
      <w:bookmarkStart w:id="2256" w:name="_Toc463262820"/>
      <w:bookmarkStart w:id="2257" w:name="_Toc468286895"/>
      <w:bookmarkStart w:id="2258" w:name="_Toc481502935"/>
      <w:bookmarkStart w:id="2259" w:name="_Toc496080102"/>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6503F3" w:rsidRPr="0013396E" w14:paraId="33810744" w14:textId="77777777" w:rsidTr="00A86863">
        <w:trPr>
          <w:trHeight w:val="206"/>
        </w:trPr>
        <w:tc>
          <w:tcPr>
            <w:tcW w:w="9350" w:type="dxa"/>
            <w:shd w:val="pct12" w:color="auto" w:fill="auto"/>
          </w:tcPr>
          <w:p w14:paraId="783BF111" w14:textId="480724A4" w:rsidR="006503F3" w:rsidRPr="0013396E" w:rsidRDefault="006503F3" w:rsidP="00A86863">
            <w:pPr>
              <w:spacing w:before="120" w:after="240"/>
              <w:rPr>
                <w:b/>
                <w:i/>
                <w:iCs/>
                <w:szCs w:val="24"/>
              </w:rPr>
            </w:pPr>
            <w:bookmarkStart w:id="2260" w:name="_Hlk174606168"/>
            <w:bookmarkStart w:id="2261" w:name="_Hlk102565182"/>
            <w:r w:rsidRPr="0013396E">
              <w:rPr>
                <w:b/>
                <w:i/>
                <w:iCs/>
                <w:szCs w:val="24"/>
              </w:rPr>
              <w:t>[NPRR1</w:t>
            </w:r>
            <w:r>
              <w:rPr>
                <w:b/>
                <w:i/>
                <w:iCs/>
                <w:szCs w:val="24"/>
              </w:rPr>
              <w:t>309</w:t>
            </w:r>
            <w:r w:rsidRPr="0013396E">
              <w:rPr>
                <w:b/>
                <w:i/>
                <w:iCs/>
                <w:szCs w:val="24"/>
              </w:rPr>
              <w:t xml:space="preserve">: </w:t>
            </w:r>
            <w:r>
              <w:rPr>
                <w:b/>
                <w:i/>
                <w:iCs/>
                <w:szCs w:val="24"/>
              </w:rPr>
              <w:t xml:space="preserve"> Insert paragraph (f) below</w:t>
            </w:r>
            <w:r w:rsidRPr="0013396E">
              <w:rPr>
                <w:b/>
                <w:i/>
                <w:iCs/>
                <w:szCs w:val="24"/>
              </w:rPr>
              <w:t xml:space="preserve"> upon system implementation:]</w:t>
            </w:r>
          </w:p>
          <w:p w14:paraId="30B7F804" w14:textId="77777777" w:rsidR="006503F3" w:rsidRPr="006503F3" w:rsidRDefault="006503F3" w:rsidP="006503F3">
            <w:pPr>
              <w:spacing w:before="240" w:after="240"/>
              <w:ind w:left="1440" w:hanging="720"/>
              <w:rPr>
                <w:rFonts w:eastAsia="SimSun"/>
              </w:rPr>
            </w:pPr>
            <w:r w:rsidRPr="006503F3">
              <w:rPr>
                <w:rFonts w:eastAsia="SimSun"/>
                <w:iCs/>
              </w:rPr>
              <w:t>(f)</w:t>
            </w:r>
            <w:r w:rsidRPr="006503F3">
              <w:rPr>
                <w:rFonts w:eastAsia="SimSun"/>
                <w:iCs/>
              </w:rPr>
              <w:tab/>
              <w:t>For Dispatchable Reliability Reserve Service (DRRS), if applicable:</w:t>
            </w:r>
          </w:p>
          <w:p w14:paraId="1CB28B25" w14:textId="77777777" w:rsidR="006503F3" w:rsidRPr="006503F3" w:rsidRDefault="006503F3" w:rsidP="006503F3">
            <w:pPr>
              <w:ind w:left="1440" w:hanging="720"/>
              <w:rPr>
                <w:rFonts w:eastAsia="SimSun"/>
              </w:rPr>
            </w:pPr>
            <w:r w:rsidRPr="006503F3">
              <w:rPr>
                <w:rFonts w:eastAsia="SimSun"/>
                <w:iCs/>
              </w:rPr>
              <w:t xml:space="preserve">DARTPCDRRAMT </w:t>
            </w:r>
            <w:r w:rsidRPr="006503F3">
              <w:rPr>
                <w:rFonts w:eastAsia="SimSun"/>
                <w:i/>
                <w:iCs/>
                <w:vertAlign w:val="subscript"/>
              </w:rPr>
              <w:t>q</w:t>
            </w:r>
            <w:r w:rsidRPr="006503F3">
              <w:rPr>
                <w:rFonts w:eastAsia="SimSun"/>
                <w:iCs/>
              </w:rPr>
              <w:t xml:space="preserve"> = (DADRRNOBL </w:t>
            </w:r>
            <w:r w:rsidRPr="006503F3">
              <w:rPr>
                <w:rFonts w:eastAsia="SimSun"/>
                <w:i/>
                <w:iCs/>
                <w:vertAlign w:val="subscript"/>
              </w:rPr>
              <w:t>q</w:t>
            </w:r>
            <w:r w:rsidRPr="006503F3">
              <w:rPr>
                <w:rFonts w:eastAsia="SimSun"/>
                <w:iCs/>
              </w:rPr>
              <w:t xml:space="preserve"> – DASADRRQ </w:t>
            </w:r>
            <w:r w:rsidRPr="006503F3">
              <w:rPr>
                <w:rFonts w:eastAsia="SimSun"/>
                <w:i/>
                <w:iCs/>
                <w:vertAlign w:val="subscript"/>
              </w:rPr>
              <w:t>q</w:t>
            </w:r>
            <w:r w:rsidRPr="006503F3">
              <w:rPr>
                <w:rFonts w:eastAsia="SimSun"/>
                <w:iCs/>
              </w:rPr>
              <w:t xml:space="preserve">) *                            DADRRPR  –   DADRRAMT </w:t>
            </w:r>
            <w:r w:rsidRPr="006503F3">
              <w:rPr>
                <w:rFonts w:eastAsia="SimSun"/>
                <w:i/>
                <w:iCs/>
                <w:vertAlign w:val="subscript"/>
              </w:rPr>
              <w:t>q</w:t>
            </w:r>
          </w:p>
          <w:p w14:paraId="0890CE2E" w14:textId="77777777" w:rsidR="006503F3" w:rsidRPr="006503F3" w:rsidRDefault="006503F3" w:rsidP="006503F3">
            <w:pPr>
              <w:spacing w:after="240"/>
              <w:ind w:left="720" w:hanging="720"/>
              <w:rPr>
                <w:rFonts w:eastAsia="SimSun"/>
              </w:rPr>
            </w:pPr>
            <w:r w:rsidRPr="006503F3">
              <w:rPr>
                <w:rFonts w:eastAsia="SimSun"/>
                <w:iCs/>
              </w:rPr>
              <w:t>Where:</w:t>
            </w:r>
          </w:p>
          <w:p w14:paraId="364275FB" w14:textId="77777777" w:rsidR="006503F3" w:rsidRPr="006503F3" w:rsidRDefault="006503F3" w:rsidP="006503F3">
            <w:pPr>
              <w:spacing w:after="240"/>
              <w:ind w:left="1440" w:hanging="720"/>
              <w:rPr>
                <w:rFonts w:eastAsia="SimSun"/>
              </w:rPr>
            </w:pPr>
            <w:r w:rsidRPr="006503F3">
              <w:rPr>
                <w:rFonts w:eastAsia="SimSun"/>
                <w:iCs/>
              </w:rPr>
              <w:t xml:space="preserve">DADRRNOBL </w:t>
            </w:r>
            <w:r w:rsidRPr="006503F3">
              <w:rPr>
                <w:rFonts w:eastAsia="SimSun"/>
                <w:i/>
                <w:iCs/>
                <w:vertAlign w:val="subscript"/>
              </w:rPr>
              <w:t>q</w:t>
            </w:r>
            <w:r w:rsidRPr="006503F3">
              <w:rPr>
                <w:rFonts w:eastAsia="SimSun"/>
                <w:iCs/>
              </w:rPr>
              <w:t xml:space="preserve"> = DAPCDRRQTOT * HLRS </w:t>
            </w:r>
            <w:r w:rsidRPr="006503F3">
              <w:rPr>
                <w:rFonts w:eastAsia="SimSun"/>
                <w:i/>
                <w:iCs/>
                <w:vertAlign w:val="subscript"/>
              </w:rPr>
              <w:t>q</w:t>
            </w:r>
          </w:p>
          <w:p w14:paraId="2EB4EBA9" w14:textId="77777777" w:rsidR="006503F3" w:rsidRPr="006503F3" w:rsidRDefault="006503F3" w:rsidP="006503F3">
            <w:pPr>
              <w:spacing w:after="240"/>
              <w:ind w:left="1440" w:hanging="720"/>
              <w:rPr>
                <w:rFonts w:eastAsia="SimSun"/>
                <w:iCs/>
              </w:rPr>
            </w:pPr>
            <w:r w:rsidRPr="006503F3">
              <w:rPr>
                <w:rFonts w:eastAsia="SimSun"/>
                <w:iCs/>
              </w:rPr>
              <w:t xml:space="preserve">DAPCDRRQTOT  =  </w:t>
            </w:r>
            <w:r w:rsidRPr="006503F3">
              <w:rPr>
                <w:rFonts w:eastAsia="SimSun"/>
                <w:iCs/>
                <w:position w:val="-22"/>
              </w:rPr>
              <w:object w:dxaOrig="220" w:dyaOrig="460" w14:anchorId="0D6A5FAF">
                <v:shape id="_x0000_i1271" type="#_x0000_t75" style="width:22.2pt;height:28.2pt" o:ole="">
                  <v:imagedata r:id="rId348" o:title=""/>
                </v:shape>
                <o:OLEObject Type="Embed" ProgID="Equation.3" ShapeID="_x0000_i1271" DrawAspect="Content" ObjectID="_1849065900" r:id="rId349"/>
              </w:object>
            </w:r>
            <w:r w:rsidRPr="006503F3">
              <w:rPr>
                <w:rFonts w:eastAsia="SimSun"/>
                <w:iCs/>
              </w:rPr>
              <w:t>(</w:t>
            </w:r>
            <w:r w:rsidRPr="006503F3">
              <w:rPr>
                <w:rFonts w:eastAsia="SimSun"/>
                <w:iCs/>
                <w:position w:val="-18"/>
              </w:rPr>
              <w:object w:dxaOrig="285" w:dyaOrig="570" w14:anchorId="44E56DF4">
                <v:shape id="_x0000_i1272" type="#_x0000_t75" style="width:13.2pt;height:28.8pt" o:ole="">
                  <v:imagedata r:id="rId337" o:title=""/>
                </v:shape>
                <o:OLEObject Type="Embed" ProgID="Equation.3" ShapeID="_x0000_i1272" DrawAspect="Content" ObjectID="_1849065901" r:id="rId350"/>
              </w:object>
            </w:r>
            <w:r w:rsidRPr="006503F3">
              <w:rPr>
                <w:rFonts w:eastAsia="SimSun"/>
                <w:iCs/>
              </w:rPr>
              <w:t>PCDRRR</w:t>
            </w:r>
            <w:r w:rsidRPr="006503F3">
              <w:rPr>
                <w:rFonts w:eastAsia="SimSun"/>
                <w:i/>
                <w:iCs/>
              </w:rPr>
              <w:t xml:space="preserve"> </w:t>
            </w:r>
            <w:r w:rsidRPr="006503F3">
              <w:rPr>
                <w:rFonts w:eastAsia="SimSun"/>
                <w:i/>
                <w:iCs/>
                <w:vertAlign w:val="subscript"/>
              </w:rPr>
              <w:t>r, q, DAM</w:t>
            </w:r>
            <w:r w:rsidRPr="006503F3">
              <w:rPr>
                <w:rFonts w:eastAsia="SimSun"/>
                <w:iCs/>
              </w:rPr>
              <w:t xml:space="preserve"> + DAECROAWD </w:t>
            </w:r>
            <w:r w:rsidRPr="006503F3">
              <w:rPr>
                <w:rFonts w:eastAsia="SimSun"/>
                <w:i/>
                <w:iCs/>
                <w:vertAlign w:val="subscript"/>
              </w:rPr>
              <w:t>q</w:t>
            </w:r>
            <w:r w:rsidRPr="006503F3">
              <w:rPr>
                <w:rFonts w:eastAsia="SimSun"/>
                <w:iCs/>
              </w:rPr>
              <w:t xml:space="preserve"> + DASADRRQ </w:t>
            </w:r>
            <w:r w:rsidRPr="006503F3">
              <w:rPr>
                <w:rFonts w:eastAsia="SimSun"/>
                <w:i/>
                <w:iCs/>
                <w:vertAlign w:val="subscript"/>
              </w:rPr>
              <w:t>q</w:t>
            </w:r>
            <w:r w:rsidRPr="006503F3">
              <w:rPr>
                <w:rFonts w:eastAsia="SimSun"/>
                <w:iCs/>
              </w:rPr>
              <w:t>)</w:t>
            </w:r>
          </w:p>
          <w:p w14:paraId="6DC18530" w14:textId="77777777" w:rsidR="006503F3" w:rsidRPr="006503F3" w:rsidRDefault="006503F3" w:rsidP="006503F3">
            <w:pPr>
              <w:rPr>
                <w:rFonts w:eastAsia="SimSun"/>
                <w:szCs w:val="24"/>
              </w:rPr>
            </w:pPr>
            <w:r w:rsidRPr="006503F3">
              <w:rPr>
                <w:rFonts w:eastAsia="SimSun"/>
                <w:szCs w:val="24"/>
              </w:rPr>
              <w:t>The above variables are defined as follows:</w:t>
            </w:r>
          </w:p>
          <w:tbl>
            <w:tblPr>
              <w:tblW w:w="909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755"/>
              <w:gridCol w:w="6235"/>
            </w:tblGrid>
            <w:tr w:rsidR="006503F3" w:rsidRPr="006503F3" w14:paraId="7134DAFE" w14:textId="77777777" w:rsidTr="00A86863">
              <w:trPr>
                <w:cantSplit/>
                <w:tblHeader/>
              </w:trPr>
              <w:tc>
                <w:tcPr>
                  <w:tcW w:w="2100" w:type="dxa"/>
                  <w:tcBorders>
                    <w:top w:val="single" w:sz="4" w:space="0" w:color="auto"/>
                    <w:left w:val="single" w:sz="4" w:space="0" w:color="auto"/>
                    <w:bottom w:val="single" w:sz="4" w:space="0" w:color="auto"/>
                    <w:right w:val="single" w:sz="4" w:space="0" w:color="auto"/>
                  </w:tcBorders>
                  <w:hideMark/>
                </w:tcPr>
                <w:p w14:paraId="341F77A0" w14:textId="77777777" w:rsidR="006503F3" w:rsidRPr="006503F3" w:rsidRDefault="006503F3" w:rsidP="006503F3">
                  <w:pPr>
                    <w:spacing w:after="240"/>
                    <w:rPr>
                      <w:rFonts w:eastAsia="SimSun"/>
                      <w:b/>
                      <w:iCs/>
                      <w:sz w:val="20"/>
                    </w:rPr>
                  </w:pPr>
                  <w:r w:rsidRPr="006503F3">
                    <w:rPr>
                      <w:rFonts w:eastAsia="SimSun"/>
                      <w:b/>
                      <w:sz w:val="20"/>
                    </w:rPr>
                    <w:lastRenderedPageBreak/>
                    <w:t>Variable</w:t>
                  </w:r>
                </w:p>
              </w:tc>
              <w:tc>
                <w:tcPr>
                  <w:tcW w:w="755" w:type="dxa"/>
                  <w:tcBorders>
                    <w:top w:val="single" w:sz="4" w:space="0" w:color="auto"/>
                    <w:left w:val="single" w:sz="4" w:space="0" w:color="auto"/>
                    <w:bottom w:val="single" w:sz="4" w:space="0" w:color="auto"/>
                    <w:right w:val="single" w:sz="4" w:space="0" w:color="auto"/>
                  </w:tcBorders>
                  <w:hideMark/>
                </w:tcPr>
                <w:p w14:paraId="363D1243" w14:textId="77777777" w:rsidR="006503F3" w:rsidRPr="006503F3" w:rsidRDefault="006503F3" w:rsidP="006503F3">
                  <w:pPr>
                    <w:spacing w:after="240"/>
                    <w:rPr>
                      <w:rFonts w:eastAsia="SimSun"/>
                      <w:b/>
                      <w:iCs/>
                      <w:sz w:val="20"/>
                    </w:rPr>
                  </w:pPr>
                  <w:r w:rsidRPr="006503F3">
                    <w:rPr>
                      <w:rFonts w:eastAsia="SimSun"/>
                      <w:b/>
                      <w:iCs/>
                      <w:sz w:val="20"/>
                    </w:rPr>
                    <w:t>Unit</w:t>
                  </w:r>
                </w:p>
              </w:tc>
              <w:tc>
                <w:tcPr>
                  <w:tcW w:w="6235" w:type="dxa"/>
                  <w:tcBorders>
                    <w:top w:val="single" w:sz="4" w:space="0" w:color="auto"/>
                    <w:left w:val="single" w:sz="4" w:space="0" w:color="auto"/>
                    <w:bottom w:val="single" w:sz="4" w:space="0" w:color="auto"/>
                    <w:right w:val="single" w:sz="4" w:space="0" w:color="auto"/>
                  </w:tcBorders>
                  <w:hideMark/>
                </w:tcPr>
                <w:p w14:paraId="5FF265B6" w14:textId="77777777" w:rsidR="006503F3" w:rsidRPr="006503F3" w:rsidRDefault="006503F3" w:rsidP="006503F3">
                  <w:pPr>
                    <w:spacing w:after="240"/>
                    <w:rPr>
                      <w:rFonts w:eastAsia="SimSun"/>
                      <w:b/>
                      <w:iCs/>
                      <w:sz w:val="20"/>
                    </w:rPr>
                  </w:pPr>
                  <w:r w:rsidRPr="006503F3">
                    <w:rPr>
                      <w:rFonts w:eastAsia="SimSun"/>
                      <w:b/>
                      <w:iCs/>
                      <w:sz w:val="20"/>
                    </w:rPr>
                    <w:t>Description</w:t>
                  </w:r>
                </w:p>
              </w:tc>
            </w:tr>
            <w:tr w:rsidR="006503F3" w:rsidRPr="006503F3" w14:paraId="55D63529" w14:textId="77777777" w:rsidTr="00A86863">
              <w:trPr>
                <w:cantSplit/>
              </w:trPr>
              <w:tc>
                <w:tcPr>
                  <w:tcW w:w="2100" w:type="dxa"/>
                  <w:tcBorders>
                    <w:top w:val="single" w:sz="4" w:space="0" w:color="auto"/>
                    <w:left w:val="single" w:sz="4" w:space="0" w:color="auto"/>
                    <w:bottom w:val="single" w:sz="4" w:space="0" w:color="auto"/>
                    <w:right w:val="single" w:sz="4" w:space="0" w:color="auto"/>
                  </w:tcBorders>
                  <w:hideMark/>
                </w:tcPr>
                <w:p w14:paraId="13C24759" w14:textId="77777777" w:rsidR="006503F3" w:rsidRPr="006503F3" w:rsidRDefault="006503F3" w:rsidP="006503F3">
                  <w:pPr>
                    <w:spacing w:after="60"/>
                    <w:rPr>
                      <w:rFonts w:eastAsia="SimSun"/>
                      <w:iCs/>
                      <w:sz w:val="20"/>
                    </w:rPr>
                  </w:pPr>
                  <w:r w:rsidRPr="006503F3">
                    <w:rPr>
                      <w:rFonts w:eastAsia="SimSun"/>
                      <w:iCs/>
                      <w:sz w:val="20"/>
                    </w:rPr>
                    <w:t xml:space="preserve">DARTPCDRRAMT </w:t>
                  </w:r>
                  <w:r w:rsidRPr="006503F3">
                    <w:rPr>
                      <w:rFonts w:eastAsia="SimSun"/>
                      <w:i/>
                      <w:iCs/>
                      <w:sz w:val="20"/>
                      <w:vertAlign w:val="subscript"/>
                    </w:rPr>
                    <w:t>q</w:t>
                  </w:r>
                </w:p>
              </w:tc>
              <w:tc>
                <w:tcPr>
                  <w:tcW w:w="755" w:type="dxa"/>
                  <w:tcBorders>
                    <w:top w:val="single" w:sz="4" w:space="0" w:color="auto"/>
                    <w:left w:val="single" w:sz="4" w:space="0" w:color="auto"/>
                    <w:bottom w:val="single" w:sz="4" w:space="0" w:color="auto"/>
                    <w:right w:val="single" w:sz="4" w:space="0" w:color="auto"/>
                  </w:tcBorders>
                  <w:hideMark/>
                </w:tcPr>
                <w:p w14:paraId="1F37EB97" w14:textId="77777777" w:rsidR="006503F3" w:rsidRPr="006503F3" w:rsidRDefault="006503F3" w:rsidP="006503F3">
                  <w:pPr>
                    <w:spacing w:after="60"/>
                    <w:rPr>
                      <w:rFonts w:eastAsia="SimSun"/>
                      <w:iCs/>
                      <w:sz w:val="20"/>
                    </w:rPr>
                  </w:pPr>
                  <w:r w:rsidRPr="006503F3">
                    <w:rPr>
                      <w:rFonts w:eastAsia="SimSun"/>
                      <w:iCs/>
                      <w:sz w:val="20"/>
                    </w:rPr>
                    <w:t>$</w:t>
                  </w:r>
                </w:p>
              </w:tc>
              <w:tc>
                <w:tcPr>
                  <w:tcW w:w="6235" w:type="dxa"/>
                  <w:tcBorders>
                    <w:top w:val="single" w:sz="4" w:space="0" w:color="auto"/>
                    <w:left w:val="single" w:sz="4" w:space="0" w:color="auto"/>
                    <w:bottom w:val="single" w:sz="4" w:space="0" w:color="auto"/>
                    <w:right w:val="single" w:sz="4" w:space="0" w:color="auto"/>
                  </w:tcBorders>
                  <w:hideMark/>
                </w:tcPr>
                <w:p w14:paraId="3F55B38E" w14:textId="77777777" w:rsidR="006503F3" w:rsidRPr="006503F3" w:rsidRDefault="006503F3" w:rsidP="006503F3">
                  <w:pPr>
                    <w:spacing w:after="60"/>
                    <w:rPr>
                      <w:rFonts w:eastAsia="SimSun"/>
                      <w:iCs/>
                      <w:sz w:val="20"/>
                    </w:rPr>
                  </w:pPr>
                  <w:r w:rsidRPr="006503F3">
                    <w:rPr>
                      <w:rFonts w:eastAsia="SimSun"/>
                      <w:i/>
                      <w:iCs/>
                      <w:sz w:val="20"/>
                    </w:rPr>
                    <w:t xml:space="preserve">Day-Ahead Updated Real-Time Procured Capacity for </w:t>
                  </w:r>
                  <w:r w:rsidRPr="006503F3">
                    <w:rPr>
                      <w:rFonts w:eastAsia="SimSun"/>
                      <w:i/>
                      <w:sz w:val="20"/>
                    </w:rPr>
                    <w:t xml:space="preserve">Dispatchable Reliability Reserve Service </w:t>
                  </w:r>
                  <w:r w:rsidRPr="006503F3">
                    <w:rPr>
                      <w:rFonts w:eastAsia="SimSun"/>
                      <w:i/>
                      <w:iCs/>
                      <w:sz w:val="20"/>
                    </w:rPr>
                    <w:t>Amount by QSE</w:t>
                  </w:r>
                  <w:r w:rsidRPr="006503F3">
                    <w:rPr>
                      <w:rFonts w:eastAsia="SimSun"/>
                      <w:iCs/>
                      <w:sz w:val="20"/>
                    </w:rPr>
                    <w:t xml:space="preserve">—The payment or charge to QSE </w:t>
                  </w:r>
                  <w:r w:rsidRPr="006503F3">
                    <w:rPr>
                      <w:rFonts w:eastAsia="SimSun"/>
                      <w:i/>
                      <w:iCs/>
                      <w:sz w:val="20"/>
                    </w:rPr>
                    <w:t>q</w:t>
                  </w:r>
                  <w:r w:rsidRPr="006503F3">
                    <w:rPr>
                      <w:rFonts w:eastAsia="SimSun"/>
                      <w:iCs/>
                      <w:sz w:val="20"/>
                    </w:rPr>
                    <w:t xml:space="preserve"> for DRRS for the re-calculated Real-Time obligation for the Operating Hour.</w:t>
                  </w:r>
                </w:p>
              </w:tc>
            </w:tr>
            <w:tr w:rsidR="006503F3" w:rsidRPr="006503F3" w14:paraId="415E2F6A" w14:textId="77777777" w:rsidTr="00A86863">
              <w:trPr>
                <w:cantSplit/>
              </w:trPr>
              <w:tc>
                <w:tcPr>
                  <w:tcW w:w="2100" w:type="dxa"/>
                  <w:tcBorders>
                    <w:top w:val="single" w:sz="4" w:space="0" w:color="auto"/>
                    <w:left w:val="single" w:sz="4" w:space="0" w:color="auto"/>
                    <w:bottom w:val="single" w:sz="4" w:space="0" w:color="auto"/>
                    <w:right w:val="single" w:sz="4" w:space="0" w:color="auto"/>
                  </w:tcBorders>
                  <w:hideMark/>
                </w:tcPr>
                <w:p w14:paraId="15C25949" w14:textId="77777777" w:rsidR="006503F3" w:rsidRPr="006503F3" w:rsidRDefault="006503F3" w:rsidP="006503F3">
                  <w:pPr>
                    <w:spacing w:after="60"/>
                    <w:rPr>
                      <w:rFonts w:eastAsia="SimSun"/>
                      <w:iCs/>
                      <w:sz w:val="20"/>
                    </w:rPr>
                  </w:pPr>
                  <w:r w:rsidRPr="006503F3">
                    <w:rPr>
                      <w:rFonts w:eastAsia="SimSun"/>
                      <w:iCs/>
                      <w:sz w:val="20"/>
                    </w:rPr>
                    <w:t>DADRRPR</w:t>
                  </w:r>
                </w:p>
              </w:tc>
              <w:tc>
                <w:tcPr>
                  <w:tcW w:w="755" w:type="dxa"/>
                  <w:tcBorders>
                    <w:top w:val="single" w:sz="4" w:space="0" w:color="auto"/>
                    <w:left w:val="single" w:sz="4" w:space="0" w:color="auto"/>
                    <w:bottom w:val="single" w:sz="4" w:space="0" w:color="auto"/>
                    <w:right w:val="single" w:sz="4" w:space="0" w:color="auto"/>
                  </w:tcBorders>
                  <w:hideMark/>
                </w:tcPr>
                <w:p w14:paraId="5BE814DE" w14:textId="77777777" w:rsidR="006503F3" w:rsidRPr="006503F3" w:rsidRDefault="006503F3" w:rsidP="006503F3">
                  <w:pPr>
                    <w:spacing w:after="60"/>
                    <w:rPr>
                      <w:rFonts w:eastAsia="SimSun"/>
                      <w:iCs/>
                      <w:sz w:val="20"/>
                    </w:rPr>
                  </w:pPr>
                  <w:r w:rsidRPr="006503F3">
                    <w:rPr>
                      <w:rFonts w:eastAsia="SimSun"/>
                      <w:iCs/>
                      <w:sz w:val="20"/>
                    </w:rPr>
                    <w:t>$/MW</w:t>
                  </w:r>
                </w:p>
              </w:tc>
              <w:tc>
                <w:tcPr>
                  <w:tcW w:w="6235" w:type="dxa"/>
                  <w:tcBorders>
                    <w:top w:val="single" w:sz="4" w:space="0" w:color="auto"/>
                    <w:left w:val="single" w:sz="4" w:space="0" w:color="auto"/>
                    <w:bottom w:val="single" w:sz="4" w:space="0" w:color="auto"/>
                    <w:right w:val="single" w:sz="4" w:space="0" w:color="auto"/>
                  </w:tcBorders>
                  <w:hideMark/>
                </w:tcPr>
                <w:p w14:paraId="71757032" w14:textId="77777777" w:rsidR="006503F3" w:rsidRPr="006503F3" w:rsidRDefault="006503F3" w:rsidP="006503F3">
                  <w:pPr>
                    <w:spacing w:after="60"/>
                    <w:rPr>
                      <w:rFonts w:eastAsia="SimSun"/>
                      <w:i/>
                      <w:iCs/>
                      <w:sz w:val="20"/>
                    </w:rPr>
                  </w:pPr>
                  <w:r w:rsidRPr="006503F3">
                    <w:rPr>
                      <w:rFonts w:eastAsia="SimSun"/>
                      <w:i/>
                      <w:iCs/>
                      <w:sz w:val="20"/>
                    </w:rPr>
                    <w:t>Day-Ahead Dispatchable Reliability Reserve Service Price</w:t>
                  </w:r>
                  <w:r w:rsidRPr="006503F3">
                    <w:rPr>
                      <w:rFonts w:eastAsia="SimSun"/>
                      <w:iCs/>
                      <w:sz w:val="20"/>
                    </w:rPr>
                    <w:t>—The DAM DRRS price for the Operating Hour.</w:t>
                  </w:r>
                </w:p>
              </w:tc>
            </w:tr>
            <w:tr w:rsidR="006503F3" w:rsidRPr="006503F3" w14:paraId="0DB812D0" w14:textId="77777777" w:rsidTr="00A86863">
              <w:trPr>
                <w:cantSplit/>
              </w:trPr>
              <w:tc>
                <w:tcPr>
                  <w:tcW w:w="2100" w:type="dxa"/>
                  <w:tcBorders>
                    <w:top w:val="single" w:sz="4" w:space="0" w:color="auto"/>
                    <w:left w:val="single" w:sz="4" w:space="0" w:color="auto"/>
                    <w:bottom w:val="single" w:sz="4" w:space="0" w:color="auto"/>
                    <w:right w:val="single" w:sz="4" w:space="0" w:color="auto"/>
                  </w:tcBorders>
                  <w:hideMark/>
                </w:tcPr>
                <w:p w14:paraId="554DDC15" w14:textId="77777777" w:rsidR="006503F3" w:rsidRPr="006503F3" w:rsidRDefault="006503F3" w:rsidP="006503F3">
                  <w:pPr>
                    <w:spacing w:after="60"/>
                    <w:rPr>
                      <w:rFonts w:eastAsia="SimSun"/>
                      <w:iCs/>
                      <w:sz w:val="20"/>
                    </w:rPr>
                  </w:pPr>
                  <w:r w:rsidRPr="006503F3">
                    <w:rPr>
                      <w:rFonts w:eastAsia="SimSun"/>
                      <w:iCs/>
                      <w:sz w:val="20"/>
                    </w:rPr>
                    <w:t>DADRRNOBL</w:t>
                  </w:r>
                  <w:r w:rsidRPr="006503F3">
                    <w:rPr>
                      <w:rFonts w:eastAsia="SimSun"/>
                      <w:iCs/>
                      <w:sz w:val="20"/>
                      <w:vertAlign w:val="subscript"/>
                    </w:rPr>
                    <w:t xml:space="preserve"> </w:t>
                  </w:r>
                  <w:r w:rsidRPr="006503F3">
                    <w:rPr>
                      <w:rFonts w:eastAsia="SimSun"/>
                      <w:i/>
                      <w:iCs/>
                      <w:sz w:val="20"/>
                      <w:vertAlign w:val="subscript"/>
                    </w:rPr>
                    <w:t>q</w:t>
                  </w:r>
                </w:p>
              </w:tc>
              <w:tc>
                <w:tcPr>
                  <w:tcW w:w="755" w:type="dxa"/>
                  <w:tcBorders>
                    <w:top w:val="single" w:sz="4" w:space="0" w:color="auto"/>
                    <w:left w:val="single" w:sz="4" w:space="0" w:color="auto"/>
                    <w:bottom w:val="single" w:sz="4" w:space="0" w:color="auto"/>
                    <w:right w:val="single" w:sz="4" w:space="0" w:color="auto"/>
                  </w:tcBorders>
                  <w:hideMark/>
                </w:tcPr>
                <w:p w14:paraId="27010505" w14:textId="77777777" w:rsidR="006503F3" w:rsidRPr="006503F3" w:rsidRDefault="006503F3" w:rsidP="006503F3">
                  <w:pPr>
                    <w:spacing w:after="60"/>
                    <w:rPr>
                      <w:rFonts w:eastAsia="SimSun"/>
                      <w:iCs/>
                      <w:sz w:val="20"/>
                    </w:rPr>
                  </w:pPr>
                  <w:r w:rsidRPr="006503F3">
                    <w:rPr>
                      <w:rFonts w:eastAsia="SimSun"/>
                      <w:iCs/>
                      <w:sz w:val="20"/>
                    </w:rPr>
                    <w:t>MW</w:t>
                  </w:r>
                </w:p>
              </w:tc>
              <w:tc>
                <w:tcPr>
                  <w:tcW w:w="6235" w:type="dxa"/>
                  <w:tcBorders>
                    <w:top w:val="single" w:sz="4" w:space="0" w:color="auto"/>
                    <w:left w:val="single" w:sz="4" w:space="0" w:color="auto"/>
                    <w:bottom w:val="single" w:sz="4" w:space="0" w:color="auto"/>
                    <w:right w:val="single" w:sz="4" w:space="0" w:color="auto"/>
                  </w:tcBorders>
                  <w:hideMark/>
                </w:tcPr>
                <w:p w14:paraId="6D2A602A" w14:textId="77777777" w:rsidR="006503F3" w:rsidRPr="006503F3" w:rsidRDefault="006503F3" w:rsidP="006503F3">
                  <w:pPr>
                    <w:spacing w:after="60"/>
                    <w:rPr>
                      <w:rFonts w:eastAsia="SimSun"/>
                      <w:iCs/>
                      <w:sz w:val="20"/>
                    </w:rPr>
                  </w:pPr>
                  <w:r w:rsidRPr="006503F3">
                    <w:rPr>
                      <w:rFonts w:eastAsia="SimSun"/>
                      <w:i/>
                      <w:iCs/>
                      <w:sz w:val="20"/>
                    </w:rPr>
                    <w:t>Day-Ahead Dispatchable Reliability Reserve Service New Obligation per QSE</w:t>
                  </w:r>
                  <w:r w:rsidRPr="006503F3">
                    <w:rPr>
                      <w:rFonts w:eastAsia="SimSun"/>
                      <w:iCs/>
                      <w:sz w:val="20"/>
                    </w:rPr>
                    <w:t xml:space="preserve">—The updated DRRS Ancillary Service Obligation in Real-Time for QSE </w:t>
                  </w:r>
                  <w:r w:rsidRPr="006503F3">
                    <w:rPr>
                      <w:rFonts w:eastAsia="SimSun"/>
                      <w:i/>
                      <w:iCs/>
                      <w:sz w:val="20"/>
                    </w:rPr>
                    <w:t>q</w:t>
                  </w:r>
                  <w:r w:rsidRPr="006503F3">
                    <w:rPr>
                      <w:rFonts w:eastAsia="SimSun"/>
                      <w:iCs/>
                      <w:sz w:val="20"/>
                    </w:rPr>
                    <w:t xml:space="preserve"> for the Operating Hour.</w:t>
                  </w:r>
                </w:p>
              </w:tc>
            </w:tr>
            <w:tr w:rsidR="006503F3" w:rsidRPr="006503F3" w14:paraId="28D01C0B" w14:textId="77777777" w:rsidTr="00A86863">
              <w:trPr>
                <w:cantSplit/>
              </w:trPr>
              <w:tc>
                <w:tcPr>
                  <w:tcW w:w="2100" w:type="dxa"/>
                  <w:tcBorders>
                    <w:top w:val="single" w:sz="4" w:space="0" w:color="auto"/>
                    <w:left w:val="single" w:sz="4" w:space="0" w:color="auto"/>
                    <w:bottom w:val="single" w:sz="4" w:space="0" w:color="auto"/>
                    <w:right w:val="single" w:sz="4" w:space="0" w:color="auto"/>
                  </w:tcBorders>
                  <w:hideMark/>
                </w:tcPr>
                <w:p w14:paraId="69B66A3C" w14:textId="77777777" w:rsidR="006503F3" w:rsidRPr="006503F3" w:rsidRDefault="006503F3" w:rsidP="006503F3">
                  <w:pPr>
                    <w:spacing w:after="60"/>
                    <w:rPr>
                      <w:rFonts w:eastAsia="SimSun"/>
                      <w:sz w:val="20"/>
                    </w:rPr>
                  </w:pPr>
                  <w:r w:rsidRPr="006503F3">
                    <w:rPr>
                      <w:rFonts w:eastAsia="SimSun"/>
                      <w:iCs/>
                      <w:sz w:val="20"/>
                    </w:rPr>
                    <w:t xml:space="preserve">PCDRRR </w:t>
                  </w:r>
                  <w:r w:rsidRPr="006503F3">
                    <w:rPr>
                      <w:rFonts w:eastAsia="SimSun"/>
                      <w:i/>
                      <w:iCs/>
                      <w:sz w:val="20"/>
                      <w:vertAlign w:val="subscript"/>
                    </w:rPr>
                    <w:t>r,</w:t>
                  </w:r>
                  <w:r w:rsidRPr="006503F3">
                    <w:rPr>
                      <w:rFonts w:eastAsia="SimSun"/>
                      <w:i/>
                      <w:iCs/>
                      <w:sz w:val="20"/>
                    </w:rPr>
                    <w:t xml:space="preserve"> </w:t>
                  </w:r>
                  <w:r w:rsidRPr="006503F3">
                    <w:rPr>
                      <w:rFonts w:eastAsia="SimSun"/>
                      <w:i/>
                      <w:iCs/>
                      <w:sz w:val="20"/>
                      <w:vertAlign w:val="subscript"/>
                    </w:rPr>
                    <w:t>q, DAM</w:t>
                  </w:r>
                </w:p>
              </w:tc>
              <w:tc>
                <w:tcPr>
                  <w:tcW w:w="755" w:type="dxa"/>
                  <w:tcBorders>
                    <w:top w:val="single" w:sz="4" w:space="0" w:color="auto"/>
                    <w:left w:val="single" w:sz="4" w:space="0" w:color="auto"/>
                    <w:bottom w:val="single" w:sz="4" w:space="0" w:color="auto"/>
                    <w:right w:val="single" w:sz="4" w:space="0" w:color="auto"/>
                  </w:tcBorders>
                  <w:hideMark/>
                </w:tcPr>
                <w:p w14:paraId="1616743D" w14:textId="77777777" w:rsidR="006503F3" w:rsidRPr="006503F3" w:rsidRDefault="006503F3" w:rsidP="006503F3">
                  <w:pPr>
                    <w:spacing w:after="60"/>
                    <w:rPr>
                      <w:rFonts w:eastAsia="SimSun"/>
                      <w:sz w:val="20"/>
                    </w:rPr>
                  </w:pPr>
                  <w:r w:rsidRPr="006503F3">
                    <w:rPr>
                      <w:rFonts w:eastAsia="SimSun"/>
                      <w:iCs/>
                      <w:sz w:val="20"/>
                    </w:rPr>
                    <w:t>MW</w:t>
                  </w:r>
                </w:p>
              </w:tc>
              <w:tc>
                <w:tcPr>
                  <w:tcW w:w="6235" w:type="dxa"/>
                  <w:tcBorders>
                    <w:top w:val="single" w:sz="4" w:space="0" w:color="auto"/>
                    <w:left w:val="single" w:sz="4" w:space="0" w:color="auto"/>
                    <w:bottom w:val="single" w:sz="4" w:space="0" w:color="auto"/>
                    <w:right w:val="single" w:sz="4" w:space="0" w:color="auto"/>
                  </w:tcBorders>
                  <w:hideMark/>
                </w:tcPr>
                <w:p w14:paraId="767605F9" w14:textId="77777777" w:rsidR="006503F3" w:rsidRPr="006503F3" w:rsidRDefault="006503F3" w:rsidP="006503F3">
                  <w:pPr>
                    <w:spacing w:after="60"/>
                    <w:rPr>
                      <w:rFonts w:eastAsia="SimSun"/>
                      <w:i/>
                      <w:iCs/>
                      <w:sz w:val="20"/>
                    </w:rPr>
                  </w:pPr>
                  <w:r w:rsidRPr="006503F3">
                    <w:rPr>
                      <w:rFonts w:eastAsia="SimSun"/>
                      <w:i/>
                      <w:sz w:val="20"/>
                    </w:rPr>
                    <w:t xml:space="preserve">Procured Capacity for </w:t>
                  </w:r>
                  <w:r w:rsidRPr="006503F3">
                    <w:rPr>
                      <w:rFonts w:eastAsia="SimSun"/>
                      <w:i/>
                      <w:iCs/>
                      <w:sz w:val="20"/>
                    </w:rPr>
                    <w:t xml:space="preserve">Dispatchable Reliability Reserve Service </w:t>
                  </w:r>
                  <w:r w:rsidRPr="006503F3">
                    <w:rPr>
                      <w:rFonts w:eastAsia="SimSun"/>
                      <w:i/>
                      <w:sz w:val="20"/>
                    </w:rPr>
                    <w:t>per Resource per QSE in DAM</w:t>
                  </w:r>
                  <w:r w:rsidRPr="006503F3">
                    <w:rPr>
                      <w:rFonts w:eastAsia="SimSun"/>
                      <w:sz w:val="20"/>
                    </w:rPr>
                    <w:t xml:space="preserve">—The </w:t>
                  </w:r>
                  <w:r w:rsidRPr="006503F3">
                    <w:rPr>
                      <w:rFonts w:eastAsia="SimSun"/>
                      <w:iCs/>
                      <w:sz w:val="20"/>
                    </w:rPr>
                    <w:t>DRRS</w:t>
                  </w:r>
                  <w:r w:rsidRPr="006503F3">
                    <w:rPr>
                      <w:rFonts w:eastAsia="SimSun"/>
                      <w:sz w:val="20"/>
                    </w:rPr>
                    <w:t xml:space="preserve"> capacity awarded to QSE </w:t>
                  </w:r>
                  <w:r w:rsidRPr="006503F3">
                    <w:rPr>
                      <w:rFonts w:eastAsia="SimSun"/>
                      <w:i/>
                      <w:sz w:val="20"/>
                    </w:rPr>
                    <w:t>q</w:t>
                  </w:r>
                  <w:r w:rsidRPr="006503F3">
                    <w:rPr>
                      <w:rFonts w:eastAsia="SimSun"/>
                      <w:sz w:val="20"/>
                    </w:rPr>
                    <w:t xml:space="preserve"> in the DAM for Resource </w:t>
                  </w:r>
                  <w:r w:rsidRPr="006503F3">
                    <w:rPr>
                      <w:rFonts w:eastAsia="SimSun"/>
                      <w:i/>
                      <w:sz w:val="20"/>
                    </w:rPr>
                    <w:t>r</w:t>
                  </w:r>
                  <w:r w:rsidRPr="006503F3">
                    <w:rPr>
                      <w:rFonts w:eastAsia="SimSun"/>
                      <w:sz w:val="20"/>
                    </w:rPr>
                    <w:t xml:space="preserve"> for the </w:t>
                  </w:r>
                  <w:r w:rsidRPr="006503F3">
                    <w:rPr>
                      <w:rFonts w:eastAsia="SimSun"/>
                      <w:iCs/>
                      <w:sz w:val="20"/>
                    </w:rPr>
                    <w:t>Operating Hour</w:t>
                  </w:r>
                  <w:r w:rsidRPr="006503F3">
                    <w:rPr>
                      <w:rFonts w:eastAsia="SimSun"/>
                      <w:sz w:val="20"/>
                    </w:rPr>
                    <w:t xml:space="preserve">.  Where for a Combined Cycle Train, the Resource </w:t>
                  </w:r>
                  <w:r w:rsidRPr="006503F3">
                    <w:rPr>
                      <w:rFonts w:eastAsia="SimSun"/>
                      <w:i/>
                      <w:sz w:val="20"/>
                    </w:rPr>
                    <w:t xml:space="preserve">r </w:t>
                  </w:r>
                  <w:r w:rsidRPr="006503F3">
                    <w:rPr>
                      <w:rFonts w:eastAsia="SimSun"/>
                      <w:sz w:val="20"/>
                    </w:rPr>
                    <w:t>is a Combined Cycle Generation Resource within the Combined Cycle Train.</w:t>
                  </w:r>
                </w:p>
              </w:tc>
            </w:tr>
            <w:tr w:rsidR="006503F3" w:rsidRPr="006503F3" w14:paraId="204BB000" w14:textId="77777777" w:rsidTr="00A86863">
              <w:trPr>
                <w:cantSplit/>
              </w:trPr>
              <w:tc>
                <w:tcPr>
                  <w:tcW w:w="2100" w:type="dxa"/>
                  <w:tcBorders>
                    <w:top w:val="single" w:sz="4" w:space="0" w:color="auto"/>
                    <w:left w:val="single" w:sz="4" w:space="0" w:color="auto"/>
                    <w:bottom w:val="single" w:sz="4" w:space="0" w:color="auto"/>
                    <w:right w:val="single" w:sz="4" w:space="0" w:color="auto"/>
                  </w:tcBorders>
                </w:tcPr>
                <w:p w14:paraId="52D08BC4" w14:textId="77777777" w:rsidR="006503F3" w:rsidRPr="006503F3" w:rsidRDefault="006503F3" w:rsidP="006503F3">
                  <w:pPr>
                    <w:spacing w:after="60"/>
                    <w:rPr>
                      <w:rFonts w:eastAsia="SimSun"/>
                      <w:iCs/>
                      <w:sz w:val="20"/>
                    </w:rPr>
                  </w:pPr>
                  <w:r w:rsidRPr="006503F3">
                    <w:rPr>
                      <w:rFonts w:eastAsia="SimSun"/>
                      <w:iCs/>
                      <w:sz w:val="20"/>
                    </w:rPr>
                    <w:t>DADRROAWD</w:t>
                  </w:r>
                  <w:r w:rsidRPr="006503F3">
                    <w:rPr>
                      <w:rFonts w:eastAsia="SimSun"/>
                      <w:i/>
                      <w:sz w:val="20"/>
                    </w:rPr>
                    <w:t xml:space="preserve"> </w:t>
                  </w:r>
                  <w:r w:rsidRPr="006503F3">
                    <w:rPr>
                      <w:rFonts w:eastAsia="SimSun"/>
                      <w:i/>
                      <w:sz w:val="20"/>
                      <w:vertAlign w:val="subscript"/>
                    </w:rPr>
                    <w:t>q</w:t>
                  </w:r>
                </w:p>
              </w:tc>
              <w:tc>
                <w:tcPr>
                  <w:tcW w:w="755" w:type="dxa"/>
                  <w:tcBorders>
                    <w:top w:val="single" w:sz="4" w:space="0" w:color="auto"/>
                    <w:left w:val="single" w:sz="4" w:space="0" w:color="auto"/>
                    <w:bottom w:val="single" w:sz="4" w:space="0" w:color="auto"/>
                    <w:right w:val="single" w:sz="4" w:space="0" w:color="auto"/>
                  </w:tcBorders>
                </w:tcPr>
                <w:p w14:paraId="258EB9C4" w14:textId="77777777" w:rsidR="006503F3" w:rsidRPr="006503F3" w:rsidRDefault="006503F3" w:rsidP="006503F3">
                  <w:pPr>
                    <w:spacing w:after="60"/>
                    <w:rPr>
                      <w:rFonts w:eastAsia="SimSun"/>
                      <w:iCs/>
                      <w:sz w:val="20"/>
                    </w:rPr>
                  </w:pPr>
                  <w:r w:rsidRPr="006503F3">
                    <w:rPr>
                      <w:rFonts w:eastAsia="SimSun"/>
                      <w:iCs/>
                      <w:sz w:val="20"/>
                    </w:rPr>
                    <w:t>MW</w:t>
                  </w:r>
                </w:p>
              </w:tc>
              <w:tc>
                <w:tcPr>
                  <w:tcW w:w="6235" w:type="dxa"/>
                  <w:tcBorders>
                    <w:top w:val="single" w:sz="4" w:space="0" w:color="auto"/>
                    <w:left w:val="single" w:sz="4" w:space="0" w:color="auto"/>
                    <w:bottom w:val="single" w:sz="4" w:space="0" w:color="auto"/>
                    <w:right w:val="single" w:sz="4" w:space="0" w:color="auto"/>
                  </w:tcBorders>
                </w:tcPr>
                <w:p w14:paraId="6F796CB1" w14:textId="77777777" w:rsidR="006503F3" w:rsidRPr="006503F3" w:rsidRDefault="006503F3" w:rsidP="006503F3">
                  <w:pPr>
                    <w:spacing w:after="60"/>
                    <w:rPr>
                      <w:rFonts w:eastAsia="SimSun"/>
                      <w:i/>
                      <w:sz w:val="20"/>
                    </w:rPr>
                  </w:pPr>
                  <w:r w:rsidRPr="006503F3">
                    <w:rPr>
                      <w:rFonts w:eastAsia="SimSun"/>
                      <w:i/>
                      <w:iCs/>
                      <w:sz w:val="20"/>
                    </w:rPr>
                    <w:t xml:space="preserve">Day-Ahead Dispatchable Reliability </w:t>
                  </w:r>
                  <w:r w:rsidRPr="006503F3">
                    <w:rPr>
                      <w:rFonts w:eastAsia="SimSun"/>
                      <w:i/>
                      <w:sz w:val="20"/>
                    </w:rPr>
                    <w:t>Reserve Service</w:t>
                  </w:r>
                  <w:r w:rsidRPr="006503F3">
                    <w:rPr>
                      <w:rFonts w:eastAsia="SimSun"/>
                      <w:i/>
                      <w:iCs/>
                      <w:sz w:val="20"/>
                    </w:rPr>
                    <w:t>-</w:t>
                  </w:r>
                  <w:r w:rsidRPr="006503F3">
                    <w:rPr>
                      <w:rFonts w:eastAsia="SimSun"/>
                      <w:i/>
                      <w:sz w:val="20"/>
                    </w:rPr>
                    <w:t>Only</w:t>
                  </w:r>
                  <w:r w:rsidRPr="006503F3">
                    <w:rPr>
                      <w:rFonts w:eastAsia="SimSun"/>
                      <w:i/>
                      <w:iCs/>
                      <w:sz w:val="20"/>
                    </w:rPr>
                    <w:t xml:space="preserve"> Award for the QSE — </w:t>
                  </w:r>
                  <w:r w:rsidRPr="006503F3">
                    <w:rPr>
                      <w:rFonts w:eastAsia="SimSun"/>
                      <w:iCs/>
                      <w:sz w:val="20"/>
                    </w:rPr>
                    <w:t xml:space="preserve">The </w:t>
                  </w:r>
                  <w:r w:rsidRPr="006503F3">
                    <w:rPr>
                      <w:rFonts w:eastAsia="SimSun"/>
                      <w:sz w:val="20"/>
                    </w:rPr>
                    <w:t>DRRS</w:t>
                  </w:r>
                  <w:r w:rsidRPr="006503F3">
                    <w:rPr>
                      <w:rFonts w:eastAsia="SimSun"/>
                      <w:iCs/>
                      <w:sz w:val="20"/>
                    </w:rPr>
                    <w:t xml:space="preserve">-only capacity awarded in the DAM to QSE </w:t>
                  </w:r>
                  <w:r w:rsidRPr="006503F3">
                    <w:rPr>
                      <w:rFonts w:eastAsia="SimSun"/>
                      <w:i/>
                      <w:iCs/>
                      <w:sz w:val="20"/>
                    </w:rPr>
                    <w:t>q</w:t>
                  </w:r>
                  <w:r w:rsidRPr="006503F3">
                    <w:rPr>
                      <w:rFonts w:eastAsia="SimSun"/>
                      <w:iCs/>
                      <w:sz w:val="20"/>
                    </w:rPr>
                    <w:t xml:space="preserve"> for the Operating Hour.  </w:t>
                  </w:r>
                </w:p>
              </w:tc>
            </w:tr>
            <w:tr w:rsidR="006503F3" w:rsidRPr="006503F3" w14:paraId="3CE034DF" w14:textId="77777777" w:rsidTr="00A86863">
              <w:trPr>
                <w:cantSplit/>
                <w:trHeight w:val="440"/>
              </w:trPr>
              <w:tc>
                <w:tcPr>
                  <w:tcW w:w="2100" w:type="dxa"/>
                  <w:tcBorders>
                    <w:top w:val="single" w:sz="4" w:space="0" w:color="auto"/>
                    <w:left w:val="single" w:sz="4" w:space="0" w:color="auto"/>
                    <w:bottom w:val="single" w:sz="4" w:space="0" w:color="auto"/>
                    <w:right w:val="single" w:sz="4" w:space="0" w:color="auto"/>
                  </w:tcBorders>
                  <w:hideMark/>
                </w:tcPr>
                <w:p w14:paraId="12ABA07B" w14:textId="77777777" w:rsidR="006503F3" w:rsidRPr="006503F3" w:rsidRDefault="006503F3" w:rsidP="006503F3">
                  <w:pPr>
                    <w:spacing w:after="60"/>
                    <w:rPr>
                      <w:rFonts w:eastAsia="SimSun"/>
                      <w:i/>
                      <w:iCs/>
                      <w:sz w:val="20"/>
                    </w:rPr>
                  </w:pPr>
                  <w:r w:rsidRPr="006503F3">
                    <w:rPr>
                      <w:rFonts w:eastAsia="SimSun"/>
                      <w:sz w:val="20"/>
                    </w:rPr>
                    <w:t xml:space="preserve">DADRRAMT </w:t>
                  </w:r>
                  <w:r w:rsidRPr="006503F3">
                    <w:rPr>
                      <w:rFonts w:eastAsia="SimSun"/>
                      <w:i/>
                      <w:iCs/>
                      <w:sz w:val="20"/>
                      <w:vertAlign w:val="subscript"/>
                    </w:rPr>
                    <w:t>q</w:t>
                  </w:r>
                </w:p>
              </w:tc>
              <w:tc>
                <w:tcPr>
                  <w:tcW w:w="755" w:type="dxa"/>
                  <w:tcBorders>
                    <w:top w:val="single" w:sz="4" w:space="0" w:color="auto"/>
                    <w:left w:val="single" w:sz="4" w:space="0" w:color="auto"/>
                    <w:bottom w:val="single" w:sz="4" w:space="0" w:color="auto"/>
                    <w:right w:val="single" w:sz="4" w:space="0" w:color="auto"/>
                  </w:tcBorders>
                  <w:hideMark/>
                </w:tcPr>
                <w:p w14:paraId="5D38562A" w14:textId="77777777" w:rsidR="006503F3" w:rsidRPr="006503F3" w:rsidRDefault="006503F3" w:rsidP="006503F3">
                  <w:pPr>
                    <w:spacing w:after="60"/>
                    <w:rPr>
                      <w:rFonts w:eastAsia="SimSun"/>
                      <w:iCs/>
                      <w:sz w:val="20"/>
                    </w:rPr>
                  </w:pPr>
                  <w:r w:rsidRPr="006503F3">
                    <w:rPr>
                      <w:rFonts w:eastAsia="SimSun"/>
                      <w:iCs/>
                      <w:sz w:val="20"/>
                    </w:rPr>
                    <w:t>$</w:t>
                  </w:r>
                </w:p>
              </w:tc>
              <w:tc>
                <w:tcPr>
                  <w:tcW w:w="6235" w:type="dxa"/>
                  <w:tcBorders>
                    <w:top w:val="single" w:sz="4" w:space="0" w:color="auto"/>
                    <w:left w:val="single" w:sz="4" w:space="0" w:color="auto"/>
                    <w:bottom w:val="single" w:sz="4" w:space="0" w:color="auto"/>
                    <w:right w:val="single" w:sz="4" w:space="0" w:color="auto"/>
                  </w:tcBorders>
                  <w:hideMark/>
                </w:tcPr>
                <w:p w14:paraId="554E6E09" w14:textId="77777777" w:rsidR="006503F3" w:rsidRPr="006503F3" w:rsidRDefault="006503F3" w:rsidP="006503F3">
                  <w:pPr>
                    <w:spacing w:after="60"/>
                    <w:rPr>
                      <w:rFonts w:eastAsia="SimSun"/>
                      <w:iCs/>
                      <w:sz w:val="20"/>
                    </w:rPr>
                  </w:pPr>
                  <w:r w:rsidRPr="006503F3">
                    <w:rPr>
                      <w:rFonts w:eastAsia="SimSun"/>
                      <w:i/>
                      <w:iCs/>
                      <w:sz w:val="20"/>
                    </w:rPr>
                    <w:t>Day-Ahead Dispatchable Reliability Reserve Service Amount per QSE</w:t>
                  </w:r>
                  <w:r w:rsidRPr="006503F3">
                    <w:rPr>
                      <w:rFonts w:eastAsia="SimSun"/>
                      <w:iCs/>
                      <w:sz w:val="20"/>
                    </w:rPr>
                    <w:t xml:space="preserve">—QSE </w:t>
                  </w:r>
                  <w:r w:rsidRPr="006503F3">
                    <w:rPr>
                      <w:rFonts w:eastAsia="SimSun"/>
                      <w:i/>
                      <w:iCs/>
                      <w:sz w:val="20"/>
                    </w:rPr>
                    <w:t>q</w:t>
                  </w:r>
                  <w:r w:rsidRPr="006503F3">
                    <w:rPr>
                      <w:rFonts w:eastAsia="SimSun"/>
                      <w:iCs/>
                      <w:sz w:val="20"/>
                    </w:rPr>
                    <w:t>’s share of the DAM cost for DRRS for the Operating Hour.</w:t>
                  </w:r>
                </w:p>
              </w:tc>
            </w:tr>
            <w:tr w:rsidR="006503F3" w:rsidRPr="006503F3" w14:paraId="660445F3" w14:textId="77777777" w:rsidTr="00A86863">
              <w:trPr>
                <w:cantSplit/>
                <w:trHeight w:val="440"/>
              </w:trPr>
              <w:tc>
                <w:tcPr>
                  <w:tcW w:w="2100" w:type="dxa"/>
                  <w:tcBorders>
                    <w:top w:val="single" w:sz="4" w:space="0" w:color="auto"/>
                    <w:left w:val="single" w:sz="4" w:space="0" w:color="auto"/>
                    <w:bottom w:val="single" w:sz="4" w:space="0" w:color="auto"/>
                    <w:right w:val="single" w:sz="4" w:space="0" w:color="auto"/>
                  </w:tcBorders>
                  <w:hideMark/>
                </w:tcPr>
                <w:p w14:paraId="0059348B" w14:textId="77777777" w:rsidR="006503F3" w:rsidRPr="006503F3" w:rsidRDefault="006503F3" w:rsidP="006503F3">
                  <w:pPr>
                    <w:spacing w:after="60"/>
                    <w:rPr>
                      <w:rFonts w:eastAsia="SimSun"/>
                      <w:iCs/>
                      <w:sz w:val="20"/>
                    </w:rPr>
                  </w:pPr>
                  <w:r w:rsidRPr="006503F3">
                    <w:rPr>
                      <w:rFonts w:eastAsia="SimSun"/>
                      <w:iCs/>
                      <w:sz w:val="20"/>
                    </w:rPr>
                    <w:t>HLRS</w:t>
                  </w:r>
                  <w:r w:rsidRPr="006503F3">
                    <w:rPr>
                      <w:rFonts w:eastAsia="SimSun"/>
                      <w:i/>
                      <w:iCs/>
                      <w:sz w:val="20"/>
                      <w:vertAlign w:val="subscript"/>
                    </w:rPr>
                    <w:t xml:space="preserve"> q</w:t>
                  </w:r>
                </w:p>
              </w:tc>
              <w:tc>
                <w:tcPr>
                  <w:tcW w:w="755" w:type="dxa"/>
                  <w:tcBorders>
                    <w:top w:val="single" w:sz="4" w:space="0" w:color="auto"/>
                    <w:left w:val="single" w:sz="4" w:space="0" w:color="auto"/>
                    <w:bottom w:val="single" w:sz="4" w:space="0" w:color="auto"/>
                    <w:right w:val="single" w:sz="4" w:space="0" w:color="auto"/>
                  </w:tcBorders>
                  <w:hideMark/>
                </w:tcPr>
                <w:p w14:paraId="794170B0" w14:textId="77777777" w:rsidR="006503F3" w:rsidRPr="006503F3" w:rsidRDefault="006503F3" w:rsidP="006503F3">
                  <w:pPr>
                    <w:spacing w:after="60"/>
                    <w:rPr>
                      <w:rFonts w:eastAsia="SimSun"/>
                      <w:iCs/>
                      <w:sz w:val="20"/>
                    </w:rPr>
                  </w:pPr>
                  <w:r w:rsidRPr="006503F3">
                    <w:rPr>
                      <w:rFonts w:eastAsia="SimSun"/>
                      <w:iCs/>
                      <w:sz w:val="20"/>
                    </w:rPr>
                    <w:t>none</w:t>
                  </w:r>
                </w:p>
              </w:tc>
              <w:tc>
                <w:tcPr>
                  <w:tcW w:w="6235" w:type="dxa"/>
                  <w:tcBorders>
                    <w:top w:val="single" w:sz="4" w:space="0" w:color="auto"/>
                    <w:left w:val="single" w:sz="4" w:space="0" w:color="auto"/>
                    <w:bottom w:val="single" w:sz="4" w:space="0" w:color="auto"/>
                    <w:right w:val="single" w:sz="4" w:space="0" w:color="auto"/>
                  </w:tcBorders>
                  <w:hideMark/>
                </w:tcPr>
                <w:p w14:paraId="5E8D18FB" w14:textId="5EF32B87" w:rsidR="006503F3" w:rsidRPr="006503F3" w:rsidRDefault="006503F3" w:rsidP="006503F3">
                  <w:pPr>
                    <w:spacing w:after="60"/>
                    <w:rPr>
                      <w:rFonts w:eastAsia="SimSun"/>
                      <w:iCs/>
                      <w:sz w:val="20"/>
                    </w:rPr>
                  </w:pPr>
                  <w:r w:rsidRPr="006503F3">
                    <w:rPr>
                      <w:rFonts w:eastAsia="SimSun"/>
                      <w:i/>
                      <w:iCs/>
                      <w:sz w:val="20"/>
                    </w:rPr>
                    <w:t>Hourly Load Ratio Share per QSE</w:t>
                  </w:r>
                  <w:r w:rsidRPr="006503F3">
                    <w:rPr>
                      <w:rFonts w:eastAsia="SimSun"/>
                      <w:iCs/>
                      <w:sz w:val="20"/>
                    </w:rPr>
                    <w:t xml:space="preserve">—The Real-Time LRS as defined in Section 6.6.2.4 for QSE </w:t>
                  </w:r>
                  <w:r w:rsidRPr="006503F3">
                    <w:rPr>
                      <w:rFonts w:eastAsia="SimSun"/>
                      <w:i/>
                      <w:iCs/>
                      <w:sz w:val="20"/>
                    </w:rPr>
                    <w:t>q</w:t>
                  </w:r>
                  <w:r w:rsidRPr="006503F3">
                    <w:rPr>
                      <w:rFonts w:eastAsia="SimSun"/>
                      <w:iCs/>
                      <w:sz w:val="20"/>
                    </w:rPr>
                    <w:t xml:space="preserve"> for the Operating Hour.</w:t>
                  </w:r>
                </w:p>
              </w:tc>
            </w:tr>
            <w:tr w:rsidR="006503F3" w:rsidRPr="006503F3" w14:paraId="78AB8B81" w14:textId="77777777" w:rsidTr="00A86863">
              <w:trPr>
                <w:cantSplit/>
                <w:trHeight w:val="440"/>
              </w:trPr>
              <w:tc>
                <w:tcPr>
                  <w:tcW w:w="2100" w:type="dxa"/>
                  <w:tcBorders>
                    <w:top w:val="single" w:sz="4" w:space="0" w:color="auto"/>
                    <w:left w:val="single" w:sz="4" w:space="0" w:color="auto"/>
                    <w:bottom w:val="single" w:sz="4" w:space="0" w:color="auto"/>
                    <w:right w:val="single" w:sz="4" w:space="0" w:color="auto"/>
                  </w:tcBorders>
                  <w:hideMark/>
                </w:tcPr>
                <w:p w14:paraId="4CFC6347" w14:textId="77777777" w:rsidR="006503F3" w:rsidRPr="006503F3" w:rsidRDefault="006503F3" w:rsidP="006503F3">
                  <w:pPr>
                    <w:spacing w:after="60"/>
                    <w:rPr>
                      <w:rFonts w:eastAsia="SimSun"/>
                      <w:iCs/>
                      <w:sz w:val="20"/>
                    </w:rPr>
                  </w:pPr>
                  <w:r w:rsidRPr="006503F3">
                    <w:rPr>
                      <w:rFonts w:eastAsia="SimSun"/>
                      <w:iCs/>
                      <w:sz w:val="20"/>
                    </w:rPr>
                    <w:t xml:space="preserve">DAPCDRRQTOT  </w:t>
                  </w:r>
                </w:p>
              </w:tc>
              <w:tc>
                <w:tcPr>
                  <w:tcW w:w="755" w:type="dxa"/>
                  <w:tcBorders>
                    <w:top w:val="single" w:sz="4" w:space="0" w:color="auto"/>
                    <w:left w:val="single" w:sz="4" w:space="0" w:color="auto"/>
                    <w:bottom w:val="single" w:sz="4" w:space="0" w:color="auto"/>
                    <w:right w:val="single" w:sz="4" w:space="0" w:color="auto"/>
                  </w:tcBorders>
                  <w:hideMark/>
                </w:tcPr>
                <w:p w14:paraId="09797922" w14:textId="77777777" w:rsidR="006503F3" w:rsidRPr="006503F3" w:rsidRDefault="006503F3" w:rsidP="006503F3">
                  <w:pPr>
                    <w:spacing w:after="60"/>
                    <w:rPr>
                      <w:rFonts w:eastAsia="SimSun"/>
                      <w:iCs/>
                      <w:sz w:val="20"/>
                    </w:rPr>
                  </w:pPr>
                  <w:r w:rsidRPr="006503F3">
                    <w:rPr>
                      <w:rFonts w:eastAsia="SimSun"/>
                      <w:iCs/>
                      <w:sz w:val="20"/>
                    </w:rPr>
                    <w:t>MW</w:t>
                  </w:r>
                </w:p>
              </w:tc>
              <w:tc>
                <w:tcPr>
                  <w:tcW w:w="6235" w:type="dxa"/>
                  <w:tcBorders>
                    <w:top w:val="single" w:sz="4" w:space="0" w:color="auto"/>
                    <w:left w:val="single" w:sz="4" w:space="0" w:color="auto"/>
                    <w:bottom w:val="single" w:sz="4" w:space="0" w:color="auto"/>
                    <w:right w:val="single" w:sz="4" w:space="0" w:color="auto"/>
                  </w:tcBorders>
                  <w:hideMark/>
                </w:tcPr>
                <w:p w14:paraId="1428B4C4" w14:textId="77777777" w:rsidR="006503F3" w:rsidRPr="006503F3" w:rsidRDefault="006503F3" w:rsidP="006503F3">
                  <w:pPr>
                    <w:spacing w:after="60"/>
                    <w:rPr>
                      <w:rFonts w:eastAsia="SimSun"/>
                      <w:iCs/>
                      <w:sz w:val="20"/>
                    </w:rPr>
                  </w:pPr>
                  <w:r w:rsidRPr="006503F3">
                    <w:rPr>
                      <w:rFonts w:eastAsia="SimSun"/>
                      <w:i/>
                      <w:iCs/>
                      <w:sz w:val="20"/>
                    </w:rPr>
                    <w:t>Day-Ahead Procured Capacity for Dispatchable Reliability Reserve Service Total</w:t>
                  </w:r>
                  <w:r w:rsidRPr="006503F3">
                    <w:rPr>
                      <w:rFonts w:eastAsia="SimSun"/>
                      <w:iCs/>
                      <w:sz w:val="20"/>
                    </w:rPr>
                    <w:t>—The total DRRS capacity for all QSEs for all DRRS awarded and self-arranged in the DAM for the Operating Hour.</w:t>
                  </w:r>
                </w:p>
              </w:tc>
            </w:tr>
            <w:tr w:rsidR="006503F3" w:rsidRPr="006503F3" w14:paraId="507A1555" w14:textId="77777777" w:rsidTr="00A86863">
              <w:trPr>
                <w:cantSplit/>
                <w:trHeight w:val="440"/>
              </w:trPr>
              <w:tc>
                <w:tcPr>
                  <w:tcW w:w="2100" w:type="dxa"/>
                  <w:tcBorders>
                    <w:top w:val="single" w:sz="4" w:space="0" w:color="auto"/>
                    <w:left w:val="single" w:sz="4" w:space="0" w:color="auto"/>
                    <w:bottom w:val="single" w:sz="4" w:space="0" w:color="auto"/>
                    <w:right w:val="single" w:sz="4" w:space="0" w:color="auto"/>
                  </w:tcBorders>
                  <w:hideMark/>
                </w:tcPr>
                <w:p w14:paraId="6813DEEE" w14:textId="77777777" w:rsidR="006503F3" w:rsidRPr="006503F3" w:rsidRDefault="006503F3" w:rsidP="006503F3">
                  <w:pPr>
                    <w:spacing w:after="60"/>
                    <w:rPr>
                      <w:rFonts w:eastAsia="SimSun"/>
                      <w:iCs/>
                      <w:sz w:val="20"/>
                    </w:rPr>
                  </w:pPr>
                  <w:r w:rsidRPr="006503F3">
                    <w:rPr>
                      <w:rFonts w:eastAsia="SimSun"/>
                      <w:iCs/>
                      <w:sz w:val="20"/>
                    </w:rPr>
                    <w:t xml:space="preserve">DASADRRQ </w:t>
                  </w:r>
                  <w:r w:rsidRPr="006503F3">
                    <w:rPr>
                      <w:rFonts w:eastAsia="SimSun"/>
                      <w:i/>
                      <w:iCs/>
                      <w:sz w:val="20"/>
                      <w:vertAlign w:val="subscript"/>
                    </w:rPr>
                    <w:t>q</w:t>
                  </w:r>
                </w:p>
              </w:tc>
              <w:tc>
                <w:tcPr>
                  <w:tcW w:w="755" w:type="dxa"/>
                  <w:tcBorders>
                    <w:top w:val="single" w:sz="4" w:space="0" w:color="auto"/>
                    <w:left w:val="single" w:sz="4" w:space="0" w:color="auto"/>
                    <w:bottom w:val="single" w:sz="4" w:space="0" w:color="auto"/>
                    <w:right w:val="single" w:sz="4" w:space="0" w:color="auto"/>
                  </w:tcBorders>
                  <w:hideMark/>
                </w:tcPr>
                <w:p w14:paraId="5D5C2F18" w14:textId="77777777" w:rsidR="006503F3" w:rsidRPr="006503F3" w:rsidRDefault="006503F3" w:rsidP="006503F3">
                  <w:pPr>
                    <w:spacing w:after="60"/>
                    <w:rPr>
                      <w:rFonts w:eastAsia="SimSun"/>
                      <w:iCs/>
                      <w:sz w:val="20"/>
                    </w:rPr>
                  </w:pPr>
                  <w:r w:rsidRPr="006503F3">
                    <w:rPr>
                      <w:rFonts w:eastAsia="SimSun"/>
                      <w:iCs/>
                      <w:sz w:val="20"/>
                    </w:rPr>
                    <w:t>MW</w:t>
                  </w:r>
                </w:p>
              </w:tc>
              <w:tc>
                <w:tcPr>
                  <w:tcW w:w="6235" w:type="dxa"/>
                  <w:tcBorders>
                    <w:top w:val="single" w:sz="4" w:space="0" w:color="auto"/>
                    <w:left w:val="single" w:sz="4" w:space="0" w:color="auto"/>
                    <w:bottom w:val="single" w:sz="4" w:space="0" w:color="auto"/>
                    <w:right w:val="single" w:sz="4" w:space="0" w:color="auto"/>
                  </w:tcBorders>
                  <w:hideMark/>
                </w:tcPr>
                <w:p w14:paraId="3487955E" w14:textId="77777777" w:rsidR="006503F3" w:rsidRPr="006503F3" w:rsidRDefault="006503F3" w:rsidP="006503F3">
                  <w:pPr>
                    <w:spacing w:after="60"/>
                    <w:rPr>
                      <w:rFonts w:eastAsia="SimSun"/>
                      <w:iCs/>
                      <w:sz w:val="20"/>
                    </w:rPr>
                  </w:pPr>
                  <w:r w:rsidRPr="006503F3">
                    <w:rPr>
                      <w:rFonts w:eastAsia="SimSun"/>
                      <w:i/>
                      <w:iCs/>
                      <w:sz w:val="20"/>
                    </w:rPr>
                    <w:t>Day-Ahead Self-Arranged Dispatchable Reliability Reserve Service Quantity per QSE</w:t>
                  </w:r>
                  <w:r w:rsidRPr="006503F3">
                    <w:rPr>
                      <w:rFonts w:eastAsia="SimSun"/>
                      <w:iCs/>
                      <w:sz w:val="20"/>
                    </w:rPr>
                    <w:t xml:space="preserve">—The self-arranged DRRS capacity submitted by QSE </w:t>
                  </w:r>
                  <w:r w:rsidRPr="006503F3">
                    <w:rPr>
                      <w:rFonts w:eastAsia="SimSun"/>
                      <w:i/>
                      <w:iCs/>
                      <w:sz w:val="20"/>
                    </w:rPr>
                    <w:t>q</w:t>
                  </w:r>
                  <w:r w:rsidRPr="006503F3">
                    <w:rPr>
                      <w:rFonts w:eastAsia="SimSun"/>
                      <w:iCs/>
                      <w:sz w:val="20"/>
                    </w:rPr>
                    <w:t xml:space="preserve"> before 1000 in the DAM for the Operating Hour.</w:t>
                  </w:r>
                </w:p>
              </w:tc>
            </w:tr>
            <w:tr w:rsidR="006503F3" w:rsidRPr="006503F3" w14:paraId="4765A385" w14:textId="77777777" w:rsidTr="00A86863">
              <w:trPr>
                <w:cantSplit/>
              </w:trPr>
              <w:tc>
                <w:tcPr>
                  <w:tcW w:w="2100" w:type="dxa"/>
                  <w:tcBorders>
                    <w:top w:val="single" w:sz="4" w:space="0" w:color="auto"/>
                    <w:left w:val="single" w:sz="4" w:space="0" w:color="auto"/>
                    <w:bottom w:val="single" w:sz="4" w:space="0" w:color="auto"/>
                    <w:right w:val="single" w:sz="4" w:space="0" w:color="auto"/>
                  </w:tcBorders>
                  <w:hideMark/>
                </w:tcPr>
                <w:p w14:paraId="76914414" w14:textId="77777777" w:rsidR="006503F3" w:rsidRPr="006503F3" w:rsidRDefault="006503F3" w:rsidP="006503F3">
                  <w:pPr>
                    <w:spacing w:after="60"/>
                    <w:rPr>
                      <w:rFonts w:eastAsia="SimSun"/>
                      <w:i/>
                      <w:iCs/>
                      <w:sz w:val="20"/>
                    </w:rPr>
                  </w:pPr>
                  <w:r w:rsidRPr="006503F3">
                    <w:rPr>
                      <w:rFonts w:eastAsia="SimSun"/>
                      <w:i/>
                      <w:iCs/>
                      <w:sz w:val="20"/>
                    </w:rPr>
                    <w:t>q</w:t>
                  </w:r>
                </w:p>
              </w:tc>
              <w:tc>
                <w:tcPr>
                  <w:tcW w:w="755" w:type="dxa"/>
                  <w:tcBorders>
                    <w:top w:val="single" w:sz="4" w:space="0" w:color="auto"/>
                    <w:left w:val="single" w:sz="4" w:space="0" w:color="auto"/>
                    <w:bottom w:val="single" w:sz="4" w:space="0" w:color="auto"/>
                    <w:right w:val="single" w:sz="4" w:space="0" w:color="auto"/>
                  </w:tcBorders>
                  <w:hideMark/>
                </w:tcPr>
                <w:p w14:paraId="3DEDAA2D" w14:textId="77777777" w:rsidR="006503F3" w:rsidRPr="006503F3" w:rsidRDefault="006503F3" w:rsidP="006503F3">
                  <w:pPr>
                    <w:spacing w:after="60"/>
                    <w:rPr>
                      <w:rFonts w:eastAsia="SimSun"/>
                      <w:iCs/>
                      <w:sz w:val="20"/>
                    </w:rPr>
                  </w:pPr>
                  <w:r w:rsidRPr="006503F3">
                    <w:rPr>
                      <w:rFonts w:eastAsia="SimSun"/>
                      <w:iCs/>
                      <w:sz w:val="20"/>
                    </w:rPr>
                    <w:t>none</w:t>
                  </w:r>
                </w:p>
              </w:tc>
              <w:tc>
                <w:tcPr>
                  <w:tcW w:w="6235" w:type="dxa"/>
                  <w:tcBorders>
                    <w:top w:val="single" w:sz="4" w:space="0" w:color="auto"/>
                    <w:left w:val="single" w:sz="4" w:space="0" w:color="auto"/>
                    <w:bottom w:val="single" w:sz="4" w:space="0" w:color="auto"/>
                    <w:right w:val="single" w:sz="4" w:space="0" w:color="auto"/>
                  </w:tcBorders>
                  <w:hideMark/>
                </w:tcPr>
                <w:p w14:paraId="61A66460" w14:textId="77777777" w:rsidR="006503F3" w:rsidRPr="006503F3" w:rsidRDefault="006503F3" w:rsidP="006503F3">
                  <w:pPr>
                    <w:spacing w:after="60"/>
                    <w:rPr>
                      <w:rFonts w:eastAsia="SimSun"/>
                      <w:iCs/>
                      <w:sz w:val="20"/>
                    </w:rPr>
                  </w:pPr>
                  <w:r w:rsidRPr="006503F3">
                    <w:rPr>
                      <w:rFonts w:eastAsia="SimSun"/>
                      <w:iCs/>
                      <w:sz w:val="20"/>
                    </w:rPr>
                    <w:t>A QSE.</w:t>
                  </w:r>
                </w:p>
              </w:tc>
            </w:tr>
            <w:tr w:rsidR="006503F3" w:rsidRPr="006503F3" w14:paraId="618C3EB7" w14:textId="77777777" w:rsidTr="00A86863">
              <w:trPr>
                <w:cantSplit/>
              </w:trPr>
              <w:tc>
                <w:tcPr>
                  <w:tcW w:w="2100" w:type="dxa"/>
                  <w:tcBorders>
                    <w:top w:val="single" w:sz="4" w:space="0" w:color="auto"/>
                    <w:left w:val="single" w:sz="4" w:space="0" w:color="auto"/>
                    <w:bottom w:val="single" w:sz="4" w:space="0" w:color="auto"/>
                    <w:right w:val="single" w:sz="4" w:space="0" w:color="auto"/>
                  </w:tcBorders>
                  <w:hideMark/>
                </w:tcPr>
                <w:p w14:paraId="213F0DB2" w14:textId="77777777" w:rsidR="006503F3" w:rsidRPr="006503F3" w:rsidRDefault="006503F3" w:rsidP="006503F3">
                  <w:pPr>
                    <w:spacing w:after="60"/>
                    <w:rPr>
                      <w:rFonts w:eastAsia="SimSun"/>
                      <w:i/>
                      <w:iCs/>
                      <w:sz w:val="20"/>
                    </w:rPr>
                  </w:pPr>
                  <w:r w:rsidRPr="006503F3">
                    <w:rPr>
                      <w:rFonts w:eastAsia="SimSun"/>
                      <w:i/>
                      <w:iCs/>
                      <w:sz w:val="20"/>
                    </w:rPr>
                    <w:t>r</w:t>
                  </w:r>
                </w:p>
              </w:tc>
              <w:tc>
                <w:tcPr>
                  <w:tcW w:w="755" w:type="dxa"/>
                  <w:tcBorders>
                    <w:top w:val="single" w:sz="4" w:space="0" w:color="auto"/>
                    <w:left w:val="single" w:sz="4" w:space="0" w:color="auto"/>
                    <w:bottom w:val="single" w:sz="4" w:space="0" w:color="auto"/>
                    <w:right w:val="single" w:sz="4" w:space="0" w:color="auto"/>
                  </w:tcBorders>
                  <w:hideMark/>
                </w:tcPr>
                <w:p w14:paraId="0AFD1A1E" w14:textId="77777777" w:rsidR="006503F3" w:rsidRPr="006503F3" w:rsidRDefault="006503F3" w:rsidP="006503F3">
                  <w:pPr>
                    <w:spacing w:after="60"/>
                    <w:rPr>
                      <w:rFonts w:eastAsia="SimSun"/>
                      <w:iCs/>
                      <w:sz w:val="20"/>
                    </w:rPr>
                  </w:pPr>
                  <w:r w:rsidRPr="006503F3">
                    <w:rPr>
                      <w:rFonts w:eastAsia="SimSun"/>
                      <w:iCs/>
                      <w:sz w:val="20"/>
                    </w:rPr>
                    <w:t>none</w:t>
                  </w:r>
                </w:p>
              </w:tc>
              <w:tc>
                <w:tcPr>
                  <w:tcW w:w="6235" w:type="dxa"/>
                  <w:tcBorders>
                    <w:top w:val="single" w:sz="4" w:space="0" w:color="auto"/>
                    <w:left w:val="single" w:sz="4" w:space="0" w:color="auto"/>
                    <w:bottom w:val="single" w:sz="4" w:space="0" w:color="auto"/>
                    <w:right w:val="single" w:sz="4" w:space="0" w:color="auto"/>
                  </w:tcBorders>
                  <w:hideMark/>
                </w:tcPr>
                <w:p w14:paraId="2ADFAA12" w14:textId="77777777" w:rsidR="006503F3" w:rsidRPr="006503F3" w:rsidRDefault="006503F3" w:rsidP="006503F3">
                  <w:pPr>
                    <w:spacing w:after="60"/>
                    <w:rPr>
                      <w:rFonts w:eastAsia="SimSun"/>
                      <w:iCs/>
                      <w:sz w:val="20"/>
                    </w:rPr>
                  </w:pPr>
                  <w:r w:rsidRPr="006503F3">
                    <w:rPr>
                      <w:rFonts w:eastAsia="SimSun"/>
                      <w:iCs/>
                      <w:sz w:val="20"/>
                    </w:rPr>
                    <w:t>A Resource.</w:t>
                  </w:r>
                </w:p>
              </w:tc>
            </w:tr>
          </w:tbl>
          <w:p w14:paraId="2E9C0BE4" w14:textId="2747ED61" w:rsidR="006503F3" w:rsidRPr="004A7B1D" w:rsidRDefault="006503F3" w:rsidP="00A86863">
            <w:pPr>
              <w:spacing w:after="240"/>
              <w:ind w:left="2250" w:hanging="1530"/>
              <w:rPr>
                <w:lang w:val="pt-BR"/>
              </w:rPr>
            </w:pPr>
          </w:p>
        </w:tc>
      </w:tr>
    </w:tbl>
    <w:p w14:paraId="01B72A0B" w14:textId="381A67BE" w:rsidR="001F04FD" w:rsidRPr="0013396E" w:rsidRDefault="001F04FD" w:rsidP="007C3E74">
      <w:pPr>
        <w:pStyle w:val="H3"/>
        <w:spacing w:before="480"/>
        <w:ind w:left="0" w:firstLine="0"/>
      </w:pPr>
      <w:bookmarkStart w:id="2262" w:name="_Toc236220241"/>
      <w:r w:rsidRPr="0013396E">
        <w:t>6.7.</w:t>
      </w:r>
      <w:r w:rsidR="00A12B52" w:rsidRPr="0013396E">
        <w:t>2</w:t>
      </w:r>
      <w:r w:rsidRPr="0013396E">
        <w:tab/>
      </w:r>
      <w:r w:rsidR="00F10AF1" w:rsidRPr="0013396E">
        <w:t>Real-Time Ancillary Service Charges and Payments</w:t>
      </w:r>
      <w:bookmarkEnd w:id="2262"/>
      <w:r w:rsidR="00F10AF1" w:rsidRPr="0013396E" w:rsidDel="00F10AF1">
        <w:t xml:space="preserve"> </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14:paraId="2B9A6CE3" w14:textId="32948180" w:rsidR="00F10AF1" w:rsidRPr="0013396E" w:rsidRDefault="00F10AF1" w:rsidP="000B7133">
      <w:pPr>
        <w:pStyle w:val="H4"/>
        <w:spacing w:before="480"/>
        <w:ind w:left="1267" w:hanging="1267"/>
      </w:pPr>
      <w:bookmarkStart w:id="2263" w:name="_Toc236220242"/>
      <w:r w:rsidRPr="0013396E">
        <w:t>6.7.</w:t>
      </w:r>
      <w:r w:rsidR="00A12B52" w:rsidRPr="0013396E">
        <w:t>2</w:t>
      </w:r>
      <w:r w:rsidRPr="0013396E">
        <w:t>.1</w:t>
      </w:r>
      <w:r w:rsidRPr="0013396E">
        <w:tab/>
        <w:t>Real-Time Ancillary Service Imbalance Payment or Charge</w:t>
      </w:r>
      <w:bookmarkEnd w:id="2263"/>
    </w:p>
    <w:p w14:paraId="5E50095E" w14:textId="77777777" w:rsidR="00F10AF1" w:rsidRPr="0013396E" w:rsidRDefault="00F10AF1" w:rsidP="00F10AF1">
      <w:pPr>
        <w:spacing w:after="240"/>
      </w:pPr>
      <w:r w:rsidRPr="0013396E">
        <w:t>(1)</w:t>
      </w:r>
      <w:r w:rsidRPr="0013396E">
        <w:tab/>
        <w:t>The payments or charges to each QSE for Real-Time Ancillary Services are as follows:</w:t>
      </w:r>
    </w:p>
    <w:p w14:paraId="3F84513C" w14:textId="77777777" w:rsidR="00F10AF1" w:rsidRPr="0013396E" w:rsidRDefault="00F10AF1" w:rsidP="00F10AF1">
      <w:pPr>
        <w:spacing w:after="240"/>
        <w:ind w:left="1440" w:hanging="720"/>
      </w:pPr>
      <w:r w:rsidRPr="0013396E">
        <w:t>(a)</w:t>
      </w:r>
      <w:r w:rsidRPr="0013396E">
        <w:tab/>
        <w:t>Ancillary Service Imbalance payment or charges based on Real-Time Ancillary Service prices with an imbalance quantity determined by:</w:t>
      </w:r>
    </w:p>
    <w:p w14:paraId="522D4ED3" w14:textId="77777777" w:rsidR="00F10AF1" w:rsidRPr="0013396E" w:rsidRDefault="00F10AF1" w:rsidP="00F10AF1">
      <w:pPr>
        <w:spacing w:after="240"/>
        <w:ind w:left="720" w:firstLine="720"/>
      </w:pPr>
      <w:r w:rsidRPr="0013396E">
        <w:t>(i)</w:t>
      </w:r>
      <w:r w:rsidRPr="0013396E">
        <w:tab/>
        <w:t>The Real-Time Ancillary Service awarded; minus</w:t>
      </w:r>
    </w:p>
    <w:p w14:paraId="2F35E14D" w14:textId="77777777" w:rsidR="00F10AF1" w:rsidRPr="0013396E" w:rsidRDefault="00F10AF1" w:rsidP="00F10AF1">
      <w:pPr>
        <w:spacing w:after="240"/>
        <w:ind w:left="2160" w:hanging="720"/>
      </w:pPr>
      <w:r w:rsidRPr="0013396E">
        <w:t>(ii)</w:t>
      </w:r>
      <w:r w:rsidRPr="0013396E">
        <w:tab/>
        <w:t>The amount of Day-Ahead Market (DAM) Ancillary Service awards cleared in the DAM; minus</w:t>
      </w:r>
    </w:p>
    <w:p w14:paraId="411108FC" w14:textId="77777777" w:rsidR="00F10AF1" w:rsidRPr="0013396E" w:rsidRDefault="00F10AF1" w:rsidP="00F10AF1">
      <w:pPr>
        <w:spacing w:after="240"/>
        <w:ind w:left="2160" w:hanging="720"/>
      </w:pPr>
      <w:r w:rsidRPr="0013396E">
        <w:t>(iii)</w:t>
      </w:r>
      <w:r w:rsidRPr="0013396E">
        <w:tab/>
        <w:t>The amount of DAM Self Arranged Ancillary Services; plus</w:t>
      </w:r>
    </w:p>
    <w:p w14:paraId="4592865C" w14:textId="77777777" w:rsidR="00F10AF1" w:rsidRPr="0013396E" w:rsidRDefault="00F10AF1" w:rsidP="00F10AF1">
      <w:pPr>
        <w:spacing w:after="240"/>
        <w:ind w:left="2160" w:hanging="720"/>
      </w:pPr>
      <w:r w:rsidRPr="0013396E">
        <w:lastRenderedPageBreak/>
        <w:t>(iv)</w:t>
      </w:r>
      <w:r w:rsidRPr="0013396E">
        <w:tab/>
        <w:t>The amount of Ancillary Service Trades where the QSE is the buyer; minus</w:t>
      </w:r>
    </w:p>
    <w:p w14:paraId="213956F5" w14:textId="77777777" w:rsidR="00F10AF1" w:rsidRPr="0013396E" w:rsidRDefault="00F10AF1" w:rsidP="00F10AF1">
      <w:pPr>
        <w:spacing w:after="240"/>
        <w:ind w:left="2160" w:hanging="720"/>
      </w:pPr>
      <w:r w:rsidRPr="0013396E">
        <w:t>(v)</w:t>
      </w:r>
      <w:r w:rsidRPr="0013396E">
        <w:tab/>
        <w:t>The amount of Ancillary Service Trades where the QSE is the seller.</w:t>
      </w:r>
    </w:p>
    <w:p w14:paraId="2FC9BF2F" w14:textId="77777777" w:rsidR="00F10AF1" w:rsidRPr="0013396E" w:rsidRDefault="00F10AF1" w:rsidP="00F10AF1">
      <w:pPr>
        <w:spacing w:after="240"/>
        <w:ind w:left="1440" w:hanging="720"/>
      </w:pPr>
      <w:r w:rsidRPr="0013396E">
        <w:t>(b)</w:t>
      </w:r>
      <w:r w:rsidRPr="0013396E">
        <w:tab/>
        <w:t>Charges for Ancillary Service Only Offers purchased in the DAM.</w:t>
      </w:r>
    </w:p>
    <w:p w14:paraId="02AEA42A" w14:textId="55930C49" w:rsidR="008871B2" w:rsidRPr="0013396E" w:rsidRDefault="00F10AF1" w:rsidP="000B7133">
      <w:pPr>
        <w:pStyle w:val="BodyText"/>
        <w:spacing w:after="0"/>
        <w:ind w:left="1440" w:hanging="720"/>
      </w:pPr>
      <w:r w:rsidRPr="0013396E">
        <w:t>(c)</w:t>
      </w:r>
      <w:r w:rsidRPr="0013396E">
        <w:tab/>
        <w:t>Charges for any Ancillary Service trade overage per paragraph (7) of Section 4.4.7.1, Self-Arranged Ancillary Service Quantities.</w:t>
      </w:r>
      <w:bookmarkStart w:id="2264" w:name="_Toc397505051"/>
      <w:bookmarkStart w:id="2265" w:name="_Toc402357183"/>
      <w:bookmarkStart w:id="2266" w:name="_Toc412617247"/>
      <w:bookmarkStart w:id="2267" w:name="_Toc422486563"/>
      <w:bookmarkStart w:id="2268" w:name="_Toc433093416"/>
      <w:bookmarkStart w:id="2269" w:name="_Toc433093574"/>
      <w:bookmarkStart w:id="2270" w:name="_Toc440874804"/>
      <w:bookmarkStart w:id="2271" w:name="_Toc448142361"/>
      <w:bookmarkStart w:id="2272" w:name="_Toc448142518"/>
      <w:bookmarkStart w:id="2273" w:name="_Toc458770359"/>
      <w:bookmarkStart w:id="2274" w:name="_Toc459294327"/>
      <w:bookmarkStart w:id="2275" w:name="_Toc463262821"/>
      <w:bookmarkStart w:id="2276" w:name="_Toc468286896"/>
      <w:bookmarkStart w:id="2277" w:name="_Toc481502936"/>
      <w:bookmarkStart w:id="2278" w:name="_Toc496080103"/>
      <w:bookmarkEnd w:id="2260"/>
      <w:bookmarkEnd w:id="2261"/>
    </w:p>
    <w:p w14:paraId="154C0275" w14:textId="677FD3F2" w:rsidR="00F10AF1" w:rsidRPr="0013396E" w:rsidRDefault="00F10AF1" w:rsidP="000B7133">
      <w:pPr>
        <w:pStyle w:val="H4"/>
      </w:pPr>
      <w:bookmarkStart w:id="2279" w:name="_Toc236220243"/>
      <w:r w:rsidRPr="0013396E">
        <w:t>6.7.</w:t>
      </w:r>
      <w:r w:rsidR="00A12B52" w:rsidRPr="0013396E">
        <w:t>2</w:t>
      </w:r>
      <w:r w:rsidRPr="0013396E">
        <w:t>.2</w:t>
      </w:r>
      <w:r w:rsidRPr="0013396E">
        <w:tab/>
        <w:t>Regulation Up Service Payments and Charges</w:t>
      </w:r>
      <w:bookmarkEnd w:id="2279"/>
    </w:p>
    <w:p w14:paraId="2006FB14" w14:textId="77777777" w:rsidR="00F10AF1" w:rsidRPr="0013396E" w:rsidRDefault="00F10AF1" w:rsidP="00F10AF1">
      <w:r w:rsidRPr="0013396E">
        <w:t>(1)</w:t>
      </w:r>
      <w:r w:rsidRPr="0013396E">
        <w:tab/>
        <w:t>Reg-Up Imbalance Payment or Charge:</w:t>
      </w:r>
    </w:p>
    <w:p w14:paraId="46DAE710" w14:textId="77777777" w:rsidR="00F10AF1" w:rsidRPr="0013396E" w:rsidRDefault="00F10AF1" w:rsidP="00F10AF1">
      <w:pPr>
        <w:pStyle w:val="FormulaBold"/>
      </w:pPr>
      <w:r w:rsidRPr="0013396E">
        <w:t>RTRUIMBAMT</w:t>
      </w:r>
      <w:r w:rsidRPr="0013396E">
        <w:rPr>
          <w:i/>
          <w:vertAlign w:val="subscript"/>
        </w:rPr>
        <w:t xml:space="preserve"> q  </w:t>
      </w:r>
      <w:r w:rsidRPr="0013396E">
        <w:t xml:space="preserve">= </w:t>
      </w:r>
      <w:r w:rsidRPr="0013396E">
        <w:tab/>
        <w:t>(-1) * [</w:t>
      </w:r>
      <w:r w:rsidRPr="0013396E">
        <w:rPr>
          <w:position w:val="-18"/>
        </w:rPr>
        <w:object w:dxaOrig="285" w:dyaOrig="570" w14:anchorId="7EE2B6D2">
          <v:shape id="_x0000_i1273" type="#_x0000_t75" style="width:12pt;height:30pt" o:ole="">
            <v:imagedata r:id="rId136" o:title=""/>
          </v:shape>
          <o:OLEObject Type="Embed" ProgID="Equation.3" ShapeID="_x0000_i1273" DrawAspect="Content" ObjectID="_1849065902" r:id="rId351"/>
        </w:object>
      </w:r>
      <w:r w:rsidRPr="0013396E">
        <w:t>[</w:t>
      </w:r>
      <w:r w:rsidRPr="0013396E">
        <w:rPr>
          <w:rStyle w:val="BodyTextChar"/>
        </w:rPr>
        <w:t xml:space="preserve">RTRUREV </w:t>
      </w:r>
      <w:r w:rsidRPr="0013396E">
        <w:rPr>
          <w:i/>
          <w:vertAlign w:val="subscript"/>
          <w:lang w:val="it-IT"/>
        </w:rPr>
        <w:t xml:space="preserve">q, r </w:t>
      </w:r>
      <w:r w:rsidRPr="0013396E">
        <w:t>– (1/4) * (PCRUR</w:t>
      </w:r>
      <w:r w:rsidRPr="0013396E">
        <w:rPr>
          <w:i/>
        </w:rPr>
        <w:t xml:space="preserve"> </w:t>
      </w:r>
      <w:r w:rsidRPr="0013396E">
        <w:rPr>
          <w:i/>
          <w:vertAlign w:val="subscript"/>
        </w:rPr>
        <w:t>r, q, DAM</w:t>
      </w:r>
      <w:r w:rsidRPr="0013396E">
        <w:t xml:space="preserve"> * RTMCPCRU)] – (1/4) * (DASARUQ </w:t>
      </w:r>
      <w:r w:rsidRPr="0013396E">
        <w:rPr>
          <w:i/>
          <w:vertAlign w:val="subscript"/>
        </w:rPr>
        <w:t>q</w:t>
      </w:r>
      <w:r w:rsidRPr="0013396E">
        <w:t xml:space="preserve"> * RTMCPCRU) + (1/4) * (RUTP </w:t>
      </w:r>
      <w:r w:rsidRPr="0013396E">
        <w:rPr>
          <w:i/>
          <w:vertAlign w:val="subscript"/>
        </w:rPr>
        <w:t>q</w:t>
      </w:r>
      <w:r w:rsidRPr="0013396E">
        <w:t xml:space="preserve"> – RUTS </w:t>
      </w:r>
      <w:r w:rsidRPr="0013396E">
        <w:rPr>
          <w:i/>
          <w:vertAlign w:val="subscript"/>
        </w:rPr>
        <w:t>q</w:t>
      </w:r>
      <w:r w:rsidRPr="0013396E">
        <w:t>) * RTMCPCRU]</w:t>
      </w:r>
    </w:p>
    <w:p w14:paraId="56DF1E83" w14:textId="77777777" w:rsidR="00F10AF1" w:rsidRPr="000B7133" w:rsidRDefault="00F10AF1" w:rsidP="00F10AF1">
      <w:pPr>
        <w:pStyle w:val="FormulaBold"/>
        <w:rPr>
          <w:b w:val="0"/>
          <w:bCs w:val="0"/>
        </w:rPr>
      </w:pPr>
      <w:r w:rsidRPr="000B7133">
        <w:rPr>
          <w:b w:val="0"/>
          <w:bCs w:val="0"/>
        </w:rPr>
        <w:t xml:space="preserve">Where:   </w:t>
      </w:r>
    </w:p>
    <w:p w14:paraId="48A26F4A" w14:textId="77777777" w:rsidR="00F10AF1" w:rsidRPr="000B7133" w:rsidRDefault="00F10AF1" w:rsidP="00F10AF1">
      <w:pPr>
        <w:pStyle w:val="FormulaBold"/>
        <w:rPr>
          <w:b w:val="0"/>
          <w:bCs w:val="0"/>
        </w:rPr>
      </w:pPr>
      <w:r w:rsidRPr="000B7133">
        <w:rPr>
          <w:rStyle w:val="BodyTextChar"/>
          <w:b w:val="0"/>
          <w:bCs w:val="0"/>
        </w:rPr>
        <w:t xml:space="preserve">RTRUREV </w:t>
      </w:r>
      <w:r w:rsidRPr="000B7133">
        <w:rPr>
          <w:b w:val="0"/>
          <w:bCs w:val="0"/>
          <w:i/>
          <w:vertAlign w:val="subscript"/>
          <w:lang w:val="it-IT"/>
        </w:rPr>
        <w:t xml:space="preserve">q, r </w:t>
      </w:r>
      <w:r w:rsidRPr="000B7133">
        <w:rPr>
          <w:b w:val="0"/>
          <w:bCs w:val="0"/>
          <w:i/>
        </w:rPr>
        <w:t xml:space="preserve"> =  </w:t>
      </w:r>
      <w:r w:rsidRPr="000B7133">
        <w:rPr>
          <w:b w:val="0"/>
          <w:bCs w:val="0"/>
        </w:rPr>
        <w:t>(1/4) * RTRUAWD</w:t>
      </w:r>
      <w:r w:rsidRPr="000B7133">
        <w:rPr>
          <w:b w:val="0"/>
          <w:bCs w:val="0"/>
          <w:i/>
          <w:vertAlign w:val="subscript"/>
        </w:rPr>
        <w:t xml:space="preserve"> </w:t>
      </w:r>
      <w:r w:rsidRPr="000B7133">
        <w:rPr>
          <w:b w:val="0"/>
          <w:bCs w:val="0"/>
          <w:i/>
          <w:vertAlign w:val="subscript"/>
          <w:lang w:val="it-IT"/>
        </w:rPr>
        <w:t>q, r</w:t>
      </w:r>
      <w:r w:rsidRPr="000B7133">
        <w:rPr>
          <w:b w:val="0"/>
          <w:bCs w:val="0"/>
        </w:rPr>
        <w:t xml:space="preserve"> * RTMCPCRUR </w:t>
      </w:r>
      <w:r w:rsidRPr="000B7133">
        <w:rPr>
          <w:b w:val="0"/>
          <w:bCs w:val="0"/>
          <w:i/>
          <w:vertAlign w:val="subscript"/>
          <w:lang w:val="it-IT"/>
        </w:rPr>
        <w:t xml:space="preserve">q, r </w:t>
      </w:r>
    </w:p>
    <w:p w14:paraId="1A9452B6" w14:textId="77777777" w:rsidR="00F10AF1" w:rsidRPr="00016609" w:rsidRDefault="00F10AF1" w:rsidP="00F10AF1">
      <w:pPr>
        <w:pStyle w:val="FormulaBold"/>
        <w:rPr>
          <w:b w:val="0"/>
          <w:bCs w:val="0"/>
        </w:rPr>
      </w:pPr>
      <w:r w:rsidRPr="000B7133">
        <w:rPr>
          <w:b w:val="0"/>
          <w:bCs w:val="0"/>
        </w:rPr>
        <w:t xml:space="preserve">RTMCPCRUR </w:t>
      </w:r>
      <w:r w:rsidRPr="000B7133">
        <w:rPr>
          <w:b w:val="0"/>
          <w:bCs w:val="0"/>
          <w:i/>
          <w:vertAlign w:val="subscript"/>
          <w:lang w:val="it-IT"/>
        </w:rPr>
        <w:t>q, r</w:t>
      </w:r>
      <w:r w:rsidRPr="000B7133">
        <w:rPr>
          <w:b w:val="0"/>
          <w:bCs w:val="0"/>
          <w:i/>
        </w:rPr>
        <w:t xml:space="preserve"> = </w:t>
      </w:r>
      <w:r w:rsidRPr="007E0677">
        <w:rPr>
          <w:b w:val="0"/>
          <w:bCs w:val="0"/>
          <w:position w:val="-22"/>
        </w:rPr>
        <w:object w:dxaOrig="285" w:dyaOrig="285" w14:anchorId="5A8C9C8F">
          <v:shape id="_x0000_i1274" type="#_x0000_t75" style="width:30pt;height:30pt" o:ole="">
            <v:imagedata r:id="rId20" o:title=""/>
          </v:shape>
          <o:OLEObject Type="Embed" ProgID="Equation.3" ShapeID="_x0000_i1274" DrawAspect="Content" ObjectID="_1849065903" r:id="rId352"/>
        </w:object>
      </w:r>
      <w:r w:rsidRPr="00016609">
        <w:rPr>
          <w:b w:val="0"/>
          <w:bCs w:val="0"/>
        </w:rPr>
        <w:t xml:space="preserve"> (RURWF</w:t>
      </w:r>
      <w:r w:rsidRPr="00016609">
        <w:rPr>
          <w:b w:val="0"/>
          <w:bCs w:val="0"/>
          <w:i/>
          <w:vertAlign w:val="subscript"/>
        </w:rPr>
        <w:t xml:space="preserve"> q, r, y</w:t>
      </w:r>
      <w:r w:rsidRPr="00016609">
        <w:rPr>
          <w:b w:val="0"/>
          <w:bCs w:val="0"/>
        </w:rPr>
        <w:t xml:space="preserve"> * (RTMCPCRUS</w:t>
      </w:r>
      <w:r w:rsidRPr="00016609">
        <w:rPr>
          <w:b w:val="0"/>
          <w:bCs w:val="0"/>
          <w:i/>
          <w:vertAlign w:val="subscript"/>
        </w:rPr>
        <w:t xml:space="preserve"> y</w:t>
      </w:r>
      <w:r w:rsidRPr="00016609">
        <w:rPr>
          <w:b w:val="0"/>
          <w:bCs w:val="0"/>
        </w:rPr>
        <w:t xml:space="preserve"> + RTRDPARUS </w:t>
      </w:r>
      <w:r w:rsidRPr="00016609">
        <w:rPr>
          <w:b w:val="0"/>
          <w:bCs w:val="0"/>
          <w:i/>
          <w:vertAlign w:val="subscript"/>
        </w:rPr>
        <w:t>y</w:t>
      </w:r>
      <w:r w:rsidRPr="00016609">
        <w:rPr>
          <w:b w:val="0"/>
          <w:bCs w:val="0"/>
        </w:rPr>
        <w:t>))</w:t>
      </w:r>
    </w:p>
    <w:p w14:paraId="4735C803" w14:textId="77777777" w:rsidR="00F10AF1" w:rsidRPr="000B7133" w:rsidRDefault="00F10AF1" w:rsidP="00F10AF1">
      <w:pPr>
        <w:pStyle w:val="FormulaBold"/>
        <w:rPr>
          <w:b w:val="0"/>
          <w:bCs w:val="0"/>
          <w:i/>
          <w:vertAlign w:val="subscript"/>
        </w:rPr>
      </w:pPr>
      <w:r w:rsidRPr="00016609">
        <w:rPr>
          <w:b w:val="0"/>
          <w:bCs w:val="0"/>
        </w:rPr>
        <w:t>RTRUAWD</w:t>
      </w:r>
      <w:r w:rsidRPr="00016609">
        <w:rPr>
          <w:b w:val="0"/>
          <w:bCs w:val="0"/>
          <w:i/>
          <w:vertAlign w:val="subscript"/>
        </w:rPr>
        <w:t xml:space="preserve"> q, r  </w:t>
      </w:r>
      <w:r w:rsidRPr="00016609">
        <w:rPr>
          <w:b w:val="0"/>
          <w:bCs w:val="0"/>
        </w:rPr>
        <w:tab/>
        <w:t xml:space="preserve">=  </w:t>
      </w:r>
      <w:r w:rsidRPr="007E0677">
        <w:rPr>
          <w:b w:val="0"/>
          <w:bCs w:val="0"/>
          <w:position w:val="-22"/>
        </w:rPr>
        <w:object w:dxaOrig="285" w:dyaOrig="285" w14:anchorId="5F5F06F8">
          <v:shape id="_x0000_i1275" type="#_x0000_t75" style="width:30pt;height:30pt" o:ole="">
            <v:imagedata r:id="rId20" o:title=""/>
          </v:shape>
          <o:OLEObject Type="Embed" ProgID="Equation.3" ShapeID="_x0000_i1275" DrawAspect="Content" ObjectID="_1849065904" r:id="rId353"/>
        </w:object>
      </w:r>
      <w:r w:rsidRPr="000B7133">
        <w:rPr>
          <w:b w:val="0"/>
          <w:bCs w:val="0"/>
        </w:rPr>
        <w:t xml:space="preserve"> (RNWF </w:t>
      </w:r>
      <w:r w:rsidRPr="000B7133">
        <w:rPr>
          <w:b w:val="0"/>
          <w:bCs w:val="0"/>
          <w:i/>
          <w:vertAlign w:val="subscript"/>
        </w:rPr>
        <w:t>y</w:t>
      </w:r>
      <w:r w:rsidRPr="000B7133">
        <w:rPr>
          <w:b w:val="0"/>
          <w:bCs w:val="0"/>
        </w:rPr>
        <w:t xml:space="preserve"> * RTRUAWDS</w:t>
      </w:r>
      <w:r w:rsidRPr="000B7133">
        <w:rPr>
          <w:b w:val="0"/>
          <w:bCs w:val="0"/>
          <w:i/>
          <w:vertAlign w:val="subscript"/>
        </w:rPr>
        <w:t xml:space="preserve"> q, r, y</w:t>
      </w:r>
      <w:r w:rsidRPr="000B7133">
        <w:rPr>
          <w:b w:val="0"/>
          <w:bCs w:val="0"/>
        </w:rPr>
        <w:t>)</w:t>
      </w:r>
    </w:p>
    <w:p w14:paraId="75470842" w14:textId="77777777" w:rsidR="00F10AF1" w:rsidRPr="0013396E" w:rsidRDefault="00F10AF1" w:rsidP="00F10AF1">
      <w:pPr>
        <w:pStyle w:val="BodyTextNumbered"/>
        <w:ind w:left="0" w:firstLine="720"/>
      </w:pPr>
      <w:r w:rsidRPr="0013396E">
        <w:t>Where:</w:t>
      </w:r>
    </w:p>
    <w:p w14:paraId="4114BEC4" w14:textId="77777777" w:rsidR="00F10AF1" w:rsidRPr="0013396E" w:rsidRDefault="00F10AF1" w:rsidP="00F10AF1">
      <w:pPr>
        <w:pStyle w:val="NoSpacing"/>
        <w:rPr>
          <w:position w:val="-22"/>
        </w:rPr>
      </w:pPr>
      <w:r w:rsidRPr="0013396E">
        <w:t xml:space="preserve">           RURWF</w:t>
      </w:r>
      <w:r w:rsidRPr="0013396E">
        <w:rPr>
          <w:i/>
          <w:vertAlign w:val="subscript"/>
        </w:rPr>
        <w:t xml:space="preserve"> q, r, y</w:t>
      </w:r>
      <w:r w:rsidRPr="0013396E">
        <w:rPr>
          <w:vertAlign w:val="subscript"/>
        </w:rPr>
        <w:tab/>
        <w:t xml:space="preserve"> </w:t>
      </w:r>
      <w:r w:rsidRPr="0013396E">
        <w:t>=  [max(0.001, RTRUAWDS</w:t>
      </w:r>
      <w:r w:rsidRPr="0013396E">
        <w:rPr>
          <w:i/>
          <w:vertAlign w:val="subscript"/>
        </w:rPr>
        <w:t xml:space="preserve"> q, r, y</w:t>
      </w:r>
      <w:r w:rsidRPr="0013396E">
        <w:t>) * TLMP</w:t>
      </w:r>
      <w:r w:rsidRPr="0013396E">
        <w:rPr>
          <w:i/>
          <w:vertAlign w:val="subscript"/>
        </w:rPr>
        <w:t xml:space="preserve"> y</w:t>
      </w:r>
      <w:r w:rsidRPr="0013396E">
        <w:t>] / [</w:t>
      </w:r>
      <w:r w:rsidRPr="0013396E">
        <w:rPr>
          <w:b/>
          <w:position w:val="-22"/>
        </w:rPr>
        <w:object w:dxaOrig="285" w:dyaOrig="285" w14:anchorId="5B9B3CF2">
          <v:shape id="_x0000_i1276" type="#_x0000_t75" style="width:24pt;height:24pt" o:ole="">
            <v:imagedata r:id="rId20" o:title=""/>
          </v:shape>
          <o:OLEObject Type="Embed" ProgID="Equation.3" ShapeID="_x0000_i1276" DrawAspect="Content" ObjectID="_1849065905" r:id="rId354"/>
        </w:object>
      </w:r>
      <w:r w:rsidRPr="0013396E">
        <w:t>max(0.001,</w:t>
      </w:r>
    </w:p>
    <w:p w14:paraId="53E74988" w14:textId="77777777" w:rsidR="00F10AF1" w:rsidRPr="0013396E" w:rsidRDefault="00F10AF1" w:rsidP="00F10AF1">
      <w:pPr>
        <w:pStyle w:val="NoSpacing"/>
        <w:rPr>
          <w:position w:val="-22"/>
        </w:rPr>
      </w:pPr>
      <w:r w:rsidRPr="0013396E">
        <w:rPr>
          <w:position w:val="-22"/>
        </w:rPr>
        <w:t xml:space="preserve">                                         RTRUAWDS </w:t>
      </w:r>
      <w:r w:rsidRPr="0013396E">
        <w:rPr>
          <w:i/>
          <w:position w:val="-22"/>
          <w:vertAlign w:val="subscript"/>
        </w:rPr>
        <w:t>q, r, y</w:t>
      </w:r>
      <w:r w:rsidRPr="0013396E">
        <w:rPr>
          <w:position w:val="-22"/>
        </w:rPr>
        <w:t xml:space="preserve">) * TLMP </w:t>
      </w:r>
      <w:r w:rsidRPr="0013396E">
        <w:rPr>
          <w:i/>
          <w:position w:val="-22"/>
          <w:vertAlign w:val="subscript"/>
        </w:rPr>
        <w:t>y</w:t>
      </w:r>
      <w:r w:rsidRPr="0013396E">
        <w:rPr>
          <w:position w:val="-22"/>
        </w:rPr>
        <w:t>]</w:t>
      </w:r>
    </w:p>
    <w:p w14:paraId="6AFCC88F" w14:textId="77777777" w:rsidR="00F10AF1" w:rsidRPr="0013396E" w:rsidRDefault="00F10AF1" w:rsidP="00F10AF1">
      <w:pPr>
        <w:spacing w:after="240"/>
        <w:ind w:firstLine="720"/>
      </w:pPr>
      <w:r w:rsidRPr="0013396E">
        <w:t>And:</w:t>
      </w:r>
    </w:p>
    <w:p w14:paraId="7EA71433" w14:textId="77777777" w:rsidR="00F10AF1" w:rsidRPr="0013396E" w:rsidRDefault="00F10AF1" w:rsidP="00F10AF1">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szCs w:val="24"/>
        </w:rPr>
        <w:object w:dxaOrig="285" w:dyaOrig="285" w14:anchorId="6D7DFC7C">
          <v:shape id="_x0000_i1277" type="#_x0000_t75" style="width:30pt;height:30pt" o:ole="">
            <v:imagedata r:id="rId20" o:title=""/>
          </v:shape>
          <o:OLEObject Type="Embed" ProgID="Equation.3" ShapeID="_x0000_i1277" DrawAspect="Content" ObjectID="_1849065906" r:id="rId355"/>
        </w:object>
      </w:r>
      <w:r w:rsidRPr="0013396E">
        <w:t xml:space="preserve">TLMP </w:t>
      </w:r>
      <w:r w:rsidRPr="0013396E">
        <w:rPr>
          <w:i/>
          <w:vertAlign w:val="subscript"/>
        </w:rPr>
        <w:t>y</w:t>
      </w:r>
    </w:p>
    <w:p w14:paraId="6ABEEB46"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775C771D"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954DB49"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076D46DB"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0643F00B" w14:textId="77777777" w:rsidR="00F10AF1" w:rsidRPr="0013396E" w:rsidRDefault="00F10AF1" w:rsidP="0099759E">
            <w:pPr>
              <w:pStyle w:val="TableHead"/>
            </w:pPr>
            <w:r w:rsidRPr="0013396E">
              <w:t>Description</w:t>
            </w:r>
          </w:p>
        </w:tc>
      </w:tr>
      <w:tr w:rsidR="00F10AF1" w:rsidRPr="0013396E" w14:paraId="282885F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1527851" w14:textId="77777777" w:rsidR="00F10AF1" w:rsidRPr="0013396E" w:rsidRDefault="00F10AF1" w:rsidP="0099759E">
            <w:pPr>
              <w:pStyle w:val="tablebody0"/>
            </w:pPr>
            <w:r w:rsidRPr="0013396E">
              <w:t xml:space="preserve">RTRUIMBAMT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3DE7ABE"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49179128" w14:textId="77777777" w:rsidR="00F10AF1" w:rsidRPr="0013396E" w:rsidRDefault="00F10AF1" w:rsidP="0099759E">
            <w:pPr>
              <w:pStyle w:val="tablebody0"/>
              <w:rPr>
                <w:i/>
              </w:rPr>
            </w:pPr>
            <w:r w:rsidRPr="0013396E">
              <w:rPr>
                <w:i/>
              </w:rPr>
              <w:t>Real-Time Reg-Up Imbalance Amount for the QSE</w:t>
            </w:r>
            <w:r w:rsidRPr="0013396E">
              <w:t xml:space="preserve">—The total payment or charge to QSE </w:t>
            </w:r>
            <w:r w:rsidRPr="0013396E">
              <w:rPr>
                <w:i/>
              </w:rPr>
              <w:t>q</w:t>
            </w:r>
            <w:r w:rsidRPr="0013396E">
              <w:t xml:space="preserve"> for the Real-Time Reg-Up imbalance for each 15-minute Settlement Interval.</w:t>
            </w:r>
          </w:p>
        </w:tc>
      </w:tr>
      <w:tr w:rsidR="00F10AF1" w:rsidRPr="0013396E" w14:paraId="2F792536"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5A85E26" w14:textId="77777777" w:rsidR="00F10AF1" w:rsidRPr="0013396E" w:rsidRDefault="00F10AF1" w:rsidP="0099759E">
            <w:pPr>
              <w:pStyle w:val="tablebody0"/>
            </w:pPr>
            <w:r w:rsidRPr="0013396E">
              <w:t xml:space="preserve">RTRUREV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1730B697"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42D99014" w14:textId="77777777" w:rsidR="00F10AF1" w:rsidRPr="0013396E" w:rsidRDefault="00F10AF1" w:rsidP="0099759E">
            <w:pPr>
              <w:pStyle w:val="tablebody0"/>
              <w:rPr>
                <w:i/>
              </w:rPr>
            </w:pPr>
            <w:r w:rsidRPr="0013396E">
              <w:rPr>
                <w:i/>
              </w:rPr>
              <w:t>Real-Time Reg-Up Revenue</w:t>
            </w:r>
            <w:r w:rsidRPr="0013396E">
              <w:t xml:space="preserve">—The Real-Time Reg-Up revenue for QSE </w:t>
            </w:r>
            <w:r w:rsidRPr="0013396E">
              <w:rPr>
                <w:i/>
              </w:rPr>
              <w:t xml:space="preserve">q </w:t>
            </w:r>
            <w:r w:rsidRPr="0013396E">
              <w:t>calculated for</w:t>
            </w:r>
            <w:r w:rsidRPr="0013396E">
              <w:rPr>
                <w:i/>
              </w:rPr>
              <w:t xml:space="preserve"> </w:t>
            </w:r>
            <w:r w:rsidRPr="0013396E">
              <w:t xml:space="preserve">Resource </w:t>
            </w:r>
            <w:r w:rsidRPr="0013396E">
              <w:rPr>
                <w:i/>
              </w:rPr>
              <w:t xml:space="preserve">r </w:t>
            </w:r>
            <w:r w:rsidRPr="0013396E">
              <w:t xml:space="preserve">for the 15-minute Settlement Interval.  Where for a Combined Cycle Train, the Resource </w:t>
            </w:r>
            <w:r w:rsidRPr="0013396E">
              <w:rPr>
                <w:i/>
              </w:rPr>
              <w:t>r</w:t>
            </w:r>
            <w:r w:rsidRPr="0013396E">
              <w:t xml:space="preserve"> is the Combined Cycle Train.</w:t>
            </w:r>
          </w:p>
        </w:tc>
      </w:tr>
      <w:tr w:rsidR="00F10AF1" w:rsidRPr="0013396E" w14:paraId="01FCFB8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5954934" w14:textId="77777777" w:rsidR="00F10AF1" w:rsidRPr="0013396E" w:rsidRDefault="00F10AF1" w:rsidP="0099759E">
            <w:pPr>
              <w:pStyle w:val="tablebody0"/>
            </w:pPr>
            <w:r w:rsidRPr="0013396E">
              <w:lastRenderedPageBreak/>
              <w:t>RTRDPARUS</w:t>
            </w:r>
            <w:r w:rsidRPr="0013396E">
              <w:rPr>
                <w:rFonts w:ascii="Segoe UI" w:hAnsi="Segoe UI" w:cs="Segoe UI"/>
                <w:color w:val="000000"/>
              </w:rPr>
              <w:t xml:space="preserve">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5B263FC2"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568D695" w14:textId="77777777" w:rsidR="00F10AF1" w:rsidRPr="0013396E" w:rsidRDefault="00F10AF1" w:rsidP="0099759E">
            <w:pPr>
              <w:pStyle w:val="tablebody0"/>
              <w:rPr>
                <w:i/>
              </w:rPr>
            </w:pPr>
            <w:r w:rsidRPr="0013396E">
              <w:rPr>
                <w:i/>
                <w:szCs w:val="18"/>
              </w:rPr>
              <w:t xml:space="preserve">Real-Time </w:t>
            </w:r>
            <w:r w:rsidRPr="0013396E">
              <w:rPr>
                <w:i/>
              </w:rPr>
              <w:t xml:space="preserve">Reliability Deployment Price Adder </w:t>
            </w:r>
            <w:r w:rsidRPr="0013396E">
              <w:rPr>
                <w:i/>
                <w:szCs w:val="18"/>
              </w:rPr>
              <w:t xml:space="preserve">for Ancillary Service for Reg-Up </w:t>
            </w:r>
            <w:r w:rsidRPr="0013396E">
              <w:rPr>
                <w:i/>
              </w:rPr>
              <w:t>per SCED interval</w:t>
            </w:r>
            <w:r w:rsidRPr="0013396E">
              <w:rPr>
                <w:iCs/>
              </w:rPr>
              <w:t>—</w:t>
            </w:r>
            <w:r w:rsidRPr="0013396E">
              <w:t xml:space="preserve">The Real-Time price adder for Reg-Up that captures the impact of reliability deployments on Reg-Up prices for the SCED interval </w:t>
            </w:r>
            <w:r w:rsidRPr="0013396E">
              <w:rPr>
                <w:i/>
                <w:iCs/>
              </w:rPr>
              <w:t>y</w:t>
            </w:r>
            <w:r w:rsidRPr="0013396E">
              <w:t>.</w:t>
            </w:r>
          </w:p>
        </w:tc>
      </w:tr>
      <w:tr w:rsidR="00F10AF1" w:rsidRPr="0013396E" w14:paraId="23E3313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14B3FDD" w14:textId="77777777" w:rsidR="00F10AF1" w:rsidRPr="0013396E" w:rsidRDefault="00F10AF1" w:rsidP="0099759E">
            <w:pPr>
              <w:pStyle w:val="tablebody0"/>
            </w:pPr>
            <w:r w:rsidRPr="0013396E">
              <w:t>RTRUAWD</w:t>
            </w:r>
            <w:r w:rsidRPr="0013396E">
              <w:rPr>
                <w:i/>
                <w:vertAlign w:val="subscript"/>
              </w:rPr>
              <w:t xml:space="preserve"> q, r</w:t>
            </w:r>
          </w:p>
        </w:tc>
        <w:tc>
          <w:tcPr>
            <w:tcW w:w="623" w:type="pct"/>
            <w:tcBorders>
              <w:top w:val="single" w:sz="4" w:space="0" w:color="auto"/>
              <w:left w:val="single" w:sz="4" w:space="0" w:color="auto"/>
              <w:bottom w:val="single" w:sz="4" w:space="0" w:color="auto"/>
              <w:right w:val="single" w:sz="4" w:space="0" w:color="auto"/>
            </w:tcBorders>
            <w:hideMark/>
          </w:tcPr>
          <w:p w14:paraId="1EDDF3D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3E0D89F" w14:textId="77777777" w:rsidR="00F10AF1" w:rsidRPr="0013396E" w:rsidRDefault="00F10AF1" w:rsidP="0099759E">
            <w:pPr>
              <w:pStyle w:val="tablebody0"/>
              <w:rPr>
                <w:i/>
              </w:rPr>
            </w:pPr>
            <w:r w:rsidRPr="0013396E">
              <w:rPr>
                <w:i/>
              </w:rPr>
              <w:t>Real-Time Reg-Up Award per Resource per QSE</w:t>
            </w:r>
            <w:r w:rsidRPr="0013396E">
              <w:t xml:space="preserve">—The Reg-Up amount awarded to QSE </w:t>
            </w:r>
            <w:r w:rsidRPr="0013396E">
              <w:rPr>
                <w:i/>
              </w:rPr>
              <w:t>q</w:t>
            </w:r>
            <w:r w:rsidRPr="0013396E">
              <w:t xml:space="preserve"> for Resource </w:t>
            </w:r>
            <w:r w:rsidRPr="0013396E">
              <w:rPr>
                <w:i/>
              </w:rPr>
              <w:t>r</w:t>
            </w:r>
            <w:r w:rsidRPr="0013396E">
              <w:t xml:space="preserve"> in Real-Time </w:t>
            </w:r>
            <w:r w:rsidRPr="0013396E">
              <w:rPr>
                <w:szCs w:val="18"/>
              </w:rPr>
              <w:t xml:space="preserve">for </w:t>
            </w:r>
            <w:r w:rsidRPr="0013396E">
              <w:t xml:space="preserve">the 15-minute Settlement Interval.  Where for a Combined Cycle Train, the Resource </w:t>
            </w:r>
            <w:r w:rsidRPr="0013396E">
              <w:rPr>
                <w:i/>
              </w:rPr>
              <w:t xml:space="preserve">r </w:t>
            </w:r>
            <w:r w:rsidRPr="0013396E">
              <w:t>is the Combined Cycle Train.</w:t>
            </w:r>
          </w:p>
        </w:tc>
      </w:tr>
      <w:tr w:rsidR="00F10AF1" w:rsidRPr="0013396E" w14:paraId="44895D9E"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DE3E292" w14:textId="77777777" w:rsidR="00F10AF1" w:rsidRPr="0013396E" w:rsidRDefault="00F10AF1" w:rsidP="0099759E">
            <w:pPr>
              <w:pStyle w:val="tablebody0"/>
            </w:pPr>
            <w:r w:rsidRPr="0013396E">
              <w:t xml:space="preserve">RTRUAWDS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0A77E1D8"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41FD70A" w14:textId="77777777" w:rsidR="00F10AF1" w:rsidRPr="0013396E" w:rsidRDefault="00F10AF1" w:rsidP="0099759E">
            <w:pPr>
              <w:pStyle w:val="tablebody0"/>
              <w:rPr>
                <w:i/>
              </w:rPr>
            </w:pPr>
            <w:r w:rsidRPr="0013396E">
              <w:rPr>
                <w:i/>
              </w:rPr>
              <w:t>Real-Time Reg-Up Award per Resource per QSE per SCED interval</w:t>
            </w:r>
            <w:r w:rsidRPr="0013396E">
              <w:rPr>
                <w:iCs/>
              </w:rPr>
              <w:t>—</w:t>
            </w:r>
            <w:r w:rsidRPr="0013396E">
              <w:t xml:space="preserve">The Reg-Up amount awarded to QSE </w:t>
            </w:r>
            <w:r w:rsidRPr="0013396E">
              <w:rPr>
                <w:i/>
              </w:rPr>
              <w:t>q</w:t>
            </w:r>
            <w:r w:rsidRPr="0013396E">
              <w:t xml:space="preserve"> for Resource </w:t>
            </w:r>
            <w:r w:rsidRPr="0013396E">
              <w:rPr>
                <w:i/>
              </w:rPr>
              <w:t xml:space="preserve">r </w:t>
            </w:r>
            <w:r w:rsidRPr="0013396E">
              <w:t>in Real-Time</w:t>
            </w:r>
            <w:r w:rsidRPr="0013396E">
              <w:rPr>
                <w:i/>
              </w:rPr>
              <w:t xml:space="preserve"> </w:t>
            </w:r>
            <w:r w:rsidRPr="0013396E">
              <w:t xml:space="preserve">for the SCED interval </w:t>
            </w:r>
            <w:r w:rsidRPr="0013396E">
              <w:rPr>
                <w:i/>
              </w:rPr>
              <w:t xml:space="preserve">y.  </w:t>
            </w:r>
            <w:r w:rsidRPr="0013396E">
              <w:t xml:space="preserve">Where for a Combined Cycle Train, the Resource </w:t>
            </w:r>
            <w:r w:rsidRPr="0013396E">
              <w:rPr>
                <w:i/>
              </w:rPr>
              <w:t xml:space="preserve">r </w:t>
            </w:r>
            <w:r w:rsidRPr="0013396E">
              <w:t>is a Combined Cycle Generation Resource within the Combined Cycle Train.</w:t>
            </w:r>
          </w:p>
        </w:tc>
      </w:tr>
      <w:tr w:rsidR="00F10AF1" w:rsidRPr="0013396E" w14:paraId="20687CF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4D95F12" w14:textId="77777777" w:rsidR="00F10AF1" w:rsidRPr="0013396E" w:rsidRDefault="00F10AF1" w:rsidP="0099759E">
            <w:pPr>
              <w:pStyle w:val="tablebody0"/>
            </w:pPr>
            <w:r w:rsidRPr="0013396E">
              <w:t xml:space="preserve">RTMCPCRUR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02212C3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DAA7C1F" w14:textId="77777777" w:rsidR="00F10AF1" w:rsidRPr="0013396E" w:rsidRDefault="00F10AF1" w:rsidP="0099759E">
            <w:pPr>
              <w:pStyle w:val="tablebody0"/>
              <w:rPr>
                <w:iCs/>
              </w:rPr>
            </w:pPr>
            <w:r w:rsidRPr="0013396E">
              <w:rPr>
                <w:i/>
              </w:rPr>
              <w:t>Real-Time Market Clearing Price for Capacity for Reg-Up per Resource per QSE</w:t>
            </w:r>
            <w:r w:rsidRPr="0013396E">
              <w:sym w:font="Symbol" w:char="F0BE"/>
            </w:r>
            <w:r w:rsidRPr="0013396E">
              <w:t xml:space="preserve">The Real-Time MCPC for Reg-Up for Resource </w:t>
            </w:r>
            <w:r w:rsidRPr="0013396E">
              <w:rPr>
                <w:i/>
              </w:rPr>
              <w:t>r</w:t>
            </w:r>
            <w:r w:rsidRPr="0013396E">
              <w:t xml:space="preserve">, represented by QSE </w:t>
            </w:r>
            <w:r w:rsidRPr="0013396E">
              <w:rPr>
                <w:i/>
              </w:rPr>
              <w:t xml:space="preserve">q </w:t>
            </w:r>
            <w:r w:rsidRPr="0013396E">
              <w:t xml:space="preserve">for the 15-minute Settlement Interval.  Where for a Combined Cycle Train, the Resource </w:t>
            </w:r>
            <w:r w:rsidRPr="0013396E">
              <w:rPr>
                <w:i/>
                <w:iCs/>
              </w:rPr>
              <w:t>r</w:t>
            </w:r>
            <w:r w:rsidRPr="0013396E">
              <w:t xml:space="preserve"> is the Combined Cycle Train.</w:t>
            </w:r>
          </w:p>
        </w:tc>
      </w:tr>
      <w:tr w:rsidR="00F10AF1" w:rsidRPr="0013396E" w14:paraId="15AA827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38E0590" w14:textId="77777777" w:rsidR="00F10AF1" w:rsidRPr="0013396E" w:rsidRDefault="00F10AF1" w:rsidP="0099759E">
            <w:pPr>
              <w:pStyle w:val="tablebody0"/>
            </w:pPr>
            <w:r w:rsidRPr="0013396E">
              <w:t>RTMCPCRUS</w:t>
            </w:r>
            <w:r w:rsidRPr="0013396E">
              <w:rPr>
                <w:i/>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5A784140"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26C0938" w14:textId="77777777" w:rsidR="00F10AF1" w:rsidRPr="0013396E" w:rsidRDefault="00F10AF1" w:rsidP="0099759E">
            <w:pPr>
              <w:pStyle w:val="tablebody0"/>
              <w:rPr>
                <w:i/>
              </w:rPr>
            </w:pPr>
            <w:r w:rsidRPr="0013396E">
              <w:rPr>
                <w:i/>
                <w:szCs w:val="18"/>
              </w:rPr>
              <w:t xml:space="preserve">Real-Time Market Clearing Price for Capacity for Reg-Up </w:t>
            </w:r>
            <w:r w:rsidRPr="0013396E">
              <w:rPr>
                <w:i/>
              </w:rPr>
              <w:t>per SCED interval</w:t>
            </w:r>
            <w:r w:rsidRPr="0013396E">
              <w:rPr>
                <w:iCs/>
              </w:rPr>
              <w:t>—</w:t>
            </w:r>
            <w:r w:rsidRPr="0013396E">
              <w:t xml:space="preserve">The Real-Time MCPC for Reg-Up for the SCED interval </w:t>
            </w:r>
            <w:r w:rsidRPr="0013396E">
              <w:rPr>
                <w:i/>
              </w:rPr>
              <w:t>y.</w:t>
            </w:r>
          </w:p>
        </w:tc>
      </w:tr>
      <w:tr w:rsidR="00F10AF1" w:rsidRPr="0013396E" w14:paraId="0E68E76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95AB50A" w14:textId="77777777" w:rsidR="00F10AF1" w:rsidRPr="0013396E" w:rsidRDefault="00F10AF1" w:rsidP="0099759E">
            <w:pPr>
              <w:pStyle w:val="tablebody0"/>
            </w:pPr>
            <w:r w:rsidRPr="0013396E">
              <w:t xml:space="preserve">PCRUR </w:t>
            </w:r>
            <w:r w:rsidRPr="0013396E">
              <w:rPr>
                <w:i/>
                <w:vertAlign w:val="subscript"/>
              </w:rPr>
              <w:t>r,</w:t>
            </w:r>
            <w:r w:rsidRPr="0013396E">
              <w:rPr>
                <w:i/>
              </w:rPr>
              <w:t xml:space="preserve"> </w:t>
            </w:r>
            <w:r w:rsidRPr="0013396E">
              <w:rPr>
                <w:i/>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37E01CDF"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BC0617E" w14:textId="77777777" w:rsidR="00F10AF1" w:rsidRPr="0013396E" w:rsidRDefault="00F10AF1" w:rsidP="0099759E">
            <w:pPr>
              <w:pStyle w:val="tablebody0"/>
              <w:rPr>
                <w:i/>
              </w:rPr>
            </w:pPr>
            <w:r w:rsidRPr="0013396E">
              <w:rPr>
                <w:i/>
              </w:rPr>
              <w:t>Procured Capacity for Reg-Up per Resource per QSE in DAM</w:t>
            </w:r>
            <w:r w:rsidRPr="0013396E">
              <w:t xml:space="preserve">—The Reg-Up capacity awarded to QSE </w:t>
            </w:r>
            <w:r w:rsidRPr="0013396E">
              <w:rPr>
                <w:i/>
              </w:rPr>
              <w:t>q</w:t>
            </w:r>
            <w:r w:rsidRPr="0013396E">
              <w:t xml:space="preserve"> in the DAM for Resource </w:t>
            </w:r>
            <w:r w:rsidRPr="0013396E">
              <w:rPr>
                <w:i/>
              </w:rPr>
              <w:t>r</w:t>
            </w:r>
            <w:r w:rsidRPr="0013396E">
              <w:t xml:space="preserve"> for the Operating Hour.  Where for a Combined Cycle Train, the Resource </w:t>
            </w:r>
            <w:r w:rsidRPr="0013396E">
              <w:rPr>
                <w:i/>
              </w:rPr>
              <w:t>r</w:t>
            </w:r>
            <w:r w:rsidRPr="0013396E">
              <w:t xml:space="preserve"> is a Combined Cycle Generation Resource within the Combined Cycle Train.</w:t>
            </w:r>
          </w:p>
        </w:tc>
      </w:tr>
      <w:tr w:rsidR="00F10AF1" w:rsidRPr="0013396E" w14:paraId="45ACF30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9814E73" w14:textId="77777777" w:rsidR="00F10AF1" w:rsidRPr="0013396E" w:rsidRDefault="00F10AF1" w:rsidP="0099759E">
            <w:pPr>
              <w:pStyle w:val="tablebody0"/>
            </w:pPr>
            <w:r w:rsidRPr="0013396E">
              <w:t xml:space="preserve">RTMCPCRU </w:t>
            </w:r>
          </w:p>
        </w:tc>
        <w:tc>
          <w:tcPr>
            <w:tcW w:w="623" w:type="pct"/>
            <w:tcBorders>
              <w:top w:val="single" w:sz="4" w:space="0" w:color="auto"/>
              <w:left w:val="single" w:sz="4" w:space="0" w:color="auto"/>
              <w:bottom w:val="single" w:sz="4" w:space="0" w:color="auto"/>
              <w:right w:val="single" w:sz="4" w:space="0" w:color="auto"/>
            </w:tcBorders>
            <w:hideMark/>
          </w:tcPr>
          <w:p w14:paraId="20AB864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F4BB007" w14:textId="77777777" w:rsidR="00F10AF1" w:rsidRPr="0013396E" w:rsidRDefault="00F10AF1" w:rsidP="0099759E">
            <w:pPr>
              <w:pStyle w:val="tablebody0"/>
              <w:rPr>
                <w:i/>
              </w:rPr>
            </w:pPr>
            <w:r w:rsidRPr="0013396E">
              <w:rPr>
                <w:i/>
                <w:szCs w:val="18"/>
              </w:rPr>
              <w:t>Real-Time Market Clearing Price for Capacity for Reg-Up</w:t>
            </w:r>
            <w:r w:rsidRPr="0013396E">
              <w:rPr>
                <w:iCs/>
              </w:rPr>
              <w:t>—</w:t>
            </w:r>
            <w:r w:rsidRPr="0013396E">
              <w:t>The Real-Time MCPC for Reg-Up for the 15-minute Settlement Interval.</w:t>
            </w:r>
          </w:p>
        </w:tc>
      </w:tr>
      <w:tr w:rsidR="00F10AF1" w:rsidRPr="0013396E" w14:paraId="213E71DE"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6F34DF3" w14:textId="77777777" w:rsidR="00F10AF1" w:rsidRPr="0013396E" w:rsidRDefault="00F10AF1" w:rsidP="0099759E">
            <w:pPr>
              <w:pStyle w:val="tablebody0"/>
            </w:pPr>
            <w:r w:rsidRPr="0013396E">
              <w:t>DASARUQ</w:t>
            </w:r>
            <w:r w:rsidRPr="0013396E">
              <w:rPr>
                <w:b/>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0F021BED"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EF612DC" w14:textId="77777777" w:rsidR="00F10AF1" w:rsidRPr="0013396E" w:rsidRDefault="00F10AF1" w:rsidP="0099759E">
            <w:pPr>
              <w:pStyle w:val="tablebody0"/>
              <w:rPr>
                <w:i/>
              </w:rPr>
            </w:pPr>
            <w:r w:rsidRPr="0013396E">
              <w:rPr>
                <w:i/>
                <w:iCs/>
              </w:rPr>
              <w:t>Day-Ahead Self-Arranged Reg-Up Quantity per QSE</w:t>
            </w:r>
            <w:r w:rsidRPr="0013396E">
              <w:rPr>
                <w:iCs/>
              </w:rPr>
              <w:t xml:space="preserve">—The self-arranged Reg-Up quantity submitted by QSE </w:t>
            </w:r>
            <w:r w:rsidRPr="0013396E">
              <w:rPr>
                <w:i/>
                <w:iCs/>
              </w:rPr>
              <w:t>q</w:t>
            </w:r>
            <w:r w:rsidRPr="0013396E">
              <w:rPr>
                <w:iCs/>
              </w:rPr>
              <w:t xml:space="preserve"> before 1000 in the DAM for the Operating Hour.</w:t>
            </w:r>
          </w:p>
        </w:tc>
      </w:tr>
      <w:tr w:rsidR="00F10AF1" w:rsidRPr="0013396E" w14:paraId="2060DBC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3A3135C" w14:textId="77777777" w:rsidR="00F10AF1" w:rsidRPr="0013396E" w:rsidRDefault="00F10AF1" w:rsidP="0099759E">
            <w:pPr>
              <w:pStyle w:val="tablebody0"/>
            </w:pPr>
            <w:r w:rsidRPr="0013396E">
              <w:t>RUTP</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522A95B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6BECA3A" w14:textId="77777777" w:rsidR="00F10AF1" w:rsidRPr="0013396E" w:rsidRDefault="00F10AF1" w:rsidP="0099759E">
            <w:pPr>
              <w:pStyle w:val="tablebody0"/>
              <w:rPr>
                <w:i/>
              </w:rPr>
            </w:pPr>
            <w:r w:rsidRPr="0013396E">
              <w:rPr>
                <w:i/>
                <w:szCs w:val="18"/>
              </w:rPr>
              <w:t>Trade Purchases for Reg-Up for the QSE—</w:t>
            </w:r>
            <w:r w:rsidRPr="0013396E">
              <w:rPr>
                <w:szCs w:val="18"/>
              </w:rPr>
              <w:t xml:space="preserve">The final approved trade purchases for QSE </w:t>
            </w:r>
            <w:r w:rsidRPr="0013396E">
              <w:rPr>
                <w:i/>
                <w:szCs w:val="18"/>
              </w:rPr>
              <w:t>q</w:t>
            </w:r>
            <w:r w:rsidRPr="0013396E">
              <w:rPr>
                <w:szCs w:val="18"/>
              </w:rPr>
              <w:t xml:space="preserve"> for Reg-Up for the Operating Hour.</w:t>
            </w:r>
          </w:p>
        </w:tc>
      </w:tr>
      <w:tr w:rsidR="00F10AF1" w:rsidRPr="0013396E" w14:paraId="0A86D08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EDB35EF" w14:textId="77777777" w:rsidR="00F10AF1" w:rsidRPr="0013396E" w:rsidRDefault="00F10AF1" w:rsidP="0099759E">
            <w:pPr>
              <w:pStyle w:val="tablebody0"/>
            </w:pPr>
            <w:r w:rsidRPr="0013396E">
              <w:t>RUTS</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7AB0DBDA"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DEF25B7" w14:textId="77777777" w:rsidR="00F10AF1" w:rsidRPr="0013396E" w:rsidRDefault="00F10AF1" w:rsidP="0099759E">
            <w:pPr>
              <w:pStyle w:val="tablebody0"/>
              <w:rPr>
                <w:i/>
              </w:rPr>
            </w:pPr>
            <w:r w:rsidRPr="0013396E">
              <w:rPr>
                <w:i/>
                <w:szCs w:val="18"/>
              </w:rPr>
              <w:t>Trade Sales for Reg-Up for the QSE—</w:t>
            </w:r>
            <w:r w:rsidRPr="0013396E">
              <w:rPr>
                <w:szCs w:val="18"/>
              </w:rPr>
              <w:t xml:space="preserve">The final approved trade sales for QSE </w:t>
            </w:r>
            <w:r w:rsidRPr="0013396E">
              <w:rPr>
                <w:i/>
                <w:szCs w:val="18"/>
              </w:rPr>
              <w:t>q</w:t>
            </w:r>
            <w:r w:rsidRPr="0013396E">
              <w:rPr>
                <w:szCs w:val="18"/>
              </w:rPr>
              <w:t xml:space="preserve"> for Reg-Up for the Operating Hour.</w:t>
            </w:r>
          </w:p>
        </w:tc>
      </w:tr>
      <w:tr w:rsidR="00F10AF1" w:rsidRPr="0013396E" w14:paraId="65BEB29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0F96B14" w14:textId="77777777" w:rsidR="00F10AF1" w:rsidRPr="0013396E" w:rsidRDefault="00F10AF1" w:rsidP="0099759E">
            <w:pPr>
              <w:pStyle w:val="tablebody0"/>
            </w:pPr>
            <w:r w:rsidRPr="0013396E">
              <w:t xml:space="preserve">TLMP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2B8DE164" w14:textId="77777777" w:rsidR="00F10AF1" w:rsidRPr="0013396E" w:rsidRDefault="00F10AF1" w:rsidP="0099759E">
            <w:pPr>
              <w:pStyle w:val="tablebody0"/>
            </w:pPr>
            <w:r w:rsidRPr="0013396E">
              <w:t>second</w:t>
            </w:r>
          </w:p>
        </w:tc>
        <w:tc>
          <w:tcPr>
            <w:tcW w:w="3098" w:type="pct"/>
            <w:tcBorders>
              <w:top w:val="single" w:sz="4" w:space="0" w:color="auto"/>
              <w:left w:val="single" w:sz="4" w:space="0" w:color="auto"/>
              <w:bottom w:val="single" w:sz="4" w:space="0" w:color="auto"/>
              <w:right w:val="single" w:sz="4" w:space="0" w:color="auto"/>
            </w:tcBorders>
            <w:hideMark/>
          </w:tcPr>
          <w:p w14:paraId="7D0C8E5E" w14:textId="77777777" w:rsidR="00F10AF1" w:rsidRPr="0013396E" w:rsidRDefault="00F10AF1" w:rsidP="0099759E">
            <w:pPr>
              <w:pStyle w:val="tablebody0"/>
              <w:rPr>
                <w:i/>
              </w:rPr>
            </w:pPr>
            <w:r w:rsidRPr="0013396E">
              <w:rPr>
                <w:i/>
                <w:iCs/>
              </w:rPr>
              <w:t xml:space="preserve">Duration of </w:t>
            </w:r>
            <w:r w:rsidRPr="0013396E">
              <w:rPr>
                <w:i/>
              </w:rPr>
              <w:t>SCED</w:t>
            </w:r>
            <w:r w:rsidRPr="0013396E">
              <w:rPr>
                <w:i/>
                <w:iCs/>
              </w:rPr>
              <w:t xml:space="preserve"> interval per interval</w:t>
            </w:r>
            <w:r w:rsidRPr="0013396E">
              <w:rPr>
                <w:iCs/>
              </w:rPr>
              <w:t>—</w:t>
            </w:r>
            <w:r w:rsidRPr="0013396E">
              <w:t xml:space="preserve">The duration of the SCED interval </w:t>
            </w:r>
            <w:r w:rsidRPr="0013396E">
              <w:rPr>
                <w:i/>
                <w:iCs/>
              </w:rPr>
              <w:t>y</w:t>
            </w:r>
            <w:r w:rsidRPr="0013396E">
              <w:t>.</w:t>
            </w:r>
          </w:p>
        </w:tc>
      </w:tr>
      <w:tr w:rsidR="00F10AF1" w:rsidRPr="0013396E" w14:paraId="3D55AE3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FD55FC8" w14:textId="77777777" w:rsidR="00F10AF1" w:rsidRPr="0013396E" w:rsidRDefault="00F10AF1" w:rsidP="0099759E">
            <w:pPr>
              <w:pStyle w:val="tablebody0"/>
            </w:pPr>
            <w:r w:rsidRPr="0013396E">
              <w:t xml:space="preserve">RNWF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7C86635"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7E05BDF7" w14:textId="77777777" w:rsidR="00F10AF1" w:rsidRPr="0013396E" w:rsidRDefault="00F10AF1" w:rsidP="0099759E">
            <w:pPr>
              <w:pStyle w:val="tablebody0"/>
              <w:rPr>
                <w:i/>
              </w:rPr>
            </w:pPr>
            <w:r w:rsidRPr="0013396E">
              <w:rPr>
                <w:i/>
              </w:rPr>
              <w:t>Resource Node Weighting Factor per interval</w:t>
            </w:r>
            <w:r w:rsidRPr="0013396E">
              <w:rPr>
                <w:iCs/>
              </w:rPr>
              <w:t>—</w:t>
            </w:r>
            <w:r w:rsidRPr="0013396E">
              <w:t xml:space="preserve">The weight used in the Ancillary Service award calculation for the portion of the SCED interval </w:t>
            </w:r>
            <w:r w:rsidRPr="0013396E">
              <w:rPr>
                <w:i/>
              </w:rPr>
              <w:t>y</w:t>
            </w:r>
            <w:r w:rsidRPr="0013396E">
              <w:t xml:space="preserve"> within the Settlement Interval</w:t>
            </w:r>
            <w:r w:rsidRPr="0013396E">
              <w:rPr>
                <w:i/>
              </w:rPr>
              <w:t>.</w:t>
            </w:r>
          </w:p>
        </w:tc>
      </w:tr>
      <w:tr w:rsidR="00F10AF1" w:rsidRPr="0013396E" w14:paraId="19E8F41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B08FC4D" w14:textId="77777777" w:rsidR="00F10AF1" w:rsidRPr="0013396E" w:rsidRDefault="00F10AF1" w:rsidP="0099759E">
            <w:pPr>
              <w:pStyle w:val="tablebody0"/>
            </w:pPr>
            <w:r w:rsidRPr="0013396E">
              <w:t xml:space="preserve">RURWF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42C3CFAB"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6D02A7B6" w14:textId="77777777" w:rsidR="00F10AF1" w:rsidRPr="0013396E" w:rsidRDefault="00F10AF1" w:rsidP="0099759E">
            <w:pPr>
              <w:pStyle w:val="tablebody0"/>
              <w:rPr>
                <w:i/>
              </w:rPr>
            </w:pPr>
            <w:r w:rsidRPr="0013396E">
              <w:rPr>
                <w:i/>
              </w:rPr>
              <w:t>Reg-Up Resource Node Weighting Factor per interval</w:t>
            </w:r>
            <w:r w:rsidRPr="0013396E">
              <w:rPr>
                <w:iCs/>
              </w:rPr>
              <w:t>—</w:t>
            </w:r>
            <w:r w:rsidRPr="0013396E">
              <w:t xml:space="preserve">The Reg-Up Resource weight, based on Reg-Up awards, used in the Real-Time MCPC calculation for the portion of the SCED interval </w:t>
            </w:r>
            <w:r w:rsidRPr="0013396E">
              <w:rPr>
                <w:i/>
              </w:rPr>
              <w:t>y</w:t>
            </w:r>
            <w:r w:rsidRPr="0013396E">
              <w:t xml:space="preserve"> within the Settlement Interval.  Where for a Combined Cycle Train, the Resource </w:t>
            </w:r>
            <w:r w:rsidRPr="0013396E">
              <w:rPr>
                <w:i/>
              </w:rPr>
              <w:t xml:space="preserve">r </w:t>
            </w:r>
            <w:r w:rsidRPr="0013396E">
              <w:t xml:space="preserve">is a Combined Cycle Generation Resource within the Combined Cycle Train.   </w:t>
            </w:r>
          </w:p>
        </w:tc>
      </w:tr>
      <w:tr w:rsidR="00F10AF1" w:rsidRPr="0013396E" w14:paraId="7918714B"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8E903AE" w14:textId="77777777" w:rsidR="00F10AF1" w:rsidRPr="0013396E" w:rsidRDefault="00F10AF1" w:rsidP="0099759E">
            <w:pPr>
              <w:pStyle w:val="tablebody0"/>
            </w:pPr>
            <w:r w:rsidRPr="0013396E">
              <w:rPr>
                <w:i/>
              </w:rPr>
              <w:t>r</w:t>
            </w:r>
          </w:p>
        </w:tc>
        <w:tc>
          <w:tcPr>
            <w:tcW w:w="623" w:type="pct"/>
            <w:tcBorders>
              <w:top w:val="single" w:sz="4" w:space="0" w:color="auto"/>
              <w:left w:val="single" w:sz="4" w:space="0" w:color="auto"/>
              <w:bottom w:val="single" w:sz="4" w:space="0" w:color="auto"/>
              <w:right w:val="single" w:sz="4" w:space="0" w:color="auto"/>
            </w:tcBorders>
            <w:hideMark/>
          </w:tcPr>
          <w:p w14:paraId="3E3EDE36"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0CDF99B5" w14:textId="77777777" w:rsidR="00F10AF1" w:rsidRPr="0013396E" w:rsidRDefault="00F10AF1" w:rsidP="0099759E">
            <w:pPr>
              <w:pStyle w:val="tablebody0"/>
              <w:rPr>
                <w:i/>
              </w:rPr>
            </w:pPr>
            <w:r w:rsidRPr="0013396E">
              <w:t>A Resource.</w:t>
            </w:r>
          </w:p>
        </w:tc>
      </w:tr>
      <w:tr w:rsidR="00F10AF1" w:rsidRPr="0013396E" w14:paraId="0C5D598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9BF4175"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793EFF0A"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00CB2529" w14:textId="77777777" w:rsidR="00F10AF1" w:rsidRPr="0013396E" w:rsidRDefault="00F10AF1" w:rsidP="0099759E">
            <w:pPr>
              <w:pStyle w:val="tablebody0"/>
            </w:pPr>
            <w:r w:rsidRPr="0013396E">
              <w:t>A QSE.</w:t>
            </w:r>
          </w:p>
        </w:tc>
      </w:tr>
      <w:tr w:rsidR="00F10AF1" w:rsidRPr="0013396E" w14:paraId="3B54F3FC"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441773F" w14:textId="77777777" w:rsidR="00F10AF1" w:rsidRPr="0013396E" w:rsidRDefault="00F10AF1" w:rsidP="0099759E">
            <w:pPr>
              <w:pStyle w:val="tablebody0"/>
              <w:rPr>
                <w:i/>
              </w:rPr>
            </w:pPr>
            <w:r w:rsidRPr="0013396E">
              <w:rPr>
                <w:i/>
              </w:rPr>
              <w:t>y</w:t>
            </w:r>
          </w:p>
        </w:tc>
        <w:tc>
          <w:tcPr>
            <w:tcW w:w="623" w:type="pct"/>
            <w:tcBorders>
              <w:top w:val="single" w:sz="4" w:space="0" w:color="auto"/>
              <w:left w:val="single" w:sz="4" w:space="0" w:color="auto"/>
              <w:bottom w:val="single" w:sz="4" w:space="0" w:color="auto"/>
              <w:right w:val="single" w:sz="4" w:space="0" w:color="auto"/>
            </w:tcBorders>
            <w:hideMark/>
          </w:tcPr>
          <w:p w14:paraId="0E88AF5A"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2CBBCA84" w14:textId="77777777" w:rsidR="00F10AF1" w:rsidRPr="0013396E" w:rsidRDefault="00F10AF1" w:rsidP="0099759E">
            <w:pPr>
              <w:pStyle w:val="tablebody0"/>
            </w:pPr>
            <w:r w:rsidRPr="0013396E">
              <w:t>A SCED interval in the 15-minute Settlement Interval.</w:t>
            </w:r>
          </w:p>
        </w:tc>
      </w:tr>
    </w:tbl>
    <w:p w14:paraId="4520CFB5" w14:textId="77777777" w:rsidR="00F10AF1" w:rsidRPr="0013396E" w:rsidRDefault="00F10AF1" w:rsidP="00F10AF1">
      <w:pPr>
        <w:spacing w:before="240" w:after="240"/>
      </w:pPr>
      <w:r w:rsidRPr="0013396E">
        <w:lastRenderedPageBreak/>
        <w:t>(2)</w:t>
      </w:r>
      <w:r w:rsidRPr="0013396E">
        <w:tab/>
        <w:t>Reg-Up Only Charge:</w:t>
      </w:r>
    </w:p>
    <w:p w14:paraId="16CD1F55" w14:textId="77777777" w:rsidR="00F10AF1" w:rsidRPr="0013396E" w:rsidRDefault="00F10AF1" w:rsidP="00F10AF1">
      <w:pPr>
        <w:pStyle w:val="FormulaBold"/>
      </w:pPr>
      <w:r w:rsidRPr="0013396E">
        <w:t>RTRUOAMT</w:t>
      </w:r>
      <w:r w:rsidRPr="0013396E">
        <w:rPr>
          <w:i/>
          <w:vertAlign w:val="subscript"/>
        </w:rPr>
        <w:t xml:space="preserve"> q  </w:t>
      </w:r>
      <w:r w:rsidRPr="0013396E">
        <w:t xml:space="preserve">= </w:t>
      </w:r>
      <w:r w:rsidRPr="0013396E">
        <w:tab/>
        <w:t xml:space="preserve">(1/4) * DARUOAWD </w:t>
      </w:r>
      <w:r w:rsidRPr="0013396E">
        <w:rPr>
          <w:i/>
          <w:vertAlign w:val="subscript"/>
        </w:rPr>
        <w:t>q</w:t>
      </w:r>
      <w:r w:rsidRPr="0013396E">
        <w:t xml:space="preserve"> * RTMCPCRU</w:t>
      </w:r>
    </w:p>
    <w:p w14:paraId="5637CBC8"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7EA99B48"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5919192"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2C8A66AE"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5491F67A" w14:textId="77777777" w:rsidR="00F10AF1" w:rsidRPr="0013396E" w:rsidRDefault="00F10AF1" w:rsidP="0099759E">
            <w:pPr>
              <w:pStyle w:val="TableHead"/>
            </w:pPr>
            <w:r w:rsidRPr="0013396E">
              <w:t>Description</w:t>
            </w:r>
          </w:p>
        </w:tc>
      </w:tr>
      <w:tr w:rsidR="00F10AF1" w:rsidRPr="0013396E" w14:paraId="0C56FAC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BB707C0" w14:textId="77777777" w:rsidR="00F10AF1" w:rsidRPr="0013396E" w:rsidRDefault="00F10AF1" w:rsidP="0099759E">
            <w:pPr>
              <w:pStyle w:val="tablebody0"/>
            </w:pPr>
            <w:r w:rsidRPr="0013396E">
              <w:t xml:space="preserve">RTRUOAMT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7B12E7C"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73512DCD" w14:textId="77777777" w:rsidR="00F10AF1" w:rsidRPr="0013396E" w:rsidRDefault="00F10AF1" w:rsidP="0099759E">
            <w:pPr>
              <w:pStyle w:val="tablebody0"/>
              <w:rPr>
                <w:i/>
              </w:rPr>
            </w:pPr>
            <w:r w:rsidRPr="0013396E">
              <w:rPr>
                <w:i/>
              </w:rPr>
              <w:t>Real-Time Reg-Up Only Amount for the QSE</w:t>
            </w:r>
            <w:r w:rsidRPr="0013396E">
              <w:t xml:space="preserve">—The total charge to QSE </w:t>
            </w:r>
            <w:r w:rsidRPr="0013396E">
              <w:rPr>
                <w:i/>
              </w:rPr>
              <w:t>q</w:t>
            </w:r>
            <w:r w:rsidRPr="0013396E">
              <w:t xml:space="preserve"> in Real-Time for Reg-Up Only awards for each 15-minute Settlement Interval.</w:t>
            </w:r>
          </w:p>
        </w:tc>
      </w:tr>
      <w:tr w:rsidR="00F10AF1" w:rsidRPr="0013396E" w14:paraId="16B1393B"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FDE532A" w14:textId="77777777" w:rsidR="00F10AF1" w:rsidRPr="0013396E" w:rsidRDefault="00F10AF1" w:rsidP="0099759E">
            <w:pPr>
              <w:pStyle w:val="tablebody0"/>
            </w:pPr>
            <w:r w:rsidRPr="0013396E">
              <w:t xml:space="preserve">DARUOAWD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F29740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45547D3" w14:textId="77777777" w:rsidR="00F10AF1" w:rsidRPr="0013396E" w:rsidRDefault="00F10AF1" w:rsidP="0099759E">
            <w:pPr>
              <w:pStyle w:val="tablebody0"/>
            </w:pPr>
            <w:r w:rsidRPr="0013396E">
              <w:rPr>
                <w:i/>
              </w:rPr>
              <w:t>Day-Ahead Reg-Up Only Award for the QSE</w:t>
            </w:r>
            <w:r w:rsidRPr="0013396E">
              <w:sym w:font="Symbol" w:char="F0BE"/>
            </w:r>
            <w:r w:rsidRPr="0013396E">
              <w:t xml:space="preserve">The Reg-Up only capacity awarded in the DAM to the QSE </w:t>
            </w:r>
            <w:r w:rsidRPr="0013396E">
              <w:rPr>
                <w:i/>
              </w:rPr>
              <w:t>q</w:t>
            </w:r>
            <w:r w:rsidRPr="0013396E">
              <w:t xml:space="preserve"> for the </w:t>
            </w:r>
            <w:r w:rsidRPr="0013396E">
              <w:rPr>
                <w:szCs w:val="18"/>
              </w:rPr>
              <w:t>Operating Hour</w:t>
            </w:r>
            <w:r w:rsidRPr="0013396E">
              <w:t>.</w:t>
            </w:r>
          </w:p>
        </w:tc>
      </w:tr>
      <w:tr w:rsidR="00F10AF1" w:rsidRPr="0013396E" w14:paraId="6BE0D90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7ED3C2A" w14:textId="77777777" w:rsidR="00F10AF1" w:rsidRPr="0013396E" w:rsidRDefault="00F10AF1" w:rsidP="0099759E">
            <w:pPr>
              <w:pStyle w:val="tablebody0"/>
            </w:pPr>
            <w:r w:rsidRPr="0013396E">
              <w:t xml:space="preserve">RTMCPCRU </w:t>
            </w:r>
          </w:p>
        </w:tc>
        <w:tc>
          <w:tcPr>
            <w:tcW w:w="623" w:type="pct"/>
            <w:tcBorders>
              <w:top w:val="single" w:sz="4" w:space="0" w:color="auto"/>
              <w:left w:val="single" w:sz="4" w:space="0" w:color="auto"/>
              <w:bottom w:val="single" w:sz="4" w:space="0" w:color="auto"/>
              <w:right w:val="single" w:sz="4" w:space="0" w:color="auto"/>
            </w:tcBorders>
            <w:hideMark/>
          </w:tcPr>
          <w:p w14:paraId="5329E5C8"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09611149" w14:textId="77777777" w:rsidR="00F10AF1" w:rsidRPr="0013396E" w:rsidRDefault="00F10AF1" w:rsidP="0099759E">
            <w:pPr>
              <w:pStyle w:val="tablebody0"/>
              <w:rPr>
                <w:i/>
              </w:rPr>
            </w:pPr>
            <w:r w:rsidRPr="0013396E">
              <w:rPr>
                <w:i/>
                <w:szCs w:val="18"/>
              </w:rPr>
              <w:t>Real-Time Market Clearing Price for Capacity for Reg-Up</w:t>
            </w:r>
            <w:r w:rsidRPr="0013396E">
              <w:rPr>
                <w:iCs/>
              </w:rPr>
              <w:t>—</w:t>
            </w:r>
            <w:r w:rsidRPr="0013396E">
              <w:t>The Real-Time MCPC for Reg-Up for the 15-minute Settlement Interval.</w:t>
            </w:r>
          </w:p>
        </w:tc>
      </w:tr>
      <w:tr w:rsidR="00F10AF1" w:rsidRPr="0013396E" w14:paraId="61D5F64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BF22A79"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04542A78"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2BEDEE26" w14:textId="77777777" w:rsidR="00F10AF1" w:rsidRPr="0013396E" w:rsidRDefault="00F10AF1" w:rsidP="0099759E">
            <w:pPr>
              <w:pStyle w:val="tablebody0"/>
            </w:pPr>
            <w:r w:rsidRPr="0013396E">
              <w:t>A QSE.</w:t>
            </w:r>
          </w:p>
        </w:tc>
      </w:tr>
    </w:tbl>
    <w:p w14:paraId="6854FC45" w14:textId="77777777" w:rsidR="00F10AF1" w:rsidRPr="0013396E" w:rsidRDefault="00F10AF1" w:rsidP="00F10AF1">
      <w:pPr>
        <w:spacing w:before="240" w:after="240"/>
      </w:pPr>
      <w:r w:rsidRPr="0013396E">
        <w:t>(3)</w:t>
      </w:r>
      <w:r w:rsidRPr="0013396E">
        <w:tab/>
        <w:t>Reg-Up Trade Overage Charges:</w:t>
      </w:r>
    </w:p>
    <w:p w14:paraId="1F5EC90C" w14:textId="77777777" w:rsidR="00F10AF1" w:rsidRPr="0013396E" w:rsidRDefault="00F10AF1" w:rsidP="00F10AF1">
      <w:pPr>
        <w:pStyle w:val="FormulaBold"/>
      </w:pPr>
      <w:r w:rsidRPr="0013396E">
        <w:t>RTRUTOAMT</w:t>
      </w:r>
      <w:r w:rsidRPr="0013396E">
        <w:rPr>
          <w:i/>
          <w:vertAlign w:val="subscript"/>
        </w:rPr>
        <w:t xml:space="preserve"> q  </w:t>
      </w:r>
      <w:r w:rsidRPr="0013396E">
        <w:t xml:space="preserve">= </w:t>
      </w:r>
      <w:r w:rsidRPr="0013396E">
        <w:tab/>
        <w:t xml:space="preserve">(1/4) * RTRUTO </w:t>
      </w:r>
      <w:r w:rsidRPr="0013396E">
        <w:rPr>
          <w:i/>
          <w:vertAlign w:val="subscript"/>
        </w:rPr>
        <w:t>q</w:t>
      </w:r>
      <w:r w:rsidRPr="0013396E">
        <w:t xml:space="preserve"> * RTMCPCRU</w:t>
      </w:r>
    </w:p>
    <w:p w14:paraId="12538D01"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19318EA2"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2A552952"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201EECFB"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5D7629E1" w14:textId="77777777" w:rsidR="00F10AF1" w:rsidRPr="0013396E" w:rsidRDefault="00F10AF1" w:rsidP="0099759E">
            <w:pPr>
              <w:pStyle w:val="TableHead"/>
            </w:pPr>
            <w:r w:rsidRPr="0013396E">
              <w:t>Description</w:t>
            </w:r>
          </w:p>
        </w:tc>
      </w:tr>
      <w:tr w:rsidR="00F10AF1" w:rsidRPr="0013396E" w14:paraId="6499B6F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D3993ED" w14:textId="77777777" w:rsidR="00F10AF1" w:rsidRPr="0013396E" w:rsidRDefault="00F10AF1" w:rsidP="0099759E">
            <w:pPr>
              <w:pStyle w:val="tablebody0"/>
            </w:pPr>
            <w:r w:rsidRPr="0013396E">
              <w:t xml:space="preserve">RTRUTOAMT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4ECB1FB"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4774BD94" w14:textId="77777777" w:rsidR="00F10AF1" w:rsidRPr="0013396E" w:rsidRDefault="00F10AF1" w:rsidP="0099759E">
            <w:pPr>
              <w:pStyle w:val="tablebody0"/>
              <w:rPr>
                <w:i/>
              </w:rPr>
            </w:pPr>
            <w:r w:rsidRPr="0013396E">
              <w:rPr>
                <w:i/>
              </w:rPr>
              <w:t>Real-Time Reg-Up Trade Overage Amount for the QSE</w:t>
            </w:r>
            <w:r w:rsidRPr="0013396E">
              <w:t xml:space="preserve">—The total charge to QSE </w:t>
            </w:r>
            <w:r w:rsidRPr="0013396E">
              <w:rPr>
                <w:i/>
              </w:rPr>
              <w:t>q</w:t>
            </w:r>
            <w:r w:rsidRPr="0013396E">
              <w:t xml:space="preserve"> in Real-Time for Reg-Up trade overages for each 15-minute Settlement Interval.</w:t>
            </w:r>
          </w:p>
        </w:tc>
      </w:tr>
      <w:tr w:rsidR="00F10AF1" w:rsidRPr="0013396E" w14:paraId="34291C5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80D50FC" w14:textId="77777777" w:rsidR="00F10AF1" w:rsidRPr="0013396E" w:rsidRDefault="00F10AF1" w:rsidP="0099759E">
            <w:pPr>
              <w:pStyle w:val="tablebody0"/>
            </w:pPr>
            <w:r w:rsidRPr="0013396E">
              <w:t xml:space="preserve">RTRUTO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31E8CE48"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B3E6803" w14:textId="77777777" w:rsidR="00F10AF1" w:rsidRPr="0013396E" w:rsidRDefault="00F10AF1" w:rsidP="0099759E">
            <w:pPr>
              <w:pStyle w:val="tablebody0"/>
            </w:pPr>
            <w:r w:rsidRPr="0013396E">
              <w:rPr>
                <w:i/>
              </w:rPr>
              <w:t>Real-Time Reg-Up Trade Overage for the QSE</w:t>
            </w:r>
            <w:r w:rsidRPr="0013396E">
              <w:sym w:font="Symbol" w:char="F0BE"/>
            </w:r>
            <w:r w:rsidRPr="0013396E">
              <w:t xml:space="preserve">The quantity of submitted Reg-Up trades in excess of DAM self-arrangement quantities for the QSE </w:t>
            </w:r>
            <w:r w:rsidRPr="0013396E">
              <w:rPr>
                <w:i/>
              </w:rPr>
              <w:t>q</w:t>
            </w:r>
            <w:r w:rsidRPr="0013396E">
              <w:t xml:space="preserve"> for the </w:t>
            </w:r>
            <w:r w:rsidRPr="0013396E">
              <w:rPr>
                <w:szCs w:val="18"/>
              </w:rPr>
              <w:t>Operating Hour</w:t>
            </w:r>
            <w:r w:rsidRPr="0013396E">
              <w:t>.</w:t>
            </w:r>
          </w:p>
        </w:tc>
      </w:tr>
      <w:tr w:rsidR="00F10AF1" w:rsidRPr="0013396E" w14:paraId="323D708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8315355" w14:textId="77777777" w:rsidR="00F10AF1" w:rsidRPr="0013396E" w:rsidRDefault="00F10AF1" w:rsidP="0099759E">
            <w:pPr>
              <w:pStyle w:val="tablebody0"/>
            </w:pPr>
            <w:r w:rsidRPr="0013396E">
              <w:t xml:space="preserve">RTMCPCRU </w:t>
            </w:r>
          </w:p>
        </w:tc>
        <w:tc>
          <w:tcPr>
            <w:tcW w:w="623" w:type="pct"/>
            <w:tcBorders>
              <w:top w:val="single" w:sz="4" w:space="0" w:color="auto"/>
              <w:left w:val="single" w:sz="4" w:space="0" w:color="auto"/>
              <w:bottom w:val="single" w:sz="4" w:space="0" w:color="auto"/>
              <w:right w:val="single" w:sz="4" w:space="0" w:color="auto"/>
            </w:tcBorders>
            <w:hideMark/>
          </w:tcPr>
          <w:p w14:paraId="0756A4EC"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2019853" w14:textId="77777777" w:rsidR="00F10AF1" w:rsidRPr="0013396E" w:rsidRDefault="00F10AF1" w:rsidP="0099759E">
            <w:pPr>
              <w:pStyle w:val="tablebody0"/>
              <w:rPr>
                <w:i/>
              </w:rPr>
            </w:pPr>
            <w:r w:rsidRPr="0013396E">
              <w:rPr>
                <w:i/>
                <w:szCs w:val="18"/>
              </w:rPr>
              <w:t>Real-Time Market Clearing Price for Capacity for Reg-Up</w:t>
            </w:r>
            <w:r w:rsidRPr="0013396E">
              <w:rPr>
                <w:iCs/>
              </w:rPr>
              <w:t>—</w:t>
            </w:r>
            <w:r w:rsidRPr="0013396E">
              <w:t>The Real-Time MCPC for Reg-Up for the 15-minute Settlement Interval.</w:t>
            </w:r>
          </w:p>
        </w:tc>
      </w:tr>
      <w:tr w:rsidR="00F10AF1" w:rsidRPr="0013396E" w14:paraId="6A349C16"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A12FD13"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4583C2C7"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6AD43650" w14:textId="77777777" w:rsidR="00F10AF1" w:rsidRPr="0013396E" w:rsidRDefault="00F10AF1" w:rsidP="0099759E">
            <w:pPr>
              <w:pStyle w:val="tablebody0"/>
            </w:pPr>
            <w:r w:rsidRPr="0013396E">
              <w:t>A QSE.</w:t>
            </w:r>
          </w:p>
        </w:tc>
      </w:tr>
    </w:tbl>
    <w:p w14:paraId="01D7906B" w14:textId="77777777" w:rsidR="008871B2" w:rsidRPr="0013396E" w:rsidRDefault="008871B2" w:rsidP="008871B2">
      <w:pPr>
        <w:pStyle w:val="BodyText"/>
        <w:spacing w:after="0"/>
      </w:pPr>
    </w:p>
    <w:p w14:paraId="2762C128" w14:textId="230739FB" w:rsidR="00F10AF1" w:rsidRPr="0013396E" w:rsidRDefault="00F10AF1" w:rsidP="000B7133">
      <w:pPr>
        <w:pStyle w:val="H4"/>
      </w:pPr>
      <w:bookmarkStart w:id="2280" w:name="_Toc236220244"/>
      <w:r w:rsidRPr="0013396E">
        <w:t>6.7.</w:t>
      </w:r>
      <w:r w:rsidR="00A12B52" w:rsidRPr="0013396E">
        <w:t>2</w:t>
      </w:r>
      <w:r w:rsidRPr="0013396E">
        <w:t>.3</w:t>
      </w:r>
      <w:r w:rsidRPr="0013396E">
        <w:tab/>
        <w:t>Regulation Down Service Payments and Charges</w:t>
      </w:r>
      <w:bookmarkEnd w:id="2280"/>
    </w:p>
    <w:p w14:paraId="1298E08B" w14:textId="77777777" w:rsidR="00F10AF1" w:rsidRPr="0013396E" w:rsidRDefault="00F10AF1" w:rsidP="00F10AF1">
      <w:r w:rsidRPr="0013396E">
        <w:t>(1)</w:t>
      </w:r>
      <w:r w:rsidRPr="0013396E">
        <w:tab/>
        <w:t>Reg-Down Imbalance Payment or Charge:</w:t>
      </w:r>
    </w:p>
    <w:p w14:paraId="0DEAF324" w14:textId="77777777" w:rsidR="00F10AF1" w:rsidRPr="0013396E" w:rsidRDefault="00F10AF1" w:rsidP="00F10AF1">
      <w:pPr>
        <w:pStyle w:val="FormulaBold"/>
      </w:pPr>
      <w:r w:rsidRPr="0013396E">
        <w:t>RTRDIMBAMT</w:t>
      </w:r>
      <w:r w:rsidRPr="0013396E">
        <w:rPr>
          <w:i/>
          <w:vertAlign w:val="subscript"/>
        </w:rPr>
        <w:t xml:space="preserve"> q  </w:t>
      </w:r>
      <w:r w:rsidRPr="0013396E">
        <w:t xml:space="preserve">= </w:t>
      </w:r>
      <w:r w:rsidRPr="0013396E">
        <w:tab/>
        <w:t>(-1) * [</w:t>
      </w:r>
      <w:r w:rsidRPr="0013396E">
        <w:rPr>
          <w:position w:val="-18"/>
        </w:rPr>
        <w:object w:dxaOrig="285" w:dyaOrig="570" w14:anchorId="6441DC3C">
          <v:shape id="_x0000_i1278" type="#_x0000_t75" style="width:12pt;height:30pt" o:ole="">
            <v:imagedata r:id="rId136" o:title=""/>
          </v:shape>
          <o:OLEObject Type="Embed" ProgID="Equation.3" ShapeID="_x0000_i1278" DrawAspect="Content" ObjectID="_1849065907" r:id="rId356"/>
        </w:object>
      </w:r>
      <w:r w:rsidRPr="0013396E">
        <w:t>[</w:t>
      </w:r>
      <w:r w:rsidRPr="0013396E">
        <w:rPr>
          <w:rStyle w:val="BodyTextChar"/>
        </w:rPr>
        <w:t xml:space="preserve">RTRDREV </w:t>
      </w:r>
      <w:r w:rsidRPr="0013396E">
        <w:rPr>
          <w:i/>
          <w:vertAlign w:val="subscript"/>
        </w:rPr>
        <w:t xml:space="preserve">q, r </w:t>
      </w:r>
      <w:r w:rsidRPr="0013396E">
        <w:t>– (1/4) * (PCRDR</w:t>
      </w:r>
      <w:r w:rsidRPr="0013396E">
        <w:rPr>
          <w:i/>
        </w:rPr>
        <w:t xml:space="preserve"> </w:t>
      </w:r>
      <w:r w:rsidRPr="0013396E">
        <w:rPr>
          <w:i/>
          <w:vertAlign w:val="subscript"/>
        </w:rPr>
        <w:t>r, q, DAM</w:t>
      </w:r>
      <w:r w:rsidRPr="0013396E">
        <w:t xml:space="preserve"> * RTMCPCRD)] – (1/4) * (DASARDQ </w:t>
      </w:r>
      <w:r w:rsidRPr="0013396E">
        <w:rPr>
          <w:i/>
          <w:vertAlign w:val="subscript"/>
        </w:rPr>
        <w:t>q</w:t>
      </w:r>
      <w:r w:rsidRPr="0013396E">
        <w:t xml:space="preserve"> * RTMCPCRD) + (1/4) * (RDTP </w:t>
      </w:r>
      <w:r w:rsidRPr="0013396E">
        <w:rPr>
          <w:i/>
          <w:vertAlign w:val="subscript"/>
        </w:rPr>
        <w:t>q</w:t>
      </w:r>
      <w:r w:rsidRPr="0013396E">
        <w:t xml:space="preserve"> – RDTS </w:t>
      </w:r>
      <w:r w:rsidRPr="0013396E">
        <w:rPr>
          <w:i/>
          <w:vertAlign w:val="subscript"/>
        </w:rPr>
        <w:t>q</w:t>
      </w:r>
      <w:r w:rsidRPr="0013396E">
        <w:t>) * RTMCPCRD]</w:t>
      </w:r>
    </w:p>
    <w:p w14:paraId="097E59DD" w14:textId="77777777" w:rsidR="00F10AF1" w:rsidRPr="000B7133" w:rsidRDefault="00F10AF1" w:rsidP="00F10AF1">
      <w:pPr>
        <w:pStyle w:val="FormulaBold"/>
        <w:rPr>
          <w:b w:val="0"/>
          <w:bCs w:val="0"/>
        </w:rPr>
      </w:pPr>
      <w:r w:rsidRPr="000B7133">
        <w:rPr>
          <w:b w:val="0"/>
          <w:bCs w:val="0"/>
        </w:rPr>
        <w:t xml:space="preserve">Where:   </w:t>
      </w:r>
    </w:p>
    <w:p w14:paraId="4F4A2616" w14:textId="77777777" w:rsidR="00F10AF1" w:rsidRPr="000B7133" w:rsidRDefault="00F10AF1" w:rsidP="00F10AF1">
      <w:pPr>
        <w:pStyle w:val="FormulaBold"/>
        <w:rPr>
          <w:b w:val="0"/>
          <w:bCs w:val="0"/>
        </w:rPr>
      </w:pPr>
      <w:r w:rsidRPr="000B7133">
        <w:rPr>
          <w:rStyle w:val="BodyTextChar"/>
          <w:b w:val="0"/>
          <w:bCs w:val="0"/>
        </w:rPr>
        <w:t xml:space="preserve">RTRDREV </w:t>
      </w:r>
      <w:r w:rsidRPr="000B7133">
        <w:rPr>
          <w:b w:val="0"/>
          <w:bCs w:val="0"/>
          <w:i/>
          <w:vertAlign w:val="subscript"/>
        </w:rPr>
        <w:t xml:space="preserve">q, r </w:t>
      </w:r>
      <w:r w:rsidRPr="000B7133">
        <w:rPr>
          <w:b w:val="0"/>
          <w:bCs w:val="0"/>
          <w:i/>
        </w:rPr>
        <w:t xml:space="preserve"> =     </w:t>
      </w:r>
      <w:r w:rsidRPr="000B7133">
        <w:rPr>
          <w:b w:val="0"/>
          <w:bCs w:val="0"/>
        </w:rPr>
        <w:t>(1/4) * RTRDAWD</w:t>
      </w:r>
      <w:r w:rsidRPr="000B7133">
        <w:rPr>
          <w:b w:val="0"/>
          <w:bCs w:val="0"/>
          <w:i/>
          <w:vertAlign w:val="subscript"/>
        </w:rPr>
        <w:t xml:space="preserve"> q, r</w:t>
      </w:r>
      <w:r w:rsidRPr="000B7133">
        <w:rPr>
          <w:b w:val="0"/>
          <w:bCs w:val="0"/>
        </w:rPr>
        <w:t xml:space="preserve"> * RTMCPCRDR </w:t>
      </w:r>
      <w:r w:rsidRPr="000B7133">
        <w:rPr>
          <w:b w:val="0"/>
          <w:bCs w:val="0"/>
          <w:i/>
          <w:vertAlign w:val="subscript"/>
        </w:rPr>
        <w:t>q,</w:t>
      </w:r>
      <w:r w:rsidRPr="000B7133">
        <w:rPr>
          <w:b w:val="0"/>
          <w:bCs w:val="0"/>
          <w:i/>
        </w:rPr>
        <w:t xml:space="preserve"> </w:t>
      </w:r>
      <w:r w:rsidRPr="000B7133">
        <w:rPr>
          <w:b w:val="0"/>
          <w:bCs w:val="0"/>
          <w:i/>
          <w:vertAlign w:val="subscript"/>
        </w:rPr>
        <w:t>r</w:t>
      </w:r>
    </w:p>
    <w:p w14:paraId="6AA3F9AC" w14:textId="77777777" w:rsidR="00F10AF1" w:rsidRPr="000B7133" w:rsidRDefault="00F10AF1" w:rsidP="00F10AF1">
      <w:pPr>
        <w:pStyle w:val="FormulaBold"/>
        <w:rPr>
          <w:b w:val="0"/>
          <w:bCs w:val="0"/>
        </w:rPr>
      </w:pPr>
      <w:r w:rsidRPr="000B7133">
        <w:rPr>
          <w:b w:val="0"/>
          <w:bCs w:val="0"/>
        </w:rPr>
        <w:t xml:space="preserve">RTMCPCRDR </w:t>
      </w:r>
      <w:r w:rsidRPr="000B7133">
        <w:rPr>
          <w:b w:val="0"/>
          <w:bCs w:val="0"/>
          <w:i/>
          <w:vertAlign w:val="subscript"/>
        </w:rPr>
        <w:t>q, r</w:t>
      </w:r>
      <w:r w:rsidRPr="000B7133">
        <w:rPr>
          <w:b w:val="0"/>
          <w:bCs w:val="0"/>
          <w:i/>
        </w:rPr>
        <w:t xml:space="preserve">  = </w:t>
      </w:r>
      <w:r w:rsidRPr="007E0677">
        <w:rPr>
          <w:b w:val="0"/>
          <w:bCs w:val="0"/>
          <w:position w:val="-22"/>
        </w:rPr>
        <w:object w:dxaOrig="285" w:dyaOrig="285" w14:anchorId="4DAAD325">
          <v:shape id="_x0000_i1279" type="#_x0000_t75" style="width:30pt;height:30pt" o:ole="">
            <v:imagedata r:id="rId20" o:title=""/>
          </v:shape>
          <o:OLEObject Type="Embed" ProgID="Equation.3" ShapeID="_x0000_i1279" DrawAspect="Content" ObjectID="_1849065908" r:id="rId357"/>
        </w:object>
      </w:r>
      <w:r w:rsidRPr="000B7133">
        <w:rPr>
          <w:b w:val="0"/>
          <w:bCs w:val="0"/>
        </w:rPr>
        <w:t xml:space="preserve"> (RDRWF</w:t>
      </w:r>
      <w:r w:rsidRPr="000B7133">
        <w:rPr>
          <w:b w:val="0"/>
          <w:bCs w:val="0"/>
          <w:i/>
          <w:vertAlign w:val="subscript"/>
        </w:rPr>
        <w:t xml:space="preserve"> q, r, y</w:t>
      </w:r>
      <w:r w:rsidRPr="000B7133">
        <w:rPr>
          <w:b w:val="0"/>
          <w:bCs w:val="0"/>
        </w:rPr>
        <w:t xml:space="preserve"> * (RTMCPCRDS</w:t>
      </w:r>
      <w:r w:rsidRPr="000B7133">
        <w:rPr>
          <w:b w:val="0"/>
          <w:bCs w:val="0"/>
          <w:i/>
          <w:vertAlign w:val="subscript"/>
        </w:rPr>
        <w:t xml:space="preserve"> y</w:t>
      </w:r>
      <w:r w:rsidRPr="000B7133">
        <w:rPr>
          <w:b w:val="0"/>
          <w:bCs w:val="0"/>
        </w:rPr>
        <w:t xml:space="preserve"> + RTRDPARDS </w:t>
      </w:r>
      <w:r w:rsidRPr="000B7133">
        <w:rPr>
          <w:b w:val="0"/>
          <w:bCs w:val="0"/>
          <w:i/>
          <w:vertAlign w:val="subscript"/>
        </w:rPr>
        <w:t>y</w:t>
      </w:r>
      <w:r w:rsidRPr="000B7133">
        <w:rPr>
          <w:b w:val="0"/>
          <w:bCs w:val="0"/>
        </w:rPr>
        <w:t>))</w:t>
      </w:r>
    </w:p>
    <w:p w14:paraId="2FAE39F7" w14:textId="77777777" w:rsidR="00F10AF1" w:rsidRPr="000B7133" w:rsidRDefault="00F10AF1" w:rsidP="00F10AF1">
      <w:pPr>
        <w:pStyle w:val="FormulaBold"/>
        <w:rPr>
          <w:b w:val="0"/>
          <w:bCs w:val="0"/>
          <w:i/>
          <w:vertAlign w:val="subscript"/>
        </w:rPr>
      </w:pPr>
      <w:r w:rsidRPr="000B7133">
        <w:rPr>
          <w:b w:val="0"/>
          <w:bCs w:val="0"/>
        </w:rPr>
        <w:lastRenderedPageBreak/>
        <w:t>RTRDAWD</w:t>
      </w:r>
      <w:r w:rsidRPr="000B7133">
        <w:rPr>
          <w:b w:val="0"/>
          <w:bCs w:val="0"/>
          <w:i/>
          <w:vertAlign w:val="subscript"/>
        </w:rPr>
        <w:t xml:space="preserve"> q, r     </w:t>
      </w:r>
      <w:r w:rsidRPr="000B7133">
        <w:rPr>
          <w:b w:val="0"/>
          <w:bCs w:val="0"/>
        </w:rPr>
        <w:t xml:space="preserve">=  </w:t>
      </w:r>
      <w:r w:rsidRPr="007E0677">
        <w:rPr>
          <w:b w:val="0"/>
          <w:bCs w:val="0"/>
          <w:position w:val="-22"/>
        </w:rPr>
        <w:object w:dxaOrig="285" w:dyaOrig="285" w14:anchorId="2D731B1E">
          <v:shape id="_x0000_i1280" type="#_x0000_t75" style="width:30pt;height:30pt" o:ole="">
            <v:imagedata r:id="rId20" o:title=""/>
          </v:shape>
          <o:OLEObject Type="Embed" ProgID="Equation.3" ShapeID="_x0000_i1280" DrawAspect="Content" ObjectID="_1849065909" r:id="rId358"/>
        </w:object>
      </w:r>
      <w:r w:rsidRPr="000B7133">
        <w:rPr>
          <w:b w:val="0"/>
          <w:bCs w:val="0"/>
        </w:rPr>
        <w:t xml:space="preserve"> (RNWF </w:t>
      </w:r>
      <w:r w:rsidRPr="000B7133">
        <w:rPr>
          <w:b w:val="0"/>
          <w:bCs w:val="0"/>
          <w:i/>
          <w:vertAlign w:val="subscript"/>
        </w:rPr>
        <w:t>y</w:t>
      </w:r>
      <w:r w:rsidRPr="000B7133">
        <w:rPr>
          <w:b w:val="0"/>
          <w:bCs w:val="0"/>
          <w:vertAlign w:val="subscript"/>
        </w:rPr>
        <w:t xml:space="preserve"> </w:t>
      </w:r>
      <w:r w:rsidRPr="000B7133">
        <w:rPr>
          <w:b w:val="0"/>
          <w:bCs w:val="0"/>
        </w:rPr>
        <w:t>* RTRDAWDS</w:t>
      </w:r>
      <w:r w:rsidRPr="000B7133">
        <w:rPr>
          <w:b w:val="0"/>
          <w:bCs w:val="0"/>
          <w:i/>
          <w:vertAlign w:val="subscript"/>
        </w:rPr>
        <w:t xml:space="preserve"> q, r, y</w:t>
      </w:r>
      <w:r w:rsidRPr="000B7133">
        <w:rPr>
          <w:b w:val="0"/>
          <w:bCs w:val="0"/>
        </w:rPr>
        <w:t>)</w:t>
      </w:r>
    </w:p>
    <w:p w14:paraId="49F28395" w14:textId="77777777" w:rsidR="00F10AF1" w:rsidRPr="0013396E" w:rsidRDefault="00F10AF1" w:rsidP="00F10AF1">
      <w:pPr>
        <w:pStyle w:val="BodyTextNumbered"/>
        <w:ind w:left="0" w:firstLine="720"/>
      </w:pPr>
      <w:r w:rsidRPr="0013396E">
        <w:t>Where:</w:t>
      </w:r>
    </w:p>
    <w:p w14:paraId="77AED693" w14:textId="77777777" w:rsidR="00F10AF1" w:rsidRPr="0013396E" w:rsidRDefault="00F10AF1" w:rsidP="00F10AF1">
      <w:pPr>
        <w:pStyle w:val="NoSpacing"/>
        <w:spacing w:after="240"/>
      </w:pPr>
      <w:r w:rsidRPr="0013396E">
        <w:t xml:space="preserve">           RDRWF</w:t>
      </w:r>
      <w:r w:rsidRPr="0013396E">
        <w:rPr>
          <w:i/>
          <w:vertAlign w:val="subscript"/>
        </w:rPr>
        <w:t xml:space="preserve"> q, r, y</w:t>
      </w:r>
      <w:r w:rsidRPr="0013396E">
        <w:rPr>
          <w:vertAlign w:val="subscript"/>
        </w:rPr>
        <w:tab/>
        <w:t xml:space="preserve">  </w:t>
      </w:r>
      <w:r w:rsidRPr="0013396E">
        <w:t>=  [max(0.001, RTRDAWDS</w:t>
      </w:r>
      <w:r w:rsidRPr="0013396E">
        <w:rPr>
          <w:i/>
          <w:vertAlign w:val="subscript"/>
        </w:rPr>
        <w:t xml:space="preserve"> q, r, y</w:t>
      </w:r>
      <w:r w:rsidRPr="0013396E">
        <w:t>) * TLMP</w:t>
      </w:r>
      <w:r w:rsidRPr="0013396E">
        <w:rPr>
          <w:i/>
          <w:vertAlign w:val="subscript"/>
        </w:rPr>
        <w:t xml:space="preserve"> y</w:t>
      </w:r>
      <w:r w:rsidRPr="0013396E">
        <w:t>] / [</w:t>
      </w:r>
      <w:r w:rsidRPr="0013396E">
        <w:rPr>
          <w:b/>
          <w:position w:val="-22"/>
        </w:rPr>
        <w:object w:dxaOrig="285" w:dyaOrig="285" w14:anchorId="33E41E39">
          <v:shape id="_x0000_i1281" type="#_x0000_t75" style="width:30pt;height:30pt" o:ole="">
            <v:imagedata r:id="rId20" o:title=""/>
          </v:shape>
          <o:OLEObject Type="Embed" ProgID="Equation.3" ShapeID="_x0000_i1281" DrawAspect="Content" ObjectID="_1849065910" r:id="rId359"/>
        </w:object>
      </w:r>
      <w:r w:rsidRPr="0013396E">
        <w:t>max(0.001,</w:t>
      </w:r>
    </w:p>
    <w:p w14:paraId="096AB161" w14:textId="77777777" w:rsidR="00F10AF1" w:rsidRPr="0013396E" w:rsidRDefault="00F10AF1" w:rsidP="00F10AF1">
      <w:pPr>
        <w:pStyle w:val="NoSpacing"/>
        <w:spacing w:after="240"/>
        <w:ind w:firstLine="720"/>
        <w:rPr>
          <w:position w:val="-22"/>
        </w:rPr>
      </w:pPr>
      <w:r w:rsidRPr="0013396E">
        <w:t xml:space="preserve"> </w:t>
      </w:r>
      <w:r w:rsidRPr="0013396E">
        <w:tab/>
      </w:r>
      <w:r w:rsidRPr="0013396E">
        <w:tab/>
        <w:t xml:space="preserve">      RTRDAWDS</w:t>
      </w:r>
      <w:r w:rsidRPr="0013396E">
        <w:rPr>
          <w:i/>
          <w:vertAlign w:val="subscript"/>
        </w:rPr>
        <w:t xml:space="preserve"> q, r, y</w:t>
      </w:r>
      <w:r w:rsidRPr="0013396E">
        <w:t>) * TLMP</w:t>
      </w:r>
      <w:r w:rsidRPr="0013396E">
        <w:rPr>
          <w:i/>
          <w:vertAlign w:val="subscript"/>
        </w:rPr>
        <w:t xml:space="preserve"> y</w:t>
      </w:r>
      <w:r w:rsidRPr="0013396E">
        <w:t>]</w:t>
      </w:r>
    </w:p>
    <w:p w14:paraId="5D237FF9" w14:textId="77777777" w:rsidR="00F10AF1" w:rsidRPr="0013396E" w:rsidRDefault="00F10AF1" w:rsidP="00F10AF1">
      <w:pPr>
        <w:spacing w:after="240"/>
        <w:ind w:firstLine="720"/>
      </w:pPr>
      <w:r w:rsidRPr="0013396E">
        <w:t>And:</w:t>
      </w:r>
    </w:p>
    <w:p w14:paraId="35F153F7" w14:textId="77777777" w:rsidR="00F10AF1" w:rsidRPr="0013396E" w:rsidRDefault="00F10AF1" w:rsidP="00F10AF1">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szCs w:val="24"/>
        </w:rPr>
        <w:object w:dxaOrig="285" w:dyaOrig="285" w14:anchorId="51683FC1">
          <v:shape id="_x0000_i1282" type="#_x0000_t75" style="width:30pt;height:30pt" o:ole="">
            <v:imagedata r:id="rId20" o:title=""/>
          </v:shape>
          <o:OLEObject Type="Embed" ProgID="Equation.3" ShapeID="_x0000_i1282" DrawAspect="Content" ObjectID="_1849065911" r:id="rId360"/>
        </w:object>
      </w:r>
      <w:r w:rsidRPr="0013396E">
        <w:t xml:space="preserve">TLMP </w:t>
      </w:r>
      <w:r w:rsidRPr="0013396E">
        <w:rPr>
          <w:i/>
          <w:vertAlign w:val="subscript"/>
        </w:rPr>
        <w:t>y</w:t>
      </w:r>
    </w:p>
    <w:p w14:paraId="062F02C6"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03B9970B"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548A29D0"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53730021"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7DD8DD95" w14:textId="77777777" w:rsidR="00F10AF1" w:rsidRPr="0013396E" w:rsidRDefault="00F10AF1" w:rsidP="0099759E">
            <w:pPr>
              <w:pStyle w:val="TableHead"/>
            </w:pPr>
            <w:r w:rsidRPr="0013396E">
              <w:t>Description</w:t>
            </w:r>
          </w:p>
        </w:tc>
      </w:tr>
      <w:tr w:rsidR="00F10AF1" w:rsidRPr="0013396E" w14:paraId="7CD0B04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1E4227E" w14:textId="77777777" w:rsidR="00F10AF1" w:rsidRPr="0013396E" w:rsidRDefault="00F10AF1" w:rsidP="0099759E">
            <w:pPr>
              <w:pStyle w:val="tablebody0"/>
            </w:pPr>
            <w:r w:rsidRPr="0013396E">
              <w:t xml:space="preserve">RTRDIMBAMT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280BF6AB"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6E02CF1E" w14:textId="77777777" w:rsidR="00F10AF1" w:rsidRPr="0013396E" w:rsidRDefault="00F10AF1" w:rsidP="0099759E">
            <w:pPr>
              <w:pStyle w:val="tablebody0"/>
              <w:rPr>
                <w:i/>
              </w:rPr>
            </w:pPr>
            <w:r w:rsidRPr="0013396E">
              <w:rPr>
                <w:i/>
              </w:rPr>
              <w:t>Real-Time Reg-Down Imbalance Amount for the QSE</w:t>
            </w:r>
            <w:r w:rsidRPr="0013396E">
              <w:t xml:space="preserve">—The total payment or charge to QSE </w:t>
            </w:r>
            <w:r w:rsidRPr="0013396E">
              <w:rPr>
                <w:i/>
              </w:rPr>
              <w:t>q</w:t>
            </w:r>
            <w:r w:rsidRPr="0013396E">
              <w:t xml:space="preserve"> for the Real-Time Reg-Down imbalance for each 15-minute Settlement Interval.</w:t>
            </w:r>
          </w:p>
        </w:tc>
      </w:tr>
      <w:tr w:rsidR="00F10AF1" w:rsidRPr="0013396E" w14:paraId="111F951C"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D08644B" w14:textId="77777777" w:rsidR="00F10AF1" w:rsidRPr="0013396E" w:rsidRDefault="00F10AF1" w:rsidP="0099759E">
            <w:pPr>
              <w:pStyle w:val="tablebody0"/>
            </w:pPr>
            <w:r w:rsidRPr="0013396E">
              <w:t>RTRDAWD</w:t>
            </w:r>
            <w:r w:rsidRPr="0013396E">
              <w:rPr>
                <w:vertAlign w:val="subscript"/>
              </w:rPr>
              <w:t xml:space="preserve">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75FC87D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73F4CB13" w14:textId="77777777" w:rsidR="00F10AF1" w:rsidRPr="0013396E" w:rsidRDefault="00F10AF1" w:rsidP="0099759E">
            <w:pPr>
              <w:pStyle w:val="tablebody0"/>
              <w:rPr>
                <w:i/>
              </w:rPr>
            </w:pPr>
            <w:r w:rsidRPr="0013396E">
              <w:rPr>
                <w:i/>
              </w:rPr>
              <w:t>Real-Time Reg-Down Award per Resource per QSE</w:t>
            </w:r>
            <w:r w:rsidRPr="0013396E">
              <w:rPr>
                <w:iCs/>
              </w:rPr>
              <w:t>—</w:t>
            </w:r>
            <w:r w:rsidRPr="0013396E">
              <w:t xml:space="preserve">The Reg-Down amount awarded to QSE </w:t>
            </w:r>
            <w:r w:rsidRPr="0013396E">
              <w:rPr>
                <w:i/>
              </w:rPr>
              <w:t>q</w:t>
            </w:r>
            <w:r w:rsidRPr="0013396E">
              <w:t xml:space="preserve"> for Resource </w:t>
            </w:r>
            <w:r w:rsidRPr="0013396E">
              <w:rPr>
                <w:i/>
              </w:rPr>
              <w:t>r</w:t>
            </w:r>
            <w:r w:rsidRPr="0013396E">
              <w:t xml:space="preserve"> in Real-Time </w:t>
            </w:r>
            <w:r w:rsidRPr="0013396E">
              <w:rPr>
                <w:szCs w:val="18"/>
              </w:rPr>
              <w:t xml:space="preserve">for </w:t>
            </w:r>
            <w:r w:rsidRPr="0013396E">
              <w:t xml:space="preserve">the 15-minute Settlement Interval.  Where for a Combined Cycle Train, the Resource </w:t>
            </w:r>
            <w:r w:rsidRPr="0013396E">
              <w:rPr>
                <w:i/>
              </w:rPr>
              <w:t xml:space="preserve">r </w:t>
            </w:r>
            <w:r w:rsidRPr="0013396E">
              <w:t>is the Combined Cycle Train.</w:t>
            </w:r>
          </w:p>
        </w:tc>
      </w:tr>
      <w:tr w:rsidR="00F10AF1" w:rsidRPr="0013396E" w14:paraId="645D032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3A81ABB" w14:textId="77777777" w:rsidR="00F10AF1" w:rsidRPr="0013396E" w:rsidRDefault="00F10AF1" w:rsidP="0099759E">
            <w:pPr>
              <w:pStyle w:val="tablebody0"/>
            </w:pPr>
            <w:r w:rsidRPr="0013396E">
              <w:t xml:space="preserve">RTRDREV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63163D51"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673B2DE8" w14:textId="77777777" w:rsidR="00F10AF1" w:rsidRPr="0013396E" w:rsidRDefault="00F10AF1" w:rsidP="0099759E">
            <w:pPr>
              <w:pStyle w:val="tablebody0"/>
            </w:pPr>
            <w:r w:rsidRPr="0013396E">
              <w:rPr>
                <w:i/>
              </w:rPr>
              <w:t>Real-Time Reg-Down Revenue</w:t>
            </w:r>
            <w:r w:rsidRPr="0013396E">
              <w:t xml:space="preserve">—The Real-Time Reg-Down revenue for QSE </w:t>
            </w:r>
            <w:r w:rsidRPr="0013396E">
              <w:rPr>
                <w:i/>
              </w:rPr>
              <w:t xml:space="preserve">q </w:t>
            </w:r>
            <w:r w:rsidRPr="0013396E">
              <w:t xml:space="preserve">calculated for Resource </w:t>
            </w:r>
            <w:r w:rsidRPr="0013396E">
              <w:rPr>
                <w:i/>
              </w:rPr>
              <w:t>r</w:t>
            </w:r>
            <w:r w:rsidRPr="0013396E">
              <w:t xml:space="preserve"> for the 15-minute Settlement Interval.  Where for a Combined Cycle Train, the Resource </w:t>
            </w:r>
            <w:r w:rsidRPr="0013396E">
              <w:rPr>
                <w:i/>
              </w:rPr>
              <w:t>r</w:t>
            </w:r>
            <w:r w:rsidRPr="0013396E">
              <w:t xml:space="preserve"> is the Combined Cycle Train.</w:t>
            </w:r>
          </w:p>
        </w:tc>
      </w:tr>
      <w:tr w:rsidR="00F10AF1" w:rsidRPr="0013396E" w14:paraId="7E2EFA6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F4FFD1C" w14:textId="77777777" w:rsidR="00F10AF1" w:rsidRPr="0013396E" w:rsidRDefault="00F10AF1" w:rsidP="0099759E">
            <w:pPr>
              <w:pStyle w:val="tablebody0"/>
            </w:pPr>
            <w:r w:rsidRPr="0013396E">
              <w:t>RTRDAWDS</w:t>
            </w:r>
            <w:r w:rsidRPr="0013396E">
              <w:rPr>
                <w:vertAlign w:val="subscript"/>
              </w:rPr>
              <w:t xml:space="preserve">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1AAE0F9D"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299B7DA" w14:textId="77777777" w:rsidR="00F10AF1" w:rsidRPr="0013396E" w:rsidRDefault="00F10AF1" w:rsidP="0099759E">
            <w:pPr>
              <w:pStyle w:val="tablebody0"/>
              <w:rPr>
                <w:i/>
              </w:rPr>
            </w:pPr>
            <w:r w:rsidRPr="0013396E">
              <w:rPr>
                <w:i/>
              </w:rPr>
              <w:t>Real-Time Reg-Down Award per Resource per QSE per SCED interval</w:t>
            </w:r>
            <w:r w:rsidRPr="0013396E">
              <w:rPr>
                <w:iCs/>
              </w:rPr>
              <w:t>—</w:t>
            </w:r>
            <w:r w:rsidRPr="0013396E">
              <w:t xml:space="preserve">The Reg-Down Amount awarded to QSE </w:t>
            </w:r>
            <w:r w:rsidRPr="0013396E">
              <w:rPr>
                <w:i/>
              </w:rPr>
              <w:t>q</w:t>
            </w:r>
            <w:r w:rsidRPr="0013396E">
              <w:t xml:space="preserve"> for Resource </w:t>
            </w:r>
            <w:r w:rsidRPr="0013396E">
              <w:rPr>
                <w:i/>
              </w:rPr>
              <w:t>r</w:t>
            </w:r>
            <w:r w:rsidRPr="0013396E">
              <w:t xml:space="preserve"> in Real-Time for the SCED interval </w:t>
            </w:r>
            <w:r w:rsidRPr="0013396E">
              <w:rPr>
                <w:i/>
              </w:rPr>
              <w:t xml:space="preserve">y.  </w:t>
            </w:r>
            <w:r w:rsidRPr="0013396E">
              <w:t xml:space="preserve">Where for a Combined Cycle Train, the Resource </w:t>
            </w:r>
            <w:r w:rsidRPr="0013396E">
              <w:rPr>
                <w:i/>
              </w:rPr>
              <w:t xml:space="preserve">r </w:t>
            </w:r>
            <w:r w:rsidRPr="0013396E">
              <w:t>is a Combined Cycle Generation Resource within the Combined Cycle Train.</w:t>
            </w:r>
          </w:p>
        </w:tc>
      </w:tr>
      <w:tr w:rsidR="00F10AF1" w:rsidRPr="0013396E" w14:paraId="6881262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B4994A3" w14:textId="77777777" w:rsidR="00F10AF1" w:rsidRPr="0013396E" w:rsidRDefault="00F10AF1" w:rsidP="0099759E">
            <w:pPr>
              <w:pStyle w:val="tablebody0"/>
            </w:pPr>
            <w:r w:rsidRPr="0013396E">
              <w:t xml:space="preserve">RTMCPCRDR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00D83338"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0131A485" w14:textId="77777777" w:rsidR="00F10AF1" w:rsidRPr="0013396E" w:rsidRDefault="00F10AF1" w:rsidP="0099759E">
            <w:pPr>
              <w:pStyle w:val="tablebody0"/>
              <w:rPr>
                <w:iCs/>
              </w:rPr>
            </w:pPr>
            <w:r w:rsidRPr="0013396E">
              <w:rPr>
                <w:i/>
              </w:rPr>
              <w:t>Real-Time Market Clearing Price for Capacity for Reg-Down per Resource per QSE</w:t>
            </w:r>
            <w:r w:rsidRPr="0013396E">
              <w:sym w:font="Symbol" w:char="F0BE"/>
            </w:r>
            <w:r w:rsidRPr="0013396E">
              <w:t xml:space="preserve">The Real-Time MCPC for Reg-Down for Resource </w:t>
            </w:r>
            <w:r w:rsidRPr="0013396E">
              <w:rPr>
                <w:i/>
              </w:rPr>
              <w:t>r</w:t>
            </w:r>
            <w:r w:rsidRPr="0013396E">
              <w:t xml:space="preserve">, represented by QSE </w:t>
            </w:r>
            <w:r w:rsidRPr="0013396E">
              <w:rPr>
                <w:i/>
              </w:rPr>
              <w:t xml:space="preserve">q </w:t>
            </w:r>
            <w:r w:rsidRPr="0013396E">
              <w:t xml:space="preserve">for the 15-minute Settlement Interval.  Where for a Combined Cycle Train, the Resource </w:t>
            </w:r>
            <w:r w:rsidRPr="0013396E">
              <w:rPr>
                <w:i/>
              </w:rPr>
              <w:t>r</w:t>
            </w:r>
            <w:r w:rsidRPr="0013396E">
              <w:t xml:space="preserve"> is the Combined Cycle Train.</w:t>
            </w:r>
          </w:p>
        </w:tc>
      </w:tr>
      <w:tr w:rsidR="00F10AF1" w:rsidRPr="0013396E" w14:paraId="5EFA61F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DA0C4F2" w14:textId="77777777" w:rsidR="00F10AF1" w:rsidRPr="0013396E" w:rsidRDefault="00F10AF1" w:rsidP="0099759E">
            <w:pPr>
              <w:pStyle w:val="tablebody0"/>
            </w:pPr>
            <w:r w:rsidRPr="0013396E">
              <w:t>RTMCPCRDS</w:t>
            </w:r>
            <w:r w:rsidRPr="0013396E">
              <w:rPr>
                <w:i/>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5BB05A4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784DC0B" w14:textId="77777777" w:rsidR="00F10AF1" w:rsidRPr="0013396E" w:rsidRDefault="00F10AF1" w:rsidP="0099759E">
            <w:pPr>
              <w:pStyle w:val="tablebody0"/>
              <w:rPr>
                <w:i/>
              </w:rPr>
            </w:pPr>
            <w:r w:rsidRPr="0013396E">
              <w:rPr>
                <w:i/>
              </w:rPr>
              <w:t>Real-Time Market Clearing Price for Capacity for Reg-Down per SCED interval</w:t>
            </w:r>
            <w:r w:rsidRPr="0013396E">
              <w:rPr>
                <w:iCs/>
              </w:rPr>
              <w:t>—</w:t>
            </w:r>
            <w:r w:rsidRPr="0013396E">
              <w:t xml:space="preserve">The Real-Time MCPC for Reg-Down for the SCED interval </w:t>
            </w:r>
            <w:r w:rsidRPr="0013396E">
              <w:rPr>
                <w:i/>
              </w:rPr>
              <w:t>y.</w:t>
            </w:r>
          </w:p>
        </w:tc>
      </w:tr>
      <w:tr w:rsidR="00F10AF1" w:rsidRPr="0013396E" w14:paraId="76FA65B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68C537C" w14:textId="77777777" w:rsidR="00F10AF1" w:rsidRPr="0013396E" w:rsidRDefault="00F10AF1" w:rsidP="0099759E">
            <w:pPr>
              <w:pStyle w:val="tablebody0"/>
            </w:pPr>
            <w:r w:rsidRPr="0013396E">
              <w:t xml:space="preserve">PCRDR </w:t>
            </w:r>
            <w:r w:rsidRPr="0013396E">
              <w:rPr>
                <w:i/>
                <w:vertAlign w:val="subscript"/>
              </w:rPr>
              <w:t>r,</w:t>
            </w:r>
            <w:r w:rsidRPr="0013396E">
              <w:rPr>
                <w:i/>
              </w:rPr>
              <w:t xml:space="preserve"> </w:t>
            </w:r>
            <w:r w:rsidRPr="0013396E">
              <w:rPr>
                <w:i/>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106B9C55"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0B592C05" w14:textId="77777777" w:rsidR="00F10AF1" w:rsidRPr="0013396E" w:rsidRDefault="00F10AF1" w:rsidP="0099759E">
            <w:pPr>
              <w:pStyle w:val="tablebody0"/>
              <w:rPr>
                <w:i/>
              </w:rPr>
            </w:pPr>
            <w:r w:rsidRPr="0013396E">
              <w:rPr>
                <w:i/>
              </w:rPr>
              <w:t>Procured Capacity for Reg-Down per Resource per QSE in DAM</w:t>
            </w:r>
            <w:r w:rsidRPr="0013396E">
              <w:t xml:space="preserve">—The Reg-Down capacity awarded to QSE </w:t>
            </w:r>
            <w:r w:rsidRPr="0013396E">
              <w:rPr>
                <w:i/>
              </w:rPr>
              <w:t>q</w:t>
            </w:r>
            <w:r w:rsidRPr="0013396E">
              <w:t xml:space="preserve"> in the DAM for Resource </w:t>
            </w:r>
            <w:r w:rsidRPr="0013396E">
              <w:rPr>
                <w:i/>
              </w:rPr>
              <w:t>r</w:t>
            </w:r>
            <w:r w:rsidRPr="0013396E">
              <w:t xml:space="preserve"> for the </w:t>
            </w:r>
            <w:r w:rsidRPr="0013396E">
              <w:rPr>
                <w:szCs w:val="18"/>
              </w:rPr>
              <w:t>Operating Hour</w:t>
            </w:r>
            <w:r w:rsidRPr="0013396E">
              <w:t xml:space="preserve">.  Where for a Combined Cycle Train, the Resource </w:t>
            </w:r>
            <w:r w:rsidRPr="0013396E">
              <w:rPr>
                <w:i/>
              </w:rPr>
              <w:t xml:space="preserve">r </w:t>
            </w:r>
            <w:r w:rsidRPr="0013396E">
              <w:t>is a Combined Cycle Generation Resource within the Combined Cycle Train.</w:t>
            </w:r>
          </w:p>
        </w:tc>
      </w:tr>
      <w:tr w:rsidR="00F10AF1" w:rsidRPr="0013396E" w14:paraId="28945C5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F1C7278" w14:textId="77777777" w:rsidR="00F10AF1" w:rsidRPr="0013396E" w:rsidRDefault="00F10AF1" w:rsidP="0099759E">
            <w:pPr>
              <w:pStyle w:val="tablebody0"/>
            </w:pPr>
            <w:r w:rsidRPr="0013396E">
              <w:t>RTMCPCRD</w:t>
            </w:r>
          </w:p>
        </w:tc>
        <w:tc>
          <w:tcPr>
            <w:tcW w:w="623" w:type="pct"/>
            <w:tcBorders>
              <w:top w:val="single" w:sz="4" w:space="0" w:color="auto"/>
              <w:left w:val="single" w:sz="4" w:space="0" w:color="auto"/>
              <w:bottom w:val="single" w:sz="4" w:space="0" w:color="auto"/>
              <w:right w:val="single" w:sz="4" w:space="0" w:color="auto"/>
            </w:tcBorders>
            <w:hideMark/>
          </w:tcPr>
          <w:p w14:paraId="01605BE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8B2A5ED" w14:textId="77777777" w:rsidR="00F10AF1" w:rsidRPr="0013396E" w:rsidRDefault="00F10AF1" w:rsidP="0099759E">
            <w:pPr>
              <w:pStyle w:val="tablebody0"/>
              <w:rPr>
                <w:i/>
              </w:rPr>
            </w:pPr>
            <w:r w:rsidRPr="0013396E">
              <w:rPr>
                <w:i/>
              </w:rPr>
              <w:t>Real-Time Market Clearing Price for Capacity for Reg-Down</w:t>
            </w:r>
            <w:r w:rsidRPr="0013396E">
              <w:rPr>
                <w:iCs/>
              </w:rPr>
              <w:t>—</w:t>
            </w:r>
            <w:r w:rsidRPr="0013396E">
              <w:t>The Real-Time MCPC for Reg-Down for the 15-minute Settlement Interval.</w:t>
            </w:r>
          </w:p>
        </w:tc>
      </w:tr>
      <w:tr w:rsidR="00F10AF1" w:rsidRPr="0013396E" w14:paraId="5E3DD6B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EA7B32C" w14:textId="77777777" w:rsidR="00F10AF1" w:rsidRPr="0013396E" w:rsidRDefault="00F10AF1" w:rsidP="0099759E">
            <w:pPr>
              <w:pStyle w:val="tablebody0"/>
            </w:pPr>
            <w:r w:rsidRPr="0013396E">
              <w:lastRenderedPageBreak/>
              <w:t xml:space="preserve">RTRDPARDS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62918DF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04FFA3DC" w14:textId="77777777" w:rsidR="00F10AF1" w:rsidRPr="0013396E" w:rsidRDefault="00F10AF1" w:rsidP="0099759E">
            <w:pPr>
              <w:pStyle w:val="tablebody0"/>
              <w:rPr>
                <w:i/>
              </w:rPr>
            </w:pPr>
            <w:r w:rsidRPr="0013396E">
              <w:rPr>
                <w:i/>
                <w:szCs w:val="18"/>
              </w:rPr>
              <w:t xml:space="preserve">Real-Time </w:t>
            </w:r>
            <w:r w:rsidRPr="0013396E">
              <w:rPr>
                <w:i/>
              </w:rPr>
              <w:t xml:space="preserve">Reliability Deployment Price Adder </w:t>
            </w:r>
            <w:r w:rsidRPr="0013396E">
              <w:rPr>
                <w:i/>
                <w:szCs w:val="18"/>
              </w:rPr>
              <w:t xml:space="preserve">for Ancillary Service for Reg-Down </w:t>
            </w:r>
            <w:r w:rsidRPr="0013396E">
              <w:rPr>
                <w:i/>
              </w:rPr>
              <w:t>per SCED interval</w:t>
            </w:r>
            <w:r w:rsidRPr="0013396E">
              <w:rPr>
                <w:iCs/>
              </w:rPr>
              <w:t>—</w:t>
            </w:r>
            <w:r w:rsidRPr="0013396E">
              <w:t xml:space="preserve">The Real-Time price adder for Reg-Down that captures the impact of reliability deployments on Reg-Down prices for the SCED interval </w:t>
            </w:r>
            <w:r w:rsidRPr="0013396E">
              <w:rPr>
                <w:i/>
              </w:rPr>
              <w:t>y</w:t>
            </w:r>
            <w:r w:rsidRPr="0013396E">
              <w:t>.</w:t>
            </w:r>
          </w:p>
        </w:tc>
      </w:tr>
      <w:tr w:rsidR="00F10AF1" w:rsidRPr="0013396E" w14:paraId="7CADF06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562C8E8" w14:textId="77777777" w:rsidR="00F10AF1" w:rsidRPr="0013396E" w:rsidRDefault="00F10AF1" w:rsidP="0099759E">
            <w:pPr>
              <w:pStyle w:val="tablebody0"/>
            </w:pPr>
            <w:r w:rsidRPr="0013396E">
              <w:t>DASARDQ</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39C2160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5D377F5" w14:textId="77777777" w:rsidR="00F10AF1" w:rsidRPr="0013396E" w:rsidRDefault="00F10AF1" w:rsidP="0099759E">
            <w:pPr>
              <w:pStyle w:val="tablebody0"/>
              <w:rPr>
                <w:i/>
              </w:rPr>
            </w:pPr>
            <w:r w:rsidRPr="0013396E">
              <w:rPr>
                <w:i/>
                <w:iCs/>
              </w:rPr>
              <w:t>Day-Ahead Self-Arranged Reg-Down Quantity per QSE</w:t>
            </w:r>
            <w:r w:rsidRPr="0013396E">
              <w:rPr>
                <w:iCs/>
              </w:rPr>
              <w:t xml:space="preserve">—The self-arranged Reg-Down quantity submitted by QSE </w:t>
            </w:r>
            <w:r w:rsidRPr="0013396E">
              <w:rPr>
                <w:i/>
                <w:iCs/>
              </w:rPr>
              <w:t>q</w:t>
            </w:r>
            <w:r w:rsidRPr="0013396E">
              <w:rPr>
                <w:iCs/>
              </w:rPr>
              <w:t xml:space="preserve"> before 1000 in the DAM for the Operating Hour.</w:t>
            </w:r>
          </w:p>
        </w:tc>
      </w:tr>
      <w:tr w:rsidR="00F10AF1" w:rsidRPr="0013396E" w14:paraId="7D6301E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7ECB008" w14:textId="77777777" w:rsidR="00F10AF1" w:rsidRPr="0013396E" w:rsidRDefault="00F10AF1" w:rsidP="0099759E">
            <w:pPr>
              <w:pStyle w:val="tablebody0"/>
            </w:pPr>
            <w:r w:rsidRPr="0013396E">
              <w:t xml:space="preserve">RDTP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E29EC4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79599982" w14:textId="77777777" w:rsidR="00F10AF1" w:rsidRPr="0013396E" w:rsidRDefault="00F10AF1" w:rsidP="0099759E">
            <w:pPr>
              <w:pStyle w:val="tablebody0"/>
              <w:rPr>
                <w:i/>
              </w:rPr>
            </w:pPr>
            <w:r w:rsidRPr="0013396E">
              <w:rPr>
                <w:i/>
              </w:rPr>
              <w:t>Trade Purchases for Reg-Down for the QSE</w:t>
            </w:r>
            <w:r w:rsidRPr="0013396E">
              <w:t>—</w:t>
            </w:r>
            <w:r w:rsidRPr="0013396E">
              <w:rPr>
                <w:szCs w:val="18"/>
              </w:rPr>
              <w:t xml:space="preserve">The trade purchases for QSE </w:t>
            </w:r>
            <w:r w:rsidRPr="0013396E">
              <w:rPr>
                <w:i/>
                <w:szCs w:val="18"/>
              </w:rPr>
              <w:t>q</w:t>
            </w:r>
            <w:r w:rsidRPr="0013396E">
              <w:rPr>
                <w:szCs w:val="18"/>
              </w:rPr>
              <w:t xml:space="preserve"> for Reg-Down for the Operating Hour.</w:t>
            </w:r>
          </w:p>
        </w:tc>
      </w:tr>
      <w:tr w:rsidR="00F10AF1" w:rsidRPr="0013396E" w14:paraId="5A407F0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A4C76CC" w14:textId="77777777" w:rsidR="00F10AF1" w:rsidRPr="0013396E" w:rsidRDefault="00F10AF1" w:rsidP="0099759E">
            <w:pPr>
              <w:pStyle w:val="tablebody0"/>
            </w:pPr>
            <w:r w:rsidRPr="0013396E">
              <w:t xml:space="preserve">RDTS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2764A66"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F11002C" w14:textId="77777777" w:rsidR="00F10AF1" w:rsidRPr="0013396E" w:rsidRDefault="00F10AF1" w:rsidP="0099759E">
            <w:pPr>
              <w:pStyle w:val="tablebody0"/>
              <w:rPr>
                <w:i/>
              </w:rPr>
            </w:pPr>
            <w:r w:rsidRPr="0013396E">
              <w:rPr>
                <w:i/>
              </w:rPr>
              <w:t>Trade Sales for Reg-Down for the QSE</w:t>
            </w:r>
            <w:r w:rsidRPr="0013396E">
              <w:t>—</w:t>
            </w:r>
            <w:r w:rsidRPr="0013396E">
              <w:rPr>
                <w:szCs w:val="18"/>
              </w:rPr>
              <w:t xml:space="preserve">The trade sales for QSE </w:t>
            </w:r>
            <w:r w:rsidRPr="0013396E">
              <w:rPr>
                <w:i/>
                <w:szCs w:val="18"/>
              </w:rPr>
              <w:t>q</w:t>
            </w:r>
            <w:r w:rsidRPr="0013396E">
              <w:rPr>
                <w:szCs w:val="18"/>
              </w:rPr>
              <w:t xml:space="preserve"> for Reg-Down for the Operating Hour.</w:t>
            </w:r>
          </w:p>
        </w:tc>
      </w:tr>
      <w:tr w:rsidR="00F10AF1" w:rsidRPr="0013396E" w14:paraId="373411C6"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755668F" w14:textId="77777777" w:rsidR="00F10AF1" w:rsidRPr="0013396E" w:rsidRDefault="00F10AF1" w:rsidP="0099759E">
            <w:pPr>
              <w:pStyle w:val="tablebody0"/>
            </w:pPr>
            <w:r w:rsidRPr="0013396E">
              <w:t xml:space="preserve">TLMP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224C7F4D" w14:textId="77777777" w:rsidR="00F10AF1" w:rsidRPr="0013396E" w:rsidRDefault="00F10AF1" w:rsidP="0099759E">
            <w:pPr>
              <w:pStyle w:val="tablebody0"/>
            </w:pPr>
            <w:r w:rsidRPr="0013396E">
              <w:t>second</w:t>
            </w:r>
          </w:p>
        </w:tc>
        <w:tc>
          <w:tcPr>
            <w:tcW w:w="3098" w:type="pct"/>
            <w:tcBorders>
              <w:top w:val="single" w:sz="4" w:space="0" w:color="auto"/>
              <w:left w:val="single" w:sz="4" w:space="0" w:color="auto"/>
              <w:bottom w:val="single" w:sz="4" w:space="0" w:color="auto"/>
              <w:right w:val="single" w:sz="4" w:space="0" w:color="auto"/>
            </w:tcBorders>
            <w:hideMark/>
          </w:tcPr>
          <w:p w14:paraId="6BBC707B" w14:textId="77777777" w:rsidR="00F10AF1" w:rsidRPr="0013396E" w:rsidRDefault="00F10AF1" w:rsidP="0099759E">
            <w:pPr>
              <w:pStyle w:val="tablebody0"/>
              <w:rPr>
                <w:i/>
              </w:rPr>
            </w:pPr>
            <w:r w:rsidRPr="0013396E">
              <w:rPr>
                <w:i/>
                <w:iCs/>
              </w:rPr>
              <w:t xml:space="preserve">Duration of </w:t>
            </w:r>
            <w:r w:rsidRPr="0013396E">
              <w:rPr>
                <w:i/>
              </w:rPr>
              <w:t>SCED</w:t>
            </w:r>
            <w:r w:rsidRPr="0013396E">
              <w:rPr>
                <w:i/>
                <w:iCs/>
              </w:rPr>
              <w:t xml:space="preserve"> interval per interval</w:t>
            </w:r>
            <w:r w:rsidRPr="0013396E">
              <w:rPr>
                <w:iCs/>
              </w:rPr>
              <w:t>—</w:t>
            </w:r>
            <w:r w:rsidRPr="0013396E">
              <w:t xml:space="preserve">The duration of the SCED interval </w:t>
            </w:r>
            <w:r w:rsidRPr="0013396E">
              <w:rPr>
                <w:i/>
                <w:iCs/>
              </w:rPr>
              <w:t>y</w:t>
            </w:r>
            <w:r w:rsidRPr="0013396E">
              <w:t>.</w:t>
            </w:r>
          </w:p>
        </w:tc>
      </w:tr>
      <w:tr w:rsidR="00F10AF1" w:rsidRPr="0013396E" w14:paraId="383BA17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39AB2C4" w14:textId="77777777" w:rsidR="00F10AF1" w:rsidRPr="0013396E" w:rsidRDefault="00F10AF1" w:rsidP="0099759E">
            <w:pPr>
              <w:pStyle w:val="tablebody0"/>
            </w:pPr>
            <w:r w:rsidRPr="0013396E">
              <w:t xml:space="preserve">RNWF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40C9013D"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7A415A8C" w14:textId="77777777" w:rsidR="00F10AF1" w:rsidRPr="0013396E" w:rsidRDefault="00F10AF1" w:rsidP="0099759E">
            <w:pPr>
              <w:pStyle w:val="tablebody0"/>
              <w:rPr>
                <w:i/>
              </w:rPr>
            </w:pPr>
            <w:r w:rsidRPr="0013396E">
              <w:rPr>
                <w:i/>
              </w:rPr>
              <w:t>Resource Node Weighting Factor per interval</w:t>
            </w:r>
            <w:r w:rsidRPr="0013396E">
              <w:rPr>
                <w:iCs/>
              </w:rPr>
              <w:t>—</w:t>
            </w:r>
            <w:r w:rsidRPr="0013396E">
              <w:t xml:space="preserve">The weight used in the Ancillary Service award calculation for the portion of the SCED interval </w:t>
            </w:r>
            <w:r w:rsidRPr="0013396E">
              <w:rPr>
                <w:i/>
                <w:iCs/>
              </w:rPr>
              <w:t>y</w:t>
            </w:r>
            <w:r w:rsidRPr="0013396E">
              <w:t xml:space="preserve"> within the Settlement Interval.</w:t>
            </w:r>
          </w:p>
        </w:tc>
      </w:tr>
      <w:tr w:rsidR="00F10AF1" w:rsidRPr="0013396E" w14:paraId="324BA29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2AD8487" w14:textId="77777777" w:rsidR="00F10AF1" w:rsidRPr="0013396E" w:rsidRDefault="00F10AF1" w:rsidP="0099759E">
            <w:pPr>
              <w:pStyle w:val="tablebody0"/>
            </w:pPr>
            <w:r w:rsidRPr="0013396E">
              <w:t xml:space="preserve">RDRWF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35C22162"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73878D7B" w14:textId="77777777" w:rsidR="00F10AF1" w:rsidRPr="0013396E" w:rsidRDefault="00F10AF1" w:rsidP="0099759E">
            <w:pPr>
              <w:pStyle w:val="tablebody0"/>
              <w:rPr>
                <w:i/>
              </w:rPr>
            </w:pPr>
            <w:r w:rsidRPr="0013396E">
              <w:rPr>
                <w:i/>
              </w:rPr>
              <w:t>Regulation Down Resource Node Weighting Factor per interval</w:t>
            </w:r>
            <w:r w:rsidRPr="0013396E">
              <w:rPr>
                <w:iCs/>
              </w:rPr>
              <w:t>—</w:t>
            </w:r>
            <w:r w:rsidRPr="0013396E">
              <w:t xml:space="preserve">The Reg-Down Resource weight, based on Reg-Down awards, used in the Real-Time MCPC calculation for the portion of the SCED interval </w:t>
            </w:r>
            <w:r w:rsidRPr="0013396E">
              <w:rPr>
                <w:i/>
                <w:iCs/>
              </w:rPr>
              <w:t>y</w:t>
            </w:r>
            <w:r w:rsidRPr="0013396E">
              <w:t xml:space="preserve"> within the Settlement Interval.  Where for a Combined Cycle Train, the Resource </w:t>
            </w:r>
            <w:r w:rsidRPr="0013396E">
              <w:rPr>
                <w:i/>
                <w:iCs/>
              </w:rPr>
              <w:t>r</w:t>
            </w:r>
            <w:r w:rsidRPr="0013396E">
              <w:t xml:space="preserve"> is a Combined Cycle Generation Resource within the Combined Cycle Train.   </w:t>
            </w:r>
          </w:p>
        </w:tc>
      </w:tr>
      <w:tr w:rsidR="00F10AF1" w:rsidRPr="0013396E" w14:paraId="7FE8F8D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AA86A52" w14:textId="77777777" w:rsidR="00F10AF1" w:rsidRPr="0013396E" w:rsidRDefault="00F10AF1" w:rsidP="0099759E">
            <w:pPr>
              <w:pStyle w:val="tablebody0"/>
            </w:pPr>
            <w:r w:rsidRPr="0013396E">
              <w:rPr>
                <w:i/>
              </w:rPr>
              <w:t>r</w:t>
            </w:r>
          </w:p>
        </w:tc>
        <w:tc>
          <w:tcPr>
            <w:tcW w:w="623" w:type="pct"/>
            <w:tcBorders>
              <w:top w:val="single" w:sz="4" w:space="0" w:color="auto"/>
              <w:left w:val="single" w:sz="4" w:space="0" w:color="auto"/>
              <w:bottom w:val="single" w:sz="4" w:space="0" w:color="auto"/>
              <w:right w:val="single" w:sz="4" w:space="0" w:color="auto"/>
            </w:tcBorders>
            <w:hideMark/>
          </w:tcPr>
          <w:p w14:paraId="4A0396DE"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06BF9CA4" w14:textId="77777777" w:rsidR="00F10AF1" w:rsidRPr="0013396E" w:rsidRDefault="00F10AF1" w:rsidP="0099759E">
            <w:pPr>
              <w:pStyle w:val="tablebody0"/>
              <w:rPr>
                <w:i/>
              </w:rPr>
            </w:pPr>
            <w:r w:rsidRPr="0013396E">
              <w:t>A Resource.</w:t>
            </w:r>
          </w:p>
        </w:tc>
      </w:tr>
      <w:tr w:rsidR="00F10AF1" w:rsidRPr="0013396E" w14:paraId="6CB4906E"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79E87CD"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07CC9287"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4E1DEA5B" w14:textId="77777777" w:rsidR="00F10AF1" w:rsidRPr="0013396E" w:rsidRDefault="00F10AF1" w:rsidP="0099759E">
            <w:pPr>
              <w:pStyle w:val="tablebody0"/>
            </w:pPr>
            <w:r w:rsidRPr="0013396E">
              <w:t>A QSE.</w:t>
            </w:r>
          </w:p>
        </w:tc>
      </w:tr>
      <w:tr w:rsidR="00F10AF1" w:rsidRPr="0013396E" w14:paraId="6D834ED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615B0F6" w14:textId="77777777" w:rsidR="00F10AF1" w:rsidRPr="0013396E" w:rsidRDefault="00F10AF1" w:rsidP="0099759E">
            <w:pPr>
              <w:pStyle w:val="tablebody0"/>
              <w:rPr>
                <w:i/>
              </w:rPr>
            </w:pPr>
            <w:r w:rsidRPr="0013396E">
              <w:rPr>
                <w:i/>
              </w:rPr>
              <w:t>y</w:t>
            </w:r>
          </w:p>
        </w:tc>
        <w:tc>
          <w:tcPr>
            <w:tcW w:w="623" w:type="pct"/>
            <w:tcBorders>
              <w:top w:val="single" w:sz="4" w:space="0" w:color="auto"/>
              <w:left w:val="single" w:sz="4" w:space="0" w:color="auto"/>
              <w:bottom w:val="single" w:sz="4" w:space="0" w:color="auto"/>
              <w:right w:val="single" w:sz="4" w:space="0" w:color="auto"/>
            </w:tcBorders>
            <w:hideMark/>
          </w:tcPr>
          <w:p w14:paraId="6932C7DF"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5C2AB58A" w14:textId="77777777" w:rsidR="00F10AF1" w:rsidRPr="0013396E" w:rsidRDefault="00F10AF1" w:rsidP="0099759E">
            <w:pPr>
              <w:pStyle w:val="tablebody0"/>
            </w:pPr>
            <w:r w:rsidRPr="0013396E">
              <w:t>A SCED interval in the 15-minute Settlement Interval.</w:t>
            </w:r>
          </w:p>
        </w:tc>
      </w:tr>
    </w:tbl>
    <w:p w14:paraId="6173800A" w14:textId="77777777" w:rsidR="00F10AF1" w:rsidRPr="0013396E" w:rsidRDefault="00F10AF1" w:rsidP="00F10AF1">
      <w:pPr>
        <w:spacing w:before="240" w:after="240"/>
      </w:pPr>
      <w:r w:rsidRPr="0013396E">
        <w:t>(2)</w:t>
      </w:r>
      <w:r w:rsidRPr="0013396E">
        <w:tab/>
        <w:t>Reg-Down Only Charge:</w:t>
      </w:r>
    </w:p>
    <w:p w14:paraId="2703F0DA" w14:textId="77777777" w:rsidR="00F10AF1" w:rsidRPr="0013396E" w:rsidRDefault="00F10AF1" w:rsidP="00F10AF1">
      <w:pPr>
        <w:pStyle w:val="FormulaBold"/>
      </w:pPr>
      <w:r w:rsidRPr="0013396E">
        <w:t>RTRDOAMT</w:t>
      </w:r>
      <w:r w:rsidRPr="0013396E">
        <w:rPr>
          <w:i/>
          <w:vertAlign w:val="subscript"/>
        </w:rPr>
        <w:t xml:space="preserve"> q  </w:t>
      </w:r>
      <w:r w:rsidRPr="0013396E">
        <w:t xml:space="preserve">= </w:t>
      </w:r>
      <w:r w:rsidRPr="0013396E">
        <w:tab/>
        <w:t xml:space="preserve">(1/4) * DARDOAWD </w:t>
      </w:r>
      <w:r w:rsidRPr="0013396E">
        <w:rPr>
          <w:i/>
          <w:vertAlign w:val="subscript"/>
        </w:rPr>
        <w:t>q</w:t>
      </w:r>
      <w:r w:rsidRPr="0013396E">
        <w:t xml:space="preserve"> * RTMCPCRD</w:t>
      </w:r>
    </w:p>
    <w:p w14:paraId="5D3BA047" w14:textId="77777777" w:rsidR="00F10AF1" w:rsidRPr="0013396E" w:rsidRDefault="00F10AF1" w:rsidP="00F10AF1">
      <w:pPr>
        <w:pStyle w:val="Instructions"/>
        <w:spacing w:after="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1580B0D6"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5380AFC4"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0AE3C23B"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5E9F049C" w14:textId="77777777" w:rsidR="00F10AF1" w:rsidRPr="0013396E" w:rsidRDefault="00F10AF1" w:rsidP="0099759E">
            <w:pPr>
              <w:pStyle w:val="TableHead"/>
            </w:pPr>
            <w:r w:rsidRPr="0013396E">
              <w:t>Description</w:t>
            </w:r>
          </w:p>
        </w:tc>
      </w:tr>
      <w:tr w:rsidR="00F10AF1" w:rsidRPr="0013396E" w14:paraId="1BF3911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50CC542" w14:textId="77777777" w:rsidR="00F10AF1" w:rsidRPr="0013396E" w:rsidRDefault="00F10AF1" w:rsidP="0099759E">
            <w:pPr>
              <w:pStyle w:val="tablebody0"/>
            </w:pPr>
            <w:r w:rsidRPr="0013396E">
              <w:t xml:space="preserve">RTRDOAMT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5F81B57"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2A3DB272" w14:textId="77777777" w:rsidR="00F10AF1" w:rsidRPr="0013396E" w:rsidRDefault="00F10AF1" w:rsidP="0099759E">
            <w:pPr>
              <w:pStyle w:val="tablebody0"/>
              <w:rPr>
                <w:i/>
              </w:rPr>
            </w:pPr>
            <w:r w:rsidRPr="0013396E">
              <w:rPr>
                <w:i/>
              </w:rPr>
              <w:t>Real-Time Reg-Down Only Amount for the QSE</w:t>
            </w:r>
            <w:r w:rsidRPr="0013396E">
              <w:t xml:space="preserve">—The total charge to QSE </w:t>
            </w:r>
            <w:r w:rsidRPr="0013396E">
              <w:rPr>
                <w:i/>
              </w:rPr>
              <w:t>q</w:t>
            </w:r>
            <w:r w:rsidRPr="0013396E">
              <w:t xml:space="preserve"> in Real-Time for Reg-Down only awards for each 15-minute Settlement Interval.</w:t>
            </w:r>
          </w:p>
        </w:tc>
      </w:tr>
      <w:tr w:rsidR="00F10AF1" w:rsidRPr="0013396E" w14:paraId="0301E08C"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A11D261" w14:textId="77777777" w:rsidR="00F10AF1" w:rsidRPr="0013396E" w:rsidRDefault="00F10AF1" w:rsidP="0099759E">
            <w:pPr>
              <w:pStyle w:val="tablebody0"/>
            </w:pPr>
            <w:r w:rsidRPr="0013396E">
              <w:t xml:space="preserve">DARDOAWD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8C0C7D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6BEDBC5" w14:textId="77777777" w:rsidR="00F10AF1" w:rsidRPr="0013396E" w:rsidRDefault="00F10AF1" w:rsidP="0099759E">
            <w:pPr>
              <w:pStyle w:val="tablebody0"/>
              <w:rPr>
                <w:i/>
              </w:rPr>
            </w:pPr>
            <w:r w:rsidRPr="0013396E">
              <w:rPr>
                <w:i/>
              </w:rPr>
              <w:t>Day-Ahead Reg-Down Only Award for the QSE</w:t>
            </w:r>
            <w:r w:rsidRPr="0013396E">
              <w:sym w:font="Symbol" w:char="F0BE"/>
            </w:r>
            <w:r w:rsidRPr="0013396E">
              <w:t xml:space="preserve">The Reg-Down only capacity awarded in the DAM to the QSE </w:t>
            </w:r>
            <w:r w:rsidRPr="0013396E">
              <w:rPr>
                <w:i/>
              </w:rPr>
              <w:t>q</w:t>
            </w:r>
            <w:r w:rsidRPr="0013396E">
              <w:t xml:space="preserve"> for the </w:t>
            </w:r>
            <w:r w:rsidRPr="0013396E">
              <w:rPr>
                <w:szCs w:val="18"/>
              </w:rPr>
              <w:t>Operating Hour</w:t>
            </w:r>
            <w:r w:rsidRPr="0013396E">
              <w:t>.</w:t>
            </w:r>
          </w:p>
        </w:tc>
      </w:tr>
      <w:tr w:rsidR="00F10AF1" w:rsidRPr="0013396E" w14:paraId="560D7E8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A101560" w14:textId="77777777" w:rsidR="00F10AF1" w:rsidRPr="0013396E" w:rsidRDefault="00F10AF1" w:rsidP="0099759E">
            <w:pPr>
              <w:pStyle w:val="tablebody0"/>
            </w:pPr>
            <w:r w:rsidRPr="0013396E">
              <w:t>RTMCPCRD</w:t>
            </w:r>
          </w:p>
        </w:tc>
        <w:tc>
          <w:tcPr>
            <w:tcW w:w="623" w:type="pct"/>
            <w:tcBorders>
              <w:top w:val="single" w:sz="4" w:space="0" w:color="auto"/>
              <w:left w:val="single" w:sz="4" w:space="0" w:color="auto"/>
              <w:bottom w:val="single" w:sz="4" w:space="0" w:color="auto"/>
              <w:right w:val="single" w:sz="4" w:space="0" w:color="auto"/>
            </w:tcBorders>
            <w:hideMark/>
          </w:tcPr>
          <w:p w14:paraId="5610FEC2"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50A4532" w14:textId="77777777" w:rsidR="00F10AF1" w:rsidRPr="0013396E" w:rsidRDefault="00F10AF1" w:rsidP="0099759E">
            <w:pPr>
              <w:pStyle w:val="tablebody0"/>
              <w:rPr>
                <w:i/>
              </w:rPr>
            </w:pPr>
            <w:r w:rsidRPr="0013396E">
              <w:rPr>
                <w:i/>
              </w:rPr>
              <w:t>Real-Time Market Clearing Price for Capacity for Reg-Down</w:t>
            </w:r>
            <w:r w:rsidRPr="0013396E">
              <w:rPr>
                <w:iCs/>
              </w:rPr>
              <w:t>—</w:t>
            </w:r>
            <w:r w:rsidRPr="0013396E">
              <w:t>The Real-Time MCPC for Reg-Down for the 15-minute Settlement Interval.</w:t>
            </w:r>
          </w:p>
        </w:tc>
      </w:tr>
      <w:tr w:rsidR="00F10AF1" w:rsidRPr="0013396E" w14:paraId="6D77E26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EBB17EB"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4A917247"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48D9FAD0" w14:textId="77777777" w:rsidR="00F10AF1" w:rsidRPr="0013396E" w:rsidRDefault="00F10AF1" w:rsidP="0099759E">
            <w:pPr>
              <w:pStyle w:val="tablebody0"/>
            </w:pPr>
            <w:r w:rsidRPr="0013396E">
              <w:t>A QSE.</w:t>
            </w:r>
          </w:p>
        </w:tc>
      </w:tr>
    </w:tbl>
    <w:p w14:paraId="2B35E915" w14:textId="77777777" w:rsidR="00F10AF1" w:rsidRPr="0013396E" w:rsidRDefault="00F10AF1" w:rsidP="00F10AF1">
      <w:pPr>
        <w:spacing w:before="240" w:after="240"/>
      </w:pPr>
      <w:r w:rsidRPr="0013396E">
        <w:t>(3)</w:t>
      </w:r>
      <w:r w:rsidRPr="0013396E">
        <w:tab/>
        <w:t>Reg-Down Trade Overage Charge:</w:t>
      </w:r>
    </w:p>
    <w:p w14:paraId="4E3B85BF" w14:textId="77777777" w:rsidR="00F10AF1" w:rsidRPr="0013396E" w:rsidRDefault="00F10AF1" w:rsidP="00F10AF1">
      <w:pPr>
        <w:pStyle w:val="FormulaBold"/>
      </w:pPr>
      <w:r w:rsidRPr="0013396E">
        <w:t>RTRDTOAMT</w:t>
      </w:r>
      <w:r w:rsidRPr="0013396E">
        <w:rPr>
          <w:i/>
          <w:vertAlign w:val="subscript"/>
        </w:rPr>
        <w:t xml:space="preserve"> q  </w:t>
      </w:r>
      <w:r w:rsidRPr="0013396E">
        <w:t xml:space="preserve">= </w:t>
      </w:r>
      <w:r w:rsidRPr="0013396E">
        <w:tab/>
        <w:t xml:space="preserve">(1/4) * RTRDTO </w:t>
      </w:r>
      <w:r w:rsidRPr="0013396E">
        <w:rPr>
          <w:i/>
          <w:vertAlign w:val="subscript"/>
        </w:rPr>
        <w:t>q</w:t>
      </w:r>
      <w:r w:rsidRPr="0013396E">
        <w:t xml:space="preserve"> * RTMCPCRD</w:t>
      </w:r>
    </w:p>
    <w:p w14:paraId="5C86D64A" w14:textId="77777777" w:rsidR="00F10AF1" w:rsidRPr="0013396E" w:rsidRDefault="00F10AF1" w:rsidP="00F10AF1">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65243075"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BD7AFEC" w14:textId="77777777" w:rsidR="00F10AF1" w:rsidRPr="0013396E" w:rsidRDefault="00F10AF1" w:rsidP="0099759E">
            <w:pPr>
              <w:pStyle w:val="TableHead"/>
            </w:pPr>
            <w:r w:rsidRPr="0013396E">
              <w:lastRenderedPageBreak/>
              <w:t>Variable</w:t>
            </w:r>
          </w:p>
        </w:tc>
        <w:tc>
          <w:tcPr>
            <w:tcW w:w="623" w:type="pct"/>
            <w:tcBorders>
              <w:top w:val="single" w:sz="4" w:space="0" w:color="auto"/>
              <w:left w:val="single" w:sz="4" w:space="0" w:color="auto"/>
              <w:bottom w:val="single" w:sz="4" w:space="0" w:color="auto"/>
              <w:right w:val="single" w:sz="4" w:space="0" w:color="auto"/>
            </w:tcBorders>
            <w:hideMark/>
          </w:tcPr>
          <w:p w14:paraId="5C84BECF"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6B98EF60" w14:textId="77777777" w:rsidR="00F10AF1" w:rsidRPr="0013396E" w:rsidRDefault="00F10AF1" w:rsidP="0099759E">
            <w:pPr>
              <w:pStyle w:val="TableHead"/>
            </w:pPr>
            <w:r w:rsidRPr="0013396E">
              <w:t>Description</w:t>
            </w:r>
          </w:p>
        </w:tc>
      </w:tr>
      <w:tr w:rsidR="00F10AF1" w:rsidRPr="0013396E" w14:paraId="0007685B"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863D8A3" w14:textId="77777777" w:rsidR="00F10AF1" w:rsidRPr="0013396E" w:rsidRDefault="00F10AF1" w:rsidP="0099759E">
            <w:pPr>
              <w:pStyle w:val="tablebody0"/>
            </w:pPr>
            <w:r w:rsidRPr="0013396E">
              <w:t xml:space="preserve">RTRDTOAMT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97AC0C6"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25426AC9" w14:textId="77777777" w:rsidR="00F10AF1" w:rsidRPr="0013396E" w:rsidRDefault="00F10AF1" w:rsidP="0099759E">
            <w:pPr>
              <w:pStyle w:val="tablebody0"/>
              <w:rPr>
                <w:i/>
              </w:rPr>
            </w:pPr>
            <w:r w:rsidRPr="0013396E">
              <w:rPr>
                <w:i/>
              </w:rPr>
              <w:t>Real-Time Reg-Down Trade Overage Amount for the QSE</w:t>
            </w:r>
            <w:r w:rsidRPr="0013396E">
              <w:t xml:space="preserve">—The total charge to QSE </w:t>
            </w:r>
            <w:r w:rsidRPr="0013396E">
              <w:rPr>
                <w:i/>
              </w:rPr>
              <w:t>q</w:t>
            </w:r>
            <w:r w:rsidRPr="0013396E">
              <w:t xml:space="preserve"> in Real-Time for Reg-Down trade overages for each 15-minute Settlement Interval.</w:t>
            </w:r>
          </w:p>
        </w:tc>
      </w:tr>
      <w:tr w:rsidR="00F10AF1" w:rsidRPr="0013396E" w14:paraId="2F397CB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73B1B8A" w14:textId="77777777" w:rsidR="00F10AF1" w:rsidRPr="0013396E" w:rsidRDefault="00F10AF1" w:rsidP="0099759E">
            <w:pPr>
              <w:pStyle w:val="tablebody0"/>
            </w:pPr>
            <w:r w:rsidRPr="0013396E">
              <w:t xml:space="preserve">RTRDTO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719C449D"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3012D74" w14:textId="77777777" w:rsidR="00F10AF1" w:rsidRPr="0013396E" w:rsidRDefault="00F10AF1" w:rsidP="0099759E">
            <w:pPr>
              <w:pStyle w:val="tablebody0"/>
            </w:pPr>
            <w:r w:rsidRPr="0013396E">
              <w:rPr>
                <w:i/>
              </w:rPr>
              <w:t>Real-Time Reg-Down Trade Overage for the QSE</w:t>
            </w:r>
            <w:r w:rsidRPr="0013396E">
              <w:sym w:font="Symbol" w:char="F0BE"/>
            </w:r>
            <w:r w:rsidRPr="0013396E">
              <w:t xml:space="preserve">The quantity of submitted Reg-Down trades in excess of their DAM self- arrangement quantity for the QSE </w:t>
            </w:r>
            <w:r w:rsidRPr="0013396E">
              <w:rPr>
                <w:i/>
              </w:rPr>
              <w:t>q</w:t>
            </w:r>
            <w:r w:rsidRPr="0013396E">
              <w:t xml:space="preserve"> for the </w:t>
            </w:r>
            <w:r w:rsidRPr="0013396E">
              <w:rPr>
                <w:szCs w:val="18"/>
              </w:rPr>
              <w:t>Operating Hour</w:t>
            </w:r>
            <w:r w:rsidRPr="0013396E">
              <w:t>.</w:t>
            </w:r>
          </w:p>
        </w:tc>
      </w:tr>
      <w:tr w:rsidR="00F10AF1" w:rsidRPr="0013396E" w14:paraId="1A97591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B71DCC2" w14:textId="77777777" w:rsidR="00F10AF1" w:rsidRPr="0013396E" w:rsidRDefault="00F10AF1" w:rsidP="0099759E">
            <w:pPr>
              <w:pStyle w:val="tablebody0"/>
            </w:pPr>
            <w:r w:rsidRPr="0013396E">
              <w:t>RTMCPCRD</w:t>
            </w:r>
          </w:p>
        </w:tc>
        <w:tc>
          <w:tcPr>
            <w:tcW w:w="623" w:type="pct"/>
            <w:tcBorders>
              <w:top w:val="single" w:sz="4" w:space="0" w:color="auto"/>
              <w:left w:val="single" w:sz="4" w:space="0" w:color="auto"/>
              <w:bottom w:val="single" w:sz="4" w:space="0" w:color="auto"/>
              <w:right w:val="single" w:sz="4" w:space="0" w:color="auto"/>
            </w:tcBorders>
            <w:hideMark/>
          </w:tcPr>
          <w:p w14:paraId="6A2ED05F"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0FCBACF" w14:textId="77777777" w:rsidR="00F10AF1" w:rsidRPr="0013396E" w:rsidRDefault="00F10AF1" w:rsidP="0099759E">
            <w:pPr>
              <w:pStyle w:val="tablebody0"/>
              <w:rPr>
                <w:i/>
              </w:rPr>
            </w:pPr>
            <w:r w:rsidRPr="0013396E">
              <w:rPr>
                <w:i/>
              </w:rPr>
              <w:t>Real-Time Market Clearing Price for Capacity for Reg-Down</w:t>
            </w:r>
            <w:r w:rsidRPr="0013396E">
              <w:rPr>
                <w:iCs/>
              </w:rPr>
              <w:t>—</w:t>
            </w:r>
            <w:r w:rsidRPr="0013396E">
              <w:t>The Real-Time MCPC for Reg-Down for the 15-minute Settlement Interval.</w:t>
            </w:r>
          </w:p>
        </w:tc>
      </w:tr>
      <w:tr w:rsidR="00F10AF1" w:rsidRPr="0013396E" w14:paraId="11A567C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B4087B1"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35A252B7"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2F4BFFE9" w14:textId="77777777" w:rsidR="00F10AF1" w:rsidRPr="0013396E" w:rsidRDefault="00F10AF1" w:rsidP="0099759E">
            <w:pPr>
              <w:pStyle w:val="tablebody0"/>
            </w:pPr>
            <w:r w:rsidRPr="0013396E">
              <w:t>A QSE.</w:t>
            </w:r>
          </w:p>
        </w:tc>
      </w:tr>
    </w:tbl>
    <w:p w14:paraId="639B481A" w14:textId="49AA7B1E" w:rsidR="00F10AF1" w:rsidRPr="0013396E" w:rsidRDefault="00F10AF1" w:rsidP="00F10AF1">
      <w:pPr>
        <w:pStyle w:val="H4"/>
        <w:spacing w:before="480"/>
      </w:pPr>
      <w:bookmarkStart w:id="2281" w:name="_Toc236220245"/>
      <w:r w:rsidRPr="0013396E">
        <w:t>6.7.</w:t>
      </w:r>
      <w:r w:rsidR="00A12B52" w:rsidRPr="0013396E">
        <w:t>2</w:t>
      </w:r>
      <w:r w:rsidRPr="0013396E">
        <w:t>.4</w:t>
      </w:r>
      <w:r w:rsidRPr="0013396E">
        <w:tab/>
        <w:t>Responsive Reserve Payments and Charges</w:t>
      </w:r>
      <w:bookmarkEnd w:id="2281"/>
    </w:p>
    <w:p w14:paraId="5729F8F7" w14:textId="77777777" w:rsidR="00F10AF1" w:rsidRPr="0013396E" w:rsidRDefault="00F10AF1" w:rsidP="00F10AF1">
      <w:r w:rsidRPr="0013396E">
        <w:t>(1)</w:t>
      </w:r>
      <w:r w:rsidRPr="0013396E">
        <w:tab/>
        <w:t>RRS Imbalance Payment or Charge:</w:t>
      </w:r>
    </w:p>
    <w:p w14:paraId="00410EAD" w14:textId="77777777" w:rsidR="00F10AF1" w:rsidRPr="0013396E" w:rsidRDefault="00F10AF1" w:rsidP="00F10AF1">
      <w:pPr>
        <w:pStyle w:val="FormulaBold"/>
      </w:pPr>
      <w:r w:rsidRPr="0013396E">
        <w:t>RTRRIMBAMT</w:t>
      </w:r>
      <w:r w:rsidRPr="0013396E">
        <w:rPr>
          <w:i/>
          <w:vertAlign w:val="subscript"/>
        </w:rPr>
        <w:t xml:space="preserve"> q  </w:t>
      </w:r>
      <w:r w:rsidRPr="0013396E">
        <w:t xml:space="preserve">= </w:t>
      </w:r>
      <w:r w:rsidRPr="0013396E">
        <w:tab/>
        <w:t>(-1) * [</w:t>
      </w:r>
      <w:r w:rsidRPr="0013396E">
        <w:rPr>
          <w:position w:val="-18"/>
        </w:rPr>
        <w:object w:dxaOrig="285" w:dyaOrig="570" w14:anchorId="0816DDF8">
          <v:shape id="_x0000_i1283" type="#_x0000_t75" style="width:12pt;height:30pt" o:ole="">
            <v:imagedata r:id="rId136" o:title=""/>
          </v:shape>
          <o:OLEObject Type="Embed" ProgID="Equation.3" ShapeID="_x0000_i1283" DrawAspect="Content" ObjectID="_1849065912" r:id="rId361"/>
        </w:object>
      </w:r>
      <w:r w:rsidRPr="0013396E">
        <w:t>[</w:t>
      </w:r>
      <w:r w:rsidRPr="0013396E">
        <w:rPr>
          <w:rStyle w:val="BodyTextChar"/>
        </w:rPr>
        <w:t xml:space="preserve">RTRRREV </w:t>
      </w:r>
      <w:r w:rsidRPr="0013396E">
        <w:rPr>
          <w:i/>
          <w:vertAlign w:val="subscript"/>
        </w:rPr>
        <w:t xml:space="preserve">q, r </w:t>
      </w:r>
      <w:r w:rsidRPr="0013396E">
        <w:t>– (1/4) * (PCRRR</w:t>
      </w:r>
      <w:r w:rsidRPr="0013396E">
        <w:rPr>
          <w:i/>
        </w:rPr>
        <w:t xml:space="preserve"> </w:t>
      </w:r>
      <w:r w:rsidRPr="0013396E">
        <w:rPr>
          <w:i/>
          <w:vertAlign w:val="subscript"/>
        </w:rPr>
        <w:t>r, q, DAM</w:t>
      </w:r>
      <w:r w:rsidRPr="0013396E">
        <w:t xml:space="preserve"> * RTMCPCRR)] – (1/4) * (DASARRQ </w:t>
      </w:r>
      <w:r w:rsidRPr="0013396E">
        <w:rPr>
          <w:i/>
          <w:vertAlign w:val="subscript"/>
        </w:rPr>
        <w:t>q</w:t>
      </w:r>
      <w:r w:rsidRPr="0013396E">
        <w:t xml:space="preserve"> * RTMCPCRR) + (1/4) * (RRTP </w:t>
      </w:r>
      <w:r w:rsidRPr="0013396E">
        <w:rPr>
          <w:i/>
          <w:vertAlign w:val="subscript"/>
        </w:rPr>
        <w:t>q</w:t>
      </w:r>
      <w:r w:rsidRPr="0013396E">
        <w:t xml:space="preserve"> – RRTS </w:t>
      </w:r>
      <w:r w:rsidRPr="0013396E">
        <w:rPr>
          <w:i/>
          <w:vertAlign w:val="subscript"/>
        </w:rPr>
        <w:t>q</w:t>
      </w:r>
      <w:r w:rsidRPr="0013396E">
        <w:t>) * RTMCPCRR]</w:t>
      </w:r>
    </w:p>
    <w:p w14:paraId="5ADCA863" w14:textId="77777777" w:rsidR="00F10AF1" w:rsidRPr="000B7133" w:rsidRDefault="00F10AF1" w:rsidP="00F10AF1">
      <w:pPr>
        <w:pStyle w:val="FormulaBold"/>
        <w:rPr>
          <w:b w:val="0"/>
          <w:bCs w:val="0"/>
        </w:rPr>
      </w:pPr>
      <w:r w:rsidRPr="000B7133">
        <w:rPr>
          <w:b w:val="0"/>
          <w:bCs w:val="0"/>
        </w:rPr>
        <w:t xml:space="preserve">Where:   </w:t>
      </w:r>
    </w:p>
    <w:p w14:paraId="5E34B7E1" w14:textId="77777777" w:rsidR="00F10AF1" w:rsidRPr="000B7133" w:rsidRDefault="00F10AF1" w:rsidP="00F10AF1">
      <w:pPr>
        <w:pStyle w:val="FormulaBold"/>
        <w:rPr>
          <w:b w:val="0"/>
          <w:bCs w:val="0"/>
        </w:rPr>
      </w:pPr>
      <w:r w:rsidRPr="000B7133">
        <w:rPr>
          <w:rStyle w:val="BodyTextChar"/>
          <w:b w:val="0"/>
          <w:bCs w:val="0"/>
        </w:rPr>
        <w:t xml:space="preserve">RTRRREV </w:t>
      </w:r>
      <w:r w:rsidRPr="000B7133">
        <w:rPr>
          <w:b w:val="0"/>
          <w:bCs w:val="0"/>
          <w:i/>
          <w:vertAlign w:val="subscript"/>
        </w:rPr>
        <w:t xml:space="preserve">q, r </w:t>
      </w:r>
      <w:r w:rsidRPr="000B7133">
        <w:rPr>
          <w:b w:val="0"/>
          <w:bCs w:val="0"/>
          <w:i/>
        </w:rPr>
        <w:t xml:space="preserve"> =     </w:t>
      </w:r>
      <w:r w:rsidRPr="000B7133">
        <w:rPr>
          <w:b w:val="0"/>
          <w:bCs w:val="0"/>
        </w:rPr>
        <w:t>(1/4) * RTRRAWD</w:t>
      </w:r>
      <w:r w:rsidRPr="000B7133">
        <w:rPr>
          <w:b w:val="0"/>
          <w:bCs w:val="0"/>
          <w:i/>
          <w:vertAlign w:val="subscript"/>
        </w:rPr>
        <w:t xml:space="preserve"> q, r</w:t>
      </w:r>
      <w:r w:rsidRPr="000B7133">
        <w:rPr>
          <w:b w:val="0"/>
          <w:bCs w:val="0"/>
        </w:rPr>
        <w:t xml:space="preserve"> * RTMCPCRRR </w:t>
      </w:r>
      <w:r w:rsidRPr="000B7133">
        <w:rPr>
          <w:b w:val="0"/>
          <w:bCs w:val="0"/>
          <w:i/>
          <w:vertAlign w:val="subscript"/>
        </w:rPr>
        <w:t>q, r</w:t>
      </w:r>
    </w:p>
    <w:p w14:paraId="277F19C4" w14:textId="77777777" w:rsidR="00F10AF1" w:rsidRPr="00016609" w:rsidRDefault="00F10AF1" w:rsidP="00F10AF1">
      <w:pPr>
        <w:pStyle w:val="FormulaBold"/>
        <w:rPr>
          <w:b w:val="0"/>
          <w:bCs w:val="0"/>
        </w:rPr>
      </w:pPr>
      <w:r w:rsidRPr="000B7133">
        <w:rPr>
          <w:b w:val="0"/>
          <w:bCs w:val="0"/>
        </w:rPr>
        <w:t xml:space="preserve">RTMCPCRRR </w:t>
      </w:r>
      <w:r w:rsidRPr="000B7133">
        <w:rPr>
          <w:b w:val="0"/>
          <w:bCs w:val="0"/>
          <w:i/>
          <w:vertAlign w:val="subscript"/>
        </w:rPr>
        <w:t>q, r</w:t>
      </w:r>
      <w:r w:rsidRPr="000B7133">
        <w:rPr>
          <w:b w:val="0"/>
          <w:bCs w:val="0"/>
          <w:i/>
        </w:rPr>
        <w:t xml:space="preserve"> = </w:t>
      </w:r>
      <w:r w:rsidRPr="007E0677">
        <w:rPr>
          <w:b w:val="0"/>
          <w:bCs w:val="0"/>
          <w:position w:val="-22"/>
        </w:rPr>
        <w:object w:dxaOrig="285" w:dyaOrig="285" w14:anchorId="704E2D89">
          <v:shape id="_x0000_i1284" type="#_x0000_t75" style="width:18pt;height:35.4pt" o:ole="">
            <v:imagedata r:id="rId20" o:title=""/>
          </v:shape>
          <o:OLEObject Type="Embed" ProgID="Equation.3" ShapeID="_x0000_i1284" DrawAspect="Content" ObjectID="_1849065913" r:id="rId362"/>
        </w:object>
      </w:r>
      <w:r w:rsidRPr="00016609">
        <w:rPr>
          <w:b w:val="0"/>
          <w:bCs w:val="0"/>
        </w:rPr>
        <w:t xml:space="preserve"> (RRRWF</w:t>
      </w:r>
      <w:r w:rsidRPr="00016609">
        <w:rPr>
          <w:b w:val="0"/>
          <w:bCs w:val="0"/>
          <w:i/>
          <w:vertAlign w:val="subscript"/>
        </w:rPr>
        <w:t xml:space="preserve"> q, r, y</w:t>
      </w:r>
      <w:r w:rsidRPr="00016609">
        <w:rPr>
          <w:b w:val="0"/>
          <w:bCs w:val="0"/>
        </w:rPr>
        <w:t xml:space="preserve"> * (RTMCPCRRS</w:t>
      </w:r>
      <w:r w:rsidRPr="00016609">
        <w:rPr>
          <w:b w:val="0"/>
          <w:bCs w:val="0"/>
          <w:i/>
          <w:vertAlign w:val="subscript"/>
        </w:rPr>
        <w:t xml:space="preserve"> y</w:t>
      </w:r>
      <w:r w:rsidRPr="00016609">
        <w:rPr>
          <w:b w:val="0"/>
          <w:bCs w:val="0"/>
        </w:rPr>
        <w:t xml:space="preserve"> + RTRDPARRS </w:t>
      </w:r>
      <w:r w:rsidRPr="00016609">
        <w:rPr>
          <w:b w:val="0"/>
          <w:bCs w:val="0"/>
          <w:i/>
          <w:vertAlign w:val="subscript"/>
        </w:rPr>
        <w:t>y</w:t>
      </w:r>
      <w:r w:rsidRPr="00016609">
        <w:rPr>
          <w:b w:val="0"/>
          <w:bCs w:val="0"/>
        </w:rPr>
        <w:t>))</w:t>
      </w:r>
    </w:p>
    <w:p w14:paraId="520C44AD" w14:textId="77777777" w:rsidR="00F10AF1" w:rsidRPr="000B7133" w:rsidRDefault="00F10AF1" w:rsidP="00F10AF1">
      <w:pPr>
        <w:pStyle w:val="FormulaBold"/>
        <w:rPr>
          <w:b w:val="0"/>
          <w:bCs w:val="0"/>
        </w:rPr>
      </w:pPr>
      <w:r w:rsidRPr="00016609">
        <w:rPr>
          <w:b w:val="0"/>
          <w:bCs w:val="0"/>
        </w:rPr>
        <w:t>RTRRAWD</w:t>
      </w:r>
      <w:r w:rsidRPr="00016609">
        <w:rPr>
          <w:b w:val="0"/>
          <w:bCs w:val="0"/>
          <w:i/>
          <w:vertAlign w:val="subscript"/>
        </w:rPr>
        <w:t xml:space="preserve"> q, r  </w:t>
      </w:r>
      <w:r w:rsidRPr="00016609">
        <w:rPr>
          <w:b w:val="0"/>
          <w:bCs w:val="0"/>
        </w:rPr>
        <w:tab/>
        <w:t xml:space="preserve">=  </w:t>
      </w:r>
      <w:r w:rsidRPr="007E0677">
        <w:rPr>
          <w:b w:val="0"/>
          <w:bCs w:val="0"/>
          <w:position w:val="-22"/>
        </w:rPr>
        <w:object w:dxaOrig="285" w:dyaOrig="285" w14:anchorId="0235D4B0">
          <v:shape id="_x0000_i1285" type="#_x0000_t75" style="width:12pt;height:30pt" o:ole="">
            <v:imagedata r:id="rId20" o:title=""/>
          </v:shape>
          <o:OLEObject Type="Embed" ProgID="Equation.3" ShapeID="_x0000_i1285" DrawAspect="Content" ObjectID="_1849065914" r:id="rId363"/>
        </w:object>
      </w:r>
      <w:r w:rsidRPr="000B7133">
        <w:rPr>
          <w:b w:val="0"/>
          <w:bCs w:val="0"/>
        </w:rPr>
        <w:t xml:space="preserve"> (RNWF </w:t>
      </w:r>
      <w:r w:rsidRPr="000B7133">
        <w:rPr>
          <w:b w:val="0"/>
          <w:bCs w:val="0"/>
          <w:i/>
          <w:vertAlign w:val="subscript"/>
        </w:rPr>
        <w:t>y</w:t>
      </w:r>
      <w:r w:rsidRPr="000B7133">
        <w:rPr>
          <w:b w:val="0"/>
          <w:bCs w:val="0"/>
          <w:vertAlign w:val="subscript"/>
        </w:rPr>
        <w:t xml:space="preserve"> </w:t>
      </w:r>
      <w:r w:rsidRPr="000B7133">
        <w:rPr>
          <w:b w:val="0"/>
          <w:bCs w:val="0"/>
        </w:rPr>
        <w:t>* RTRRAWDS</w:t>
      </w:r>
      <w:r w:rsidRPr="000B7133">
        <w:rPr>
          <w:b w:val="0"/>
          <w:bCs w:val="0"/>
          <w:i/>
          <w:vertAlign w:val="subscript"/>
        </w:rPr>
        <w:t xml:space="preserve"> q, r, y</w:t>
      </w:r>
      <w:r w:rsidRPr="000B7133">
        <w:rPr>
          <w:b w:val="0"/>
          <w:bCs w:val="0"/>
        </w:rPr>
        <w:t>)</w:t>
      </w:r>
    </w:p>
    <w:p w14:paraId="3BB37DD6" w14:textId="77777777" w:rsidR="00F10AF1" w:rsidRPr="0013396E" w:rsidRDefault="00F10AF1" w:rsidP="00F10AF1">
      <w:pPr>
        <w:pStyle w:val="BodyTextNumbered"/>
        <w:ind w:left="0" w:firstLine="720"/>
      </w:pPr>
      <w:r w:rsidRPr="0013396E">
        <w:t>Where:</w:t>
      </w:r>
    </w:p>
    <w:p w14:paraId="6FEF3E2D" w14:textId="77777777" w:rsidR="00F10AF1" w:rsidRPr="0013396E" w:rsidRDefault="00F10AF1" w:rsidP="00F10AF1">
      <w:pPr>
        <w:pStyle w:val="NoSpacing"/>
      </w:pPr>
      <w:r w:rsidRPr="0013396E">
        <w:t xml:space="preserve">           RRRWF</w:t>
      </w:r>
      <w:r w:rsidRPr="0013396E">
        <w:rPr>
          <w:i/>
          <w:vertAlign w:val="subscript"/>
        </w:rPr>
        <w:t xml:space="preserve"> q, r, y</w:t>
      </w:r>
      <w:r w:rsidRPr="0013396E">
        <w:rPr>
          <w:vertAlign w:val="subscript"/>
        </w:rPr>
        <w:t xml:space="preserve">  </w:t>
      </w:r>
      <w:r w:rsidRPr="0013396E">
        <w:t>= [max(0.001, RTRRAWDS</w:t>
      </w:r>
      <w:r w:rsidRPr="0013396E">
        <w:rPr>
          <w:i/>
          <w:vertAlign w:val="subscript"/>
        </w:rPr>
        <w:t xml:space="preserve"> q, r, y</w:t>
      </w:r>
      <w:r w:rsidRPr="0013396E">
        <w:t>) * TLMP</w:t>
      </w:r>
      <w:r w:rsidRPr="0013396E">
        <w:rPr>
          <w:i/>
          <w:vertAlign w:val="subscript"/>
        </w:rPr>
        <w:t xml:space="preserve"> y</w:t>
      </w:r>
      <w:r w:rsidRPr="0013396E">
        <w:t>] / [</w:t>
      </w:r>
      <w:r w:rsidRPr="0013396E">
        <w:rPr>
          <w:b/>
          <w:position w:val="-22"/>
        </w:rPr>
        <w:object w:dxaOrig="285" w:dyaOrig="285" w14:anchorId="662D1769">
          <v:shape id="_x0000_i1286" type="#_x0000_t75" style="width:30pt;height:30pt" o:ole="">
            <v:imagedata r:id="rId20" o:title=""/>
          </v:shape>
          <o:OLEObject Type="Embed" ProgID="Equation.3" ShapeID="_x0000_i1286" DrawAspect="Content" ObjectID="_1849065915" r:id="rId364"/>
        </w:object>
      </w:r>
      <w:r w:rsidRPr="0013396E">
        <w:t>max(0.001,</w:t>
      </w:r>
    </w:p>
    <w:p w14:paraId="48313078" w14:textId="77777777" w:rsidR="00F10AF1" w:rsidRPr="0013396E" w:rsidRDefault="00F10AF1" w:rsidP="00F10AF1">
      <w:pPr>
        <w:pStyle w:val="NoSpacing"/>
        <w:rPr>
          <w:vertAlign w:val="subscript"/>
        </w:rPr>
      </w:pPr>
      <w:r w:rsidRPr="0013396E">
        <w:t xml:space="preserve"> </w:t>
      </w:r>
      <w:r w:rsidRPr="0013396E">
        <w:tab/>
      </w:r>
      <w:r w:rsidRPr="0013396E">
        <w:tab/>
        <w:t xml:space="preserve">                RTRRAWDS</w:t>
      </w:r>
      <w:r w:rsidRPr="0013396E">
        <w:rPr>
          <w:i/>
          <w:vertAlign w:val="subscript"/>
        </w:rPr>
        <w:t xml:space="preserve"> q, r, y</w:t>
      </w:r>
      <w:r w:rsidRPr="0013396E">
        <w:t>) * TLMP</w:t>
      </w:r>
      <w:r w:rsidRPr="0013396E">
        <w:rPr>
          <w:i/>
          <w:vertAlign w:val="subscript"/>
        </w:rPr>
        <w:t xml:space="preserve"> y</w:t>
      </w:r>
      <w:r w:rsidRPr="0013396E">
        <w:t>]</w:t>
      </w:r>
      <w:r w:rsidRPr="0013396E">
        <w:rPr>
          <w:vertAlign w:val="subscript"/>
        </w:rPr>
        <w:t xml:space="preserve"> </w:t>
      </w:r>
    </w:p>
    <w:p w14:paraId="221D49A2" w14:textId="77777777" w:rsidR="00F10AF1" w:rsidRPr="0013396E" w:rsidRDefault="00F10AF1" w:rsidP="00F10AF1">
      <w:pPr>
        <w:spacing w:after="240"/>
        <w:ind w:firstLine="720"/>
      </w:pPr>
      <w:r w:rsidRPr="0013396E">
        <w:t>And:</w:t>
      </w:r>
    </w:p>
    <w:p w14:paraId="589E7DC1" w14:textId="77777777" w:rsidR="00F10AF1" w:rsidRPr="0013396E" w:rsidRDefault="00F10AF1" w:rsidP="00F10AF1">
      <w:pPr>
        <w:spacing w:after="240"/>
        <w:ind w:firstLine="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szCs w:val="24"/>
        </w:rPr>
        <w:object w:dxaOrig="285" w:dyaOrig="285" w14:anchorId="6AE80F2E">
          <v:shape id="_x0000_i1287" type="#_x0000_t75" style="width:18pt;height:24pt" o:ole="">
            <v:imagedata r:id="rId20" o:title=""/>
          </v:shape>
          <o:OLEObject Type="Embed" ProgID="Equation.3" ShapeID="_x0000_i1287" DrawAspect="Content" ObjectID="_1849065916" r:id="rId365"/>
        </w:object>
      </w:r>
      <w:r w:rsidRPr="0013396E">
        <w:t xml:space="preserve">TLMP </w:t>
      </w:r>
      <w:r w:rsidRPr="0013396E">
        <w:rPr>
          <w:i/>
          <w:vertAlign w:val="subscript"/>
        </w:rPr>
        <w:t>y</w:t>
      </w:r>
    </w:p>
    <w:p w14:paraId="534B2DE7"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3C4E08BD"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062CDA20"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01B8C3FD"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28436387" w14:textId="77777777" w:rsidR="00F10AF1" w:rsidRPr="0013396E" w:rsidRDefault="00F10AF1" w:rsidP="0099759E">
            <w:pPr>
              <w:pStyle w:val="TableHead"/>
            </w:pPr>
            <w:r w:rsidRPr="0013396E">
              <w:t>Description</w:t>
            </w:r>
          </w:p>
        </w:tc>
      </w:tr>
      <w:tr w:rsidR="00F10AF1" w:rsidRPr="0013396E" w14:paraId="3E34C8F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8B20B36" w14:textId="77777777" w:rsidR="00F10AF1" w:rsidRPr="0013396E" w:rsidRDefault="00F10AF1" w:rsidP="0099759E">
            <w:pPr>
              <w:pStyle w:val="tablebody0"/>
            </w:pPr>
            <w:r w:rsidRPr="0013396E">
              <w:t xml:space="preserve">RTRRIMBAMT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164D436"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142DDAEF" w14:textId="77777777" w:rsidR="00F10AF1" w:rsidRPr="0013396E" w:rsidRDefault="00F10AF1" w:rsidP="0099759E">
            <w:pPr>
              <w:pStyle w:val="tablebody0"/>
              <w:rPr>
                <w:i/>
              </w:rPr>
            </w:pPr>
            <w:r w:rsidRPr="0013396E">
              <w:rPr>
                <w:i/>
              </w:rPr>
              <w:t>Real-Time Responsive Reserve Imbalance Amount for the QSE</w:t>
            </w:r>
            <w:r w:rsidRPr="0013396E">
              <w:t xml:space="preserve">—The total payment or charge to QSE </w:t>
            </w:r>
            <w:r w:rsidRPr="0013396E">
              <w:rPr>
                <w:i/>
              </w:rPr>
              <w:t>q</w:t>
            </w:r>
            <w:r w:rsidRPr="0013396E">
              <w:t xml:space="preserve"> for the Real-Time RRS imbalance for each 15-minute Settlement Interval.</w:t>
            </w:r>
          </w:p>
        </w:tc>
      </w:tr>
      <w:tr w:rsidR="00F10AF1" w:rsidRPr="0013396E" w14:paraId="2AACE58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A0E44F3" w14:textId="77777777" w:rsidR="00F10AF1" w:rsidRPr="0013396E" w:rsidRDefault="00F10AF1" w:rsidP="0099759E">
            <w:pPr>
              <w:pStyle w:val="tablebody0"/>
            </w:pPr>
            <w:r w:rsidRPr="0013396E">
              <w:lastRenderedPageBreak/>
              <w:t>RTRRAWD</w:t>
            </w:r>
            <w:r w:rsidRPr="0013396E">
              <w:rPr>
                <w:i/>
                <w:vertAlign w:val="subscript"/>
              </w:rPr>
              <w:t xml:space="preserve"> q, r</w:t>
            </w:r>
          </w:p>
        </w:tc>
        <w:tc>
          <w:tcPr>
            <w:tcW w:w="623" w:type="pct"/>
            <w:tcBorders>
              <w:top w:val="single" w:sz="4" w:space="0" w:color="auto"/>
              <w:left w:val="single" w:sz="4" w:space="0" w:color="auto"/>
              <w:bottom w:val="single" w:sz="4" w:space="0" w:color="auto"/>
              <w:right w:val="single" w:sz="4" w:space="0" w:color="auto"/>
            </w:tcBorders>
            <w:hideMark/>
          </w:tcPr>
          <w:p w14:paraId="6077C34A"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D8BE3BE" w14:textId="77777777" w:rsidR="00F10AF1" w:rsidRPr="0013396E" w:rsidRDefault="00F10AF1" w:rsidP="0099759E">
            <w:pPr>
              <w:pStyle w:val="tablebody0"/>
              <w:rPr>
                <w:i/>
              </w:rPr>
            </w:pPr>
            <w:r w:rsidRPr="0013396E">
              <w:rPr>
                <w:i/>
              </w:rPr>
              <w:t>Real-Time Responsive Reserve Award per Resource per QSE</w:t>
            </w:r>
            <w:r w:rsidRPr="0013396E">
              <w:t xml:space="preserve">—The RRS amount awarded to QSE </w:t>
            </w:r>
            <w:r w:rsidRPr="0013396E">
              <w:rPr>
                <w:i/>
              </w:rPr>
              <w:t>q</w:t>
            </w:r>
            <w:r w:rsidRPr="0013396E">
              <w:t xml:space="preserve"> for Resource </w:t>
            </w:r>
            <w:r w:rsidRPr="0013396E">
              <w:rPr>
                <w:i/>
              </w:rPr>
              <w:t>r</w:t>
            </w:r>
            <w:r w:rsidRPr="0013396E">
              <w:t xml:space="preserve"> in Real-Time </w:t>
            </w:r>
            <w:r w:rsidRPr="0013396E">
              <w:rPr>
                <w:szCs w:val="18"/>
              </w:rPr>
              <w:t xml:space="preserve">for the </w:t>
            </w:r>
            <w:r w:rsidRPr="0013396E">
              <w:t xml:space="preserve">15-minute Settlement Interval.  Where for a Combined Cycle Train, the Resource </w:t>
            </w:r>
            <w:r w:rsidRPr="0013396E">
              <w:rPr>
                <w:i/>
              </w:rPr>
              <w:t xml:space="preserve">r </w:t>
            </w:r>
            <w:r w:rsidRPr="0013396E">
              <w:t>is the Combined Cycle Train.</w:t>
            </w:r>
          </w:p>
        </w:tc>
      </w:tr>
      <w:tr w:rsidR="00F10AF1" w:rsidRPr="0013396E" w14:paraId="6C93764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5EDA53C" w14:textId="77777777" w:rsidR="00F10AF1" w:rsidRPr="0013396E" w:rsidRDefault="00F10AF1" w:rsidP="0099759E">
            <w:pPr>
              <w:pStyle w:val="tablebody0"/>
            </w:pPr>
            <w:r w:rsidRPr="0013396E">
              <w:t xml:space="preserve">RTRRREV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48E8D60C"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27686FBD" w14:textId="77777777" w:rsidR="00F10AF1" w:rsidRPr="0013396E" w:rsidRDefault="00F10AF1" w:rsidP="0099759E">
            <w:pPr>
              <w:pStyle w:val="tablebody0"/>
              <w:rPr>
                <w:i/>
              </w:rPr>
            </w:pPr>
            <w:r w:rsidRPr="0013396E">
              <w:rPr>
                <w:i/>
              </w:rPr>
              <w:t>Real-Time Responsive Reserve Revenue</w:t>
            </w:r>
            <w:r w:rsidRPr="0013396E">
              <w:t xml:space="preserve">—The Real-Time RRS revenue for QSE </w:t>
            </w:r>
            <w:r w:rsidRPr="0013396E">
              <w:rPr>
                <w:i/>
              </w:rPr>
              <w:t xml:space="preserve">q </w:t>
            </w:r>
            <w:r w:rsidRPr="0013396E">
              <w:t xml:space="preserve">calculated for Resource </w:t>
            </w:r>
            <w:r w:rsidRPr="0013396E">
              <w:rPr>
                <w:i/>
              </w:rPr>
              <w:t xml:space="preserve">r </w:t>
            </w:r>
            <w:r w:rsidRPr="0013396E">
              <w:t xml:space="preserve">for the 15-minute Settlement Interval.  Where for a Combined Cycle Train, the Resource </w:t>
            </w:r>
            <w:r w:rsidRPr="0013396E">
              <w:rPr>
                <w:i/>
              </w:rPr>
              <w:t>r</w:t>
            </w:r>
            <w:r w:rsidRPr="0013396E">
              <w:t xml:space="preserve"> is the Combined Cycle Train.</w:t>
            </w:r>
          </w:p>
        </w:tc>
      </w:tr>
      <w:tr w:rsidR="00F10AF1" w:rsidRPr="0013396E" w14:paraId="0C0DB59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02D9314" w14:textId="77777777" w:rsidR="00F10AF1" w:rsidRPr="0013396E" w:rsidRDefault="00F10AF1" w:rsidP="0099759E">
            <w:pPr>
              <w:pStyle w:val="tablebody0"/>
            </w:pPr>
            <w:r w:rsidRPr="0013396E">
              <w:t xml:space="preserve">RTRDPARRS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F7047E6"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183101B" w14:textId="77777777" w:rsidR="00F10AF1" w:rsidRPr="0013396E" w:rsidRDefault="00F10AF1" w:rsidP="0099759E">
            <w:pPr>
              <w:pStyle w:val="tablebody0"/>
            </w:pPr>
            <w:r w:rsidRPr="0013396E">
              <w:rPr>
                <w:i/>
              </w:rPr>
              <w:t>Real-Time Reliability Deployment Price Adder for Ancillary Service for Responsive Reserve per SCED interval</w:t>
            </w:r>
            <w:r w:rsidRPr="0013396E">
              <w:rPr>
                <w:iCs/>
              </w:rPr>
              <w:t>—</w:t>
            </w:r>
            <w:r w:rsidRPr="0013396E">
              <w:t xml:space="preserve">The Real-Time price adder for RRS that captures the impact of reliability deployments on RRS prices for the SCED interval </w:t>
            </w:r>
            <w:r w:rsidRPr="0013396E">
              <w:rPr>
                <w:i/>
                <w:iCs/>
              </w:rPr>
              <w:t>y</w:t>
            </w:r>
            <w:r w:rsidRPr="0013396E">
              <w:t xml:space="preserve">. </w:t>
            </w:r>
          </w:p>
        </w:tc>
      </w:tr>
      <w:tr w:rsidR="00F10AF1" w:rsidRPr="0013396E" w14:paraId="0CBA8DDB"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4FB931C" w14:textId="77777777" w:rsidR="00F10AF1" w:rsidRPr="0013396E" w:rsidRDefault="00F10AF1" w:rsidP="0099759E">
            <w:pPr>
              <w:pStyle w:val="tablebody0"/>
            </w:pPr>
            <w:r w:rsidRPr="0013396E">
              <w:t xml:space="preserve">RTRRAWDS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42475052"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4E127A4" w14:textId="77777777" w:rsidR="00F10AF1" w:rsidRPr="0013396E" w:rsidRDefault="00F10AF1" w:rsidP="0099759E">
            <w:pPr>
              <w:pStyle w:val="tablebody0"/>
              <w:rPr>
                <w:i/>
              </w:rPr>
            </w:pPr>
            <w:r w:rsidRPr="0013396E">
              <w:rPr>
                <w:i/>
              </w:rPr>
              <w:t>Real-Time Responsive Reserve Award per Resource per QSE per SCED interval</w:t>
            </w:r>
            <w:r w:rsidRPr="0013396E">
              <w:rPr>
                <w:iCs/>
              </w:rPr>
              <w:t>—</w:t>
            </w:r>
            <w:r w:rsidRPr="0013396E">
              <w:t xml:space="preserve">The RRS amount awarded to QSE </w:t>
            </w:r>
            <w:r w:rsidRPr="0013396E">
              <w:rPr>
                <w:i/>
              </w:rPr>
              <w:t>q</w:t>
            </w:r>
            <w:r w:rsidRPr="0013396E">
              <w:t xml:space="preserve"> for Resource </w:t>
            </w:r>
            <w:r w:rsidRPr="0013396E">
              <w:rPr>
                <w:i/>
              </w:rPr>
              <w:t>r</w:t>
            </w:r>
            <w:r w:rsidRPr="0013396E">
              <w:t xml:space="preserve"> in Real-Time for the SCED interval </w:t>
            </w:r>
            <w:r w:rsidRPr="0013396E">
              <w:rPr>
                <w:i/>
              </w:rPr>
              <w:t xml:space="preserve">y.  </w:t>
            </w:r>
            <w:r w:rsidRPr="0013396E">
              <w:t xml:space="preserve">Where for a Combined Cycle Train, the Resource </w:t>
            </w:r>
            <w:r w:rsidRPr="0013396E">
              <w:rPr>
                <w:i/>
              </w:rPr>
              <w:t xml:space="preserve">r </w:t>
            </w:r>
            <w:r w:rsidRPr="0013396E">
              <w:t>is a Combined Cycle Generation Resource within the Combined Cycle Train.</w:t>
            </w:r>
          </w:p>
        </w:tc>
      </w:tr>
      <w:tr w:rsidR="00F10AF1" w:rsidRPr="0013396E" w14:paraId="3C472C0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BE0C4C7" w14:textId="77777777" w:rsidR="00F10AF1" w:rsidRPr="0013396E" w:rsidRDefault="00F10AF1" w:rsidP="0099759E">
            <w:pPr>
              <w:pStyle w:val="tablebody0"/>
            </w:pPr>
            <w:r w:rsidRPr="0013396E">
              <w:t xml:space="preserve">RTMCPCRRR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28E9E54E"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00EA11A" w14:textId="77777777" w:rsidR="00F10AF1" w:rsidRPr="0013396E" w:rsidRDefault="00F10AF1" w:rsidP="0099759E">
            <w:pPr>
              <w:pStyle w:val="tablebody0"/>
              <w:rPr>
                <w:iCs/>
              </w:rPr>
            </w:pPr>
            <w:r w:rsidRPr="0013396E">
              <w:rPr>
                <w:i/>
              </w:rPr>
              <w:t>Real-Time Market Clearing Price for Capacity for Responsive Reserve per Resource per QSE</w:t>
            </w:r>
            <w:r w:rsidRPr="0013396E">
              <w:sym w:font="Symbol" w:char="F0BE"/>
            </w:r>
            <w:r w:rsidRPr="0013396E">
              <w:t xml:space="preserve">The Real-Time MCPC for RRS for Resource </w:t>
            </w:r>
            <w:r w:rsidRPr="0013396E">
              <w:rPr>
                <w:i/>
              </w:rPr>
              <w:t>r</w:t>
            </w:r>
            <w:r w:rsidRPr="0013396E">
              <w:t xml:space="preserve">, represented by QSE </w:t>
            </w:r>
            <w:r w:rsidRPr="0013396E">
              <w:rPr>
                <w:i/>
              </w:rPr>
              <w:t xml:space="preserve">q </w:t>
            </w:r>
            <w:r w:rsidRPr="0013396E">
              <w:t xml:space="preserve">for the 15-minute Settlement Interval.  Where for a Combined Cycle Train, the Resource </w:t>
            </w:r>
            <w:r w:rsidRPr="0013396E">
              <w:rPr>
                <w:i/>
              </w:rPr>
              <w:t>r</w:t>
            </w:r>
            <w:r w:rsidRPr="0013396E">
              <w:t xml:space="preserve"> is the Combined Cycle Train.</w:t>
            </w:r>
          </w:p>
        </w:tc>
      </w:tr>
      <w:tr w:rsidR="00F10AF1" w:rsidRPr="0013396E" w14:paraId="6707563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170CA42" w14:textId="77777777" w:rsidR="00F10AF1" w:rsidRPr="0013396E" w:rsidRDefault="00F10AF1" w:rsidP="0099759E">
            <w:pPr>
              <w:pStyle w:val="tablebody0"/>
            </w:pPr>
            <w:r w:rsidRPr="0013396E">
              <w:t>RTMCPCRRS</w:t>
            </w:r>
            <w:r w:rsidRPr="0013396E">
              <w:rPr>
                <w:i/>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2F0C04E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7B257506" w14:textId="77777777" w:rsidR="00F10AF1" w:rsidRPr="0013396E" w:rsidRDefault="00F10AF1" w:rsidP="0099759E">
            <w:pPr>
              <w:pStyle w:val="tablebody0"/>
              <w:rPr>
                <w:i/>
              </w:rPr>
            </w:pPr>
            <w:r w:rsidRPr="0013396E">
              <w:rPr>
                <w:i/>
              </w:rPr>
              <w:t>Real-Time Market Clearing Price for Capacity for Responsive Reserve per SCED interval</w:t>
            </w:r>
            <w:r w:rsidRPr="0013396E">
              <w:rPr>
                <w:iCs/>
              </w:rPr>
              <w:t>—</w:t>
            </w:r>
            <w:r w:rsidRPr="0013396E">
              <w:t xml:space="preserve">The Real-Time MCPC for RRS for the SCED interval </w:t>
            </w:r>
            <w:r w:rsidRPr="0013396E">
              <w:rPr>
                <w:i/>
              </w:rPr>
              <w:t>y.</w:t>
            </w:r>
          </w:p>
        </w:tc>
      </w:tr>
      <w:tr w:rsidR="00F10AF1" w:rsidRPr="0013396E" w14:paraId="1DF01C9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F83AA0B" w14:textId="77777777" w:rsidR="00F10AF1" w:rsidRPr="0013396E" w:rsidRDefault="00F10AF1" w:rsidP="0099759E">
            <w:pPr>
              <w:pStyle w:val="tablebody0"/>
            </w:pPr>
            <w:r w:rsidRPr="0013396E">
              <w:t xml:space="preserve">PCRRR </w:t>
            </w:r>
            <w:r w:rsidRPr="0013396E">
              <w:rPr>
                <w:i/>
                <w:vertAlign w:val="subscript"/>
              </w:rPr>
              <w:t>r,</w:t>
            </w:r>
            <w:r w:rsidRPr="0013396E">
              <w:rPr>
                <w:i/>
              </w:rPr>
              <w:t xml:space="preserve"> </w:t>
            </w:r>
            <w:r w:rsidRPr="0013396E">
              <w:rPr>
                <w:i/>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191F199A"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925E5DC" w14:textId="77777777" w:rsidR="00F10AF1" w:rsidRPr="0013396E" w:rsidRDefault="00F10AF1" w:rsidP="0099759E">
            <w:pPr>
              <w:pStyle w:val="tablebody0"/>
              <w:rPr>
                <w:i/>
              </w:rPr>
            </w:pPr>
            <w:r w:rsidRPr="0013396E">
              <w:rPr>
                <w:i/>
              </w:rPr>
              <w:t>Procured Capacity for Responsive Reserve per Resource per QSE in DAM</w:t>
            </w:r>
            <w:r w:rsidRPr="0013396E">
              <w:t xml:space="preserve">—The RRS capacity awarded to QSE </w:t>
            </w:r>
            <w:r w:rsidRPr="0013396E">
              <w:rPr>
                <w:i/>
              </w:rPr>
              <w:t>q</w:t>
            </w:r>
            <w:r w:rsidRPr="0013396E">
              <w:t xml:space="preserve"> in the DAM for Resource </w:t>
            </w:r>
            <w:r w:rsidRPr="0013396E">
              <w:rPr>
                <w:i/>
              </w:rPr>
              <w:t>r</w:t>
            </w:r>
            <w:r w:rsidRPr="0013396E">
              <w:t xml:space="preserve"> for the </w:t>
            </w:r>
            <w:r w:rsidRPr="0013396E">
              <w:rPr>
                <w:szCs w:val="18"/>
              </w:rPr>
              <w:t>Operating Hour</w:t>
            </w:r>
            <w:r w:rsidRPr="0013396E">
              <w:t xml:space="preserve">.  Where for a Combined Cycle Train, the Resource </w:t>
            </w:r>
            <w:r w:rsidRPr="0013396E">
              <w:rPr>
                <w:i/>
              </w:rPr>
              <w:t xml:space="preserve">r </w:t>
            </w:r>
            <w:r w:rsidRPr="0013396E">
              <w:t>is a Combined Cycle Generation Resource within the Combined Cycle Train.</w:t>
            </w:r>
          </w:p>
        </w:tc>
      </w:tr>
      <w:tr w:rsidR="00F10AF1" w:rsidRPr="0013396E" w14:paraId="4BEFE241" w14:textId="77777777" w:rsidTr="0099759E">
        <w:trPr>
          <w:cantSplit/>
        </w:trPr>
        <w:tc>
          <w:tcPr>
            <w:tcW w:w="1279" w:type="pct"/>
            <w:tcBorders>
              <w:top w:val="single" w:sz="4" w:space="0" w:color="auto"/>
              <w:left w:val="single" w:sz="4" w:space="0" w:color="auto"/>
              <w:bottom w:val="single" w:sz="4" w:space="0" w:color="auto"/>
              <w:right w:val="single" w:sz="4" w:space="0" w:color="auto"/>
            </w:tcBorders>
          </w:tcPr>
          <w:p w14:paraId="1F8677E6" w14:textId="77777777" w:rsidR="00F10AF1" w:rsidRPr="0013396E" w:rsidRDefault="00F10AF1" w:rsidP="0099759E">
            <w:pPr>
              <w:pStyle w:val="tablebody0"/>
            </w:pPr>
            <w:r w:rsidRPr="0013396E">
              <w:t>RTMCPCRR</w:t>
            </w:r>
          </w:p>
          <w:p w14:paraId="04B26343" w14:textId="77777777" w:rsidR="00F10AF1" w:rsidRPr="0013396E" w:rsidRDefault="00F10AF1" w:rsidP="0099759E">
            <w:pPr>
              <w:pStyle w:val="tablebody0"/>
            </w:pPr>
          </w:p>
        </w:tc>
        <w:tc>
          <w:tcPr>
            <w:tcW w:w="623" w:type="pct"/>
            <w:tcBorders>
              <w:top w:val="single" w:sz="4" w:space="0" w:color="auto"/>
              <w:left w:val="single" w:sz="4" w:space="0" w:color="auto"/>
              <w:bottom w:val="single" w:sz="4" w:space="0" w:color="auto"/>
              <w:right w:val="single" w:sz="4" w:space="0" w:color="auto"/>
            </w:tcBorders>
            <w:hideMark/>
          </w:tcPr>
          <w:p w14:paraId="4A96B75D"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3054334" w14:textId="77777777" w:rsidR="00F10AF1" w:rsidRPr="0013396E" w:rsidRDefault="00F10AF1" w:rsidP="0099759E">
            <w:pPr>
              <w:pStyle w:val="tablebody0"/>
              <w:rPr>
                <w:i/>
              </w:rPr>
            </w:pPr>
            <w:r w:rsidRPr="0013396E">
              <w:rPr>
                <w:i/>
              </w:rPr>
              <w:t>Real-Time Market Clearing Price for Capacity for Responsive Reserve</w:t>
            </w:r>
            <w:r w:rsidRPr="0013396E">
              <w:rPr>
                <w:iCs/>
              </w:rPr>
              <w:t>—</w:t>
            </w:r>
            <w:r w:rsidRPr="0013396E">
              <w:t>The Real-Time MCPC for RRS for the 15-minute Settlement Interval.</w:t>
            </w:r>
          </w:p>
        </w:tc>
      </w:tr>
      <w:tr w:rsidR="00F10AF1" w:rsidRPr="0013396E" w14:paraId="3CCB05E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CC7B293" w14:textId="77777777" w:rsidR="00F10AF1" w:rsidRPr="0013396E" w:rsidRDefault="00F10AF1" w:rsidP="0099759E">
            <w:pPr>
              <w:pStyle w:val="tablebody0"/>
            </w:pPr>
            <w:r w:rsidRPr="0013396E">
              <w:t>DASARRQ</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241A9EE0"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C4DB950" w14:textId="77777777" w:rsidR="00F10AF1" w:rsidRPr="0013396E" w:rsidRDefault="00F10AF1" w:rsidP="0099759E">
            <w:pPr>
              <w:pStyle w:val="tablebody0"/>
              <w:rPr>
                <w:i/>
              </w:rPr>
            </w:pPr>
            <w:r w:rsidRPr="0013396E">
              <w:rPr>
                <w:i/>
                <w:iCs/>
              </w:rPr>
              <w:t>Day-Ahead Self-Arranged Responsive Reserve Quantity per QSE</w:t>
            </w:r>
            <w:r w:rsidRPr="0013396E">
              <w:rPr>
                <w:iCs/>
              </w:rPr>
              <w:t xml:space="preserve">—The self-arranged RRS quantity submitted by QSE </w:t>
            </w:r>
            <w:r w:rsidRPr="0013396E">
              <w:rPr>
                <w:i/>
                <w:iCs/>
              </w:rPr>
              <w:t>q</w:t>
            </w:r>
            <w:r w:rsidRPr="0013396E">
              <w:rPr>
                <w:iCs/>
              </w:rPr>
              <w:t xml:space="preserve"> before 1000 in the DAM for the Operating Hour.</w:t>
            </w:r>
          </w:p>
        </w:tc>
      </w:tr>
      <w:tr w:rsidR="00F10AF1" w:rsidRPr="0013396E" w14:paraId="79FFA9C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3AE78EF" w14:textId="77777777" w:rsidR="00F10AF1" w:rsidRPr="0013396E" w:rsidRDefault="00F10AF1" w:rsidP="0099759E">
            <w:pPr>
              <w:pStyle w:val="tablebody0"/>
            </w:pPr>
            <w:r w:rsidRPr="0013396E">
              <w:t>RRTP</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676258FD"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2FCDEE4" w14:textId="77777777" w:rsidR="00F10AF1" w:rsidRPr="0013396E" w:rsidRDefault="00F10AF1" w:rsidP="0099759E">
            <w:pPr>
              <w:pStyle w:val="tablebody0"/>
              <w:rPr>
                <w:i/>
              </w:rPr>
            </w:pPr>
            <w:r w:rsidRPr="0013396E">
              <w:rPr>
                <w:i/>
              </w:rPr>
              <w:t>Trade Purchases for Responsive Reserve for the QSE</w:t>
            </w:r>
            <w:r w:rsidRPr="0013396E">
              <w:rPr>
                <w:i/>
                <w:szCs w:val="18"/>
              </w:rPr>
              <w:t>—</w:t>
            </w:r>
            <w:r w:rsidRPr="0013396E">
              <w:rPr>
                <w:szCs w:val="18"/>
              </w:rPr>
              <w:t xml:space="preserve">The trade purchases for QSE </w:t>
            </w:r>
            <w:r w:rsidRPr="0013396E">
              <w:rPr>
                <w:i/>
                <w:szCs w:val="18"/>
              </w:rPr>
              <w:t>q</w:t>
            </w:r>
            <w:r w:rsidRPr="0013396E">
              <w:rPr>
                <w:szCs w:val="18"/>
              </w:rPr>
              <w:t xml:space="preserve"> for RRS for the Operating Hour.</w:t>
            </w:r>
          </w:p>
        </w:tc>
      </w:tr>
      <w:tr w:rsidR="00F10AF1" w:rsidRPr="0013396E" w14:paraId="579C2CA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020B558" w14:textId="77777777" w:rsidR="00F10AF1" w:rsidRPr="0013396E" w:rsidRDefault="00F10AF1" w:rsidP="0099759E">
            <w:pPr>
              <w:pStyle w:val="tablebody0"/>
            </w:pPr>
            <w:r w:rsidRPr="0013396E">
              <w:t xml:space="preserve">RRTS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1D9D59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7CE4263F" w14:textId="77777777" w:rsidR="00F10AF1" w:rsidRPr="0013396E" w:rsidRDefault="00F10AF1" w:rsidP="0099759E">
            <w:pPr>
              <w:pStyle w:val="tablebody0"/>
              <w:rPr>
                <w:i/>
              </w:rPr>
            </w:pPr>
            <w:r w:rsidRPr="0013396E">
              <w:rPr>
                <w:i/>
              </w:rPr>
              <w:t>Trade Sales for Responsive Reserve for the QSE</w:t>
            </w:r>
            <w:r w:rsidRPr="0013396E">
              <w:rPr>
                <w:i/>
                <w:szCs w:val="18"/>
              </w:rPr>
              <w:t>—</w:t>
            </w:r>
            <w:r w:rsidRPr="0013396E">
              <w:rPr>
                <w:szCs w:val="18"/>
              </w:rPr>
              <w:t xml:space="preserve">The trade sales for QSE </w:t>
            </w:r>
            <w:r w:rsidRPr="0013396E">
              <w:rPr>
                <w:i/>
                <w:szCs w:val="18"/>
              </w:rPr>
              <w:t>q</w:t>
            </w:r>
            <w:r w:rsidRPr="0013396E">
              <w:rPr>
                <w:szCs w:val="18"/>
              </w:rPr>
              <w:t xml:space="preserve"> for RRS for the Operating Hour.</w:t>
            </w:r>
          </w:p>
        </w:tc>
      </w:tr>
      <w:tr w:rsidR="00F10AF1" w:rsidRPr="0013396E" w14:paraId="3F636CE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D6A06EB" w14:textId="77777777" w:rsidR="00F10AF1" w:rsidRPr="0013396E" w:rsidRDefault="00F10AF1" w:rsidP="0099759E">
            <w:pPr>
              <w:pStyle w:val="tablebody0"/>
            </w:pPr>
            <w:r w:rsidRPr="0013396E">
              <w:t xml:space="preserve">TLMP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07982FB4" w14:textId="77777777" w:rsidR="00F10AF1" w:rsidRPr="0013396E" w:rsidRDefault="00F10AF1" w:rsidP="0099759E">
            <w:pPr>
              <w:pStyle w:val="tablebody0"/>
            </w:pPr>
            <w:r w:rsidRPr="0013396E">
              <w:t>second</w:t>
            </w:r>
          </w:p>
        </w:tc>
        <w:tc>
          <w:tcPr>
            <w:tcW w:w="3098" w:type="pct"/>
            <w:tcBorders>
              <w:top w:val="single" w:sz="4" w:space="0" w:color="auto"/>
              <w:left w:val="single" w:sz="4" w:space="0" w:color="auto"/>
              <w:bottom w:val="single" w:sz="4" w:space="0" w:color="auto"/>
              <w:right w:val="single" w:sz="4" w:space="0" w:color="auto"/>
            </w:tcBorders>
            <w:hideMark/>
          </w:tcPr>
          <w:p w14:paraId="746AC70E" w14:textId="77777777" w:rsidR="00F10AF1" w:rsidRPr="0013396E" w:rsidRDefault="00F10AF1" w:rsidP="0099759E">
            <w:pPr>
              <w:pStyle w:val="tablebody0"/>
              <w:rPr>
                <w:i/>
              </w:rPr>
            </w:pPr>
            <w:r w:rsidRPr="0013396E">
              <w:rPr>
                <w:i/>
                <w:iCs/>
              </w:rPr>
              <w:t xml:space="preserve">Duration of </w:t>
            </w:r>
            <w:r w:rsidRPr="0013396E">
              <w:rPr>
                <w:i/>
              </w:rPr>
              <w:t>SCED</w:t>
            </w:r>
            <w:r w:rsidRPr="0013396E">
              <w:rPr>
                <w:i/>
                <w:iCs/>
              </w:rPr>
              <w:t xml:space="preserve"> interval per interval</w:t>
            </w:r>
            <w:r w:rsidRPr="0013396E">
              <w:rPr>
                <w:iCs/>
              </w:rPr>
              <w:t>—</w:t>
            </w:r>
            <w:r w:rsidRPr="0013396E">
              <w:t xml:space="preserve">The duration of the SCED interval </w:t>
            </w:r>
            <w:r w:rsidRPr="0013396E">
              <w:rPr>
                <w:i/>
                <w:iCs/>
              </w:rPr>
              <w:t>y</w:t>
            </w:r>
            <w:r w:rsidRPr="0013396E">
              <w:t>.</w:t>
            </w:r>
          </w:p>
        </w:tc>
      </w:tr>
      <w:tr w:rsidR="00F10AF1" w:rsidRPr="0013396E" w14:paraId="7CEC54F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455CDD5" w14:textId="77777777" w:rsidR="00F10AF1" w:rsidRPr="0013396E" w:rsidRDefault="00F10AF1" w:rsidP="0099759E">
            <w:pPr>
              <w:pStyle w:val="tablebody0"/>
            </w:pPr>
            <w:r w:rsidRPr="0013396E">
              <w:t xml:space="preserve">RNWF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4AC63E25"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324ADC25" w14:textId="77777777" w:rsidR="00F10AF1" w:rsidRPr="0013396E" w:rsidRDefault="00F10AF1" w:rsidP="0099759E">
            <w:pPr>
              <w:pStyle w:val="tablebody0"/>
              <w:rPr>
                <w:i/>
              </w:rPr>
            </w:pPr>
            <w:r w:rsidRPr="0013396E">
              <w:rPr>
                <w:i/>
              </w:rPr>
              <w:t>Resource Node Weighting Factor per interval</w:t>
            </w:r>
            <w:r w:rsidRPr="0013396E">
              <w:rPr>
                <w:iCs/>
              </w:rPr>
              <w:t>—</w:t>
            </w:r>
            <w:r w:rsidRPr="0013396E">
              <w:t xml:space="preserve">The weight used in the Ancillary Service award calculation for the portion of the SCED interval </w:t>
            </w:r>
            <w:r w:rsidRPr="0013396E">
              <w:rPr>
                <w:i/>
                <w:iCs/>
              </w:rPr>
              <w:t>y</w:t>
            </w:r>
            <w:r w:rsidRPr="0013396E">
              <w:t xml:space="preserve"> within the Settlement Interval.</w:t>
            </w:r>
          </w:p>
        </w:tc>
      </w:tr>
      <w:tr w:rsidR="00F10AF1" w:rsidRPr="0013396E" w14:paraId="7206457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183E27F" w14:textId="77777777" w:rsidR="00F10AF1" w:rsidRPr="0013396E" w:rsidRDefault="00F10AF1" w:rsidP="0099759E">
            <w:pPr>
              <w:pStyle w:val="tablebody0"/>
            </w:pPr>
            <w:r w:rsidRPr="0013396E">
              <w:lastRenderedPageBreak/>
              <w:t xml:space="preserve">RRRWF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0B94CB20"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66414BD0" w14:textId="77777777" w:rsidR="00F10AF1" w:rsidRPr="0013396E" w:rsidRDefault="00F10AF1" w:rsidP="0099759E">
            <w:pPr>
              <w:pStyle w:val="tablebody0"/>
              <w:rPr>
                <w:i/>
              </w:rPr>
            </w:pPr>
            <w:r w:rsidRPr="0013396E">
              <w:rPr>
                <w:i/>
              </w:rPr>
              <w:t>Responsive Reserve Resource Node Weighting Factor per interval</w:t>
            </w:r>
            <w:r w:rsidRPr="0013396E">
              <w:rPr>
                <w:iCs/>
              </w:rPr>
              <w:t>—</w:t>
            </w:r>
            <w:r w:rsidRPr="0013396E">
              <w:t xml:space="preserve">The RRS Resource weight, based on RRS awards, used in the Real-Time MCPC calculation for the portion of the SCED interval </w:t>
            </w:r>
            <w:r w:rsidRPr="0013396E">
              <w:rPr>
                <w:i/>
              </w:rPr>
              <w:t>y</w:t>
            </w:r>
            <w:r w:rsidRPr="0013396E">
              <w:t xml:space="preserve"> within the Settlement Interval.  Where for a Combined Cycle Train, the Resource </w:t>
            </w:r>
            <w:r w:rsidRPr="0013396E">
              <w:rPr>
                <w:i/>
              </w:rPr>
              <w:t xml:space="preserve">r </w:t>
            </w:r>
            <w:r w:rsidRPr="0013396E">
              <w:t xml:space="preserve">is a Combined Cycle Generation Resource within the Combined Cycle Train.   </w:t>
            </w:r>
          </w:p>
        </w:tc>
      </w:tr>
      <w:tr w:rsidR="00F10AF1" w:rsidRPr="0013396E" w14:paraId="02263ED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5A33347" w14:textId="77777777" w:rsidR="00F10AF1" w:rsidRPr="0013396E" w:rsidRDefault="00F10AF1" w:rsidP="0099759E">
            <w:pPr>
              <w:pStyle w:val="tablebody0"/>
            </w:pPr>
            <w:r w:rsidRPr="0013396E">
              <w:rPr>
                <w:i/>
              </w:rPr>
              <w:t>r</w:t>
            </w:r>
          </w:p>
        </w:tc>
        <w:tc>
          <w:tcPr>
            <w:tcW w:w="623" w:type="pct"/>
            <w:tcBorders>
              <w:top w:val="single" w:sz="4" w:space="0" w:color="auto"/>
              <w:left w:val="single" w:sz="4" w:space="0" w:color="auto"/>
              <w:bottom w:val="single" w:sz="4" w:space="0" w:color="auto"/>
              <w:right w:val="single" w:sz="4" w:space="0" w:color="auto"/>
            </w:tcBorders>
            <w:hideMark/>
          </w:tcPr>
          <w:p w14:paraId="10F31738"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58CE6C86" w14:textId="77777777" w:rsidR="00F10AF1" w:rsidRPr="0013396E" w:rsidRDefault="00F10AF1" w:rsidP="0099759E">
            <w:pPr>
              <w:pStyle w:val="tablebody0"/>
              <w:rPr>
                <w:i/>
              </w:rPr>
            </w:pPr>
            <w:r w:rsidRPr="0013396E">
              <w:t>A Resource.</w:t>
            </w:r>
          </w:p>
        </w:tc>
      </w:tr>
      <w:tr w:rsidR="00F10AF1" w:rsidRPr="0013396E" w14:paraId="4F6EFD9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044FEF2"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41F538AC"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778BF626" w14:textId="77777777" w:rsidR="00F10AF1" w:rsidRPr="0013396E" w:rsidRDefault="00F10AF1" w:rsidP="0099759E">
            <w:pPr>
              <w:pStyle w:val="tablebody0"/>
            </w:pPr>
            <w:r w:rsidRPr="0013396E">
              <w:t>A QSE.</w:t>
            </w:r>
          </w:p>
        </w:tc>
      </w:tr>
      <w:tr w:rsidR="00F10AF1" w:rsidRPr="0013396E" w14:paraId="7F6E89C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002CE49" w14:textId="77777777" w:rsidR="00F10AF1" w:rsidRPr="0013396E" w:rsidRDefault="00F10AF1" w:rsidP="0099759E">
            <w:pPr>
              <w:pStyle w:val="tablebody0"/>
              <w:rPr>
                <w:i/>
              </w:rPr>
            </w:pPr>
            <w:r w:rsidRPr="0013396E">
              <w:rPr>
                <w:i/>
              </w:rPr>
              <w:t>y</w:t>
            </w:r>
          </w:p>
        </w:tc>
        <w:tc>
          <w:tcPr>
            <w:tcW w:w="623" w:type="pct"/>
            <w:tcBorders>
              <w:top w:val="single" w:sz="4" w:space="0" w:color="auto"/>
              <w:left w:val="single" w:sz="4" w:space="0" w:color="auto"/>
              <w:bottom w:val="single" w:sz="4" w:space="0" w:color="auto"/>
              <w:right w:val="single" w:sz="4" w:space="0" w:color="auto"/>
            </w:tcBorders>
            <w:hideMark/>
          </w:tcPr>
          <w:p w14:paraId="36B0B736"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347173A6" w14:textId="77777777" w:rsidR="00F10AF1" w:rsidRPr="0013396E" w:rsidRDefault="00F10AF1" w:rsidP="0099759E">
            <w:pPr>
              <w:pStyle w:val="tablebody0"/>
            </w:pPr>
            <w:r w:rsidRPr="0013396E">
              <w:t>A SCED interval in the 15-minute Settlement Interval.</w:t>
            </w:r>
          </w:p>
        </w:tc>
      </w:tr>
    </w:tbl>
    <w:p w14:paraId="4EA7CB3D" w14:textId="77777777" w:rsidR="00F10AF1" w:rsidRPr="0013396E" w:rsidRDefault="00F10AF1" w:rsidP="00F10AF1">
      <w:pPr>
        <w:spacing w:before="240" w:after="240"/>
      </w:pPr>
      <w:r w:rsidRPr="0013396E">
        <w:t>(2)</w:t>
      </w:r>
      <w:r w:rsidRPr="0013396E">
        <w:tab/>
        <w:t>RRS Only Charge:</w:t>
      </w:r>
    </w:p>
    <w:p w14:paraId="162CD56E" w14:textId="77777777" w:rsidR="00F10AF1" w:rsidRPr="0013396E" w:rsidRDefault="00F10AF1" w:rsidP="00F10AF1">
      <w:pPr>
        <w:pStyle w:val="FormulaBold"/>
      </w:pPr>
      <w:r w:rsidRPr="0013396E">
        <w:t>RTRROAMT</w:t>
      </w:r>
      <w:r w:rsidRPr="0013396E">
        <w:rPr>
          <w:i/>
          <w:vertAlign w:val="subscript"/>
        </w:rPr>
        <w:t xml:space="preserve"> q  </w:t>
      </w:r>
      <w:r w:rsidRPr="0013396E">
        <w:t xml:space="preserve">= </w:t>
      </w:r>
      <w:r w:rsidRPr="0013396E">
        <w:tab/>
        <w:t xml:space="preserve">(1/4) * DARROAWD </w:t>
      </w:r>
      <w:r w:rsidRPr="0013396E">
        <w:rPr>
          <w:i/>
          <w:vertAlign w:val="subscript"/>
        </w:rPr>
        <w:t>q</w:t>
      </w:r>
      <w:r w:rsidRPr="0013396E">
        <w:t xml:space="preserve"> * RTMCPCRR</w:t>
      </w:r>
    </w:p>
    <w:p w14:paraId="51049083"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67CC2181"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728CA3B"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32E30EB4"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4BB7DDFD" w14:textId="77777777" w:rsidR="00F10AF1" w:rsidRPr="0013396E" w:rsidRDefault="00F10AF1" w:rsidP="0099759E">
            <w:pPr>
              <w:pStyle w:val="TableHead"/>
            </w:pPr>
            <w:r w:rsidRPr="0013396E">
              <w:t>Description</w:t>
            </w:r>
          </w:p>
        </w:tc>
      </w:tr>
      <w:tr w:rsidR="00F10AF1" w:rsidRPr="0013396E" w14:paraId="1B1500A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D2E2F9A" w14:textId="77777777" w:rsidR="00F10AF1" w:rsidRPr="0013396E" w:rsidRDefault="00F10AF1" w:rsidP="0099759E">
            <w:pPr>
              <w:pStyle w:val="tablebody0"/>
            </w:pPr>
            <w:r w:rsidRPr="0013396E">
              <w:t xml:space="preserve">RTRROAMT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FE4E357"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5AF24384" w14:textId="77777777" w:rsidR="00F10AF1" w:rsidRPr="0013396E" w:rsidRDefault="00F10AF1" w:rsidP="0099759E">
            <w:pPr>
              <w:pStyle w:val="tablebody0"/>
              <w:rPr>
                <w:i/>
              </w:rPr>
            </w:pPr>
            <w:r w:rsidRPr="0013396E">
              <w:rPr>
                <w:i/>
              </w:rPr>
              <w:t>Real-Time Responsive Reserve Only Amount for the QSE</w:t>
            </w:r>
            <w:r w:rsidRPr="0013396E">
              <w:t xml:space="preserve">—The total charge to QSE </w:t>
            </w:r>
            <w:r w:rsidRPr="0013396E">
              <w:rPr>
                <w:i/>
              </w:rPr>
              <w:t>q</w:t>
            </w:r>
            <w:r w:rsidRPr="0013396E">
              <w:t xml:space="preserve"> in Real-Time for RRS only awards for each 15-minute Settlement Interval.</w:t>
            </w:r>
          </w:p>
        </w:tc>
      </w:tr>
      <w:tr w:rsidR="00F10AF1" w:rsidRPr="0013396E" w14:paraId="6B656F2C"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FC727D8" w14:textId="77777777" w:rsidR="00F10AF1" w:rsidRPr="0013396E" w:rsidRDefault="00F10AF1" w:rsidP="0099759E">
            <w:pPr>
              <w:pStyle w:val="tablebody0"/>
            </w:pPr>
            <w:r w:rsidRPr="0013396E">
              <w:t xml:space="preserve">DARROAWD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65031C7"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D9294DB" w14:textId="77777777" w:rsidR="00F10AF1" w:rsidRPr="0013396E" w:rsidRDefault="00F10AF1" w:rsidP="0099759E">
            <w:pPr>
              <w:pStyle w:val="tablebody0"/>
              <w:rPr>
                <w:i/>
              </w:rPr>
            </w:pPr>
            <w:r w:rsidRPr="0013396E">
              <w:rPr>
                <w:i/>
              </w:rPr>
              <w:t>Day-Ahead Responsive Reserve Only Award for the QSE</w:t>
            </w:r>
            <w:r w:rsidRPr="0013396E">
              <w:sym w:font="Symbol" w:char="F0BE"/>
            </w:r>
            <w:r w:rsidRPr="0013396E">
              <w:t xml:space="preserve">The RRS only capacity awarded in the DAM to the QSE </w:t>
            </w:r>
            <w:r w:rsidRPr="0013396E">
              <w:rPr>
                <w:i/>
              </w:rPr>
              <w:t>q</w:t>
            </w:r>
            <w:r w:rsidRPr="0013396E">
              <w:t xml:space="preserve"> for the </w:t>
            </w:r>
            <w:r w:rsidRPr="0013396E">
              <w:rPr>
                <w:szCs w:val="18"/>
              </w:rPr>
              <w:t>Operating Hour</w:t>
            </w:r>
            <w:r w:rsidRPr="0013396E">
              <w:t>.</w:t>
            </w:r>
          </w:p>
        </w:tc>
      </w:tr>
      <w:tr w:rsidR="00F10AF1" w:rsidRPr="0013396E" w14:paraId="0F8085EC" w14:textId="77777777" w:rsidTr="0099759E">
        <w:trPr>
          <w:cantSplit/>
        </w:trPr>
        <w:tc>
          <w:tcPr>
            <w:tcW w:w="1279" w:type="pct"/>
            <w:tcBorders>
              <w:top w:val="single" w:sz="4" w:space="0" w:color="auto"/>
              <w:left w:val="single" w:sz="4" w:space="0" w:color="auto"/>
              <w:bottom w:val="single" w:sz="4" w:space="0" w:color="auto"/>
              <w:right w:val="single" w:sz="4" w:space="0" w:color="auto"/>
            </w:tcBorders>
          </w:tcPr>
          <w:p w14:paraId="2D66CE1E" w14:textId="77777777" w:rsidR="00F10AF1" w:rsidRPr="0013396E" w:rsidRDefault="00F10AF1" w:rsidP="0099759E">
            <w:pPr>
              <w:pStyle w:val="tablebody0"/>
            </w:pPr>
            <w:r w:rsidRPr="0013396E">
              <w:t>RTMCPCRR</w:t>
            </w:r>
          </w:p>
          <w:p w14:paraId="5BFE145C" w14:textId="77777777" w:rsidR="00F10AF1" w:rsidRPr="0013396E" w:rsidRDefault="00F10AF1" w:rsidP="0099759E">
            <w:pPr>
              <w:pStyle w:val="tablebody0"/>
            </w:pPr>
          </w:p>
        </w:tc>
        <w:tc>
          <w:tcPr>
            <w:tcW w:w="623" w:type="pct"/>
            <w:tcBorders>
              <w:top w:val="single" w:sz="4" w:space="0" w:color="auto"/>
              <w:left w:val="single" w:sz="4" w:space="0" w:color="auto"/>
              <w:bottom w:val="single" w:sz="4" w:space="0" w:color="auto"/>
              <w:right w:val="single" w:sz="4" w:space="0" w:color="auto"/>
            </w:tcBorders>
            <w:hideMark/>
          </w:tcPr>
          <w:p w14:paraId="3D6007D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81A2EC2" w14:textId="77777777" w:rsidR="00F10AF1" w:rsidRPr="0013396E" w:rsidRDefault="00F10AF1" w:rsidP="0099759E">
            <w:pPr>
              <w:pStyle w:val="tablebody0"/>
              <w:rPr>
                <w:i/>
              </w:rPr>
            </w:pPr>
            <w:r w:rsidRPr="0013396E">
              <w:rPr>
                <w:i/>
              </w:rPr>
              <w:t>Real-Time Market Clearing Price for Capacity for Responsive Reserve</w:t>
            </w:r>
            <w:r w:rsidRPr="0013396E">
              <w:rPr>
                <w:iCs/>
              </w:rPr>
              <w:t>—</w:t>
            </w:r>
            <w:r w:rsidRPr="0013396E">
              <w:t>The Real-Time MCPC for RRS for the 15-minute Settlement Interval.</w:t>
            </w:r>
          </w:p>
        </w:tc>
      </w:tr>
      <w:tr w:rsidR="00F10AF1" w:rsidRPr="0013396E" w14:paraId="442890F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09E601D"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66DA06E8"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5547F255" w14:textId="77777777" w:rsidR="00F10AF1" w:rsidRPr="0013396E" w:rsidRDefault="00F10AF1" w:rsidP="0099759E">
            <w:pPr>
              <w:pStyle w:val="tablebody0"/>
            </w:pPr>
            <w:r w:rsidRPr="0013396E">
              <w:t>A QSE.</w:t>
            </w:r>
          </w:p>
        </w:tc>
      </w:tr>
    </w:tbl>
    <w:p w14:paraId="634EA873" w14:textId="77777777" w:rsidR="00F10AF1" w:rsidRPr="0013396E" w:rsidRDefault="00F10AF1" w:rsidP="00F10AF1">
      <w:pPr>
        <w:spacing w:before="240" w:after="240"/>
        <w:rPr>
          <w:i/>
          <w:iCs/>
        </w:rPr>
      </w:pPr>
      <w:r w:rsidRPr="0013396E">
        <w:t>(3)</w:t>
      </w:r>
      <w:r w:rsidRPr="0013396E">
        <w:tab/>
        <w:t xml:space="preserve">RRS Trade Overage Charge: </w:t>
      </w:r>
    </w:p>
    <w:p w14:paraId="5BA1379D" w14:textId="77777777" w:rsidR="00F10AF1" w:rsidRPr="0013396E" w:rsidRDefault="00F10AF1" w:rsidP="00F10AF1">
      <w:pPr>
        <w:pStyle w:val="FormulaBold"/>
      </w:pPr>
      <w:r w:rsidRPr="0013396E">
        <w:t>RTRRTOAMT</w:t>
      </w:r>
      <w:r w:rsidRPr="0013396E">
        <w:rPr>
          <w:i/>
          <w:vertAlign w:val="subscript"/>
        </w:rPr>
        <w:t xml:space="preserve"> q  </w:t>
      </w:r>
      <w:r w:rsidRPr="0013396E">
        <w:t xml:space="preserve">= </w:t>
      </w:r>
      <w:r w:rsidRPr="0013396E">
        <w:tab/>
        <w:t xml:space="preserve">(1/4) * RTRRTO </w:t>
      </w:r>
      <w:r w:rsidRPr="0013396E">
        <w:rPr>
          <w:i/>
          <w:vertAlign w:val="subscript"/>
        </w:rPr>
        <w:t>q</w:t>
      </w:r>
      <w:r w:rsidRPr="0013396E">
        <w:t xml:space="preserve"> * RTMCPCRR</w:t>
      </w:r>
    </w:p>
    <w:p w14:paraId="52DF7B32" w14:textId="77777777" w:rsidR="00F10AF1" w:rsidRPr="0013396E" w:rsidRDefault="00F10AF1" w:rsidP="00F10AF1">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654518D0"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6285FBFD"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4920F60C"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108BFBBC" w14:textId="77777777" w:rsidR="00F10AF1" w:rsidRPr="0013396E" w:rsidRDefault="00F10AF1" w:rsidP="0099759E">
            <w:pPr>
              <w:pStyle w:val="TableHead"/>
            </w:pPr>
            <w:r w:rsidRPr="0013396E">
              <w:t>Description</w:t>
            </w:r>
          </w:p>
        </w:tc>
      </w:tr>
      <w:tr w:rsidR="00F10AF1" w:rsidRPr="0013396E" w14:paraId="5A97C3F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6D5C246" w14:textId="77777777" w:rsidR="00F10AF1" w:rsidRPr="0013396E" w:rsidRDefault="00F10AF1" w:rsidP="0099759E">
            <w:pPr>
              <w:pStyle w:val="tablebody0"/>
            </w:pPr>
            <w:r w:rsidRPr="0013396E">
              <w:t xml:space="preserve">RTRRTOAMT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718AC1AE"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733530A3" w14:textId="77777777" w:rsidR="00F10AF1" w:rsidRPr="0013396E" w:rsidRDefault="00F10AF1" w:rsidP="0099759E">
            <w:pPr>
              <w:pStyle w:val="tablebody0"/>
              <w:rPr>
                <w:i/>
              </w:rPr>
            </w:pPr>
            <w:r w:rsidRPr="0013396E">
              <w:rPr>
                <w:i/>
              </w:rPr>
              <w:t>Real-Time Responsive Reserve Trade Overage Amount for the QSE</w:t>
            </w:r>
            <w:r w:rsidRPr="0013396E">
              <w:t xml:space="preserve">—The total charge to QSE </w:t>
            </w:r>
            <w:r w:rsidRPr="0013396E">
              <w:rPr>
                <w:i/>
              </w:rPr>
              <w:t>q</w:t>
            </w:r>
            <w:r w:rsidRPr="0013396E">
              <w:t xml:space="preserve"> in Real-Time for RRS trade overages for each 15-minute Settlement Interval.</w:t>
            </w:r>
          </w:p>
        </w:tc>
      </w:tr>
      <w:tr w:rsidR="00F10AF1" w:rsidRPr="0013396E" w14:paraId="50F466CC"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B44CF98" w14:textId="77777777" w:rsidR="00F10AF1" w:rsidRPr="0013396E" w:rsidRDefault="00F10AF1" w:rsidP="0099759E">
            <w:pPr>
              <w:pStyle w:val="tablebody0"/>
            </w:pPr>
            <w:r w:rsidRPr="0013396E">
              <w:t xml:space="preserve">RTRRTO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9DCA1EE"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03D0BA4" w14:textId="77777777" w:rsidR="00F10AF1" w:rsidRPr="0013396E" w:rsidRDefault="00F10AF1" w:rsidP="0099759E">
            <w:pPr>
              <w:pStyle w:val="tablebody0"/>
            </w:pPr>
            <w:r w:rsidRPr="0013396E">
              <w:rPr>
                <w:i/>
              </w:rPr>
              <w:t>Real-Time Responsive Reserve Trade Overage for the QSE</w:t>
            </w:r>
            <w:r w:rsidRPr="0013396E">
              <w:sym w:font="Symbol" w:char="F0BE"/>
            </w:r>
            <w:r w:rsidRPr="0013396E">
              <w:t xml:space="preserve">The quantity of submitted RRS trades in excess of their DAM self-arrangement quantity for the QSE </w:t>
            </w:r>
            <w:r w:rsidRPr="0013396E">
              <w:rPr>
                <w:i/>
              </w:rPr>
              <w:t>q</w:t>
            </w:r>
            <w:r w:rsidRPr="0013396E">
              <w:t xml:space="preserve"> for the </w:t>
            </w:r>
            <w:r w:rsidRPr="0013396E">
              <w:rPr>
                <w:szCs w:val="18"/>
              </w:rPr>
              <w:t>Operating Hour</w:t>
            </w:r>
            <w:r w:rsidRPr="0013396E">
              <w:t>.</w:t>
            </w:r>
          </w:p>
        </w:tc>
      </w:tr>
      <w:tr w:rsidR="00F10AF1" w:rsidRPr="0013396E" w14:paraId="75074E14" w14:textId="77777777" w:rsidTr="0099759E">
        <w:trPr>
          <w:cantSplit/>
        </w:trPr>
        <w:tc>
          <w:tcPr>
            <w:tcW w:w="1279" w:type="pct"/>
            <w:tcBorders>
              <w:top w:val="single" w:sz="4" w:space="0" w:color="auto"/>
              <w:left w:val="single" w:sz="4" w:space="0" w:color="auto"/>
              <w:bottom w:val="single" w:sz="4" w:space="0" w:color="auto"/>
              <w:right w:val="single" w:sz="4" w:space="0" w:color="auto"/>
            </w:tcBorders>
          </w:tcPr>
          <w:p w14:paraId="4B18803E" w14:textId="77777777" w:rsidR="00F10AF1" w:rsidRPr="0013396E" w:rsidRDefault="00F10AF1" w:rsidP="0099759E">
            <w:pPr>
              <w:pStyle w:val="tablebody0"/>
            </w:pPr>
            <w:r w:rsidRPr="0013396E">
              <w:t>RTMCPCRR</w:t>
            </w:r>
          </w:p>
          <w:p w14:paraId="05FCA617" w14:textId="77777777" w:rsidR="00F10AF1" w:rsidRPr="0013396E" w:rsidRDefault="00F10AF1" w:rsidP="0099759E">
            <w:pPr>
              <w:pStyle w:val="tablebody0"/>
            </w:pPr>
          </w:p>
        </w:tc>
        <w:tc>
          <w:tcPr>
            <w:tcW w:w="623" w:type="pct"/>
            <w:tcBorders>
              <w:top w:val="single" w:sz="4" w:space="0" w:color="auto"/>
              <w:left w:val="single" w:sz="4" w:space="0" w:color="auto"/>
              <w:bottom w:val="single" w:sz="4" w:space="0" w:color="auto"/>
              <w:right w:val="single" w:sz="4" w:space="0" w:color="auto"/>
            </w:tcBorders>
            <w:hideMark/>
          </w:tcPr>
          <w:p w14:paraId="487C727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940C660" w14:textId="77777777" w:rsidR="00F10AF1" w:rsidRPr="0013396E" w:rsidRDefault="00F10AF1" w:rsidP="0099759E">
            <w:pPr>
              <w:pStyle w:val="tablebody0"/>
              <w:rPr>
                <w:i/>
              </w:rPr>
            </w:pPr>
            <w:r w:rsidRPr="0013396E">
              <w:rPr>
                <w:i/>
              </w:rPr>
              <w:t>Real-Time Market Clearing Price for Capacity for Responsive Reserve</w:t>
            </w:r>
            <w:r w:rsidRPr="0013396E">
              <w:rPr>
                <w:iCs/>
              </w:rPr>
              <w:t>—</w:t>
            </w:r>
            <w:r w:rsidRPr="0013396E">
              <w:t>The Real-Time MCPC for RRS for the 15-minute Settlement Interval.</w:t>
            </w:r>
          </w:p>
        </w:tc>
      </w:tr>
      <w:tr w:rsidR="00F10AF1" w:rsidRPr="0013396E" w14:paraId="7CD7B90B"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44B431D"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465A6E1A"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163EA8A0" w14:textId="77777777" w:rsidR="00F10AF1" w:rsidRPr="0013396E" w:rsidRDefault="00F10AF1" w:rsidP="0099759E">
            <w:pPr>
              <w:pStyle w:val="tablebody0"/>
            </w:pPr>
            <w:r w:rsidRPr="0013396E">
              <w:t>A QSE.</w:t>
            </w:r>
          </w:p>
        </w:tc>
      </w:tr>
    </w:tbl>
    <w:p w14:paraId="6633863C" w14:textId="56CF2503" w:rsidR="00F10AF1" w:rsidRPr="0013396E" w:rsidRDefault="00F10AF1" w:rsidP="00F10AF1">
      <w:pPr>
        <w:pStyle w:val="H4"/>
        <w:spacing w:before="480"/>
      </w:pPr>
      <w:bookmarkStart w:id="2282" w:name="_Toc236220246"/>
      <w:r w:rsidRPr="0013396E">
        <w:lastRenderedPageBreak/>
        <w:t>6.7.</w:t>
      </w:r>
      <w:r w:rsidR="00A12B52" w:rsidRPr="0013396E">
        <w:t>2</w:t>
      </w:r>
      <w:r w:rsidRPr="0013396E">
        <w:t>.5</w:t>
      </w:r>
      <w:r w:rsidRPr="0013396E">
        <w:tab/>
        <w:t>Non-Spinning Reserve Service Payments and Charges</w:t>
      </w:r>
      <w:bookmarkEnd w:id="2282"/>
    </w:p>
    <w:p w14:paraId="61B1A867" w14:textId="77777777" w:rsidR="00F10AF1" w:rsidRPr="0013396E" w:rsidRDefault="00F10AF1" w:rsidP="00F10AF1">
      <w:r w:rsidRPr="0013396E">
        <w:t>(1)</w:t>
      </w:r>
      <w:r w:rsidRPr="0013396E">
        <w:tab/>
        <w:t>Non-Spin Imbalance Payment or Charge:</w:t>
      </w:r>
    </w:p>
    <w:p w14:paraId="779653E0" w14:textId="77777777" w:rsidR="00F10AF1" w:rsidRPr="0013396E" w:rsidRDefault="00F10AF1" w:rsidP="00F10AF1">
      <w:pPr>
        <w:pStyle w:val="FormulaBold"/>
      </w:pPr>
      <w:r w:rsidRPr="0013396E">
        <w:t>RTNSIMBAMT</w:t>
      </w:r>
      <w:r w:rsidRPr="0013396E">
        <w:rPr>
          <w:i/>
          <w:vertAlign w:val="subscript"/>
        </w:rPr>
        <w:t xml:space="preserve"> q  </w:t>
      </w:r>
      <w:r w:rsidRPr="0013396E">
        <w:t xml:space="preserve">= </w:t>
      </w:r>
      <w:r w:rsidRPr="0013396E">
        <w:tab/>
        <w:t>(-1) * [</w:t>
      </w:r>
      <w:r w:rsidRPr="0013396E">
        <w:rPr>
          <w:position w:val="-18"/>
        </w:rPr>
        <w:object w:dxaOrig="285" w:dyaOrig="570" w14:anchorId="351D576D">
          <v:shape id="_x0000_i1288" type="#_x0000_t75" style="width:12pt;height:30pt" o:ole="">
            <v:imagedata r:id="rId136" o:title=""/>
          </v:shape>
          <o:OLEObject Type="Embed" ProgID="Equation.3" ShapeID="_x0000_i1288" DrawAspect="Content" ObjectID="_1849065917" r:id="rId366"/>
        </w:object>
      </w:r>
      <w:r w:rsidRPr="0013396E">
        <w:t>[</w:t>
      </w:r>
      <w:r w:rsidRPr="0013396E">
        <w:rPr>
          <w:rStyle w:val="BodyTextChar"/>
        </w:rPr>
        <w:t xml:space="preserve">RTNSREV </w:t>
      </w:r>
      <w:r w:rsidRPr="0013396E">
        <w:rPr>
          <w:i/>
          <w:vertAlign w:val="subscript"/>
        </w:rPr>
        <w:t xml:space="preserve">q, r </w:t>
      </w:r>
      <w:r w:rsidRPr="0013396E">
        <w:t>– (1/4) * (PCNSR</w:t>
      </w:r>
      <w:r w:rsidRPr="0013396E">
        <w:rPr>
          <w:i/>
        </w:rPr>
        <w:t xml:space="preserve"> </w:t>
      </w:r>
      <w:r w:rsidRPr="0013396E">
        <w:rPr>
          <w:i/>
          <w:vertAlign w:val="subscript"/>
        </w:rPr>
        <w:t>r, q, DAM</w:t>
      </w:r>
      <w:r w:rsidRPr="0013396E">
        <w:t xml:space="preserve"> * RTMCPCNS)] – (1/4) * (DASANSQ </w:t>
      </w:r>
      <w:r w:rsidRPr="0013396E">
        <w:rPr>
          <w:i/>
          <w:vertAlign w:val="subscript"/>
        </w:rPr>
        <w:t>q</w:t>
      </w:r>
      <w:r w:rsidRPr="0013396E">
        <w:t xml:space="preserve"> * RTMCPCNS) + (1/4) * (NSTP </w:t>
      </w:r>
      <w:r w:rsidRPr="0013396E">
        <w:rPr>
          <w:i/>
          <w:vertAlign w:val="subscript"/>
        </w:rPr>
        <w:t>q</w:t>
      </w:r>
      <w:r w:rsidRPr="0013396E">
        <w:t xml:space="preserve"> – NSTS </w:t>
      </w:r>
      <w:r w:rsidRPr="0013396E">
        <w:rPr>
          <w:i/>
          <w:vertAlign w:val="subscript"/>
        </w:rPr>
        <w:t>q</w:t>
      </w:r>
      <w:r w:rsidRPr="0013396E">
        <w:t>) * RTMCPCNS]</w:t>
      </w:r>
    </w:p>
    <w:p w14:paraId="5D1CBE1F" w14:textId="77777777" w:rsidR="00F10AF1" w:rsidRPr="000B7133" w:rsidRDefault="00F10AF1" w:rsidP="00F10AF1">
      <w:pPr>
        <w:pStyle w:val="FormulaBold"/>
        <w:rPr>
          <w:b w:val="0"/>
          <w:bCs w:val="0"/>
        </w:rPr>
      </w:pPr>
      <w:r w:rsidRPr="000B7133">
        <w:rPr>
          <w:b w:val="0"/>
          <w:bCs w:val="0"/>
        </w:rPr>
        <w:t xml:space="preserve">Where:   </w:t>
      </w:r>
    </w:p>
    <w:p w14:paraId="32B68DF2" w14:textId="77777777" w:rsidR="00F10AF1" w:rsidRPr="000B7133" w:rsidRDefault="00F10AF1" w:rsidP="00F10AF1">
      <w:pPr>
        <w:pStyle w:val="FormulaBold"/>
        <w:rPr>
          <w:b w:val="0"/>
          <w:bCs w:val="0"/>
        </w:rPr>
      </w:pPr>
      <w:r w:rsidRPr="000B7133">
        <w:rPr>
          <w:rStyle w:val="BodyTextChar"/>
          <w:b w:val="0"/>
          <w:bCs w:val="0"/>
        </w:rPr>
        <w:t xml:space="preserve">RTNSREV </w:t>
      </w:r>
      <w:r w:rsidRPr="000B7133">
        <w:rPr>
          <w:b w:val="0"/>
          <w:bCs w:val="0"/>
          <w:i/>
          <w:vertAlign w:val="subscript"/>
        </w:rPr>
        <w:t xml:space="preserve">q, r </w:t>
      </w:r>
      <w:r w:rsidRPr="000B7133">
        <w:rPr>
          <w:b w:val="0"/>
          <w:bCs w:val="0"/>
          <w:i/>
        </w:rPr>
        <w:t xml:space="preserve"> =     </w:t>
      </w:r>
      <w:r w:rsidRPr="000B7133">
        <w:rPr>
          <w:b w:val="0"/>
          <w:bCs w:val="0"/>
        </w:rPr>
        <w:t>(1/4) * RTNSAWD</w:t>
      </w:r>
      <w:r w:rsidRPr="000B7133">
        <w:rPr>
          <w:b w:val="0"/>
          <w:bCs w:val="0"/>
          <w:i/>
          <w:vertAlign w:val="subscript"/>
        </w:rPr>
        <w:t xml:space="preserve"> q, r</w:t>
      </w:r>
      <w:r w:rsidRPr="000B7133">
        <w:rPr>
          <w:b w:val="0"/>
          <w:bCs w:val="0"/>
        </w:rPr>
        <w:t xml:space="preserve"> * RTMCPCNSR </w:t>
      </w:r>
      <w:r w:rsidRPr="000B7133">
        <w:rPr>
          <w:b w:val="0"/>
          <w:bCs w:val="0"/>
          <w:i/>
          <w:vertAlign w:val="subscript"/>
        </w:rPr>
        <w:t>q, r</w:t>
      </w:r>
    </w:p>
    <w:p w14:paraId="207038DC" w14:textId="77777777" w:rsidR="00F10AF1" w:rsidRPr="00016609" w:rsidRDefault="00F10AF1" w:rsidP="00F10AF1">
      <w:pPr>
        <w:pStyle w:val="FormulaBold"/>
        <w:rPr>
          <w:b w:val="0"/>
          <w:bCs w:val="0"/>
        </w:rPr>
      </w:pPr>
      <w:r w:rsidRPr="000B7133">
        <w:rPr>
          <w:b w:val="0"/>
          <w:bCs w:val="0"/>
        </w:rPr>
        <w:t xml:space="preserve">RTMCPCNSR </w:t>
      </w:r>
      <w:r w:rsidRPr="000B7133">
        <w:rPr>
          <w:b w:val="0"/>
          <w:bCs w:val="0"/>
          <w:i/>
          <w:vertAlign w:val="subscript"/>
        </w:rPr>
        <w:t>q, r</w:t>
      </w:r>
      <w:r w:rsidRPr="000B7133">
        <w:rPr>
          <w:b w:val="0"/>
          <w:bCs w:val="0"/>
          <w:i/>
        </w:rPr>
        <w:t xml:space="preserve"> = </w:t>
      </w:r>
      <w:r w:rsidRPr="007A1E53">
        <w:rPr>
          <w:b w:val="0"/>
          <w:bCs w:val="0"/>
          <w:position w:val="-22"/>
        </w:rPr>
        <w:object w:dxaOrig="285" w:dyaOrig="285" w14:anchorId="41AFAEA3">
          <v:shape id="_x0000_i1289" type="#_x0000_t75" style="width:30pt;height:30pt" o:ole="">
            <v:imagedata r:id="rId20" o:title=""/>
          </v:shape>
          <o:OLEObject Type="Embed" ProgID="Equation.3" ShapeID="_x0000_i1289" DrawAspect="Content" ObjectID="_1849065918" r:id="rId367"/>
        </w:object>
      </w:r>
      <w:r w:rsidRPr="00016609">
        <w:rPr>
          <w:b w:val="0"/>
          <w:bCs w:val="0"/>
        </w:rPr>
        <w:t xml:space="preserve"> (NSRWF</w:t>
      </w:r>
      <w:r w:rsidRPr="00016609">
        <w:rPr>
          <w:b w:val="0"/>
          <w:bCs w:val="0"/>
          <w:i/>
          <w:vertAlign w:val="subscript"/>
        </w:rPr>
        <w:t xml:space="preserve"> q, r, y</w:t>
      </w:r>
      <w:r w:rsidRPr="00016609">
        <w:rPr>
          <w:b w:val="0"/>
          <w:bCs w:val="0"/>
        </w:rPr>
        <w:t xml:space="preserve"> * (RTMCPCNSS</w:t>
      </w:r>
      <w:r w:rsidRPr="00016609">
        <w:rPr>
          <w:b w:val="0"/>
          <w:bCs w:val="0"/>
          <w:i/>
          <w:vertAlign w:val="subscript"/>
        </w:rPr>
        <w:t xml:space="preserve"> y</w:t>
      </w:r>
      <w:r w:rsidRPr="00016609">
        <w:rPr>
          <w:b w:val="0"/>
          <w:bCs w:val="0"/>
        </w:rPr>
        <w:t xml:space="preserve"> + RTRDPANSS </w:t>
      </w:r>
      <w:r w:rsidRPr="00016609">
        <w:rPr>
          <w:b w:val="0"/>
          <w:bCs w:val="0"/>
          <w:i/>
          <w:vertAlign w:val="subscript"/>
        </w:rPr>
        <w:t>y</w:t>
      </w:r>
      <w:r w:rsidRPr="00016609">
        <w:rPr>
          <w:b w:val="0"/>
          <w:bCs w:val="0"/>
        </w:rPr>
        <w:t>))</w:t>
      </w:r>
    </w:p>
    <w:p w14:paraId="0C420F64" w14:textId="77777777" w:rsidR="00F10AF1" w:rsidRPr="000B7133" w:rsidRDefault="00F10AF1" w:rsidP="00F10AF1">
      <w:pPr>
        <w:pStyle w:val="FormulaBold"/>
        <w:rPr>
          <w:b w:val="0"/>
          <w:bCs w:val="0"/>
          <w:i/>
          <w:vertAlign w:val="subscript"/>
        </w:rPr>
      </w:pPr>
      <w:r w:rsidRPr="00016609">
        <w:rPr>
          <w:b w:val="0"/>
          <w:bCs w:val="0"/>
        </w:rPr>
        <w:t>RTNSAWD</w:t>
      </w:r>
      <w:r w:rsidRPr="00016609">
        <w:rPr>
          <w:b w:val="0"/>
          <w:bCs w:val="0"/>
          <w:i/>
          <w:vertAlign w:val="subscript"/>
        </w:rPr>
        <w:t xml:space="preserve"> q, r  </w:t>
      </w:r>
      <w:r w:rsidRPr="00016609">
        <w:rPr>
          <w:b w:val="0"/>
          <w:bCs w:val="0"/>
        </w:rPr>
        <w:tab/>
        <w:t xml:space="preserve">=  </w:t>
      </w:r>
      <w:r w:rsidRPr="007A1E53">
        <w:rPr>
          <w:b w:val="0"/>
          <w:bCs w:val="0"/>
          <w:position w:val="-22"/>
        </w:rPr>
        <w:object w:dxaOrig="285" w:dyaOrig="285" w14:anchorId="0BCB8C58">
          <v:shape id="_x0000_i1290" type="#_x0000_t75" style="width:30pt;height:30pt" o:ole="">
            <v:imagedata r:id="rId20" o:title=""/>
          </v:shape>
          <o:OLEObject Type="Embed" ProgID="Equation.3" ShapeID="_x0000_i1290" DrawAspect="Content" ObjectID="_1849065919" r:id="rId368"/>
        </w:object>
      </w:r>
      <w:r w:rsidRPr="000B7133">
        <w:rPr>
          <w:b w:val="0"/>
          <w:bCs w:val="0"/>
        </w:rPr>
        <w:t xml:space="preserve"> (RNWF </w:t>
      </w:r>
      <w:r w:rsidRPr="000B7133">
        <w:rPr>
          <w:b w:val="0"/>
          <w:bCs w:val="0"/>
          <w:i/>
          <w:vertAlign w:val="subscript"/>
        </w:rPr>
        <w:t>y</w:t>
      </w:r>
      <w:r w:rsidRPr="000B7133">
        <w:rPr>
          <w:b w:val="0"/>
          <w:bCs w:val="0"/>
          <w:vertAlign w:val="subscript"/>
        </w:rPr>
        <w:t xml:space="preserve"> </w:t>
      </w:r>
      <w:r w:rsidRPr="000B7133">
        <w:rPr>
          <w:b w:val="0"/>
          <w:bCs w:val="0"/>
        </w:rPr>
        <w:t>* RTNSAWDS</w:t>
      </w:r>
      <w:r w:rsidRPr="000B7133">
        <w:rPr>
          <w:b w:val="0"/>
          <w:bCs w:val="0"/>
          <w:i/>
          <w:vertAlign w:val="subscript"/>
        </w:rPr>
        <w:t xml:space="preserve"> q, r, y</w:t>
      </w:r>
      <w:r w:rsidRPr="000B7133">
        <w:rPr>
          <w:b w:val="0"/>
          <w:bCs w:val="0"/>
        </w:rPr>
        <w:t>)</w:t>
      </w:r>
    </w:p>
    <w:p w14:paraId="5D551D08" w14:textId="77777777" w:rsidR="00F10AF1" w:rsidRPr="000B7133" w:rsidRDefault="00F10AF1" w:rsidP="00F10AF1">
      <w:pPr>
        <w:pStyle w:val="FormulaBold"/>
        <w:rPr>
          <w:b w:val="0"/>
          <w:bCs w:val="0"/>
        </w:rPr>
      </w:pPr>
      <w:r w:rsidRPr="000B7133">
        <w:rPr>
          <w:b w:val="0"/>
          <w:bCs w:val="0"/>
        </w:rPr>
        <w:t>Where:</w:t>
      </w:r>
    </w:p>
    <w:p w14:paraId="2547B478" w14:textId="77777777" w:rsidR="00F10AF1" w:rsidRPr="0013396E" w:rsidRDefault="00F10AF1" w:rsidP="00F10AF1">
      <w:pPr>
        <w:pStyle w:val="NoSpacing"/>
        <w:spacing w:after="240"/>
        <w:ind w:left="720"/>
      </w:pPr>
      <w:r w:rsidRPr="0013396E">
        <w:t>NSRWF</w:t>
      </w:r>
      <w:r w:rsidRPr="0013396E">
        <w:rPr>
          <w:i/>
          <w:vertAlign w:val="subscript"/>
        </w:rPr>
        <w:t xml:space="preserve"> q, r, y</w:t>
      </w:r>
      <w:r w:rsidRPr="0013396E">
        <w:rPr>
          <w:vertAlign w:val="subscript"/>
        </w:rPr>
        <w:t xml:space="preserve">   </w:t>
      </w:r>
      <w:r w:rsidRPr="0013396E">
        <w:t>=  [max(0.001, RTNSAWDS</w:t>
      </w:r>
      <w:r w:rsidRPr="0013396E">
        <w:rPr>
          <w:i/>
          <w:vertAlign w:val="subscript"/>
        </w:rPr>
        <w:t xml:space="preserve"> q, r, y</w:t>
      </w:r>
      <w:r w:rsidRPr="0013396E">
        <w:t>) * TLMP</w:t>
      </w:r>
      <w:r w:rsidRPr="0013396E">
        <w:rPr>
          <w:i/>
          <w:vertAlign w:val="subscript"/>
        </w:rPr>
        <w:t xml:space="preserve"> y</w:t>
      </w:r>
      <w:r w:rsidRPr="0013396E">
        <w:t>] / [</w:t>
      </w:r>
      <w:r w:rsidRPr="0013396E">
        <w:rPr>
          <w:b/>
          <w:position w:val="-22"/>
        </w:rPr>
        <w:object w:dxaOrig="285" w:dyaOrig="285" w14:anchorId="1AD3B961">
          <v:shape id="_x0000_i1291" type="#_x0000_t75" style="width:24pt;height:24pt" o:ole="">
            <v:imagedata r:id="rId20" o:title=""/>
          </v:shape>
          <o:OLEObject Type="Embed" ProgID="Equation.3" ShapeID="_x0000_i1291" DrawAspect="Content" ObjectID="_1849065920" r:id="rId369"/>
        </w:object>
      </w:r>
      <w:r w:rsidRPr="0013396E">
        <w:t>max(0.001,</w:t>
      </w:r>
    </w:p>
    <w:p w14:paraId="4AE31D09" w14:textId="77777777" w:rsidR="00F10AF1" w:rsidRPr="0013396E" w:rsidRDefault="00F10AF1" w:rsidP="00F10AF1">
      <w:pPr>
        <w:pStyle w:val="NoSpacing"/>
        <w:spacing w:after="240"/>
        <w:rPr>
          <w:vertAlign w:val="subscript"/>
        </w:rPr>
      </w:pPr>
      <w:r w:rsidRPr="0013396E">
        <w:t xml:space="preserve">  </w:t>
      </w:r>
      <w:r w:rsidRPr="0013396E">
        <w:tab/>
      </w:r>
      <w:r w:rsidRPr="0013396E">
        <w:tab/>
      </w:r>
      <w:r w:rsidRPr="0013396E">
        <w:tab/>
        <w:t xml:space="preserve">      RTNSAWDS</w:t>
      </w:r>
      <w:r w:rsidRPr="0013396E">
        <w:rPr>
          <w:i/>
          <w:vertAlign w:val="subscript"/>
        </w:rPr>
        <w:t xml:space="preserve"> q, r, y</w:t>
      </w:r>
      <w:r w:rsidRPr="0013396E">
        <w:t>) * TLMP</w:t>
      </w:r>
      <w:r w:rsidRPr="0013396E">
        <w:rPr>
          <w:i/>
          <w:vertAlign w:val="subscript"/>
        </w:rPr>
        <w:t xml:space="preserve"> y</w:t>
      </w:r>
      <w:r w:rsidRPr="0013396E">
        <w:t>]</w:t>
      </w:r>
      <w:r w:rsidRPr="0013396E">
        <w:rPr>
          <w:vertAlign w:val="subscript"/>
        </w:rPr>
        <w:t xml:space="preserve"> </w:t>
      </w:r>
    </w:p>
    <w:p w14:paraId="05DDBA04" w14:textId="77777777" w:rsidR="00F10AF1" w:rsidRPr="000B7133" w:rsidRDefault="00F10AF1" w:rsidP="00F10AF1">
      <w:pPr>
        <w:pStyle w:val="FormulaBold"/>
        <w:rPr>
          <w:b w:val="0"/>
          <w:bCs w:val="0"/>
        </w:rPr>
      </w:pPr>
      <w:r w:rsidRPr="000B7133">
        <w:rPr>
          <w:b w:val="0"/>
          <w:bCs w:val="0"/>
        </w:rPr>
        <w:t>And:</w:t>
      </w:r>
    </w:p>
    <w:p w14:paraId="2635D377" w14:textId="77777777" w:rsidR="00F10AF1" w:rsidRPr="0013396E" w:rsidRDefault="00F10AF1" w:rsidP="00F10AF1">
      <w:pPr>
        <w:spacing w:after="240"/>
        <w:ind w:firstLine="720"/>
        <w:rPr>
          <w:i/>
          <w:vertAlign w:val="subscript"/>
        </w:rPr>
      </w:pPr>
      <w:r w:rsidRPr="0013396E">
        <w:t xml:space="preserve">RNWF </w:t>
      </w:r>
      <w:r w:rsidRPr="0013396E">
        <w:rPr>
          <w:i/>
          <w:vertAlign w:val="subscript"/>
        </w:rPr>
        <w:t xml:space="preserve">y </w:t>
      </w:r>
      <w:r w:rsidRPr="0013396E">
        <w:t>=</w:t>
      </w:r>
      <w:r w:rsidRPr="0013396E">
        <w:tab/>
      </w:r>
      <w:r w:rsidRPr="0013396E">
        <w:tab/>
        <w:t xml:space="preserve">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szCs w:val="24"/>
        </w:rPr>
        <w:object w:dxaOrig="285" w:dyaOrig="285" w14:anchorId="477B7490">
          <v:shape id="_x0000_i1292" type="#_x0000_t75" style="width:24pt;height:24pt" o:ole="">
            <v:imagedata r:id="rId20" o:title=""/>
          </v:shape>
          <o:OLEObject Type="Embed" ProgID="Equation.3" ShapeID="_x0000_i1292" DrawAspect="Content" ObjectID="_1849065921" r:id="rId370"/>
        </w:object>
      </w:r>
      <w:r w:rsidRPr="0013396E">
        <w:t xml:space="preserve">TLMP </w:t>
      </w:r>
      <w:r w:rsidRPr="0013396E">
        <w:rPr>
          <w:i/>
          <w:vertAlign w:val="subscript"/>
        </w:rPr>
        <w:t>y</w:t>
      </w:r>
    </w:p>
    <w:p w14:paraId="79FE55EB"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7B9822A7"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2D330279"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18F2973A"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2DA0598C" w14:textId="77777777" w:rsidR="00F10AF1" w:rsidRPr="0013396E" w:rsidRDefault="00F10AF1" w:rsidP="0099759E">
            <w:pPr>
              <w:pStyle w:val="TableHead"/>
            </w:pPr>
            <w:r w:rsidRPr="0013396E">
              <w:t>Description</w:t>
            </w:r>
          </w:p>
        </w:tc>
      </w:tr>
      <w:tr w:rsidR="00F10AF1" w:rsidRPr="0013396E" w14:paraId="29264A2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67655DC" w14:textId="77777777" w:rsidR="00F10AF1" w:rsidRPr="0013396E" w:rsidRDefault="00F10AF1" w:rsidP="0099759E">
            <w:pPr>
              <w:pStyle w:val="tablebody0"/>
            </w:pPr>
            <w:r w:rsidRPr="0013396E">
              <w:t xml:space="preserve">RTNSIMBAMT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4C88FB2"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2D3D710A" w14:textId="77777777" w:rsidR="00F10AF1" w:rsidRPr="0013396E" w:rsidRDefault="00F10AF1" w:rsidP="0099759E">
            <w:pPr>
              <w:pStyle w:val="tablebody0"/>
              <w:rPr>
                <w:i/>
              </w:rPr>
            </w:pPr>
            <w:r w:rsidRPr="0013396E">
              <w:rPr>
                <w:i/>
              </w:rPr>
              <w:t>Real-Time Non-Spin Imbalance Amount for the QSE</w:t>
            </w:r>
            <w:r w:rsidRPr="0013396E">
              <w:t xml:space="preserve">—The total payment or charge to QSE </w:t>
            </w:r>
            <w:r w:rsidRPr="0013396E">
              <w:rPr>
                <w:i/>
              </w:rPr>
              <w:t>q</w:t>
            </w:r>
            <w:r w:rsidRPr="0013396E">
              <w:t xml:space="preserve"> for the Real-Time Non-Spin imbalance for each 15-minute Settlement Interval.</w:t>
            </w:r>
          </w:p>
        </w:tc>
      </w:tr>
      <w:tr w:rsidR="00F10AF1" w:rsidRPr="0013396E" w14:paraId="460AA52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CF77284" w14:textId="77777777" w:rsidR="00F10AF1" w:rsidRPr="0013396E" w:rsidRDefault="00F10AF1" w:rsidP="0099759E">
            <w:pPr>
              <w:pStyle w:val="tablebody0"/>
            </w:pPr>
            <w:r w:rsidRPr="0013396E">
              <w:t>RTNSAWD</w:t>
            </w:r>
            <w:r w:rsidRPr="0013396E">
              <w:rPr>
                <w:i/>
                <w:vertAlign w:val="subscript"/>
              </w:rPr>
              <w:t xml:space="preserve"> q, r</w:t>
            </w:r>
          </w:p>
        </w:tc>
        <w:tc>
          <w:tcPr>
            <w:tcW w:w="623" w:type="pct"/>
            <w:tcBorders>
              <w:top w:val="single" w:sz="4" w:space="0" w:color="auto"/>
              <w:left w:val="single" w:sz="4" w:space="0" w:color="auto"/>
              <w:bottom w:val="single" w:sz="4" w:space="0" w:color="auto"/>
              <w:right w:val="single" w:sz="4" w:space="0" w:color="auto"/>
            </w:tcBorders>
            <w:hideMark/>
          </w:tcPr>
          <w:p w14:paraId="7BF0FC3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7085751" w14:textId="77777777" w:rsidR="00F10AF1" w:rsidRPr="0013396E" w:rsidRDefault="00F10AF1" w:rsidP="0099759E">
            <w:pPr>
              <w:pStyle w:val="tablebody0"/>
              <w:rPr>
                <w:i/>
              </w:rPr>
            </w:pPr>
            <w:r w:rsidRPr="0013396E">
              <w:rPr>
                <w:i/>
              </w:rPr>
              <w:t>Real Time Non-Spin Award per Resource per QSE</w:t>
            </w:r>
            <w:r w:rsidRPr="0013396E">
              <w:rPr>
                <w:iCs/>
              </w:rPr>
              <w:t>—</w:t>
            </w:r>
            <w:r w:rsidRPr="0013396E">
              <w:t xml:space="preserve">The Non-Spin amount awarded to QSE </w:t>
            </w:r>
            <w:r w:rsidRPr="0013396E">
              <w:rPr>
                <w:i/>
              </w:rPr>
              <w:t>q</w:t>
            </w:r>
            <w:r w:rsidRPr="0013396E">
              <w:t xml:space="preserve"> for Resource </w:t>
            </w:r>
            <w:r w:rsidRPr="0013396E">
              <w:rPr>
                <w:i/>
              </w:rPr>
              <w:t>r</w:t>
            </w:r>
            <w:r w:rsidRPr="0013396E">
              <w:t xml:space="preserve"> in Real-Time </w:t>
            </w:r>
            <w:r w:rsidRPr="0013396E">
              <w:rPr>
                <w:szCs w:val="18"/>
              </w:rPr>
              <w:t xml:space="preserve">for the </w:t>
            </w:r>
            <w:r w:rsidRPr="0013396E">
              <w:t xml:space="preserve">15-minute Settlement Interval.  Where for a Combined Cycle Train, the Resource </w:t>
            </w:r>
            <w:r w:rsidRPr="0013396E">
              <w:rPr>
                <w:i/>
              </w:rPr>
              <w:t xml:space="preserve">r </w:t>
            </w:r>
            <w:r w:rsidRPr="0013396E">
              <w:t>is the Combined Cycle Train.</w:t>
            </w:r>
          </w:p>
        </w:tc>
      </w:tr>
      <w:tr w:rsidR="00F10AF1" w:rsidRPr="0013396E" w14:paraId="10CEADA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16EA422" w14:textId="77777777" w:rsidR="00F10AF1" w:rsidRPr="0013396E" w:rsidRDefault="00F10AF1" w:rsidP="0099759E">
            <w:pPr>
              <w:pStyle w:val="tablebody0"/>
            </w:pPr>
            <w:r w:rsidRPr="0013396E">
              <w:t xml:space="preserve">RTNSREV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2C9B7376"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62A937CD" w14:textId="77777777" w:rsidR="00F10AF1" w:rsidRPr="0013396E" w:rsidRDefault="00F10AF1" w:rsidP="0099759E">
            <w:pPr>
              <w:pStyle w:val="tablebody0"/>
              <w:rPr>
                <w:i/>
              </w:rPr>
            </w:pPr>
            <w:r w:rsidRPr="0013396E">
              <w:rPr>
                <w:i/>
              </w:rPr>
              <w:t>Real-Time Non-Spin Revenue</w:t>
            </w:r>
            <w:r w:rsidRPr="0013396E">
              <w:t xml:space="preserve">—The Real-Time Non-Spin revenue for QSE </w:t>
            </w:r>
            <w:r w:rsidRPr="0013396E">
              <w:rPr>
                <w:i/>
              </w:rPr>
              <w:t xml:space="preserve">q </w:t>
            </w:r>
            <w:r w:rsidRPr="0013396E">
              <w:t xml:space="preserve">calculated for Resource </w:t>
            </w:r>
            <w:r w:rsidRPr="0013396E">
              <w:rPr>
                <w:i/>
              </w:rPr>
              <w:t>r</w:t>
            </w:r>
            <w:r w:rsidRPr="0013396E">
              <w:t xml:space="preserve"> for the 15-minute Settlement interval.  Where for a Combined Cycle Train, the Resource </w:t>
            </w:r>
            <w:r w:rsidRPr="0013396E">
              <w:rPr>
                <w:i/>
              </w:rPr>
              <w:t>r</w:t>
            </w:r>
            <w:r w:rsidRPr="0013396E">
              <w:t xml:space="preserve"> is the Combined Cycle Train.</w:t>
            </w:r>
          </w:p>
        </w:tc>
      </w:tr>
      <w:tr w:rsidR="00F10AF1" w:rsidRPr="0013396E" w14:paraId="753C4C6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3E9CFDD" w14:textId="77777777" w:rsidR="00F10AF1" w:rsidRPr="0013396E" w:rsidRDefault="00F10AF1" w:rsidP="0099759E">
            <w:pPr>
              <w:pStyle w:val="tablebody0"/>
            </w:pPr>
            <w:r w:rsidRPr="0013396E">
              <w:t>RTNSAWDS</w:t>
            </w:r>
            <w:r w:rsidRPr="0013396E">
              <w:rPr>
                <w:i/>
                <w:vertAlign w:val="subscript"/>
              </w:rPr>
              <w:t xml:space="preserve"> q, r, y</w:t>
            </w:r>
          </w:p>
        </w:tc>
        <w:tc>
          <w:tcPr>
            <w:tcW w:w="623" w:type="pct"/>
            <w:tcBorders>
              <w:top w:val="single" w:sz="4" w:space="0" w:color="auto"/>
              <w:left w:val="single" w:sz="4" w:space="0" w:color="auto"/>
              <w:bottom w:val="single" w:sz="4" w:space="0" w:color="auto"/>
              <w:right w:val="single" w:sz="4" w:space="0" w:color="auto"/>
            </w:tcBorders>
            <w:hideMark/>
          </w:tcPr>
          <w:p w14:paraId="1BD84175"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253D5C2" w14:textId="77777777" w:rsidR="00F10AF1" w:rsidRPr="0013396E" w:rsidRDefault="00F10AF1" w:rsidP="0099759E">
            <w:pPr>
              <w:pStyle w:val="tablebody0"/>
              <w:rPr>
                <w:i/>
              </w:rPr>
            </w:pPr>
            <w:r w:rsidRPr="0013396E">
              <w:rPr>
                <w:i/>
              </w:rPr>
              <w:t>Real Time Non-Spin Award per Resource per QSE</w:t>
            </w:r>
            <w:r w:rsidRPr="0013396E">
              <w:t xml:space="preserve"> </w:t>
            </w:r>
            <w:r w:rsidRPr="0013396E">
              <w:rPr>
                <w:i/>
              </w:rPr>
              <w:t>per SCED interval</w:t>
            </w:r>
            <w:r w:rsidRPr="0013396E">
              <w:rPr>
                <w:iCs/>
              </w:rPr>
              <w:t>—</w:t>
            </w:r>
            <w:r w:rsidRPr="0013396E">
              <w:t xml:space="preserve">The Non-Spin Amount awarded to QSE </w:t>
            </w:r>
            <w:r w:rsidRPr="0013396E">
              <w:rPr>
                <w:i/>
              </w:rPr>
              <w:t>q</w:t>
            </w:r>
            <w:r w:rsidRPr="0013396E">
              <w:t xml:space="preserve"> for Resource </w:t>
            </w:r>
            <w:r w:rsidRPr="0013396E">
              <w:rPr>
                <w:i/>
              </w:rPr>
              <w:t>r</w:t>
            </w:r>
            <w:r w:rsidRPr="0013396E">
              <w:t xml:space="preserve"> in Real-Time for the SCED interval </w:t>
            </w:r>
            <w:r w:rsidRPr="0013396E">
              <w:rPr>
                <w:i/>
              </w:rPr>
              <w:t xml:space="preserve">y.  </w:t>
            </w:r>
            <w:r w:rsidRPr="0013396E">
              <w:t xml:space="preserve">Where for a Combined Cycle Train, the Resource </w:t>
            </w:r>
            <w:r w:rsidRPr="0013396E">
              <w:rPr>
                <w:i/>
              </w:rPr>
              <w:t xml:space="preserve">r </w:t>
            </w:r>
            <w:r w:rsidRPr="0013396E">
              <w:t>is a Combined Cycle Generation Resource within the Combined Cycle Train.</w:t>
            </w:r>
          </w:p>
        </w:tc>
      </w:tr>
      <w:tr w:rsidR="00F10AF1" w:rsidRPr="0013396E" w14:paraId="114DC02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54C6FA7" w14:textId="77777777" w:rsidR="00F10AF1" w:rsidRPr="0013396E" w:rsidRDefault="00F10AF1" w:rsidP="0099759E">
            <w:pPr>
              <w:pStyle w:val="tablebody0"/>
            </w:pPr>
            <w:r w:rsidRPr="0013396E">
              <w:lastRenderedPageBreak/>
              <w:t xml:space="preserve">RTMCPCNSR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006417F0"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AF7037E" w14:textId="77777777" w:rsidR="00F10AF1" w:rsidRPr="0013396E" w:rsidRDefault="00F10AF1" w:rsidP="0099759E">
            <w:pPr>
              <w:pStyle w:val="tablebody0"/>
              <w:rPr>
                <w:iCs/>
              </w:rPr>
            </w:pPr>
            <w:r w:rsidRPr="0013396E">
              <w:rPr>
                <w:i/>
              </w:rPr>
              <w:t>Real-Time Market Clearing Price for Capacity for Non-Spin per Resource per QSE</w:t>
            </w:r>
            <w:r w:rsidRPr="0013396E">
              <w:sym w:font="Symbol" w:char="F0BE"/>
            </w:r>
            <w:r w:rsidRPr="0013396E">
              <w:t xml:space="preserve">The Real-Time MCPC for Non-Spin for Resource </w:t>
            </w:r>
            <w:r w:rsidRPr="0013396E">
              <w:rPr>
                <w:i/>
              </w:rPr>
              <w:t>r</w:t>
            </w:r>
            <w:r w:rsidRPr="0013396E">
              <w:t xml:space="preserve">, represented by QSE </w:t>
            </w:r>
            <w:r w:rsidRPr="0013396E">
              <w:rPr>
                <w:i/>
              </w:rPr>
              <w:t xml:space="preserve">q </w:t>
            </w:r>
            <w:r w:rsidRPr="0013396E">
              <w:t xml:space="preserve">for the 15-minute Settlement Interval.  Where for a Combined Cycle Train, the Resource </w:t>
            </w:r>
            <w:r w:rsidRPr="0013396E">
              <w:rPr>
                <w:i/>
              </w:rPr>
              <w:t>r</w:t>
            </w:r>
            <w:r w:rsidRPr="0013396E">
              <w:t xml:space="preserve"> is the Combined Cycle Train.</w:t>
            </w:r>
          </w:p>
        </w:tc>
      </w:tr>
      <w:tr w:rsidR="00F10AF1" w:rsidRPr="0013396E" w14:paraId="056A7DE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ED290E8" w14:textId="77777777" w:rsidR="00F10AF1" w:rsidRPr="0013396E" w:rsidRDefault="00F10AF1" w:rsidP="0099759E">
            <w:pPr>
              <w:pStyle w:val="tablebody0"/>
            </w:pPr>
            <w:r w:rsidRPr="0013396E">
              <w:t>RTMCPCNSS</w:t>
            </w:r>
            <w:r w:rsidRPr="0013396E">
              <w:rPr>
                <w:i/>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1F0DF936"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761E59DE" w14:textId="77777777" w:rsidR="00F10AF1" w:rsidRPr="0013396E" w:rsidRDefault="00F10AF1" w:rsidP="0099759E">
            <w:pPr>
              <w:pStyle w:val="tablebody0"/>
              <w:rPr>
                <w:i/>
              </w:rPr>
            </w:pPr>
            <w:r w:rsidRPr="0013396E">
              <w:rPr>
                <w:i/>
              </w:rPr>
              <w:t>Real-Time Market Clearing Price for Capacity for Non-Spin per SCED Interval</w:t>
            </w:r>
            <w:r w:rsidRPr="0013396E">
              <w:rPr>
                <w:iCs/>
              </w:rPr>
              <w:t>—</w:t>
            </w:r>
            <w:r w:rsidRPr="0013396E">
              <w:t xml:space="preserve">The Real-Time MCPC for Non-Spin for the SCED interval </w:t>
            </w:r>
            <w:r w:rsidRPr="0013396E">
              <w:rPr>
                <w:i/>
              </w:rPr>
              <w:t>y.</w:t>
            </w:r>
          </w:p>
        </w:tc>
      </w:tr>
      <w:tr w:rsidR="00F10AF1" w:rsidRPr="0013396E" w14:paraId="66C1737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16CE241" w14:textId="77777777" w:rsidR="00F10AF1" w:rsidRPr="0013396E" w:rsidRDefault="00F10AF1" w:rsidP="0099759E">
            <w:pPr>
              <w:pStyle w:val="tablebody0"/>
            </w:pPr>
            <w:r w:rsidRPr="0013396E">
              <w:t xml:space="preserve">PCNSR </w:t>
            </w:r>
            <w:r w:rsidRPr="0013396E">
              <w:rPr>
                <w:i/>
                <w:vertAlign w:val="subscript"/>
              </w:rPr>
              <w:t>r,</w:t>
            </w:r>
            <w:r w:rsidRPr="0013396E">
              <w:rPr>
                <w:i/>
              </w:rPr>
              <w:t xml:space="preserve"> </w:t>
            </w:r>
            <w:r w:rsidRPr="0013396E">
              <w:rPr>
                <w:i/>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2930C190"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E7E8502" w14:textId="77777777" w:rsidR="00F10AF1" w:rsidRPr="0013396E" w:rsidRDefault="00F10AF1" w:rsidP="0099759E">
            <w:pPr>
              <w:pStyle w:val="tablebody0"/>
              <w:rPr>
                <w:i/>
              </w:rPr>
            </w:pPr>
            <w:r w:rsidRPr="0013396E">
              <w:rPr>
                <w:i/>
              </w:rPr>
              <w:t>Procured Capacity for Non-Spin per Resource per QSE in DAM</w:t>
            </w:r>
            <w:r w:rsidRPr="0013396E">
              <w:t xml:space="preserve">—The Non-Spin capacity awarded to QSE </w:t>
            </w:r>
            <w:r w:rsidRPr="0013396E">
              <w:rPr>
                <w:i/>
              </w:rPr>
              <w:t>q</w:t>
            </w:r>
            <w:r w:rsidRPr="0013396E">
              <w:t xml:space="preserve"> in the DAM for Resource </w:t>
            </w:r>
            <w:r w:rsidRPr="0013396E">
              <w:rPr>
                <w:i/>
              </w:rPr>
              <w:t>r</w:t>
            </w:r>
            <w:r w:rsidRPr="0013396E">
              <w:t xml:space="preserve"> for the </w:t>
            </w:r>
            <w:r w:rsidRPr="0013396E">
              <w:rPr>
                <w:szCs w:val="18"/>
              </w:rPr>
              <w:t>Operating Hour</w:t>
            </w:r>
            <w:r w:rsidRPr="0013396E">
              <w:t xml:space="preserve">.  Where for a Combined Cycle Train, the Resource </w:t>
            </w:r>
            <w:r w:rsidRPr="0013396E">
              <w:rPr>
                <w:i/>
              </w:rPr>
              <w:t xml:space="preserve">r </w:t>
            </w:r>
            <w:r w:rsidRPr="0013396E">
              <w:t>is a Combined Cycle Generation Resource within the Combined Cycle Train.</w:t>
            </w:r>
          </w:p>
        </w:tc>
      </w:tr>
      <w:tr w:rsidR="00F10AF1" w:rsidRPr="0013396E" w14:paraId="4173FDC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676AE76" w14:textId="77777777" w:rsidR="00F10AF1" w:rsidRPr="0013396E" w:rsidRDefault="00F10AF1" w:rsidP="0099759E">
            <w:pPr>
              <w:pStyle w:val="tablebody0"/>
            </w:pPr>
            <w:r w:rsidRPr="0013396E">
              <w:t>RTMCPCNS</w:t>
            </w:r>
          </w:p>
        </w:tc>
        <w:tc>
          <w:tcPr>
            <w:tcW w:w="623" w:type="pct"/>
            <w:tcBorders>
              <w:top w:val="single" w:sz="4" w:space="0" w:color="auto"/>
              <w:left w:val="single" w:sz="4" w:space="0" w:color="auto"/>
              <w:bottom w:val="single" w:sz="4" w:space="0" w:color="auto"/>
              <w:right w:val="single" w:sz="4" w:space="0" w:color="auto"/>
            </w:tcBorders>
            <w:hideMark/>
          </w:tcPr>
          <w:p w14:paraId="320FBABC"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07B9E48" w14:textId="77777777" w:rsidR="00F10AF1" w:rsidRPr="0013396E" w:rsidRDefault="00F10AF1" w:rsidP="0099759E">
            <w:pPr>
              <w:pStyle w:val="tablebody0"/>
              <w:rPr>
                <w:i/>
              </w:rPr>
            </w:pPr>
            <w:r w:rsidRPr="0013396E">
              <w:rPr>
                <w:i/>
              </w:rPr>
              <w:t>Real-Time Market Clearing Price for Capacity for Non-Spin</w:t>
            </w:r>
            <w:r w:rsidRPr="0013396E">
              <w:rPr>
                <w:iCs/>
              </w:rPr>
              <w:t>—</w:t>
            </w:r>
            <w:r w:rsidRPr="0013396E">
              <w:t>The Real-Time MCPC for Non-Spin for the 15-minute Settlement Interval.</w:t>
            </w:r>
          </w:p>
        </w:tc>
      </w:tr>
      <w:tr w:rsidR="00F10AF1" w:rsidRPr="0013396E" w14:paraId="2F0CEFB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9DBC264" w14:textId="77777777" w:rsidR="00F10AF1" w:rsidRPr="0013396E" w:rsidRDefault="00F10AF1" w:rsidP="0099759E">
            <w:pPr>
              <w:pStyle w:val="tablebody0"/>
            </w:pPr>
            <w:r w:rsidRPr="0013396E">
              <w:t xml:space="preserve">RTRDPANSS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EBD3CEA"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CD69487" w14:textId="77777777" w:rsidR="00F10AF1" w:rsidRPr="0013396E" w:rsidRDefault="00F10AF1" w:rsidP="0099759E">
            <w:pPr>
              <w:pStyle w:val="tablebody0"/>
              <w:rPr>
                <w:i/>
              </w:rPr>
            </w:pPr>
            <w:r w:rsidRPr="0013396E">
              <w:rPr>
                <w:i/>
              </w:rPr>
              <w:t>Real-Time Reliability Deployment Price Adder for Ancillary Service for Non-Spin per SCED interval</w:t>
            </w:r>
            <w:r w:rsidRPr="0013396E">
              <w:rPr>
                <w:iCs/>
              </w:rPr>
              <w:t>—</w:t>
            </w:r>
            <w:r w:rsidRPr="0013396E">
              <w:t xml:space="preserve">The Real-Time price adder for Non-Spin that captures the impact of reliability deployments on Non-Spin prices for the SCED interval </w:t>
            </w:r>
            <w:r w:rsidRPr="0013396E">
              <w:rPr>
                <w:i/>
              </w:rPr>
              <w:t>y</w:t>
            </w:r>
            <w:r w:rsidRPr="0013396E">
              <w:t xml:space="preserve">. </w:t>
            </w:r>
          </w:p>
        </w:tc>
      </w:tr>
      <w:tr w:rsidR="00F10AF1" w:rsidRPr="0013396E" w14:paraId="57F4E4C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E55E055" w14:textId="77777777" w:rsidR="00F10AF1" w:rsidRPr="0013396E" w:rsidRDefault="00F10AF1" w:rsidP="0099759E">
            <w:pPr>
              <w:pStyle w:val="tablebody0"/>
            </w:pPr>
            <w:r w:rsidRPr="0013396E">
              <w:t>DASANSQ</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5F8BD8F8"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30F95DC" w14:textId="77777777" w:rsidR="00F10AF1" w:rsidRPr="0013396E" w:rsidRDefault="00F10AF1" w:rsidP="0099759E">
            <w:pPr>
              <w:pStyle w:val="tablebody0"/>
              <w:rPr>
                <w:i/>
              </w:rPr>
            </w:pPr>
            <w:r w:rsidRPr="0013396E">
              <w:rPr>
                <w:i/>
                <w:iCs/>
              </w:rPr>
              <w:t>Day-Ahead Self-Arranged Non-Spin Quantity per QSE</w:t>
            </w:r>
            <w:r w:rsidRPr="0013396E">
              <w:rPr>
                <w:iCs/>
              </w:rPr>
              <w:t xml:space="preserve">—The self-arranged Non-Spin quantity submitted by QSE </w:t>
            </w:r>
            <w:r w:rsidRPr="0013396E">
              <w:rPr>
                <w:i/>
                <w:iCs/>
              </w:rPr>
              <w:t>q</w:t>
            </w:r>
            <w:r w:rsidRPr="0013396E">
              <w:rPr>
                <w:iCs/>
              </w:rPr>
              <w:t xml:space="preserve"> before 1000 in the DAM for the Operating Hour.</w:t>
            </w:r>
          </w:p>
        </w:tc>
      </w:tr>
      <w:tr w:rsidR="00F10AF1" w:rsidRPr="0013396E" w14:paraId="275DA2E6"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8F86CB2" w14:textId="77777777" w:rsidR="00F10AF1" w:rsidRPr="0013396E" w:rsidRDefault="00F10AF1" w:rsidP="0099759E">
            <w:pPr>
              <w:pStyle w:val="tablebody0"/>
            </w:pPr>
            <w:r w:rsidRPr="0013396E">
              <w:t xml:space="preserve">NSTP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D6EC56D"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D98BB7E" w14:textId="77777777" w:rsidR="00F10AF1" w:rsidRPr="0013396E" w:rsidRDefault="00F10AF1" w:rsidP="0099759E">
            <w:pPr>
              <w:pStyle w:val="tablebody0"/>
              <w:rPr>
                <w:i/>
              </w:rPr>
            </w:pPr>
            <w:r w:rsidRPr="0013396E">
              <w:rPr>
                <w:i/>
              </w:rPr>
              <w:t>Trade Purchases for Non-Spin for the QSE</w:t>
            </w:r>
            <w:r w:rsidRPr="0013396E">
              <w:t>—</w:t>
            </w:r>
            <w:r w:rsidRPr="0013396E">
              <w:rPr>
                <w:szCs w:val="18"/>
              </w:rPr>
              <w:t xml:space="preserve">The trade purchases for QSE </w:t>
            </w:r>
            <w:r w:rsidRPr="0013396E">
              <w:rPr>
                <w:i/>
                <w:szCs w:val="18"/>
              </w:rPr>
              <w:t>q</w:t>
            </w:r>
            <w:r w:rsidRPr="0013396E">
              <w:rPr>
                <w:szCs w:val="18"/>
              </w:rPr>
              <w:t xml:space="preserve"> for Non-Spin for the Operating Hour.</w:t>
            </w:r>
          </w:p>
        </w:tc>
      </w:tr>
      <w:tr w:rsidR="00F10AF1" w:rsidRPr="0013396E" w14:paraId="22DB1CD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E3F0807" w14:textId="77777777" w:rsidR="00F10AF1" w:rsidRPr="0013396E" w:rsidRDefault="00F10AF1" w:rsidP="0099759E">
            <w:pPr>
              <w:pStyle w:val="tablebody0"/>
            </w:pPr>
            <w:r w:rsidRPr="0013396E">
              <w:t xml:space="preserve">NSTS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323D067"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FFEF3C7" w14:textId="77777777" w:rsidR="00F10AF1" w:rsidRPr="0013396E" w:rsidRDefault="00F10AF1" w:rsidP="0099759E">
            <w:pPr>
              <w:pStyle w:val="tablebody0"/>
              <w:rPr>
                <w:i/>
              </w:rPr>
            </w:pPr>
            <w:r w:rsidRPr="0013396E">
              <w:rPr>
                <w:i/>
                <w:szCs w:val="18"/>
              </w:rPr>
              <w:t>Trade Sales for Non-Spin for the QSE—</w:t>
            </w:r>
            <w:r w:rsidRPr="0013396E">
              <w:rPr>
                <w:szCs w:val="18"/>
              </w:rPr>
              <w:t xml:space="preserve">The trade sales for QSE </w:t>
            </w:r>
            <w:r w:rsidRPr="0013396E">
              <w:rPr>
                <w:i/>
                <w:szCs w:val="18"/>
              </w:rPr>
              <w:t>q</w:t>
            </w:r>
            <w:r w:rsidRPr="0013396E">
              <w:rPr>
                <w:szCs w:val="18"/>
              </w:rPr>
              <w:t xml:space="preserve"> for Non-Spin for the Operating Hour.</w:t>
            </w:r>
          </w:p>
        </w:tc>
      </w:tr>
      <w:tr w:rsidR="00F10AF1" w:rsidRPr="0013396E" w14:paraId="3E1C13F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AEF48FD" w14:textId="77777777" w:rsidR="00F10AF1" w:rsidRPr="0013396E" w:rsidRDefault="00F10AF1" w:rsidP="0099759E">
            <w:pPr>
              <w:pStyle w:val="tablebody0"/>
            </w:pPr>
            <w:r w:rsidRPr="0013396E">
              <w:t xml:space="preserve">TLMP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58CFF1AB" w14:textId="77777777" w:rsidR="00F10AF1" w:rsidRPr="0013396E" w:rsidRDefault="00F10AF1" w:rsidP="0099759E">
            <w:pPr>
              <w:pStyle w:val="tablebody0"/>
            </w:pPr>
            <w:r w:rsidRPr="0013396E">
              <w:t>second</w:t>
            </w:r>
          </w:p>
        </w:tc>
        <w:tc>
          <w:tcPr>
            <w:tcW w:w="3098" w:type="pct"/>
            <w:tcBorders>
              <w:top w:val="single" w:sz="4" w:space="0" w:color="auto"/>
              <w:left w:val="single" w:sz="4" w:space="0" w:color="auto"/>
              <w:bottom w:val="single" w:sz="4" w:space="0" w:color="auto"/>
              <w:right w:val="single" w:sz="4" w:space="0" w:color="auto"/>
            </w:tcBorders>
            <w:hideMark/>
          </w:tcPr>
          <w:p w14:paraId="3C770C35" w14:textId="77777777" w:rsidR="00F10AF1" w:rsidRPr="0013396E" w:rsidRDefault="00F10AF1" w:rsidP="0099759E">
            <w:pPr>
              <w:pStyle w:val="tablebody0"/>
              <w:rPr>
                <w:i/>
              </w:rPr>
            </w:pPr>
            <w:r w:rsidRPr="0013396E">
              <w:rPr>
                <w:i/>
                <w:iCs/>
              </w:rPr>
              <w:t xml:space="preserve">Duration of </w:t>
            </w:r>
            <w:r w:rsidRPr="0013396E">
              <w:rPr>
                <w:i/>
              </w:rPr>
              <w:t>SCED</w:t>
            </w:r>
            <w:r w:rsidRPr="0013396E">
              <w:rPr>
                <w:i/>
                <w:iCs/>
              </w:rPr>
              <w:t xml:space="preserve"> interval per interval</w:t>
            </w:r>
            <w:r w:rsidRPr="0013396E">
              <w:rPr>
                <w:iCs/>
              </w:rPr>
              <w:t>—</w:t>
            </w:r>
            <w:r w:rsidRPr="0013396E">
              <w:t xml:space="preserve">The duration of the SCED interval </w:t>
            </w:r>
            <w:r w:rsidRPr="0013396E">
              <w:rPr>
                <w:i/>
                <w:iCs/>
              </w:rPr>
              <w:t>y</w:t>
            </w:r>
            <w:r w:rsidRPr="0013396E">
              <w:t>.</w:t>
            </w:r>
          </w:p>
        </w:tc>
      </w:tr>
      <w:tr w:rsidR="00F10AF1" w:rsidRPr="0013396E" w14:paraId="3DD45A33"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637965E" w14:textId="77777777" w:rsidR="00F10AF1" w:rsidRPr="0013396E" w:rsidRDefault="00F10AF1" w:rsidP="0099759E">
            <w:pPr>
              <w:pStyle w:val="tablebody0"/>
            </w:pPr>
            <w:r w:rsidRPr="0013396E">
              <w:t xml:space="preserve">RNWF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2D907C9A"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1B08DB5E" w14:textId="77777777" w:rsidR="00F10AF1" w:rsidRPr="0013396E" w:rsidRDefault="00F10AF1" w:rsidP="0099759E">
            <w:pPr>
              <w:pStyle w:val="tablebody0"/>
              <w:rPr>
                <w:i/>
              </w:rPr>
            </w:pPr>
            <w:r w:rsidRPr="0013396E">
              <w:rPr>
                <w:i/>
              </w:rPr>
              <w:t>Resource Node Weighting Factor per interval</w:t>
            </w:r>
            <w:r w:rsidRPr="0013396E">
              <w:rPr>
                <w:iCs/>
              </w:rPr>
              <w:t>—</w:t>
            </w:r>
            <w:r w:rsidRPr="0013396E">
              <w:t xml:space="preserve">The weight used in the Ancillary Service award calculation for the portion of the SCED interval </w:t>
            </w:r>
            <w:r w:rsidRPr="0013396E">
              <w:rPr>
                <w:i/>
                <w:iCs/>
              </w:rPr>
              <w:t>y</w:t>
            </w:r>
            <w:r w:rsidRPr="0013396E">
              <w:t xml:space="preserve"> within the Settlement Interval.</w:t>
            </w:r>
          </w:p>
        </w:tc>
      </w:tr>
      <w:tr w:rsidR="00F10AF1" w:rsidRPr="0013396E" w14:paraId="798AB42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6952115" w14:textId="77777777" w:rsidR="00F10AF1" w:rsidRPr="0013396E" w:rsidRDefault="00F10AF1" w:rsidP="0099759E">
            <w:pPr>
              <w:pStyle w:val="tablebody0"/>
            </w:pPr>
            <w:r w:rsidRPr="0013396E">
              <w:t xml:space="preserve">NSRWF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7222F233"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41B28AFC" w14:textId="77777777" w:rsidR="00F10AF1" w:rsidRPr="0013396E" w:rsidRDefault="00F10AF1" w:rsidP="0099759E">
            <w:pPr>
              <w:pStyle w:val="tablebody0"/>
              <w:rPr>
                <w:i/>
              </w:rPr>
            </w:pPr>
            <w:r w:rsidRPr="0013396E">
              <w:rPr>
                <w:i/>
              </w:rPr>
              <w:t>Non-Spin Resource Node Weighting Factor per interval</w:t>
            </w:r>
            <w:r w:rsidRPr="0013396E">
              <w:rPr>
                <w:iCs/>
              </w:rPr>
              <w:t>—</w:t>
            </w:r>
            <w:r w:rsidRPr="0013396E">
              <w:t xml:space="preserve">The Non-Spin Resource weight, based on Non-Spin awards, used in the Real-Time MCPC calculation for the portion of the SCED interval </w:t>
            </w:r>
            <w:r w:rsidRPr="0013396E">
              <w:rPr>
                <w:i/>
              </w:rPr>
              <w:t>y</w:t>
            </w:r>
            <w:r w:rsidRPr="0013396E">
              <w:t xml:space="preserve"> within the Settlement Interval</w:t>
            </w:r>
            <w:r w:rsidRPr="0013396E">
              <w:rPr>
                <w:i/>
              </w:rPr>
              <w:t xml:space="preserve">.  </w:t>
            </w:r>
            <w:r w:rsidRPr="0013396E">
              <w:t xml:space="preserve">Where for a Combined Cycle Train, the Resource </w:t>
            </w:r>
            <w:r w:rsidRPr="0013396E">
              <w:rPr>
                <w:i/>
              </w:rPr>
              <w:t xml:space="preserve">r </w:t>
            </w:r>
            <w:r w:rsidRPr="0013396E">
              <w:t xml:space="preserve">is a Combined Cycle Generation Resource within the Combined Cycle Train.   </w:t>
            </w:r>
          </w:p>
        </w:tc>
      </w:tr>
      <w:tr w:rsidR="00F10AF1" w:rsidRPr="0013396E" w14:paraId="313D322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92DDE09" w14:textId="77777777" w:rsidR="00F10AF1" w:rsidRPr="0013396E" w:rsidRDefault="00F10AF1" w:rsidP="0099759E">
            <w:pPr>
              <w:pStyle w:val="tablebody0"/>
            </w:pPr>
            <w:r w:rsidRPr="0013396E">
              <w:rPr>
                <w:i/>
              </w:rPr>
              <w:t>r</w:t>
            </w:r>
          </w:p>
        </w:tc>
        <w:tc>
          <w:tcPr>
            <w:tcW w:w="623" w:type="pct"/>
            <w:tcBorders>
              <w:top w:val="single" w:sz="4" w:space="0" w:color="auto"/>
              <w:left w:val="single" w:sz="4" w:space="0" w:color="auto"/>
              <w:bottom w:val="single" w:sz="4" w:space="0" w:color="auto"/>
              <w:right w:val="single" w:sz="4" w:space="0" w:color="auto"/>
            </w:tcBorders>
            <w:hideMark/>
          </w:tcPr>
          <w:p w14:paraId="4FABDD01"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0F4A521F" w14:textId="77777777" w:rsidR="00F10AF1" w:rsidRPr="0013396E" w:rsidRDefault="00F10AF1" w:rsidP="0099759E">
            <w:pPr>
              <w:pStyle w:val="tablebody0"/>
              <w:rPr>
                <w:i/>
              </w:rPr>
            </w:pPr>
            <w:r w:rsidRPr="0013396E">
              <w:t>A Resource.</w:t>
            </w:r>
          </w:p>
        </w:tc>
      </w:tr>
      <w:tr w:rsidR="00F10AF1" w:rsidRPr="0013396E" w14:paraId="2FC5042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3BAA3B2"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7A2691BE"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34B21B10" w14:textId="77777777" w:rsidR="00F10AF1" w:rsidRPr="0013396E" w:rsidRDefault="00F10AF1" w:rsidP="0099759E">
            <w:pPr>
              <w:pStyle w:val="tablebody0"/>
            </w:pPr>
            <w:r w:rsidRPr="0013396E">
              <w:t>A QSE.</w:t>
            </w:r>
          </w:p>
        </w:tc>
      </w:tr>
      <w:tr w:rsidR="00F10AF1" w:rsidRPr="0013396E" w14:paraId="1984AE62"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43D8072" w14:textId="77777777" w:rsidR="00F10AF1" w:rsidRPr="0013396E" w:rsidRDefault="00F10AF1" w:rsidP="0099759E">
            <w:pPr>
              <w:pStyle w:val="tablebody0"/>
              <w:rPr>
                <w:i/>
              </w:rPr>
            </w:pPr>
            <w:r w:rsidRPr="0013396E">
              <w:rPr>
                <w:i/>
              </w:rPr>
              <w:t>y</w:t>
            </w:r>
          </w:p>
        </w:tc>
        <w:tc>
          <w:tcPr>
            <w:tcW w:w="623" w:type="pct"/>
            <w:tcBorders>
              <w:top w:val="single" w:sz="4" w:space="0" w:color="auto"/>
              <w:left w:val="single" w:sz="4" w:space="0" w:color="auto"/>
              <w:bottom w:val="single" w:sz="4" w:space="0" w:color="auto"/>
              <w:right w:val="single" w:sz="4" w:space="0" w:color="auto"/>
            </w:tcBorders>
            <w:hideMark/>
          </w:tcPr>
          <w:p w14:paraId="3675704E"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52622079" w14:textId="77777777" w:rsidR="00F10AF1" w:rsidRPr="0013396E" w:rsidRDefault="00F10AF1" w:rsidP="0099759E">
            <w:pPr>
              <w:pStyle w:val="tablebody0"/>
            </w:pPr>
            <w:r w:rsidRPr="0013396E">
              <w:t>A SCED interval in the 15-minute Settlement Interval.</w:t>
            </w:r>
          </w:p>
        </w:tc>
      </w:tr>
    </w:tbl>
    <w:p w14:paraId="122292B6" w14:textId="77777777" w:rsidR="00F10AF1" w:rsidRPr="0013396E" w:rsidRDefault="00F10AF1" w:rsidP="00F10AF1">
      <w:pPr>
        <w:spacing w:before="240" w:after="240"/>
      </w:pPr>
      <w:r w:rsidRPr="0013396E">
        <w:t>(2)</w:t>
      </w:r>
      <w:r w:rsidRPr="0013396E">
        <w:tab/>
        <w:t>Non-Spin Only Charge:</w:t>
      </w:r>
    </w:p>
    <w:p w14:paraId="536310EE" w14:textId="77777777" w:rsidR="00F10AF1" w:rsidRPr="0013396E" w:rsidRDefault="00F10AF1" w:rsidP="00F10AF1">
      <w:pPr>
        <w:pStyle w:val="FormulaBold"/>
      </w:pPr>
      <w:r w:rsidRPr="0013396E">
        <w:t>RTNSOAMT</w:t>
      </w:r>
      <w:r w:rsidRPr="0013396E">
        <w:rPr>
          <w:i/>
          <w:vertAlign w:val="subscript"/>
        </w:rPr>
        <w:t xml:space="preserve"> q  </w:t>
      </w:r>
      <w:r w:rsidRPr="0013396E">
        <w:t xml:space="preserve">= </w:t>
      </w:r>
      <w:r w:rsidRPr="0013396E">
        <w:tab/>
        <w:t xml:space="preserve">(1/4) * DANSOAWD </w:t>
      </w:r>
      <w:r w:rsidRPr="0013396E">
        <w:rPr>
          <w:i/>
          <w:vertAlign w:val="subscript"/>
        </w:rPr>
        <w:t>q</w:t>
      </w:r>
      <w:r w:rsidRPr="0013396E">
        <w:t xml:space="preserve"> * RTMCPCNS</w:t>
      </w:r>
    </w:p>
    <w:p w14:paraId="1A8D58E0"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27146E12"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B9737C2" w14:textId="77777777" w:rsidR="00F10AF1" w:rsidRPr="0013396E" w:rsidRDefault="00F10AF1" w:rsidP="0099759E">
            <w:pPr>
              <w:pStyle w:val="TableHead"/>
            </w:pPr>
            <w:r w:rsidRPr="0013396E">
              <w:lastRenderedPageBreak/>
              <w:t>Variable</w:t>
            </w:r>
          </w:p>
        </w:tc>
        <w:tc>
          <w:tcPr>
            <w:tcW w:w="623" w:type="pct"/>
            <w:tcBorders>
              <w:top w:val="single" w:sz="4" w:space="0" w:color="auto"/>
              <w:left w:val="single" w:sz="4" w:space="0" w:color="auto"/>
              <w:bottom w:val="single" w:sz="4" w:space="0" w:color="auto"/>
              <w:right w:val="single" w:sz="4" w:space="0" w:color="auto"/>
            </w:tcBorders>
            <w:hideMark/>
          </w:tcPr>
          <w:p w14:paraId="3342D1AA"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2572257A" w14:textId="77777777" w:rsidR="00F10AF1" w:rsidRPr="0013396E" w:rsidRDefault="00F10AF1" w:rsidP="0099759E">
            <w:pPr>
              <w:pStyle w:val="TableHead"/>
            </w:pPr>
            <w:r w:rsidRPr="0013396E">
              <w:t>Description</w:t>
            </w:r>
          </w:p>
        </w:tc>
      </w:tr>
      <w:tr w:rsidR="00F10AF1" w:rsidRPr="0013396E" w14:paraId="4FF5828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5CF7D95" w14:textId="77777777" w:rsidR="00F10AF1" w:rsidRPr="0013396E" w:rsidRDefault="00F10AF1" w:rsidP="0099759E">
            <w:pPr>
              <w:pStyle w:val="tablebody0"/>
            </w:pPr>
            <w:r w:rsidRPr="0013396E">
              <w:t xml:space="preserve">RTNSOAMT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4119D31"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02C80F09" w14:textId="77777777" w:rsidR="00F10AF1" w:rsidRPr="0013396E" w:rsidRDefault="00F10AF1" w:rsidP="0099759E">
            <w:pPr>
              <w:pStyle w:val="tablebody0"/>
              <w:rPr>
                <w:i/>
              </w:rPr>
            </w:pPr>
            <w:r w:rsidRPr="0013396E">
              <w:rPr>
                <w:i/>
              </w:rPr>
              <w:t>Real-Time Non-Spin Only Amount for the QSE</w:t>
            </w:r>
            <w:r w:rsidRPr="0013396E">
              <w:t xml:space="preserve">—The total charge to QSE </w:t>
            </w:r>
            <w:r w:rsidRPr="0013396E">
              <w:rPr>
                <w:i/>
              </w:rPr>
              <w:t>q</w:t>
            </w:r>
            <w:r w:rsidRPr="0013396E">
              <w:t xml:space="preserve"> in Real-Time for Non-Spin only award for each 15-minute Settlement Interval.</w:t>
            </w:r>
          </w:p>
        </w:tc>
      </w:tr>
      <w:tr w:rsidR="00F10AF1" w:rsidRPr="0013396E" w14:paraId="21378FB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89CEF47" w14:textId="77777777" w:rsidR="00F10AF1" w:rsidRPr="0013396E" w:rsidRDefault="00F10AF1" w:rsidP="0099759E">
            <w:pPr>
              <w:pStyle w:val="tablebody0"/>
            </w:pPr>
            <w:r w:rsidRPr="0013396E">
              <w:t xml:space="preserve">DANSOAWD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79441CC"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DAD0221" w14:textId="77777777" w:rsidR="00F10AF1" w:rsidRPr="0013396E" w:rsidRDefault="00F10AF1" w:rsidP="0099759E">
            <w:pPr>
              <w:pStyle w:val="tablebody0"/>
              <w:rPr>
                <w:i/>
              </w:rPr>
            </w:pPr>
            <w:r w:rsidRPr="0013396E">
              <w:rPr>
                <w:i/>
              </w:rPr>
              <w:t>Day-Ahead Non-Spin Only Award for the QSE</w:t>
            </w:r>
            <w:r w:rsidRPr="0013396E">
              <w:sym w:font="Symbol" w:char="F0BE"/>
            </w:r>
            <w:r w:rsidRPr="0013396E">
              <w:t xml:space="preserve">The Non-Spin only capacity awarded in the DAM to the QSE </w:t>
            </w:r>
            <w:r w:rsidRPr="0013396E">
              <w:rPr>
                <w:i/>
              </w:rPr>
              <w:t>q</w:t>
            </w:r>
            <w:r w:rsidRPr="0013396E">
              <w:t xml:space="preserve"> for the </w:t>
            </w:r>
            <w:r w:rsidRPr="0013396E">
              <w:rPr>
                <w:szCs w:val="18"/>
              </w:rPr>
              <w:t>Operating Hour</w:t>
            </w:r>
            <w:r w:rsidRPr="0013396E">
              <w:t>.</w:t>
            </w:r>
          </w:p>
        </w:tc>
      </w:tr>
      <w:tr w:rsidR="00F10AF1" w:rsidRPr="0013396E" w14:paraId="0841F96E"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B9156B0" w14:textId="77777777" w:rsidR="00F10AF1" w:rsidRPr="0013396E" w:rsidRDefault="00F10AF1" w:rsidP="0099759E">
            <w:pPr>
              <w:pStyle w:val="tablebody0"/>
            </w:pPr>
            <w:r w:rsidRPr="0013396E">
              <w:t>RTMCPCNS</w:t>
            </w:r>
          </w:p>
        </w:tc>
        <w:tc>
          <w:tcPr>
            <w:tcW w:w="623" w:type="pct"/>
            <w:tcBorders>
              <w:top w:val="single" w:sz="4" w:space="0" w:color="auto"/>
              <w:left w:val="single" w:sz="4" w:space="0" w:color="auto"/>
              <w:bottom w:val="single" w:sz="4" w:space="0" w:color="auto"/>
              <w:right w:val="single" w:sz="4" w:space="0" w:color="auto"/>
            </w:tcBorders>
            <w:hideMark/>
          </w:tcPr>
          <w:p w14:paraId="41B79DC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C2C3D8C" w14:textId="77777777" w:rsidR="00F10AF1" w:rsidRPr="0013396E" w:rsidRDefault="00F10AF1" w:rsidP="0099759E">
            <w:pPr>
              <w:pStyle w:val="tablebody0"/>
              <w:rPr>
                <w:i/>
              </w:rPr>
            </w:pPr>
            <w:r w:rsidRPr="0013396E">
              <w:rPr>
                <w:i/>
              </w:rPr>
              <w:t>Real-Time Market Clearing Price for Capacity for Non-Spin</w:t>
            </w:r>
            <w:r w:rsidRPr="0013396E">
              <w:rPr>
                <w:iCs/>
              </w:rPr>
              <w:t>—</w:t>
            </w:r>
            <w:r w:rsidRPr="0013396E">
              <w:t>The Real-Time MCPC for Non-Spin for the 15-minute Settlement Interval.</w:t>
            </w:r>
          </w:p>
        </w:tc>
      </w:tr>
      <w:tr w:rsidR="00F10AF1" w:rsidRPr="0013396E" w14:paraId="49577EC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60AB512"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43D151A6"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50362C8A" w14:textId="77777777" w:rsidR="00F10AF1" w:rsidRPr="0013396E" w:rsidRDefault="00F10AF1" w:rsidP="0099759E">
            <w:pPr>
              <w:pStyle w:val="tablebody0"/>
            </w:pPr>
            <w:r w:rsidRPr="0013396E">
              <w:t>A QSE.</w:t>
            </w:r>
          </w:p>
        </w:tc>
      </w:tr>
    </w:tbl>
    <w:p w14:paraId="3CA8620E" w14:textId="77777777" w:rsidR="00F10AF1" w:rsidRPr="0013396E" w:rsidRDefault="00F10AF1" w:rsidP="00F10AF1">
      <w:pPr>
        <w:spacing w:before="240" w:after="240"/>
      </w:pPr>
      <w:r w:rsidRPr="0013396E">
        <w:t>(3)</w:t>
      </w:r>
      <w:r w:rsidRPr="0013396E">
        <w:tab/>
        <w:t>Non-Spin Trade Overage Charge:</w:t>
      </w:r>
    </w:p>
    <w:p w14:paraId="22C675ED" w14:textId="77777777" w:rsidR="00F10AF1" w:rsidRPr="0013396E" w:rsidRDefault="00F10AF1" w:rsidP="00F10AF1">
      <w:pPr>
        <w:pStyle w:val="FormulaBold"/>
      </w:pPr>
      <w:r w:rsidRPr="0013396E">
        <w:t>RTNSTOAMT</w:t>
      </w:r>
      <w:r w:rsidRPr="0013396E">
        <w:rPr>
          <w:i/>
          <w:vertAlign w:val="subscript"/>
        </w:rPr>
        <w:t xml:space="preserve"> q  </w:t>
      </w:r>
      <w:r w:rsidRPr="0013396E">
        <w:t xml:space="preserve">= </w:t>
      </w:r>
      <w:r w:rsidRPr="0013396E">
        <w:tab/>
        <w:t xml:space="preserve">(1/4) * RTNSTO </w:t>
      </w:r>
      <w:r w:rsidRPr="0013396E">
        <w:rPr>
          <w:i/>
          <w:vertAlign w:val="subscript"/>
        </w:rPr>
        <w:t>q</w:t>
      </w:r>
      <w:r w:rsidRPr="0013396E">
        <w:t xml:space="preserve"> * RTMCPCNS</w:t>
      </w:r>
    </w:p>
    <w:p w14:paraId="32A6B979" w14:textId="77777777" w:rsidR="00F10AF1" w:rsidRPr="0013396E" w:rsidRDefault="00F10AF1" w:rsidP="00F10AF1">
      <w:pPr>
        <w:pStyle w:val="Instructions"/>
        <w:spacing w:after="0"/>
        <w:ind w:left="720" w:hanging="720"/>
        <w:rPr>
          <w:b w:val="0"/>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021E3C24"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41262F86"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70F9F5FA"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405E70E8" w14:textId="77777777" w:rsidR="00F10AF1" w:rsidRPr="0013396E" w:rsidRDefault="00F10AF1" w:rsidP="0099759E">
            <w:pPr>
              <w:pStyle w:val="TableHead"/>
            </w:pPr>
            <w:r w:rsidRPr="0013396E">
              <w:t>Description</w:t>
            </w:r>
          </w:p>
        </w:tc>
      </w:tr>
      <w:tr w:rsidR="00F10AF1" w:rsidRPr="0013396E" w14:paraId="14891EB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CF5EBF8" w14:textId="77777777" w:rsidR="00F10AF1" w:rsidRPr="0013396E" w:rsidRDefault="00F10AF1" w:rsidP="0099759E">
            <w:pPr>
              <w:pStyle w:val="tablebody0"/>
            </w:pPr>
            <w:r w:rsidRPr="0013396E">
              <w:t xml:space="preserve">RTNSTOAMT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16A8075"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4DCEE08B" w14:textId="77777777" w:rsidR="00F10AF1" w:rsidRPr="0013396E" w:rsidRDefault="00F10AF1" w:rsidP="0099759E">
            <w:pPr>
              <w:pStyle w:val="tablebody0"/>
              <w:rPr>
                <w:i/>
              </w:rPr>
            </w:pPr>
            <w:r w:rsidRPr="0013396E">
              <w:rPr>
                <w:i/>
              </w:rPr>
              <w:t>Real-Time Non-Spin Trade Overage Amount for the QSE</w:t>
            </w:r>
            <w:r w:rsidRPr="0013396E">
              <w:t xml:space="preserve">—The total charge to QSE </w:t>
            </w:r>
            <w:r w:rsidRPr="0013396E">
              <w:rPr>
                <w:i/>
              </w:rPr>
              <w:t>q</w:t>
            </w:r>
            <w:r w:rsidRPr="0013396E">
              <w:t xml:space="preserve"> in Real-Time for Non-Spin trade overages for each 15-minute Settlement Interval.</w:t>
            </w:r>
          </w:p>
        </w:tc>
      </w:tr>
      <w:tr w:rsidR="00F10AF1" w:rsidRPr="0013396E" w14:paraId="3A55DAB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B6D4E97" w14:textId="77777777" w:rsidR="00F10AF1" w:rsidRPr="0013396E" w:rsidRDefault="00F10AF1" w:rsidP="0099759E">
            <w:pPr>
              <w:pStyle w:val="tablebody0"/>
            </w:pPr>
            <w:r w:rsidRPr="0013396E">
              <w:t xml:space="preserve">RTNSTO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B6CE273"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7B384FAF" w14:textId="77777777" w:rsidR="00F10AF1" w:rsidRPr="0013396E" w:rsidRDefault="00F10AF1" w:rsidP="0099759E">
            <w:pPr>
              <w:pStyle w:val="tablebody0"/>
            </w:pPr>
            <w:r w:rsidRPr="0013396E">
              <w:rPr>
                <w:i/>
              </w:rPr>
              <w:t>Real-Time Non-Spin Trade Overage for the QSE</w:t>
            </w:r>
            <w:r w:rsidRPr="0013396E">
              <w:sym w:font="Symbol" w:char="F0BE"/>
            </w:r>
            <w:r w:rsidRPr="0013396E">
              <w:t xml:space="preserve">The quantity of submitted Non-Spin trades in excess of their DAM self-arrangement quantity for the QSE </w:t>
            </w:r>
            <w:r w:rsidRPr="0013396E">
              <w:rPr>
                <w:i/>
              </w:rPr>
              <w:t>q</w:t>
            </w:r>
            <w:r w:rsidRPr="0013396E">
              <w:t xml:space="preserve"> for the </w:t>
            </w:r>
            <w:r w:rsidRPr="0013396E">
              <w:rPr>
                <w:szCs w:val="18"/>
              </w:rPr>
              <w:t>Operating Hour</w:t>
            </w:r>
            <w:r w:rsidRPr="0013396E">
              <w:t>.</w:t>
            </w:r>
          </w:p>
        </w:tc>
      </w:tr>
      <w:tr w:rsidR="00F10AF1" w:rsidRPr="0013396E" w14:paraId="404C8EA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0AB49F49" w14:textId="77777777" w:rsidR="00F10AF1" w:rsidRPr="0013396E" w:rsidRDefault="00F10AF1" w:rsidP="0099759E">
            <w:pPr>
              <w:pStyle w:val="tablebody0"/>
            </w:pPr>
            <w:r w:rsidRPr="0013396E">
              <w:t>RTMCPCNS</w:t>
            </w:r>
          </w:p>
        </w:tc>
        <w:tc>
          <w:tcPr>
            <w:tcW w:w="623" w:type="pct"/>
            <w:tcBorders>
              <w:top w:val="single" w:sz="4" w:space="0" w:color="auto"/>
              <w:left w:val="single" w:sz="4" w:space="0" w:color="auto"/>
              <w:bottom w:val="single" w:sz="4" w:space="0" w:color="auto"/>
              <w:right w:val="single" w:sz="4" w:space="0" w:color="auto"/>
            </w:tcBorders>
            <w:hideMark/>
          </w:tcPr>
          <w:p w14:paraId="4E4F7036"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890A666" w14:textId="77777777" w:rsidR="00F10AF1" w:rsidRPr="0013396E" w:rsidRDefault="00F10AF1" w:rsidP="0099759E">
            <w:pPr>
              <w:pStyle w:val="tablebody0"/>
              <w:rPr>
                <w:i/>
              </w:rPr>
            </w:pPr>
            <w:r w:rsidRPr="0013396E">
              <w:rPr>
                <w:i/>
              </w:rPr>
              <w:t xml:space="preserve">Real-Time Market Clearing Price </w:t>
            </w:r>
            <w:r w:rsidRPr="0013396E">
              <w:rPr>
                <w:bCs/>
                <w:i/>
                <w:lang w:val="pt-BR"/>
              </w:rPr>
              <w:t xml:space="preserve">for Capacity </w:t>
            </w:r>
            <w:r w:rsidRPr="0013396E">
              <w:rPr>
                <w:i/>
              </w:rPr>
              <w:t>for Non-Spin</w:t>
            </w:r>
            <w:r w:rsidRPr="0013396E">
              <w:rPr>
                <w:iCs/>
              </w:rPr>
              <w:t>—</w:t>
            </w:r>
            <w:r w:rsidRPr="0013396E">
              <w:t>The Real-Time MCPC for Non-Spin for the 15-minute Settlement Interval.</w:t>
            </w:r>
          </w:p>
        </w:tc>
      </w:tr>
      <w:tr w:rsidR="00F10AF1" w:rsidRPr="0013396E" w14:paraId="2EB69A39"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408FF85"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783F7844"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35F5B892" w14:textId="77777777" w:rsidR="00F10AF1" w:rsidRPr="0013396E" w:rsidRDefault="00F10AF1" w:rsidP="0099759E">
            <w:pPr>
              <w:pStyle w:val="tablebody0"/>
            </w:pPr>
            <w:r w:rsidRPr="0013396E">
              <w:t>A QSE.</w:t>
            </w:r>
          </w:p>
        </w:tc>
      </w:tr>
    </w:tbl>
    <w:p w14:paraId="68D77293" w14:textId="42D5ED49" w:rsidR="00F10AF1" w:rsidRPr="0013396E" w:rsidRDefault="00F10AF1" w:rsidP="00F10AF1">
      <w:pPr>
        <w:pStyle w:val="H4"/>
        <w:spacing w:before="480"/>
      </w:pPr>
      <w:bookmarkStart w:id="2283" w:name="_Toc236220247"/>
      <w:r w:rsidRPr="0013396E">
        <w:t>6.7.</w:t>
      </w:r>
      <w:r w:rsidR="00A12B52" w:rsidRPr="0013396E">
        <w:t>2</w:t>
      </w:r>
      <w:r w:rsidRPr="0013396E">
        <w:t>.6</w:t>
      </w:r>
      <w:r w:rsidRPr="0013396E">
        <w:tab/>
        <w:t>ERCOT Contingency Reserve Service Payments and Charges</w:t>
      </w:r>
      <w:bookmarkEnd w:id="2283"/>
    </w:p>
    <w:p w14:paraId="2C536205" w14:textId="77777777" w:rsidR="00F10AF1" w:rsidRPr="0013396E" w:rsidRDefault="00F10AF1" w:rsidP="00F10AF1">
      <w:r w:rsidRPr="0013396E">
        <w:t>(1)</w:t>
      </w:r>
      <w:r w:rsidRPr="0013396E">
        <w:tab/>
        <w:t>ECRS Imbalance Payment or Charge:</w:t>
      </w:r>
    </w:p>
    <w:p w14:paraId="15E433E2" w14:textId="77777777" w:rsidR="00F10AF1" w:rsidRPr="0013396E" w:rsidRDefault="00F10AF1" w:rsidP="00F10AF1">
      <w:pPr>
        <w:pStyle w:val="FormulaBold"/>
        <w:ind w:left="2340" w:hanging="1620"/>
      </w:pPr>
      <w:r w:rsidRPr="0013396E">
        <w:t>RTECRIMBAMT</w:t>
      </w:r>
      <w:r w:rsidRPr="0013396E">
        <w:rPr>
          <w:i/>
          <w:vertAlign w:val="subscript"/>
        </w:rPr>
        <w:t xml:space="preserve"> q </w:t>
      </w:r>
      <w:r w:rsidRPr="0013396E">
        <w:t>= (-1) * [</w:t>
      </w:r>
      <w:r w:rsidRPr="0013396E">
        <w:rPr>
          <w:position w:val="-18"/>
        </w:rPr>
        <w:object w:dxaOrig="285" w:dyaOrig="570" w14:anchorId="53579A32">
          <v:shape id="_x0000_i1293" type="#_x0000_t75" style="width:12pt;height:30pt" o:ole="">
            <v:imagedata r:id="rId136" o:title=""/>
          </v:shape>
          <o:OLEObject Type="Embed" ProgID="Equation.3" ShapeID="_x0000_i1293" DrawAspect="Content" ObjectID="_1849065922" r:id="rId371"/>
        </w:object>
      </w:r>
      <w:r w:rsidRPr="0013396E">
        <w:t>[RTECRREV</w:t>
      </w:r>
      <w:r w:rsidRPr="0013396E">
        <w:rPr>
          <w:i/>
          <w:vertAlign w:val="subscript"/>
        </w:rPr>
        <w:t xml:space="preserve">q, r </w:t>
      </w:r>
      <w:r w:rsidRPr="0013396E">
        <w:t>– (1/4) * (PCECRR</w:t>
      </w:r>
      <w:r w:rsidRPr="0013396E">
        <w:rPr>
          <w:i/>
        </w:rPr>
        <w:t xml:space="preserve"> </w:t>
      </w:r>
      <w:r w:rsidRPr="0013396E">
        <w:rPr>
          <w:i/>
          <w:vertAlign w:val="subscript"/>
        </w:rPr>
        <w:t>r, q, DAM</w:t>
      </w:r>
      <w:r w:rsidRPr="0013396E">
        <w:t xml:space="preserve"> *</w:t>
      </w:r>
    </w:p>
    <w:p w14:paraId="6EA72550" w14:textId="77777777" w:rsidR="00F10AF1" w:rsidRPr="0013396E" w:rsidRDefault="00F10AF1" w:rsidP="00F10AF1">
      <w:pPr>
        <w:pStyle w:val="FormulaBold"/>
        <w:ind w:left="2340" w:firstLine="270"/>
      </w:pPr>
      <w:r w:rsidRPr="0013396E">
        <w:t xml:space="preserve">RTMCPCECR)] – (1/4) * (DASAECRQ </w:t>
      </w:r>
      <w:r w:rsidRPr="0013396E">
        <w:rPr>
          <w:i/>
          <w:vertAlign w:val="subscript"/>
        </w:rPr>
        <w:t>q</w:t>
      </w:r>
      <w:r w:rsidRPr="0013396E">
        <w:t xml:space="preserve"> * RTMCPCECR) + (1/4) * (ECRTP </w:t>
      </w:r>
      <w:r w:rsidRPr="0013396E">
        <w:rPr>
          <w:i/>
          <w:vertAlign w:val="subscript"/>
        </w:rPr>
        <w:t>q</w:t>
      </w:r>
      <w:r w:rsidRPr="0013396E">
        <w:t xml:space="preserve"> – ECRTS </w:t>
      </w:r>
      <w:r w:rsidRPr="0013396E">
        <w:rPr>
          <w:i/>
          <w:vertAlign w:val="subscript"/>
        </w:rPr>
        <w:t>q</w:t>
      </w:r>
      <w:r w:rsidRPr="0013396E">
        <w:t>) * RTMCPCECR]</w:t>
      </w:r>
    </w:p>
    <w:p w14:paraId="1D4F6174" w14:textId="77777777" w:rsidR="00F10AF1" w:rsidRPr="000B7133" w:rsidRDefault="00F10AF1" w:rsidP="00F10AF1">
      <w:pPr>
        <w:pStyle w:val="FormulaBold"/>
        <w:rPr>
          <w:b w:val="0"/>
          <w:bCs w:val="0"/>
        </w:rPr>
      </w:pPr>
      <w:r w:rsidRPr="000B7133">
        <w:rPr>
          <w:b w:val="0"/>
          <w:bCs w:val="0"/>
        </w:rPr>
        <w:t xml:space="preserve">Where:   </w:t>
      </w:r>
    </w:p>
    <w:p w14:paraId="095A6E7E" w14:textId="77777777" w:rsidR="00F10AF1" w:rsidRPr="000B7133" w:rsidRDefault="00F10AF1" w:rsidP="00F10AF1">
      <w:pPr>
        <w:pStyle w:val="FormulaBold"/>
        <w:rPr>
          <w:b w:val="0"/>
          <w:bCs w:val="0"/>
        </w:rPr>
      </w:pPr>
      <w:r w:rsidRPr="000B7133">
        <w:rPr>
          <w:rStyle w:val="BodyTextChar"/>
          <w:b w:val="0"/>
          <w:bCs w:val="0"/>
        </w:rPr>
        <w:t>RT</w:t>
      </w:r>
      <w:r w:rsidRPr="000B7133">
        <w:rPr>
          <w:b w:val="0"/>
          <w:bCs w:val="0"/>
        </w:rPr>
        <w:t>ECR</w:t>
      </w:r>
      <w:r w:rsidRPr="000B7133">
        <w:rPr>
          <w:rStyle w:val="BodyTextChar"/>
          <w:b w:val="0"/>
          <w:bCs w:val="0"/>
        </w:rPr>
        <w:t xml:space="preserve">REV </w:t>
      </w:r>
      <w:r w:rsidRPr="000B7133">
        <w:rPr>
          <w:b w:val="0"/>
          <w:bCs w:val="0"/>
          <w:i/>
          <w:vertAlign w:val="subscript"/>
        </w:rPr>
        <w:t xml:space="preserve">q, r </w:t>
      </w:r>
      <w:r w:rsidRPr="000B7133">
        <w:rPr>
          <w:b w:val="0"/>
          <w:bCs w:val="0"/>
          <w:i/>
        </w:rPr>
        <w:t xml:space="preserve"> =     </w:t>
      </w:r>
      <w:r w:rsidRPr="000B7133">
        <w:rPr>
          <w:b w:val="0"/>
          <w:bCs w:val="0"/>
        </w:rPr>
        <w:t>(1/4) * RTECRAWD</w:t>
      </w:r>
      <w:r w:rsidRPr="000B7133">
        <w:rPr>
          <w:b w:val="0"/>
          <w:bCs w:val="0"/>
          <w:i/>
          <w:vertAlign w:val="subscript"/>
        </w:rPr>
        <w:t xml:space="preserve"> q, r</w:t>
      </w:r>
      <w:r w:rsidRPr="000B7133">
        <w:rPr>
          <w:b w:val="0"/>
          <w:bCs w:val="0"/>
        </w:rPr>
        <w:t xml:space="preserve"> * RTMCPCECRR </w:t>
      </w:r>
      <w:r w:rsidRPr="000B7133">
        <w:rPr>
          <w:b w:val="0"/>
          <w:bCs w:val="0"/>
          <w:i/>
          <w:vertAlign w:val="subscript"/>
        </w:rPr>
        <w:t>q,</w:t>
      </w:r>
      <w:r w:rsidRPr="000B7133">
        <w:rPr>
          <w:b w:val="0"/>
          <w:bCs w:val="0"/>
          <w:i/>
        </w:rPr>
        <w:t xml:space="preserve"> </w:t>
      </w:r>
      <w:r w:rsidRPr="000B7133">
        <w:rPr>
          <w:b w:val="0"/>
          <w:bCs w:val="0"/>
          <w:i/>
          <w:vertAlign w:val="subscript"/>
        </w:rPr>
        <w:t>r</w:t>
      </w:r>
    </w:p>
    <w:p w14:paraId="6D4D98F5" w14:textId="77777777" w:rsidR="00F10AF1" w:rsidRPr="00016609" w:rsidRDefault="00F10AF1" w:rsidP="00F10AF1">
      <w:pPr>
        <w:pStyle w:val="FormulaBold"/>
        <w:rPr>
          <w:b w:val="0"/>
          <w:bCs w:val="0"/>
        </w:rPr>
      </w:pPr>
      <w:r w:rsidRPr="000B7133">
        <w:rPr>
          <w:b w:val="0"/>
          <w:bCs w:val="0"/>
        </w:rPr>
        <w:t xml:space="preserve">RTMCPCECRR </w:t>
      </w:r>
      <w:r w:rsidRPr="000B7133">
        <w:rPr>
          <w:b w:val="0"/>
          <w:bCs w:val="0"/>
          <w:i/>
          <w:vertAlign w:val="subscript"/>
        </w:rPr>
        <w:t>q, r</w:t>
      </w:r>
      <w:r w:rsidRPr="000B7133">
        <w:rPr>
          <w:b w:val="0"/>
          <w:bCs w:val="0"/>
          <w:i/>
        </w:rPr>
        <w:t xml:space="preserve"> = </w:t>
      </w:r>
      <w:r w:rsidRPr="007A1E53">
        <w:rPr>
          <w:b w:val="0"/>
          <w:bCs w:val="0"/>
          <w:position w:val="-22"/>
        </w:rPr>
        <w:object w:dxaOrig="285" w:dyaOrig="285" w14:anchorId="62C34AAD">
          <v:shape id="_x0000_i1294" type="#_x0000_t75" style="width:24pt;height:24pt" o:ole="">
            <v:imagedata r:id="rId20" o:title=""/>
          </v:shape>
          <o:OLEObject Type="Embed" ProgID="Equation.3" ShapeID="_x0000_i1294" DrawAspect="Content" ObjectID="_1849065923" r:id="rId372"/>
        </w:object>
      </w:r>
      <w:r w:rsidRPr="00016609">
        <w:rPr>
          <w:b w:val="0"/>
          <w:bCs w:val="0"/>
        </w:rPr>
        <w:t>(ECRRWF</w:t>
      </w:r>
      <w:r w:rsidRPr="00016609">
        <w:rPr>
          <w:b w:val="0"/>
          <w:bCs w:val="0"/>
          <w:i/>
          <w:vertAlign w:val="subscript"/>
        </w:rPr>
        <w:t xml:space="preserve"> q, r, y</w:t>
      </w:r>
      <w:r w:rsidRPr="00016609">
        <w:rPr>
          <w:b w:val="0"/>
          <w:bCs w:val="0"/>
        </w:rPr>
        <w:t xml:space="preserve"> * (RTMCPCECRS</w:t>
      </w:r>
      <w:r w:rsidRPr="00016609">
        <w:rPr>
          <w:b w:val="0"/>
          <w:bCs w:val="0"/>
          <w:i/>
          <w:vertAlign w:val="subscript"/>
        </w:rPr>
        <w:t xml:space="preserve"> y</w:t>
      </w:r>
      <w:r w:rsidRPr="00016609">
        <w:rPr>
          <w:b w:val="0"/>
          <w:bCs w:val="0"/>
        </w:rPr>
        <w:t xml:space="preserve"> + RTRDPAECRS </w:t>
      </w:r>
      <w:r w:rsidRPr="00016609">
        <w:rPr>
          <w:b w:val="0"/>
          <w:bCs w:val="0"/>
          <w:i/>
          <w:vertAlign w:val="subscript"/>
        </w:rPr>
        <w:t>y</w:t>
      </w:r>
      <w:r w:rsidRPr="00016609">
        <w:rPr>
          <w:b w:val="0"/>
          <w:bCs w:val="0"/>
          <w:i/>
        </w:rPr>
        <w:t>))</w:t>
      </w:r>
    </w:p>
    <w:p w14:paraId="54F1F041" w14:textId="77777777" w:rsidR="00F10AF1" w:rsidRPr="000B7133" w:rsidRDefault="00F10AF1" w:rsidP="00F10AF1">
      <w:pPr>
        <w:pStyle w:val="FormulaBold"/>
        <w:rPr>
          <w:b w:val="0"/>
          <w:bCs w:val="0"/>
          <w:i/>
          <w:vertAlign w:val="subscript"/>
        </w:rPr>
      </w:pPr>
      <w:r w:rsidRPr="00016609">
        <w:rPr>
          <w:b w:val="0"/>
          <w:bCs w:val="0"/>
        </w:rPr>
        <w:t>RTECRAWD</w:t>
      </w:r>
      <w:r w:rsidRPr="00016609">
        <w:rPr>
          <w:b w:val="0"/>
          <w:bCs w:val="0"/>
          <w:i/>
          <w:vertAlign w:val="subscript"/>
        </w:rPr>
        <w:t xml:space="preserve"> q, r  </w:t>
      </w:r>
      <w:r w:rsidRPr="00016609">
        <w:rPr>
          <w:b w:val="0"/>
          <w:bCs w:val="0"/>
        </w:rPr>
        <w:t xml:space="preserve"> =  </w:t>
      </w:r>
      <w:r w:rsidRPr="007A1E53">
        <w:rPr>
          <w:b w:val="0"/>
          <w:bCs w:val="0"/>
          <w:position w:val="-22"/>
        </w:rPr>
        <w:object w:dxaOrig="285" w:dyaOrig="285" w14:anchorId="7914B8DE">
          <v:shape id="_x0000_i1295" type="#_x0000_t75" style="width:24pt;height:24pt" o:ole="">
            <v:imagedata r:id="rId20" o:title=""/>
          </v:shape>
          <o:OLEObject Type="Embed" ProgID="Equation.3" ShapeID="_x0000_i1295" DrawAspect="Content" ObjectID="_1849065924" r:id="rId373"/>
        </w:object>
      </w:r>
      <w:r w:rsidRPr="000B7133">
        <w:rPr>
          <w:b w:val="0"/>
          <w:bCs w:val="0"/>
        </w:rPr>
        <w:t xml:space="preserve"> (RNWF </w:t>
      </w:r>
      <w:r w:rsidRPr="000B7133">
        <w:rPr>
          <w:b w:val="0"/>
          <w:bCs w:val="0"/>
          <w:i/>
          <w:vertAlign w:val="subscript"/>
        </w:rPr>
        <w:t>y</w:t>
      </w:r>
      <w:r w:rsidRPr="000B7133">
        <w:rPr>
          <w:b w:val="0"/>
          <w:bCs w:val="0"/>
          <w:vertAlign w:val="subscript"/>
        </w:rPr>
        <w:t xml:space="preserve"> </w:t>
      </w:r>
      <w:r w:rsidRPr="000B7133">
        <w:rPr>
          <w:b w:val="0"/>
          <w:bCs w:val="0"/>
        </w:rPr>
        <w:t>* RTECRAWDS</w:t>
      </w:r>
      <w:r w:rsidRPr="000B7133">
        <w:rPr>
          <w:b w:val="0"/>
          <w:bCs w:val="0"/>
          <w:i/>
          <w:vertAlign w:val="subscript"/>
        </w:rPr>
        <w:t xml:space="preserve"> q, r, y</w:t>
      </w:r>
      <w:r w:rsidRPr="000B7133">
        <w:rPr>
          <w:b w:val="0"/>
          <w:bCs w:val="0"/>
        </w:rPr>
        <w:t>)</w:t>
      </w:r>
    </w:p>
    <w:p w14:paraId="609AD430" w14:textId="77777777" w:rsidR="00F10AF1" w:rsidRPr="0013396E" w:rsidRDefault="00F10AF1" w:rsidP="00F10AF1">
      <w:pPr>
        <w:pStyle w:val="BodyTextNumbered"/>
        <w:ind w:left="0" w:firstLine="720"/>
      </w:pPr>
      <w:r w:rsidRPr="0013396E">
        <w:t>Where:</w:t>
      </w:r>
    </w:p>
    <w:p w14:paraId="2ECB28D4" w14:textId="77777777" w:rsidR="00F10AF1" w:rsidRPr="0013396E" w:rsidRDefault="00F10AF1" w:rsidP="00F10AF1">
      <w:pPr>
        <w:pStyle w:val="NoSpacing"/>
        <w:ind w:left="1440" w:hanging="720"/>
      </w:pPr>
      <w:r w:rsidRPr="0013396E">
        <w:lastRenderedPageBreak/>
        <w:t>ECRRWF</w:t>
      </w:r>
      <w:r w:rsidRPr="0013396E">
        <w:rPr>
          <w:i/>
          <w:vertAlign w:val="subscript"/>
        </w:rPr>
        <w:t xml:space="preserve"> q, r, y</w:t>
      </w:r>
      <w:r w:rsidRPr="0013396E">
        <w:rPr>
          <w:vertAlign w:val="subscript"/>
        </w:rPr>
        <w:t xml:space="preserve"> </w:t>
      </w:r>
      <w:r w:rsidRPr="0013396E">
        <w:t xml:space="preserve"> =    [max(0.001, RTECRAWDS</w:t>
      </w:r>
      <w:r w:rsidRPr="0013396E">
        <w:rPr>
          <w:i/>
          <w:vertAlign w:val="subscript"/>
        </w:rPr>
        <w:t xml:space="preserve"> q, r, y</w:t>
      </w:r>
      <w:r w:rsidRPr="0013396E">
        <w:t>) * TLMP</w:t>
      </w:r>
      <w:r w:rsidRPr="0013396E">
        <w:rPr>
          <w:i/>
          <w:vertAlign w:val="subscript"/>
        </w:rPr>
        <w:t xml:space="preserve"> y</w:t>
      </w:r>
      <w:r w:rsidRPr="0013396E">
        <w:t>] / [</w:t>
      </w:r>
      <w:r w:rsidRPr="0013396E">
        <w:rPr>
          <w:b/>
          <w:position w:val="-22"/>
        </w:rPr>
        <w:object w:dxaOrig="285" w:dyaOrig="285" w14:anchorId="2B051DAD">
          <v:shape id="_x0000_i1296" type="#_x0000_t75" style="width:24pt;height:24pt" o:ole="">
            <v:imagedata r:id="rId20" o:title=""/>
          </v:shape>
          <o:OLEObject Type="Embed" ProgID="Equation.3" ShapeID="_x0000_i1296" DrawAspect="Content" ObjectID="_1849065925" r:id="rId374"/>
        </w:object>
      </w:r>
      <w:r w:rsidRPr="0013396E">
        <w:t>max(0.001,</w:t>
      </w:r>
    </w:p>
    <w:p w14:paraId="42EA1C5D" w14:textId="77777777" w:rsidR="00F10AF1" w:rsidRPr="0013396E" w:rsidRDefault="00F10AF1" w:rsidP="00F10AF1">
      <w:pPr>
        <w:pStyle w:val="NoSpacing"/>
        <w:spacing w:after="240"/>
        <w:ind w:left="2160" w:firstLine="720"/>
      </w:pPr>
      <w:r w:rsidRPr="0013396E">
        <w:t>RTECRAWDS</w:t>
      </w:r>
      <w:r w:rsidRPr="0013396E">
        <w:rPr>
          <w:i/>
          <w:vertAlign w:val="subscript"/>
        </w:rPr>
        <w:t xml:space="preserve"> q, r, y</w:t>
      </w:r>
      <w:r w:rsidRPr="0013396E">
        <w:t>) * TLMP</w:t>
      </w:r>
      <w:r w:rsidRPr="0013396E">
        <w:rPr>
          <w:i/>
          <w:vertAlign w:val="subscript"/>
        </w:rPr>
        <w:t xml:space="preserve"> y</w:t>
      </w:r>
      <w:r w:rsidRPr="0013396E">
        <w:t>]</w:t>
      </w:r>
      <w:r w:rsidRPr="0013396E">
        <w:rPr>
          <w:vertAlign w:val="subscript"/>
        </w:rPr>
        <w:t xml:space="preserve"> </w:t>
      </w:r>
    </w:p>
    <w:p w14:paraId="2A4F0356" w14:textId="77777777" w:rsidR="00F10AF1" w:rsidRPr="0013396E" w:rsidRDefault="00F10AF1" w:rsidP="00F10AF1">
      <w:pPr>
        <w:pStyle w:val="NoSpacing"/>
        <w:spacing w:after="240"/>
        <w:ind w:left="1440" w:hanging="720"/>
      </w:pPr>
      <w:r w:rsidRPr="0013396E">
        <w:t>And:</w:t>
      </w:r>
    </w:p>
    <w:p w14:paraId="343FD522" w14:textId="77777777" w:rsidR="00F10AF1" w:rsidRPr="0013396E" w:rsidRDefault="00F10AF1" w:rsidP="00F10AF1">
      <w:pPr>
        <w:spacing w:after="240"/>
        <w:ind w:left="1440" w:hanging="720"/>
        <w:rPr>
          <w:i/>
          <w:vertAlign w:val="subscript"/>
        </w:rPr>
      </w:pPr>
      <w:r w:rsidRPr="0013396E">
        <w:t xml:space="preserve">RNWF </w:t>
      </w:r>
      <w:r w:rsidRPr="0013396E">
        <w:rPr>
          <w:i/>
          <w:vertAlign w:val="subscript"/>
        </w:rPr>
        <w:t xml:space="preserve">y   </w:t>
      </w:r>
      <w:r w:rsidRPr="0013396E">
        <w:t xml:space="preserve">=  TLMP </w:t>
      </w:r>
      <w:r w:rsidRPr="0013396E">
        <w:rPr>
          <w:i/>
          <w:vertAlign w:val="subscript"/>
        </w:rPr>
        <w:t>y</w:t>
      </w:r>
      <w:r w:rsidRPr="0013396E">
        <w:t xml:space="preserve"> </w:t>
      </w:r>
      <w:r w:rsidRPr="0013396E">
        <w:rPr>
          <w:color w:val="000000"/>
          <w:sz w:val="32"/>
          <w:szCs w:val="32"/>
        </w:rPr>
        <w:t>/</w:t>
      </w:r>
      <w:r w:rsidRPr="0013396E">
        <w:rPr>
          <w:color w:val="000000"/>
        </w:rPr>
        <w:t xml:space="preserve"> </w:t>
      </w:r>
      <w:r w:rsidRPr="0013396E">
        <w:rPr>
          <w:position w:val="-22"/>
          <w:szCs w:val="24"/>
        </w:rPr>
        <w:object w:dxaOrig="285" w:dyaOrig="285" w14:anchorId="7E504797">
          <v:shape id="_x0000_i1297" type="#_x0000_t75" style="width:24pt;height:24pt" o:ole="">
            <v:imagedata r:id="rId20" o:title=""/>
          </v:shape>
          <o:OLEObject Type="Embed" ProgID="Equation.3" ShapeID="_x0000_i1297" DrawAspect="Content" ObjectID="_1849065926" r:id="rId375"/>
        </w:object>
      </w:r>
      <w:r w:rsidRPr="0013396E">
        <w:t xml:space="preserve">TLMP </w:t>
      </w:r>
      <w:r w:rsidRPr="0013396E">
        <w:rPr>
          <w:i/>
          <w:vertAlign w:val="subscript"/>
        </w:rPr>
        <w:t>y</w:t>
      </w:r>
    </w:p>
    <w:p w14:paraId="0FE0397E"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0D106124"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280A5CD5"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30982ADA"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58B0AE02" w14:textId="77777777" w:rsidR="00F10AF1" w:rsidRPr="0013396E" w:rsidRDefault="00F10AF1" w:rsidP="0099759E">
            <w:pPr>
              <w:pStyle w:val="TableHead"/>
            </w:pPr>
            <w:r w:rsidRPr="0013396E">
              <w:t>Description</w:t>
            </w:r>
          </w:p>
        </w:tc>
      </w:tr>
      <w:tr w:rsidR="00F10AF1" w:rsidRPr="0013396E" w14:paraId="66E1899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486B5075" w14:textId="77777777" w:rsidR="00F10AF1" w:rsidRPr="0013396E" w:rsidRDefault="00F10AF1" w:rsidP="0099759E">
            <w:pPr>
              <w:pStyle w:val="tablebody0"/>
            </w:pPr>
            <w:r w:rsidRPr="0013396E">
              <w:t xml:space="preserve">RTECRIMBAMT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7FA830D"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40826ECD" w14:textId="77777777" w:rsidR="00F10AF1" w:rsidRPr="0013396E" w:rsidRDefault="00F10AF1" w:rsidP="0099759E">
            <w:pPr>
              <w:pStyle w:val="tablebody0"/>
              <w:rPr>
                <w:i/>
              </w:rPr>
            </w:pPr>
            <w:r w:rsidRPr="0013396E">
              <w:rPr>
                <w:i/>
              </w:rPr>
              <w:t>Real-Time ERCOT Contingency Reserve Service Imbalance Amount for the QSE—</w:t>
            </w:r>
            <w:r w:rsidRPr="0013396E">
              <w:t xml:space="preserve">The total payment or charge to QSE </w:t>
            </w:r>
            <w:r w:rsidRPr="0013396E">
              <w:rPr>
                <w:i/>
              </w:rPr>
              <w:t>q</w:t>
            </w:r>
            <w:r w:rsidRPr="0013396E">
              <w:t xml:space="preserve"> for the Real-Time ECRS imbalance for each 15-minute Settlement Interval.</w:t>
            </w:r>
          </w:p>
        </w:tc>
      </w:tr>
      <w:tr w:rsidR="00F10AF1" w:rsidRPr="0013396E" w14:paraId="7F00D50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5681488" w14:textId="77777777" w:rsidR="00F10AF1" w:rsidRPr="0013396E" w:rsidRDefault="00F10AF1" w:rsidP="0099759E">
            <w:pPr>
              <w:pStyle w:val="tablebody0"/>
            </w:pPr>
            <w:r w:rsidRPr="0013396E">
              <w:t xml:space="preserve">RTECRAWD </w:t>
            </w:r>
            <w:r w:rsidRPr="0013396E">
              <w:rPr>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34E8ABD4"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D14B8C2" w14:textId="77777777" w:rsidR="00F10AF1" w:rsidRPr="0013396E" w:rsidRDefault="00F10AF1" w:rsidP="0099759E">
            <w:pPr>
              <w:pStyle w:val="tablebody0"/>
              <w:rPr>
                <w:i/>
              </w:rPr>
            </w:pPr>
            <w:r w:rsidRPr="0013396E">
              <w:rPr>
                <w:i/>
              </w:rPr>
              <w:t>Real-Time ERCOT Contingency Reserve Service Award per Resource per QSE</w:t>
            </w:r>
            <w:r w:rsidRPr="0013396E">
              <w:sym w:font="Symbol" w:char="F0BE"/>
            </w:r>
            <w:r w:rsidRPr="0013396E">
              <w:t xml:space="preserve">The ECRS amount awarded to QSE </w:t>
            </w:r>
            <w:r w:rsidRPr="0013396E">
              <w:rPr>
                <w:i/>
              </w:rPr>
              <w:t>q</w:t>
            </w:r>
            <w:r w:rsidRPr="0013396E">
              <w:t xml:space="preserve"> for Resource </w:t>
            </w:r>
            <w:r w:rsidRPr="0013396E">
              <w:rPr>
                <w:i/>
              </w:rPr>
              <w:t>r</w:t>
            </w:r>
            <w:r w:rsidRPr="0013396E">
              <w:t xml:space="preserve"> in Real-Time for the 15-minute Settlement Interval.  Where for a Combined Cycle Train, the Resource </w:t>
            </w:r>
            <w:r w:rsidRPr="0013396E">
              <w:rPr>
                <w:i/>
              </w:rPr>
              <w:t>r</w:t>
            </w:r>
            <w:r w:rsidRPr="0013396E">
              <w:t xml:space="preserve"> is a Combined Cycle Generation Resource within the Combined Cycle Train.</w:t>
            </w:r>
          </w:p>
        </w:tc>
      </w:tr>
      <w:tr w:rsidR="00F10AF1" w:rsidRPr="0013396E" w14:paraId="1DF3310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5DF92C42" w14:textId="77777777" w:rsidR="00F10AF1" w:rsidRPr="0013396E" w:rsidRDefault="00F10AF1" w:rsidP="0099759E">
            <w:pPr>
              <w:pStyle w:val="tablebody0"/>
            </w:pPr>
            <w:r w:rsidRPr="0013396E">
              <w:t xml:space="preserve">RTECRREV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3B23BB2A"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64D01645" w14:textId="77777777" w:rsidR="00F10AF1" w:rsidRPr="0013396E" w:rsidRDefault="00F10AF1" w:rsidP="0099759E">
            <w:pPr>
              <w:pStyle w:val="tablebody0"/>
              <w:rPr>
                <w:i/>
              </w:rPr>
            </w:pPr>
            <w:r w:rsidRPr="0013396E">
              <w:rPr>
                <w:i/>
              </w:rPr>
              <w:t>Real-Time ERCOT Contingency Reserve Service Revenue</w:t>
            </w:r>
            <w:r w:rsidRPr="0013396E">
              <w:t xml:space="preserve">—The Real-Time ECRS revenue for QSE </w:t>
            </w:r>
            <w:r w:rsidRPr="0013396E">
              <w:rPr>
                <w:i/>
              </w:rPr>
              <w:t xml:space="preserve">q </w:t>
            </w:r>
            <w:r w:rsidRPr="0013396E">
              <w:t xml:space="preserve">calculated for Resource </w:t>
            </w:r>
            <w:r w:rsidRPr="0013396E">
              <w:rPr>
                <w:i/>
              </w:rPr>
              <w:t>r</w:t>
            </w:r>
            <w:r w:rsidRPr="0013396E">
              <w:t xml:space="preserve"> for the 15-minute Settlement Interval.  Where for a Combined Cycle Train, the Resource </w:t>
            </w:r>
            <w:r w:rsidRPr="0013396E">
              <w:rPr>
                <w:i/>
              </w:rPr>
              <w:t>r</w:t>
            </w:r>
            <w:r w:rsidRPr="0013396E">
              <w:t xml:space="preserve"> is the Combined Cycle Train.</w:t>
            </w:r>
          </w:p>
        </w:tc>
      </w:tr>
      <w:tr w:rsidR="00F10AF1" w:rsidRPr="0013396E" w14:paraId="3654807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5ABC856" w14:textId="77777777" w:rsidR="00F10AF1" w:rsidRPr="0013396E" w:rsidRDefault="00F10AF1" w:rsidP="0099759E">
            <w:pPr>
              <w:pStyle w:val="tablebody0"/>
            </w:pPr>
            <w:r w:rsidRPr="0013396E">
              <w:t xml:space="preserve">RTECRAWDS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7A313DF7"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E232BCF" w14:textId="77777777" w:rsidR="00F10AF1" w:rsidRPr="0013396E" w:rsidRDefault="00F10AF1" w:rsidP="0099759E">
            <w:pPr>
              <w:pStyle w:val="tablebody0"/>
              <w:rPr>
                <w:i/>
              </w:rPr>
            </w:pPr>
            <w:r w:rsidRPr="0013396E">
              <w:rPr>
                <w:i/>
              </w:rPr>
              <w:t>Real-Time ERCOT Contingency Reserve Service Award per Resource per QSE per SCED interval</w:t>
            </w:r>
            <w:r w:rsidRPr="0013396E">
              <w:rPr>
                <w:iCs/>
              </w:rPr>
              <w:t>—</w:t>
            </w:r>
            <w:r w:rsidRPr="0013396E">
              <w:t xml:space="preserve">The ECRS amount awarded to QSE </w:t>
            </w:r>
            <w:r w:rsidRPr="0013396E">
              <w:rPr>
                <w:i/>
              </w:rPr>
              <w:t>q</w:t>
            </w:r>
            <w:r w:rsidRPr="0013396E">
              <w:t xml:space="preserve"> for Resource </w:t>
            </w:r>
            <w:r w:rsidRPr="0013396E">
              <w:rPr>
                <w:i/>
              </w:rPr>
              <w:t>r</w:t>
            </w:r>
            <w:r w:rsidRPr="0013396E">
              <w:t xml:space="preserve"> in Real-Time for the SCED interval </w:t>
            </w:r>
            <w:r w:rsidRPr="0013396E">
              <w:rPr>
                <w:i/>
              </w:rPr>
              <w:t>y.</w:t>
            </w:r>
            <w:r w:rsidRPr="0013396E">
              <w:t xml:space="preserve">  Where for a Combined Cycle Train, the Resource </w:t>
            </w:r>
            <w:r w:rsidRPr="0013396E">
              <w:rPr>
                <w:i/>
              </w:rPr>
              <w:t>r</w:t>
            </w:r>
            <w:r w:rsidRPr="0013396E">
              <w:t xml:space="preserve"> is the Combined Cycle Train.</w:t>
            </w:r>
          </w:p>
        </w:tc>
      </w:tr>
      <w:tr w:rsidR="00F10AF1" w:rsidRPr="0013396E" w14:paraId="046026AC"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2D0132A" w14:textId="77777777" w:rsidR="00F10AF1" w:rsidRPr="0013396E" w:rsidRDefault="00F10AF1" w:rsidP="0099759E">
            <w:pPr>
              <w:pStyle w:val="tablebody0"/>
            </w:pPr>
            <w:r w:rsidRPr="0013396E">
              <w:t xml:space="preserve">RTMCPCECRR </w:t>
            </w:r>
            <w:r w:rsidRPr="0013396E">
              <w:rPr>
                <w:i/>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637C213A"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C138849" w14:textId="77777777" w:rsidR="00F10AF1" w:rsidRPr="0013396E" w:rsidRDefault="00F10AF1" w:rsidP="0099759E">
            <w:pPr>
              <w:pStyle w:val="tablebody0"/>
              <w:rPr>
                <w:iCs/>
              </w:rPr>
            </w:pPr>
            <w:r w:rsidRPr="0013396E">
              <w:rPr>
                <w:i/>
              </w:rPr>
              <w:t>Real-Time Market Clearing Price for Capacity for ERCOT Contingency Reserve Service per Resource per QSE</w:t>
            </w:r>
            <w:r w:rsidRPr="0013396E">
              <w:sym w:font="Symbol" w:char="F0BE"/>
            </w:r>
            <w:r w:rsidRPr="0013396E">
              <w:t xml:space="preserve">The Real-Time MCPC for ECRS for Resource </w:t>
            </w:r>
            <w:r w:rsidRPr="0013396E">
              <w:rPr>
                <w:i/>
              </w:rPr>
              <w:t>r</w:t>
            </w:r>
            <w:r w:rsidRPr="0013396E">
              <w:t xml:space="preserve">, represented by QSE </w:t>
            </w:r>
            <w:r w:rsidRPr="0013396E">
              <w:rPr>
                <w:i/>
              </w:rPr>
              <w:t xml:space="preserve">q </w:t>
            </w:r>
            <w:r w:rsidRPr="0013396E">
              <w:t xml:space="preserve">for the 15-minute Settlement Interval.  Where for a Combined Cycle Train, the Resource </w:t>
            </w:r>
            <w:r w:rsidRPr="0013396E">
              <w:rPr>
                <w:i/>
              </w:rPr>
              <w:t>r</w:t>
            </w:r>
            <w:r w:rsidRPr="0013396E">
              <w:t xml:space="preserve"> is the Combined Cycle Train.</w:t>
            </w:r>
          </w:p>
        </w:tc>
      </w:tr>
      <w:tr w:rsidR="00F10AF1" w:rsidRPr="0013396E" w14:paraId="76A0123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7B85944" w14:textId="77777777" w:rsidR="00F10AF1" w:rsidRPr="0013396E" w:rsidRDefault="00F10AF1" w:rsidP="0099759E">
            <w:pPr>
              <w:pStyle w:val="tablebody0"/>
            </w:pPr>
            <w:r w:rsidRPr="0013396E">
              <w:t>RTMCPCECRS</w:t>
            </w:r>
            <w:r w:rsidRPr="0013396E">
              <w:rPr>
                <w:i/>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76457C2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62B937D7" w14:textId="77777777" w:rsidR="00F10AF1" w:rsidRPr="0013396E" w:rsidRDefault="00F10AF1" w:rsidP="0099759E">
            <w:pPr>
              <w:pStyle w:val="tablebody0"/>
              <w:rPr>
                <w:i/>
              </w:rPr>
            </w:pPr>
            <w:r w:rsidRPr="0013396E">
              <w:rPr>
                <w:i/>
              </w:rPr>
              <w:t>Real-Time Market Clearing Price</w:t>
            </w:r>
            <w:r w:rsidRPr="0013396E">
              <w:rPr>
                <w:bCs/>
                <w:i/>
                <w:lang w:val="pt-BR"/>
              </w:rPr>
              <w:t xml:space="preserve"> for Capacity</w:t>
            </w:r>
            <w:r w:rsidRPr="0013396E">
              <w:rPr>
                <w:i/>
              </w:rPr>
              <w:t xml:space="preserve"> for ERCOT Contingency Reserve Service per SCED Interval</w:t>
            </w:r>
            <w:r w:rsidRPr="0013396E">
              <w:t xml:space="preserve">—The Real-Time MCPC for ECRS for the SCED interval </w:t>
            </w:r>
            <w:r w:rsidRPr="0013396E">
              <w:rPr>
                <w:i/>
              </w:rPr>
              <w:t>y.</w:t>
            </w:r>
          </w:p>
        </w:tc>
      </w:tr>
      <w:tr w:rsidR="00F10AF1" w:rsidRPr="0013396E" w14:paraId="757201F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5E6A888" w14:textId="77777777" w:rsidR="00F10AF1" w:rsidRPr="0013396E" w:rsidRDefault="00F10AF1" w:rsidP="0099759E">
            <w:pPr>
              <w:pStyle w:val="tablebody0"/>
            </w:pPr>
            <w:r w:rsidRPr="0013396E">
              <w:rPr>
                <w:iCs/>
              </w:rPr>
              <w:t xml:space="preserve">PCECRR </w:t>
            </w:r>
            <w:r w:rsidRPr="0013396E">
              <w:rPr>
                <w:i/>
                <w:iCs/>
                <w:vertAlign w:val="subscript"/>
              </w:rPr>
              <w:t>r,</w:t>
            </w:r>
            <w:r w:rsidRPr="0013396E">
              <w:rPr>
                <w:i/>
                <w:iCs/>
              </w:rPr>
              <w:t xml:space="preserve"> </w:t>
            </w:r>
            <w:r w:rsidRPr="0013396E">
              <w:rPr>
                <w:i/>
                <w:iCs/>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2CDC553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BBE7A99" w14:textId="77777777" w:rsidR="00F10AF1" w:rsidRPr="0013396E" w:rsidRDefault="00F10AF1" w:rsidP="0099759E">
            <w:pPr>
              <w:pStyle w:val="tablebody0"/>
              <w:rPr>
                <w:i/>
              </w:rPr>
            </w:pPr>
            <w:r w:rsidRPr="0013396E">
              <w:rPr>
                <w:i/>
                <w:iCs/>
              </w:rPr>
              <w:t>Procured Capacity for ERCOT Contingency Reserve Service per Resource per QSE in DAM</w:t>
            </w:r>
            <w:r w:rsidRPr="0013396E">
              <w:rPr>
                <w:iCs/>
              </w:rPr>
              <w:t xml:space="preserve">—The ECRS capacity awarded to QSE </w:t>
            </w:r>
            <w:r w:rsidRPr="0013396E">
              <w:rPr>
                <w:i/>
                <w:iCs/>
              </w:rPr>
              <w:t>q</w:t>
            </w:r>
            <w:r w:rsidRPr="0013396E">
              <w:rPr>
                <w:iCs/>
              </w:rPr>
              <w:t xml:space="preserve"> in the DAM for Resource </w:t>
            </w:r>
            <w:r w:rsidRPr="0013396E">
              <w:rPr>
                <w:i/>
                <w:iCs/>
              </w:rPr>
              <w:t>r</w:t>
            </w:r>
            <w:r w:rsidRPr="0013396E">
              <w:rPr>
                <w:iCs/>
              </w:rPr>
              <w:t xml:space="preserve"> for the </w:t>
            </w:r>
            <w:r w:rsidRPr="0013396E">
              <w:rPr>
                <w:szCs w:val="18"/>
              </w:rPr>
              <w:t>Operating Hour</w:t>
            </w:r>
            <w:r w:rsidRPr="0013396E">
              <w:rPr>
                <w:iCs/>
              </w:rPr>
              <w:t xml:space="preserve">.  Where for a Combined Cycle Train, the Resource </w:t>
            </w:r>
            <w:r w:rsidRPr="0013396E">
              <w:rPr>
                <w:i/>
                <w:iCs/>
              </w:rPr>
              <w:t xml:space="preserve">r </w:t>
            </w:r>
            <w:r w:rsidRPr="0013396E">
              <w:rPr>
                <w:iCs/>
              </w:rPr>
              <w:t>is a Combined Cycle Generation Resource within the Combined Cycle Train.</w:t>
            </w:r>
          </w:p>
        </w:tc>
      </w:tr>
      <w:tr w:rsidR="00F10AF1" w:rsidRPr="0013396E" w14:paraId="41D49B4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1C25E63" w14:textId="77777777" w:rsidR="00F10AF1" w:rsidRPr="0013396E" w:rsidRDefault="00F10AF1" w:rsidP="0099759E">
            <w:pPr>
              <w:pStyle w:val="tablebody0"/>
            </w:pPr>
            <w:r w:rsidRPr="0013396E">
              <w:t>RTMCPCECR</w:t>
            </w:r>
          </w:p>
        </w:tc>
        <w:tc>
          <w:tcPr>
            <w:tcW w:w="623" w:type="pct"/>
            <w:tcBorders>
              <w:top w:val="single" w:sz="4" w:space="0" w:color="auto"/>
              <w:left w:val="single" w:sz="4" w:space="0" w:color="auto"/>
              <w:bottom w:val="single" w:sz="4" w:space="0" w:color="auto"/>
              <w:right w:val="single" w:sz="4" w:space="0" w:color="auto"/>
            </w:tcBorders>
            <w:hideMark/>
          </w:tcPr>
          <w:p w14:paraId="08ABC6F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40FCEB1D" w14:textId="77777777" w:rsidR="00F10AF1" w:rsidRPr="0013396E" w:rsidRDefault="00F10AF1" w:rsidP="0099759E">
            <w:pPr>
              <w:pStyle w:val="tablebody0"/>
              <w:rPr>
                <w:i/>
              </w:rPr>
            </w:pPr>
            <w:r w:rsidRPr="0013396E">
              <w:rPr>
                <w:i/>
              </w:rPr>
              <w:t>Real-Time Market Clearing Price for Capacity for ERCOT Contingency Reserve Service</w:t>
            </w:r>
            <w:r w:rsidRPr="0013396E">
              <w:t>—The Real-Time MCPC for ECRS for the 15-minute Settlement Interval.</w:t>
            </w:r>
          </w:p>
        </w:tc>
      </w:tr>
      <w:tr w:rsidR="00F10AF1" w:rsidRPr="0013396E" w14:paraId="2C4BAAC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455507B" w14:textId="77777777" w:rsidR="00F10AF1" w:rsidRPr="0013396E" w:rsidRDefault="00F10AF1" w:rsidP="0099759E">
            <w:pPr>
              <w:pStyle w:val="tablebody0"/>
            </w:pPr>
            <w:r w:rsidRPr="0013396E">
              <w:t xml:space="preserve">RTRDPAECRS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27FD2AD1"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6606D3E" w14:textId="77777777" w:rsidR="00F10AF1" w:rsidRPr="0013396E" w:rsidRDefault="00F10AF1" w:rsidP="0099759E">
            <w:pPr>
              <w:pStyle w:val="tablebody0"/>
              <w:rPr>
                <w:i/>
              </w:rPr>
            </w:pPr>
            <w:r w:rsidRPr="0013396E">
              <w:rPr>
                <w:i/>
              </w:rPr>
              <w:t>Real-Time Reliability Deployment Price Adder for Ancillary Service for ERCOT Contingency Reserve Service per SCED interval</w:t>
            </w:r>
            <w:r w:rsidRPr="0013396E">
              <w:rPr>
                <w:iCs/>
              </w:rPr>
              <w:t>—</w:t>
            </w:r>
            <w:r w:rsidRPr="0013396E">
              <w:t xml:space="preserve">The Real-Time price adder for ECRS that captures the impact of reliability deployments on ECRS prices for the SCED interval </w:t>
            </w:r>
            <w:r w:rsidRPr="0013396E">
              <w:rPr>
                <w:i/>
              </w:rPr>
              <w:t>y</w:t>
            </w:r>
            <w:r w:rsidRPr="0013396E">
              <w:t xml:space="preserve">. </w:t>
            </w:r>
          </w:p>
        </w:tc>
      </w:tr>
      <w:tr w:rsidR="00F10AF1" w:rsidRPr="0013396E" w14:paraId="69AC8EFB"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DE38A87" w14:textId="77777777" w:rsidR="00F10AF1" w:rsidRPr="0013396E" w:rsidRDefault="00F10AF1" w:rsidP="0099759E">
            <w:pPr>
              <w:pStyle w:val="tablebody0"/>
            </w:pPr>
            <w:r w:rsidRPr="0013396E">
              <w:t>DASAECRQ</w:t>
            </w:r>
            <w:r w:rsidRPr="0013396E">
              <w:rPr>
                <w:i/>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4D464F02"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1D51E435" w14:textId="77777777" w:rsidR="00F10AF1" w:rsidRPr="0013396E" w:rsidRDefault="00F10AF1" w:rsidP="0099759E">
            <w:pPr>
              <w:pStyle w:val="tablebody0"/>
              <w:rPr>
                <w:i/>
              </w:rPr>
            </w:pPr>
            <w:r w:rsidRPr="0013396E">
              <w:rPr>
                <w:i/>
                <w:iCs/>
              </w:rPr>
              <w:t>Day-Ahead Self-Arranged ERCOT Contingency Reserve Service Quantity per QSE</w:t>
            </w:r>
            <w:r w:rsidRPr="0013396E">
              <w:rPr>
                <w:iCs/>
              </w:rPr>
              <w:t xml:space="preserve">—The self-arranged ECRS quantity submitted by QSE </w:t>
            </w:r>
            <w:r w:rsidRPr="0013396E">
              <w:rPr>
                <w:i/>
                <w:iCs/>
              </w:rPr>
              <w:t>q</w:t>
            </w:r>
            <w:r w:rsidRPr="0013396E">
              <w:rPr>
                <w:iCs/>
              </w:rPr>
              <w:t xml:space="preserve"> before 1000 in the DAM for the Operating Hour.</w:t>
            </w:r>
          </w:p>
        </w:tc>
      </w:tr>
      <w:tr w:rsidR="00F10AF1" w:rsidRPr="0013396E" w14:paraId="782FF8F4"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BF62933" w14:textId="77777777" w:rsidR="00F10AF1" w:rsidRPr="0013396E" w:rsidRDefault="00F10AF1" w:rsidP="0099759E">
            <w:pPr>
              <w:pStyle w:val="tablebody0"/>
            </w:pPr>
            <w:r w:rsidRPr="0013396E">
              <w:lastRenderedPageBreak/>
              <w:t xml:space="preserve">ECRTP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D974039"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3E87BB79" w14:textId="77777777" w:rsidR="00F10AF1" w:rsidRPr="0013396E" w:rsidRDefault="00F10AF1" w:rsidP="0099759E">
            <w:pPr>
              <w:pStyle w:val="tablebody0"/>
              <w:rPr>
                <w:i/>
              </w:rPr>
            </w:pPr>
            <w:r w:rsidRPr="0013396E">
              <w:rPr>
                <w:i/>
              </w:rPr>
              <w:t>Trade Purchases for ERCOT Contingency Reserve Service for the QSE—</w:t>
            </w:r>
            <w:r w:rsidRPr="0013396E">
              <w:t xml:space="preserve">The trade purchases for QSE </w:t>
            </w:r>
            <w:r w:rsidRPr="0013396E">
              <w:rPr>
                <w:i/>
              </w:rPr>
              <w:t>q</w:t>
            </w:r>
            <w:r w:rsidRPr="0013396E">
              <w:t xml:space="preserve"> for ECRS for the </w:t>
            </w:r>
            <w:r w:rsidRPr="0013396E">
              <w:rPr>
                <w:szCs w:val="18"/>
              </w:rPr>
              <w:t>Operating Hour</w:t>
            </w:r>
            <w:r w:rsidRPr="0013396E">
              <w:t>.</w:t>
            </w:r>
          </w:p>
        </w:tc>
      </w:tr>
      <w:tr w:rsidR="00F10AF1" w:rsidRPr="0013396E" w14:paraId="39707DE0"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36EAD56" w14:textId="77777777" w:rsidR="00F10AF1" w:rsidRPr="0013396E" w:rsidRDefault="00F10AF1" w:rsidP="0099759E">
            <w:pPr>
              <w:pStyle w:val="tablebody0"/>
            </w:pPr>
            <w:r w:rsidRPr="0013396E">
              <w:t xml:space="preserve">ECRTS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27FCB075"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240A47C8" w14:textId="77777777" w:rsidR="00F10AF1" w:rsidRPr="0013396E" w:rsidRDefault="00F10AF1" w:rsidP="0099759E">
            <w:pPr>
              <w:pStyle w:val="tablebody0"/>
              <w:rPr>
                <w:i/>
              </w:rPr>
            </w:pPr>
            <w:r w:rsidRPr="0013396E">
              <w:rPr>
                <w:i/>
              </w:rPr>
              <w:t>Trade Sales for ERCOT Contingency Reserve Service for the QSE—</w:t>
            </w:r>
            <w:r w:rsidRPr="0013396E">
              <w:t xml:space="preserve">The trade sales for QSE </w:t>
            </w:r>
            <w:r w:rsidRPr="0013396E">
              <w:rPr>
                <w:i/>
              </w:rPr>
              <w:t>q</w:t>
            </w:r>
            <w:r w:rsidRPr="0013396E">
              <w:t xml:space="preserve"> for ECRS for the </w:t>
            </w:r>
            <w:r w:rsidRPr="0013396E">
              <w:rPr>
                <w:szCs w:val="18"/>
              </w:rPr>
              <w:t>Operating Hour</w:t>
            </w:r>
            <w:r w:rsidRPr="0013396E">
              <w:t>.</w:t>
            </w:r>
          </w:p>
        </w:tc>
      </w:tr>
      <w:tr w:rsidR="00F10AF1" w:rsidRPr="0013396E" w14:paraId="3EDFF6A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B99D963" w14:textId="77777777" w:rsidR="00F10AF1" w:rsidRPr="0013396E" w:rsidRDefault="00F10AF1" w:rsidP="0099759E">
            <w:pPr>
              <w:pStyle w:val="tablebody0"/>
            </w:pPr>
            <w:r w:rsidRPr="0013396E">
              <w:t xml:space="preserve">TLMP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48356ABB" w14:textId="77777777" w:rsidR="00F10AF1" w:rsidRPr="0013396E" w:rsidRDefault="00F10AF1" w:rsidP="0099759E">
            <w:pPr>
              <w:pStyle w:val="tablebody0"/>
            </w:pPr>
            <w:r w:rsidRPr="0013396E">
              <w:t>second</w:t>
            </w:r>
          </w:p>
        </w:tc>
        <w:tc>
          <w:tcPr>
            <w:tcW w:w="3098" w:type="pct"/>
            <w:tcBorders>
              <w:top w:val="single" w:sz="4" w:space="0" w:color="auto"/>
              <w:left w:val="single" w:sz="4" w:space="0" w:color="auto"/>
              <w:bottom w:val="single" w:sz="4" w:space="0" w:color="auto"/>
              <w:right w:val="single" w:sz="4" w:space="0" w:color="auto"/>
            </w:tcBorders>
            <w:hideMark/>
          </w:tcPr>
          <w:p w14:paraId="444C5183" w14:textId="77777777" w:rsidR="00F10AF1" w:rsidRPr="0013396E" w:rsidRDefault="00F10AF1" w:rsidP="0099759E">
            <w:pPr>
              <w:pStyle w:val="tablebody0"/>
              <w:rPr>
                <w:i/>
              </w:rPr>
            </w:pPr>
            <w:r w:rsidRPr="0013396E">
              <w:rPr>
                <w:i/>
                <w:iCs/>
              </w:rPr>
              <w:t xml:space="preserve">Duration of </w:t>
            </w:r>
            <w:r w:rsidRPr="0013396E">
              <w:rPr>
                <w:i/>
              </w:rPr>
              <w:t>SCED</w:t>
            </w:r>
            <w:r w:rsidRPr="0013396E">
              <w:rPr>
                <w:i/>
                <w:iCs/>
              </w:rPr>
              <w:t xml:space="preserve"> interval per interval</w:t>
            </w:r>
            <w:r w:rsidRPr="0013396E">
              <w:rPr>
                <w:iCs/>
              </w:rPr>
              <w:t>—</w:t>
            </w:r>
            <w:r w:rsidRPr="0013396E">
              <w:t xml:space="preserve">The duration of the SCED interval </w:t>
            </w:r>
            <w:r w:rsidRPr="0013396E">
              <w:rPr>
                <w:i/>
                <w:iCs/>
              </w:rPr>
              <w:t>y</w:t>
            </w:r>
            <w:r w:rsidRPr="0013396E">
              <w:t>.</w:t>
            </w:r>
          </w:p>
        </w:tc>
      </w:tr>
      <w:tr w:rsidR="00F10AF1" w:rsidRPr="0013396E" w14:paraId="0BC52A9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106BD10" w14:textId="77777777" w:rsidR="00F10AF1" w:rsidRPr="0013396E" w:rsidRDefault="00F10AF1" w:rsidP="0099759E">
            <w:pPr>
              <w:pStyle w:val="tablebody0"/>
            </w:pPr>
            <w:r w:rsidRPr="0013396E">
              <w:t xml:space="preserve">RNWF </w:t>
            </w:r>
            <w:r w:rsidRPr="0013396E">
              <w:rPr>
                <w:i/>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6A8FD877"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2B703C47" w14:textId="77777777" w:rsidR="00F10AF1" w:rsidRPr="0013396E" w:rsidRDefault="00F10AF1" w:rsidP="0099759E">
            <w:pPr>
              <w:pStyle w:val="tablebody0"/>
              <w:rPr>
                <w:i/>
              </w:rPr>
            </w:pPr>
            <w:r w:rsidRPr="0013396E">
              <w:rPr>
                <w:i/>
              </w:rPr>
              <w:t>Resource Node Weighting Factor per interval</w:t>
            </w:r>
            <w:r w:rsidRPr="0013396E">
              <w:rPr>
                <w:iCs/>
              </w:rPr>
              <w:t>—</w:t>
            </w:r>
            <w:r w:rsidRPr="0013396E">
              <w:t xml:space="preserve">The weight used in the Ancillary Service award calculation for the portion of the SCED interval </w:t>
            </w:r>
            <w:r w:rsidRPr="0013396E">
              <w:rPr>
                <w:i/>
              </w:rPr>
              <w:t>y</w:t>
            </w:r>
            <w:r w:rsidRPr="0013396E">
              <w:t xml:space="preserve"> within the Settlement Interval.</w:t>
            </w:r>
          </w:p>
        </w:tc>
      </w:tr>
      <w:tr w:rsidR="00F10AF1" w:rsidRPr="0013396E" w14:paraId="1A294F58"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26009311" w14:textId="77777777" w:rsidR="00F10AF1" w:rsidRPr="0013396E" w:rsidRDefault="00F10AF1" w:rsidP="0099759E">
            <w:pPr>
              <w:pStyle w:val="tablebody0"/>
            </w:pPr>
            <w:r w:rsidRPr="0013396E">
              <w:t xml:space="preserve">ECRRWF </w:t>
            </w:r>
            <w:r w:rsidRPr="0013396E">
              <w:rPr>
                <w:i/>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7F16B855"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25AA87D2" w14:textId="77777777" w:rsidR="00F10AF1" w:rsidRPr="0013396E" w:rsidRDefault="00F10AF1" w:rsidP="0099759E">
            <w:pPr>
              <w:pStyle w:val="tablebody0"/>
              <w:rPr>
                <w:i/>
              </w:rPr>
            </w:pPr>
            <w:r w:rsidRPr="0013396E">
              <w:rPr>
                <w:i/>
              </w:rPr>
              <w:t>ERCOT Contingency Reserve Service Resource Node Weighting Factor per interval</w:t>
            </w:r>
            <w:r w:rsidRPr="0013396E">
              <w:rPr>
                <w:iCs/>
              </w:rPr>
              <w:t>—</w:t>
            </w:r>
            <w:r w:rsidRPr="0013396E">
              <w:t xml:space="preserve">The ECRS Resource weight, based on ECRS awards, used in the Real-Time MCPC calculation for the portion of the SCED interval </w:t>
            </w:r>
            <w:r w:rsidRPr="0013396E">
              <w:rPr>
                <w:i/>
              </w:rPr>
              <w:t>y</w:t>
            </w:r>
            <w:r w:rsidRPr="0013396E">
              <w:t xml:space="preserve"> within the Settlement Interval. </w:t>
            </w:r>
            <w:r w:rsidRPr="0013396E">
              <w:rPr>
                <w:i/>
              </w:rPr>
              <w:t xml:space="preserve"> </w:t>
            </w:r>
            <w:r w:rsidRPr="0013396E">
              <w:t xml:space="preserve">Where for a Combined Cycle Train, the Resource </w:t>
            </w:r>
            <w:r w:rsidRPr="0013396E">
              <w:rPr>
                <w:i/>
              </w:rPr>
              <w:t xml:space="preserve">r </w:t>
            </w:r>
            <w:r w:rsidRPr="0013396E">
              <w:t xml:space="preserve">is a Combined Cycle Generation Resource within the Combined Cycle Train.   </w:t>
            </w:r>
          </w:p>
        </w:tc>
      </w:tr>
      <w:tr w:rsidR="00F10AF1" w:rsidRPr="0013396E" w14:paraId="2996D1BF"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DD5A475" w14:textId="77777777" w:rsidR="00F10AF1" w:rsidRPr="0013396E" w:rsidRDefault="00F10AF1" w:rsidP="0099759E">
            <w:pPr>
              <w:pStyle w:val="tablebody0"/>
            </w:pPr>
            <w:r w:rsidRPr="0013396E">
              <w:rPr>
                <w:i/>
              </w:rPr>
              <w:t>r</w:t>
            </w:r>
          </w:p>
        </w:tc>
        <w:tc>
          <w:tcPr>
            <w:tcW w:w="623" w:type="pct"/>
            <w:tcBorders>
              <w:top w:val="single" w:sz="4" w:space="0" w:color="auto"/>
              <w:left w:val="single" w:sz="4" w:space="0" w:color="auto"/>
              <w:bottom w:val="single" w:sz="4" w:space="0" w:color="auto"/>
              <w:right w:val="single" w:sz="4" w:space="0" w:color="auto"/>
            </w:tcBorders>
            <w:hideMark/>
          </w:tcPr>
          <w:p w14:paraId="4812ECE7"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19172FF0" w14:textId="77777777" w:rsidR="00F10AF1" w:rsidRPr="0013396E" w:rsidRDefault="00F10AF1" w:rsidP="0099759E">
            <w:pPr>
              <w:pStyle w:val="tablebody0"/>
              <w:rPr>
                <w:i/>
              </w:rPr>
            </w:pPr>
            <w:r w:rsidRPr="0013396E">
              <w:t>A Resource.</w:t>
            </w:r>
          </w:p>
        </w:tc>
      </w:tr>
      <w:tr w:rsidR="00F10AF1" w:rsidRPr="0013396E" w14:paraId="25560361"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9F951C6"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0CC2D40D"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294DB643" w14:textId="77777777" w:rsidR="00F10AF1" w:rsidRPr="0013396E" w:rsidRDefault="00F10AF1" w:rsidP="0099759E">
            <w:pPr>
              <w:pStyle w:val="tablebody0"/>
            </w:pPr>
            <w:r w:rsidRPr="0013396E">
              <w:t>A QSE.</w:t>
            </w:r>
          </w:p>
        </w:tc>
      </w:tr>
      <w:tr w:rsidR="00F10AF1" w:rsidRPr="0013396E" w14:paraId="4D3CEE07"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6FCC6E50" w14:textId="77777777" w:rsidR="00F10AF1" w:rsidRPr="0013396E" w:rsidRDefault="00F10AF1" w:rsidP="0099759E">
            <w:pPr>
              <w:pStyle w:val="tablebody0"/>
              <w:rPr>
                <w:i/>
              </w:rPr>
            </w:pPr>
            <w:r w:rsidRPr="0013396E">
              <w:rPr>
                <w:i/>
              </w:rPr>
              <w:t>y</w:t>
            </w:r>
          </w:p>
        </w:tc>
        <w:tc>
          <w:tcPr>
            <w:tcW w:w="623" w:type="pct"/>
            <w:tcBorders>
              <w:top w:val="single" w:sz="4" w:space="0" w:color="auto"/>
              <w:left w:val="single" w:sz="4" w:space="0" w:color="auto"/>
              <w:bottom w:val="single" w:sz="4" w:space="0" w:color="auto"/>
              <w:right w:val="single" w:sz="4" w:space="0" w:color="auto"/>
            </w:tcBorders>
            <w:hideMark/>
          </w:tcPr>
          <w:p w14:paraId="10B0D73F"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6B3E39D1" w14:textId="77777777" w:rsidR="00F10AF1" w:rsidRPr="0013396E" w:rsidRDefault="00F10AF1" w:rsidP="0099759E">
            <w:pPr>
              <w:pStyle w:val="tablebody0"/>
            </w:pPr>
            <w:r w:rsidRPr="0013396E">
              <w:t>A SCED interval in the 15-minute Settlement Interval.</w:t>
            </w:r>
          </w:p>
        </w:tc>
      </w:tr>
    </w:tbl>
    <w:p w14:paraId="358459FC" w14:textId="77777777" w:rsidR="00F10AF1" w:rsidRPr="0013396E" w:rsidRDefault="00F10AF1" w:rsidP="00F10AF1">
      <w:pPr>
        <w:spacing w:before="240" w:after="240"/>
      </w:pPr>
      <w:r w:rsidRPr="0013396E">
        <w:t>(2)</w:t>
      </w:r>
      <w:r w:rsidRPr="0013396E">
        <w:tab/>
        <w:t>ECRS Only Charge:</w:t>
      </w:r>
    </w:p>
    <w:p w14:paraId="317CF16A" w14:textId="77777777" w:rsidR="00F10AF1" w:rsidRPr="0013396E" w:rsidRDefault="00F10AF1" w:rsidP="00F10AF1">
      <w:pPr>
        <w:pStyle w:val="FormulaBold"/>
      </w:pPr>
      <w:r w:rsidRPr="0013396E">
        <w:t>RTECROAMT</w:t>
      </w:r>
      <w:r w:rsidRPr="0013396E">
        <w:rPr>
          <w:i/>
          <w:vertAlign w:val="subscript"/>
        </w:rPr>
        <w:t xml:space="preserve"> q  </w:t>
      </w:r>
      <w:r w:rsidRPr="0013396E">
        <w:t xml:space="preserve">= </w:t>
      </w:r>
      <w:r w:rsidRPr="0013396E">
        <w:tab/>
        <w:t xml:space="preserve">(1/4) * DAECROAWD </w:t>
      </w:r>
      <w:r w:rsidRPr="0013396E">
        <w:rPr>
          <w:i/>
          <w:vertAlign w:val="subscript"/>
        </w:rPr>
        <w:t>q</w:t>
      </w:r>
      <w:r w:rsidRPr="0013396E">
        <w:t xml:space="preserve"> * RTMCPCECR</w:t>
      </w:r>
    </w:p>
    <w:p w14:paraId="21463352" w14:textId="77777777" w:rsidR="00F10AF1" w:rsidRPr="0013396E" w:rsidRDefault="00F10AF1" w:rsidP="00F10AF1">
      <w:pPr>
        <w:pStyle w:val="Instructions"/>
        <w:spacing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2"/>
        <w:gridCol w:w="1165"/>
        <w:gridCol w:w="5793"/>
      </w:tblGrid>
      <w:tr w:rsidR="00F10AF1" w:rsidRPr="0013396E" w14:paraId="2521A8E0" w14:textId="77777777" w:rsidTr="0099759E">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1D2B9307"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2BB43CE6" w14:textId="77777777" w:rsidR="00F10AF1" w:rsidRPr="0013396E" w:rsidRDefault="00F10AF1" w:rsidP="0099759E">
            <w:pPr>
              <w:pStyle w:val="TableHead"/>
            </w:pPr>
            <w:r w:rsidRPr="0013396E">
              <w:t>Unit</w:t>
            </w:r>
          </w:p>
        </w:tc>
        <w:tc>
          <w:tcPr>
            <w:tcW w:w="3098" w:type="pct"/>
            <w:tcBorders>
              <w:top w:val="single" w:sz="4" w:space="0" w:color="auto"/>
              <w:left w:val="single" w:sz="4" w:space="0" w:color="auto"/>
              <w:bottom w:val="single" w:sz="4" w:space="0" w:color="auto"/>
              <w:right w:val="single" w:sz="4" w:space="0" w:color="auto"/>
            </w:tcBorders>
            <w:hideMark/>
          </w:tcPr>
          <w:p w14:paraId="3C9116BA" w14:textId="77777777" w:rsidR="00F10AF1" w:rsidRPr="0013396E" w:rsidRDefault="00F10AF1" w:rsidP="0099759E">
            <w:pPr>
              <w:pStyle w:val="TableHead"/>
            </w:pPr>
            <w:r w:rsidRPr="0013396E">
              <w:t>Description</w:t>
            </w:r>
          </w:p>
        </w:tc>
      </w:tr>
      <w:tr w:rsidR="00F10AF1" w:rsidRPr="0013396E" w14:paraId="756314D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175861E9" w14:textId="77777777" w:rsidR="00F10AF1" w:rsidRPr="0013396E" w:rsidRDefault="00F10AF1" w:rsidP="0099759E">
            <w:pPr>
              <w:pStyle w:val="tablebody0"/>
            </w:pPr>
            <w:r w:rsidRPr="0013396E">
              <w:t xml:space="preserve">RTECROAMT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34B0D487" w14:textId="77777777" w:rsidR="00F10AF1" w:rsidRPr="0013396E" w:rsidRDefault="00F10AF1" w:rsidP="0099759E">
            <w:pPr>
              <w:pStyle w:val="tablebody0"/>
            </w:pPr>
            <w:r w:rsidRPr="0013396E">
              <w:t>$</w:t>
            </w:r>
          </w:p>
        </w:tc>
        <w:tc>
          <w:tcPr>
            <w:tcW w:w="3098" w:type="pct"/>
            <w:tcBorders>
              <w:top w:val="single" w:sz="4" w:space="0" w:color="auto"/>
              <w:left w:val="single" w:sz="4" w:space="0" w:color="auto"/>
              <w:bottom w:val="single" w:sz="4" w:space="0" w:color="auto"/>
              <w:right w:val="single" w:sz="4" w:space="0" w:color="auto"/>
            </w:tcBorders>
            <w:hideMark/>
          </w:tcPr>
          <w:p w14:paraId="7ED61150" w14:textId="77777777" w:rsidR="00F10AF1" w:rsidRPr="0013396E" w:rsidRDefault="00F10AF1" w:rsidP="0099759E">
            <w:pPr>
              <w:pStyle w:val="tablebody0"/>
              <w:rPr>
                <w:i/>
              </w:rPr>
            </w:pPr>
            <w:r w:rsidRPr="0013396E">
              <w:rPr>
                <w:i/>
              </w:rPr>
              <w:t>Real-Time ERCOT Contingency Reserve Service Only Amount for the QSE—</w:t>
            </w:r>
            <w:r w:rsidRPr="0013396E">
              <w:t xml:space="preserve">The total charge to QSE </w:t>
            </w:r>
            <w:r w:rsidRPr="0013396E">
              <w:rPr>
                <w:i/>
              </w:rPr>
              <w:t>q</w:t>
            </w:r>
            <w:r w:rsidRPr="0013396E">
              <w:t xml:space="preserve"> in Real-Time for ECRS only awards for each 15-minute Settlement Interval.</w:t>
            </w:r>
          </w:p>
        </w:tc>
      </w:tr>
      <w:tr w:rsidR="00F10AF1" w:rsidRPr="0013396E" w14:paraId="30B02AA5"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523296F" w14:textId="77777777" w:rsidR="00F10AF1" w:rsidRPr="0013396E" w:rsidRDefault="00F10AF1" w:rsidP="0099759E">
            <w:pPr>
              <w:pStyle w:val="tablebody0"/>
            </w:pPr>
            <w:r w:rsidRPr="0013396E">
              <w:t xml:space="preserve">DAECROAWD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0F9837B"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5F35DEC6" w14:textId="77777777" w:rsidR="00F10AF1" w:rsidRPr="0013396E" w:rsidRDefault="00F10AF1" w:rsidP="0099759E">
            <w:pPr>
              <w:pStyle w:val="tablebody0"/>
              <w:rPr>
                <w:i/>
              </w:rPr>
            </w:pPr>
            <w:r w:rsidRPr="0013396E">
              <w:rPr>
                <w:i/>
              </w:rPr>
              <w:t>Day-Ahead ERCOT Contingency Service Only Award for the QSE</w:t>
            </w:r>
            <w:r w:rsidRPr="0013396E">
              <w:sym w:font="Symbol" w:char="F0BE"/>
            </w:r>
            <w:r w:rsidRPr="0013396E">
              <w:t xml:space="preserve">The ECRS only capacity awarded in the DAM to the QSE </w:t>
            </w:r>
            <w:r w:rsidRPr="0013396E">
              <w:rPr>
                <w:i/>
              </w:rPr>
              <w:t>q</w:t>
            </w:r>
            <w:r w:rsidRPr="0013396E">
              <w:t xml:space="preserve"> for the </w:t>
            </w:r>
            <w:r w:rsidRPr="0013396E">
              <w:rPr>
                <w:szCs w:val="18"/>
              </w:rPr>
              <w:t>Operating Hour</w:t>
            </w:r>
            <w:r w:rsidRPr="0013396E">
              <w:t>.</w:t>
            </w:r>
          </w:p>
        </w:tc>
      </w:tr>
      <w:tr w:rsidR="00F10AF1" w:rsidRPr="0013396E" w14:paraId="317D6EBD"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7160D82D" w14:textId="77777777" w:rsidR="00F10AF1" w:rsidRPr="0013396E" w:rsidRDefault="00F10AF1" w:rsidP="0099759E">
            <w:pPr>
              <w:pStyle w:val="tablebody0"/>
            </w:pPr>
            <w:r w:rsidRPr="0013396E">
              <w:t>RTMCPCECR</w:t>
            </w:r>
          </w:p>
        </w:tc>
        <w:tc>
          <w:tcPr>
            <w:tcW w:w="623" w:type="pct"/>
            <w:tcBorders>
              <w:top w:val="single" w:sz="4" w:space="0" w:color="auto"/>
              <w:left w:val="single" w:sz="4" w:space="0" w:color="auto"/>
              <w:bottom w:val="single" w:sz="4" w:space="0" w:color="auto"/>
              <w:right w:val="single" w:sz="4" w:space="0" w:color="auto"/>
            </w:tcBorders>
            <w:hideMark/>
          </w:tcPr>
          <w:p w14:paraId="2B522731" w14:textId="77777777" w:rsidR="00F10AF1" w:rsidRPr="0013396E" w:rsidRDefault="00F10AF1" w:rsidP="0099759E">
            <w:pPr>
              <w:pStyle w:val="tablebody0"/>
            </w:pPr>
            <w:r w:rsidRPr="0013396E">
              <w:t>$/MW</w:t>
            </w:r>
          </w:p>
        </w:tc>
        <w:tc>
          <w:tcPr>
            <w:tcW w:w="3098" w:type="pct"/>
            <w:tcBorders>
              <w:top w:val="single" w:sz="4" w:space="0" w:color="auto"/>
              <w:left w:val="single" w:sz="4" w:space="0" w:color="auto"/>
              <w:bottom w:val="single" w:sz="4" w:space="0" w:color="auto"/>
              <w:right w:val="single" w:sz="4" w:space="0" w:color="auto"/>
            </w:tcBorders>
            <w:hideMark/>
          </w:tcPr>
          <w:p w14:paraId="09B64B8F" w14:textId="77777777" w:rsidR="00F10AF1" w:rsidRPr="0013396E" w:rsidRDefault="00F10AF1" w:rsidP="0099759E">
            <w:pPr>
              <w:pStyle w:val="tablebody0"/>
              <w:rPr>
                <w:i/>
              </w:rPr>
            </w:pPr>
            <w:r w:rsidRPr="0013396E">
              <w:rPr>
                <w:i/>
              </w:rPr>
              <w:t>Real-Time Market Clearing Price</w:t>
            </w:r>
            <w:r w:rsidRPr="0013396E">
              <w:rPr>
                <w:bCs/>
                <w:i/>
                <w:lang w:val="pt-BR"/>
              </w:rPr>
              <w:t xml:space="preserve"> for Capacity</w:t>
            </w:r>
            <w:r w:rsidRPr="0013396E">
              <w:rPr>
                <w:i/>
              </w:rPr>
              <w:t xml:space="preserve"> for ERCOT Contingency Reserve Service</w:t>
            </w:r>
            <w:r w:rsidRPr="0013396E">
              <w:t>—The Real-Time MCPC for ECRS for the 15-minute Settlement Interval.</w:t>
            </w:r>
          </w:p>
        </w:tc>
      </w:tr>
      <w:tr w:rsidR="00F10AF1" w:rsidRPr="0013396E" w14:paraId="679C922A" w14:textId="77777777" w:rsidTr="0099759E">
        <w:trPr>
          <w:cantSplit/>
        </w:trPr>
        <w:tc>
          <w:tcPr>
            <w:tcW w:w="1279" w:type="pct"/>
            <w:tcBorders>
              <w:top w:val="single" w:sz="4" w:space="0" w:color="auto"/>
              <w:left w:val="single" w:sz="4" w:space="0" w:color="auto"/>
              <w:bottom w:val="single" w:sz="4" w:space="0" w:color="auto"/>
              <w:right w:val="single" w:sz="4" w:space="0" w:color="auto"/>
            </w:tcBorders>
            <w:hideMark/>
          </w:tcPr>
          <w:p w14:paraId="340E0E92"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1A51BC93" w14:textId="77777777" w:rsidR="00F10AF1" w:rsidRPr="0013396E" w:rsidRDefault="00F10AF1" w:rsidP="0099759E">
            <w:pPr>
              <w:pStyle w:val="tablebody0"/>
            </w:pPr>
            <w:r w:rsidRPr="0013396E">
              <w:t>none</w:t>
            </w:r>
          </w:p>
        </w:tc>
        <w:tc>
          <w:tcPr>
            <w:tcW w:w="3098" w:type="pct"/>
            <w:tcBorders>
              <w:top w:val="single" w:sz="4" w:space="0" w:color="auto"/>
              <w:left w:val="single" w:sz="4" w:space="0" w:color="auto"/>
              <w:bottom w:val="single" w:sz="4" w:space="0" w:color="auto"/>
              <w:right w:val="single" w:sz="4" w:space="0" w:color="auto"/>
            </w:tcBorders>
            <w:hideMark/>
          </w:tcPr>
          <w:p w14:paraId="4CBC1C75" w14:textId="77777777" w:rsidR="00F10AF1" w:rsidRPr="0013396E" w:rsidRDefault="00F10AF1" w:rsidP="0099759E">
            <w:pPr>
              <w:pStyle w:val="tablebody0"/>
            </w:pPr>
            <w:r w:rsidRPr="0013396E">
              <w:t>A QSE.</w:t>
            </w:r>
          </w:p>
        </w:tc>
      </w:tr>
    </w:tbl>
    <w:p w14:paraId="7CA0310B" w14:textId="77777777" w:rsidR="00F10AF1" w:rsidRPr="0013396E" w:rsidRDefault="00F10AF1" w:rsidP="00F10AF1">
      <w:pPr>
        <w:spacing w:before="240" w:after="240"/>
      </w:pPr>
      <w:r w:rsidRPr="0013396E">
        <w:t>(3)</w:t>
      </w:r>
      <w:r w:rsidRPr="0013396E">
        <w:tab/>
        <w:t>ECRS Trade Overage Charge:</w:t>
      </w:r>
    </w:p>
    <w:p w14:paraId="28866065" w14:textId="77777777" w:rsidR="00F10AF1" w:rsidRPr="0013396E" w:rsidRDefault="00F10AF1" w:rsidP="00F10AF1">
      <w:pPr>
        <w:pStyle w:val="FormulaBold"/>
      </w:pPr>
      <w:r w:rsidRPr="0013396E">
        <w:t>RTECRTOAMT</w:t>
      </w:r>
      <w:r w:rsidRPr="0013396E">
        <w:rPr>
          <w:i/>
          <w:vertAlign w:val="subscript"/>
        </w:rPr>
        <w:t xml:space="preserve"> q  </w:t>
      </w:r>
      <w:r w:rsidRPr="0013396E">
        <w:t xml:space="preserve">= </w:t>
      </w:r>
      <w:r w:rsidRPr="0013396E">
        <w:tab/>
        <w:t xml:space="preserve">(1/4) * RTECRTO </w:t>
      </w:r>
      <w:r w:rsidRPr="0013396E">
        <w:rPr>
          <w:i/>
          <w:vertAlign w:val="subscript"/>
        </w:rPr>
        <w:t>q</w:t>
      </w:r>
      <w:r w:rsidRPr="0013396E">
        <w:t xml:space="preserve"> * RTMCPCECR</w:t>
      </w:r>
    </w:p>
    <w:p w14:paraId="462CBDA9" w14:textId="77777777" w:rsidR="00F10AF1" w:rsidRPr="0013396E" w:rsidRDefault="00F10AF1" w:rsidP="00F10AF1">
      <w:pPr>
        <w:pStyle w:val="Instructions"/>
        <w:spacing w:after="0"/>
        <w:ind w:left="720" w:hanging="720"/>
        <w:rPr>
          <w:b w:val="0"/>
          <w:i w:val="0"/>
        </w:rPr>
      </w:pPr>
      <w:r w:rsidRPr="0013396E">
        <w:rPr>
          <w:b w:val="0"/>
          <w:i w:val="0"/>
        </w:rPr>
        <w:t>The above variables are defined as follows:</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91"/>
        <w:gridCol w:w="1165"/>
        <w:gridCol w:w="5796"/>
      </w:tblGrid>
      <w:tr w:rsidR="00F10AF1" w:rsidRPr="0013396E" w14:paraId="61D475B3" w14:textId="77777777" w:rsidTr="006503F3">
        <w:trPr>
          <w:cantSplit/>
          <w:tblHeader/>
        </w:trPr>
        <w:tc>
          <w:tcPr>
            <w:tcW w:w="1278" w:type="pct"/>
            <w:tcBorders>
              <w:top w:val="single" w:sz="4" w:space="0" w:color="auto"/>
              <w:left w:val="single" w:sz="4" w:space="0" w:color="auto"/>
              <w:bottom w:val="single" w:sz="4" w:space="0" w:color="auto"/>
              <w:right w:val="single" w:sz="4" w:space="0" w:color="auto"/>
            </w:tcBorders>
            <w:hideMark/>
          </w:tcPr>
          <w:p w14:paraId="3D74D45C" w14:textId="77777777" w:rsidR="00F10AF1" w:rsidRPr="0013396E" w:rsidRDefault="00F10AF1" w:rsidP="0099759E">
            <w:pPr>
              <w:pStyle w:val="TableHead"/>
            </w:pPr>
            <w:r w:rsidRPr="0013396E">
              <w:t>Variable</w:t>
            </w:r>
          </w:p>
        </w:tc>
        <w:tc>
          <w:tcPr>
            <w:tcW w:w="623" w:type="pct"/>
            <w:tcBorders>
              <w:top w:val="single" w:sz="4" w:space="0" w:color="auto"/>
              <w:left w:val="single" w:sz="4" w:space="0" w:color="auto"/>
              <w:bottom w:val="single" w:sz="4" w:space="0" w:color="auto"/>
              <w:right w:val="single" w:sz="4" w:space="0" w:color="auto"/>
            </w:tcBorders>
            <w:hideMark/>
          </w:tcPr>
          <w:p w14:paraId="4603B0B4" w14:textId="77777777" w:rsidR="00F10AF1" w:rsidRPr="0013396E" w:rsidRDefault="00F10AF1" w:rsidP="0099759E">
            <w:pPr>
              <w:pStyle w:val="TableHead"/>
            </w:pPr>
            <w:r w:rsidRPr="0013396E">
              <w:t>Unit</w:t>
            </w:r>
          </w:p>
        </w:tc>
        <w:tc>
          <w:tcPr>
            <w:tcW w:w="3099" w:type="pct"/>
            <w:tcBorders>
              <w:top w:val="single" w:sz="4" w:space="0" w:color="auto"/>
              <w:left w:val="single" w:sz="4" w:space="0" w:color="auto"/>
              <w:bottom w:val="single" w:sz="4" w:space="0" w:color="auto"/>
              <w:right w:val="single" w:sz="4" w:space="0" w:color="auto"/>
            </w:tcBorders>
            <w:hideMark/>
          </w:tcPr>
          <w:p w14:paraId="169EB6B8" w14:textId="77777777" w:rsidR="00F10AF1" w:rsidRPr="0013396E" w:rsidRDefault="00F10AF1" w:rsidP="0099759E">
            <w:pPr>
              <w:pStyle w:val="TableHead"/>
            </w:pPr>
            <w:r w:rsidRPr="0013396E">
              <w:t>Description</w:t>
            </w:r>
          </w:p>
        </w:tc>
      </w:tr>
      <w:tr w:rsidR="00F10AF1" w:rsidRPr="0013396E" w14:paraId="581A6140" w14:textId="77777777" w:rsidTr="006503F3">
        <w:trPr>
          <w:cantSplit/>
        </w:trPr>
        <w:tc>
          <w:tcPr>
            <w:tcW w:w="1278" w:type="pct"/>
            <w:tcBorders>
              <w:top w:val="single" w:sz="4" w:space="0" w:color="auto"/>
              <w:left w:val="single" w:sz="4" w:space="0" w:color="auto"/>
              <w:bottom w:val="single" w:sz="4" w:space="0" w:color="auto"/>
              <w:right w:val="single" w:sz="4" w:space="0" w:color="auto"/>
            </w:tcBorders>
            <w:hideMark/>
          </w:tcPr>
          <w:p w14:paraId="2EB45175" w14:textId="77777777" w:rsidR="00F10AF1" w:rsidRPr="0013396E" w:rsidRDefault="00F10AF1" w:rsidP="0099759E">
            <w:pPr>
              <w:pStyle w:val="tablebody0"/>
            </w:pPr>
            <w:r w:rsidRPr="0013396E">
              <w:t xml:space="preserve">RTECRTOAMT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6A5D1E4" w14:textId="77777777" w:rsidR="00F10AF1" w:rsidRPr="0013396E" w:rsidRDefault="00F10AF1" w:rsidP="0099759E">
            <w:pPr>
              <w:pStyle w:val="tablebody0"/>
            </w:pPr>
            <w:r w:rsidRPr="0013396E">
              <w:t>$</w:t>
            </w:r>
          </w:p>
        </w:tc>
        <w:tc>
          <w:tcPr>
            <w:tcW w:w="3099" w:type="pct"/>
            <w:tcBorders>
              <w:top w:val="single" w:sz="4" w:space="0" w:color="auto"/>
              <w:left w:val="single" w:sz="4" w:space="0" w:color="auto"/>
              <w:bottom w:val="single" w:sz="4" w:space="0" w:color="auto"/>
              <w:right w:val="single" w:sz="4" w:space="0" w:color="auto"/>
            </w:tcBorders>
            <w:hideMark/>
          </w:tcPr>
          <w:p w14:paraId="3271F03F" w14:textId="77777777" w:rsidR="00F10AF1" w:rsidRPr="0013396E" w:rsidRDefault="00F10AF1" w:rsidP="0099759E">
            <w:pPr>
              <w:pStyle w:val="tablebody0"/>
              <w:rPr>
                <w:i/>
              </w:rPr>
            </w:pPr>
            <w:r w:rsidRPr="0013396E">
              <w:rPr>
                <w:i/>
              </w:rPr>
              <w:t>Real-Time ERCOT Contingency Reserve Service Trade Overage Amount for the QSE</w:t>
            </w:r>
            <w:r w:rsidRPr="0013396E">
              <w:t xml:space="preserve">—The total charge to QSE </w:t>
            </w:r>
            <w:r w:rsidRPr="0013396E">
              <w:rPr>
                <w:i/>
              </w:rPr>
              <w:t>q</w:t>
            </w:r>
            <w:r w:rsidRPr="0013396E">
              <w:t xml:space="preserve"> in Real-Time for ECRS trade overages for each 15-minute Settlement Interval.</w:t>
            </w:r>
          </w:p>
        </w:tc>
      </w:tr>
      <w:tr w:rsidR="00F10AF1" w:rsidRPr="0013396E" w14:paraId="0BF54D18" w14:textId="77777777" w:rsidTr="006503F3">
        <w:trPr>
          <w:cantSplit/>
        </w:trPr>
        <w:tc>
          <w:tcPr>
            <w:tcW w:w="1278" w:type="pct"/>
            <w:tcBorders>
              <w:top w:val="single" w:sz="4" w:space="0" w:color="auto"/>
              <w:left w:val="single" w:sz="4" w:space="0" w:color="auto"/>
              <w:bottom w:val="single" w:sz="4" w:space="0" w:color="auto"/>
              <w:right w:val="single" w:sz="4" w:space="0" w:color="auto"/>
            </w:tcBorders>
            <w:hideMark/>
          </w:tcPr>
          <w:p w14:paraId="0711AF37" w14:textId="77777777" w:rsidR="00F10AF1" w:rsidRPr="0013396E" w:rsidRDefault="00F10AF1" w:rsidP="0099759E">
            <w:pPr>
              <w:pStyle w:val="tablebody0"/>
            </w:pPr>
            <w:r w:rsidRPr="0013396E">
              <w:lastRenderedPageBreak/>
              <w:t xml:space="preserve">RTECRTO </w:t>
            </w:r>
            <w:r w:rsidRPr="0013396E">
              <w:rPr>
                <w:i/>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C7B9816" w14:textId="77777777" w:rsidR="00F10AF1" w:rsidRPr="0013396E" w:rsidRDefault="00F10AF1" w:rsidP="0099759E">
            <w:pPr>
              <w:pStyle w:val="tablebody0"/>
            </w:pPr>
            <w:r w:rsidRPr="0013396E">
              <w:t>MW</w:t>
            </w:r>
          </w:p>
        </w:tc>
        <w:tc>
          <w:tcPr>
            <w:tcW w:w="3099" w:type="pct"/>
            <w:tcBorders>
              <w:top w:val="single" w:sz="4" w:space="0" w:color="auto"/>
              <w:left w:val="single" w:sz="4" w:space="0" w:color="auto"/>
              <w:bottom w:val="single" w:sz="4" w:space="0" w:color="auto"/>
              <w:right w:val="single" w:sz="4" w:space="0" w:color="auto"/>
            </w:tcBorders>
            <w:hideMark/>
          </w:tcPr>
          <w:p w14:paraId="3C866C4B" w14:textId="77777777" w:rsidR="00F10AF1" w:rsidRPr="0013396E" w:rsidRDefault="00F10AF1" w:rsidP="0099759E">
            <w:pPr>
              <w:pStyle w:val="tablebody0"/>
            </w:pPr>
            <w:r w:rsidRPr="0013396E">
              <w:rPr>
                <w:i/>
              </w:rPr>
              <w:t>Real-Time ERCOT Contingency Reserve Service Trade Overage for the QSE</w:t>
            </w:r>
            <w:r w:rsidRPr="0013396E">
              <w:sym w:font="Symbol" w:char="F0BE"/>
            </w:r>
            <w:r w:rsidRPr="0013396E">
              <w:t xml:space="preserve">The quantity of submitted ECRS trades in excess of their DAM self-arrangement quantity for the QSE </w:t>
            </w:r>
            <w:r w:rsidRPr="0013396E">
              <w:rPr>
                <w:i/>
              </w:rPr>
              <w:t>q</w:t>
            </w:r>
            <w:r w:rsidRPr="0013396E">
              <w:t xml:space="preserve"> for the </w:t>
            </w:r>
            <w:r w:rsidRPr="0013396E">
              <w:rPr>
                <w:szCs w:val="18"/>
              </w:rPr>
              <w:t>Operating Hour</w:t>
            </w:r>
            <w:r w:rsidRPr="0013396E">
              <w:t>.</w:t>
            </w:r>
          </w:p>
        </w:tc>
      </w:tr>
      <w:tr w:rsidR="00F10AF1" w:rsidRPr="0013396E" w14:paraId="0387B025" w14:textId="77777777" w:rsidTr="006503F3">
        <w:trPr>
          <w:cantSplit/>
        </w:trPr>
        <w:tc>
          <w:tcPr>
            <w:tcW w:w="1278" w:type="pct"/>
            <w:tcBorders>
              <w:top w:val="single" w:sz="4" w:space="0" w:color="auto"/>
              <w:left w:val="single" w:sz="4" w:space="0" w:color="auto"/>
              <w:bottom w:val="single" w:sz="4" w:space="0" w:color="auto"/>
              <w:right w:val="single" w:sz="4" w:space="0" w:color="auto"/>
            </w:tcBorders>
            <w:hideMark/>
          </w:tcPr>
          <w:p w14:paraId="5C9B4F02" w14:textId="77777777" w:rsidR="00F10AF1" w:rsidRPr="0013396E" w:rsidRDefault="00F10AF1" w:rsidP="0099759E">
            <w:pPr>
              <w:pStyle w:val="tablebody0"/>
            </w:pPr>
            <w:r w:rsidRPr="0013396E">
              <w:t>RTMCPCECR</w:t>
            </w:r>
          </w:p>
        </w:tc>
        <w:tc>
          <w:tcPr>
            <w:tcW w:w="623" w:type="pct"/>
            <w:tcBorders>
              <w:top w:val="single" w:sz="4" w:space="0" w:color="auto"/>
              <w:left w:val="single" w:sz="4" w:space="0" w:color="auto"/>
              <w:bottom w:val="single" w:sz="4" w:space="0" w:color="auto"/>
              <w:right w:val="single" w:sz="4" w:space="0" w:color="auto"/>
            </w:tcBorders>
            <w:hideMark/>
          </w:tcPr>
          <w:p w14:paraId="4D32EFE5" w14:textId="77777777" w:rsidR="00F10AF1" w:rsidRPr="0013396E" w:rsidRDefault="00F10AF1" w:rsidP="0099759E">
            <w:pPr>
              <w:pStyle w:val="tablebody0"/>
            </w:pPr>
            <w:r w:rsidRPr="0013396E">
              <w:t>$/MW</w:t>
            </w:r>
          </w:p>
        </w:tc>
        <w:tc>
          <w:tcPr>
            <w:tcW w:w="3099" w:type="pct"/>
            <w:tcBorders>
              <w:top w:val="single" w:sz="4" w:space="0" w:color="auto"/>
              <w:left w:val="single" w:sz="4" w:space="0" w:color="auto"/>
              <w:bottom w:val="single" w:sz="4" w:space="0" w:color="auto"/>
              <w:right w:val="single" w:sz="4" w:space="0" w:color="auto"/>
            </w:tcBorders>
            <w:hideMark/>
          </w:tcPr>
          <w:p w14:paraId="3629FACF" w14:textId="77777777" w:rsidR="00F10AF1" w:rsidRPr="0013396E" w:rsidRDefault="00F10AF1" w:rsidP="0099759E">
            <w:pPr>
              <w:pStyle w:val="tablebody0"/>
              <w:rPr>
                <w:i/>
              </w:rPr>
            </w:pPr>
            <w:r w:rsidRPr="0013396E">
              <w:rPr>
                <w:i/>
              </w:rPr>
              <w:t>Real-Time Market Clearing Price</w:t>
            </w:r>
            <w:r w:rsidRPr="0013396E">
              <w:rPr>
                <w:bCs/>
                <w:i/>
                <w:lang w:val="pt-BR"/>
              </w:rPr>
              <w:t xml:space="preserve"> for Capacity</w:t>
            </w:r>
            <w:r w:rsidRPr="0013396E">
              <w:rPr>
                <w:i/>
              </w:rPr>
              <w:t xml:space="preserve"> for ERCOT Contingency Reserve Service</w:t>
            </w:r>
            <w:r w:rsidRPr="0013396E">
              <w:t>—The Real-Time MCPC for ECRS for the 15-minute Settlement Interval.</w:t>
            </w:r>
          </w:p>
        </w:tc>
      </w:tr>
      <w:tr w:rsidR="00F10AF1" w:rsidRPr="0013396E" w14:paraId="610CC56F" w14:textId="77777777" w:rsidTr="006503F3">
        <w:trPr>
          <w:cantSplit/>
        </w:trPr>
        <w:tc>
          <w:tcPr>
            <w:tcW w:w="1278" w:type="pct"/>
            <w:tcBorders>
              <w:top w:val="single" w:sz="4" w:space="0" w:color="auto"/>
              <w:left w:val="single" w:sz="4" w:space="0" w:color="auto"/>
              <w:bottom w:val="single" w:sz="4" w:space="0" w:color="auto"/>
              <w:right w:val="single" w:sz="4" w:space="0" w:color="auto"/>
            </w:tcBorders>
            <w:hideMark/>
          </w:tcPr>
          <w:p w14:paraId="077D1FDC" w14:textId="77777777" w:rsidR="00F10AF1" w:rsidRPr="0013396E" w:rsidRDefault="00F10AF1" w:rsidP="0099759E">
            <w:pPr>
              <w:pStyle w:val="tablebody0"/>
              <w:rPr>
                <w:i/>
              </w:rPr>
            </w:pPr>
            <w:r w:rsidRPr="0013396E">
              <w:rPr>
                <w:i/>
              </w:rPr>
              <w:t>q</w:t>
            </w:r>
          </w:p>
        </w:tc>
        <w:tc>
          <w:tcPr>
            <w:tcW w:w="623" w:type="pct"/>
            <w:tcBorders>
              <w:top w:val="single" w:sz="4" w:space="0" w:color="auto"/>
              <w:left w:val="single" w:sz="4" w:space="0" w:color="auto"/>
              <w:bottom w:val="single" w:sz="4" w:space="0" w:color="auto"/>
              <w:right w:val="single" w:sz="4" w:space="0" w:color="auto"/>
            </w:tcBorders>
            <w:hideMark/>
          </w:tcPr>
          <w:p w14:paraId="663BF909" w14:textId="77777777" w:rsidR="00F10AF1" w:rsidRPr="0013396E" w:rsidRDefault="00F10AF1" w:rsidP="0099759E">
            <w:pPr>
              <w:pStyle w:val="tablebody0"/>
            </w:pPr>
            <w:r w:rsidRPr="0013396E">
              <w:t>none</w:t>
            </w:r>
          </w:p>
        </w:tc>
        <w:tc>
          <w:tcPr>
            <w:tcW w:w="3099" w:type="pct"/>
            <w:tcBorders>
              <w:top w:val="single" w:sz="4" w:space="0" w:color="auto"/>
              <w:left w:val="single" w:sz="4" w:space="0" w:color="auto"/>
              <w:bottom w:val="single" w:sz="4" w:space="0" w:color="auto"/>
              <w:right w:val="single" w:sz="4" w:space="0" w:color="auto"/>
            </w:tcBorders>
            <w:hideMark/>
          </w:tcPr>
          <w:p w14:paraId="25CDBE5D" w14:textId="77777777" w:rsidR="00F10AF1" w:rsidRPr="0013396E" w:rsidRDefault="00F10AF1" w:rsidP="0099759E">
            <w:pPr>
              <w:pStyle w:val="tablebody0"/>
            </w:pPr>
            <w:r w:rsidRPr="0013396E">
              <w:t>A QSE.</w:t>
            </w:r>
          </w:p>
        </w:tc>
      </w:tr>
    </w:tbl>
    <w:p w14:paraId="6552A2C4" w14:textId="77777777" w:rsidR="006503F3" w:rsidRDefault="006503F3"/>
    <w:tbl>
      <w:tblPr>
        <w:tblW w:w="5051"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6503F3" w:rsidRPr="0013396E" w14:paraId="12D93C6B" w14:textId="77777777" w:rsidTr="006503F3">
        <w:trPr>
          <w:trHeight w:val="206"/>
        </w:trPr>
        <w:tc>
          <w:tcPr>
            <w:tcW w:w="5000" w:type="pct"/>
            <w:shd w:val="pct12" w:color="auto" w:fill="auto"/>
          </w:tcPr>
          <w:p w14:paraId="6BCF8057" w14:textId="7F6FEDB9" w:rsidR="006503F3" w:rsidRPr="0013396E" w:rsidRDefault="006503F3" w:rsidP="007C3E74">
            <w:pPr>
              <w:spacing w:before="120" w:after="48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Section 6.7.2.7 below</w:t>
            </w:r>
            <w:r w:rsidRPr="0013396E">
              <w:rPr>
                <w:b/>
                <w:i/>
                <w:iCs/>
                <w:szCs w:val="24"/>
              </w:rPr>
              <w:t xml:space="preserve"> upon system implementation</w:t>
            </w:r>
            <w:r>
              <w:rPr>
                <w:b/>
                <w:i/>
                <w:iCs/>
                <w:szCs w:val="24"/>
              </w:rPr>
              <w:t xml:space="preserve"> and renumber accordingly</w:t>
            </w:r>
            <w:r w:rsidRPr="0013396E">
              <w:rPr>
                <w:b/>
                <w:i/>
                <w:iCs/>
                <w:szCs w:val="24"/>
              </w:rPr>
              <w:t>:]</w:t>
            </w:r>
          </w:p>
          <w:p w14:paraId="5A1DF059" w14:textId="77777777" w:rsidR="006503F3" w:rsidRPr="006503F3" w:rsidRDefault="006503F3" w:rsidP="006503F3">
            <w:pPr>
              <w:keepNext/>
              <w:widowControl w:val="0"/>
              <w:tabs>
                <w:tab w:val="left" w:pos="1260"/>
              </w:tabs>
              <w:spacing w:after="240"/>
              <w:ind w:left="1260" w:hanging="1260"/>
              <w:outlineLvl w:val="3"/>
              <w:rPr>
                <w:b/>
                <w:bCs/>
                <w:snapToGrid w:val="0"/>
              </w:rPr>
            </w:pPr>
            <w:bookmarkStart w:id="2284" w:name="_Toc236220248"/>
            <w:r w:rsidRPr="00CE20A1">
              <w:rPr>
                <w:b/>
                <w:bCs/>
                <w:snapToGrid w:val="0"/>
              </w:rPr>
              <w:t>6.7.2.7</w:t>
            </w:r>
            <w:r w:rsidRPr="006503F3">
              <w:rPr>
                <w:b/>
                <w:bCs/>
                <w:snapToGrid w:val="0"/>
              </w:rPr>
              <w:tab/>
              <w:t>Dispatchable Reliability Reserve Service Payments and Charges</w:t>
            </w:r>
            <w:bookmarkEnd w:id="2284"/>
          </w:p>
          <w:p w14:paraId="499A706E" w14:textId="7C738166" w:rsidR="006503F3" w:rsidRPr="006503F3" w:rsidRDefault="006503F3" w:rsidP="006503F3">
            <w:pPr>
              <w:rPr>
                <w:szCs w:val="24"/>
              </w:rPr>
            </w:pPr>
            <w:r w:rsidRPr="006503F3">
              <w:rPr>
                <w:szCs w:val="24"/>
              </w:rPr>
              <w:t>(1)</w:t>
            </w:r>
            <w:r w:rsidRPr="006503F3">
              <w:rPr>
                <w:rFonts w:eastAsia="SimSun"/>
                <w:szCs w:val="24"/>
              </w:rPr>
              <w:tab/>
            </w:r>
            <w:r w:rsidRPr="006503F3">
              <w:rPr>
                <w:szCs w:val="24"/>
              </w:rPr>
              <w:t>DRRS Imbalance Payment or Charge:</w:t>
            </w:r>
          </w:p>
          <w:p w14:paraId="44D80D98" w14:textId="77777777" w:rsidR="006503F3" w:rsidRPr="006503F3" w:rsidRDefault="006503F3" w:rsidP="006503F3">
            <w:pPr>
              <w:tabs>
                <w:tab w:val="left" w:pos="2250"/>
                <w:tab w:val="left" w:pos="3150"/>
                <w:tab w:val="left" w:pos="3960"/>
              </w:tabs>
              <w:spacing w:after="240"/>
              <w:ind w:left="2340" w:hanging="1620"/>
              <w:rPr>
                <w:b/>
                <w:bCs/>
                <w:szCs w:val="24"/>
              </w:rPr>
            </w:pPr>
            <w:r w:rsidRPr="006503F3">
              <w:rPr>
                <w:b/>
                <w:bCs/>
                <w:szCs w:val="24"/>
              </w:rPr>
              <w:t>RTDRRIMBAMT</w:t>
            </w:r>
            <w:r w:rsidRPr="006503F3">
              <w:rPr>
                <w:b/>
                <w:bCs/>
                <w:i/>
                <w:iCs/>
                <w:szCs w:val="24"/>
                <w:vertAlign w:val="subscript"/>
              </w:rPr>
              <w:t xml:space="preserve"> q </w:t>
            </w:r>
            <w:r w:rsidRPr="006503F3">
              <w:rPr>
                <w:b/>
                <w:bCs/>
                <w:szCs w:val="24"/>
              </w:rPr>
              <w:t>= (-1) * [</w:t>
            </w:r>
            <w:r w:rsidRPr="006503F3">
              <w:rPr>
                <w:rFonts w:eastAsia="SimSun"/>
                <w:noProof/>
                <w:szCs w:val="24"/>
              </w:rPr>
              <w:drawing>
                <wp:inline distT="0" distB="0" distL="0" distR="0" wp14:anchorId="27002103" wp14:editId="4AFF39E5">
                  <wp:extent cx="182880" cy="358140"/>
                  <wp:effectExtent l="0" t="0" r="7620" b="3810"/>
                  <wp:docPr id="9895650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76">
                            <a:extLst>
                              <a:ext uri="{28A0092B-C50C-407E-A947-70E740481C1C}">
                                <a14:useLocalDpi xmlns:a14="http://schemas.microsoft.com/office/drawing/2010/main" val="0"/>
                              </a:ext>
                            </a:extLst>
                          </a:blip>
                          <a:stretch>
                            <a:fillRect/>
                          </a:stretch>
                        </pic:blipFill>
                        <pic:spPr>
                          <a:xfrm>
                            <a:off x="0" y="0"/>
                            <a:ext cx="182880" cy="358140"/>
                          </a:xfrm>
                          <a:prstGeom prst="rect">
                            <a:avLst/>
                          </a:prstGeom>
                        </pic:spPr>
                      </pic:pic>
                    </a:graphicData>
                  </a:graphic>
                </wp:inline>
              </w:drawing>
            </w:r>
            <w:r w:rsidRPr="006503F3">
              <w:rPr>
                <w:b/>
                <w:bCs/>
                <w:szCs w:val="24"/>
              </w:rPr>
              <w:t xml:space="preserve">[RTDRRREV </w:t>
            </w:r>
            <w:r w:rsidRPr="006503F3">
              <w:rPr>
                <w:b/>
                <w:bCs/>
                <w:i/>
                <w:iCs/>
                <w:szCs w:val="24"/>
                <w:vertAlign w:val="subscript"/>
              </w:rPr>
              <w:t xml:space="preserve">q, r </w:t>
            </w:r>
            <w:r w:rsidRPr="006503F3">
              <w:rPr>
                <w:b/>
                <w:bCs/>
                <w:szCs w:val="24"/>
              </w:rPr>
              <w:t>– (1/4) * (PCDRRR</w:t>
            </w:r>
            <w:r w:rsidRPr="006503F3">
              <w:rPr>
                <w:b/>
                <w:bCs/>
                <w:i/>
                <w:iCs/>
                <w:szCs w:val="24"/>
              </w:rPr>
              <w:t xml:space="preserve"> </w:t>
            </w:r>
            <w:r w:rsidRPr="006503F3">
              <w:rPr>
                <w:b/>
                <w:bCs/>
                <w:i/>
                <w:iCs/>
                <w:szCs w:val="24"/>
                <w:vertAlign w:val="subscript"/>
              </w:rPr>
              <w:t>r, q, DAM</w:t>
            </w:r>
            <w:r w:rsidRPr="006503F3">
              <w:rPr>
                <w:b/>
                <w:bCs/>
                <w:szCs w:val="24"/>
              </w:rPr>
              <w:t xml:space="preserve"> *</w:t>
            </w:r>
          </w:p>
          <w:p w14:paraId="2F8E4DB2" w14:textId="77777777" w:rsidR="006503F3" w:rsidRPr="006503F3" w:rsidRDefault="006503F3" w:rsidP="006503F3">
            <w:pPr>
              <w:tabs>
                <w:tab w:val="left" w:pos="2250"/>
                <w:tab w:val="left" w:pos="3150"/>
                <w:tab w:val="left" w:pos="3960"/>
              </w:tabs>
              <w:spacing w:after="240"/>
              <w:ind w:left="2340" w:firstLine="270"/>
              <w:rPr>
                <w:b/>
                <w:bCs/>
                <w:szCs w:val="24"/>
              </w:rPr>
            </w:pPr>
            <w:r w:rsidRPr="006503F3">
              <w:rPr>
                <w:b/>
                <w:bCs/>
                <w:szCs w:val="24"/>
              </w:rPr>
              <w:t xml:space="preserve">RTMCPCDRR)] – (1/4) * (DASADRRQ </w:t>
            </w:r>
            <w:r w:rsidRPr="006503F3">
              <w:rPr>
                <w:b/>
                <w:bCs/>
                <w:i/>
                <w:szCs w:val="24"/>
                <w:vertAlign w:val="subscript"/>
              </w:rPr>
              <w:t>q</w:t>
            </w:r>
            <w:r w:rsidRPr="006503F3">
              <w:rPr>
                <w:b/>
                <w:bCs/>
                <w:szCs w:val="24"/>
              </w:rPr>
              <w:t xml:space="preserve"> * RTMCPCDRR) + (1/4) * (DRRTP </w:t>
            </w:r>
            <w:r w:rsidRPr="006503F3">
              <w:rPr>
                <w:b/>
                <w:bCs/>
                <w:i/>
                <w:szCs w:val="24"/>
                <w:vertAlign w:val="subscript"/>
              </w:rPr>
              <w:t>q</w:t>
            </w:r>
            <w:r w:rsidRPr="006503F3">
              <w:rPr>
                <w:b/>
                <w:bCs/>
                <w:szCs w:val="24"/>
              </w:rPr>
              <w:t xml:space="preserve"> – DRRTS </w:t>
            </w:r>
            <w:r w:rsidRPr="006503F3">
              <w:rPr>
                <w:b/>
                <w:bCs/>
                <w:i/>
                <w:szCs w:val="24"/>
                <w:vertAlign w:val="subscript"/>
              </w:rPr>
              <w:t>q</w:t>
            </w:r>
            <w:r w:rsidRPr="006503F3">
              <w:rPr>
                <w:b/>
                <w:bCs/>
                <w:szCs w:val="24"/>
              </w:rPr>
              <w:t>) * RTMCPCDRR]</w:t>
            </w:r>
          </w:p>
          <w:p w14:paraId="01477877" w14:textId="77777777" w:rsidR="006503F3" w:rsidRPr="006503F3" w:rsidRDefault="006503F3" w:rsidP="006503F3">
            <w:pPr>
              <w:tabs>
                <w:tab w:val="left" w:pos="2250"/>
                <w:tab w:val="left" w:pos="3150"/>
                <w:tab w:val="left" w:pos="3960"/>
              </w:tabs>
              <w:spacing w:after="240"/>
              <w:ind w:left="3960" w:hanging="3240"/>
              <w:rPr>
                <w:szCs w:val="24"/>
              </w:rPr>
            </w:pPr>
            <w:r w:rsidRPr="006503F3">
              <w:rPr>
                <w:szCs w:val="24"/>
              </w:rPr>
              <w:t xml:space="preserve">Where:   </w:t>
            </w:r>
          </w:p>
          <w:p w14:paraId="2DE515B1" w14:textId="77777777" w:rsidR="006503F3" w:rsidRPr="006503F3" w:rsidRDefault="006503F3" w:rsidP="006503F3">
            <w:pPr>
              <w:tabs>
                <w:tab w:val="left" w:pos="2250"/>
                <w:tab w:val="left" w:pos="3150"/>
                <w:tab w:val="left" w:pos="3960"/>
              </w:tabs>
              <w:spacing w:after="240"/>
              <w:ind w:left="3960" w:hanging="3240"/>
              <w:rPr>
                <w:szCs w:val="24"/>
              </w:rPr>
            </w:pPr>
            <w:r w:rsidRPr="006503F3">
              <w:t>RT</w:t>
            </w:r>
            <w:r w:rsidRPr="006503F3">
              <w:rPr>
                <w:szCs w:val="24"/>
              </w:rPr>
              <w:t>DRR</w:t>
            </w:r>
            <w:r w:rsidRPr="006503F3">
              <w:t xml:space="preserve">REV </w:t>
            </w:r>
            <w:r w:rsidRPr="006503F3">
              <w:rPr>
                <w:i/>
                <w:szCs w:val="24"/>
                <w:vertAlign w:val="subscript"/>
              </w:rPr>
              <w:t xml:space="preserve">q, r </w:t>
            </w:r>
            <w:r w:rsidRPr="006503F3">
              <w:rPr>
                <w:i/>
                <w:szCs w:val="24"/>
              </w:rPr>
              <w:t xml:space="preserve"> =     </w:t>
            </w:r>
            <w:r w:rsidRPr="006503F3">
              <w:rPr>
                <w:szCs w:val="24"/>
              </w:rPr>
              <w:t>(1/4) * RTDRRAWD</w:t>
            </w:r>
            <w:r w:rsidRPr="006503F3">
              <w:rPr>
                <w:i/>
                <w:szCs w:val="24"/>
                <w:vertAlign w:val="subscript"/>
              </w:rPr>
              <w:t xml:space="preserve"> q, r</w:t>
            </w:r>
            <w:r w:rsidRPr="006503F3">
              <w:rPr>
                <w:szCs w:val="24"/>
              </w:rPr>
              <w:t xml:space="preserve"> * RTMCPCDRRR </w:t>
            </w:r>
            <w:r w:rsidRPr="006503F3">
              <w:rPr>
                <w:i/>
                <w:szCs w:val="24"/>
                <w:vertAlign w:val="subscript"/>
              </w:rPr>
              <w:t>q,</w:t>
            </w:r>
            <w:r w:rsidRPr="006503F3">
              <w:rPr>
                <w:i/>
                <w:szCs w:val="24"/>
              </w:rPr>
              <w:t xml:space="preserve"> </w:t>
            </w:r>
            <w:r w:rsidRPr="006503F3">
              <w:rPr>
                <w:i/>
                <w:szCs w:val="24"/>
                <w:vertAlign w:val="subscript"/>
              </w:rPr>
              <w:t>r</w:t>
            </w:r>
          </w:p>
          <w:p w14:paraId="487E0470" w14:textId="77777777" w:rsidR="006503F3" w:rsidRPr="006503F3" w:rsidRDefault="006503F3" w:rsidP="006503F3">
            <w:pPr>
              <w:tabs>
                <w:tab w:val="left" w:pos="2250"/>
                <w:tab w:val="left" w:pos="3150"/>
                <w:tab w:val="left" w:pos="3960"/>
              </w:tabs>
              <w:spacing w:after="240"/>
              <w:ind w:left="3960" w:hanging="3240"/>
              <w:rPr>
                <w:szCs w:val="24"/>
              </w:rPr>
            </w:pPr>
            <w:r w:rsidRPr="006503F3">
              <w:rPr>
                <w:szCs w:val="24"/>
              </w:rPr>
              <w:t xml:space="preserve">RTMCPCDRRR </w:t>
            </w:r>
            <w:r w:rsidRPr="006503F3">
              <w:rPr>
                <w:i/>
                <w:iCs/>
                <w:szCs w:val="24"/>
                <w:vertAlign w:val="subscript"/>
              </w:rPr>
              <w:t>q, r</w:t>
            </w:r>
            <w:r w:rsidRPr="006503F3">
              <w:rPr>
                <w:i/>
                <w:iCs/>
                <w:szCs w:val="24"/>
              </w:rPr>
              <w:t xml:space="preserve"> = </w:t>
            </w:r>
            <w:r w:rsidRPr="006503F3">
              <w:rPr>
                <w:rFonts w:eastAsia="SimSun"/>
                <w:noProof/>
                <w:szCs w:val="24"/>
              </w:rPr>
              <w:drawing>
                <wp:inline distT="0" distB="0" distL="0" distR="0" wp14:anchorId="3C5CDCCF" wp14:editId="518FCA23">
                  <wp:extent cx="274320" cy="274320"/>
                  <wp:effectExtent l="0" t="0" r="0" b="0"/>
                  <wp:docPr id="1729670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7">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6503F3">
              <w:rPr>
                <w:szCs w:val="24"/>
              </w:rPr>
              <w:t>(DRRRWF</w:t>
            </w:r>
            <w:r w:rsidRPr="006503F3">
              <w:rPr>
                <w:i/>
                <w:iCs/>
                <w:szCs w:val="24"/>
                <w:vertAlign w:val="subscript"/>
              </w:rPr>
              <w:t xml:space="preserve"> q, r, y</w:t>
            </w:r>
            <w:r w:rsidRPr="006503F3">
              <w:rPr>
                <w:szCs w:val="24"/>
              </w:rPr>
              <w:t xml:space="preserve"> * (RTMCPCDRRS</w:t>
            </w:r>
            <w:r w:rsidRPr="006503F3">
              <w:rPr>
                <w:i/>
                <w:iCs/>
                <w:szCs w:val="24"/>
                <w:vertAlign w:val="subscript"/>
              </w:rPr>
              <w:t xml:space="preserve"> y</w:t>
            </w:r>
            <w:r w:rsidRPr="006503F3">
              <w:rPr>
                <w:szCs w:val="24"/>
              </w:rPr>
              <w:t xml:space="preserve"> + RTRDPADRRS </w:t>
            </w:r>
            <w:r w:rsidRPr="006503F3">
              <w:rPr>
                <w:i/>
                <w:iCs/>
                <w:szCs w:val="24"/>
                <w:vertAlign w:val="subscript"/>
              </w:rPr>
              <w:t>y</w:t>
            </w:r>
            <w:r w:rsidRPr="006503F3">
              <w:rPr>
                <w:i/>
                <w:iCs/>
                <w:szCs w:val="24"/>
              </w:rPr>
              <w:t>))</w:t>
            </w:r>
          </w:p>
          <w:p w14:paraId="257D1990" w14:textId="77777777" w:rsidR="006503F3" w:rsidRPr="006503F3" w:rsidRDefault="006503F3" w:rsidP="006503F3">
            <w:pPr>
              <w:tabs>
                <w:tab w:val="left" w:pos="2250"/>
                <w:tab w:val="left" w:pos="3150"/>
                <w:tab w:val="left" w:pos="3960"/>
              </w:tabs>
              <w:spacing w:after="240"/>
              <w:ind w:left="3960" w:hanging="3240"/>
              <w:rPr>
                <w:i/>
                <w:iCs/>
                <w:szCs w:val="24"/>
                <w:vertAlign w:val="subscript"/>
              </w:rPr>
            </w:pPr>
            <w:r w:rsidRPr="006503F3">
              <w:rPr>
                <w:szCs w:val="24"/>
              </w:rPr>
              <w:t>RTDRRAWD</w:t>
            </w:r>
            <w:r w:rsidRPr="006503F3">
              <w:rPr>
                <w:i/>
                <w:iCs/>
                <w:szCs w:val="24"/>
                <w:vertAlign w:val="subscript"/>
              </w:rPr>
              <w:t xml:space="preserve"> q, r  </w:t>
            </w:r>
            <w:r w:rsidRPr="006503F3">
              <w:rPr>
                <w:szCs w:val="24"/>
              </w:rPr>
              <w:t xml:space="preserve"> =  </w:t>
            </w:r>
            <w:r w:rsidRPr="006503F3">
              <w:rPr>
                <w:rFonts w:eastAsia="SimSun"/>
                <w:noProof/>
                <w:szCs w:val="24"/>
              </w:rPr>
              <w:drawing>
                <wp:inline distT="0" distB="0" distL="0" distR="0" wp14:anchorId="144A91DC" wp14:editId="0BCA630A">
                  <wp:extent cx="274320" cy="274320"/>
                  <wp:effectExtent l="0" t="0" r="0" b="0"/>
                  <wp:docPr id="5556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7">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6503F3">
              <w:rPr>
                <w:szCs w:val="24"/>
              </w:rPr>
              <w:t xml:space="preserve"> (RNWF </w:t>
            </w:r>
            <w:r w:rsidRPr="006503F3">
              <w:rPr>
                <w:i/>
                <w:iCs/>
                <w:szCs w:val="24"/>
                <w:vertAlign w:val="subscript"/>
              </w:rPr>
              <w:t>y</w:t>
            </w:r>
            <w:r w:rsidRPr="006503F3">
              <w:rPr>
                <w:szCs w:val="24"/>
                <w:vertAlign w:val="subscript"/>
              </w:rPr>
              <w:t xml:space="preserve"> </w:t>
            </w:r>
            <w:r w:rsidRPr="006503F3">
              <w:rPr>
                <w:szCs w:val="24"/>
              </w:rPr>
              <w:t>* RTDRRAWDS</w:t>
            </w:r>
            <w:r w:rsidRPr="006503F3">
              <w:rPr>
                <w:i/>
                <w:iCs/>
                <w:szCs w:val="24"/>
                <w:vertAlign w:val="subscript"/>
              </w:rPr>
              <w:t xml:space="preserve"> q, r, y</w:t>
            </w:r>
            <w:r w:rsidRPr="006503F3">
              <w:rPr>
                <w:szCs w:val="24"/>
              </w:rPr>
              <w:t>)</w:t>
            </w:r>
          </w:p>
          <w:p w14:paraId="4B4A7570" w14:textId="77777777" w:rsidR="006503F3" w:rsidRPr="006503F3" w:rsidRDefault="006503F3" w:rsidP="006503F3">
            <w:pPr>
              <w:spacing w:after="240"/>
              <w:ind w:firstLine="720"/>
            </w:pPr>
            <w:r w:rsidRPr="006503F3">
              <w:t>Where:</w:t>
            </w:r>
          </w:p>
          <w:p w14:paraId="02883883" w14:textId="77777777" w:rsidR="006503F3" w:rsidRPr="006503F3" w:rsidRDefault="006503F3" w:rsidP="006503F3">
            <w:pPr>
              <w:ind w:left="1440" w:hanging="720"/>
              <w:rPr>
                <w:szCs w:val="24"/>
              </w:rPr>
            </w:pPr>
            <w:r w:rsidRPr="006503F3">
              <w:rPr>
                <w:szCs w:val="24"/>
              </w:rPr>
              <w:t>DRRRWF</w:t>
            </w:r>
            <w:r w:rsidRPr="006503F3">
              <w:rPr>
                <w:i/>
                <w:iCs/>
                <w:szCs w:val="24"/>
                <w:vertAlign w:val="subscript"/>
              </w:rPr>
              <w:t xml:space="preserve"> q, r, y</w:t>
            </w:r>
            <w:r w:rsidRPr="006503F3">
              <w:rPr>
                <w:szCs w:val="24"/>
                <w:vertAlign w:val="subscript"/>
              </w:rPr>
              <w:t xml:space="preserve"> </w:t>
            </w:r>
            <w:r w:rsidRPr="006503F3">
              <w:rPr>
                <w:szCs w:val="24"/>
              </w:rPr>
              <w:t xml:space="preserve"> =    [max(0.001, RTDRRAWDS</w:t>
            </w:r>
            <w:r w:rsidRPr="006503F3">
              <w:rPr>
                <w:i/>
                <w:iCs/>
                <w:szCs w:val="24"/>
                <w:vertAlign w:val="subscript"/>
              </w:rPr>
              <w:t xml:space="preserve"> q, r, y</w:t>
            </w:r>
            <w:r w:rsidRPr="006503F3">
              <w:rPr>
                <w:szCs w:val="24"/>
              </w:rPr>
              <w:t>) * TLMP</w:t>
            </w:r>
            <w:r w:rsidRPr="006503F3">
              <w:rPr>
                <w:i/>
                <w:iCs/>
                <w:szCs w:val="24"/>
                <w:vertAlign w:val="subscript"/>
              </w:rPr>
              <w:t xml:space="preserve"> y</w:t>
            </w:r>
            <w:r w:rsidRPr="006503F3">
              <w:rPr>
                <w:szCs w:val="24"/>
              </w:rPr>
              <w:t>] / [</w:t>
            </w:r>
            <w:r w:rsidRPr="006503F3">
              <w:rPr>
                <w:rFonts w:eastAsia="SimSun"/>
                <w:noProof/>
                <w:szCs w:val="24"/>
              </w:rPr>
              <w:drawing>
                <wp:inline distT="0" distB="0" distL="0" distR="0" wp14:anchorId="6E46405C" wp14:editId="181FFF70">
                  <wp:extent cx="274320" cy="274320"/>
                  <wp:effectExtent l="0" t="0" r="0" b="0"/>
                  <wp:docPr id="1929576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7">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6503F3">
              <w:rPr>
                <w:szCs w:val="24"/>
              </w:rPr>
              <w:t>max(0.001,</w:t>
            </w:r>
          </w:p>
          <w:p w14:paraId="3EEC9F81" w14:textId="77777777" w:rsidR="006503F3" w:rsidRPr="006503F3" w:rsidRDefault="006503F3" w:rsidP="006503F3">
            <w:pPr>
              <w:spacing w:after="240"/>
              <w:ind w:left="2160" w:firstLine="720"/>
              <w:rPr>
                <w:szCs w:val="24"/>
              </w:rPr>
            </w:pPr>
            <w:r w:rsidRPr="006503F3">
              <w:rPr>
                <w:szCs w:val="24"/>
              </w:rPr>
              <w:t>RTDRRAWDS</w:t>
            </w:r>
            <w:r w:rsidRPr="006503F3">
              <w:rPr>
                <w:i/>
                <w:szCs w:val="24"/>
                <w:vertAlign w:val="subscript"/>
              </w:rPr>
              <w:t xml:space="preserve"> q, r, y</w:t>
            </w:r>
            <w:r w:rsidRPr="006503F3">
              <w:rPr>
                <w:szCs w:val="24"/>
              </w:rPr>
              <w:t>) * TLMP</w:t>
            </w:r>
            <w:r w:rsidRPr="006503F3">
              <w:rPr>
                <w:i/>
                <w:szCs w:val="24"/>
                <w:vertAlign w:val="subscript"/>
              </w:rPr>
              <w:t xml:space="preserve"> y</w:t>
            </w:r>
            <w:r w:rsidRPr="006503F3">
              <w:rPr>
                <w:szCs w:val="24"/>
              </w:rPr>
              <w:t>]</w:t>
            </w:r>
            <w:r w:rsidRPr="006503F3">
              <w:rPr>
                <w:szCs w:val="24"/>
                <w:vertAlign w:val="subscript"/>
              </w:rPr>
              <w:t xml:space="preserve"> </w:t>
            </w:r>
          </w:p>
          <w:p w14:paraId="16AFEE43" w14:textId="77777777" w:rsidR="006503F3" w:rsidRPr="006503F3" w:rsidRDefault="006503F3" w:rsidP="006503F3">
            <w:pPr>
              <w:spacing w:after="240"/>
              <w:ind w:left="1440" w:hanging="720"/>
              <w:rPr>
                <w:szCs w:val="24"/>
              </w:rPr>
            </w:pPr>
            <w:r w:rsidRPr="006503F3">
              <w:rPr>
                <w:szCs w:val="24"/>
              </w:rPr>
              <w:t>And:</w:t>
            </w:r>
          </w:p>
          <w:p w14:paraId="76543503" w14:textId="77777777" w:rsidR="006503F3" w:rsidRPr="006503F3" w:rsidRDefault="006503F3" w:rsidP="006503F3">
            <w:pPr>
              <w:spacing w:after="240"/>
              <w:ind w:left="1440" w:hanging="720"/>
              <w:rPr>
                <w:i/>
                <w:iCs/>
                <w:szCs w:val="24"/>
                <w:vertAlign w:val="subscript"/>
              </w:rPr>
            </w:pPr>
            <w:r w:rsidRPr="006503F3">
              <w:rPr>
                <w:szCs w:val="24"/>
              </w:rPr>
              <w:t xml:space="preserve">RNWF </w:t>
            </w:r>
            <w:r w:rsidRPr="006503F3">
              <w:rPr>
                <w:i/>
                <w:iCs/>
                <w:szCs w:val="24"/>
                <w:vertAlign w:val="subscript"/>
              </w:rPr>
              <w:t xml:space="preserve">y   </w:t>
            </w:r>
            <w:r w:rsidRPr="006503F3">
              <w:rPr>
                <w:szCs w:val="24"/>
              </w:rPr>
              <w:t xml:space="preserve">=  TLMP </w:t>
            </w:r>
            <w:r w:rsidRPr="006503F3">
              <w:rPr>
                <w:i/>
                <w:iCs/>
                <w:szCs w:val="24"/>
                <w:vertAlign w:val="subscript"/>
              </w:rPr>
              <w:t>y</w:t>
            </w:r>
            <w:r w:rsidRPr="006503F3">
              <w:rPr>
                <w:szCs w:val="24"/>
              </w:rPr>
              <w:t xml:space="preserve"> </w:t>
            </w:r>
            <w:r w:rsidRPr="006503F3">
              <w:rPr>
                <w:color w:val="000000"/>
                <w:sz w:val="32"/>
                <w:szCs w:val="32"/>
              </w:rPr>
              <w:t>/</w:t>
            </w:r>
            <w:r w:rsidRPr="006503F3">
              <w:rPr>
                <w:color w:val="000000"/>
                <w:szCs w:val="24"/>
              </w:rPr>
              <w:t xml:space="preserve"> </w:t>
            </w:r>
            <w:r w:rsidRPr="006503F3">
              <w:rPr>
                <w:rFonts w:eastAsia="SimSun"/>
                <w:noProof/>
                <w:szCs w:val="24"/>
              </w:rPr>
              <w:drawing>
                <wp:inline distT="0" distB="0" distL="0" distR="0" wp14:anchorId="1E972276" wp14:editId="2711DA3E">
                  <wp:extent cx="274320" cy="274320"/>
                  <wp:effectExtent l="0" t="0" r="0" b="0"/>
                  <wp:docPr id="1255531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7">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6503F3">
              <w:rPr>
                <w:szCs w:val="24"/>
              </w:rPr>
              <w:t xml:space="preserve">TLMP </w:t>
            </w:r>
            <w:r w:rsidRPr="006503F3">
              <w:rPr>
                <w:i/>
                <w:iCs/>
                <w:szCs w:val="24"/>
                <w:vertAlign w:val="subscript"/>
              </w:rPr>
              <w:t>y</w:t>
            </w:r>
          </w:p>
          <w:p w14:paraId="1782A888" w14:textId="77777777" w:rsidR="006503F3" w:rsidRPr="006503F3" w:rsidRDefault="006503F3" w:rsidP="006503F3">
            <w:pPr>
              <w:ind w:left="720" w:hanging="720"/>
              <w:rPr>
                <w:b/>
                <w:iCs/>
                <w:szCs w:val="24"/>
              </w:rPr>
            </w:pPr>
            <w:r w:rsidRPr="006503F3">
              <w:rPr>
                <w:iCs/>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6503F3" w:rsidRPr="006503F3" w14:paraId="15683868" w14:textId="77777777" w:rsidTr="00A86863">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0A882760" w14:textId="77777777" w:rsidR="006503F3" w:rsidRPr="006503F3" w:rsidRDefault="006503F3" w:rsidP="006503F3">
                  <w:pPr>
                    <w:spacing w:after="120"/>
                    <w:rPr>
                      <w:b/>
                      <w:iCs/>
                      <w:sz w:val="20"/>
                    </w:rPr>
                  </w:pPr>
                  <w:r w:rsidRPr="006503F3">
                    <w:rPr>
                      <w:b/>
                      <w:iCs/>
                      <w:sz w:val="20"/>
                    </w:rPr>
                    <w:lastRenderedPageBreak/>
                    <w:t>Variable</w:t>
                  </w:r>
                </w:p>
              </w:tc>
              <w:tc>
                <w:tcPr>
                  <w:tcW w:w="623" w:type="pct"/>
                  <w:tcBorders>
                    <w:top w:val="single" w:sz="4" w:space="0" w:color="auto"/>
                    <w:left w:val="single" w:sz="4" w:space="0" w:color="auto"/>
                    <w:bottom w:val="single" w:sz="4" w:space="0" w:color="auto"/>
                    <w:right w:val="single" w:sz="4" w:space="0" w:color="auto"/>
                  </w:tcBorders>
                  <w:hideMark/>
                </w:tcPr>
                <w:p w14:paraId="245B49AB" w14:textId="77777777" w:rsidR="006503F3" w:rsidRPr="006503F3" w:rsidRDefault="006503F3" w:rsidP="006503F3">
                  <w:pPr>
                    <w:spacing w:after="120"/>
                    <w:rPr>
                      <w:b/>
                      <w:iCs/>
                      <w:sz w:val="20"/>
                    </w:rPr>
                  </w:pPr>
                  <w:r w:rsidRPr="006503F3">
                    <w:rPr>
                      <w:b/>
                      <w:iCs/>
                      <w:sz w:val="20"/>
                    </w:rPr>
                    <w:t>Unit</w:t>
                  </w:r>
                </w:p>
              </w:tc>
              <w:tc>
                <w:tcPr>
                  <w:tcW w:w="3098" w:type="pct"/>
                  <w:tcBorders>
                    <w:top w:val="single" w:sz="4" w:space="0" w:color="auto"/>
                    <w:left w:val="single" w:sz="4" w:space="0" w:color="auto"/>
                    <w:bottom w:val="single" w:sz="4" w:space="0" w:color="auto"/>
                    <w:right w:val="single" w:sz="4" w:space="0" w:color="auto"/>
                  </w:tcBorders>
                  <w:hideMark/>
                </w:tcPr>
                <w:p w14:paraId="5D25FD03" w14:textId="77777777" w:rsidR="006503F3" w:rsidRPr="006503F3" w:rsidRDefault="006503F3" w:rsidP="006503F3">
                  <w:pPr>
                    <w:spacing w:after="120"/>
                    <w:rPr>
                      <w:b/>
                      <w:iCs/>
                      <w:sz w:val="20"/>
                    </w:rPr>
                  </w:pPr>
                  <w:r w:rsidRPr="006503F3">
                    <w:rPr>
                      <w:b/>
                      <w:iCs/>
                      <w:sz w:val="20"/>
                    </w:rPr>
                    <w:t>Description</w:t>
                  </w:r>
                </w:p>
              </w:tc>
            </w:tr>
            <w:tr w:rsidR="006503F3" w:rsidRPr="006503F3" w14:paraId="6796DB2D"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5A4898DD" w14:textId="77777777" w:rsidR="006503F3" w:rsidRPr="006503F3" w:rsidRDefault="006503F3" w:rsidP="006503F3">
                  <w:pPr>
                    <w:spacing w:after="60"/>
                    <w:rPr>
                      <w:sz w:val="20"/>
                    </w:rPr>
                  </w:pPr>
                  <w:r w:rsidRPr="006503F3">
                    <w:rPr>
                      <w:sz w:val="20"/>
                    </w:rPr>
                    <w:t xml:space="preserve">RTDRRIMBAMT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2E1D4122" w14:textId="77777777" w:rsidR="006503F3" w:rsidRPr="006503F3" w:rsidRDefault="006503F3" w:rsidP="006503F3">
                  <w:pPr>
                    <w:spacing w:after="60"/>
                    <w:rPr>
                      <w:sz w:val="20"/>
                    </w:rPr>
                  </w:pPr>
                  <w:r w:rsidRPr="006503F3">
                    <w:rPr>
                      <w:sz w:val="20"/>
                    </w:rPr>
                    <w:t>$</w:t>
                  </w:r>
                </w:p>
              </w:tc>
              <w:tc>
                <w:tcPr>
                  <w:tcW w:w="3098" w:type="pct"/>
                  <w:tcBorders>
                    <w:top w:val="single" w:sz="4" w:space="0" w:color="auto"/>
                    <w:left w:val="single" w:sz="4" w:space="0" w:color="auto"/>
                    <w:bottom w:val="single" w:sz="4" w:space="0" w:color="auto"/>
                    <w:right w:val="single" w:sz="4" w:space="0" w:color="auto"/>
                  </w:tcBorders>
                  <w:hideMark/>
                </w:tcPr>
                <w:p w14:paraId="33588FF1" w14:textId="77777777" w:rsidR="006503F3" w:rsidRPr="006503F3" w:rsidRDefault="006503F3" w:rsidP="006503F3">
                  <w:pPr>
                    <w:spacing w:after="60"/>
                    <w:rPr>
                      <w:i/>
                      <w:sz w:val="20"/>
                    </w:rPr>
                  </w:pPr>
                  <w:r w:rsidRPr="006503F3">
                    <w:rPr>
                      <w:i/>
                      <w:sz w:val="20"/>
                    </w:rPr>
                    <w:t>Real-Time Dispatchable Reliability Reserve Service Imbalance Amount for the QSE—</w:t>
                  </w:r>
                  <w:r w:rsidRPr="006503F3">
                    <w:rPr>
                      <w:sz w:val="20"/>
                    </w:rPr>
                    <w:t xml:space="preserve">The total payment or charge to QSE </w:t>
                  </w:r>
                  <w:r w:rsidRPr="006503F3">
                    <w:rPr>
                      <w:i/>
                      <w:sz w:val="20"/>
                    </w:rPr>
                    <w:t>q</w:t>
                  </w:r>
                  <w:r w:rsidRPr="006503F3">
                    <w:rPr>
                      <w:sz w:val="20"/>
                    </w:rPr>
                    <w:t xml:space="preserve"> for the Real-Time DRRS imbalance for each 15-minute Settlement Interval.</w:t>
                  </w:r>
                </w:p>
              </w:tc>
            </w:tr>
            <w:tr w:rsidR="006503F3" w:rsidRPr="006503F3" w14:paraId="07CD1E83"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21634A41" w14:textId="77777777" w:rsidR="006503F3" w:rsidRPr="006503F3" w:rsidRDefault="006503F3" w:rsidP="006503F3">
                  <w:pPr>
                    <w:spacing w:after="60"/>
                    <w:rPr>
                      <w:sz w:val="20"/>
                    </w:rPr>
                  </w:pPr>
                  <w:r w:rsidRPr="006503F3">
                    <w:rPr>
                      <w:sz w:val="20"/>
                    </w:rPr>
                    <w:t xml:space="preserve">RTDRRAWD </w:t>
                  </w:r>
                  <w:r w:rsidRPr="006503F3">
                    <w:rPr>
                      <w:sz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79247195"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06265665" w14:textId="77777777" w:rsidR="006503F3" w:rsidRPr="006503F3" w:rsidRDefault="006503F3" w:rsidP="006503F3">
                  <w:pPr>
                    <w:spacing w:after="60"/>
                    <w:rPr>
                      <w:i/>
                      <w:sz w:val="20"/>
                    </w:rPr>
                  </w:pPr>
                  <w:r w:rsidRPr="006503F3">
                    <w:rPr>
                      <w:i/>
                      <w:sz w:val="20"/>
                    </w:rPr>
                    <w:t>Real-Time Dispatchable Reliability Reserve Service Award per Resource per QSE</w:t>
                  </w:r>
                  <w:r w:rsidRPr="006503F3">
                    <w:rPr>
                      <w:rFonts w:ascii="Symbol" w:eastAsia="Symbol" w:hAnsi="Symbol" w:cs="Symbol"/>
                      <w:sz w:val="20"/>
                    </w:rPr>
                    <w:t>¾</w:t>
                  </w:r>
                  <w:r w:rsidRPr="006503F3">
                    <w:rPr>
                      <w:sz w:val="20"/>
                    </w:rPr>
                    <w:t xml:space="preserve">The DRRS amount awarded to QSE </w:t>
                  </w:r>
                  <w:r w:rsidRPr="006503F3">
                    <w:rPr>
                      <w:i/>
                      <w:sz w:val="20"/>
                    </w:rPr>
                    <w:t>q</w:t>
                  </w:r>
                  <w:r w:rsidRPr="006503F3">
                    <w:rPr>
                      <w:sz w:val="20"/>
                    </w:rPr>
                    <w:t xml:space="preserve"> for Resource </w:t>
                  </w:r>
                  <w:r w:rsidRPr="006503F3">
                    <w:rPr>
                      <w:i/>
                      <w:sz w:val="20"/>
                    </w:rPr>
                    <w:t>r</w:t>
                  </w:r>
                  <w:r w:rsidRPr="006503F3">
                    <w:rPr>
                      <w:sz w:val="20"/>
                    </w:rPr>
                    <w:t xml:space="preserve"> in Real-Time for the 15-minute Settlement Interval.  Where for a Combined Cycle Train, the Resource </w:t>
                  </w:r>
                  <w:r w:rsidRPr="006503F3">
                    <w:rPr>
                      <w:i/>
                      <w:sz w:val="20"/>
                    </w:rPr>
                    <w:t>r</w:t>
                  </w:r>
                  <w:r w:rsidRPr="006503F3">
                    <w:rPr>
                      <w:sz w:val="20"/>
                    </w:rPr>
                    <w:t xml:space="preserve"> is a Combined Cycle Generation Resource within the Combined Cycle Train.</w:t>
                  </w:r>
                </w:p>
              </w:tc>
            </w:tr>
            <w:tr w:rsidR="006503F3" w:rsidRPr="006503F3" w14:paraId="37732BBA"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63183572" w14:textId="77777777" w:rsidR="006503F3" w:rsidRPr="006503F3" w:rsidRDefault="006503F3" w:rsidP="006503F3">
                  <w:pPr>
                    <w:spacing w:after="60"/>
                    <w:rPr>
                      <w:sz w:val="20"/>
                    </w:rPr>
                  </w:pPr>
                  <w:r w:rsidRPr="006503F3">
                    <w:rPr>
                      <w:sz w:val="20"/>
                    </w:rPr>
                    <w:t xml:space="preserve">RTDRRREV </w:t>
                  </w:r>
                  <w:r w:rsidRPr="006503F3">
                    <w:rPr>
                      <w:i/>
                      <w:sz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32C7368C" w14:textId="77777777" w:rsidR="006503F3" w:rsidRPr="006503F3" w:rsidRDefault="006503F3" w:rsidP="006503F3">
                  <w:pPr>
                    <w:spacing w:after="60"/>
                    <w:rPr>
                      <w:sz w:val="20"/>
                    </w:rPr>
                  </w:pPr>
                  <w:r w:rsidRPr="006503F3">
                    <w:rPr>
                      <w:sz w:val="20"/>
                    </w:rPr>
                    <w:t>$</w:t>
                  </w:r>
                </w:p>
              </w:tc>
              <w:tc>
                <w:tcPr>
                  <w:tcW w:w="3098" w:type="pct"/>
                  <w:tcBorders>
                    <w:top w:val="single" w:sz="4" w:space="0" w:color="auto"/>
                    <w:left w:val="single" w:sz="4" w:space="0" w:color="auto"/>
                    <w:bottom w:val="single" w:sz="4" w:space="0" w:color="auto"/>
                    <w:right w:val="single" w:sz="4" w:space="0" w:color="auto"/>
                  </w:tcBorders>
                  <w:hideMark/>
                </w:tcPr>
                <w:p w14:paraId="1F84746D" w14:textId="77777777" w:rsidR="006503F3" w:rsidRPr="006503F3" w:rsidRDefault="006503F3" w:rsidP="006503F3">
                  <w:pPr>
                    <w:spacing w:after="60"/>
                    <w:rPr>
                      <w:i/>
                      <w:sz w:val="20"/>
                    </w:rPr>
                  </w:pPr>
                  <w:r w:rsidRPr="006503F3">
                    <w:rPr>
                      <w:i/>
                      <w:sz w:val="20"/>
                    </w:rPr>
                    <w:t>Real-Time Dispatchable Reliability Reserve Service Revenue</w:t>
                  </w:r>
                  <w:r w:rsidRPr="006503F3">
                    <w:rPr>
                      <w:sz w:val="20"/>
                    </w:rPr>
                    <w:t xml:space="preserve">—The Real-Time DRRS revenue for QSE </w:t>
                  </w:r>
                  <w:r w:rsidRPr="006503F3">
                    <w:rPr>
                      <w:i/>
                      <w:sz w:val="20"/>
                    </w:rPr>
                    <w:t xml:space="preserve">q </w:t>
                  </w:r>
                  <w:r w:rsidRPr="006503F3">
                    <w:rPr>
                      <w:sz w:val="20"/>
                    </w:rPr>
                    <w:t xml:space="preserve">calculated for Resource </w:t>
                  </w:r>
                  <w:r w:rsidRPr="006503F3">
                    <w:rPr>
                      <w:i/>
                      <w:sz w:val="20"/>
                    </w:rPr>
                    <w:t>r</w:t>
                  </w:r>
                  <w:r w:rsidRPr="006503F3">
                    <w:rPr>
                      <w:sz w:val="20"/>
                    </w:rPr>
                    <w:t xml:space="preserve"> for the 15-minute Settlement Interval.  Where for a Combined Cycle Train, the Resource </w:t>
                  </w:r>
                  <w:r w:rsidRPr="006503F3">
                    <w:rPr>
                      <w:i/>
                      <w:sz w:val="20"/>
                    </w:rPr>
                    <w:t>r</w:t>
                  </w:r>
                  <w:r w:rsidRPr="006503F3">
                    <w:rPr>
                      <w:sz w:val="20"/>
                    </w:rPr>
                    <w:t xml:space="preserve"> is the Combined Cycle Train.</w:t>
                  </w:r>
                </w:p>
              </w:tc>
            </w:tr>
            <w:tr w:rsidR="006503F3" w:rsidRPr="006503F3" w14:paraId="390F9B92"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586145E7" w14:textId="77777777" w:rsidR="006503F3" w:rsidRPr="006503F3" w:rsidRDefault="006503F3" w:rsidP="006503F3">
                  <w:pPr>
                    <w:spacing w:after="60"/>
                    <w:rPr>
                      <w:sz w:val="20"/>
                    </w:rPr>
                  </w:pPr>
                  <w:r w:rsidRPr="006503F3">
                    <w:rPr>
                      <w:sz w:val="20"/>
                    </w:rPr>
                    <w:t xml:space="preserve">RTDRRAWDS </w:t>
                  </w:r>
                  <w:r w:rsidRPr="006503F3">
                    <w:rPr>
                      <w:i/>
                      <w:sz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26C385C3"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35EF5153" w14:textId="77777777" w:rsidR="006503F3" w:rsidRPr="006503F3" w:rsidRDefault="006503F3" w:rsidP="006503F3">
                  <w:pPr>
                    <w:spacing w:after="60"/>
                    <w:rPr>
                      <w:i/>
                      <w:sz w:val="20"/>
                    </w:rPr>
                  </w:pPr>
                  <w:r w:rsidRPr="006503F3">
                    <w:rPr>
                      <w:i/>
                      <w:sz w:val="20"/>
                    </w:rPr>
                    <w:t>Real-Time Dispatchable Reliability Reserve Service Award per Resource per QSE per SCED interval</w:t>
                  </w:r>
                  <w:r w:rsidRPr="006503F3">
                    <w:rPr>
                      <w:iCs/>
                      <w:sz w:val="20"/>
                    </w:rPr>
                    <w:t>—</w:t>
                  </w:r>
                  <w:r w:rsidRPr="006503F3">
                    <w:rPr>
                      <w:sz w:val="20"/>
                    </w:rPr>
                    <w:t xml:space="preserve">The DRRS amount awarded to QSE </w:t>
                  </w:r>
                  <w:r w:rsidRPr="006503F3">
                    <w:rPr>
                      <w:i/>
                      <w:sz w:val="20"/>
                    </w:rPr>
                    <w:t>q</w:t>
                  </w:r>
                  <w:r w:rsidRPr="006503F3">
                    <w:rPr>
                      <w:sz w:val="20"/>
                    </w:rPr>
                    <w:t xml:space="preserve"> for Resource </w:t>
                  </w:r>
                  <w:r w:rsidRPr="006503F3">
                    <w:rPr>
                      <w:i/>
                      <w:sz w:val="20"/>
                    </w:rPr>
                    <w:t>r</w:t>
                  </w:r>
                  <w:r w:rsidRPr="006503F3">
                    <w:rPr>
                      <w:sz w:val="20"/>
                    </w:rPr>
                    <w:t xml:space="preserve"> in Real-Time for the SCED interval </w:t>
                  </w:r>
                  <w:r w:rsidRPr="006503F3">
                    <w:rPr>
                      <w:i/>
                      <w:sz w:val="20"/>
                    </w:rPr>
                    <w:t>y.</w:t>
                  </w:r>
                  <w:r w:rsidRPr="006503F3">
                    <w:rPr>
                      <w:sz w:val="20"/>
                    </w:rPr>
                    <w:t xml:space="preserve">  Where for a Combined Cycle Train, the Resource </w:t>
                  </w:r>
                  <w:r w:rsidRPr="006503F3">
                    <w:rPr>
                      <w:i/>
                      <w:sz w:val="20"/>
                    </w:rPr>
                    <w:t>r</w:t>
                  </w:r>
                  <w:r w:rsidRPr="006503F3">
                    <w:rPr>
                      <w:sz w:val="20"/>
                    </w:rPr>
                    <w:t xml:space="preserve"> is the Combined Cycle Train.</w:t>
                  </w:r>
                </w:p>
              </w:tc>
            </w:tr>
            <w:tr w:rsidR="006503F3" w:rsidRPr="006503F3" w14:paraId="3D94FD03"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26CFEF48" w14:textId="77777777" w:rsidR="006503F3" w:rsidRPr="006503F3" w:rsidRDefault="006503F3" w:rsidP="006503F3">
                  <w:pPr>
                    <w:spacing w:after="60"/>
                    <w:rPr>
                      <w:sz w:val="20"/>
                    </w:rPr>
                  </w:pPr>
                  <w:r w:rsidRPr="006503F3">
                    <w:rPr>
                      <w:sz w:val="20"/>
                    </w:rPr>
                    <w:t xml:space="preserve">RTMCPCDRRR </w:t>
                  </w:r>
                  <w:r w:rsidRPr="006503F3">
                    <w:rPr>
                      <w:i/>
                      <w:sz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121B5C53"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3EB19459" w14:textId="77777777" w:rsidR="006503F3" w:rsidRPr="006503F3" w:rsidRDefault="006503F3" w:rsidP="006503F3">
                  <w:pPr>
                    <w:spacing w:after="60"/>
                    <w:rPr>
                      <w:iCs/>
                      <w:sz w:val="20"/>
                    </w:rPr>
                  </w:pPr>
                  <w:r w:rsidRPr="006503F3">
                    <w:rPr>
                      <w:i/>
                      <w:sz w:val="20"/>
                    </w:rPr>
                    <w:t>Real-Time Market Clearing Price for Capacity for Dispatchable Reliability Reserve Service per Resource per QSE</w:t>
                  </w:r>
                  <w:r w:rsidRPr="006503F3">
                    <w:rPr>
                      <w:rFonts w:ascii="Symbol" w:eastAsia="Symbol" w:hAnsi="Symbol" w:cs="Symbol"/>
                      <w:sz w:val="20"/>
                    </w:rPr>
                    <w:t>¾</w:t>
                  </w:r>
                  <w:r w:rsidRPr="006503F3">
                    <w:rPr>
                      <w:sz w:val="20"/>
                    </w:rPr>
                    <w:t xml:space="preserve">The Real-Time MCPC for DRRS for Resource </w:t>
                  </w:r>
                  <w:r w:rsidRPr="006503F3">
                    <w:rPr>
                      <w:i/>
                      <w:sz w:val="20"/>
                    </w:rPr>
                    <w:t>r</w:t>
                  </w:r>
                  <w:r w:rsidRPr="006503F3">
                    <w:rPr>
                      <w:sz w:val="20"/>
                    </w:rPr>
                    <w:t xml:space="preserve">, represented by QSE </w:t>
                  </w:r>
                  <w:r w:rsidRPr="006503F3">
                    <w:rPr>
                      <w:i/>
                      <w:sz w:val="20"/>
                    </w:rPr>
                    <w:t xml:space="preserve">q </w:t>
                  </w:r>
                  <w:r w:rsidRPr="006503F3">
                    <w:rPr>
                      <w:sz w:val="20"/>
                    </w:rPr>
                    <w:t xml:space="preserve">for the 15-minute Settlement Interval.  Where for a Combined Cycle Train, the Resource </w:t>
                  </w:r>
                  <w:r w:rsidRPr="006503F3">
                    <w:rPr>
                      <w:i/>
                      <w:sz w:val="20"/>
                    </w:rPr>
                    <w:t>r</w:t>
                  </w:r>
                  <w:r w:rsidRPr="006503F3">
                    <w:rPr>
                      <w:sz w:val="20"/>
                    </w:rPr>
                    <w:t xml:space="preserve"> is the Combined Cycle Train.</w:t>
                  </w:r>
                </w:p>
              </w:tc>
            </w:tr>
            <w:tr w:rsidR="006503F3" w:rsidRPr="006503F3" w14:paraId="1ED0A02A"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17BB3E66" w14:textId="77777777" w:rsidR="006503F3" w:rsidRPr="006503F3" w:rsidRDefault="006503F3" w:rsidP="006503F3">
                  <w:pPr>
                    <w:spacing w:after="60"/>
                    <w:rPr>
                      <w:sz w:val="20"/>
                    </w:rPr>
                  </w:pPr>
                  <w:r w:rsidRPr="006503F3">
                    <w:rPr>
                      <w:sz w:val="20"/>
                    </w:rPr>
                    <w:t>RTMCPCDRRS</w:t>
                  </w:r>
                  <w:r w:rsidRPr="006503F3">
                    <w:rPr>
                      <w:i/>
                      <w:sz w:val="20"/>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05558E86"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3E495863" w14:textId="77777777" w:rsidR="006503F3" w:rsidRPr="006503F3" w:rsidRDefault="006503F3" w:rsidP="006503F3">
                  <w:pPr>
                    <w:spacing w:after="60"/>
                    <w:rPr>
                      <w:i/>
                      <w:sz w:val="20"/>
                    </w:rPr>
                  </w:pPr>
                  <w:r w:rsidRPr="006503F3">
                    <w:rPr>
                      <w:i/>
                      <w:sz w:val="20"/>
                    </w:rPr>
                    <w:t>Real-Time Market Clearing Price</w:t>
                  </w:r>
                  <w:r w:rsidRPr="006503F3">
                    <w:rPr>
                      <w:bCs/>
                      <w:i/>
                      <w:sz w:val="20"/>
                      <w:lang w:val="pt-BR"/>
                    </w:rPr>
                    <w:t xml:space="preserve"> for Capacity</w:t>
                  </w:r>
                  <w:r w:rsidRPr="006503F3">
                    <w:rPr>
                      <w:i/>
                      <w:sz w:val="20"/>
                    </w:rPr>
                    <w:t xml:space="preserve"> for Dispatchable Reliability Reserve Service per SCED Interval</w:t>
                  </w:r>
                  <w:r w:rsidRPr="006503F3">
                    <w:rPr>
                      <w:sz w:val="20"/>
                    </w:rPr>
                    <w:t xml:space="preserve">—The Real-Time MCPC for DRRS for the SCED interval </w:t>
                  </w:r>
                  <w:r w:rsidRPr="006503F3">
                    <w:rPr>
                      <w:i/>
                      <w:sz w:val="20"/>
                    </w:rPr>
                    <w:t>y.</w:t>
                  </w:r>
                </w:p>
              </w:tc>
            </w:tr>
            <w:tr w:rsidR="006503F3" w:rsidRPr="006503F3" w14:paraId="48DB603D"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449D28B3" w14:textId="77777777" w:rsidR="006503F3" w:rsidRPr="006503F3" w:rsidRDefault="006503F3" w:rsidP="006503F3">
                  <w:pPr>
                    <w:spacing w:after="60"/>
                    <w:rPr>
                      <w:sz w:val="20"/>
                    </w:rPr>
                  </w:pPr>
                  <w:r w:rsidRPr="006503F3">
                    <w:rPr>
                      <w:iCs/>
                      <w:sz w:val="20"/>
                    </w:rPr>
                    <w:t xml:space="preserve">PCDRRR </w:t>
                  </w:r>
                  <w:r w:rsidRPr="006503F3">
                    <w:rPr>
                      <w:i/>
                      <w:iCs/>
                      <w:sz w:val="20"/>
                      <w:vertAlign w:val="subscript"/>
                    </w:rPr>
                    <w:t>r,</w:t>
                  </w:r>
                  <w:r w:rsidRPr="006503F3">
                    <w:rPr>
                      <w:i/>
                      <w:iCs/>
                      <w:sz w:val="20"/>
                    </w:rPr>
                    <w:t xml:space="preserve"> </w:t>
                  </w:r>
                  <w:r w:rsidRPr="006503F3">
                    <w:rPr>
                      <w:i/>
                      <w:iCs/>
                      <w:sz w:val="20"/>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5C2F32C4"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19BB7DF2" w14:textId="77777777" w:rsidR="006503F3" w:rsidRPr="006503F3" w:rsidRDefault="006503F3" w:rsidP="006503F3">
                  <w:pPr>
                    <w:spacing w:after="60"/>
                    <w:rPr>
                      <w:i/>
                      <w:sz w:val="20"/>
                    </w:rPr>
                  </w:pPr>
                  <w:r w:rsidRPr="006503F3">
                    <w:rPr>
                      <w:i/>
                      <w:iCs/>
                      <w:sz w:val="20"/>
                    </w:rPr>
                    <w:t xml:space="preserve">Procured Capacity for </w:t>
                  </w:r>
                  <w:r w:rsidRPr="006503F3">
                    <w:rPr>
                      <w:i/>
                      <w:sz w:val="20"/>
                    </w:rPr>
                    <w:t>Dispatchable Reliability</w:t>
                  </w:r>
                  <w:r w:rsidRPr="006503F3">
                    <w:rPr>
                      <w:i/>
                      <w:iCs/>
                      <w:sz w:val="20"/>
                    </w:rPr>
                    <w:t xml:space="preserve"> Reserve Service per Resource per QSE in DAM</w:t>
                  </w:r>
                  <w:r w:rsidRPr="006503F3">
                    <w:rPr>
                      <w:iCs/>
                      <w:sz w:val="20"/>
                    </w:rPr>
                    <w:t xml:space="preserve">—The DRRS capacity awarded to QSE </w:t>
                  </w:r>
                  <w:r w:rsidRPr="006503F3">
                    <w:rPr>
                      <w:i/>
                      <w:iCs/>
                      <w:sz w:val="20"/>
                    </w:rPr>
                    <w:t>q</w:t>
                  </w:r>
                  <w:r w:rsidRPr="006503F3">
                    <w:rPr>
                      <w:iCs/>
                      <w:sz w:val="20"/>
                    </w:rPr>
                    <w:t xml:space="preserve"> in the DAM for Resource </w:t>
                  </w:r>
                  <w:r w:rsidRPr="006503F3">
                    <w:rPr>
                      <w:i/>
                      <w:iCs/>
                      <w:sz w:val="20"/>
                    </w:rPr>
                    <w:t>r</w:t>
                  </w:r>
                  <w:r w:rsidRPr="006503F3">
                    <w:rPr>
                      <w:iCs/>
                      <w:sz w:val="20"/>
                    </w:rPr>
                    <w:t xml:space="preserve"> for the </w:t>
                  </w:r>
                  <w:r w:rsidRPr="006503F3">
                    <w:rPr>
                      <w:sz w:val="20"/>
                      <w:szCs w:val="18"/>
                    </w:rPr>
                    <w:t>Operating Hour</w:t>
                  </w:r>
                  <w:r w:rsidRPr="006503F3">
                    <w:rPr>
                      <w:iCs/>
                      <w:sz w:val="20"/>
                    </w:rPr>
                    <w:t xml:space="preserve">.  Where for a Combined Cycle Train, the Resource </w:t>
                  </w:r>
                  <w:r w:rsidRPr="006503F3">
                    <w:rPr>
                      <w:i/>
                      <w:iCs/>
                      <w:sz w:val="20"/>
                    </w:rPr>
                    <w:t xml:space="preserve">r </w:t>
                  </w:r>
                  <w:r w:rsidRPr="006503F3">
                    <w:rPr>
                      <w:iCs/>
                      <w:sz w:val="20"/>
                    </w:rPr>
                    <w:t>is a Combined Cycle Generation Resource within the Combined Cycle Train.</w:t>
                  </w:r>
                </w:p>
              </w:tc>
            </w:tr>
            <w:tr w:rsidR="006503F3" w:rsidRPr="006503F3" w14:paraId="70748D9A"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2307EE43" w14:textId="77777777" w:rsidR="006503F3" w:rsidRPr="006503F3" w:rsidRDefault="006503F3" w:rsidP="006503F3">
                  <w:pPr>
                    <w:spacing w:after="60"/>
                    <w:rPr>
                      <w:sz w:val="20"/>
                    </w:rPr>
                  </w:pPr>
                  <w:r w:rsidRPr="006503F3">
                    <w:rPr>
                      <w:sz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024C3B9D"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41979D26" w14:textId="77777777" w:rsidR="006503F3" w:rsidRPr="006503F3" w:rsidRDefault="006503F3" w:rsidP="006503F3">
                  <w:pPr>
                    <w:spacing w:after="60"/>
                    <w:rPr>
                      <w:i/>
                      <w:sz w:val="20"/>
                    </w:rPr>
                  </w:pPr>
                  <w:r w:rsidRPr="006503F3">
                    <w:rPr>
                      <w:i/>
                      <w:sz w:val="20"/>
                    </w:rPr>
                    <w:t>Real-Time Market Clearing Price for Capacity for Dispatchable Reliability Reserve Service</w:t>
                  </w:r>
                  <w:r w:rsidRPr="006503F3">
                    <w:rPr>
                      <w:sz w:val="20"/>
                    </w:rPr>
                    <w:t>—The Real-Time MCPC for DRRS for the 15-minute Settlement Interval.</w:t>
                  </w:r>
                </w:p>
              </w:tc>
            </w:tr>
            <w:tr w:rsidR="006503F3" w:rsidRPr="006503F3" w14:paraId="2A2B8FDC"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426932C6" w14:textId="77777777" w:rsidR="006503F3" w:rsidRPr="006503F3" w:rsidRDefault="006503F3" w:rsidP="006503F3">
                  <w:pPr>
                    <w:spacing w:after="60"/>
                    <w:rPr>
                      <w:sz w:val="20"/>
                    </w:rPr>
                  </w:pPr>
                  <w:r w:rsidRPr="006503F3">
                    <w:rPr>
                      <w:sz w:val="20"/>
                    </w:rPr>
                    <w:t xml:space="preserve">RTRDPADRRS </w:t>
                  </w:r>
                  <w:r w:rsidRPr="006503F3">
                    <w:rPr>
                      <w:i/>
                      <w:sz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58CDAA13"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65027411" w14:textId="77777777" w:rsidR="006503F3" w:rsidRPr="006503F3" w:rsidRDefault="006503F3" w:rsidP="006503F3">
                  <w:pPr>
                    <w:spacing w:after="60"/>
                    <w:rPr>
                      <w:i/>
                      <w:sz w:val="20"/>
                    </w:rPr>
                  </w:pPr>
                  <w:r w:rsidRPr="006503F3">
                    <w:rPr>
                      <w:i/>
                      <w:sz w:val="20"/>
                    </w:rPr>
                    <w:t>Real-Time Reliability Deployment Price Adder for Ancillary Service for Dispatchable Reliability Reserve Service per SCED interval</w:t>
                  </w:r>
                  <w:r w:rsidRPr="006503F3">
                    <w:rPr>
                      <w:iCs/>
                      <w:sz w:val="20"/>
                    </w:rPr>
                    <w:t>—</w:t>
                  </w:r>
                  <w:r w:rsidRPr="006503F3">
                    <w:rPr>
                      <w:sz w:val="20"/>
                    </w:rPr>
                    <w:t xml:space="preserve">The Real-Time price adder for DRRS that captures the impact of reliability deployments on DRRS prices for the SCED interval </w:t>
                  </w:r>
                  <w:r w:rsidRPr="006503F3">
                    <w:rPr>
                      <w:i/>
                      <w:sz w:val="20"/>
                    </w:rPr>
                    <w:t>y</w:t>
                  </w:r>
                  <w:r w:rsidRPr="006503F3">
                    <w:rPr>
                      <w:sz w:val="20"/>
                    </w:rPr>
                    <w:t xml:space="preserve">. </w:t>
                  </w:r>
                </w:p>
              </w:tc>
            </w:tr>
            <w:tr w:rsidR="006503F3" w:rsidRPr="006503F3" w14:paraId="39E936BF"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643AC309" w14:textId="77777777" w:rsidR="006503F3" w:rsidRPr="006503F3" w:rsidRDefault="006503F3" w:rsidP="006503F3">
                  <w:pPr>
                    <w:spacing w:after="60"/>
                    <w:rPr>
                      <w:sz w:val="20"/>
                    </w:rPr>
                  </w:pPr>
                  <w:r w:rsidRPr="006503F3">
                    <w:rPr>
                      <w:sz w:val="20"/>
                    </w:rPr>
                    <w:t>DASADRRQ</w:t>
                  </w:r>
                  <w:r w:rsidRPr="006503F3">
                    <w:rPr>
                      <w:i/>
                      <w:sz w:val="20"/>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3D59217D"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1F667D7F" w14:textId="77777777" w:rsidR="006503F3" w:rsidRPr="006503F3" w:rsidRDefault="006503F3" w:rsidP="006503F3">
                  <w:pPr>
                    <w:spacing w:after="60"/>
                    <w:rPr>
                      <w:i/>
                      <w:sz w:val="20"/>
                    </w:rPr>
                  </w:pPr>
                  <w:r w:rsidRPr="006503F3">
                    <w:rPr>
                      <w:i/>
                      <w:iCs/>
                      <w:sz w:val="20"/>
                    </w:rPr>
                    <w:t xml:space="preserve">Day-Ahead Self-Arranged </w:t>
                  </w:r>
                  <w:r w:rsidRPr="006503F3">
                    <w:rPr>
                      <w:i/>
                      <w:sz w:val="20"/>
                    </w:rPr>
                    <w:t>Dispatchable Reliability</w:t>
                  </w:r>
                  <w:r w:rsidRPr="006503F3">
                    <w:rPr>
                      <w:i/>
                      <w:iCs/>
                      <w:sz w:val="20"/>
                    </w:rPr>
                    <w:t xml:space="preserve"> Reserve Service Quantity per QSE</w:t>
                  </w:r>
                  <w:r w:rsidRPr="006503F3">
                    <w:rPr>
                      <w:iCs/>
                      <w:sz w:val="20"/>
                    </w:rPr>
                    <w:t xml:space="preserve">—The self-arranged DRRS quantity submitted by QSE </w:t>
                  </w:r>
                  <w:r w:rsidRPr="006503F3">
                    <w:rPr>
                      <w:i/>
                      <w:iCs/>
                      <w:sz w:val="20"/>
                    </w:rPr>
                    <w:t>q</w:t>
                  </w:r>
                  <w:r w:rsidRPr="006503F3">
                    <w:rPr>
                      <w:iCs/>
                      <w:sz w:val="20"/>
                    </w:rPr>
                    <w:t xml:space="preserve"> before 1000 in the DAM for the Operating Hour.</w:t>
                  </w:r>
                </w:p>
              </w:tc>
            </w:tr>
            <w:tr w:rsidR="006503F3" w:rsidRPr="006503F3" w14:paraId="1391F52C"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42E60D69" w14:textId="77777777" w:rsidR="006503F3" w:rsidRPr="006503F3" w:rsidRDefault="006503F3" w:rsidP="006503F3">
                  <w:pPr>
                    <w:spacing w:after="60"/>
                    <w:rPr>
                      <w:sz w:val="20"/>
                    </w:rPr>
                  </w:pPr>
                  <w:r w:rsidRPr="006503F3">
                    <w:rPr>
                      <w:sz w:val="20"/>
                    </w:rPr>
                    <w:t xml:space="preserve">DRRTP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E9D4EB0"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43E06BBC" w14:textId="77777777" w:rsidR="006503F3" w:rsidRPr="006503F3" w:rsidRDefault="006503F3" w:rsidP="006503F3">
                  <w:pPr>
                    <w:spacing w:after="60"/>
                    <w:rPr>
                      <w:i/>
                      <w:sz w:val="20"/>
                    </w:rPr>
                  </w:pPr>
                  <w:r w:rsidRPr="006503F3">
                    <w:rPr>
                      <w:i/>
                      <w:sz w:val="20"/>
                    </w:rPr>
                    <w:t>Trade Purchases for Dispatchable Reliability Reserve Service for the QSE—</w:t>
                  </w:r>
                  <w:r w:rsidRPr="006503F3">
                    <w:rPr>
                      <w:sz w:val="20"/>
                    </w:rPr>
                    <w:t xml:space="preserve">The trade purchases for QSE </w:t>
                  </w:r>
                  <w:r w:rsidRPr="006503F3">
                    <w:rPr>
                      <w:i/>
                      <w:sz w:val="20"/>
                    </w:rPr>
                    <w:t>q</w:t>
                  </w:r>
                  <w:r w:rsidRPr="006503F3">
                    <w:rPr>
                      <w:sz w:val="20"/>
                    </w:rPr>
                    <w:t xml:space="preserve"> for DRRS for the </w:t>
                  </w:r>
                  <w:r w:rsidRPr="006503F3">
                    <w:rPr>
                      <w:sz w:val="20"/>
                      <w:szCs w:val="18"/>
                    </w:rPr>
                    <w:t>Operating Hour</w:t>
                  </w:r>
                  <w:r w:rsidRPr="006503F3">
                    <w:rPr>
                      <w:sz w:val="20"/>
                    </w:rPr>
                    <w:t>.</w:t>
                  </w:r>
                </w:p>
              </w:tc>
            </w:tr>
            <w:tr w:rsidR="006503F3" w:rsidRPr="006503F3" w14:paraId="55F57E3C"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617765B6" w14:textId="77777777" w:rsidR="006503F3" w:rsidRPr="006503F3" w:rsidRDefault="006503F3" w:rsidP="006503F3">
                  <w:pPr>
                    <w:spacing w:after="60"/>
                    <w:rPr>
                      <w:sz w:val="20"/>
                    </w:rPr>
                  </w:pPr>
                  <w:r w:rsidRPr="006503F3">
                    <w:rPr>
                      <w:sz w:val="20"/>
                    </w:rPr>
                    <w:t xml:space="preserve">DRRTS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3C85D0F5"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74AE18AC" w14:textId="77777777" w:rsidR="006503F3" w:rsidRPr="006503F3" w:rsidRDefault="006503F3" w:rsidP="006503F3">
                  <w:pPr>
                    <w:spacing w:after="60"/>
                    <w:rPr>
                      <w:i/>
                      <w:sz w:val="20"/>
                    </w:rPr>
                  </w:pPr>
                  <w:r w:rsidRPr="006503F3">
                    <w:rPr>
                      <w:i/>
                      <w:sz w:val="20"/>
                    </w:rPr>
                    <w:t>Trade Sales for Dispatchable Reliability Reserve Service for the QSE—</w:t>
                  </w:r>
                  <w:r w:rsidRPr="006503F3">
                    <w:rPr>
                      <w:sz w:val="20"/>
                    </w:rPr>
                    <w:t xml:space="preserve">The trade sales for QSE </w:t>
                  </w:r>
                  <w:r w:rsidRPr="006503F3">
                    <w:rPr>
                      <w:i/>
                      <w:sz w:val="20"/>
                    </w:rPr>
                    <w:t>q</w:t>
                  </w:r>
                  <w:r w:rsidRPr="006503F3">
                    <w:rPr>
                      <w:sz w:val="20"/>
                    </w:rPr>
                    <w:t xml:space="preserve"> for DRRS for the </w:t>
                  </w:r>
                  <w:r w:rsidRPr="006503F3">
                    <w:rPr>
                      <w:sz w:val="20"/>
                      <w:szCs w:val="18"/>
                    </w:rPr>
                    <w:t>Operating Hour</w:t>
                  </w:r>
                  <w:r w:rsidRPr="006503F3">
                    <w:rPr>
                      <w:sz w:val="20"/>
                    </w:rPr>
                    <w:t>.</w:t>
                  </w:r>
                </w:p>
              </w:tc>
            </w:tr>
            <w:tr w:rsidR="006503F3" w:rsidRPr="006503F3" w14:paraId="1D40D074"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45F8B876" w14:textId="77777777" w:rsidR="006503F3" w:rsidRPr="006503F3" w:rsidRDefault="006503F3" w:rsidP="006503F3">
                  <w:pPr>
                    <w:spacing w:after="60"/>
                    <w:rPr>
                      <w:sz w:val="20"/>
                    </w:rPr>
                  </w:pPr>
                  <w:r w:rsidRPr="006503F3">
                    <w:rPr>
                      <w:sz w:val="20"/>
                    </w:rPr>
                    <w:t xml:space="preserve">TLMP </w:t>
                  </w:r>
                  <w:r w:rsidRPr="006503F3">
                    <w:rPr>
                      <w:i/>
                      <w:sz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71C95996" w14:textId="77777777" w:rsidR="006503F3" w:rsidRPr="006503F3" w:rsidRDefault="006503F3" w:rsidP="006503F3">
                  <w:pPr>
                    <w:spacing w:after="60"/>
                    <w:rPr>
                      <w:sz w:val="20"/>
                    </w:rPr>
                  </w:pPr>
                  <w:r w:rsidRPr="006503F3">
                    <w:rPr>
                      <w:sz w:val="20"/>
                    </w:rPr>
                    <w:t>second</w:t>
                  </w:r>
                </w:p>
              </w:tc>
              <w:tc>
                <w:tcPr>
                  <w:tcW w:w="3098" w:type="pct"/>
                  <w:tcBorders>
                    <w:top w:val="single" w:sz="4" w:space="0" w:color="auto"/>
                    <w:left w:val="single" w:sz="4" w:space="0" w:color="auto"/>
                    <w:bottom w:val="single" w:sz="4" w:space="0" w:color="auto"/>
                    <w:right w:val="single" w:sz="4" w:space="0" w:color="auto"/>
                  </w:tcBorders>
                  <w:hideMark/>
                </w:tcPr>
                <w:p w14:paraId="547EBDB6" w14:textId="77777777" w:rsidR="006503F3" w:rsidRPr="006503F3" w:rsidRDefault="006503F3" w:rsidP="006503F3">
                  <w:pPr>
                    <w:spacing w:after="60"/>
                    <w:rPr>
                      <w:i/>
                      <w:sz w:val="20"/>
                    </w:rPr>
                  </w:pPr>
                  <w:r w:rsidRPr="006503F3">
                    <w:rPr>
                      <w:i/>
                      <w:iCs/>
                      <w:sz w:val="20"/>
                    </w:rPr>
                    <w:t xml:space="preserve">Duration of </w:t>
                  </w:r>
                  <w:r w:rsidRPr="006503F3">
                    <w:rPr>
                      <w:i/>
                      <w:sz w:val="20"/>
                    </w:rPr>
                    <w:t>SCED</w:t>
                  </w:r>
                  <w:r w:rsidRPr="006503F3">
                    <w:rPr>
                      <w:i/>
                      <w:iCs/>
                      <w:sz w:val="20"/>
                    </w:rPr>
                    <w:t xml:space="preserve"> interval per interval</w:t>
                  </w:r>
                  <w:r w:rsidRPr="006503F3">
                    <w:rPr>
                      <w:iCs/>
                      <w:sz w:val="20"/>
                    </w:rPr>
                    <w:t>—</w:t>
                  </w:r>
                  <w:r w:rsidRPr="006503F3">
                    <w:rPr>
                      <w:sz w:val="20"/>
                    </w:rPr>
                    <w:t xml:space="preserve">The duration of the SCED interval </w:t>
                  </w:r>
                  <w:r w:rsidRPr="006503F3">
                    <w:rPr>
                      <w:i/>
                      <w:iCs/>
                      <w:sz w:val="20"/>
                    </w:rPr>
                    <w:t>y</w:t>
                  </w:r>
                  <w:r w:rsidRPr="006503F3">
                    <w:rPr>
                      <w:sz w:val="20"/>
                    </w:rPr>
                    <w:t>.</w:t>
                  </w:r>
                </w:p>
              </w:tc>
            </w:tr>
            <w:tr w:rsidR="006503F3" w:rsidRPr="006503F3" w14:paraId="3B07129E"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5A89A3BE" w14:textId="77777777" w:rsidR="006503F3" w:rsidRPr="006503F3" w:rsidRDefault="006503F3" w:rsidP="006503F3">
                  <w:pPr>
                    <w:spacing w:after="60"/>
                    <w:rPr>
                      <w:sz w:val="20"/>
                    </w:rPr>
                  </w:pPr>
                  <w:r w:rsidRPr="006503F3">
                    <w:rPr>
                      <w:sz w:val="20"/>
                    </w:rPr>
                    <w:lastRenderedPageBreak/>
                    <w:t xml:space="preserve">RNWF </w:t>
                  </w:r>
                  <w:r w:rsidRPr="006503F3">
                    <w:rPr>
                      <w:i/>
                      <w:sz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6D5B934D"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6D2EE4A9" w14:textId="77777777" w:rsidR="006503F3" w:rsidRPr="006503F3" w:rsidRDefault="006503F3" w:rsidP="006503F3">
                  <w:pPr>
                    <w:spacing w:after="60"/>
                    <w:rPr>
                      <w:i/>
                      <w:sz w:val="20"/>
                    </w:rPr>
                  </w:pPr>
                  <w:r w:rsidRPr="006503F3">
                    <w:rPr>
                      <w:i/>
                      <w:sz w:val="20"/>
                    </w:rPr>
                    <w:t>Resource Node Weighting Factor per interval</w:t>
                  </w:r>
                  <w:r w:rsidRPr="006503F3">
                    <w:rPr>
                      <w:iCs/>
                      <w:sz w:val="20"/>
                    </w:rPr>
                    <w:t>—</w:t>
                  </w:r>
                  <w:r w:rsidRPr="006503F3">
                    <w:rPr>
                      <w:sz w:val="20"/>
                    </w:rPr>
                    <w:t xml:space="preserve">The weight used in the Ancillary Service award calculation for the portion of the SCED interval </w:t>
                  </w:r>
                  <w:r w:rsidRPr="006503F3">
                    <w:rPr>
                      <w:i/>
                      <w:sz w:val="20"/>
                    </w:rPr>
                    <w:t>y</w:t>
                  </w:r>
                  <w:r w:rsidRPr="006503F3">
                    <w:rPr>
                      <w:sz w:val="20"/>
                    </w:rPr>
                    <w:t xml:space="preserve"> within the Settlement Interval.</w:t>
                  </w:r>
                </w:p>
              </w:tc>
            </w:tr>
            <w:tr w:rsidR="006503F3" w:rsidRPr="006503F3" w14:paraId="0D1AF27F"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19620E8B" w14:textId="77777777" w:rsidR="006503F3" w:rsidRPr="006503F3" w:rsidRDefault="006503F3" w:rsidP="006503F3">
                  <w:pPr>
                    <w:spacing w:after="60"/>
                    <w:rPr>
                      <w:sz w:val="20"/>
                    </w:rPr>
                  </w:pPr>
                  <w:r w:rsidRPr="006503F3">
                    <w:rPr>
                      <w:sz w:val="20"/>
                    </w:rPr>
                    <w:t xml:space="preserve">DRRRWF </w:t>
                  </w:r>
                  <w:r w:rsidRPr="006503F3">
                    <w:rPr>
                      <w:i/>
                      <w:sz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61D4A77C"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362A3AB5" w14:textId="77777777" w:rsidR="006503F3" w:rsidRPr="006503F3" w:rsidRDefault="006503F3" w:rsidP="006503F3">
                  <w:pPr>
                    <w:spacing w:after="60"/>
                    <w:rPr>
                      <w:i/>
                      <w:sz w:val="20"/>
                    </w:rPr>
                  </w:pPr>
                  <w:r w:rsidRPr="006503F3">
                    <w:rPr>
                      <w:i/>
                      <w:sz w:val="20"/>
                    </w:rPr>
                    <w:t>Dispatchable Reliability Reserve Service Resource Node Weighting Factor per interval</w:t>
                  </w:r>
                  <w:r w:rsidRPr="006503F3">
                    <w:rPr>
                      <w:iCs/>
                      <w:sz w:val="20"/>
                    </w:rPr>
                    <w:t>—</w:t>
                  </w:r>
                  <w:r w:rsidRPr="006503F3">
                    <w:rPr>
                      <w:sz w:val="20"/>
                    </w:rPr>
                    <w:t xml:space="preserve">The DRRS Resource weight, based on DRRS awards, used in the Real-Time MCPC calculation for the portion of the SCED interval </w:t>
                  </w:r>
                  <w:r w:rsidRPr="006503F3">
                    <w:rPr>
                      <w:i/>
                      <w:sz w:val="20"/>
                    </w:rPr>
                    <w:t>y</w:t>
                  </w:r>
                  <w:r w:rsidRPr="006503F3">
                    <w:rPr>
                      <w:sz w:val="20"/>
                    </w:rPr>
                    <w:t xml:space="preserve"> within the Settlement Interval. </w:t>
                  </w:r>
                  <w:r w:rsidRPr="006503F3">
                    <w:rPr>
                      <w:i/>
                      <w:sz w:val="20"/>
                    </w:rPr>
                    <w:t xml:space="preserve"> </w:t>
                  </w:r>
                  <w:r w:rsidRPr="006503F3">
                    <w:rPr>
                      <w:sz w:val="20"/>
                    </w:rPr>
                    <w:t xml:space="preserve">Where for a Combined Cycle Train, the Resource </w:t>
                  </w:r>
                  <w:r w:rsidRPr="006503F3">
                    <w:rPr>
                      <w:i/>
                      <w:sz w:val="20"/>
                    </w:rPr>
                    <w:t xml:space="preserve">r </w:t>
                  </w:r>
                  <w:r w:rsidRPr="006503F3">
                    <w:rPr>
                      <w:sz w:val="20"/>
                    </w:rPr>
                    <w:t xml:space="preserve">is a Combined Cycle Generation Resource within the Combined Cycle Train.   </w:t>
                  </w:r>
                </w:p>
              </w:tc>
            </w:tr>
            <w:tr w:rsidR="006503F3" w:rsidRPr="006503F3" w14:paraId="0799192F"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5DD5A337" w14:textId="77777777" w:rsidR="006503F3" w:rsidRPr="006503F3" w:rsidRDefault="006503F3" w:rsidP="006503F3">
                  <w:pPr>
                    <w:spacing w:after="60"/>
                    <w:rPr>
                      <w:sz w:val="20"/>
                    </w:rPr>
                  </w:pPr>
                  <w:r w:rsidRPr="006503F3">
                    <w:rPr>
                      <w:i/>
                      <w:sz w:val="20"/>
                    </w:rPr>
                    <w:t>r</w:t>
                  </w:r>
                </w:p>
              </w:tc>
              <w:tc>
                <w:tcPr>
                  <w:tcW w:w="623" w:type="pct"/>
                  <w:tcBorders>
                    <w:top w:val="single" w:sz="4" w:space="0" w:color="auto"/>
                    <w:left w:val="single" w:sz="4" w:space="0" w:color="auto"/>
                    <w:bottom w:val="single" w:sz="4" w:space="0" w:color="auto"/>
                    <w:right w:val="single" w:sz="4" w:space="0" w:color="auto"/>
                  </w:tcBorders>
                  <w:hideMark/>
                </w:tcPr>
                <w:p w14:paraId="67E34DD8"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162E41A5" w14:textId="77777777" w:rsidR="006503F3" w:rsidRPr="006503F3" w:rsidRDefault="006503F3" w:rsidP="006503F3">
                  <w:pPr>
                    <w:spacing w:after="60"/>
                    <w:rPr>
                      <w:i/>
                      <w:sz w:val="20"/>
                    </w:rPr>
                  </w:pPr>
                  <w:r w:rsidRPr="006503F3">
                    <w:rPr>
                      <w:sz w:val="20"/>
                    </w:rPr>
                    <w:t>A Resource.</w:t>
                  </w:r>
                </w:p>
              </w:tc>
            </w:tr>
            <w:tr w:rsidR="006503F3" w:rsidRPr="006503F3" w14:paraId="0C1C98C0"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1767C312" w14:textId="77777777" w:rsidR="006503F3" w:rsidRPr="006503F3" w:rsidRDefault="006503F3" w:rsidP="006503F3">
                  <w:pPr>
                    <w:spacing w:after="60"/>
                    <w:rPr>
                      <w:i/>
                      <w:sz w:val="20"/>
                    </w:rPr>
                  </w:pPr>
                  <w:r w:rsidRPr="006503F3">
                    <w:rPr>
                      <w:i/>
                      <w:sz w:val="20"/>
                    </w:rPr>
                    <w:t>q</w:t>
                  </w:r>
                </w:p>
              </w:tc>
              <w:tc>
                <w:tcPr>
                  <w:tcW w:w="623" w:type="pct"/>
                  <w:tcBorders>
                    <w:top w:val="single" w:sz="4" w:space="0" w:color="auto"/>
                    <w:left w:val="single" w:sz="4" w:space="0" w:color="auto"/>
                    <w:bottom w:val="single" w:sz="4" w:space="0" w:color="auto"/>
                    <w:right w:val="single" w:sz="4" w:space="0" w:color="auto"/>
                  </w:tcBorders>
                  <w:hideMark/>
                </w:tcPr>
                <w:p w14:paraId="02B3365A"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3038BFA3" w14:textId="77777777" w:rsidR="006503F3" w:rsidRPr="006503F3" w:rsidRDefault="006503F3" w:rsidP="006503F3">
                  <w:pPr>
                    <w:spacing w:after="60"/>
                    <w:rPr>
                      <w:sz w:val="20"/>
                    </w:rPr>
                  </w:pPr>
                  <w:r w:rsidRPr="006503F3">
                    <w:rPr>
                      <w:sz w:val="20"/>
                    </w:rPr>
                    <w:t>A QSE.</w:t>
                  </w:r>
                </w:p>
              </w:tc>
            </w:tr>
            <w:tr w:rsidR="006503F3" w:rsidRPr="006503F3" w14:paraId="1E489E24"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401CC1A3" w14:textId="77777777" w:rsidR="006503F3" w:rsidRPr="006503F3" w:rsidRDefault="006503F3" w:rsidP="006503F3">
                  <w:pPr>
                    <w:spacing w:after="60"/>
                    <w:rPr>
                      <w:i/>
                      <w:sz w:val="20"/>
                    </w:rPr>
                  </w:pPr>
                  <w:r w:rsidRPr="006503F3">
                    <w:rPr>
                      <w:i/>
                      <w:sz w:val="20"/>
                    </w:rPr>
                    <w:t>y</w:t>
                  </w:r>
                </w:p>
              </w:tc>
              <w:tc>
                <w:tcPr>
                  <w:tcW w:w="623" w:type="pct"/>
                  <w:tcBorders>
                    <w:top w:val="single" w:sz="4" w:space="0" w:color="auto"/>
                    <w:left w:val="single" w:sz="4" w:space="0" w:color="auto"/>
                    <w:bottom w:val="single" w:sz="4" w:space="0" w:color="auto"/>
                    <w:right w:val="single" w:sz="4" w:space="0" w:color="auto"/>
                  </w:tcBorders>
                  <w:hideMark/>
                </w:tcPr>
                <w:p w14:paraId="2A3D536C"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0DB61B79" w14:textId="77777777" w:rsidR="006503F3" w:rsidRPr="006503F3" w:rsidRDefault="006503F3" w:rsidP="006503F3">
                  <w:pPr>
                    <w:spacing w:after="60"/>
                    <w:rPr>
                      <w:sz w:val="20"/>
                    </w:rPr>
                  </w:pPr>
                  <w:r w:rsidRPr="006503F3">
                    <w:rPr>
                      <w:sz w:val="20"/>
                    </w:rPr>
                    <w:t>A SCED interval in the 15-minute Settlement Interval.</w:t>
                  </w:r>
                </w:p>
              </w:tc>
            </w:tr>
          </w:tbl>
          <w:p w14:paraId="62E792DC" w14:textId="77777777" w:rsidR="006503F3" w:rsidRPr="006503F3" w:rsidRDefault="006503F3" w:rsidP="006503F3">
            <w:pPr>
              <w:spacing w:before="240" w:after="240"/>
            </w:pPr>
            <w:r w:rsidRPr="006503F3">
              <w:t>(2)</w:t>
            </w:r>
            <w:r w:rsidRPr="006503F3">
              <w:tab/>
              <w:t>DRRS Only Charge:</w:t>
            </w:r>
          </w:p>
          <w:p w14:paraId="68F9DC35" w14:textId="77777777" w:rsidR="006503F3" w:rsidRPr="006503F3" w:rsidRDefault="006503F3" w:rsidP="006503F3">
            <w:pPr>
              <w:tabs>
                <w:tab w:val="left" w:pos="2250"/>
                <w:tab w:val="left" w:pos="3150"/>
                <w:tab w:val="left" w:pos="3960"/>
              </w:tabs>
              <w:spacing w:after="240"/>
              <w:ind w:left="3960" w:hanging="3240"/>
              <w:rPr>
                <w:b/>
                <w:bCs/>
                <w:szCs w:val="24"/>
              </w:rPr>
            </w:pPr>
            <w:r w:rsidRPr="006503F3">
              <w:rPr>
                <w:b/>
                <w:bCs/>
                <w:szCs w:val="24"/>
              </w:rPr>
              <w:t>RTDRROAMT</w:t>
            </w:r>
            <w:r w:rsidRPr="006503F3">
              <w:rPr>
                <w:b/>
                <w:bCs/>
                <w:i/>
                <w:szCs w:val="24"/>
                <w:vertAlign w:val="subscript"/>
              </w:rPr>
              <w:t xml:space="preserve"> q  </w:t>
            </w:r>
            <w:r w:rsidRPr="006503F3">
              <w:rPr>
                <w:b/>
                <w:bCs/>
                <w:szCs w:val="24"/>
              </w:rPr>
              <w:t xml:space="preserve">= </w:t>
            </w:r>
            <w:r w:rsidRPr="006503F3">
              <w:rPr>
                <w:b/>
                <w:bCs/>
                <w:szCs w:val="24"/>
              </w:rPr>
              <w:tab/>
              <w:t xml:space="preserve">(1/4) * DADRROAWD </w:t>
            </w:r>
            <w:r w:rsidRPr="006503F3">
              <w:rPr>
                <w:b/>
                <w:bCs/>
                <w:i/>
                <w:szCs w:val="24"/>
                <w:vertAlign w:val="subscript"/>
              </w:rPr>
              <w:t>q</w:t>
            </w:r>
            <w:r w:rsidRPr="006503F3">
              <w:rPr>
                <w:b/>
                <w:bCs/>
                <w:szCs w:val="24"/>
              </w:rPr>
              <w:t xml:space="preserve"> * RTMCPCDRR</w:t>
            </w:r>
          </w:p>
          <w:p w14:paraId="5481D8BC" w14:textId="77777777" w:rsidR="006503F3" w:rsidRPr="006503F3" w:rsidRDefault="006503F3" w:rsidP="006503F3">
            <w:pPr>
              <w:ind w:left="720" w:hanging="720"/>
              <w:rPr>
                <w:b/>
                <w:iCs/>
                <w:szCs w:val="24"/>
              </w:rPr>
            </w:pPr>
            <w:r w:rsidRPr="006503F3">
              <w:rPr>
                <w:iCs/>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6503F3" w:rsidRPr="006503F3" w14:paraId="1DFF2E0C" w14:textId="77777777" w:rsidTr="00A86863">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14648B54" w14:textId="77777777" w:rsidR="006503F3" w:rsidRPr="006503F3" w:rsidRDefault="006503F3" w:rsidP="006503F3">
                  <w:pPr>
                    <w:spacing w:after="120"/>
                    <w:rPr>
                      <w:b/>
                      <w:iCs/>
                      <w:sz w:val="20"/>
                    </w:rPr>
                  </w:pPr>
                  <w:r w:rsidRPr="006503F3">
                    <w:rPr>
                      <w:b/>
                      <w:iCs/>
                      <w:sz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7041BF9F" w14:textId="77777777" w:rsidR="006503F3" w:rsidRPr="006503F3" w:rsidRDefault="006503F3" w:rsidP="006503F3">
                  <w:pPr>
                    <w:spacing w:after="120"/>
                    <w:rPr>
                      <w:b/>
                      <w:iCs/>
                      <w:sz w:val="20"/>
                    </w:rPr>
                  </w:pPr>
                  <w:r w:rsidRPr="006503F3">
                    <w:rPr>
                      <w:b/>
                      <w:iCs/>
                      <w:sz w:val="20"/>
                    </w:rPr>
                    <w:t>Unit</w:t>
                  </w:r>
                </w:p>
              </w:tc>
              <w:tc>
                <w:tcPr>
                  <w:tcW w:w="3098" w:type="pct"/>
                  <w:tcBorders>
                    <w:top w:val="single" w:sz="4" w:space="0" w:color="auto"/>
                    <w:left w:val="single" w:sz="4" w:space="0" w:color="auto"/>
                    <w:bottom w:val="single" w:sz="4" w:space="0" w:color="auto"/>
                    <w:right w:val="single" w:sz="4" w:space="0" w:color="auto"/>
                  </w:tcBorders>
                  <w:hideMark/>
                </w:tcPr>
                <w:p w14:paraId="25613A1D" w14:textId="77777777" w:rsidR="006503F3" w:rsidRPr="006503F3" w:rsidRDefault="006503F3" w:rsidP="006503F3">
                  <w:pPr>
                    <w:spacing w:after="120"/>
                    <w:rPr>
                      <w:b/>
                      <w:iCs/>
                      <w:sz w:val="20"/>
                    </w:rPr>
                  </w:pPr>
                  <w:r w:rsidRPr="006503F3">
                    <w:rPr>
                      <w:b/>
                      <w:iCs/>
                      <w:sz w:val="20"/>
                    </w:rPr>
                    <w:t>Description</w:t>
                  </w:r>
                </w:p>
              </w:tc>
            </w:tr>
            <w:tr w:rsidR="006503F3" w:rsidRPr="006503F3" w14:paraId="57030D1C"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61964F16" w14:textId="77777777" w:rsidR="006503F3" w:rsidRPr="006503F3" w:rsidRDefault="006503F3" w:rsidP="006503F3">
                  <w:pPr>
                    <w:spacing w:after="60"/>
                    <w:rPr>
                      <w:sz w:val="20"/>
                    </w:rPr>
                  </w:pPr>
                  <w:r w:rsidRPr="006503F3">
                    <w:rPr>
                      <w:sz w:val="20"/>
                    </w:rPr>
                    <w:t xml:space="preserve">RTDRROAMT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E64D8D4" w14:textId="77777777" w:rsidR="006503F3" w:rsidRPr="006503F3" w:rsidRDefault="006503F3" w:rsidP="006503F3">
                  <w:pPr>
                    <w:spacing w:after="60"/>
                    <w:rPr>
                      <w:sz w:val="20"/>
                    </w:rPr>
                  </w:pPr>
                  <w:r w:rsidRPr="006503F3">
                    <w:rPr>
                      <w:sz w:val="20"/>
                    </w:rPr>
                    <w:t>$</w:t>
                  </w:r>
                </w:p>
              </w:tc>
              <w:tc>
                <w:tcPr>
                  <w:tcW w:w="3098" w:type="pct"/>
                  <w:tcBorders>
                    <w:top w:val="single" w:sz="4" w:space="0" w:color="auto"/>
                    <w:left w:val="single" w:sz="4" w:space="0" w:color="auto"/>
                    <w:bottom w:val="single" w:sz="4" w:space="0" w:color="auto"/>
                    <w:right w:val="single" w:sz="4" w:space="0" w:color="auto"/>
                  </w:tcBorders>
                  <w:hideMark/>
                </w:tcPr>
                <w:p w14:paraId="5DDF350D" w14:textId="77777777" w:rsidR="006503F3" w:rsidRPr="006503F3" w:rsidRDefault="006503F3" w:rsidP="006503F3">
                  <w:pPr>
                    <w:spacing w:after="60"/>
                    <w:rPr>
                      <w:i/>
                      <w:sz w:val="20"/>
                    </w:rPr>
                  </w:pPr>
                  <w:r w:rsidRPr="006503F3">
                    <w:rPr>
                      <w:i/>
                      <w:sz w:val="20"/>
                    </w:rPr>
                    <w:t>Real-Time Dispatchable Reliability Reserve Service Only Amount for the QSE—</w:t>
                  </w:r>
                  <w:r w:rsidRPr="006503F3">
                    <w:rPr>
                      <w:sz w:val="20"/>
                    </w:rPr>
                    <w:t xml:space="preserve">The total charge to QSE </w:t>
                  </w:r>
                  <w:r w:rsidRPr="006503F3">
                    <w:rPr>
                      <w:i/>
                      <w:sz w:val="20"/>
                    </w:rPr>
                    <w:t>q</w:t>
                  </w:r>
                  <w:r w:rsidRPr="006503F3">
                    <w:rPr>
                      <w:sz w:val="20"/>
                    </w:rPr>
                    <w:t xml:space="preserve"> in Real-Time for DRRS only awards for each 15-minute Settlement Interval.</w:t>
                  </w:r>
                </w:p>
              </w:tc>
            </w:tr>
            <w:tr w:rsidR="006503F3" w:rsidRPr="006503F3" w14:paraId="3682450C"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2B1ADFC3" w14:textId="77777777" w:rsidR="006503F3" w:rsidRPr="006503F3" w:rsidRDefault="006503F3" w:rsidP="006503F3">
                  <w:pPr>
                    <w:spacing w:after="60"/>
                    <w:rPr>
                      <w:sz w:val="20"/>
                    </w:rPr>
                  </w:pPr>
                  <w:r w:rsidRPr="006503F3">
                    <w:rPr>
                      <w:sz w:val="20"/>
                    </w:rPr>
                    <w:t xml:space="preserve">DADRROAWD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41070798"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45BB1E32" w14:textId="77777777" w:rsidR="006503F3" w:rsidRPr="006503F3" w:rsidRDefault="006503F3" w:rsidP="006503F3">
                  <w:pPr>
                    <w:spacing w:after="60"/>
                    <w:rPr>
                      <w:i/>
                      <w:sz w:val="20"/>
                    </w:rPr>
                  </w:pPr>
                  <w:r w:rsidRPr="006503F3">
                    <w:rPr>
                      <w:i/>
                      <w:sz w:val="20"/>
                    </w:rPr>
                    <w:t xml:space="preserve">Day-Ahead Dispatchable Reliability </w:t>
                  </w:r>
                  <w:r w:rsidRPr="006503F3">
                    <w:rPr>
                      <w:i/>
                      <w:iCs/>
                      <w:sz w:val="20"/>
                    </w:rPr>
                    <w:t xml:space="preserve">Reserve </w:t>
                  </w:r>
                  <w:r w:rsidRPr="006503F3">
                    <w:rPr>
                      <w:i/>
                      <w:sz w:val="20"/>
                    </w:rPr>
                    <w:t>Service</w:t>
                  </w:r>
                  <w:r w:rsidRPr="006503F3">
                    <w:rPr>
                      <w:i/>
                      <w:iCs/>
                      <w:sz w:val="20"/>
                    </w:rPr>
                    <w:t>-</w:t>
                  </w:r>
                  <w:r w:rsidRPr="006503F3">
                    <w:rPr>
                      <w:i/>
                      <w:sz w:val="20"/>
                    </w:rPr>
                    <w:t>Only Award for the QSE</w:t>
                  </w:r>
                  <w:r w:rsidRPr="006503F3">
                    <w:rPr>
                      <w:rFonts w:ascii="Symbol" w:eastAsia="Symbol" w:hAnsi="Symbol" w:cs="Symbol"/>
                      <w:sz w:val="20"/>
                    </w:rPr>
                    <w:t>¾</w:t>
                  </w:r>
                  <w:r w:rsidRPr="006503F3">
                    <w:rPr>
                      <w:sz w:val="20"/>
                    </w:rPr>
                    <w:t xml:space="preserve">The DRRS-only capacity awarded in the DAM to the QSE </w:t>
                  </w:r>
                  <w:r w:rsidRPr="006503F3">
                    <w:rPr>
                      <w:i/>
                      <w:sz w:val="20"/>
                    </w:rPr>
                    <w:t>q</w:t>
                  </w:r>
                  <w:r w:rsidRPr="006503F3">
                    <w:rPr>
                      <w:sz w:val="20"/>
                    </w:rPr>
                    <w:t xml:space="preserve"> for the Operating Hour.</w:t>
                  </w:r>
                </w:p>
              </w:tc>
            </w:tr>
            <w:tr w:rsidR="006503F3" w:rsidRPr="006503F3" w14:paraId="4F4A6933"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3E9FB1E1" w14:textId="77777777" w:rsidR="006503F3" w:rsidRPr="006503F3" w:rsidRDefault="006503F3" w:rsidP="006503F3">
                  <w:pPr>
                    <w:spacing w:after="60"/>
                    <w:rPr>
                      <w:sz w:val="20"/>
                    </w:rPr>
                  </w:pPr>
                  <w:r w:rsidRPr="006503F3">
                    <w:rPr>
                      <w:sz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0F77DA62"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0401ACAF" w14:textId="77777777" w:rsidR="006503F3" w:rsidRPr="006503F3" w:rsidRDefault="006503F3" w:rsidP="006503F3">
                  <w:pPr>
                    <w:spacing w:after="60"/>
                    <w:rPr>
                      <w:i/>
                      <w:sz w:val="20"/>
                    </w:rPr>
                  </w:pPr>
                  <w:r w:rsidRPr="006503F3">
                    <w:rPr>
                      <w:i/>
                      <w:sz w:val="20"/>
                    </w:rPr>
                    <w:t>Real-Time Market Clearing Price</w:t>
                  </w:r>
                  <w:r w:rsidRPr="006503F3">
                    <w:rPr>
                      <w:bCs/>
                      <w:i/>
                      <w:sz w:val="20"/>
                      <w:lang w:val="pt-BR"/>
                    </w:rPr>
                    <w:t xml:space="preserve"> for Capacity</w:t>
                  </w:r>
                  <w:r w:rsidRPr="006503F3">
                    <w:rPr>
                      <w:i/>
                      <w:sz w:val="20"/>
                    </w:rPr>
                    <w:t xml:space="preserve"> for Dispatchable Reliability Reserve Service</w:t>
                  </w:r>
                  <w:r w:rsidRPr="006503F3">
                    <w:rPr>
                      <w:sz w:val="20"/>
                    </w:rPr>
                    <w:t>—The Real-Time MCPC for DRRS for the 15-minute Settlement Interval.</w:t>
                  </w:r>
                </w:p>
              </w:tc>
            </w:tr>
            <w:tr w:rsidR="006503F3" w:rsidRPr="006503F3" w14:paraId="39BCDBEC"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74B2A922" w14:textId="77777777" w:rsidR="006503F3" w:rsidRPr="006503F3" w:rsidRDefault="006503F3" w:rsidP="006503F3">
                  <w:pPr>
                    <w:spacing w:after="60"/>
                    <w:rPr>
                      <w:i/>
                      <w:sz w:val="20"/>
                    </w:rPr>
                  </w:pPr>
                  <w:r w:rsidRPr="006503F3">
                    <w:rPr>
                      <w:i/>
                      <w:sz w:val="20"/>
                    </w:rPr>
                    <w:t>q</w:t>
                  </w:r>
                </w:p>
              </w:tc>
              <w:tc>
                <w:tcPr>
                  <w:tcW w:w="623" w:type="pct"/>
                  <w:tcBorders>
                    <w:top w:val="single" w:sz="4" w:space="0" w:color="auto"/>
                    <w:left w:val="single" w:sz="4" w:space="0" w:color="auto"/>
                    <w:bottom w:val="single" w:sz="4" w:space="0" w:color="auto"/>
                    <w:right w:val="single" w:sz="4" w:space="0" w:color="auto"/>
                  </w:tcBorders>
                  <w:hideMark/>
                </w:tcPr>
                <w:p w14:paraId="050F74DE"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3D031156" w14:textId="77777777" w:rsidR="006503F3" w:rsidRPr="006503F3" w:rsidRDefault="006503F3" w:rsidP="006503F3">
                  <w:pPr>
                    <w:spacing w:after="60"/>
                    <w:rPr>
                      <w:sz w:val="20"/>
                    </w:rPr>
                  </w:pPr>
                  <w:r w:rsidRPr="006503F3">
                    <w:rPr>
                      <w:sz w:val="20"/>
                    </w:rPr>
                    <w:t>A QSE.</w:t>
                  </w:r>
                </w:p>
              </w:tc>
            </w:tr>
          </w:tbl>
          <w:p w14:paraId="1D4DB1BF" w14:textId="77777777" w:rsidR="006503F3" w:rsidRPr="006503F3" w:rsidRDefault="006503F3" w:rsidP="006503F3">
            <w:pPr>
              <w:spacing w:before="240" w:after="240"/>
            </w:pPr>
            <w:r w:rsidRPr="006503F3">
              <w:t>(3)</w:t>
            </w:r>
            <w:r w:rsidRPr="006503F3">
              <w:tab/>
              <w:t>DRRS Trade Overage Charge:</w:t>
            </w:r>
          </w:p>
          <w:p w14:paraId="48A8AB07" w14:textId="77777777" w:rsidR="006503F3" w:rsidRPr="006503F3" w:rsidRDefault="006503F3" w:rsidP="006503F3">
            <w:pPr>
              <w:tabs>
                <w:tab w:val="left" w:pos="2250"/>
                <w:tab w:val="left" w:pos="3150"/>
                <w:tab w:val="left" w:pos="3960"/>
              </w:tabs>
              <w:spacing w:after="240"/>
              <w:ind w:left="3960" w:hanging="3240"/>
              <w:rPr>
                <w:b/>
                <w:bCs/>
                <w:szCs w:val="24"/>
              </w:rPr>
            </w:pPr>
            <w:r w:rsidRPr="006503F3">
              <w:rPr>
                <w:b/>
                <w:bCs/>
                <w:szCs w:val="24"/>
              </w:rPr>
              <w:t>RTDRRTOAMT</w:t>
            </w:r>
            <w:r w:rsidRPr="006503F3">
              <w:rPr>
                <w:b/>
                <w:bCs/>
                <w:i/>
                <w:szCs w:val="24"/>
                <w:vertAlign w:val="subscript"/>
              </w:rPr>
              <w:t xml:space="preserve"> q  </w:t>
            </w:r>
            <w:r w:rsidRPr="006503F3">
              <w:rPr>
                <w:b/>
                <w:bCs/>
                <w:szCs w:val="24"/>
              </w:rPr>
              <w:t xml:space="preserve">= </w:t>
            </w:r>
            <w:r w:rsidRPr="006503F3">
              <w:rPr>
                <w:b/>
                <w:bCs/>
                <w:szCs w:val="24"/>
              </w:rPr>
              <w:tab/>
              <w:t xml:space="preserve">(1/4) * RTDRRTO </w:t>
            </w:r>
            <w:r w:rsidRPr="006503F3">
              <w:rPr>
                <w:b/>
                <w:bCs/>
                <w:i/>
                <w:szCs w:val="24"/>
                <w:vertAlign w:val="subscript"/>
              </w:rPr>
              <w:t>q</w:t>
            </w:r>
            <w:r w:rsidRPr="006503F3">
              <w:rPr>
                <w:b/>
                <w:bCs/>
                <w:szCs w:val="24"/>
              </w:rPr>
              <w:t xml:space="preserve"> * RTMCPCDRR</w:t>
            </w:r>
          </w:p>
          <w:p w14:paraId="09B5FFB1" w14:textId="77777777" w:rsidR="006503F3" w:rsidRPr="006503F3" w:rsidRDefault="006503F3" w:rsidP="006503F3">
            <w:pPr>
              <w:ind w:left="720" w:hanging="720"/>
              <w:rPr>
                <w:iCs/>
                <w:szCs w:val="24"/>
              </w:rPr>
            </w:pPr>
            <w:r w:rsidRPr="006503F3">
              <w:rPr>
                <w:iCs/>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6503F3" w:rsidRPr="006503F3" w14:paraId="5F9931A9" w14:textId="77777777" w:rsidTr="00A86863">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261EDC1B" w14:textId="77777777" w:rsidR="006503F3" w:rsidRPr="006503F3" w:rsidRDefault="006503F3" w:rsidP="006503F3">
                  <w:pPr>
                    <w:spacing w:after="120"/>
                    <w:rPr>
                      <w:b/>
                      <w:iCs/>
                      <w:sz w:val="20"/>
                    </w:rPr>
                  </w:pPr>
                  <w:r w:rsidRPr="006503F3">
                    <w:rPr>
                      <w:b/>
                      <w:iCs/>
                      <w:sz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08EEB122" w14:textId="77777777" w:rsidR="006503F3" w:rsidRPr="006503F3" w:rsidRDefault="006503F3" w:rsidP="006503F3">
                  <w:pPr>
                    <w:spacing w:after="120"/>
                    <w:rPr>
                      <w:b/>
                      <w:iCs/>
                      <w:sz w:val="20"/>
                    </w:rPr>
                  </w:pPr>
                  <w:r w:rsidRPr="006503F3">
                    <w:rPr>
                      <w:b/>
                      <w:iCs/>
                      <w:sz w:val="20"/>
                    </w:rPr>
                    <w:t>Unit</w:t>
                  </w:r>
                </w:p>
              </w:tc>
              <w:tc>
                <w:tcPr>
                  <w:tcW w:w="3098" w:type="pct"/>
                  <w:tcBorders>
                    <w:top w:val="single" w:sz="4" w:space="0" w:color="auto"/>
                    <w:left w:val="single" w:sz="4" w:space="0" w:color="auto"/>
                    <w:bottom w:val="single" w:sz="4" w:space="0" w:color="auto"/>
                    <w:right w:val="single" w:sz="4" w:space="0" w:color="auto"/>
                  </w:tcBorders>
                  <w:hideMark/>
                </w:tcPr>
                <w:p w14:paraId="480E171B" w14:textId="77777777" w:rsidR="006503F3" w:rsidRPr="006503F3" w:rsidRDefault="006503F3" w:rsidP="006503F3">
                  <w:pPr>
                    <w:spacing w:after="120"/>
                    <w:rPr>
                      <w:b/>
                      <w:iCs/>
                      <w:sz w:val="20"/>
                    </w:rPr>
                  </w:pPr>
                  <w:r w:rsidRPr="006503F3">
                    <w:rPr>
                      <w:b/>
                      <w:iCs/>
                      <w:sz w:val="20"/>
                    </w:rPr>
                    <w:t>Description</w:t>
                  </w:r>
                </w:p>
              </w:tc>
            </w:tr>
            <w:tr w:rsidR="006503F3" w:rsidRPr="006503F3" w14:paraId="1F8C9E6D"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13130BD8" w14:textId="77777777" w:rsidR="006503F3" w:rsidRPr="006503F3" w:rsidRDefault="006503F3" w:rsidP="006503F3">
                  <w:pPr>
                    <w:spacing w:after="60"/>
                    <w:rPr>
                      <w:sz w:val="20"/>
                    </w:rPr>
                  </w:pPr>
                  <w:r w:rsidRPr="006503F3">
                    <w:rPr>
                      <w:sz w:val="20"/>
                    </w:rPr>
                    <w:t xml:space="preserve">RTDRRTOAMT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CBA2313" w14:textId="77777777" w:rsidR="006503F3" w:rsidRPr="006503F3" w:rsidRDefault="006503F3" w:rsidP="006503F3">
                  <w:pPr>
                    <w:spacing w:after="60"/>
                    <w:rPr>
                      <w:sz w:val="20"/>
                    </w:rPr>
                  </w:pPr>
                  <w:r w:rsidRPr="006503F3">
                    <w:rPr>
                      <w:sz w:val="20"/>
                    </w:rPr>
                    <w:t>$</w:t>
                  </w:r>
                </w:p>
              </w:tc>
              <w:tc>
                <w:tcPr>
                  <w:tcW w:w="3098" w:type="pct"/>
                  <w:tcBorders>
                    <w:top w:val="single" w:sz="4" w:space="0" w:color="auto"/>
                    <w:left w:val="single" w:sz="4" w:space="0" w:color="auto"/>
                    <w:bottom w:val="single" w:sz="4" w:space="0" w:color="auto"/>
                    <w:right w:val="single" w:sz="4" w:space="0" w:color="auto"/>
                  </w:tcBorders>
                  <w:hideMark/>
                </w:tcPr>
                <w:p w14:paraId="6BE08649" w14:textId="77777777" w:rsidR="006503F3" w:rsidRPr="006503F3" w:rsidRDefault="006503F3" w:rsidP="006503F3">
                  <w:pPr>
                    <w:spacing w:after="60"/>
                    <w:rPr>
                      <w:i/>
                      <w:sz w:val="20"/>
                    </w:rPr>
                  </w:pPr>
                  <w:r w:rsidRPr="006503F3">
                    <w:rPr>
                      <w:i/>
                      <w:sz w:val="20"/>
                    </w:rPr>
                    <w:t>Real-Time Dispatchable Reliability Reserve Service Trade Overage Amount for the QSE</w:t>
                  </w:r>
                  <w:r w:rsidRPr="006503F3">
                    <w:rPr>
                      <w:sz w:val="20"/>
                    </w:rPr>
                    <w:t xml:space="preserve">—The total charge to QSE </w:t>
                  </w:r>
                  <w:r w:rsidRPr="006503F3">
                    <w:rPr>
                      <w:i/>
                      <w:sz w:val="20"/>
                    </w:rPr>
                    <w:t>q</w:t>
                  </w:r>
                  <w:r w:rsidRPr="006503F3">
                    <w:rPr>
                      <w:sz w:val="20"/>
                    </w:rPr>
                    <w:t xml:space="preserve"> in Real-Time for DRRS trade overages for each 15-minute Settlement Interval.</w:t>
                  </w:r>
                </w:p>
              </w:tc>
            </w:tr>
            <w:tr w:rsidR="006503F3" w:rsidRPr="006503F3" w14:paraId="6A6D0533"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70A67178" w14:textId="77777777" w:rsidR="006503F3" w:rsidRPr="006503F3" w:rsidRDefault="006503F3" w:rsidP="006503F3">
                  <w:pPr>
                    <w:spacing w:after="60"/>
                    <w:rPr>
                      <w:sz w:val="20"/>
                    </w:rPr>
                  </w:pPr>
                  <w:r w:rsidRPr="006503F3">
                    <w:rPr>
                      <w:sz w:val="20"/>
                    </w:rPr>
                    <w:t xml:space="preserve">RTDRRTO </w:t>
                  </w:r>
                  <w:r w:rsidRPr="006503F3">
                    <w:rPr>
                      <w:i/>
                      <w:sz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3C5BF970"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2F7D0672" w14:textId="77777777" w:rsidR="006503F3" w:rsidRPr="006503F3" w:rsidRDefault="006503F3" w:rsidP="006503F3">
                  <w:pPr>
                    <w:spacing w:after="60"/>
                    <w:rPr>
                      <w:sz w:val="20"/>
                    </w:rPr>
                  </w:pPr>
                  <w:r w:rsidRPr="006503F3">
                    <w:rPr>
                      <w:i/>
                      <w:sz w:val="20"/>
                    </w:rPr>
                    <w:t>Real-Time Dispatchable Reliability Reserve Service Trade Overage for the QSE</w:t>
                  </w:r>
                  <w:r w:rsidRPr="006503F3">
                    <w:rPr>
                      <w:rFonts w:ascii="Symbol" w:eastAsia="Symbol" w:hAnsi="Symbol" w:cs="Symbol"/>
                      <w:sz w:val="20"/>
                    </w:rPr>
                    <w:t>¾</w:t>
                  </w:r>
                  <w:r w:rsidRPr="006503F3">
                    <w:rPr>
                      <w:sz w:val="20"/>
                    </w:rPr>
                    <w:t xml:space="preserve">The quantity of submitted DRRS trades in excess of their DAM self-arrangement quantity for the QSE </w:t>
                  </w:r>
                  <w:r w:rsidRPr="006503F3">
                    <w:rPr>
                      <w:i/>
                      <w:sz w:val="20"/>
                    </w:rPr>
                    <w:t>q</w:t>
                  </w:r>
                  <w:r w:rsidRPr="006503F3">
                    <w:rPr>
                      <w:sz w:val="20"/>
                    </w:rPr>
                    <w:t xml:space="preserve"> for the </w:t>
                  </w:r>
                  <w:r w:rsidRPr="006503F3">
                    <w:rPr>
                      <w:sz w:val="20"/>
                      <w:szCs w:val="18"/>
                    </w:rPr>
                    <w:t>Operating Hour</w:t>
                  </w:r>
                  <w:r w:rsidRPr="006503F3">
                    <w:rPr>
                      <w:sz w:val="20"/>
                    </w:rPr>
                    <w:t>.</w:t>
                  </w:r>
                </w:p>
              </w:tc>
            </w:tr>
            <w:tr w:rsidR="006503F3" w:rsidRPr="006503F3" w14:paraId="7B204A50"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736D61CC" w14:textId="77777777" w:rsidR="006503F3" w:rsidRPr="006503F3" w:rsidRDefault="006503F3" w:rsidP="006503F3">
                  <w:pPr>
                    <w:spacing w:after="60"/>
                    <w:rPr>
                      <w:sz w:val="20"/>
                    </w:rPr>
                  </w:pPr>
                  <w:r w:rsidRPr="006503F3">
                    <w:rPr>
                      <w:sz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464DBB02" w14:textId="77777777" w:rsidR="006503F3" w:rsidRPr="006503F3" w:rsidRDefault="006503F3" w:rsidP="006503F3">
                  <w:pPr>
                    <w:spacing w:after="60"/>
                    <w:rPr>
                      <w:sz w:val="20"/>
                    </w:rPr>
                  </w:pPr>
                  <w:r w:rsidRPr="006503F3">
                    <w:rPr>
                      <w:sz w:val="20"/>
                    </w:rPr>
                    <w:t>$/MW</w:t>
                  </w:r>
                </w:p>
              </w:tc>
              <w:tc>
                <w:tcPr>
                  <w:tcW w:w="3098" w:type="pct"/>
                  <w:tcBorders>
                    <w:top w:val="single" w:sz="4" w:space="0" w:color="auto"/>
                    <w:left w:val="single" w:sz="4" w:space="0" w:color="auto"/>
                    <w:bottom w:val="single" w:sz="4" w:space="0" w:color="auto"/>
                    <w:right w:val="single" w:sz="4" w:space="0" w:color="auto"/>
                  </w:tcBorders>
                  <w:hideMark/>
                </w:tcPr>
                <w:p w14:paraId="2F0C04C8" w14:textId="77777777" w:rsidR="006503F3" w:rsidRPr="006503F3" w:rsidRDefault="006503F3" w:rsidP="006503F3">
                  <w:pPr>
                    <w:spacing w:after="60"/>
                    <w:rPr>
                      <w:i/>
                      <w:sz w:val="20"/>
                    </w:rPr>
                  </w:pPr>
                  <w:r w:rsidRPr="006503F3">
                    <w:rPr>
                      <w:i/>
                      <w:sz w:val="20"/>
                    </w:rPr>
                    <w:t>Real-Time Market Clearing Price</w:t>
                  </w:r>
                  <w:r w:rsidRPr="006503F3">
                    <w:rPr>
                      <w:bCs/>
                      <w:i/>
                      <w:sz w:val="20"/>
                      <w:lang w:val="pt-BR"/>
                    </w:rPr>
                    <w:t xml:space="preserve"> for Capacity</w:t>
                  </w:r>
                  <w:r w:rsidRPr="006503F3">
                    <w:rPr>
                      <w:i/>
                      <w:sz w:val="20"/>
                    </w:rPr>
                    <w:t xml:space="preserve"> for Dispatchable Reliability Reserve Service</w:t>
                  </w:r>
                  <w:r w:rsidRPr="006503F3">
                    <w:rPr>
                      <w:sz w:val="20"/>
                    </w:rPr>
                    <w:t>—The Real-Time MCPC for ECRS for the 15-minute Settlement Interval.</w:t>
                  </w:r>
                </w:p>
              </w:tc>
            </w:tr>
            <w:tr w:rsidR="006503F3" w:rsidRPr="006503F3" w14:paraId="59BC4717" w14:textId="77777777" w:rsidTr="00A86863">
              <w:trPr>
                <w:cantSplit/>
              </w:trPr>
              <w:tc>
                <w:tcPr>
                  <w:tcW w:w="1279" w:type="pct"/>
                  <w:tcBorders>
                    <w:top w:val="single" w:sz="4" w:space="0" w:color="auto"/>
                    <w:left w:val="single" w:sz="4" w:space="0" w:color="auto"/>
                    <w:bottom w:val="single" w:sz="4" w:space="0" w:color="auto"/>
                    <w:right w:val="single" w:sz="4" w:space="0" w:color="auto"/>
                  </w:tcBorders>
                  <w:hideMark/>
                </w:tcPr>
                <w:p w14:paraId="20CFE137" w14:textId="77777777" w:rsidR="006503F3" w:rsidRPr="006503F3" w:rsidRDefault="006503F3" w:rsidP="006503F3">
                  <w:pPr>
                    <w:spacing w:after="60"/>
                    <w:rPr>
                      <w:i/>
                      <w:sz w:val="20"/>
                    </w:rPr>
                  </w:pPr>
                  <w:r w:rsidRPr="006503F3">
                    <w:rPr>
                      <w:i/>
                      <w:sz w:val="20"/>
                    </w:rPr>
                    <w:t>q</w:t>
                  </w:r>
                </w:p>
              </w:tc>
              <w:tc>
                <w:tcPr>
                  <w:tcW w:w="623" w:type="pct"/>
                  <w:tcBorders>
                    <w:top w:val="single" w:sz="4" w:space="0" w:color="auto"/>
                    <w:left w:val="single" w:sz="4" w:space="0" w:color="auto"/>
                    <w:bottom w:val="single" w:sz="4" w:space="0" w:color="auto"/>
                    <w:right w:val="single" w:sz="4" w:space="0" w:color="auto"/>
                  </w:tcBorders>
                  <w:hideMark/>
                </w:tcPr>
                <w:p w14:paraId="61FFC216" w14:textId="77777777" w:rsidR="006503F3" w:rsidRPr="006503F3" w:rsidRDefault="006503F3" w:rsidP="006503F3">
                  <w:pPr>
                    <w:spacing w:after="60"/>
                    <w:rPr>
                      <w:sz w:val="20"/>
                    </w:rPr>
                  </w:pPr>
                  <w:r w:rsidRPr="006503F3">
                    <w:rPr>
                      <w:sz w:val="20"/>
                    </w:rPr>
                    <w:t>none</w:t>
                  </w:r>
                </w:p>
              </w:tc>
              <w:tc>
                <w:tcPr>
                  <w:tcW w:w="3098" w:type="pct"/>
                  <w:tcBorders>
                    <w:top w:val="single" w:sz="4" w:space="0" w:color="auto"/>
                    <w:left w:val="single" w:sz="4" w:space="0" w:color="auto"/>
                    <w:bottom w:val="single" w:sz="4" w:space="0" w:color="auto"/>
                    <w:right w:val="single" w:sz="4" w:space="0" w:color="auto"/>
                  </w:tcBorders>
                  <w:hideMark/>
                </w:tcPr>
                <w:p w14:paraId="2BC5AE4B" w14:textId="77777777" w:rsidR="006503F3" w:rsidRPr="006503F3" w:rsidRDefault="006503F3" w:rsidP="006503F3">
                  <w:pPr>
                    <w:spacing w:after="60"/>
                    <w:rPr>
                      <w:sz w:val="20"/>
                    </w:rPr>
                  </w:pPr>
                  <w:r w:rsidRPr="006503F3">
                    <w:rPr>
                      <w:sz w:val="20"/>
                    </w:rPr>
                    <w:t>A QSE.</w:t>
                  </w:r>
                </w:p>
              </w:tc>
            </w:tr>
          </w:tbl>
          <w:p w14:paraId="7797BA76" w14:textId="77777777" w:rsidR="006503F3" w:rsidRPr="004A7B1D" w:rsidRDefault="006503F3" w:rsidP="006503F3">
            <w:pPr>
              <w:spacing w:after="240"/>
              <w:rPr>
                <w:lang w:val="pt-BR"/>
              </w:rPr>
            </w:pPr>
          </w:p>
        </w:tc>
      </w:tr>
    </w:tbl>
    <w:p w14:paraId="28BB35C9" w14:textId="1D548249" w:rsidR="00F10AF1" w:rsidRPr="0013396E" w:rsidRDefault="00F10AF1" w:rsidP="00F10AF1">
      <w:pPr>
        <w:pStyle w:val="Heading4"/>
        <w:numPr>
          <w:ilvl w:val="0"/>
          <w:numId w:val="0"/>
        </w:numPr>
        <w:spacing w:before="480"/>
      </w:pPr>
      <w:bookmarkStart w:id="2285" w:name="_Toc236220249"/>
      <w:r w:rsidRPr="0013396E">
        <w:rPr>
          <w:bCs w:val="0"/>
        </w:rPr>
        <w:lastRenderedPageBreak/>
        <w:t>6.7.</w:t>
      </w:r>
      <w:r w:rsidR="00A12B52" w:rsidRPr="0013396E">
        <w:rPr>
          <w:bCs w:val="0"/>
        </w:rPr>
        <w:t>2</w:t>
      </w:r>
      <w:r w:rsidRPr="0013396E">
        <w:rPr>
          <w:bCs w:val="0"/>
        </w:rPr>
        <w:t>.7</w:t>
      </w:r>
      <w:r w:rsidRPr="0013396E">
        <w:rPr>
          <w:bCs w:val="0"/>
        </w:rPr>
        <w:tab/>
        <w:t>Real-Time Derated Ancillary Service Capability Payment</w:t>
      </w:r>
      <w:bookmarkEnd w:id="2285"/>
    </w:p>
    <w:p w14:paraId="310B3391" w14:textId="75F13E8D" w:rsidR="00F10AF1" w:rsidRPr="0013396E" w:rsidRDefault="00F10AF1" w:rsidP="00F10AF1">
      <w:pPr>
        <w:spacing w:after="240"/>
        <w:ind w:left="720" w:hanging="720"/>
        <w:rPr>
          <w:color w:val="000000"/>
        </w:rPr>
      </w:pPr>
      <w:r w:rsidRPr="0013396E">
        <w:rPr>
          <w:color w:val="000000"/>
        </w:rPr>
        <w:t>(1)</w:t>
      </w:r>
      <w:r w:rsidRPr="0013396E">
        <w:rPr>
          <w:color w:val="000000"/>
        </w:rPr>
        <w:tab/>
        <w:t>If ERCOT manually reduces the amount of an Ancillary Service that may be awarded to a Resource in Real-Time under paragraph (6) of Section 6.4.9.1.1, Ancillary Service Awards, and the reduction reduces the payment the QSE would have received under Section 6.7.</w:t>
      </w:r>
      <w:r w:rsidR="00A12B52" w:rsidRPr="0013396E">
        <w:rPr>
          <w:color w:val="000000"/>
        </w:rPr>
        <w:t>2</w:t>
      </w:r>
      <w:r w:rsidRPr="0013396E">
        <w:rPr>
          <w:color w:val="000000"/>
        </w:rPr>
        <w:t xml:space="preserve">.1, Real-Time Ancillary Service Imbalance Payment or Charge, the QSE may be eligible for a Real-Time derated Ancillary Service capability payment under this Section. </w:t>
      </w:r>
    </w:p>
    <w:p w14:paraId="15C60976" w14:textId="77777777" w:rsidR="00F10AF1" w:rsidRPr="0013396E" w:rsidRDefault="00F10AF1" w:rsidP="00F10AF1">
      <w:pPr>
        <w:spacing w:after="240"/>
        <w:ind w:left="720" w:hanging="720"/>
        <w:rPr>
          <w:color w:val="000000"/>
        </w:rPr>
      </w:pPr>
      <w:r w:rsidRPr="0013396E">
        <w:rPr>
          <w:color w:val="000000"/>
        </w:rPr>
        <w:t>(2)</w:t>
      </w:r>
      <w:r w:rsidRPr="0013396E">
        <w:rPr>
          <w:color w:val="000000"/>
        </w:rPr>
        <w:tab/>
        <w:t xml:space="preserve">In order to be eligible for a Real-Time derated Ancillary Service capability payment, the QSE must: </w:t>
      </w:r>
    </w:p>
    <w:p w14:paraId="6965A7CA" w14:textId="77777777" w:rsidR="00F10AF1" w:rsidRPr="0013396E" w:rsidRDefault="00F10AF1" w:rsidP="00F10AF1">
      <w:pPr>
        <w:spacing w:after="240"/>
        <w:ind w:left="1440" w:hanging="720"/>
        <w:rPr>
          <w:color w:val="000000"/>
        </w:rPr>
      </w:pPr>
      <w:r w:rsidRPr="0013396E">
        <w:rPr>
          <w:color w:val="000000"/>
        </w:rPr>
        <w:t>(a)</w:t>
      </w:r>
      <w:r w:rsidRPr="0013396E">
        <w:rPr>
          <w:color w:val="000000"/>
        </w:rPr>
        <w:tab/>
        <w:t>File a timely Settlement and billing dispute, identifying the following items, by Settlement Interval:</w:t>
      </w:r>
    </w:p>
    <w:p w14:paraId="7BE2EBDC" w14:textId="77777777" w:rsidR="00F10AF1" w:rsidRPr="0013396E" w:rsidRDefault="00F10AF1" w:rsidP="00F10AF1">
      <w:pPr>
        <w:spacing w:after="240"/>
        <w:ind w:left="2160" w:hanging="720"/>
      </w:pPr>
      <w:r w:rsidRPr="0013396E">
        <w:t>(i)</w:t>
      </w:r>
      <w:r w:rsidRPr="0013396E">
        <w:tab/>
        <w:t>Dollar amount and calculation of the estimated Real-Time derated Ancillary Service capability payment;</w:t>
      </w:r>
    </w:p>
    <w:p w14:paraId="4B7F6450" w14:textId="77777777" w:rsidR="00F10AF1" w:rsidRPr="0013396E" w:rsidRDefault="00F10AF1" w:rsidP="00F10AF1">
      <w:pPr>
        <w:spacing w:after="240"/>
        <w:ind w:left="2160" w:hanging="720"/>
      </w:pPr>
      <w:r w:rsidRPr="0013396E">
        <w:t>(ii)</w:t>
      </w:r>
      <w:r w:rsidRPr="0013396E">
        <w:tab/>
      </w:r>
      <w:r w:rsidRPr="0013396E">
        <w:rPr>
          <w:color w:val="000000"/>
        </w:rPr>
        <w:t>The quantity of Ancillary Service awards, by Ancillary Service product, that were not awarded due to ERCOT’s manual reduction of the Resource’s Ancillary Service capability;</w:t>
      </w:r>
    </w:p>
    <w:p w14:paraId="7138219C" w14:textId="77777777" w:rsidR="00F10AF1" w:rsidRPr="0013396E" w:rsidRDefault="00F10AF1" w:rsidP="00F10AF1">
      <w:pPr>
        <w:spacing w:after="240"/>
        <w:ind w:left="2160" w:hanging="720"/>
        <w:rPr>
          <w:color w:val="000000"/>
        </w:rPr>
      </w:pPr>
      <w:r w:rsidRPr="0013396E">
        <w:rPr>
          <w:color w:val="000000"/>
        </w:rPr>
        <w:t>(iii)</w:t>
      </w:r>
      <w:r w:rsidRPr="0013396E">
        <w:rPr>
          <w:color w:val="000000"/>
        </w:rPr>
        <w:tab/>
        <w:t>Any additional revenues earned by the QSE under Section 6.6.3.1, Real-Time Energy Imbalance Payment or Charge at a Resource Node; and</w:t>
      </w:r>
    </w:p>
    <w:p w14:paraId="116E41A1" w14:textId="0762979C" w:rsidR="00F10AF1" w:rsidRPr="0013396E" w:rsidRDefault="00F10AF1" w:rsidP="00F10AF1">
      <w:pPr>
        <w:spacing w:after="240"/>
        <w:ind w:left="2160" w:hanging="720"/>
        <w:rPr>
          <w:color w:val="000000"/>
        </w:rPr>
      </w:pPr>
      <w:r w:rsidRPr="0013396E">
        <w:rPr>
          <w:color w:val="000000"/>
        </w:rPr>
        <w:t>(iv)</w:t>
      </w:r>
      <w:r w:rsidRPr="0013396E">
        <w:rPr>
          <w:color w:val="000000"/>
        </w:rPr>
        <w:tab/>
        <w:t>Any additional revenues earned by the QSE under Section 6.7.</w:t>
      </w:r>
      <w:r w:rsidR="00A12B52" w:rsidRPr="0013396E">
        <w:rPr>
          <w:color w:val="000000"/>
        </w:rPr>
        <w:t>2</w:t>
      </w:r>
      <w:r w:rsidRPr="0013396E">
        <w:rPr>
          <w:color w:val="000000"/>
        </w:rPr>
        <w:t>.1, Real-Time Ancillary Service Imbalance Payment or Charge.</w:t>
      </w:r>
    </w:p>
    <w:p w14:paraId="4DD87CF4" w14:textId="77777777" w:rsidR="00F10AF1" w:rsidRPr="0013396E" w:rsidRDefault="00F10AF1" w:rsidP="00F10AF1">
      <w:pPr>
        <w:spacing w:after="240"/>
        <w:ind w:left="1440" w:hanging="720"/>
        <w:rPr>
          <w:color w:val="000000"/>
        </w:rPr>
      </w:pPr>
      <w:r w:rsidRPr="0013396E">
        <w:rPr>
          <w:color w:val="000000"/>
        </w:rPr>
        <w:t>(b)</w:t>
      </w:r>
      <w:r w:rsidRPr="0013396E">
        <w:rPr>
          <w:color w:val="000000"/>
        </w:rPr>
        <w:tab/>
        <w:t>Have submitted an Ancillary Service Offer for the disputed Settlement Interval(s).  The Ancillary Service Offer used to calculate the Real-Time derated Ancillary Service capability payment shall be the most recent offer received by ERCOT effective for the disputed Settlement Interval(s) before ERCOT manually reduced the amount of Ancillary Service to be awarded.</w:t>
      </w:r>
    </w:p>
    <w:p w14:paraId="053E70B7" w14:textId="77777777" w:rsidR="00F10AF1" w:rsidRPr="0013396E" w:rsidRDefault="00F10AF1" w:rsidP="00F10AF1">
      <w:pPr>
        <w:spacing w:after="240"/>
        <w:ind w:left="720" w:hanging="720"/>
        <w:rPr>
          <w:color w:val="000000"/>
        </w:rPr>
      </w:pPr>
      <w:r w:rsidRPr="0013396E">
        <w:rPr>
          <w:color w:val="000000"/>
        </w:rPr>
        <w:t>(3)</w:t>
      </w:r>
      <w:r w:rsidRPr="0013396E">
        <w:rPr>
          <w:color w:val="000000"/>
        </w:rPr>
        <w:tab/>
        <w:t xml:space="preserve">ERCOT shall attempt to validate the calculations provided by the QSE, and may request additional supporting documentation or explanation with respect to the submitted materials within 15 Business Days of receipt.  Additional information requested by ERCOT must be provided by the QSE within 15 Business Days of ERCOT’s request.  Upon determination by ERCOT that no additional supporting documentation or explanation is needed from the disputing QSE, ERCOT shall notify the QSE of its acceptance or rejection of the claim for the </w:t>
      </w:r>
      <w:r w:rsidRPr="0013396E">
        <w:t>Real-Time derated Ancillary Service capability payment</w:t>
      </w:r>
      <w:r w:rsidRPr="0013396E">
        <w:rPr>
          <w:color w:val="000000"/>
        </w:rPr>
        <w:t xml:space="preserve"> within 15 Business Days.</w:t>
      </w:r>
    </w:p>
    <w:p w14:paraId="4776C850" w14:textId="77777777" w:rsidR="00F10AF1" w:rsidRPr="0013396E" w:rsidRDefault="00F10AF1" w:rsidP="00F10AF1">
      <w:pPr>
        <w:spacing w:after="240"/>
        <w:ind w:left="720" w:hanging="720"/>
        <w:rPr>
          <w:color w:val="000000"/>
        </w:rPr>
      </w:pPr>
      <w:r w:rsidRPr="0013396E">
        <w:rPr>
          <w:color w:val="000000"/>
        </w:rPr>
        <w:t>(4)</w:t>
      </w:r>
      <w:r w:rsidRPr="0013396E">
        <w:rPr>
          <w:color w:val="000000"/>
        </w:rPr>
        <w:tab/>
        <w:t>The price used to determine the derated MWs that were not awarded due to the manual reduction shall be the Real-Time MCPC for the Ancillary Service that was reduced.</w:t>
      </w:r>
    </w:p>
    <w:p w14:paraId="32EF88DE" w14:textId="77777777" w:rsidR="00F10AF1" w:rsidRPr="0013396E" w:rsidRDefault="00F10AF1" w:rsidP="00F10AF1">
      <w:pPr>
        <w:spacing w:after="240"/>
        <w:ind w:left="720" w:hanging="720"/>
        <w:rPr>
          <w:color w:val="000000"/>
        </w:rPr>
      </w:pPr>
      <w:r w:rsidRPr="0013396E">
        <w:rPr>
          <w:color w:val="000000"/>
        </w:rPr>
        <w:t>(5)</w:t>
      </w:r>
      <w:r w:rsidRPr="0013396E">
        <w:rPr>
          <w:color w:val="000000"/>
        </w:rPr>
        <w:tab/>
        <w:t>The amount recoverable under this section shall be capped by the Real-Time MCPC for the Ancillary Service that was reduced, multiplied by the reduced quantity.</w:t>
      </w:r>
    </w:p>
    <w:p w14:paraId="2A628464" w14:textId="77777777" w:rsidR="00F10AF1" w:rsidRPr="0013396E" w:rsidRDefault="00F10AF1" w:rsidP="00F10AF1">
      <w:pPr>
        <w:spacing w:after="240"/>
        <w:ind w:left="720" w:hanging="720"/>
        <w:rPr>
          <w:color w:val="000000"/>
        </w:rPr>
      </w:pPr>
      <w:r w:rsidRPr="0013396E">
        <w:rPr>
          <w:color w:val="000000"/>
        </w:rPr>
        <w:lastRenderedPageBreak/>
        <w:t>(6)</w:t>
      </w:r>
      <w:r w:rsidRPr="0013396E">
        <w:rPr>
          <w:color w:val="000000"/>
        </w:rPr>
        <w:tab/>
        <w:t>The amount recoverable under this Section shall be reduced by any additional revenue received by the QSE, as determined in paragraphs (2)(a)(iii) and (2)(a)(iv) above. </w:t>
      </w:r>
    </w:p>
    <w:p w14:paraId="207DBEB5" w14:textId="77777777" w:rsidR="00F10AF1" w:rsidRPr="0013396E" w:rsidRDefault="00F10AF1" w:rsidP="00F10AF1">
      <w:pPr>
        <w:spacing w:after="240"/>
        <w:ind w:left="720" w:hanging="720"/>
        <w:rPr>
          <w:color w:val="000000"/>
        </w:rPr>
      </w:pPr>
      <w:r w:rsidRPr="0013396E">
        <w:rPr>
          <w:color w:val="000000"/>
        </w:rPr>
        <w:t>(7)</w:t>
      </w:r>
      <w:r w:rsidRPr="0013396E">
        <w:rPr>
          <w:color w:val="000000"/>
        </w:rPr>
        <w:tab/>
        <w:t xml:space="preserve">The Real-Time derated Ancillary Service capability payment for a given 15-minute Settlement Interval is calculated as follows:  </w:t>
      </w:r>
    </w:p>
    <w:p w14:paraId="1309D915" w14:textId="77777777" w:rsidR="00F10AF1" w:rsidRPr="0013396E" w:rsidRDefault="00F10AF1" w:rsidP="00F10AF1">
      <w:pPr>
        <w:spacing w:after="240"/>
        <w:ind w:left="2340" w:hanging="1620"/>
        <w:rPr>
          <w:color w:val="000000"/>
        </w:rPr>
      </w:pPr>
      <w:r w:rsidRPr="0013396E">
        <w:rPr>
          <w:b/>
          <w:bCs/>
          <w:lang w:val="pt-BR"/>
        </w:rPr>
        <w:t xml:space="preserve">RTDASAMT </w:t>
      </w:r>
      <w:r w:rsidRPr="0013396E">
        <w:rPr>
          <w:b/>
          <w:bCs/>
          <w:i/>
          <w:vertAlign w:val="subscript"/>
          <w:lang w:val="es-ES"/>
        </w:rPr>
        <w:t xml:space="preserve">q </w:t>
      </w:r>
      <w:r w:rsidRPr="0013396E">
        <w:rPr>
          <w:b/>
          <w:bCs/>
          <w:lang w:val="pt-BR"/>
        </w:rPr>
        <w:t xml:space="preserve">= </w:t>
      </w:r>
      <w:r w:rsidRPr="0013396E">
        <w:rPr>
          <w:b/>
          <w:bCs/>
          <w:vertAlign w:val="subscript"/>
          <w:lang w:val="es-ES"/>
        </w:rPr>
        <w:t xml:space="preserve"> </w:t>
      </w:r>
      <w:r w:rsidRPr="0013396E">
        <w:rPr>
          <w:b/>
          <w:bCs/>
          <w:lang w:val="es-ES"/>
        </w:rPr>
        <w:t xml:space="preserve">(-1) * </w:t>
      </w:r>
      <w:r w:rsidRPr="0013396E">
        <w:rPr>
          <w:b/>
          <w:bCs/>
        </w:rPr>
        <w:t>Max [0,</w:t>
      </w:r>
      <w:r w:rsidRPr="0013396E">
        <w:t xml:space="preserve"> </w:t>
      </w:r>
      <w:r w:rsidRPr="0013396E">
        <w:rPr>
          <w:b/>
          <w:bCs/>
          <w:lang w:val="es-ES"/>
        </w:rPr>
        <w:t>Min[(</w:t>
      </w:r>
      <w:r w:rsidRPr="0013396E">
        <w:rPr>
          <w:b/>
          <w:bCs/>
          <w:lang w:val="pt-BR"/>
        </w:rPr>
        <w:t xml:space="preserve">RTRUILD </w:t>
      </w:r>
      <w:r w:rsidRPr="0013396E">
        <w:rPr>
          <w:b/>
          <w:bCs/>
          <w:i/>
          <w:vertAlign w:val="subscript"/>
          <w:lang w:val="es-ES"/>
        </w:rPr>
        <w:t xml:space="preserve">q </w:t>
      </w:r>
      <w:r w:rsidRPr="0013396E">
        <w:rPr>
          <w:b/>
          <w:bCs/>
          <w:lang w:val="pt-BR"/>
        </w:rPr>
        <w:t xml:space="preserve">+ RTRDILD </w:t>
      </w:r>
      <w:r w:rsidRPr="0013396E">
        <w:rPr>
          <w:b/>
          <w:bCs/>
          <w:i/>
          <w:vertAlign w:val="subscript"/>
          <w:lang w:val="es-ES"/>
        </w:rPr>
        <w:t xml:space="preserve">q </w:t>
      </w:r>
      <w:r w:rsidRPr="0013396E">
        <w:rPr>
          <w:b/>
          <w:bCs/>
          <w:lang w:val="pt-BR"/>
        </w:rPr>
        <w:t xml:space="preserve">+ RTRRILD </w:t>
      </w:r>
      <w:r w:rsidRPr="0013396E">
        <w:rPr>
          <w:b/>
          <w:bCs/>
          <w:i/>
          <w:vertAlign w:val="subscript"/>
          <w:lang w:val="es-ES"/>
        </w:rPr>
        <w:t xml:space="preserve">q </w:t>
      </w:r>
      <w:r w:rsidRPr="0013396E">
        <w:rPr>
          <w:b/>
          <w:bCs/>
          <w:lang w:val="pt-BR"/>
        </w:rPr>
        <w:t xml:space="preserve">+ RTNSILD </w:t>
      </w:r>
      <w:r w:rsidRPr="0013396E">
        <w:rPr>
          <w:b/>
          <w:bCs/>
          <w:i/>
          <w:vertAlign w:val="subscript"/>
          <w:lang w:val="es-ES"/>
        </w:rPr>
        <w:t xml:space="preserve">q </w:t>
      </w:r>
      <w:r w:rsidRPr="0013396E">
        <w:rPr>
          <w:b/>
          <w:bCs/>
          <w:lang w:val="pt-BR"/>
        </w:rPr>
        <w:t xml:space="preserve">+ RTECRILD </w:t>
      </w:r>
      <w:r w:rsidRPr="0013396E">
        <w:rPr>
          <w:b/>
          <w:bCs/>
          <w:i/>
          <w:vertAlign w:val="subscript"/>
          <w:lang w:val="es-ES"/>
        </w:rPr>
        <w:t xml:space="preserve">q </w:t>
      </w:r>
      <w:r w:rsidRPr="0013396E">
        <w:rPr>
          <w:b/>
          <w:bCs/>
          <w:i/>
          <w:vertAlign w:val="subscript"/>
          <w:lang w:val="pt-BR"/>
        </w:rPr>
        <w:t xml:space="preserve"> </w:t>
      </w:r>
      <w:r w:rsidRPr="0013396E">
        <w:rPr>
          <w:b/>
          <w:bCs/>
          <w:lang w:val="pt-BR"/>
        </w:rPr>
        <w:t xml:space="preserve">– RTEIRD </w:t>
      </w:r>
      <w:r w:rsidRPr="0013396E">
        <w:rPr>
          <w:i/>
          <w:iCs/>
          <w:sz w:val="20"/>
          <w:vertAlign w:val="subscript"/>
        </w:rPr>
        <w:t>q</w:t>
      </w:r>
      <w:r w:rsidRPr="0013396E">
        <w:rPr>
          <w:b/>
          <w:bCs/>
          <w:lang w:val="pt-BR"/>
        </w:rPr>
        <w:t xml:space="preserve"> – RTASIRD</w:t>
      </w:r>
      <w:r w:rsidRPr="0013396E">
        <w:rPr>
          <w:b/>
          <w:bCs/>
          <w:i/>
          <w:vertAlign w:val="subscript"/>
          <w:lang w:val="pt-BR"/>
        </w:rPr>
        <w:t xml:space="preserve"> q</w:t>
      </w:r>
      <w:r w:rsidRPr="0013396E">
        <w:rPr>
          <w:b/>
          <w:bCs/>
          <w:lang w:val="es-ES"/>
        </w:rPr>
        <w:t xml:space="preserve">), </w:t>
      </w:r>
      <w:r w:rsidRPr="0013396E">
        <w:rPr>
          <w:position w:val="-18"/>
          <w:szCs w:val="24"/>
        </w:rPr>
        <w:object w:dxaOrig="285" w:dyaOrig="570" w14:anchorId="52086FF0">
          <v:shape id="_x0000_i1298" type="#_x0000_t75" style="width:12pt;height:30pt" o:ole="">
            <v:imagedata r:id="rId136" o:title=""/>
          </v:shape>
          <o:OLEObject Type="Embed" ProgID="Equation.3" ShapeID="_x0000_i1298" DrawAspect="Content" ObjectID="_1849065927" r:id="rId377"/>
        </w:object>
      </w:r>
      <w:r w:rsidRPr="0013396E">
        <w:rPr>
          <w:b/>
        </w:rPr>
        <w:t xml:space="preserve">RTDASCAP </w:t>
      </w:r>
      <w:r w:rsidRPr="0013396E">
        <w:rPr>
          <w:b/>
          <w:i/>
          <w:vertAlign w:val="subscript"/>
        </w:rPr>
        <w:t>q, r</w:t>
      </w:r>
      <w:r w:rsidRPr="0013396E">
        <w:rPr>
          <w:b/>
        </w:rPr>
        <w:t>]]</w:t>
      </w:r>
    </w:p>
    <w:p w14:paraId="7BD9BE5C" w14:textId="77777777" w:rsidR="00F10AF1" w:rsidRPr="0013396E" w:rsidRDefault="00F10AF1" w:rsidP="00F10AF1">
      <w:pPr>
        <w:tabs>
          <w:tab w:val="left" w:pos="1440"/>
          <w:tab w:val="left" w:pos="2340"/>
        </w:tabs>
        <w:spacing w:after="240"/>
        <w:ind w:left="3420" w:hanging="2700"/>
        <w:jc w:val="both"/>
        <w:rPr>
          <w:bCs/>
          <w:lang w:val="pt-BR"/>
        </w:rPr>
      </w:pPr>
      <w:r w:rsidRPr="0013396E">
        <w:rPr>
          <w:bCs/>
          <w:lang w:val="pt-BR"/>
        </w:rPr>
        <w:t>Where:</w:t>
      </w:r>
    </w:p>
    <w:p w14:paraId="6B68D76A" w14:textId="77777777" w:rsidR="00F10AF1" w:rsidRPr="0013396E" w:rsidRDefault="00F10AF1" w:rsidP="00F10AF1">
      <w:pPr>
        <w:tabs>
          <w:tab w:val="left" w:pos="1440"/>
          <w:tab w:val="left" w:pos="2250"/>
        </w:tabs>
        <w:spacing w:after="240"/>
        <w:ind w:left="1980" w:hanging="1260"/>
        <w:jc w:val="both"/>
        <w:rPr>
          <w:bCs/>
          <w:i/>
          <w:vertAlign w:val="subscript"/>
          <w:lang w:val="pt-BR"/>
        </w:rPr>
      </w:pPr>
      <w:r w:rsidRPr="0013396E">
        <w:t xml:space="preserve">RTDASCAP </w:t>
      </w:r>
      <w:r w:rsidRPr="0013396E">
        <w:rPr>
          <w:i/>
          <w:vertAlign w:val="subscript"/>
        </w:rPr>
        <w:t>q. r</w:t>
      </w:r>
      <w:r w:rsidRPr="0013396E">
        <w:t xml:space="preserve"> =  (1/4) * (RTMCPCRU</w:t>
      </w:r>
      <w:r w:rsidRPr="0013396E">
        <w:rPr>
          <w:bCs/>
          <w:lang w:val="pt-BR"/>
        </w:rPr>
        <w:t xml:space="preserve"> * RTRUDQ </w:t>
      </w:r>
      <w:r w:rsidRPr="0013396E">
        <w:rPr>
          <w:bCs/>
          <w:i/>
          <w:vertAlign w:val="subscript"/>
          <w:lang w:val="pt-BR"/>
        </w:rPr>
        <w:t>q, r</w:t>
      </w:r>
      <w:r w:rsidRPr="0013396E">
        <w:rPr>
          <w:b/>
          <w:bCs/>
          <w:i/>
          <w:vertAlign w:val="subscript"/>
          <w:lang w:val="es-ES"/>
        </w:rPr>
        <w:t xml:space="preserve"> </w:t>
      </w:r>
      <w:r w:rsidRPr="0013396E">
        <w:rPr>
          <w:b/>
          <w:bCs/>
          <w:lang w:val="pt-BR"/>
        </w:rPr>
        <w:t xml:space="preserve">+ </w:t>
      </w:r>
      <w:r w:rsidRPr="0013396E">
        <w:t>RTMCPCRD</w:t>
      </w:r>
      <w:r w:rsidRPr="0013396E">
        <w:rPr>
          <w:bCs/>
          <w:lang w:val="pt-BR"/>
        </w:rPr>
        <w:t xml:space="preserve"> * RTRDDQ </w:t>
      </w:r>
      <w:r w:rsidRPr="0013396E">
        <w:rPr>
          <w:bCs/>
          <w:i/>
          <w:vertAlign w:val="subscript"/>
          <w:lang w:val="pt-BR"/>
        </w:rPr>
        <w:t xml:space="preserve">q, r </w:t>
      </w:r>
      <w:r w:rsidRPr="0013396E">
        <w:rPr>
          <w:b/>
          <w:bCs/>
          <w:lang w:val="pt-BR"/>
        </w:rPr>
        <w:t xml:space="preserve">+ </w:t>
      </w:r>
      <w:r w:rsidRPr="0013396E">
        <w:t>RTMCPCRR</w:t>
      </w:r>
      <w:r w:rsidRPr="0013396E">
        <w:rPr>
          <w:bCs/>
          <w:lang w:val="pt-BR"/>
        </w:rPr>
        <w:t xml:space="preserve"> * RTRRDQ </w:t>
      </w:r>
      <w:r w:rsidRPr="0013396E">
        <w:rPr>
          <w:bCs/>
          <w:i/>
          <w:vertAlign w:val="subscript"/>
          <w:lang w:val="pt-BR"/>
        </w:rPr>
        <w:t xml:space="preserve">q, r </w:t>
      </w:r>
      <w:r w:rsidRPr="0013396E">
        <w:rPr>
          <w:b/>
          <w:bCs/>
          <w:lang w:val="pt-BR"/>
        </w:rPr>
        <w:t xml:space="preserve">+ </w:t>
      </w:r>
      <w:r w:rsidRPr="0013396E">
        <w:t>RTMCPCNS</w:t>
      </w:r>
      <w:r w:rsidRPr="0013396E">
        <w:rPr>
          <w:bCs/>
          <w:lang w:val="pt-BR"/>
        </w:rPr>
        <w:t xml:space="preserve"> * RTNSDQ </w:t>
      </w:r>
      <w:r w:rsidRPr="0013396E">
        <w:rPr>
          <w:bCs/>
          <w:i/>
          <w:vertAlign w:val="subscript"/>
          <w:lang w:val="pt-BR"/>
        </w:rPr>
        <w:t xml:space="preserve">q, r </w:t>
      </w:r>
      <w:r w:rsidRPr="0013396E">
        <w:rPr>
          <w:b/>
          <w:bCs/>
          <w:lang w:val="pt-BR"/>
        </w:rPr>
        <w:t xml:space="preserve">+ </w:t>
      </w:r>
      <w:r w:rsidRPr="0013396E">
        <w:rPr>
          <w:bCs/>
          <w:i/>
          <w:vertAlign w:val="subscript"/>
          <w:lang w:val="pt-BR"/>
        </w:rPr>
        <w:t xml:space="preserve"> </w:t>
      </w:r>
    </w:p>
    <w:p w14:paraId="301CF16C" w14:textId="77777777" w:rsidR="00F10AF1" w:rsidRPr="0013396E" w:rsidRDefault="00F10AF1" w:rsidP="00F10AF1">
      <w:pPr>
        <w:tabs>
          <w:tab w:val="left" w:pos="1440"/>
          <w:tab w:val="left" w:pos="2250"/>
        </w:tabs>
        <w:spacing w:before="240" w:after="240"/>
        <w:ind w:left="1980" w:hanging="1350"/>
        <w:jc w:val="both"/>
        <w:rPr>
          <w:bCs/>
          <w:lang w:val="pt-BR"/>
        </w:rPr>
      </w:pPr>
      <w:r w:rsidRPr="0013396E">
        <w:rPr>
          <w:bCs/>
          <w:i/>
          <w:vertAlign w:val="subscript"/>
          <w:lang w:val="pt-BR"/>
        </w:rPr>
        <w:tab/>
      </w:r>
      <w:r w:rsidRPr="0013396E">
        <w:rPr>
          <w:bCs/>
          <w:i/>
          <w:vertAlign w:val="subscript"/>
          <w:lang w:val="pt-BR"/>
        </w:rPr>
        <w:tab/>
      </w:r>
      <w:r w:rsidRPr="0013396E">
        <w:t>RTMCPCECR</w:t>
      </w:r>
      <w:r w:rsidRPr="0013396E">
        <w:rPr>
          <w:bCs/>
          <w:lang w:val="pt-BR"/>
        </w:rPr>
        <w:t xml:space="preserve"> * RTECRDQ </w:t>
      </w:r>
      <w:r w:rsidRPr="0013396E">
        <w:rPr>
          <w:bCs/>
          <w:i/>
          <w:vertAlign w:val="subscript"/>
          <w:lang w:val="pt-BR"/>
        </w:rPr>
        <w:t>q, r</w:t>
      </w:r>
      <w:r w:rsidRPr="0013396E">
        <w:rPr>
          <w:bCs/>
          <w:lang w:val="pt-BR"/>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503F3" w:rsidRPr="0013396E" w14:paraId="21DF376C" w14:textId="77777777" w:rsidTr="00A86863">
        <w:trPr>
          <w:trHeight w:val="206"/>
        </w:trPr>
        <w:tc>
          <w:tcPr>
            <w:tcW w:w="9350" w:type="dxa"/>
            <w:shd w:val="pct12" w:color="auto" w:fill="auto"/>
          </w:tcPr>
          <w:p w14:paraId="636E8EE5" w14:textId="6227AC75" w:rsidR="006503F3" w:rsidRPr="0013396E" w:rsidRDefault="006503F3" w:rsidP="00A8686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Replace paragraph (7) above with the following</w:t>
            </w:r>
            <w:r w:rsidRPr="0013396E">
              <w:rPr>
                <w:b/>
                <w:i/>
                <w:iCs/>
                <w:szCs w:val="24"/>
              </w:rPr>
              <w:t xml:space="preserve"> upon system implementation:]</w:t>
            </w:r>
          </w:p>
          <w:p w14:paraId="02D6553C" w14:textId="77777777" w:rsidR="006503F3" w:rsidRPr="006503F3" w:rsidRDefault="006503F3" w:rsidP="006503F3">
            <w:pPr>
              <w:spacing w:after="240"/>
              <w:ind w:left="720" w:hanging="720"/>
              <w:rPr>
                <w:color w:val="000000"/>
              </w:rPr>
            </w:pPr>
            <w:r w:rsidRPr="006503F3">
              <w:rPr>
                <w:color w:val="000000"/>
              </w:rPr>
              <w:t>(7)</w:t>
            </w:r>
            <w:r w:rsidRPr="006503F3">
              <w:rPr>
                <w:color w:val="000000"/>
              </w:rPr>
              <w:tab/>
              <w:t xml:space="preserve">The Real-Time derated Ancillary Service capability payment for a given 15-minute Settlement Interval is calculated as follows:  </w:t>
            </w:r>
          </w:p>
          <w:p w14:paraId="739082D6" w14:textId="77777777" w:rsidR="006503F3" w:rsidRPr="006503F3" w:rsidRDefault="006503F3" w:rsidP="006503F3">
            <w:pPr>
              <w:spacing w:after="240"/>
              <w:ind w:left="2340" w:hanging="1620"/>
              <w:rPr>
                <w:color w:val="000000"/>
              </w:rPr>
            </w:pPr>
            <w:r w:rsidRPr="006503F3">
              <w:rPr>
                <w:b/>
                <w:bCs/>
                <w:lang w:val="pt-BR"/>
              </w:rPr>
              <w:t xml:space="preserve">RTDASAMT </w:t>
            </w:r>
            <w:r w:rsidRPr="006503F3">
              <w:rPr>
                <w:b/>
                <w:bCs/>
                <w:i/>
                <w:vertAlign w:val="subscript"/>
                <w:lang w:val="es-ES"/>
              </w:rPr>
              <w:t xml:space="preserve">q </w:t>
            </w:r>
            <w:r w:rsidRPr="006503F3">
              <w:rPr>
                <w:b/>
                <w:bCs/>
                <w:lang w:val="pt-BR"/>
              </w:rPr>
              <w:t xml:space="preserve">= </w:t>
            </w:r>
            <w:r w:rsidRPr="006503F3">
              <w:rPr>
                <w:b/>
                <w:bCs/>
                <w:vertAlign w:val="subscript"/>
                <w:lang w:val="es-ES"/>
              </w:rPr>
              <w:t xml:space="preserve"> </w:t>
            </w:r>
            <w:r w:rsidRPr="006503F3">
              <w:rPr>
                <w:b/>
                <w:bCs/>
                <w:lang w:val="es-ES"/>
              </w:rPr>
              <w:t xml:space="preserve">(-1) * </w:t>
            </w:r>
            <w:r w:rsidRPr="006503F3">
              <w:rPr>
                <w:b/>
                <w:bCs/>
              </w:rPr>
              <w:t>Max [0,</w:t>
            </w:r>
            <w:r w:rsidRPr="006503F3">
              <w:t xml:space="preserve"> </w:t>
            </w:r>
            <w:r w:rsidRPr="006503F3">
              <w:rPr>
                <w:b/>
                <w:bCs/>
                <w:lang w:val="es-ES"/>
              </w:rPr>
              <w:t>Min[(</w:t>
            </w:r>
            <w:r w:rsidRPr="006503F3">
              <w:rPr>
                <w:b/>
                <w:bCs/>
                <w:lang w:val="pt-BR"/>
              </w:rPr>
              <w:t xml:space="preserve">RTRUILD </w:t>
            </w:r>
            <w:r w:rsidRPr="006503F3">
              <w:rPr>
                <w:b/>
                <w:bCs/>
                <w:i/>
                <w:vertAlign w:val="subscript"/>
                <w:lang w:val="es-ES"/>
              </w:rPr>
              <w:t xml:space="preserve">q </w:t>
            </w:r>
            <w:r w:rsidRPr="006503F3">
              <w:rPr>
                <w:b/>
                <w:bCs/>
                <w:lang w:val="pt-BR"/>
              </w:rPr>
              <w:t xml:space="preserve">+ RTRDILD </w:t>
            </w:r>
            <w:r w:rsidRPr="006503F3">
              <w:rPr>
                <w:b/>
                <w:bCs/>
                <w:i/>
                <w:vertAlign w:val="subscript"/>
                <w:lang w:val="es-ES"/>
              </w:rPr>
              <w:t xml:space="preserve">q </w:t>
            </w:r>
            <w:r w:rsidRPr="006503F3">
              <w:rPr>
                <w:b/>
                <w:bCs/>
                <w:lang w:val="pt-BR"/>
              </w:rPr>
              <w:t xml:space="preserve">+ RTRRILD </w:t>
            </w:r>
            <w:r w:rsidRPr="006503F3">
              <w:rPr>
                <w:b/>
                <w:bCs/>
                <w:i/>
                <w:vertAlign w:val="subscript"/>
                <w:lang w:val="es-ES"/>
              </w:rPr>
              <w:t xml:space="preserve">q </w:t>
            </w:r>
            <w:r w:rsidRPr="006503F3">
              <w:rPr>
                <w:b/>
                <w:bCs/>
                <w:lang w:val="pt-BR"/>
              </w:rPr>
              <w:t xml:space="preserve">+ RTNSILD </w:t>
            </w:r>
            <w:r w:rsidRPr="006503F3">
              <w:rPr>
                <w:b/>
                <w:bCs/>
                <w:i/>
                <w:vertAlign w:val="subscript"/>
                <w:lang w:val="es-ES"/>
              </w:rPr>
              <w:t xml:space="preserve">q </w:t>
            </w:r>
            <w:r w:rsidRPr="006503F3">
              <w:rPr>
                <w:b/>
                <w:bCs/>
                <w:lang w:val="pt-BR"/>
              </w:rPr>
              <w:t xml:space="preserve">+ RTECRILD </w:t>
            </w:r>
            <w:r w:rsidRPr="006503F3">
              <w:rPr>
                <w:b/>
                <w:bCs/>
                <w:i/>
                <w:vertAlign w:val="subscript"/>
                <w:lang w:val="es-ES"/>
              </w:rPr>
              <w:t xml:space="preserve">q </w:t>
            </w:r>
            <w:r w:rsidRPr="006503F3">
              <w:rPr>
                <w:b/>
                <w:bCs/>
                <w:i/>
                <w:vertAlign w:val="subscript"/>
                <w:lang w:val="pt-BR"/>
              </w:rPr>
              <w:t xml:space="preserve"> </w:t>
            </w:r>
            <w:r w:rsidRPr="006503F3">
              <w:rPr>
                <w:b/>
                <w:bCs/>
                <w:szCs w:val="24"/>
                <w:lang w:val="pt-BR"/>
              </w:rPr>
              <w:t xml:space="preserve">+ RTDRRILD </w:t>
            </w:r>
            <w:r w:rsidRPr="006503F3">
              <w:rPr>
                <w:b/>
                <w:bCs/>
                <w:i/>
                <w:iCs/>
                <w:szCs w:val="24"/>
                <w:vertAlign w:val="subscript"/>
                <w:lang w:val="es-ES"/>
              </w:rPr>
              <w:t xml:space="preserve">q </w:t>
            </w:r>
            <w:r w:rsidRPr="006503F3">
              <w:rPr>
                <w:b/>
                <w:bCs/>
                <w:i/>
                <w:iCs/>
                <w:szCs w:val="24"/>
                <w:vertAlign w:val="subscript"/>
                <w:lang w:val="pt-BR"/>
              </w:rPr>
              <w:t xml:space="preserve"> </w:t>
            </w:r>
            <w:r w:rsidRPr="006503F3">
              <w:rPr>
                <w:b/>
                <w:bCs/>
                <w:lang w:val="pt-BR"/>
              </w:rPr>
              <w:t xml:space="preserve">– RTEIRD </w:t>
            </w:r>
            <w:r w:rsidRPr="006503F3">
              <w:rPr>
                <w:i/>
                <w:iCs/>
                <w:sz w:val="20"/>
                <w:vertAlign w:val="subscript"/>
              </w:rPr>
              <w:t>q</w:t>
            </w:r>
            <w:r w:rsidRPr="006503F3">
              <w:rPr>
                <w:b/>
                <w:bCs/>
                <w:lang w:val="pt-BR"/>
              </w:rPr>
              <w:t xml:space="preserve"> – RTASIRD</w:t>
            </w:r>
            <w:r w:rsidRPr="006503F3">
              <w:rPr>
                <w:b/>
                <w:bCs/>
                <w:i/>
                <w:vertAlign w:val="subscript"/>
                <w:lang w:val="pt-BR"/>
              </w:rPr>
              <w:t xml:space="preserve"> q</w:t>
            </w:r>
            <w:r w:rsidRPr="006503F3">
              <w:rPr>
                <w:b/>
                <w:bCs/>
                <w:lang w:val="es-ES"/>
              </w:rPr>
              <w:t xml:space="preserve">), </w:t>
            </w:r>
            <w:r w:rsidRPr="006503F3">
              <w:rPr>
                <w:position w:val="-18"/>
                <w:szCs w:val="24"/>
              </w:rPr>
              <w:object w:dxaOrig="285" w:dyaOrig="570" w14:anchorId="4F582027">
                <v:shape id="_x0000_i1299" type="#_x0000_t75" style="width:13.2pt;height:28.8pt" o:ole="">
                  <v:imagedata r:id="rId136" o:title=""/>
                </v:shape>
                <o:OLEObject Type="Embed" ProgID="Equation.3" ShapeID="_x0000_i1299" DrawAspect="Content" ObjectID="_1849065928" r:id="rId378"/>
              </w:object>
            </w:r>
            <w:r w:rsidRPr="006503F3">
              <w:rPr>
                <w:b/>
              </w:rPr>
              <w:t xml:space="preserve">RTDASCAP </w:t>
            </w:r>
            <w:r w:rsidRPr="006503F3">
              <w:rPr>
                <w:b/>
                <w:i/>
                <w:vertAlign w:val="subscript"/>
              </w:rPr>
              <w:t>q, r</w:t>
            </w:r>
            <w:r w:rsidRPr="006503F3">
              <w:rPr>
                <w:b/>
              </w:rPr>
              <w:t>]]</w:t>
            </w:r>
          </w:p>
          <w:p w14:paraId="09F833C0" w14:textId="77777777" w:rsidR="006503F3" w:rsidRPr="006503F3" w:rsidRDefault="006503F3" w:rsidP="006503F3">
            <w:pPr>
              <w:tabs>
                <w:tab w:val="left" w:pos="1440"/>
                <w:tab w:val="left" w:pos="2340"/>
              </w:tabs>
              <w:spacing w:after="240"/>
              <w:ind w:left="3420" w:hanging="2700"/>
              <w:jc w:val="both"/>
              <w:rPr>
                <w:bCs/>
                <w:lang w:val="pt-BR"/>
              </w:rPr>
            </w:pPr>
            <w:r w:rsidRPr="006503F3">
              <w:rPr>
                <w:bCs/>
                <w:lang w:val="pt-BR"/>
              </w:rPr>
              <w:t>Where:</w:t>
            </w:r>
          </w:p>
          <w:p w14:paraId="11E5F570" w14:textId="77777777" w:rsidR="006503F3" w:rsidRPr="006503F3" w:rsidRDefault="006503F3" w:rsidP="006503F3">
            <w:pPr>
              <w:tabs>
                <w:tab w:val="left" w:pos="1440"/>
                <w:tab w:val="left" w:pos="2250"/>
              </w:tabs>
              <w:spacing w:after="240"/>
              <w:ind w:left="1980" w:hanging="1260"/>
              <w:jc w:val="both"/>
              <w:rPr>
                <w:bCs/>
                <w:i/>
                <w:vertAlign w:val="subscript"/>
                <w:lang w:val="pt-BR"/>
              </w:rPr>
            </w:pPr>
            <w:r w:rsidRPr="006503F3">
              <w:t xml:space="preserve">RTDASCAP </w:t>
            </w:r>
            <w:r w:rsidRPr="006503F3">
              <w:rPr>
                <w:i/>
                <w:vertAlign w:val="subscript"/>
              </w:rPr>
              <w:t>q. r</w:t>
            </w:r>
            <w:r w:rsidRPr="006503F3">
              <w:t xml:space="preserve"> =  (1/4) * (RTMCPCRU</w:t>
            </w:r>
            <w:r w:rsidRPr="006503F3">
              <w:rPr>
                <w:bCs/>
                <w:lang w:val="pt-BR"/>
              </w:rPr>
              <w:t xml:space="preserve"> * RTRUDQ </w:t>
            </w:r>
            <w:r w:rsidRPr="006503F3">
              <w:rPr>
                <w:bCs/>
                <w:i/>
                <w:vertAlign w:val="subscript"/>
                <w:lang w:val="pt-BR"/>
              </w:rPr>
              <w:t>q, r</w:t>
            </w:r>
            <w:r w:rsidRPr="006503F3">
              <w:rPr>
                <w:b/>
                <w:bCs/>
                <w:i/>
                <w:vertAlign w:val="subscript"/>
                <w:lang w:val="es-ES"/>
              </w:rPr>
              <w:t xml:space="preserve"> </w:t>
            </w:r>
            <w:r w:rsidRPr="006503F3">
              <w:rPr>
                <w:b/>
                <w:bCs/>
                <w:lang w:val="pt-BR"/>
              </w:rPr>
              <w:t xml:space="preserve">+ </w:t>
            </w:r>
            <w:r w:rsidRPr="006503F3">
              <w:t>RTMCPCRD</w:t>
            </w:r>
            <w:r w:rsidRPr="006503F3">
              <w:rPr>
                <w:bCs/>
                <w:lang w:val="pt-BR"/>
              </w:rPr>
              <w:t xml:space="preserve"> * RTRDDQ </w:t>
            </w:r>
            <w:r w:rsidRPr="006503F3">
              <w:rPr>
                <w:bCs/>
                <w:i/>
                <w:vertAlign w:val="subscript"/>
                <w:lang w:val="pt-BR"/>
              </w:rPr>
              <w:t xml:space="preserve">q, r </w:t>
            </w:r>
            <w:r w:rsidRPr="006503F3">
              <w:rPr>
                <w:b/>
                <w:bCs/>
                <w:lang w:val="pt-BR"/>
              </w:rPr>
              <w:t xml:space="preserve">+ </w:t>
            </w:r>
            <w:r w:rsidRPr="006503F3">
              <w:t>RTMCPCRR</w:t>
            </w:r>
            <w:r w:rsidRPr="006503F3">
              <w:rPr>
                <w:bCs/>
                <w:lang w:val="pt-BR"/>
              </w:rPr>
              <w:t xml:space="preserve"> * RTRRDQ </w:t>
            </w:r>
            <w:r w:rsidRPr="006503F3">
              <w:rPr>
                <w:bCs/>
                <w:i/>
                <w:vertAlign w:val="subscript"/>
                <w:lang w:val="pt-BR"/>
              </w:rPr>
              <w:t xml:space="preserve">q, r </w:t>
            </w:r>
            <w:r w:rsidRPr="006503F3">
              <w:rPr>
                <w:b/>
                <w:bCs/>
                <w:lang w:val="pt-BR"/>
              </w:rPr>
              <w:t xml:space="preserve">+ </w:t>
            </w:r>
            <w:r w:rsidRPr="006503F3">
              <w:t>RTMCPCNS</w:t>
            </w:r>
            <w:r w:rsidRPr="006503F3">
              <w:rPr>
                <w:bCs/>
                <w:lang w:val="pt-BR"/>
              </w:rPr>
              <w:t xml:space="preserve"> * RTNSDQ </w:t>
            </w:r>
            <w:r w:rsidRPr="006503F3">
              <w:rPr>
                <w:bCs/>
                <w:i/>
                <w:vertAlign w:val="subscript"/>
                <w:lang w:val="pt-BR"/>
              </w:rPr>
              <w:t xml:space="preserve">q, r </w:t>
            </w:r>
            <w:r w:rsidRPr="006503F3">
              <w:rPr>
                <w:b/>
                <w:bCs/>
                <w:lang w:val="pt-BR"/>
              </w:rPr>
              <w:t xml:space="preserve">+ </w:t>
            </w:r>
            <w:r w:rsidRPr="006503F3">
              <w:rPr>
                <w:bCs/>
                <w:i/>
                <w:vertAlign w:val="subscript"/>
                <w:lang w:val="pt-BR"/>
              </w:rPr>
              <w:t xml:space="preserve"> </w:t>
            </w:r>
          </w:p>
          <w:p w14:paraId="236CD976" w14:textId="3427DF11" w:rsidR="006503F3" w:rsidRPr="006503F3" w:rsidRDefault="006503F3" w:rsidP="006503F3">
            <w:pPr>
              <w:tabs>
                <w:tab w:val="left" w:pos="1440"/>
                <w:tab w:val="left" w:pos="2250"/>
              </w:tabs>
              <w:spacing w:before="240" w:after="240"/>
              <w:ind w:left="1980" w:hanging="1350"/>
              <w:jc w:val="both"/>
              <w:rPr>
                <w:bCs/>
                <w:lang w:val="pt-BR"/>
              </w:rPr>
            </w:pPr>
            <w:r w:rsidRPr="006503F3">
              <w:rPr>
                <w:bCs/>
                <w:i/>
                <w:vertAlign w:val="subscript"/>
                <w:lang w:val="pt-BR"/>
              </w:rPr>
              <w:tab/>
            </w:r>
            <w:r w:rsidRPr="006503F3">
              <w:rPr>
                <w:bCs/>
                <w:i/>
                <w:vertAlign w:val="subscript"/>
                <w:lang w:val="pt-BR"/>
              </w:rPr>
              <w:tab/>
            </w:r>
            <w:r w:rsidRPr="006503F3">
              <w:t>RTMCPCECR</w:t>
            </w:r>
            <w:r w:rsidRPr="006503F3">
              <w:rPr>
                <w:bCs/>
                <w:lang w:val="pt-BR"/>
              </w:rPr>
              <w:t xml:space="preserve"> * RTECRDQ </w:t>
            </w:r>
            <w:r w:rsidRPr="006503F3">
              <w:rPr>
                <w:bCs/>
                <w:i/>
                <w:vertAlign w:val="subscript"/>
                <w:lang w:val="pt-BR"/>
              </w:rPr>
              <w:t xml:space="preserve">q, r </w:t>
            </w:r>
            <w:r w:rsidRPr="006503F3">
              <w:rPr>
                <w:b/>
                <w:bCs/>
                <w:lang w:val="pt-BR"/>
              </w:rPr>
              <w:t xml:space="preserve">+ </w:t>
            </w:r>
            <w:r w:rsidRPr="006503F3">
              <w:rPr>
                <w:bCs/>
                <w:i/>
                <w:vertAlign w:val="subscript"/>
                <w:lang w:val="pt-BR"/>
              </w:rPr>
              <w:t xml:space="preserve"> </w:t>
            </w:r>
            <w:r w:rsidRPr="006503F3">
              <w:t>RTMCPCDRR</w:t>
            </w:r>
            <w:r w:rsidRPr="006503F3">
              <w:rPr>
                <w:bCs/>
                <w:lang w:val="pt-BR"/>
              </w:rPr>
              <w:t xml:space="preserve"> * RTDRRDQ </w:t>
            </w:r>
            <w:r w:rsidRPr="006503F3">
              <w:rPr>
                <w:bCs/>
                <w:i/>
                <w:vertAlign w:val="subscript"/>
                <w:lang w:val="pt-BR"/>
              </w:rPr>
              <w:t>q, r</w:t>
            </w:r>
            <w:r w:rsidRPr="006503F3">
              <w:rPr>
                <w:bCs/>
                <w:lang w:val="pt-BR"/>
              </w:rPr>
              <w:t>)</w:t>
            </w:r>
          </w:p>
        </w:tc>
      </w:tr>
    </w:tbl>
    <w:p w14:paraId="61669612" w14:textId="77777777" w:rsidR="00F10AF1" w:rsidRPr="0013396E" w:rsidRDefault="00F10AF1" w:rsidP="006503F3">
      <w:pPr>
        <w:pStyle w:val="Instructions"/>
        <w:spacing w:before="240" w:after="0"/>
        <w:ind w:left="720" w:hanging="720"/>
        <w:rPr>
          <w:i w:val="0"/>
        </w:rPr>
      </w:pPr>
      <w:r w:rsidRPr="0013396E">
        <w:rPr>
          <w:b w:val="0"/>
          <w:i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739"/>
        <w:gridCol w:w="6448"/>
      </w:tblGrid>
      <w:tr w:rsidR="00F10AF1" w:rsidRPr="0013396E" w14:paraId="7F567935"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37982893" w14:textId="77777777" w:rsidR="00F10AF1" w:rsidRPr="0013396E" w:rsidRDefault="00F10AF1" w:rsidP="0099759E">
            <w:pPr>
              <w:spacing w:after="240"/>
              <w:rPr>
                <w:b/>
                <w:iCs/>
                <w:sz w:val="20"/>
              </w:rPr>
            </w:pPr>
            <w:r w:rsidRPr="0013396E">
              <w:rPr>
                <w:b/>
                <w:iCs/>
                <w:sz w:val="20"/>
              </w:rPr>
              <w:t>Variable</w:t>
            </w:r>
          </w:p>
        </w:tc>
        <w:tc>
          <w:tcPr>
            <w:tcW w:w="395" w:type="pct"/>
            <w:tcBorders>
              <w:top w:val="single" w:sz="4" w:space="0" w:color="auto"/>
              <w:left w:val="single" w:sz="4" w:space="0" w:color="auto"/>
              <w:bottom w:val="single" w:sz="4" w:space="0" w:color="auto"/>
              <w:right w:val="single" w:sz="4" w:space="0" w:color="auto"/>
            </w:tcBorders>
            <w:hideMark/>
          </w:tcPr>
          <w:p w14:paraId="635968CA" w14:textId="77777777" w:rsidR="00F10AF1" w:rsidRPr="0013396E" w:rsidRDefault="00F10AF1" w:rsidP="0099759E">
            <w:pPr>
              <w:spacing w:after="240"/>
              <w:rPr>
                <w:b/>
                <w:iCs/>
                <w:sz w:val="20"/>
              </w:rPr>
            </w:pPr>
            <w:r w:rsidRPr="0013396E">
              <w:rPr>
                <w:b/>
                <w:iCs/>
                <w:sz w:val="20"/>
              </w:rPr>
              <w:t>Unit</w:t>
            </w:r>
          </w:p>
        </w:tc>
        <w:tc>
          <w:tcPr>
            <w:tcW w:w="3448" w:type="pct"/>
            <w:tcBorders>
              <w:top w:val="single" w:sz="4" w:space="0" w:color="auto"/>
              <w:left w:val="single" w:sz="4" w:space="0" w:color="auto"/>
              <w:bottom w:val="single" w:sz="4" w:space="0" w:color="auto"/>
              <w:right w:val="single" w:sz="4" w:space="0" w:color="auto"/>
            </w:tcBorders>
            <w:hideMark/>
          </w:tcPr>
          <w:p w14:paraId="781601F8" w14:textId="77777777" w:rsidR="00F10AF1" w:rsidRPr="0013396E" w:rsidRDefault="00F10AF1" w:rsidP="0099759E">
            <w:pPr>
              <w:spacing w:after="240"/>
              <w:rPr>
                <w:b/>
                <w:iCs/>
                <w:sz w:val="20"/>
              </w:rPr>
            </w:pPr>
            <w:r w:rsidRPr="0013396E">
              <w:rPr>
                <w:b/>
                <w:iCs/>
                <w:sz w:val="20"/>
              </w:rPr>
              <w:t>Description</w:t>
            </w:r>
          </w:p>
        </w:tc>
      </w:tr>
      <w:tr w:rsidR="00F10AF1" w:rsidRPr="0013396E" w14:paraId="295CE878"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3374D8AC" w14:textId="77777777" w:rsidR="00F10AF1" w:rsidRPr="0013396E" w:rsidRDefault="00F10AF1" w:rsidP="0099759E">
            <w:pPr>
              <w:spacing w:after="60"/>
              <w:rPr>
                <w:iCs/>
                <w:sz w:val="20"/>
              </w:rPr>
            </w:pPr>
            <w:r w:rsidRPr="0013396E">
              <w:rPr>
                <w:bCs/>
                <w:sz w:val="20"/>
                <w:lang w:val="pt-BR"/>
              </w:rPr>
              <w:t>RTDASAMT</w:t>
            </w:r>
            <w:r w:rsidRPr="0013396E">
              <w:rPr>
                <w:bCs/>
                <w:lang w:val="pt-BR"/>
              </w:rPr>
              <w:t xml:space="preserve">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24A9000C" w14:textId="77777777" w:rsidR="00F10AF1" w:rsidRPr="0013396E" w:rsidRDefault="00F10AF1" w:rsidP="0099759E">
            <w:pPr>
              <w:spacing w:after="60"/>
              <w:rPr>
                <w:iCs/>
                <w:sz w:val="20"/>
              </w:rPr>
            </w:pPr>
            <w:r w:rsidRPr="0013396E">
              <w:rPr>
                <w:iCs/>
                <w:sz w:val="20"/>
              </w:rPr>
              <w:t>$</w:t>
            </w:r>
          </w:p>
        </w:tc>
        <w:tc>
          <w:tcPr>
            <w:tcW w:w="3448" w:type="pct"/>
            <w:tcBorders>
              <w:top w:val="single" w:sz="4" w:space="0" w:color="auto"/>
              <w:left w:val="single" w:sz="4" w:space="0" w:color="auto"/>
              <w:bottom w:val="single" w:sz="4" w:space="0" w:color="auto"/>
              <w:right w:val="single" w:sz="4" w:space="0" w:color="auto"/>
            </w:tcBorders>
            <w:hideMark/>
          </w:tcPr>
          <w:p w14:paraId="0273A3BB" w14:textId="77777777" w:rsidR="00F10AF1" w:rsidRPr="0013396E" w:rsidRDefault="00F10AF1" w:rsidP="0099759E">
            <w:pPr>
              <w:spacing w:after="60"/>
              <w:rPr>
                <w:iCs/>
                <w:sz w:val="20"/>
              </w:rPr>
            </w:pPr>
            <w:r w:rsidRPr="0013396E">
              <w:rPr>
                <w:i/>
                <w:iCs/>
                <w:sz w:val="20"/>
              </w:rPr>
              <w:t>Real-Time Derated Ancillary Service Amount</w:t>
            </w:r>
            <w:r w:rsidRPr="0013396E">
              <w:rPr>
                <w:iCs/>
                <w:sz w:val="20"/>
              </w:rPr>
              <w:t xml:space="preserve">—The payment to QSE </w:t>
            </w:r>
            <w:r w:rsidRPr="0013396E">
              <w:rPr>
                <w:i/>
                <w:iCs/>
                <w:sz w:val="20"/>
              </w:rPr>
              <w:t>q</w:t>
            </w:r>
            <w:r w:rsidRPr="0013396E">
              <w:rPr>
                <w:iCs/>
                <w:sz w:val="20"/>
              </w:rPr>
              <w:t xml:space="preserve"> for amounts recoverable resulting from a manual reduction of Ancillary Services by ERCOT for the 15-minute Settlement Interval.</w:t>
            </w:r>
          </w:p>
        </w:tc>
      </w:tr>
      <w:tr w:rsidR="00F10AF1" w:rsidRPr="0013396E" w14:paraId="636C627B"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6C4F0B86" w14:textId="77777777" w:rsidR="00F10AF1" w:rsidRPr="0013396E" w:rsidRDefault="00F10AF1" w:rsidP="0099759E">
            <w:pPr>
              <w:spacing w:after="60"/>
              <w:rPr>
                <w:iCs/>
                <w:sz w:val="20"/>
              </w:rPr>
            </w:pPr>
            <w:r w:rsidRPr="0013396E">
              <w:rPr>
                <w:bCs/>
                <w:sz w:val="20"/>
                <w:lang w:val="pt-BR"/>
              </w:rPr>
              <w:t>RTRUILD</w:t>
            </w:r>
            <w:r w:rsidRPr="0013396E">
              <w:rPr>
                <w:b/>
                <w:bCs/>
                <w:lang w:val="pt-BR"/>
              </w:rPr>
              <w:t xml:space="preserve">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2F7A12E9" w14:textId="77777777" w:rsidR="00F10AF1" w:rsidRPr="0013396E" w:rsidRDefault="00F10AF1" w:rsidP="0099759E">
            <w:pPr>
              <w:spacing w:after="60"/>
              <w:rPr>
                <w:iCs/>
                <w:sz w:val="20"/>
              </w:rPr>
            </w:pPr>
            <w:r w:rsidRPr="0013396E">
              <w:rPr>
                <w:iCs/>
                <w:sz w:val="20"/>
              </w:rPr>
              <w:t>$</w:t>
            </w:r>
          </w:p>
        </w:tc>
        <w:tc>
          <w:tcPr>
            <w:tcW w:w="3448" w:type="pct"/>
            <w:tcBorders>
              <w:top w:val="single" w:sz="4" w:space="0" w:color="auto"/>
              <w:left w:val="single" w:sz="4" w:space="0" w:color="auto"/>
              <w:bottom w:val="single" w:sz="4" w:space="0" w:color="auto"/>
              <w:right w:val="single" w:sz="4" w:space="0" w:color="auto"/>
            </w:tcBorders>
            <w:hideMark/>
          </w:tcPr>
          <w:p w14:paraId="7934389A" w14:textId="7806295C" w:rsidR="00F10AF1" w:rsidRPr="0013396E" w:rsidRDefault="00F10AF1" w:rsidP="0099759E">
            <w:pPr>
              <w:spacing w:after="60"/>
              <w:rPr>
                <w:i/>
                <w:iCs/>
                <w:sz w:val="20"/>
              </w:rPr>
            </w:pPr>
            <w:r w:rsidRPr="0013396E">
              <w:rPr>
                <w:i/>
                <w:iCs/>
                <w:sz w:val="20"/>
              </w:rPr>
              <w:t>Real-Time Derated Regulation Up Imbalance Losses for Deration</w:t>
            </w:r>
            <w:r w:rsidRPr="0013396E">
              <w:rPr>
                <w:iCs/>
                <w:sz w:val="20"/>
              </w:rPr>
              <w:t xml:space="preserve">—The payments not made to QSE </w:t>
            </w:r>
            <w:r w:rsidRPr="0013396E">
              <w:rPr>
                <w:i/>
                <w:iCs/>
                <w:sz w:val="20"/>
              </w:rPr>
              <w:t>q</w:t>
            </w:r>
            <w:r w:rsidRPr="0013396E">
              <w:rPr>
                <w:iCs/>
                <w:sz w:val="20"/>
              </w:rPr>
              <w:t xml:space="preserve"> under paragraph (1) of Section 6.7.</w:t>
            </w:r>
            <w:r w:rsidR="00A12B52" w:rsidRPr="0013396E">
              <w:rPr>
                <w:iCs/>
                <w:sz w:val="20"/>
              </w:rPr>
              <w:t>2</w:t>
            </w:r>
            <w:r w:rsidRPr="0013396E">
              <w:rPr>
                <w:iCs/>
                <w:sz w:val="20"/>
              </w:rPr>
              <w:t>.2, Regulation Up Service Payments and Charges, for the 15-minute Settlement Interval.</w:t>
            </w:r>
          </w:p>
        </w:tc>
      </w:tr>
      <w:tr w:rsidR="00F10AF1" w:rsidRPr="0013396E" w14:paraId="42A7FD87"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500AF04F" w14:textId="77777777" w:rsidR="00F10AF1" w:rsidRPr="0013396E" w:rsidRDefault="00F10AF1" w:rsidP="0099759E">
            <w:pPr>
              <w:spacing w:after="60"/>
              <w:rPr>
                <w:bCs/>
                <w:sz w:val="20"/>
                <w:lang w:val="pt-BR"/>
              </w:rPr>
            </w:pPr>
            <w:r w:rsidRPr="0013396E">
              <w:rPr>
                <w:bCs/>
                <w:sz w:val="20"/>
                <w:lang w:val="pt-BR"/>
              </w:rPr>
              <w:lastRenderedPageBreak/>
              <w:t xml:space="preserve">RTRDILD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4EB1E88E" w14:textId="77777777" w:rsidR="00F10AF1" w:rsidRPr="0013396E" w:rsidRDefault="00F10AF1" w:rsidP="0099759E">
            <w:pPr>
              <w:spacing w:after="60"/>
              <w:rPr>
                <w:bCs/>
                <w:sz w:val="20"/>
                <w:lang w:val="pt-BR"/>
              </w:rPr>
            </w:pPr>
            <w:r w:rsidRPr="0013396E">
              <w:rPr>
                <w:bCs/>
                <w:sz w:val="20"/>
                <w:lang w:val="pt-BR"/>
              </w:rPr>
              <w:t>$</w:t>
            </w:r>
          </w:p>
        </w:tc>
        <w:tc>
          <w:tcPr>
            <w:tcW w:w="3448" w:type="pct"/>
            <w:tcBorders>
              <w:top w:val="single" w:sz="4" w:space="0" w:color="auto"/>
              <w:left w:val="single" w:sz="4" w:space="0" w:color="auto"/>
              <w:bottom w:val="single" w:sz="4" w:space="0" w:color="auto"/>
              <w:right w:val="single" w:sz="4" w:space="0" w:color="auto"/>
            </w:tcBorders>
            <w:hideMark/>
          </w:tcPr>
          <w:p w14:paraId="1A3371F8" w14:textId="295D753D" w:rsidR="00F10AF1" w:rsidRPr="0013396E" w:rsidRDefault="00F10AF1" w:rsidP="0099759E">
            <w:pPr>
              <w:spacing w:after="60"/>
              <w:rPr>
                <w:bCs/>
                <w:sz w:val="20"/>
                <w:lang w:val="pt-BR"/>
              </w:rPr>
            </w:pPr>
            <w:r w:rsidRPr="0013396E">
              <w:rPr>
                <w:bCs/>
                <w:i/>
                <w:sz w:val="20"/>
                <w:lang w:val="pt-BR"/>
              </w:rPr>
              <w:t>Real-Time Derated Regulation Down Imbalance Losses for Deration</w:t>
            </w:r>
            <w:r w:rsidRPr="0013396E">
              <w:rPr>
                <w:bCs/>
                <w:sz w:val="20"/>
                <w:lang w:val="pt-BR"/>
              </w:rPr>
              <w:t xml:space="preserve">—The payments </w:t>
            </w:r>
            <w:r w:rsidRPr="0013396E">
              <w:rPr>
                <w:iCs/>
                <w:sz w:val="20"/>
              </w:rPr>
              <w:t xml:space="preserve">not made </w:t>
            </w:r>
            <w:r w:rsidRPr="0013396E">
              <w:rPr>
                <w:bCs/>
                <w:sz w:val="20"/>
                <w:lang w:val="pt-BR"/>
              </w:rPr>
              <w:t xml:space="preserve">to QSE </w:t>
            </w:r>
            <w:r w:rsidRPr="0013396E">
              <w:rPr>
                <w:bCs/>
                <w:i/>
                <w:sz w:val="20"/>
                <w:lang w:val="pt-BR"/>
              </w:rPr>
              <w:t>q</w:t>
            </w:r>
            <w:r w:rsidRPr="0013396E">
              <w:rPr>
                <w:bCs/>
                <w:sz w:val="20"/>
                <w:lang w:val="pt-BR"/>
              </w:rPr>
              <w:t xml:space="preserve"> under paragraph (1) of Section 6.7.</w:t>
            </w:r>
            <w:r w:rsidR="00A12B52" w:rsidRPr="0013396E">
              <w:rPr>
                <w:bCs/>
                <w:sz w:val="20"/>
                <w:lang w:val="pt-BR"/>
              </w:rPr>
              <w:t>2</w:t>
            </w:r>
            <w:r w:rsidRPr="0013396E">
              <w:rPr>
                <w:bCs/>
                <w:sz w:val="20"/>
                <w:lang w:val="pt-BR"/>
              </w:rPr>
              <w:t>.3, Regulation Down Service Payments and Charges, for the 15-minute Settlement Interval.</w:t>
            </w:r>
          </w:p>
        </w:tc>
      </w:tr>
      <w:tr w:rsidR="00F10AF1" w:rsidRPr="0013396E" w14:paraId="73006652"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41B5F3FE" w14:textId="77777777" w:rsidR="00F10AF1" w:rsidRPr="0013396E" w:rsidRDefault="00F10AF1" w:rsidP="0099759E">
            <w:pPr>
              <w:spacing w:after="60"/>
              <w:rPr>
                <w:bCs/>
                <w:sz w:val="20"/>
                <w:lang w:val="pt-BR"/>
              </w:rPr>
            </w:pPr>
            <w:r w:rsidRPr="0013396E">
              <w:rPr>
                <w:bCs/>
                <w:sz w:val="20"/>
                <w:lang w:val="pt-BR"/>
              </w:rPr>
              <w:t xml:space="preserve">RTRRILD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7C5E29D7" w14:textId="77777777" w:rsidR="00F10AF1" w:rsidRPr="0013396E" w:rsidRDefault="00F10AF1" w:rsidP="0099759E">
            <w:pPr>
              <w:spacing w:after="60"/>
              <w:rPr>
                <w:bCs/>
                <w:sz w:val="20"/>
                <w:lang w:val="pt-BR"/>
              </w:rPr>
            </w:pPr>
            <w:r w:rsidRPr="0013396E">
              <w:rPr>
                <w:bCs/>
                <w:sz w:val="20"/>
                <w:lang w:val="pt-BR"/>
              </w:rPr>
              <w:t>$</w:t>
            </w:r>
          </w:p>
        </w:tc>
        <w:tc>
          <w:tcPr>
            <w:tcW w:w="3448" w:type="pct"/>
            <w:tcBorders>
              <w:top w:val="single" w:sz="4" w:space="0" w:color="auto"/>
              <w:left w:val="single" w:sz="4" w:space="0" w:color="auto"/>
              <w:bottom w:val="single" w:sz="4" w:space="0" w:color="auto"/>
              <w:right w:val="single" w:sz="4" w:space="0" w:color="auto"/>
            </w:tcBorders>
            <w:hideMark/>
          </w:tcPr>
          <w:p w14:paraId="437823C0" w14:textId="4A740443" w:rsidR="00F10AF1" w:rsidRPr="0013396E" w:rsidRDefault="00F10AF1" w:rsidP="0099759E">
            <w:pPr>
              <w:spacing w:after="60"/>
              <w:rPr>
                <w:bCs/>
                <w:sz w:val="20"/>
                <w:lang w:val="pt-BR"/>
              </w:rPr>
            </w:pPr>
            <w:r w:rsidRPr="0013396E">
              <w:rPr>
                <w:bCs/>
                <w:i/>
                <w:sz w:val="20"/>
                <w:lang w:val="pt-BR"/>
              </w:rPr>
              <w:t>Real-Time Derated Responsive Reserve Imbalance Losses for Deration</w:t>
            </w:r>
            <w:r w:rsidRPr="0013396E">
              <w:rPr>
                <w:bCs/>
                <w:sz w:val="20"/>
                <w:lang w:val="pt-BR"/>
              </w:rPr>
              <w:t xml:space="preserve">—The payments </w:t>
            </w:r>
            <w:r w:rsidRPr="0013396E">
              <w:rPr>
                <w:iCs/>
                <w:sz w:val="20"/>
              </w:rPr>
              <w:t xml:space="preserve">not made </w:t>
            </w:r>
            <w:r w:rsidRPr="0013396E">
              <w:rPr>
                <w:bCs/>
                <w:sz w:val="20"/>
                <w:lang w:val="pt-BR"/>
              </w:rPr>
              <w:t xml:space="preserve">to QSE </w:t>
            </w:r>
            <w:r w:rsidRPr="0013396E">
              <w:rPr>
                <w:bCs/>
                <w:i/>
                <w:sz w:val="20"/>
                <w:lang w:val="pt-BR"/>
              </w:rPr>
              <w:t>q</w:t>
            </w:r>
            <w:r w:rsidRPr="0013396E">
              <w:rPr>
                <w:bCs/>
                <w:sz w:val="20"/>
                <w:lang w:val="pt-BR"/>
              </w:rPr>
              <w:t xml:space="preserve"> under paragraph (1) of Section 6.7.</w:t>
            </w:r>
            <w:r w:rsidR="00A12B52" w:rsidRPr="0013396E">
              <w:rPr>
                <w:bCs/>
                <w:sz w:val="20"/>
                <w:lang w:val="pt-BR"/>
              </w:rPr>
              <w:t>2</w:t>
            </w:r>
            <w:r w:rsidRPr="0013396E">
              <w:rPr>
                <w:bCs/>
                <w:sz w:val="20"/>
                <w:lang w:val="pt-BR"/>
              </w:rPr>
              <w:t>.4, Responsive Reserve Payments and Charges, for the 15-minute Settlement Interval.</w:t>
            </w:r>
          </w:p>
        </w:tc>
      </w:tr>
      <w:tr w:rsidR="00F10AF1" w:rsidRPr="0013396E" w14:paraId="5CC54C55"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7162555E" w14:textId="77777777" w:rsidR="00F10AF1" w:rsidRPr="0013396E" w:rsidRDefault="00F10AF1" w:rsidP="0099759E">
            <w:pPr>
              <w:spacing w:after="60"/>
              <w:rPr>
                <w:bCs/>
                <w:sz w:val="20"/>
                <w:lang w:val="pt-BR"/>
              </w:rPr>
            </w:pPr>
            <w:r w:rsidRPr="0013396E">
              <w:rPr>
                <w:bCs/>
                <w:sz w:val="20"/>
                <w:lang w:val="pt-BR"/>
              </w:rPr>
              <w:t xml:space="preserve">RTNSILD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6471E178" w14:textId="77777777" w:rsidR="00F10AF1" w:rsidRPr="0013396E" w:rsidRDefault="00F10AF1" w:rsidP="0099759E">
            <w:pPr>
              <w:spacing w:after="60"/>
              <w:rPr>
                <w:bCs/>
                <w:sz w:val="20"/>
                <w:lang w:val="pt-BR"/>
              </w:rPr>
            </w:pPr>
            <w:r w:rsidRPr="0013396E">
              <w:rPr>
                <w:bCs/>
                <w:sz w:val="20"/>
                <w:lang w:val="pt-BR"/>
              </w:rPr>
              <w:t>$</w:t>
            </w:r>
          </w:p>
        </w:tc>
        <w:tc>
          <w:tcPr>
            <w:tcW w:w="3448" w:type="pct"/>
            <w:tcBorders>
              <w:top w:val="single" w:sz="4" w:space="0" w:color="auto"/>
              <w:left w:val="single" w:sz="4" w:space="0" w:color="auto"/>
              <w:bottom w:val="single" w:sz="4" w:space="0" w:color="auto"/>
              <w:right w:val="single" w:sz="4" w:space="0" w:color="auto"/>
            </w:tcBorders>
            <w:hideMark/>
          </w:tcPr>
          <w:p w14:paraId="7FE3AF34" w14:textId="1D9D18B2" w:rsidR="00F10AF1" w:rsidRPr="0013396E" w:rsidRDefault="00F10AF1" w:rsidP="0099759E">
            <w:pPr>
              <w:spacing w:after="60"/>
              <w:rPr>
                <w:bCs/>
                <w:sz w:val="20"/>
                <w:lang w:val="pt-BR"/>
              </w:rPr>
            </w:pPr>
            <w:r w:rsidRPr="0013396E">
              <w:rPr>
                <w:bCs/>
                <w:i/>
                <w:sz w:val="20"/>
                <w:lang w:val="pt-BR"/>
              </w:rPr>
              <w:t>Real-Time Derated Non-Spin Imbalance Losses for Deration</w:t>
            </w:r>
            <w:r w:rsidRPr="0013396E">
              <w:rPr>
                <w:bCs/>
                <w:sz w:val="20"/>
                <w:lang w:val="pt-BR"/>
              </w:rPr>
              <w:t xml:space="preserve">—The payments </w:t>
            </w:r>
            <w:r w:rsidRPr="0013396E">
              <w:rPr>
                <w:iCs/>
                <w:sz w:val="20"/>
              </w:rPr>
              <w:t xml:space="preserve">not made </w:t>
            </w:r>
            <w:r w:rsidRPr="0013396E">
              <w:rPr>
                <w:bCs/>
                <w:sz w:val="20"/>
                <w:lang w:val="pt-BR"/>
              </w:rPr>
              <w:t xml:space="preserve">to QSE </w:t>
            </w:r>
            <w:r w:rsidRPr="0013396E">
              <w:rPr>
                <w:bCs/>
                <w:i/>
                <w:sz w:val="20"/>
                <w:lang w:val="pt-BR"/>
              </w:rPr>
              <w:t>q</w:t>
            </w:r>
            <w:r w:rsidRPr="0013396E">
              <w:rPr>
                <w:bCs/>
                <w:sz w:val="20"/>
                <w:lang w:val="pt-BR"/>
              </w:rPr>
              <w:t xml:space="preserve"> under paragraph (1) of Section 6.7.</w:t>
            </w:r>
            <w:r w:rsidR="00A12B52" w:rsidRPr="0013396E">
              <w:rPr>
                <w:bCs/>
                <w:sz w:val="20"/>
                <w:lang w:val="pt-BR"/>
              </w:rPr>
              <w:t>2</w:t>
            </w:r>
            <w:r w:rsidRPr="0013396E">
              <w:rPr>
                <w:bCs/>
                <w:sz w:val="20"/>
                <w:lang w:val="pt-BR"/>
              </w:rPr>
              <w:t>.5, Non-Spinning Reserve Service Payments and Charges, for the 15-minute Settlement Interval.</w:t>
            </w:r>
          </w:p>
        </w:tc>
      </w:tr>
      <w:tr w:rsidR="00F10AF1" w:rsidRPr="0013396E" w14:paraId="39030652"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180E4F32" w14:textId="77777777" w:rsidR="00F10AF1" w:rsidRPr="0013396E" w:rsidRDefault="00F10AF1" w:rsidP="0099759E">
            <w:pPr>
              <w:spacing w:after="60"/>
              <w:rPr>
                <w:bCs/>
                <w:sz w:val="20"/>
                <w:lang w:val="pt-BR"/>
              </w:rPr>
            </w:pPr>
            <w:r w:rsidRPr="0013396E">
              <w:rPr>
                <w:bCs/>
                <w:sz w:val="20"/>
                <w:lang w:val="pt-BR"/>
              </w:rPr>
              <w:t xml:space="preserve">RTECRILD </w:t>
            </w:r>
            <w:r w:rsidRPr="0013396E">
              <w:rPr>
                <w:bCs/>
                <w:sz w:val="20"/>
                <w:vertAlign w:val="subscript"/>
                <w:lang w:val="pt-BR"/>
              </w:rPr>
              <w:t>q</w:t>
            </w:r>
          </w:p>
        </w:tc>
        <w:tc>
          <w:tcPr>
            <w:tcW w:w="395" w:type="pct"/>
            <w:tcBorders>
              <w:top w:val="single" w:sz="4" w:space="0" w:color="auto"/>
              <w:left w:val="single" w:sz="4" w:space="0" w:color="auto"/>
              <w:bottom w:val="single" w:sz="4" w:space="0" w:color="auto"/>
              <w:right w:val="single" w:sz="4" w:space="0" w:color="auto"/>
            </w:tcBorders>
            <w:hideMark/>
          </w:tcPr>
          <w:p w14:paraId="7800DD5E" w14:textId="77777777" w:rsidR="00F10AF1" w:rsidRPr="0013396E" w:rsidRDefault="00F10AF1" w:rsidP="0099759E">
            <w:pPr>
              <w:spacing w:after="60"/>
              <w:rPr>
                <w:bCs/>
                <w:sz w:val="20"/>
                <w:lang w:val="pt-BR"/>
              </w:rPr>
            </w:pPr>
            <w:r w:rsidRPr="0013396E">
              <w:rPr>
                <w:bCs/>
                <w:sz w:val="20"/>
                <w:lang w:val="pt-BR"/>
              </w:rPr>
              <w:t>$</w:t>
            </w:r>
          </w:p>
        </w:tc>
        <w:tc>
          <w:tcPr>
            <w:tcW w:w="3448" w:type="pct"/>
            <w:tcBorders>
              <w:top w:val="single" w:sz="4" w:space="0" w:color="auto"/>
              <w:left w:val="single" w:sz="4" w:space="0" w:color="auto"/>
              <w:bottom w:val="single" w:sz="4" w:space="0" w:color="auto"/>
              <w:right w:val="single" w:sz="4" w:space="0" w:color="auto"/>
            </w:tcBorders>
            <w:hideMark/>
          </w:tcPr>
          <w:p w14:paraId="543965CB" w14:textId="49C9CC67" w:rsidR="00F10AF1" w:rsidRPr="0013396E" w:rsidRDefault="00F10AF1" w:rsidP="0099759E">
            <w:pPr>
              <w:spacing w:after="60"/>
              <w:rPr>
                <w:bCs/>
                <w:sz w:val="20"/>
                <w:lang w:val="pt-BR"/>
              </w:rPr>
            </w:pPr>
            <w:r w:rsidRPr="0013396E">
              <w:rPr>
                <w:bCs/>
                <w:i/>
                <w:sz w:val="20"/>
                <w:lang w:val="pt-BR"/>
              </w:rPr>
              <w:t>Real-Time Derated ERCOT Contingency Reserve Service Imbalance Losses for Deration</w:t>
            </w:r>
            <w:r w:rsidRPr="0013396E">
              <w:rPr>
                <w:bCs/>
                <w:sz w:val="20"/>
                <w:lang w:val="pt-BR"/>
              </w:rPr>
              <w:t xml:space="preserve">—The payments </w:t>
            </w:r>
            <w:r w:rsidRPr="0013396E">
              <w:rPr>
                <w:iCs/>
                <w:sz w:val="20"/>
              </w:rPr>
              <w:t xml:space="preserve">not made </w:t>
            </w:r>
            <w:r w:rsidRPr="0013396E">
              <w:rPr>
                <w:bCs/>
                <w:sz w:val="20"/>
                <w:lang w:val="pt-BR"/>
              </w:rPr>
              <w:t xml:space="preserve">to QSE </w:t>
            </w:r>
            <w:r w:rsidRPr="0013396E">
              <w:rPr>
                <w:bCs/>
                <w:i/>
                <w:sz w:val="20"/>
                <w:lang w:val="pt-BR"/>
              </w:rPr>
              <w:t>q</w:t>
            </w:r>
            <w:r w:rsidRPr="0013396E">
              <w:rPr>
                <w:bCs/>
                <w:sz w:val="20"/>
                <w:lang w:val="pt-BR"/>
              </w:rPr>
              <w:t xml:space="preserve"> under paragraph (1) of Section 6.7.</w:t>
            </w:r>
            <w:r w:rsidR="00A12B52" w:rsidRPr="0013396E">
              <w:rPr>
                <w:bCs/>
                <w:sz w:val="20"/>
                <w:lang w:val="pt-BR"/>
              </w:rPr>
              <w:t>2</w:t>
            </w:r>
            <w:r w:rsidRPr="0013396E">
              <w:rPr>
                <w:bCs/>
                <w:sz w:val="20"/>
                <w:lang w:val="pt-BR"/>
              </w:rPr>
              <w:t>.6, ERCOT Contingency Reserve Service Payments and Charges, for the 15-minute Settlement Interval.</w:t>
            </w:r>
          </w:p>
        </w:tc>
      </w:tr>
      <w:tr w:rsidR="006503F3" w:rsidRPr="0013396E" w14:paraId="2669D6C9" w14:textId="77777777" w:rsidTr="006503F3">
        <w:tc>
          <w:tcPr>
            <w:tcW w:w="5000" w:type="pct"/>
            <w:gridSpan w:val="3"/>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6503F3" w:rsidRPr="0013396E" w14:paraId="478FFFD4" w14:textId="77777777" w:rsidTr="00A86863">
              <w:trPr>
                <w:trHeight w:val="206"/>
              </w:trPr>
              <w:tc>
                <w:tcPr>
                  <w:tcW w:w="9350" w:type="dxa"/>
                  <w:shd w:val="pct12" w:color="auto" w:fill="auto"/>
                </w:tcPr>
                <w:p w14:paraId="597F1ABD" w14:textId="7CF1C321" w:rsidR="006503F3" w:rsidRPr="0013396E" w:rsidRDefault="006503F3" w:rsidP="006503F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6503F3">
                    <w:rPr>
                      <w:b/>
                      <w:i/>
                      <w:iCs/>
                      <w:szCs w:val="24"/>
                    </w:rPr>
                    <w:t>RTDRRILD</w:t>
                  </w:r>
                  <w:r w:rsidRPr="006503F3">
                    <w:rPr>
                      <w:b/>
                      <w:i/>
                      <w:iCs/>
                      <w:szCs w:val="24"/>
                      <w:vertAlign w:val="subscript"/>
                    </w:rPr>
                    <w:t xml:space="preserve"> q</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6503F3" w:rsidRPr="003F34DA" w14:paraId="34D903B2" w14:textId="77777777" w:rsidTr="00A86863">
                    <w:trPr>
                      <w:cantSplit/>
                    </w:trPr>
                    <w:tc>
                      <w:tcPr>
                        <w:tcW w:w="934" w:type="pct"/>
                      </w:tcPr>
                      <w:p w14:paraId="7C31B02E" w14:textId="2749E0EA" w:rsidR="006503F3" w:rsidRPr="003F34DA" w:rsidRDefault="006503F3" w:rsidP="006503F3">
                        <w:pPr>
                          <w:spacing w:after="60"/>
                          <w:rPr>
                            <w:bCs/>
                            <w:sz w:val="20"/>
                          </w:rPr>
                        </w:pPr>
                        <w:r w:rsidRPr="003F34DA">
                          <w:rPr>
                            <w:bCs/>
                            <w:sz w:val="20"/>
                            <w:lang w:val="pt-BR"/>
                          </w:rPr>
                          <w:t xml:space="preserve">RTDRRILD </w:t>
                        </w:r>
                        <w:r w:rsidRPr="003F34DA">
                          <w:rPr>
                            <w:bCs/>
                            <w:i/>
                            <w:iCs/>
                            <w:sz w:val="20"/>
                            <w:vertAlign w:val="subscript"/>
                            <w:lang w:val="pt-BR"/>
                          </w:rPr>
                          <w:t>q</w:t>
                        </w:r>
                      </w:p>
                    </w:tc>
                    <w:tc>
                      <w:tcPr>
                        <w:tcW w:w="481" w:type="pct"/>
                      </w:tcPr>
                      <w:p w14:paraId="1940C7A7" w14:textId="177F28E0" w:rsidR="006503F3" w:rsidRPr="003F34DA" w:rsidRDefault="006503F3" w:rsidP="006503F3">
                        <w:pPr>
                          <w:spacing w:after="60"/>
                          <w:rPr>
                            <w:iCs/>
                            <w:sz w:val="20"/>
                          </w:rPr>
                        </w:pPr>
                        <w:r w:rsidRPr="003F34DA">
                          <w:rPr>
                            <w:bCs/>
                            <w:sz w:val="20"/>
                            <w:lang w:val="pt-BR"/>
                          </w:rPr>
                          <w:t>$</w:t>
                        </w:r>
                      </w:p>
                    </w:tc>
                    <w:tc>
                      <w:tcPr>
                        <w:tcW w:w="3585" w:type="pct"/>
                      </w:tcPr>
                      <w:p w14:paraId="65381DB8" w14:textId="1557F08C" w:rsidR="006503F3" w:rsidRPr="003F34DA" w:rsidRDefault="006503F3" w:rsidP="006503F3">
                        <w:pPr>
                          <w:spacing w:after="60"/>
                          <w:rPr>
                            <w:i/>
                            <w:iCs/>
                            <w:sz w:val="20"/>
                          </w:rPr>
                        </w:pPr>
                        <w:r w:rsidRPr="003F34DA">
                          <w:rPr>
                            <w:bCs/>
                            <w:i/>
                            <w:sz w:val="20"/>
                            <w:lang w:val="pt-BR"/>
                          </w:rPr>
                          <w:t>Real-Time Derated Dispatchable Reliability Reserve Service Imbalance Losses for Deration</w:t>
                        </w:r>
                        <w:r w:rsidRPr="003F34DA">
                          <w:rPr>
                            <w:bCs/>
                            <w:sz w:val="20"/>
                            <w:lang w:val="pt-BR"/>
                          </w:rPr>
                          <w:t xml:space="preserve">—The payments </w:t>
                        </w:r>
                        <w:r w:rsidRPr="003F34DA">
                          <w:rPr>
                            <w:iCs/>
                            <w:sz w:val="20"/>
                          </w:rPr>
                          <w:t xml:space="preserve">not made </w:t>
                        </w:r>
                        <w:r w:rsidRPr="003F34DA">
                          <w:rPr>
                            <w:bCs/>
                            <w:sz w:val="20"/>
                            <w:lang w:val="pt-BR"/>
                          </w:rPr>
                          <w:t xml:space="preserve">to QSE </w:t>
                        </w:r>
                        <w:r w:rsidRPr="003F34DA">
                          <w:rPr>
                            <w:bCs/>
                            <w:i/>
                            <w:sz w:val="20"/>
                            <w:lang w:val="pt-BR"/>
                          </w:rPr>
                          <w:t>q</w:t>
                        </w:r>
                        <w:r w:rsidRPr="003F34DA">
                          <w:rPr>
                            <w:bCs/>
                            <w:sz w:val="20"/>
                            <w:lang w:val="pt-BR"/>
                          </w:rPr>
                          <w:t xml:space="preserve"> under paragraph (1) of Section 6.7.2.7, Dispatchable Reliability Reserve Service Payments and Charges, for the 15-minute Settlement Interval.</w:t>
                        </w:r>
                      </w:p>
                    </w:tc>
                  </w:tr>
                </w:tbl>
                <w:p w14:paraId="046F9411" w14:textId="77777777" w:rsidR="006503F3" w:rsidRPr="00583E7E" w:rsidRDefault="006503F3" w:rsidP="006503F3">
                  <w:pPr>
                    <w:tabs>
                      <w:tab w:val="left" w:pos="2340"/>
                      <w:tab w:val="left" w:pos="2880"/>
                    </w:tabs>
                    <w:spacing w:after="240"/>
                    <w:ind w:left="987" w:hanging="269"/>
                    <w:rPr>
                      <w:szCs w:val="24"/>
                      <w:lang w:val="es-MX"/>
                    </w:rPr>
                  </w:pPr>
                </w:p>
              </w:tc>
            </w:tr>
          </w:tbl>
          <w:p w14:paraId="5DAF3AA6" w14:textId="77777777" w:rsidR="006503F3" w:rsidRPr="0013396E" w:rsidRDefault="006503F3" w:rsidP="0099759E">
            <w:pPr>
              <w:spacing w:after="60"/>
              <w:rPr>
                <w:bCs/>
                <w:i/>
                <w:sz w:val="20"/>
                <w:lang w:val="pt-BR"/>
              </w:rPr>
            </w:pPr>
          </w:p>
        </w:tc>
      </w:tr>
      <w:tr w:rsidR="00F10AF1" w:rsidRPr="0013396E" w14:paraId="7AA6A4A5"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44164F01" w14:textId="77777777" w:rsidR="00F10AF1" w:rsidRPr="0013396E" w:rsidRDefault="00F10AF1" w:rsidP="0099759E">
            <w:pPr>
              <w:spacing w:after="60"/>
              <w:rPr>
                <w:bCs/>
                <w:szCs w:val="24"/>
              </w:rPr>
            </w:pPr>
            <w:r w:rsidRPr="0013396E">
              <w:rPr>
                <w:bCs/>
                <w:sz w:val="20"/>
                <w:lang w:val="pt-BR"/>
              </w:rPr>
              <w:t>RTEIRD</w:t>
            </w:r>
            <w:r w:rsidRPr="0013396E">
              <w:rPr>
                <w:b/>
                <w:bCs/>
                <w:i/>
                <w:vertAlign w:val="subscript"/>
                <w:lang w:val="pt-BR"/>
              </w:rPr>
              <w:t xml:space="preserve">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26E1C3B0" w14:textId="77777777" w:rsidR="00F10AF1" w:rsidRPr="0013396E" w:rsidRDefault="00F10AF1" w:rsidP="0099759E">
            <w:pPr>
              <w:spacing w:after="60"/>
              <w:rPr>
                <w:iCs/>
                <w:sz w:val="20"/>
              </w:rPr>
            </w:pPr>
            <w:r w:rsidRPr="0013396E">
              <w:rPr>
                <w:iCs/>
                <w:sz w:val="20"/>
              </w:rPr>
              <w:t>$</w:t>
            </w:r>
          </w:p>
        </w:tc>
        <w:tc>
          <w:tcPr>
            <w:tcW w:w="3448" w:type="pct"/>
            <w:tcBorders>
              <w:top w:val="single" w:sz="4" w:space="0" w:color="auto"/>
              <w:left w:val="single" w:sz="4" w:space="0" w:color="auto"/>
              <w:bottom w:val="single" w:sz="4" w:space="0" w:color="auto"/>
              <w:right w:val="single" w:sz="4" w:space="0" w:color="auto"/>
            </w:tcBorders>
            <w:hideMark/>
          </w:tcPr>
          <w:p w14:paraId="3E1D071C" w14:textId="77777777" w:rsidR="00F10AF1" w:rsidRPr="0013396E" w:rsidRDefault="00F10AF1" w:rsidP="0099759E">
            <w:pPr>
              <w:spacing w:after="60"/>
              <w:rPr>
                <w:i/>
                <w:iCs/>
                <w:sz w:val="20"/>
              </w:rPr>
            </w:pPr>
            <w:r w:rsidRPr="0013396E">
              <w:rPr>
                <w:i/>
                <w:iCs/>
                <w:sz w:val="20"/>
              </w:rPr>
              <w:t>Real-Time Energy Imbalance Revenues for Deration</w:t>
            </w:r>
            <w:r w:rsidRPr="0013396E">
              <w:rPr>
                <w:iCs/>
                <w:sz w:val="20"/>
              </w:rPr>
              <w:t xml:space="preserve">—The additional payments to QSE </w:t>
            </w:r>
            <w:r w:rsidRPr="0013396E">
              <w:rPr>
                <w:i/>
                <w:iCs/>
                <w:sz w:val="20"/>
              </w:rPr>
              <w:t>q</w:t>
            </w:r>
            <w:r w:rsidRPr="0013396E">
              <w:rPr>
                <w:iCs/>
                <w:sz w:val="20"/>
              </w:rPr>
              <w:t xml:space="preserve"> under Section 6.6.3.1.</w:t>
            </w:r>
          </w:p>
        </w:tc>
      </w:tr>
      <w:tr w:rsidR="00F10AF1" w:rsidRPr="0013396E" w14:paraId="2950EA4E"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66074839" w14:textId="77777777" w:rsidR="00F10AF1" w:rsidRPr="0013396E" w:rsidRDefault="00F10AF1" w:rsidP="0099759E">
            <w:pPr>
              <w:spacing w:after="60"/>
              <w:rPr>
                <w:bCs/>
                <w:sz w:val="20"/>
                <w:lang w:val="pt-BR"/>
              </w:rPr>
            </w:pPr>
            <w:r w:rsidRPr="0013396E">
              <w:rPr>
                <w:bCs/>
                <w:sz w:val="20"/>
                <w:lang w:val="pt-BR"/>
              </w:rPr>
              <w:t>RTASIRD</w:t>
            </w:r>
            <w:r w:rsidRPr="0013396E">
              <w:rPr>
                <w:b/>
                <w:bCs/>
                <w:i/>
                <w:vertAlign w:val="subscript"/>
                <w:lang w:val="pt-BR"/>
              </w:rPr>
              <w:t xml:space="preserve"> </w:t>
            </w:r>
            <w:r w:rsidRPr="0013396E">
              <w:rPr>
                <w:i/>
                <w:iCs/>
                <w:sz w:val="20"/>
                <w:vertAlign w:val="subscript"/>
              </w:rPr>
              <w:t>q</w:t>
            </w:r>
          </w:p>
        </w:tc>
        <w:tc>
          <w:tcPr>
            <w:tcW w:w="395" w:type="pct"/>
            <w:tcBorders>
              <w:top w:val="single" w:sz="4" w:space="0" w:color="auto"/>
              <w:left w:val="single" w:sz="4" w:space="0" w:color="auto"/>
              <w:bottom w:val="single" w:sz="4" w:space="0" w:color="auto"/>
              <w:right w:val="single" w:sz="4" w:space="0" w:color="auto"/>
            </w:tcBorders>
            <w:hideMark/>
          </w:tcPr>
          <w:p w14:paraId="406A9D55" w14:textId="77777777" w:rsidR="00F10AF1" w:rsidRPr="0013396E" w:rsidRDefault="00F10AF1" w:rsidP="0099759E">
            <w:pPr>
              <w:spacing w:after="60"/>
              <w:rPr>
                <w:iCs/>
                <w:sz w:val="20"/>
                <w:szCs w:val="24"/>
              </w:rPr>
            </w:pPr>
            <w:r w:rsidRPr="0013396E">
              <w:rPr>
                <w:iCs/>
                <w:sz w:val="20"/>
              </w:rPr>
              <w:t>$</w:t>
            </w:r>
          </w:p>
        </w:tc>
        <w:tc>
          <w:tcPr>
            <w:tcW w:w="3448" w:type="pct"/>
            <w:tcBorders>
              <w:top w:val="single" w:sz="4" w:space="0" w:color="auto"/>
              <w:left w:val="single" w:sz="4" w:space="0" w:color="auto"/>
              <w:bottom w:val="single" w:sz="4" w:space="0" w:color="auto"/>
              <w:right w:val="single" w:sz="4" w:space="0" w:color="auto"/>
            </w:tcBorders>
            <w:hideMark/>
          </w:tcPr>
          <w:p w14:paraId="55228B90" w14:textId="77777777" w:rsidR="00F10AF1" w:rsidRPr="0013396E" w:rsidRDefault="00F10AF1" w:rsidP="0099759E">
            <w:pPr>
              <w:spacing w:after="60"/>
              <w:rPr>
                <w:i/>
                <w:iCs/>
                <w:sz w:val="20"/>
              </w:rPr>
            </w:pPr>
            <w:r w:rsidRPr="0013396E">
              <w:rPr>
                <w:i/>
                <w:iCs/>
                <w:sz w:val="20"/>
              </w:rPr>
              <w:t>Real-Time Ancillary Service Imbalance Revenues for Deration</w:t>
            </w:r>
            <w:r w:rsidRPr="0013396E">
              <w:rPr>
                <w:iCs/>
                <w:sz w:val="20"/>
              </w:rPr>
              <w:t xml:space="preserve">—The additional Ancillary Service imbalance payments to QSE </w:t>
            </w:r>
            <w:r w:rsidRPr="0013396E">
              <w:rPr>
                <w:i/>
                <w:iCs/>
                <w:sz w:val="20"/>
              </w:rPr>
              <w:t>q</w:t>
            </w:r>
            <w:r w:rsidRPr="0013396E">
              <w:rPr>
                <w:iCs/>
                <w:sz w:val="20"/>
              </w:rPr>
              <w:t xml:space="preserve"> for all Ancillary Service products for the 15-minute Settlement Interval.</w:t>
            </w:r>
          </w:p>
        </w:tc>
      </w:tr>
      <w:tr w:rsidR="00F10AF1" w:rsidRPr="0013396E" w14:paraId="4F50A484"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203987C2" w14:textId="77777777" w:rsidR="00F10AF1" w:rsidRPr="0013396E" w:rsidRDefault="00F10AF1" w:rsidP="0099759E">
            <w:pPr>
              <w:spacing w:after="60"/>
              <w:rPr>
                <w:bCs/>
                <w:sz w:val="20"/>
                <w:lang w:val="pt-BR"/>
              </w:rPr>
            </w:pPr>
            <w:r w:rsidRPr="0013396E">
              <w:rPr>
                <w:bCs/>
                <w:sz w:val="20"/>
                <w:lang w:val="pt-BR"/>
              </w:rPr>
              <w:t>RTDASCAP</w:t>
            </w:r>
            <w:r w:rsidRPr="0013396E">
              <w:rPr>
                <w:i/>
                <w:iCs/>
                <w:sz w:val="20"/>
                <w:vertAlign w:val="subscript"/>
              </w:rPr>
              <w:t xml:space="preserve"> q, r</w:t>
            </w:r>
          </w:p>
        </w:tc>
        <w:tc>
          <w:tcPr>
            <w:tcW w:w="395" w:type="pct"/>
            <w:tcBorders>
              <w:top w:val="single" w:sz="4" w:space="0" w:color="auto"/>
              <w:left w:val="single" w:sz="4" w:space="0" w:color="auto"/>
              <w:bottom w:val="single" w:sz="4" w:space="0" w:color="auto"/>
              <w:right w:val="single" w:sz="4" w:space="0" w:color="auto"/>
            </w:tcBorders>
            <w:hideMark/>
          </w:tcPr>
          <w:p w14:paraId="5A19D3A6" w14:textId="77777777" w:rsidR="00F10AF1" w:rsidRPr="0013396E" w:rsidRDefault="00F10AF1" w:rsidP="0099759E">
            <w:pPr>
              <w:spacing w:after="60"/>
              <w:rPr>
                <w:iCs/>
                <w:sz w:val="20"/>
                <w:szCs w:val="24"/>
              </w:rPr>
            </w:pPr>
            <w:r w:rsidRPr="0013396E">
              <w:rPr>
                <w:iCs/>
                <w:sz w:val="20"/>
              </w:rPr>
              <w:t>$</w:t>
            </w:r>
          </w:p>
        </w:tc>
        <w:tc>
          <w:tcPr>
            <w:tcW w:w="3448" w:type="pct"/>
            <w:tcBorders>
              <w:top w:val="single" w:sz="4" w:space="0" w:color="auto"/>
              <w:left w:val="single" w:sz="4" w:space="0" w:color="auto"/>
              <w:bottom w:val="single" w:sz="4" w:space="0" w:color="auto"/>
              <w:right w:val="single" w:sz="4" w:space="0" w:color="auto"/>
            </w:tcBorders>
            <w:hideMark/>
          </w:tcPr>
          <w:p w14:paraId="2BD96DA9" w14:textId="77777777" w:rsidR="00F10AF1" w:rsidRPr="0013396E" w:rsidRDefault="00F10AF1" w:rsidP="0099759E">
            <w:pPr>
              <w:autoSpaceDE w:val="0"/>
              <w:autoSpaceDN w:val="0"/>
              <w:rPr>
                <w:sz w:val="20"/>
              </w:rPr>
            </w:pPr>
            <w:r w:rsidRPr="0013396E">
              <w:rPr>
                <w:i/>
                <w:iCs/>
                <w:sz w:val="20"/>
              </w:rPr>
              <w:t>Real-Time Derated Ancillary Service Payment Cap—</w:t>
            </w:r>
            <w:r w:rsidRPr="0013396E">
              <w:rPr>
                <w:sz w:val="20"/>
              </w:rPr>
              <w:t xml:space="preserve">The amount recoverable for Resource </w:t>
            </w:r>
            <w:r w:rsidRPr="0013396E">
              <w:rPr>
                <w:i/>
                <w:sz w:val="20"/>
              </w:rPr>
              <w:t xml:space="preserve">r </w:t>
            </w:r>
            <w:r w:rsidRPr="0013396E">
              <w:rPr>
                <w:sz w:val="20"/>
              </w:rPr>
              <w:t xml:space="preserve">represented by QSE </w:t>
            </w:r>
            <w:r w:rsidRPr="0013396E">
              <w:rPr>
                <w:i/>
                <w:sz w:val="20"/>
              </w:rPr>
              <w:t>q,</w:t>
            </w:r>
            <w:r w:rsidRPr="0013396E">
              <w:rPr>
                <w:sz w:val="20"/>
              </w:rPr>
              <w:t xml:space="preserve"> capped by the Real-Time MCPC for the Ancillary Service product that was derated, multiplied by the quantity by which the Resource’s capability to provide the Ancillary Service was reduced for the 15-minute Settlement Interval.  </w:t>
            </w:r>
            <w:r w:rsidRPr="0013396E">
              <w:rPr>
                <w:iCs/>
                <w:sz w:val="20"/>
              </w:rPr>
              <w:t xml:space="preserve">Where for a Combined Cycle Train, the Resource </w:t>
            </w:r>
            <w:r w:rsidRPr="0013396E">
              <w:rPr>
                <w:i/>
                <w:iCs/>
                <w:sz w:val="20"/>
              </w:rPr>
              <w:t xml:space="preserve">r </w:t>
            </w:r>
            <w:r w:rsidRPr="0013396E">
              <w:rPr>
                <w:iCs/>
                <w:sz w:val="20"/>
              </w:rPr>
              <w:t>is the Combined Cycle Train.</w:t>
            </w:r>
          </w:p>
        </w:tc>
      </w:tr>
      <w:tr w:rsidR="00F10AF1" w:rsidRPr="0013396E" w14:paraId="3FCDB5C9"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63C437AA" w14:textId="77777777" w:rsidR="00F10AF1" w:rsidRPr="0013396E" w:rsidRDefault="00F10AF1" w:rsidP="0099759E">
            <w:pPr>
              <w:spacing w:after="60"/>
              <w:rPr>
                <w:bCs/>
                <w:sz w:val="20"/>
                <w:lang w:val="pt-BR"/>
              </w:rPr>
            </w:pPr>
            <w:r w:rsidRPr="0013396E">
              <w:rPr>
                <w:bCs/>
                <w:sz w:val="20"/>
                <w:lang w:val="pt-BR"/>
              </w:rPr>
              <w:t xml:space="preserve">RTMCPCRU </w:t>
            </w:r>
          </w:p>
        </w:tc>
        <w:tc>
          <w:tcPr>
            <w:tcW w:w="395" w:type="pct"/>
            <w:tcBorders>
              <w:top w:val="single" w:sz="4" w:space="0" w:color="auto"/>
              <w:left w:val="single" w:sz="4" w:space="0" w:color="auto"/>
              <w:bottom w:val="single" w:sz="4" w:space="0" w:color="auto"/>
              <w:right w:val="single" w:sz="4" w:space="0" w:color="auto"/>
            </w:tcBorders>
            <w:hideMark/>
          </w:tcPr>
          <w:p w14:paraId="79985B2E"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64EEFF86" w14:textId="77777777" w:rsidR="00F10AF1" w:rsidRPr="0013396E" w:rsidRDefault="00F10AF1" w:rsidP="0099759E">
            <w:pPr>
              <w:spacing w:after="60"/>
              <w:rPr>
                <w:bCs/>
                <w:sz w:val="20"/>
                <w:lang w:val="pt-BR"/>
              </w:rPr>
            </w:pPr>
            <w:r w:rsidRPr="0013396E">
              <w:rPr>
                <w:bCs/>
                <w:i/>
                <w:sz w:val="20"/>
                <w:lang w:val="pt-BR"/>
              </w:rPr>
              <w:t>Real-Time Market Clearing Price for Capacity for Regulation Up</w:t>
            </w:r>
            <w:r w:rsidRPr="0013396E">
              <w:rPr>
                <w:iCs/>
                <w:sz w:val="20"/>
              </w:rPr>
              <w:t>—</w:t>
            </w:r>
            <w:r w:rsidRPr="0013396E">
              <w:rPr>
                <w:bCs/>
                <w:sz w:val="20"/>
                <w:lang w:val="pt-BR"/>
              </w:rPr>
              <w:t xml:space="preserve">The Real-Time MCPC for Reg-Up for the 15-minute Settlement Interval. </w:t>
            </w:r>
          </w:p>
        </w:tc>
      </w:tr>
      <w:tr w:rsidR="00F10AF1" w:rsidRPr="0013396E" w14:paraId="5FEBCDDF"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51C3AE65" w14:textId="77777777" w:rsidR="00F10AF1" w:rsidRPr="0013396E" w:rsidRDefault="00F10AF1" w:rsidP="0099759E">
            <w:pPr>
              <w:spacing w:after="60"/>
              <w:rPr>
                <w:bCs/>
                <w:sz w:val="20"/>
                <w:lang w:val="pt-BR"/>
              </w:rPr>
            </w:pPr>
            <w:r w:rsidRPr="0013396E">
              <w:rPr>
                <w:bCs/>
                <w:sz w:val="20"/>
                <w:lang w:val="pt-BR"/>
              </w:rPr>
              <w:t>RTMCPCRD</w:t>
            </w:r>
          </w:p>
        </w:tc>
        <w:tc>
          <w:tcPr>
            <w:tcW w:w="395" w:type="pct"/>
            <w:tcBorders>
              <w:top w:val="single" w:sz="4" w:space="0" w:color="auto"/>
              <w:left w:val="single" w:sz="4" w:space="0" w:color="auto"/>
              <w:bottom w:val="single" w:sz="4" w:space="0" w:color="auto"/>
              <w:right w:val="single" w:sz="4" w:space="0" w:color="auto"/>
            </w:tcBorders>
            <w:hideMark/>
          </w:tcPr>
          <w:p w14:paraId="5B063261"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17C79D57" w14:textId="77777777" w:rsidR="00F10AF1" w:rsidRPr="0013396E" w:rsidRDefault="00F10AF1" w:rsidP="0099759E">
            <w:pPr>
              <w:spacing w:after="60"/>
              <w:rPr>
                <w:bCs/>
                <w:sz w:val="20"/>
                <w:lang w:val="pt-BR"/>
              </w:rPr>
            </w:pPr>
            <w:r w:rsidRPr="0013396E">
              <w:rPr>
                <w:bCs/>
                <w:i/>
                <w:sz w:val="20"/>
                <w:lang w:val="pt-BR"/>
              </w:rPr>
              <w:t>Real-Time Market Clearing Price for Capacity for Regulation Down</w:t>
            </w:r>
            <w:r w:rsidRPr="0013396E">
              <w:rPr>
                <w:iCs/>
                <w:sz w:val="20"/>
              </w:rPr>
              <w:t>—</w:t>
            </w:r>
            <w:r w:rsidRPr="0013396E">
              <w:rPr>
                <w:bCs/>
                <w:sz w:val="20"/>
                <w:lang w:val="pt-BR"/>
              </w:rPr>
              <w:t>The Real-Time MCPC for Reg-Down for the 15-minute Settlement Interval.</w:t>
            </w:r>
          </w:p>
        </w:tc>
      </w:tr>
      <w:tr w:rsidR="00F10AF1" w:rsidRPr="0013396E" w14:paraId="42FDD717" w14:textId="77777777" w:rsidTr="0099759E">
        <w:tc>
          <w:tcPr>
            <w:tcW w:w="1157" w:type="pct"/>
            <w:tcBorders>
              <w:top w:val="single" w:sz="4" w:space="0" w:color="auto"/>
              <w:left w:val="single" w:sz="4" w:space="0" w:color="auto"/>
              <w:bottom w:val="single" w:sz="4" w:space="0" w:color="auto"/>
              <w:right w:val="single" w:sz="4" w:space="0" w:color="auto"/>
            </w:tcBorders>
          </w:tcPr>
          <w:p w14:paraId="7445D7D9" w14:textId="77777777" w:rsidR="00F10AF1" w:rsidRPr="0013396E" w:rsidRDefault="00F10AF1" w:rsidP="0099759E">
            <w:pPr>
              <w:spacing w:after="60"/>
              <w:rPr>
                <w:bCs/>
                <w:szCs w:val="24"/>
                <w:lang w:val="pt-BR"/>
              </w:rPr>
            </w:pPr>
            <w:r w:rsidRPr="0013396E">
              <w:rPr>
                <w:bCs/>
                <w:sz w:val="20"/>
                <w:lang w:val="pt-BR"/>
              </w:rPr>
              <w:t>RTMCPCRR</w:t>
            </w:r>
          </w:p>
        </w:tc>
        <w:tc>
          <w:tcPr>
            <w:tcW w:w="395" w:type="pct"/>
            <w:tcBorders>
              <w:top w:val="single" w:sz="4" w:space="0" w:color="auto"/>
              <w:left w:val="single" w:sz="4" w:space="0" w:color="auto"/>
              <w:bottom w:val="single" w:sz="4" w:space="0" w:color="auto"/>
              <w:right w:val="single" w:sz="4" w:space="0" w:color="auto"/>
            </w:tcBorders>
            <w:hideMark/>
          </w:tcPr>
          <w:p w14:paraId="367698FE"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7ED8172B" w14:textId="77777777" w:rsidR="00F10AF1" w:rsidRPr="0013396E" w:rsidRDefault="00F10AF1" w:rsidP="0099759E">
            <w:pPr>
              <w:spacing w:after="60"/>
              <w:rPr>
                <w:bCs/>
                <w:sz w:val="20"/>
                <w:lang w:val="pt-BR"/>
              </w:rPr>
            </w:pPr>
            <w:r w:rsidRPr="0013396E">
              <w:rPr>
                <w:bCs/>
                <w:i/>
                <w:sz w:val="20"/>
                <w:lang w:val="pt-BR"/>
              </w:rPr>
              <w:t>Real-Time Market Clearing Price for Capacity for Responsive Reserve</w:t>
            </w:r>
            <w:r w:rsidRPr="0013396E">
              <w:rPr>
                <w:iCs/>
                <w:sz w:val="20"/>
              </w:rPr>
              <w:t>—</w:t>
            </w:r>
            <w:r w:rsidRPr="0013396E">
              <w:rPr>
                <w:bCs/>
                <w:sz w:val="20"/>
                <w:lang w:val="pt-BR"/>
              </w:rPr>
              <w:t>The Real-Time MCPC for RRS for the 15-minute Settlement Interval.</w:t>
            </w:r>
          </w:p>
        </w:tc>
      </w:tr>
      <w:tr w:rsidR="00F10AF1" w:rsidRPr="0013396E" w14:paraId="46E4AD83"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1F315A9C" w14:textId="77777777" w:rsidR="00F10AF1" w:rsidRPr="0013396E" w:rsidRDefault="00F10AF1" w:rsidP="0099759E">
            <w:pPr>
              <w:spacing w:after="60"/>
              <w:rPr>
                <w:bCs/>
                <w:sz w:val="20"/>
                <w:lang w:val="pt-BR"/>
              </w:rPr>
            </w:pPr>
            <w:r w:rsidRPr="0013396E">
              <w:rPr>
                <w:bCs/>
                <w:sz w:val="20"/>
                <w:lang w:val="pt-BR"/>
              </w:rPr>
              <w:t>RTMCPCNS</w:t>
            </w:r>
          </w:p>
        </w:tc>
        <w:tc>
          <w:tcPr>
            <w:tcW w:w="395" w:type="pct"/>
            <w:tcBorders>
              <w:top w:val="single" w:sz="4" w:space="0" w:color="auto"/>
              <w:left w:val="single" w:sz="4" w:space="0" w:color="auto"/>
              <w:bottom w:val="single" w:sz="4" w:space="0" w:color="auto"/>
              <w:right w:val="single" w:sz="4" w:space="0" w:color="auto"/>
            </w:tcBorders>
            <w:hideMark/>
          </w:tcPr>
          <w:p w14:paraId="436DD090"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66E6FF80" w14:textId="77777777" w:rsidR="00F10AF1" w:rsidRPr="0013396E" w:rsidRDefault="00F10AF1" w:rsidP="0099759E">
            <w:pPr>
              <w:spacing w:after="60"/>
              <w:rPr>
                <w:bCs/>
                <w:sz w:val="20"/>
                <w:lang w:val="pt-BR"/>
              </w:rPr>
            </w:pPr>
            <w:r w:rsidRPr="0013396E">
              <w:rPr>
                <w:bCs/>
                <w:i/>
                <w:sz w:val="20"/>
                <w:lang w:val="pt-BR"/>
              </w:rPr>
              <w:t>Real-Time Market Clearing Price for Capacity for Non-Spin</w:t>
            </w:r>
            <w:r w:rsidRPr="0013396E">
              <w:rPr>
                <w:iCs/>
                <w:sz w:val="20"/>
              </w:rPr>
              <w:t>—</w:t>
            </w:r>
            <w:r w:rsidRPr="0013396E">
              <w:rPr>
                <w:bCs/>
                <w:sz w:val="20"/>
                <w:lang w:val="pt-BR"/>
              </w:rPr>
              <w:t>The Real-Time MCPC for Non-Spin for the 15-minute Settlement Interval.</w:t>
            </w:r>
          </w:p>
        </w:tc>
      </w:tr>
      <w:tr w:rsidR="00F10AF1" w:rsidRPr="0013396E" w14:paraId="008C976E"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4DE15687" w14:textId="77777777" w:rsidR="00F10AF1" w:rsidRPr="0013396E" w:rsidRDefault="00F10AF1" w:rsidP="0099759E">
            <w:pPr>
              <w:spacing w:after="60"/>
              <w:rPr>
                <w:bCs/>
                <w:sz w:val="20"/>
                <w:lang w:val="pt-BR"/>
              </w:rPr>
            </w:pPr>
            <w:r w:rsidRPr="0013396E">
              <w:rPr>
                <w:bCs/>
                <w:sz w:val="20"/>
                <w:lang w:val="pt-BR"/>
              </w:rPr>
              <w:t>RTMCPCECR</w:t>
            </w:r>
          </w:p>
        </w:tc>
        <w:tc>
          <w:tcPr>
            <w:tcW w:w="395" w:type="pct"/>
            <w:tcBorders>
              <w:top w:val="single" w:sz="4" w:space="0" w:color="auto"/>
              <w:left w:val="single" w:sz="4" w:space="0" w:color="auto"/>
              <w:bottom w:val="single" w:sz="4" w:space="0" w:color="auto"/>
              <w:right w:val="single" w:sz="4" w:space="0" w:color="auto"/>
            </w:tcBorders>
            <w:hideMark/>
          </w:tcPr>
          <w:p w14:paraId="58C14E03"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0ADAA22F" w14:textId="77777777" w:rsidR="00F10AF1" w:rsidRPr="0013396E" w:rsidRDefault="00F10AF1" w:rsidP="0099759E">
            <w:pPr>
              <w:spacing w:after="60"/>
              <w:rPr>
                <w:bCs/>
                <w:sz w:val="20"/>
                <w:lang w:val="pt-BR"/>
              </w:rPr>
            </w:pPr>
            <w:r w:rsidRPr="0013396E">
              <w:rPr>
                <w:bCs/>
                <w:i/>
                <w:sz w:val="20"/>
                <w:lang w:val="pt-BR"/>
              </w:rPr>
              <w:t>Real-Time Market Clearing Price for Capacity for ERCOT Contingency Reserve Service</w:t>
            </w:r>
            <w:r w:rsidRPr="0013396E">
              <w:rPr>
                <w:bCs/>
                <w:sz w:val="20"/>
                <w:lang w:val="pt-BR"/>
              </w:rPr>
              <w:t>—The Real-Time MCPC for ECRS for the 15-minute Settlement Interval.</w:t>
            </w:r>
          </w:p>
        </w:tc>
      </w:tr>
      <w:tr w:rsidR="006503F3" w:rsidRPr="0013396E" w14:paraId="66767706" w14:textId="77777777" w:rsidTr="006503F3">
        <w:tc>
          <w:tcPr>
            <w:tcW w:w="5000" w:type="pct"/>
            <w:gridSpan w:val="3"/>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6503F3" w:rsidRPr="0013396E" w14:paraId="74D04403" w14:textId="77777777" w:rsidTr="00A86863">
              <w:trPr>
                <w:trHeight w:val="206"/>
              </w:trPr>
              <w:tc>
                <w:tcPr>
                  <w:tcW w:w="9350" w:type="dxa"/>
                  <w:shd w:val="pct12" w:color="auto" w:fill="auto"/>
                </w:tcPr>
                <w:p w14:paraId="402CC8F9" w14:textId="5BEA0528" w:rsidR="006503F3" w:rsidRPr="0013396E" w:rsidRDefault="006503F3" w:rsidP="006503F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6503F3">
                    <w:rPr>
                      <w:b/>
                      <w:i/>
                      <w:iCs/>
                      <w:szCs w:val="24"/>
                    </w:rPr>
                    <w:t>RTMCPCDRR</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6503F3" w:rsidRPr="003F34DA" w14:paraId="643E7F2D" w14:textId="77777777" w:rsidTr="00A86863">
                    <w:trPr>
                      <w:cantSplit/>
                    </w:trPr>
                    <w:tc>
                      <w:tcPr>
                        <w:tcW w:w="934" w:type="pct"/>
                      </w:tcPr>
                      <w:p w14:paraId="1126CF61" w14:textId="3E2DAE4B" w:rsidR="006503F3" w:rsidRPr="003F34DA" w:rsidRDefault="006503F3" w:rsidP="006503F3">
                        <w:pPr>
                          <w:spacing w:after="60"/>
                          <w:rPr>
                            <w:bCs/>
                            <w:sz w:val="20"/>
                          </w:rPr>
                        </w:pPr>
                        <w:r w:rsidRPr="003F34DA">
                          <w:rPr>
                            <w:bCs/>
                            <w:sz w:val="20"/>
                            <w:lang w:val="pt-BR"/>
                          </w:rPr>
                          <w:t>RTMCPCDRR</w:t>
                        </w:r>
                      </w:p>
                    </w:tc>
                    <w:tc>
                      <w:tcPr>
                        <w:tcW w:w="481" w:type="pct"/>
                      </w:tcPr>
                      <w:p w14:paraId="18EE6454" w14:textId="646B6CB4" w:rsidR="006503F3" w:rsidRPr="003F34DA" w:rsidRDefault="006503F3" w:rsidP="006503F3">
                        <w:pPr>
                          <w:spacing w:after="60"/>
                          <w:rPr>
                            <w:iCs/>
                            <w:sz w:val="20"/>
                          </w:rPr>
                        </w:pPr>
                        <w:r w:rsidRPr="003F34DA">
                          <w:rPr>
                            <w:bCs/>
                            <w:sz w:val="20"/>
                            <w:lang w:val="pt-BR"/>
                          </w:rPr>
                          <w:t>$/MW</w:t>
                        </w:r>
                      </w:p>
                    </w:tc>
                    <w:tc>
                      <w:tcPr>
                        <w:tcW w:w="3585" w:type="pct"/>
                      </w:tcPr>
                      <w:p w14:paraId="0C8BA4D0" w14:textId="2AF17622" w:rsidR="006503F3" w:rsidRPr="003F34DA" w:rsidRDefault="006503F3" w:rsidP="006503F3">
                        <w:pPr>
                          <w:spacing w:after="60"/>
                          <w:rPr>
                            <w:i/>
                            <w:iCs/>
                            <w:sz w:val="20"/>
                          </w:rPr>
                        </w:pPr>
                        <w:r w:rsidRPr="003F34DA">
                          <w:rPr>
                            <w:bCs/>
                            <w:i/>
                            <w:sz w:val="20"/>
                            <w:lang w:val="pt-BR"/>
                          </w:rPr>
                          <w:t>Real-Time Market Clearing Price for Capacity for Dispatchable Reliability  Reserve Service</w:t>
                        </w:r>
                        <w:r w:rsidRPr="003F34DA">
                          <w:rPr>
                            <w:bCs/>
                            <w:sz w:val="20"/>
                            <w:lang w:val="pt-BR"/>
                          </w:rPr>
                          <w:t>—The Real-Time MCPC for DRRS for the 15-minute Settlement Interval.</w:t>
                        </w:r>
                      </w:p>
                    </w:tc>
                  </w:tr>
                </w:tbl>
                <w:p w14:paraId="4CA1C35A" w14:textId="77777777" w:rsidR="006503F3" w:rsidRPr="00583E7E" w:rsidRDefault="006503F3" w:rsidP="006503F3">
                  <w:pPr>
                    <w:tabs>
                      <w:tab w:val="left" w:pos="2340"/>
                      <w:tab w:val="left" w:pos="2880"/>
                    </w:tabs>
                    <w:spacing w:after="240"/>
                    <w:ind w:left="987" w:hanging="269"/>
                    <w:rPr>
                      <w:szCs w:val="24"/>
                      <w:lang w:val="es-MX"/>
                    </w:rPr>
                  </w:pPr>
                </w:p>
              </w:tc>
            </w:tr>
          </w:tbl>
          <w:p w14:paraId="0D85F0E0" w14:textId="77777777" w:rsidR="006503F3" w:rsidRPr="0013396E" w:rsidRDefault="006503F3" w:rsidP="0099759E">
            <w:pPr>
              <w:spacing w:after="60"/>
              <w:rPr>
                <w:bCs/>
                <w:i/>
                <w:sz w:val="20"/>
                <w:lang w:val="pt-BR"/>
              </w:rPr>
            </w:pPr>
          </w:p>
        </w:tc>
      </w:tr>
      <w:tr w:rsidR="00F10AF1" w:rsidRPr="0013396E" w14:paraId="52EA326C"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2C9A0CD6" w14:textId="77777777" w:rsidR="00F10AF1" w:rsidRPr="0013396E" w:rsidRDefault="00F10AF1" w:rsidP="0099759E">
            <w:pPr>
              <w:spacing w:after="60"/>
              <w:rPr>
                <w:bCs/>
                <w:i/>
                <w:sz w:val="20"/>
                <w:lang w:val="pt-BR"/>
              </w:rPr>
            </w:pPr>
            <w:r w:rsidRPr="0013396E">
              <w:rPr>
                <w:bCs/>
                <w:sz w:val="20"/>
                <w:lang w:val="pt-BR"/>
              </w:rPr>
              <w:lastRenderedPageBreak/>
              <w:t>RTRUDQ</w:t>
            </w:r>
            <w:r w:rsidRPr="0013396E">
              <w:rPr>
                <w:i/>
                <w:iCs/>
                <w:sz w:val="20"/>
                <w:vertAlign w:val="subscript"/>
              </w:rPr>
              <w:t xml:space="preserve"> q, </w:t>
            </w:r>
            <w:r w:rsidRPr="0013396E">
              <w:rPr>
                <w:bCs/>
                <w:i/>
                <w:sz w:val="20"/>
                <w:vertAlign w:val="subscript"/>
                <w:lang w:val="pt-BR"/>
              </w:rPr>
              <w:t>r</w:t>
            </w:r>
          </w:p>
        </w:tc>
        <w:tc>
          <w:tcPr>
            <w:tcW w:w="395" w:type="pct"/>
            <w:tcBorders>
              <w:top w:val="single" w:sz="4" w:space="0" w:color="auto"/>
              <w:left w:val="single" w:sz="4" w:space="0" w:color="auto"/>
              <w:bottom w:val="single" w:sz="4" w:space="0" w:color="auto"/>
              <w:right w:val="single" w:sz="4" w:space="0" w:color="auto"/>
            </w:tcBorders>
            <w:hideMark/>
          </w:tcPr>
          <w:p w14:paraId="2CEB3839"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56D8B6D0" w14:textId="77777777" w:rsidR="00F10AF1" w:rsidRPr="0013396E" w:rsidRDefault="00F10AF1" w:rsidP="0099759E">
            <w:pPr>
              <w:spacing w:after="60"/>
              <w:rPr>
                <w:bCs/>
                <w:sz w:val="20"/>
                <w:lang w:val="pt-BR"/>
              </w:rPr>
            </w:pPr>
            <w:r w:rsidRPr="0013396E">
              <w:rPr>
                <w:bCs/>
                <w:i/>
                <w:sz w:val="20"/>
                <w:lang w:val="pt-BR"/>
              </w:rPr>
              <w:t>Real-Time Regulation Up Derated Quantity</w:t>
            </w:r>
            <w:r w:rsidRPr="0013396E">
              <w:rPr>
                <w:iCs/>
                <w:sz w:val="20"/>
              </w:rPr>
              <w:t>—</w:t>
            </w:r>
            <w:r w:rsidRPr="0013396E">
              <w:rPr>
                <w:bCs/>
                <w:sz w:val="20"/>
                <w:lang w:val="pt-BR"/>
              </w:rPr>
              <w:t xml:space="preserve">The Reg-Up quantity manually reduced by ERCOT for the Resource </w:t>
            </w:r>
            <w:r w:rsidRPr="0013396E">
              <w:rPr>
                <w:bCs/>
                <w:i/>
                <w:sz w:val="20"/>
                <w:lang w:val="pt-BR"/>
              </w:rPr>
              <w:t xml:space="preserve">r </w:t>
            </w:r>
            <w:r w:rsidRPr="0013396E">
              <w:rPr>
                <w:bCs/>
                <w:sz w:val="20"/>
                <w:lang w:val="pt-BR"/>
              </w:rPr>
              <w:t xml:space="preserve">represented by QSE </w:t>
            </w:r>
            <w:r w:rsidRPr="0013396E">
              <w:rPr>
                <w:bCs/>
                <w:i/>
                <w:sz w:val="20"/>
                <w:lang w:val="pt-BR"/>
              </w:rPr>
              <w:t>q</w:t>
            </w:r>
            <w:r w:rsidRPr="0013396E">
              <w:rPr>
                <w:bCs/>
                <w:sz w:val="20"/>
                <w:lang w:val="pt-BR"/>
              </w:rPr>
              <w:t xml:space="preserve"> for the 15-minute Settlement Interval.</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F10AF1" w:rsidRPr="0013396E" w14:paraId="3D6F0C0B"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7D9D4E1E" w14:textId="77777777" w:rsidR="00F10AF1" w:rsidRPr="0013396E" w:rsidRDefault="00F10AF1" w:rsidP="0099759E">
            <w:pPr>
              <w:spacing w:after="60"/>
              <w:rPr>
                <w:bCs/>
                <w:sz w:val="20"/>
                <w:lang w:val="pt-BR"/>
              </w:rPr>
            </w:pPr>
            <w:r w:rsidRPr="0013396E">
              <w:rPr>
                <w:bCs/>
                <w:sz w:val="20"/>
                <w:lang w:val="pt-BR"/>
              </w:rPr>
              <w:t>RTRDDQ</w:t>
            </w:r>
            <w:r w:rsidRPr="0013396E">
              <w:rPr>
                <w:i/>
                <w:iCs/>
                <w:sz w:val="20"/>
                <w:vertAlign w:val="subscript"/>
              </w:rPr>
              <w:t xml:space="preserve"> q, </w:t>
            </w:r>
            <w:r w:rsidRPr="0013396E">
              <w:rPr>
                <w:bCs/>
                <w:i/>
                <w:sz w:val="20"/>
                <w:vertAlign w:val="subscript"/>
                <w:lang w:val="pt-BR"/>
              </w:rPr>
              <w:t>r</w:t>
            </w:r>
          </w:p>
        </w:tc>
        <w:tc>
          <w:tcPr>
            <w:tcW w:w="395" w:type="pct"/>
            <w:tcBorders>
              <w:top w:val="single" w:sz="4" w:space="0" w:color="auto"/>
              <w:left w:val="single" w:sz="4" w:space="0" w:color="auto"/>
              <w:bottom w:val="single" w:sz="4" w:space="0" w:color="auto"/>
              <w:right w:val="single" w:sz="4" w:space="0" w:color="auto"/>
            </w:tcBorders>
            <w:hideMark/>
          </w:tcPr>
          <w:p w14:paraId="16CAE2E4"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006F0066" w14:textId="77777777" w:rsidR="00F10AF1" w:rsidRPr="0013396E" w:rsidRDefault="00F10AF1" w:rsidP="0099759E">
            <w:pPr>
              <w:spacing w:after="60"/>
              <w:rPr>
                <w:bCs/>
                <w:sz w:val="20"/>
                <w:lang w:val="pt-BR"/>
              </w:rPr>
            </w:pPr>
            <w:r w:rsidRPr="0013396E">
              <w:rPr>
                <w:bCs/>
                <w:i/>
                <w:sz w:val="20"/>
                <w:lang w:val="pt-BR"/>
              </w:rPr>
              <w:t>Real-Time Regulation Down Derated</w:t>
            </w:r>
            <w:r w:rsidRPr="0013396E">
              <w:rPr>
                <w:bCs/>
                <w:sz w:val="20"/>
                <w:lang w:val="pt-BR"/>
              </w:rPr>
              <w:t xml:space="preserve"> </w:t>
            </w:r>
            <w:r w:rsidRPr="0013396E">
              <w:rPr>
                <w:bCs/>
                <w:i/>
                <w:sz w:val="20"/>
                <w:lang w:val="pt-BR"/>
              </w:rPr>
              <w:t>Quantity</w:t>
            </w:r>
            <w:r w:rsidRPr="0013396E">
              <w:rPr>
                <w:iCs/>
                <w:sz w:val="20"/>
              </w:rPr>
              <w:t>—</w:t>
            </w:r>
            <w:r w:rsidRPr="0013396E">
              <w:rPr>
                <w:bCs/>
                <w:sz w:val="20"/>
                <w:lang w:val="pt-BR"/>
              </w:rPr>
              <w:t xml:space="preserve">The Reg-Down quantity manually reduced by ERCOT for the Resource </w:t>
            </w:r>
            <w:r w:rsidRPr="0013396E">
              <w:rPr>
                <w:bCs/>
                <w:i/>
                <w:sz w:val="20"/>
                <w:lang w:val="pt-BR"/>
              </w:rPr>
              <w:t xml:space="preserve">r </w:t>
            </w:r>
            <w:r w:rsidRPr="0013396E">
              <w:rPr>
                <w:bCs/>
                <w:sz w:val="20"/>
                <w:lang w:val="pt-BR"/>
              </w:rPr>
              <w:t xml:space="preserve">represented by QSE </w:t>
            </w:r>
            <w:r w:rsidRPr="0013396E">
              <w:rPr>
                <w:bCs/>
                <w:i/>
                <w:sz w:val="20"/>
                <w:lang w:val="pt-BR"/>
              </w:rPr>
              <w:t>q</w:t>
            </w:r>
            <w:r w:rsidRPr="0013396E">
              <w:rPr>
                <w:bCs/>
                <w:sz w:val="20"/>
                <w:lang w:val="pt-BR"/>
              </w:rPr>
              <w:t xml:space="preserve"> for the 15-minute Settlement Interval.  </w:t>
            </w:r>
            <w:r w:rsidRPr="0013396E">
              <w:rPr>
                <w:iCs/>
                <w:sz w:val="20"/>
              </w:rPr>
              <w:t xml:space="preserve">Where for a Combined Cycle Train, the Resource </w:t>
            </w:r>
            <w:r w:rsidRPr="0013396E">
              <w:rPr>
                <w:i/>
                <w:iCs/>
                <w:sz w:val="20"/>
              </w:rPr>
              <w:t xml:space="preserve">r </w:t>
            </w:r>
            <w:r w:rsidRPr="0013396E">
              <w:rPr>
                <w:iCs/>
                <w:sz w:val="20"/>
              </w:rPr>
              <w:t>is the Combined Cycle Train.</w:t>
            </w:r>
          </w:p>
        </w:tc>
      </w:tr>
      <w:tr w:rsidR="00F10AF1" w:rsidRPr="0013396E" w14:paraId="48AEA062"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682DC44F" w14:textId="77777777" w:rsidR="00F10AF1" w:rsidRPr="0013396E" w:rsidRDefault="00F10AF1" w:rsidP="0099759E">
            <w:pPr>
              <w:spacing w:after="60"/>
              <w:rPr>
                <w:bCs/>
                <w:sz w:val="20"/>
                <w:lang w:val="pt-BR"/>
              </w:rPr>
            </w:pPr>
            <w:r w:rsidRPr="0013396E">
              <w:rPr>
                <w:bCs/>
                <w:sz w:val="20"/>
                <w:lang w:val="pt-BR"/>
              </w:rPr>
              <w:t>RTRRDQ</w:t>
            </w:r>
            <w:r w:rsidRPr="0013396E">
              <w:rPr>
                <w:i/>
                <w:iCs/>
                <w:sz w:val="20"/>
                <w:vertAlign w:val="subscript"/>
              </w:rPr>
              <w:t xml:space="preserve"> q, </w:t>
            </w:r>
            <w:r w:rsidRPr="0013396E">
              <w:rPr>
                <w:bCs/>
                <w:i/>
                <w:sz w:val="20"/>
                <w:vertAlign w:val="subscript"/>
                <w:lang w:val="pt-BR"/>
              </w:rPr>
              <w:t>r</w:t>
            </w:r>
          </w:p>
        </w:tc>
        <w:tc>
          <w:tcPr>
            <w:tcW w:w="395" w:type="pct"/>
            <w:tcBorders>
              <w:top w:val="single" w:sz="4" w:space="0" w:color="auto"/>
              <w:left w:val="single" w:sz="4" w:space="0" w:color="auto"/>
              <w:bottom w:val="single" w:sz="4" w:space="0" w:color="auto"/>
              <w:right w:val="single" w:sz="4" w:space="0" w:color="auto"/>
            </w:tcBorders>
            <w:hideMark/>
          </w:tcPr>
          <w:p w14:paraId="3ED0E67D"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6F271071" w14:textId="77777777" w:rsidR="00F10AF1" w:rsidRPr="0013396E" w:rsidRDefault="00F10AF1" w:rsidP="0099759E">
            <w:pPr>
              <w:spacing w:after="60"/>
              <w:rPr>
                <w:bCs/>
                <w:sz w:val="20"/>
                <w:lang w:val="pt-BR"/>
              </w:rPr>
            </w:pPr>
            <w:r w:rsidRPr="0013396E">
              <w:rPr>
                <w:bCs/>
                <w:i/>
                <w:sz w:val="20"/>
                <w:lang w:val="pt-BR"/>
              </w:rPr>
              <w:t>Real-Time Responsive Reserve Derated Quantity</w:t>
            </w:r>
            <w:r w:rsidRPr="0013396E">
              <w:rPr>
                <w:iCs/>
                <w:sz w:val="20"/>
              </w:rPr>
              <w:t>—</w:t>
            </w:r>
            <w:r w:rsidRPr="0013396E">
              <w:rPr>
                <w:bCs/>
                <w:sz w:val="20"/>
                <w:lang w:val="pt-BR"/>
              </w:rPr>
              <w:t xml:space="preserve">The RRS quantity manually reduced by ERCOT for the Resource </w:t>
            </w:r>
            <w:r w:rsidRPr="0013396E">
              <w:rPr>
                <w:bCs/>
                <w:i/>
                <w:sz w:val="20"/>
                <w:lang w:val="pt-BR"/>
              </w:rPr>
              <w:t xml:space="preserve">r </w:t>
            </w:r>
            <w:r w:rsidRPr="0013396E">
              <w:rPr>
                <w:bCs/>
                <w:sz w:val="20"/>
                <w:lang w:val="pt-BR"/>
              </w:rPr>
              <w:t xml:space="preserve">represented by QSE </w:t>
            </w:r>
            <w:r w:rsidRPr="0013396E">
              <w:rPr>
                <w:bCs/>
                <w:i/>
                <w:sz w:val="20"/>
                <w:lang w:val="pt-BR"/>
              </w:rPr>
              <w:t>q</w:t>
            </w:r>
            <w:r w:rsidRPr="0013396E">
              <w:rPr>
                <w:bCs/>
                <w:sz w:val="20"/>
                <w:lang w:val="pt-BR"/>
              </w:rPr>
              <w:t xml:space="preserve"> for the 15-minute Settlement Interval.</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F10AF1" w:rsidRPr="0013396E" w14:paraId="3F090DAF"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6E4BA7A4" w14:textId="77777777" w:rsidR="00F10AF1" w:rsidRPr="0013396E" w:rsidRDefault="00F10AF1" w:rsidP="0099759E">
            <w:pPr>
              <w:spacing w:after="60"/>
              <w:rPr>
                <w:bCs/>
                <w:sz w:val="20"/>
                <w:lang w:val="pt-BR"/>
              </w:rPr>
            </w:pPr>
            <w:r w:rsidRPr="0013396E">
              <w:rPr>
                <w:bCs/>
                <w:sz w:val="20"/>
                <w:lang w:val="pt-BR"/>
              </w:rPr>
              <w:t>RTECRDQ</w:t>
            </w:r>
            <w:r w:rsidRPr="0013396E">
              <w:rPr>
                <w:i/>
                <w:iCs/>
                <w:sz w:val="20"/>
                <w:vertAlign w:val="subscript"/>
              </w:rPr>
              <w:t xml:space="preserve"> q, </w:t>
            </w:r>
            <w:r w:rsidRPr="0013396E">
              <w:rPr>
                <w:bCs/>
                <w:i/>
                <w:sz w:val="20"/>
                <w:vertAlign w:val="subscript"/>
                <w:lang w:val="pt-BR"/>
              </w:rPr>
              <w:t>r</w:t>
            </w:r>
          </w:p>
        </w:tc>
        <w:tc>
          <w:tcPr>
            <w:tcW w:w="395" w:type="pct"/>
            <w:tcBorders>
              <w:top w:val="single" w:sz="4" w:space="0" w:color="auto"/>
              <w:left w:val="single" w:sz="4" w:space="0" w:color="auto"/>
              <w:bottom w:val="single" w:sz="4" w:space="0" w:color="auto"/>
              <w:right w:val="single" w:sz="4" w:space="0" w:color="auto"/>
            </w:tcBorders>
            <w:hideMark/>
          </w:tcPr>
          <w:p w14:paraId="676B28D3"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150A1660" w14:textId="77777777" w:rsidR="00F10AF1" w:rsidRPr="0013396E" w:rsidRDefault="00F10AF1" w:rsidP="0099759E">
            <w:pPr>
              <w:spacing w:after="60"/>
              <w:rPr>
                <w:bCs/>
                <w:sz w:val="20"/>
                <w:lang w:val="pt-BR"/>
              </w:rPr>
            </w:pPr>
            <w:r w:rsidRPr="0013396E">
              <w:rPr>
                <w:bCs/>
                <w:i/>
                <w:sz w:val="20"/>
                <w:lang w:val="pt-BR"/>
              </w:rPr>
              <w:t>Real-Time ERCOT Contingency Reserve Service Derated Quantity</w:t>
            </w:r>
            <w:r w:rsidRPr="0013396E">
              <w:rPr>
                <w:iCs/>
                <w:sz w:val="20"/>
              </w:rPr>
              <w:t>—</w:t>
            </w:r>
            <w:r w:rsidRPr="0013396E">
              <w:rPr>
                <w:bCs/>
                <w:sz w:val="20"/>
                <w:lang w:val="pt-BR"/>
              </w:rPr>
              <w:t xml:space="preserve">The ECRS quantity manually reduced by ERCOT for the Resource </w:t>
            </w:r>
            <w:r w:rsidRPr="0013396E">
              <w:rPr>
                <w:bCs/>
                <w:i/>
                <w:sz w:val="20"/>
                <w:lang w:val="pt-BR"/>
              </w:rPr>
              <w:t xml:space="preserve">r </w:t>
            </w:r>
            <w:r w:rsidRPr="0013396E">
              <w:rPr>
                <w:bCs/>
                <w:sz w:val="20"/>
                <w:lang w:val="pt-BR"/>
              </w:rPr>
              <w:t xml:space="preserve">represented by QSE </w:t>
            </w:r>
            <w:r w:rsidRPr="0013396E">
              <w:rPr>
                <w:bCs/>
                <w:i/>
                <w:sz w:val="20"/>
                <w:lang w:val="pt-BR"/>
              </w:rPr>
              <w:t>q</w:t>
            </w:r>
            <w:r w:rsidRPr="0013396E">
              <w:rPr>
                <w:bCs/>
                <w:sz w:val="20"/>
                <w:lang w:val="pt-BR"/>
              </w:rPr>
              <w:t xml:space="preserve"> for the 15-minute Settlement Interval.  </w:t>
            </w:r>
            <w:r w:rsidRPr="0013396E">
              <w:rPr>
                <w:iCs/>
                <w:sz w:val="20"/>
              </w:rPr>
              <w:t xml:space="preserve">Where for a Combined Cycle Train, the Resource </w:t>
            </w:r>
            <w:r w:rsidRPr="0013396E">
              <w:rPr>
                <w:i/>
                <w:iCs/>
                <w:sz w:val="20"/>
              </w:rPr>
              <w:t xml:space="preserve">r </w:t>
            </w:r>
            <w:r w:rsidRPr="0013396E">
              <w:rPr>
                <w:iCs/>
                <w:sz w:val="20"/>
              </w:rPr>
              <w:t>is the Combined Cycle Train.</w:t>
            </w:r>
          </w:p>
        </w:tc>
      </w:tr>
      <w:tr w:rsidR="00F10AF1" w:rsidRPr="0013396E" w14:paraId="18434256"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595EBDE0" w14:textId="77777777" w:rsidR="00F10AF1" w:rsidRPr="0013396E" w:rsidRDefault="00F10AF1" w:rsidP="0099759E">
            <w:pPr>
              <w:spacing w:after="60"/>
              <w:rPr>
                <w:bCs/>
                <w:sz w:val="20"/>
                <w:lang w:val="pt-BR"/>
              </w:rPr>
            </w:pPr>
            <w:r w:rsidRPr="0013396E">
              <w:rPr>
                <w:bCs/>
                <w:sz w:val="20"/>
                <w:lang w:val="pt-BR"/>
              </w:rPr>
              <w:t>RTNSDQ</w:t>
            </w:r>
            <w:r w:rsidRPr="0013396E">
              <w:rPr>
                <w:i/>
                <w:iCs/>
                <w:sz w:val="20"/>
                <w:vertAlign w:val="subscript"/>
              </w:rPr>
              <w:t xml:space="preserve"> q, </w:t>
            </w:r>
            <w:r w:rsidRPr="0013396E">
              <w:rPr>
                <w:bCs/>
                <w:i/>
                <w:sz w:val="20"/>
                <w:vertAlign w:val="subscript"/>
                <w:lang w:val="pt-BR"/>
              </w:rPr>
              <w:t>r</w:t>
            </w:r>
          </w:p>
        </w:tc>
        <w:tc>
          <w:tcPr>
            <w:tcW w:w="395" w:type="pct"/>
            <w:tcBorders>
              <w:top w:val="single" w:sz="4" w:space="0" w:color="auto"/>
              <w:left w:val="single" w:sz="4" w:space="0" w:color="auto"/>
              <w:bottom w:val="single" w:sz="4" w:space="0" w:color="auto"/>
              <w:right w:val="single" w:sz="4" w:space="0" w:color="auto"/>
            </w:tcBorders>
            <w:hideMark/>
          </w:tcPr>
          <w:p w14:paraId="22A72945" w14:textId="77777777" w:rsidR="00F10AF1" w:rsidRPr="0013396E" w:rsidRDefault="00F10AF1" w:rsidP="0099759E">
            <w:pPr>
              <w:spacing w:after="60"/>
              <w:rPr>
                <w:bCs/>
                <w:sz w:val="20"/>
                <w:lang w:val="pt-BR"/>
              </w:rPr>
            </w:pPr>
            <w:r w:rsidRPr="0013396E">
              <w:rPr>
                <w:bCs/>
                <w:sz w:val="20"/>
                <w:lang w:val="pt-BR"/>
              </w:rPr>
              <w:t>MW</w:t>
            </w:r>
          </w:p>
        </w:tc>
        <w:tc>
          <w:tcPr>
            <w:tcW w:w="3448" w:type="pct"/>
            <w:tcBorders>
              <w:top w:val="single" w:sz="4" w:space="0" w:color="auto"/>
              <w:left w:val="single" w:sz="4" w:space="0" w:color="auto"/>
              <w:bottom w:val="single" w:sz="4" w:space="0" w:color="auto"/>
              <w:right w:val="single" w:sz="4" w:space="0" w:color="auto"/>
            </w:tcBorders>
            <w:hideMark/>
          </w:tcPr>
          <w:p w14:paraId="01E70F51" w14:textId="77777777" w:rsidR="00F10AF1" w:rsidRPr="0013396E" w:rsidRDefault="00F10AF1" w:rsidP="0099759E">
            <w:pPr>
              <w:spacing w:after="60"/>
              <w:rPr>
                <w:bCs/>
                <w:sz w:val="20"/>
                <w:lang w:val="pt-BR"/>
              </w:rPr>
            </w:pPr>
            <w:r w:rsidRPr="0013396E">
              <w:rPr>
                <w:bCs/>
                <w:i/>
                <w:sz w:val="20"/>
                <w:lang w:val="pt-BR"/>
              </w:rPr>
              <w:t>Real-Time Non-Spin Derated Quantity</w:t>
            </w:r>
            <w:r w:rsidRPr="0013396E">
              <w:rPr>
                <w:iCs/>
                <w:sz w:val="20"/>
              </w:rPr>
              <w:t>—</w:t>
            </w:r>
            <w:r w:rsidRPr="0013396E">
              <w:rPr>
                <w:bCs/>
                <w:sz w:val="20"/>
                <w:lang w:val="pt-BR"/>
              </w:rPr>
              <w:t xml:space="preserve">The Non-Spin quantity manually reduced by ERCOT for the Resource </w:t>
            </w:r>
            <w:r w:rsidRPr="0013396E">
              <w:rPr>
                <w:bCs/>
                <w:i/>
                <w:sz w:val="20"/>
                <w:lang w:val="pt-BR"/>
              </w:rPr>
              <w:t xml:space="preserve">r </w:t>
            </w:r>
            <w:r w:rsidRPr="0013396E">
              <w:rPr>
                <w:bCs/>
                <w:sz w:val="20"/>
                <w:lang w:val="pt-BR"/>
              </w:rPr>
              <w:t xml:space="preserve">represented by QSE </w:t>
            </w:r>
            <w:r w:rsidRPr="0013396E">
              <w:rPr>
                <w:bCs/>
                <w:i/>
                <w:sz w:val="20"/>
                <w:lang w:val="pt-BR"/>
              </w:rPr>
              <w:t>q</w:t>
            </w:r>
            <w:r w:rsidRPr="0013396E">
              <w:rPr>
                <w:bCs/>
                <w:sz w:val="20"/>
                <w:lang w:val="pt-BR"/>
              </w:rPr>
              <w:t xml:space="preserve"> for the 15-minute Settlement Interval.</w:t>
            </w:r>
            <w:r w:rsidRPr="0013396E">
              <w:rPr>
                <w:iCs/>
                <w:sz w:val="20"/>
              </w:rPr>
              <w:t xml:space="preserve">  Where for a Combined Cycle Train, the Resource </w:t>
            </w:r>
            <w:r w:rsidRPr="0013396E">
              <w:rPr>
                <w:i/>
                <w:iCs/>
                <w:sz w:val="20"/>
              </w:rPr>
              <w:t xml:space="preserve">r </w:t>
            </w:r>
            <w:r w:rsidRPr="0013396E">
              <w:rPr>
                <w:iCs/>
                <w:sz w:val="20"/>
              </w:rPr>
              <w:t>is the Combined Cycle Train.</w:t>
            </w:r>
          </w:p>
        </w:tc>
      </w:tr>
      <w:tr w:rsidR="006503F3" w:rsidRPr="0013396E" w14:paraId="085DFDC3" w14:textId="77777777" w:rsidTr="006503F3">
        <w:tc>
          <w:tcPr>
            <w:tcW w:w="5000" w:type="pct"/>
            <w:gridSpan w:val="3"/>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6503F3" w:rsidRPr="0013396E" w14:paraId="76E821C1" w14:textId="77777777" w:rsidTr="00A86863">
              <w:trPr>
                <w:trHeight w:val="206"/>
              </w:trPr>
              <w:tc>
                <w:tcPr>
                  <w:tcW w:w="9350" w:type="dxa"/>
                  <w:shd w:val="pct12" w:color="auto" w:fill="auto"/>
                </w:tcPr>
                <w:p w14:paraId="6276ADC2" w14:textId="13A60A5F" w:rsidR="006503F3" w:rsidRPr="0013396E" w:rsidRDefault="006503F3" w:rsidP="006503F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the variable “</w:t>
                  </w:r>
                  <w:r w:rsidRPr="006503F3">
                    <w:rPr>
                      <w:b/>
                      <w:i/>
                      <w:iCs/>
                      <w:szCs w:val="24"/>
                    </w:rPr>
                    <w:t>RTDRRDQ</w:t>
                  </w:r>
                  <w:r w:rsidRPr="006503F3">
                    <w:rPr>
                      <w:b/>
                      <w:i/>
                      <w:iCs/>
                      <w:szCs w:val="24"/>
                      <w:vertAlign w:val="subscript"/>
                    </w:rPr>
                    <w:t xml:space="preserve"> q, r</w:t>
                  </w:r>
                  <w:r>
                    <w:rPr>
                      <w:b/>
                      <w:i/>
                      <w:iCs/>
                      <w:szCs w:val="24"/>
                    </w:rPr>
                    <w:t>” below</w:t>
                  </w:r>
                  <w:r w:rsidRPr="0013396E">
                    <w:rPr>
                      <w:b/>
                      <w:i/>
                      <w:iCs/>
                      <w:szCs w:val="24"/>
                    </w:rPr>
                    <w:t xml:space="preserve">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9"/>
                    <w:gridCol w:w="855"/>
                    <w:gridCol w:w="6370"/>
                  </w:tblGrid>
                  <w:tr w:rsidR="006503F3" w:rsidRPr="003F34DA" w14:paraId="14840EE3" w14:textId="77777777" w:rsidTr="00A86863">
                    <w:trPr>
                      <w:cantSplit/>
                    </w:trPr>
                    <w:tc>
                      <w:tcPr>
                        <w:tcW w:w="934" w:type="pct"/>
                      </w:tcPr>
                      <w:p w14:paraId="7DF4E322" w14:textId="5C084860" w:rsidR="006503F3" w:rsidRPr="003F34DA" w:rsidRDefault="006503F3" w:rsidP="006503F3">
                        <w:pPr>
                          <w:spacing w:after="60"/>
                          <w:rPr>
                            <w:bCs/>
                            <w:sz w:val="20"/>
                          </w:rPr>
                        </w:pPr>
                        <w:r w:rsidRPr="003F34DA">
                          <w:rPr>
                            <w:bCs/>
                            <w:sz w:val="20"/>
                            <w:lang w:val="pt-BR"/>
                          </w:rPr>
                          <w:t>RTDRRDQ</w:t>
                        </w:r>
                        <w:r w:rsidRPr="003F34DA">
                          <w:rPr>
                            <w:i/>
                            <w:iCs/>
                            <w:sz w:val="20"/>
                            <w:vertAlign w:val="subscript"/>
                          </w:rPr>
                          <w:t xml:space="preserve"> q, </w:t>
                        </w:r>
                        <w:r w:rsidRPr="003F34DA">
                          <w:rPr>
                            <w:bCs/>
                            <w:i/>
                            <w:sz w:val="20"/>
                            <w:vertAlign w:val="subscript"/>
                            <w:lang w:val="pt-BR"/>
                          </w:rPr>
                          <w:t>r</w:t>
                        </w:r>
                      </w:p>
                    </w:tc>
                    <w:tc>
                      <w:tcPr>
                        <w:tcW w:w="481" w:type="pct"/>
                      </w:tcPr>
                      <w:p w14:paraId="36BA92A0" w14:textId="17752875" w:rsidR="006503F3" w:rsidRPr="003F34DA" w:rsidRDefault="006503F3" w:rsidP="006503F3">
                        <w:pPr>
                          <w:spacing w:after="60"/>
                          <w:rPr>
                            <w:iCs/>
                            <w:sz w:val="20"/>
                          </w:rPr>
                        </w:pPr>
                        <w:r w:rsidRPr="003F34DA">
                          <w:rPr>
                            <w:bCs/>
                            <w:sz w:val="20"/>
                            <w:lang w:val="pt-BR"/>
                          </w:rPr>
                          <w:t>MW</w:t>
                        </w:r>
                      </w:p>
                    </w:tc>
                    <w:tc>
                      <w:tcPr>
                        <w:tcW w:w="3585" w:type="pct"/>
                      </w:tcPr>
                      <w:p w14:paraId="2E97E6F5" w14:textId="7B0841C6" w:rsidR="006503F3" w:rsidRPr="003F34DA" w:rsidRDefault="006503F3" w:rsidP="006503F3">
                        <w:pPr>
                          <w:spacing w:after="60"/>
                          <w:rPr>
                            <w:i/>
                            <w:iCs/>
                            <w:sz w:val="20"/>
                          </w:rPr>
                        </w:pPr>
                        <w:r w:rsidRPr="003F34DA">
                          <w:rPr>
                            <w:bCs/>
                            <w:i/>
                            <w:sz w:val="20"/>
                            <w:lang w:val="pt-BR"/>
                          </w:rPr>
                          <w:t>Real-Time Dispatchable Reliability Reserve Service Derated Quantity</w:t>
                        </w:r>
                        <w:r w:rsidRPr="003F34DA">
                          <w:rPr>
                            <w:iCs/>
                            <w:sz w:val="20"/>
                          </w:rPr>
                          <w:t>—</w:t>
                        </w:r>
                        <w:r w:rsidRPr="003F34DA">
                          <w:rPr>
                            <w:bCs/>
                            <w:sz w:val="20"/>
                            <w:lang w:val="pt-BR"/>
                          </w:rPr>
                          <w:t xml:space="preserve">The DRRS quantity manually reduced by ERCOT for the Resource </w:t>
                        </w:r>
                        <w:r w:rsidRPr="003F34DA">
                          <w:rPr>
                            <w:bCs/>
                            <w:i/>
                            <w:sz w:val="20"/>
                            <w:lang w:val="pt-BR"/>
                          </w:rPr>
                          <w:t xml:space="preserve">r </w:t>
                        </w:r>
                        <w:r w:rsidRPr="003F34DA">
                          <w:rPr>
                            <w:bCs/>
                            <w:sz w:val="20"/>
                            <w:lang w:val="pt-BR"/>
                          </w:rPr>
                          <w:t xml:space="preserve">represented by QSE </w:t>
                        </w:r>
                        <w:r w:rsidRPr="003F34DA">
                          <w:rPr>
                            <w:bCs/>
                            <w:i/>
                            <w:sz w:val="20"/>
                            <w:lang w:val="pt-BR"/>
                          </w:rPr>
                          <w:t>q</w:t>
                        </w:r>
                        <w:r w:rsidRPr="003F34DA">
                          <w:rPr>
                            <w:bCs/>
                            <w:sz w:val="20"/>
                            <w:lang w:val="pt-BR"/>
                          </w:rPr>
                          <w:t xml:space="preserve"> for the 15-minute Settlement Interval.</w:t>
                        </w:r>
                        <w:r w:rsidRPr="003F34DA">
                          <w:rPr>
                            <w:iCs/>
                            <w:sz w:val="20"/>
                          </w:rPr>
                          <w:t xml:space="preserve">  Where for a Combined Cycle Train, the Resource </w:t>
                        </w:r>
                        <w:r w:rsidRPr="003F34DA">
                          <w:rPr>
                            <w:i/>
                            <w:iCs/>
                            <w:sz w:val="20"/>
                          </w:rPr>
                          <w:t xml:space="preserve">r </w:t>
                        </w:r>
                        <w:r w:rsidRPr="003F34DA">
                          <w:rPr>
                            <w:iCs/>
                            <w:sz w:val="20"/>
                          </w:rPr>
                          <w:t>is the Combined Cycle Train.</w:t>
                        </w:r>
                      </w:p>
                    </w:tc>
                  </w:tr>
                </w:tbl>
                <w:p w14:paraId="293BD1B0" w14:textId="77777777" w:rsidR="006503F3" w:rsidRPr="00583E7E" w:rsidRDefault="006503F3" w:rsidP="006503F3">
                  <w:pPr>
                    <w:tabs>
                      <w:tab w:val="left" w:pos="2340"/>
                      <w:tab w:val="left" w:pos="2880"/>
                    </w:tabs>
                    <w:spacing w:after="240"/>
                    <w:ind w:left="987" w:hanging="269"/>
                    <w:rPr>
                      <w:szCs w:val="24"/>
                      <w:lang w:val="es-MX"/>
                    </w:rPr>
                  </w:pPr>
                </w:p>
              </w:tc>
            </w:tr>
          </w:tbl>
          <w:p w14:paraId="30BAC681" w14:textId="77777777" w:rsidR="006503F3" w:rsidRPr="0013396E" w:rsidRDefault="006503F3" w:rsidP="0099759E">
            <w:pPr>
              <w:spacing w:after="60"/>
              <w:rPr>
                <w:bCs/>
                <w:i/>
                <w:sz w:val="20"/>
                <w:lang w:val="pt-BR"/>
              </w:rPr>
            </w:pPr>
          </w:p>
        </w:tc>
      </w:tr>
      <w:tr w:rsidR="00F10AF1" w:rsidRPr="0013396E" w14:paraId="7B5B9973" w14:textId="77777777" w:rsidTr="0099759E">
        <w:tc>
          <w:tcPr>
            <w:tcW w:w="1157" w:type="pct"/>
            <w:tcBorders>
              <w:top w:val="single" w:sz="4" w:space="0" w:color="auto"/>
              <w:left w:val="single" w:sz="4" w:space="0" w:color="auto"/>
              <w:bottom w:val="single" w:sz="4" w:space="0" w:color="auto"/>
              <w:right w:val="single" w:sz="4" w:space="0" w:color="auto"/>
            </w:tcBorders>
            <w:hideMark/>
          </w:tcPr>
          <w:p w14:paraId="6754A1A7" w14:textId="77777777" w:rsidR="00F10AF1" w:rsidRPr="0013396E" w:rsidRDefault="00F10AF1" w:rsidP="0099759E">
            <w:pPr>
              <w:spacing w:after="60"/>
              <w:rPr>
                <w:bCs/>
                <w:sz w:val="20"/>
                <w:lang w:val="pt-BR"/>
              </w:rPr>
            </w:pPr>
            <w:r w:rsidRPr="0013396E">
              <w:rPr>
                <w:i/>
                <w:sz w:val="20"/>
              </w:rPr>
              <w:t>q</w:t>
            </w:r>
          </w:p>
        </w:tc>
        <w:tc>
          <w:tcPr>
            <w:tcW w:w="395" w:type="pct"/>
            <w:tcBorders>
              <w:top w:val="single" w:sz="4" w:space="0" w:color="auto"/>
              <w:left w:val="single" w:sz="4" w:space="0" w:color="auto"/>
              <w:bottom w:val="single" w:sz="4" w:space="0" w:color="auto"/>
              <w:right w:val="single" w:sz="4" w:space="0" w:color="auto"/>
            </w:tcBorders>
            <w:hideMark/>
          </w:tcPr>
          <w:p w14:paraId="34CA6E4B" w14:textId="77777777" w:rsidR="00F10AF1" w:rsidRPr="0013396E" w:rsidRDefault="00F10AF1" w:rsidP="0099759E">
            <w:pPr>
              <w:spacing w:after="60"/>
              <w:rPr>
                <w:bCs/>
                <w:sz w:val="20"/>
                <w:lang w:val="pt-BR"/>
              </w:rPr>
            </w:pPr>
            <w:r w:rsidRPr="0013396E">
              <w:rPr>
                <w:sz w:val="20"/>
              </w:rPr>
              <w:t>none</w:t>
            </w:r>
          </w:p>
        </w:tc>
        <w:tc>
          <w:tcPr>
            <w:tcW w:w="3448" w:type="pct"/>
            <w:tcBorders>
              <w:top w:val="single" w:sz="4" w:space="0" w:color="auto"/>
              <w:left w:val="single" w:sz="4" w:space="0" w:color="auto"/>
              <w:bottom w:val="single" w:sz="4" w:space="0" w:color="auto"/>
              <w:right w:val="single" w:sz="4" w:space="0" w:color="auto"/>
            </w:tcBorders>
            <w:hideMark/>
          </w:tcPr>
          <w:p w14:paraId="54F5F8EE" w14:textId="77777777" w:rsidR="00F10AF1" w:rsidRPr="0013396E" w:rsidRDefault="00F10AF1" w:rsidP="0099759E">
            <w:pPr>
              <w:spacing w:after="60"/>
              <w:rPr>
                <w:bCs/>
                <w:i/>
                <w:sz w:val="20"/>
                <w:lang w:val="pt-BR"/>
              </w:rPr>
            </w:pPr>
            <w:r w:rsidRPr="0013396E">
              <w:rPr>
                <w:sz w:val="20"/>
              </w:rPr>
              <w:t>A QSE.</w:t>
            </w:r>
          </w:p>
        </w:tc>
      </w:tr>
      <w:tr w:rsidR="00F10AF1" w:rsidRPr="0013396E" w14:paraId="1E41EC8B" w14:textId="77777777" w:rsidTr="0099759E">
        <w:trPr>
          <w:trHeight w:val="89"/>
        </w:trPr>
        <w:tc>
          <w:tcPr>
            <w:tcW w:w="1157" w:type="pct"/>
            <w:tcBorders>
              <w:top w:val="single" w:sz="4" w:space="0" w:color="auto"/>
              <w:left w:val="single" w:sz="4" w:space="0" w:color="auto"/>
              <w:bottom w:val="single" w:sz="4" w:space="0" w:color="auto"/>
              <w:right w:val="single" w:sz="4" w:space="0" w:color="auto"/>
            </w:tcBorders>
            <w:hideMark/>
          </w:tcPr>
          <w:p w14:paraId="041ACC90" w14:textId="77777777" w:rsidR="00F10AF1" w:rsidRPr="0013396E" w:rsidRDefault="00F10AF1" w:rsidP="0099759E">
            <w:pPr>
              <w:spacing w:after="60"/>
              <w:rPr>
                <w:i/>
                <w:sz w:val="20"/>
                <w:szCs w:val="24"/>
              </w:rPr>
            </w:pPr>
            <w:r w:rsidRPr="0013396E">
              <w:rPr>
                <w:i/>
                <w:sz w:val="20"/>
              </w:rPr>
              <w:t>r</w:t>
            </w:r>
          </w:p>
        </w:tc>
        <w:tc>
          <w:tcPr>
            <w:tcW w:w="395" w:type="pct"/>
            <w:tcBorders>
              <w:top w:val="single" w:sz="4" w:space="0" w:color="auto"/>
              <w:left w:val="single" w:sz="4" w:space="0" w:color="auto"/>
              <w:bottom w:val="single" w:sz="4" w:space="0" w:color="auto"/>
              <w:right w:val="single" w:sz="4" w:space="0" w:color="auto"/>
            </w:tcBorders>
            <w:hideMark/>
          </w:tcPr>
          <w:p w14:paraId="1326667D" w14:textId="77777777" w:rsidR="00F10AF1" w:rsidRPr="0013396E" w:rsidRDefault="00F10AF1" w:rsidP="0099759E">
            <w:pPr>
              <w:spacing w:after="60"/>
              <w:rPr>
                <w:sz w:val="20"/>
              </w:rPr>
            </w:pPr>
            <w:r w:rsidRPr="0013396E">
              <w:rPr>
                <w:sz w:val="20"/>
              </w:rPr>
              <w:t>none</w:t>
            </w:r>
          </w:p>
        </w:tc>
        <w:tc>
          <w:tcPr>
            <w:tcW w:w="3448" w:type="pct"/>
            <w:tcBorders>
              <w:top w:val="single" w:sz="4" w:space="0" w:color="auto"/>
              <w:left w:val="single" w:sz="4" w:space="0" w:color="auto"/>
              <w:bottom w:val="single" w:sz="4" w:space="0" w:color="auto"/>
              <w:right w:val="single" w:sz="4" w:space="0" w:color="auto"/>
            </w:tcBorders>
            <w:hideMark/>
          </w:tcPr>
          <w:p w14:paraId="43368966" w14:textId="77777777" w:rsidR="00F10AF1" w:rsidRPr="0013396E" w:rsidRDefault="00F10AF1" w:rsidP="0099759E">
            <w:pPr>
              <w:spacing w:after="60"/>
              <w:rPr>
                <w:sz w:val="20"/>
              </w:rPr>
            </w:pPr>
            <w:r w:rsidRPr="0013396E">
              <w:rPr>
                <w:sz w:val="20"/>
              </w:rPr>
              <w:t xml:space="preserve">A Resource. </w:t>
            </w:r>
          </w:p>
        </w:tc>
      </w:tr>
    </w:tbl>
    <w:p w14:paraId="68C795B5" w14:textId="70CD2390" w:rsidR="00F10AF1" w:rsidRPr="0013396E" w:rsidRDefault="00F10AF1" w:rsidP="000B7133">
      <w:pPr>
        <w:pStyle w:val="Heading4"/>
        <w:numPr>
          <w:ilvl w:val="0"/>
          <w:numId w:val="0"/>
        </w:numPr>
        <w:spacing w:before="480"/>
      </w:pPr>
      <w:bookmarkStart w:id="2286" w:name="_Toc236220250"/>
      <w:r w:rsidRPr="0013396E">
        <w:rPr>
          <w:bCs w:val="0"/>
        </w:rPr>
        <w:t>6.7.</w:t>
      </w:r>
      <w:r w:rsidR="00A12B52" w:rsidRPr="0013396E">
        <w:rPr>
          <w:bCs w:val="0"/>
        </w:rPr>
        <w:t>2</w:t>
      </w:r>
      <w:r w:rsidRPr="0013396E">
        <w:rPr>
          <w:bCs w:val="0"/>
        </w:rPr>
        <w:t>.8</w:t>
      </w:r>
      <w:r w:rsidRPr="0013396E">
        <w:rPr>
          <w:bCs w:val="0"/>
        </w:rPr>
        <w:tab/>
        <w:t>Real-Time Derated Ancillary Service Capability Charge</w:t>
      </w:r>
      <w:bookmarkEnd w:id="2286"/>
    </w:p>
    <w:p w14:paraId="4BC727B4" w14:textId="77777777" w:rsidR="00F10AF1" w:rsidRPr="0013396E" w:rsidRDefault="00F10AF1" w:rsidP="00F10AF1">
      <w:pPr>
        <w:pStyle w:val="BodyText"/>
        <w:ind w:left="720" w:hanging="720"/>
      </w:pPr>
      <w:r w:rsidRPr="0013396E">
        <w:t>(1)</w:t>
      </w:r>
      <w:r w:rsidRPr="0013396E">
        <w:tab/>
        <w:t>The total cost for Real-Time derated Ancillary Service payments is allocated to QSEs representing Load based on Load Ratio Share (LRS).  The Real-Time derated Ancillary Service Payment allocations to each QSE for a given 15-minute Settlement Interval are calculated as follows:</w:t>
      </w:r>
    </w:p>
    <w:p w14:paraId="324B1442" w14:textId="77777777" w:rsidR="00F10AF1" w:rsidRPr="0013396E" w:rsidRDefault="00F10AF1" w:rsidP="00F10AF1">
      <w:pPr>
        <w:pStyle w:val="BodyText"/>
        <w:ind w:left="1440"/>
      </w:pPr>
      <w:r w:rsidRPr="0013396E">
        <w:t xml:space="preserve">LARTDASAMT </w:t>
      </w:r>
      <w:r w:rsidRPr="0013396E">
        <w:rPr>
          <w:i/>
          <w:vertAlign w:val="subscript"/>
        </w:rPr>
        <w:t>q</w:t>
      </w:r>
      <w:r w:rsidRPr="0013396E">
        <w:t xml:space="preserve"> =</w:t>
      </w:r>
      <w:r w:rsidRPr="0013396E">
        <w:tab/>
        <w:t xml:space="preserve">(-1) * RTDASAMTTOT * LRS </w:t>
      </w:r>
      <w:r w:rsidRPr="0013396E">
        <w:rPr>
          <w:i/>
          <w:vertAlign w:val="subscript"/>
        </w:rPr>
        <w:t>q</w:t>
      </w:r>
    </w:p>
    <w:p w14:paraId="05550916" w14:textId="77777777" w:rsidR="00F10AF1" w:rsidRPr="0013396E" w:rsidRDefault="00F10AF1" w:rsidP="00F10AF1">
      <w:pPr>
        <w:pStyle w:val="BodyText"/>
        <w:ind w:left="720" w:hanging="720"/>
      </w:pPr>
      <w:r w:rsidRPr="0013396E">
        <w:tab/>
        <w:t>Where:</w:t>
      </w:r>
    </w:p>
    <w:p w14:paraId="2A4A540E" w14:textId="77777777" w:rsidR="00F10AF1" w:rsidRPr="0013396E" w:rsidRDefault="00F10AF1" w:rsidP="00F10AF1">
      <w:pPr>
        <w:pStyle w:val="BodyText"/>
        <w:ind w:left="720" w:firstLine="720"/>
        <w:rPr>
          <w:bCs/>
          <w:i/>
          <w:vertAlign w:val="subscript"/>
          <w:lang w:val="es-ES"/>
        </w:rPr>
      </w:pPr>
      <w:r w:rsidRPr="0013396E">
        <w:t xml:space="preserve">RTDASAMTTOT = </w:t>
      </w:r>
      <w:r w:rsidRPr="0013396E">
        <w:rPr>
          <w:position w:val="-22"/>
          <w:szCs w:val="24"/>
        </w:rPr>
        <w:object w:dxaOrig="150" w:dyaOrig="285" w14:anchorId="3289BA94">
          <v:shape id="_x0000_i1300" type="#_x0000_t75" style="width:12pt;height:24pt" o:ole="">
            <v:imagedata r:id="rId285" o:title=""/>
          </v:shape>
          <o:OLEObject Type="Embed" ProgID="Equation.3" ShapeID="_x0000_i1300" DrawAspect="Content" ObjectID="_1849065929" r:id="rId379"/>
        </w:object>
      </w:r>
      <w:r w:rsidRPr="0013396E">
        <w:t xml:space="preserve"> </w:t>
      </w:r>
      <w:r w:rsidRPr="0013396E">
        <w:rPr>
          <w:bCs/>
          <w:lang w:val="pt-BR"/>
        </w:rPr>
        <w:t xml:space="preserve">RTDASAMT </w:t>
      </w:r>
      <w:r w:rsidRPr="0013396E">
        <w:rPr>
          <w:bCs/>
          <w:i/>
          <w:vertAlign w:val="subscript"/>
          <w:lang w:val="es-ES"/>
        </w:rPr>
        <w:t>q</w:t>
      </w:r>
    </w:p>
    <w:p w14:paraId="0087665F" w14:textId="77777777" w:rsidR="00F10AF1" w:rsidRPr="0013396E" w:rsidRDefault="00F10AF1" w:rsidP="00F10AF1">
      <w:pPr>
        <w:pStyle w:val="Instructions"/>
        <w:spacing w:after="0"/>
        <w:ind w:left="720" w:hanging="720"/>
        <w:rPr>
          <w:b w:val="0"/>
          <w:i w:val="0"/>
        </w:rPr>
      </w:pPr>
      <w:r w:rsidRPr="0013396E">
        <w:rPr>
          <w:b w:val="0"/>
          <w:i w:val="0"/>
          <w:iCs w:val="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722"/>
        <w:gridCol w:w="6455"/>
      </w:tblGrid>
      <w:tr w:rsidR="00F10AF1" w:rsidRPr="0013396E" w14:paraId="64C3A0D9" w14:textId="77777777" w:rsidTr="0099759E">
        <w:tc>
          <w:tcPr>
            <w:tcW w:w="1162" w:type="pct"/>
            <w:tcBorders>
              <w:top w:val="single" w:sz="4" w:space="0" w:color="auto"/>
              <w:left w:val="single" w:sz="4" w:space="0" w:color="auto"/>
              <w:bottom w:val="single" w:sz="4" w:space="0" w:color="auto"/>
              <w:right w:val="single" w:sz="4" w:space="0" w:color="auto"/>
            </w:tcBorders>
            <w:hideMark/>
          </w:tcPr>
          <w:p w14:paraId="656EF059" w14:textId="77777777" w:rsidR="00F10AF1" w:rsidRPr="0013396E" w:rsidRDefault="00F10AF1" w:rsidP="0099759E">
            <w:pPr>
              <w:spacing w:after="240"/>
              <w:rPr>
                <w:b/>
                <w:iCs/>
                <w:sz w:val="20"/>
              </w:rPr>
            </w:pPr>
            <w:r w:rsidRPr="0013396E">
              <w:rPr>
                <w:b/>
                <w:iCs/>
                <w:sz w:val="20"/>
              </w:rPr>
              <w:t>Variable</w:t>
            </w:r>
          </w:p>
        </w:tc>
        <w:tc>
          <w:tcPr>
            <w:tcW w:w="386" w:type="pct"/>
            <w:tcBorders>
              <w:top w:val="single" w:sz="4" w:space="0" w:color="auto"/>
              <w:left w:val="single" w:sz="4" w:space="0" w:color="auto"/>
              <w:bottom w:val="single" w:sz="4" w:space="0" w:color="auto"/>
              <w:right w:val="single" w:sz="4" w:space="0" w:color="auto"/>
            </w:tcBorders>
            <w:hideMark/>
          </w:tcPr>
          <w:p w14:paraId="6C077C1E" w14:textId="77777777" w:rsidR="00F10AF1" w:rsidRPr="0013396E" w:rsidRDefault="00F10AF1" w:rsidP="0099759E">
            <w:pPr>
              <w:spacing w:after="240"/>
              <w:rPr>
                <w:b/>
                <w:iCs/>
                <w:sz w:val="20"/>
              </w:rPr>
            </w:pPr>
            <w:r w:rsidRPr="0013396E">
              <w:rPr>
                <w:b/>
                <w:iCs/>
                <w:sz w:val="20"/>
              </w:rPr>
              <w:t>Unit</w:t>
            </w:r>
          </w:p>
        </w:tc>
        <w:tc>
          <w:tcPr>
            <w:tcW w:w="3452" w:type="pct"/>
            <w:tcBorders>
              <w:top w:val="single" w:sz="4" w:space="0" w:color="auto"/>
              <w:left w:val="single" w:sz="4" w:space="0" w:color="auto"/>
              <w:bottom w:val="single" w:sz="4" w:space="0" w:color="auto"/>
              <w:right w:val="single" w:sz="4" w:space="0" w:color="auto"/>
            </w:tcBorders>
            <w:hideMark/>
          </w:tcPr>
          <w:p w14:paraId="763184E1" w14:textId="77777777" w:rsidR="00F10AF1" w:rsidRPr="0013396E" w:rsidRDefault="00F10AF1" w:rsidP="0099759E">
            <w:pPr>
              <w:spacing w:after="240"/>
              <w:rPr>
                <w:b/>
                <w:iCs/>
                <w:sz w:val="20"/>
              </w:rPr>
            </w:pPr>
            <w:r w:rsidRPr="0013396E">
              <w:rPr>
                <w:b/>
                <w:iCs/>
                <w:sz w:val="20"/>
              </w:rPr>
              <w:t>Description</w:t>
            </w:r>
          </w:p>
        </w:tc>
      </w:tr>
      <w:tr w:rsidR="00F10AF1" w:rsidRPr="0013396E" w14:paraId="5B31730B" w14:textId="77777777" w:rsidTr="0099759E">
        <w:tc>
          <w:tcPr>
            <w:tcW w:w="1162" w:type="pct"/>
            <w:tcBorders>
              <w:top w:val="single" w:sz="4" w:space="0" w:color="auto"/>
              <w:left w:val="single" w:sz="4" w:space="0" w:color="auto"/>
              <w:bottom w:val="single" w:sz="4" w:space="0" w:color="auto"/>
              <w:right w:val="single" w:sz="4" w:space="0" w:color="auto"/>
            </w:tcBorders>
            <w:hideMark/>
          </w:tcPr>
          <w:p w14:paraId="3FFEA170" w14:textId="77777777" w:rsidR="00F10AF1" w:rsidRPr="0013396E" w:rsidRDefault="00F10AF1" w:rsidP="0099759E">
            <w:pPr>
              <w:spacing w:after="60"/>
              <w:rPr>
                <w:iCs/>
                <w:sz w:val="20"/>
              </w:rPr>
            </w:pPr>
            <w:r w:rsidRPr="0013396E">
              <w:rPr>
                <w:bCs/>
                <w:sz w:val="20"/>
                <w:lang w:val="pt-BR"/>
              </w:rPr>
              <w:lastRenderedPageBreak/>
              <w:t>LARTDASAMT</w:t>
            </w:r>
            <w:r w:rsidRPr="0013396E">
              <w:rPr>
                <w:bCs/>
                <w:lang w:val="pt-BR"/>
              </w:rPr>
              <w:t xml:space="preserve"> </w:t>
            </w:r>
            <w:r w:rsidRPr="0013396E">
              <w:rPr>
                <w:i/>
                <w:iCs/>
                <w:sz w:val="20"/>
                <w:vertAlign w:val="subscript"/>
              </w:rPr>
              <w:t>q</w:t>
            </w:r>
          </w:p>
        </w:tc>
        <w:tc>
          <w:tcPr>
            <w:tcW w:w="386" w:type="pct"/>
            <w:tcBorders>
              <w:top w:val="single" w:sz="4" w:space="0" w:color="auto"/>
              <w:left w:val="single" w:sz="4" w:space="0" w:color="auto"/>
              <w:bottom w:val="single" w:sz="4" w:space="0" w:color="auto"/>
              <w:right w:val="single" w:sz="4" w:space="0" w:color="auto"/>
            </w:tcBorders>
            <w:hideMark/>
          </w:tcPr>
          <w:p w14:paraId="26842227" w14:textId="77777777" w:rsidR="00F10AF1" w:rsidRPr="0013396E" w:rsidRDefault="00F10AF1" w:rsidP="0099759E">
            <w:pPr>
              <w:spacing w:after="60"/>
              <w:rPr>
                <w:iCs/>
                <w:sz w:val="20"/>
              </w:rPr>
            </w:pPr>
            <w:r w:rsidRPr="0013396E">
              <w:rPr>
                <w:iCs/>
                <w:sz w:val="20"/>
              </w:rPr>
              <w:t>$</w:t>
            </w:r>
          </w:p>
        </w:tc>
        <w:tc>
          <w:tcPr>
            <w:tcW w:w="3452" w:type="pct"/>
            <w:tcBorders>
              <w:top w:val="single" w:sz="4" w:space="0" w:color="auto"/>
              <w:left w:val="single" w:sz="4" w:space="0" w:color="auto"/>
              <w:bottom w:val="single" w:sz="4" w:space="0" w:color="auto"/>
              <w:right w:val="single" w:sz="4" w:space="0" w:color="auto"/>
            </w:tcBorders>
            <w:hideMark/>
          </w:tcPr>
          <w:p w14:paraId="361EEB30" w14:textId="77777777" w:rsidR="00F10AF1" w:rsidRPr="0013396E" w:rsidRDefault="00F10AF1" w:rsidP="0099759E">
            <w:pPr>
              <w:spacing w:after="60"/>
              <w:rPr>
                <w:iCs/>
                <w:sz w:val="20"/>
              </w:rPr>
            </w:pPr>
            <w:r w:rsidRPr="0013396E">
              <w:rPr>
                <w:i/>
                <w:iCs/>
                <w:sz w:val="20"/>
              </w:rPr>
              <w:t>Load Allocated Real-Time Derated Ancillary Service Amount per QSE</w:t>
            </w:r>
            <w:r w:rsidRPr="0013396E">
              <w:rPr>
                <w:iCs/>
                <w:sz w:val="20"/>
              </w:rPr>
              <w:t xml:space="preserve">—The charge to QSE </w:t>
            </w:r>
            <w:r w:rsidRPr="0013396E">
              <w:rPr>
                <w:i/>
                <w:iCs/>
                <w:sz w:val="20"/>
              </w:rPr>
              <w:t>q</w:t>
            </w:r>
            <w:r w:rsidRPr="0013396E">
              <w:rPr>
                <w:iCs/>
                <w:sz w:val="20"/>
              </w:rPr>
              <w:t xml:space="preserve"> due to a manual reduction of Ancillary Services to be awarded for the 15-minute Settlement Interval.</w:t>
            </w:r>
          </w:p>
        </w:tc>
      </w:tr>
      <w:tr w:rsidR="00F10AF1" w:rsidRPr="0013396E" w14:paraId="115111EA" w14:textId="77777777" w:rsidTr="0099759E">
        <w:tc>
          <w:tcPr>
            <w:tcW w:w="1162" w:type="pct"/>
            <w:tcBorders>
              <w:top w:val="single" w:sz="4" w:space="0" w:color="auto"/>
              <w:left w:val="single" w:sz="4" w:space="0" w:color="auto"/>
              <w:bottom w:val="single" w:sz="4" w:space="0" w:color="auto"/>
              <w:right w:val="single" w:sz="4" w:space="0" w:color="auto"/>
            </w:tcBorders>
            <w:hideMark/>
          </w:tcPr>
          <w:p w14:paraId="13174856" w14:textId="77777777" w:rsidR="00F10AF1" w:rsidRPr="0013396E" w:rsidRDefault="00F10AF1" w:rsidP="0099759E">
            <w:pPr>
              <w:spacing w:after="60"/>
              <w:rPr>
                <w:iCs/>
                <w:sz w:val="20"/>
              </w:rPr>
            </w:pPr>
            <w:r w:rsidRPr="0013396E">
              <w:rPr>
                <w:bCs/>
                <w:sz w:val="20"/>
                <w:lang w:val="pt-BR"/>
              </w:rPr>
              <w:t>RTDASAMTTOT</w:t>
            </w:r>
          </w:p>
        </w:tc>
        <w:tc>
          <w:tcPr>
            <w:tcW w:w="386" w:type="pct"/>
            <w:tcBorders>
              <w:top w:val="single" w:sz="4" w:space="0" w:color="auto"/>
              <w:left w:val="single" w:sz="4" w:space="0" w:color="auto"/>
              <w:bottom w:val="single" w:sz="4" w:space="0" w:color="auto"/>
              <w:right w:val="single" w:sz="4" w:space="0" w:color="auto"/>
            </w:tcBorders>
            <w:hideMark/>
          </w:tcPr>
          <w:p w14:paraId="7F3ECED3" w14:textId="77777777" w:rsidR="00F10AF1" w:rsidRPr="0013396E" w:rsidRDefault="00F10AF1" w:rsidP="0099759E">
            <w:pPr>
              <w:spacing w:after="60"/>
              <w:rPr>
                <w:iCs/>
                <w:sz w:val="20"/>
              </w:rPr>
            </w:pPr>
            <w:r w:rsidRPr="0013396E">
              <w:rPr>
                <w:iCs/>
                <w:sz w:val="20"/>
              </w:rPr>
              <w:t>$</w:t>
            </w:r>
          </w:p>
        </w:tc>
        <w:tc>
          <w:tcPr>
            <w:tcW w:w="3452" w:type="pct"/>
            <w:tcBorders>
              <w:top w:val="single" w:sz="4" w:space="0" w:color="auto"/>
              <w:left w:val="single" w:sz="4" w:space="0" w:color="auto"/>
              <w:bottom w:val="single" w:sz="4" w:space="0" w:color="auto"/>
              <w:right w:val="single" w:sz="4" w:space="0" w:color="auto"/>
            </w:tcBorders>
            <w:hideMark/>
          </w:tcPr>
          <w:p w14:paraId="27916EB6" w14:textId="77777777" w:rsidR="00F10AF1" w:rsidRPr="0013396E" w:rsidRDefault="00F10AF1" w:rsidP="0099759E">
            <w:pPr>
              <w:spacing w:after="60"/>
              <w:rPr>
                <w:i/>
                <w:iCs/>
                <w:sz w:val="20"/>
              </w:rPr>
            </w:pPr>
            <w:r w:rsidRPr="0013396E">
              <w:rPr>
                <w:i/>
                <w:iCs/>
                <w:sz w:val="20"/>
              </w:rPr>
              <w:t>Real-Time Derated Ancillary Service Amount Total</w:t>
            </w:r>
            <w:r w:rsidRPr="0013396E">
              <w:rPr>
                <w:iCs/>
                <w:sz w:val="20"/>
              </w:rPr>
              <w:t>—The total of all payments to all QSEs for amounts recoverable due to an ERCOT issued manual reduction of Ancillary Services to be awarded for the 15-minute Settlement Interval.</w:t>
            </w:r>
          </w:p>
        </w:tc>
      </w:tr>
      <w:tr w:rsidR="00F10AF1" w:rsidRPr="0013396E" w14:paraId="2E9240AA" w14:textId="77777777" w:rsidTr="0099759E">
        <w:tc>
          <w:tcPr>
            <w:tcW w:w="1162" w:type="pct"/>
            <w:tcBorders>
              <w:top w:val="single" w:sz="4" w:space="0" w:color="auto"/>
              <w:left w:val="single" w:sz="4" w:space="0" w:color="auto"/>
              <w:bottom w:val="single" w:sz="4" w:space="0" w:color="auto"/>
              <w:right w:val="single" w:sz="4" w:space="0" w:color="auto"/>
            </w:tcBorders>
            <w:hideMark/>
          </w:tcPr>
          <w:p w14:paraId="6E28F0A8" w14:textId="77777777" w:rsidR="00F10AF1" w:rsidRPr="0013396E" w:rsidRDefault="00F10AF1" w:rsidP="0099759E">
            <w:pPr>
              <w:spacing w:after="60"/>
              <w:rPr>
                <w:bCs/>
                <w:sz w:val="20"/>
                <w:lang w:val="pt-BR"/>
              </w:rPr>
            </w:pPr>
            <w:r w:rsidRPr="0013396E">
              <w:rPr>
                <w:bCs/>
                <w:sz w:val="20"/>
                <w:lang w:val="pt-BR"/>
              </w:rPr>
              <w:t>RTDASAMT</w:t>
            </w:r>
            <w:r w:rsidRPr="0013396E">
              <w:rPr>
                <w:bCs/>
                <w:lang w:val="pt-BR"/>
              </w:rPr>
              <w:t xml:space="preserve"> </w:t>
            </w:r>
            <w:r w:rsidRPr="0013396E">
              <w:rPr>
                <w:i/>
                <w:iCs/>
                <w:sz w:val="20"/>
                <w:vertAlign w:val="subscript"/>
              </w:rPr>
              <w:t>q</w:t>
            </w:r>
          </w:p>
        </w:tc>
        <w:tc>
          <w:tcPr>
            <w:tcW w:w="386" w:type="pct"/>
            <w:tcBorders>
              <w:top w:val="single" w:sz="4" w:space="0" w:color="auto"/>
              <w:left w:val="single" w:sz="4" w:space="0" w:color="auto"/>
              <w:bottom w:val="single" w:sz="4" w:space="0" w:color="auto"/>
              <w:right w:val="single" w:sz="4" w:space="0" w:color="auto"/>
            </w:tcBorders>
            <w:hideMark/>
          </w:tcPr>
          <w:p w14:paraId="33A55524" w14:textId="77777777" w:rsidR="00F10AF1" w:rsidRPr="0013396E" w:rsidRDefault="00F10AF1" w:rsidP="0099759E">
            <w:pPr>
              <w:spacing w:after="60"/>
              <w:rPr>
                <w:iCs/>
                <w:sz w:val="20"/>
                <w:szCs w:val="24"/>
              </w:rPr>
            </w:pPr>
            <w:r w:rsidRPr="0013396E">
              <w:rPr>
                <w:iCs/>
                <w:sz w:val="20"/>
              </w:rPr>
              <w:t>$</w:t>
            </w:r>
          </w:p>
        </w:tc>
        <w:tc>
          <w:tcPr>
            <w:tcW w:w="3452" w:type="pct"/>
            <w:tcBorders>
              <w:top w:val="single" w:sz="4" w:space="0" w:color="auto"/>
              <w:left w:val="single" w:sz="4" w:space="0" w:color="auto"/>
              <w:bottom w:val="single" w:sz="4" w:space="0" w:color="auto"/>
              <w:right w:val="single" w:sz="4" w:space="0" w:color="auto"/>
            </w:tcBorders>
            <w:hideMark/>
          </w:tcPr>
          <w:p w14:paraId="68C02682" w14:textId="77777777" w:rsidR="00F10AF1" w:rsidRPr="0013396E" w:rsidRDefault="00F10AF1" w:rsidP="0099759E">
            <w:pPr>
              <w:spacing w:after="60"/>
              <w:rPr>
                <w:i/>
                <w:iCs/>
                <w:sz w:val="20"/>
              </w:rPr>
            </w:pPr>
            <w:r w:rsidRPr="0013396E">
              <w:rPr>
                <w:i/>
                <w:iCs/>
                <w:sz w:val="20"/>
              </w:rPr>
              <w:t>Real-Time Derated Ancillary Service Amount</w:t>
            </w:r>
            <w:r w:rsidRPr="0013396E">
              <w:rPr>
                <w:iCs/>
                <w:sz w:val="20"/>
              </w:rPr>
              <w:t xml:space="preserve">—The payment to QSE </w:t>
            </w:r>
            <w:r w:rsidRPr="0013396E">
              <w:rPr>
                <w:i/>
                <w:iCs/>
                <w:sz w:val="20"/>
              </w:rPr>
              <w:t>q</w:t>
            </w:r>
            <w:r w:rsidRPr="0013396E">
              <w:rPr>
                <w:iCs/>
                <w:sz w:val="20"/>
              </w:rPr>
              <w:t xml:space="preserve"> for amounts recoverable due to an ERCOT issued manual reduction of Ancillary Services to be awarded for the 15-minute Settlement Interval.</w:t>
            </w:r>
          </w:p>
        </w:tc>
      </w:tr>
      <w:tr w:rsidR="00F10AF1" w:rsidRPr="0013396E" w14:paraId="2E8B1568" w14:textId="77777777" w:rsidTr="0099759E">
        <w:tc>
          <w:tcPr>
            <w:tcW w:w="1162" w:type="pct"/>
            <w:tcBorders>
              <w:top w:val="single" w:sz="4" w:space="0" w:color="auto"/>
              <w:left w:val="single" w:sz="4" w:space="0" w:color="auto"/>
              <w:bottom w:val="single" w:sz="4" w:space="0" w:color="auto"/>
              <w:right w:val="single" w:sz="4" w:space="0" w:color="auto"/>
            </w:tcBorders>
            <w:hideMark/>
          </w:tcPr>
          <w:p w14:paraId="3BC781C4" w14:textId="77777777" w:rsidR="00F10AF1" w:rsidRPr="0013396E" w:rsidRDefault="00F10AF1" w:rsidP="0099759E">
            <w:pPr>
              <w:spacing w:after="60"/>
              <w:rPr>
                <w:bCs/>
                <w:sz w:val="20"/>
                <w:lang w:val="pt-BR"/>
              </w:rPr>
            </w:pPr>
            <w:r w:rsidRPr="0013396E">
              <w:rPr>
                <w:sz w:val="20"/>
              </w:rPr>
              <w:t>LRS</w:t>
            </w:r>
            <w:r w:rsidRPr="0013396E">
              <w:rPr>
                <w:sz w:val="20"/>
                <w:vertAlign w:val="subscript"/>
              </w:rPr>
              <w:t xml:space="preserve"> </w:t>
            </w:r>
            <w:r w:rsidRPr="0013396E">
              <w:rPr>
                <w:i/>
                <w:sz w:val="20"/>
                <w:vertAlign w:val="subscript"/>
              </w:rPr>
              <w:t>q</w:t>
            </w:r>
          </w:p>
        </w:tc>
        <w:tc>
          <w:tcPr>
            <w:tcW w:w="386" w:type="pct"/>
            <w:tcBorders>
              <w:top w:val="single" w:sz="4" w:space="0" w:color="auto"/>
              <w:left w:val="single" w:sz="4" w:space="0" w:color="auto"/>
              <w:bottom w:val="single" w:sz="4" w:space="0" w:color="auto"/>
              <w:right w:val="single" w:sz="4" w:space="0" w:color="auto"/>
            </w:tcBorders>
            <w:hideMark/>
          </w:tcPr>
          <w:p w14:paraId="6FCA0508" w14:textId="77777777" w:rsidR="00F10AF1" w:rsidRPr="0013396E" w:rsidRDefault="00F10AF1" w:rsidP="0099759E">
            <w:pPr>
              <w:spacing w:after="60"/>
              <w:rPr>
                <w:iCs/>
                <w:sz w:val="20"/>
              </w:rPr>
            </w:pPr>
            <w:r w:rsidRPr="0013396E">
              <w:rPr>
                <w:sz w:val="20"/>
              </w:rPr>
              <w:t>none</w:t>
            </w:r>
          </w:p>
        </w:tc>
        <w:tc>
          <w:tcPr>
            <w:tcW w:w="3452" w:type="pct"/>
            <w:tcBorders>
              <w:top w:val="single" w:sz="4" w:space="0" w:color="auto"/>
              <w:left w:val="single" w:sz="4" w:space="0" w:color="auto"/>
              <w:bottom w:val="single" w:sz="4" w:space="0" w:color="auto"/>
              <w:right w:val="single" w:sz="4" w:space="0" w:color="auto"/>
            </w:tcBorders>
            <w:hideMark/>
          </w:tcPr>
          <w:p w14:paraId="342FF307" w14:textId="77777777" w:rsidR="00F10AF1" w:rsidRPr="0013396E" w:rsidRDefault="00F10AF1" w:rsidP="0099759E">
            <w:pPr>
              <w:spacing w:after="60"/>
              <w:rPr>
                <w:i/>
                <w:iCs/>
                <w:sz w:val="20"/>
              </w:rPr>
            </w:pPr>
            <w:r w:rsidRPr="0013396E">
              <w:rPr>
                <w:i/>
                <w:sz w:val="20"/>
              </w:rPr>
              <w:t>Load Ratio Share per QSE</w:t>
            </w:r>
            <w:r w:rsidRPr="0013396E">
              <w:rPr>
                <w:sz w:val="20"/>
              </w:rPr>
              <w:t xml:space="preserve">—The LRS as defined in Section 6.6.2.2, QSE Load Ratio Share for a 15-Minute Settlement Interval, for QSE </w:t>
            </w:r>
            <w:r w:rsidRPr="0013396E">
              <w:rPr>
                <w:i/>
                <w:sz w:val="20"/>
              </w:rPr>
              <w:t>q</w:t>
            </w:r>
            <w:r w:rsidRPr="0013396E">
              <w:rPr>
                <w:sz w:val="20"/>
              </w:rPr>
              <w:t xml:space="preserve"> for the 15-minute Settlement Interval.</w:t>
            </w:r>
          </w:p>
        </w:tc>
      </w:tr>
      <w:tr w:rsidR="00F10AF1" w:rsidRPr="0013396E" w14:paraId="636993A0" w14:textId="77777777" w:rsidTr="0099759E">
        <w:tc>
          <w:tcPr>
            <w:tcW w:w="1162" w:type="pct"/>
            <w:tcBorders>
              <w:top w:val="single" w:sz="4" w:space="0" w:color="auto"/>
              <w:left w:val="single" w:sz="4" w:space="0" w:color="auto"/>
              <w:bottom w:val="single" w:sz="4" w:space="0" w:color="auto"/>
              <w:right w:val="single" w:sz="4" w:space="0" w:color="auto"/>
            </w:tcBorders>
            <w:hideMark/>
          </w:tcPr>
          <w:p w14:paraId="28C103A9" w14:textId="77777777" w:rsidR="00F10AF1" w:rsidRPr="0013396E" w:rsidRDefault="00F10AF1" w:rsidP="0099759E">
            <w:pPr>
              <w:spacing w:after="60"/>
              <w:rPr>
                <w:bCs/>
                <w:i/>
                <w:sz w:val="20"/>
                <w:lang w:val="pt-BR"/>
              </w:rPr>
            </w:pPr>
            <w:r w:rsidRPr="0013396E">
              <w:rPr>
                <w:bCs/>
                <w:i/>
                <w:sz w:val="20"/>
                <w:lang w:val="pt-BR"/>
              </w:rPr>
              <w:t>q</w:t>
            </w:r>
          </w:p>
        </w:tc>
        <w:tc>
          <w:tcPr>
            <w:tcW w:w="386" w:type="pct"/>
            <w:tcBorders>
              <w:top w:val="single" w:sz="4" w:space="0" w:color="auto"/>
              <w:left w:val="single" w:sz="4" w:space="0" w:color="auto"/>
              <w:bottom w:val="single" w:sz="4" w:space="0" w:color="auto"/>
              <w:right w:val="single" w:sz="4" w:space="0" w:color="auto"/>
            </w:tcBorders>
            <w:hideMark/>
          </w:tcPr>
          <w:p w14:paraId="0FB62BCF" w14:textId="77777777" w:rsidR="00F10AF1" w:rsidRPr="0013396E" w:rsidRDefault="00F10AF1" w:rsidP="0099759E">
            <w:pPr>
              <w:spacing w:after="60"/>
              <w:rPr>
                <w:iCs/>
                <w:sz w:val="20"/>
                <w:szCs w:val="24"/>
              </w:rPr>
            </w:pPr>
            <w:r w:rsidRPr="0013396E">
              <w:rPr>
                <w:iCs/>
                <w:sz w:val="20"/>
              </w:rPr>
              <w:t>none</w:t>
            </w:r>
          </w:p>
        </w:tc>
        <w:tc>
          <w:tcPr>
            <w:tcW w:w="3452" w:type="pct"/>
            <w:tcBorders>
              <w:top w:val="single" w:sz="4" w:space="0" w:color="auto"/>
              <w:left w:val="single" w:sz="4" w:space="0" w:color="auto"/>
              <w:bottom w:val="single" w:sz="4" w:space="0" w:color="auto"/>
              <w:right w:val="single" w:sz="4" w:space="0" w:color="auto"/>
            </w:tcBorders>
            <w:hideMark/>
          </w:tcPr>
          <w:p w14:paraId="5ABB6DA1" w14:textId="77777777" w:rsidR="00F10AF1" w:rsidRPr="0013396E" w:rsidRDefault="00F10AF1" w:rsidP="0099759E">
            <w:pPr>
              <w:spacing w:after="60"/>
              <w:rPr>
                <w:iCs/>
                <w:sz w:val="20"/>
              </w:rPr>
            </w:pPr>
            <w:r w:rsidRPr="0013396E">
              <w:rPr>
                <w:iCs/>
                <w:sz w:val="20"/>
              </w:rPr>
              <w:t>A QSE.</w:t>
            </w:r>
          </w:p>
        </w:tc>
      </w:tr>
    </w:tbl>
    <w:p w14:paraId="0938326E" w14:textId="65DDB8BD" w:rsidR="00A12B52" w:rsidRPr="0013396E" w:rsidRDefault="00A12B52" w:rsidP="00A12B52">
      <w:pPr>
        <w:keepNext/>
        <w:tabs>
          <w:tab w:val="left" w:pos="1080"/>
        </w:tabs>
        <w:spacing w:before="480" w:after="240"/>
        <w:outlineLvl w:val="2"/>
        <w:rPr>
          <w:b/>
          <w:bCs/>
          <w:i/>
        </w:rPr>
      </w:pPr>
      <w:bookmarkStart w:id="2287" w:name="_Toc236220251"/>
      <w:r w:rsidRPr="0013396E">
        <w:rPr>
          <w:b/>
          <w:bCs/>
          <w:i/>
        </w:rPr>
        <w:t>6.7.3</w:t>
      </w:r>
      <w:r w:rsidRPr="0013396E">
        <w:rPr>
          <w:b/>
          <w:bCs/>
          <w:i/>
        </w:rPr>
        <w:tab/>
        <w:t>Real-Time Ancillary Service Revenue Neutrality Allocation</w:t>
      </w:r>
      <w:bookmarkEnd w:id="2287"/>
    </w:p>
    <w:p w14:paraId="4BF34BF3" w14:textId="77777777" w:rsidR="00A12B52" w:rsidRPr="0013396E" w:rsidRDefault="00A12B52" w:rsidP="00A12B52">
      <w:pPr>
        <w:pStyle w:val="BodyText"/>
        <w:ind w:left="720" w:hanging="720"/>
        <w:rPr>
          <w:szCs w:val="24"/>
        </w:rPr>
      </w:pPr>
      <w:r w:rsidRPr="0013396E">
        <w:t>(1)</w:t>
      </w:r>
      <w:r w:rsidRPr="0013396E">
        <w:tab/>
        <w:t>The total cost for Real-Time Ancillary Service payments and charges is allocated to the QSEs representing Load based on Load Ratio Share (LRS).  The Real-Time Ancillary Service allocations to each QSE for a given 15-minute Settlement Interval are calculated as follows:</w:t>
      </w:r>
    </w:p>
    <w:p w14:paraId="4FB586A3" w14:textId="77777777" w:rsidR="00A12B52" w:rsidRPr="0013396E" w:rsidRDefault="00A12B52" w:rsidP="00A12B52">
      <w:pPr>
        <w:pStyle w:val="BodyText"/>
        <w:ind w:left="1440" w:hanging="720"/>
      </w:pPr>
      <w:r w:rsidRPr="0013396E">
        <w:t>(a)         For Reg-Up:</w:t>
      </w:r>
    </w:p>
    <w:p w14:paraId="01FB017F" w14:textId="77777777" w:rsidR="00A12B52" w:rsidRPr="0013396E" w:rsidRDefault="00A12B52" w:rsidP="00A12B52">
      <w:pPr>
        <w:pStyle w:val="BodyText"/>
        <w:spacing w:after="0"/>
        <w:ind w:left="1440" w:hanging="720"/>
      </w:pPr>
      <w:r w:rsidRPr="0013396E">
        <w:t xml:space="preserve">LARTRUAMT </w:t>
      </w:r>
      <w:r w:rsidRPr="0013396E">
        <w:rPr>
          <w:i/>
          <w:vertAlign w:val="subscript"/>
        </w:rPr>
        <w:t>q</w:t>
      </w:r>
      <w:r w:rsidRPr="0013396E">
        <w:t xml:space="preserve"> =</w:t>
      </w:r>
      <w:r w:rsidRPr="0013396E">
        <w:tab/>
        <w:t xml:space="preserve">(-1) * (RTRUIMBAMTTOT + RTRUOAMTTOT + </w:t>
      </w:r>
    </w:p>
    <w:p w14:paraId="1575164B" w14:textId="77777777" w:rsidR="00A12B52" w:rsidRPr="0013396E" w:rsidRDefault="00A12B52" w:rsidP="00A12B52">
      <w:pPr>
        <w:pStyle w:val="BodyText"/>
        <w:ind w:left="2160" w:firstLine="720"/>
      </w:pPr>
      <w:r w:rsidRPr="0013396E">
        <w:t xml:space="preserve">RTRUTOAMTTOT) * LRS </w:t>
      </w:r>
      <w:r w:rsidRPr="0013396E">
        <w:rPr>
          <w:i/>
          <w:vertAlign w:val="subscript"/>
        </w:rPr>
        <w:t>q</w:t>
      </w:r>
    </w:p>
    <w:p w14:paraId="47E4F4B8" w14:textId="77777777" w:rsidR="00A12B52" w:rsidRPr="0013396E" w:rsidRDefault="00A12B52" w:rsidP="00A12B52">
      <w:pPr>
        <w:pStyle w:val="BodyText"/>
        <w:ind w:left="1440" w:hanging="720"/>
      </w:pPr>
      <w:r w:rsidRPr="0013396E">
        <w:t>Where:</w:t>
      </w:r>
    </w:p>
    <w:p w14:paraId="358D0D89" w14:textId="77777777" w:rsidR="00A12B52" w:rsidRPr="0013396E" w:rsidRDefault="00A12B52" w:rsidP="00A12B52">
      <w:pPr>
        <w:pStyle w:val="BodyText"/>
        <w:ind w:left="1440" w:hanging="720"/>
      </w:pPr>
      <w:r w:rsidRPr="0013396E">
        <w:t xml:space="preserve">RTRUIMBAMTTOT = </w:t>
      </w:r>
      <w:r w:rsidRPr="0013396E">
        <w:rPr>
          <w:noProof/>
        </w:rPr>
        <w:drawing>
          <wp:inline distT="0" distB="0" distL="0" distR="0" wp14:anchorId="463275B9" wp14:editId="18DB0A4F">
            <wp:extent cx="146685" cy="293370"/>
            <wp:effectExtent l="0" t="0" r="5715" b="0"/>
            <wp:docPr id="2093296482" name="Picture 209329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(RTRUIMBAMT </w:t>
      </w:r>
      <w:r w:rsidRPr="0013396E">
        <w:rPr>
          <w:i/>
          <w:vertAlign w:val="subscript"/>
        </w:rPr>
        <w:t>q</w:t>
      </w:r>
      <w:r w:rsidRPr="0013396E">
        <w:t>)</w:t>
      </w:r>
    </w:p>
    <w:p w14:paraId="7F4D20AD" w14:textId="77777777" w:rsidR="00A12B52" w:rsidRPr="0013396E" w:rsidRDefault="00A12B52" w:rsidP="00A12B52">
      <w:pPr>
        <w:pStyle w:val="BodyText"/>
        <w:ind w:left="1440" w:hanging="720"/>
      </w:pPr>
      <w:r w:rsidRPr="0013396E">
        <w:t xml:space="preserve">RTRUOAMTTOT = </w:t>
      </w:r>
      <w:r w:rsidRPr="0013396E">
        <w:rPr>
          <w:noProof/>
        </w:rPr>
        <w:drawing>
          <wp:inline distT="0" distB="0" distL="0" distR="0" wp14:anchorId="262732D8" wp14:editId="48D66082">
            <wp:extent cx="146685" cy="293370"/>
            <wp:effectExtent l="0" t="0" r="5715" b="0"/>
            <wp:docPr id="1368193077" name="Picture 136819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(RTRUOAMT </w:t>
      </w:r>
      <w:r w:rsidRPr="0013396E">
        <w:rPr>
          <w:i/>
          <w:vertAlign w:val="subscript"/>
        </w:rPr>
        <w:t>q</w:t>
      </w:r>
      <w:r w:rsidRPr="0013396E">
        <w:t>)</w:t>
      </w:r>
    </w:p>
    <w:p w14:paraId="4CEB79DE" w14:textId="77777777" w:rsidR="00A12B52" w:rsidRPr="0013396E" w:rsidRDefault="00A12B52" w:rsidP="00A12B52">
      <w:pPr>
        <w:pStyle w:val="BodyText"/>
        <w:ind w:left="1440" w:hanging="720"/>
      </w:pPr>
      <w:r w:rsidRPr="0013396E">
        <w:t xml:space="preserve">RTRUTOAMTTOT = </w:t>
      </w:r>
      <w:r w:rsidRPr="0013396E">
        <w:rPr>
          <w:noProof/>
        </w:rPr>
        <w:drawing>
          <wp:inline distT="0" distB="0" distL="0" distR="0" wp14:anchorId="63414579" wp14:editId="5A132286">
            <wp:extent cx="146685" cy="293370"/>
            <wp:effectExtent l="0" t="0" r="5715" b="0"/>
            <wp:docPr id="1412853577" name="Picture 141285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(RTRUTOAMT </w:t>
      </w:r>
      <w:r w:rsidRPr="0013396E">
        <w:rPr>
          <w:i/>
          <w:vertAlign w:val="subscript"/>
        </w:rPr>
        <w:t>q</w:t>
      </w:r>
      <w:r w:rsidRPr="0013396E">
        <w:t>)</w:t>
      </w:r>
    </w:p>
    <w:p w14:paraId="00AF1E95" w14:textId="77777777" w:rsidR="00A12B52" w:rsidRPr="0013396E" w:rsidRDefault="00A12B52" w:rsidP="00A12B52">
      <w:pPr>
        <w:pStyle w:val="NoSpacing"/>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3"/>
        <w:gridCol w:w="1262"/>
        <w:gridCol w:w="5945"/>
      </w:tblGrid>
      <w:tr w:rsidR="00A12B52" w:rsidRPr="0013396E" w14:paraId="5CEED192" w14:textId="77777777" w:rsidTr="0099759E">
        <w:trPr>
          <w:cantSplit/>
          <w:tblHeader/>
        </w:trPr>
        <w:tc>
          <w:tcPr>
            <w:tcW w:w="1146" w:type="pct"/>
            <w:tcBorders>
              <w:top w:val="single" w:sz="4" w:space="0" w:color="auto"/>
              <w:left w:val="single" w:sz="4" w:space="0" w:color="auto"/>
              <w:bottom w:val="single" w:sz="4" w:space="0" w:color="auto"/>
              <w:right w:val="single" w:sz="4" w:space="0" w:color="auto"/>
            </w:tcBorders>
            <w:hideMark/>
          </w:tcPr>
          <w:p w14:paraId="5934E0F1" w14:textId="77777777" w:rsidR="00A12B52" w:rsidRPr="0013396E" w:rsidRDefault="00A12B52" w:rsidP="0099759E">
            <w:pPr>
              <w:pStyle w:val="TableHead"/>
            </w:pPr>
            <w:r w:rsidRPr="0013396E">
              <w:rPr>
                <w:b w:val="0"/>
                <w:iCs w:val="0"/>
              </w:rPr>
              <w:t>Variable</w:t>
            </w:r>
          </w:p>
        </w:tc>
        <w:tc>
          <w:tcPr>
            <w:tcW w:w="675" w:type="pct"/>
            <w:tcBorders>
              <w:top w:val="single" w:sz="4" w:space="0" w:color="auto"/>
              <w:left w:val="single" w:sz="4" w:space="0" w:color="auto"/>
              <w:bottom w:val="single" w:sz="4" w:space="0" w:color="auto"/>
              <w:right w:val="single" w:sz="4" w:space="0" w:color="auto"/>
            </w:tcBorders>
            <w:hideMark/>
          </w:tcPr>
          <w:p w14:paraId="5CA65AD6" w14:textId="77777777" w:rsidR="00A12B52" w:rsidRPr="0013396E" w:rsidRDefault="00A12B52" w:rsidP="0099759E">
            <w:pPr>
              <w:pStyle w:val="TableHead"/>
            </w:pPr>
            <w:r w:rsidRPr="0013396E">
              <w:t>Unit</w:t>
            </w:r>
          </w:p>
        </w:tc>
        <w:tc>
          <w:tcPr>
            <w:tcW w:w="3179" w:type="pct"/>
            <w:tcBorders>
              <w:top w:val="single" w:sz="4" w:space="0" w:color="auto"/>
              <w:left w:val="single" w:sz="4" w:space="0" w:color="auto"/>
              <w:bottom w:val="single" w:sz="4" w:space="0" w:color="auto"/>
              <w:right w:val="single" w:sz="4" w:space="0" w:color="auto"/>
            </w:tcBorders>
            <w:hideMark/>
          </w:tcPr>
          <w:p w14:paraId="74F7AE83" w14:textId="77777777" w:rsidR="00A12B52" w:rsidRPr="0013396E" w:rsidRDefault="00A12B52" w:rsidP="0099759E">
            <w:pPr>
              <w:pStyle w:val="TableHead"/>
            </w:pPr>
            <w:r w:rsidRPr="0013396E">
              <w:t>Description</w:t>
            </w:r>
          </w:p>
        </w:tc>
      </w:tr>
      <w:tr w:rsidR="00A12B52" w:rsidRPr="0013396E" w14:paraId="58DF54CD"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50EAC327" w14:textId="77777777" w:rsidR="00A12B52" w:rsidRPr="0013396E" w:rsidRDefault="00A12B52" w:rsidP="0099759E">
            <w:pPr>
              <w:pStyle w:val="tablebody0"/>
            </w:pPr>
            <w:r w:rsidRPr="0013396E">
              <w:t xml:space="preserve">LARTRUAMT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594D8556"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0E0109BD" w14:textId="77777777" w:rsidR="00A12B52" w:rsidRPr="0013396E" w:rsidRDefault="00A12B52" w:rsidP="0099759E">
            <w:pPr>
              <w:pStyle w:val="tablebody0"/>
              <w:rPr>
                <w:i/>
              </w:rPr>
            </w:pPr>
            <w:r w:rsidRPr="0013396E">
              <w:rPr>
                <w:i/>
              </w:rPr>
              <w:t>Load-Allocated Real-Time Reg-Up Amount for the QSE</w:t>
            </w:r>
            <w:r w:rsidRPr="0013396E">
              <w:t xml:space="preserve">— The QSE </w:t>
            </w:r>
            <w:r w:rsidRPr="0013396E">
              <w:rPr>
                <w:i/>
              </w:rPr>
              <w:t>q</w:t>
            </w:r>
            <w:r w:rsidRPr="0013396E">
              <w:softHyphen/>
              <w:t>’s share of the total Real-Time Reg-Up amount for the 15-minute Settlement Interval.</w:t>
            </w:r>
          </w:p>
        </w:tc>
      </w:tr>
      <w:tr w:rsidR="00A12B52" w:rsidRPr="0013396E" w14:paraId="1AC841E0"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AC51EB5" w14:textId="77777777" w:rsidR="00A12B52" w:rsidRPr="0013396E" w:rsidRDefault="00A12B52" w:rsidP="0099759E">
            <w:pPr>
              <w:pStyle w:val="tablebody0"/>
            </w:pPr>
            <w:r w:rsidRPr="0013396E">
              <w:t xml:space="preserve">RTRUIMBAMT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4737BE40"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408A7571" w14:textId="77777777" w:rsidR="00A12B52" w:rsidRPr="0013396E" w:rsidRDefault="00A12B52" w:rsidP="0099759E">
            <w:pPr>
              <w:pStyle w:val="tablebody0"/>
              <w:rPr>
                <w:i/>
              </w:rPr>
            </w:pPr>
            <w:r w:rsidRPr="0013396E">
              <w:rPr>
                <w:i/>
              </w:rPr>
              <w:t xml:space="preserve">Real-Time Reg-Up Imbalance Amount for the QSE - </w:t>
            </w:r>
            <w:r w:rsidRPr="0013396E">
              <w:t xml:space="preserve">The total payment or charge to QSE </w:t>
            </w:r>
            <w:r w:rsidRPr="0013396E">
              <w:rPr>
                <w:i/>
              </w:rPr>
              <w:t>q</w:t>
            </w:r>
            <w:r w:rsidRPr="0013396E">
              <w:t xml:space="preserve"> for the Real-Time Reg-Up imbalance for each 15-minute Settlement Interval.</w:t>
            </w:r>
          </w:p>
        </w:tc>
      </w:tr>
      <w:tr w:rsidR="00A12B52" w:rsidRPr="0013396E" w14:paraId="5CD9595B"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F93EF57" w14:textId="77777777" w:rsidR="00A12B52" w:rsidRPr="0013396E" w:rsidRDefault="00A12B52" w:rsidP="0099759E">
            <w:pPr>
              <w:pStyle w:val="tablebody0"/>
            </w:pPr>
            <w:r w:rsidRPr="0013396E">
              <w:t xml:space="preserve">RTRUOAMT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3951A297"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0BD7475C" w14:textId="77777777" w:rsidR="00A12B52" w:rsidRPr="0013396E" w:rsidRDefault="00A12B52" w:rsidP="0099759E">
            <w:pPr>
              <w:pStyle w:val="tablebody0"/>
              <w:rPr>
                <w:i/>
              </w:rPr>
            </w:pPr>
            <w:r w:rsidRPr="0013396E">
              <w:rPr>
                <w:i/>
              </w:rPr>
              <w:t>Real-Time Reg-Up Only Amount for the QSE</w:t>
            </w:r>
            <w:r w:rsidRPr="0013396E">
              <w:t xml:space="preserve">— The total charge to QSE </w:t>
            </w:r>
            <w:r w:rsidRPr="0013396E">
              <w:rPr>
                <w:i/>
              </w:rPr>
              <w:t>q</w:t>
            </w:r>
            <w:r w:rsidRPr="0013396E">
              <w:t xml:space="preserve"> in Real-Time for Reg-Up only awards for each 15-minute Settlement Interval.</w:t>
            </w:r>
          </w:p>
        </w:tc>
      </w:tr>
      <w:tr w:rsidR="00A12B52" w:rsidRPr="0013396E" w14:paraId="61C99072"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1945D619" w14:textId="77777777" w:rsidR="00A12B52" w:rsidRPr="0013396E" w:rsidRDefault="00A12B52" w:rsidP="0099759E">
            <w:pPr>
              <w:pStyle w:val="tablebody0"/>
            </w:pPr>
            <w:r w:rsidRPr="0013396E">
              <w:lastRenderedPageBreak/>
              <w:t>RTRUIMBAMTTOT</w:t>
            </w:r>
          </w:p>
        </w:tc>
        <w:tc>
          <w:tcPr>
            <w:tcW w:w="675" w:type="pct"/>
            <w:tcBorders>
              <w:top w:val="single" w:sz="4" w:space="0" w:color="auto"/>
              <w:left w:val="single" w:sz="4" w:space="0" w:color="auto"/>
              <w:bottom w:val="single" w:sz="4" w:space="0" w:color="auto"/>
              <w:right w:val="single" w:sz="4" w:space="0" w:color="auto"/>
            </w:tcBorders>
            <w:hideMark/>
          </w:tcPr>
          <w:p w14:paraId="27332EFC"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719E5256" w14:textId="77777777" w:rsidR="00A12B52" w:rsidRPr="0013396E" w:rsidRDefault="00A12B52" w:rsidP="0099759E">
            <w:pPr>
              <w:pStyle w:val="tablebody0"/>
              <w:rPr>
                <w:i/>
              </w:rPr>
            </w:pPr>
            <w:r w:rsidRPr="0013396E">
              <w:rPr>
                <w:i/>
              </w:rPr>
              <w:t xml:space="preserve">Real-Time Reg-Up Imbalance Market Total Amount - </w:t>
            </w:r>
            <w:r w:rsidRPr="0013396E">
              <w:t>The total payment or charge to all QSEs for the Real-Time Reg-Up imbalance for each 15-minute Settlement Interval.</w:t>
            </w:r>
          </w:p>
        </w:tc>
      </w:tr>
      <w:tr w:rsidR="00A12B52" w:rsidRPr="0013396E" w14:paraId="2CDE330B"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CB75223" w14:textId="77777777" w:rsidR="00A12B52" w:rsidRPr="0013396E" w:rsidRDefault="00A12B52" w:rsidP="0099759E">
            <w:pPr>
              <w:pStyle w:val="tablebody0"/>
            </w:pPr>
            <w:r w:rsidRPr="0013396E">
              <w:t>RTRUOAMTTOT</w:t>
            </w:r>
          </w:p>
        </w:tc>
        <w:tc>
          <w:tcPr>
            <w:tcW w:w="675" w:type="pct"/>
            <w:tcBorders>
              <w:top w:val="single" w:sz="4" w:space="0" w:color="auto"/>
              <w:left w:val="single" w:sz="4" w:space="0" w:color="auto"/>
              <w:bottom w:val="single" w:sz="4" w:space="0" w:color="auto"/>
              <w:right w:val="single" w:sz="4" w:space="0" w:color="auto"/>
            </w:tcBorders>
            <w:hideMark/>
          </w:tcPr>
          <w:p w14:paraId="6FD6D1B1"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1F37705C" w14:textId="77777777" w:rsidR="00A12B52" w:rsidRPr="0013396E" w:rsidRDefault="00A12B52" w:rsidP="0099759E">
            <w:pPr>
              <w:pStyle w:val="tablebody0"/>
              <w:rPr>
                <w:i/>
              </w:rPr>
            </w:pPr>
            <w:r w:rsidRPr="0013396E">
              <w:rPr>
                <w:i/>
              </w:rPr>
              <w:t xml:space="preserve">Real-Time Reg-Up Only Market Total Amount - </w:t>
            </w:r>
            <w:r w:rsidRPr="0013396E">
              <w:t>The total charge to all QSEs in Real-Time for Reg-Up only awards for each 15-minute Settlement Interval.</w:t>
            </w:r>
          </w:p>
        </w:tc>
      </w:tr>
      <w:tr w:rsidR="00A12B52" w:rsidRPr="0013396E" w14:paraId="650C7CBA"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6358FA9F" w14:textId="77777777" w:rsidR="00A12B52" w:rsidRPr="0013396E" w:rsidRDefault="00A12B52" w:rsidP="0099759E">
            <w:pPr>
              <w:pStyle w:val="tablebody0"/>
            </w:pPr>
            <w:r w:rsidRPr="0013396E">
              <w:t xml:space="preserve">RTRUTOAMT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6793867E"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219B7CB9" w14:textId="77777777" w:rsidR="00A12B52" w:rsidRPr="0013396E" w:rsidRDefault="00A12B52" w:rsidP="0099759E">
            <w:pPr>
              <w:pStyle w:val="tablebody0"/>
              <w:rPr>
                <w:i/>
              </w:rPr>
            </w:pPr>
            <w:r w:rsidRPr="0013396E">
              <w:rPr>
                <w:i/>
              </w:rPr>
              <w:t>Real-Time Reg-Up Trade Overage Amount for the QSE</w:t>
            </w:r>
            <w:r w:rsidRPr="0013396E">
              <w:t xml:space="preserve">— The total charge to QSE </w:t>
            </w:r>
            <w:r w:rsidRPr="0013396E">
              <w:rPr>
                <w:i/>
              </w:rPr>
              <w:t>q</w:t>
            </w:r>
            <w:r w:rsidRPr="0013396E">
              <w:t xml:space="preserve"> in Real-Time for Reg-Up trade overages for each 15-minute Settlement Interval.</w:t>
            </w:r>
          </w:p>
        </w:tc>
      </w:tr>
      <w:tr w:rsidR="00A12B52" w:rsidRPr="0013396E" w14:paraId="5F5EAC7E"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2B19DC44" w14:textId="77777777" w:rsidR="00A12B52" w:rsidRPr="0013396E" w:rsidRDefault="00A12B52" w:rsidP="0099759E">
            <w:pPr>
              <w:pStyle w:val="tablebody0"/>
            </w:pPr>
            <w:r w:rsidRPr="0013396E">
              <w:t>RTRUTOAMTTOT</w:t>
            </w:r>
          </w:p>
        </w:tc>
        <w:tc>
          <w:tcPr>
            <w:tcW w:w="675" w:type="pct"/>
            <w:tcBorders>
              <w:top w:val="single" w:sz="4" w:space="0" w:color="auto"/>
              <w:left w:val="single" w:sz="4" w:space="0" w:color="auto"/>
              <w:bottom w:val="single" w:sz="4" w:space="0" w:color="auto"/>
              <w:right w:val="single" w:sz="4" w:space="0" w:color="auto"/>
            </w:tcBorders>
            <w:hideMark/>
          </w:tcPr>
          <w:p w14:paraId="1A23D760"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6C0A39F7" w14:textId="77777777" w:rsidR="00A12B52" w:rsidRPr="0013396E" w:rsidRDefault="00A12B52" w:rsidP="0099759E">
            <w:pPr>
              <w:pStyle w:val="tablebody0"/>
              <w:rPr>
                <w:i/>
              </w:rPr>
            </w:pPr>
            <w:r w:rsidRPr="0013396E">
              <w:rPr>
                <w:i/>
              </w:rPr>
              <w:t xml:space="preserve">Real-Time Reg-Up Trade Overage Total Amount </w:t>
            </w:r>
            <w:r w:rsidRPr="0013396E">
              <w:t>— The total charge to all QSEs for Real-Time Reg-Up trade overages for each 15-minute Settlement Interval.</w:t>
            </w:r>
          </w:p>
        </w:tc>
      </w:tr>
      <w:tr w:rsidR="00A12B52" w:rsidRPr="0013396E" w14:paraId="4D721BC5"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4E0C500A" w14:textId="77777777" w:rsidR="00A12B52" w:rsidRPr="0013396E" w:rsidRDefault="00A12B52" w:rsidP="0099759E">
            <w:pPr>
              <w:pStyle w:val="tablebody0"/>
            </w:pPr>
            <w:r w:rsidRPr="0013396E">
              <w:t>LRS</w:t>
            </w:r>
            <w:r w:rsidRPr="0013396E">
              <w:rPr>
                <w:vertAlign w:val="subscript"/>
              </w:rPr>
              <w:t xml:space="preserve">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4967698C"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1F48F880" w14:textId="77777777" w:rsidR="00A12B52" w:rsidRPr="0013396E" w:rsidRDefault="00A12B52" w:rsidP="0099759E">
            <w:pPr>
              <w:pStyle w:val="tablebody0"/>
              <w:rPr>
                <w:i/>
              </w:rPr>
            </w:pPr>
            <w:r w:rsidRPr="0013396E">
              <w:rPr>
                <w:i/>
              </w:rPr>
              <w:t>Load Ratio Share per QSE</w:t>
            </w:r>
            <w:r w:rsidRPr="0013396E">
              <w:t xml:space="preserve">—The LRS as defined in Section 6.6.2.2, QSE Load Ratio Share for a 15-Minute Settlement Interval, for QSE </w:t>
            </w:r>
            <w:r w:rsidRPr="0013396E">
              <w:rPr>
                <w:i/>
              </w:rPr>
              <w:t>q</w:t>
            </w:r>
            <w:r w:rsidRPr="0013396E">
              <w:t xml:space="preserve"> for the 15-minute Settlement Interval.</w:t>
            </w:r>
          </w:p>
        </w:tc>
      </w:tr>
      <w:tr w:rsidR="00A12B52" w:rsidRPr="0013396E" w14:paraId="0F90654B"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2DA0232B" w14:textId="77777777" w:rsidR="00A12B52" w:rsidRPr="0013396E" w:rsidRDefault="00A12B52" w:rsidP="0099759E">
            <w:pPr>
              <w:pStyle w:val="tablebody0"/>
            </w:pPr>
            <w:r w:rsidRPr="0013396E">
              <w:rPr>
                <w:i/>
              </w:rPr>
              <w:t>q</w:t>
            </w:r>
          </w:p>
        </w:tc>
        <w:tc>
          <w:tcPr>
            <w:tcW w:w="675" w:type="pct"/>
            <w:tcBorders>
              <w:top w:val="single" w:sz="4" w:space="0" w:color="auto"/>
              <w:left w:val="single" w:sz="4" w:space="0" w:color="auto"/>
              <w:bottom w:val="single" w:sz="4" w:space="0" w:color="auto"/>
              <w:right w:val="single" w:sz="4" w:space="0" w:color="auto"/>
            </w:tcBorders>
            <w:hideMark/>
          </w:tcPr>
          <w:p w14:paraId="7371F0D9"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7531B8ED" w14:textId="77777777" w:rsidR="00A12B52" w:rsidRPr="0013396E" w:rsidRDefault="00A12B52" w:rsidP="0099759E">
            <w:pPr>
              <w:pStyle w:val="tablebody0"/>
              <w:rPr>
                <w:i/>
              </w:rPr>
            </w:pPr>
            <w:r w:rsidRPr="0013396E">
              <w:t>A QSE.</w:t>
            </w:r>
          </w:p>
        </w:tc>
      </w:tr>
    </w:tbl>
    <w:p w14:paraId="318AB834" w14:textId="77777777" w:rsidR="00A12B52" w:rsidRPr="0013396E" w:rsidRDefault="00A12B52" w:rsidP="00A12B52">
      <w:pPr>
        <w:pStyle w:val="BodyText"/>
        <w:spacing w:before="240"/>
        <w:ind w:left="1440" w:hanging="720"/>
      </w:pPr>
      <w:r w:rsidRPr="0013396E">
        <w:t>(b)         For Reg-Down:</w:t>
      </w:r>
    </w:p>
    <w:p w14:paraId="31C96115" w14:textId="77777777" w:rsidR="00A12B52" w:rsidRPr="0013396E" w:rsidRDefault="00A12B52" w:rsidP="00A12B52">
      <w:pPr>
        <w:ind w:left="1440" w:hanging="720"/>
      </w:pPr>
      <w:r w:rsidRPr="0013396E">
        <w:t xml:space="preserve">LARTRDAMT </w:t>
      </w:r>
      <w:r w:rsidRPr="0013396E">
        <w:rPr>
          <w:i/>
          <w:vertAlign w:val="subscript"/>
        </w:rPr>
        <w:t>q</w:t>
      </w:r>
      <w:r w:rsidRPr="0013396E">
        <w:t xml:space="preserve"> =</w:t>
      </w:r>
      <w:r w:rsidRPr="0013396E">
        <w:tab/>
        <w:t>(-1)</w:t>
      </w:r>
      <w:r w:rsidRPr="0013396E">
        <w:rPr>
          <w:b/>
        </w:rPr>
        <w:t xml:space="preserve"> * (</w:t>
      </w:r>
      <w:r w:rsidRPr="0013396E">
        <w:t xml:space="preserve">RTRDIMBAMTTOT + RTRDOAMTTOT + </w:t>
      </w:r>
    </w:p>
    <w:p w14:paraId="159E3354" w14:textId="77777777" w:rsidR="00A12B52" w:rsidRPr="0013396E" w:rsidRDefault="00A12B52" w:rsidP="00A12B52">
      <w:pPr>
        <w:spacing w:after="240"/>
        <w:ind w:left="2160" w:firstLine="720"/>
        <w:rPr>
          <w:i/>
          <w:vertAlign w:val="subscript"/>
        </w:rPr>
      </w:pPr>
      <w:r w:rsidRPr="0013396E">
        <w:t xml:space="preserve">RTRDTOAMTTOT) * LRS </w:t>
      </w:r>
      <w:r w:rsidRPr="0013396E">
        <w:rPr>
          <w:i/>
          <w:vertAlign w:val="subscript"/>
        </w:rPr>
        <w:t>q</w:t>
      </w:r>
    </w:p>
    <w:p w14:paraId="7123E90A" w14:textId="77777777" w:rsidR="00A12B52" w:rsidRPr="0013396E" w:rsidRDefault="00A12B52" w:rsidP="00A12B52">
      <w:pPr>
        <w:spacing w:after="240"/>
        <w:ind w:left="1440" w:hanging="720"/>
      </w:pPr>
      <w:r w:rsidRPr="0013396E">
        <w:t>Where:</w:t>
      </w:r>
    </w:p>
    <w:p w14:paraId="09B0286F" w14:textId="77777777" w:rsidR="00A12B52" w:rsidRPr="0013396E" w:rsidRDefault="00A12B52" w:rsidP="00A12B52">
      <w:pPr>
        <w:pStyle w:val="BodyText"/>
        <w:ind w:left="1440" w:hanging="720"/>
      </w:pPr>
      <w:r w:rsidRPr="0013396E">
        <w:t xml:space="preserve">RTRDIMBAMTTOT = </w:t>
      </w:r>
      <w:r w:rsidRPr="0013396E">
        <w:rPr>
          <w:noProof/>
          <w:position w:val="-22"/>
        </w:rPr>
        <w:drawing>
          <wp:inline distT="0" distB="0" distL="0" distR="0" wp14:anchorId="2B205A47" wp14:editId="13342957">
            <wp:extent cx="146685" cy="293370"/>
            <wp:effectExtent l="0" t="0" r="5715" b="0"/>
            <wp:docPr id="449698907" name="Picture 449698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rPr>
          <w:b/>
        </w:rPr>
        <w:t xml:space="preserve"> </w:t>
      </w:r>
      <w:r w:rsidRPr="0013396E">
        <w:t xml:space="preserve">(RTRDIMBAMT </w:t>
      </w:r>
      <w:r w:rsidRPr="0013396E">
        <w:rPr>
          <w:i/>
          <w:vertAlign w:val="subscript"/>
        </w:rPr>
        <w:t>q</w:t>
      </w:r>
      <w:r w:rsidRPr="0013396E">
        <w:t>)</w:t>
      </w:r>
    </w:p>
    <w:p w14:paraId="460BF148" w14:textId="77777777" w:rsidR="00A12B52" w:rsidRPr="0013396E" w:rsidRDefault="00A12B52" w:rsidP="00A12B52">
      <w:pPr>
        <w:spacing w:after="240"/>
        <w:ind w:left="1440" w:hanging="720"/>
      </w:pPr>
      <w:r w:rsidRPr="0013396E">
        <w:t xml:space="preserve">RTRDOAMTTOT = </w:t>
      </w:r>
      <w:r w:rsidRPr="0013396E">
        <w:rPr>
          <w:noProof/>
          <w:position w:val="-22"/>
        </w:rPr>
        <w:drawing>
          <wp:inline distT="0" distB="0" distL="0" distR="0" wp14:anchorId="5322B663" wp14:editId="75BBCE40">
            <wp:extent cx="146685" cy="293370"/>
            <wp:effectExtent l="0" t="0" r="5715" b="0"/>
            <wp:docPr id="896662652" name="Picture 89666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rPr>
          <w:b/>
        </w:rPr>
        <w:t xml:space="preserve"> </w:t>
      </w:r>
      <w:r w:rsidRPr="0013396E">
        <w:t xml:space="preserve">(RTRDOAMT </w:t>
      </w:r>
      <w:r w:rsidRPr="0013396E">
        <w:rPr>
          <w:i/>
          <w:vertAlign w:val="subscript"/>
        </w:rPr>
        <w:t>q</w:t>
      </w:r>
      <w:r w:rsidRPr="0013396E">
        <w:t>)</w:t>
      </w:r>
    </w:p>
    <w:p w14:paraId="53343185" w14:textId="77777777" w:rsidR="00A12B52" w:rsidRPr="0013396E" w:rsidRDefault="00A12B52" w:rsidP="00A12B52">
      <w:pPr>
        <w:spacing w:after="240"/>
        <w:ind w:left="1440" w:hanging="720"/>
      </w:pPr>
      <w:r w:rsidRPr="0013396E">
        <w:t xml:space="preserve">RTRDTOAMTTOT = </w:t>
      </w:r>
      <w:r w:rsidRPr="0013396E">
        <w:rPr>
          <w:noProof/>
          <w:position w:val="-22"/>
        </w:rPr>
        <w:drawing>
          <wp:inline distT="0" distB="0" distL="0" distR="0" wp14:anchorId="40E468BB" wp14:editId="1592B4F7">
            <wp:extent cx="146685" cy="293370"/>
            <wp:effectExtent l="0" t="0" r="5715" b="0"/>
            <wp:docPr id="1909073269" name="Picture 190907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rPr>
          <w:b/>
        </w:rPr>
        <w:t xml:space="preserve"> </w:t>
      </w:r>
      <w:r w:rsidRPr="0013396E">
        <w:t xml:space="preserve">(RTRDTOAMT </w:t>
      </w:r>
      <w:r w:rsidRPr="0013396E">
        <w:rPr>
          <w:i/>
          <w:vertAlign w:val="subscript"/>
        </w:rPr>
        <w:t>q</w:t>
      </w:r>
      <w:r w:rsidRPr="0013396E">
        <w:t>)</w:t>
      </w:r>
    </w:p>
    <w:p w14:paraId="145C9768" w14:textId="77777777" w:rsidR="00A12B52" w:rsidRPr="0013396E" w:rsidRDefault="00A12B52" w:rsidP="00A12B52">
      <w:pPr>
        <w:pStyle w:val="NoSpacing"/>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3"/>
        <w:gridCol w:w="1262"/>
        <w:gridCol w:w="5945"/>
      </w:tblGrid>
      <w:tr w:rsidR="00A12B52" w:rsidRPr="0013396E" w14:paraId="3FC6696D" w14:textId="77777777" w:rsidTr="0099759E">
        <w:trPr>
          <w:cantSplit/>
          <w:tblHeader/>
        </w:trPr>
        <w:tc>
          <w:tcPr>
            <w:tcW w:w="1146" w:type="pct"/>
            <w:tcBorders>
              <w:top w:val="single" w:sz="4" w:space="0" w:color="auto"/>
              <w:left w:val="single" w:sz="4" w:space="0" w:color="auto"/>
              <w:bottom w:val="single" w:sz="4" w:space="0" w:color="auto"/>
              <w:right w:val="single" w:sz="4" w:space="0" w:color="auto"/>
            </w:tcBorders>
            <w:hideMark/>
          </w:tcPr>
          <w:p w14:paraId="3F292D53" w14:textId="77777777" w:rsidR="00A12B52" w:rsidRPr="0013396E" w:rsidRDefault="00A12B52" w:rsidP="0099759E">
            <w:pPr>
              <w:pStyle w:val="TableHead"/>
            </w:pPr>
            <w:r w:rsidRPr="0013396E">
              <w:rPr>
                <w:b w:val="0"/>
                <w:iCs w:val="0"/>
              </w:rPr>
              <w:t>Variable</w:t>
            </w:r>
          </w:p>
        </w:tc>
        <w:tc>
          <w:tcPr>
            <w:tcW w:w="675" w:type="pct"/>
            <w:tcBorders>
              <w:top w:val="single" w:sz="4" w:space="0" w:color="auto"/>
              <w:left w:val="single" w:sz="4" w:space="0" w:color="auto"/>
              <w:bottom w:val="single" w:sz="4" w:space="0" w:color="auto"/>
              <w:right w:val="single" w:sz="4" w:space="0" w:color="auto"/>
            </w:tcBorders>
            <w:hideMark/>
          </w:tcPr>
          <w:p w14:paraId="29BC9A00" w14:textId="77777777" w:rsidR="00A12B52" w:rsidRPr="0013396E" w:rsidRDefault="00A12B52" w:rsidP="0099759E">
            <w:pPr>
              <w:pStyle w:val="TableHead"/>
            </w:pPr>
            <w:r w:rsidRPr="0013396E">
              <w:t>Unit</w:t>
            </w:r>
          </w:p>
        </w:tc>
        <w:tc>
          <w:tcPr>
            <w:tcW w:w="3179" w:type="pct"/>
            <w:tcBorders>
              <w:top w:val="single" w:sz="4" w:space="0" w:color="auto"/>
              <w:left w:val="single" w:sz="4" w:space="0" w:color="auto"/>
              <w:bottom w:val="single" w:sz="4" w:space="0" w:color="auto"/>
              <w:right w:val="single" w:sz="4" w:space="0" w:color="auto"/>
            </w:tcBorders>
            <w:hideMark/>
          </w:tcPr>
          <w:p w14:paraId="436CCB77" w14:textId="77777777" w:rsidR="00A12B52" w:rsidRPr="0013396E" w:rsidRDefault="00A12B52" w:rsidP="0099759E">
            <w:pPr>
              <w:pStyle w:val="TableHead"/>
            </w:pPr>
            <w:r w:rsidRPr="0013396E">
              <w:t>Description</w:t>
            </w:r>
          </w:p>
        </w:tc>
      </w:tr>
      <w:tr w:rsidR="00A12B52" w:rsidRPr="0013396E" w14:paraId="67E94083"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39C7423B" w14:textId="77777777" w:rsidR="00A12B52" w:rsidRPr="0013396E" w:rsidRDefault="00A12B52" w:rsidP="0099759E">
            <w:pPr>
              <w:pStyle w:val="tablebody0"/>
            </w:pPr>
            <w:r w:rsidRPr="0013396E">
              <w:t xml:space="preserve">LARTRDAMT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2C449DC9"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5F660561" w14:textId="77777777" w:rsidR="00A12B52" w:rsidRPr="0013396E" w:rsidRDefault="00A12B52" w:rsidP="0099759E">
            <w:pPr>
              <w:pStyle w:val="tablebody0"/>
              <w:rPr>
                <w:i/>
              </w:rPr>
            </w:pPr>
            <w:r w:rsidRPr="0013396E">
              <w:rPr>
                <w:i/>
              </w:rPr>
              <w:t>Load-Allocated Real-Time Reg-Down Amount for the QSE</w:t>
            </w:r>
            <w:r w:rsidRPr="0013396E">
              <w:t xml:space="preserve"> </w:t>
            </w:r>
            <w:r w:rsidRPr="0013396E">
              <w:sym w:font="Symbol" w:char="F0BE"/>
            </w:r>
            <w:r w:rsidRPr="0013396E">
              <w:t xml:space="preserve"> The QSE </w:t>
            </w:r>
            <w:r w:rsidRPr="0013396E">
              <w:rPr>
                <w:i/>
              </w:rPr>
              <w:t>q</w:t>
            </w:r>
            <w:r w:rsidRPr="0013396E">
              <w:t>’s share of the total Real-Time Reg-Down amount for the 15-minute Settlement Interval.</w:t>
            </w:r>
          </w:p>
        </w:tc>
      </w:tr>
      <w:tr w:rsidR="00A12B52" w:rsidRPr="0013396E" w14:paraId="027A6627"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7A5CDF77" w14:textId="77777777" w:rsidR="00A12B52" w:rsidRPr="0013396E" w:rsidRDefault="00A12B52" w:rsidP="0099759E">
            <w:pPr>
              <w:pStyle w:val="tablebody0"/>
            </w:pPr>
            <w:r w:rsidRPr="0013396E">
              <w:t xml:space="preserve">RTRDIMBAMT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57F5DE6D"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0E62E1BA" w14:textId="77777777" w:rsidR="00A12B52" w:rsidRPr="0013396E" w:rsidRDefault="00A12B52" w:rsidP="0099759E">
            <w:pPr>
              <w:pStyle w:val="tablebody0"/>
              <w:rPr>
                <w:i/>
              </w:rPr>
            </w:pPr>
            <w:r w:rsidRPr="0013396E">
              <w:rPr>
                <w:i/>
              </w:rPr>
              <w:t xml:space="preserve">Real-Time Reg-Down Imbalance Amount for the QSE - </w:t>
            </w:r>
            <w:r w:rsidRPr="0013396E">
              <w:t xml:space="preserve">The total payment or charge to QSE </w:t>
            </w:r>
            <w:r w:rsidRPr="0013396E">
              <w:rPr>
                <w:i/>
              </w:rPr>
              <w:t>q</w:t>
            </w:r>
            <w:r w:rsidRPr="0013396E">
              <w:t xml:space="preserve"> for the Real-Time Reg-Down imbalance for each 15-minute Settlement Interval.</w:t>
            </w:r>
          </w:p>
        </w:tc>
      </w:tr>
      <w:tr w:rsidR="00A12B52" w:rsidRPr="0013396E" w14:paraId="2AAF22A6"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2CADA7E2" w14:textId="77777777" w:rsidR="00A12B52" w:rsidRPr="0013396E" w:rsidRDefault="00A12B52" w:rsidP="0099759E">
            <w:pPr>
              <w:pStyle w:val="tablebody0"/>
            </w:pPr>
            <w:r w:rsidRPr="0013396E">
              <w:t xml:space="preserve">RTRDOAMT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1D0E480C"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47EEAEA7" w14:textId="77777777" w:rsidR="00A12B52" w:rsidRPr="0013396E" w:rsidRDefault="00A12B52" w:rsidP="0099759E">
            <w:pPr>
              <w:pStyle w:val="tablebody0"/>
              <w:rPr>
                <w:i/>
              </w:rPr>
            </w:pPr>
            <w:r w:rsidRPr="0013396E">
              <w:rPr>
                <w:i/>
              </w:rPr>
              <w:t>Real-Time Reg-Down Only Amount for the QSE</w:t>
            </w:r>
            <w:r w:rsidRPr="0013396E">
              <w:t xml:space="preserve">— The total charge to QSE </w:t>
            </w:r>
            <w:r w:rsidRPr="0013396E">
              <w:rPr>
                <w:i/>
              </w:rPr>
              <w:t>q</w:t>
            </w:r>
            <w:r w:rsidRPr="0013396E">
              <w:t xml:space="preserve"> in Real-Time for Reg-Down only awards for each 15-minute Settlement Interval.</w:t>
            </w:r>
          </w:p>
        </w:tc>
      </w:tr>
      <w:tr w:rsidR="00A12B52" w:rsidRPr="0013396E" w14:paraId="5E5C469B"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1BD0F5F3" w14:textId="77777777" w:rsidR="00A12B52" w:rsidRPr="0013396E" w:rsidRDefault="00A12B52" w:rsidP="0099759E">
            <w:pPr>
              <w:pStyle w:val="tablebody0"/>
            </w:pPr>
            <w:r w:rsidRPr="0013396E">
              <w:t>RTRDIMBAMTTOT</w:t>
            </w:r>
          </w:p>
        </w:tc>
        <w:tc>
          <w:tcPr>
            <w:tcW w:w="675" w:type="pct"/>
            <w:tcBorders>
              <w:top w:val="single" w:sz="4" w:space="0" w:color="auto"/>
              <w:left w:val="single" w:sz="4" w:space="0" w:color="auto"/>
              <w:bottom w:val="single" w:sz="4" w:space="0" w:color="auto"/>
              <w:right w:val="single" w:sz="4" w:space="0" w:color="auto"/>
            </w:tcBorders>
            <w:hideMark/>
          </w:tcPr>
          <w:p w14:paraId="3A78353B"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309EFCFD" w14:textId="77777777" w:rsidR="00A12B52" w:rsidRPr="0013396E" w:rsidRDefault="00A12B52" w:rsidP="0099759E">
            <w:pPr>
              <w:pStyle w:val="tablebody0"/>
              <w:rPr>
                <w:i/>
              </w:rPr>
            </w:pPr>
            <w:r w:rsidRPr="0013396E">
              <w:rPr>
                <w:i/>
              </w:rPr>
              <w:t xml:space="preserve">Real-Time Reg-Down Imbalance Market Total Amount - </w:t>
            </w:r>
            <w:r w:rsidRPr="0013396E">
              <w:t>The total payment or charge to all QSEs for the Real-Time Reg-Down imbalance for each 15-minute Settlement Interval.</w:t>
            </w:r>
          </w:p>
        </w:tc>
      </w:tr>
      <w:tr w:rsidR="00A12B52" w:rsidRPr="0013396E" w14:paraId="7D21076D"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150D9A34" w14:textId="77777777" w:rsidR="00A12B52" w:rsidRPr="0013396E" w:rsidRDefault="00A12B52" w:rsidP="0099759E">
            <w:pPr>
              <w:pStyle w:val="tablebody0"/>
            </w:pPr>
            <w:r w:rsidRPr="0013396E">
              <w:lastRenderedPageBreak/>
              <w:t>RTRDOAMTTOT</w:t>
            </w:r>
          </w:p>
        </w:tc>
        <w:tc>
          <w:tcPr>
            <w:tcW w:w="675" w:type="pct"/>
            <w:tcBorders>
              <w:top w:val="single" w:sz="4" w:space="0" w:color="auto"/>
              <w:left w:val="single" w:sz="4" w:space="0" w:color="auto"/>
              <w:bottom w:val="single" w:sz="4" w:space="0" w:color="auto"/>
              <w:right w:val="single" w:sz="4" w:space="0" w:color="auto"/>
            </w:tcBorders>
            <w:hideMark/>
          </w:tcPr>
          <w:p w14:paraId="45E173F6"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752A919C" w14:textId="77777777" w:rsidR="00A12B52" w:rsidRPr="0013396E" w:rsidRDefault="00A12B52" w:rsidP="0099759E">
            <w:pPr>
              <w:pStyle w:val="tablebody0"/>
              <w:rPr>
                <w:i/>
              </w:rPr>
            </w:pPr>
            <w:r w:rsidRPr="0013396E">
              <w:rPr>
                <w:i/>
              </w:rPr>
              <w:t xml:space="preserve">Real-Time Reg-Down Only Market Total Amount - </w:t>
            </w:r>
            <w:r w:rsidRPr="0013396E">
              <w:t>The total charge to all QSEs in Real-Time for Reg-Down only awards for each 15-minute Settlement Interval.</w:t>
            </w:r>
          </w:p>
        </w:tc>
      </w:tr>
      <w:tr w:rsidR="00A12B52" w:rsidRPr="0013396E" w14:paraId="787302CD"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7726E73E" w14:textId="77777777" w:rsidR="00A12B52" w:rsidRPr="0013396E" w:rsidRDefault="00A12B52" w:rsidP="0099759E">
            <w:pPr>
              <w:pStyle w:val="tablebody0"/>
            </w:pPr>
            <w:r w:rsidRPr="0013396E">
              <w:t xml:space="preserve">RTRDTOAMT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2A821F19"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5CEFD95F" w14:textId="77777777" w:rsidR="00A12B52" w:rsidRPr="0013396E" w:rsidRDefault="00A12B52" w:rsidP="0099759E">
            <w:pPr>
              <w:pStyle w:val="tablebody0"/>
              <w:rPr>
                <w:i/>
              </w:rPr>
            </w:pPr>
            <w:r w:rsidRPr="0013396E">
              <w:rPr>
                <w:i/>
              </w:rPr>
              <w:t>Real-Time Reg-Down Trade Overage Amount for the QSE</w:t>
            </w:r>
            <w:r w:rsidRPr="0013396E">
              <w:t xml:space="preserve">— The total charge to QSE </w:t>
            </w:r>
            <w:r w:rsidRPr="0013396E">
              <w:rPr>
                <w:i/>
              </w:rPr>
              <w:t>q</w:t>
            </w:r>
            <w:r w:rsidRPr="0013396E">
              <w:t xml:space="preserve"> in Real-Time for Reg-Down trade overages for each 15-minute Settlement Interval.</w:t>
            </w:r>
          </w:p>
        </w:tc>
      </w:tr>
      <w:tr w:rsidR="00A12B52" w:rsidRPr="0013396E" w14:paraId="44084582"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6F3F64E3" w14:textId="77777777" w:rsidR="00A12B52" w:rsidRPr="0013396E" w:rsidRDefault="00A12B52" w:rsidP="0099759E">
            <w:pPr>
              <w:pStyle w:val="tablebody0"/>
            </w:pPr>
            <w:r w:rsidRPr="0013396E">
              <w:t>RTRDOAMTTOT</w:t>
            </w:r>
          </w:p>
        </w:tc>
        <w:tc>
          <w:tcPr>
            <w:tcW w:w="675" w:type="pct"/>
            <w:tcBorders>
              <w:top w:val="single" w:sz="4" w:space="0" w:color="auto"/>
              <w:left w:val="single" w:sz="4" w:space="0" w:color="auto"/>
              <w:bottom w:val="single" w:sz="4" w:space="0" w:color="auto"/>
              <w:right w:val="single" w:sz="4" w:space="0" w:color="auto"/>
            </w:tcBorders>
            <w:hideMark/>
          </w:tcPr>
          <w:p w14:paraId="6E0E4063"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33C913C5" w14:textId="77777777" w:rsidR="00A12B52" w:rsidRPr="0013396E" w:rsidRDefault="00A12B52" w:rsidP="0099759E">
            <w:pPr>
              <w:pStyle w:val="tablebody0"/>
              <w:rPr>
                <w:i/>
              </w:rPr>
            </w:pPr>
            <w:r w:rsidRPr="0013396E">
              <w:rPr>
                <w:i/>
              </w:rPr>
              <w:t xml:space="preserve">Real-Time Reg-Down Trade Overage Total Amount </w:t>
            </w:r>
            <w:r w:rsidRPr="0013396E">
              <w:t>— The total charge to all QSEs for Real-Time Reg-Down trade overages for each 15-minute Settlement Interval.</w:t>
            </w:r>
          </w:p>
        </w:tc>
      </w:tr>
      <w:tr w:rsidR="00A12B52" w:rsidRPr="0013396E" w14:paraId="70DF892C"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C5F5702" w14:textId="77777777" w:rsidR="00A12B52" w:rsidRPr="0013396E" w:rsidRDefault="00A12B52" w:rsidP="0099759E">
            <w:pPr>
              <w:pStyle w:val="tablebody0"/>
            </w:pPr>
            <w:r w:rsidRPr="0013396E">
              <w:t>LRS</w:t>
            </w:r>
            <w:r w:rsidRPr="0013396E">
              <w:rPr>
                <w:vertAlign w:val="subscript"/>
              </w:rPr>
              <w:t xml:space="preserve">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4099A5D8"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617C1932" w14:textId="77777777" w:rsidR="00A12B52" w:rsidRPr="0013396E" w:rsidRDefault="00A12B52" w:rsidP="0099759E">
            <w:pPr>
              <w:pStyle w:val="tablebody0"/>
              <w:rPr>
                <w:i/>
              </w:rPr>
            </w:pPr>
            <w:r w:rsidRPr="0013396E">
              <w:rPr>
                <w:i/>
              </w:rPr>
              <w:t>Load Ratio Share per QSE</w:t>
            </w:r>
            <w:r w:rsidRPr="0013396E">
              <w:t xml:space="preserve">—The LRS as defined in Section 6.6.2.2 for QSE </w:t>
            </w:r>
            <w:r w:rsidRPr="0013396E">
              <w:rPr>
                <w:i/>
              </w:rPr>
              <w:t>q</w:t>
            </w:r>
            <w:r w:rsidRPr="0013396E">
              <w:t xml:space="preserve"> for the 15-minute Settlement Interval.</w:t>
            </w:r>
          </w:p>
        </w:tc>
      </w:tr>
      <w:tr w:rsidR="00A12B52" w:rsidRPr="0013396E" w14:paraId="7D00DA09"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4A9E6069" w14:textId="77777777" w:rsidR="00A12B52" w:rsidRPr="0013396E" w:rsidRDefault="00A12B52" w:rsidP="0099759E">
            <w:pPr>
              <w:pStyle w:val="tablebody0"/>
            </w:pPr>
            <w:r w:rsidRPr="0013396E">
              <w:rPr>
                <w:i/>
              </w:rPr>
              <w:t>q</w:t>
            </w:r>
          </w:p>
        </w:tc>
        <w:tc>
          <w:tcPr>
            <w:tcW w:w="675" w:type="pct"/>
            <w:tcBorders>
              <w:top w:val="single" w:sz="4" w:space="0" w:color="auto"/>
              <w:left w:val="single" w:sz="4" w:space="0" w:color="auto"/>
              <w:bottom w:val="single" w:sz="4" w:space="0" w:color="auto"/>
              <w:right w:val="single" w:sz="4" w:space="0" w:color="auto"/>
            </w:tcBorders>
            <w:hideMark/>
          </w:tcPr>
          <w:p w14:paraId="38E566B3"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53A1B09A" w14:textId="77777777" w:rsidR="00A12B52" w:rsidRPr="0013396E" w:rsidRDefault="00A12B52" w:rsidP="0099759E">
            <w:pPr>
              <w:pStyle w:val="tablebody0"/>
              <w:rPr>
                <w:i/>
              </w:rPr>
            </w:pPr>
            <w:r w:rsidRPr="0013396E">
              <w:t>A QSE.</w:t>
            </w:r>
          </w:p>
        </w:tc>
      </w:tr>
    </w:tbl>
    <w:p w14:paraId="24B98029" w14:textId="77777777" w:rsidR="00A12B52" w:rsidRPr="0013396E" w:rsidRDefault="00A12B52" w:rsidP="00A12B52">
      <w:pPr>
        <w:pStyle w:val="BodyText"/>
        <w:spacing w:before="240"/>
        <w:ind w:left="1440" w:hanging="720"/>
      </w:pPr>
      <w:r w:rsidRPr="0013396E">
        <w:t xml:space="preserve"> (c)         For Responsive Reserve (RRS):</w:t>
      </w:r>
    </w:p>
    <w:p w14:paraId="7B766627" w14:textId="77777777" w:rsidR="00A12B52" w:rsidRPr="0013396E" w:rsidRDefault="00A12B52" w:rsidP="00A12B52">
      <w:pPr>
        <w:spacing w:before="240"/>
        <w:ind w:left="1440" w:hanging="720"/>
      </w:pPr>
      <w:r w:rsidRPr="0013396E">
        <w:t xml:space="preserve">LARTRRAMT </w:t>
      </w:r>
      <w:r w:rsidRPr="0013396E">
        <w:rPr>
          <w:i/>
          <w:vertAlign w:val="subscript"/>
        </w:rPr>
        <w:t>q</w:t>
      </w:r>
      <w:r w:rsidRPr="0013396E">
        <w:t xml:space="preserve"> =</w:t>
      </w:r>
      <w:r w:rsidRPr="0013396E">
        <w:tab/>
        <w:t>(-1)</w:t>
      </w:r>
      <w:r w:rsidRPr="0013396E">
        <w:rPr>
          <w:b/>
        </w:rPr>
        <w:t xml:space="preserve"> * (</w:t>
      </w:r>
      <w:r w:rsidRPr="0013396E">
        <w:t xml:space="preserve">RTRRIMBAMTTOT + RTRROAMTTOT + </w:t>
      </w:r>
    </w:p>
    <w:p w14:paraId="0839EE64" w14:textId="77777777" w:rsidR="00A12B52" w:rsidRPr="0013396E" w:rsidRDefault="00A12B52" w:rsidP="00A12B52">
      <w:pPr>
        <w:spacing w:after="240"/>
        <w:ind w:left="2160" w:firstLine="720"/>
        <w:rPr>
          <w:i/>
          <w:vertAlign w:val="subscript"/>
        </w:rPr>
      </w:pPr>
      <w:r w:rsidRPr="0013396E">
        <w:t xml:space="preserve">RTRRTOAMTTOT) * LRS </w:t>
      </w:r>
      <w:r w:rsidRPr="0013396E">
        <w:rPr>
          <w:i/>
          <w:vertAlign w:val="subscript"/>
        </w:rPr>
        <w:t>q</w:t>
      </w:r>
    </w:p>
    <w:p w14:paraId="317B2E7F" w14:textId="77777777" w:rsidR="00A12B52" w:rsidRPr="0013396E" w:rsidRDefault="00A12B52" w:rsidP="00A12B52">
      <w:pPr>
        <w:spacing w:before="240"/>
        <w:ind w:left="1440" w:hanging="720"/>
      </w:pPr>
      <w:r w:rsidRPr="0013396E">
        <w:t>Where:</w:t>
      </w:r>
    </w:p>
    <w:p w14:paraId="5DB39281" w14:textId="77777777" w:rsidR="00A12B52" w:rsidRPr="0013396E" w:rsidRDefault="00A12B52" w:rsidP="00A12B52">
      <w:pPr>
        <w:spacing w:after="240"/>
        <w:ind w:left="1440" w:hanging="720"/>
      </w:pPr>
      <w:r w:rsidRPr="0013396E">
        <w:t xml:space="preserve">RTRRIMBAMTTOT = </w:t>
      </w:r>
      <w:r w:rsidRPr="0013396E">
        <w:rPr>
          <w:noProof/>
        </w:rPr>
        <w:drawing>
          <wp:inline distT="0" distB="0" distL="0" distR="0" wp14:anchorId="383511D7" wp14:editId="66FA4217">
            <wp:extent cx="146685" cy="293370"/>
            <wp:effectExtent l="0" t="0" r="5715" b="0"/>
            <wp:docPr id="915918404" name="Picture 91591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(RTRRIMBAMT </w:t>
      </w:r>
      <w:r w:rsidRPr="0013396E">
        <w:rPr>
          <w:i/>
          <w:vertAlign w:val="subscript"/>
        </w:rPr>
        <w:t>q</w:t>
      </w:r>
      <w:r w:rsidRPr="0013396E">
        <w:t>)</w:t>
      </w:r>
    </w:p>
    <w:p w14:paraId="4D084CEF" w14:textId="77777777" w:rsidR="00A12B52" w:rsidRPr="0013396E" w:rsidRDefault="00A12B52" w:rsidP="00A12B52">
      <w:pPr>
        <w:spacing w:after="240"/>
        <w:ind w:left="1440" w:hanging="720"/>
      </w:pPr>
      <w:r w:rsidRPr="0013396E">
        <w:t xml:space="preserve">RTRROAMTTOT = </w:t>
      </w:r>
      <w:r w:rsidRPr="0013396E">
        <w:rPr>
          <w:noProof/>
        </w:rPr>
        <w:drawing>
          <wp:inline distT="0" distB="0" distL="0" distR="0" wp14:anchorId="29C65628" wp14:editId="38E4024A">
            <wp:extent cx="146685" cy="293370"/>
            <wp:effectExtent l="0" t="0" r="5715" b="0"/>
            <wp:docPr id="1844790714" name="Picture 184479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(RTRROAMT </w:t>
      </w:r>
      <w:r w:rsidRPr="0013396E">
        <w:rPr>
          <w:i/>
          <w:vertAlign w:val="subscript"/>
        </w:rPr>
        <w:t>q</w:t>
      </w:r>
      <w:r w:rsidRPr="0013396E">
        <w:t>)</w:t>
      </w:r>
    </w:p>
    <w:p w14:paraId="527C4025" w14:textId="77777777" w:rsidR="00A12B52" w:rsidRPr="0013396E" w:rsidRDefault="00A12B52" w:rsidP="00A12B52">
      <w:pPr>
        <w:spacing w:after="240"/>
        <w:ind w:left="1440" w:hanging="720"/>
      </w:pPr>
      <w:r w:rsidRPr="0013396E">
        <w:t xml:space="preserve">RTRRTOAMTTOT = </w:t>
      </w:r>
      <w:r w:rsidRPr="0013396E">
        <w:rPr>
          <w:noProof/>
        </w:rPr>
        <w:drawing>
          <wp:inline distT="0" distB="0" distL="0" distR="0" wp14:anchorId="1E38AED8" wp14:editId="7F9865C3">
            <wp:extent cx="146685" cy="293370"/>
            <wp:effectExtent l="0" t="0" r="5715" b="0"/>
            <wp:docPr id="1910368481" name="Picture 191036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(RTRRTOAMT </w:t>
      </w:r>
      <w:r w:rsidRPr="0013396E">
        <w:rPr>
          <w:i/>
          <w:vertAlign w:val="subscript"/>
        </w:rPr>
        <w:t>q</w:t>
      </w:r>
      <w:r w:rsidRPr="0013396E">
        <w:t>)</w:t>
      </w:r>
    </w:p>
    <w:p w14:paraId="03B5A4AF" w14:textId="77777777" w:rsidR="00A12B52" w:rsidRPr="0013396E" w:rsidRDefault="00A12B52" w:rsidP="00A12B52">
      <w:pPr>
        <w:pStyle w:val="NoSpacing"/>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3"/>
        <w:gridCol w:w="1262"/>
        <w:gridCol w:w="5945"/>
      </w:tblGrid>
      <w:tr w:rsidR="00A12B52" w:rsidRPr="0013396E" w14:paraId="15197B88" w14:textId="77777777" w:rsidTr="0099759E">
        <w:trPr>
          <w:cantSplit/>
          <w:tblHeader/>
        </w:trPr>
        <w:tc>
          <w:tcPr>
            <w:tcW w:w="1146" w:type="pct"/>
            <w:tcBorders>
              <w:top w:val="single" w:sz="4" w:space="0" w:color="auto"/>
              <w:left w:val="single" w:sz="4" w:space="0" w:color="auto"/>
              <w:bottom w:val="single" w:sz="4" w:space="0" w:color="auto"/>
              <w:right w:val="single" w:sz="4" w:space="0" w:color="auto"/>
            </w:tcBorders>
            <w:hideMark/>
          </w:tcPr>
          <w:p w14:paraId="6A7B8DDC" w14:textId="77777777" w:rsidR="00A12B52" w:rsidRPr="0013396E" w:rsidRDefault="00A12B52" w:rsidP="0099759E">
            <w:pPr>
              <w:pStyle w:val="TableHead"/>
            </w:pPr>
            <w:r w:rsidRPr="0013396E">
              <w:rPr>
                <w:b w:val="0"/>
                <w:iCs w:val="0"/>
              </w:rPr>
              <w:t>Variable</w:t>
            </w:r>
          </w:p>
        </w:tc>
        <w:tc>
          <w:tcPr>
            <w:tcW w:w="675" w:type="pct"/>
            <w:tcBorders>
              <w:top w:val="single" w:sz="4" w:space="0" w:color="auto"/>
              <w:left w:val="single" w:sz="4" w:space="0" w:color="auto"/>
              <w:bottom w:val="single" w:sz="4" w:space="0" w:color="auto"/>
              <w:right w:val="single" w:sz="4" w:space="0" w:color="auto"/>
            </w:tcBorders>
            <w:hideMark/>
          </w:tcPr>
          <w:p w14:paraId="20FE2B48" w14:textId="77777777" w:rsidR="00A12B52" w:rsidRPr="0013396E" w:rsidRDefault="00A12B52" w:rsidP="0099759E">
            <w:pPr>
              <w:pStyle w:val="TableHead"/>
            </w:pPr>
            <w:r w:rsidRPr="0013396E">
              <w:t>Unit</w:t>
            </w:r>
          </w:p>
        </w:tc>
        <w:tc>
          <w:tcPr>
            <w:tcW w:w="3179" w:type="pct"/>
            <w:tcBorders>
              <w:top w:val="single" w:sz="4" w:space="0" w:color="auto"/>
              <w:left w:val="single" w:sz="4" w:space="0" w:color="auto"/>
              <w:bottom w:val="single" w:sz="4" w:space="0" w:color="auto"/>
              <w:right w:val="single" w:sz="4" w:space="0" w:color="auto"/>
            </w:tcBorders>
            <w:hideMark/>
          </w:tcPr>
          <w:p w14:paraId="51CF3462" w14:textId="77777777" w:rsidR="00A12B52" w:rsidRPr="0013396E" w:rsidRDefault="00A12B52" w:rsidP="0099759E">
            <w:pPr>
              <w:pStyle w:val="TableHead"/>
            </w:pPr>
            <w:r w:rsidRPr="0013396E">
              <w:t>Description</w:t>
            </w:r>
          </w:p>
        </w:tc>
      </w:tr>
      <w:tr w:rsidR="00A12B52" w:rsidRPr="0013396E" w14:paraId="71DD4852"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DA4C16A" w14:textId="77777777" w:rsidR="00A12B52" w:rsidRPr="0013396E" w:rsidRDefault="00A12B52" w:rsidP="0099759E">
            <w:pPr>
              <w:pStyle w:val="tablebody0"/>
            </w:pPr>
            <w:r w:rsidRPr="0013396E">
              <w:t xml:space="preserve">LARTRRAMT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049CAB0C"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095A8CEE" w14:textId="77777777" w:rsidR="00A12B52" w:rsidRPr="0013396E" w:rsidRDefault="00A12B52" w:rsidP="0099759E">
            <w:pPr>
              <w:pStyle w:val="tablebody0"/>
              <w:rPr>
                <w:i/>
              </w:rPr>
            </w:pPr>
            <w:r w:rsidRPr="0013396E">
              <w:rPr>
                <w:i/>
              </w:rPr>
              <w:t>Load-Allocated Real-Time Responsive Reserve Amount for the QSE</w:t>
            </w:r>
            <w:r w:rsidRPr="0013396E">
              <w:t xml:space="preserve"> </w:t>
            </w:r>
            <w:r w:rsidRPr="0013396E">
              <w:sym w:font="Symbol" w:char="F0BE"/>
            </w:r>
            <w:r w:rsidRPr="0013396E">
              <w:t xml:space="preserve"> The QSE’s share of the total Real-Time RRS amount for the 15-minute Settlement Interval.</w:t>
            </w:r>
          </w:p>
        </w:tc>
      </w:tr>
      <w:tr w:rsidR="00A12B52" w:rsidRPr="0013396E" w14:paraId="236E8644"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512C6507" w14:textId="77777777" w:rsidR="00A12B52" w:rsidRPr="0013396E" w:rsidRDefault="00A12B52" w:rsidP="0099759E">
            <w:pPr>
              <w:pStyle w:val="tablebody0"/>
            </w:pPr>
            <w:r w:rsidRPr="0013396E">
              <w:t xml:space="preserve">RTRRIMBAMT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2F2CA578"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5ED4C3F5" w14:textId="77777777" w:rsidR="00A12B52" w:rsidRPr="0013396E" w:rsidRDefault="00A12B52" w:rsidP="0099759E">
            <w:pPr>
              <w:pStyle w:val="tablebody0"/>
              <w:rPr>
                <w:i/>
              </w:rPr>
            </w:pPr>
            <w:r w:rsidRPr="0013396E">
              <w:rPr>
                <w:i/>
              </w:rPr>
              <w:t xml:space="preserve">Real-Time Responsive Reserve Imbalance Amount for the QSE - </w:t>
            </w:r>
            <w:r w:rsidRPr="0013396E">
              <w:t xml:space="preserve">The total payment or charge to QSE </w:t>
            </w:r>
            <w:r w:rsidRPr="0013396E">
              <w:rPr>
                <w:i/>
              </w:rPr>
              <w:t>q</w:t>
            </w:r>
            <w:r w:rsidRPr="0013396E">
              <w:t xml:space="preserve"> for the Real-Time RRS imbalance for each 15-minute Settlement Interval.</w:t>
            </w:r>
          </w:p>
        </w:tc>
      </w:tr>
      <w:tr w:rsidR="00A12B52" w:rsidRPr="0013396E" w14:paraId="23548DDB"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6221A6A2" w14:textId="77777777" w:rsidR="00A12B52" w:rsidRPr="0013396E" w:rsidRDefault="00A12B52" w:rsidP="0099759E">
            <w:pPr>
              <w:pStyle w:val="tablebody0"/>
            </w:pPr>
            <w:r w:rsidRPr="0013396E">
              <w:t xml:space="preserve">RTRROAMT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40027D14"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3A853525" w14:textId="77777777" w:rsidR="00A12B52" w:rsidRPr="0013396E" w:rsidRDefault="00A12B52" w:rsidP="0099759E">
            <w:pPr>
              <w:pStyle w:val="tablebody0"/>
              <w:rPr>
                <w:i/>
              </w:rPr>
            </w:pPr>
            <w:r w:rsidRPr="0013396E">
              <w:rPr>
                <w:i/>
              </w:rPr>
              <w:t>Real-Time Responsive Reserve Only Amount for the QSE</w:t>
            </w:r>
            <w:r w:rsidRPr="0013396E">
              <w:t xml:space="preserve">— The total charge to QSE </w:t>
            </w:r>
            <w:r w:rsidRPr="0013396E">
              <w:rPr>
                <w:i/>
              </w:rPr>
              <w:t>q</w:t>
            </w:r>
            <w:r w:rsidRPr="0013396E">
              <w:t xml:space="preserve"> in Real-Time for RRS only awards for each 15-minute Settlement Interval.</w:t>
            </w:r>
          </w:p>
        </w:tc>
      </w:tr>
      <w:tr w:rsidR="00A12B52" w:rsidRPr="0013396E" w14:paraId="4387A50F"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7DD2D3FC" w14:textId="77777777" w:rsidR="00A12B52" w:rsidRPr="0013396E" w:rsidRDefault="00A12B52" w:rsidP="0099759E">
            <w:pPr>
              <w:pStyle w:val="tablebody0"/>
            </w:pPr>
            <w:r w:rsidRPr="0013396E">
              <w:t>RTRRIMBAMTTOT</w:t>
            </w:r>
          </w:p>
        </w:tc>
        <w:tc>
          <w:tcPr>
            <w:tcW w:w="675" w:type="pct"/>
            <w:tcBorders>
              <w:top w:val="single" w:sz="4" w:space="0" w:color="auto"/>
              <w:left w:val="single" w:sz="4" w:space="0" w:color="auto"/>
              <w:bottom w:val="single" w:sz="4" w:space="0" w:color="auto"/>
              <w:right w:val="single" w:sz="4" w:space="0" w:color="auto"/>
            </w:tcBorders>
            <w:hideMark/>
          </w:tcPr>
          <w:p w14:paraId="1C1B6B0D"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62E698FA" w14:textId="77777777" w:rsidR="00A12B52" w:rsidRPr="0013396E" w:rsidRDefault="00A12B52" w:rsidP="0099759E">
            <w:pPr>
              <w:pStyle w:val="tablebody0"/>
              <w:rPr>
                <w:i/>
              </w:rPr>
            </w:pPr>
            <w:r w:rsidRPr="0013396E">
              <w:rPr>
                <w:i/>
              </w:rPr>
              <w:t xml:space="preserve">Real-Time Responsive Reserve Imbalance Market Total Amount - </w:t>
            </w:r>
            <w:r w:rsidRPr="0013396E">
              <w:t>The total payment or charge to all QSEs for the Real-Time RRS imbalance for each 15-minute Settlement Interval.</w:t>
            </w:r>
          </w:p>
        </w:tc>
      </w:tr>
      <w:tr w:rsidR="00A12B52" w:rsidRPr="0013396E" w14:paraId="5BB5B898"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45D3FC0D" w14:textId="77777777" w:rsidR="00A12B52" w:rsidRPr="0013396E" w:rsidRDefault="00A12B52" w:rsidP="0099759E">
            <w:pPr>
              <w:pStyle w:val="tablebody0"/>
            </w:pPr>
            <w:r w:rsidRPr="0013396E">
              <w:t>RTRROAMTTOT</w:t>
            </w:r>
          </w:p>
        </w:tc>
        <w:tc>
          <w:tcPr>
            <w:tcW w:w="675" w:type="pct"/>
            <w:tcBorders>
              <w:top w:val="single" w:sz="4" w:space="0" w:color="auto"/>
              <w:left w:val="single" w:sz="4" w:space="0" w:color="auto"/>
              <w:bottom w:val="single" w:sz="4" w:space="0" w:color="auto"/>
              <w:right w:val="single" w:sz="4" w:space="0" w:color="auto"/>
            </w:tcBorders>
            <w:hideMark/>
          </w:tcPr>
          <w:p w14:paraId="70796320"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7BDCABBF" w14:textId="77777777" w:rsidR="00A12B52" w:rsidRPr="0013396E" w:rsidRDefault="00A12B52" w:rsidP="0099759E">
            <w:pPr>
              <w:pStyle w:val="tablebody0"/>
              <w:rPr>
                <w:i/>
              </w:rPr>
            </w:pPr>
            <w:r w:rsidRPr="0013396E">
              <w:rPr>
                <w:i/>
              </w:rPr>
              <w:t xml:space="preserve">Real-Time Responsive Reserve Only Market Total Amount - </w:t>
            </w:r>
            <w:r w:rsidRPr="0013396E">
              <w:t>The total charge to all QSEs in Real-Time for RRS only awards for each 15-minute Settlement Interval.</w:t>
            </w:r>
          </w:p>
        </w:tc>
      </w:tr>
      <w:tr w:rsidR="00A12B52" w:rsidRPr="0013396E" w14:paraId="56CCABA8"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657782F2" w14:textId="77777777" w:rsidR="00A12B52" w:rsidRPr="0013396E" w:rsidRDefault="00A12B52" w:rsidP="0099759E">
            <w:pPr>
              <w:pStyle w:val="tablebody0"/>
            </w:pPr>
            <w:r w:rsidRPr="0013396E">
              <w:t xml:space="preserve">RTRRTOAMT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34E7750D"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2E824638" w14:textId="77777777" w:rsidR="00A12B52" w:rsidRPr="0013396E" w:rsidRDefault="00A12B52" w:rsidP="0099759E">
            <w:pPr>
              <w:pStyle w:val="tablebody0"/>
              <w:rPr>
                <w:i/>
              </w:rPr>
            </w:pPr>
            <w:r w:rsidRPr="0013396E">
              <w:rPr>
                <w:i/>
              </w:rPr>
              <w:t>Real-Time Responsive Reserve Trade Overage Amount for the QSE</w:t>
            </w:r>
            <w:r w:rsidRPr="0013396E">
              <w:t xml:space="preserve">— The total charge to QSE </w:t>
            </w:r>
            <w:r w:rsidRPr="0013396E">
              <w:rPr>
                <w:i/>
              </w:rPr>
              <w:t>q</w:t>
            </w:r>
            <w:r w:rsidRPr="0013396E">
              <w:t xml:space="preserve"> in Real-Time for RRS trade overages for each 15-minute Settlement Interval.</w:t>
            </w:r>
          </w:p>
        </w:tc>
      </w:tr>
      <w:tr w:rsidR="00A12B52" w:rsidRPr="0013396E" w14:paraId="2DADE690"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4E239A8" w14:textId="77777777" w:rsidR="00A12B52" w:rsidRPr="0013396E" w:rsidRDefault="00A12B52" w:rsidP="0099759E">
            <w:pPr>
              <w:pStyle w:val="tablebody0"/>
            </w:pPr>
            <w:r w:rsidRPr="0013396E">
              <w:lastRenderedPageBreak/>
              <w:t>RTRROAMTTOT</w:t>
            </w:r>
          </w:p>
        </w:tc>
        <w:tc>
          <w:tcPr>
            <w:tcW w:w="675" w:type="pct"/>
            <w:tcBorders>
              <w:top w:val="single" w:sz="4" w:space="0" w:color="auto"/>
              <w:left w:val="single" w:sz="4" w:space="0" w:color="auto"/>
              <w:bottom w:val="single" w:sz="4" w:space="0" w:color="auto"/>
              <w:right w:val="single" w:sz="4" w:space="0" w:color="auto"/>
            </w:tcBorders>
            <w:hideMark/>
          </w:tcPr>
          <w:p w14:paraId="75CA8B8A"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76581F19" w14:textId="77777777" w:rsidR="00A12B52" w:rsidRPr="0013396E" w:rsidRDefault="00A12B52" w:rsidP="0099759E">
            <w:pPr>
              <w:pStyle w:val="tablebody0"/>
              <w:rPr>
                <w:i/>
              </w:rPr>
            </w:pPr>
            <w:r w:rsidRPr="0013396E">
              <w:rPr>
                <w:i/>
              </w:rPr>
              <w:t xml:space="preserve">Real-Time Responsive Reserve Trade Overage Total Amount </w:t>
            </w:r>
            <w:r w:rsidRPr="0013396E">
              <w:t>— The total charge to all QSEs for Real-Time RRS trade overages for each 15-minute Settlement Interval.</w:t>
            </w:r>
          </w:p>
        </w:tc>
      </w:tr>
      <w:tr w:rsidR="00A12B52" w:rsidRPr="0013396E" w14:paraId="22C4950C"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372EC1F" w14:textId="77777777" w:rsidR="00A12B52" w:rsidRPr="0013396E" w:rsidRDefault="00A12B52" w:rsidP="0099759E">
            <w:pPr>
              <w:pStyle w:val="tablebody0"/>
            </w:pPr>
            <w:r w:rsidRPr="0013396E">
              <w:t>LRS</w:t>
            </w:r>
            <w:r w:rsidRPr="0013396E">
              <w:rPr>
                <w:vertAlign w:val="subscript"/>
              </w:rPr>
              <w:t xml:space="preserve">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6AD91183"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2481CDE5" w14:textId="77777777" w:rsidR="00A12B52" w:rsidRPr="0013396E" w:rsidRDefault="00A12B52" w:rsidP="0099759E">
            <w:pPr>
              <w:pStyle w:val="tablebody0"/>
              <w:rPr>
                <w:i/>
              </w:rPr>
            </w:pPr>
            <w:r w:rsidRPr="0013396E">
              <w:rPr>
                <w:i/>
              </w:rPr>
              <w:t>Load Ratio Share per QSE</w:t>
            </w:r>
            <w:r w:rsidRPr="0013396E">
              <w:t xml:space="preserve">—The LRS as defined in Section 6.6.2.2 for QSE </w:t>
            </w:r>
            <w:r w:rsidRPr="0013396E">
              <w:rPr>
                <w:i/>
              </w:rPr>
              <w:t>q</w:t>
            </w:r>
            <w:r w:rsidRPr="0013396E">
              <w:t xml:space="preserve"> for the 15-minute Settlement Interval.</w:t>
            </w:r>
          </w:p>
        </w:tc>
      </w:tr>
      <w:tr w:rsidR="00A12B52" w:rsidRPr="0013396E" w14:paraId="38352F6E"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6A96B271" w14:textId="77777777" w:rsidR="00A12B52" w:rsidRPr="0013396E" w:rsidRDefault="00A12B52" w:rsidP="0099759E">
            <w:pPr>
              <w:pStyle w:val="tablebody0"/>
            </w:pPr>
            <w:r w:rsidRPr="0013396E">
              <w:rPr>
                <w:i/>
              </w:rPr>
              <w:t>q</w:t>
            </w:r>
          </w:p>
        </w:tc>
        <w:tc>
          <w:tcPr>
            <w:tcW w:w="675" w:type="pct"/>
            <w:tcBorders>
              <w:top w:val="single" w:sz="4" w:space="0" w:color="auto"/>
              <w:left w:val="single" w:sz="4" w:space="0" w:color="auto"/>
              <w:bottom w:val="single" w:sz="4" w:space="0" w:color="auto"/>
              <w:right w:val="single" w:sz="4" w:space="0" w:color="auto"/>
            </w:tcBorders>
            <w:hideMark/>
          </w:tcPr>
          <w:p w14:paraId="32488506"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23240735" w14:textId="77777777" w:rsidR="00A12B52" w:rsidRPr="0013396E" w:rsidRDefault="00A12B52" w:rsidP="0099759E">
            <w:pPr>
              <w:pStyle w:val="tablebody0"/>
              <w:rPr>
                <w:i/>
              </w:rPr>
            </w:pPr>
            <w:r w:rsidRPr="0013396E">
              <w:t>A QSE.</w:t>
            </w:r>
          </w:p>
        </w:tc>
      </w:tr>
    </w:tbl>
    <w:p w14:paraId="6B696B1F" w14:textId="77777777" w:rsidR="00A12B52" w:rsidRPr="0013396E" w:rsidRDefault="00A12B52" w:rsidP="00A12B52">
      <w:pPr>
        <w:pStyle w:val="BodyText"/>
        <w:spacing w:before="240"/>
        <w:ind w:left="1440" w:hanging="720"/>
      </w:pPr>
      <w:r w:rsidRPr="0013396E">
        <w:t>(d)         For Non-Spin:</w:t>
      </w:r>
    </w:p>
    <w:p w14:paraId="463F6E23" w14:textId="77777777" w:rsidR="00A12B52" w:rsidRPr="0013396E" w:rsidRDefault="00A12B52" w:rsidP="00A12B52">
      <w:pPr>
        <w:pStyle w:val="BodyText"/>
        <w:spacing w:before="240" w:after="0"/>
        <w:ind w:left="1440" w:hanging="720"/>
      </w:pPr>
      <w:r w:rsidRPr="0013396E">
        <w:t xml:space="preserve">LARTNSAMT </w:t>
      </w:r>
      <w:r w:rsidRPr="0013396E">
        <w:rPr>
          <w:i/>
          <w:vertAlign w:val="subscript"/>
        </w:rPr>
        <w:t>q</w:t>
      </w:r>
      <w:r w:rsidRPr="0013396E">
        <w:t xml:space="preserve"> =</w:t>
      </w:r>
      <w:r w:rsidRPr="0013396E">
        <w:tab/>
        <w:t xml:space="preserve">(-1) * (RTNSIMBAMTTOT + RTNSOAMTTOT + </w:t>
      </w:r>
    </w:p>
    <w:p w14:paraId="0A710185" w14:textId="77777777" w:rsidR="00A12B52" w:rsidRPr="0013396E" w:rsidRDefault="00A12B52" w:rsidP="00A12B52">
      <w:pPr>
        <w:pStyle w:val="BodyText"/>
        <w:ind w:left="2160" w:firstLine="720"/>
      </w:pPr>
      <w:r w:rsidRPr="0013396E">
        <w:t xml:space="preserve">RTNSTOAMTTOT) * LRS </w:t>
      </w:r>
      <w:r w:rsidRPr="0013396E">
        <w:rPr>
          <w:i/>
          <w:vertAlign w:val="subscript"/>
        </w:rPr>
        <w:t>q</w:t>
      </w:r>
    </w:p>
    <w:p w14:paraId="2C5405C3" w14:textId="77777777" w:rsidR="00A12B52" w:rsidRPr="0013396E" w:rsidRDefault="00A12B52" w:rsidP="00A12B52">
      <w:pPr>
        <w:pStyle w:val="BodyText"/>
        <w:ind w:left="1440" w:hanging="720"/>
      </w:pPr>
      <w:r w:rsidRPr="0013396E">
        <w:t>Where:</w:t>
      </w:r>
    </w:p>
    <w:p w14:paraId="2E6DD764" w14:textId="77777777" w:rsidR="00A12B52" w:rsidRPr="0013396E" w:rsidRDefault="00A12B52" w:rsidP="00A12B52">
      <w:pPr>
        <w:pStyle w:val="BodyText"/>
        <w:ind w:left="1440" w:hanging="720"/>
      </w:pPr>
      <w:r w:rsidRPr="0013396E">
        <w:t xml:space="preserve">RTNSIMBAMTTOT = </w:t>
      </w:r>
      <w:r w:rsidRPr="0013396E">
        <w:rPr>
          <w:noProof/>
        </w:rPr>
        <w:drawing>
          <wp:inline distT="0" distB="0" distL="0" distR="0" wp14:anchorId="1484ED1E" wp14:editId="4A89545E">
            <wp:extent cx="146685" cy="293370"/>
            <wp:effectExtent l="0" t="0" r="5715" b="0"/>
            <wp:docPr id="1049833463" name="Picture 104983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(RTNSIMBAMT </w:t>
      </w:r>
      <w:r w:rsidRPr="0013396E">
        <w:rPr>
          <w:i/>
          <w:vertAlign w:val="subscript"/>
        </w:rPr>
        <w:t>q</w:t>
      </w:r>
      <w:r w:rsidRPr="0013396E">
        <w:t>)</w:t>
      </w:r>
    </w:p>
    <w:p w14:paraId="46ECF118" w14:textId="77777777" w:rsidR="00A12B52" w:rsidRPr="0013396E" w:rsidRDefault="00A12B52" w:rsidP="00A12B52">
      <w:pPr>
        <w:pStyle w:val="BodyText"/>
        <w:ind w:left="1440" w:hanging="720"/>
      </w:pPr>
      <w:r w:rsidRPr="0013396E">
        <w:t xml:space="preserve">RTNSOAMTTOT = </w:t>
      </w:r>
      <w:r w:rsidRPr="0013396E">
        <w:rPr>
          <w:noProof/>
        </w:rPr>
        <w:drawing>
          <wp:inline distT="0" distB="0" distL="0" distR="0" wp14:anchorId="11766408" wp14:editId="05E83E22">
            <wp:extent cx="146685" cy="293370"/>
            <wp:effectExtent l="0" t="0" r="5715" b="0"/>
            <wp:docPr id="1620414995" name="Picture 162041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(RTNSOAMT </w:t>
      </w:r>
      <w:r w:rsidRPr="0013396E">
        <w:rPr>
          <w:i/>
          <w:vertAlign w:val="subscript"/>
        </w:rPr>
        <w:t>q</w:t>
      </w:r>
      <w:r w:rsidRPr="0013396E">
        <w:t>)</w:t>
      </w:r>
    </w:p>
    <w:p w14:paraId="0AE9F06D" w14:textId="77777777" w:rsidR="00A12B52" w:rsidRPr="0013396E" w:rsidRDefault="00A12B52" w:rsidP="00A12B52">
      <w:pPr>
        <w:pStyle w:val="BodyText"/>
        <w:ind w:left="1440" w:hanging="720"/>
      </w:pPr>
      <w:r w:rsidRPr="0013396E">
        <w:t xml:space="preserve">RTNSTOAMTTOT = </w:t>
      </w:r>
      <w:r w:rsidRPr="0013396E">
        <w:rPr>
          <w:noProof/>
        </w:rPr>
        <w:drawing>
          <wp:inline distT="0" distB="0" distL="0" distR="0" wp14:anchorId="39A44CCF" wp14:editId="6F236C5A">
            <wp:extent cx="146685" cy="293370"/>
            <wp:effectExtent l="0" t="0" r="5715" b="0"/>
            <wp:docPr id="1651913802" name="Picture 165191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(RTNSTOAMT </w:t>
      </w:r>
      <w:r w:rsidRPr="0013396E">
        <w:rPr>
          <w:i/>
          <w:vertAlign w:val="subscript"/>
        </w:rPr>
        <w:t>q</w:t>
      </w:r>
      <w:r w:rsidRPr="0013396E">
        <w:t>)</w:t>
      </w:r>
    </w:p>
    <w:p w14:paraId="4BB93CBF" w14:textId="77777777" w:rsidR="00A12B52" w:rsidRPr="0013396E" w:rsidRDefault="00A12B52" w:rsidP="00A12B52">
      <w:pPr>
        <w:pStyle w:val="NoSpacing"/>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3"/>
        <w:gridCol w:w="1262"/>
        <w:gridCol w:w="5945"/>
      </w:tblGrid>
      <w:tr w:rsidR="00A12B52" w:rsidRPr="0013396E" w14:paraId="312BC54B" w14:textId="77777777" w:rsidTr="0099759E">
        <w:trPr>
          <w:cantSplit/>
          <w:tblHeader/>
        </w:trPr>
        <w:tc>
          <w:tcPr>
            <w:tcW w:w="1146" w:type="pct"/>
            <w:tcBorders>
              <w:top w:val="single" w:sz="4" w:space="0" w:color="auto"/>
              <w:left w:val="single" w:sz="4" w:space="0" w:color="auto"/>
              <w:bottom w:val="single" w:sz="4" w:space="0" w:color="auto"/>
              <w:right w:val="single" w:sz="4" w:space="0" w:color="auto"/>
            </w:tcBorders>
            <w:hideMark/>
          </w:tcPr>
          <w:p w14:paraId="1C5C393D" w14:textId="77777777" w:rsidR="00A12B52" w:rsidRPr="0013396E" w:rsidRDefault="00A12B52" w:rsidP="0099759E">
            <w:pPr>
              <w:pStyle w:val="TableHead"/>
            </w:pPr>
            <w:r w:rsidRPr="0013396E">
              <w:rPr>
                <w:b w:val="0"/>
                <w:iCs w:val="0"/>
              </w:rPr>
              <w:t>Variable</w:t>
            </w:r>
          </w:p>
        </w:tc>
        <w:tc>
          <w:tcPr>
            <w:tcW w:w="675" w:type="pct"/>
            <w:tcBorders>
              <w:top w:val="single" w:sz="4" w:space="0" w:color="auto"/>
              <w:left w:val="single" w:sz="4" w:space="0" w:color="auto"/>
              <w:bottom w:val="single" w:sz="4" w:space="0" w:color="auto"/>
              <w:right w:val="single" w:sz="4" w:space="0" w:color="auto"/>
            </w:tcBorders>
            <w:hideMark/>
          </w:tcPr>
          <w:p w14:paraId="190CA870" w14:textId="77777777" w:rsidR="00A12B52" w:rsidRPr="0013396E" w:rsidRDefault="00A12B52" w:rsidP="0099759E">
            <w:pPr>
              <w:pStyle w:val="TableHead"/>
            </w:pPr>
            <w:r w:rsidRPr="0013396E">
              <w:t>Unit</w:t>
            </w:r>
          </w:p>
        </w:tc>
        <w:tc>
          <w:tcPr>
            <w:tcW w:w="3179" w:type="pct"/>
            <w:tcBorders>
              <w:top w:val="single" w:sz="4" w:space="0" w:color="auto"/>
              <w:left w:val="single" w:sz="4" w:space="0" w:color="auto"/>
              <w:bottom w:val="single" w:sz="4" w:space="0" w:color="auto"/>
              <w:right w:val="single" w:sz="4" w:space="0" w:color="auto"/>
            </w:tcBorders>
            <w:hideMark/>
          </w:tcPr>
          <w:p w14:paraId="15A68AE9" w14:textId="77777777" w:rsidR="00A12B52" w:rsidRPr="0013396E" w:rsidRDefault="00A12B52" w:rsidP="0099759E">
            <w:pPr>
              <w:pStyle w:val="TableHead"/>
            </w:pPr>
            <w:r w:rsidRPr="0013396E">
              <w:t>Description</w:t>
            </w:r>
          </w:p>
        </w:tc>
      </w:tr>
      <w:tr w:rsidR="00A12B52" w:rsidRPr="0013396E" w14:paraId="24186D36"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773C8E02" w14:textId="77777777" w:rsidR="00A12B52" w:rsidRPr="0013396E" w:rsidRDefault="00A12B52" w:rsidP="0099759E">
            <w:pPr>
              <w:pStyle w:val="tablebody0"/>
            </w:pPr>
            <w:r w:rsidRPr="0013396E">
              <w:t xml:space="preserve">LARTNSAMT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6920D2AB"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2B3ED259" w14:textId="77777777" w:rsidR="00A12B52" w:rsidRPr="0013396E" w:rsidRDefault="00A12B52" w:rsidP="0099759E">
            <w:pPr>
              <w:pStyle w:val="tablebody0"/>
              <w:rPr>
                <w:i/>
              </w:rPr>
            </w:pPr>
            <w:r w:rsidRPr="0013396E">
              <w:rPr>
                <w:i/>
              </w:rPr>
              <w:t>Load-Allocated Real-Time Non-Spin Amount for the QSE</w:t>
            </w:r>
            <w:r w:rsidRPr="0013396E">
              <w:t xml:space="preserve"> </w:t>
            </w:r>
            <w:r w:rsidRPr="0013396E">
              <w:sym w:font="Symbol" w:char="F0BE"/>
            </w:r>
            <w:r w:rsidRPr="0013396E">
              <w:t xml:space="preserve"> The QSE’s share of the total Real-Time Non-Spin amount for the 15-minute Settlement Interval.</w:t>
            </w:r>
          </w:p>
        </w:tc>
      </w:tr>
      <w:tr w:rsidR="00A12B52" w:rsidRPr="0013396E" w14:paraId="724635C8"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58227207" w14:textId="77777777" w:rsidR="00A12B52" w:rsidRPr="0013396E" w:rsidRDefault="00A12B52" w:rsidP="0099759E">
            <w:pPr>
              <w:pStyle w:val="tablebody0"/>
            </w:pPr>
            <w:r w:rsidRPr="0013396E">
              <w:t xml:space="preserve">RTNSIMBAMT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3C7D6656"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31CBCB62" w14:textId="77777777" w:rsidR="00A12B52" w:rsidRPr="0013396E" w:rsidRDefault="00A12B52" w:rsidP="0099759E">
            <w:pPr>
              <w:pStyle w:val="tablebody0"/>
              <w:rPr>
                <w:i/>
              </w:rPr>
            </w:pPr>
            <w:r w:rsidRPr="0013396E">
              <w:rPr>
                <w:i/>
              </w:rPr>
              <w:t xml:space="preserve">Real-Time Non-Spin Imbalance Amount for the QSE - </w:t>
            </w:r>
            <w:r w:rsidRPr="0013396E">
              <w:t xml:space="preserve">The total payment or charge to QSE </w:t>
            </w:r>
            <w:r w:rsidRPr="0013396E">
              <w:rPr>
                <w:i/>
              </w:rPr>
              <w:t>q</w:t>
            </w:r>
            <w:r w:rsidRPr="0013396E">
              <w:t xml:space="preserve"> for the Real-Time Non-Spin imbalance for each 15-minute Settlement Interval.</w:t>
            </w:r>
          </w:p>
        </w:tc>
      </w:tr>
      <w:tr w:rsidR="00A12B52" w:rsidRPr="0013396E" w14:paraId="0D4FD8F7"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0A8A28EE" w14:textId="77777777" w:rsidR="00A12B52" w:rsidRPr="0013396E" w:rsidRDefault="00A12B52" w:rsidP="0099759E">
            <w:pPr>
              <w:pStyle w:val="tablebody0"/>
            </w:pPr>
            <w:r w:rsidRPr="0013396E">
              <w:t xml:space="preserve">RTNSOAMT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7150DBE5"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4610CB30" w14:textId="77777777" w:rsidR="00A12B52" w:rsidRPr="0013396E" w:rsidRDefault="00A12B52" w:rsidP="0099759E">
            <w:pPr>
              <w:pStyle w:val="tablebody0"/>
              <w:rPr>
                <w:i/>
              </w:rPr>
            </w:pPr>
            <w:r w:rsidRPr="0013396E">
              <w:rPr>
                <w:i/>
              </w:rPr>
              <w:t>Real-Time Non-Spin Only Amount for the QSE</w:t>
            </w:r>
            <w:r w:rsidRPr="0013396E">
              <w:t xml:space="preserve">— The total charge to QSE </w:t>
            </w:r>
            <w:r w:rsidRPr="0013396E">
              <w:rPr>
                <w:i/>
              </w:rPr>
              <w:t>q</w:t>
            </w:r>
            <w:r w:rsidRPr="0013396E">
              <w:t xml:space="preserve"> in Real-Time for Non-Spin only awards for each 15-minute Settlement Interval.</w:t>
            </w:r>
          </w:p>
        </w:tc>
      </w:tr>
      <w:tr w:rsidR="00A12B52" w:rsidRPr="0013396E" w14:paraId="405FE7FC"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4B433E1E" w14:textId="77777777" w:rsidR="00A12B52" w:rsidRPr="0013396E" w:rsidRDefault="00A12B52" w:rsidP="0099759E">
            <w:pPr>
              <w:pStyle w:val="tablebody0"/>
            </w:pPr>
            <w:r w:rsidRPr="0013396E">
              <w:t>RTNSIMBAMTTOT</w:t>
            </w:r>
          </w:p>
        </w:tc>
        <w:tc>
          <w:tcPr>
            <w:tcW w:w="675" w:type="pct"/>
            <w:tcBorders>
              <w:top w:val="single" w:sz="4" w:space="0" w:color="auto"/>
              <w:left w:val="single" w:sz="4" w:space="0" w:color="auto"/>
              <w:bottom w:val="single" w:sz="4" w:space="0" w:color="auto"/>
              <w:right w:val="single" w:sz="4" w:space="0" w:color="auto"/>
            </w:tcBorders>
            <w:hideMark/>
          </w:tcPr>
          <w:p w14:paraId="6DB2DC30"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01B60EBC" w14:textId="77777777" w:rsidR="00A12B52" w:rsidRPr="0013396E" w:rsidRDefault="00A12B52" w:rsidP="0099759E">
            <w:pPr>
              <w:pStyle w:val="tablebody0"/>
              <w:rPr>
                <w:i/>
              </w:rPr>
            </w:pPr>
            <w:r w:rsidRPr="0013396E">
              <w:rPr>
                <w:i/>
              </w:rPr>
              <w:t xml:space="preserve">Real-Time Non-Spin Imbalance Market Total Amount - </w:t>
            </w:r>
            <w:r w:rsidRPr="0013396E">
              <w:t>The total payment or charge to all QSEs for the Real-Time Non-Spin imbalance for each 15-minute Settlement Interval.</w:t>
            </w:r>
          </w:p>
        </w:tc>
      </w:tr>
      <w:tr w:rsidR="00A12B52" w:rsidRPr="0013396E" w14:paraId="7124CFE2"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3A539667" w14:textId="77777777" w:rsidR="00A12B52" w:rsidRPr="0013396E" w:rsidRDefault="00A12B52" w:rsidP="0099759E">
            <w:pPr>
              <w:pStyle w:val="tablebody0"/>
            </w:pPr>
            <w:r w:rsidRPr="0013396E">
              <w:t>RTNSOAMTTOT</w:t>
            </w:r>
          </w:p>
        </w:tc>
        <w:tc>
          <w:tcPr>
            <w:tcW w:w="675" w:type="pct"/>
            <w:tcBorders>
              <w:top w:val="single" w:sz="4" w:space="0" w:color="auto"/>
              <w:left w:val="single" w:sz="4" w:space="0" w:color="auto"/>
              <w:bottom w:val="single" w:sz="4" w:space="0" w:color="auto"/>
              <w:right w:val="single" w:sz="4" w:space="0" w:color="auto"/>
            </w:tcBorders>
            <w:hideMark/>
          </w:tcPr>
          <w:p w14:paraId="33BDAE75"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0EDA8B75" w14:textId="77777777" w:rsidR="00A12B52" w:rsidRPr="0013396E" w:rsidRDefault="00A12B52" w:rsidP="0099759E">
            <w:pPr>
              <w:pStyle w:val="tablebody0"/>
              <w:rPr>
                <w:i/>
              </w:rPr>
            </w:pPr>
            <w:r w:rsidRPr="0013396E">
              <w:rPr>
                <w:i/>
              </w:rPr>
              <w:t xml:space="preserve">Real-Time Non-Spin Only Market Total Amount - </w:t>
            </w:r>
            <w:r w:rsidRPr="0013396E">
              <w:t>The total charge to all QSEs in Real-Time for Non-Spin only awards for each 15-minute Settlement Interval.</w:t>
            </w:r>
          </w:p>
        </w:tc>
      </w:tr>
      <w:tr w:rsidR="00A12B52" w:rsidRPr="0013396E" w14:paraId="52FD1475"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2C47FCC6" w14:textId="77777777" w:rsidR="00A12B52" w:rsidRPr="0013396E" w:rsidRDefault="00A12B52" w:rsidP="0099759E">
            <w:pPr>
              <w:pStyle w:val="tablebody0"/>
            </w:pPr>
            <w:r w:rsidRPr="0013396E">
              <w:t xml:space="preserve">RTNSTOAMT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60B91284"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370842F2" w14:textId="77777777" w:rsidR="00A12B52" w:rsidRPr="0013396E" w:rsidRDefault="00A12B52" w:rsidP="0099759E">
            <w:pPr>
              <w:pStyle w:val="tablebody0"/>
              <w:rPr>
                <w:i/>
              </w:rPr>
            </w:pPr>
            <w:r w:rsidRPr="0013396E">
              <w:rPr>
                <w:i/>
              </w:rPr>
              <w:t>Real-Time Non-Spin Trade Overage Amount for the QSE</w:t>
            </w:r>
            <w:r w:rsidRPr="0013396E">
              <w:t xml:space="preserve">— The total charge to QSE </w:t>
            </w:r>
            <w:r w:rsidRPr="0013396E">
              <w:rPr>
                <w:i/>
              </w:rPr>
              <w:t>q</w:t>
            </w:r>
            <w:r w:rsidRPr="0013396E">
              <w:t xml:space="preserve"> in Real-Time for Non-Spin trade overages for each 15-minute Settlement Interval.</w:t>
            </w:r>
          </w:p>
        </w:tc>
      </w:tr>
      <w:tr w:rsidR="00A12B52" w:rsidRPr="0013396E" w14:paraId="027E5608"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52069E7A" w14:textId="77777777" w:rsidR="00A12B52" w:rsidRPr="0013396E" w:rsidRDefault="00A12B52" w:rsidP="0099759E">
            <w:pPr>
              <w:pStyle w:val="tablebody0"/>
            </w:pPr>
            <w:r w:rsidRPr="0013396E">
              <w:t>RTNSOAMTTOT</w:t>
            </w:r>
          </w:p>
        </w:tc>
        <w:tc>
          <w:tcPr>
            <w:tcW w:w="675" w:type="pct"/>
            <w:tcBorders>
              <w:top w:val="single" w:sz="4" w:space="0" w:color="auto"/>
              <w:left w:val="single" w:sz="4" w:space="0" w:color="auto"/>
              <w:bottom w:val="single" w:sz="4" w:space="0" w:color="auto"/>
              <w:right w:val="single" w:sz="4" w:space="0" w:color="auto"/>
            </w:tcBorders>
            <w:hideMark/>
          </w:tcPr>
          <w:p w14:paraId="62FA7D38" w14:textId="77777777" w:rsidR="00A12B52" w:rsidRPr="0013396E" w:rsidRDefault="00A12B52" w:rsidP="0099759E">
            <w:pPr>
              <w:pStyle w:val="tablebody0"/>
            </w:pPr>
            <w:r w:rsidRPr="0013396E">
              <w:t>$</w:t>
            </w:r>
          </w:p>
        </w:tc>
        <w:tc>
          <w:tcPr>
            <w:tcW w:w="3179" w:type="pct"/>
            <w:tcBorders>
              <w:top w:val="single" w:sz="4" w:space="0" w:color="auto"/>
              <w:left w:val="single" w:sz="4" w:space="0" w:color="auto"/>
              <w:bottom w:val="single" w:sz="4" w:space="0" w:color="auto"/>
              <w:right w:val="single" w:sz="4" w:space="0" w:color="auto"/>
            </w:tcBorders>
            <w:hideMark/>
          </w:tcPr>
          <w:p w14:paraId="3EA2B173" w14:textId="77777777" w:rsidR="00A12B52" w:rsidRPr="0013396E" w:rsidRDefault="00A12B52" w:rsidP="0099759E">
            <w:pPr>
              <w:pStyle w:val="tablebody0"/>
              <w:rPr>
                <w:i/>
              </w:rPr>
            </w:pPr>
            <w:r w:rsidRPr="0013396E">
              <w:rPr>
                <w:i/>
              </w:rPr>
              <w:t xml:space="preserve">Real-Time Non-Spin Trade Overage Total Amount </w:t>
            </w:r>
            <w:r w:rsidRPr="0013396E">
              <w:t>— The total charge to all QSEs for Real-Time Non-Spin trade overages for each 15-minute Settlement Interval.</w:t>
            </w:r>
          </w:p>
        </w:tc>
      </w:tr>
      <w:tr w:rsidR="00A12B52" w:rsidRPr="0013396E" w14:paraId="1FD585FF"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43B72ECC" w14:textId="77777777" w:rsidR="00A12B52" w:rsidRPr="0013396E" w:rsidRDefault="00A12B52" w:rsidP="0099759E">
            <w:pPr>
              <w:pStyle w:val="tablebody0"/>
            </w:pPr>
            <w:r w:rsidRPr="0013396E">
              <w:t>LRS</w:t>
            </w:r>
            <w:r w:rsidRPr="0013396E">
              <w:rPr>
                <w:vertAlign w:val="subscript"/>
              </w:rPr>
              <w:t xml:space="preserve"> </w:t>
            </w:r>
            <w:r w:rsidRPr="0013396E">
              <w:rPr>
                <w:i/>
                <w:vertAlign w:val="subscript"/>
              </w:rPr>
              <w:t>q</w:t>
            </w:r>
          </w:p>
        </w:tc>
        <w:tc>
          <w:tcPr>
            <w:tcW w:w="675" w:type="pct"/>
            <w:tcBorders>
              <w:top w:val="single" w:sz="4" w:space="0" w:color="auto"/>
              <w:left w:val="single" w:sz="4" w:space="0" w:color="auto"/>
              <w:bottom w:val="single" w:sz="4" w:space="0" w:color="auto"/>
              <w:right w:val="single" w:sz="4" w:space="0" w:color="auto"/>
            </w:tcBorders>
            <w:hideMark/>
          </w:tcPr>
          <w:p w14:paraId="658B234C"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25D60DA0" w14:textId="77777777" w:rsidR="00A12B52" w:rsidRPr="0013396E" w:rsidRDefault="00A12B52" w:rsidP="0099759E">
            <w:pPr>
              <w:pStyle w:val="tablebody0"/>
              <w:rPr>
                <w:i/>
              </w:rPr>
            </w:pPr>
            <w:r w:rsidRPr="0013396E">
              <w:rPr>
                <w:i/>
              </w:rPr>
              <w:t>Load Ratio Share per QSE</w:t>
            </w:r>
            <w:r w:rsidRPr="0013396E">
              <w:t xml:space="preserve">—The LRS as defined in Section 6.6.2.2 for QSE </w:t>
            </w:r>
            <w:r w:rsidRPr="0013396E">
              <w:rPr>
                <w:i/>
              </w:rPr>
              <w:t>q</w:t>
            </w:r>
            <w:r w:rsidRPr="0013396E">
              <w:t xml:space="preserve"> for the 15-minute Settlement Interval.</w:t>
            </w:r>
          </w:p>
        </w:tc>
      </w:tr>
      <w:tr w:rsidR="00A12B52" w:rsidRPr="0013396E" w14:paraId="6355881B" w14:textId="77777777" w:rsidTr="0099759E">
        <w:trPr>
          <w:cantSplit/>
        </w:trPr>
        <w:tc>
          <w:tcPr>
            <w:tcW w:w="1146" w:type="pct"/>
            <w:tcBorders>
              <w:top w:val="single" w:sz="4" w:space="0" w:color="auto"/>
              <w:left w:val="single" w:sz="4" w:space="0" w:color="auto"/>
              <w:bottom w:val="single" w:sz="4" w:space="0" w:color="auto"/>
              <w:right w:val="single" w:sz="4" w:space="0" w:color="auto"/>
            </w:tcBorders>
            <w:hideMark/>
          </w:tcPr>
          <w:p w14:paraId="5D825D6E" w14:textId="77777777" w:rsidR="00A12B52" w:rsidRPr="0013396E" w:rsidRDefault="00A12B52" w:rsidP="0099759E">
            <w:pPr>
              <w:pStyle w:val="tablebody0"/>
            </w:pPr>
            <w:r w:rsidRPr="0013396E">
              <w:rPr>
                <w:i/>
              </w:rPr>
              <w:lastRenderedPageBreak/>
              <w:t>q</w:t>
            </w:r>
          </w:p>
        </w:tc>
        <w:tc>
          <w:tcPr>
            <w:tcW w:w="675" w:type="pct"/>
            <w:tcBorders>
              <w:top w:val="single" w:sz="4" w:space="0" w:color="auto"/>
              <w:left w:val="single" w:sz="4" w:space="0" w:color="auto"/>
              <w:bottom w:val="single" w:sz="4" w:space="0" w:color="auto"/>
              <w:right w:val="single" w:sz="4" w:space="0" w:color="auto"/>
            </w:tcBorders>
            <w:hideMark/>
          </w:tcPr>
          <w:p w14:paraId="6D471DF9" w14:textId="77777777" w:rsidR="00A12B52" w:rsidRPr="0013396E" w:rsidRDefault="00A12B52" w:rsidP="0099759E">
            <w:pPr>
              <w:pStyle w:val="tablebody0"/>
            </w:pPr>
            <w:r w:rsidRPr="0013396E">
              <w:t>none</w:t>
            </w:r>
          </w:p>
        </w:tc>
        <w:tc>
          <w:tcPr>
            <w:tcW w:w="3179" w:type="pct"/>
            <w:tcBorders>
              <w:top w:val="single" w:sz="4" w:space="0" w:color="auto"/>
              <w:left w:val="single" w:sz="4" w:space="0" w:color="auto"/>
              <w:bottom w:val="single" w:sz="4" w:space="0" w:color="auto"/>
              <w:right w:val="single" w:sz="4" w:space="0" w:color="auto"/>
            </w:tcBorders>
            <w:hideMark/>
          </w:tcPr>
          <w:p w14:paraId="5C55D191" w14:textId="77777777" w:rsidR="00A12B52" w:rsidRPr="0013396E" w:rsidRDefault="00A12B52" w:rsidP="0099759E">
            <w:pPr>
              <w:pStyle w:val="tablebody0"/>
              <w:rPr>
                <w:i/>
              </w:rPr>
            </w:pPr>
            <w:r w:rsidRPr="0013396E">
              <w:t>A QSE.</w:t>
            </w:r>
          </w:p>
        </w:tc>
      </w:tr>
    </w:tbl>
    <w:p w14:paraId="63536B3E" w14:textId="77777777" w:rsidR="00A12B52" w:rsidRPr="0013396E" w:rsidRDefault="00A12B52" w:rsidP="00A12B52">
      <w:pPr>
        <w:pStyle w:val="BodyText"/>
        <w:spacing w:before="240"/>
        <w:ind w:left="1440" w:hanging="720"/>
      </w:pPr>
      <w:r w:rsidRPr="0013396E">
        <w:t xml:space="preserve"> (e)         For ERCOT Contingency Reserve Service (ECRS):</w:t>
      </w:r>
    </w:p>
    <w:p w14:paraId="124617E5" w14:textId="77777777" w:rsidR="00A12B52" w:rsidRPr="0013396E" w:rsidRDefault="00A12B52" w:rsidP="00A12B52">
      <w:pPr>
        <w:pStyle w:val="BodyText"/>
        <w:spacing w:after="0"/>
        <w:ind w:left="1440" w:hanging="720"/>
      </w:pPr>
      <w:r w:rsidRPr="0013396E">
        <w:t xml:space="preserve">LARTECRAMT </w:t>
      </w:r>
      <w:r w:rsidRPr="0013396E">
        <w:rPr>
          <w:i/>
          <w:vertAlign w:val="subscript"/>
        </w:rPr>
        <w:t>q</w:t>
      </w:r>
      <w:r w:rsidRPr="0013396E">
        <w:t xml:space="preserve"> = (-1) * (RTECRIMBAMTTOT + RTECROAMTTOT + </w:t>
      </w:r>
    </w:p>
    <w:p w14:paraId="260F7506" w14:textId="77777777" w:rsidR="00A12B52" w:rsidRPr="0013396E" w:rsidRDefault="00A12B52" w:rsidP="00A12B52">
      <w:pPr>
        <w:pStyle w:val="BodyText"/>
        <w:ind w:left="1440" w:hanging="720"/>
      </w:pPr>
      <w:r w:rsidRPr="0013396E">
        <w:t xml:space="preserve"> </w:t>
      </w:r>
      <w:r w:rsidRPr="0013396E">
        <w:tab/>
      </w:r>
      <w:r w:rsidRPr="0013396E">
        <w:tab/>
      </w:r>
      <w:r w:rsidRPr="0013396E">
        <w:tab/>
        <w:t xml:space="preserve">RTECRTOAMTTOT) * LRS </w:t>
      </w:r>
      <w:r w:rsidRPr="0013396E">
        <w:rPr>
          <w:i/>
          <w:vertAlign w:val="subscript"/>
        </w:rPr>
        <w:t>q</w:t>
      </w:r>
    </w:p>
    <w:p w14:paraId="3A092FF0" w14:textId="77777777" w:rsidR="00A12B52" w:rsidRPr="0013396E" w:rsidRDefault="00A12B52" w:rsidP="00A12B52">
      <w:pPr>
        <w:pStyle w:val="BodyText"/>
        <w:ind w:left="1440" w:hanging="720"/>
      </w:pPr>
      <w:r w:rsidRPr="0013396E">
        <w:t>Where:</w:t>
      </w:r>
    </w:p>
    <w:p w14:paraId="0D80CBFA" w14:textId="77777777" w:rsidR="00A12B52" w:rsidRPr="0013396E" w:rsidRDefault="00A12B52" w:rsidP="00A12B52">
      <w:pPr>
        <w:pStyle w:val="BodyText"/>
        <w:ind w:left="1440" w:hanging="720"/>
      </w:pPr>
      <w:r w:rsidRPr="0013396E">
        <w:t xml:space="preserve">RTECRIMBAMTTOT = </w:t>
      </w:r>
      <w:r w:rsidRPr="0013396E">
        <w:rPr>
          <w:noProof/>
        </w:rPr>
        <w:drawing>
          <wp:inline distT="0" distB="0" distL="0" distR="0" wp14:anchorId="3D0099A7" wp14:editId="5B13774E">
            <wp:extent cx="146685" cy="293370"/>
            <wp:effectExtent l="0" t="0" r="5715" b="0"/>
            <wp:docPr id="758729390" name="Picture 75872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t xml:space="preserve"> (RTECRIMBAMT </w:t>
      </w:r>
      <w:r w:rsidRPr="0013396E">
        <w:rPr>
          <w:i/>
          <w:vertAlign w:val="subscript"/>
        </w:rPr>
        <w:t>q</w:t>
      </w:r>
      <w:r w:rsidRPr="0013396E">
        <w:t>)</w:t>
      </w:r>
    </w:p>
    <w:p w14:paraId="211DFBBB" w14:textId="77777777" w:rsidR="00A12B52" w:rsidRPr="0013396E" w:rsidRDefault="00A12B52" w:rsidP="00A12B52">
      <w:pPr>
        <w:pStyle w:val="BodyText"/>
        <w:ind w:left="1440" w:hanging="720"/>
      </w:pPr>
      <w:r w:rsidRPr="0013396E">
        <w:t xml:space="preserve">RTECROAMTTOT = </w:t>
      </w:r>
      <w:r w:rsidRPr="0013396E">
        <w:rPr>
          <w:noProof/>
          <w:position w:val="-22"/>
        </w:rPr>
        <w:drawing>
          <wp:inline distT="0" distB="0" distL="0" distR="0" wp14:anchorId="14D4CACC" wp14:editId="4274B752">
            <wp:extent cx="146685" cy="293370"/>
            <wp:effectExtent l="0" t="0" r="5715" b="0"/>
            <wp:docPr id="604894267" name="Picture 60489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rPr>
          <w:b/>
        </w:rPr>
        <w:t xml:space="preserve"> </w:t>
      </w:r>
      <w:r w:rsidRPr="0013396E">
        <w:t xml:space="preserve">(RTECROAMT </w:t>
      </w:r>
      <w:r w:rsidRPr="0013396E">
        <w:rPr>
          <w:i/>
          <w:vertAlign w:val="subscript"/>
        </w:rPr>
        <w:t>q</w:t>
      </w:r>
      <w:r w:rsidRPr="0013396E">
        <w:t>)</w:t>
      </w:r>
    </w:p>
    <w:p w14:paraId="164EFA78" w14:textId="77777777" w:rsidR="00A12B52" w:rsidRPr="0013396E" w:rsidRDefault="00A12B52" w:rsidP="00A12B52">
      <w:pPr>
        <w:pStyle w:val="BodyText"/>
        <w:ind w:left="1440" w:hanging="720"/>
      </w:pPr>
      <w:r w:rsidRPr="0013396E">
        <w:t xml:space="preserve">RTECRTOAMTTOT = </w:t>
      </w:r>
      <w:r w:rsidRPr="0013396E">
        <w:rPr>
          <w:noProof/>
          <w:position w:val="-22"/>
        </w:rPr>
        <w:drawing>
          <wp:inline distT="0" distB="0" distL="0" distR="0" wp14:anchorId="12A99C02" wp14:editId="0FD2BCB1">
            <wp:extent cx="146685" cy="293370"/>
            <wp:effectExtent l="0" t="0" r="5715" b="0"/>
            <wp:docPr id="1499600007" name="Picture 14996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13396E">
        <w:rPr>
          <w:b/>
        </w:rPr>
        <w:t xml:space="preserve"> </w:t>
      </w:r>
      <w:r w:rsidRPr="0013396E">
        <w:t xml:space="preserve">(RTECRTOAMT </w:t>
      </w:r>
      <w:r w:rsidRPr="0013396E">
        <w:rPr>
          <w:i/>
          <w:vertAlign w:val="subscript"/>
        </w:rPr>
        <w:t>q</w:t>
      </w:r>
      <w:r w:rsidRPr="0013396E">
        <w:t>)</w:t>
      </w:r>
    </w:p>
    <w:p w14:paraId="6EEB96A5" w14:textId="77777777" w:rsidR="00A12B52" w:rsidRPr="0013396E" w:rsidRDefault="00A12B52" w:rsidP="00A12B52">
      <w:pPr>
        <w:pStyle w:val="NoSpacing"/>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283"/>
        <w:gridCol w:w="1195"/>
        <w:gridCol w:w="5872"/>
      </w:tblGrid>
      <w:tr w:rsidR="00A12B52" w:rsidRPr="0013396E" w14:paraId="1C460A73" w14:textId="77777777" w:rsidTr="00B6058C">
        <w:trPr>
          <w:cantSplit/>
          <w:tblHeader/>
        </w:trPr>
        <w:tc>
          <w:tcPr>
            <w:tcW w:w="1221" w:type="pct"/>
            <w:tcBorders>
              <w:top w:val="single" w:sz="4" w:space="0" w:color="auto"/>
              <w:left w:val="single" w:sz="4" w:space="0" w:color="auto"/>
              <w:bottom w:val="single" w:sz="4" w:space="0" w:color="auto"/>
              <w:right w:val="single" w:sz="4" w:space="0" w:color="auto"/>
            </w:tcBorders>
            <w:hideMark/>
          </w:tcPr>
          <w:p w14:paraId="5EFF3BF7" w14:textId="77777777" w:rsidR="00A12B52" w:rsidRPr="0013396E" w:rsidRDefault="00A12B52" w:rsidP="0099759E">
            <w:pPr>
              <w:pStyle w:val="TableHead"/>
            </w:pPr>
            <w:r w:rsidRPr="0013396E">
              <w:rPr>
                <w:b w:val="0"/>
                <w:iCs w:val="0"/>
              </w:rPr>
              <w:t>Variable</w:t>
            </w:r>
          </w:p>
        </w:tc>
        <w:tc>
          <w:tcPr>
            <w:tcW w:w="639" w:type="pct"/>
            <w:tcBorders>
              <w:top w:val="single" w:sz="4" w:space="0" w:color="auto"/>
              <w:left w:val="single" w:sz="4" w:space="0" w:color="auto"/>
              <w:bottom w:val="single" w:sz="4" w:space="0" w:color="auto"/>
              <w:right w:val="single" w:sz="4" w:space="0" w:color="auto"/>
            </w:tcBorders>
            <w:hideMark/>
          </w:tcPr>
          <w:p w14:paraId="00AC4EAC" w14:textId="77777777" w:rsidR="00A12B52" w:rsidRPr="0013396E" w:rsidRDefault="00A12B52" w:rsidP="0099759E">
            <w:pPr>
              <w:pStyle w:val="TableHead"/>
            </w:pPr>
            <w:r w:rsidRPr="0013396E">
              <w:t>Unit</w:t>
            </w:r>
          </w:p>
        </w:tc>
        <w:tc>
          <w:tcPr>
            <w:tcW w:w="3140" w:type="pct"/>
            <w:tcBorders>
              <w:top w:val="single" w:sz="4" w:space="0" w:color="auto"/>
              <w:left w:val="single" w:sz="4" w:space="0" w:color="auto"/>
              <w:bottom w:val="single" w:sz="4" w:space="0" w:color="auto"/>
              <w:right w:val="single" w:sz="4" w:space="0" w:color="auto"/>
            </w:tcBorders>
            <w:hideMark/>
          </w:tcPr>
          <w:p w14:paraId="6D52CB16" w14:textId="77777777" w:rsidR="00A12B52" w:rsidRPr="0013396E" w:rsidRDefault="00A12B52" w:rsidP="0099759E">
            <w:pPr>
              <w:pStyle w:val="TableHead"/>
            </w:pPr>
            <w:r w:rsidRPr="0013396E">
              <w:t>Description</w:t>
            </w:r>
          </w:p>
        </w:tc>
      </w:tr>
      <w:tr w:rsidR="00A12B52" w:rsidRPr="0013396E" w14:paraId="5030B642"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460B9BBE" w14:textId="77777777" w:rsidR="00A12B52" w:rsidRPr="0013396E" w:rsidRDefault="00A12B52" w:rsidP="0099759E">
            <w:pPr>
              <w:pStyle w:val="tablebody0"/>
            </w:pPr>
            <w:r w:rsidRPr="0013396E">
              <w:t xml:space="preserve">LARTECRAMT </w:t>
            </w:r>
            <w:r w:rsidRPr="0013396E">
              <w:rPr>
                <w:i/>
                <w:vertAlign w:val="subscript"/>
              </w:rPr>
              <w:t>q</w:t>
            </w:r>
          </w:p>
        </w:tc>
        <w:tc>
          <w:tcPr>
            <w:tcW w:w="639" w:type="pct"/>
            <w:tcBorders>
              <w:top w:val="single" w:sz="4" w:space="0" w:color="auto"/>
              <w:left w:val="single" w:sz="4" w:space="0" w:color="auto"/>
              <w:bottom w:val="single" w:sz="4" w:space="0" w:color="auto"/>
              <w:right w:val="single" w:sz="4" w:space="0" w:color="auto"/>
            </w:tcBorders>
            <w:hideMark/>
          </w:tcPr>
          <w:p w14:paraId="4662AA2E"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52277E9A" w14:textId="77777777" w:rsidR="00A12B52" w:rsidRPr="0013396E" w:rsidRDefault="00A12B52" w:rsidP="0099759E">
            <w:pPr>
              <w:pStyle w:val="tablebody0"/>
              <w:rPr>
                <w:i/>
              </w:rPr>
            </w:pPr>
            <w:r w:rsidRPr="0013396E">
              <w:rPr>
                <w:i/>
              </w:rPr>
              <w:t xml:space="preserve">Load-Allocated Real-Time ERCOT Contingency Reserve Service Amount for the QSE - </w:t>
            </w:r>
            <w:r w:rsidRPr="0013396E">
              <w:t xml:space="preserve">The QSE </w:t>
            </w:r>
            <w:r w:rsidRPr="0013396E">
              <w:rPr>
                <w:i/>
              </w:rPr>
              <w:t>q</w:t>
            </w:r>
            <w:r w:rsidRPr="0013396E">
              <w:t>’s share of the total Real-Time ECRS amount for the 15-minute Settlement Interval.</w:t>
            </w:r>
          </w:p>
        </w:tc>
      </w:tr>
      <w:tr w:rsidR="00A12B52" w:rsidRPr="0013396E" w14:paraId="40CE77B7"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77CCD36C" w14:textId="77777777" w:rsidR="00A12B52" w:rsidRPr="0013396E" w:rsidRDefault="00A12B52" w:rsidP="0099759E">
            <w:pPr>
              <w:pStyle w:val="tablebody0"/>
            </w:pPr>
            <w:r w:rsidRPr="0013396E">
              <w:t xml:space="preserve">RTECRIMBAMT </w:t>
            </w:r>
            <w:r w:rsidRPr="0013396E">
              <w:rPr>
                <w:i/>
                <w:vertAlign w:val="subscript"/>
              </w:rPr>
              <w:t>q</w:t>
            </w:r>
          </w:p>
        </w:tc>
        <w:tc>
          <w:tcPr>
            <w:tcW w:w="639" w:type="pct"/>
            <w:tcBorders>
              <w:top w:val="single" w:sz="4" w:space="0" w:color="auto"/>
              <w:left w:val="single" w:sz="4" w:space="0" w:color="auto"/>
              <w:bottom w:val="single" w:sz="4" w:space="0" w:color="auto"/>
              <w:right w:val="single" w:sz="4" w:space="0" w:color="auto"/>
            </w:tcBorders>
            <w:hideMark/>
          </w:tcPr>
          <w:p w14:paraId="07D7C116"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7B171D5D" w14:textId="77777777" w:rsidR="00A12B52" w:rsidRPr="0013396E" w:rsidRDefault="00A12B52" w:rsidP="0099759E">
            <w:pPr>
              <w:pStyle w:val="tablebody0"/>
              <w:rPr>
                <w:i/>
              </w:rPr>
            </w:pPr>
            <w:r w:rsidRPr="0013396E">
              <w:rPr>
                <w:i/>
              </w:rPr>
              <w:t xml:space="preserve">Real-Time ERCOT Contingency Reserve Service Imbalance Amount for the QSE - </w:t>
            </w:r>
            <w:r w:rsidRPr="0013396E">
              <w:t xml:space="preserve">The total payment or charge to QSE </w:t>
            </w:r>
            <w:r w:rsidRPr="0013396E">
              <w:rPr>
                <w:i/>
              </w:rPr>
              <w:t>q</w:t>
            </w:r>
            <w:r w:rsidRPr="0013396E">
              <w:t xml:space="preserve"> for the Real-Time ECRS imbalance for each 15-minute Settlement Interval.</w:t>
            </w:r>
          </w:p>
        </w:tc>
      </w:tr>
      <w:tr w:rsidR="00A12B52" w:rsidRPr="0013396E" w14:paraId="079D3363"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4BD375EE" w14:textId="77777777" w:rsidR="00A12B52" w:rsidRPr="0013396E" w:rsidRDefault="00A12B52" w:rsidP="0099759E">
            <w:pPr>
              <w:pStyle w:val="tablebody0"/>
            </w:pPr>
            <w:r w:rsidRPr="0013396E">
              <w:t xml:space="preserve">RTECROAMT </w:t>
            </w:r>
            <w:r w:rsidRPr="0013396E">
              <w:rPr>
                <w:i/>
                <w:vertAlign w:val="subscript"/>
              </w:rPr>
              <w:t>q</w:t>
            </w:r>
          </w:p>
        </w:tc>
        <w:tc>
          <w:tcPr>
            <w:tcW w:w="639" w:type="pct"/>
            <w:tcBorders>
              <w:top w:val="single" w:sz="4" w:space="0" w:color="auto"/>
              <w:left w:val="single" w:sz="4" w:space="0" w:color="auto"/>
              <w:bottom w:val="single" w:sz="4" w:space="0" w:color="auto"/>
              <w:right w:val="single" w:sz="4" w:space="0" w:color="auto"/>
            </w:tcBorders>
            <w:hideMark/>
          </w:tcPr>
          <w:p w14:paraId="0A600C1F"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21BDC0E1" w14:textId="77777777" w:rsidR="00A12B52" w:rsidRPr="0013396E" w:rsidRDefault="00A12B52" w:rsidP="0099759E">
            <w:pPr>
              <w:pStyle w:val="tablebody0"/>
              <w:rPr>
                <w:i/>
              </w:rPr>
            </w:pPr>
            <w:r w:rsidRPr="0013396E">
              <w:rPr>
                <w:i/>
              </w:rPr>
              <w:t xml:space="preserve">Real-Time ERCOT Contingency Reserve Service Only Amount for the QSE— </w:t>
            </w:r>
            <w:r w:rsidRPr="0013396E">
              <w:t xml:space="preserve">The total charge to QSE </w:t>
            </w:r>
            <w:r w:rsidRPr="0013396E">
              <w:rPr>
                <w:i/>
              </w:rPr>
              <w:t>q</w:t>
            </w:r>
            <w:r w:rsidRPr="0013396E">
              <w:t xml:space="preserve"> in Real-Time for ECRS only awards for each 15-minute Settlement Interval.</w:t>
            </w:r>
          </w:p>
        </w:tc>
      </w:tr>
      <w:tr w:rsidR="00A12B52" w:rsidRPr="0013396E" w14:paraId="10E36AD3"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34C9008F" w14:textId="77777777" w:rsidR="00A12B52" w:rsidRPr="0013396E" w:rsidRDefault="00A12B52" w:rsidP="0099759E">
            <w:pPr>
              <w:pStyle w:val="tablebody0"/>
            </w:pPr>
            <w:r w:rsidRPr="0013396E">
              <w:t>RTECRIMBAMTTOT</w:t>
            </w:r>
          </w:p>
        </w:tc>
        <w:tc>
          <w:tcPr>
            <w:tcW w:w="639" w:type="pct"/>
            <w:tcBorders>
              <w:top w:val="single" w:sz="4" w:space="0" w:color="auto"/>
              <w:left w:val="single" w:sz="4" w:space="0" w:color="auto"/>
              <w:bottom w:val="single" w:sz="4" w:space="0" w:color="auto"/>
              <w:right w:val="single" w:sz="4" w:space="0" w:color="auto"/>
            </w:tcBorders>
            <w:hideMark/>
          </w:tcPr>
          <w:p w14:paraId="1E272C24"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5FD531C6" w14:textId="77777777" w:rsidR="00A12B52" w:rsidRPr="0013396E" w:rsidRDefault="00A12B52" w:rsidP="0099759E">
            <w:pPr>
              <w:pStyle w:val="tablebody0"/>
              <w:rPr>
                <w:i/>
              </w:rPr>
            </w:pPr>
            <w:r w:rsidRPr="0013396E">
              <w:rPr>
                <w:i/>
              </w:rPr>
              <w:t xml:space="preserve">Real-Time ERCOT Contingency Reserve Service Imbalance Market Total Amount - </w:t>
            </w:r>
            <w:r w:rsidRPr="0013396E">
              <w:t>The total payment or charge to all QSEs for the Real-Time ECRS imbalance for each 15-minute Settlement Interval.</w:t>
            </w:r>
          </w:p>
        </w:tc>
      </w:tr>
      <w:tr w:rsidR="00A12B52" w:rsidRPr="0013396E" w14:paraId="630BF1B8"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7F85D7B9" w14:textId="77777777" w:rsidR="00A12B52" w:rsidRPr="0013396E" w:rsidRDefault="00A12B52" w:rsidP="0099759E">
            <w:pPr>
              <w:pStyle w:val="tablebody0"/>
            </w:pPr>
            <w:r w:rsidRPr="0013396E">
              <w:t>RTECROAMTTOT</w:t>
            </w:r>
          </w:p>
        </w:tc>
        <w:tc>
          <w:tcPr>
            <w:tcW w:w="639" w:type="pct"/>
            <w:tcBorders>
              <w:top w:val="single" w:sz="4" w:space="0" w:color="auto"/>
              <w:left w:val="single" w:sz="4" w:space="0" w:color="auto"/>
              <w:bottom w:val="single" w:sz="4" w:space="0" w:color="auto"/>
              <w:right w:val="single" w:sz="4" w:space="0" w:color="auto"/>
            </w:tcBorders>
            <w:hideMark/>
          </w:tcPr>
          <w:p w14:paraId="4CB1C174"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5A5752AF" w14:textId="77777777" w:rsidR="00A12B52" w:rsidRPr="0013396E" w:rsidRDefault="00A12B52" w:rsidP="0099759E">
            <w:pPr>
              <w:pStyle w:val="tablebody0"/>
              <w:rPr>
                <w:i/>
              </w:rPr>
            </w:pPr>
            <w:r w:rsidRPr="0013396E">
              <w:rPr>
                <w:i/>
              </w:rPr>
              <w:t xml:space="preserve">Real-Time ERCOT Contingency Reserve Service Only Market Total Amount - </w:t>
            </w:r>
            <w:r w:rsidRPr="0013396E">
              <w:t>The total charge to all QSEs in Real-Time for ECRS only awards for each 15-minute Settlement Interval.</w:t>
            </w:r>
          </w:p>
        </w:tc>
      </w:tr>
      <w:tr w:rsidR="00A12B52" w:rsidRPr="0013396E" w14:paraId="199DB53D"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5C44FA22" w14:textId="77777777" w:rsidR="00A12B52" w:rsidRPr="0013396E" w:rsidRDefault="00A12B52" w:rsidP="0099759E">
            <w:pPr>
              <w:pStyle w:val="tablebody0"/>
            </w:pPr>
            <w:r w:rsidRPr="0013396E">
              <w:t xml:space="preserve">RTECRTOAMT </w:t>
            </w:r>
            <w:r w:rsidRPr="0013396E">
              <w:rPr>
                <w:i/>
                <w:vertAlign w:val="subscript"/>
              </w:rPr>
              <w:t>q</w:t>
            </w:r>
          </w:p>
        </w:tc>
        <w:tc>
          <w:tcPr>
            <w:tcW w:w="639" w:type="pct"/>
            <w:tcBorders>
              <w:top w:val="single" w:sz="4" w:space="0" w:color="auto"/>
              <w:left w:val="single" w:sz="4" w:space="0" w:color="auto"/>
              <w:bottom w:val="single" w:sz="4" w:space="0" w:color="auto"/>
              <w:right w:val="single" w:sz="4" w:space="0" w:color="auto"/>
            </w:tcBorders>
            <w:hideMark/>
          </w:tcPr>
          <w:p w14:paraId="5D3CBF78"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7E8A459E" w14:textId="77777777" w:rsidR="00A12B52" w:rsidRPr="0013396E" w:rsidRDefault="00A12B52" w:rsidP="0099759E">
            <w:pPr>
              <w:pStyle w:val="tablebody0"/>
              <w:rPr>
                <w:i/>
              </w:rPr>
            </w:pPr>
            <w:r w:rsidRPr="0013396E">
              <w:rPr>
                <w:i/>
              </w:rPr>
              <w:t>Real-Time ERCOT Contingency Reserve Service Trade Overage Amount for the QSE</w:t>
            </w:r>
            <w:r w:rsidRPr="0013396E">
              <w:t xml:space="preserve">— The total charge to QSE </w:t>
            </w:r>
            <w:r w:rsidRPr="0013396E">
              <w:rPr>
                <w:i/>
              </w:rPr>
              <w:t>q</w:t>
            </w:r>
            <w:r w:rsidRPr="0013396E">
              <w:t xml:space="preserve"> in Real-Time for ECRS trade overages for each 15-minute Settlement Interval.</w:t>
            </w:r>
          </w:p>
        </w:tc>
      </w:tr>
      <w:tr w:rsidR="00A12B52" w:rsidRPr="0013396E" w14:paraId="5C1C57B4"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523E9BEF" w14:textId="77777777" w:rsidR="00A12B52" w:rsidRPr="0013396E" w:rsidRDefault="00A12B52" w:rsidP="0099759E">
            <w:pPr>
              <w:pStyle w:val="tablebody0"/>
            </w:pPr>
            <w:r w:rsidRPr="0013396E">
              <w:t>RTECROAMTTOT</w:t>
            </w:r>
          </w:p>
        </w:tc>
        <w:tc>
          <w:tcPr>
            <w:tcW w:w="639" w:type="pct"/>
            <w:tcBorders>
              <w:top w:val="single" w:sz="4" w:space="0" w:color="auto"/>
              <w:left w:val="single" w:sz="4" w:space="0" w:color="auto"/>
              <w:bottom w:val="single" w:sz="4" w:space="0" w:color="auto"/>
              <w:right w:val="single" w:sz="4" w:space="0" w:color="auto"/>
            </w:tcBorders>
            <w:hideMark/>
          </w:tcPr>
          <w:p w14:paraId="46F0F132" w14:textId="77777777" w:rsidR="00A12B52" w:rsidRPr="0013396E" w:rsidRDefault="00A12B52" w:rsidP="0099759E">
            <w:pPr>
              <w:pStyle w:val="tablebody0"/>
            </w:pPr>
            <w:r w:rsidRPr="0013396E">
              <w:t>$</w:t>
            </w:r>
          </w:p>
        </w:tc>
        <w:tc>
          <w:tcPr>
            <w:tcW w:w="3140" w:type="pct"/>
            <w:tcBorders>
              <w:top w:val="single" w:sz="4" w:space="0" w:color="auto"/>
              <w:left w:val="single" w:sz="4" w:space="0" w:color="auto"/>
              <w:bottom w:val="single" w:sz="4" w:space="0" w:color="auto"/>
              <w:right w:val="single" w:sz="4" w:space="0" w:color="auto"/>
            </w:tcBorders>
            <w:hideMark/>
          </w:tcPr>
          <w:p w14:paraId="2461EF0C" w14:textId="77777777" w:rsidR="00A12B52" w:rsidRPr="0013396E" w:rsidRDefault="00A12B52" w:rsidP="0099759E">
            <w:pPr>
              <w:pStyle w:val="tablebody0"/>
              <w:rPr>
                <w:i/>
              </w:rPr>
            </w:pPr>
            <w:r w:rsidRPr="0013396E">
              <w:rPr>
                <w:i/>
              </w:rPr>
              <w:t xml:space="preserve">Real-Time ERCOT Contingency Reserve Service Trade Overage Total Amount </w:t>
            </w:r>
            <w:r w:rsidRPr="0013396E">
              <w:t>— The total charge to all QSEs for Real-Time ECRS trade overages for each 15-minute Settlement Interval.</w:t>
            </w:r>
          </w:p>
        </w:tc>
      </w:tr>
      <w:tr w:rsidR="00A12B52" w:rsidRPr="0013396E" w14:paraId="3D5EB865"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465D8502" w14:textId="77777777" w:rsidR="00A12B52" w:rsidRPr="0013396E" w:rsidRDefault="00A12B52" w:rsidP="0099759E">
            <w:pPr>
              <w:pStyle w:val="tablebody0"/>
              <w:rPr>
                <w:b/>
              </w:rPr>
            </w:pPr>
            <w:r w:rsidRPr="0013396E">
              <w:t>LRS</w:t>
            </w:r>
            <w:r w:rsidRPr="0013396E">
              <w:rPr>
                <w:vertAlign w:val="subscript"/>
              </w:rPr>
              <w:t xml:space="preserve"> </w:t>
            </w:r>
            <w:r w:rsidRPr="0013396E">
              <w:rPr>
                <w:i/>
                <w:vertAlign w:val="subscript"/>
              </w:rPr>
              <w:t>q</w:t>
            </w:r>
          </w:p>
        </w:tc>
        <w:tc>
          <w:tcPr>
            <w:tcW w:w="639" w:type="pct"/>
            <w:tcBorders>
              <w:top w:val="single" w:sz="4" w:space="0" w:color="auto"/>
              <w:left w:val="single" w:sz="4" w:space="0" w:color="auto"/>
              <w:bottom w:val="single" w:sz="4" w:space="0" w:color="auto"/>
              <w:right w:val="single" w:sz="4" w:space="0" w:color="auto"/>
            </w:tcBorders>
            <w:hideMark/>
          </w:tcPr>
          <w:p w14:paraId="0CC477CB" w14:textId="77777777" w:rsidR="00A12B52" w:rsidRPr="0013396E" w:rsidRDefault="00A12B52" w:rsidP="0099759E">
            <w:pPr>
              <w:pStyle w:val="tablebody0"/>
            </w:pPr>
            <w:r w:rsidRPr="0013396E">
              <w:t>none</w:t>
            </w:r>
          </w:p>
        </w:tc>
        <w:tc>
          <w:tcPr>
            <w:tcW w:w="3140" w:type="pct"/>
            <w:tcBorders>
              <w:top w:val="single" w:sz="4" w:space="0" w:color="auto"/>
              <w:left w:val="single" w:sz="4" w:space="0" w:color="auto"/>
              <w:bottom w:val="single" w:sz="4" w:space="0" w:color="auto"/>
              <w:right w:val="single" w:sz="4" w:space="0" w:color="auto"/>
            </w:tcBorders>
            <w:hideMark/>
          </w:tcPr>
          <w:p w14:paraId="683466F5" w14:textId="77777777" w:rsidR="00A12B52" w:rsidRPr="0013396E" w:rsidRDefault="00A12B52" w:rsidP="0099759E">
            <w:pPr>
              <w:pStyle w:val="tablebody0"/>
              <w:rPr>
                <w:i/>
              </w:rPr>
            </w:pPr>
            <w:r w:rsidRPr="0013396E">
              <w:rPr>
                <w:i/>
              </w:rPr>
              <w:t>Load Ratio Share per QSE</w:t>
            </w:r>
            <w:r w:rsidRPr="0013396E">
              <w:t xml:space="preserve">—The LRS as defined in Section 6.6.2.2 for QSE </w:t>
            </w:r>
            <w:r w:rsidRPr="0013396E">
              <w:rPr>
                <w:i/>
              </w:rPr>
              <w:t>q</w:t>
            </w:r>
            <w:r w:rsidRPr="0013396E">
              <w:t xml:space="preserve"> for the 15-minute Settlement Interval.</w:t>
            </w:r>
          </w:p>
        </w:tc>
      </w:tr>
      <w:tr w:rsidR="00A12B52" w:rsidRPr="0013396E" w14:paraId="27C185B0" w14:textId="77777777" w:rsidTr="00B6058C">
        <w:trPr>
          <w:cantSplit/>
        </w:trPr>
        <w:tc>
          <w:tcPr>
            <w:tcW w:w="1221" w:type="pct"/>
            <w:tcBorders>
              <w:top w:val="single" w:sz="4" w:space="0" w:color="auto"/>
              <w:left w:val="single" w:sz="4" w:space="0" w:color="auto"/>
              <w:bottom w:val="single" w:sz="4" w:space="0" w:color="auto"/>
              <w:right w:val="single" w:sz="4" w:space="0" w:color="auto"/>
            </w:tcBorders>
            <w:hideMark/>
          </w:tcPr>
          <w:p w14:paraId="75D4CA0A" w14:textId="77777777" w:rsidR="00A12B52" w:rsidRPr="0013396E" w:rsidRDefault="00A12B52" w:rsidP="0099759E">
            <w:pPr>
              <w:pStyle w:val="tablebody0"/>
            </w:pPr>
            <w:r w:rsidRPr="0013396E">
              <w:rPr>
                <w:i/>
              </w:rPr>
              <w:t>q</w:t>
            </w:r>
          </w:p>
        </w:tc>
        <w:tc>
          <w:tcPr>
            <w:tcW w:w="639" w:type="pct"/>
            <w:tcBorders>
              <w:top w:val="single" w:sz="4" w:space="0" w:color="auto"/>
              <w:left w:val="single" w:sz="4" w:space="0" w:color="auto"/>
              <w:bottom w:val="single" w:sz="4" w:space="0" w:color="auto"/>
              <w:right w:val="single" w:sz="4" w:space="0" w:color="auto"/>
            </w:tcBorders>
            <w:hideMark/>
          </w:tcPr>
          <w:p w14:paraId="7F57C92E" w14:textId="77777777" w:rsidR="00A12B52" w:rsidRPr="0013396E" w:rsidRDefault="00A12B52" w:rsidP="0099759E">
            <w:pPr>
              <w:pStyle w:val="tablebody0"/>
            </w:pPr>
            <w:r w:rsidRPr="0013396E">
              <w:t>none</w:t>
            </w:r>
          </w:p>
        </w:tc>
        <w:tc>
          <w:tcPr>
            <w:tcW w:w="3140" w:type="pct"/>
            <w:tcBorders>
              <w:top w:val="single" w:sz="4" w:space="0" w:color="auto"/>
              <w:left w:val="single" w:sz="4" w:space="0" w:color="auto"/>
              <w:bottom w:val="single" w:sz="4" w:space="0" w:color="auto"/>
              <w:right w:val="single" w:sz="4" w:space="0" w:color="auto"/>
            </w:tcBorders>
            <w:hideMark/>
          </w:tcPr>
          <w:p w14:paraId="65CDEB1C" w14:textId="77777777" w:rsidR="00A12B52" w:rsidRPr="0013396E" w:rsidRDefault="00A12B52" w:rsidP="0099759E">
            <w:pPr>
              <w:pStyle w:val="tablebody0"/>
              <w:rPr>
                <w:i/>
              </w:rPr>
            </w:pPr>
            <w:r w:rsidRPr="0013396E">
              <w:t>A QSE.</w:t>
            </w:r>
          </w:p>
        </w:tc>
      </w:tr>
    </w:tbl>
    <w:p w14:paraId="79D6E93B" w14:textId="77777777" w:rsidR="00B6058C" w:rsidRDefault="00B6058C"/>
    <w:tbl>
      <w:tblPr>
        <w:tblW w:w="5001"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2"/>
      </w:tblGrid>
      <w:tr w:rsidR="00B6058C" w:rsidRPr="0013396E" w14:paraId="2A37CA3B" w14:textId="77777777" w:rsidTr="00B6058C">
        <w:trPr>
          <w:trHeight w:val="206"/>
        </w:trPr>
        <w:tc>
          <w:tcPr>
            <w:tcW w:w="5000" w:type="pct"/>
            <w:shd w:val="pct12" w:color="auto" w:fill="auto"/>
          </w:tcP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14:paraId="4C3D57C3" w14:textId="72B4EFF2" w:rsidR="00B6058C" w:rsidRPr="0013396E" w:rsidRDefault="00B6058C" w:rsidP="00A86863">
            <w:pPr>
              <w:spacing w:before="120" w:after="240"/>
              <w:rPr>
                <w:b/>
                <w:i/>
                <w:iCs/>
                <w:szCs w:val="24"/>
              </w:rPr>
            </w:pPr>
            <w:r w:rsidRPr="0013396E">
              <w:rPr>
                <w:b/>
                <w:i/>
                <w:iCs/>
                <w:szCs w:val="24"/>
              </w:rPr>
              <w:t>[NPRR1</w:t>
            </w:r>
            <w:r>
              <w:rPr>
                <w:b/>
                <w:i/>
                <w:iCs/>
                <w:szCs w:val="24"/>
              </w:rPr>
              <w:t>309</w:t>
            </w:r>
            <w:r w:rsidRPr="0013396E">
              <w:rPr>
                <w:b/>
                <w:i/>
                <w:iCs/>
                <w:szCs w:val="24"/>
              </w:rPr>
              <w:t xml:space="preserve">: </w:t>
            </w:r>
            <w:r>
              <w:rPr>
                <w:b/>
                <w:i/>
                <w:iCs/>
                <w:szCs w:val="24"/>
              </w:rPr>
              <w:t xml:space="preserve"> Insert paragraph (f) below</w:t>
            </w:r>
            <w:r w:rsidRPr="0013396E">
              <w:rPr>
                <w:b/>
                <w:i/>
                <w:iCs/>
                <w:szCs w:val="24"/>
              </w:rPr>
              <w:t xml:space="preserve"> upon system implementation:]</w:t>
            </w:r>
          </w:p>
          <w:p w14:paraId="7055E2E5" w14:textId="609303F9" w:rsidR="00B6058C" w:rsidRPr="00B6058C" w:rsidRDefault="00B6058C" w:rsidP="00B6058C">
            <w:pPr>
              <w:spacing w:before="240" w:after="240"/>
              <w:ind w:left="1440" w:hanging="720"/>
              <w:rPr>
                <w:rFonts w:eastAsia="SimSun"/>
                <w:szCs w:val="24"/>
              </w:rPr>
            </w:pPr>
            <w:r w:rsidRPr="00B6058C">
              <w:rPr>
                <w:rFonts w:eastAsia="SimSun"/>
                <w:szCs w:val="24"/>
              </w:rPr>
              <w:lastRenderedPageBreak/>
              <w:t>(f)         For DRRS:</w:t>
            </w:r>
          </w:p>
          <w:p w14:paraId="29EE53B8" w14:textId="77777777" w:rsidR="00B6058C" w:rsidRPr="00B6058C" w:rsidRDefault="00B6058C" w:rsidP="00B6058C">
            <w:pPr>
              <w:ind w:left="1440" w:hanging="720"/>
              <w:rPr>
                <w:rFonts w:eastAsia="SimSun"/>
                <w:szCs w:val="24"/>
              </w:rPr>
            </w:pPr>
            <w:r w:rsidRPr="00B6058C">
              <w:rPr>
                <w:rFonts w:eastAsia="SimSun"/>
                <w:szCs w:val="24"/>
              </w:rPr>
              <w:t xml:space="preserve">LARTDRRAMT </w:t>
            </w:r>
            <w:r w:rsidRPr="00B6058C">
              <w:rPr>
                <w:rFonts w:eastAsia="SimSun"/>
                <w:i/>
                <w:szCs w:val="24"/>
                <w:vertAlign w:val="subscript"/>
              </w:rPr>
              <w:t>q</w:t>
            </w:r>
            <w:r w:rsidRPr="00B6058C">
              <w:rPr>
                <w:rFonts w:eastAsia="SimSun"/>
                <w:szCs w:val="24"/>
              </w:rPr>
              <w:t xml:space="preserve"> = (-1) * (RTDRRIMBAMTTOT + RTDRROAMTTOT + </w:t>
            </w:r>
          </w:p>
          <w:p w14:paraId="370E7C4E" w14:textId="77777777" w:rsidR="00B6058C" w:rsidRPr="00B6058C" w:rsidRDefault="00B6058C" w:rsidP="00B6058C">
            <w:pPr>
              <w:spacing w:after="240"/>
              <w:ind w:left="1440" w:hanging="720"/>
              <w:rPr>
                <w:rFonts w:eastAsia="SimSun"/>
                <w:szCs w:val="24"/>
              </w:rPr>
            </w:pPr>
            <w:r w:rsidRPr="00B6058C">
              <w:rPr>
                <w:rFonts w:eastAsia="SimSun"/>
                <w:szCs w:val="24"/>
              </w:rPr>
              <w:t xml:space="preserve"> </w:t>
            </w:r>
            <w:r w:rsidRPr="00B6058C">
              <w:rPr>
                <w:rFonts w:eastAsia="SimSun"/>
                <w:szCs w:val="24"/>
              </w:rPr>
              <w:tab/>
            </w:r>
            <w:r w:rsidRPr="00B6058C">
              <w:rPr>
                <w:rFonts w:eastAsia="SimSun"/>
                <w:szCs w:val="24"/>
              </w:rPr>
              <w:tab/>
            </w:r>
            <w:r w:rsidRPr="00B6058C">
              <w:rPr>
                <w:rFonts w:eastAsia="SimSun"/>
                <w:szCs w:val="24"/>
              </w:rPr>
              <w:tab/>
              <w:t xml:space="preserve">RTDRRTOAMTTOT) * LRS </w:t>
            </w:r>
            <w:r w:rsidRPr="00B6058C">
              <w:rPr>
                <w:rFonts w:eastAsia="SimSun"/>
                <w:i/>
                <w:szCs w:val="24"/>
                <w:vertAlign w:val="subscript"/>
              </w:rPr>
              <w:t>q</w:t>
            </w:r>
          </w:p>
          <w:p w14:paraId="41C39A99" w14:textId="77777777" w:rsidR="00B6058C" w:rsidRPr="00B6058C" w:rsidRDefault="00B6058C" w:rsidP="00B6058C">
            <w:pPr>
              <w:spacing w:after="240"/>
              <w:ind w:left="1440" w:hanging="720"/>
              <w:rPr>
                <w:rFonts w:eastAsia="SimSun"/>
                <w:szCs w:val="24"/>
              </w:rPr>
            </w:pPr>
            <w:r w:rsidRPr="00B6058C">
              <w:rPr>
                <w:rFonts w:eastAsia="SimSun"/>
                <w:szCs w:val="24"/>
              </w:rPr>
              <w:t>Where:</w:t>
            </w:r>
          </w:p>
          <w:p w14:paraId="080EA665" w14:textId="77777777" w:rsidR="00B6058C" w:rsidRPr="00B6058C" w:rsidRDefault="00B6058C" w:rsidP="00B6058C">
            <w:pPr>
              <w:spacing w:after="240"/>
              <w:ind w:left="1440" w:hanging="720"/>
              <w:rPr>
                <w:rFonts w:eastAsia="SimSun"/>
                <w:szCs w:val="24"/>
              </w:rPr>
            </w:pPr>
            <w:r w:rsidRPr="00B6058C">
              <w:rPr>
                <w:rFonts w:eastAsia="SimSun"/>
                <w:szCs w:val="24"/>
              </w:rPr>
              <w:t xml:space="preserve">RTDRRIMBAMTTOT = </w:t>
            </w:r>
            <w:r w:rsidRPr="00B6058C">
              <w:rPr>
                <w:rFonts w:eastAsia="SimSun"/>
                <w:noProof/>
                <w:szCs w:val="24"/>
              </w:rPr>
              <w:drawing>
                <wp:inline distT="0" distB="0" distL="0" distR="0" wp14:anchorId="1727D0A2" wp14:editId="6D7B96D6">
                  <wp:extent cx="146685" cy="293370"/>
                  <wp:effectExtent l="0" t="0" r="5715" b="0"/>
                  <wp:docPr id="841279004" name="Picture 841279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095885"/>
                          <pic:cNvPicPr/>
                        </pic:nvPicPr>
                        <pic:blipFill>
                          <a:blip r:embed="rId380">
                            <a:extLst>
                              <a:ext uri="{28A0092B-C50C-407E-A947-70E740481C1C}">
                                <a14:useLocalDpi xmlns:a14="http://schemas.microsoft.com/office/drawing/2010/main" val="0"/>
                              </a:ext>
                            </a:extLst>
                          </a:blip>
                          <a:stretch>
                            <a:fillRect/>
                          </a:stretch>
                        </pic:blipFill>
                        <pic:spPr>
                          <a:xfrm>
                            <a:off x="0" y="0"/>
                            <a:ext cx="146685" cy="293370"/>
                          </a:xfrm>
                          <a:prstGeom prst="rect">
                            <a:avLst/>
                          </a:prstGeom>
                        </pic:spPr>
                      </pic:pic>
                    </a:graphicData>
                  </a:graphic>
                </wp:inline>
              </w:drawing>
            </w:r>
            <w:r w:rsidRPr="00B6058C">
              <w:rPr>
                <w:rFonts w:eastAsia="SimSun"/>
                <w:szCs w:val="24"/>
              </w:rPr>
              <w:t xml:space="preserve"> (RTDRRIMBAMT </w:t>
            </w:r>
            <w:r w:rsidRPr="00B6058C">
              <w:rPr>
                <w:rFonts w:eastAsia="SimSun"/>
                <w:i/>
                <w:iCs/>
                <w:szCs w:val="24"/>
                <w:vertAlign w:val="subscript"/>
              </w:rPr>
              <w:t>q</w:t>
            </w:r>
            <w:r w:rsidRPr="00B6058C">
              <w:rPr>
                <w:rFonts w:eastAsia="SimSun"/>
                <w:szCs w:val="24"/>
              </w:rPr>
              <w:t>)</w:t>
            </w:r>
          </w:p>
          <w:p w14:paraId="351216C2" w14:textId="77777777" w:rsidR="00B6058C" w:rsidRPr="00B6058C" w:rsidRDefault="00B6058C" w:rsidP="00B6058C">
            <w:pPr>
              <w:spacing w:after="240"/>
              <w:ind w:left="1440" w:hanging="720"/>
              <w:rPr>
                <w:rFonts w:eastAsia="SimSun"/>
                <w:szCs w:val="24"/>
              </w:rPr>
            </w:pPr>
            <w:r w:rsidRPr="00B6058C">
              <w:rPr>
                <w:rFonts w:eastAsia="SimSun"/>
                <w:szCs w:val="24"/>
              </w:rPr>
              <w:t xml:space="preserve">RTDRROAMTTOT = </w:t>
            </w:r>
            <w:r w:rsidRPr="00B6058C">
              <w:rPr>
                <w:rFonts w:eastAsia="SimSun"/>
                <w:noProof/>
                <w:szCs w:val="24"/>
              </w:rPr>
              <w:drawing>
                <wp:inline distT="0" distB="0" distL="0" distR="0" wp14:anchorId="39569497" wp14:editId="498F40A4">
                  <wp:extent cx="146685" cy="293370"/>
                  <wp:effectExtent l="0" t="0" r="5715" b="0"/>
                  <wp:docPr id="352513003" name="Picture 3525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946876"/>
                          <pic:cNvPicPr/>
                        </pic:nvPicPr>
                        <pic:blipFill>
                          <a:blip r:embed="rId380">
                            <a:extLst>
                              <a:ext uri="{28A0092B-C50C-407E-A947-70E740481C1C}">
                                <a14:useLocalDpi xmlns:a14="http://schemas.microsoft.com/office/drawing/2010/main" val="0"/>
                              </a:ext>
                            </a:extLst>
                          </a:blip>
                          <a:stretch>
                            <a:fillRect/>
                          </a:stretch>
                        </pic:blipFill>
                        <pic:spPr>
                          <a:xfrm>
                            <a:off x="0" y="0"/>
                            <a:ext cx="146685" cy="293370"/>
                          </a:xfrm>
                          <a:prstGeom prst="rect">
                            <a:avLst/>
                          </a:prstGeom>
                        </pic:spPr>
                      </pic:pic>
                    </a:graphicData>
                  </a:graphic>
                </wp:inline>
              </w:drawing>
            </w:r>
            <w:r w:rsidRPr="00B6058C">
              <w:rPr>
                <w:rFonts w:eastAsia="SimSun"/>
                <w:b/>
                <w:bCs/>
                <w:szCs w:val="24"/>
              </w:rPr>
              <w:t xml:space="preserve"> </w:t>
            </w:r>
            <w:r w:rsidRPr="00B6058C">
              <w:rPr>
                <w:rFonts w:eastAsia="SimSun"/>
                <w:szCs w:val="24"/>
              </w:rPr>
              <w:t xml:space="preserve">(RTDRROAMT </w:t>
            </w:r>
            <w:r w:rsidRPr="00B6058C">
              <w:rPr>
                <w:rFonts w:eastAsia="SimSun"/>
                <w:i/>
                <w:iCs/>
                <w:szCs w:val="24"/>
                <w:vertAlign w:val="subscript"/>
              </w:rPr>
              <w:t>q</w:t>
            </w:r>
            <w:r w:rsidRPr="00B6058C">
              <w:rPr>
                <w:rFonts w:eastAsia="SimSun"/>
                <w:szCs w:val="24"/>
              </w:rPr>
              <w:t>)</w:t>
            </w:r>
          </w:p>
          <w:p w14:paraId="11FFCE72" w14:textId="77777777" w:rsidR="00B6058C" w:rsidRPr="00B6058C" w:rsidRDefault="00B6058C" w:rsidP="00B6058C">
            <w:pPr>
              <w:spacing w:after="240"/>
              <w:ind w:left="1440" w:hanging="720"/>
              <w:rPr>
                <w:rFonts w:eastAsia="SimSun"/>
                <w:szCs w:val="24"/>
              </w:rPr>
            </w:pPr>
            <w:r w:rsidRPr="00B6058C">
              <w:rPr>
                <w:rFonts w:eastAsia="SimSun"/>
                <w:szCs w:val="24"/>
              </w:rPr>
              <w:t xml:space="preserve">RTDRRTOAMTTOT = </w:t>
            </w:r>
            <w:r w:rsidRPr="00B6058C">
              <w:rPr>
                <w:rFonts w:eastAsia="SimSun"/>
                <w:noProof/>
                <w:szCs w:val="24"/>
              </w:rPr>
              <w:drawing>
                <wp:inline distT="0" distB="0" distL="0" distR="0" wp14:anchorId="17AFC0FA" wp14:editId="4C8AF1CA">
                  <wp:extent cx="146685" cy="293370"/>
                  <wp:effectExtent l="0" t="0" r="5715" b="0"/>
                  <wp:docPr id="1894330215" name="Picture 189433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22793"/>
                          <pic:cNvPicPr/>
                        </pic:nvPicPr>
                        <pic:blipFill>
                          <a:blip r:embed="rId380">
                            <a:extLst>
                              <a:ext uri="{28A0092B-C50C-407E-A947-70E740481C1C}">
                                <a14:useLocalDpi xmlns:a14="http://schemas.microsoft.com/office/drawing/2010/main" val="0"/>
                              </a:ext>
                            </a:extLst>
                          </a:blip>
                          <a:stretch>
                            <a:fillRect/>
                          </a:stretch>
                        </pic:blipFill>
                        <pic:spPr>
                          <a:xfrm>
                            <a:off x="0" y="0"/>
                            <a:ext cx="146685" cy="293370"/>
                          </a:xfrm>
                          <a:prstGeom prst="rect">
                            <a:avLst/>
                          </a:prstGeom>
                        </pic:spPr>
                      </pic:pic>
                    </a:graphicData>
                  </a:graphic>
                </wp:inline>
              </w:drawing>
            </w:r>
            <w:r w:rsidRPr="00B6058C">
              <w:rPr>
                <w:rFonts w:eastAsia="SimSun"/>
                <w:b/>
                <w:bCs/>
                <w:szCs w:val="24"/>
              </w:rPr>
              <w:t xml:space="preserve"> </w:t>
            </w:r>
            <w:r w:rsidRPr="00B6058C">
              <w:rPr>
                <w:rFonts w:eastAsia="SimSun"/>
                <w:szCs w:val="24"/>
              </w:rPr>
              <w:t xml:space="preserve">(RTDRRTOAMT </w:t>
            </w:r>
            <w:r w:rsidRPr="00B6058C">
              <w:rPr>
                <w:rFonts w:eastAsia="SimSun"/>
                <w:i/>
                <w:iCs/>
                <w:szCs w:val="24"/>
                <w:vertAlign w:val="subscript"/>
              </w:rPr>
              <w:t>q</w:t>
            </w:r>
            <w:r w:rsidRPr="00B6058C">
              <w:rPr>
                <w:rFonts w:eastAsia="SimSun"/>
                <w:szCs w:val="24"/>
              </w:rPr>
              <w:t>)</w:t>
            </w:r>
          </w:p>
          <w:p w14:paraId="1D9FA736" w14:textId="77777777" w:rsidR="00B6058C" w:rsidRPr="00B6058C" w:rsidRDefault="00B6058C" w:rsidP="00B6058C">
            <w:pPr>
              <w:rPr>
                <w:rFonts w:eastAsia="SimSun"/>
                <w:szCs w:val="24"/>
              </w:rPr>
            </w:pPr>
            <w:r w:rsidRPr="00B6058C">
              <w:rPr>
                <w:rFonts w:eastAsia="SimSun"/>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225"/>
              <w:gridCol w:w="1163"/>
              <w:gridCol w:w="5724"/>
            </w:tblGrid>
            <w:tr w:rsidR="00B6058C" w:rsidRPr="00B6058C" w14:paraId="16D024CD" w14:textId="77777777" w:rsidTr="00A86863">
              <w:trPr>
                <w:cantSplit/>
                <w:tblHeader/>
              </w:trPr>
              <w:tc>
                <w:tcPr>
                  <w:tcW w:w="1221" w:type="pct"/>
                  <w:tcBorders>
                    <w:top w:val="single" w:sz="4" w:space="0" w:color="auto"/>
                    <w:left w:val="single" w:sz="4" w:space="0" w:color="auto"/>
                    <w:bottom w:val="single" w:sz="4" w:space="0" w:color="auto"/>
                    <w:right w:val="single" w:sz="4" w:space="0" w:color="auto"/>
                  </w:tcBorders>
                  <w:hideMark/>
                </w:tcPr>
                <w:p w14:paraId="10DE7426" w14:textId="77777777" w:rsidR="00B6058C" w:rsidRPr="00B6058C" w:rsidRDefault="00B6058C" w:rsidP="00B6058C">
                  <w:pPr>
                    <w:spacing w:after="240"/>
                    <w:rPr>
                      <w:rFonts w:eastAsia="SimSun"/>
                      <w:b/>
                      <w:iCs/>
                      <w:sz w:val="20"/>
                    </w:rPr>
                  </w:pPr>
                  <w:r w:rsidRPr="00B6058C">
                    <w:rPr>
                      <w:rFonts w:eastAsia="SimSun"/>
                      <w:sz w:val="20"/>
                    </w:rPr>
                    <w:t>Variable</w:t>
                  </w:r>
                </w:p>
              </w:tc>
              <w:tc>
                <w:tcPr>
                  <w:tcW w:w="638" w:type="pct"/>
                  <w:tcBorders>
                    <w:top w:val="single" w:sz="4" w:space="0" w:color="auto"/>
                    <w:left w:val="single" w:sz="4" w:space="0" w:color="auto"/>
                    <w:bottom w:val="single" w:sz="4" w:space="0" w:color="auto"/>
                    <w:right w:val="single" w:sz="4" w:space="0" w:color="auto"/>
                  </w:tcBorders>
                  <w:hideMark/>
                </w:tcPr>
                <w:p w14:paraId="411A8BC1" w14:textId="77777777" w:rsidR="00B6058C" w:rsidRPr="00B6058C" w:rsidRDefault="00B6058C" w:rsidP="00B6058C">
                  <w:pPr>
                    <w:spacing w:after="240"/>
                    <w:rPr>
                      <w:rFonts w:eastAsia="SimSun"/>
                      <w:b/>
                      <w:iCs/>
                      <w:sz w:val="20"/>
                    </w:rPr>
                  </w:pPr>
                  <w:r w:rsidRPr="00B6058C">
                    <w:rPr>
                      <w:rFonts w:eastAsia="SimSun"/>
                      <w:b/>
                      <w:iCs/>
                      <w:sz w:val="20"/>
                    </w:rPr>
                    <w:t>Unit</w:t>
                  </w:r>
                </w:p>
              </w:tc>
              <w:tc>
                <w:tcPr>
                  <w:tcW w:w="3141" w:type="pct"/>
                  <w:tcBorders>
                    <w:top w:val="single" w:sz="4" w:space="0" w:color="auto"/>
                    <w:left w:val="single" w:sz="4" w:space="0" w:color="auto"/>
                    <w:bottom w:val="single" w:sz="4" w:space="0" w:color="auto"/>
                    <w:right w:val="single" w:sz="4" w:space="0" w:color="auto"/>
                  </w:tcBorders>
                  <w:hideMark/>
                </w:tcPr>
                <w:p w14:paraId="32703C90" w14:textId="77777777" w:rsidR="00B6058C" w:rsidRPr="00B6058C" w:rsidRDefault="00B6058C" w:rsidP="00B6058C">
                  <w:pPr>
                    <w:spacing w:after="240"/>
                    <w:rPr>
                      <w:rFonts w:eastAsia="SimSun"/>
                      <w:b/>
                      <w:iCs/>
                      <w:sz w:val="20"/>
                    </w:rPr>
                  </w:pPr>
                  <w:r w:rsidRPr="00B6058C">
                    <w:rPr>
                      <w:rFonts w:eastAsia="SimSun"/>
                      <w:b/>
                      <w:iCs/>
                      <w:sz w:val="20"/>
                    </w:rPr>
                    <w:t>Description</w:t>
                  </w:r>
                </w:p>
              </w:tc>
            </w:tr>
            <w:tr w:rsidR="00B6058C" w:rsidRPr="00B6058C" w14:paraId="2709B560"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4A2080B3" w14:textId="77777777" w:rsidR="00B6058C" w:rsidRPr="00B6058C" w:rsidRDefault="00B6058C" w:rsidP="00B6058C">
                  <w:pPr>
                    <w:spacing w:after="60"/>
                    <w:rPr>
                      <w:rFonts w:eastAsia="SimSun"/>
                      <w:sz w:val="20"/>
                    </w:rPr>
                  </w:pPr>
                  <w:r w:rsidRPr="00B6058C">
                    <w:rPr>
                      <w:rFonts w:eastAsia="SimSun"/>
                      <w:sz w:val="20"/>
                    </w:rPr>
                    <w:t xml:space="preserve">LARTDRRAMT </w:t>
                  </w:r>
                  <w:r w:rsidRPr="00B6058C">
                    <w:rPr>
                      <w:rFonts w:eastAsia="SimSun"/>
                      <w:i/>
                      <w:sz w:val="20"/>
                      <w:vertAlign w:val="subscript"/>
                    </w:rPr>
                    <w:t>q</w:t>
                  </w:r>
                </w:p>
              </w:tc>
              <w:tc>
                <w:tcPr>
                  <w:tcW w:w="638" w:type="pct"/>
                  <w:tcBorders>
                    <w:top w:val="single" w:sz="4" w:space="0" w:color="auto"/>
                    <w:left w:val="single" w:sz="4" w:space="0" w:color="auto"/>
                    <w:bottom w:val="single" w:sz="4" w:space="0" w:color="auto"/>
                    <w:right w:val="single" w:sz="4" w:space="0" w:color="auto"/>
                  </w:tcBorders>
                  <w:hideMark/>
                </w:tcPr>
                <w:p w14:paraId="5BF61DA8"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0BDC8C94" w14:textId="77777777" w:rsidR="00B6058C" w:rsidRPr="00B6058C" w:rsidRDefault="00B6058C" w:rsidP="00B6058C">
                  <w:pPr>
                    <w:spacing w:after="60"/>
                    <w:rPr>
                      <w:rFonts w:eastAsia="SimSun"/>
                      <w:i/>
                      <w:sz w:val="20"/>
                    </w:rPr>
                  </w:pPr>
                  <w:r w:rsidRPr="00B6058C">
                    <w:rPr>
                      <w:rFonts w:eastAsia="SimSun"/>
                      <w:i/>
                      <w:sz w:val="20"/>
                    </w:rPr>
                    <w:t xml:space="preserve">Load-Allocated Real-Time Dispatchable Reliability Reserve Service Amount for the QSE - </w:t>
                  </w:r>
                  <w:r w:rsidRPr="00B6058C">
                    <w:rPr>
                      <w:rFonts w:eastAsia="SimSun"/>
                      <w:sz w:val="20"/>
                    </w:rPr>
                    <w:t xml:space="preserve">The QSE </w:t>
                  </w:r>
                  <w:r w:rsidRPr="00B6058C">
                    <w:rPr>
                      <w:rFonts w:eastAsia="SimSun"/>
                      <w:i/>
                      <w:sz w:val="20"/>
                    </w:rPr>
                    <w:t>q</w:t>
                  </w:r>
                  <w:r w:rsidRPr="00B6058C">
                    <w:rPr>
                      <w:rFonts w:eastAsia="SimSun"/>
                      <w:sz w:val="20"/>
                    </w:rPr>
                    <w:t>’s share of the total Real-Time DRRS amount for the 15-minute Settlement Interval.</w:t>
                  </w:r>
                </w:p>
              </w:tc>
            </w:tr>
            <w:tr w:rsidR="00B6058C" w:rsidRPr="00B6058C" w14:paraId="49336A92"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3A7FF2C6" w14:textId="77777777" w:rsidR="00B6058C" w:rsidRPr="00B6058C" w:rsidRDefault="00B6058C" w:rsidP="00B6058C">
                  <w:pPr>
                    <w:spacing w:after="60"/>
                    <w:rPr>
                      <w:rFonts w:eastAsia="SimSun"/>
                      <w:sz w:val="20"/>
                    </w:rPr>
                  </w:pPr>
                  <w:r w:rsidRPr="00B6058C">
                    <w:rPr>
                      <w:rFonts w:eastAsia="SimSun"/>
                      <w:sz w:val="20"/>
                    </w:rPr>
                    <w:t xml:space="preserve">RTDRRIMBAMT </w:t>
                  </w:r>
                  <w:r w:rsidRPr="00B6058C">
                    <w:rPr>
                      <w:rFonts w:eastAsia="SimSun"/>
                      <w:i/>
                      <w:sz w:val="20"/>
                      <w:vertAlign w:val="subscript"/>
                    </w:rPr>
                    <w:t>q</w:t>
                  </w:r>
                </w:p>
              </w:tc>
              <w:tc>
                <w:tcPr>
                  <w:tcW w:w="638" w:type="pct"/>
                  <w:tcBorders>
                    <w:top w:val="single" w:sz="4" w:space="0" w:color="auto"/>
                    <w:left w:val="single" w:sz="4" w:space="0" w:color="auto"/>
                    <w:bottom w:val="single" w:sz="4" w:space="0" w:color="auto"/>
                    <w:right w:val="single" w:sz="4" w:space="0" w:color="auto"/>
                  </w:tcBorders>
                  <w:hideMark/>
                </w:tcPr>
                <w:p w14:paraId="59917A08"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3D037885" w14:textId="77777777" w:rsidR="00B6058C" w:rsidRPr="00B6058C" w:rsidRDefault="00B6058C" w:rsidP="00B6058C">
                  <w:pPr>
                    <w:spacing w:after="60"/>
                    <w:rPr>
                      <w:rFonts w:eastAsia="SimSun"/>
                      <w:i/>
                      <w:sz w:val="20"/>
                    </w:rPr>
                  </w:pPr>
                  <w:r w:rsidRPr="00B6058C">
                    <w:rPr>
                      <w:rFonts w:eastAsia="SimSun"/>
                      <w:i/>
                      <w:sz w:val="20"/>
                    </w:rPr>
                    <w:t xml:space="preserve">Real-Time Dispatchable Reliability Reserve Service Imbalance Amount for the QSE - </w:t>
                  </w:r>
                  <w:r w:rsidRPr="00B6058C">
                    <w:rPr>
                      <w:rFonts w:eastAsia="SimSun"/>
                      <w:sz w:val="20"/>
                    </w:rPr>
                    <w:t xml:space="preserve">The total payment or charge to QSE </w:t>
                  </w:r>
                  <w:r w:rsidRPr="00B6058C">
                    <w:rPr>
                      <w:rFonts w:eastAsia="SimSun"/>
                      <w:i/>
                      <w:sz w:val="20"/>
                    </w:rPr>
                    <w:t>q</w:t>
                  </w:r>
                  <w:r w:rsidRPr="00B6058C">
                    <w:rPr>
                      <w:rFonts w:eastAsia="SimSun"/>
                      <w:sz w:val="20"/>
                    </w:rPr>
                    <w:t xml:space="preserve"> for the Real-Time DRRS imbalance for each 15-minute Settlement Interval.</w:t>
                  </w:r>
                </w:p>
              </w:tc>
            </w:tr>
            <w:tr w:rsidR="00B6058C" w:rsidRPr="00B6058C" w14:paraId="014AD7A6"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548C3E3A" w14:textId="77777777" w:rsidR="00B6058C" w:rsidRPr="00B6058C" w:rsidRDefault="00B6058C" w:rsidP="00B6058C">
                  <w:pPr>
                    <w:spacing w:after="60"/>
                    <w:rPr>
                      <w:rFonts w:eastAsia="SimSun"/>
                      <w:sz w:val="20"/>
                    </w:rPr>
                  </w:pPr>
                  <w:r w:rsidRPr="00B6058C">
                    <w:rPr>
                      <w:rFonts w:eastAsia="SimSun"/>
                      <w:sz w:val="20"/>
                    </w:rPr>
                    <w:t xml:space="preserve">RTDRROAMT </w:t>
                  </w:r>
                  <w:r w:rsidRPr="00B6058C">
                    <w:rPr>
                      <w:rFonts w:eastAsia="SimSun"/>
                      <w:i/>
                      <w:sz w:val="20"/>
                      <w:vertAlign w:val="subscript"/>
                    </w:rPr>
                    <w:t>q</w:t>
                  </w:r>
                </w:p>
              </w:tc>
              <w:tc>
                <w:tcPr>
                  <w:tcW w:w="638" w:type="pct"/>
                  <w:tcBorders>
                    <w:top w:val="single" w:sz="4" w:space="0" w:color="auto"/>
                    <w:left w:val="single" w:sz="4" w:space="0" w:color="auto"/>
                    <w:bottom w:val="single" w:sz="4" w:space="0" w:color="auto"/>
                    <w:right w:val="single" w:sz="4" w:space="0" w:color="auto"/>
                  </w:tcBorders>
                  <w:hideMark/>
                </w:tcPr>
                <w:p w14:paraId="233C1316"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52B4E891" w14:textId="77777777" w:rsidR="00B6058C" w:rsidRPr="00B6058C" w:rsidRDefault="00B6058C" w:rsidP="00B6058C">
                  <w:pPr>
                    <w:spacing w:after="60"/>
                    <w:rPr>
                      <w:rFonts w:eastAsia="SimSun"/>
                      <w:i/>
                      <w:sz w:val="20"/>
                    </w:rPr>
                  </w:pPr>
                  <w:r w:rsidRPr="00B6058C">
                    <w:rPr>
                      <w:rFonts w:eastAsia="SimSun"/>
                      <w:i/>
                      <w:sz w:val="20"/>
                    </w:rPr>
                    <w:t xml:space="preserve">Real-Time Dispatchable Reliability Reserve Service Only Amount for the QSE— </w:t>
                  </w:r>
                  <w:r w:rsidRPr="00B6058C">
                    <w:rPr>
                      <w:rFonts w:eastAsia="SimSun"/>
                      <w:sz w:val="20"/>
                    </w:rPr>
                    <w:t xml:space="preserve">The total charge to QSE </w:t>
                  </w:r>
                  <w:r w:rsidRPr="00B6058C">
                    <w:rPr>
                      <w:rFonts w:eastAsia="SimSun"/>
                      <w:i/>
                      <w:sz w:val="20"/>
                    </w:rPr>
                    <w:t>q</w:t>
                  </w:r>
                  <w:r w:rsidRPr="00B6058C">
                    <w:rPr>
                      <w:rFonts w:eastAsia="SimSun"/>
                      <w:sz w:val="20"/>
                    </w:rPr>
                    <w:t xml:space="preserve"> in Real-Time for DRRS only awards for each 15-minute Settlement Interval.</w:t>
                  </w:r>
                </w:p>
              </w:tc>
            </w:tr>
            <w:tr w:rsidR="00B6058C" w:rsidRPr="00B6058C" w14:paraId="528DFFAA"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2F3FAE08" w14:textId="77777777" w:rsidR="00B6058C" w:rsidRPr="00B6058C" w:rsidRDefault="00B6058C" w:rsidP="00B6058C">
                  <w:pPr>
                    <w:spacing w:after="60"/>
                    <w:rPr>
                      <w:rFonts w:eastAsia="SimSun"/>
                      <w:sz w:val="20"/>
                    </w:rPr>
                  </w:pPr>
                  <w:r w:rsidRPr="00B6058C">
                    <w:rPr>
                      <w:rFonts w:eastAsia="SimSun"/>
                      <w:sz w:val="20"/>
                    </w:rPr>
                    <w:t>RTDRRIMBAMTTOT</w:t>
                  </w:r>
                </w:p>
              </w:tc>
              <w:tc>
                <w:tcPr>
                  <w:tcW w:w="638" w:type="pct"/>
                  <w:tcBorders>
                    <w:top w:val="single" w:sz="4" w:space="0" w:color="auto"/>
                    <w:left w:val="single" w:sz="4" w:space="0" w:color="auto"/>
                    <w:bottom w:val="single" w:sz="4" w:space="0" w:color="auto"/>
                    <w:right w:val="single" w:sz="4" w:space="0" w:color="auto"/>
                  </w:tcBorders>
                  <w:hideMark/>
                </w:tcPr>
                <w:p w14:paraId="390441A0"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7356587F" w14:textId="77777777" w:rsidR="00B6058C" w:rsidRPr="00B6058C" w:rsidRDefault="00B6058C" w:rsidP="00B6058C">
                  <w:pPr>
                    <w:spacing w:after="60"/>
                    <w:rPr>
                      <w:rFonts w:eastAsia="SimSun"/>
                      <w:i/>
                      <w:sz w:val="20"/>
                    </w:rPr>
                  </w:pPr>
                  <w:r w:rsidRPr="00B6058C">
                    <w:rPr>
                      <w:rFonts w:eastAsia="SimSun"/>
                      <w:i/>
                      <w:sz w:val="20"/>
                    </w:rPr>
                    <w:t xml:space="preserve">Real-Time Dispatchable Reliability Reserve Service Imbalance Market Total Amount - </w:t>
                  </w:r>
                  <w:r w:rsidRPr="00B6058C">
                    <w:rPr>
                      <w:rFonts w:eastAsia="SimSun"/>
                      <w:sz w:val="20"/>
                    </w:rPr>
                    <w:t>The total payment or charge to all QSEs for the Real-Time DRRS imbalance for each 15-minute Settlement Interval.</w:t>
                  </w:r>
                </w:p>
              </w:tc>
            </w:tr>
            <w:tr w:rsidR="00B6058C" w:rsidRPr="00B6058C" w14:paraId="51B6A4CF"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2C95FC98" w14:textId="77777777" w:rsidR="00B6058C" w:rsidRPr="00B6058C" w:rsidRDefault="00B6058C" w:rsidP="00B6058C">
                  <w:pPr>
                    <w:spacing w:after="60"/>
                    <w:rPr>
                      <w:rFonts w:eastAsia="SimSun"/>
                      <w:sz w:val="20"/>
                    </w:rPr>
                  </w:pPr>
                  <w:r w:rsidRPr="00B6058C">
                    <w:rPr>
                      <w:rFonts w:eastAsia="SimSun"/>
                      <w:sz w:val="20"/>
                    </w:rPr>
                    <w:t>RTDRROAMTTOT</w:t>
                  </w:r>
                </w:p>
              </w:tc>
              <w:tc>
                <w:tcPr>
                  <w:tcW w:w="638" w:type="pct"/>
                  <w:tcBorders>
                    <w:top w:val="single" w:sz="4" w:space="0" w:color="auto"/>
                    <w:left w:val="single" w:sz="4" w:space="0" w:color="auto"/>
                    <w:bottom w:val="single" w:sz="4" w:space="0" w:color="auto"/>
                    <w:right w:val="single" w:sz="4" w:space="0" w:color="auto"/>
                  </w:tcBorders>
                  <w:hideMark/>
                </w:tcPr>
                <w:p w14:paraId="110812E9"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7DCA3741" w14:textId="77777777" w:rsidR="00B6058C" w:rsidRPr="00B6058C" w:rsidRDefault="00B6058C" w:rsidP="00B6058C">
                  <w:pPr>
                    <w:spacing w:after="60"/>
                    <w:rPr>
                      <w:rFonts w:eastAsia="SimSun"/>
                      <w:i/>
                      <w:sz w:val="20"/>
                    </w:rPr>
                  </w:pPr>
                  <w:r w:rsidRPr="00B6058C">
                    <w:rPr>
                      <w:rFonts w:eastAsia="SimSun"/>
                      <w:i/>
                      <w:sz w:val="20"/>
                    </w:rPr>
                    <w:t xml:space="preserve">Real-Time Dispatchable Reliability Reserve Service Only Market Total Amount - </w:t>
                  </w:r>
                  <w:r w:rsidRPr="00B6058C">
                    <w:rPr>
                      <w:rFonts w:eastAsia="SimSun"/>
                      <w:sz w:val="20"/>
                    </w:rPr>
                    <w:t>The total charge to all QSEs in Real-Time for DRRS only awards for each 15-minute Settlement Interval.</w:t>
                  </w:r>
                </w:p>
              </w:tc>
            </w:tr>
            <w:tr w:rsidR="00B6058C" w:rsidRPr="00B6058C" w14:paraId="0BBCA8CF"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66DD7E20" w14:textId="77777777" w:rsidR="00B6058C" w:rsidRPr="00B6058C" w:rsidRDefault="00B6058C" w:rsidP="00B6058C">
                  <w:pPr>
                    <w:spacing w:after="60"/>
                    <w:rPr>
                      <w:rFonts w:eastAsia="SimSun"/>
                      <w:sz w:val="20"/>
                    </w:rPr>
                  </w:pPr>
                  <w:r w:rsidRPr="00B6058C">
                    <w:rPr>
                      <w:rFonts w:eastAsia="SimSun"/>
                      <w:sz w:val="20"/>
                    </w:rPr>
                    <w:t xml:space="preserve">RTDRRTOAMT </w:t>
                  </w:r>
                  <w:r w:rsidRPr="00B6058C">
                    <w:rPr>
                      <w:rFonts w:eastAsia="SimSun"/>
                      <w:i/>
                      <w:sz w:val="20"/>
                      <w:vertAlign w:val="subscript"/>
                    </w:rPr>
                    <w:t>q</w:t>
                  </w:r>
                </w:p>
              </w:tc>
              <w:tc>
                <w:tcPr>
                  <w:tcW w:w="638" w:type="pct"/>
                  <w:tcBorders>
                    <w:top w:val="single" w:sz="4" w:space="0" w:color="auto"/>
                    <w:left w:val="single" w:sz="4" w:space="0" w:color="auto"/>
                    <w:bottom w:val="single" w:sz="4" w:space="0" w:color="auto"/>
                    <w:right w:val="single" w:sz="4" w:space="0" w:color="auto"/>
                  </w:tcBorders>
                  <w:hideMark/>
                </w:tcPr>
                <w:p w14:paraId="5A3C852A"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5ECD798B" w14:textId="77777777" w:rsidR="00B6058C" w:rsidRPr="00B6058C" w:rsidRDefault="00B6058C" w:rsidP="00B6058C">
                  <w:pPr>
                    <w:spacing w:after="60"/>
                    <w:rPr>
                      <w:rFonts w:eastAsia="SimSun"/>
                      <w:i/>
                      <w:sz w:val="20"/>
                    </w:rPr>
                  </w:pPr>
                  <w:r w:rsidRPr="00B6058C">
                    <w:rPr>
                      <w:rFonts w:eastAsia="SimSun"/>
                      <w:i/>
                      <w:sz w:val="20"/>
                    </w:rPr>
                    <w:t>Real-Time Dispatchable Reliability Reserve Service Trade Overage Amount for the QSE</w:t>
                  </w:r>
                  <w:r w:rsidRPr="00B6058C">
                    <w:rPr>
                      <w:rFonts w:eastAsia="SimSun"/>
                      <w:sz w:val="20"/>
                    </w:rPr>
                    <w:t xml:space="preserve">— The total charge to QSE </w:t>
                  </w:r>
                  <w:r w:rsidRPr="00B6058C">
                    <w:rPr>
                      <w:rFonts w:eastAsia="SimSun"/>
                      <w:i/>
                      <w:sz w:val="20"/>
                    </w:rPr>
                    <w:t>q</w:t>
                  </w:r>
                  <w:r w:rsidRPr="00B6058C">
                    <w:rPr>
                      <w:rFonts w:eastAsia="SimSun"/>
                      <w:sz w:val="20"/>
                    </w:rPr>
                    <w:t xml:space="preserve"> in Real-Time for DRRS trade overages for each 15-minute Settlement Interval.</w:t>
                  </w:r>
                </w:p>
              </w:tc>
            </w:tr>
            <w:tr w:rsidR="00B6058C" w:rsidRPr="00B6058C" w14:paraId="24AAABD9"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5FA4C279" w14:textId="77777777" w:rsidR="00B6058C" w:rsidRPr="00B6058C" w:rsidRDefault="00B6058C" w:rsidP="00B6058C">
                  <w:pPr>
                    <w:spacing w:after="60"/>
                    <w:rPr>
                      <w:rFonts w:eastAsia="SimSun"/>
                      <w:sz w:val="20"/>
                    </w:rPr>
                  </w:pPr>
                  <w:r w:rsidRPr="00B6058C">
                    <w:rPr>
                      <w:rFonts w:eastAsia="SimSun"/>
                      <w:sz w:val="20"/>
                    </w:rPr>
                    <w:t>RTDRROAMTTOT</w:t>
                  </w:r>
                </w:p>
              </w:tc>
              <w:tc>
                <w:tcPr>
                  <w:tcW w:w="638" w:type="pct"/>
                  <w:tcBorders>
                    <w:top w:val="single" w:sz="4" w:space="0" w:color="auto"/>
                    <w:left w:val="single" w:sz="4" w:space="0" w:color="auto"/>
                    <w:bottom w:val="single" w:sz="4" w:space="0" w:color="auto"/>
                    <w:right w:val="single" w:sz="4" w:space="0" w:color="auto"/>
                  </w:tcBorders>
                  <w:hideMark/>
                </w:tcPr>
                <w:p w14:paraId="4EC57B6A" w14:textId="77777777" w:rsidR="00B6058C" w:rsidRPr="00B6058C" w:rsidRDefault="00B6058C" w:rsidP="00B6058C">
                  <w:pPr>
                    <w:spacing w:after="60"/>
                    <w:rPr>
                      <w:rFonts w:eastAsia="SimSun"/>
                      <w:sz w:val="20"/>
                    </w:rPr>
                  </w:pPr>
                  <w:r w:rsidRPr="00B6058C">
                    <w:rPr>
                      <w:rFonts w:eastAsia="SimSun"/>
                      <w:sz w:val="20"/>
                    </w:rPr>
                    <w:t>$</w:t>
                  </w:r>
                </w:p>
              </w:tc>
              <w:tc>
                <w:tcPr>
                  <w:tcW w:w="3141" w:type="pct"/>
                  <w:tcBorders>
                    <w:top w:val="single" w:sz="4" w:space="0" w:color="auto"/>
                    <w:left w:val="single" w:sz="4" w:space="0" w:color="auto"/>
                    <w:bottom w:val="single" w:sz="4" w:space="0" w:color="auto"/>
                    <w:right w:val="single" w:sz="4" w:space="0" w:color="auto"/>
                  </w:tcBorders>
                  <w:hideMark/>
                </w:tcPr>
                <w:p w14:paraId="091C7B16" w14:textId="77777777" w:rsidR="00B6058C" w:rsidRPr="00B6058C" w:rsidRDefault="00B6058C" w:rsidP="00B6058C">
                  <w:pPr>
                    <w:spacing w:after="60"/>
                    <w:rPr>
                      <w:rFonts w:eastAsia="SimSun"/>
                      <w:i/>
                      <w:sz w:val="20"/>
                    </w:rPr>
                  </w:pPr>
                  <w:r w:rsidRPr="00B6058C">
                    <w:rPr>
                      <w:rFonts w:eastAsia="SimSun"/>
                      <w:i/>
                      <w:sz w:val="20"/>
                    </w:rPr>
                    <w:t xml:space="preserve">Real-Time Dispatchable Reliability Reserve Service Trade Overage Total Amount </w:t>
                  </w:r>
                  <w:r w:rsidRPr="00B6058C">
                    <w:rPr>
                      <w:rFonts w:eastAsia="SimSun"/>
                      <w:sz w:val="20"/>
                    </w:rPr>
                    <w:t>— The total charge to all QSEs for Real-Time DRRS trade overages for each 15-minute Settlement Interval.</w:t>
                  </w:r>
                </w:p>
              </w:tc>
            </w:tr>
            <w:tr w:rsidR="00B6058C" w:rsidRPr="00B6058C" w14:paraId="1EE194C1"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428F67CB" w14:textId="77777777" w:rsidR="00B6058C" w:rsidRPr="00B6058C" w:rsidRDefault="00B6058C" w:rsidP="00B6058C">
                  <w:pPr>
                    <w:spacing w:after="60"/>
                    <w:rPr>
                      <w:rFonts w:eastAsia="SimSun"/>
                      <w:b/>
                      <w:sz w:val="20"/>
                    </w:rPr>
                  </w:pPr>
                  <w:r w:rsidRPr="00B6058C">
                    <w:rPr>
                      <w:rFonts w:eastAsia="SimSun"/>
                      <w:sz w:val="20"/>
                    </w:rPr>
                    <w:t>LRS</w:t>
                  </w:r>
                  <w:r w:rsidRPr="00B6058C">
                    <w:rPr>
                      <w:rFonts w:eastAsia="SimSun"/>
                      <w:sz w:val="20"/>
                      <w:vertAlign w:val="subscript"/>
                    </w:rPr>
                    <w:t xml:space="preserve"> </w:t>
                  </w:r>
                  <w:r w:rsidRPr="00B6058C">
                    <w:rPr>
                      <w:rFonts w:eastAsia="SimSun"/>
                      <w:i/>
                      <w:sz w:val="20"/>
                      <w:vertAlign w:val="subscript"/>
                    </w:rPr>
                    <w:t>q</w:t>
                  </w:r>
                </w:p>
              </w:tc>
              <w:tc>
                <w:tcPr>
                  <w:tcW w:w="638" w:type="pct"/>
                  <w:tcBorders>
                    <w:top w:val="single" w:sz="4" w:space="0" w:color="auto"/>
                    <w:left w:val="single" w:sz="4" w:space="0" w:color="auto"/>
                    <w:bottom w:val="single" w:sz="4" w:space="0" w:color="auto"/>
                    <w:right w:val="single" w:sz="4" w:space="0" w:color="auto"/>
                  </w:tcBorders>
                  <w:hideMark/>
                </w:tcPr>
                <w:p w14:paraId="128DA6EC" w14:textId="77777777" w:rsidR="00B6058C" w:rsidRPr="00B6058C" w:rsidRDefault="00B6058C" w:rsidP="00B6058C">
                  <w:pPr>
                    <w:spacing w:after="60"/>
                    <w:rPr>
                      <w:rFonts w:eastAsia="SimSun"/>
                      <w:sz w:val="20"/>
                    </w:rPr>
                  </w:pPr>
                  <w:r w:rsidRPr="00B6058C">
                    <w:rPr>
                      <w:rFonts w:eastAsia="SimSun"/>
                      <w:sz w:val="20"/>
                    </w:rPr>
                    <w:t>none</w:t>
                  </w:r>
                </w:p>
              </w:tc>
              <w:tc>
                <w:tcPr>
                  <w:tcW w:w="3141" w:type="pct"/>
                  <w:tcBorders>
                    <w:top w:val="single" w:sz="4" w:space="0" w:color="auto"/>
                    <w:left w:val="single" w:sz="4" w:space="0" w:color="auto"/>
                    <w:bottom w:val="single" w:sz="4" w:space="0" w:color="auto"/>
                    <w:right w:val="single" w:sz="4" w:space="0" w:color="auto"/>
                  </w:tcBorders>
                  <w:hideMark/>
                </w:tcPr>
                <w:p w14:paraId="5F496CD8" w14:textId="77777777" w:rsidR="00B6058C" w:rsidRPr="00B6058C" w:rsidRDefault="00B6058C" w:rsidP="00B6058C">
                  <w:pPr>
                    <w:spacing w:after="60"/>
                    <w:rPr>
                      <w:rFonts w:eastAsia="SimSun"/>
                      <w:i/>
                      <w:sz w:val="20"/>
                    </w:rPr>
                  </w:pPr>
                  <w:r w:rsidRPr="00B6058C">
                    <w:rPr>
                      <w:rFonts w:eastAsia="SimSun"/>
                      <w:i/>
                      <w:sz w:val="20"/>
                    </w:rPr>
                    <w:t>Load Ratio Share per QSE</w:t>
                  </w:r>
                  <w:r w:rsidRPr="00B6058C">
                    <w:rPr>
                      <w:rFonts w:eastAsia="SimSun"/>
                      <w:sz w:val="20"/>
                    </w:rPr>
                    <w:t xml:space="preserve">—The LRS as defined in Section 6.6.2.2 for QSE </w:t>
                  </w:r>
                  <w:r w:rsidRPr="00B6058C">
                    <w:rPr>
                      <w:rFonts w:eastAsia="SimSun"/>
                      <w:i/>
                      <w:sz w:val="20"/>
                    </w:rPr>
                    <w:t>q</w:t>
                  </w:r>
                  <w:r w:rsidRPr="00B6058C">
                    <w:rPr>
                      <w:rFonts w:eastAsia="SimSun"/>
                      <w:sz w:val="20"/>
                    </w:rPr>
                    <w:t xml:space="preserve"> for the 15-minute Settlement Interval.</w:t>
                  </w:r>
                </w:p>
              </w:tc>
            </w:tr>
            <w:tr w:rsidR="00B6058C" w:rsidRPr="00B6058C" w14:paraId="5B9C52F8" w14:textId="77777777" w:rsidTr="00A86863">
              <w:trPr>
                <w:cantSplit/>
              </w:trPr>
              <w:tc>
                <w:tcPr>
                  <w:tcW w:w="1221" w:type="pct"/>
                  <w:tcBorders>
                    <w:top w:val="single" w:sz="4" w:space="0" w:color="auto"/>
                    <w:left w:val="single" w:sz="4" w:space="0" w:color="auto"/>
                    <w:bottom w:val="single" w:sz="4" w:space="0" w:color="auto"/>
                    <w:right w:val="single" w:sz="4" w:space="0" w:color="auto"/>
                  </w:tcBorders>
                  <w:hideMark/>
                </w:tcPr>
                <w:p w14:paraId="4F14745F" w14:textId="77777777" w:rsidR="00B6058C" w:rsidRPr="00B6058C" w:rsidRDefault="00B6058C" w:rsidP="00B6058C">
                  <w:pPr>
                    <w:spacing w:after="60"/>
                    <w:rPr>
                      <w:rFonts w:eastAsia="SimSun"/>
                      <w:sz w:val="20"/>
                    </w:rPr>
                  </w:pPr>
                  <w:r w:rsidRPr="00B6058C">
                    <w:rPr>
                      <w:rFonts w:eastAsia="SimSun"/>
                      <w:i/>
                      <w:sz w:val="20"/>
                    </w:rPr>
                    <w:t>q</w:t>
                  </w:r>
                </w:p>
              </w:tc>
              <w:tc>
                <w:tcPr>
                  <w:tcW w:w="638" w:type="pct"/>
                  <w:tcBorders>
                    <w:top w:val="single" w:sz="4" w:space="0" w:color="auto"/>
                    <w:left w:val="single" w:sz="4" w:space="0" w:color="auto"/>
                    <w:bottom w:val="single" w:sz="4" w:space="0" w:color="auto"/>
                    <w:right w:val="single" w:sz="4" w:space="0" w:color="auto"/>
                  </w:tcBorders>
                  <w:hideMark/>
                </w:tcPr>
                <w:p w14:paraId="5EC14C8F" w14:textId="77777777" w:rsidR="00B6058C" w:rsidRPr="00B6058C" w:rsidRDefault="00B6058C" w:rsidP="00B6058C">
                  <w:pPr>
                    <w:spacing w:after="60"/>
                    <w:rPr>
                      <w:rFonts w:eastAsia="SimSun"/>
                      <w:sz w:val="20"/>
                    </w:rPr>
                  </w:pPr>
                  <w:r w:rsidRPr="00B6058C">
                    <w:rPr>
                      <w:rFonts w:eastAsia="SimSun"/>
                      <w:sz w:val="20"/>
                    </w:rPr>
                    <w:t>none</w:t>
                  </w:r>
                </w:p>
              </w:tc>
              <w:tc>
                <w:tcPr>
                  <w:tcW w:w="3141" w:type="pct"/>
                  <w:tcBorders>
                    <w:top w:val="single" w:sz="4" w:space="0" w:color="auto"/>
                    <w:left w:val="single" w:sz="4" w:space="0" w:color="auto"/>
                    <w:bottom w:val="single" w:sz="4" w:space="0" w:color="auto"/>
                    <w:right w:val="single" w:sz="4" w:space="0" w:color="auto"/>
                  </w:tcBorders>
                  <w:hideMark/>
                </w:tcPr>
                <w:p w14:paraId="38A2E0F1" w14:textId="77777777" w:rsidR="00B6058C" w:rsidRPr="00B6058C" w:rsidRDefault="00B6058C" w:rsidP="00B6058C">
                  <w:pPr>
                    <w:spacing w:after="60"/>
                    <w:rPr>
                      <w:rFonts w:eastAsia="SimSun"/>
                      <w:i/>
                      <w:sz w:val="20"/>
                    </w:rPr>
                  </w:pPr>
                  <w:r w:rsidRPr="00B6058C">
                    <w:rPr>
                      <w:rFonts w:eastAsia="SimSun"/>
                      <w:sz w:val="20"/>
                    </w:rPr>
                    <w:t>A QSE.</w:t>
                  </w:r>
                </w:p>
              </w:tc>
            </w:tr>
          </w:tbl>
          <w:p w14:paraId="39F5EAA7" w14:textId="0FFCCD1F" w:rsidR="00B6058C" w:rsidRPr="006503F3" w:rsidRDefault="00B6058C" w:rsidP="00A86863">
            <w:pPr>
              <w:tabs>
                <w:tab w:val="left" w:pos="1440"/>
                <w:tab w:val="left" w:pos="2250"/>
              </w:tabs>
              <w:spacing w:before="240" w:after="240"/>
              <w:ind w:left="1980" w:hanging="1350"/>
              <w:jc w:val="both"/>
              <w:rPr>
                <w:bCs/>
                <w:lang w:val="pt-BR"/>
              </w:rPr>
            </w:pPr>
          </w:p>
        </w:tc>
      </w:tr>
    </w:tbl>
    <w:p w14:paraId="06C4D075" w14:textId="77777777" w:rsidR="00162CAA" w:rsidRPr="0013396E" w:rsidRDefault="00162CAA" w:rsidP="0095782B">
      <w:pPr>
        <w:pStyle w:val="H2"/>
        <w:spacing w:before="480"/>
        <w:ind w:left="907" w:hanging="907"/>
        <w:rPr>
          <w:snapToGrid w:val="0"/>
        </w:rPr>
      </w:pPr>
      <w:bookmarkStart w:id="2288" w:name="_Toc236220252"/>
      <w:r w:rsidRPr="0013396E">
        <w:rPr>
          <w:bCs/>
          <w:snapToGrid w:val="0"/>
        </w:rPr>
        <w:lastRenderedPageBreak/>
        <w:t>6.8</w:t>
      </w:r>
      <w:r w:rsidR="003D3379" w:rsidRPr="0013396E">
        <w:rPr>
          <w:bCs/>
          <w:snapToGrid w:val="0"/>
        </w:rPr>
        <w:tab/>
      </w:r>
      <w:r w:rsidRPr="0013396E">
        <w:rPr>
          <w:snapToGrid w:val="0"/>
        </w:rPr>
        <w:t>Settlement for Operating Losses During an LCAP</w:t>
      </w:r>
      <w:r w:rsidR="0064460C">
        <w:rPr>
          <w:snapToGrid w:val="0"/>
        </w:rPr>
        <w:t xml:space="preserve"> or ECAP</w:t>
      </w:r>
      <w:r w:rsidRPr="0013396E">
        <w:rPr>
          <w:snapToGrid w:val="0"/>
        </w:rPr>
        <w:t xml:space="preserve"> </w:t>
      </w:r>
      <w:r w:rsidRPr="0013396E">
        <w:rPr>
          <w:bCs/>
          <w:snapToGrid w:val="0"/>
        </w:rPr>
        <w:t>Effective Period</w:t>
      </w:r>
      <w:bookmarkEnd w:id="2288"/>
    </w:p>
    <w:p w14:paraId="477DBA85" w14:textId="0A50AA08" w:rsidR="00162CAA" w:rsidRPr="0013396E" w:rsidRDefault="00162CAA" w:rsidP="00E4313A">
      <w:pPr>
        <w:keepNext/>
        <w:tabs>
          <w:tab w:val="left" w:pos="1080"/>
        </w:tabs>
        <w:spacing w:before="240" w:after="240"/>
        <w:ind w:left="1080" w:hanging="1080"/>
        <w:outlineLvl w:val="2"/>
        <w:rPr>
          <w:b/>
          <w:bCs/>
          <w:i/>
          <w:iCs/>
          <w:snapToGrid w:val="0"/>
        </w:rPr>
      </w:pPr>
      <w:bookmarkStart w:id="2289" w:name="_Toc236220253"/>
      <w:r w:rsidRPr="0013396E">
        <w:rPr>
          <w:b/>
          <w:bCs/>
          <w:i/>
          <w:iCs/>
          <w:snapToGrid w:val="0"/>
        </w:rPr>
        <w:t>6.8.1</w:t>
      </w:r>
      <w:r w:rsidR="003D3379" w:rsidRPr="0013396E">
        <w:rPr>
          <w:b/>
          <w:bCs/>
          <w:i/>
          <w:iCs/>
          <w:snapToGrid w:val="0"/>
        </w:rPr>
        <w:tab/>
      </w:r>
      <w:r w:rsidRPr="0013396E">
        <w:rPr>
          <w:b/>
          <w:bCs/>
          <w:i/>
          <w:iCs/>
          <w:snapToGrid w:val="0"/>
        </w:rPr>
        <w:t xml:space="preserve">Determination of </w:t>
      </w:r>
      <w:r w:rsidRPr="0013396E">
        <w:rPr>
          <w:b/>
          <w:i/>
          <w:iCs/>
          <w:snapToGrid w:val="0"/>
        </w:rPr>
        <w:t>Operating Losses During an LCAP</w:t>
      </w:r>
      <w:r w:rsidR="0064460C">
        <w:rPr>
          <w:b/>
          <w:i/>
          <w:iCs/>
          <w:snapToGrid w:val="0"/>
        </w:rPr>
        <w:t xml:space="preserve"> or ECAP</w:t>
      </w:r>
      <w:r w:rsidRPr="0013396E">
        <w:rPr>
          <w:b/>
          <w:i/>
          <w:iCs/>
          <w:snapToGrid w:val="0"/>
        </w:rPr>
        <w:t xml:space="preserve"> </w:t>
      </w:r>
      <w:r w:rsidRPr="0013396E">
        <w:rPr>
          <w:b/>
          <w:bCs/>
          <w:i/>
          <w:iCs/>
          <w:snapToGrid w:val="0"/>
        </w:rPr>
        <w:t>Effective Period</w:t>
      </w:r>
      <w:bookmarkEnd w:id="2289"/>
    </w:p>
    <w:p w14:paraId="2716FF75" w14:textId="77777777" w:rsidR="0064460C" w:rsidRPr="0013396E" w:rsidRDefault="0064460C" w:rsidP="0064460C">
      <w:pPr>
        <w:spacing w:after="240"/>
        <w:ind w:left="720" w:hanging="720"/>
      </w:pPr>
      <w:r w:rsidRPr="0013396E">
        <w:t>(1)</w:t>
      </w:r>
      <w:r w:rsidRPr="0013396E">
        <w:tab/>
        <w:t>In order for a Qualified Scheduling Entity (QSE) that represents a Generation Resource or Energy Storage Resource (ESR) to recover actual marginal costs for operating losses during a Low System-Wide Offer Cap (LCAP) or an Emergency Offer Cap (ECAP) Effective Period, and incurred as calculated in Section 6.8.2, Recovery of Operating Losses During an LCAP or ECAP Effective Period, the QSE shall timely submit a Settlement and billing dispute for each affected Operating Day, consistent with the dispute process described in Section 9.14, Settlement and Billing Dispute Process.  The QSE shall also submit, through the Settlement and billing dispute process, and within 60 days of the issuance of a Real-Time Market (RTM) Initial Statement for an Operating Day, the following information:</w:t>
      </w:r>
    </w:p>
    <w:p w14:paraId="3852E43A" w14:textId="77777777" w:rsidR="0064460C" w:rsidRPr="0013396E" w:rsidRDefault="0064460C" w:rsidP="0064460C">
      <w:pPr>
        <w:spacing w:after="240"/>
        <w:ind w:left="1440" w:hanging="720"/>
      </w:pPr>
      <w:r w:rsidRPr="0013396E">
        <w:t>(a)</w:t>
      </w:r>
      <w:r w:rsidRPr="0013396E">
        <w:tab/>
        <w:t>For a Generation Resource:</w:t>
      </w:r>
    </w:p>
    <w:p w14:paraId="5F0A4BCD" w14:textId="77777777" w:rsidR="0064460C" w:rsidRPr="0013396E" w:rsidRDefault="0064460C" w:rsidP="0064460C">
      <w:pPr>
        <w:spacing w:after="240"/>
        <w:ind w:left="2160" w:hanging="720"/>
      </w:pPr>
      <w:r w:rsidRPr="0013396E">
        <w:t>(i)</w:t>
      </w:r>
      <w:r w:rsidRPr="0013396E">
        <w:tab/>
        <w:t>All fuel purchases used to determine the weighted average fuel price included in the calculation of the actual marginal operating fuel cost component, for the Generation Resource, for the 15-minute Settlement Interval within the Operating Day.</w:t>
      </w:r>
    </w:p>
    <w:p w14:paraId="290AE34C" w14:textId="77777777" w:rsidR="0064460C" w:rsidRPr="0013396E" w:rsidRDefault="0064460C" w:rsidP="0064460C">
      <w:pPr>
        <w:spacing w:after="240"/>
        <w:ind w:left="1440" w:hanging="720"/>
      </w:pPr>
      <w:r w:rsidRPr="0013396E">
        <w:t>(b)</w:t>
      </w:r>
      <w:r w:rsidRPr="0013396E">
        <w:tab/>
        <w:t>For an ESR, the average electricity cost incurred to charge the ESR for the amount of discharge during the LCAP or ECAP Effective Period.</w:t>
      </w:r>
    </w:p>
    <w:p w14:paraId="21BE9CB3" w14:textId="77777777" w:rsidR="0064460C" w:rsidRPr="0013396E" w:rsidRDefault="0064460C" w:rsidP="0064460C">
      <w:pPr>
        <w:spacing w:after="240"/>
        <w:ind w:left="1440" w:hanging="720"/>
      </w:pPr>
      <w:r w:rsidRPr="0013396E">
        <w:t>(c)</w:t>
      </w:r>
      <w:r w:rsidRPr="0013396E">
        <w:tab/>
        <w:t>For Resources with approved Raw Verifiable Operations and Maintenance Cost Above LSL</w:t>
      </w:r>
      <w:r w:rsidRPr="0013396E">
        <w:rPr>
          <w:i/>
          <w:iCs/>
          <w:sz w:val="20"/>
        </w:rPr>
        <w:t xml:space="preserve"> </w:t>
      </w:r>
      <w:r w:rsidRPr="0013396E">
        <w:t>(ROM), the QSE may submit an Incremental Variable Operations and Maintenance Costs (IVC) rate for costs incurred during the LCAP or ECAP Effective Period that were not included in the currently approved ROM value, subject to verification and approval by ERCOT.</w:t>
      </w:r>
    </w:p>
    <w:p w14:paraId="288E3A72" w14:textId="4326F2B1" w:rsidR="0064460C" w:rsidRPr="0013396E" w:rsidRDefault="0064460C" w:rsidP="0064460C">
      <w:pPr>
        <w:spacing w:after="240"/>
        <w:ind w:left="1440" w:hanging="720"/>
      </w:pPr>
      <w:r w:rsidRPr="0013396E">
        <w:t>(d)</w:t>
      </w:r>
      <w:r w:rsidRPr="0013396E">
        <w:tab/>
        <w:t>For Resources that do not have approved ROM, the QSE may submit an IVC rate for costs incurred during the LCAP or ECAP Effective Period in lieu of the Standard Operations and Maintenance Cost (STOM), defined in Section 6.8.2, subject to verification and approval by ERCOT.</w:t>
      </w:r>
    </w:p>
    <w:p w14:paraId="686FFAE9" w14:textId="67B5342E" w:rsidR="00162CAA" w:rsidRPr="0013396E" w:rsidRDefault="0064460C" w:rsidP="00162CAA">
      <w:pPr>
        <w:spacing w:after="240"/>
        <w:ind w:left="1440" w:hanging="720"/>
      </w:pPr>
      <w:r w:rsidRPr="0013396E">
        <w:t>(e)</w:t>
      </w:r>
      <w:r w:rsidRPr="0013396E">
        <w:tab/>
        <w:t>An attestation signed by an officer or executive with authority to bind the QSE stating that the information contained in the Settlement and billing dispute is accurate and that fixed costs (e.g., fees, penalties, and similar non-gas costs) were not included in the calculation of the weighted average fuel price.  If the marginal fuel cost exceeds the HCAP, the attestation must also include the following provision:  “All marginal fuel costs included in this submission are solely related to the provision of fuel or services directly related to the provision of the purchased fuel.”</w:t>
      </w:r>
    </w:p>
    <w:p w14:paraId="50EE536F" w14:textId="77777777" w:rsidR="0064460C" w:rsidRPr="0013396E" w:rsidRDefault="0064460C" w:rsidP="0064460C">
      <w:pPr>
        <w:spacing w:after="240"/>
        <w:ind w:left="720" w:hanging="720"/>
        <w:rPr>
          <w:color w:val="000000"/>
        </w:rPr>
      </w:pPr>
      <w:bookmarkStart w:id="2290" w:name="_Hlk77686274"/>
      <w:r w:rsidRPr="0013396E">
        <w:t>(2)</w:t>
      </w:r>
      <w:r w:rsidRPr="0013396E">
        <w:tab/>
      </w:r>
      <w:r w:rsidRPr="0013396E">
        <w:rPr>
          <w:color w:val="000000"/>
        </w:rPr>
        <w:t>The calculation of operating losses under Section 6.8.2 applies:</w:t>
      </w:r>
    </w:p>
    <w:p w14:paraId="6203A1AA" w14:textId="77777777" w:rsidR="0064460C" w:rsidRPr="0013396E" w:rsidRDefault="0064460C" w:rsidP="0064460C">
      <w:pPr>
        <w:spacing w:after="240"/>
        <w:ind w:left="1440" w:hanging="720"/>
      </w:pPr>
      <w:r w:rsidRPr="0013396E">
        <w:lastRenderedPageBreak/>
        <w:t>(a)</w:t>
      </w:r>
      <w:r w:rsidRPr="0013396E">
        <w:tab/>
        <w:t xml:space="preserve">When the Real-Time Settlement Point Price for the Resource is equal to or exceeds the LCAP or ECAP; and </w:t>
      </w:r>
    </w:p>
    <w:p w14:paraId="2AF9AE63" w14:textId="1AD4B526" w:rsidR="00162CAA" w:rsidRPr="0013396E" w:rsidRDefault="0064460C" w:rsidP="000B7133">
      <w:pPr>
        <w:spacing w:after="240"/>
        <w:ind w:left="1440" w:hanging="720"/>
      </w:pPr>
      <w:r w:rsidRPr="0013396E">
        <w:t>(b)</w:t>
      </w:r>
      <w:r w:rsidRPr="0013396E">
        <w:tab/>
        <w:t>When the Resource’s Energy Offer Curve or Energy Bid/Offer Curve is at the LCAP or ECAP and the Resource receives a Dispatch Instruction or a Base Point above its Low Sustained Limit (LSL).</w:t>
      </w:r>
      <w:r w:rsidRPr="0013396E" w:rsidDel="0064460C">
        <w:t xml:space="preserve"> </w:t>
      </w:r>
    </w:p>
    <w:bookmarkEnd w:id="2290"/>
    <w:p w14:paraId="47A3DB77" w14:textId="3B0F7A6D" w:rsidR="00162CAA" w:rsidRPr="0013396E" w:rsidRDefault="00162CAA" w:rsidP="000B7133">
      <w:pPr>
        <w:spacing w:after="240"/>
        <w:ind w:left="720" w:hanging="720"/>
      </w:pPr>
      <w:r w:rsidRPr="0013396E">
        <w:t>(3)</w:t>
      </w:r>
      <w:r w:rsidRPr="0013396E">
        <w:tab/>
        <w:t xml:space="preserve">Fuel prices may include all </w:t>
      </w:r>
      <w:bookmarkStart w:id="2291" w:name="_Hlk77692128"/>
      <w:r w:rsidRPr="0013396E">
        <w:t xml:space="preserve">variable </w:t>
      </w:r>
      <w:bookmarkEnd w:id="2291"/>
      <w:r w:rsidRPr="0013396E">
        <w:t xml:space="preserve">costs associated with the purchase, transportation, and storage of fuel. </w:t>
      </w:r>
    </w:p>
    <w:p w14:paraId="7427335A" w14:textId="52176249" w:rsidR="00162CAA" w:rsidRPr="0013396E" w:rsidRDefault="00445D1B" w:rsidP="00162CAA">
      <w:pPr>
        <w:spacing w:after="240"/>
        <w:ind w:left="720" w:hanging="720"/>
      </w:pPr>
      <w:r w:rsidRPr="0013396E">
        <w:t>(4)</w:t>
      </w:r>
      <w:r w:rsidRPr="0013396E">
        <w:tab/>
        <w:t>ERCOT will consider the documentation provided by the QSE in order to determine the weighted average fuel price for a Generation Resource or the average electricity cost to charge for an ESR during an LCAP or ECAP Effective Period.</w:t>
      </w:r>
      <w:r w:rsidRPr="0013396E" w:rsidDel="00445D1B">
        <w:t xml:space="preserve"> </w:t>
      </w:r>
    </w:p>
    <w:p w14:paraId="4CB4D8A5" w14:textId="77777777" w:rsidR="00445D1B" w:rsidRPr="0013396E" w:rsidRDefault="00445D1B" w:rsidP="00445D1B">
      <w:pPr>
        <w:spacing w:after="240"/>
        <w:ind w:left="720" w:hanging="720"/>
      </w:pPr>
      <w:r w:rsidRPr="0013396E">
        <w:t>(5)</w:t>
      </w:r>
      <w:r w:rsidRPr="0013396E">
        <w:tab/>
        <w:t xml:space="preserve">For purposes of determining operating losses during an LCAP or ECAP Effective Period, ERCOT may request additional information, documentation, or clarification from the QSE.  In addition, if the marginal fuel cost exceeds the HCAP, ERCOT may require copies of relevant fuel purchase contracts.  A QSE shall respond to any such request within ten Business Days.  Failure to provide such information to ERCOT shall result in denial of the fuel reimbursement request.  </w:t>
      </w:r>
    </w:p>
    <w:p w14:paraId="50E806E9" w14:textId="77777777" w:rsidR="00445D1B" w:rsidRPr="0013396E" w:rsidRDefault="00445D1B" w:rsidP="00445D1B">
      <w:pPr>
        <w:spacing w:after="240"/>
        <w:ind w:left="720" w:hanging="720"/>
      </w:pPr>
      <w:r w:rsidRPr="0013396E">
        <w:t>(6)</w:t>
      </w:r>
      <w:r w:rsidRPr="0013396E">
        <w:tab/>
        <w:t>At ERCOT’s sole discretion, submission and follow-up information deadlines may be extended on a case-by-case basis.</w:t>
      </w:r>
    </w:p>
    <w:p w14:paraId="705DF1BB" w14:textId="77777777" w:rsidR="00445D1B" w:rsidRPr="0013396E" w:rsidRDefault="00445D1B" w:rsidP="00445D1B">
      <w:pPr>
        <w:spacing w:after="240"/>
        <w:ind w:left="720" w:hanging="720"/>
      </w:pPr>
      <w:r w:rsidRPr="0013396E">
        <w:t>(7)</w:t>
      </w:r>
      <w:r w:rsidRPr="0013396E">
        <w:tab/>
        <w:t xml:space="preserve">Notwithstanding paragraphs (1) through (5) above: </w:t>
      </w:r>
    </w:p>
    <w:p w14:paraId="5F0F9203" w14:textId="77777777" w:rsidR="00445D1B" w:rsidRPr="0013396E" w:rsidRDefault="00445D1B" w:rsidP="00445D1B">
      <w:pPr>
        <w:spacing w:after="240"/>
        <w:ind w:left="1440" w:hanging="720"/>
      </w:pPr>
      <w:r w:rsidRPr="0013396E">
        <w:t>(a)</w:t>
      </w:r>
      <w:r w:rsidRPr="0013396E">
        <w:tab/>
        <w:t xml:space="preserve">A QSE representing a Generation Resource cannot submit a dispute to recover the incremental fuel costs incurred under both Section 9.14.7, Disputes for RUC Make-Whole Payment for Fuel Costs, and Section 6.8.1, Determination of Operating Losses During an LCAP or ECAP Effective Period; and </w:t>
      </w:r>
    </w:p>
    <w:p w14:paraId="3546A4B8" w14:textId="183D63A4" w:rsidR="00764A29" w:rsidRPr="0013396E" w:rsidRDefault="00445D1B" w:rsidP="000B7133">
      <w:pPr>
        <w:spacing w:after="240"/>
        <w:ind w:left="1440" w:hanging="720"/>
      </w:pPr>
      <w:r w:rsidRPr="0013396E">
        <w:t>(b)</w:t>
      </w:r>
      <w:r w:rsidRPr="0013396E">
        <w:tab/>
        <w:t>A QSE representing a Switchable Generation Resource that ERCOT directs to switch to the ERCOT Control Area cannot submit a dispute to recover the same incremental fuel and operations costs under both Section 6.6.12.1, Switchable Generation Make-Whole Payment, and Section 6.8.1, Determination of Operating Losses During an LCAP or ECAP Effective Period.</w:t>
      </w:r>
      <w:r w:rsidRPr="0013396E" w:rsidDel="00445D1B">
        <w:t xml:space="preserve"> </w:t>
      </w:r>
    </w:p>
    <w:p w14:paraId="11906CB8" w14:textId="14EDFEA8" w:rsidR="00162CAA" w:rsidRPr="000B7133" w:rsidRDefault="00162CAA" w:rsidP="000B7133">
      <w:pPr>
        <w:keepNext/>
        <w:tabs>
          <w:tab w:val="left" w:pos="1080"/>
        </w:tabs>
        <w:spacing w:before="240" w:after="240"/>
        <w:ind w:left="1080" w:hanging="1080"/>
        <w:outlineLvl w:val="2"/>
        <w:rPr>
          <w:b/>
          <w:bCs/>
          <w:i/>
          <w:iCs/>
          <w:snapToGrid w:val="0"/>
        </w:rPr>
      </w:pPr>
      <w:r w:rsidRPr="000B7133">
        <w:rPr>
          <w:b/>
          <w:bCs/>
          <w:i/>
          <w:iCs/>
          <w:snapToGrid w:val="0"/>
        </w:rPr>
        <w:t xml:space="preserve"> </w:t>
      </w:r>
      <w:bookmarkStart w:id="2292" w:name="_Toc60038352"/>
      <w:bookmarkStart w:id="2293" w:name="_Toc236220254"/>
      <w:r w:rsidRPr="0013396E">
        <w:rPr>
          <w:b/>
          <w:bCs/>
          <w:i/>
          <w:iCs/>
          <w:snapToGrid w:val="0"/>
        </w:rPr>
        <w:t>6.8.2</w:t>
      </w:r>
      <w:bookmarkEnd w:id="2292"/>
      <w:r w:rsidR="003D3379" w:rsidRPr="0013396E">
        <w:rPr>
          <w:b/>
          <w:bCs/>
          <w:i/>
          <w:iCs/>
          <w:snapToGrid w:val="0"/>
        </w:rPr>
        <w:tab/>
      </w:r>
      <w:r w:rsidRPr="000B7133">
        <w:rPr>
          <w:b/>
          <w:bCs/>
          <w:i/>
          <w:iCs/>
          <w:snapToGrid w:val="0"/>
        </w:rPr>
        <w:t xml:space="preserve">Recovery of Operating Losses During an LCAP </w:t>
      </w:r>
      <w:r w:rsidR="00DA793B" w:rsidRPr="000B7133">
        <w:rPr>
          <w:b/>
          <w:bCs/>
          <w:i/>
          <w:iCs/>
          <w:snapToGrid w:val="0"/>
        </w:rPr>
        <w:t xml:space="preserve">or ECAP </w:t>
      </w:r>
      <w:r w:rsidRPr="000B7133">
        <w:rPr>
          <w:b/>
          <w:bCs/>
          <w:i/>
          <w:iCs/>
          <w:snapToGrid w:val="0"/>
        </w:rPr>
        <w:t>Effective Period</w:t>
      </w:r>
      <w:bookmarkEnd w:id="2293"/>
    </w:p>
    <w:p w14:paraId="6CA794D3" w14:textId="07B7710E" w:rsidR="00162CAA" w:rsidRPr="0013396E" w:rsidRDefault="00162CAA" w:rsidP="00162CAA">
      <w:pPr>
        <w:spacing w:after="240"/>
        <w:ind w:left="720" w:hanging="720"/>
      </w:pPr>
      <w:r w:rsidRPr="0013396E">
        <w:t>(1)</w:t>
      </w:r>
      <w:r w:rsidRPr="0013396E">
        <w:tab/>
        <w:t xml:space="preserve">ERCOT shall calculate the recovery of operating losses during an LCAP </w:t>
      </w:r>
      <w:r w:rsidR="00DA793B">
        <w:t xml:space="preserve">or ECAP </w:t>
      </w:r>
      <w:r w:rsidRPr="0013396E">
        <w:t>Effective Period with the actual marginal costs that exceed LCAP</w:t>
      </w:r>
      <w:r w:rsidR="00DA793B" w:rsidRPr="00DA793B">
        <w:t xml:space="preserve"> </w:t>
      </w:r>
      <w:r w:rsidR="00DA793B">
        <w:t>or ECAP</w:t>
      </w:r>
      <w:r w:rsidRPr="0013396E">
        <w:t xml:space="preserve"> revenues in accordance with this Section.</w:t>
      </w:r>
    </w:p>
    <w:p w14:paraId="74055584" w14:textId="77777777" w:rsidR="00162CAA" w:rsidRPr="0013396E" w:rsidRDefault="00162CAA" w:rsidP="00162CAA">
      <w:pPr>
        <w:spacing w:after="240"/>
        <w:ind w:left="720" w:hanging="720"/>
      </w:pPr>
      <w:r w:rsidRPr="0013396E">
        <w:t>(2)</w:t>
      </w:r>
      <w:r w:rsidRPr="0013396E">
        <w:tab/>
        <w:t>The actual marginal cost (AMC) and marginal energy production (MEP) used to calculate operating losses (OPL) for a Combined Cycle Train are the AMC and MEP that correspond to the Combined Cycle Generation Resource, within a Combined Cycle Train, that operates in Real-Time for the 15-minute Settlement Interval.</w:t>
      </w:r>
    </w:p>
    <w:p w14:paraId="0BAE9454" w14:textId="25BA42EC" w:rsidR="00162CAA" w:rsidRPr="0013396E" w:rsidRDefault="00162CAA" w:rsidP="00162CAA">
      <w:pPr>
        <w:spacing w:before="240" w:after="240"/>
        <w:ind w:left="720" w:hanging="720"/>
        <w:rPr>
          <w:szCs w:val="24"/>
        </w:rPr>
      </w:pPr>
      <w:r w:rsidRPr="0013396E">
        <w:rPr>
          <w:szCs w:val="24"/>
        </w:rPr>
        <w:lastRenderedPageBreak/>
        <w:t>(3)       Payment for operating losses during an LCAP</w:t>
      </w:r>
      <w:r w:rsidR="00DA793B" w:rsidRPr="00DA793B">
        <w:t xml:space="preserve"> </w:t>
      </w:r>
      <w:r w:rsidR="00DA793B">
        <w:t>or ECAP</w:t>
      </w:r>
      <w:r w:rsidRPr="0013396E">
        <w:rPr>
          <w:szCs w:val="24"/>
        </w:rPr>
        <w:t xml:space="preserve"> Effective Period is calculated as follows:  </w:t>
      </w:r>
    </w:p>
    <w:p w14:paraId="437D193B" w14:textId="77777777" w:rsidR="00162CAA" w:rsidRPr="0013396E" w:rsidRDefault="00162CAA" w:rsidP="00162CAA">
      <w:pPr>
        <w:spacing w:before="240" w:after="240"/>
        <w:ind w:left="2160" w:hanging="1440"/>
        <w:rPr>
          <w:b/>
          <w:bCs/>
          <w:i/>
          <w:szCs w:val="24"/>
          <w:vertAlign w:val="subscript"/>
        </w:rPr>
      </w:pPr>
      <w:r w:rsidRPr="0013396E">
        <w:rPr>
          <w:b/>
          <w:bCs/>
          <w:szCs w:val="24"/>
        </w:rPr>
        <w:t xml:space="preserve">OPLPAMT </w:t>
      </w:r>
      <w:r w:rsidRPr="0013396E">
        <w:rPr>
          <w:b/>
          <w:bCs/>
          <w:i/>
          <w:szCs w:val="24"/>
          <w:vertAlign w:val="subscript"/>
        </w:rPr>
        <w:t>q, r, i</w:t>
      </w:r>
      <w:r w:rsidRPr="0013396E">
        <w:rPr>
          <w:b/>
          <w:bCs/>
          <w:szCs w:val="24"/>
        </w:rPr>
        <w:t xml:space="preserve">  =  (-1) * (OPL</w:t>
      </w:r>
      <w:r w:rsidRPr="0013396E">
        <w:rPr>
          <w:b/>
          <w:bCs/>
          <w:i/>
          <w:szCs w:val="24"/>
          <w:vertAlign w:val="subscript"/>
        </w:rPr>
        <w:t xml:space="preserve"> q, r, i</w:t>
      </w:r>
      <w:r w:rsidRPr="0013396E">
        <w:rPr>
          <w:b/>
          <w:bCs/>
          <w:szCs w:val="24"/>
        </w:rPr>
        <w:t xml:space="preserve"> + ADJOPL</w:t>
      </w:r>
      <w:r w:rsidRPr="0013396E">
        <w:rPr>
          <w:b/>
          <w:bCs/>
          <w:i/>
          <w:szCs w:val="24"/>
          <w:vertAlign w:val="subscript"/>
        </w:rPr>
        <w:t xml:space="preserve"> q, r, i</w:t>
      </w:r>
      <w:r w:rsidRPr="0013396E">
        <w:rPr>
          <w:b/>
          <w:bCs/>
          <w:szCs w:val="24"/>
        </w:rPr>
        <w:t>)</w:t>
      </w:r>
    </w:p>
    <w:p w14:paraId="313DC78C" w14:textId="77777777" w:rsidR="00162CAA" w:rsidRPr="0013396E" w:rsidRDefault="00162CAA" w:rsidP="00162CAA">
      <w:pPr>
        <w:spacing w:after="240"/>
        <w:ind w:left="720"/>
        <w:rPr>
          <w:szCs w:val="24"/>
        </w:rPr>
      </w:pPr>
      <w:r w:rsidRPr="0013396E">
        <w:rPr>
          <w:szCs w:val="24"/>
        </w:rPr>
        <w:t>Where,</w:t>
      </w:r>
    </w:p>
    <w:p w14:paraId="2A1D1AE8" w14:textId="77777777" w:rsidR="00162CAA" w:rsidRPr="0013396E" w:rsidRDefault="00162CAA" w:rsidP="00162CAA">
      <w:pPr>
        <w:spacing w:after="240"/>
        <w:ind w:left="1440" w:hanging="720"/>
        <w:rPr>
          <w:iCs/>
          <w:szCs w:val="24"/>
        </w:rPr>
      </w:pPr>
      <w:r w:rsidRPr="0013396E">
        <w:rPr>
          <w:iCs/>
          <w:szCs w:val="24"/>
        </w:rPr>
        <w:t>For the Generation Resource:</w:t>
      </w:r>
    </w:p>
    <w:p w14:paraId="399DEFFA" w14:textId="5C1CE227" w:rsidR="00162CAA" w:rsidRPr="0013396E" w:rsidRDefault="00162CAA" w:rsidP="00162CAA">
      <w:pPr>
        <w:tabs>
          <w:tab w:val="decimal" w:pos="1440"/>
          <w:tab w:val="left" w:pos="2340"/>
        </w:tabs>
        <w:spacing w:after="240"/>
        <w:ind w:left="3420" w:hanging="1980"/>
        <w:rPr>
          <w:bCs/>
          <w:i/>
          <w:szCs w:val="24"/>
          <w:vertAlign w:val="subscript"/>
        </w:rPr>
      </w:pPr>
      <w:r w:rsidRPr="0013396E">
        <w:rPr>
          <w:bCs/>
          <w:szCs w:val="24"/>
        </w:rPr>
        <w:t>OPL</w:t>
      </w:r>
      <w:r w:rsidRPr="0013396E">
        <w:rPr>
          <w:i/>
          <w:szCs w:val="24"/>
          <w:vertAlign w:val="subscript"/>
        </w:rPr>
        <w:t xml:space="preserve"> </w:t>
      </w:r>
      <w:r w:rsidRPr="0013396E">
        <w:rPr>
          <w:bCs/>
          <w:i/>
          <w:szCs w:val="24"/>
          <w:vertAlign w:val="subscript"/>
        </w:rPr>
        <w:t>q, r,</w:t>
      </w:r>
      <w:r w:rsidR="00786744" w:rsidRPr="0013396E">
        <w:rPr>
          <w:bCs/>
          <w:i/>
          <w:szCs w:val="24"/>
          <w:vertAlign w:val="subscript"/>
        </w:rPr>
        <w:t xml:space="preserve"> </w:t>
      </w:r>
      <w:r w:rsidRPr="0013396E">
        <w:rPr>
          <w:bCs/>
          <w:i/>
          <w:szCs w:val="24"/>
          <w:vertAlign w:val="subscript"/>
        </w:rPr>
        <w:t xml:space="preserve">i           </w:t>
      </w:r>
      <w:r w:rsidRPr="0013396E">
        <w:rPr>
          <w:bCs/>
          <w:szCs w:val="24"/>
        </w:rPr>
        <w:t xml:space="preserve">  = </w:t>
      </w:r>
      <w:r w:rsidRPr="0013396E">
        <w:rPr>
          <w:bCs/>
          <w:szCs w:val="24"/>
        </w:rPr>
        <w:tab/>
        <w:t xml:space="preserve">Max(0, (AMC </w:t>
      </w:r>
      <w:r w:rsidRPr="0013396E">
        <w:rPr>
          <w:bCs/>
          <w:i/>
          <w:szCs w:val="24"/>
          <w:vertAlign w:val="subscript"/>
        </w:rPr>
        <w:t>q, r, i</w:t>
      </w:r>
      <w:r w:rsidRPr="0013396E">
        <w:rPr>
          <w:bCs/>
          <w:szCs w:val="24"/>
        </w:rPr>
        <w:t xml:space="preserve"> - Max(LCAP, RTSPP</w:t>
      </w:r>
      <w:r w:rsidRPr="0013396E">
        <w:rPr>
          <w:szCs w:val="24"/>
        </w:rPr>
        <w:t xml:space="preserve"> </w:t>
      </w:r>
      <w:r w:rsidRPr="0013396E">
        <w:rPr>
          <w:i/>
          <w:szCs w:val="24"/>
          <w:vertAlign w:val="subscript"/>
        </w:rPr>
        <w:t>p, i</w:t>
      </w:r>
      <w:r w:rsidRPr="0013396E">
        <w:rPr>
          <w:bCs/>
          <w:szCs w:val="24"/>
        </w:rPr>
        <w:t>)) *</w:t>
      </w:r>
      <w:r w:rsidRPr="0013396E">
        <w:rPr>
          <w:szCs w:val="24"/>
        </w:rPr>
        <w:t xml:space="preserve"> Min(</w:t>
      </w:r>
      <w:r w:rsidRPr="0013396E">
        <w:rPr>
          <w:bCs/>
          <w:szCs w:val="24"/>
        </w:rPr>
        <w:t xml:space="preserve">RTMG </w:t>
      </w:r>
      <w:r w:rsidRPr="0013396E">
        <w:rPr>
          <w:bCs/>
          <w:i/>
          <w:szCs w:val="24"/>
          <w:vertAlign w:val="subscript"/>
        </w:rPr>
        <w:t>q, r, i</w:t>
      </w:r>
      <w:r w:rsidRPr="0013396E">
        <w:rPr>
          <w:szCs w:val="24"/>
        </w:rPr>
        <w:t>, MEP</w:t>
      </w:r>
      <w:r w:rsidRPr="0013396E">
        <w:rPr>
          <w:bCs/>
          <w:i/>
          <w:szCs w:val="24"/>
          <w:vertAlign w:val="subscript"/>
        </w:rPr>
        <w:t xml:space="preserve"> q, r, i</w:t>
      </w:r>
      <w:r w:rsidRPr="0013396E">
        <w:rPr>
          <w:bCs/>
          <w:szCs w:val="24"/>
        </w:rPr>
        <w:t xml:space="preserve">))  </w:t>
      </w:r>
    </w:p>
    <w:p w14:paraId="39E4211B" w14:textId="77777777" w:rsidR="00DA793B" w:rsidRPr="00DA793B" w:rsidRDefault="00DA793B" w:rsidP="00DA793B">
      <w:pPr>
        <w:tabs>
          <w:tab w:val="left" w:pos="2340"/>
          <w:tab w:val="left" w:pos="3420"/>
        </w:tabs>
        <w:spacing w:after="240"/>
        <w:ind w:left="1440"/>
        <w:rPr>
          <w:bCs/>
          <w:iCs/>
          <w:szCs w:val="24"/>
          <w:lang w:val="sv-SE"/>
        </w:rPr>
      </w:pPr>
      <w:r w:rsidRPr="00DA793B">
        <w:rPr>
          <w:bCs/>
          <w:iCs/>
          <w:szCs w:val="24"/>
          <w:lang w:val="sv-SE"/>
        </w:rPr>
        <w:t xml:space="preserve">AMC </w:t>
      </w:r>
      <w:r w:rsidRPr="00DA793B">
        <w:rPr>
          <w:bCs/>
          <w:i/>
          <w:szCs w:val="24"/>
          <w:vertAlign w:val="subscript"/>
          <w:lang w:val="sv-SE"/>
        </w:rPr>
        <w:t>q, r, i</w:t>
      </w:r>
      <w:r w:rsidRPr="00DA793B">
        <w:rPr>
          <w:bCs/>
          <w:iCs/>
          <w:szCs w:val="24"/>
          <w:lang w:val="sv-SE"/>
        </w:rPr>
        <w:t xml:space="preserve">    =     MFC </w:t>
      </w:r>
      <w:r w:rsidRPr="00DA793B">
        <w:rPr>
          <w:bCs/>
          <w:i/>
          <w:szCs w:val="24"/>
          <w:vertAlign w:val="subscript"/>
          <w:lang w:val="sv-SE"/>
        </w:rPr>
        <w:t xml:space="preserve">q, r, i </w:t>
      </w:r>
      <w:r w:rsidRPr="00DA793B">
        <w:rPr>
          <w:bCs/>
          <w:iCs/>
          <w:szCs w:val="24"/>
          <w:lang w:val="sv-SE"/>
        </w:rPr>
        <w:t xml:space="preserve">  + VOM </w:t>
      </w:r>
      <w:r w:rsidRPr="00DA793B">
        <w:rPr>
          <w:bCs/>
          <w:i/>
          <w:szCs w:val="24"/>
          <w:vertAlign w:val="subscript"/>
          <w:lang w:val="sv-SE"/>
        </w:rPr>
        <w:t>q, r</w:t>
      </w:r>
      <w:r w:rsidRPr="00DA793B">
        <w:rPr>
          <w:bCs/>
          <w:iCs/>
          <w:szCs w:val="24"/>
          <w:lang w:val="sv-SE"/>
        </w:rPr>
        <w:t xml:space="preserve">     </w:t>
      </w:r>
    </w:p>
    <w:p w14:paraId="7B0C1E69" w14:textId="02F51776" w:rsidR="00162CAA" w:rsidRPr="0013396E" w:rsidRDefault="00162CAA" w:rsidP="00162CAA">
      <w:pPr>
        <w:spacing w:after="240"/>
        <w:ind w:firstLine="720"/>
        <w:rPr>
          <w:iCs/>
          <w:szCs w:val="24"/>
        </w:rPr>
      </w:pPr>
      <w:r w:rsidRPr="0013396E">
        <w:rPr>
          <w:iCs/>
          <w:szCs w:val="24"/>
        </w:rPr>
        <w:t xml:space="preserve">If ERCOT approved </w:t>
      </w:r>
      <w:r w:rsidR="00DA793B">
        <w:rPr>
          <w:iCs/>
          <w:szCs w:val="24"/>
        </w:rPr>
        <w:t>ROM</w:t>
      </w:r>
      <w:r w:rsidRPr="0013396E">
        <w:rPr>
          <w:iCs/>
          <w:szCs w:val="24"/>
        </w:rPr>
        <w:t xml:space="preserve"> for the Generation Resource:</w:t>
      </w:r>
    </w:p>
    <w:p w14:paraId="1AF7A51F" w14:textId="71896F96" w:rsidR="00162CAA" w:rsidRPr="0013396E" w:rsidRDefault="00162CAA" w:rsidP="00162CAA">
      <w:pPr>
        <w:tabs>
          <w:tab w:val="left" w:pos="2340"/>
          <w:tab w:val="left" w:pos="3420"/>
        </w:tabs>
        <w:spacing w:after="240"/>
        <w:ind w:left="720"/>
        <w:rPr>
          <w:bCs/>
          <w:iCs/>
          <w:szCs w:val="24"/>
        </w:rPr>
      </w:pPr>
      <w:r w:rsidRPr="0013396E">
        <w:rPr>
          <w:bCs/>
          <w:iCs/>
          <w:szCs w:val="24"/>
        </w:rPr>
        <w:t xml:space="preserve">          </w:t>
      </w:r>
    </w:p>
    <w:p w14:paraId="29865D38" w14:textId="77777777" w:rsidR="00162CAA" w:rsidRPr="0013396E" w:rsidRDefault="00162CAA" w:rsidP="00162CAA">
      <w:pPr>
        <w:tabs>
          <w:tab w:val="left" w:pos="2340"/>
          <w:tab w:val="left" w:pos="3420"/>
        </w:tabs>
        <w:spacing w:after="240"/>
        <w:ind w:left="720"/>
        <w:rPr>
          <w:bCs/>
          <w:iCs/>
          <w:szCs w:val="24"/>
        </w:rPr>
      </w:pPr>
      <w:r w:rsidRPr="0013396E">
        <w:rPr>
          <w:szCs w:val="24"/>
        </w:rPr>
        <w:t xml:space="preserve">          MEP</w:t>
      </w:r>
      <w:r w:rsidRPr="0013396E">
        <w:rPr>
          <w:bCs/>
          <w:i/>
          <w:szCs w:val="24"/>
          <w:vertAlign w:val="subscript"/>
        </w:rPr>
        <w:t xml:space="preserve"> q, r, i</w:t>
      </w:r>
      <w:r w:rsidRPr="0013396E">
        <w:rPr>
          <w:bCs/>
          <w:szCs w:val="24"/>
        </w:rPr>
        <w:tab/>
        <w:t xml:space="preserve">  =       AMF</w:t>
      </w:r>
      <w:r w:rsidRPr="0013396E">
        <w:rPr>
          <w:bCs/>
          <w:i/>
          <w:szCs w:val="24"/>
          <w:vertAlign w:val="subscript"/>
          <w:lang w:val="es-ES"/>
        </w:rPr>
        <w:t xml:space="preserve"> q, r, i</w:t>
      </w:r>
      <w:r w:rsidRPr="0013396E">
        <w:rPr>
          <w:bCs/>
          <w:szCs w:val="24"/>
        </w:rPr>
        <w:t xml:space="preserve"> / AHR </w:t>
      </w:r>
      <w:r w:rsidRPr="0013396E">
        <w:rPr>
          <w:bCs/>
          <w:i/>
          <w:szCs w:val="24"/>
          <w:vertAlign w:val="subscript"/>
          <w:lang w:val="es-ES"/>
        </w:rPr>
        <w:t xml:space="preserve">q, r, i </w:t>
      </w:r>
    </w:p>
    <w:p w14:paraId="109DAAA2" w14:textId="53D10AE7" w:rsidR="00DA793B" w:rsidRPr="00DA793B" w:rsidRDefault="00DA793B" w:rsidP="00016609">
      <w:pPr>
        <w:tabs>
          <w:tab w:val="left" w:pos="2340"/>
          <w:tab w:val="left" w:pos="3420"/>
        </w:tabs>
        <w:spacing w:after="240"/>
        <w:ind w:left="720"/>
        <w:rPr>
          <w:bCs/>
          <w:iCs/>
          <w:szCs w:val="24"/>
          <w:lang w:val="sv-SE"/>
        </w:rPr>
      </w:pPr>
      <w:r w:rsidRPr="0013396E">
        <w:rPr>
          <w:szCs w:val="24"/>
        </w:rPr>
        <w:t xml:space="preserve">          </w:t>
      </w:r>
      <w:r w:rsidRPr="00DA793B">
        <w:rPr>
          <w:szCs w:val="24"/>
        </w:rPr>
        <w:t>MFC</w:t>
      </w:r>
      <w:r w:rsidRPr="00DA793B">
        <w:rPr>
          <w:bCs/>
          <w:iCs/>
          <w:szCs w:val="24"/>
          <w:lang w:val="sv-SE"/>
        </w:rPr>
        <w:t xml:space="preserve"> </w:t>
      </w:r>
      <w:r w:rsidRPr="00DA793B">
        <w:rPr>
          <w:bCs/>
          <w:i/>
          <w:szCs w:val="24"/>
          <w:vertAlign w:val="subscript"/>
          <w:lang w:val="sv-SE"/>
        </w:rPr>
        <w:t xml:space="preserve">q, r, i </w:t>
      </w:r>
      <w:r w:rsidRPr="00DA793B">
        <w:rPr>
          <w:bCs/>
          <w:iCs/>
          <w:szCs w:val="24"/>
          <w:lang w:val="sv-SE"/>
        </w:rPr>
        <w:t xml:space="preserve">     =   AHR </w:t>
      </w:r>
      <w:r w:rsidRPr="00DA793B">
        <w:rPr>
          <w:bCs/>
          <w:i/>
          <w:szCs w:val="24"/>
          <w:vertAlign w:val="subscript"/>
          <w:lang w:val="sv-SE"/>
        </w:rPr>
        <w:t>q, r, i</w:t>
      </w:r>
      <w:r w:rsidRPr="00DA793B">
        <w:rPr>
          <w:bCs/>
          <w:iCs/>
          <w:szCs w:val="24"/>
          <w:lang w:val="sv-SE"/>
        </w:rPr>
        <w:t xml:space="preserve"> * WAFP </w:t>
      </w:r>
      <w:r w:rsidRPr="00DA793B">
        <w:rPr>
          <w:bCs/>
          <w:i/>
          <w:szCs w:val="24"/>
          <w:vertAlign w:val="subscript"/>
          <w:lang w:val="sv-SE"/>
        </w:rPr>
        <w:t>q, r, i</w:t>
      </w:r>
      <w:r w:rsidRPr="00DA793B">
        <w:rPr>
          <w:bCs/>
          <w:iCs/>
          <w:szCs w:val="24"/>
          <w:lang w:val="sv-SE"/>
        </w:rPr>
        <w:t xml:space="preserve">  </w:t>
      </w:r>
    </w:p>
    <w:p w14:paraId="0BA7B357" w14:textId="0A4FC943" w:rsidR="00DA793B" w:rsidRPr="00DA793B" w:rsidRDefault="00DA793B" w:rsidP="00016609">
      <w:pPr>
        <w:tabs>
          <w:tab w:val="left" w:pos="2340"/>
          <w:tab w:val="left" w:pos="3420"/>
        </w:tabs>
        <w:spacing w:after="240"/>
        <w:ind w:left="720"/>
        <w:rPr>
          <w:bCs/>
          <w:iCs/>
          <w:szCs w:val="24"/>
          <w:lang w:val="sv-SE"/>
        </w:rPr>
      </w:pPr>
      <w:r w:rsidRPr="0013396E">
        <w:rPr>
          <w:szCs w:val="24"/>
        </w:rPr>
        <w:t xml:space="preserve">          </w:t>
      </w:r>
      <w:r w:rsidRPr="00DA793B">
        <w:rPr>
          <w:szCs w:val="24"/>
        </w:rPr>
        <w:t>VOM</w:t>
      </w:r>
      <w:r w:rsidRPr="00DA793B">
        <w:rPr>
          <w:bCs/>
          <w:iCs/>
          <w:szCs w:val="24"/>
          <w:lang w:val="sv-SE"/>
        </w:rPr>
        <w:t xml:space="preserve"> </w:t>
      </w:r>
      <w:r w:rsidRPr="00DA793B">
        <w:rPr>
          <w:bCs/>
          <w:i/>
          <w:szCs w:val="24"/>
          <w:vertAlign w:val="subscript"/>
          <w:lang w:val="sv-SE"/>
        </w:rPr>
        <w:t>q, r</w:t>
      </w:r>
      <w:r w:rsidRPr="00DA793B">
        <w:rPr>
          <w:bCs/>
          <w:iCs/>
          <w:szCs w:val="24"/>
          <w:lang w:val="sv-SE"/>
        </w:rPr>
        <w:t xml:space="preserve">   =    ROM </w:t>
      </w:r>
      <w:r w:rsidRPr="00DA793B">
        <w:rPr>
          <w:bCs/>
          <w:i/>
          <w:szCs w:val="24"/>
          <w:vertAlign w:val="subscript"/>
          <w:lang w:val="sv-SE"/>
        </w:rPr>
        <w:t>q, r</w:t>
      </w:r>
      <w:r w:rsidRPr="00DA793B">
        <w:rPr>
          <w:bCs/>
          <w:iCs/>
          <w:szCs w:val="24"/>
          <w:lang w:val="sv-SE"/>
        </w:rPr>
        <w:t xml:space="preserve">   + IVC </w:t>
      </w:r>
      <w:r w:rsidRPr="00DA793B">
        <w:rPr>
          <w:bCs/>
          <w:i/>
          <w:szCs w:val="24"/>
          <w:vertAlign w:val="subscript"/>
          <w:lang w:val="sv-SE"/>
        </w:rPr>
        <w:t>q, r</w:t>
      </w:r>
      <w:r w:rsidRPr="00DA793B">
        <w:rPr>
          <w:bCs/>
          <w:iCs/>
          <w:szCs w:val="24"/>
          <w:lang w:val="sv-SE"/>
        </w:rPr>
        <w:t xml:space="preserve">   </w:t>
      </w:r>
    </w:p>
    <w:p w14:paraId="22B307B6" w14:textId="77777777" w:rsidR="00162CAA" w:rsidRPr="0013396E" w:rsidRDefault="00162CAA" w:rsidP="00162CAA">
      <w:pPr>
        <w:tabs>
          <w:tab w:val="left" w:pos="2340"/>
          <w:tab w:val="left" w:pos="3420"/>
        </w:tabs>
        <w:spacing w:after="240"/>
        <w:ind w:left="720"/>
        <w:rPr>
          <w:bCs/>
          <w:iCs/>
          <w:szCs w:val="24"/>
        </w:rPr>
      </w:pPr>
      <w:r w:rsidRPr="0013396E">
        <w:rPr>
          <w:bCs/>
          <w:iCs/>
          <w:szCs w:val="24"/>
        </w:rPr>
        <w:t xml:space="preserve">Otherwise, </w:t>
      </w:r>
    </w:p>
    <w:p w14:paraId="493B86D7" w14:textId="3D32F98F" w:rsidR="00162CAA" w:rsidRPr="0013396E" w:rsidRDefault="00DA793B" w:rsidP="00162CAA">
      <w:pPr>
        <w:tabs>
          <w:tab w:val="decimal" w:pos="1440"/>
          <w:tab w:val="left" w:pos="2340"/>
        </w:tabs>
        <w:spacing w:after="240"/>
        <w:ind w:left="3420" w:hanging="1980"/>
        <w:rPr>
          <w:bCs/>
          <w:szCs w:val="24"/>
        </w:rPr>
      </w:pPr>
      <w:r>
        <w:rPr>
          <w:bCs/>
          <w:szCs w:val="24"/>
        </w:rPr>
        <w:t>MFC</w:t>
      </w:r>
      <w:r w:rsidR="00162CAA" w:rsidRPr="0013396E">
        <w:rPr>
          <w:bCs/>
          <w:szCs w:val="24"/>
        </w:rPr>
        <w:t xml:space="preserve"> </w:t>
      </w:r>
      <w:r w:rsidR="00162CAA" w:rsidRPr="0013396E">
        <w:rPr>
          <w:bCs/>
          <w:i/>
          <w:szCs w:val="24"/>
          <w:vertAlign w:val="subscript"/>
        </w:rPr>
        <w:t xml:space="preserve">q, r, i   </w:t>
      </w:r>
      <w:r w:rsidR="00162CAA" w:rsidRPr="0013396E">
        <w:rPr>
          <w:bCs/>
          <w:szCs w:val="24"/>
        </w:rPr>
        <w:t xml:space="preserve"> = </w:t>
      </w:r>
      <w:r w:rsidR="00162CAA" w:rsidRPr="0013396E">
        <w:rPr>
          <w:bCs/>
          <w:szCs w:val="24"/>
        </w:rPr>
        <w:tab/>
        <w:t xml:space="preserve"> P</w:t>
      </w:r>
      <w:r w:rsidR="00162CAA" w:rsidRPr="0013396E">
        <w:rPr>
          <w:bCs/>
          <w:szCs w:val="24"/>
          <w:lang w:val="pt-BR"/>
        </w:rPr>
        <w:t xml:space="preserve">AHR </w:t>
      </w:r>
      <w:r w:rsidR="00162CAA" w:rsidRPr="0013396E">
        <w:rPr>
          <w:bCs/>
          <w:i/>
          <w:szCs w:val="24"/>
          <w:vertAlign w:val="subscript"/>
          <w:lang w:val="es-ES"/>
        </w:rPr>
        <w:t>q, r, i</w:t>
      </w:r>
      <w:r w:rsidR="00162CAA" w:rsidRPr="0013396E">
        <w:rPr>
          <w:bCs/>
          <w:szCs w:val="24"/>
          <w:lang w:val="es-ES"/>
        </w:rPr>
        <w:t xml:space="preserve"> </w:t>
      </w:r>
      <w:r w:rsidR="00162CAA" w:rsidRPr="0013396E">
        <w:rPr>
          <w:bCs/>
          <w:szCs w:val="24"/>
        </w:rPr>
        <w:t xml:space="preserve">* </w:t>
      </w:r>
      <w:r w:rsidR="00162CAA" w:rsidRPr="0013396E">
        <w:rPr>
          <w:szCs w:val="24"/>
        </w:rPr>
        <w:t>WAFP</w:t>
      </w:r>
      <w:r w:rsidR="00162CAA" w:rsidRPr="0013396E">
        <w:rPr>
          <w:i/>
          <w:szCs w:val="24"/>
        </w:rPr>
        <w:t xml:space="preserve"> </w:t>
      </w:r>
      <w:r w:rsidR="00162CAA" w:rsidRPr="0013396E">
        <w:rPr>
          <w:bCs/>
          <w:i/>
          <w:szCs w:val="24"/>
          <w:vertAlign w:val="subscript"/>
          <w:lang w:val="es-ES"/>
        </w:rPr>
        <w:t>q, r, i</w:t>
      </w:r>
      <w:r w:rsidR="00162CAA" w:rsidRPr="0013396E">
        <w:rPr>
          <w:bCs/>
          <w:szCs w:val="24"/>
        </w:rPr>
        <w:t xml:space="preserve">    </w:t>
      </w:r>
    </w:p>
    <w:p w14:paraId="056C6951" w14:textId="77777777" w:rsidR="00DA793B" w:rsidRPr="00DA793B" w:rsidRDefault="00DA793B" w:rsidP="00DA793B">
      <w:pPr>
        <w:tabs>
          <w:tab w:val="decimal" w:pos="1440"/>
          <w:tab w:val="left" w:pos="2340"/>
        </w:tabs>
        <w:spacing w:after="240"/>
        <w:ind w:left="3420" w:hanging="1980"/>
        <w:rPr>
          <w:bCs/>
          <w:iCs/>
          <w:szCs w:val="24"/>
          <w:lang w:val="sv-SE"/>
        </w:rPr>
      </w:pPr>
      <w:r w:rsidRPr="00DA793B">
        <w:rPr>
          <w:bCs/>
          <w:iCs/>
          <w:szCs w:val="24"/>
          <w:lang w:val="sv-SE"/>
        </w:rPr>
        <w:t xml:space="preserve">VOM </w:t>
      </w:r>
      <w:r w:rsidRPr="00DA793B">
        <w:rPr>
          <w:bCs/>
          <w:i/>
          <w:szCs w:val="24"/>
          <w:vertAlign w:val="subscript"/>
          <w:lang w:val="sv-SE"/>
        </w:rPr>
        <w:t>q, r</w:t>
      </w:r>
      <w:r w:rsidRPr="00DA793B">
        <w:rPr>
          <w:bCs/>
          <w:iCs/>
          <w:szCs w:val="24"/>
          <w:lang w:val="sv-SE"/>
        </w:rPr>
        <w:t xml:space="preserve">     =     </w:t>
      </w:r>
      <w:r w:rsidRPr="00DA793B">
        <w:rPr>
          <w:bCs/>
          <w:iCs/>
          <w:szCs w:val="24"/>
          <w:lang w:val="sv-SE"/>
        </w:rPr>
        <w:tab/>
      </w:r>
      <w:r w:rsidRPr="00DA793B">
        <w:rPr>
          <w:bCs/>
          <w:szCs w:val="24"/>
        </w:rPr>
        <w:t>Max (</w:t>
      </w:r>
      <w:r w:rsidRPr="00DA793B">
        <w:rPr>
          <w:bCs/>
          <w:iCs/>
          <w:szCs w:val="24"/>
          <w:lang w:val="sv-SE"/>
        </w:rPr>
        <w:t xml:space="preserve">IVC </w:t>
      </w:r>
      <w:r w:rsidRPr="00DA793B">
        <w:rPr>
          <w:bCs/>
          <w:i/>
          <w:szCs w:val="24"/>
          <w:vertAlign w:val="subscript"/>
          <w:lang w:val="sv-SE"/>
        </w:rPr>
        <w:t>q, r</w:t>
      </w:r>
      <w:r w:rsidRPr="00DA793B">
        <w:rPr>
          <w:bCs/>
          <w:iCs/>
          <w:szCs w:val="24"/>
          <w:lang w:val="sv-SE"/>
        </w:rPr>
        <w:t>,</w:t>
      </w:r>
      <w:r w:rsidRPr="00DA793B">
        <w:rPr>
          <w:bCs/>
          <w:i/>
          <w:szCs w:val="24"/>
          <w:vertAlign w:val="subscript"/>
          <w:lang w:val="sv-SE"/>
        </w:rPr>
        <w:t xml:space="preserve"> </w:t>
      </w:r>
      <w:r w:rsidRPr="00DA793B">
        <w:rPr>
          <w:bCs/>
          <w:iCs/>
          <w:szCs w:val="24"/>
          <w:lang w:val="sv-SE"/>
        </w:rPr>
        <w:t xml:space="preserve"> </w:t>
      </w:r>
      <w:r w:rsidRPr="00DA793B">
        <w:rPr>
          <w:bCs/>
          <w:szCs w:val="24"/>
        </w:rPr>
        <w:t xml:space="preserve">STOM </w:t>
      </w:r>
      <w:r w:rsidRPr="00DA793B">
        <w:rPr>
          <w:bCs/>
          <w:i/>
          <w:szCs w:val="24"/>
          <w:vertAlign w:val="subscript"/>
        </w:rPr>
        <w:t>rc</w:t>
      </w:r>
      <w:r w:rsidRPr="00DA793B">
        <w:rPr>
          <w:bCs/>
          <w:iCs/>
          <w:szCs w:val="24"/>
        </w:rPr>
        <w:t>)</w:t>
      </w:r>
    </w:p>
    <w:p w14:paraId="0BB0C904" w14:textId="77777777" w:rsidR="00162CAA" w:rsidRPr="0013396E" w:rsidRDefault="00162CAA" w:rsidP="00162CAA">
      <w:pPr>
        <w:tabs>
          <w:tab w:val="decimal" w:pos="1440"/>
          <w:tab w:val="left" w:pos="2340"/>
        </w:tabs>
        <w:spacing w:after="240"/>
        <w:ind w:left="3420" w:hanging="1980"/>
        <w:rPr>
          <w:bCs/>
          <w:szCs w:val="24"/>
        </w:rPr>
      </w:pPr>
      <w:r w:rsidRPr="0013396E">
        <w:rPr>
          <w:szCs w:val="24"/>
        </w:rPr>
        <w:t>MEP</w:t>
      </w:r>
      <w:r w:rsidRPr="0013396E">
        <w:rPr>
          <w:bCs/>
          <w:i/>
          <w:szCs w:val="24"/>
          <w:vertAlign w:val="subscript"/>
        </w:rPr>
        <w:t xml:space="preserve"> q, r, i</w:t>
      </w:r>
      <w:r w:rsidRPr="0013396E">
        <w:rPr>
          <w:bCs/>
          <w:szCs w:val="24"/>
        </w:rPr>
        <w:tab/>
        <w:t xml:space="preserve">        =       AMF</w:t>
      </w:r>
      <w:r w:rsidRPr="0013396E">
        <w:rPr>
          <w:bCs/>
          <w:i/>
          <w:szCs w:val="24"/>
          <w:vertAlign w:val="subscript"/>
          <w:lang w:val="es-ES"/>
        </w:rPr>
        <w:t xml:space="preserve"> q, r, i</w:t>
      </w:r>
      <w:r w:rsidRPr="0013396E">
        <w:rPr>
          <w:bCs/>
          <w:szCs w:val="24"/>
        </w:rPr>
        <w:t xml:space="preserve"> / PAHR </w:t>
      </w:r>
      <w:r w:rsidRPr="0013396E">
        <w:rPr>
          <w:bCs/>
          <w:i/>
          <w:szCs w:val="24"/>
          <w:vertAlign w:val="subscript"/>
          <w:lang w:val="es-ES"/>
        </w:rPr>
        <w:t xml:space="preserve">q, r, i </w:t>
      </w:r>
    </w:p>
    <w:p w14:paraId="181C48F1" w14:textId="77777777" w:rsidR="00162CAA" w:rsidRPr="0013396E" w:rsidRDefault="00162CAA" w:rsidP="00162CAA">
      <w:pPr>
        <w:tabs>
          <w:tab w:val="left" w:pos="2340"/>
          <w:tab w:val="left" w:pos="3420"/>
        </w:tabs>
        <w:spacing w:after="240"/>
        <w:ind w:left="720"/>
        <w:rPr>
          <w:bCs/>
          <w:iCs/>
          <w:szCs w:val="24"/>
        </w:rPr>
      </w:pPr>
      <w:r w:rsidRPr="0013396E">
        <w:rPr>
          <w:bCs/>
          <w:iCs/>
          <w:szCs w:val="24"/>
        </w:rPr>
        <w:t>For ESRs:</w:t>
      </w:r>
    </w:p>
    <w:p w14:paraId="1026F8A8" w14:textId="3E3F3DBE" w:rsidR="00162CAA" w:rsidRPr="0013396E" w:rsidRDefault="00162CAA" w:rsidP="00162CAA">
      <w:pPr>
        <w:tabs>
          <w:tab w:val="left" w:pos="2340"/>
        </w:tabs>
        <w:spacing w:after="240"/>
        <w:ind w:left="3420" w:hanging="1980"/>
        <w:rPr>
          <w:bCs/>
          <w:i/>
          <w:szCs w:val="24"/>
          <w:vertAlign w:val="subscript"/>
        </w:rPr>
      </w:pPr>
      <w:r w:rsidRPr="0013396E">
        <w:rPr>
          <w:bCs/>
          <w:szCs w:val="24"/>
        </w:rPr>
        <w:t xml:space="preserve">OPL </w:t>
      </w:r>
      <w:r w:rsidRPr="0013396E">
        <w:rPr>
          <w:bCs/>
          <w:i/>
          <w:szCs w:val="24"/>
          <w:vertAlign w:val="subscript"/>
        </w:rPr>
        <w:t xml:space="preserve">q, r, i </w:t>
      </w:r>
      <w:r w:rsidRPr="0013396E">
        <w:rPr>
          <w:bCs/>
          <w:szCs w:val="24"/>
        </w:rPr>
        <w:t xml:space="preserve">        = </w:t>
      </w:r>
      <w:r w:rsidRPr="0013396E">
        <w:rPr>
          <w:bCs/>
          <w:szCs w:val="24"/>
        </w:rPr>
        <w:tab/>
        <w:t xml:space="preserve">Max(0, (AMC </w:t>
      </w:r>
      <w:r w:rsidRPr="0013396E">
        <w:rPr>
          <w:bCs/>
          <w:i/>
          <w:szCs w:val="24"/>
          <w:vertAlign w:val="subscript"/>
        </w:rPr>
        <w:t xml:space="preserve">q, r, i </w:t>
      </w:r>
      <w:r w:rsidRPr="0013396E">
        <w:rPr>
          <w:bCs/>
          <w:szCs w:val="24"/>
        </w:rPr>
        <w:t>- Max(LCAP, RTSPP</w:t>
      </w:r>
      <w:r w:rsidRPr="0013396E">
        <w:rPr>
          <w:i/>
          <w:szCs w:val="24"/>
          <w:vertAlign w:val="subscript"/>
        </w:rPr>
        <w:t xml:space="preserve"> p, i</w:t>
      </w:r>
      <w:r w:rsidRPr="0013396E">
        <w:rPr>
          <w:bCs/>
          <w:szCs w:val="24"/>
        </w:rPr>
        <w:t xml:space="preserve">)) * RTMG </w:t>
      </w:r>
      <w:r w:rsidRPr="0013396E">
        <w:rPr>
          <w:bCs/>
          <w:i/>
          <w:szCs w:val="24"/>
          <w:vertAlign w:val="subscript"/>
        </w:rPr>
        <w:t>q, r, i</w:t>
      </w:r>
      <w:r w:rsidRPr="0013396E">
        <w:rPr>
          <w:bCs/>
          <w:szCs w:val="24"/>
        </w:rPr>
        <w:t>)</w:t>
      </w:r>
    </w:p>
    <w:p w14:paraId="421DF3DD" w14:textId="77777777" w:rsidR="00162CAA" w:rsidRPr="0013396E" w:rsidRDefault="00162CAA" w:rsidP="00162CAA">
      <w:pPr>
        <w:tabs>
          <w:tab w:val="left" w:pos="2340"/>
          <w:tab w:val="left" w:pos="3420"/>
        </w:tabs>
        <w:spacing w:after="240"/>
        <w:ind w:left="720"/>
        <w:rPr>
          <w:bCs/>
          <w:iCs/>
          <w:szCs w:val="24"/>
        </w:rPr>
      </w:pPr>
      <w:r w:rsidRPr="0013396E">
        <w:rPr>
          <w:bCs/>
          <w:iCs/>
          <w:szCs w:val="24"/>
        </w:rPr>
        <w:t>Where,</w:t>
      </w:r>
    </w:p>
    <w:p w14:paraId="12212CEB" w14:textId="77777777" w:rsidR="00162CAA" w:rsidRPr="0013396E" w:rsidRDefault="00162CAA" w:rsidP="00162CAA">
      <w:pPr>
        <w:tabs>
          <w:tab w:val="decimal" w:pos="1440"/>
          <w:tab w:val="left" w:pos="2340"/>
        </w:tabs>
        <w:spacing w:after="240"/>
        <w:ind w:left="3420" w:hanging="1980"/>
        <w:rPr>
          <w:bCs/>
          <w:i/>
          <w:szCs w:val="24"/>
          <w:vertAlign w:val="subscript"/>
        </w:rPr>
      </w:pPr>
      <w:r w:rsidRPr="0013396E">
        <w:rPr>
          <w:bCs/>
          <w:szCs w:val="24"/>
        </w:rPr>
        <w:t xml:space="preserve">AMC </w:t>
      </w:r>
      <w:r w:rsidRPr="0013396E">
        <w:rPr>
          <w:bCs/>
          <w:i/>
          <w:szCs w:val="24"/>
          <w:vertAlign w:val="subscript"/>
        </w:rPr>
        <w:t xml:space="preserve">q, r, i    </w:t>
      </w:r>
      <w:r w:rsidRPr="0013396E">
        <w:rPr>
          <w:bCs/>
          <w:szCs w:val="24"/>
        </w:rPr>
        <w:t xml:space="preserve"> = </w:t>
      </w:r>
      <w:r w:rsidRPr="0013396E">
        <w:rPr>
          <w:bCs/>
          <w:szCs w:val="24"/>
        </w:rPr>
        <w:tab/>
        <w:t>A</w:t>
      </w:r>
      <w:r w:rsidRPr="0013396E">
        <w:rPr>
          <w:szCs w:val="24"/>
        </w:rPr>
        <w:t>FC</w:t>
      </w:r>
      <w:r w:rsidRPr="0013396E">
        <w:rPr>
          <w:bCs/>
          <w:i/>
          <w:szCs w:val="24"/>
          <w:vertAlign w:val="subscript"/>
          <w:lang w:val="es-ES"/>
        </w:rPr>
        <w:t xml:space="preserve"> q, r, i</w:t>
      </w:r>
      <w:r w:rsidRPr="0013396E">
        <w:rPr>
          <w:i/>
          <w:szCs w:val="24"/>
          <w:vertAlign w:val="subscript"/>
          <w:lang w:val="es-ES"/>
        </w:rPr>
        <w:t xml:space="preserve"> </w:t>
      </w:r>
      <w:r w:rsidRPr="0013396E">
        <w:rPr>
          <w:bCs/>
          <w:szCs w:val="24"/>
        </w:rPr>
        <w:t xml:space="preserve">+ STOM </w:t>
      </w:r>
      <w:r w:rsidRPr="0013396E">
        <w:rPr>
          <w:bCs/>
          <w:i/>
          <w:szCs w:val="24"/>
          <w:vertAlign w:val="subscript"/>
        </w:rPr>
        <w:t>rc</w:t>
      </w:r>
      <w:r w:rsidRPr="0013396E">
        <w:rPr>
          <w:bCs/>
          <w:szCs w:val="24"/>
        </w:rPr>
        <w:t xml:space="preserve">    </w:t>
      </w:r>
    </w:p>
    <w:p w14:paraId="1DC4FFBA" w14:textId="77777777" w:rsidR="00162CAA" w:rsidRPr="0013396E" w:rsidRDefault="00162CAA" w:rsidP="00162CAA">
      <w:pPr>
        <w:rPr>
          <w:szCs w:val="24"/>
        </w:rPr>
      </w:pPr>
      <w:r w:rsidRPr="0013396E">
        <w:rPr>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02"/>
        <w:gridCol w:w="1052"/>
        <w:gridCol w:w="6496"/>
      </w:tblGrid>
      <w:tr w:rsidR="00162CAA" w:rsidRPr="0013396E" w14:paraId="5F2D635D" w14:textId="77777777" w:rsidTr="00890B99">
        <w:trPr>
          <w:cantSplit/>
          <w:trHeight w:val="359"/>
          <w:tblHeader/>
        </w:trPr>
        <w:tc>
          <w:tcPr>
            <w:tcW w:w="1008" w:type="pct"/>
            <w:tcBorders>
              <w:top w:val="single" w:sz="4" w:space="0" w:color="auto"/>
              <w:left w:val="single" w:sz="4" w:space="0" w:color="auto"/>
              <w:bottom w:val="single" w:sz="6" w:space="0" w:color="auto"/>
              <w:right w:val="single" w:sz="6" w:space="0" w:color="auto"/>
            </w:tcBorders>
            <w:hideMark/>
          </w:tcPr>
          <w:p w14:paraId="29933992" w14:textId="77777777" w:rsidR="00162CAA" w:rsidRPr="0013396E" w:rsidRDefault="00162CAA" w:rsidP="00162CAA">
            <w:pPr>
              <w:spacing w:after="240"/>
              <w:rPr>
                <w:b/>
                <w:iCs/>
                <w:sz w:val="20"/>
                <w:szCs w:val="24"/>
              </w:rPr>
            </w:pPr>
            <w:r w:rsidRPr="0013396E">
              <w:rPr>
                <w:b/>
                <w:iCs/>
                <w:sz w:val="20"/>
                <w:szCs w:val="24"/>
              </w:rPr>
              <w:t>Variable</w:t>
            </w:r>
          </w:p>
        </w:tc>
        <w:tc>
          <w:tcPr>
            <w:tcW w:w="607" w:type="pct"/>
            <w:tcBorders>
              <w:top w:val="single" w:sz="4" w:space="0" w:color="auto"/>
              <w:left w:val="single" w:sz="6" w:space="0" w:color="auto"/>
              <w:bottom w:val="single" w:sz="6" w:space="0" w:color="auto"/>
              <w:right w:val="single" w:sz="6" w:space="0" w:color="auto"/>
            </w:tcBorders>
            <w:hideMark/>
          </w:tcPr>
          <w:p w14:paraId="101455F5" w14:textId="77777777" w:rsidR="00162CAA" w:rsidRPr="0013396E" w:rsidRDefault="00162CAA" w:rsidP="00162CAA">
            <w:pPr>
              <w:spacing w:after="240"/>
              <w:jc w:val="center"/>
              <w:rPr>
                <w:b/>
                <w:iCs/>
                <w:sz w:val="20"/>
                <w:szCs w:val="24"/>
              </w:rPr>
            </w:pPr>
            <w:r w:rsidRPr="0013396E">
              <w:rPr>
                <w:b/>
                <w:iCs/>
                <w:sz w:val="20"/>
                <w:szCs w:val="24"/>
              </w:rPr>
              <w:t>Unit</w:t>
            </w:r>
          </w:p>
        </w:tc>
        <w:tc>
          <w:tcPr>
            <w:tcW w:w="3385" w:type="pct"/>
            <w:tcBorders>
              <w:top w:val="single" w:sz="4" w:space="0" w:color="auto"/>
              <w:left w:val="single" w:sz="6" w:space="0" w:color="auto"/>
              <w:bottom w:val="single" w:sz="6" w:space="0" w:color="auto"/>
              <w:right w:val="single" w:sz="4" w:space="0" w:color="auto"/>
            </w:tcBorders>
            <w:hideMark/>
          </w:tcPr>
          <w:p w14:paraId="77324927" w14:textId="77777777" w:rsidR="00162CAA" w:rsidRPr="0013396E" w:rsidRDefault="00162CAA" w:rsidP="00162CAA">
            <w:pPr>
              <w:spacing w:after="240"/>
              <w:rPr>
                <w:b/>
                <w:iCs/>
                <w:sz w:val="20"/>
                <w:szCs w:val="24"/>
              </w:rPr>
            </w:pPr>
            <w:r w:rsidRPr="0013396E">
              <w:rPr>
                <w:b/>
                <w:iCs/>
                <w:sz w:val="20"/>
                <w:szCs w:val="24"/>
              </w:rPr>
              <w:t>Definition</w:t>
            </w:r>
          </w:p>
        </w:tc>
      </w:tr>
      <w:tr w:rsidR="00162CAA" w:rsidRPr="0013396E" w14:paraId="6DE41FB8"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B49CCE9" w14:textId="77777777" w:rsidR="00162CAA" w:rsidRPr="0013396E" w:rsidRDefault="00162CAA" w:rsidP="00162CAA">
            <w:pPr>
              <w:spacing w:after="60"/>
              <w:rPr>
                <w:iCs/>
                <w:sz w:val="20"/>
                <w:szCs w:val="24"/>
              </w:rPr>
            </w:pPr>
            <w:r w:rsidRPr="0013396E">
              <w:rPr>
                <w:iCs/>
                <w:sz w:val="20"/>
                <w:szCs w:val="24"/>
              </w:rPr>
              <w:t xml:space="preserve">OPLPAMT </w:t>
            </w:r>
            <w:r w:rsidRPr="0013396E">
              <w:rPr>
                <w:i/>
                <w:iCs/>
                <w:sz w:val="20"/>
                <w:szCs w:val="24"/>
                <w:vertAlign w:val="subscript"/>
              </w:rPr>
              <w:t>q, r, i</w:t>
            </w:r>
            <w:r w:rsidRPr="0013396E">
              <w:rPr>
                <w:b/>
                <w:iCs/>
                <w:sz w:val="20"/>
                <w:szCs w:val="24"/>
              </w:rPr>
              <w:t xml:space="preserve">  </w:t>
            </w:r>
          </w:p>
        </w:tc>
        <w:tc>
          <w:tcPr>
            <w:tcW w:w="607" w:type="pct"/>
            <w:tcBorders>
              <w:top w:val="single" w:sz="6" w:space="0" w:color="auto"/>
              <w:left w:val="single" w:sz="6" w:space="0" w:color="auto"/>
              <w:bottom w:val="single" w:sz="6" w:space="0" w:color="auto"/>
              <w:right w:val="single" w:sz="6" w:space="0" w:color="auto"/>
            </w:tcBorders>
            <w:hideMark/>
          </w:tcPr>
          <w:p w14:paraId="0946F697" w14:textId="77777777" w:rsidR="00162CAA" w:rsidRPr="0013396E" w:rsidRDefault="00162CAA" w:rsidP="00162CAA">
            <w:pPr>
              <w:spacing w:after="60"/>
              <w:rPr>
                <w:iCs/>
                <w:sz w:val="20"/>
                <w:szCs w:val="24"/>
              </w:rPr>
            </w:pPr>
            <w:r w:rsidRPr="0013396E">
              <w:rPr>
                <w:iCs/>
                <w:sz w:val="20"/>
                <w:szCs w:val="24"/>
              </w:rPr>
              <w:t>$</w:t>
            </w:r>
          </w:p>
        </w:tc>
        <w:tc>
          <w:tcPr>
            <w:tcW w:w="3385" w:type="pct"/>
            <w:tcBorders>
              <w:top w:val="single" w:sz="6" w:space="0" w:color="auto"/>
              <w:left w:val="single" w:sz="6" w:space="0" w:color="auto"/>
              <w:bottom w:val="single" w:sz="6" w:space="0" w:color="auto"/>
              <w:right w:val="single" w:sz="4" w:space="0" w:color="auto"/>
            </w:tcBorders>
            <w:hideMark/>
          </w:tcPr>
          <w:p w14:paraId="026EC0B9" w14:textId="77777777" w:rsidR="00162CAA" w:rsidRPr="0013396E" w:rsidRDefault="00162CAA" w:rsidP="00162CAA">
            <w:pPr>
              <w:spacing w:after="60"/>
              <w:rPr>
                <w:iCs/>
                <w:sz w:val="20"/>
                <w:szCs w:val="24"/>
              </w:rPr>
            </w:pPr>
            <w:r w:rsidRPr="0013396E">
              <w:rPr>
                <w:i/>
                <w:iCs/>
                <w:sz w:val="20"/>
                <w:szCs w:val="24"/>
              </w:rPr>
              <w:t>Operating Losses Payment Amount –</w:t>
            </w:r>
            <w:r w:rsidRPr="0013396E">
              <w:rPr>
                <w:iCs/>
                <w:sz w:val="20"/>
                <w:szCs w:val="24"/>
              </w:rPr>
              <w:t xml:space="preserve"> The operating losses payment to the QSE </w:t>
            </w:r>
            <w:r w:rsidRPr="0013396E">
              <w:rPr>
                <w:i/>
                <w:iCs/>
                <w:sz w:val="20"/>
                <w:szCs w:val="24"/>
              </w:rPr>
              <w:t>q,</w:t>
            </w:r>
            <w:r w:rsidRPr="0013396E">
              <w:rPr>
                <w:iCs/>
                <w:sz w:val="20"/>
                <w:szCs w:val="24"/>
              </w:rPr>
              <w:t xml:space="preserve"> for Resource </w:t>
            </w:r>
            <w:r w:rsidRPr="0013396E">
              <w:rPr>
                <w:i/>
                <w:iCs/>
                <w:sz w:val="20"/>
                <w:szCs w:val="24"/>
              </w:rPr>
              <w:t>r</w:t>
            </w:r>
            <w:r w:rsidRPr="0013396E">
              <w:rPr>
                <w:iCs/>
                <w:sz w:val="20"/>
                <w:szCs w:val="24"/>
              </w:rPr>
              <w:t xml:space="preserve">, for the 15-minute Settlement Interval </w:t>
            </w:r>
            <w:r w:rsidRPr="0013396E">
              <w:rPr>
                <w:i/>
                <w:sz w:val="20"/>
                <w:szCs w:val="24"/>
              </w:rPr>
              <w:t>i</w:t>
            </w:r>
            <w:r w:rsidRPr="0013396E">
              <w:rPr>
                <w:iCs/>
                <w:sz w:val="20"/>
                <w:szCs w:val="24"/>
              </w:rPr>
              <w:t xml:space="preserve"> within the Operating Day.  Where for a Combined Cycle Train, the Resource </w:t>
            </w:r>
            <w:r w:rsidRPr="0013396E">
              <w:rPr>
                <w:i/>
                <w:iCs/>
                <w:sz w:val="20"/>
                <w:szCs w:val="24"/>
              </w:rPr>
              <w:t xml:space="preserve">r </w:t>
            </w:r>
            <w:r w:rsidRPr="0013396E">
              <w:rPr>
                <w:iCs/>
                <w:sz w:val="20"/>
                <w:szCs w:val="24"/>
              </w:rPr>
              <w:t>is the Combined Cycle Train.</w:t>
            </w:r>
          </w:p>
        </w:tc>
      </w:tr>
      <w:tr w:rsidR="00162CAA" w:rsidRPr="0013396E" w14:paraId="3EB6A42B"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3A1BD9F" w14:textId="77777777" w:rsidR="00162CAA" w:rsidRPr="0013396E" w:rsidRDefault="00162CAA" w:rsidP="00162CAA">
            <w:pPr>
              <w:spacing w:after="60"/>
              <w:rPr>
                <w:sz w:val="20"/>
                <w:szCs w:val="24"/>
              </w:rPr>
            </w:pPr>
            <w:r w:rsidRPr="0013396E">
              <w:rPr>
                <w:sz w:val="20"/>
                <w:szCs w:val="24"/>
              </w:rPr>
              <w:t>OPL</w:t>
            </w:r>
            <w:r w:rsidRPr="0013396E">
              <w:rPr>
                <w:szCs w:val="24"/>
              </w:rPr>
              <w:t xml:space="preserve"> </w:t>
            </w:r>
            <w:r w:rsidRPr="0013396E">
              <w:rPr>
                <w:i/>
                <w:iCs/>
                <w:sz w:val="20"/>
                <w:szCs w:val="24"/>
                <w:vertAlign w:val="subscript"/>
              </w:rPr>
              <w:t>q, r, i</w:t>
            </w:r>
            <w:r w:rsidRPr="0013396E">
              <w:rPr>
                <w:szCs w:val="24"/>
              </w:rPr>
              <w:t xml:space="preserve">  </w:t>
            </w:r>
          </w:p>
        </w:tc>
        <w:tc>
          <w:tcPr>
            <w:tcW w:w="607" w:type="pct"/>
            <w:tcBorders>
              <w:top w:val="single" w:sz="6" w:space="0" w:color="auto"/>
              <w:left w:val="single" w:sz="6" w:space="0" w:color="auto"/>
              <w:bottom w:val="single" w:sz="6" w:space="0" w:color="auto"/>
              <w:right w:val="single" w:sz="6" w:space="0" w:color="auto"/>
            </w:tcBorders>
            <w:hideMark/>
          </w:tcPr>
          <w:p w14:paraId="4EF45D32" w14:textId="77777777" w:rsidR="00162CAA" w:rsidRPr="0013396E" w:rsidRDefault="00162CAA" w:rsidP="00162CAA">
            <w:pPr>
              <w:spacing w:after="60"/>
              <w:rPr>
                <w:sz w:val="20"/>
                <w:szCs w:val="24"/>
              </w:rPr>
            </w:pPr>
            <w:r w:rsidRPr="0013396E">
              <w:rPr>
                <w:szCs w:val="24"/>
              </w:rPr>
              <w:t>$</w:t>
            </w:r>
          </w:p>
        </w:tc>
        <w:tc>
          <w:tcPr>
            <w:tcW w:w="3385" w:type="pct"/>
            <w:tcBorders>
              <w:top w:val="single" w:sz="6" w:space="0" w:color="auto"/>
              <w:left w:val="single" w:sz="6" w:space="0" w:color="auto"/>
              <w:bottom w:val="single" w:sz="6" w:space="0" w:color="auto"/>
              <w:right w:val="single" w:sz="4" w:space="0" w:color="auto"/>
            </w:tcBorders>
            <w:hideMark/>
          </w:tcPr>
          <w:p w14:paraId="0FA8183D" w14:textId="77777777" w:rsidR="00162CAA" w:rsidRPr="0013396E" w:rsidRDefault="00162CAA" w:rsidP="00162CAA">
            <w:pPr>
              <w:spacing w:after="60"/>
              <w:rPr>
                <w:i/>
                <w:iCs/>
                <w:sz w:val="20"/>
                <w:szCs w:val="24"/>
              </w:rPr>
            </w:pPr>
            <w:r w:rsidRPr="0013396E">
              <w:rPr>
                <w:i/>
                <w:iCs/>
                <w:sz w:val="20"/>
                <w:szCs w:val="24"/>
              </w:rPr>
              <w:t>Operating Losses</w:t>
            </w:r>
            <w:r w:rsidRPr="0013396E">
              <w:rPr>
                <w:szCs w:val="24"/>
              </w:rPr>
              <w:t xml:space="preserve"> – </w:t>
            </w:r>
            <w:r w:rsidRPr="0013396E">
              <w:rPr>
                <w:iCs/>
                <w:sz w:val="20"/>
                <w:szCs w:val="24"/>
              </w:rPr>
              <w:t xml:space="preserve">The operating losses for Resource </w:t>
            </w:r>
            <w:r w:rsidRPr="0013396E">
              <w:rPr>
                <w:i/>
                <w:iCs/>
                <w:sz w:val="20"/>
                <w:szCs w:val="24"/>
              </w:rPr>
              <w:t>r</w:t>
            </w:r>
            <w:r w:rsidRPr="0013396E">
              <w:rPr>
                <w:iCs/>
                <w:sz w:val="20"/>
                <w:szCs w:val="24"/>
              </w:rPr>
              <w:t xml:space="preserve">, represented by QSE </w:t>
            </w:r>
            <w:r w:rsidRPr="0013396E">
              <w:rPr>
                <w:i/>
                <w:iCs/>
                <w:sz w:val="20"/>
                <w:szCs w:val="24"/>
              </w:rPr>
              <w:t>q,</w:t>
            </w:r>
            <w:r w:rsidRPr="0013396E">
              <w:rPr>
                <w:iCs/>
                <w:sz w:val="20"/>
                <w:szCs w:val="24"/>
              </w:rPr>
              <w:t xml:space="preserve"> for the 15-minute Settlement Interval </w:t>
            </w:r>
            <w:r w:rsidRPr="0013396E">
              <w:rPr>
                <w:i/>
                <w:sz w:val="20"/>
                <w:szCs w:val="24"/>
              </w:rPr>
              <w:t>i</w:t>
            </w:r>
            <w:r w:rsidRPr="0013396E">
              <w:rPr>
                <w:iCs/>
                <w:sz w:val="20"/>
                <w:szCs w:val="24"/>
              </w:rPr>
              <w:t xml:space="preserve"> within the Operating Day.  Where for a Combined Cycle Train, the Resource </w:t>
            </w:r>
            <w:r w:rsidRPr="0013396E">
              <w:rPr>
                <w:i/>
                <w:iCs/>
                <w:sz w:val="20"/>
                <w:szCs w:val="24"/>
              </w:rPr>
              <w:t xml:space="preserve">r </w:t>
            </w:r>
            <w:r w:rsidRPr="0013396E">
              <w:rPr>
                <w:iCs/>
                <w:sz w:val="20"/>
                <w:szCs w:val="24"/>
              </w:rPr>
              <w:t>is the Combined Cycle Train.</w:t>
            </w:r>
          </w:p>
        </w:tc>
      </w:tr>
      <w:tr w:rsidR="00162CAA" w:rsidRPr="0013396E" w14:paraId="6D338ABF"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7FC4CE73" w14:textId="77777777" w:rsidR="00162CAA" w:rsidRPr="0013396E" w:rsidRDefault="00162CAA" w:rsidP="00162CAA">
            <w:pPr>
              <w:spacing w:after="60"/>
              <w:rPr>
                <w:sz w:val="20"/>
                <w:szCs w:val="24"/>
              </w:rPr>
            </w:pPr>
            <w:r w:rsidRPr="0013396E">
              <w:rPr>
                <w:sz w:val="20"/>
                <w:szCs w:val="24"/>
              </w:rPr>
              <w:lastRenderedPageBreak/>
              <w:t xml:space="preserve">ADJOPL </w:t>
            </w:r>
            <w:r w:rsidRPr="0013396E">
              <w:rPr>
                <w:i/>
                <w:sz w:val="20"/>
                <w:szCs w:val="24"/>
                <w:vertAlign w:val="subscript"/>
              </w:rPr>
              <w:t>q, r, i</w:t>
            </w:r>
            <w:r w:rsidRPr="0013396E">
              <w:rPr>
                <w:b/>
                <w:sz w:val="20"/>
                <w:szCs w:val="24"/>
              </w:rPr>
              <w:t xml:space="preserve">  </w:t>
            </w:r>
          </w:p>
        </w:tc>
        <w:tc>
          <w:tcPr>
            <w:tcW w:w="607" w:type="pct"/>
            <w:tcBorders>
              <w:top w:val="single" w:sz="6" w:space="0" w:color="auto"/>
              <w:left w:val="single" w:sz="6" w:space="0" w:color="auto"/>
              <w:bottom w:val="single" w:sz="6" w:space="0" w:color="auto"/>
              <w:right w:val="single" w:sz="6" w:space="0" w:color="auto"/>
            </w:tcBorders>
            <w:hideMark/>
          </w:tcPr>
          <w:p w14:paraId="3C3100E6" w14:textId="77777777" w:rsidR="00162CAA" w:rsidRPr="0013396E" w:rsidRDefault="00162CAA" w:rsidP="00162CAA">
            <w:pPr>
              <w:spacing w:after="60"/>
              <w:rPr>
                <w:sz w:val="20"/>
                <w:szCs w:val="24"/>
              </w:rPr>
            </w:pPr>
            <w:r w:rsidRPr="0013396E">
              <w:rPr>
                <w:sz w:val="20"/>
                <w:szCs w:val="24"/>
              </w:rPr>
              <w:t>$</w:t>
            </w:r>
          </w:p>
        </w:tc>
        <w:tc>
          <w:tcPr>
            <w:tcW w:w="3385" w:type="pct"/>
            <w:tcBorders>
              <w:top w:val="single" w:sz="6" w:space="0" w:color="auto"/>
              <w:left w:val="single" w:sz="6" w:space="0" w:color="auto"/>
              <w:bottom w:val="single" w:sz="6" w:space="0" w:color="auto"/>
              <w:right w:val="single" w:sz="4" w:space="0" w:color="auto"/>
            </w:tcBorders>
            <w:hideMark/>
          </w:tcPr>
          <w:p w14:paraId="3EFC396B" w14:textId="77777777" w:rsidR="00162CAA" w:rsidRPr="0013396E" w:rsidRDefault="00162CAA" w:rsidP="00162CAA">
            <w:pPr>
              <w:spacing w:after="60"/>
              <w:rPr>
                <w:i/>
                <w:sz w:val="20"/>
                <w:szCs w:val="24"/>
              </w:rPr>
            </w:pPr>
            <w:r w:rsidRPr="0013396E">
              <w:rPr>
                <w:i/>
                <w:iCs/>
                <w:sz w:val="20"/>
                <w:szCs w:val="24"/>
              </w:rPr>
              <w:t>Operating Losses</w:t>
            </w:r>
            <w:r w:rsidRPr="0013396E">
              <w:rPr>
                <w:szCs w:val="24"/>
              </w:rPr>
              <w:t xml:space="preserve"> </w:t>
            </w:r>
            <w:r w:rsidRPr="0013396E">
              <w:rPr>
                <w:i/>
                <w:iCs/>
                <w:sz w:val="20"/>
                <w:szCs w:val="24"/>
              </w:rPr>
              <w:t>Adjustment</w:t>
            </w:r>
            <w:r w:rsidRPr="0013396E">
              <w:rPr>
                <w:szCs w:val="24"/>
              </w:rPr>
              <w:t xml:space="preserve"> – </w:t>
            </w:r>
            <w:r w:rsidRPr="0013396E">
              <w:rPr>
                <w:iCs/>
                <w:sz w:val="20"/>
                <w:szCs w:val="24"/>
              </w:rPr>
              <w:t xml:space="preserve">The adjustment to the operating losses for Resource </w:t>
            </w:r>
            <w:r w:rsidRPr="0013396E">
              <w:rPr>
                <w:i/>
                <w:iCs/>
                <w:sz w:val="20"/>
                <w:szCs w:val="24"/>
              </w:rPr>
              <w:t>r</w:t>
            </w:r>
            <w:r w:rsidRPr="0013396E">
              <w:rPr>
                <w:iCs/>
                <w:sz w:val="20"/>
                <w:szCs w:val="24"/>
              </w:rPr>
              <w:t xml:space="preserve">, represented by QSE </w:t>
            </w:r>
            <w:r w:rsidRPr="0013396E">
              <w:rPr>
                <w:i/>
                <w:iCs/>
                <w:sz w:val="20"/>
                <w:szCs w:val="24"/>
              </w:rPr>
              <w:t xml:space="preserve">q, </w:t>
            </w:r>
            <w:r w:rsidRPr="0013396E">
              <w:rPr>
                <w:iCs/>
                <w:sz w:val="20"/>
                <w:szCs w:val="24"/>
              </w:rPr>
              <w:t xml:space="preserve">for the 15-minute Settlement Interval </w:t>
            </w:r>
            <w:r w:rsidRPr="0013396E">
              <w:rPr>
                <w:i/>
                <w:sz w:val="20"/>
                <w:szCs w:val="24"/>
              </w:rPr>
              <w:t>i</w:t>
            </w:r>
            <w:r w:rsidRPr="0013396E">
              <w:rPr>
                <w:iCs/>
                <w:sz w:val="20"/>
                <w:szCs w:val="24"/>
              </w:rPr>
              <w:t xml:space="preserve"> within the Operating Day.  Where for a Combined Cycle Train, the Resource </w:t>
            </w:r>
            <w:r w:rsidRPr="0013396E">
              <w:rPr>
                <w:i/>
                <w:iCs/>
                <w:sz w:val="20"/>
                <w:szCs w:val="24"/>
              </w:rPr>
              <w:t xml:space="preserve">r </w:t>
            </w:r>
            <w:r w:rsidRPr="0013396E">
              <w:rPr>
                <w:iCs/>
                <w:sz w:val="20"/>
                <w:szCs w:val="24"/>
              </w:rPr>
              <w:t>is the Combined Cycle Train.</w:t>
            </w:r>
          </w:p>
        </w:tc>
      </w:tr>
      <w:tr w:rsidR="00162CAA" w:rsidRPr="0013396E" w14:paraId="5ED52335"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D5EA929" w14:textId="77777777" w:rsidR="00162CAA" w:rsidRPr="0013396E" w:rsidRDefault="00162CAA" w:rsidP="00162CAA">
            <w:pPr>
              <w:spacing w:after="60"/>
              <w:rPr>
                <w:sz w:val="20"/>
                <w:szCs w:val="24"/>
              </w:rPr>
            </w:pPr>
            <w:r w:rsidRPr="0013396E">
              <w:rPr>
                <w:sz w:val="20"/>
                <w:szCs w:val="24"/>
              </w:rPr>
              <w:t>WAFP</w:t>
            </w:r>
            <w:r w:rsidRPr="0013396E">
              <w:rPr>
                <w:bCs/>
                <w:i/>
                <w:szCs w:val="24"/>
                <w:vertAlign w:val="subscript"/>
                <w:lang w:val="es-ES"/>
              </w:rPr>
              <w:t xml:space="preserve"> </w:t>
            </w:r>
            <w:r w:rsidRPr="0013396E">
              <w:rPr>
                <w:i/>
                <w:sz w:val="20"/>
                <w:szCs w:val="24"/>
                <w:vertAlign w:val="subscript"/>
              </w:rPr>
              <w:t>q, r, i</w:t>
            </w:r>
          </w:p>
        </w:tc>
        <w:tc>
          <w:tcPr>
            <w:tcW w:w="607" w:type="pct"/>
            <w:tcBorders>
              <w:top w:val="single" w:sz="6" w:space="0" w:color="auto"/>
              <w:left w:val="single" w:sz="6" w:space="0" w:color="auto"/>
              <w:bottom w:val="single" w:sz="6" w:space="0" w:color="auto"/>
              <w:right w:val="single" w:sz="6" w:space="0" w:color="auto"/>
            </w:tcBorders>
            <w:hideMark/>
          </w:tcPr>
          <w:p w14:paraId="638C79C3" w14:textId="77777777" w:rsidR="00162CAA" w:rsidRPr="0013396E" w:rsidRDefault="00162CAA" w:rsidP="00162CAA">
            <w:pPr>
              <w:spacing w:after="60"/>
              <w:rPr>
                <w:sz w:val="20"/>
                <w:szCs w:val="24"/>
              </w:rPr>
            </w:pPr>
            <w:r w:rsidRPr="0013396E">
              <w:rPr>
                <w:iCs/>
                <w:sz w:val="20"/>
                <w:szCs w:val="24"/>
              </w:rPr>
              <w:t>$/MMBtu</w:t>
            </w:r>
          </w:p>
        </w:tc>
        <w:tc>
          <w:tcPr>
            <w:tcW w:w="3385" w:type="pct"/>
            <w:tcBorders>
              <w:top w:val="single" w:sz="6" w:space="0" w:color="auto"/>
              <w:left w:val="single" w:sz="6" w:space="0" w:color="auto"/>
              <w:bottom w:val="single" w:sz="6" w:space="0" w:color="auto"/>
              <w:right w:val="single" w:sz="4" w:space="0" w:color="auto"/>
            </w:tcBorders>
            <w:hideMark/>
          </w:tcPr>
          <w:p w14:paraId="1F280F06" w14:textId="089EEA1B" w:rsidR="00162CAA" w:rsidRPr="0013396E" w:rsidRDefault="00162CAA" w:rsidP="00162CAA">
            <w:pPr>
              <w:spacing w:after="60"/>
              <w:rPr>
                <w:i/>
                <w:sz w:val="20"/>
                <w:szCs w:val="24"/>
              </w:rPr>
            </w:pPr>
            <w:r w:rsidRPr="0013396E">
              <w:rPr>
                <w:i/>
                <w:sz w:val="20"/>
                <w:szCs w:val="24"/>
              </w:rPr>
              <w:t>Weighted Average Fuel Price</w:t>
            </w:r>
            <w:r w:rsidR="00FC7FA4" w:rsidRPr="0013396E">
              <w:rPr>
                <w:i/>
                <w:sz w:val="20"/>
                <w:szCs w:val="24"/>
              </w:rPr>
              <w:t xml:space="preserve"> </w:t>
            </w:r>
            <w:r w:rsidR="00FC7FA4" w:rsidRPr="0013396E">
              <w:rPr>
                <w:szCs w:val="24"/>
              </w:rPr>
              <w:t xml:space="preserve">– </w:t>
            </w:r>
            <w:r w:rsidRPr="0013396E">
              <w:rPr>
                <w:sz w:val="20"/>
                <w:szCs w:val="24"/>
              </w:rPr>
              <w:t xml:space="preserve">The volume-weighted average price of fuel submitted to ERCOT for the LCAP </w:t>
            </w:r>
            <w:r w:rsidR="00DA793B">
              <w:rPr>
                <w:sz w:val="20"/>
                <w:szCs w:val="24"/>
              </w:rPr>
              <w:t xml:space="preserve">or ECAP </w:t>
            </w:r>
            <w:r w:rsidRPr="0013396E">
              <w:rPr>
                <w:sz w:val="20"/>
                <w:szCs w:val="24"/>
              </w:rPr>
              <w:t xml:space="preserve">Effective Period for a specific Resource </w:t>
            </w:r>
            <w:r w:rsidRPr="0013396E">
              <w:rPr>
                <w:i/>
                <w:iCs/>
                <w:sz w:val="20"/>
                <w:szCs w:val="24"/>
              </w:rPr>
              <w:t>r,</w:t>
            </w:r>
            <w:r w:rsidRPr="0013396E">
              <w:rPr>
                <w:sz w:val="20"/>
                <w:szCs w:val="24"/>
              </w:rPr>
              <w:t xml:space="preserve"> represented by QSE </w:t>
            </w:r>
            <w:r w:rsidRPr="0013396E">
              <w:rPr>
                <w:i/>
                <w:iCs/>
                <w:sz w:val="20"/>
                <w:szCs w:val="24"/>
              </w:rPr>
              <w:t>q,</w:t>
            </w:r>
            <w:r w:rsidRPr="0013396E">
              <w:rPr>
                <w:sz w:val="20"/>
                <w:szCs w:val="24"/>
              </w:rPr>
              <w:t xml:space="preserve"> and specific 15-minute Settlement Interval </w:t>
            </w:r>
            <w:r w:rsidRPr="0013396E">
              <w:rPr>
                <w:i/>
                <w:iCs/>
                <w:sz w:val="20"/>
                <w:szCs w:val="24"/>
              </w:rPr>
              <w:t>i</w:t>
            </w:r>
            <w:r w:rsidRPr="0013396E">
              <w:rPr>
                <w:sz w:val="20"/>
                <w:szCs w:val="24"/>
              </w:rPr>
              <w:t xml:space="preserve"> within the Operating Day.</w:t>
            </w:r>
            <w:r w:rsidR="0021573A" w:rsidRPr="0013396E">
              <w:rPr>
                <w:sz w:val="20"/>
                <w:szCs w:val="24"/>
              </w:rPr>
              <w:t xml:space="preserve">  </w:t>
            </w:r>
            <w:r w:rsidRPr="0013396E">
              <w:rPr>
                <w:iCs/>
                <w:sz w:val="20"/>
                <w:szCs w:val="24"/>
              </w:rPr>
              <w:t xml:space="preserve">Where for a Combined Cycle Train, the Resource </w:t>
            </w:r>
            <w:r w:rsidRPr="0013396E">
              <w:rPr>
                <w:i/>
                <w:sz w:val="20"/>
                <w:szCs w:val="24"/>
              </w:rPr>
              <w:t>r</w:t>
            </w:r>
            <w:r w:rsidRPr="0013396E">
              <w:rPr>
                <w:iCs/>
                <w:sz w:val="20"/>
                <w:szCs w:val="24"/>
              </w:rPr>
              <w:t xml:space="preserve"> is a Combined Cycle Generation Resource within the Combined Cycle Train.</w:t>
            </w:r>
          </w:p>
        </w:tc>
      </w:tr>
      <w:tr w:rsidR="00162CAA" w:rsidRPr="0013396E" w14:paraId="387875FF"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31B493C7" w14:textId="77777777" w:rsidR="00162CAA" w:rsidRPr="0013396E" w:rsidRDefault="00162CAA" w:rsidP="00162CAA">
            <w:pPr>
              <w:spacing w:after="60"/>
              <w:rPr>
                <w:iCs/>
                <w:sz w:val="20"/>
                <w:szCs w:val="24"/>
              </w:rPr>
            </w:pPr>
            <w:r w:rsidRPr="0013396E">
              <w:rPr>
                <w:iCs/>
                <w:sz w:val="20"/>
                <w:szCs w:val="24"/>
              </w:rPr>
              <w:t xml:space="preserve">AMC </w:t>
            </w:r>
            <w:r w:rsidRPr="0013396E">
              <w:rPr>
                <w:i/>
                <w:iCs/>
                <w:sz w:val="20"/>
                <w:szCs w:val="24"/>
                <w:vertAlign w:val="subscript"/>
              </w:rPr>
              <w:t>q, r, i</w:t>
            </w:r>
            <w:r w:rsidRPr="0013396E">
              <w:rPr>
                <w:iCs/>
                <w:sz w:val="20"/>
                <w:szCs w:val="24"/>
              </w:rPr>
              <w:t xml:space="preserve"> </w:t>
            </w:r>
          </w:p>
        </w:tc>
        <w:tc>
          <w:tcPr>
            <w:tcW w:w="607" w:type="pct"/>
            <w:tcBorders>
              <w:top w:val="single" w:sz="6" w:space="0" w:color="auto"/>
              <w:left w:val="single" w:sz="6" w:space="0" w:color="auto"/>
              <w:bottom w:val="single" w:sz="6" w:space="0" w:color="auto"/>
              <w:right w:val="single" w:sz="6" w:space="0" w:color="auto"/>
            </w:tcBorders>
            <w:hideMark/>
          </w:tcPr>
          <w:p w14:paraId="779605DE"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516C07EA" w14:textId="77777777" w:rsidR="00162CAA" w:rsidRPr="0013396E" w:rsidRDefault="00162CAA" w:rsidP="00162CAA">
            <w:pPr>
              <w:spacing w:after="60"/>
              <w:rPr>
                <w:iCs/>
                <w:sz w:val="20"/>
                <w:szCs w:val="24"/>
              </w:rPr>
            </w:pPr>
            <w:r w:rsidRPr="0013396E">
              <w:rPr>
                <w:i/>
                <w:iCs/>
                <w:sz w:val="20"/>
                <w:szCs w:val="24"/>
              </w:rPr>
              <w:t>Actual Marginal Cost –</w:t>
            </w:r>
            <w:r w:rsidRPr="0013396E">
              <w:rPr>
                <w:sz w:val="20"/>
                <w:szCs w:val="24"/>
              </w:rPr>
              <w:t xml:space="preserve"> </w:t>
            </w:r>
            <w:r w:rsidRPr="0013396E">
              <w:rPr>
                <w:iCs/>
                <w:sz w:val="20"/>
                <w:szCs w:val="24"/>
              </w:rPr>
              <w:t xml:space="preserve">The actual marginal costs for Resource </w:t>
            </w:r>
            <w:r w:rsidRPr="0013396E">
              <w:rPr>
                <w:i/>
                <w:iCs/>
                <w:sz w:val="20"/>
                <w:szCs w:val="24"/>
              </w:rPr>
              <w:t xml:space="preserve">r </w:t>
            </w:r>
            <w:r w:rsidRPr="0013396E">
              <w:rPr>
                <w:iCs/>
                <w:sz w:val="20"/>
                <w:szCs w:val="24"/>
              </w:rPr>
              <w:t>represented by QSE</w:t>
            </w:r>
            <w:r w:rsidRPr="0013396E">
              <w:rPr>
                <w:i/>
                <w:iCs/>
                <w:sz w:val="20"/>
                <w:szCs w:val="24"/>
              </w:rPr>
              <w:t xml:space="preserve"> q</w:t>
            </w:r>
            <w:r w:rsidRPr="0013396E">
              <w:rPr>
                <w:iCs/>
                <w:sz w:val="20"/>
                <w:szCs w:val="24"/>
              </w:rPr>
              <w:t xml:space="preserve"> for the </w:t>
            </w:r>
            <w:r w:rsidRPr="0013396E">
              <w:rPr>
                <w:sz w:val="20"/>
                <w:szCs w:val="24"/>
              </w:rPr>
              <w:t xml:space="preserve">15-minute Settlement Interval </w:t>
            </w:r>
            <w:r w:rsidRPr="0013396E">
              <w:rPr>
                <w:i/>
                <w:iCs/>
                <w:sz w:val="20"/>
                <w:szCs w:val="24"/>
              </w:rPr>
              <w:t>i</w:t>
            </w:r>
            <w:r w:rsidRPr="0013396E">
              <w:rPr>
                <w:sz w:val="20"/>
                <w:szCs w:val="24"/>
              </w:rPr>
              <w:t xml:space="preserve"> within the Operating Day.</w:t>
            </w:r>
            <w:r w:rsidRPr="0013396E">
              <w:rPr>
                <w:iCs/>
                <w:sz w:val="20"/>
                <w:szCs w:val="24"/>
              </w:rPr>
              <w:t xml:space="preserve">  Where for a Combined Cycle Train, the Resource </w:t>
            </w:r>
            <w:r w:rsidRPr="0013396E">
              <w:rPr>
                <w:i/>
                <w:iCs/>
                <w:sz w:val="20"/>
                <w:szCs w:val="24"/>
              </w:rPr>
              <w:t>r</w:t>
            </w:r>
            <w:r w:rsidRPr="0013396E">
              <w:rPr>
                <w:iCs/>
                <w:sz w:val="20"/>
                <w:szCs w:val="24"/>
              </w:rPr>
              <w:t xml:space="preserve"> is a Combined Cycle Generation Resource within the Combined Cycle Train.</w:t>
            </w:r>
          </w:p>
        </w:tc>
      </w:tr>
      <w:tr w:rsidR="00DA793B" w:rsidRPr="0013396E" w14:paraId="3585F093" w14:textId="77777777" w:rsidTr="00890B99">
        <w:trPr>
          <w:cantSplit/>
        </w:trPr>
        <w:tc>
          <w:tcPr>
            <w:tcW w:w="1008" w:type="pct"/>
            <w:tcBorders>
              <w:top w:val="single" w:sz="6" w:space="0" w:color="auto"/>
              <w:left w:val="single" w:sz="4" w:space="0" w:color="auto"/>
              <w:bottom w:val="single" w:sz="6" w:space="0" w:color="auto"/>
              <w:right w:val="single" w:sz="6" w:space="0" w:color="auto"/>
            </w:tcBorders>
          </w:tcPr>
          <w:p w14:paraId="05507E00" w14:textId="74B3D883" w:rsidR="00DA793B" w:rsidRPr="0013396E" w:rsidRDefault="00DA793B" w:rsidP="00DA793B">
            <w:pPr>
              <w:spacing w:after="60"/>
              <w:rPr>
                <w:iCs/>
                <w:sz w:val="20"/>
                <w:szCs w:val="24"/>
              </w:rPr>
            </w:pPr>
            <w:r w:rsidRPr="00CF7EAF">
              <w:rPr>
                <w:iCs/>
                <w:sz w:val="20"/>
              </w:rPr>
              <w:t xml:space="preserve">MFC </w:t>
            </w:r>
            <w:r w:rsidRPr="00CF7EAF">
              <w:rPr>
                <w:i/>
                <w:iCs/>
                <w:sz w:val="20"/>
                <w:vertAlign w:val="subscript"/>
              </w:rPr>
              <w:t>q, r, i</w:t>
            </w:r>
            <w:r w:rsidRPr="00CF7EAF">
              <w:rPr>
                <w:iCs/>
                <w:sz w:val="20"/>
              </w:rPr>
              <w:t xml:space="preserve"> </w:t>
            </w:r>
          </w:p>
        </w:tc>
        <w:tc>
          <w:tcPr>
            <w:tcW w:w="607" w:type="pct"/>
            <w:tcBorders>
              <w:top w:val="single" w:sz="6" w:space="0" w:color="auto"/>
              <w:left w:val="single" w:sz="6" w:space="0" w:color="auto"/>
              <w:bottom w:val="single" w:sz="6" w:space="0" w:color="auto"/>
              <w:right w:val="single" w:sz="6" w:space="0" w:color="auto"/>
            </w:tcBorders>
          </w:tcPr>
          <w:p w14:paraId="7BFE853C" w14:textId="3285FD05" w:rsidR="00DA793B" w:rsidRPr="0013396E" w:rsidRDefault="00DA793B" w:rsidP="00DA793B">
            <w:pPr>
              <w:spacing w:after="60"/>
              <w:rPr>
                <w:iCs/>
                <w:sz w:val="20"/>
                <w:szCs w:val="24"/>
              </w:rPr>
            </w:pPr>
            <w:r w:rsidRPr="00CF7EAF">
              <w:rPr>
                <w:iCs/>
                <w:sz w:val="20"/>
              </w:rPr>
              <w:t>$/MWh</w:t>
            </w:r>
          </w:p>
        </w:tc>
        <w:tc>
          <w:tcPr>
            <w:tcW w:w="3385" w:type="pct"/>
            <w:tcBorders>
              <w:top w:val="single" w:sz="6" w:space="0" w:color="auto"/>
              <w:left w:val="single" w:sz="6" w:space="0" w:color="auto"/>
              <w:bottom w:val="single" w:sz="6" w:space="0" w:color="auto"/>
              <w:right w:val="single" w:sz="4" w:space="0" w:color="auto"/>
            </w:tcBorders>
          </w:tcPr>
          <w:p w14:paraId="6E4A5AAF" w14:textId="59488427" w:rsidR="00DA793B" w:rsidRPr="0013396E" w:rsidRDefault="00DA793B" w:rsidP="00DA793B">
            <w:pPr>
              <w:spacing w:after="60"/>
              <w:rPr>
                <w:i/>
                <w:iCs/>
                <w:sz w:val="20"/>
                <w:szCs w:val="24"/>
              </w:rPr>
            </w:pPr>
            <w:r w:rsidRPr="00CF7EAF">
              <w:rPr>
                <w:iCs/>
                <w:sz w:val="20"/>
              </w:rPr>
              <w:t xml:space="preserve">Marginal Fuel Cost – The marginal fuel cost for Resource </w:t>
            </w:r>
            <w:r w:rsidRPr="00CF7EAF">
              <w:rPr>
                <w:i/>
                <w:sz w:val="20"/>
              </w:rPr>
              <w:t>r</w:t>
            </w:r>
            <w:r w:rsidRPr="00CF7EAF">
              <w:rPr>
                <w:iCs/>
                <w:sz w:val="20"/>
              </w:rPr>
              <w:t xml:space="preserve"> represented by QSE </w:t>
            </w:r>
            <w:r w:rsidRPr="00CF7EAF">
              <w:rPr>
                <w:i/>
                <w:sz w:val="20"/>
              </w:rPr>
              <w:t>q</w:t>
            </w:r>
            <w:r w:rsidRPr="00CF7EAF">
              <w:rPr>
                <w:iCs/>
                <w:sz w:val="20"/>
              </w:rPr>
              <w:t xml:space="preserve"> for the 15-minute Settlement Interval </w:t>
            </w:r>
            <w:r w:rsidRPr="00CF7EAF">
              <w:rPr>
                <w:i/>
                <w:sz w:val="20"/>
              </w:rPr>
              <w:t>i</w:t>
            </w:r>
            <w:r w:rsidRPr="00CF7EAF">
              <w:rPr>
                <w:iCs/>
                <w:sz w:val="20"/>
              </w:rPr>
              <w:t xml:space="preserve"> within the Operating Day.  Where for a Combined Cycle Train, the Resource </w:t>
            </w:r>
            <w:r w:rsidRPr="00CF7EAF">
              <w:rPr>
                <w:i/>
                <w:sz w:val="20"/>
              </w:rPr>
              <w:t>r</w:t>
            </w:r>
            <w:r w:rsidRPr="00CF7EAF">
              <w:rPr>
                <w:iCs/>
                <w:sz w:val="20"/>
              </w:rPr>
              <w:t xml:space="preserve"> is a Combined Cycle Generation Resource within the Combined Cycle Train.</w:t>
            </w:r>
          </w:p>
        </w:tc>
      </w:tr>
      <w:tr w:rsidR="00162CAA" w:rsidRPr="0013396E" w14:paraId="3EF890FC"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00539740" w14:textId="77777777" w:rsidR="00162CAA" w:rsidRPr="0013396E" w:rsidRDefault="00162CAA" w:rsidP="00162CAA">
            <w:pPr>
              <w:spacing w:after="60"/>
              <w:rPr>
                <w:iCs/>
                <w:sz w:val="20"/>
                <w:szCs w:val="24"/>
              </w:rPr>
            </w:pPr>
            <w:r w:rsidRPr="0013396E">
              <w:rPr>
                <w:iCs/>
                <w:sz w:val="20"/>
                <w:szCs w:val="24"/>
              </w:rPr>
              <w:t>LCAP</w:t>
            </w:r>
          </w:p>
        </w:tc>
        <w:tc>
          <w:tcPr>
            <w:tcW w:w="607" w:type="pct"/>
            <w:tcBorders>
              <w:top w:val="single" w:sz="6" w:space="0" w:color="auto"/>
              <w:left w:val="single" w:sz="6" w:space="0" w:color="auto"/>
              <w:bottom w:val="single" w:sz="6" w:space="0" w:color="auto"/>
              <w:right w:val="single" w:sz="6" w:space="0" w:color="auto"/>
            </w:tcBorders>
            <w:hideMark/>
          </w:tcPr>
          <w:p w14:paraId="21DE1D09"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610CB13E" w14:textId="3A192EF2" w:rsidR="00162CAA" w:rsidRPr="0013396E" w:rsidRDefault="00162CAA" w:rsidP="00162CAA">
            <w:pPr>
              <w:spacing w:after="60"/>
              <w:rPr>
                <w:i/>
                <w:iCs/>
                <w:sz w:val="20"/>
                <w:szCs w:val="24"/>
              </w:rPr>
            </w:pPr>
            <w:r w:rsidRPr="0013396E">
              <w:rPr>
                <w:i/>
                <w:iCs/>
                <w:sz w:val="20"/>
                <w:szCs w:val="24"/>
              </w:rPr>
              <w:t xml:space="preserve">Low System Wide Offer Cap – </w:t>
            </w:r>
            <w:r w:rsidRPr="0013396E">
              <w:rPr>
                <w:iCs/>
                <w:sz w:val="20"/>
                <w:szCs w:val="24"/>
              </w:rPr>
              <w:t xml:space="preserve">The value set per paragraph (1) of Section 4.4.11, </w:t>
            </w:r>
            <w:r w:rsidR="00F611B9">
              <w:rPr>
                <w:iCs/>
                <w:sz w:val="20"/>
                <w:szCs w:val="24"/>
              </w:rPr>
              <w:t xml:space="preserve">Day-Ahead and Real-Time </w:t>
            </w:r>
            <w:r w:rsidRPr="0013396E">
              <w:rPr>
                <w:iCs/>
                <w:sz w:val="20"/>
                <w:szCs w:val="24"/>
              </w:rPr>
              <w:t>System-Wide Offer Caps.</w:t>
            </w:r>
          </w:p>
        </w:tc>
      </w:tr>
      <w:tr w:rsidR="00162CAA" w:rsidRPr="0013396E" w14:paraId="7E084C56"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0DED7E1" w14:textId="77777777" w:rsidR="00162CAA" w:rsidRPr="0013396E" w:rsidRDefault="00162CAA" w:rsidP="00162CAA">
            <w:pPr>
              <w:spacing w:after="60"/>
              <w:rPr>
                <w:iCs/>
                <w:sz w:val="20"/>
                <w:szCs w:val="24"/>
              </w:rPr>
            </w:pPr>
            <w:r w:rsidRPr="0013396E">
              <w:rPr>
                <w:iCs/>
                <w:sz w:val="20"/>
                <w:szCs w:val="24"/>
              </w:rPr>
              <w:t xml:space="preserve">ROM </w:t>
            </w:r>
            <w:r w:rsidRPr="0013396E">
              <w:rPr>
                <w:i/>
                <w:iCs/>
                <w:sz w:val="20"/>
                <w:szCs w:val="24"/>
                <w:vertAlign w:val="subscript"/>
              </w:rPr>
              <w:t>q, r</w:t>
            </w:r>
          </w:p>
        </w:tc>
        <w:tc>
          <w:tcPr>
            <w:tcW w:w="607" w:type="pct"/>
            <w:tcBorders>
              <w:top w:val="single" w:sz="6" w:space="0" w:color="auto"/>
              <w:left w:val="single" w:sz="6" w:space="0" w:color="auto"/>
              <w:bottom w:val="single" w:sz="6" w:space="0" w:color="auto"/>
              <w:right w:val="single" w:sz="6" w:space="0" w:color="auto"/>
            </w:tcBorders>
            <w:hideMark/>
          </w:tcPr>
          <w:p w14:paraId="600CC5C0"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650B4FFB" w14:textId="70E1C690" w:rsidR="00162CAA" w:rsidRPr="0013396E" w:rsidRDefault="00162CAA" w:rsidP="00162CAA">
            <w:pPr>
              <w:spacing w:after="60"/>
              <w:rPr>
                <w:i/>
                <w:iCs/>
                <w:sz w:val="20"/>
                <w:szCs w:val="24"/>
              </w:rPr>
            </w:pPr>
            <w:r w:rsidRPr="0013396E">
              <w:rPr>
                <w:i/>
                <w:iCs/>
                <w:sz w:val="20"/>
                <w:szCs w:val="24"/>
              </w:rPr>
              <w:t xml:space="preserve">Raw Verifiable Operations and Maintenance Cost Above LSL – </w:t>
            </w:r>
            <w:r w:rsidRPr="0013396E">
              <w:rPr>
                <w:iCs/>
                <w:sz w:val="20"/>
                <w:szCs w:val="24"/>
              </w:rPr>
              <w:t xml:space="preserve">The raw verifiable O&amp;M cost for the Resource </w:t>
            </w:r>
            <w:r w:rsidRPr="0013396E">
              <w:rPr>
                <w:i/>
                <w:iCs/>
                <w:sz w:val="20"/>
                <w:szCs w:val="24"/>
              </w:rPr>
              <w:t xml:space="preserve">r </w:t>
            </w:r>
            <w:r w:rsidRPr="0013396E">
              <w:rPr>
                <w:iCs/>
                <w:sz w:val="20"/>
                <w:szCs w:val="24"/>
              </w:rPr>
              <w:t>represented by QSE</w:t>
            </w:r>
            <w:r w:rsidRPr="0013396E">
              <w:rPr>
                <w:i/>
                <w:iCs/>
                <w:sz w:val="20"/>
                <w:szCs w:val="24"/>
              </w:rPr>
              <w:t xml:space="preserve"> q</w:t>
            </w:r>
            <w:r w:rsidRPr="0013396E">
              <w:rPr>
                <w:iCs/>
                <w:sz w:val="20"/>
                <w:szCs w:val="24"/>
              </w:rPr>
              <w:t xml:space="preserve"> for operations above LSL.  Where for a Combined Cycle Train, the Resource </w:t>
            </w:r>
            <w:r w:rsidRPr="0013396E">
              <w:rPr>
                <w:i/>
                <w:iCs/>
                <w:sz w:val="20"/>
                <w:szCs w:val="24"/>
              </w:rPr>
              <w:t>r</w:t>
            </w:r>
            <w:r w:rsidRPr="0013396E">
              <w:rPr>
                <w:iCs/>
                <w:sz w:val="20"/>
                <w:szCs w:val="24"/>
              </w:rPr>
              <w:t xml:space="preserve"> is a Combined Cycle Generation Resource within the Combined Cycle Train.</w:t>
            </w:r>
          </w:p>
        </w:tc>
      </w:tr>
      <w:tr w:rsidR="00DA793B" w:rsidRPr="0013396E" w14:paraId="0EBDFFBF" w14:textId="77777777" w:rsidTr="00890B99">
        <w:trPr>
          <w:cantSplit/>
        </w:trPr>
        <w:tc>
          <w:tcPr>
            <w:tcW w:w="1008" w:type="pct"/>
            <w:tcBorders>
              <w:top w:val="single" w:sz="6" w:space="0" w:color="auto"/>
              <w:left w:val="single" w:sz="4" w:space="0" w:color="auto"/>
              <w:bottom w:val="single" w:sz="6" w:space="0" w:color="auto"/>
              <w:right w:val="single" w:sz="6" w:space="0" w:color="auto"/>
            </w:tcBorders>
          </w:tcPr>
          <w:p w14:paraId="27CD00A2" w14:textId="10ADEAA9" w:rsidR="00DA793B" w:rsidRPr="0013396E" w:rsidRDefault="00DA793B" w:rsidP="00DA793B">
            <w:pPr>
              <w:spacing w:after="60"/>
              <w:rPr>
                <w:iCs/>
                <w:sz w:val="20"/>
                <w:szCs w:val="24"/>
              </w:rPr>
            </w:pPr>
            <w:r w:rsidRPr="00CF7EAF">
              <w:rPr>
                <w:iCs/>
                <w:sz w:val="20"/>
              </w:rPr>
              <w:t xml:space="preserve">VOM </w:t>
            </w:r>
            <w:r w:rsidRPr="00CF7EAF">
              <w:rPr>
                <w:i/>
                <w:iCs/>
                <w:sz w:val="20"/>
                <w:vertAlign w:val="subscript"/>
              </w:rPr>
              <w:t>q, r</w:t>
            </w:r>
          </w:p>
        </w:tc>
        <w:tc>
          <w:tcPr>
            <w:tcW w:w="607" w:type="pct"/>
            <w:tcBorders>
              <w:top w:val="single" w:sz="6" w:space="0" w:color="auto"/>
              <w:left w:val="single" w:sz="6" w:space="0" w:color="auto"/>
              <w:bottom w:val="single" w:sz="6" w:space="0" w:color="auto"/>
              <w:right w:val="single" w:sz="6" w:space="0" w:color="auto"/>
            </w:tcBorders>
          </w:tcPr>
          <w:p w14:paraId="7E9E0FAE" w14:textId="7B101A1A" w:rsidR="00DA793B" w:rsidRPr="0013396E" w:rsidRDefault="00DA793B" w:rsidP="00DA793B">
            <w:pPr>
              <w:spacing w:after="60"/>
              <w:rPr>
                <w:iCs/>
                <w:sz w:val="20"/>
                <w:szCs w:val="24"/>
              </w:rPr>
            </w:pPr>
            <w:r w:rsidRPr="00CF7EAF">
              <w:rPr>
                <w:iCs/>
                <w:sz w:val="20"/>
              </w:rPr>
              <w:t>$/MWh</w:t>
            </w:r>
          </w:p>
        </w:tc>
        <w:tc>
          <w:tcPr>
            <w:tcW w:w="3385" w:type="pct"/>
            <w:tcBorders>
              <w:top w:val="single" w:sz="6" w:space="0" w:color="auto"/>
              <w:left w:val="single" w:sz="6" w:space="0" w:color="auto"/>
              <w:bottom w:val="single" w:sz="6" w:space="0" w:color="auto"/>
              <w:right w:val="single" w:sz="4" w:space="0" w:color="auto"/>
            </w:tcBorders>
          </w:tcPr>
          <w:p w14:paraId="10CC7555" w14:textId="33C646F1" w:rsidR="00DA793B" w:rsidRPr="0013396E" w:rsidRDefault="00DA793B" w:rsidP="00DA793B">
            <w:pPr>
              <w:spacing w:after="60"/>
              <w:rPr>
                <w:i/>
                <w:iCs/>
                <w:sz w:val="20"/>
                <w:szCs w:val="24"/>
              </w:rPr>
            </w:pPr>
            <w:r w:rsidRPr="00CF7EAF">
              <w:rPr>
                <w:iCs/>
                <w:sz w:val="20"/>
              </w:rPr>
              <w:t xml:space="preserve">Variable Operations and Maintenance Cost – The variable operations and maintenance cost incurred by the Resource </w:t>
            </w:r>
            <w:r w:rsidRPr="00CF7EAF">
              <w:rPr>
                <w:i/>
                <w:sz w:val="20"/>
              </w:rPr>
              <w:t>r</w:t>
            </w:r>
            <w:r w:rsidRPr="00CF7EAF">
              <w:rPr>
                <w:iCs/>
                <w:sz w:val="20"/>
              </w:rPr>
              <w:t xml:space="preserve"> represented by QSE </w:t>
            </w:r>
            <w:r w:rsidRPr="00CF7EAF">
              <w:rPr>
                <w:i/>
                <w:sz w:val="20"/>
              </w:rPr>
              <w:t>q</w:t>
            </w:r>
            <w:r w:rsidRPr="00CF7EAF">
              <w:rPr>
                <w:iCs/>
                <w:sz w:val="20"/>
              </w:rPr>
              <w:t xml:space="preserve"> for operations after breaker close.  Where for a Combined Cycle Train, the Resource </w:t>
            </w:r>
            <w:r w:rsidRPr="00CF7EAF">
              <w:rPr>
                <w:i/>
                <w:sz w:val="20"/>
              </w:rPr>
              <w:t>r</w:t>
            </w:r>
            <w:r w:rsidRPr="00CF7EAF">
              <w:rPr>
                <w:iCs/>
                <w:sz w:val="20"/>
              </w:rPr>
              <w:t xml:space="preserve"> is a Combined Cycle Generation Resource within the Combined Cycle Train.</w:t>
            </w:r>
          </w:p>
        </w:tc>
      </w:tr>
      <w:tr w:rsidR="00DA793B" w:rsidRPr="0013396E" w14:paraId="58791485" w14:textId="77777777" w:rsidTr="00890B99">
        <w:trPr>
          <w:cantSplit/>
        </w:trPr>
        <w:tc>
          <w:tcPr>
            <w:tcW w:w="1008" w:type="pct"/>
            <w:tcBorders>
              <w:top w:val="single" w:sz="6" w:space="0" w:color="auto"/>
              <w:left w:val="single" w:sz="4" w:space="0" w:color="auto"/>
              <w:bottom w:val="single" w:sz="6" w:space="0" w:color="auto"/>
              <w:right w:val="single" w:sz="6" w:space="0" w:color="auto"/>
            </w:tcBorders>
          </w:tcPr>
          <w:p w14:paraId="10D5FD64" w14:textId="589C49D1" w:rsidR="00DA793B" w:rsidRPr="0013396E" w:rsidRDefault="00DA793B" w:rsidP="00DA793B">
            <w:pPr>
              <w:spacing w:after="60"/>
              <w:rPr>
                <w:iCs/>
                <w:sz w:val="20"/>
                <w:szCs w:val="24"/>
              </w:rPr>
            </w:pPr>
            <w:r w:rsidRPr="00CF7EAF">
              <w:rPr>
                <w:iCs/>
                <w:sz w:val="20"/>
              </w:rPr>
              <w:t xml:space="preserve">IVC </w:t>
            </w:r>
            <w:r w:rsidRPr="00CF7EAF">
              <w:rPr>
                <w:i/>
                <w:iCs/>
                <w:sz w:val="20"/>
                <w:vertAlign w:val="subscript"/>
              </w:rPr>
              <w:t>q, r</w:t>
            </w:r>
          </w:p>
        </w:tc>
        <w:tc>
          <w:tcPr>
            <w:tcW w:w="607" w:type="pct"/>
            <w:tcBorders>
              <w:top w:val="single" w:sz="6" w:space="0" w:color="auto"/>
              <w:left w:val="single" w:sz="6" w:space="0" w:color="auto"/>
              <w:bottom w:val="single" w:sz="6" w:space="0" w:color="auto"/>
              <w:right w:val="single" w:sz="6" w:space="0" w:color="auto"/>
            </w:tcBorders>
          </w:tcPr>
          <w:p w14:paraId="7C669FC5" w14:textId="7EC8AE97" w:rsidR="00DA793B" w:rsidRPr="0013396E" w:rsidRDefault="00DA793B" w:rsidP="00DA793B">
            <w:pPr>
              <w:spacing w:after="60"/>
              <w:rPr>
                <w:iCs/>
                <w:sz w:val="20"/>
                <w:szCs w:val="24"/>
              </w:rPr>
            </w:pPr>
            <w:r w:rsidRPr="00CF7EAF">
              <w:rPr>
                <w:iCs/>
                <w:sz w:val="20"/>
              </w:rPr>
              <w:t>$/MWh</w:t>
            </w:r>
          </w:p>
        </w:tc>
        <w:tc>
          <w:tcPr>
            <w:tcW w:w="3385" w:type="pct"/>
            <w:tcBorders>
              <w:top w:val="single" w:sz="6" w:space="0" w:color="auto"/>
              <w:left w:val="single" w:sz="6" w:space="0" w:color="auto"/>
              <w:bottom w:val="single" w:sz="6" w:space="0" w:color="auto"/>
              <w:right w:val="single" w:sz="4" w:space="0" w:color="auto"/>
            </w:tcBorders>
          </w:tcPr>
          <w:p w14:paraId="080C3C7C" w14:textId="73DEC49F" w:rsidR="00DA793B" w:rsidRPr="0013396E" w:rsidRDefault="00DA793B" w:rsidP="00DA793B">
            <w:pPr>
              <w:spacing w:after="60"/>
              <w:rPr>
                <w:i/>
                <w:iCs/>
                <w:sz w:val="20"/>
                <w:szCs w:val="24"/>
              </w:rPr>
            </w:pPr>
            <w:r w:rsidRPr="00CF7EAF">
              <w:rPr>
                <w:iCs/>
                <w:sz w:val="20"/>
              </w:rPr>
              <w:t xml:space="preserve">Incremental Variable Operations and Maintenance Cost – The incremental variable operations and maintenance cost incurred by the Resource </w:t>
            </w:r>
            <w:r w:rsidRPr="00CF7EAF">
              <w:rPr>
                <w:i/>
                <w:sz w:val="20"/>
              </w:rPr>
              <w:t>r</w:t>
            </w:r>
            <w:r w:rsidRPr="00CF7EAF">
              <w:rPr>
                <w:iCs/>
                <w:sz w:val="20"/>
              </w:rPr>
              <w:t xml:space="preserve"> represented by QSE </w:t>
            </w:r>
            <w:r w:rsidRPr="00CF7EAF">
              <w:rPr>
                <w:i/>
                <w:sz w:val="20"/>
              </w:rPr>
              <w:t>q</w:t>
            </w:r>
            <w:r w:rsidRPr="00CF7EAF">
              <w:rPr>
                <w:iCs/>
                <w:sz w:val="20"/>
              </w:rPr>
              <w:t xml:space="preserve"> for operations after breaker close.  Where for a Combined Cycle Train, the Resource </w:t>
            </w:r>
            <w:r w:rsidRPr="00CF7EAF">
              <w:rPr>
                <w:i/>
                <w:sz w:val="20"/>
              </w:rPr>
              <w:t>r</w:t>
            </w:r>
            <w:r w:rsidRPr="00CF7EAF">
              <w:rPr>
                <w:iCs/>
                <w:sz w:val="20"/>
              </w:rPr>
              <w:t xml:space="preserve"> is a Combined Cycle Generation Resource within the Combined Cycle Train.</w:t>
            </w:r>
          </w:p>
        </w:tc>
      </w:tr>
      <w:tr w:rsidR="00162CAA" w:rsidRPr="0013396E" w14:paraId="7D685698"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1F657E9F" w14:textId="77777777" w:rsidR="00162CAA" w:rsidRPr="0013396E" w:rsidRDefault="00162CAA" w:rsidP="00162CAA">
            <w:pPr>
              <w:spacing w:after="60"/>
              <w:rPr>
                <w:iCs/>
                <w:sz w:val="20"/>
                <w:szCs w:val="24"/>
              </w:rPr>
            </w:pPr>
            <w:r w:rsidRPr="0013396E">
              <w:rPr>
                <w:iCs/>
                <w:sz w:val="20"/>
                <w:szCs w:val="24"/>
              </w:rPr>
              <w:t xml:space="preserve">AMF </w:t>
            </w:r>
            <w:r w:rsidRPr="0013396E">
              <w:rPr>
                <w:i/>
                <w:iCs/>
                <w:sz w:val="20"/>
                <w:szCs w:val="24"/>
                <w:vertAlign w:val="subscript"/>
              </w:rPr>
              <w:t>q, r, i</w:t>
            </w:r>
          </w:p>
        </w:tc>
        <w:tc>
          <w:tcPr>
            <w:tcW w:w="607" w:type="pct"/>
            <w:tcBorders>
              <w:top w:val="single" w:sz="6" w:space="0" w:color="auto"/>
              <w:left w:val="single" w:sz="6" w:space="0" w:color="auto"/>
              <w:bottom w:val="single" w:sz="6" w:space="0" w:color="auto"/>
              <w:right w:val="single" w:sz="6" w:space="0" w:color="auto"/>
            </w:tcBorders>
            <w:hideMark/>
          </w:tcPr>
          <w:p w14:paraId="13B76B83" w14:textId="77777777" w:rsidR="00162CAA" w:rsidRPr="0013396E" w:rsidRDefault="00162CAA" w:rsidP="00162CAA">
            <w:pPr>
              <w:spacing w:after="60"/>
              <w:rPr>
                <w:iCs/>
                <w:sz w:val="20"/>
                <w:szCs w:val="24"/>
              </w:rPr>
            </w:pPr>
            <w:r w:rsidRPr="0013396E">
              <w:rPr>
                <w:iCs/>
                <w:sz w:val="20"/>
                <w:szCs w:val="24"/>
              </w:rPr>
              <w:t>MMBtu</w:t>
            </w:r>
          </w:p>
        </w:tc>
        <w:tc>
          <w:tcPr>
            <w:tcW w:w="3385" w:type="pct"/>
            <w:tcBorders>
              <w:top w:val="single" w:sz="6" w:space="0" w:color="auto"/>
              <w:left w:val="single" w:sz="6" w:space="0" w:color="auto"/>
              <w:bottom w:val="single" w:sz="6" w:space="0" w:color="auto"/>
              <w:right w:val="single" w:sz="4" w:space="0" w:color="auto"/>
            </w:tcBorders>
            <w:hideMark/>
          </w:tcPr>
          <w:p w14:paraId="7EA43A95" w14:textId="16351B14" w:rsidR="00162CAA" w:rsidRPr="0013396E" w:rsidRDefault="00162CAA" w:rsidP="00162CAA">
            <w:pPr>
              <w:spacing w:after="60"/>
              <w:rPr>
                <w:i/>
                <w:iCs/>
                <w:sz w:val="20"/>
                <w:szCs w:val="24"/>
              </w:rPr>
            </w:pPr>
            <w:r w:rsidRPr="0013396E">
              <w:rPr>
                <w:i/>
                <w:iCs/>
                <w:sz w:val="20"/>
                <w:szCs w:val="24"/>
              </w:rPr>
              <w:t xml:space="preserve">Actual Marginal Fuel per QSE per Resource - </w:t>
            </w:r>
            <w:r w:rsidRPr="0013396E">
              <w:rPr>
                <w:iCs/>
                <w:sz w:val="20"/>
                <w:szCs w:val="24"/>
              </w:rPr>
              <w:t xml:space="preserve">The actual marginal purchased and delivered fuel for the Resource </w:t>
            </w:r>
            <w:r w:rsidRPr="0013396E">
              <w:rPr>
                <w:i/>
                <w:sz w:val="20"/>
                <w:szCs w:val="24"/>
              </w:rPr>
              <w:t>r</w:t>
            </w:r>
            <w:r w:rsidRPr="0013396E">
              <w:rPr>
                <w:iCs/>
                <w:sz w:val="20"/>
                <w:szCs w:val="24"/>
              </w:rPr>
              <w:t xml:space="preserve"> represented by QSE </w:t>
            </w:r>
            <w:r w:rsidRPr="0013396E">
              <w:rPr>
                <w:i/>
                <w:sz w:val="20"/>
                <w:szCs w:val="24"/>
              </w:rPr>
              <w:t>q</w:t>
            </w:r>
            <w:r w:rsidRPr="0013396E">
              <w:rPr>
                <w:iCs/>
                <w:sz w:val="20"/>
                <w:szCs w:val="24"/>
              </w:rPr>
              <w:t xml:space="preserve"> for the </w:t>
            </w:r>
            <w:r w:rsidRPr="0013396E">
              <w:rPr>
                <w:sz w:val="20"/>
                <w:szCs w:val="24"/>
              </w:rPr>
              <w:t xml:space="preserve">15-minute Settlement Interval </w:t>
            </w:r>
            <w:r w:rsidRPr="0013396E">
              <w:rPr>
                <w:i/>
                <w:iCs/>
                <w:sz w:val="20"/>
                <w:szCs w:val="24"/>
              </w:rPr>
              <w:t>i</w:t>
            </w:r>
            <w:r w:rsidRPr="0013396E">
              <w:rPr>
                <w:sz w:val="20"/>
                <w:szCs w:val="24"/>
              </w:rPr>
              <w:t xml:space="preserve"> within the Operating Day.  </w:t>
            </w:r>
            <w:r w:rsidRPr="0013396E">
              <w:rPr>
                <w:iCs/>
                <w:sz w:val="20"/>
                <w:szCs w:val="24"/>
              </w:rPr>
              <w:t xml:space="preserve">The AMF represents only the fuel used to calculate the weighted average fuel price, WAFP.  Where for a Combined Cycle Train, the Resource </w:t>
            </w:r>
            <w:r w:rsidRPr="0013396E">
              <w:rPr>
                <w:i/>
                <w:iCs/>
                <w:sz w:val="20"/>
                <w:szCs w:val="24"/>
              </w:rPr>
              <w:t>r</w:t>
            </w:r>
            <w:r w:rsidRPr="0013396E">
              <w:rPr>
                <w:iCs/>
                <w:sz w:val="20"/>
                <w:szCs w:val="24"/>
              </w:rPr>
              <w:t xml:space="preserve"> is a Combined Cycle Generation Resource within the Combined Cycle Train.</w:t>
            </w:r>
          </w:p>
        </w:tc>
      </w:tr>
      <w:tr w:rsidR="00162CAA" w:rsidRPr="0013396E" w14:paraId="68177724"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26CEF7C9" w14:textId="77777777" w:rsidR="00162CAA" w:rsidRPr="0013396E" w:rsidRDefault="00162CAA" w:rsidP="00162CAA">
            <w:pPr>
              <w:spacing w:after="60"/>
              <w:rPr>
                <w:iCs/>
                <w:sz w:val="20"/>
                <w:szCs w:val="24"/>
              </w:rPr>
            </w:pPr>
            <w:r w:rsidRPr="0013396E">
              <w:rPr>
                <w:iCs/>
                <w:sz w:val="20"/>
                <w:szCs w:val="24"/>
              </w:rPr>
              <w:lastRenderedPageBreak/>
              <w:t xml:space="preserve">STOM </w:t>
            </w:r>
            <w:r w:rsidRPr="0013396E">
              <w:rPr>
                <w:i/>
                <w:iCs/>
                <w:sz w:val="20"/>
                <w:szCs w:val="24"/>
                <w:vertAlign w:val="subscript"/>
              </w:rPr>
              <w:t>rc</w:t>
            </w:r>
            <w:r w:rsidRPr="0013396E">
              <w:rPr>
                <w:iCs/>
                <w:sz w:val="20"/>
                <w:szCs w:val="24"/>
                <w:vertAlign w:val="subscript"/>
              </w:rPr>
              <w:t xml:space="preserve"> </w:t>
            </w:r>
          </w:p>
        </w:tc>
        <w:tc>
          <w:tcPr>
            <w:tcW w:w="607" w:type="pct"/>
            <w:tcBorders>
              <w:top w:val="single" w:sz="6" w:space="0" w:color="auto"/>
              <w:left w:val="single" w:sz="6" w:space="0" w:color="auto"/>
              <w:bottom w:val="single" w:sz="6" w:space="0" w:color="auto"/>
              <w:right w:val="single" w:sz="6" w:space="0" w:color="auto"/>
            </w:tcBorders>
            <w:hideMark/>
          </w:tcPr>
          <w:p w14:paraId="6D04A984"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66E82270" w14:textId="6EA3E5BE" w:rsidR="00162CAA" w:rsidRDefault="00162CAA" w:rsidP="00162CAA">
            <w:pPr>
              <w:spacing w:after="60"/>
              <w:rPr>
                <w:iCs/>
                <w:sz w:val="20"/>
                <w:szCs w:val="24"/>
              </w:rPr>
            </w:pPr>
            <w:r w:rsidRPr="0013396E">
              <w:rPr>
                <w:i/>
                <w:iCs/>
                <w:sz w:val="20"/>
                <w:szCs w:val="24"/>
              </w:rPr>
              <w:t xml:space="preserve">Standard Operations and Maintenance Cost – </w:t>
            </w:r>
            <w:r w:rsidRPr="0013396E">
              <w:rPr>
                <w:iCs/>
                <w:sz w:val="20"/>
                <w:szCs w:val="24"/>
              </w:rPr>
              <w:t xml:space="preserve">The standard O&amp;M cost for the Resource category </w:t>
            </w:r>
            <w:r w:rsidRPr="0013396E">
              <w:rPr>
                <w:i/>
                <w:iCs/>
                <w:sz w:val="20"/>
                <w:szCs w:val="24"/>
              </w:rPr>
              <w:t>rc</w:t>
            </w:r>
            <w:r w:rsidRPr="0013396E">
              <w:rPr>
                <w:iCs/>
                <w:sz w:val="20"/>
                <w:szCs w:val="24"/>
              </w:rPr>
              <w:t xml:space="preserve"> </w:t>
            </w:r>
            <w:r w:rsidR="00DA793B" w:rsidRPr="00CF7EAF">
              <w:rPr>
                <w:iCs/>
                <w:sz w:val="20"/>
              </w:rPr>
              <w:t>shall be set to the minimum energy variable O&amp;M costs</w:t>
            </w:r>
            <w:r w:rsidRPr="0013396E">
              <w:rPr>
                <w:iCs/>
                <w:sz w:val="20"/>
                <w:szCs w:val="24"/>
              </w:rPr>
              <w:t>, as described in paragraph (6)(c) of Section 5.6.1, Verifiable Costs.  For an ESR, STOM shall be set at $0.3/MWh.</w:t>
            </w:r>
          </w:p>
          <w:tbl>
            <w:tblPr>
              <w:tblW w:w="6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0"/>
            </w:tblGrid>
            <w:tr w:rsidR="00DA793B" w:rsidRPr="00CF7EAF" w14:paraId="181DC62B" w14:textId="77777777" w:rsidTr="004B69AB">
              <w:tc>
                <w:tcPr>
                  <w:tcW w:w="6265" w:type="dxa"/>
                  <w:tcBorders>
                    <w:top w:val="single" w:sz="4" w:space="0" w:color="auto"/>
                    <w:left w:val="single" w:sz="4" w:space="0" w:color="auto"/>
                    <w:bottom w:val="single" w:sz="4" w:space="0" w:color="auto"/>
                    <w:right w:val="single" w:sz="4" w:space="0" w:color="auto"/>
                  </w:tcBorders>
                  <w:shd w:val="clear" w:color="auto" w:fill="D9D9D9"/>
                  <w:hideMark/>
                </w:tcPr>
                <w:p w14:paraId="24A7B8AD" w14:textId="77777777" w:rsidR="00DA793B" w:rsidRPr="00CF7EAF" w:rsidRDefault="00DA793B" w:rsidP="00DA793B">
                  <w:pPr>
                    <w:spacing w:before="120" w:after="240"/>
                    <w:rPr>
                      <w:b/>
                      <w:i/>
                    </w:rPr>
                  </w:pPr>
                  <w:r w:rsidRPr="00CF7EAF">
                    <w:rPr>
                      <w:b/>
                      <w:i/>
                    </w:rPr>
                    <w:t xml:space="preserve">[NPRR1086:  </w:t>
                  </w:r>
                  <w:r w:rsidRPr="00CF7EAF">
                    <w:rPr>
                      <w:b/>
                      <w:i/>
                      <w:iCs/>
                    </w:rPr>
                    <w:t>Replace the definition above with the following upon system implementation of NPRR1029:]</w:t>
                  </w:r>
                </w:p>
                <w:p w14:paraId="516483B6" w14:textId="3E0D5B83" w:rsidR="00DA793B" w:rsidRPr="00CF7EAF" w:rsidRDefault="00DA793B" w:rsidP="00DA793B">
                  <w:pPr>
                    <w:spacing w:after="60"/>
                    <w:ind w:left="30"/>
                    <w:rPr>
                      <w:iCs/>
                    </w:rPr>
                  </w:pPr>
                  <w:r w:rsidRPr="00CF7EAF">
                    <w:rPr>
                      <w:i/>
                      <w:iCs/>
                      <w:sz w:val="20"/>
                    </w:rPr>
                    <w:t xml:space="preserve">Standard Operations and Maintenance Cost – </w:t>
                  </w:r>
                  <w:r w:rsidRPr="00CF7EAF">
                    <w:rPr>
                      <w:iCs/>
                      <w:sz w:val="20"/>
                    </w:rPr>
                    <w:t xml:space="preserve">The standard O&amp;M cost for the Resource category </w:t>
                  </w:r>
                  <w:r w:rsidRPr="00CF7EAF">
                    <w:rPr>
                      <w:i/>
                      <w:iCs/>
                      <w:sz w:val="20"/>
                    </w:rPr>
                    <w:t>rc</w:t>
                  </w:r>
                  <w:r w:rsidRPr="00CF7EAF">
                    <w:rPr>
                      <w:iCs/>
                      <w:sz w:val="20"/>
                    </w:rPr>
                    <w:t>, shall be set to the minimum energy variable O&amp;M costs, as described in paragraph (6)(c) of Section 5.6.1, Verifiable Costs.  For an ESR, STOM shall be set at $0.3/MWh and for a DC-Coupled Resource, the value shall be set at $4.40/MWh.</w:t>
                  </w:r>
                </w:p>
              </w:tc>
            </w:tr>
          </w:tbl>
          <w:p w14:paraId="5339B667" w14:textId="77777777" w:rsidR="00162CAA" w:rsidRPr="0013396E" w:rsidRDefault="00162CAA" w:rsidP="00162CAA">
            <w:pPr>
              <w:rPr>
                <w:sz w:val="20"/>
              </w:rPr>
            </w:pPr>
          </w:p>
        </w:tc>
      </w:tr>
      <w:tr w:rsidR="00162CAA" w:rsidRPr="0013396E" w14:paraId="3C6D83CF"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742853B" w14:textId="77777777" w:rsidR="00162CAA" w:rsidRPr="0013396E" w:rsidRDefault="00162CAA" w:rsidP="00162CAA">
            <w:pPr>
              <w:spacing w:after="60"/>
              <w:rPr>
                <w:iCs/>
                <w:sz w:val="20"/>
                <w:szCs w:val="24"/>
              </w:rPr>
            </w:pPr>
            <w:r w:rsidRPr="0013396E">
              <w:rPr>
                <w:iCs/>
                <w:sz w:val="20"/>
                <w:szCs w:val="24"/>
              </w:rPr>
              <w:t>RTSPP</w:t>
            </w:r>
            <w:r w:rsidRPr="0013396E">
              <w:rPr>
                <w:i/>
                <w:sz w:val="20"/>
                <w:szCs w:val="24"/>
                <w:vertAlign w:val="subscript"/>
              </w:rPr>
              <w:t xml:space="preserve"> p, i</w:t>
            </w:r>
          </w:p>
        </w:tc>
        <w:tc>
          <w:tcPr>
            <w:tcW w:w="607" w:type="pct"/>
            <w:tcBorders>
              <w:top w:val="single" w:sz="6" w:space="0" w:color="auto"/>
              <w:left w:val="single" w:sz="6" w:space="0" w:color="auto"/>
              <w:bottom w:val="single" w:sz="6" w:space="0" w:color="auto"/>
              <w:right w:val="single" w:sz="6" w:space="0" w:color="auto"/>
            </w:tcBorders>
            <w:hideMark/>
          </w:tcPr>
          <w:p w14:paraId="7DFE0A83"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15E63AE1" w14:textId="77777777" w:rsidR="00162CAA" w:rsidRPr="0013396E" w:rsidRDefault="00162CAA" w:rsidP="00162CAA">
            <w:pPr>
              <w:spacing w:after="60"/>
              <w:rPr>
                <w:iCs/>
                <w:sz w:val="20"/>
                <w:szCs w:val="24"/>
              </w:rPr>
            </w:pPr>
            <w:r w:rsidRPr="0013396E">
              <w:rPr>
                <w:i/>
                <w:iCs/>
                <w:sz w:val="20"/>
                <w:szCs w:val="24"/>
              </w:rPr>
              <w:t xml:space="preserve">Real-Time Settlement Point Price - </w:t>
            </w:r>
            <w:r w:rsidRPr="0013396E">
              <w:rPr>
                <w:iCs/>
                <w:sz w:val="20"/>
                <w:szCs w:val="24"/>
              </w:rPr>
              <w:t xml:space="preserve">The Real-Time Settlement Point Price at the Settlement Point </w:t>
            </w:r>
            <w:r w:rsidRPr="0013396E">
              <w:rPr>
                <w:i/>
                <w:iCs/>
                <w:sz w:val="20"/>
                <w:szCs w:val="24"/>
              </w:rPr>
              <w:t xml:space="preserve">p, </w:t>
            </w:r>
            <w:r w:rsidRPr="0013396E">
              <w:rPr>
                <w:iCs/>
                <w:sz w:val="20"/>
                <w:szCs w:val="24"/>
              </w:rPr>
              <w:t xml:space="preserve">for the 15-minute Settlement Interval </w:t>
            </w:r>
            <w:r w:rsidRPr="0013396E">
              <w:rPr>
                <w:i/>
                <w:iCs/>
                <w:sz w:val="20"/>
                <w:szCs w:val="24"/>
              </w:rPr>
              <w:t>i</w:t>
            </w:r>
            <w:r w:rsidRPr="0013396E">
              <w:rPr>
                <w:iCs/>
                <w:sz w:val="20"/>
                <w:szCs w:val="24"/>
              </w:rPr>
              <w:t>.</w:t>
            </w:r>
          </w:p>
        </w:tc>
      </w:tr>
      <w:tr w:rsidR="00162CAA" w:rsidRPr="0013396E" w14:paraId="34C2B213"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50666D45" w14:textId="77777777" w:rsidR="00162CAA" w:rsidRPr="0013396E" w:rsidRDefault="00162CAA" w:rsidP="00162CAA">
            <w:pPr>
              <w:spacing w:after="60"/>
              <w:rPr>
                <w:iCs/>
                <w:sz w:val="20"/>
                <w:szCs w:val="24"/>
              </w:rPr>
            </w:pPr>
            <w:r w:rsidRPr="0013396E">
              <w:rPr>
                <w:iCs/>
                <w:sz w:val="20"/>
                <w:szCs w:val="24"/>
              </w:rPr>
              <w:t xml:space="preserve">AFC </w:t>
            </w:r>
            <w:r w:rsidRPr="0013396E">
              <w:rPr>
                <w:i/>
                <w:sz w:val="20"/>
                <w:szCs w:val="24"/>
                <w:vertAlign w:val="subscript"/>
              </w:rPr>
              <w:t>q, r, i</w:t>
            </w:r>
          </w:p>
        </w:tc>
        <w:tc>
          <w:tcPr>
            <w:tcW w:w="607" w:type="pct"/>
            <w:tcBorders>
              <w:top w:val="single" w:sz="6" w:space="0" w:color="auto"/>
              <w:left w:val="single" w:sz="6" w:space="0" w:color="auto"/>
              <w:bottom w:val="single" w:sz="6" w:space="0" w:color="auto"/>
              <w:right w:val="single" w:sz="6" w:space="0" w:color="auto"/>
            </w:tcBorders>
            <w:hideMark/>
          </w:tcPr>
          <w:p w14:paraId="047ADE71"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78B43784" w14:textId="676D10BD" w:rsidR="00162CAA" w:rsidRPr="0013396E" w:rsidRDefault="00162CAA" w:rsidP="00162CAA">
            <w:pPr>
              <w:spacing w:after="60"/>
              <w:rPr>
                <w:i/>
                <w:iCs/>
                <w:sz w:val="20"/>
                <w:szCs w:val="24"/>
              </w:rPr>
            </w:pPr>
            <w:r w:rsidRPr="0013396E">
              <w:rPr>
                <w:i/>
                <w:iCs/>
                <w:sz w:val="20"/>
                <w:szCs w:val="24"/>
              </w:rPr>
              <w:t xml:space="preserve">Average Fuel Cost per Resource </w:t>
            </w:r>
            <w:r w:rsidR="00AA496E" w:rsidRPr="0013396E">
              <w:rPr>
                <w:i/>
                <w:iCs/>
                <w:sz w:val="20"/>
                <w:szCs w:val="24"/>
              </w:rPr>
              <w:t xml:space="preserve">- </w:t>
            </w:r>
            <w:r w:rsidRPr="0013396E">
              <w:rPr>
                <w:iCs/>
                <w:sz w:val="20"/>
                <w:szCs w:val="24"/>
              </w:rPr>
              <w:t>The average electricity cost used to charge the ESR</w:t>
            </w:r>
            <w:r w:rsidRPr="0013396E">
              <w:rPr>
                <w:i/>
                <w:iCs/>
                <w:sz w:val="20"/>
                <w:szCs w:val="24"/>
              </w:rPr>
              <w:t xml:space="preserve"> r </w:t>
            </w:r>
            <w:r w:rsidRPr="0013396E">
              <w:rPr>
                <w:iCs/>
                <w:sz w:val="20"/>
                <w:szCs w:val="24"/>
              </w:rPr>
              <w:t>represented by QSE</w:t>
            </w:r>
            <w:r w:rsidRPr="0013396E">
              <w:rPr>
                <w:i/>
                <w:iCs/>
                <w:sz w:val="20"/>
                <w:szCs w:val="24"/>
              </w:rPr>
              <w:t xml:space="preserve"> q</w:t>
            </w:r>
            <w:r w:rsidRPr="0013396E">
              <w:rPr>
                <w:iCs/>
                <w:sz w:val="20"/>
                <w:szCs w:val="24"/>
              </w:rPr>
              <w:t xml:space="preserve"> applicable to the energy discharge for the 15-minute Settlement Interval </w:t>
            </w:r>
            <w:r w:rsidRPr="0013396E">
              <w:rPr>
                <w:i/>
                <w:sz w:val="20"/>
                <w:szCs w:val="24"/>
              </w:rPr>
              <w:t>i</w:t>
            </w:r>
            <w:r w:rsidRPr="0013396E">
              <w:rPr>
                <w:iCs/>
                <w:sz w:val="20"/>
                <w:szCs w:val="24"/>
              </w:rPr>
              <w:t xml:space="preserve"> within the Operating Day.</w:t>
            </w:r>
          </w:p>
        </w:tc>
      </w:tr>
      <w:tr w:rsidR="00162CAA" w:rsidRPr="0013396E" w14:paraId="64E73A6D"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2C3644C4" w14:textId="77777777" w:rsidR="00162CAA" w:rsidRPr="0013396E" w:rsidRDefault="00162CAA" w:rsidP="00162CAA">
            <w:pPr>
              <w:spacing w:after="60"/>
              <w:rPr>
                <w:i/>
                <w:iCs/>
                <w:sz w:val="20"/>
                <w:szCs w:val="24"/>
              </w:rPr>
            </w:pPr>
            <w:r w:rsidRPr="0013396E">
              <w:rPr>
                <w:iCs/>
                <w:sz w:val="20"/>
                <w:szCs w:val="24"/>
                <w:lang w:val="pt-BR"/>
              </w:rPr>
              <w:t xml:space="preserve">AHR </w:t>
            </w:r>
            <w:r w:rsidRPr="0013396E">
              <w:rPr>
                <w:i/>
                <w:iCs/>
                <w:sz w:val="20"/>
                <w:szCs w:val="24"/>
                <w:vertAlign w:val="subscript"/>
                <w:lang w:val="es-ES"/>
              </w:rPr>
              <w:t>q, r, i</w:t>
            </w:r>
          </w:p>
        </w:tc>
        <w:tc>
          <w:tcPr>
            <w:tcW w:w="607" w:type="pct"/>
            <w:tcBorders>
              <w:top w:val="single" w:sz="6" w:space="0" w:color="auto"/>
              <w:left w:val="single" w:sz="6" w:space="0" w:color="auto"/>
              <w:bottom w:val="single" w:sz="6" w:space="0" w:color="auto"/>
              <w:right w:val="single" w:sz="6" w:space="0" w:color="auto"/>
            </w:tcBorders>
            <w:hideMark/>
          </w:tcPr>
          <w:p w14:paraId="38F8E015" w14:textId="77777777" w:rsidR="00162CAA" w:rsidRPr="0013396E" w:rsidRDefault="00162CAA" w:rsidP="00162CAA">
            <w:pPr>
              <w:spacing w:after="60"/>
              <w:rPr>
                <w:iCs/>
                <w:sz w:val="20"/>
                <w:szCs w:val="24"/>
              </w:rPr>
            </w:pPr>
            <w:r w:rsidRPr="0013396E">
              <w:rPr>
                <w:iCs/>
                <w:sz w:val="20"/>
                <w:szCs w:val="24"/>
              </w:rPr>
              <w:t>MMBtu / MWh</w:t>
            </w:r>
          </w:p>
        </w:tc>
        <w:tc>
          <w:tcPr>
            <w:tcW w:w="3385" w:type="pct"/>
            <w:tcBorders>
              <w:top w:val="single" w:sz="6" w:space="0" w:color="auto"/>
              <w:left w:val="single" w:sz="6" w:space="0" w:color="auto"/>
              <w:bottom w:val="single" w:sz="6" w:space="0" w:color="auto"/>
              <w:right w:val="single" w:sz="4" w:space="0" w:color="auto"/>
            </w:tcBorders>
            <w:hideMark/>
          </w:tcPr>
          <w:p w14:paraId="3EB9470B" w14:textId="2048B542" w:rsidR="00162CAA" w:rsidRPr="0013396E" w:rsidRDefault="00162CAA" w:rsidP="00162CAA">
            <w:pPr>
              <w:spacing w:after="60"/>
              <w:rPr>
                <w:iCs/>
                <w:sz w:val="20"/>
                <w:szCs w:val="24"/>
              </w:rPr>
            </w:pPr>
            <w:r w:rsidRPr="0013396E">
              <w:rPr>
                <w:i/>
                <w:iCs/>
                <w:sz w:val="20"/>
                <w:szCs w:val="24"/>
              </w:rPr>
              <w:t xml:space="preserve">Average Heat Rate per Resource – </w:t>
            </w:r>
            <w:r w:rsidRPr="0013396E">
              <w:rPr>
                <w:iCs/>
                <w:sz w:val="20"/>
                <w:szCs w:val="24"/>
              </w:rPr>
              <w:t xml:space="preserve">The verifiable </w:t>
            </w:r>
            <w:r w:rsidR="00151A02" w:rsidRPr="00CF7EAF">
              <w:rPr>
                <w:iCs/>
                <w:sz w:val="20"/>
              </w:rPr>
              <w:t>or actual submitted</w:t>
            </w:r>
            <w:r w:rsidR="00151A02" w:rsidRPr="0013396E">
              <w:rPr>
                <w:iCs/>
                <w:sz w:val="20"/>
                <w:szCs w:val="24"/>
              </w:rPr>
              <w:t xml:space="preserve"> </w:t>
            </w:r>
            <w:r w:rsidRPr="0013396E">
              <w:rPr>
                <w:iCs/>
                <w:sz w:val="20"/>
                <w:szCs w:val="24"/>
              </w:rPr>
              <w:t xml:space="preserve">average heat rate for the Resource </w:t>
            </w:r>
            <w:r w:rsidRPr="0013396E">
              <w:rPr>
                <w:i/>
                <w:iCs/>
                <w:sz w:val="20"/>
                <w:szCs w:val="24"/>
              </w:rPr>
              <w:t xml:space="preserve">r </w:t>
            </w:r>
            <w:r w:rsidRPr="0013396E">
              <w:rPr>
                <w:iCs/>
                <w:sz w:val="20"/>
                <w:szCs w:val="24"/>
              </w:rPr>
              <w:t>represented by QSE</w:t>
            </w:r>
            <w:r w:rsidRPr="0013396E">
              <w:rPr>
                <w:i/>
                <w:iCs/>
                <w:sz w:val="20"/>
                <w:szCs w:val="24"/>
              </w:rPr>
              <w:t xml:space="preserve"> q</w:t>
            </w:r>
            <w:r w:rsidRPr="0013396E">
              <w:rPr>
                <w:iCs/>
                <w:sz w:val="20"/>
                <w:szCs w:val="24"/>
              </w:rPr>
              <w:t xml:space="preserve">, for operating levels between LSL and High Sustained Limit (HSL), for the 15-minute Settlement Interval </w:t>
            </w:r>
            <w:r w:rsidRPr="0013396E">
              <w:rPr>
                <w:i/>
                <w:iCs/>
                <w:sz w:val="20"/>
                <w:szCs w:val="24"/>
              </w:rPr>
              <w:t>i</w:t>
            </w:r>
            <w:r w:rsidRPr="0013396E">
              <w:rPr>
                <w:iCs/>
                <w:sz w:val="20"/>
                <w:szCs w:val="24"/>
              </w:rPr>
              <w:t xml:space="preserve">.  Where for a Combined Cycle Train, the Resource </w:t>
            </w:r>
            <w:r w:rsidRPr="0013396E">
              <w:rPr>
                <w:i/>
                <w:iCs/>
                <w:sz w:val="20"/>
                <w:szCs w:val="24"/>
              </w:rPr>
              <w:t>r</w:t>
            </w:r>
            <w:r w:rsidRPr="0013396E">
              <w:rPr>
                <w:iCs/>
                <w:sz w:val="20"/>
                <w:szCs w:val="24"/>
              </w:rPr>
              <w:t xml:space="preserve"> is a Combined Cycle Generation Resource within the Combined Cycle Train.</w:t>
            </w:r>
          </w:p>
        </w:tc>
      </w:tr>
      <w:tr w:rsidR="00162CAA" w:rsidRPr="0013396E" w14:paraId="3A6C43AD"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15B941BD" w14:textId="77777777" w:rsidR="00162CAA" w:rsidRPr="0013396E" w:rsidRDefault="00162CAA" w:rsidP="00162CAA">
            <w:pPr>
              <w:spacing w:after="60"/>
              <w:rPr>
                <w:iCs/>
                <w:sz w:val="20"/>
                <w:szCs w:val="24"/>
                <w:lang w:val="pt-BR"/>
              </w:rPr>
            </w:pPr>
            <w:r w:rsidRPr="0013396E">
              <w:rPr>
                <w:iCs/>
                <w:sz w:val="20"/>
                <w:szCs w:val="24"/>
              </w:rPr>
              <w:t>PA</w:t>
            </w:r>
            <w:r w:rsidRPr="0013396E">
              <w:rPr>
                <w:iCs/>
                <w:sz w:val="20"/>
                <w:szCs w:val="24"/>
                <w:lang w:val="pt-BR"/>
              </w:rPr>
              <w:t xml:space="preserve">HR </w:t>
            </w:r>
            <w:r w:rsidRPr="0013396E">
              <w:rPr>
                <w:i/>
                <w:iCs/>
                <w:sz w:val="20"/>
                <w:szCs w:val="24"/>
                <w:vertAlign w:val="subscript"/>
                <w:lang w:val="pt-BR"/>
              </w:rPr>
              <w:t xml:space="preserve">q, </w:t>
            </w:r>
            <w:r w:rsidRPr="0013396E">
              <w:rPr>
                <w:i/>
                <w:iCs/>
                <w:sz w:val="20"/>
                <w:szCs w:val="24"/>
                <w:vertAlign w:val="subscript"/>
              </w:rPr>
              <w:t xml:space="preserve">r, </w:t>
            </w:r>
            <w:r w:rsidRPr="0013396E">
              <w:rPr>
                <w:i/>
                <w:iCs/>
                <w:sz w:val="20"/>
                <w:szCs w:val="24"/>
                <w:vertAlign w:val="subscript"/>
                <w:lang w:val="es-ES"/>
              </w:rPr>
              <w:t>i</w:t>
            </w:r>
          </w:p>
        </w:tc>
        <w:tc>
          <w:tcPr>
            <w:tcW w:w="607" w:type="pct"/>
            <w:tcBorders>
              <w:top w:val="single" w:sz="6" w:space="0" w:color="auto"/>
              <w:left w:val="single" w:sz="6" w:space="0" w:color="auto"/>
              <w:bottom w:val="single" w:sz="6" w:space="0" w:color="auto"/>
              <w:right w:val="single" w:sz="6" w:space="0" w:color="auto"/>
            </w:tcBorders>
            <w:hideMark/>
          </w:tcPr>
          <w:p w14:paraId="7F1BB6D7" w14:textId="77777777" w:rsidR="00162CAA" w:rsidRPr="0013396E" w:rsidRDefault="00162CAA" w:rsidP="00162CAA">
            <w:pPr>
              <w:spacing w:after="60"/>
              <w:rPr>
                <w:iCs/>
                <w:sz w:val="20"/>
                <w:szCs w:val="24"/>
              </w:rPr>
            </w:pPr>
            <w:r w:rsidRPr="0013396E">
              <w:rPr>
                <w:iCs/>
                <w:sz w:val="20"/>
                <w:szCs w:val="24"/>
              </w:rPr>
              <w:t>MMBtu / MWh</w:t>
            </w:r>
          </w:p>
        </w:tc>
        <w:tc>
          <w:tcPr>
            <w:tcW w:w="3385" w:type="pct"/>
            <w:tcBorders>
              <w:top w:val="single" w:sz="6" w:space="0" w:color="auto"/>
              <w:left w:val="single" w:sz="6" w:space="0" w:color="auto"/>
              <w:bottom w:val="single" w:sz="6" w:space="0" w:color="auto"/>
              <w:right w:val="single" w:sz="4" w:space="0" w:color="auto"/>
            </w:tcBorders>
            <w:hideMark/>
          </w:tcPr>
          <w:p w14:paraId="6542455F" w14:textId="51277844" w:rsidR="00162CAA" w:rsidRPr="0013396E" w:rsidRDefault="00162CAA" w:rsidP="00162CAA">
            <w:pPr>
              <w:spacing w:after="60"/>
              <w:rPr>
                <w:i/>
                <w:iCs/>
                <w:sz w:val="20"/>
                <w:szCs w:val="24"/>
              </w:rPr>
            </w:pPr>
            <w:r w:rsidRPr="0013396E">
              <w:rPr>
                <w:i/>
                <w:iCs/>
                <w:sz w:val="20"/>
                <w:szCs w:val="24"/>
              </w:rPr>
              <w:t xml:space="preserve">Proxy Average Heat Rate – </w:t>
            </w:r>
            <w:r w:rsidRPr="0013396E">
              <w:rPr>
                <w:iCs/>
                <w:sz w:val="20"/>
                <w:szCs w:val="24"/>
              </w:rPr>
              <w:t xml:space="preserve">The proxy </w:t>
            </w:r>
            <w:r w:rsidR="00151A02" w:rsidRPr="00CF7EAF">
              <w:rPr>
                <w:iCs/>
                <w:sz w:val="20"/>
              </w:rPr>
              <w:t>or actual submitted</w:t>
            </w:r>
            <w:r w:rsidR="00151A02" w:rsidRPr="0013396E">
              <w:rPr>
                <w:iCs/>
                <w:sz w:val="20"/>
                <w:szCs w:val="24"/>
              </w:rPr>
              <w:t xml:space="preserve"> </w:t>
            </w:r>
            <w:r w:rsidRPr="0013396E">
              <w:rPr>
                <w:iCs/>
                <w:sz w:val="20"/>
                <w:szCs w:val="24"/>
              </w:rPr>
              <w:t xml:space="preserve">average heat rate for the Resource </w:t>
            </w:r>
            <w:r w:rsidRPr="0013396E">
              <w:rPr>
                <w:i/>
                <w:iCs/>
                <w:sz w:val="20"/>
                <w:szCs w:val="24"/>
              </w:rPr>
              <w:t>r,</w:t>
            </w:r>
            <w:r w:rsidRPr="0013396E">
              <w:rPr>
                <w:iCs/>
                <w:sz w:val="20"/>
                <w:szCs w:val="24"/>
              </w:rPr>
              <w:t xml:space="preserve"> represented by QSE</w:t>
            </w:r>
            <w:r w:rsidRPr="0013396E">
              <w:rPr>
                <w:i/>
                <w:iCs/>
                <w:sz w:val="20"/>
                <w:szCs w:val="24"/>
              </w:rPr>
              <w:t xml:space="preserve"> q</w:t>
            </w:r>
            <w:r w:rsidRPr="0013396E">
              <w:rPr>
                <w:iCs/>
                <w:sz w:val="20"/>
                <w:szCs w:val="24"/>
              </w:rPr>
              <w:t xml:space="preserve">, for the 15-minute Settlement Interval </w:t>
            </w:r>
            <w:r w:rsidRPr="0013396E">
              <w:rPr>
                <w:i/>
                <w:iCs/>
                <w:sz w:val="20"/>
                <w:szCs w:val="24"/>
              </w:rPr>
              <w:t>i</w:t>
            </w:r>
            <w:r w:rsidRPr="0013396E">
              <w:rPr>
                <w:iCs/>
                <w:sz w:val="20"/>
                <w:szCs w:val="24"/>
              </w:rPr>
              <w:t xml:space="preserve">.  Where for a Combined Cycle Train, the Resource </w:t>
            </w:r>
            <w:r w:rsidRPr="0013396E">
              <w:rPr>
                <w:i/>
                <w:iCs/>
                <w:sz w:val="20"/>
                <w:szCs w:val="24"/>
              </w:rPr>
              <w:t xml:space="preserve">r </w:t>
            </w:r>
            <w:r w:rsidRPr="0013396E">
              <w:rPr>
                <w:iCs/>
                <w:sz w:val="20"/>
                <w:szCs w:val="24"/>
              </w:rPr>
              <w:t>is a Combined Cycle Generation Resource within the Combined Cycle Train.</w:t>
            </w:r>
          </w:p>
        </w:tc>
      </w:tr>
      <w:tr w:rsidR="00162CAA" w:rsidRPr="0013396E" w14:paraId="2833A6CE"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66D087B" w14:textId="77777777" w:rsidR="00162CAA" w:rsidRPr="0013396E" w:rsidRDefault="00162CAA" w:rsidP="00162CAA">
            <w:pPr>
              <w:spacing w:after="60"/>
              <w:rPr>
                <w:iCs/>
                <w:sz w:val="20"/>
                <w:szCs w:val="24"/>
              </w:rPr>
            </w:pPr>
            <w:r w:rsidRPr="0013396E">
              <w:rPr>
                <w:iCs/>
                <w:sz w:val="20"/>
                <w:szCs w:val="24"/>
              </w:rPr>
              <w:t xml:space="preserve">RTMG </w:t>
            </w:r>
            <w:r w:rsidRPr="0013396E">
              <w:rPr>
                <w:i/>
                <w:iCs/>
                <w:sz w:val="20"/>
                <w:szCs w:val="24"/>
                <w:vertAlign w:val="subscript"/>
              </w:rPr>
              <w:t>q, r, i</w:t>
            </w:r>
          </w:p>
        </w:tc>
        <w:tc>
          <w:tcPr>
            <w:tcW w:w="607" w:type="pct"/>
            <w:tcBorders>
              <w:top w:val="single" w:sz="6" w:space="0" w:color="auto"/>
              <w:left w:val="single" w:sz="6" w:space="0" w:color="auto"/>
              <w:bottom w:val="single" w:sz="6" w:space="0" w:color="auto"/>
              <w:right w:val="single" w:sz="6" w:space="0" w:color="auto"/>
            </w:tcBorders>
            <w:hideMark/>
          </w:tcPr>
          <w:p w14:paraId="7FEB3F34"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7EE4BD00" w14:textId="4057CC69" w:rsidR="00162CAA" w:rsidRPr="0013396E" w:rsidRDefault="00162CAA" w:rsidP="00162CAA">
            <w:pPr>
              <w:spacing w:after="60"/>
              <w:rPr>
                <w:iCs/>
                <w:sz w:val="20"/>
                <w:szCs w:val="24"/>
              </w:rPr>
            </w:pPr>
            <w:r w:rsidRPr="0013396E">
              <w:rPr>
                <w:i/>
                <w:iCs/>
                <w:sz w:val="20"/>
                <w:szCs w:val="24"/>
              </w:rPr>
              <w:t>Real-Time Metered Generation per QSE per Resource by Settlement Interval by hour</w:t>
            </w:r>
            <w:r w:rsidR="00074771" w:rsidRPr="0013396E">
              <w:rPr>
                <w:i/>
                <w:iCs/>
                <w:sz w:val="20"/>
                <w:szCs w:val="24"/>
              </w:rPr>
              <w:t xml:space="preserve"> – </w:t>
            </w:r>
            <w:r w:rsidRPr="0013396E">
              <w:rPr>
                <w:iCs/>
                <w:sz w:val="20"/>
                <w:szCs w:val="24"/>
              </w:rPr>
              <w:t xml:space="preserve">The Real-Time energy from Resource </w:t>
            </w:r>
            <w:r w:rsidRPr="0013396E">
              <w:rPr>
                <w:i/>
                <w:sz w:val="20"/>
                <w:szCs w:val="24"/>
              </w:rPr>
              <w:t>r</w:t>
            </w:r>
            <w:r w:rsidRPr="0013396E">
              <w:rPr>
                <w:iCs/>
                <w:sz w:val="20"/>
                <w:szCs w:val="24"/>
              </w:rPr>
              <w:t xml:space="preserve"> represented by QSE </w:t>
            </w:r>
            <w:r w:rsidRPr="0013396E">
              <w:rPr>
                <w:i/>
                <w:sz w:val="20"/>
                <w:szCs w:val="24"/>
              </w:rPr>
              <w:t>q</w:t>
            </w:r>
            <w:r w:rsidRPr="0013396E">
              <w:rPr>
                <w:iCs/>
                <w:sz w:val="20"/>
                <w:szCs w:val="24"/>
              </w:rPr>
              <w:t xml:space="preserve">, for the 15-minute Settlement Interval </w:t>
            </w:r>
            <w:r w:rsidRPr="0013396E">
              <w:rPr>
                <w:i/>
                <w:sz w:val="20"/>
                <w:szCs w:val="24"/>
              </w:rPr>
              <w:t>i</w:t>
            </w:r>
            <w:r w:rsidRPr="0013396E">
              <w:rPr>
                <w:iCs/>
                <w:sz w:val="20"/>
                <w:szCs w:val="24"/>
              </w:rPr>
              <w:t xml:space="preserve">.  Where for a Combined Cycle Train, the Resource </w:t>
            </w:r>
            <w:r w:rsidRPr="0013396E">
              <w:rPr>
                <w:i/>
                <w:sz w:val="20"/>
                <w:szCs w:val="24"/>
              </w:rPr>
              <w:t>r</w:t>
            </w:r>
            <w:r w:rsidRPr="0013396E">
              <w:rPr>
                <w:iCs/>
                <w:sz w:val="20"/>
                <w:szCs w:val="24"/>
              </w:rPr>
              <w:t xml:space="preserve"> is the Combined Cycle Train.</w:t>
            </w:r>
          </w:p>
        </w:tc>
      </w:tr>
      <w:tr w:rsidR="00162CAA" w:rsidRPr="0013396E" w14:paraId="0B46C28D"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609305C6" w14:textId="77777777" w:rsidR="00162CAA" w:rsidRPr="0013396E" w:rsidRDefault="00162CAA" w:rsidP="00162CAA">
            <w:pPr>
              <w:spacing w:after="60"/>
              <w:rPr>
                <w:iCs/>
                <w:sz w:val="20"/>
                <w:szCs w:val="24"/>
              </w:rPr>
            </w:pPr>
            <w:r w:rsidRPr="0013396E">
              <w:rPr>
                <w:iCs/>
                <w:sz w:val="20"/>
                <w:szCs w:val="24"/>
              </w:rPr>
              <w:t>MEP</w:t>
            </w:r>
            <w:r w:rsidRPr="0013396E">
              <w:rPr>
                <w:szCs w:val="24"/>
              </w:rPr>
              <w:t xml:space="preserve"> </w:t>
            </w:r>
            <w:r w:rsidRPr="0013396E">
              <w:rPr>
                <w:i/>
                <w:iCs/>
                <w:sz w:val="20"/>
                <w:szCs w:val="24"/>
                <w:vertAlign w:val="subscript"/>
              </w:rPr>
              <w:t>q, r, i</w:t>
            </w:r>
          </w:p>
        </w:tc>
        <w:tc>
          <w:tcPr>
            <w:tcW w:w="607" w:type="pct"/>
            <w:tcBorders>
              <w:top w:val="single" w:sz="6" w:space="0" w:color="auto"/>
              <w:left w:val="single" w:sz="6" w:space="0" w:color="auto"/>
              <w:bottom w:val="single" w:sz="6" w:space="0" w:color="auto"/>
              <w:right w:val="single" w:sz="6" w:space="0" w:color="auto"/>
            </w:tcBorders>
            <w:hideMark/>
          </w:tcPr>
          <w:p w14:paraId="03516E13" w14:textId="77777777" w:rsidR="00162CAA" w:rsidRPr="0013396E" w:rsidRDefault="00162CAA" w:rsidP="00162CAA">
            <w:pPr>
              <w:spacing w:after="60"/>
              <w:rPr>
                <w:iCs/>
                <w:sz w:val="20"/>
                <w:szCs w:val="24"/>
              </w:rPr>
            </w:pPr>
            <w:r w:rsidRPr="0013396E">
              <w:rPr>
                <w:iCs/>
                <w:sz w:val="20"/>
                <w:szCs w:val="24"/>
              </w:rPr>
              <w:t>MWh</w:t>
            </w:r>
          </w:p>
        </w:tc>
        <w:tc>
          <w:tcPr>
            <w:tcW w:w="3385" w:type="pct"/>
            <w:tcBorders>
              <w:top w:val="single" w:sz="6" w:space="0" w:color="auto"/>
              <w:left w:val="single" w:sz="6" w:space="0" w:color="auto"/>
              <w:bottom w:val="single" w:sz="6" w:space="0" w:color="auto"/>
              <w:right w:val="single" w:sz="4" w:space="0" w:color="auto"/>
            </w:tcBorders>
            <w:hideMark/>
          </w:tcPr>
          <w:p w14:paraId="65F88D04" w14:textId="7004FCEB" w:rsidR="00162CAA" w:rsidRPr="0013396E" w:rsidRDefault="00162CAA" w:rsidP="00162CAA">
            <w:pPr>
              <w:spacing w:after="60"/>
              <w:rPr>
                <w:i/>
                <w:iCs/>
                <w:sz w:val="20"/>
                <w:szCs w:val="24"/>
              </w:rPr>
            </w:pPr>
            <w:r w:rsidRPr="0013396E">
              <w:rPr>
                <w:i/>
                <w:iCs/>
                <w:sz w:val="20"/>
                <w:szCs w:val="24"/>
              </w:rPr>
              <w:t xml:space="preserve">Marginal Energy Production per QSE per Resource by Settlement Interval </w:t>
            </w:r>
            <w:r w:rsidR="00AC7B7A" w:rsidRPr="0013396E">
              <w:rPr>
                <w:i/>
                <w:iCs/>
                <w:sz w:val="20"/>
                <w:szCs w:val="24"/>
              </w:rPr>
              <w:t>–</w:t>
            </w:r>
            <w:r w:rsidRPr="0013396E">
              <w:rPr>
                <w:szCs w:val="24"/>
              </w:rPr>
              <w:t xml:space="preserve"> </w:t>
            </w:r>
            <w:r w:rsidRPr="0013396E">
              <w:rPr>
                <w:iCs/>
                <w:sz w:val="20"/>
                <w:szCs w:val="24"/>
              </w:rPr>
              <w:t xml:space="preserve">The calculated marginal generation of Resource </w:t>
            </w:r>
            <w:r w:rsidRPr="0013396E">
              <w:rPr>
                <w:i/>
                <w:sz w:val="20"/>
                <w:szCs w:val="24"/>
              </w:rPr>
              <w:t>r</w:t>
            </w:r>
            <w:r w:rsidRPr="0013396E">
              <w:rPr>
                <w:iCs/>
                <w:sz w:val="20"/>
                <w:szCs w:val="24"/>
              </w:rPr>
              <w:t xml:space="preserve"> represented by QSE </w:t>
            </w:r>
            <w:r w:rsidRPr="0013396E">
              <w:rPr>
                <w:i/>
                <w:sz w:val="20"/>
                <w:szCs w:val="24"/>
              </w:rPr>
              <w:t>q</w:t>
            </w:r>
            <w:r w:rsidRPr="0013396E">
              <w:rPr>
                <w:iCs/>
                <w:sz w:val="20"/>
                <w:szCs w:val="24"/>
              </w:rPr>
              <w:t xml:space="preserve"> in Real-Time for the 15-minute Settlement Interval </w:t>
            </w:r>
            <w:r w:rsidRPr="0013396E">
              <w:rPr>
                <w:i/>
                <w:sz w:val="20"/>
                <w:szCs w:val="24"/>
              </w:rPr>
              <w:t>i</w:t>
            </w:r>
            <w:r w:rsidRPr="0013396E">
              <w:rPr>
                <w:iCs/>
                <w:sz w:val="20"/>
                <w:szCs w:val="24"/>
              </w:rPr>
              <w:t xml:space="preserve">.  Where for a Combined Cycle Train, the Resource </w:t>
            </w:r>
            <w:r w:rsidRPr="0013396E">
              <w:rPr>
                <w:i/>
                <w:iCs/>
                <w:sz w:val="20"/>
                <w:szCs w:val="24"/>
              </w:rPr>
              <w:t>r</w:t>
            </w:r>
            <w:r w:rsidRPr="0013396E">
              <w:rPr>
                <w:iCs/>
                <w:sz w:val="20"/>
                <w:szCs w:val="24"/>
              </w:rPr>
              <w:t xml:space="preserve"> is a Combined Cycle Generation Resource within the Combined Cycle Train.</w:t>
            </w:r>
          </w:p>
        </w:tc>
      </w:tr>
      <w:tr w:rsidR="00162CAA" w:rsidRPr="0013396E" w14:paraId="20572FC6"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34A25B83" w14:textId="77777777" w:rsidR="00162CAA" w:rsidRPr="0013396E" w:rsidRDefault="00162CAA" w:rsidP="00162CAA">
            <w:pPr>
              <w:spacing w:after="60"/>
              <w:rPr>
                <w:i/>
                <w:iCs/>
                <w:sz w:val="20"/>
                <w:szCs w:val="24"/>
              </w:rPr>
            </w:pPr>
            <w:r w:rsidRPr="0013396E">
              <w:rPr>
                <w:i/>
                <w:iCs/>
                <w:sz w:val="20"/>
                <w:szCs w:val="24"/>
              </w:rPr>
              <w:t>q</w:t>
            </w:r>
          </w:p>
        </w:tc>
        <w:tc>
          <w:tcPr>
            <w:tcW w:w="607" w:type="pct"/>
            <w:tcBorders>
              <w:top w:val="single" w:sz="6" w:space="0" w:color="auto"/>
              <w:left w:val="single" w:sz="6" w:space="0" w:color="auto"/>
              <w:bottom w:val="single" w:sz="6" w:space="0" w:color="auto"/>
              <w:right w:val="single" w:sz="6" w:space="0" w:color="auto"/>
            </w:tcBorders>
            <w:hideMark/>
          </w:tcPr>
          <w:p w14:paraId="539D8495" w14:textId="77777777" w:rsidR="00162CAA" w:rsidRPr="0013396E" w:rsidRDefault="00162CAA" w:rsidP="00162CAA">
            <w:pPr>
              <w:spacing w:after="60"/>
              <w:rPr>
                <w:iCs/>
                <w:sz w:val="20"/>
                <w:szCs w:val="24"/>
              </w:rPr>
            </w:pPr>
            <w:r w:rsidRPr="0013396E">
              <w:rPr>
                <w:iCs/>
                <w:sz w:val="20"/>
                <w:szCs w:val="24"/>
              </w:rPr>
              <w:t>None</w:t>
            </w:r>
          </w:p>
        </w:tc>
        <w:tc>
          <w:tcPr>
            <w:tcW w:w="3385" w:type="pct"/>
            <w:tcBorders>
              <w:top w:val="single" w:sz="6" w:space="0" w:color="auto"/>
              <w:left w:val="single" w:sz="6" w:space="0" w:color="auto"/>
              <w:bottom w:val="single" w:sz="6" w:space="0" w:color="auto"/>
              <w:right w:val="single" w:sz="4" w:space="0" w:color="auto"/>
            </w:tcBorders>
            <w:hideMark/>
          </w:tcPr>
          <w:p w14:paraId="5CF439B8" w14:textId="77777777" w:rsidR="00162CAA" w:rsidRPr="0013396E" w:rsidRDefault="00162CAA" w:rsidP="00162CAA">
            <w:pPr>
              <w:spacing w:after="60"/>
              <w:rPr>
                <w:iCs/>
                <w:sz w:val="20"/>
                <w:szCs w:val="24"/>
              </w:rPr>
            </w:pPr>
            <w:r w:rsidRPr="0013396E">
              <w:rPr>
                <w:iCs/>
                <w:sz w:val="20"/>
                <w:szCs w:val="24"/>
              </w:rPr>
              <w:t>A QSE.</w:t>
            </w:r>
          </w:p>
        </w:tc>
      </w:tr>
      <w:tr w:rsidR="00162CAA" w:rsidRPr="0013396E" w14:paraId="698260F0"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4BD06FEF" w14:textId="77777777" w:rsidR="00162CAA" w:rsidRPr="0013396E" w:rsidRDefault="00162CAA" w:rsidP="00162CAA">
            <w:pPr>
              <w:spacing w:after="60"/>
              <w:rPr>
                <w:i/>
                <w:iCs/>
                <w:sz w:val="20"/>
                <w:szCs w:val="24"/>
              </w:rPr>
            </w:pPr>
            <w:r w:rsidRPr="0013396E">
              <w:rPr>
                <w:i/>
                <w:iCs/>
                <w:sz w:val="20"/>
                <w:szCs w:val="24"/>
              </w:rPr>
              <w:t>r</w:t>
            </w:r>
          </w:p>
        </w:tc>
        <w:tc>
          <w:tcPr>
            <w:tcW w:w="607" w:type="pct"/>
            <w:tcBorders>
              <w:top w:val="single" w:sz="6" w:space="0" w:color="auto"/>
              <w:left w:val="single" w:sz="6" w:space="0" w:color="auto"/>
              <w:bottom w:val="single" w:sz="6" w:space="0" w:color="auto"/>
              <w:right w:val="single" w:sz="6" w:space="0" w:color="auto"/>
            </w:tcBorders>
            <w:hideMark/>
          </w:tcPr>
          <w:p w14:paraId="1662F5B9" w14:textId="77777777" w:rsidR="00162CAA" w:rsidRPr="0013396E" w:rsidRDefault="00162CAA" w:rsidP="00162CAA">
            <w:pPr>
              <w:spacing w:after="60"/>
              <w:rPr>
                <w:iCs/>
                <w:sz w:val="20"/>
                <w:szCs w:val="24"/>
              </w:rPr>
            </w:pPr>
            <w:r w:rsidRPr="0013396E">
              <w:rPr>
                <w:iCs/>
                <w:sz w:val="20"/>
                <w:szCs w:val="24"/>
              </w:rPr>
              <w:t>None</w:t>
            </w:r>
          </w:p>
        </w:tc>
        <w:tc>
          <w:tcPr>
            <w:tcW w:w="3385" w:type="pct"/>
            <w:tcBorders>
              <w:top w:val="single" w:sz="6" w:space="0" w:color="auto"/>
              <w:left w:val="single" w:sz="6" w:space="0" w:color="auto"/>
              <w:bottom w:val="single" w:sz="6" w:space="0" w:color="auto"/>
              <w:right w:val="single" w:sz="4" w:space="0" w:color="auto"/>
            </w:tcBorders>
            <w:hideMark/>
          </w:tcPr>
          <w:p w14:paraId="6D798223" w14:textId="77777777" w:rsidR="00162CAA" w:rsidRPr="0013396E" w:rsidRDefault="00162CAA" w:rsidP="00162CAA">
            <w:pPr>
              <w:spacing w:after="60"/>
              <w:rPr>
                <w:iCs/>
                <w:sz w:val="20"/>
                <w:szCs w:val="24"/>
              </w:rPr>
            </w:pPr>
            <w:r w:rsidRPr="0013396E">
              <w:rPr>
                <w:iCs/>
                <w:sz w:val="20"/>
                <w:szCs w:val="24"/>
              </w:rPr>
              <w:t>A Generation Resource or ESR.</w:t>
            </w:r>
          </w:p>
        </w:tc>
      </w:tr>
      <w:tr w:rsidR="00162CAA" w:rsidRPr="0013396E" w14:paraId="179EADC1"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49CDCA80" w14:textId="77777777" w:rsidR="00162CAA" w:rsidRPr="0013396E" w:rsidRDefault="00162CAA" w:rsidP="00162CAA">
            <w:pPr>
              <w:spacing w:after="60"/>
              <w:rPr>
                <w:i/>
                <w:iCs/>
                <w:sz w:val="20"/>
                <w:szCs w:val="24"/>
              </w:rPr>
            </w:pPr>
            <w:r w:rsidRPr="0013396E">
              <w:rPr>
                <w:i/>
                <w:iCs/>
                <w:sz w:val="20"/>
                <w:szCs w:val="24"/>
              </w:rPr>
              <w:t>i</w:t>
            </w:r>
          </w:p>
        </w:tc>
        <w:tc>
          <w:tcPr>
            <w:tcW w:w="607" w:type="pct"/>
            <w:tcBorders>
              <w:top w:val="single" w:sz="6" w:space="0" w:color="auto"/>
              <w:left w:val="single" w:sz="6" w:space="0" w:color="auto"/>
              <w:bottom w:val="single" w:sz="6" w:space="0" w:color="auto"/>
              <w:right w:val="single" w:sz="6" w:space="0" w:color="auto"/>
            </w:tcBorders>
            <w:hideMark/>
          </w:tcPr>
          <w:p w14:paraId="76DE7F3E" w14:textId="77777777" w:rsidR="00162CAA" w:rsidRPr="0013396E" w:rsidRDefault="00162CAA" w:rsidP="00162CAA">
            <w:pPr>
              <w:spacing w:after="60"/>
              <w:rPr>
                <w:iCs/>
                <w:sz w:val="20"/>
                <w:szCs w:val="24"/>
              </w:rPr>
            </w:pPr>
            <w:r w:rsidRPr="0013396E">
              <w:rPr>
                <w:iCs/>
                <w:sz w:val="20"/>
                <w:szCs w:val="24"/>
              </w:rPr>
              <w:t>None</w:t>
            </w:r>
          </w:p>
        </w:tc>
        <w:tc>
          <w:tcPr>
            <w:tcW w:w="3385" w:type="pct"/>
            <w:tcBorders>
              <w:top w:val="single" w:sz="6" w:space="0" w:color="auto"/>
              <w:left w:val="single" w:sz="6" w:space="0" w:color="auto"/>
              <w:bottom w:val="single" w:sz="6" w:space="0" w:color="auto"/>
              <w:right w:val="single" w:sz="4" w:space="0" w:color="auto"/>
            </w:tcBorders>
            <w:hideMark/>
          </w:tcPr>
          <w:p w14:paraId="50C45932" w14:textId="0FC044BE" w:rsidR="00162CAA" w:rsidRPr="0013396E" w:rsidRDefault="00162CAA" w:rsidP="00162CAA">
            <w:pPr>
              <w:spacing w:after="60"/>
              <w:rPr>
                <w:iCs/>
                <w:sz w:val="20"/>
                <w:szCs w:val="24"/>
              </w:rPr>
            </w:pPr>
            <w:r w:rsidRPr="0013396E">
              <w:rPr>
                <w:iCs/>
                <w:sz w:val="20"/>
                <w:szCs w:val="24"/>
              </w:rPr>
              <w:t xml:space="preserve">A 15-minute Settlement Interval within the Operating Day during an LCAP </w:t>
            </w:r>
            <w:r w:rsidR="00151A02">
              <w:rPr>
                <w:iCs/>
                <w:sz w:val="20"/>
                <w:szCs w:val="24"/>
              </w:rPr>
              <w:t xml:space="preserve">or ECAP </w:t>
            </w:r>
            <w:r w:rsidRPr="0013396E">
              <w:rPr>
                <w:iCs/>
                <w:sz w:val="20"/>
                <w:szCs w:val="24"/>
              </w:rPr>
              <w:t>Effective Period.</w:t>
            </w:r>
          </w:p>
        </w:tc>
      </w:tr>
      <w:tr w:rsidR="00162CAA" w:rsidRPr="0013396E" w14:paraId="3B635D5B" w14:textId="77777777" w:rsidTr="00890B99">
        <w:trPr>
          <w:cantSplit/>
        </w:trPr>
        <w:tc>
          <w:tcPr>
            <w:tcW w:w="1008" w:type="pct"/>
            <w:tcBorders>
              <w:top w:val="single" w:sz="6" w:space="0" w:color="auto"/>
              <w:left w:val="single" w:sz="4" w:space="0" w:color="auto"/>
              <w:bottom w:val="single" w:sz="6" w:space="0" w:color="auto"/>
              <w:right w:val="single" w:sz="6" w:space="0" w:color="auto"/>
            </w:tcBorders>
            <w:hideMark/>
          </w:tcPr>
          <w:p w14:paraId="3D7C8FBE" w14:textId="77777777" w:rsidR="00162CAA" w:rsidRPr="0013396E" w:rsidRDefault="00162CAA" w:rsidP="00162CAA">
            <w:pPr>
              <w:spacing w:after="60"/>
              <w:rPr>
                <w:i/>
                <w:iCs/>
                <w:sz w:val="20"/>
                <w:szCs w:val="24"/>
              </w:rPr>
            </w:pPr>
            <w:r w:rsidRPr="0013396E">
              <w:rPr>
                <w:i/>
                <w:iCs/>
                <w:sz w:val="20"/>
                <w:szCs w:val="24"/>
              </w:rPr>
              <w:t>rc</w:t>
            </w:r>
          </w:p>
        </w:tc>
        <w:tc>
          <w:tcPr>
            <w:tcW w:w="607" w:type="pct"/>
            <w:tcBorders>
              <w:top w:val="single" w:sz="6" w:space="0" w:color="auto"/>
              <w:left w:val="single" w:sz="6" w:space="0" w:color="auto"/>
              <w:bottom w:val="single" w:sz="6" w:space="0" w:color="auto"/>
              <w:right w:val="single" w:sz="6" w:space="0" w:color="auto"/>
            </w:tcBorders>
            <w:hideMark/>
          </w:tcPr>
          <w:p w14:paraId="6EA34290" w14:textId="77777777" w:rsidR="00162CAA" w:rsidRPr="0013396E" w:rsidRDefault="00162CAA" w:rsidP="00162CAA">
            <w:pPr>
              <w:spacing w:after="60"/>
              <w:rPr>
                <w:iCs/>
                <w:sz w:val="20"/>
                <w:szCs w:val="24"/>
              </w:rPr>
            </w:pPr>
            <w:r w:rsidRPr="0013396E">
              <w:rPr>
                <w:iCs/>
                <w:sz w:val="20"/>
                <w:szCs w:val="24"/>
              </w:rPr>
              <w:t>None</w:t>
            </w:r>
          </w:p>
        </w:tc>
        <w:tc>
          <w:tcPr>
            <w:tcW w:w="3385" w:type="pct"/>
            <w:tcBorders>
              <w:top w:val="single" w:sz="6" w:space="0" w:color="auto"/>
              <w:left w:val="single" w:sz="6" w:space="0" w:color="auto"/>
              <w:bottom w:val="single" w:sz="6" w:space="0" w:color="auto"/>
              <w:right w:val="single" w:sz="4" w:space="0" w:color="auto"/>
            </w:tcBorders>
            <w:hideMark/>
          </w:tcPr>
          <w:p w14:paraId="083D86A7" w14:textId="408D9776" w:rsidR="00162CAA" w:rsidRPr="0013396E" w:rsidRDefault="00162CAA" w:rsidP="00162CAA">
            <w:pPr>
              <w:spacing w:after="60"/>
              <w:rPr>
                <w:iCs/>
                <w:sz w:val="20"/>
                <w:szCs w:val="24"/>
              </w:rPr>
            </w:pPr>
            <w:r w:rsidRPr="0013396E">
              <w:rPr>
                <w:iCs/>
                <w:sz w:val="20"/>
                <w:szCs w:val="24"/>
              </w:rPr>
              <w:t>A Resource category</w:t>
            </w:r>
            <w:r w:rsidR="00AC7B7A" w:rsidRPr="0013396E">
              <w:rPr>
                <w:iCs/>
                <w:sz w:val="20"/>
                <w:szCs w:val="24"/>
              </w:rPr>
              <w:t>.</w:t>
            </w:r>
          </w:p>
        </w:tc>
      </w:tr>
    </w:tbl>
    <w:p w14:paraId="6E0137BC" w14:textId="757B6E33" w:rsidR="00162CAA" w:rsidRPr="0013396E" w:rsidRDefault="00162CAA" w:rsidP="00162CAA">
      <w:pPr>
        <w:spacing w:before="240" w:after="240"/>
        <w:ind w:left="720" w:hanging="720"/>
        <w:rPr>
          <w:iCs/>
          <w:szCs w:val="24"/>
        </w:rPr>
      </w:pPr>
      <w:r w:rsidRPr="0013396E">
        <w:rPr>
          <w:iCs/>
          <w:szCs w:val="24"/>
        </w:rPr>
        <w:t>(</w:t>
      </w:r>
      <w:r w:rsidR="00010E34" w:rsidRPr="0013396E">
        <w:rPr>
          <w:iCs/>
          <w:szCs w:val="24"/>
        </w:rPr>
        <w:t>4</w:t>
      </w:r>
      <w:r w:rsidRPr="0013396E">
        <w:rPr>
          <w:iCs/>
          <w:szCs w:val="24"/>
        </w:rPr>
        <w:t>)</w:t>
      </w:r>
      <w:r w:rsidRPr="0013396E">
        <w:rPr>
          <w:iCs/>
          <w:szCs w:val="24"/>
        </w:rPr>
        <w:tab/>
        <w:t xml:space="preserve">The total compensation to each QSE for operating losses during an LCAP </w:t>
      </w:r>
      <w:r w:rsidR="00151A02">
        <w:rPr>
          <w:iCs/>
          <w:szCs w:val="24"/>
        </w:rPr>
        <w:t xml:space="preserve">or ECAP </w:t>
      </w:r>
      <w:r w:rsidRPr="0013396E">
        <w:rPr>
          <w:iCs/>
          <w:szCs w:val="24"/>
        </w:rPr>
        <w:t>Effective Period for the 15-minute Settlement Interval is calculated as follows:</w:t>
      </w:r>
    </w:p>
    <w:p w14:paraId="3FC412AB" w14:textId="1D3B862C" w:rsidR="00162CAA" w:rsidRPr="0013396E" w:rsidRDefault="00162CAA" w:rsidP="00162CAA">
      <w:pPr>
        <w:spacing w:after="240"/>
        <w:ind w:left="1440" w:hanging="720"/>
        <w:rPr>
          <w:b/>
          <w:bCs/>
          <w:i/>
          <w:iCs/>
          <w:szCs w:val="24"/>
          <w:vertAlign w:val="subscript"/>
          <w:lang w:val="es-ES"/>
        </w:rPr>
      </w:pPr>
      <w:r w:rsidRPr="0013396E">
        <w:rPr>
          <w:b/>
          <w:bCs/>
          <w:iCs/>
          <w:szCs w:val="24"/>
        </w:rPr>
        <w:t xml:space="preserve">OPLPAMTQSETOT </w:t>
      </w:r>
      <w:r w:rsidRPr="0013396E">
        <w:rPr>
          <w:b/>
          <w:bCs/>
          <w:i/>
          <w:iCs/>
          <w:szCs w:val="24"/>
          <w:vertAlign w:val="subscript"/>
        </w:rPr>
        <w:t xml:space="preserve">q  </w:t>
      </w:r>
      <w:r w:rsidRPr="0013396E">
        <w:rPr>
          <w:b/>
          <w:bCs/>
          <w:iCs/>
          <w:szCs w:val="24"/>
        </w:rPr>
        <w:t xml:space="preserve">       =  </w:t>
      </w:r>
      <w:r w:rsidRPr="0013396E">
        <w:rPr>
          <w:b/>
          <w:bCs/>
          <w:iCs/>
          <w:szCs w:val="24"/>
        </w:rPr>
        <w:tab/>
      </w:r>
      <w:r w:rsidRPr="0013396E">
        <w:rPr>
          <w:b/>
          <w:bCs/>
          <w:noProof/>
          <w:position w:val="-18"/>
          <w:szCs w:val="24"/>
        </w:rPr>
        <w:drawing>
          <wp:inline distT="0" distB="0" distL="0" distR="0" wp14:anchorId="3F9EDDAE" wp14:editId="4CAB3B85">
            <wp:extent cx="190500" cy="3619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90500" cy="361950"/>
                    </a:xfrm>
                    <a:prstGeom prst="rect">
                      <a:avLst/>
                    </a:prstGeom>
                    <a:noFill/>
                    <a:ln>
                      <a:noFill/>
                    </a:ln>
                  </pic:spPr>
                </pic:pic>
              </a:graphicData>
            </a:graphic>
          </wp:inline>
        </w:drawing>
      </w:r>
      <w:r w:rsidRPr="0013396E">
        <w:rPr>
          <w:b/>
          <w:bCs/>
          <w:szCs w:val="24"/>
        </w:rPr>
        <w:t xml:space="preserve"> </w:t>
      </w:r>
      <w:r w:rsidRPr="0013396E">
        <w:rPr>
          <w:b/>
          <w:bCs/>
          <w:iCs/>
          <w:szCs w:val="24"/>
        </w:rPr>
        <w:t xml:space="preserve">OPLPAMT </w:t>
      </w:r>
      <w:r w:rsidRPr="0013396E">
        <w:rPr>
          <w:b/>
          <w:bCs/>
          <w:i/>
          <w:iCs/>
          <w:sz w:val="20"/>
          <w:szCs w:val="24"/>
          <w:vertAlign w:val="subscript"/>
        </w:rPr>
        <w:t>q, r, i</w:t>
      </w:r>
    </w:p>
    <w:p w14:paraId="600D0F33" w14:textId="77777777" w:rsidR="00162CAA" w:rsidRPr="0013396E" w:rsidRDefault="00162CAA" w:rsidP="00162CAA">
      <w:pPr>
        <w:rPr>
          <w:szCs w:val="24"/>
        </w:rPr>
      </w:pPr>
      <w:r w:rsidRPr="0013396E">
        <w:rPr>
          <w:szCs w:val="24"/>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810"/>
        <w:gridCol w:w="5935"/>
      </w:tblGrid>
      <w:tr w:rsidR="00162CAA" w:rsidRPr="0013396E" w14:paraId="338D95C1" w14:textId="77777777" w:rsidTr="00764A29">
        <w:trPr>
          <w:cantSplit/>
          <w:tblHeader/>
        </w:trPr>
        <w:tc>
          <w:tcPr>
            <w:tcW w:w="1393" w:type="pct"/>
            <w:tcBorders>
              <w:top w:val="single" w:sz="4" w:space="0" w:color="auto"/>
              <w:left w:val="single" w:sz="4" w:space="0" w:color="auto"/>
              <w:bottom w:val="single" w:sz="4" w:space="0" w:color="auto"/>
              <w:right w:val="single" w:sz="4" w:space="0" w:color="auto"/>
            </w:tcBorders>
            <w:hideMark/>
          </w:tcPr>
          <w:p w14:paraId="700CF2A3" w14:textId="77777777" w:rsidR="00162CAA" w:rsidRPr="0013396E" w:rsidRDefault="00162CAA" w:rsidP="00162CAA">
            <w:pPr>
              <w:spacing w:after="240"/>
              <w:rPr>
                <w:b/>
                <w:iCs/>
                <w:sz w:val="20"/>
                <w:szCs w:val="24"/>
              </w:rPr>
            </w:pPr>
            <w:r w:rsidRPr="0013396E">
              <w:rPr>
                <w:b/>
                <w:iCs/>
                <w:sz w:val="20"/>
                <w:szCs w:val="24"/>
              </w:rPr>
              <w:lastRenderedPageBreak/>
              <w:t>Variable</w:t>
            </w:r>
          </w:p>
        </w:tc>
        <w:tc>
          <w:tcPr>
            <w:tcW w:w="433" w:type="pct"/>
            <w:tcBorders>
              <w:top w:val="single" w:sz="4" w:space="0" w:color="auto"/>
              <w:left w:val="single" w:sz="4" w:space="0" w:color="auto"/>
              <w:bottom w:val="single" w:sz="4" w:space="0" w:color="auto"/>
              <w:right w:val="single" w:sz="4" w:space="0" w:color="auto"/>
            </w:tcBorders>
            <w:hideMark/>
          </w:tcPr>
          <w:p w14:paraId="3BC5529F" w14:textId="77777777" w:rsidR="00162CAA" w:rsidRPr="0013396E" w:rsidRDefault="00162CAA" w:rsidP="00162CAA">
            <w:pPr>
              <w:spacing w:after="240"/>
              <w:rPr>
                <w:b/>
                <w:iCs/>
                <w:sz w:val="20"/>
                <w:szCs w:val="24"/>
              </w:rPr>
            </w:pPr>
            <w:r w:rsidRPr="0013396E">
              <w:rPr>
                <w:b/>
                <w:iCs/>
                <w:sz w:val="20"/>
                <w:szCs w:val="24"/>
              </w:rPr>
              <w:t>Unit</w:t>
            </w:r>
          </w:p>
        </w:tc>
        <w:tc>
          <w:tcPr>
            <w:tcW w:w="3174" w:type="pct"/>
            <w:tcBorders>
              <w:top w:val="single" w:sz="4" w:space="0" w:color="auto"/>
              <w:left w:val="single" w:sz="4" w:space="0" w:color="auto"/>
              <w:bottom w:val="single" w:sz="4" w:space="0" w:color="auto"/>
              <w:right w:val="single" w:sz="4" w:space="0" w:color="auto"/>
            </w:tcBorders>
            <w:hideMark/>
          </w:tcPr>
          <w:p w14:paraId="1BFF7DE6" w14:textId="77777777" w:rsidR="00162CAA" w:rsidRPr="0013396E" w:rsidRDefault="00162CAA" w:rsidP="00162CAA">
            <w:pPr>
              <w:spacing w:after="240"/>
              <w:rPr>
                <w:b/>
                <w:iCs/>
                <w:sz w:val="20"/>
                <w:szCs w:val="24"/>
              </w:rPr>
            </w:pPr>
            <w:r w:rsidRPr="0013396E">
              <w:rPr>
                <w:b/>
                <w:iCs/>
                <w:sz w:val="20"/>
                <w:szCs w:val="24"/>
              </w:rPr>
              <w:t>Definition</w:t>
            </w:r>
          </w:p>
        </w:tc>
      </w:tr>
      <w:tr w:rsidR="00162CAA" w:rsidRPr="0013396E" w14:paraId="0AECBAB8" w14:textId="77777777" w:rsidTr="00764A29">
        <w:trPr>
          <w:cantSplit/>
        </w:trPr>
        <w:tc>
          <w:tcPr>
            <w:tcW w:w="1393" w:type="pct"/>
            <w:tcBorders>
              <w:top w:val="single" w:sz="4" w:space="0" w:color="auto"/>
              <w:left w:val="single" w:sz="4" w:space="0" w:color="auto"/>
              <w:bottom w:val="single" w:sz="4" w:space="0" w:color="auto"/>
              <w:right w:val="single" w:sz="4" w:space="0" w:color="auto"/>
            </w:tcBorders>
            <w:hideMark/>
          </w:tcPr>
          <w:p w14:paraId="59B6E59A" w14:textId="77777777" w:rsidR="00162CAA" w:rsidRPr="0013396E" w:rsidRDefault="00162CAA" w:rsidP="00162CAA">
            <w:pPr>
              <w:spacing w:after="60"/>
              <w:rPr>
                <w:iCs/>
                <w:sz w:val="20"/>
                <w:szCs w:val="24"/>
              </w:rPr>
            </w:pPr>
            <w:r w:rsidRPr="0013396E">
              <w:rPr>
                <w:iCs/>
                <w:sz w:val="20"/>
                <w:szCs w:val="24"/>
              </w:rPr>
              <w:t>OPLPAMTQSETOT</w:t>
            </w:r>
            <w:r w:rsidRPr="0013396E">
              <w:rPr>
                <w:b/>
                <w:iCs/>
                <w:sz w:val="20"/>
                <w:szCs w:val="24"/>
              </w:rPr>
              <w:t xml:space="preserve"> </w:t>
            </w:r>
            <w:r w:rsidRPr="0013396E">
              <w:rPr>
                <w:i/>
                <w:iCs/>
                <w:sz w:val="20"/>
                <w:szCs w:val="24"/>
                <w:vertAlign w:val="subscript"/>
              </w:rPr>
              <w:t>q</w:t>
            </w:r>
            <w:r w:rsidRPr="0013396E">
              <w:rPr>
                <w:iCs/>
                <w:sz w:val="20"/>
                <w:szCs w:val="24"/>
              </w:rPr>
              <w:t xml:space="preserve"> </w:t>
            </w:r>
          </w:p>
        </w:tc>
        <w:tc>
          <w:tcPr>
            <w:tcW w:w="433" w:type="pct"/>
            <w:tcBorders>
              <w:top w:val="single" w:sz="4" w:space="0" w:color="auto"/>
              <w:left w:val="single" w:sz="4" w:space="0" w:color="auto"/>
              <w:bottom w:val="single" w:sz="4" w:space="0" w:color="auto"/>
              <w:right w:val="single" w:sz="4" w:space="0" w:color="auto"/>
            </w:tcBorders>
            <w:hideMark/>
          </w:tcPr>
          <w:p w14:paraId="589332A4" w14:textId="77777777" w:rsidR="00162CAA" w:rsidRPr="0013396E" w:rsidRDefault="00162CAA" w:rsidP="00162CAA">
            <w:pPr>
              <w:spacing w:after="60"/>
              <w:rPr>
                <w:iCs/>
                <w:sz w:val="20"/>
                <w:szCs w:val="24"/>
              </w:rPr>
            </w:pPr>
            <w:r w:rsidRPr="0013396E">
              <w:rPr>
                <w:iCs/>
                <w:sz w:val="20"/>
                <w:szCs w:val="24"/>
              </w:rPr>
              <w:t>$</w:t>
            </w:r>
          </w:p>
        </w:tc>
        <w:tc>
          <w:tcPr>
            <w:tcW w:w="3174" w:type="pct"/>
            <w:tcBorders>
              <w:top w:val="single" w:sz="4" w:space="0" w:color="auto"/>
              <w:left w:val="single" w:sz="4" w:space="0" w:color="auto"/>
              <w:bottom w:val="single" w:sz="4" w:space="0" w:color="auto"/>
              <w:right w:val="single" w:sz="4" w:space="0" w:color="auto"/>
            </w:tcBorders>
            <w:hideMark/>
          </w:tcPr>
          <w:p w14:paraId="220A946C" w14:textId="77777777" w:rsidR="00162CAA" w:rsidRPr="0013396E" w:rsidRDefault="00162CAA" w:rsidP="00162CAA">
            <w:pPr>
              <w:spacing w:after="60"/>
              <w:rPr>
                <w:iCs/>
                <w:sz w:val="20"/>
                <w:szCs w:val="24"/>
              </w:rPr>
            </w:pPr>
            <w:r w:rsidRPr="0013396E">
              <w:rPr>
                <w:i/>
                <w:iCs/>
                <w:sz w:val="20"/>
                <w:szCs w:val="24"/>
              </w:rPr>
              <w:t xml:space="preserve">Total Operating Losses Payment Amount per QSE – </w:t>
            </w:r>
            <w:r w:rsidRPr="0013396E">
              <w:rPr>
                <w:iCs/>
                <w:sz w:val="20"/>
                <w:szCs w:val="24"/>
              </w:rPr>
              <w:t xml:space="preserve">The total operating losses payment to the QSE </w:t>
            </w:r>
            <w:r w:rsidRPr="0013396E">
              <w:rPr>
                <w:i/>
                <w:sz w:val="20"/>
                <w:szCs w:val="24"/>
              </w:rPr>
              <w:t>q</w:t>
            </w:r>
            <w:r w:rsidRPr="0013396E">
              <w:rPr>
                <w:iCs/>
                <w:sz w:val="20"/>
                <w:szCs w:val="24"/>
              </w:rPr>
              <w:t xml:space="preserve">, for all Resources, for the 15-minute Settlement Interval within the Operating Day.  </w:t>
            </w:r>
          </w:p>
        </w:tc>
      </w:tr>
      <w:tr w:rsidR="00162CAA" w:rsidRPr="0013396E" w14:paraId="6E1C42CE" w14:textId="77777777" w:rsidTr="00764A29">
        <w:trPr>
          <w:cantSplit/>
        </w:trPr>
        <w:tc>
          <w:tcPr>
            <w:tcW w:w="1393" w:type="pct"/>
            <w:tcBorders>
              <w:top w:val="single" w:sz="4" w:space="0" w:color="auto"/>
              <w:left w:val="single" w:sz="4" w:space="0" w:color="auto"/>
              <w:bottom w:val="single" w:sz="4" w:space="0" w:color="auto"/>
              <w:right w:val="single" w:sz="4" w:space="0" w:color="auto"/>
            </w:tcBorders>
            <w:hideMark/>
          </w:tcPr>
          <w:p w14:paraId="36C3E343" w14:textId="77777777" w:rsidR="00162CAA" w:rsidRPr="0013396E" w:rsidRDefault="00162CAA" w:rsidP="00162CAA">
            <w:pPr>
              <w:spacing w:after="60"/>
              <w:rPr>
                <w:iCs/>
                <w:sz w:val="20"/>
                <w:szCs w:val="24"/>
              </w:rPr>
            </w:pPr>
            <w:r w:rsidRPr="0013396E">
              <w:rPr>
                <w:iCs/>
                <w:sz w:val="20"/>
                <w:szCs w:val="24"/>
              </w:rPr>
              <w:t xml:space="preserve">OPLPAMT </w:t>
            </w:r>
            <w:r w:rsidRPr="0013396E">
              <w:rPr>
                <w:i/>
                <w:iCs/>
                <w:sz w:val="20"/>
                <w:szCs w:val="24"/>
                <w:vertAlign w:val="subscript"/>
              </w:rPr>
              <w:t>q, r, i</w:t>
            </w:r>
            <w:r w:rsidRPr="0013396E">
              <w:rPr>
                <w:szCs w:val="24"/>
              </w:rPr>
              <w:t xml:space="preserve">  </w:t>
            </w:r>
          </w:p>
        </w:tc>
        <w:tc>
          <w:tcPr>
            <w:tcW w:w="433" w:type="pct"/>
            <w:tcBorders>
              <w:top w:val="single" w:sz="4" w:space="0" w:color="auto"/>
              <w:left w:val="single" w:sz="4" w:space="0" w:color="auto"/>
              <w:bottom w:val="single" w:sz="4" w:space="0" w:color="auto"/>
              <w:right w:val="single" w:sz="4" w:space="0" w:color="auto"/>
            </w:tcBorders>
            <w:hideMark/>
          </w:tcPr>
          <w:p w14:paraId="13F24095" w14:textId="77777777" w:rsidR="00162CAA" w:rsidRPr="0013396E" w:rsidRDefault="00162CAA" w:rsidP="00162CAA">
            <w:pPr>
              <w:spacing w:after="60"/>
              <w:rPr>
                <w:i/>
                <w:iCs/>
                <w:sz w:val="20"/>
                <w:szCs w:val="24"/>
              </w:rPr>
            </w:pPr>
            <w:r w:rsidRPr="0013396E">
              <w:rPr>
                <w:szCs w:val="24"/>
              </w:rPr>
              <w:t>$</w:t>
            </w:r>
          </w:p>
        </w:tc>
        <w:tc>
          <w:tcPr>
            <w:tcW w:w="3174" w:type="pct"/>
            <w:tcBorders>
              <w:top w:val="single" w:sz="4" w:space="0" w:color="auto"/>
              <w:left w:val="single" w:sz="4" w:space="0" w:color="auto"/>
              <w:bottom w:val="single" w:sz="4" w:space="0" w:color="auto"/>
              <w:right w:val="single" w:sz="4" w:space="0" w:color="auto"/>
            </w:tcBorders>
            <w:hideMark/>
          </w:tcPr>
          <w:p w14:paraId="4FA4534B" w14:textId="77777777" w:rsidR="00162CAA" w:rsidRPr="0013396E" w:rsidRDefault="00162CAA" w:rsidP="00162CAA">
            <w:pPr>
              <w:spacing w:after="60"/>
              <w:rPr>
                <w:iCs/>
                <w:sz w:val="20"/>
                <w:szCs w:val="24"/>
              </w:rPr>
            </w:pPr>
            <w:r w:rsidRPr="0013396E">
              <w:rPr>
                <w:i/>
                <w:iCs/>
                <w:sz w:val="20"/>
                <w:szCs w:val="24"/>
              </w:rPr>
              <w:t>Operating Losses Payment Amount</w:t>
            </w:r>
            <w:r w:rsidRPr="0013396E">
              <w:rPr>
                <w:szCs w:val="24"/>
              </w:rPr>
              <w:t xml:space="preserve"> – </w:t>
            </w:r>
            <w:r w:rsidRPr="0013396E">
              <w:rPr>
                <w:iCs/>
                <w:sz w:val="20"/>
                <w:szCs w:val="24"/>
              </w:rPr>
              <w:t xml:space="preserve">The operating losses payment to the QSE </w:t>
            </w:r>
            <w:r w:rsidRPr="0013396E">
              <w:rPr>
                <w:i/>
                <w:sz w:val="20"/>
                <w:szCs w:val="24"/>
              </w:rPr>
              <w:t>q</w:t>
            </w:r>
            <w:r w:rsidRPr="0013396E">
              <w:rPr>
                <w:iCs/>
                <w:sz w:val="20"/>
                <w:szCs w:val="24"/>
              </w:rPr>
              <w:t xml:space="preserve">, for Resource </w:t>
            </w:r>
            <w:r w:rsidRPr="0013396E">
              <w:rPr>
                <w:i/>
                <w:sz w:val="20"/>
                <w:szCs w:val="24"/>
              </w:rPr>
              <w:t>r</w:t>
            </w:r>
            <w:r w:rsidRPr="0013396E">
              <w:rPr>
                <w:iCs/>
                <w:sz w:val="20"/>
                <w:szCs w:val="24"/>
              </w:rPr>
              <w:t xml:space="preserve">, for the 15-minute Settlement Interval </w:t>
            </w:r>
            <w:r w:rsidRPr="0013396E">
              <w:rPr>
                <w:i/>
                <w:sz w:val="20"/>
                <w:szCs w:val="24"/>
              </w:rPr>
              <w:t>i</w:t>
            </w:r>
            <w:r w:rsidRPr="0013396E">
              <w:rPr>
                <w:iCs/>
                <w:sz w:val="20"/>
                <w:szCs w:val="24"/>
              </w:rPr>
              <w:t xml:space="preserve"> within the Operating Day.  Where for a Combined Cycle Train, the Resource </w:t>
            </w:r>
            <w:r w:rsidRPr="0013396E">
              <w:rPr>
                <w:i/>
                <w:sz w:val="20"/>
                <w:szCs w:val="24"/>
              </w:rPr>
              <w:t>r</w:t>
            </w:r>
            <w:r w:rsidRPr="0013396E">
              <w:rPr>
                <w:iCs/>
                <w:sz w:val="20"/>
                <w:szCs w:val="24"/>
              </w:rPr>
              <w:t xml:space="preserve"> is the Combined Cycle Train.</w:t>
            </w:r>
          </w:p>
        </w:tc>
      </w:tr>
      <w:tr w:rsidR="00162CAA" w:rsidRPr="0013396E" w14:paraId="4FF942CC" w14:textId="77777777" w:rsidTr="00764A29">
        <w:trPr>
          <w:cantSplit/>
        </w:trPr>
        <w:tc>
          <w:tcPr>
            <w:tcW w:w="1393" w:type="pct"/>
            <w:tcBorders>
              <w:top w:val="single" w:sz="4" w:space="0" w:color="auto"/>
              <w:left w:val="single" w:sz="4" w:space="0" w:color="auto"/>
              <w:bottom w:val="single" w:sz="4" w:space="0" w:color="auto"/>
              <w:right w:val="single" w:sz="4" w:space="0" w:color="auto"/>
            </w:tcBorders>
            <w:hideMark/>
          </w:tcPr>
          <w:p w14:paraId="4D3BBB84" w14:textId="77777777" w:rsidR="00162CAA" w:rsidRPr="0013396E" w:rsidRDefault="00162CAA" w:rsidP="00162CAA">
            <w:pPr>
              <w:spacing w:after="60"/>
              <w:rPr>
                <w:i/>
                <w:iCs/>
                <w:sz w:val="20"/>
                <w:szCs w:val="24"/>
              </w:rPr>
            </w:pPr>
            <w:r w:rsidRPr="0013396E">
              <w:rPr>
                <w:i/>
                <w:iCs/>
                <w:sz w:val="20"/>
                <w:szCs w:val="24"/>
              </w:rPr>
              <w:t>q</w:t>
            </w:r>
          </w:p>
        </w:tc>
        <w:tc>
          <w:tcPr>
            <w:tcW w:w="433" w:type="pct"/>
            <w:tcBorders>
              <w:top w:val="single" w:sz="4" w:space="0" w:color="auto"/>
              <w:left w:val="single" w:sz="4" w:space="0" w:color="auto"/>
              <w:bottom w:val="single" w:sz="4" w:space="0" w:color="auto"/>
              <w:right w:val="single" w:sz="4" w:space="0" w:color="auto"/>
            </w:tcBorders>
            <w:hideMark/>
          </w:tcPr>
          <w:p w14:paraId="07959956" w14:textId="77777777" w:rsidR="00162CAA" w:rsidRPr="0013396E" w:rsidRDefault="00162CAA" w:rsidP="00162CAA">
            <w:pPr>
              <w:spacing w:after="60"/>
              <w:rPr>
                <w:iCs/>
                <w:sz w:val="20"/>
                <w:szCs w:val="24"/>
              </w:rPr>
            </w:pPr>
            <w:r w:rsidRPr="0013396E">
              <w:rPr>
                <w:iCs/>
                <w:sz w:val="20"/>
                <w:szCs w:val="24"/>
              </w:rPr>
              <w:t>none</w:t>
            </w:r>
          </w:p>
        </w:tc>
        <w:tc>
          <w:tcPr>
            <w:tcW w:w="3174" w:type="pct"/>
            <w:tcBorders>
              <w:top w:val="single" w:sz="4" w:space="0" w:color="auto"/>
              <w:left w:val="single" w:sz="4" w:space="0" w:color="auto"/>
              <w:bottom w:val="single" w:sz="4" w:space="0" w:color="auto"/>
              <w:right w:val="single" w:sz="4" w:space="0" w:color="auto"/>
            </w:tcBorders>
            <w:hideMark/>
          </w:tcPr>
          <w:p w14:paraId="11283EAE" w14:textId="77777777" w:rsidR="00162CAA" w:rsidRPr="0013396E" w:rsidRDefault="00162CAA" w:rsidP="00162CAA">
            <w:pPr>
              <w:spacing w:after="60"/>
              <w:rPr>
                <w:iCs/>
                <w:sz w:val="20"/>
                <w:szCs w:val="24"/>
              </w:rPr>
            </w:pPr>
            <w:r w:rsidRPr="0013396E">
              <w:rPr>
                <w:iCs/>
                <w:sz w:val="20"/>
                <w:szCs w:val="24"/>
              </w:rPr>
              <w:t>A QSE.</w:t>
            </w:r>
          </w:p>
        </w:tc>
      </w:tr>
      <w:tr w:rsidR="00162CAA" w:rsidRPr="0013396E" w14:paraId="3BC7ADAE" w14:textId="77777777" w:rsidTr="00764A29">
        <w:trPr>
          <w:cantSplit/>
        </w:trPr>
        <w:tc>
          <w:tcPr>
            <w:tcW w:w="1393" w:type="pct"/>
            <w:tcBorders>
              <w:top w:val="single" w:sz="4" w:space="0" w:color="auto"/>
              <w:left w:val="single" w:sz="4" w:space="0" w:color="auto"/>
              <w:bottom w:val="single" w:sz="4" w:space="0" w:color="auto"/>
              <w:right w:val="single" w:sz="4" w:space="0" w:color="auto"/>
            </w:tcBorders>
            <w:hideMark/>
          </w:tcPr>
          <w:p w14:paraId="28845EAF" w14:textId="77777777" w:rsidR="00162CAA" w:rsidRPr="0013396E" w:rsidRDefault="00162CAA" w:rsidP="00162CAA">
            <w:pPr>
              <w:spacing w:after="60"/>
              <w:rPr>
                <w:i/>
                <w:iCs/>
                <w:sz w:val="20"/>
                <w:szCs w:val="24"/>
              </w:rPr>
            </w:pPr>
            <w:r w:rsidRPr="0013396E">
              <w:rPr>
                <w:i/>
                <w:iCs/>
                <w:sz w:val="20"/>
                <w:szCs w:val="24"/>
              </w:rPr>
              <w:t>r</w:t>
            </w:r>
          </w:p>
        </w:tc>
        <w:tc>
          <w:tcPr>
            <w:tcW w:w="433" w:type="pct"/>
            <w:tcBorders>
              <w:top w:val="single" w:sz="4" w:space="0" w:color="auto"/>
              <w:left w:val="single" w:sz="4" w:space="0" w:color="auto"/>
              <w:bottom w:val="single" w:sz="4" w:space="0" w:color="auto"/>
              <w:right w:val="single" w:sz="4" w:space="0" w:color="auto"/>
            </w:tcBorders>
            <w:hideMark/>
          </w:tcPr>
          <w:p w14:paraId="7931197E" w14:textId="77777777" w:rsidR="00162CAA" w:rsidRPr="0013396E" w:rsidRDefault="00162CAA" w:rsidP="00162CAA">
            <w:pPr>
              <w:spacing w:after="60"/>
              <w:rPr>
                <w:iCs/>
                <w:sz w:val="20"/>
                <w:szCs w:val="24"/>
              </w:rPr>
            </w:pPr>
            <w:r w:rsidRPr="0013396E">
              <w:rPr>
                <w:iCs/>
                <w:sz w:val="20"/>
                <w:szCs w:val="24"/>
              </w:rPr>
              <w:t>none</w:t>
            </w:r>
          </w:p>
        </w:tc>
        <w:tc>
          <w:tcPr>
            <w:tcW w:w="3174" w:type="pct"/>
            <w:tcBorders>
              <w:top w:val="single" w:sz="4" w:space="0" w:color="auto"/>
              <w:left w:val="single" w:sz="4" w:space="0" w:color="auto"/>
              <w:bottom w:val="single" w:sz="4" w:space="0" w:color="auto"/>
              <w:right w:val="single" w:sz="4" w:space="0" w:color="auto"/>
            </w:tcBorders>
            <w:hideMark/>
          </w:tcPr>
          <w:p w14:paraId="6BABE045" w14:textId="77777777" w:rsidR="00162CAA" w:rsidRPr="0013396E" w:rsidRDefault="00162CAA" w:rsidP="00162CAA">
            <w:pPr>
              <w:spacing w:after="60"/>
              <w:rPr>
                <w:iCs/>
                <w:sz w:val="20"/>
                <w:szCs w:val="24"/>
              </w:rPr>
            </w:pPr>
            <w:r w:rsidRPr="0013396E">
              <w:rPr>
                <w:iCs/>
                <w:sz w:val="20"/>
                <w:szCs w:val="24"/>
              </w:rPr>
              <w:t>A Generation Resource or ESR.</w:t>
            </w:r>
          </w:p>
        </w:tc>
      </w:tr>
      <w:tr w:rsidR="00162CAA" w:rsidRPr="0013396E" w14:paraId="7F2411BD" w14:textId="77777777" w:rsidTr="00764A29">
        <w:trPr>
          <w:cantSplit/>
        </w:trPr>
        <w:tc>
          <w:tcPr>
            <w:tcW w:w="1393" w:type="pct"/>
            <w:tcBorders>
              <w:top w:val="single" w:sz="4" w:space="0" w:color="auto"/>
              <w:left w:val="single" w:sz="4" w:space="0" w:color="auto"/>
              <w:bottom w:val="single" w:sz="4" w:space="0" w:color="auto"/>
              <w:right w:val="single" w:sz="4" w:space="0" w:color="auto"/>
            </w:tcBorders>
            <w:hideMark/>
          </w:tcPr>
          <w:p w14:paraId="765EB45D" w14:textId="77777777" w:rsidR="00162CAA" w:rsidRPr="0013396E" w:rsidRDefault="00162CAA" w:rsidP="00162CAA">
            <w:pPr>
              <w:spacing w:after="60"/>
              <w:rPr>
                <w:i/>
                <w:iCs/>
                <w:sz w:val="20"/>
                <w:szCs w:val="24"/>
              </w:rPr>
            </w:pPr>
            <w:r w:rsidRPr="0013396E">
              <w:rPr>
                <w:i/>
                <w:iCs/>
                <w:sz w:val="20"/>
                <w:szCs w:val="24"/>
              </w:rPr>
              <w:t>i</w:t>
            </w:r>
          </w:p>
        </w:tc>
        <w:tc>
          <w:tcPr>
            <w:tcW w:w="433" w:type="pct"/>
            <w:tcBorders>
              <w:top w:val="single" w:sz="4" w:space="0" w:color="auto"/>
              <w:left w:val="single" w:sz="4" w:space="0" w:color="auto"/>
              <w:bottom w:val="single" w:sz="4" w:space="0" w:color="auto"/>
              <w:right w:val="single" w:sz="4" w:space="0" w:color="auto"/>
            </w:tcBorders>
            <w:hideMark/>
          </w:tcPr>
          <w:p w14:paraId="2A3A50EB" w14:textId="77777777" w:rsidR="00162CAA" w:rsidRPr="0013396E" w:rsidRDefault="00162CAA" w:rsidP="00162CAA">
            <w:pPr>
              <w:spacing w:after="60"/>
              <w:rPr>
                <w:iCs/>
                <w:sz w:val="20"/>
                <w:szCs w:val="24"/>
              </w:rPr>
            </w:pPr>
            <w:r w:rsidRPr="0013396E">
              <w:rPr>
                <w:iCs/>
                <w:sz w:val="20"/>
                <w:szCs w:val="24"/>
              </w:rPr>
              <w:t>none</w:t>
            </w:r>
          </w:p>
        </w:tc>
        <w:tc>
          <w:tcPr>
            <w:tcW w:w="3174" w:type="pct"/>
            <w:tcBorders>
              <w:top w:val="single" w:sz="4" w:space="0" w:color="auto"/>
              <w:left w:val="single" w:sz="4" w:space="0" w:color="auto"/>
              <w:bottom w:val="single" w:sz="4" w:space="0" w:color="auto"/>
              <w:right w:val="single" w:sz="4" w:space="0" w:color="auto"/>
            </w:tcBorders>
            <w:hideMark/>
          </w:tcPr>
          <w:p w14:paraId="1A3F0809" w14:textId="045D1164" w:rsidR="00162CAA" w:rsidRPr="0013396E" w:rsidRDefault="00162CAA" w:rsidP="00162CAA">
            <w:pPr>
              <w:spacing w:after="60"/>
              <w:rPr>
                <w:iCs/>
                <w:sz w:val="20"/>
                <w:szCs w:val="24"/>
              </w:rPr>
            </w:pPr>
            <w:r w:rsidRPr="0013396E">
              <w:rPr>
                <w:iCs/>
                <w:sz w:val="20"/>
                <w:szCs w:val="24"/>
              </w:rPr>
              <w:t xml:space="preserve">A 15-minute Settlement Interval within the Operating Day during an LCAP </w:t>
            </w:r>
            <w:r w:rsidR="00151A02">
              <w:rPr>
                <w:iCs/>
                <w:sz w:val="20"/>
                <w:szCs w:val="24"/>
              </w:rPr>
              <w:t xml:space="preserve">or ECAP </w:t>
            </w:r>
            <w:r w:rsidRPr="0013396E">
              <w:rPr>
                <w:iCs/>
                <w:sz w:val="20"/>
                <w:szCs w:val="24"/>
              </w:rPr>
              <w:t>Effective Period.</w:t>
            </w:r>
          </w:p>
        </w:tc>
      </w:tr>
    </w:tbl>
    <w:p w14:paraId="2CDA08BA" w14:textId="77777777" w:rsidR="00445D1B" w:rsidRPr="0013396E" w:rsidRDefault="00445D1B" w:rsidP="000B7133">
      <w:pPr>
        <w:keepNext/>
        <w:tabs>
          <w:tab w:val="left" w:pos="1080"/>
        </w:tabs>
        <w:spacing w:before="240" w:after="240"/>
        <w:ind w:left="1080" w:hanging="1080"/>
        <w:outlineLvl w:val="2"/>
        <w:rPr>
          <w:b/>
          <w:bCs/>
          <w:i/>
          <w:iCs/>
          <w:snapToGrid w:val="0"/>
        </w:rPr>
      </w:pPr>
      <w:bookmarkStart w:id="2294" w:name="_Toc236220255"/>
      <w:bookmarkStart w:id="2295" w:name="_Toc493250760"/>
      <w:bookmarkStart w:id="2296" w:name="_Toc181499"/>
      <w:bookmarkStart w:id="2297" w:name="_Toc181597"/>
      <w:r w:rsidRPr="0013396E">
        <w:rPr>
          <w:b/>
          <w:bCs/>
          <w:i/>
          <w:iCs/>
          <w:snapToGrid w:val="0"/>
        </w:rPr>
        <w:t>6.8.3</w:t>
      </w:r>
      <w:r w:rsidRPr="0013396E">
        <w:rPr>
          <w:b/>
          <w:bCs/>
          <w:i/>
          <w:iCs/>
          <w:snapToGrid w:val="0"/>
        </w:rPr>
        <w:tab/>
        <w:t>Charges for Operating Losses During an LCAP or ECAP Effective Period</w:t>
      </w:r>
      <w:bookmarkEnd w:id="2294"/>
    </w:p>
    <w:p w14:paraId="438D8BAE" w14:textId="77777777" w:rsidR="00445D1B" w:rsidRPr="0013396E" w:rsidRDefault="00445D1B" w:rsidP="00445D1B">
      <w:pPr>
        <w:spacing w:before="240" w:after="240"/>
        <w:ind w:left="720" w:hanging="720"/>
      </w:pPr>
      <w:r w:rsidRPr="0013396E">
        <w:t>(1)</w:t>
      </w:r>
      <w:r w:rsidRPr="0013396E">
        <w:tab/>
        <w:t>ERCOT shall allocate the total operating losses payment amount to the QSEs representing Loads.  The resulting charge to each QSE’s Load Ratio Share (LRS) for a 15-minute Settlement Interval is calculated as follows:</w:t>
      </w:r>
    </w:p>
    <w:p w14:paraId="28347053" w14:textId="77777777" w:rsidR="00445D1B" w:rsidRPr="0013396E" w:rsidRDefault="00445D1B" w:rsidP="00445D1B">
      <w:pPr>
        <w:tabs>
          <w:tab w:val="left" w:pos="2340"/>
          <w:tab w:val="left" w:pos="3420"/>
        </w:tabs>
        <w:spacing w:after="240"/>
        <w:ind w:left="3420" w:hanging="2700"/>
        <w:rPr>
          <w:b/>
          <w:bCs/>
          <w:szCs w:val="24"/>
          <w:lang w:val="sv-SE"/>
        </w:rPr>
      </w:pPr>
      <w:r w:rsidRPr="0013396E">
        <w:rPr>
          <w:b/>
          <w:bCs/>
          <w:szCs w:val="24"/>
          <w:lang w:val="sv-SE"/>
        </w:rPr>
        <w:t xml:space="preserve">LALCAPAMT </w:t>
      </w:r>
      <w:r w:rsidRPr="0013396E">
        <w:rPr>
          <w:b/>
          <w:bCs/>
          <w:i/>
          <w:szCs w:val="24"/>
          <w:vertAlign w:val="subscript"/>
          <w:lang w:val="sv-SE"/>
        </w:rPr>
        <w:t>q, i</w:t>
      </w:r>
      <w:r w:rsidRPr="0013396E">
        <w:rPr>
          <w:b/>
          <w:bCs/>
          <w:szCs w:val="24"/>
          <w:lang w:val="sv-SE"/>
        </w:rPr>
        <w:tab/>
        <w:t>=</w:t>
      </w:r>
      <w:r w:rsidRPr="0013396E">
        <w:rPr>
          <w:b/>
          <w:bCs/>
          <w:szCs w:val="24"/>
          <w:lang w:val="sv-SE"/>
        </w:rPr>
        <w:tab/>
        <w:t xml:space="preserve">(-1) * OPLPAMTTOT </w:t>
      </w:r>
      <w:r w:rsidRPr="0013396E">
        <w:rPr>
          <w:b/>
          <w:bCs/>
          <w:i/>
          <w:szCs w:val="24"/>
          <w:vertAlign w:val="subscript"/>
          <w:lang w:val="sv-SE"/>
        </w:rPr>
        <w:t>i</w:t>
      </w:r>
      <w:r w:rsidRPr="0013396E">
        <w:rPr>
          <w:b/>
          <w:bCs/>
          <w:szCs w:val="24"/>
          <w:lang w:val="sv-SE"/>
        </w:rPr>
        <w:t xml:space="preserve"> * LRS </w:t>
      </w:r>
      <w:r w:rsidRPr="0013396E">
        <w:rPr>
          <w:b/>
          <w:bCs/>
          <w:i/>
          <w:szCs w:val="24"/>
          <w:vertAlign w:val="subscript"/>
          <w:lang w:val="sv-SE"/>
        </w:rPr>
        <w:t>q, i</w:t>
      </w:r>
    </w:p>
    <w:p w14:paraId="7EC5D905" w14:textId="77777777" w:rsidR="00445D1B" w:rsidRPr="0013396E" w:rsidRDefault="00445D1B" w:rsidP="00445D1B">
      <w:pPr>
        <w:tabs>
          <w:tab w:val="left" w:pos="2340"/>
          <w:tab w:val="left" w:pos="3420"/>
        </w:tabs>
        <w:spacing w:after="240"/>
        <w:ind w:left="3420" w:hanging="2700"/>
        <w:rPr>
          <w:b/>
          <w:bCs/>
          <w:szCs w:val="24"/>
        </w:rPr>
      </w:pPr>
      <w:r w:rsidRPr="0013396E">
        <w:rPr>
          <w:b/>
          <w:bCs/>
          <w:szCs w:val="24"/>
        </w:rPr>
        <w:t>Where:</w:t>
      </w:r>
    </w:p>
    <w:p w14:paraId="07238FDA" w14:textId="77777777" w:rsidR="00445D1B" w:rsidRPr="0013396E" w:rsidRDefault="00445D1B" w:rsidP="00445D1B">
      <w:pPr>
        <w:tabs>
          <w:tab w:val="left" w:pos="2340"/>
          <w:tab w:val="left" w:pos="3420"/>
        </w:tabs>
        <w:spacing w:after="240"/>
        <w:ind w:left="3420" w:hanging="2700"/>
        <w:rPr>
          <w:bCs/>
          <w:i/>
          <w:szCs w:val="24"/>
          <w:vertAlign w:val="subscript"/>
        </w:rPr>
      </w:pPr>
      <w:r w:rsidRPr="0013396E">
        <w:rPr>
          <w:bCs/>
          <w:szCs w:val="24"/>
        </w:rPr>
        <w:t xml:space="preserve">OPLPAMTTOT </w:t>
      </w:r>
      <w:r w:rsidRPr="0013396E">
        <w:rPr>
          <w:bCs/>
          <w:i/>
          <w:szCs w:val="24"/>
          <w:vertAlign w:val="subscript"/>
        </w:rPr>
        <w:t xml:space="preserve">i </w:t>
      </w:r>
      <w:r w:rsidRPr="0013396E">
        <w:rPr>
          <w:bCs/>
          <w:szCs w:val="24"/>
        </w:rPr>
        <w:tab/>
      </w:r>
      <w:r w:rsidRPr="0013396E">
        <w:rPr>
          <w:bCs/>
          <w:szCs w:val="24"/>
        </w:rPr>
        <w:tab/>
        <w:t>=</w:t>
      </w:r>
      <w:r w:rsidRPr="0013396E">
        <w:rPr>
          <w:bCs/>
          <w:szCs w:val="24"/>
        </w:rPr>
        <w:tab/>
      </w:r>
      <w:r w:rsidRPr="0013396E">
        <w:rPr>
          <w:bCs/>
          <w:position w:val="-22"/>
          <w:szCs w:val="24"/>
        </w:rPr>
        <w:object w:dxaOrig="330" w:dyaOrig="630" w14:anchorId="1CB37D49">
          <v:shape id="_x0000_i1301" type="#_x0000_t75" style="width:12pt;height:30pt" o:ole="">
            <v:imagedata r:id="rId348" o:title=""/>
          </v:shape>
          <o:OLEObject Type="Embed" ProgID="Equation.3" ShapeID="_x0000_i1301" DrawAspect="Content" ObjectID="_1849065930" r:id="rId382"/>
        </w:object>
      </w:r>
      <w:r w:rsidRPr="0013396E">
        <w:rPr>
          <w:bCs/>
          <w:szCs w:val="24"/>
        </w:rPr>
        <w:t>OPLPAMTQSETOT</w:t>
      </w:r>
      <w:r w:rsidRPr="0013396E">
        <w:rPr>
          <w:bCs/>
          <w:i/>
          <w:szCs w:val="24"/>
          <w:vertAlign w:val="subscript"/>
        </w:rPr>
        <w:t xml:space="preserve"> i, q</w:t>
      </w:r>
    </w:p>
    <w:p w14:paraId="7A525B8F" w14:textId="77777777" w:rsidR="00445D1B" w:rsidRPr="0013396E" w:rsidRDefault="00445D1B" w:rsidP="00445D1B">
      <w:pPr>
        <w:spacing w:before="120"/>
        <w:rPr>
          <w:szCs w:val="24"/>
        </w:rPr>
      </w:pPr>
      <w:r w:rsidRPr="0013396E">
        <w:rPr>
          <w:szCs w:val="24"/>
        </w:rPr>
        <w:t>The above variables are defined as follows:</w:t>
      </w:r>
    </w:p>
    <w:tbl>
      <w:tblPr>
        <w:tblW w:w="495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209"/>
        <w:gridCol w:w="620"/>
        <w:gridCol w:w="6428"/>
      </w:tblGrid>
      <w:tr w:rsidR="00445D1B" w:rsidRPr="0013396E" w14:paraId="0F61109D" w14:textId="77777777" w:rsidTr="004B69AB">
        <w:tc>
          <w:tcPr>
            <w:tcW w:w="1193" w:type="pct"/>
            <w:tcBorders>
              <w:top w:val="single" w:sz="4" w:space="0" w:color="auto"/>
              <w:left w:val="single" w:sz="4" w:space="0" w:color="auto"/>
              <w:bottom w:val="single" w:sz="6" w:space="0" w:color="auto"/>
              <w:right w:val="single" w:sz="6" w:space="0" w:color="auto"/>
            </w:tcBorders>
            <w:hideMark/>
          </w:tcPr>
          <w:p w14:paraId="448F7416" w14:textId="77777777" w:rsidR="00445D1B" w:rsidRPr="0013396E" w:rsidRDefault="00445D1B" w:rsidP="004B69AB">
            <w:pPr>
              <w:spacing w:after="240"/>
              <w:rPr>
                <w:b/>
                <w:iCs/>
                <w:sz w:val="20"/>
              </w:rPr>
            </w:pPr>
            <w:r w:rsidRPr="0013396E">
              <w:rPr>
                <w:b/>
                <w:iCs/>
                <w:sz w:val="20"/>
              </w:rPr>
              <w:t>Variable</w:t>
            </w:r>
          </w:p>
        </w:tc>
        <w:tc>
          <w:tcPr>
            <w:tcW w:w="335" w:type="pct"/>
            <w:tcBorders>
              <w:top w:val="single" w:sz="4" w:space="0" w:color="auto"/>
              <w:left w:val="single" w:sz="6" w:space="0" w:color="auto"/>
              <w:bottom w:val="single" w:sz="6" w:space="0" w:color="auto"/>
              <w:right w:val="single" w:sz="6" w:space="0" w:color="auto"/>
            </w:tcBorders>
            <w:hideMark/>
          </w:tcPr>
          <w:p w14:paraId="4E6542A3" w14:textId="77777777" w:rsidR="00445D1B" w:rsidRPr="0013396E" w:rsidRDefault="00445D1B" w:rsidP="004B69AB">
            <w:pPr>
              <w:spacing w:after="240"/>
              <w:jc w:val="center"/>
              <w:rPr>
                <w:b/>
                <w:iCs/>
                <w:sz w:val="20"/>
              </w:rPr>
            </w:pPr>
            <w:r w:rsidRPr="0013396E">
              <w:rPr>
                <w:b/>
                <w:iCs/>
                <w:sz w:val="20"/>
              </w:rPr>
              <w:t>Unit</w:t>
            </w:r>
          </w:p>
        </w:tc>
        <w:tc>
          <w:tcPr>
            <w:tcW w:w="3472" w:type="pct"/>
            <w:tcBorders>
              <w:top w:val="single" w:sz="4" w:space="0" w:color="auto"/>
              <w:left w:val="single" w:sz="6" w:space="0" w:color="auto"/>
              <w:bottom w:val="single" w:sz="6" w:space="0" w:color="auto"/>
              <w:right w:val="single" w:sz="4" w:space="0" w:color="auto"/>
            </w:tcBorders>
            <w:hideMark/>
          </w:tcPr>
          <w:p w14:paraId="1DBA4E78" w14:textId="77777777" w:rsidR="00445D1B" w:rsidRPr="0013396E" w:rsidRDefault="00445D1B" w:rsidP="004B69AB">
            <w:pPr>
              <w:spacing w:after="240"/>
              <w:rPr>
                <w:b/>
                <w:iCs/>
                <w:sz w:val="20"/>
              </w:rPr>
            </w:pPr>
            <w:r w:rsidRPr="0013396E">
              <w:rPr>
                <w:b/>
                <w:iCs/>
                <w:sz w:val="20"/>
              </w:rPr>
              <w:t>Definition</w:t>
            </w:r>
          </w:p>
        </w:tc>
      </w:tr>
      <w:tr w:rsidR="00445D1B" w:rsidRPr="0013396E" w14:paraId="0F953F39" w14:textId="77777777" w:rsidTr="004B69AB">
        <w:tc>
          <w:tcPr>
            <w:tcW w:w="1193" w:type="pct"/>
            <w:tcBorders>
              <w:top w:val="single" w:sz="6" w:space="0" w:color="auto"/>
              <w:left w:val="single" w:sz="4" w:space="0" w:color="auto"/>
              <w:bottom w:val="single" w:sz="6" w:space="0" w:color="auto"/>
              <w:right w:val="single" w:sz="6" w:space="0" w:color="auto"/>
            </w:tcBorders>
            <w:hideMark/>
          </w:tcPr>
          <w:p w14:paraId="19C7014C" w14:textId="77777777" w:rsidR="00445D1B" w:rsidRPr="0013396E" w:rsidRDefault="00445D1B" w:rsidP="004B69AB">
            <w:pPr>
              <w:spacing w:after="60"/>
              <w:rPr>
                <w:iCs/>
                <w:sz w:val="20"/>
              </w:rPr>
            </w:pPr>
            <w:r w:rsidRPr="0013396E">
              <w:rPr>
                <w:iCs/>
                <w:sz w:val="20"/>
              </w:rPr>
              <w:t xml:space="preserve">LALCAPAMT </w:t>
            </w:r>
            <w:r w:rsidRPr="0013396E">
              <w:rPr>
                <w:i/>
                <w:iCs/>
                <w:sz w:val="20"/>
                <w:vertAlign w:val="subscript"/>
              </w:rPr>
              <w:t>q, i</w:t>
            </w:r>
          </w:p>
        </w:tc>
        <w:tc>
          <w:tcPr>
            <w:tcW w:w="335" w:type="pct"/>
            <w:tcBorders>
              <w:top w:val="single" w:sz="6" w:space="0" w:color="auto"/>
              <w:left w:val="single" w:sz="6" w:space="0" w:color="auto"/>
              <w:bottom w:val="single" w:sz="6" w:space="0" w:color="auto"/>
              <w:right w:val="single" w:sz="6" w:space="0" w:color="auto"/>
            </w:tcBorders>
            <w:hideMark/>
          </w:tcPr>
          <w:p w14:paraId="0289852C" w14:textId="77777777" w:rsidR="00445D1B" w:rsidRPr="0013396E" w:rsidRDefault="00445D1B" w:rsidP="004B69AB">
            <w:pPr>
              <w:spacing w:after="60"/>
              <w:jc w:val="center"/>
              <w:rPr>
                <w:iCs/>
                <w:sz w:val="20"/>
              </w:rPr>
            </w:pPr>
            <w:r w:rsidRPr="0013396E">
              <w:rPr>
                <w:iCs/>
                <w:sz w:val="20"/>
              </w:rPr>
              <w:t>$</w:t>
            </w:r>
          </w:p>
        </w:tc>
        <w:tc>
          <w:tcPr>
            <w:tcW w:w="3472" w:type="pct"/>
            <w:tcBorders>
              <w:top w:val="single" w:sz="6" w:space="0" w:color="auto"/>
              <w:left w:val="single" w:sz="6" w:space="0" w:color="auto"/>
              <w:bottom w:val="single" w:sz="6" w:space="0" w:color="auto"/>
              <w:right w:val="single" w:sz="4" w:space="0" w:color="auto"/>
            </w:tcBorders>
            <w:hideMark/>
          </w:tcPr>
          <w:p w14:paraId="70C6A42D" w14:textId="77777777" w:rsidR="00445D1B" w:rsidRPr="0013396E" w:rsidRDefault="00445D1B" w:rsidP="004B69AB">
            <w:pPr>
              <w:spacing w:after="60"/>
              <w:rPr>
                <w:iCs/>
                <w:sz w:val="20"/>
              </w:rPr>
            </w:pPr>
            <w:r w:rsidRPr="0013396E">
              <w:rPr>
                <w:i/>
                <w:iCs/>
                <w:sz w:val="20"/>
              </w:rPr>
              <w:t xml:space="preserve">Load Allocated LCAP or ECAP Effective Period Charge </w:t>
            </w:r>
            <w:r w:rsidRPr="0013396E">
              <w:rPr>
                <w:szCs w:val="24"/>
              </w:rPr>
              <w:t>–</w:t>
            </w:r>
            <w:r w:rsidRPr="0013396E">
              <w:rPr>
                <w:iCs/>
                <w:sz w:val="20"/>
              </w:rPr>
              <w:t xml:space="preserve"> The amount owed from the QSE </w:t>
            </w:r>
            <w:r w:rsidRPr="0013396E">
              <w:rPr>
                <w:i/>
                <w:iCs/>
                <w:sz w:val="20"/>
              </w:rPr>
              <w:t xml:space="preserve">q, </w:t>
            </w:r>
            <w:r w:rsidRPr="0013396E">
              <w:rPr>
                <w:iCs/>
                <w:sz w:val="20"/>
              </w:rPr>
              <w:t xml:space="preserve">based on Load Ratio Share, for the 15-minute Settlement Interval </w:t>
            </w:r>
            <w:r w:rsidRPr="0013396E">
              <w:rPr>
                <w:i/>
                <w:iCs/>
                <w:sz w:val="20"/>
              </w:rPr>
              <w:t>i</w:t>
            </w:r>
            <w:r w:rsidRPr="0013396E">
              <w:rPr>
                <w:iCs/>
                <w:sz w:val="20"/>
              </w:rPr>
              <w:t>.</w:t>
            </w:r>
          </w:p>
        </w:tc>
      </w:tr>
      <w:tr w:rsidR="00445D1B" w:rsidRPr="0013396E" w14:paraId="04044F9B" w14:textId="77777777" w:rsidTr="004B69AB">
        <w:trPr>
          <w:cantSplit/>
        </w:trPr>
        <w:tc>
          <w:tcPr>
            <w:tcW w:w="1193" w:type="pct"/>
            <w:tcBorders>
              <w:top w:val="single" w:sz="4" w:space="0" w:color="auto"/>
              <w:left w:val="single" w:sz="4" w:space="0" w:color="auto"/>
              <w:bottom w:val="single" w:sz="4" w:space="0" w:color="auto"/>
              <w:right w:val="single" w:sz="4" w:space="0" w:color="auto"/>
            </w:tcBorders>
            <w:hideMark/>
          </w:tcPr>
          <w:p w14:paraId="6BA73543" w14:textId="77777777" w:rsidR="00445D1B" w:rsidRPr="0013396E" w:rsidRDefault="00445D1B" w:rsidP="004B69AB">
            <w:pPr>
              <w:spacing w:after="60"/>
              <w:rPr>
                <w:iCs/>
                <w:sz w:val="20"/>
                <w:szCs w:val="24"/>
              </w:rPr>
            </w:pPr>
            <w:r w:rsidRPr="0013396E">
              <w:rPr>
                <w:iCs/>
                <w:sz w:val="20"/>
                <w:szCs w:val="24"/>
              </w:rPr>
              <w:t>OPLPAMTQSETOT</w:t>
            </w:r>
            <w:r w:rsidRPr="0013396E">
              <w:rPr>
                <w:b/>
                <w:iCs/>
                <w:sz w:val="20"/>
                <w:szCs w:val="24"/>
              </w:rPr>
              <w:t xml:space="preserve"> </w:t>
            </w:r>
            <w:r w:rsidRPr="0013396E">
              <w:rPr>
                <w:i/>
                <w:iCs/>
                <w:sz w:val="20"/>
                <w:szCs w:val="24"/>
                <w:vertAlign w:val="subscript"/>
              </w:rPr>
              <w:t>i, q</w:t>
            </w:r>
            <w:r w:rsidRPr="0013396E">
              <w:rPr>
                <w:iCs/>
                <w:sz w:val="20"/>
                <w:szCs w:val="24"/>
              </w:rPr>
              <w:t xml:space="preserve"> </w:t>
            </w:r>
          </w:p>
        </w:tc>
        <w:tc>
          <w:tcPr>
            <w:tcW w:w="335" w:type="pct"/>
            <w:tcBorders>
              <w:top w:val="single" w:sz="4" w:space="0" w:color="auto"/>
              <w:left w:val="single" w:sz="4" w:space="0" w:color="auto"/>
              <w:bottom w:val="single" w:sz="4" w:space="0" w:color="auto"/>
              <w:right w:val="single" w:sz="4" w:space="0" w:color="auto"/>
            </w:tcBorders>
            <w:hideMark/>
          </w:tcPr>
          <w:p w14:paraId="08B33717" w14:textId="77777777" w:rsidR="00445D1B" w:rsidRPr="0013396E" w:rsidRDefault="00445D1B" w:rsidP="004B69AB">
            <w:pPr>
              <w:spacing w:after="60"/>
              <w:jc w:val="center"/>
              <w:rPr>
                <w:iCs/>
                <w:sz w:val="20"/>
                <w:szCs w:val="24"/>
              </w:rPr>
            </w:pPr>
            <w:r w:rsidRPr="0013396E">
              <w:rPr>
                <w:iCs/>
                <w:sz w:val="20"/>
                <w:szCs w:val="24"/>
              </w:rPr>
              <w:t>$</w:t>
            </w:r>
          </w:p>
        </w:tc>
        <w:tc>
          <w:tcPr>
            <w:tcW w:w="3472" w:type="pct"/>
            <w:tcBorders>
              <w:top w:val="single" w:sz="4" w:space="0" w:color="auto"/>
              <w:left w:val="single" w:sz="4" w:space="0" w:color="auto"/>
              <w:bottom w:val="single" w:sz="4" w:space="0" w:color="auto"/>
              <w:right w:val="single" w:sz="4" w:space="0" w:color="auto"/>
            </w:tcBorders>
            <w:hideMark/>
          </w:tcPr>
          <w:p w14:paraId="5E55289F" w14:textId="77777777" w:rsidR="00445D1B" w:rsidRPr="0013396E" w:rsidRDefault="00445D1B" w:rsidP="004B69AB">
            <w:pPr>
              <w:spacing w:after="60"/>
              <w:rPr>
                <w:iCs/>
                <w:sz w:val="20"/>
                <w:szCs w:val="24"/>
              </w:rPr>
            </w:pPr>
            <w:r w:rsidRPr="0013396E">
              <w:rPr>
                <w:i/>
                <w:iCs/>
                <w:sz w:val="20"/>
                <w:szCs w:val="24"/>
              </w:rPr>
              <w:t xml:space="preserve">Total Operating Losses Payment Amount per QSE – </w:t>
            </w:r>
            <w:r w:rsidRPr="0013396E">
              <w:rPr>
                <w:iCs/>
                <w:sz w:val="20"/>
                <w:szCs w:val="24"/>
              </w:rPr>
              <w:t xml:space="preserve">The total operating losses payment to the QSE </w:t>
            </w:r>
            <w:r w:rsidRPr="0013396E">
              <w:rPr>
                <w:i/>
                <w:iCs/>
                <w:sz w:val="20"/>
                <w:szCs w:val="24"/>
              </w:rPr>
              <w:t>q</w:t>
            </w:r>
            <w:r w:rsidRPr="0013396E">
              <w:rPr>
                <w:iCs/>
                <w:sz w:val="20"/>
                <w:szCs w:val="24"/>
              </w:rPr>
              <w:t xml:space="preserve">, for all Resources, for the 15-minute Settlement Interval </w:t>
            </w:r>
            <w:r w:rsidRPr="0013396E">
              <w:rPr>
                <w:i/>
                <w:sz w:val="20"/>
                <w:szCs w:val="24"/>
              </w:rPr>
              <w:t xml:space="preserve">i </w:t>
            </w:r>
            <w:r w:rsidRPr="0013396E">
              <w:rPr>
                <w:sz w:val="20"/>
                <w:szCs w:val="24"/>
              </w:rPr>
              <w:t>within the Operating Day</w:t>
            </w:r>
            <w:r w:rsidRPr="0013396E">
              <w:rPr>
                <w:szCs w:val="24"/>
              </w:rPr>
              <w:t>.</w:t>
            </w:r>
            <w:r w:rsidRPr="0013396E">
              <w:rPr>
                <w:iCs/>
                <w:sz w:val="20"/>
                <w:szCs w:val="24"/>
              </w:rPr>
              <w:t xml:space="preserve"> </w:t>
            </w:r>
            <w:r w:rsidRPr="0013396E">
              <w:rPr>
                <w:iCs/>
                <w:sz w:val="20"/>
              </w:rPr>
              <w:t xml:space="preserve"> </w:t>
            </w:r>
          </w:p>
        </w:tc>
      </w:tr>
      <w:tr w:rsidR="00445D1B" w:rsidRPr="0013396E" w14:paraId="0598F478" w14:textId="77777777" w:rsidTr="004B69AB">
        <w:tc>
          <w:tcPr>
            <w:tcW w:w="1193" w:type="pct"/>
            <w:tcBorders>
              <w:top w:val="single" w:sz="6" w:space="0" w:color="auto"/>
              <w:left w:val="single" w:sz="4" w:space="0" w:color="auto"/>
              <w:bottom w:val="single" w:sz="6" w:space="0" w:color="auto"/>
              <w:right w:val="single" w:sz="6" w:space="0" w:color="auto"/>
            </w:tcBorders>
            <w:hideMark/>
          </w:tcPr>
          <w:p w14:paraId="346E99BE" w14:textId="77777777" w:rsidR="00445D1B" w:rsidRPr="0013396E" w:rsidRDefault="00445D1B" w:rsidP="004B69AB">
            <w:pPr>
              <w:spacing w:after="60"/>
              <w:rPr>
                <w:iCs/>
                <w:sz w:val="20"/>
              </w:rPr>
            </w:pPr>
            <w:r w:rsidRPr="0013396E">
              <w:rPr>
                <w:iCs/>
                <w:sz w:val="20"/>
              </w:rPr>
              <w:t xml:space="preserve">OPLPAMTTOT </w:t>
            </w:r>
            <w:r w:rsidRPr="0013396E">
              <w:rPr>
                <w:i/>
                <w:iCs/>
                <w:sz w:val="20"/>
                <w:vertAlign w:val="subscript"/>
              </w:rPr>
              <w:t>i</w:t>
            </w:r>
          </w:p>
        </w:tc>
        <w:tc>
          <w:tcPr>
            <w:tcW w:w="335" w:type="pct"/>
            <w:tcBorders>
              <w:top w:val="single" w:sz="6" w:space="0" w:color="auto"/>
              <w:left w:val="single" w:sz="6" w:space="0" w:color="auto"/>
              <w:bottom w:val="single" w:sz="6" w:space="0" w:color="auto"/>
              <w:right w:val="single" w:sz="6" w:space="0" w:color="auto"/>
            </w:tcBorders>
            <w:hideMark/>
          </w:tcPr>
          <w:p w14:paraId="120CDCDA" w14:textId="77777777" w:rsidR="00445D1B" w:rsidRPr="0013396E" w:rsidRDefault="00445D1B" w:rsidP="004B69AB">
            <w:pPr>
              <w:spacing w:after="60"/>
              <w:jc w:val="center"/>
              <w:rPr>
                <w:iCs/>
                <w:sz w:val="20"/>
              </w:rPr>
            </w:pPr>
            <w:r w:rsidRPr="0013396E">
              <w:rPr>
                <w:iCs/>
                <w:sz w:val="20"/>
              </w:rPr>
              <w:t>$</w:t>
            </w:r>
          </w:p>
        </w:tc>
        <w:tc>
          <w:tcPr>
            <w:tcW w:w="3472" w:type="pct"/>
            <w:tcBorders>
              <w:top w:val="single" w:sz="6" w:space="0" w:color="auto"/>
              <w:left w:val="single" w:sz="6" w:space="0" w:color="auto"/>
              <w:bottom w:val="single" w:sz="6" w:space="0" w:color="auto"/>
              <w:right w:val="single" w:sz="4" w:space="0" w:color="auto"/>
            </w:tcBorders>
            <w:hideMark/>
          </w:tcPr>
          <w:p w14:paraId="12814DF9" w14:textId="77777777" w:rsidR="00445D1B" w:rsidRPr="0013396E" w:rsidRDefault="00445D1B" w:rsidP="004B69AB">
            <w:pPr>
              <w:spacing w:after="60"/>
              <w:rPr>
                <w:iCs/>
                <w:sz w:val="20"/>
              </w:rPr>
            </w:pPr>
            <w:r w:rsidRPr="0013396E">
              <w:rPr>
                <w:i/>
                <w:sz w:val="20"/>
              </w:rPr>
              <w:t xml:space="preserve">Total Operating Losses Payment Amount – </w:t>
            </w:r>
            <w:r w:rsidRPr="0013396E">
              <w:rPr>
                <w:iCs/>
                <w:sz w:val="20"/>
              </w:rPr>
              <w:t>The sum of Operating Losses Payments to all QSEs, for the 15-minute Settlement Interval</w:t>
            </w:r>
            <w:r w:rsidRPr="0013396E">
              <w:rPr>
                <w:i/>
                <w:iCs/>
                <w:sz w:val="20"/>
              </w:rPr>
              <w:t xml:space="preserve"> i</w:t>
            </w:r>
            <w:r w:rsidRPr="0013396E">
              <w:rPr>
                <w:iCs/>
                <w:sz w:val="20"/>
              </w:rPr>
              <w:t>.</w:t>
            </w:r>
          </w:p>
        </w:tc>
      </w:tr>
      <w:tr w:rsidR="00445D1B" w:rsidRPr="0013396E" w14:paraId="505FE61F" w14:textId="77777777" w:rsidTr="004B69AB">
        <w:tc>
          <w:tcPr>
            <w:tcW w:w="1193" w:type="pct"/>
            <w:tcBorders>
              <w:top w:val="single" w:sz="6" w:space="0" w:color="auto"/>
              <w:left w:val="single" w:sz="4" w:space="0" w:color="auto"/>
              <w:bottom w:val="single" w:sz="6" w:space="0" w:color="auto"/>
              <w:right w:val="single" w:sz="6" w:space="0" w:color="auto"/>
            </w:tcBorders>
            <w:hideMark/>
          </w:tcPr>
          <w:p w14:paraId="57E75D1C" w14:textId="77777777" w:rsidR="00445D1B" w:rsidRPr="0013396E" w:rsidRDefault="00445D1B" w:rsidP="004B69AB">
            <w:pPr>
              <w:spacing w:after="60"/>
              <w:rPr>
                <w:iCs/>
                <w:sz w:val="20"/>
              </w:rPr>
            </w:pPr>
            <w:r w:rsidRPr="0013396E">
              <w:rPr>
                <w:iCs/>
                <w:sz w:val="20"/>
              </w:rPr>
              <w:t xml:space="preserve">LRS </w:t>
            </w:r>
            <w:r w:rsidRPr="0013396E">
              <w:rPr>
                <w:i/>
                <w:iCs/>
                <w:sz w:val="20"/>
                <w:vertAlign w:val="subscript"/>
              </w:rPr>
              <w:t>q, i</w:t>
            </w:r>
          </w:p>
        </w:tc>
        <w:tc>
          <w:tcPr>
            <w:tcW w:w="335" w:type="pct"/>
            <w:tcBorders>
              <w:top w:val="single" w:sz="6" w:space="0" w:color="auto"/>
              <w:left w:val="single" w:sz="6" w:space="0" w:color="auto"/>
              <w:bottom w:val="single" w:sz="6" w:space="0" w:color="auto"/>
              <w:right w:val="single" w:sz="6" w:space="0" w:color="auto"/>
            </w:tcBorders>
            <w:hideMark/>
          </w:tcPr>
          <w:p w14:paraId="61EBD9E1" w14:textId="77777777" w:rsidR="00445D1B" w:rsidRPr="0013396E" w:rsidRDefault="00445D1B" w:rsidP="004B69AB">
            <w:pPr>
              <w:spacing w:after="60"/>
              <w:jc w:val="center"/>
              <w:rPr>
                <w:iCs/>
                <w:sz w:val="20"/>
              </w:rPr>
            </w:pPr>
            <w:r w:rsidRPr="0013396E">
              <w:rPr>
                <w:iCs/>
                <w:sz w:val="20"/>
              </w:rPr>
              <w:t>none</w:t>
            </w:r>
          </w:p>
        </w:tc>
        <w:tc>
          <w:tcPr>
            <w:tcW w:w="3472" w:type="pct"/>
            <w:tcBorders>
              <w:top w:val="single" w:sz="6" w:space="0" w:color="auto"/>
              <w:left w:val="single" w:sz="6" w:space="0" w:color="auto"/>
              <w:bottom w:val="single" w:sz="6" w:space="0" w:color="auto"/>
              <w:right w:val="single" w:sz="4" w:space="0" w:color="auto"/>
            </w:tcBorders>
            <w:hideMark/>
          </w:tcPr>
          <w:p w14:paraId="30127D5B" w14:textId="77777777" w:rsidR="00445D1B" w:rsidRPr="0013396E" w:rsidRDefault="00445D1B" w:rsidP="004B69AB">
            <w:pPr>
              <w:spacing w:after="60"/>
              <w:rPr>
                <w:i/>
                <w:iCs/>
                <w:sz w:val="20"/>
              </w:rPr>
            </w:pPr>
            <w:r w:rsidRPr="0013396E">
              <w:rPr>
                <w:i/>
                <w:iCs/>
                <w:sz w:val="20"/>
              </w:rPr>
              <w:t>Load Ratio Share</w:t>
            </w:r>
            <w:r w:rsidRPr="0013396E">
              <w:rPr>
                <w:iCs/>
                <w:sz w:val="20"/>
              </w:rPr>
              <w:t xml:space="preserve"> </w:t>
            </w:r>
            <w:r w:rsidRPr="0013396E">
              <w:rPr>
                <w:i/>
                <w:sz w:val="20"/>
              </w:rPr>
              <w:t xml:space="preserve">– </w:t>
            </w:r>
            <w:r w:rsidRPr="0013396E">
              <w:rPr>
                <w:iCs/>
                <w:sz w:val="20"/>
              </w:rPr>
              <w:t>The ratio of Adjusted Metered Load to the total ERCOT Adjusted Metered Load for the 15-minute Settlement Interval.  See Section 6.6.2, Load Ratio Share, item (2).</w:t>
            </w:r>
          </w:p>
        </w:tc>
      </w:tr>
      <w:tr w:rsidR="00445D1B" w:rsidRPr="0013396E" w14:paraId="27C10F94" w14:textId="77777777" w:rsidTr="004B69AB">
        <w:tc>
          <w:tcPr>
            <w:tcW w:w="1193" w:type="pct"/>
            <w:tcBorders>
              <w:top w:val="single" w:sz="6" w:space="0" w:color="auto"/>
              <w:left w:val="single" w:sz="4" w:space="0" w:color="auto"/>
              <w:bottom w:val="single" w:sz="6" w:space="0" w:color="auto"/>
              <w:right w:val="single" w:sz="6" w:space="0" w:color="auto"/>
            </w:tcBorders>
            <w:hideMark/>
          </w:tcPr>
          <w:p w14:paraId="0A0C19D8" w14:textId="77777777" w:rsidR="00445D1B" w:rsidRPr="0013396E" w:rsidRDefault="00445D1B" w:rsidP="004B69AB">
            <w:pPr>
              <w:spacing w:after="60"/>
              <w:rPr>
                <w:i/>
                <w:iCs/>
                <w:sz w:val="20"/>
              </w:rPr>
            </w:pPr>
            <w:r w:rsidRPr="0013396E">
              <w:rPr>
                <w:i/>
                <w:iCs/>
                <w:sz w:val="20"/>
              </w:rPr>
              <w:t>i</w:t>
            </w:r>
          </w:p>
        </w:tc>
        <w:tc>
          <w:tcPr>
            <w:tcW w:w="335" w:type="pct"/>
            <w:tcBorders>
              <w:top w:val="single" w:sz="6" w:space="0" w:color="auto"/>
              <w:left w:val="single" w:sz="6" w:space="0" w:color="auto"/>
              <w:bottom w:val="single" w:sz="6" w:space="0" w:color="auto"/>
              <w:right w:val="single" w:sz="6" w:space="0" w:color="auto"/>
            </w:tcBorders>
            <w:hideMark/>
          </w:tcPr>
          <w:p w14:paraId="0D481A23" w14:textId="77777777" w:rsidR="00445D1B" w:rsidRPr="0013396E" w:rsidRDefault="00445D1B" w:rsidP="004B69AB">
            <w:pPr>
              <w:spacing w:after="60"/>
              <w:jc w:val="center"/>
              <w:rPr>
                <w:iCs/>
                <w:sz w:val="20"/>
              </w:rPr>
            </w:pPr>
            <w:r w:rsidRPr="0013396E">
              <w:rPr>
                <w:iCs/>
                <w:sz w:val="20"/>
              </w:rPr>
              <w:t>none</w:t>
            </w:r>
          </w:p>
        </w:tc>
        <w:tc>
          <w:tcPr>
            <w:tcW w:w="3472" w:type="pct"/>
            <w:tcBorders>
              <w:top w:val="single" w:sz="6" w:space="0" w:color="auto"/>
              <w:left w:val="single" w:sz="6" w:space="0" w:color="auto"/>
              <w:bottom w:val="single" w:sz="6" w:space="0" w:color="auto"/>
              <w:right w:val="single" w:sz="4" w:space="0" w:color="auto"/>
            </w:tcBorders>
            <w:hideMark/>
          </w:tcPr>
          <w:p w14:paraId="221F59B4" w14:textId="77777777" w:rsidR="00445D1B" w:rsidRPr="0013396E" w:rsidRDefault="00445D1B" w:rsidP="004B69AB">
            <w:pPr>
              <w:spacing w:after="60"/>
              <w:rPr>
                <w:iCs/>
                <w:sz w:val="20"/>
              </w:rPr>
            </w:pPr>
            <w:r w:rsidRPr="0013396E">
              <w:rPr>
                <w:iCs/>
                <w:sz w:val="20"/>
              </w:rPr>
              <w:t>A 15-minute Settlement Interval.</w:t>
            </w:r>
          </w:p>
        </w:tc>
      </w:tr>
      <w:tr w:rsidR="00445D1B" w:rsidRPr="0013396E" w14:paraId="74611B77" w14:textId="77777777" w:rsidTr="004B69AB">
        <w:tc>
          <w:tcPr>
            <w:tcW w:w="1193" w:type="pct"/>
            <w:tcBorders>
              <w:top w:val="single" w:sz="6" w:space="0" w:color="auto"/>
              <w:left w:val="single" w:sz="4" w:space="0" w:color="auto"/>
              <w:bottom w:val="single" w:sz="6" w:space="0" w:color="auto"/>
              <w:right w:val="single" w:sz="6" w:space="0" w:color="auto"/>
            </w:tcBorders>
            <w:hideMark/>
          </w:tcPr>
          <w:p w14:paraId="347F7BA8" w14:textId="77777777" w:rsidR="00445D1B" w:rsidRPr="0013396E" w:rsidRDefault="00445D1B" w:rsidP="004B69AB">
            <w:pPr>
              <w:spacing w:after="60"/>
              <w:rPr>
                <w:i/>
                <w:iCs/>
                <w:sz w:val="20"/>
              </w:rPr>
            </w:pPr>
            <w:r w:rsidRPr="0013396E">
              <w:rPr>
                <w:i/>
                <w:iCs/>
                <w:sz w:val="20"/>
              </w:rPr>
              <w:t>q</w:t>
            </w:r>
          </w:p>
        </w:tc>
        <w:tc>
          <w:tcPr>
            <w:tcW w:w="335" w:type="pct"/>
            <w:tcBorders>
              <w:top w:val="single" w:sz="6" w:space="0" w:color="auto"/>
              <w:left w:val="single" w:sz="6" w:space="0" w:color="auto"/>
              <w:bottom w:val="single" w:sz="6" w:space="0" w:color="auto"/>
              <w:right w:val="single" w:sz="6" w:space="0" w:color="auto"/>
            </w:tcBorders>
            <w:hideMark/>
          </w:tcPr>
          <w:p w14:paraId="19B79C2C" w14:textId="77777777" w:rsidR="00445D1B" w:rsidRPr="0013396E" w:rsidRDefault="00445D1B" w:rsidP="004B69AB">
            <w:pPr>
              <w:spacing w:after="60"/>
              <w:jc w:val="center"/>
              <w:rPr>
                <w:iCs/>
                <w:sz w:val="20"/>
              </w:rPr>
            </w:pPr>
            <w:r w:rsidRPr="0013396E">
              <w:rPr>
                <w:iCs/>
                <w:sz w:val="20"/>
              </w:rPr>
              <w:t>none</w:t>
            </w:r>
          </w:p>
        </w:tc>
        <w:tc>
          <w:tcPr>
            <w:tcW w:w="3472" w:type="pct"/>
            <w:tcBorders>
              <w:top w:val="single" w:sz="6" w:space="0" w:color="auto"/>
              <w:left w:val="single" w:sz="6" w:space="0" w:color="auto"/>
              <w:bottom w:val="single" w:sz="6" w:space="0" w:color="auto"/>
              <w:right w:val="single" w:sz="4" w:space="0" w:color="auto"/>
            </w:tcBorders>
            <w:hideMark/>
          </w:tcPr>
          <w:p w14:paraId="33EF0A0B" w14:textId="77777777" w:rsidR="00445D1B" w:rsidRPr="0013396E" w:rsidRDefault="00445D1B" w:rsidP="004B69AB">
            <w:pPr>
              <w:spacing w:after="60"/>
              <w:rPr>
                <w:iCs/>
                <w:sz w:val="20"/>
              </w:rPr>
            </w:pPr>
            <w:r w:rsidRPr="0013396E">
              <w:rPr>
                <w:iCs/>
                <w:sz w:val="20"/>
              </w:rPr>
              <w:t>A QSE.</w:t>
            </w:r>
          </w:p>
        </w:tc>
      </w:tr>
    </w:tbl>
    <w:p w14:paraId="27F5A638" w14:textId="7DD6D0D5" w:rsidR="00162CAA" w:rsidRPr="000B7133" w:rsidRDefault="00162CAA" w:rsidP="000B7133">
      <w:pPr>
        <w:keepNext/>
        <w:tabs>
          <w:tab w:val="left" w:pos="1080"/>
        </w:tabs>
        <w:spacing w:before="240" w:after="240"/>
        <w:ind w:left="1080" w:hanging="1080"/>
        <w:outlineLvl w:val="2"/>
        <w:rPr>
          <w:b/>
          <w:bCs/>
          <w:i/>
          <w:iCs/>
          <w:snapToGrid w:val="0"/>
        </w:rPr>
      </w:pPr>
      <w:bookmarkStart w:id="2298" w:name="_Toc236220256"/>
      <w:bookmarkStart w:id="2299" w:name="_Hlk76542775"/>
      <w:bookmarkEnd w:id="2295"/>
      <w:bookmarkEnd w:id="2296"/>
      <w:bookmarkEnd w:id="2297"/>
      <w:r w:rsidRPr="000B7133">
        <w:rPr>
          <w:b/>
          <w:bCs/>
          <w:i/>
          <w:iCs/>
          <w:snapToGrid w:val="0"/>
        </w:rPr>
        <w:lastRenderedPageBreak/>
        <w:t>6.8.4    Miscellaneous Invoice for Payments and Charges for an LCAP</w:t>
      </w:r>
      <w:r w:rsidR="00445D1B" w:rsidRPr="000B7133">
        <w:rPr>
          <w:b/>
          <w:bCs/>
          <w:i/>
          <w:iCs/>
          <w:snapToGrid w:val="0"/>
        </w:rPr>
        <w:t xml:space="preserve"> or ECAP</w:t>
      </w:r>
      <w:r w:rsidRPr="000B7133">
        <w:rPr>
          <w:b/>
          <w:bCs/>
          <w:i/>
          <w:iCs/>
          <w:snapToGrid w:val="0"/>
        </w:rPr>
        <w:t xml:space="preserve"> Effective Period</w:t>
      </w:r>
      <w:bookmarkEnd w:id="2298"/>
      <w:r w:rsidRPr="000B7133">
        <w:rPr>
          <w:b/>
          <w:bCs/>
          <w:i/>
          <w:iCs/>
          <w:snapToGrid w:val="0"/>
        </w:rPr>
        <w:t xml:space="preserve">  </w:t>
      </w:r>
    </w:p>
    <w:p w14:paraId="3FD09EF7" w14:textId="77777777" w:rsidR="00445D1B" w:rsidRPr="0013396E" w:rsidRDefault="00445D1B" w:rsidP="00445D1B">
      <w:pPr>
        <w:spacing w:after="240"/>
        <w:ind w:left="720" w:hanging="720"/>
        <w:rPr>
          <w:bCs/>
          <w:iCs/>
        </w:rPr>
      </w:pPr>
      <w:r w:rsidRPr="0013396E">
        <w:rPr>
          <w:bCs/>
          <w:iCs/>
        </w:rPr>
        <w:t>(1)</w:t>
      </w:r>
      <w:r w:rsidRPr="0013396E">
        <w:rPr>
          <w:bCs/>
          <w:iCs/>
        </w:rPr>
        <w:tab/>
        <w:t>ERCOT shall issue one-time miscellaneous Invoices using the most recent available Settlement data at the time the Invoices were issued.</w:t>
      </w:r>
    </w:p>
    <w:p w14:paraId="416F3F86" w14:textId="77777777" w:rsidR="00445D1B" w:rsidRPr="0013396E" w:rsidRDefault="00445D1B" w:rsidP="00445D1B">
      <w:pPr>
        <w:spacing w:after="240"/>
        <w:ind w:left="720" w:hanging="720"/>
        <w:rPr>
          <w:bCs/>
        </w:rPr>
      </w:pPr>
      <w:r w:rsidRPr="0013396E">
        <w:rPr>
          <w:bCs/>
          <w:iCs/>
        </w:rPr>
        <w:t>(2)</w:t>
      </w:r>
      <w:r w:rsidRPr="0013396E">
        <w:rPr>
          <w:bCs/>
          <w:iCs/>
        </w:rPr>
        <w:tab/>
        <w:t xml:space="preserve">ERCOT shall issue miscellaneous Invoices to </w:t>
      </w:r>
      <w:r w:rsidRPr="0013396E">
        <w:t>QSEs</w:t>
      </w:r>
      <w:r w:rsidRPr="0013396E">
        <w:rPr>
          <w:bCs/>
          <w:iCs/>
        </w:rPr>
        <w:t xml:space="preserve"> for payment of operating losses during an LCAP or ECAP Effective Period,</w:t>
      </w:r>
      <w:r w:rsidRPr="0013396E">
        <w:rPr>
          <w:bCs/>
        </w:rPr>
        <w:t xml:space="preserve"> as described in Section 6.8.2, Recovery of Operating Losses During an LCAP or ECAP Effective Period.  </w:t>
      </w:r>
    </w:p>
    <w:p w14:paraId="63E4D0B1" w14:textId="77777777" w:rsidR="00445D1B" w:rsidRPr="0013396E" w:rsidRDefault="00445D1B" w:rsidP="00445D1B">
      <w:pPr>
        <w:spacing w:after="240"/>
        <w:ind w:left="720" w:hanging="720"/>
        <w:rPr>
          <w:bCs/>
          <w:iCs/>
        </w:rPr>
      </w:pPr>
      <w:r w:rsidRPr="0013396E">
        <w:rPr>
          <w:bCs/>
          <w:iCs/>
        </w:rPr>
        <w:t>(3)</w:t>
      </w:r>
      <w:r w:rsidRPr="0013396E">
        <w:rPr>
          <w:bCs/>
          <w:iCs/>
        </w:rPr>
        <w:tab/>
        <w:t xml:space="preserve">ERCOT shall issue miscellaneous Invoices and allocate costs to the impacted QSEs as described in Section 6.8.3, Charges for Operating Losses During an LCAP or ECAP Effective Period. </w:t>
      </w:r>
    </w:p>
    <w:p w14:paraId="21D691AA" w14:textId="6087CEB7" w:rsidR="00162CAA" w:rsidRPr="0013396E" w:rsidRDefault="00445D1B" w:rsidP="00162CAA">
      <w:pPr>
        <w:spacing w:after="240"/>
        <w:ind w:left="720" w:hanging="720"/>
        <w:rPr>
          <w:szCs w:val="24"/>
        </w:rPr>
      </w:pPr>
      <w:r w:rsidRPr="0013396E">
        <w:t>(4)</w:t>
      </w:r>
      <w:r w:rsidRPr="0013396E">
        <w:tab/>
        <w:t xml:space="preserve">ERCOT </w:t>
      </w:r>
      <w:r w:rsidRPr="0013396E">
        <w:rPr>
          <w:bCs/>
        </w:rPr>
        <w:t>shall</w:t>
      </w:r>
      <w:r w:rsidRPr="0013396E">
        <w:t xml:space="preserve"> issue a Market Notice in conjunction with the issuance of miscellaneous Invoices for payments or charges for an LCAP or ECAP Effective Period.</w:t>
      </w:r>
      <w:r w:rsidRPr="0013396E" w:rsidDel="00445D1B">
        <w:rPr>
          <w:bCs/>
          <w:iCs/>
          <w:szCs w:val="24"/>
        </w:rPr>
        <w:t xml:space="preserve"> </w:t>
      </w:r>
      <w:bookmarkEnd w:id="2299"/>
    </w:p>
    <w:p w14:paraId="5284BC3F" w14:textId="77777777" w:rsidR="008B7FF7" w:rsidRPr="0013396E" w:rsidRDefault="008B7FF7"/>
    <w:tbl>
      <w:tblPr>
        <w:tblW w:w="5000"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8B7FF7" w:rsidRPr="00CF7EAF" w14:paraId="21E20A93" w14:textId="77777777" w:rsidTr="008B7FF7">
        <w:trPr>
          <w:trHeight w:val="206"/>
        </w:trPr>
        <w:tc>
          <w:tcPr>
            <w:tcW w:w="5000" w:type="pct"/>
            <w:tcBorders>
              <w:top w:val="single" w:sz="4" w:space="0" w:color="auto"/>
              <w:left w:val="single" w:sz="4" w:space="0" w:color="auto"/>
              <w:bottom w:val="single" w:sz="4" w:space="0" w:color="auto"/>
              <w:right w:val="single" w:sz="4" w:space="0" w:color="auto"/>
            </w:tcBorders>
            <w:shd w:val="pct12" w:color="auto" w:fill="auto"/>
          </w:tcPr>
          <w:p w14:paraId="62F3110D" w14:textId="7EEDC6FE" w:rsidR="008B7FF7" w:rsidRPr="008B7FF7" w:rsidRDefault="008B7FF7" w:rsidP="008B7FF7">
            <w:pPr>
              <w:pStyle w:val="Instructions"/>
            </w:pPr>
            <w:r w:rsidRPr="0013396E">
              <w:t>[NPRR1216:  Delete Section 6.8.4 above upon Phase 2 system implementation.]</w:t>
            </w:r>
          </w:p>
        </w:tc>
      </w:tr>
    </w:tbl>
    <w:p w14:paraId="5A66784B" w14:textId="77777777" w:rsidR="000E1BF8" w:rsidRPr="000E1BF8" w:rsidRDefault="000E1BF8" w:rsidP="000E1BF8">
      <w:pPr>
        <w:pStyle w:val="BodyText"/>
      </w:pPr>
    </w:p>
    <w:sectPr w:rsidR="000E1BF8" w:rsidRPr="000E1BF8" w:rsidSect="00163B6D">
      <w:headerReference w:type="even" r:id="rId383"/>
      <w:headerReference w:type="default" r:id="rId384"/>
      <w:footerReference w:type="default" r:id="rId385"/>
      <w:pgSz w:w="12240" w:h="15840" w:code="1"/>
      <w:pgMar w:top="1440" w:right="1440" w:bottom="1440" w:left="144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7034E" w14:textId="77777777" w:rsidR="00A9698C" w:rsidRDefault="00A9698C">
      <w:r>
        <w:separator/>
      </w:r>
    </w:p>
  </w:endnote>
  <w:endnote w:type="continuationSeparator" w:id="0">
    <w:p w14:paraId="5067F845" w14:textId="77777777" w:rsidR="00A9698C" w:rsidRDefault="00A96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B107" w14:textId="77777777" w:rsidR="00847E53" w:rsidRDefault="00847E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6-4</w:t>
    </w:r>
    <w:r>
      <w:rPr>
        <w:rStyle w:val="PageNumber"/>
      </w:rPr>
      <w:fldChar w:fldCharType="end"/>
    </w:r>
  </w:p>
  <w:p w14:paraId="62BA06B9" w14:textId="77777777" w:rsidR="00847E53" w:rsidRDefault="00847E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B7FC" w14:textId="77777777" w:rsidR="00847E53" w:rsidRDefault="00847E53">
    <w:pPr>
      <w:pStyle w:val="Footer"/>
      <w:pBdr>
        <w:top w:val="none" w:sz="0" w:space="0" w:color="auto"/>
      </w:pBdr>
      <w:jc w:val="center"/>
    </w:pPr>
    <w: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5E6A" w14:textId="77A81A99" w:rsidR="00847E53" w:rsidRDefault="00847E53">
    <w:pPr>
      <w:pStyle w:val="Footer"/>
      <w:spacing w:before="0" w:after="0"/>
    </w:pPr>
    <w:r>
      <w:t xml:space="preserve">ERCOT Nodal Protocols – </w:t>
    </w:r>
    <w:r w:rsidR="00847103">
      <w:t>August</w:t>
    </w:r>
    <w:r w:rsidR="00BD31B0">
      <w:t xml:space="preserve"> </w:t>
    </w:r>
    <w:r w:rsidR="00691205">
      <w:t>28</w:t>
    </w:r>
    <w:r>
      <w:t>, 202</w:t>
    </w:r>
    <w:r w:rsidR="00BD31B0">
      <w:t>6</w:t>
    </w:r>
  </w:p>
  <w:p w14:paraId="0D9EECB1" w14:textId="77777777" w:rsidR="00847E53" w:rsidRDefault="00847E53">
    <w:pPr>
      <w:pStyle w:val="Footer"/>
      <w:spacing w:before="0" w:after="0"/>
      <w:jc w:val="center"/>
    </w:pPr>
    <w:r>
      <w:t>PUBLIC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0840" w14:textId="66A122D0" w:rsidR="00847E53" w:rsidRDefault="00847E53">
    <w:pPr>
      <w:pStyle w:val="Footer"/>
      <w:spacing w:before="0" w:after="0"/>
    </w:pPr>
    <w:r>
      <w:t xml:space="preserve">ERCOT Nodal Protocols – </w:t>
    </w:r>
    <w:r w:rsidR="00847103">
      <w:t>August</w:t>
    </w:r>
    <w:r w:rsidR="00AD58D8">
      <w:t xml:space="preserve"> </w:t>
    </w:r>
    <w:r w:rsidR="00691205">
      <w:t>28</w:t>
    </w:r>
    <w:r>
      <w:t>, 202</w:t>
    </w:r>
    <w:r w:rsidR="00F26F09">
      <w:t>6</w:t>
    </w: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6-113</w:t>
    </w:r>
    <w:r>
      <w:rPr>
        <w:rStyle w:val="PageNumber"/>
      </w:rPr>
      <w:fldChar w:fldCharType="end"/>
    </w:r>
  </w:p>
  <w:p w14:paraId="63C56D18" w14:textId="77777777" w:rsidR="00847E53" w:rsidRDefault="00847E53">
    <w:pPr>
      <w:pStyle w:val="Footer"/>
      <w:spacing w:before="0" w:after="0"/>
      <w:jc w:val="center"/>
    </w:pPr>
    <w: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85D56" w14:textId="77777777" w:rsidR="00A9698C" w:rsidRDefault="00A9698C">
      <w:r>
        <w:separator/>
      </w:r>
    </w:p>
  </w:footnote>
  <w:footnote w:type="continuationSeparator" w:id="0">
    <w:p w14:paraId="5DD4F565" w14:textId="77777777" w:rsidR="00A9698C" w:rsidRDefault="00A96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59C0" w14:textId="77777777" w:rsidR="00847E53" w:rsidRDefault="00847E53">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47CA" w14:textId="77777777" w:rsidR="00847E53" w:rsidRDefault="00847E53">
    <w:pPr>
      <w:pStyle w:val="Header"/>
    </w:pPr>
    <w:r>
      <w:t>Section 6:  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0EAA" w14:textId="77777777" w:rsidR="00847E53" w:rsidRDefault="00847E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10148" w14:textId="77777777" w:rsidR="00847E53" w:rsidRDefault="00847E53">
    <w:pPr>
      <w:pStyle w:val="Header"/>
    </w:pPr>
    <w:r>
      <w:t>Section 6:  Adjustment Period and Real-Time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7A2F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6062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4FCA1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46A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66F5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94A2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1A19B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344D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EAA4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0E3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12" w15:restartNumberingAfterBreak="0">
    <w:nsid w:val="01331FBD"/>
    <w:multiLevelType w:val="hybridMultilevel"/>
    <w:tmpl w:val="206E6AEC"/>
    <w:lvl w:ilvl="0" w:tplc="9DA0B1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5E42166"/>
    <w:multiLevelType w:val="hybridMultilevel"/>
    <w:tmpl w:val="1854A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3E27D5"/>
    <w:multiLevelType w:val="hybridMultilevel"/>
    <w:tmpl w:val="A0FC7628"/>
    <w:lvl w:ilvl="0" w:tplc="6714F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C17CB"/>
    <w:multiLevelType w:val="hybridMultilevel"/>
    <w:tmpl w:val="D444EEA0"/>
    <w:lvl w:ilvl="0" w:tplc="9DA0B1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DF51AB"/>
    <w:multiLevelType w:val="hybridMultilevel"/>
    <w:tmpl w:val="43489124"/>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DC01D7"/>
    <w:multiLevelType w:val="hybridMultilevel"/>
    <w:tmpl w:val="CA5E0E18"/>
    <w:lvl w:ilvl="0" w:tplc="055C0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3A24688"/>
    <w:multiLevelType w:val="hybridMultilevel"/>
    <w:tmpl w:val="25C09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F92F37"/>
    <w:multiLevelType w:val="hybridMultilevel"/>
    <w:tmpl w:val="3334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522E52"/>
    <w:multiLevelType w:val="hybridMultilevel"/>
    <w:tmpl w:val="AD08915E"/>
    <w:lvl w:ilvl="0" w:tplc="B64288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3F87D58"/>
    <w:multiLevelType w:val="hybridMultilevel"/>
    <w:tmpl w:val="F39062F8"/>
    <w:lvl w:ilvl="0" w:tplc="FFFFFFFF">
      <w:start w:val="1"/>
      <w:numFmt w:val="bullet"/>
      <w:lvlText w:val=""/>
      <w:lvlJc w:val="left"/>
      <w:pPr>
        <w:tabs>
          <w:tab w:val="num" w:pos="2520"/>
        </w:tabs>
        <w:ind w:left="2520" w:hanging="720"/>
      </w:pPr>
      <w:rPr>
        <w:rFonts w:ascii="Symbol" w:hAnsi="Symbol" w:hint="default"/>
      </w:rPr>
    </w:lvl>
    <w:lvl w:ilvl="1" w:tplc="FFFFFFFF" w:tentative="1">
      <w:start w:val="1"/>
      <w:numFmt w:val="bullet"/>
      <w:lvlText w:val="o"/>
      <w:lvlJc w:val="left"/>
      <w:pPr>
        <w:tabs>
          <w:tab w:val="num" w:pos="3960"/>
        </w:tabs>
        <w:ind w:left="3960" w:hanging="360"/>
      </w:pPr>
      <w:rPr>
        <w:rFonts w:ascii="Courier New" w:hAnsi="Courier New" w:hint="default"/>
      </w:rPr>
    </w:lvl>
    <w:lvl w:ilvl="2" w:tplc="FFFFFFFF" w:tentative="1">
      <w:start w:val="1"/>
      <w:numFmt w:val="bullet"/>
      <w:lvlText w:val=""/>
      <w:lvlJc w:val="left"/>
      <w:pPr>
        <w:tabs>
          <w:tab w:val="num" w:pos="4680"/>
        </w:tabs>
        <w:ind w:left="4680" w:hanging="360"/>
      </w:pPr>
      <w:rPr>
        <w:rFonts w:ascii="Wingdings" w:hAnsi="Wingdings" w:hint="default"/>
      </w:rPr>
    </w:lvl>
    <w:lvl w:ilvl="3" w:tplc="FFFFFFFF" w:tentative="1">
      <w:start w:val="1"/>
      <w:numFmt w:val="bullet"/>
      <w:lvlText w:val=""/>
      <w:lvlJc w:val="left"/>
      <w:pPr>
        <w:tabs>
          <w:tab w:val="num" w:pos="5400"/>
        </w:tabs>
        <w:ind w:left="5400" w:hanging="360"/>
      </w:pPr>
      <w:rPr>
        <w:rFonts w:ascii="Symbol" w:hAnsi="Symbol" w:hint="default"/>
      </w:rPr>
    </w:lvl>
    <w:lvl w:ilvl="4" w:tplc="FFFFFFFF" w:tentative="1">
      <w:start w:val="1"/>
      <w:numFmt w:val="bullet"/>
      <w:lvlText w:val="o"/>
      <w:lvlJc w:val="left"/>
      <w:pPr>
        <w:tabs>
          <w:tab w:val="num" w:pos="6120"/>
        </w:tabs>
        <w:ind w:left="6120" w:hanging="360"/>
      </w:pPr>
      <w:rPr>
        <w:rFonts w:ascii="Courier New" w:hAnsi="Courier New" w:hint="default"/>
      </w:rPr>
    </w:lvl>
    <w:lvl w:ilvl="5" w:tplc="FFFFFFFF" w:tentative="1">
      <w:start w:val="1"/>
      <w:numFmt w:val="bullet"/>
      <w:lvlText w:val=""/>
      <w:lvlJc w:val="left"/>
      <w:pPr>
        <w:tabs>
          <w:tab w:val="num" w:pos="6840"/>
        </w:tabs>
        <w:ind w:left="6840" w:hanging="360"/>
      </w:pPr>
      <w:rPr>
        <w:rFonts w:ascii="Wingdings" w:hAnsi="Wingdings" w:hint="default"/>
      </w:rPr>
    </w:lvl>
    <w:lvl w:ilvl="6" w:tplc="FFFFFFFF" w:tentative="1">
      <w:start w:val="1"/>
      <w:numFmt w:val="bullet"/>
      <w:lvlText w:val=""/>
      <w:lvlJc w:val="left"/>
      <w:pPr>
        <w:tabs>
          <w:tab w:val="num" w:pos="7560"/>
        </w:tabs>
        <w:ind w:left="7560" w:hanging="360"/>
      </w:pPr>
      <w:rPr>
        <w:rFonts w:ascii="Symbol" w:hAnsi="Symbol" w:hint="default"/>
      </w:rPr>
    </w:lvl>
    <w:lvl w:ilvl="7" w:tplc="FFFFFFFF" w:tentative="1">
      <w:start w:val="1"/>
      <w:numFmt w:val="bullet"/>
      <w:lvlText w:val="o"/>
      <w:lvlJc w:val="left"/>
      <w:pPr>
        <w:tabs>
          <w:tab w:val="num" w:pos="8280"/>
        </w:tabs>
        <w:ind w:left="8280" w:hanging="360"/>
      </w:pPr>
      <w:rPr>
        <w:rFonts w:ascii="Courier New" w:hAnsi="Courier New" w:hint="default"/>
      </w:rPr>
    </w:lvl>
    <w:lvl w:ilvl="8" w:tplc="FFFFFFFF" w:tentative="1">
      <w:start w:val="1"/>
      <w:numFmt w:val="bullet"/>
      <w:lvlText w:val=""/>
      <w:lvlJc w:val="left"/>
      <w:pPr>
        <w:tabs>
          <w:tab w:val="num" w:pos="9000"/>
        </w:tabs>
        <w:ind w:left="9000" w:hanging="360"/>
      </w:pPr>
      <w:rPr>
        <w:rFonts w:ascii="Wingdings" w:hAnsi="Wingdings" w:hint="default"/>
      </w:rPr>
    </w:lvl>
  </w:abstractNum>
  <w:abstractNum w:abstractNumId="25" w15:restartNumberingAfterBreak="0">
    <w:nsid w:val="4A823264"/>
    <w:multiLevelType w:val="hybridMultilevel"/>
    <w:tmpl w:val="3DBCD944"/>
    <w:lvl w:ilvl="0" w:tplc="825802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EF626A"/>
    <w:multiLevelType w:val="multilevel"/>
    <w:tmpl w:val="7DA4985E"/>
    <w:lvl w:ilvl="0">
      <w:start w:val="6"/>
      <w:numFmt w:val="decimal"/>
      <w:lvlText w:val="%1"/>
      <w:lvlJc w:val="left"/>
      <w:pPr>
        <w:tabs>
          <w:tab w:val="num" w:pos="1260"/>
        </w:tabs>
        <w:ind w:left="1260" w:hanging="1260"/>
      </w:pPr>
      <w:rPr>
        <w:rFonts w:hint="default"/>
      </w:rPr>
    </w:lvl>
    <w:lvl w:ilvl="1">
      <w:start w:val="6"/>
      <w:numFmt w:val="decimal"/>
      <w:lvlText w:val="%1.%2"/>
      <w:lvlJc w:val="left"/>
      <w:pPr>
        <w:tabs>
          <w:tab w:val="num" w:pos="1260"/>
        </w:tabs>
        <w:ind w:left="1260" w:hanging="1260"/>
      </w:pPr>
      <w:rPr>
        <w:rFonts w:hint="default"/>
      </w:rPr>
    </w:lvl>
    <w:lvl w:ilvl="2">
      <w:start w:val="1"/>
      <w:numFmt w:val="decimal"/>
      <w:lvlText w:val="%1.%2.%3"/>
      <w:lvlJc w:val="left"/>
      <w:pPr>
        <w:tabs>
          <w:tab w:val="num" w:pos="1260"/>
        </w:tabs>
        <w:ind w:left="1260" w:hanging="1260"/>
      </w:pPr>
      <w:rPr>
        <w:rFonts w:hint="default"/>
      </w:rPr>
    </w:lvl>
    <w:lvl w:ilvl="3">
      <w:start w:val="5"/>
      <w:numFmt w:val="decimal"/>
      <w:lvlText w:val="%1.%2.%3.%4"/>
      <w:lvlJc w:val="left"/>
      <w:pPr>
        <w:tabs>
          <w:tab w:val="num" w:pos="1260"/>
        </w:tabs>
        <w:ind w:left="1260" w:hanging="1260"/>
      </w:pPr>
      <w:rPr>
        <w:rFonts w:hint="default"/>
      </w:rPr>
    </w:lvl>
    <w:lvl w:ilvl="4">
      <w:start w:val="1"/>
      <w:numFmt w:val="decimal"/>
      <w:lvlText w:val="%1.%2.%3.%4.%5"/>
      <w:lvlJc w:val="left"/>
      <w:pPr>
        <w:tabs>
          <w:tab w:val="num" w:pos="1260"/>
        </w:tabs>
        <w:ind w:left="1260" w:hanging="1260"/>
      </w:pPr>
      <w:rPr>
        <w:rFonts w:hint="default"/>
      </w:rPr>
    </w:lvl>
    <w:lvl w:ilvl="5">
      <w:start w:val="1"/>
      <w:numFmt w:val="decimal"/>
      <w:lvlText w:val="%1.%2.%3.%4.%5.%6"/>
      <w:lvlJc w:val="left"/>
      <w:pPr>
        <w:tabs>
          <w:tab w:val="num" w:pos="1260"/>
        </w:tabs>
        <w:ind w:left="1260" w:hanging="126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F00576E"/>
    <w:multiLevelType w:val="hybridMultilevel"/>
    <w:tmpl w:val="9B94FD1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9"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66510064"/>
    <w:multiLevelType w:val="multilevel"/>
    <w:tmpl w:val="C3CC0A34"/>
    <w:lvl w:ilvl="0">
      <w:start w:val="6"/>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735B7"/>
    <w:multiLevelType w:val="hybridMultilevel"/>
    <w:tmpl w:val="F252E148"/>
    <w:lvl w:ilvl="0" w:tplc="DD0247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ACC4596"/>
    <w:multiLevelType w:val="hybridMultilevel"/>
    <w:tmpl w:val="3D0A2E26"/>
    <w:lvl w:ilvl="0" w:tplc="412A4CD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588394967">
    <w:abstractNumId w:val="30"/>
  </w:num>
  <w:num w:numId="2" w16cid:durableId="1523787623">
    <w:abstractNumId w:val="18"/>
  </w:num>
  <w:num w:numId="3" w16cid:durableId="642658412">
    <w:abstractNumId w:val="17"/>
  </w:num>
  <w:num w:numId="4" w16cid:durableId="1318267891">
    <w:abstractNumId w:val="26"/>
  </w:num>
  <w:num w:numId="5" w16cid:durableId="303512108">
    <w:abstractNumId w:val="12"/>
  </w:num>
  <w:num w:numId="6" w16cid:durableId="486629358">
    <w:abstractNumId w:val="15"/>
  </w:num>
  <w:num w:numId="7" w16cid:durableId="1663117771">
    <w:abstractNumId w:val="9"/>
  </w:num>
  <w:num w:numId="8" w16cid:durableId="92286252">
    <w:abstractNumId w:val="7"/>
  </w:num>
  <w:num w:numId="9" w16cid:durableId="1175457146">
    <w:abstractNumId w:val="6"/>
  </w:num>
  <w:num w:numId="10" w16cid:durableId="1618370192">
    <w:abstractNumId w:val="5"/>
  </w:num>
  <w:num w:numId="11" w16cid:durableId="972828304">
    <w:abstractNumId w:val="4"/>
  </w:num>
  <w:num w:numId="12" w16cid:durableId="1467358918">
    <w:abstractNumId w:val="8"/>
  </w:num>
  <w:num w:numId="13" w16cid:durableId="1920091159">
    <w:abstractNumId w:val="3"/>
  </w:num>
  <w:num w:numId="14" w16cid:durableId="1678536635">
    <w:abstractNumId w:val="2"/>
  </w:num>
  <w:num w:numId="15" w16cid:durableId="2018146079">
    <w:abstractNumId w:val="1"/>
  </w:num>
  <w:num w:numId="16" w16cid:durableId="1682321493">
    <w:abstractNumId w:val="0"/>
  </w:num>
  <w:num w:numId="17" w16cid:durableId="593170576">
    <w:abstractNumId w:val="35"/>
  </w:num>
  <w:num w:numId="18" w16cid:durableId="1082946959">
    <w:abstractNumId w:val="21"/>
  </w:num>
  <w:num w:numId="19" w16cid:durableId="656691241">
    <w:abstractNumId w:val="36"/>
  </w:num>
  <w:num w:numId="20" w16cid:durableId="208759907">
    <w:abstractNumId w:val="23"/>
  </w:num>
  <w:num w:numId="21" w16cid:durableId="10160742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9347319">
    <w:abstractNumId w:val="37"/>
  </w:num>
  <w:num w:numId="23" w16cid:durableId="1255866520">
    <w:abstractNumId w:val="11"/>
  </w:num>
  <w:num w:numId="24" w16cid:durableId="1221408044">
    <w:abstractNumId w:val="17"/>
  </w:num>
  <w:num w:numId="25" w16cid:durableId="1640651447">
    <w:abstractNumId w:val="18"/>
  </w:num>
  <w:num w:numId="26" w16cid:durableId="460271880">
    <w:abstractNumId w:val="19"/>
  </w:num>
  <w:num w:numId="27" w16cid:durableId="399790951">
    <w:abstractNumId w:val="25"/>
  </w:num>
  <w:num w:numId="28" w16cid:durableId="2070379207">
    <w:abstractNumId w:val="32"/>
  </w:num>
  <w:num w:numId="29" w16cid:durableId="403720512">
    <w:abstractNumId w:val="24"/>
  </w:num>
  <w:num w:numId="30" w16cid:durableId="813646416">
    <w:abstractNumId w:val="27"/>
  </w:num>
  <w:num w:numId="31" w16cid:durableId="211887938">
    <w:abstractNumId w:val="13"/>
  </w:num>
  <w:num w:numId="32" w16cid:durableId="525410908">
    <w:abstractNumId w:val="28"/>
  </w:num>
  <w:num w:numId="33" w16cid:durableId="1809593539">
    <w:abstractNumId w:val="10"/>
  </w:num>
  <w:num w:numId="34" w16cid:durableId="1265264300">
    <w:abstractNumId w:val="29"/>
  </w:num>
  <w:num w:numId="35" w16cid:durableId="210114154">
    <w:abstractNumId w:val="33"/>
  </w:num>
  <w:num w:numId="36" w16cid:durableId="143471110">
    <w:abstractNumId w:val="34"/>
  </w:num>
  <w:num w:numId="37" w16cid:durableId="1866793999">
    <w:abstractNumId w:val="22"/>
  </w:num>
  <w:num w:numId="38" w16cid:durableId="1996520035">
    <w:abstractNumId w:val="31"/>
  </w:num>
  <w:num w:numId="39" w16cid:durableId="948467893">
    <w:abstractNumId w:val="16"/>
  </w:num>
  <w:num w:numId="40" w16cid:durableId="2135127544">
    <w:abstractNumId w:val="14"/>
  </w:num>
  <w:num w:numId="41" w16cid:durableId="3396283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55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FF9"/>
    <w:rsid w:val="00000566"/>
    <w:rsid w:val="0000090E"/>
    <w:rsid w:val="00000CED"/>
    <w:rsid w:val="00001C85"/>
    <w:rsid w:val="00001F04"/>
    <w:rsid w:val="00002480"/>
    <w:rsid w:val="000026E4"/>
    <w:rsid w:val="000028CC"/>
    <w:rsid w:val="00002953"/>
    <w:rsid w:val="00002B0B"/>
    <w:rsid w:val="00002E40"/>
    <w:rsid w:val="00003B7A"/>
    <w:rsid w:val="00004439"/>
    <w:rsid w:val="00004794"/>
    <w:rsid w:val="000054C9"/>
    <w:rsid w:val="000055C2"/>
    <w:rsid w:val="00005EAE"/>
    <w:rsid w:val="00006761"/>
    <w:rsid w:val="00006A9F"/>
    <w:rsid w:val="000071AF"/>
    <w:rsid w:val="000073DF"/>
    <w:rsid w:val="0000784E"/>
    <w:rsid w:val="00007CEC"/>
    <w:rsid w:val="000101A0"/>
    <w:rsid w:val="0001084D"/>
    <w:rsid w:val="00010E34"/>
    <w:rsid w:val="00011466"/>
    <w:rsid w:val="00011D3F"/>
    <w:rsid w:val="00012013"/>
    <w:rsid w:val="00012F03"/>
    <w:rsid w:val="00013237"/>
    <w:rsid w:val="0001484D"/>
    <w:rsid w:val="00015350"/>
    <w:rsid w:val="00015475"/>
    <w:rsid w:val="00015E6D"/>
    <w:rsid w:val="00016609"/>
    <w:rsid w:val="000169BA"/>
    <w:rsid w:val="00016A30"/>
    <w:rsid w:val="00017821"/>
    <w:rsid w:val="00017E10"/>
    <w:rsid w:val="00020052"/>
    <w:rsid w:val="00020654"/>
    <w:rsid w:val="00020E00"/>
    <w:rsid w:val="0002216B"/>
    <w:rsid w:val="000229CF"/>
    <w:rsid w:val="00022B1F"/>
    <w:rsid w:val="00023971"/>
    <w:rsid w:val="00024571"/>
    <w:rsid w:val="00024DA7"/>
    <w:rsid w:val="00025D0B"/>
    <w:rsid w:val="000266C6"/>
    <w:rsid w:val="0002693D"/>
    <w:rsid w:val="00026B75"/>
    <w:rsid w:val="00026D8B"/>
    <w:rsid w:val="00030906"/>
    <w:rsid w:val="0003094A"/>
    <w:rsid w:val="00031AC3"/>
    <w:rsid w:val="000333B4"/>
    <w:rsid w:val="00035822"/>
    <w:rsid w:val="00036295"/>
    <w:rsid w:val="000363CB"/>
    <w:rsid w:val="00036739"/>
    <w:rsid w:val="000402E8"/>
    <w:rsid w:val="00041023"/>
    <w:rsid w:val="00041084"/>
    <w:rsid w:val="0004177A"/>
    <w:rsid w:val="0004184E"/>
    <w:rsid w:val="000418E5"/>
    <w:rsid w:val="00042001"/>
    <w:rsid w:val="00043BF4"/>
    <w:rsid w:val="00043CF0"/>
    <w:rsid w:val="00043D95"/>
    <w:rsid w:val="00044161"/>
    <w:rsid w:val="000445FA"/>
    <w:rsid w:val="00045AB4"/>
    <w:rsid w:val="00045FBB"/>
    <w:rsid w:val="000468AC"/>
    <w:rsid w:val="00046A15"/>
    <w:rsid w:val="00050246"/>
    <w:rsid w:val="0005057D"/>
    <w:rsid w:val="00050CAD"/>
    <w:rsid w:val="000520A3"/>
    <w:rsid w:val="00052561"/>
    <w:rsid w:val="000526E3"/>
    <w:rsid w:val="00052DE1"/>
    <w:rsid w:val="00052E36"/>
    <w:rsid w:val="0005352F"/>
    <w:rsid w:val="00053A48"/>
    <w:rsid w:val="00054291"/>
    <w:rsid w:val="000545FA"/>
    <w:rsid w:val="00054A09"/>
    <w:rsid w:val="000554AB"/>
    <w:rsid w:val="00057024"/>
    <w:rsid w:val="000577FD"/>
    <w:rsid w:val="00057C6A"/>
    <w:rsid w:val="00057FF4"/>
    <w:rsid w:val="00060778"/>
    <w:rsid w:val="00060FF0"/>
    <w:rsid w:val="00061574"/>
    <w:rsid w:val="000619A3"/>
    <w:rsid w:val="000626A9"/>
    <w:rsid w:val="000627E2"/>
    <w:rsid w:val="00062ED5"/>
    <w:rsid w:val="00062F25"/>
    <w:rsid w:val="00062F8C"/>
    <w:rsid w:val="0006334F"/>
    <w:rsid w:val="00064207"/>
    <w:rsid w:val="00064475"/>
    <w:rsid w:val="00065446"/>
    <w:rsid w:val="00065EC3"/>
    <w:rsid w:val="0006793C"/>
    <w:rsid w:val="00070608"/>
    <w:rsid w:val="00071F04"/>
    <w:rsid w:val="00071FE7"/>
    <w:rsid w:val="0007207E"/>
    <w:rsid w:val="00072829"/>
    <w:rsid w:val="00073351"/>
    <w:rsid w:val="00073C0E"/>
    <w:rsid w:val="00073F39"/>
    <w:rsid w:val="00073FC4"/>
    <w:rsid w:val="00074730"/>
    <w:rsid w:val="00074771"/>
    <w:rsid w:val="000747B5"/>
    <w:rsid w:val="00074FED"/>
    <w:rsid w:val="00075DEB"/>
    <w:rsid w:val="00075F06"/>
    <w:rsid w:val="00077376"/>
    <w:rsid w:val="00077764"/>
    <w:rsid w:val="000778B5"/>
    <w:rsid w:val="000778F6"/>
    <w:rsid w:val="00077C18"/>
    <w:rsid w:val="000800A9"/>
    <w:rsid w:val="000809F8"/>
    <w:rsid w:val="00082248"/>
    <w:rsid w:val="0008276E"/>
    <w:rsid w:val="00082984"/>
    <w:rsid w:val="0008391D"/>
    <w:rsid w:val="00083A07"/>
    <w:rsid w:val="00083DC3"/>
    <w:rsid w:val="000846BC"/>
    <w:rsid w:val="00086215"/>
    <w:rsid w:val="00086327"/>
    <w:rsid w:val="00086EAB"/>
    <w:rsid w:val="000871CF"/>
    <w:rsid w:val="00087F34"/>
    <w:rsid w:val="00090907"/>
    <w:rsid w:val="00090A9F"/>
    <w:rsid w:val="00091181"/>
    <w:rsid w:val="0009153B"/>
    <w:rsid w:val="0009164A"/>
    <w:rsid w:val="00091795"/>
    <w:rsid w:val="00091864"/>
    <w:rsid w:val="000932C9"/>
    <w:rsid w:val="000935B3"/>
    <w:rsid w:val="00093CD6"/>
    <w:rsid w:val="000946E5"/>
    <w:rsid w:val="00094CCC"/>
    <w:rsid w:val="0009513E"/>
    <w:rsid w:val="00095A39"/>
    <w:rsid w:val="00096089"/>
    <w:rsid w:val="00096737"/>
    <w:rsid w:val="00096A8C"/>
    <w:rsid w:val="00096CDE"/>
    <w:rsid w:val="00096EA3"/>
    <w:rsid w:val="0009759D"/>
    <w:rsid w:val="00097790"/>
    <w:rsid w:val="00097886"/>
    <w:rsid w:val="000A0348"/>
    <w:rsid w:val="000A1457"/>
    <w:rsid w:val="000A1D62"/>
    <w:rsid w:val="000A1FB1"/>
    <w:rsid w:val="000A23D1"/>
    <w:rsid w:val="000A297B"/>
    <w:rsid w:val="000A2AC2"/>
    <w:rsid w:val="000A4787"/>
    <w:rsid w:val="000A52C2"/>
    <w:rsid w:val="000A64BE"/>
    <w:rsid w:val="000A6A84"/>
    <w:rsid w:val="000A71A7"/>
    <w:rsid w:val="000A71B4"/>
    <w:rsid w:val="000B094E"/>
    <w:rsid w:val="000B1D41"/>
    <w:rsid w:val="000B2AE1"/>
    <w:rsid w:val="000B2DD1"/>
    <w:rsid w:val="000B3F7E"/>
    <w:rsid w:val="000B4BD6"/>
    <w:rsid w:val="000B53D6"/>
    <w:rsid w:val="000B5736"/>
    <w:rsid w:val="000B6981"/>
    <w:rsid w:val="000B7133"/>
    <w:rsid w:val="000B7373"/>
    <w:rsid w:val="000B7D04"/>
    <w:rsid w:val="000C0211"/>
    <w:rsid w:val="000C0366"/>
    <w:rsid w:val="000C0509"/>
    <w:rsid w:val="000C051B"/>
    <w:rsid w:val="000C109E"/>
    <w:rsid w:val="000C1590"/>
    <w:rsid w:val="000C1E34"/>
    <w:rsid w:val="000C1EEE"/>
    <w:rsid w:val="000C2249"/>
    <w:rsid w:val="000C2966"/>
    <w:rsid w:val="000C2F8C"/>
    <w:rsid w:val="000C30B5"/>
    <w:rsid w:val="000C30C4"/>
    <w:rsid w:val="000C52C9"/>
    <w:rsid w:val="000C5652"/>
    <w:rsid w:val="000C5F44"/>
    <w:rsid w:val="000C668E"/>
    <w:rsid w:val="000C6FFF"/>
    <w:rsid w:val="000C710D"/>
    <w:rsid w:val="000C75DF"/>
    <w:rsid w:val="000C75ED"/>
    <w:rsid w:val="000C76D1"/>
    <w:rsid w:val="000D0678"/>
    <w:rsid w:val="000D0883"/>
    <w:rsid w:val="000D14FE"/>
    <w:rsid w:val="000D1A5D"/>
    <w:rsid w:val="000D1C0D"/>
    <w:rsid w:val="000D262D"/>
    <w:rsid w:val="000D2EEE"/>
    <w:rsid w:val="000D3AEA"/>
    <w:rsid w:val="000D3DC1"/>
    <w:rsid w:val="000D4C38"/>
    <w:rsid w:val="000D4D62"/>
    <w:rsid w:val="000D500E"/>
    <w:rsid w:val="000D534C"/>
    <w:rsid w:val="000D5541"/>
    <w:rsid w:val="000D62ED"/>
    <w:rsid w:val="000D657F"/>
    <w:rsid w:val="000D6728"/>
    <w:rsid w:val="000D6E93"/>
    <w:rsid w:val="000D7276"/>
    <w:rsid w:val="000D7680"/>
    <w:rsid w:val="000E0031"/>
    <w:rsid w:val="000E087D"/>
    <w:rsid w:val="000E16BC"/>
    <w:rsid w:val="000E178A"/>
    <w:rsid w:val="000E17E6"/>
    <w:rsid w:val="000E1B9D"/>
    <w:rsid w:val="000E1BF8"/>
    <w:rsid w:val="000E20D3"/>
    <w:rsid w:val="000E22A9"/>
    <w:rsid w:val="000E28A8"/>
    <w:rsid w:val="000E2F2C"/>
    <w:rsid w:val="000E3447"/>
    <w:rsid w:val="000E356A"/>
    <w:rsid w:val="000E3735"/>
    <w:rsid w:val="000E3A0F"/>
    <w:rsid w:val="000E412A"/>
    <w:rsid w:val="000E4CFB"/>
    <w:rsid w:val="000E5065"/>
    <w:rsid w:val="000E55F3"/>
    <w:rsid w:val="000E5916"/>
    <w:rsid w:val="000E6D97"/>
    <w:rsid w:val="000E795F"/>
    <w:rsid w:val="000F00BD"/>
    <w:rsid w:val="000F0BAD"/>
    <w:rsid w:val="000F19D4"/>
    <w:rsid w:val="000F1F24"/>
    <w:rsid w:val="000F2BCF"/>
    <w:rsid w:val="000F30A5"/>
    <w:rsid w:val="000F3CEA"/>
    <w:rsid w:val="000F448F"/>
    <w:rsid w:val="000F620F"/>
    <w:rsid w:val="000F6422"/>
    <w:rsid w:val="000F6AB9"/>
    <w:rsid w:val="000F6ECD"/>
    <w:rsid w:val="000F7537"/>
    <w:rsid w:val="000F78EE"/>
    <w:rsid w:val="000F793F"/>
    <w:rsid w:val="001003E6"/>
    <w:rsid w:val="001016DD"/>
    <w:rsid w:val="00101702"/>
    <w:rsid w:val="00101759"/>
    <w:rsid w:val="00101E04"/>
    <w:rsid w:val="00101FDF"/>
    <w:rsid w:val="00102C7D"/>
    <w:rsid w:val="00103BC5"/>
    <w:rsid w:val="001047CF"/>
    <w:rsid w:val="001050F2"/>
    <w:rsid w:val="001055C2"/>
    <w:rsid w:val="001060D1"/>
    <w:rsid w:val="001074ED"/>
    <w:rsid w:val="00107CC2"/>
    <w:rsid w:val="001100BF"/>
    <w:rsid w:val="001106C6"/>
    <w:rsid w:val="00110CAA"/>
    <w:rsid w:val="0011126C"/>
    <w:rsid w:val="00111762"/>
    <w:rsid w:val="0011301A"/>
    <w:rsid w:val="0011303E"/>
    <w:rsid w:val="001132CD"/>
    <w:rsid w:val="0011352E"/>
    <w:rsid w:val="001138B9"/>
    <w:rsid w:val="001140F6"/>
    <w:rsid w:val="00114164"/>
    <w:rsid w:val="0011669A"/>
    <w:rsid w:val="00120D60"/>
    <w:rsid w:val="001225FF"/>
    <w:rsid w:val="00122777"/>
    <w:rsid w:val="00122925"/>
    <w:rsid w:val="001232F6"/>
    <w:rsid w:val="00123F28"/>
    <w:rsid w:val="00124410"/>
    <w:rsid w:val="00124B89"/>
    <w:rsid w:val="00124CA4"/>
    <w:rsid w:val="00124CD9"/>
    <w:rsid w:val="00124DCF"/>
    <w:rsid w:val="00125072"/>
    <w:rsid w:val="00125F54"/>
    <w:rsid w:val="00126220"/>
    <w:rsid w:val="00126495"/>
    <w:rsid w:val="0012677F"/>
    <w:rsid w:val="00126E53"/>
    <w:rsid w:val="00130DBD"/>
    <w:rsid w:val="00132A4B"/>
    <w:rsid w:val="00132BC1"/>
    <w:rsid w:val="00133296"/>
    <w:rsid w:val="001335E7"/>
    <w:rsid w:val="001336DC"/>
    <w:rsid w:val="0013383A"/>
    <w:rsid w:val="0013396E"/>
    <w:rsid w:val="00134227"/>
    <w:rsid w:val="00134AC6"/>
    <w:rsid w:val="00134BA9"/>
    <w:rsid w:val="0013555F"/>
    <w:rsid w:val="0013559C"/>
    <w:rsid w:val="00135A7D"/>
    <w:rsid w:val="0013663B"/>
    <w:rsid w:val="001403C9"/>
    <w:rsid w:val="00140F42"/>
    <w:rsid w:val="0014151E"/>
    <w:rsid w:val="001421CA"/>
    <w:rsid w:val="00142344"/>
    <w:rsid w:val="00142463"/>
    <w:rsid w:val="00142F7A"/>
    <w:rsid w:val="001441AB"/>
    <w:rsid w:val="00144252"/>
    <w:rsid w:val="00144D6A"/>
    <w:rsid w:val="00144F23"/>
    <w:rsid w:val="0014600D"/>
    <w:rsid w:val="00146F58"/>
    <w:rsid w:val="00147124"/>
    <w:rsid w:val="00147943"/>
    <w:rsid w:val="00147A53"/>
    <w:rsid w:val="00147C3B"/>
    <w:rsid w:val="00150223"/>
    <w:rsid w:val="001503B2"/>
    <w:rsid w:val="00150534"/>
    <w:rsid w:val="00150BEB"/>
    <w:rsid w:val="00151051"/>
    <w:rsid w:val="0015115C"/>
    <w:rsid w:val="001517C7"/>
    <w:rsid w:val="00151A02"/>
    <w:rsid w:val="00152377"/>
    <w:rsid w:val="00152F71"/>
    <w:rsid w:val="0015372B"/>
    <w:rsid w:val="0015393D"/>
    <w:rsid w:val="001543D5"/>
    <w:rsid w:val="00154FF3"/>
    <w:rsid w:val="001557F2"/>
    <w:rsid w:val="00155D5F"/>
    <w:rsid w:val="00156086"/>
    <w:rsid w:val="001577F9"/>
    <w:rsid w:val="00157962"/>
    <w:rsid w:val="00160304"/>
    <w:rsid w:val="00160428"/>
    <w:rsid w:val="00160AE8"/>
    <w:rsid w:val="00160C15"/>
    <w:rsid w:val="0016238E"/>
    <w:rsid w:val="001629C3"/>
    <w:rsid w:val="00162CAA"/>
    <w:rsid w:val="00163B6D"/>
    <w:rsid w:val="001641C5"/>
    <w:rsid w:val="001647F4"/>
    <w:rsid w:val="00164880"/>
    <w:rsid w:val="00164ED6"/>
    <w:rsid w:val="0016506B"/>
    <w:rsid w:val="00166B04"/>
    <w:rsid w:val="001675E4"/>
    <w:rsid w:val="001675E9"/>
    <w:rsid w:val="00170E09"/>
    <w:rsid w:val="00171831"/>
    <w:rsid w:val="00172067"/>
    <w:rsid w:val="00172351"/>
    <w:rsid w:val="00172497"/>
    <w:rsid w:val="00172DD3"/>
    <w:rsid w:val="001730FE"/>
    <w:rsid w:val="0017397A"/>
    <w:rsid w:val="00173A7F"/>
    <w:rsid w:val="001746EA"/>
    <w:rsid w:val="001754D0"/>
    <w:rsid w:val="00175930"/>
    <w:rsid w:val="001759DA"/>
    <w:rsid w:val="00175C42"/>
    <w:rsid w:val="001764A5"/>
    <w:rsid w:val="001765B4"/>
    <w:rsid w:val="00176A26"/>
    <w:rsid w:val="0017735D"/>
    <w:rsid w:val="001812BD"/>
    <w:rsid w:val="0018192E"/>
    <w:rsid w:val="0018223C"/>
    <w:rsid w:val="0018254B"/>
    <w:rsid w:val="001837C4"/>
    <w:rsid w:val="0018445E"/>
    <w:rsid w:val="00184592"/>
    <w:rsid w:val="001845CD"/>
    <w:rsid w:val="001847EB"/>
    <w:rsid w:val="00184CA3"/>
    <w:rsid w:val="0018587E"/>
    <w:rsid w:val="00186863"/>
    <w:rsid w:val="00186D32"/>
    <w:rsid w:val="0018785B"/>
    <w:rsid w:val="001920BD"/>
    <w:rsid w:val="00192EFF"/>
    <w:rsid w:val="00194E91"/>
    <w:rsid w:val="001962A1"/>
    <w:rsid w:val="00196B38"/>
    <w:rsid w:val="00196B62"/>
    <w:rsid w:val="00196E0F"/>
    <w:rsid w:val="001979DF"/>
    <w:rsid w:val="001A0ED1"/>
    <w:rsid w:val="001A1946"/>
    <w:rsid w:val="001A1B36"/>
    <w:rsid w:val="001A1C24"/>
    <w:rsid w:val="001A1ED5"/>
    <w:rsid w:val="001A290D"/>
    <w:rsid w:val="001A29B1"/>
    <w:rsid w:val="001A2A4E"/>
    <w:rsid w:val="001A37D3"/>
    <w:rsid w:val="001A4202"/>
    <w:rsid w:val="001A4257"/>
    <w:rsid w:val="001A6006"/>
    <w:rsid w:val="001A65BF"/>
    <w:rsid w:val="001A78EC"/>
    <w:rsid w:val="001A7DF3"/>
    <w:rsid w:val="001B01E3"/>
    <w:rsid w:val="001B026B"/>
    <w:rsid w:val="001B11AD"/>
    <w:rsid w:val="001B1546"/>
    <w:rsid w:val="001B19D5"/>
    <w:rsid w:val="001B1A8E"/>
    <w:rsid w:val="001B1AFA"/>
    <w:rsid w:val="001B309D"/>
    <w:rsid w:val="001B6149"/>
    <w:rsid w:val="001B6B67"/>
    <w:rsid w:val="001B737D"/>
    <w:rsid w:val="001C0176"/>
    <w:rsid w:val="001C0FC7"/>
    <w:rsid w:val="001C0FEC"/>
    <w:rsid w:val="001C0FF9"/>
    <w:rsid w:val="001C1627"/>
    <w:rsid w:val="001C180C"/>
    <w:rsid w:val="001C219A"/>
    <w:rsid w:val="001C228D"/>
    <w:rsid w:val="001C2922"/>
    <w:rsid w:val="001C2BC4"/>
    <w:rsid w:val="001C34D7"/>
    <w:rsid w:val="001C37BE"/>
    <w:rsid w:val="001C490B"/>
    <w:rsid w:val="001C51B4"/>
    <w:rsid w:val="001C55F4"/>
    <w:rsid w:val="001C6386"/>
    <w:rsid w:val="001C68CC"/>
    <w:rsid w:val="001C70C9"/>
    <w:rsid w:val="001C7293"/>
    <w:rsid w:val="001C74DD"/>
    <w:rsid w:val="001C7670"/>
    <w:rsid w:val="001D09AB"/>
    <w:rsid w:val="001D250C"/>
    <w:rsid w:val="001D2F3D"/>
    <w:rsid w:val="001D2FC5"/>
    <w:rsid w:val="001D3530"/>
    <w:rsid w:val="001D3E0B"/>
    <w:rsid w:val="001D4369"/>
    <w:rsid w:val="001D4C77"/>
    <w:rsid w:val="001D4E56"/>
    <w:rsid w:val="001D5DAC"/>
    <w:rsid w:val="001D689C"/>
    <w:rsid w:val="001E06A3"/>
    <w:rsid w:val="001E14CB"/>
    <w:rsid w:val="001E1588"/>
    <w:rsid w:val="001E163F"/>
    <w:rsid w:val="001E1A9E"/>
    <w:rsid w:val="001E1FA7"/>
    <w:rsid w:val="001E2376"/>
    <w:rsid w:val="001E2A82"/>
    <w:rsid w:val="001E2C4D"/>
    <w:rsid w:val="001E3746"/>
    <w:rsid w:val="001E4447"/>
    <w:rsid w:val="001E4802"/>
    <w:rsid w:val="001E567F"/>
    <w:rsid w:val="001E5EA5"/>
    <w:rsid w:val="001E68DA"/>
    <w:rsid w:val="001E71A3"/>
    <w:rsid w:val="001E753B"/>
    <w:rsid w:val="001E774B"/>
    <w:rsid w:val="001E7D23"/>
    <w:rsid w:val="001E7FE6"/>
    <w:rsid w:val="001F04FD"/>
    <w:rsid w:val="001F0DC8"/>
    <w:rsid w:val="001F1397"/>
    <w:rsid w:val="001F147F"/>
    <w:rsid w:val="001F1A61"/>
    <w:rsid w:val="001F1F77"/>
    <w:rsid w:val="001F2D51"/>
    <w:rsid w:val="001F3516"/>
    <w:rsid w:val="001F3541"/>
    <w:rsid w:val="001F3C10"/>
    <w:rsid w:val="001F5155"/>
    <w:rsid w:val="001F55B1"/>
    <w:rsid w:val="001F7A5E"/>
    <w:rsid w:val="001F7DAE"/>
    <w:rsid w:val="002012DA"/>
    <w:rsid w:val="00201765"/>
    <w:rsid w:val="002018B0"/>
    <w:rsid w:val="00201C4E"/>
    <w:rsid w:val="002025C7"/>
    <w:rsid w:val="00202637"/>
    <w:rsid w:val="00202FAA"/>
    <w:rsid w:val="00204D2A"/>
    <w:rsid w:val="002055D5"/>
    <w:rsid w:val="00206172"/>
    <w:rsid w:val="00207AC3"/>
    <w:rsid w:val="00207DD7"/>
    <w:rsid w:val="002102B0"/>
    <w:rsid w:val="00210563"/>
    <w:rsid w:val="00210647"/>
    <w:rsid w:val="00210676"/>
    <w:rsid w:val="00210B8E"/>
    <w:rsid w:val="002111D7"/>
    <w:rsid w:val="00211945"/>
    <w:rsid w:val="00211E14"/>
    <w:rsid w:val="00213B72"/>
    <w:rsid w:val="00213D57"/>
    <w:rsid w:val="0021573A"/>
    <w:rsid w:val="0021589B"/>
    <w:rsid w:val="00215982"/>
    <w:rsid w:val="00216C2A"/>
    <w:rsid w:val="00221644"/>
    <w:rsid w:val="00221889"/>
    <w:rsid w:val="00221A13"/>
    <w:rsid w:val="00221BB6"/>
    <w:rsid w:val="002224A4"/>
    <w:rsid w:val="00222B2B"/>
    <w:rsid w:val="00223426"/>
    <w:rsid w:val="0022373F"/>
    <w:rsid w:val="002237FD"/>
    <w:rsid w:val="00223D68"/>
    <w:rsid w:val="00224021"/>
    <w:rsid w:val="00224A11"/>
    <w:rsid w:val="00225758"/>
    <w:rsid w:val="0022627B"/>
    <w:rsid w:val="00226B32"/>
    <w:rsid w:val="00226E86"/>
    <w:rsid w:val="00227BCB"/>
    <w:rsid w:val="00227FBE"/>
    <w:rsid w:val="0023008D"/>
    <w:rsid w:val="00230182"/>
    <w:rsid w:val="002309E6"/>
    <w:rsid w:val="00230F30"/>
    <w:rsid w:val="00231690"/>
    <w:rsid w:val="00231B5D"/>
    <w:rsid w:val="0023315A"/>
    <w:rsid w:val="00233303"/>
    <w:rsid w:val="0023356F"/>
    <w:rsid w:val="00233C78"/>
    <w:rsid w:val="00233E49"/>
    <w:rsid w:val="002341C4"/>
    <w:rsid w:val="00234FA4"/>
    <w:rsid w:val="00234FC1"/>
    <w:rsid w:val="00235D03"/>
    <w:rsid w:val="00235DE4"/>
    <w:rsid w:val="00236030"/>
    <w:rsid w:val="00236104"/>
    <w:rsid w:val="00236E90"/>
    <w:rsid w:val="0023731B"/>
    <w:rsid w:val="00237AE8"/>
    <w:rsid w:val="00237F21"/>
    <w:rsid w:val="002401F7"/>
    <w:rsid w:val="0024071F"/>
    <w:rsid w:val="002416B5"/>
    <w:rsid w:val="00242604"/>
    <w:rsid w:val="002427FA"/>
    <w:rsid w:val="00243207"/>
    <w:rsid w:val="00243338"/>
    <w:rsid w:val="002433C7"/>
    <w:rsid w:val="00243D22"/>
    <w:rsid w:val="00243FD3"/>
    <w:rsid w:val="00243FE9"/>
    <w:rsid w:val="002444FE"/>
    <w:rsid w:val="00244B27"/>
    <w:rsid w:val="00244B89"/>
    <w:rsid w:val="002458AE"/>
    <w:rsid w:val="00245978"/>
    <w:rsid w:val="00245F93"/>
    <w:rsid w:val="002466C0"/>
    <w:rsid w:val="002470D1"/>
    <w:rsid w:val="00247C2A"/>
    <w:rsid w:val="002517BC"/>
    <w:rsid w:val="002519E7"/>
    <w:rsid w:val="00251A5E"/>
    <w:rsid w:val="002531A6"/>
    <w:rsid w:val="002532DC"/>
    <w:rsid w:val="00253391"/>
    <w:rsid w:val="00254138"/>
    <w:rsid w:val="002544E5"/>
    <w:rsid w:val="0025679E"/>
    <w:rsid w:val="00256DD1"/>
    <w:rsid w:val="002574F1"/>
    <w:rsid w:val="0026031C"/>
    <w:rsid w:val="0026064D"/>
    <w:rsid w:val="00261125"/>
    <w:rsid w:val="0026181A"/>
    <w:rsid w:val="00261F65"/>
    <w:rsid w:val="0026313F"/>
    <w:rsid w:val="002634AD"/>
    <w:rsid w:val="002638DA"/>
    <w:rsid w:val="00263D10"/>
    <w:rsid w:val="00266C9D"/>
    <w:rsid w:val="00267839"/>
    <w:rsid w:val="002704CF"/>
    <w:rsid w:val="00272B4E"/>
    <w:rsid w:val="002731C4"/>
    <w:rsid w:val="002732A3"/>
    <w:rsid w:val="002734AA"/>
    <w:rsid w:val="002740AF"/>
    <w:rsid w:val="00274583"/>
    <w:rsid w:val="00275027"/>
    <w:rsid w:val="00275091"/>
    <w:rsid w:val="002761D1"/>
    <w:rsid w:val="00276BD3"/>
    <w:rsid w:val="00277D88"/>
    <w:rsid w:val="00277FF9"/>
    <w:rsid w:val="002809CB"/>
    <w:rsid w:val="00280E04"/>
    <w:rsid w:val="00281DEA"/>
    <w:rsid w:val="002827F7"/>
    <w:rsid w:val="0028305D"/>
    <w:rsid w:val="00283970"/>
    <w:rsid w:val="00283C47"/>
    <w:rsid w:val="00283DFC"/>
    <w:rsid w:val="002854FC"/>
    <w:rsid w:val="00285A4F"/>
    <w:rsid w:val="00285DD7"/>
    <w:rsid w:val="0028663E"/>
    <w:rsid w:val="00286EDB"/>
    <w:rsid w:val="00286FD1"/>
    <w:rsid w:val="002877D1"/>
    <w:rsid w:val="00290003"/>
    <w:rsid w:val="00290135"/>
    <w:rsid w:val="00291467"/>
    <w:rsid w:val="002914A3"/>
    <w:rsid w:val="00291DAD"/>
    <w:rsid w:val="00292359"/>
    <w:rsid w:val="00292E39"/>
    <w:rsid w:val="00292E75"/>
    <w:rsid w:val="00293899"/>
    <w:rsid w:val="00293D76"/>
    <w:rsid w:val="00294484"/>
    <w:rsid w:val="00294E58"/>
    <w:rsid w:val="00294F2D"/>
    <w:rsid w:val="00295768"/>
    <w:rsid w:val="00295D73"/>
    <w:rsid w:val="00296750"/>
    <w:rsid w:val="00296EF6"/>
    <w:rsid w:val="00297437"/>
    <w:rsid w:val="00297A7E"/>
    <w:rsid w:val="002A03E2"/>
    <w:rsid w:val="002A0AD7"/>
    <w:rsid w:val="002A2247"/>
    <w:rsid w:val="002A245D"/>
    <w:rsid w:val="002A2564"/>
    <w:rsid w:val="002A2D73"/>
    <w:rsid w:val="002A2F43"/>
    <w:rsid w:val="002A367C"/>
    <w:rsid w:val="002A38DB"/>
    <w:rsid w:val="002A3C2C"/>
    <w:rsid w:val="002A52C4"/>
    <w:rsid w:val="002A620F"/>
    <w:rsid w:val="002A736E"/>
    <w:rsid w:val="002A7971"/>
    <w:rsid w:val="002A7BA2"/>
    <w:rsid w:val="002A7BFB"/>
    <w:rsid w:val="002B1595"/>
    <w:rsid w:val="002B183F"/>
    <w:rsid w:val="002B18C7"/>
    <w:rsid w:val="002B1922"/>
    <w:rsid w:val="002B1B83"/>
    <w:rsid w:val="002B1E33"/>
    <w:rsid w:val="002B2244"/>
    <w:rsid w:val="002B2DF9"/>
    <w:rsid w:val="002B3F3E"/>
    <w:rsid w:val="002B41A6"/>
    <w:rsid w:val="002B4B2F"/>
    <w:rsid w:val="002B4DEF"/>
    <w:rsid w:val="002B506A"/>
    <w:rsid w:val="002B5070"/>
    <w:rsid w:val="002B516C"/>
    <w:rsid w:val="002B5AE9"/>
    <w:rsid w:val="002B5C5B"/>
    <w:rsid w:val="002B5D80"/>
    <w:rsid w:val="002B620E"/>
    <w:rsid w:val="002B67BE"/>
    <w:rsid w:val="002B67D6"/>
    <w:rsid w:val="002B7047"/>
    <w:rsid w:val="002B72E7"/>
    <w:rsid w:val="002B735C"/>
    <w:rsid w:val="002B7726"/>
    <w:rsid w:val="002B787F"/>
    <w:rsid w:val="002B7CE1"/>
    <w:rsid w:val="002C04DC"/>
    <w:rsid w:val="002C0ED5"/>
    <w:rsid w:val="002C30E7"/>
    <w:rsid w:val="002C448D"/>
    <w:rsid w:val="002C472C"/>
    <w:rsid w:val="002C4BBA"/>
    <w:rsid w:val="002C5AB2"/>
    <w:rsid w:val="002C6440"/>
    <w:rsid w:val="002C6FAE"/>
    <w:rsid w:val="002C7EEC"/>
    <w:rsid w:val="002D0753"/>
    <w:rsid w:val="002D0A0B"/>
    <w:rsid w:val="002D0D73"/>
    <w:rsid w:val="002D16AB"/>
    <w:rsid w:val="002D23E6"/>
    <w:rsid w:val="002D28ED"/>
    <w:rsid w:val="002D2B6C"/>
    <w:rsid w:val="002D2D7F"/>
    <w:rsid w:val="002D30D5"/>
    <w:rsid w:val="002D385D"/>
    <w:rsid w:val="002D3D7F"/>
    <w:rsid w:val="002D411E"/>
    <w:rsid w:val="002D5050"/>
    <w:rsid w:val="002D57E3"/>
    <w:rsid w:val="002D590C"/>
    <w:rsid w:val="002D5B11"/>
    <w:rsid w:val="002D5C44"/>
    <w:rsid w:val="002D6795"/>
    <w:rsid w:val="002D7A93"/>
    <w:rsid w:val="002D7F17"/>
    <w:rsid w:val="002E27E9"/>
    <w:rsid w:val="002E2B7B"/>
    <w:rsid w:val="002E3041"/>
    <w:rsid w:val="002E3A4D"/>
    <w:rsid w:val="002E3DBC"/>
    <w:rsid w:val="002E4059"/>
    <w:rsid w:val="002E4A29"/>
    <w:rsid w:val="002E60F6"/>
    <w:rsid w:val="002E6706"/>
    <w:rsid w:val="002E6A2A"/>
    <w:rsid w:val="002E713A"/>
    <w:rsid w:val="002E7D22"/>
    <w:rsid w:val="002F038E"/>
    <w:rsid w:val="002F0DFA"/>
    <w:rsid w:val="002F11FE"/>
    <w:rsid w:val="002F1471"/>
    <w:rsid w:val="002F1AE6"/>
    <w:rsid w:val="002F2B59"/>
    <w:rsid w:val="002F319A"/>
    <w:rsid w:val="002F3D6D"/>
    <w:rsid w:val="002F3F37"/>
    <w:rsid w:val="002F4D2E"/>
    <w:rsid w:val="002F527F"/>
    <w:rsid w:val="002F55A8"/>
    <w:rsid w:val="002F5823"/>
    <w:rsid w:val="002F6BCB"/>
    <w:rsid w:val="002F6E69"/>
    <w:rsid w:val="002F73C9"/>
    <w:rsid w:val="002F777C"/>
    <w:rsid w:val="003016E5"/>
    <w:rsid w:val="00301C39"/>
    <w:rsid w:val="00301FCF"/>
    <w:rsid w:val="00302514"/>
    <w:rsid w:val="003028E1"/>
    <w:rsid w:val="00302900"/>
    <w:rsid w:val="00302F29"/>
    <w:rsid w:val="00303DD1"/>
    <w:rsid w:val="00303EF0"/>
    <w:rsid w:val="00304433"/>
    <w:rsid w:val="00305151"/>
    <w:rsid w:val="00305BDC"/>
    <w:rsid w:val="00305EBC"/>
    <w:rsid w:val="00305EC0"/>
    <w:rsid w:val="00306699"/>
    <w:rsid w:val="0030702F"/>
    <w:rsid w:val="00310C0B"/>
    <w:rsid w:val="0031180B"/>
    <w:rsid w:val="00311FF1"/>
    <w:rsid w:val="0031359E"/>
    <w:rsid w:val="00313A70"/>
    <w:rsid w:val="00314848"/>
    <w:rsid w:val="00315F0D"/>
    <w:rsid w:val="00316AC4"/>
    <w:rsid w:val="00316CC9"/>
    <w:rsid w:val="00316EE7"/>
    <w:rsid w:val="0031750B"/>
    <w:rsid w:val="003175C1"/>
    <w:rsid w:val="00317CFB"/>
    <w:rsid w:val="003205C3"/>
    <w:rsid w:val="00320905"/>
    <w:rsid w:val="0032129F"/>
    <w:rsid w:val="003229C9"/>
    <w:rsid w:val="003229D6"/>
    <w:rsid w:val="00322BA1"/>
    <w:rsid w:val="003235C1"/>
    <w:rsid w:val="00323C20"/>
    <w:rsid w:val="003262AD"/>
    <w:rsid w:val="00326E07"/>
    <w:rsid w:val="00326E23"/>
    <w:rsid w:val="003273CB"/>
    <w:rsid w:val="0032743B"/>
    <w:rsid w:val="00327C76"/>
    <w:rsid w:val="003302D0"/>
    <w:rsid w:val="003303CF"/>
    <w:rsid w:val="0033075C"/>
    <w:rsid w:val="00330C95"/>
    <w:rsid w:val="00330E8C"/>
    <w:rsid w:val="00330FCC"/>
    <w:rsid w:val="00331C85"/>
    <w:rsid w:val="003347DD"/>
    <w:rsid w:val="00334A68"/>
    <w:rsid w:val="00336E4B"/>
    <w:rsid w:val="00337D2D"/>
    <w:rsid w:val="00340777"/>
    <w:rsid w:val="00341780"/>
    <w:rsid w:val="00341943"/>
    <w:rsid w:val="00341E07"/>
    <w:rsid w:val="00341E22"/>
    <w:rsid w:val="00342511"/>
    <w:rsid w:val="00342A55"/>
    <w:rsid w:val="00343095"/>
    <w:rsid w:val="0034316B"/>
    <w:rsid w:val="00343671"/>
    <w:rsid w:val="00343992"/>
    <w:rsid w:val="00343BAF"/>
    <w:rsid w:val="00343E89"/>
    <w:rsid w:val="00344609"/>
    <w:rsid w:val="00344B1B"/>
    <w:rsid w:val="003451DD"/>
    <w:rsid w:val="003458BC"/>
    <w:rsid w:val="003459E8"/>
    <w:rsid w:val="003474AD"/>
    <w:rsid w:val="00347857"/>
    <w:rsid w:val="00347AEF"/>
    <w:rsid w:val="00347D2D"/>
    <w:rsid w:val="003512D1"/>
    <w:rsid w:val="00351B7A"/>
    <w:rsid w:val="00352A0F"/>
    <w:rsid w:val="00353AC8"/>
    <w:rsid w:val="00353FC0"/>
    <w:rsid w:val="003545E8"/>
    <w:rsid w:val="00356445"/>
    <w:rsid w:val="003567FF"/>
    <w:rsid w:val="00356E4B"/>
    <w:rsid w:val="003579EE"/>
    <w:rsid w:val="00357CFC"/>
    <w:rsid w:val="00357D2C"/>
    <w:rsid w:val="00360905"/>
    <w:rsid w:val="00360A7A"/>
    <w:rsid w:val="00360CD5"/>
    <w:rsid w:val="0036172A"/>
    <w:rsid w:val="003618AC"/>
    <w:rsid w:val="00361AA4"/>
    <w:rsid w:val="00361E89"/>
    <w:rsid w:val="00362CE4"/>
    <w:rsid w:val="00363095"/>
    <w:rsid w:val="00363707"/>
    <w:rsid w:val="0036499C"/>
    <w:rsid w:val="003649AF"/>
    <w:rsid w:val="00364D59"/>
    <w:rsid w:val="00364F71"/>
    <w:rsid w:val="003660D6"/>
    <w:rsid w:val="00366373"/>
    <w:rsid w:val="00366FCD"/>
    <w:rsid w:val="003673D6"/>
    <w:rsid w:val="00367749"/>
    <w:rsid w:val="00370E68"/>
    <w:rsid w:val="00370F95"/>
    <w:rsid w:val="00370FA8"/>
    <w:rsid w:val="003712B1"/>
    <w:rsid w:val="00371616"/>
    <w:rsid w:val="003719FB"/>
    <w:rsid w:val="003727C9"/>
    <w:rsid w:val="00372D7A"/>
    <w:rsid w:val="00373914"/>
    <w:rsid w:val="00374ACA"/>
    <w:rsid w:val="00374C47"/>
    <w:rsid w:val="00374F87"/>
    <w:rsid w:val="00375887"/>
    <w:rsid w:val="0037603F"/>
    <w:rsid w:val="003762C8"/>
    <w:rsid w:val="00376F97"/>
    <w:rsid w:val="003779F5"/>
    <w:rsid w:val="00377B11"/>
    <w:rsid w:val="003810AB"/>
    <w:rsid w:val="003816CB"/>
    <w:rsid w:val="0038280D"/>
    <w:rsid w:val="0038335C"/>
    <w:rsid w:val="00383C0B"/>
    <w:rsid w:val="00384047"/>
    <w:rsid w:val="003847FF"/>
    <w:rsid w:val="00384EF9"/>
    <w:rsid w:val="003854A3"/>
    <w:rsid w:val="00386B58"/>
    <w:rsid w:val="00387324"/>
    <w:rsid w:val="00387493"/>
    <w:rsid w:val="00387A40"/>
    <w:rsid w:val="003900CE"/>
    <w:rsid w:val="003900E4"/>
    <w:rsid w:val="003904E6"/>
    <w:rsid w:val="0039182E"/>
    <w:rsid w:val="00391D8B"/>
    <w:rsid w:val="00392666"/>
    <w:rsid w:val="00393A29"/>
    <w:rsid w:val="00393C33"/>
    <w:rsid w:val="00393FFF"/>
    <w:rsid w:val="0039421D"/>
    <w:rsid w:val="003946D7"/>
    <w:rsid w:val="003948AF"/>
    <w:rsid w:val="00394CE1"/>
    <w:rsid w:val="00394D9C"/>
    <w:rsid w:val="00394ED1"/>
    <w:rsid w:val="00395267"/>
    <w:rsid w:val="00395C3C"/>
    <w:rsid w:val="0039611D"/>
    <w:rsid w:val="003963CD"/>
    <w:rsid w:val="00396A0F"/>
    <w:rsid w:val="003974B0"/>
    <w:rsid w:val="003976E9"/>
    <w:rsid w:val="003978C8"/>
    <w:rsid w:val="003978EB"/>
    <w:rsid w:val="00397906"/>
    <w:rsid w:val="00397A7F"/>
    <w:rsid w:val="00397FCE"/>
    <w:rsid w:val="003A0403"/>
    <w:rsid w:val="003A0CA0"/>
    <w:rsid w:val="003A0CB9"/>
    <w:rsid w:val="003A0D59"/>
    <w:rsid w:val="003A1996"/>
    <w:rsid w:val="003A1CF4"/>
    <w:rsid w:val="003A3C9D"/>
    <w:rsid w:val="003A3EE1"/>
    <w:rsid w:val="003A4075"/>
    <w:rsid w:val="003A44AA"/>
    <w:rsid w:val="003A4D89"/>
    <w:rsid w:val="003A521E"/>
    <w:rsid w:val="003A58FF"/>
    <w:rsid w:val="003A5AC3"/>
    <w:rsid w:val="003A680A"/>
    <w:rsid w:val="003A6CCF"/>
    <w:rsid w:val="003A72E3"/>
    <w:rsid w:val="003A7628"/>
    <w:rsid w:val="003A7801"/>
    <w:rsid w:val="003A7F32"/>
    <w:rsid w:val="003B05E0"/>
    <w:rsid w:val="003B23BE"/>
    <w:rsid w:val="003B25C6"/>
    <w:rsid w:val="003B2616"/>
    <w:rsid w:val="003B27D9"/>
    <w:rsid w:val="003B2F40"/>
    <w:rsid w:val="003B3A3E"/>
    <w:rsid w:val="003B46CE"/>
    <w:rsid w:val="003B4D84"/>
    <w:rsid w:val="003B5252"/>
    <w:rsid w:val="003B623B"/>
    <w:rsid w:val="003B64E5"/>
    <w:rsid w:val="003B73DB"/>
    <w:rsid w:val="003B77DB"/>
    <w:rsid w:val="003B7F86"/>
    <w:rsid w:val="003C098D"/>
    <w:rsid w:val="003C098F"/>
    <w:rsid w:val="003C0DF9"/>
    <w:rsid w:val="003C0E24"/>
    <w:rsid w:val="003C1250"/>
    <w:rsid w:val="003C18EB"/>
    <w:rsid w:val="003C1ACD"/>
    <w:rsid w:val="003C211A"/>
    <w:rsid w:val="003C21E1"/>
    <w:rsid w:val="003C2BD5"/>
    <w:rsid w:val="003C2D8B"/>
    <w:rsid w:val="003C3AD8"/>
    <w:rsid w:val="003C3FC4"/>
    <w:rsid w:val="003C4369"/>
    <w:rsid w:val="003C46B5"/>
    <w:rsid w:val="003C46C8"/>
    <w:rsid w:val="003C5A02"/>
    <w:rsid w:val="003C6139"/>
    <w:rsid w:val="003D016F"/>
    <w:rsid w:val="003D0AA4"/>
    <w:rsid w:val="003D0B9C"/>
    <w:rsid w:val="003D2297"/>
    <w:rsid w:val="003D2634"/>
    <w:rsid w:val="003D26F9"/>
    <w:rsid w:val="003D274B"/>
    <w:rsid w:val="003D3379"/>
    <w:rsid w:val="003D368E"/>
    <w:rsid w:val="003D39E0"/>
    <w:rsid w:val="003D3DCF"/>
    <w:rsid w:val="003D4CBF"/>
    <w:rsid w:val="003D4DE3"/>
    <w:rsid w:val="003D4E9E"/>
    <w:rsid w:val="003D4F77"/>
    <w:rsid w:val="003D6691"/>
    <w:rsid w:val="003D77E1"/>
    <w:rsid w:val="003D7A22"/>
    <w:rsid w:val="003D7AB5"/>
    <w:rsid w:val="003E2347"/>
    <w:rsid w:val="003E2750"/>
    <w:rsid w:val="003E30EF"/>
    <w:rsid w:val="003E3DF5"/>
    <w:rsid w:val="003E42A7"/>
    <w:rsid w:val="003E4FCD"/>
    <w:rsid w:val="003E52F1"/>
    <w:rsid w:val="003E5E33"/>
    <w:rsid w:val="003E6EF2"/>
    <w:rsid w:val="003E7ADF"/>
    <w:rsid w:val="003E7BAA"/>
    <w:rsid w:val="003F06D7"/>
    <w:rsid w:val="003F14E3"/>
    <w:rsid w:val="003F160F"/>
    <w:rsid w:val="003F1B6B"/>
    <w:rsid w:val="003F29A0"/>
    <w:rsid w:val="003F3792"/>
    <w:rsid w:val="003F383B"/>
    <w:rsid w:val="003F3DC4"/>
    <w:rsid w:val="003F46E3"/>
    <w:rsid w:val="003F473B"/>
    <w:rsid w:val="003F4A21"/>
    <w:rsid w:val="003F53D0"/>
    <w:rsid w:val="003F5E79"/>
    <w:rsid w:val="003F6011"/>
    <w:rsid w:val="003F6684"/>
    <w:rsid w:val="003F6C1A"/>
    <w:rsid w:val="003F735B"/>
    <w:rsid w:val="003F739B"/>
    <w:rsid w:val="003F73AF"/>
    <w:rsid w:val="003F7506"/>
    <w:rsid w:val="003F758C"/>
    <w:rsid w:val="0040046F"/>
    <w:rsid w:val="004007D1"/>
    <w:rsid w:val="00400801"/>
    <w:rsid w:val="00400BC3"/>
    <w:rsid w:val="00401F04"/>
    <w:rsid w:val="00401F42"/>
    <w:rsid w:val="00402051"/>
    <w:rsid w:val="00402A85"/>
    <w:rsid w:val="0040329E"/>
    <w:rsid w:val="00404E98"/>
    <w:rsid w:val="00405155"/>
    <w:rsid w:val="00405D90"/>
    <w:rsid w:val="0040637E"/>
    <w:rsid w:val="004066D4"/>
    <w:rsid w:val="004067E8"/>
    <w:rsid w:val="0040684F"/>
    <w:rsid w:val="0040767B"/>
    <w:rsid w:val="0040769C"/>
    <w:rsid w:val="00407C84"/>
    <w:rsid w:val="00410285"/>
    <w:rsid w:val="004108AD"/>
    <w:rsid w:val="004116AE"/>
    <w:rsid w:val="00411ACA"/>
    <w:rsid w:val="00413071"/>
    <w:rsid w:val="004139A4"/>
    <w:rsid w:val="0041428D"/>
    <w:rsid w:val="00414995"/>
    <w:rsid w:val="00414DD8"/>
    <w:rsid w:val="00414FEA"/>
    <w:rsid w:val="00415AEF"/>
    <w:rsid w:val="0041629A"/>
    <w:rsid w:val="00416DF5"/>
    <w:rsid w:val="004171C7"/>
    <w:rsid w:val="004178FB"/>
    <w:rsid w:val="00417B4E"/>
    <w:rsid w:val="004201FA"/>
    <w:rsid w:val="00420709"/>
    <w:rsid w:val="00420FAF"/>
    <w:rsid w:val="004211E1"/>
    <w:rsid w:val="00421A47"/>
    <w:rsid w:val="00422B96"/>
    <w:rsid w:val="00422E13"/>
    <w:rsid w:val="00423D31"/>
    <w:rsid w:val="00424B9A"/>
    <w:rsid w:val="0042512D"/>
    <w:rsid w:val="00425355"/>
    <w:rsid w:val="00426000"/>
    <w:rsid w:val="00426186"/>
    <w:rsid w:val="00426634"/>
    <w:rsid w:val="00426931"/>
    <w:rsid w:val="00426A3E"/>
    <w:rsid w:val="00426BFC"/>
    <w:rsid w:val="00427AA2"/>
    <w:rsid w:val="00427EDA"/>
    <w:rsid w:val="00430429"/>
    <w:rsid w:val="00430C7E"/>
    <w:rsid w:val="00431432"/>
    <w:rsid w:val="00431554"/>
    <w:rsid w:val="00431C69"/>
    <w:rsid w:val="00431F0B"/>
    <w:rsid w:val="004328DE"/>
    <w:rsid w:val="00433A74"/>
    <w:rsid w:val="004347E2"/>
    <w:rsid w:val="00435DBD"/>
    <w:rsid w:val="00436830"/>
    <w:rsid w:val="00437451"/>
    <w:rsid w:val="00437C6D"/>
    <w:rsid w:val="00440B24"/>
    <w:rsid w:val="00440E99"/>
    <w:rsid w:val="00440FC6"/>
    <w:rsid w:val="00441415"/>
    <w:rsid w:val="00441494"/>
    <w:rsid w:val="004415B7"/>
    <w:rsid w:val="00442A63"/>
    <w:rsid w:val="00443320"/>
    <w:rsid w:val="00443616"/>
    <w:rsid w:val="00443620"/>
    <w:rsid w:val="00443E82"/>
    <w:rsid w:val="004440A8"/>
    <w:rsid w:val="004443C3"/>
    <w:rsid w:val="00444476"/>
    <w:rsid w:val="0044521D"/>
    <w:rsid w:val="00445D1B"/>
    <w:rsid w:val="00446C58"/>
    <w:rsid w:val="00446D56"/>
    <w:rsid w:val="00446DBD"/>
    <w:rsid w:val="00446EB7"/>
    <w:rsid w:val="00450C12"/>
    <w:rsid w:val="00450E29"/>
    <w:rsid w:val="004510FA"/>
    <w:rsid w:val="0045143A"/>
    <w:rsid w:val="00453B06"/>
    <w:rsid w:val="00454C35"/>
    <w:rsid w:val="00454C86"/>
    <w:rsid w:val="00456109"/>
    <w:rsid w:val="00456326"/>
    <w:rsid w:val="00456736"/>
    <w:rsid w:val="00456975"/>
    <w:rsid w:val="00456EEF"/>
    <w:rsid w:val="00457036"/>
    <w:rsid w:val="0045796A"/>
    <w:rsid w:val="00457C20"/>
    <w:rsid w:val="00460A86"/>
    <w:rsid w:val="0046144F"/>
    <w:rsid w:val="004614AA"/>
    <w:rsid w:val="00461970"/>
    <w:rsid w:val="00462942"/>
    <w:rsid w:val="00462B26"/>
    <w:rsid w:val="00463695"/>
    <w:rsid w:val="00463ECC"/>
    <w:rsid w:val="00464265"/>
    <w:rsid w:val="004645DA"/>
    <w:rsid w:val="004648F7"/>
    <w:rsid w:val="00464A0C"/>
    <w:rsid w:val="004652FE"/>
    <w:rsid w:val="00465C0A"/>
    <w:rsid w:val="00466751"/>
    <w:rsid w:val="0046687F"/>
    <w:rsid w:val="004669BA"/>
    <w:rsid w:val="00467363"/>
    <w:rsid w:val="00467A55"/>
    <w:rsid w:val="004701C3"/>
    <w:rsid w:val="00470AB8"/>
    <w:rsid w:val="00470F66"/>
    <w:rsid w:val="0047162D"/>
    <w:rsid w:val="0047181B"/>
    <w:rsid w:val="00471C40"/>
    <w:rsid w:val="004724D5"/>
    <w:rsid w:val="004727D2"/>
    <w:rsid w:val="004732E8"/>
    <w:rsid w:val="004739C6"/>
    <w:rsid w:val="00473A46"/>
    <w:rsid w:val="00474717"/>
    <w:rsid w:val="00474C49"/>
    <w:rsid w:val="0047536B"/>
    <w:rsid w:val="004756F6"/>
    <w:rsid w:val="00476733"/>
    <w:rsid w:val="004771AF"/>
    <w:rsid w:val="00477E68"/>
    <w:rsid w:val="00477F93"/>
    <w:rsid w:val="00480525"/>
    <w:rsid w:val="00481FA0"/>
    <w:rsid w:val="004823FA"/>
    <w:rsid w:val="00482640"/>
    <w:rsid w:val="00482F20"/>
    <w:rsid w:val="00482FEB"/>
    <w:rsid w:val="004837DD"/>
    <w:rsid w:val="00483C5A"/>
    <w:rsid w:val="004840D6"/>
    <w:rsid w:val="00484C4A"/>
    <w:rsid w:val="00485785"/>
    <w:rsid w:val="00485AB8"/>
    <w:rsid w:val="00485D86"/>
    <w:rsid w:val="00485D99"/>
    <w:rsid w:val="00486647"/>
    <w:rsid w:val="004874DF"/>
    <w:rsid w:val="00487A38"/>
    <w:rsid w:val="00487DB1"/>
    <w:rsid w:val="004906F6"/>
    <w:rsid w:val="00490BDC"/>
    <w:rsid w:val="00490BFE"/>
    <w:rsid w:val="00490E8F"/>
    <w:rsid w:val="004913C5"/>
    <w:rsid w:val="0049247E"/>
    <w:rsid w:val="004924C5"/>
    <w:rsid w:val="00492BE2"/>
    <w:rsid w:val="00492CB8"/>
    <w:rsid w:val="00493673"/>
    <w:rsid w:val="004939D2"/>
    <w:rsid w:val="00493D87"/>
    <w:rsid w:val="004940BD"/>
    <w:rsid w:val="00494238"/>
    <w:rsid w:val="0049448C"/>
    <w:rsid w:val="0049494B"/>
    <w:rsid w:val="00495016"/>
    <w:rsid w:val="00495C8E"/>
    <w:rsid w:val="00496513"/>
    <w:rsid w:val="004965B5"/>
    <w:rsid w:val="004965EC"/>
    <w:rsid w:val="00496744"/>
    <w:rsid w:val="00496BE5"/>
    <w:rsid w:val="00496C38"/>
    <w:rsid w:val="00496F16"/>
    <w:rsid w:val="00497E3E"/>
    <w:rsid w:val="004A091F"/>
    <w:rsid w:val="004A0ABD"/>
    <w:rsid w:val="004A1126"/>
    <w:rsid w:val="004A1D18"/>
    <w:rsid w:val="004A2AA6"/>
    <w:rsid w:val="004A2B16"/>
    <w:rsid w:val="004A3739"/>
    <w:rsid w:val="004A39F9"/>
    <w:rsid w:val="004A4733"/>
    <w:rsid w:val="004A4849"/>
    <w:rsid w:val="004A4DDB"/>
    <w:rsid w:val="004A5B0B"/>
    <w:rsid w:val="004A665A"/>
    <w:rsid w:val="004A6858"/>
    <w:rsid w:val="004A7660"/>
    <w:rsid w:val="004A7782"/>
    <w:rsid w:val="004A78E0"/>
    <w:rsid w:val="004A7B1D"/>
    <w:rsid w:val="004A7B46"/>
    <w:rsid w:val="004A7CB3"/>
    <w:rsid w:val="004A7ECF"/>
    <w:rsid w:val="004B0DA4"/>
    <w:rsid w:val="004B1B9D"/>
    <w:rsid w:val="004B22DF"/>
    <w:rsid w:val="004B3248"/>
    <w:rsid w:val="004B3525"/>
    <w:rsid w:val="004B52B4"/>
    <w:rsid w:val="004B6019"/>
    <w:rsid w:val="004B67CA"/>
    <w:rsid w:val="004B6A08"/>
    <w:rsid w:val="004B6E53"/>
    <w:rsid w:val="004B7147"/>
    <w:rsid w:val="004B7622"/>
    <w:rsid w:val="004C036A"/>
    <w:rsid w:val="004C1CD6"/>
    <w:rsid w:val="004C2079"/>
    <w:rsid w:val="004C248D"/>
    <w:rsid w:val="004C2754"/>
    <w:rsid w:val="004C2CFA"/>
    <w:rsid w:val="004C32A5"/>
    <w:rsid w:val="004C3308"/>
    <w:rsid w:val="004C346A"/>
    <w:rsid w:val="004C40D7"/>
    <w:rsid w:val="004C48C1"/>
    <w:rsid w:val="004C4F4D"/>
    <w:rsid w:val="004C538F"/>
    <w:rsid w:val="004C54B2"/>
    <w:rsid w:val="004C5779"/>
    <w:rsid w:val="004C5A3C"/>
    <w:rsid w:val="004C72B7"/>
    <w:rsid w:val="004D029C"/>
    <w:rsid w:val="004D16AD"/>
    <w:rsid w:val="004D1724"/>
    <w:rsid w:val="004D179E"/>
    <w:rsid w:val="004D2827"/>
    <w:rsid w:val="004D4251"/>
    <w:rsid w:val="004D5023"/>
    <w:rsid w:val="004D50F3"/>
    <w:rsid w:val="004D55AF"/>
    <w:rsid w:val="004D678D"/>
    <w:rsid w:val="004D6DFA"/>
    <w:rsid w:val="004E0395"/>
    <w:rsid w:val="004E05F9"/>
    <w:rsid w:val="004E071B"/>
    <w:rsid w:val="004E1490"/>
    <w:rsid w:val="004E1F91"/>
    <w:rsid w:val="004E219F"/>
    <w:rsid w:val="004E28B2"/>
    <w:rsid w:val="004E340A"/>
    <w:rsid w:val="004E4151"/>
    <w:rsid w:val="004E4A46"/>
    <w:rsid w:val="004E4B05"/>
    <w:rsid w:val="004E554E"/>
    <w:rsid w:val="004E58E9"/>
    <w:rsid w:val="004E66A1"/>
    <w:rsid w:val="004F01B5"/>
    <w:rsid w:val="004F08F1"/>
    <w:rsid w:val="004F0B9F"/>
    <w:rsid w:val="004F18AF"/>
    <w:rsid w:val="004F1C4C"/>
    <w:rsid w:val="004F1CE6"/>
    <w:rsid w:val="004F1FE3"/>
    <w:rsid w:val="004F2298"/>
    <w:rsid w:val="004F2445"/>
    <w:rsid w:val="004F2F96"/>
    <w:rsid w:val="004F4AC1"/>
    <w:rsid w:val="004F4B4F"/>
    <w:rsid w:val="004F5A41"/>
    <w:rsid w:val="004F719D"/>
    <w:rsid w:val="004F7F4D"/>
    <w:rsid w:val="005006D5"/>
    <w:rsid w:val="005009AD"/>
    <w:rsid w:val="00501B50"/>
    <w:rsid w:val="005030ED"/>
    <w:rsid w:val="00503970"/>
    <w:rsid w:val="00503DD0"/>
    <w:rsid w:val="00503EF4"/>
    <w:rsid w:val="0050447A"/>
    <w:rsid w:val="0050458F"/>
    <w:rsid w:val="0050535E"/>
    <w:rsid w:val="005061FD"/>
    <w:rsid w:val="0050685E"/>
    <w:rsid w:val="005075DF"/>
    <w:rsid w:val="00507C32"/>
    <w:rsid w:val="00510B70"/>
    <w:rsid w:val="00510E47"/>
    <w:rsid w:val="0051118D"/>
    <w:rsid w:val="00512F93"/>
    <w:rsid w:val="0051393B"/>
    <w:rsid w:val="00513A82"/>
    <w:rsid w:val="00514A42"/>
    <w:rsid w:val="00514AFA"/>
    <w:rsid w:val="0051509C"/>
    <w:rsid w:val="005161BF"/>
    <w:rsid w:val="00516F78"/>
    <w:rsid w:val="00516F86"/>
    <w:rsid w:val="00517106"/>
    <w:rsid w:val="00517362"/>
    <w:rsid w:val="005173D2"/>
    <w:rsid w:val="00520639"/>
    <w:rsid w:val="005215C5"/>
    <w:rsid w:val="00522C0F"/>
    <w:rsid w:val="00522CAA"/>
    <w:rsid w:val="00522F13"/>
    <w:rsid w:val="005233BF"/>
    <w:rsid w:val="0052368D"/>
    <w:rsid w:val="00523A76"/>
    <w:rsid w:val="00523F79"/>
    <w:rsid w:val="00524281"/>
    <w:rsid w:val="00525E33"/>
    <w:rsid w:val="005264EC"/>
    <w:rsid w:val="0052684A"/>
    <w:rsid w:val="00527A80"/>
    <w:rsid w:val="00530066"/>
    <w:rsid w:val="0053016B"/>
    <w:rsid w:val="0053020C"/>
    <w:rsid w:val="005309FD"/>
    <w:rsid w:val="005310B6"/>
    <w:rsid w:val="00531362"/>
    <w:rsid w:val="005314EE"/>
    <w:rsid w:val="0053194F"/>
    <w:rsid w:val="005329CD"/>
    <w:rsid w:val="00532A75"/>
    <w:rsid w:val="00532E7C"/>
    <w:rsid w:val="0053481C"/>
    <w:rsid w:val="005354D5"/>
    <w:rsid w:val="005355F6"/>
    <w:rsid w:val="00535930"/>
    <w:rsid w:val="005367A3"/>
    <w:rsid w:val="00536B98"/>
    <w:rsid w:val="00537026"/>
    <w:rsid w:val="005379A5"/>
    <w:rsid w:val="00537E31"/>
    <w:rsid w:val="00537F28"/>
    <w:rsid w:val="00540AB6"/>
    <w:rsid w:val="00540B55"/>
    <w:rsid w:val="00540BAB"/>
    <w:rsid w:val="0054220F"/>
    <w:rsid w:val="005425C2"/>
    <w:rsid w:val="00542C68"/>
    <w:rsid w:val="00543BC9"/>
    <w:rsid w:val="00544592"/>
    <w:rsid w:val="00545B17"/>
    <w:rsid w:val="0054619E"/>
    <w:rsid w:val="00547317"/>
    <w:rsid w:val="0054748B"/>
    <w:rsid w:val="00547A51"/>
    <w:rsid w:val="00547A86"/>
    <w:rsid w:val="00550AD0"/>
    <w:rsid w:val="00551ACD"/>
    <w:rsid w:val="00553FDC"/>
    <w:rsid w:val="0055420E"/>
    <w:rsid w:val="00556481"/>
    <w:rsid w:val="005567A3"/>
    <w:rsid w:val="0055721B"/>
    <w:rsid w:val="005578D2"/>
    <w:rsid w:val="00560647"/>
    <w:rsid w:val="00562507"/>
    <w:rsid w:val="005629F4"/>
    <w:rsid w:val="00562FE0"/>
    <w:rsid w:val="00563928"/>
    <w:rsid w:val="00563E9C"/>
    <w:rsid w:val="00564E87"/>
    <w:rsid w:val="005659F9"/>
    <w:rsid w:val="00566800"/>
    <w:rsid w:val="0056684A"/>
    <w:rsid w:val="00566E39"/>
    <w:rsid w:val="00567494"/>
    <w:rsid w:val="005675AB"/>
    <w:rsid w:val="00567A2A"/>
    <w:rsid w:val="005707C4"/>
    <w:rsid w:val="00570FE2"/>
    <w:rsid w:val="0057135B"/>
    <w:rsid w:val="00571CB5"/>
    <w:rsid w:val="00572195"/>
    <w:rsid w:val="005726D1"/>
    <w:rsid w:val="005728E5"/>
    <w:rsid w:val="005729F7"/>
    <w:rsid w:val="00572BB7"/>
    <w:rsid w:val="00572C14"/>
    <w:rsid w:val="00573122"/>
    <w:rsid w:val="005734EE"/>
    <w:rsid w:val="00573810"/>
    <w:rsid w:val="005738D4"/>
    <w:rsid w:val="00573B9E"/>
    <w:rsid w:val="0057461A"/>
    <w:rsid w:val="00574AA7"/>
    <w:rsid w:val="005752AB"/>
    <w:rsid w:val="005755D9"/>
    <w:rsid w:val="00575D3A"/>
    <w:rsid w:val="00576B1F"/>
    <w:rsid w:val="00577296"/>
    <w:rsid w:val="005777E0"/>
    <w:rsid w:val="0058136B"/>
    <w:rsid w:val="005814DD"/>
    <w:rsid w:val="0058150D"/>
    <w:rsid w:val="00581B13"/>
    <w:rsid w:val="00581B93"/>
    <w:rsid w:val="00581C90"/>
    <w:rsid w:val="00582ACD"/>
    <w:rsid w:val="00583E7E"/>
    <w:rsid w:val="00584326"/>
    <w:rsid w:val="0058432B"/>
    <w:rsid w:val="0058435E"/>
    <w:rsid w:val="00584550"/>
    <w:rsid w:val="00585019"/>
    <w:rsid w:val="00585AA5"/>
    <w:rsid w:val="005867E8"/>
    <w:rsid w:val="00586829"/>
    <w:rsid w:val="005901F6"/>
    <w:rsid w:val="00590838"/>
    <w:rsid w:val="00590889"/>
    <w:rsid w:val="0059091F"/>
    <w:rsid w:val="005911C2"/>
    <w:rsid w:val="00591200"/>
    <w:rsid w:val="00591FEE"/>
    <w:rsid w:val="00592A45"/>
    <w:rsid w:val="00594A93"/>
    <w:rsid w:val="00594E4D"/>
    <w:rsid w:val="0059521E"/>
    <w:rsid w:val="005952D5"/>
    <w:rsid w:val="00595CA6"/>
    <w:rsid w:val="00595F3F"/>
    <w:rsid w:val="0059649E"/>
    <w:rsid w:val="005971F3"/>
    <w:rsid w:val="005975E8"/>
    <w:rsid w:val="00597FDD"/>
    <w:rsid w:val="005A052E"/>
    <w:rsid w:val="005A1251"/>
    <w:rsid w:val="005A174A"/>
    <w:rsid w:val="005A18E7"/>
    <w:rsid w:val="005A328C"/>
    <w:rsid w:val="005A4CF0"/>
    <w:rsid w:val="005A571D"/>
    <w:rsid w:val="005A755E"/>
    <w:rsid w:val="005A7D2B"/>
    <w:rsid w:val="005A7D8E"/>
    <w:rsid w:val="005B069A"/>
    <w:rsid w:val="005B0B47"/>
    <w:rsid w:val="005B0D57"/>
    <w:rsid w:val="005B1A1E"/>
    <w:rsid w:val="005B1AEA"/>
    <w:rsid w:val="005B251A"/>
    <w:rsid w:val="005B34DD"/>
    <w:rsid w:val="005B387A"/>
    <w:rsid w:val="005B3A10"/>
    <w:rsid w:val="005B416F"/>
    <w:rsid w:val="005B455B"/>
    <w:rsid w:val="005B4AEE"/>
    <w:rsid w:val="005B4EDE"/>
    <w:rsid w:val="005B5717"/>
    <w:rsid w:val="005B5875"/>
    <w:rsid w:val="005B5CA7"/>
    <w:rsid w:val="005B6369"/>
    <w:rsid w:val="005B69A4"/>
    <w:rsid w:val="005B6FF7"/>
    <w:rsid w:val="005B74E3"/>
    <w:rsid w:val="005C0197"/>
    <w:rsid w:val="005C0C90"/>
    <w:rsid w:val="005C0E71"/>
    <w:rsid w:val="005C1A49"/>
    <w:rsid w:val="005C1E65"/>
    <w:rsid w:val="005C27DA"/>
    <w:rsid w:val="005C2B49"/>
    <w:rsid w:val="005C2D31"/>
    <w:rsid w:val="005C2DC7"/>
    <w:rsid w:val="005C30B8"/>
    <w:rsid w:val="005C33AE"/>
    <w:rsid w:val="005C42E7"/>
    <w:rsid w:val="005C4450"/>
    <w:rsid w:val="005C4544"/>
    <w:rsid w:val="005C480D"/>
    <w:rsid w:val="005C5370"/>
    <w:rsid w:val="005C5792"/>
    <w:rsid w:val="005C5A9B"/>
    <w:rsid w:val="005C5D09"/>
    <w:rsid w:val="005C61E3"/>
    <w:rsid w:val="005C61F3"/>
    <w:rsid w:val="005C6B2F"/>
    <w:rsid w:val="005C6B50"/>
    <w:rsid w:val="005C6D56"/>
    <w:rsid w:val="005C704F"/>
    <w:rsid w:val="005C7491"/>
    <w:rsid w:val="005C77EF"/>
    <w:rsid w:val="005C7988"/>
    <w:rsid w:val="005C7AA8"/>
    <w:rsid w:val="005D03A4"/>
    <w:rsid w:val="005D18C8"/>
    <w:rsid w:val="005D1E52"/>
    <w:rsid w:val="005D29F3"/>
    <w:rsid w:val="005D2DD0"/>
    <w:rsid w:val="005D316E"/>
    <w:rsid w:val="005D345E"/>
    <w:rsid w:val="005D390B"/>
    <w:rsid w:val="005D3D90"/>
    <w:rsid w:val="005D422A"/>
    <w:rsid w:val="005D4C23"/>
    <w:rsid w:val="005D68C2"/>
    <w:rsid w:val="005D79F3"/>
    <w:rsid w:val="005E0731"/>
    <w:rsid w:val="005E0C3E"/>
    <w:rsid w:val="005E0EE9"/>
    <w:rsid w:val="005E11C0"/>
    <w:rsid w:val="005E139D"/>
    <w:rsid w:val="005E3492"/>
    <w:rsid w:val="005E349E"/>
    <w:rsid w:val="005E5ABD"/>
    <w:rsid w:val="005E5CA0"/>
    <w:rsid w:val="005E61E9"/>
    <w:rsid w:val="005E62C6"/>
    <w:rsid w:val="005E6EDF"/>
    <w:rsid w:val="005F033D"/>
    <w:rsid w:val="005F17EF"/>
    <w:rsid w:val="005F232E"/>
    <w:rsid w:val="005F29DB"/>
    <w:rsid w:val="005F3940"/>
    <w:rsid w:val="005F3FD4"/>
    <w:rsid w:val="005F4053"/>
    <w:rsid w:val="005F406D"/>
    <w:rsid w:val="005F4645"/>
    <w:rsid w:val="005F5645"/>
    <w:rsid w:val="005F63FE"/>
    <w:rsid w:val="005F66C6"/>
    <w:rsid w:val="00601A86"/>
    <w:rsid w:val="00602196"/>
    <w:rsid w:val="006021B8"/>
    <w:rsid w:val="0060225A"/>
    <w:rsid w:val="00602883"/>
    <w:rsid w:val="00603360"/>
    <w:rsid w:val="00603616"/>
    <w:rsid w:val="006039B1"/>
    <w:rsid w:val="006041A1"/>
    <w:rsid w:val="0060488A"/>
    <w:rsid w:val="006049CC"/>
    <w:rsid w:val="00605FC6"/>
    <w:rsid w:val="00606B30"/>
    <w:rsid w:val="00606BE1"/>
    <w:rsid w:val="006072E6"/>
    <w:rsid w:val="00607709"/>
    <w:rsid w:val="00611796"/>
    <w:rsid w:val="00612871"/>
    <w:rsid w:val="006129CF"/>
    <w:rsid w:val="006133CF"/>
    <w:rsid w:val="00613DE3"/>
    <w:rsid w:val="00614118"/>
    <w:rsid w:val="00614444"/>
    <w:rsid w:val="00614937"/>
    <w:rsid w:val="00614A3C"/>
    <w:rsid w:val="006152E6"/>
    <w:rsid w:val="006164A6"/>
    <w:rsid w:val="006169D8"/>
    <w:rsid w:val="00616C24"/>
    <w:rsid w:val="00617070"/>
    <w:rsid w:val="006170BA"/>
    <w:rsid w:val="006179AF"/>
    <w:rsid w:val="00617E02"/>
    <w:rsid w:val="006208B1"/>
    <w:rsid w:val="00620C1B"/>
    <w:rsid w:val="00620EC2"/>
    <w:rsid w:val="00621710"/>
    <w:rsid w:val="00621E3C"/>
    <w:rsid w:val="00622012"/>
    <w:rsid w:val="00622175"/>
    <w:rsid w:val="00622523"/>
    <w:rsid w:val="00622854"/>
    <w:rsid w:val="00623066"/>
    <w:rsid w:val="00623F26"/>
    <w:rsid w:val="00624FA2"/>
    <w:rsid w:val="00625EF6"/>
    <w:rsid w:val="00626141"/>
    <w:rsid w:val="006261D4"/>
    <w:rsid w:val="00627019"/>
    <w:rsid w:val="006270F8"/>
    <w:rsid w:val="00627814"/>
    <w:rsid w:val="00627984"/>
    <w:rsid w:val="006301CB"/>
    <w:rsid w:val="006310B6"/>
    <w:rsid w:val="00631802"/>
    <w:rsid w:val="006318D5"/>
    <w:rsid w:val="00632776"/>
    <w:rsid w:val="00632873"/>
    <w:rsid w:val="00632B25"/>
    <w:rsid w:val="00632C73"/>
    <w:rsid w:val="006331A2"/>
    <w:rsid w:val="0063339B"/>
    <w:rsid w:val="00633725"/>
    <w:rsid w:val="00633EBD"/>
    <w:rsid w:val="00634C84"/>
    <w:rsid w:val="00634D43"/>
    <w:rsid w:val="00635146"/>
    <w:rsid w:val="00635AF8"/>
    <w:rsid w:val="00636003"/>
    <w:rsid w:val="00636A1B"/>
    <w:rsid w:val="00636C61"/>
    <w:rsid w:val="00637160"/>
    <w:rsid w:val="0063763C"/>
    <w:rsid w:val="00637B86"/>
    <w:rsid w:val="006406A1"/>
    <w:rsid w:val="00640A5D"/>
    <w:rsid w:val="00640D52"/>
    <w:rsid w:val="0064112F"/>
    <w:rsid w:val="0064146D"/>
    <w:rsid w:val="006414C3"/>
    <w:rsid w:val="00641A57"/>
    <w:rsid w:val="00641E7A"/>
    <w:rsid w:val="006425C7"/>
    <w:rsid w:val="00642E80"/>
    <w:rsid w:val="00643BEC"/>
    <w:rsid w:val="006443E4"/>
    <w:rsid w:val="006444D9"/>
    <w:rsid w:val="0064460C"/>
    <w:rsid w:val="00644B26"/>
    <w:rsid w:val="00644D1F"/>
    <w:rsid w:val="00644D24"/>
    <w:rsid w:val="00645A83"/>
    <w:rsid w:val="00645D22"/>
    <w:rsid w:val="006465B2"/>
    <w:rsid w:val="00646753"/>
    <w:rsid w:val="00646E61"/>
    <w:rsid w:val="0064773E"/>
    <w:rsid w:val="00647F76"/>
    <w:rsid w:val="006503F3"/>
    <w:rsid w:val="00650530"/>
    <w:rsid w:val="00650777"/>
    <w:rsid w:val="00651B2D"/>
    <w:rsid w:val="006520E3"/>
    <w:rsid w:val="00652D0C"/>
    <w:rsid w:val="00653828"/>
    <w:rsid w:val="00653AA6"/>
    <w:rsid w:val="0065408B"/>
    <w:rsid w:val="006541C8"/>
    <w:rsid w:val="00654474"/>
    <w:rsid w:val="0065571F"/>
    <w:rsid w:val="006563AE"/>
    <w:rsid w:val="00656F44"/>
    <w:rsid w:val="00657137"/>
    <w:rsid w:val="0065716F"/>
    <w:rsid w:val="00657414"/>
    <w:rsid w:val="006575B8"/>
    <w:rsid w:val="00657819"/>
    <w:rsid w:val="00657849"/>
    <w:rsid w:val="006601AD"/>
    <w:rsid w:val="00660B27"/>
    <w:rsid w:val="006612A4"/>
    <w:rsid w:val="006612C7"/>
    <w:rsid w:val="006628B7"/>
    <w:rsid w:val="00663188"/>
    <w:rsid w:val="006635FE"/>
    <w:rsid w:val="00663874"/>
    <w:rsid w:val="00664276"/>
    <w:rsid w:val="00665245"/>
    <w:rsid w:val="006666E1"/>
    <w:rsid w:val="0066695B"/>
    <w:rsid w:val="00667495"/>
    <w:rsid w:val="006674EA"/>
    <w:rsid w:val="006676B7"/>
    <w:rsid w:val="00667912"/>
    <w:rsid w:val="00667CAA"/>
    <w:rsid w:val="00667F22"/>
    <w:rsid w:val="006720F2"/>
    <w:rsid w:val="006722C1"/>
    <w:rsid w:val="00672315"/>
    <w:rsid w:val="00672AD6"/>
    <w:rsid w:val="00672F11"/>
    <w:rsid w:val="00673054"/>
    <w:rsid w:val="00673DAC"/>
    <w:rsid w:val="00674579"/>
    <w:rsid w:val="0067463F"/>
    <w:rsid w:val="00674E70"/>
    <w:rsid w:val="006755E2"/>
    <w:rsid w:val="00676234"/>
    <w:rsid w:val="00676B7C"/>
    <w:rsid w:val="00676BC3"/>
    <w:rsid w:val="00676F00"/>
    <w:rsid w:val="0067773D"/>
    <w:rsid w:val="00677CD9"/>
    <w:rsid w:val="006801DE"/>
    <w:rsid w:val="00680CB8"/>
    <w:rsid w:val="00682A92"/>
    <w:rsid w:val="006837CD"/>
    <w:rsid w:val="00683A03"/>
    <w:rsid w:val="00683CF9"/>
    <w:rsid w:val="00683F75"/>
    <w:rsid w:val="0068419D"/>
    <w:rsid w:val="0068465A"/>
    <w:rsid w:val="00684DEF"/>
    <w:rsid w:val="0068671D"/>
    <w:rsid w:val="006873C7"/>
    <w:rsid w:val="00687F9C"/>
    <w:rsid w:val="00690683"/>
    <w:rsid w:val="00691109"/>
    <w:rsid w:val="00691205"/>
    <w:rsid w:val="006914E7"/>
    <w:rsid w:val="00693022"/>
    <w:rsid w:val="006930B7"/>
    <w:rsid w:val="006937EF"/>
    <w:rsid w:val="00693D2A"/>
    <w:rsid w:val="00694BD2"/>
    <w:rsid w:val="00694FFB"/>
    <w:rsid w:val="0069524B"/>
    <w:rsid w:val="006952D5"/>
    <w:rsid w:val="006957A8"/>
    <w:rsid w:val="006963EB"/>
    <w:rsid w:val="006968AD"/>
    <w:rsid w:val="00697B6D"/>
    <w:rsid w:val="006A033B"/>
    <w:rsid w:val="006A0500"/>
    <w:rsid w:val="006A09F6"/>
    <w:rsid w:val="006A1D6B"/>
    <w:rsid w:val="006A215A"/>
    <w:rsid w:val="006A338A"/>
    <w:rsid w:val="006A3478"/>
    <w:rsid w:val="006A3CBE"/>
    <w:rsid w:val="006A4469"/>
    <w:rsid w:val="006A4D16"/>
    <w:rsid w:val="006A5004"/>
    <w:rsid w:val="006A5592"/>
    <w:rsid w:val="006A564B"/>
    <w:rsid w:val="006A580F"/>
    <w:rsid w:val="006A5C38"/>
    <w:rsid w:val="006A63DD"/>
    <w:rsid w:val="006A7C08"/>
    <w:rsid w:val="006B0063"/>
    <w:rsid w:val="006B01C3"/>
    <w:rsid w:val="006B0E64"/>
    <w:rsid w:val="006B16CB"/>
    <w:rsid w:val="006B490E"/>
    <w:rsid w:val="006B4B8C"/>
    <w:rsid w:val="006B4C54"/>
    <w:rsid w:val="006B4D07"/>
    <w:rsid w:val="006B4D53"/>
    <w:rsid w:val="006B51D2"/>
    <w:rsid w:val="006B5869"/>
    <w:rsid w:val="006B5F1A"/>
    <w:rsid w:val="006B60EC"/>
    <w:rsid w:val="006B61FF"/>
    <w:rsid w:val="006B6C59"/>
    <w:rsid w:val="006B72E9"/>
    <w:rsid w:val="006C029F"/>
    <w:rsid w:val="006C0A74"/>
    <w:rsid w:val="006C1246"/>
    <w:rsid w:val="006C177D"/>
    <w:rsid w:val="006C1A1B"/>
    <w:rsid w:val="006C226F"/>
    <w:rsid w:val="006C2581"/>
    <w:rsid w:val="006C25A3"/>
    <w:rsid w:val="006C2699"/>
    <w:rsid w:val="006C2A8D"/>
    <w:rsid w:val="006C31D0"/>
    <w:rsid w:val="006C3674"/>
    <w:rsid w:val="006C375B"/>
    <w:rsid w:val="006C4F86"/>
    <w:rsid w:val="006C5083"/>
    <w:rsid w:val="006C5A42"/>
    <w:rsid w:val="006C5AE2"/>
    <w:rsid w:val="006C5B5E"/>
    <w:rsid w:val="006C5D72"/>
    <w:rsid w:val="006C6628"/>
    <w:rsid w:val="006C66EB"/>
    <w:rsid w:val="006C6A47"/>
    <w:rsid w:val="006C6BA4"/>
    <w:rsid w:val="006C76FF"/>
    <w:rsid w:val="006D037D"/>
    <w:rsid w:val="006D0D5B"/>
    <w:rsid w:val="006D1172"/>
    <w:rsid w:val="006D1E6F"/>
    <w:rsid w:val="006D2732"/>
    <w:rsid w:val="006D2B88"/>
    <w:rsid w:val="006D3418"/>
    <w:rsid w:val="006D34E1"/>
    <w:rsid w:val="006D3F3B"/>
    <w:rsid w:val="006D44BF"/>
    <w:rsid w:val="006D52F8"/>
    <w:rsid w:val="006D55B7"/>
    <w:rsid w:val="006D5749"/>
    <w:rsid w:val="006D6523"/>
    <w:rsid w:val="006D707E"/>
    <w:rsid w:val="006D75B5"/>
    <w:rsid w:val="006D7B7D"/>
    <w:rsid w:val="006D7DC3"/>
    <w:rsid w:val="006E0110"/>
    <w:rsid w:val="006E01A2"/>
    <w:rsid w:val="006E057E"/>
    <w:rsid w:val="006E0A95"/>
    <w:rsid w:val="006E0BF2"/>
    <w:rsid w:val="006E158A"/>
    <w:rsid w:val="006E1ADE"/>
    <w:rsid w:val="006E1C22"/>
    <w:rsid w:val="006E1F31"/>
    <w:rsid w:val="006E3872"/>
    <w:rsid w:val="006E4321"/>
    <w:rsid w:val="006E5C45"/>
    <w:rsid w:val="006E5C66"/>
    <w:rsid w:val="006E5D12"/>
    <w:rsid w:val="006E693C"/>
    <w:rsid w:val="006E7364"/>
    <w:rsid w:val="006F0020"/>
    <w:rsid w:val="006F08EC"/>
    <w:rsid w:val="006F1831"/>
    <w:rsid w:val="006F1BB9"/>
    <w:rsid w:val="006F25E0"/>
    <w:rsid w:val="006F2F0F"/>
    <w:rsid w:val="006F35B7"/>
    <w:rsid w:val="006F3F86"/>
    <w:rsid w:val="006F54AB"/>
    <w:rsid w:val="006F578F"/>
    <w:rsid w:val="006F59E4"/>
    <w:rsid w:val="006F5A43"/>
    <w:rsid w:val="006F60D8"/>
    <w:rsid w:val="006F6289"/>
    <w:rsid w:val="006F6D95"/>
    <w:rsid w:val="006F78A5"/>
    <w:rsid w:val="006F7954"/>
    <w:rsid w:val="00700047"/>
    <w:rsid w:val="007003CA"/>
    <w:rsid w:val="0070050A"/>
    <w:rsid w:val="00701D71"/>
    <w:rsid w:val="007022F8"/>
    <w:rsid w:val="007026FF"/>
    <w:rsid w:val="0070293D"/>
    <w:rsid w:val="007032C4"/>
    <w:rsid w:val="00703A4B"/>
    <w:rsid w:val="0070447C"/>
    <w:rsid w:val="00705783"/>
    <w:rsid w:val="00706396"/>
    <w:rsid w:val="007065C0"/>
    <w:rsid w:val="007074FD"/>
    <w:rsid w:val="007077A8"/>
    <w:rsid w:val="00707ECB"/>
    <w:rsid w:val="0071025E"/>
    <w:rsid w:val="00710C83"/>
    <w:rsid w:val="0071297B"/>
    <w:rsid w:val="00712B03"/>
    <w:rsid w:val="00712F36"/>
    <w:rsid w:val="00714823"/>
    <w:rsid w:val="00715089"/>
    <w:rsid w:val="007153B4"/>
    <w:rsid w:val="007154AD"/>
    <w:rsid w:val="00715AD0"/>
    <w:rsid w:val="00715CA6"/>
    <w:rsid w:val="007169E1"/>
    <w:rsid w:val="00716AB8"/>
    <w:rsid w:val="00716B54"/>
    <w:rsid w:val="00720B34"/>
    <w:rsid w:val="00720BF0"/>
    <w:rsid w:val="00720E3C"/>
    <w:rsid w:val="0072108B"/>
    <w:rsid w:val="007210E7"/>
    <w:rsid w:val="0072151E"/>
    <w:rsid w:val="00722326"/>
    <w:rsid w:val="00724233"/>
    <w:rsid w:val="007249DD"/>
    <w:rsid w:val="00724F8A"/>
    <w:rsid w:val="00725152"/>
    <w:rsid w:val="007257CD"/>
    <w:rsid w:val="00726791"/>
    <w:rsid w:val="00726FC1"/>
    <w:rsid w:val="00727520"/>
    <w:rsid w:val="00727BC6"/>
    <w:rsid w:val="00730774"/>
    <w:rsid w:val="00731E97"/>
    <w:rsid w:val="007329DC"/>
    <w:rsid w:val="00732F85"/>
    <w:rsid w:val="00732FD4"/>
    <w:rsid w:val="00732FE1"/>
    <w:rsid w:val="007332D0"/>
    <w:rsid w:val="00733824"/>
    <w:rsid w:val="00733D5E"/>
    <w:rsid w:val="007347CA"/>
    <w:rsid w:val="00735841"/>
    <w:rsid w:val="00735A77"/>
    <w:rsid w:val="0073640D"/>
    <w:rsid w:val="00737853"/>
    <w:rsid w:val="00737B38"/>
    <w:rsid w:val="00740438"/>
    <w:rsid w:val="0074061B"/>
    <w:rsid w:val="00740A6B"/>
    <w:rsid w:val="00740A6E"/>
    <w:rsid w:val="00741515"/>
    <w:rsid w:val="007415BF"/>
    <w:rsid w:val="007418A7"/>
    <w:rsid w:val="00741931"/>
    <w:rsid w:val="0074205D"/>
    <w:rsid w:val="00743454"/>
    <w:rsid w:val="00743737"/>
    <w:rsid w:val="007440C7"/>
    <w:rsid w:val="0074411A"/>
    <w:rsid w:val="00745343"/>
    <w:rsid w:val="007453CA"/>
    <w:rsid w:val="0074578C"/>
    <w:rsid w:val="00745851"/>
    <w:rsid w:val="00745852"/>
    <w:rsid w:val="00745A27"/>
    <w:rsid w:val="00745D95"/>
    <w:rsid w:val="007460FA"/>
    <w:rsid w:val="00746435"/>
    <w:rsid w:val="007472E5"/>
    <w:rsid w:val="007477A1"/>
    <w:rsid w:val="00750DB7"/>
    <w:rsid w:val="0075204B"/>
    <w:rsid w:val="007525BF"/>
    <w:rsid w:val="00752622"/>
    <w:rsid w:val="00752857"/>
    <w:rsid w:val="007531B1"/>
    <w:rsid w:val="0075323E"/>
    <w:rsid w:val="00753A11"/>
    <w:rsid w:val="00753CD4"/>
    <w:rsid w:val="00754931"/>
    <w:rsid w:val="00755483"/>
    <w:rsid w:val="00757111"/>
    <w:rsid w:val="007576E4"/>
    <w:rsid w:val="00757C20"/>
    <w:rsid w:val="007603E6"/>
    <w:rsid w:val="0076067E"/>
    <w:rsid w:val="00760B74"/>
    <w:rsid w:val="00760FD9"/>
    <w:rsid w:val="007614A0"/>
    <w:rsid w:val="007619B8"/>
    <w:rsid w:val="00762233"/>
    <w:rsid w:val="0076227F"/>
    <w:rsid w:val="0076272C"/>
    <w:rsid w:val="00763001"/>
    <w:rsid w:val="007634B9"/>
    <w:rsid w:val="00763C00"/>
    <w:rsid w:val="00763F49"/>
    <w:rsid w:val="0076434B"/>
    <w:rsid w:val="00764A29"/>
    <w:rsid w:val="00764FAB"/>
    <w:rsid w:val="0076509B"/>
    <w:rsid w:val="007656A7"/>
    <w:rsid w:val="0076576D"/>
    <w:rsid w:val="00766054"/>
    <w:rsid w:val="00766F7E"/>
    <w:rsid w:val="00767B0B"/>
    <w:rsid w:val="00770087"/>
    <w:rsid w:val="007704C4"/>
    <w:rsid w:val="00770630"/>
    <w:rsid w:val="0077065E"/>
    <w:rsid w:val="00771428"/>
    <w:rsid w:val="00771E83"/>
    <w:rsid w:val="00772143"/>
    <w:rsid w:val="0077218B"/>
    <w:rsid w:val="00772B1D"/>
    <w:rsid w:val="00772E1E"/>
    <w:rsid w:val="007735DA"/>
    <w:rsid w:val="00773B28"/>
    <w:rsid w:val="007745EE"/>
    <w:rsid w:val="0077476B"/>
    <w:rsid w:val="00775B77"/>
    <w:rsid w:val="00775EDD"/>
    <w:rsid w:val="0077602C"/>
    <w:rsid w:val="00776199"/>
    <w:rsid w:val="007763BA"/>
    <w:rsid w:val="0077677B"/>
    <w:rsid w:val="00776B44"/>
    <w:rsid w:val="00777232"/>
    <w:rsid w:val="007776F1"/>
    <w:rsid w:val="007777B8"/>
    <w:rsid w:val="00777A5C"/>
    <w:rsid w:val="00780EEA"/>
    <w:rsid w:val="00780FD5"/>
    <w:rsid w:val="007812BE"/>
    <w:rsid w:val="007817BE"/>
    <w:rsid w:val="007818B2"/>
    <w:rsid w:val="0078265A"/>
    <w:rsid w:val="00782DB9"/>
    <w:rsid w:val="00783C06"/>
    <w:rsid w:val="007844A1"/>
    <w:rsid w:val="00784ABF"/>
    <w:rsid w:val="00785038"/>
    <w:rsid w:val="007858A7"/>
    <w:rsid w:val="007865C4"/>
    <w:rsid w:val="00786744"/>
    <w:rsid w:val="00790D88"/>
    <w:rsid w:val="00790E97"/>
    <w:rsid w:val="00790EF1"/>
    <w:rsid w:val="00791D5F"/>
    <w:rsid w:val="00792091"/>
    <w:rsid w:val="00792AC7"/>
    <w:rsid w:val="00792AED"/>
    <w:rsid w:val="00792C7F"/>
    <w:rsid w:val="007954F0"/>
    <w:rsid w:val="007964D8"/>
    <w:rsid w:val="0079719E"/>
    <w:rsid w:val="0079790F"/>
    <w:rsid w:val="00797E57"/>
    <w:rsid w:val="007A0072"/>
    <w:rsid w:val="007A0707"/>
    <w:rsid w:val="007A07FE"/>
    <w:rsid w:val="007A0944"/>
    <w:rsid w:val="007A0A04"/>
    <w:rsid w:val="007A1489"/>
    <w:rsid w:val="007A1E53"/>
    <w:rsid w:val="007A2819"/>
    <w:rsid w:val="007A36C8"/>
    <w:rsid w:val="007A5B40"/>
    <w:rsid w:val="007A5C17"/>
    <w:rsid w:val="007A5F57"/>
    <w:rsid w:val="007A63D0"/>
    <w:rsid w:val="007A6AEC"/>
    <w:rsid w:val="007A7651"/>
    <w:rsid w:val="007B034B"/>
    <w:rsid w:val="007B0DCE"/>
    <w:rsid w:val="007B1006"/>
    <w:rsid w:val="007B16F4"/>
    <w:rsid w:val="007B1C84"/>
    <w:rsid w:val="007B25B1"/>
    <w:rsid w:val="007B28FB"/>
    <w:rsid w:val="007B3086"/>
    <w:rsid w:val="007B5759"/>
    <w:rsid w:val="007B71BC"/>
    <w:rsid w:val="007B7493"/>
    <w:rsid w:val="007C0BC2"/>
    <w:rsid w:val="007C1375"/>
    <w:rsid w:val="007C158D"/>
    <w:rsid w:val="007C1FBF"/>
    <w:rsid w:val="007C205F"/>
    <w:rsid w:val="007C2370"/>
    <w:rsid w:val="007C2D9A"/>
    <w:rsid w:val="007C3967"/>
    <w:rsid w:val="007C3AE6"/>
    <w:rsid w:val="007C3AE8"/>
    <w:rsid w:val="007C3D35"/>
    <w:rsid w:val="007C3DC9"/>
    <w:rsid w:val="007C3E74"/>
    <w:rsid w:val="007C3FBD"/>
    <w:rsid w:val="007C4B00"/>
    <w:rsid w:val="007C5E27"/>
    <w:rsid w:val="007C625B"/>
    <w:rsid w:val="007C6435"/>
    <w:rsid w:val="007C6775"/>
    <w:rsid w:val="007C7690"/>
    <w:rsid w:val="007D0871"/>
    <w:rsid w:val="007D0AC0"/>
    <w:rsid w:val="007D0E63"/>
    <w:rsid w:val="007D1BA4"/>
    <w:rsid w:val="007D1C69"/>
    <w:rsid w:val="007D1F73"/>
    <w:rsid w:val="007D1FB3"/>
    <w:rsid w:val="007D3019"/>
    <w:rsid w:val="007D32AA"/>
    <w:rsid w:val="007D3D9B"/>
    <w:rsid w:val="007D47B5"/>
    <w:rsid w:val="007D4B3E"/>
    <w:rsid w:val="007D5142"/>
    <w:rsid w:val="007D5377"/>
    <w:rsid w:val="007D5529"/>
    <w:rsid w:val="007D5F98"/>
    <w:rsid w:val="007D6DE7"/>
    <w:rsid w:val="007D701A"/>
    <w:rsid w:val="007D79D3"/>
    <w:rsid w:val="007E0677"/>
    <w:rsid w:val="007E0BFA"/>
    <w:rsid w:val="007E0C1D"/>
    <w:rsid w:val="007E12B1"/>
    <w:rsid w:val="007E3514"/>
    <w:rsid w:val="007E4E22"/>
    <w:rsid w:val="007E786F"/>
    <w:rsid w:val="007E7A35"/>
    <w:rsid w:val="007E7C22"/>
    <w:rsid w:val="007E7D06"/>
    <w:rsid w:val="007F053D"/>
    <w:rsid w:val="007F16F8"/>
    <w:rsid w:val="007F174C"/>
    <w:rsid w:val="007F1896"/>
    <w:rsid w:val="007F2796"/>
    <w:rsid w:val="007F2C93"/>
    <w:rsid w:val="007F3D90"/>
    <w:rsid w:val="007F4724"/>
    <w:rsid w:val="007F4771"/>
    <w:rsid w:val="007F4A9A"/>
    <w:rsid w:val="007F5136"/>
    <w:rsid w:val="007F5974"/>
    <w:rsid w:val="007F5C35"/>
    <w:rsid w:val="007F75D0"/>
    <w:rsid w:val="007F7653"/>
    <w:rsid w:val="00800062"/>
    <w:rsid w:val="00800891"/>
    <w:rsid w:val="00800A97"/>
    <w:rsid w:val="008015A9"/>
    <w:rsid w:val="0080185B"/>
    <w:rsid w:val="00801955"/>
    <w:rsid w:val="00801F32"/>
    <w:rsid w:val="00802253"/>
    <w:rsid w:val="008022A3"/>
    <w:rsid w:val="00802F23"/>
    <w:rsid w:val="008036F7"/>
    <w:rsid w:val="00803F85"/>
    <w:rsid w:val="008050FF"/>
    <w:rsid w:val="008052F7"/>
    <w:rsid w:val="00806724"/>
    <w:rsid w:val="008076A2"/>
    <w:rsid w:val="00807BED"/>
    <w:rsid w:val="00810AE3"/>
    <w:rsid w:val="00810D23"/>
    <w:rsid w:val="00810EBA"/>
    <w:rsid w:val="00811CCD"/>
    <w:rsid w:val="00812BB8"/>
    <w:rsid w:val="00812EDE"/>
    <w:rsid w:val="00812FC0"/>
    <w:rsid w:val="008132C0"/>
    <w:rsid w:val="008137F3"/>
    <w:rsid w:val="0081399B"/>
    <w:rsid w:val="00814267"/>
    <w:rsid w:val="00814954"/>
    <w:rsid w:val="00814AE6"/>
    <w:rsid w:val="00814B3E"/>
    <w:rsid w:val="00814F1F"/>
    <w:rsid w:val="00815042"/>
    <w:rsid w:val="008152FC"/>
    <w:rsid w:val="0081592D"/>
    <w:rsid w:val="00816AA4"/>
    <w:rsid w:val="00816B42"/>
    <w:rsid w:val="00816CF3"/>
    <w:rsid w:val="008173D7"/>
    <w:rsid w:val="00820417"/>
    <w:rsid w:val="008222B8"/>
    <w:rsid w:val="00824543"/>
    <w:rsid w:val="008261B1"/>
    <w:rsid w:val="00826982"/>
    <w:rsid w:val="00826C8A"/>
    <w:rsid w:val="008301B1"/>
    <w:rsid w:val="00830256"/>
    <w:rsid w:val="008304D7"/>
    <w:rsid w:val="00830ABD"/>
    <w:rsid w:val="008315FA"/>
    <w:rsid w:val="008323F3"/>
    <w:rsid w:val="00832506"/>
    <w:rsid w:val="008325D1"/>
    <w:rsid w:val="00832BEA"/>
    <w:rsid w:val="00832D19"/>
    <w:rsid w:val="00833A36"/>
    <w:rsid w:val="00833EDB"/>
    <w:rsid w:val="00833F14"/>
    <w:rsid w:val="00834203"/>
    <w:rsid w:val="008362C3"/>
    <w:rsid w:val="00837BFE"/>
    <w:rsid w:val="00837DE8"/>
    <w:rsid w:val="008417AF"/>
    <w:rsid w:val="00841ABF"/>
    <w:rsid w:val="00841F35"/>
    <w:rsid w:val="00842038"/>
    <w:rsid w:val="0084413C"/>
    <w:rsid w:val="008441BD"/>
    <w:rsid w:val="00844688"/>
    <w:rsid w:val="00844FE5"/>
    <w:rsid w:val="00845D28"/>
    <w:rsid w:val="00846FDE"/>
    <w:rsid w:val="00847103"/>
    <w:rsid w:val="00847330"/>
    <w:rsid w:val="00847582"/>
    <w:rsid w:val="00847E52"/>
    <w:rsid w:val="00847E53"/>
    <w:rsid w:val="00850957"/>
    <w:rsid w:val="00851766"/>
    <w:rsid w:val="00851B83"/>
    <w:rsid w:val="008524A7"/>
    <w:rsid w:val="00852585"/>
    <w:rsid w:val="008528ED"/>
    <w:rsid w:val="008530F9"/>
    <w:rsid w:val="00853AD7"/>
    <w:rsid w:val="00853F8A"/>
    <w:rsid w:val="0085552B"/>
    <w:rsid w:val="0085575B"/>
    <w:rsid w:val="00855A24"/>
    <w:rsid w:val="00855C21"/>
    <w:rsid w:val="00856A6F"/>
    <w:rsid w:val="00857020"/>
    <w:rsid w:val="00857818"/>
    <w:rsid w:val="00857A14"/>
    <w:rsid w:val="00857D4F"/>
    <w:rsid w:val="00857E43"/>
    <w:rsid w:val="00860D53"/>
    <w:rsid w:val="008611B7"/>
    <w:rsid w:val="0086156F"/>
    <w:rsid w:val="00861F04"/>
    <w:rsid w:val="0086216B"/>
    <w:rsid w:val="00862975"/>
    <w:rsid w:val="008635AD"/>
    <w:rsid w:val="008637F7"/>
    <w:rsid w:val="0086494F"/>
    <w:rsid w:val="00864FBA"/>
    <w:rsid w:val="00865280"/>
    <w:rsid w:val="008652B1"/>
    <w:rsid w:val="008655AF"/>
    <w:rsid w:val="008658D0"/>
    <w:rsid w:val="00866B4D"/>
    <w:rsid w:val="00866C60"/>
    <w:rsid w:val="008674DD"/>
    <w:rsid w:val="0087043C"/>
    <w:rsid w:val="00870B24"/>
    <w:rsid w:val="0087187B"/>
    <w:rsid w:val="00872468"/>
    <w:rsid w:val="00873B6B"/>
    <w:rsid w:val="00873BD5"/>
    <w:rsid w:val="00873DFB"/>
    <w:rsid w:val="0087426F"/>
    <w:rsid w:val="00874902"/>
    <w:rsid w:val="00875DBB"/>
    <w:rsid w:val="00875FB4"/>
    <w:rsid w:val="00876534"/>
    <w:rsid w:val="00877DED"/>
    <w:rsid w:val="008805A7"/>
    <w:rsid w:val="00880845"/>
    <w:rsid w:val="00880ED7"/>
    <w:rsid w:val="00880FAB"/>
    <w:rsid w:val="0088124F"/>
    <w:rsid w:val="008823E4"/>
    <w:rsid w:val="00882A2C"/>
    <w:rsid w:val="0088377A"/>
    <w:rsid w:val="008841BB"/>
    <w:rsid w:val="00884232"/>
    <w:rsid w:val="008844A7"/>
    <w:rsid w:val="00884B20"/>
    <w:rsid w:val="00885698"/>
    <w:rsid w:val="00885B78"/>
    <w:rsid w:val="00886E1B"/>
    <w:rsid w:val="008871B2"/>
    <w:rsid w:val="008873D7"/>
    <w:rsid w:val="0088741B"/>
    <w:rsid w:val="00887D61"/>
    <w:rsid w:val="00890B99"/>
    <w:rsid w:val="00890D72"/>
    <w:rsid w:val="00890D87"/>
    <w:rsid w:val="00891156"/>
    <w:rsid w:val="00891503"/>
    <w:rsid w:val="00891C5D"/>
    <w:rsid w:val="00892994"/>
    <w:rsid w:val="00892E12"/>
    <w:rsid w:val="008934D7"/>
    <w:rsid w:val="0089433A"/>
    <w:rsid w:val="00894E54"/>
    <w:rsid w:val="00895576"/>
    <w:rsid w:val="00896027"/>
    <w:rsid w:val="00896851"/>
    <w:rsid w:val="00897546"/>
    <w:rsid w:val="008A07CC"/>
    <w:rsid w:val="008A0D41"/>
    <w:rsid w:val="008A1A4D"/>
    <w:rsid w:val="008A25E2"/>
    <w:rsid w:val="008A2A15"/>
    <w:rsid w:val="008A34A4"/>
    <w:rsid w:val="008A34E2"/>
    <w:rsid w:val="008A379D"/>
    <w:rsid w:val="008A3DA3"/>
    <w:rsid w:val="008A4924"/>
    <w:rsid w:val="008A543E"/>
    <w:rsid w:val="008A54A2"/>
    <w:rsid w:val="008A5A12"/>
    <w:rsid w:val="008A6583"/>
    <w:rsid w:val="008A6B58"/>
    <w:rsid w:val="008A7087"/>
    <w:rsid w:val="008A73DC"/>
    <w:rsid w:val="008B123E"/>
    <w:rsid w:val="008B13F4"/>
    <w:rsid w:val="008B1FC9"/>
    <w:rsid w:val="008B2000"/>
    <w:rsid w:val="008B27D8"/>
    <w:rsid w:val="008B2D35"/>
    <w:rsid w:val="008B3E08"/>
    <w:rsid w:val="008B4535"/>
    <w:rsid w:val="008B5755"/>
    <w:rsid w:val="008B5D3D"/>
    <w:rsid w:val="008B60A4"/>
    <w:rsid w:val="008B61FA"/>
    <w:rsid w:val="008B66B5"/>
    <w:rsid w:val="008B6921"/>
    <w:rsid w:val="008B78CC"/>
    <w:rsid w:val="008B7FF7"/>
    <w:rsid w:val="008C0169"/>
    <w:rsid w:val="008C10CE"/>
    <w:rsid w:val="008C1987"/>
    <w:rsid w:val="008C1CE4"/>
    <w:rsid w:val="008C2590"/>
    <w:rsid w:val="008C2996"/>
    <w:rsid w:val="008C3033"/>
    <w:rsid w:val="008C3226"/>
    <w:rsid w:val="008C3475"/>
    <w:rsid w:val="008C3507"/>
    <w:rsid w:val="008C3F9B"/>
    <w:rsid w:val="008C5104"/>
    <w:rsid w:val="008C5B01"/>
    <w:rsid w:val="008C79EE"/>
    <w:rsid w:val="008C7E79"/>
    <w:rsid w:val="008D0217"/>
    <w:rsid w:val="008D37E4"/>
    <w:rsid w:val="008D38D3"/>
    <w:rsid w:val="008D41BA"/>
    <w:rsid w:val="008D4862"/>
    <w:rsid w:val="008D55FF"/>
    <w:rsid w:val="008D5629"/>
    <w:rsid w:val="008D5F67"/>
    <w:rsid w:val="008D5F70"/>
    <w:rsid w:val="008D61B8"/>
    <w:rsid w:val="008D6212"/>
    <w:rsid w:val="008D714B"/>
    <w:rsid w:val="008D7D6C"/>
    <w:rsid w:val="008E0101"/>
    <w:rsid w:val="008E0379"/>
    <w:rsid w:val="008E16DD"/>
    <w:rsid w:val="008E1EA1"/>
    <w:rsid w:val="008E2780"/>
    <w:rsid w:val="008E27E0"/>
    <w:rsid w:val="008E28C2"/>
    <w:rsid w:val="008E2BE2"/>
    <w:rsid w:val="008E2E93"/>
    <w:rsid w:val="008E41FB"/>
    <w:rsid w:val="008E5041"/>
    <w:rsid w:val="008E6198"/>
    <w:rsid w:val="008E724B"/>
    <w:rsid w:val="008E725B"/>
    <w:rsid w:val="008E77DB"/>
    <w:rsid w:val="008E78E1"/>
    <w:rsid w:val="008F0AA0"/>
    <w:rsid w:val="008F1664"/>
    <w:rsid w:val="008F199D"/>
    <w:rsid w:val="008F1B6E"/>
    <w:rsid w:val="008F2000"/>
    <w:rsid w:val="008F2E9E"/>
    <w:rsid w:val="008F39F7"/>
    <w:rsid w:val="008F3A44"/>
    <w:rsid w:val="008F3FC8"/>
    <w:rsid w:val="008F4B78"/>
    <w:rsid w:val="008F5079"/>
    <w:rsid w:val="008F5430"/>
    <w:rsid w:val="008F6246"/>
    <w:rsid w:val="008F7A23"/>
    <w:rsid w:val="0090079E"/>
    <w:rsid w:val="00901727"/>
    <w:rsid w:val="00901D94"/>
    <w:rsid w:val="00901DDE"/>
    <w:rsid w:val="00902CFF"/>
    <w:rsid w:val="009032F5"/>
    <w:rsid w:val="00904158"/>
    <w:rsid w:val="00904396"/>
    <w:rsid w:val="009046DB"/>
    <w:rsid w:val="0090488D"/>
    <w:rsid w:val="00904947"/>
    <w:rsid w:val="009051F7"/>
    <w:rsid w:val="009058F4"/>
    <w:rsid w:val="00905B8C"/>
    <w:rsid w:val="00907F33"/>
    <w:rsid w:val="00910305"/>
    <w:rsid w:val="00910734"/>
    <w:rsid w:val="0091139F"/>
    <w:rsid w:val="009117A3"/>
    <w:rsid w:val="00911D6C"/>
    <w:rsid w:val="00911E24"/>
    <w:rsid w:val="009123B6"/>
    <w:rsid w:val="00912BE2"/>
    <w:rsid w:val="0091302C"/>
    <w:rsid w:val="009133AD"/>
    <w:rsid w:val="00913448"/>
    <w:rsid w:val="009136C9"/>
    <w:rsid w:val="0091498A"/>
    <w:rsid w:val="0091522C"/>
    <w:rsid w:val="00915909"/>
    <w:rsid w:val="00915BA9"/>
    <w:rsid w:val="00917335"/>
    <w:rsid w:val="009174FB"/>
    <w:rsid w:val="00917CC5"/>
    <w:rsid w:val="00921BB5"/>
    <w:rsid w:val="00921D6C"/>
    <w:rsid w:val="0092270C"/>
    <w:rsid w:val="00922ECC"/>
    <w:rsid w:val="009232D1"/>
    <w:rsid w:val="00923585"/>
    <w:rsid w:val="00923D29"/>
    <w:rsid w:val="00924B28"/>
    <w:rsid w:val="009257B7"/>
    <w:rsid w:val="00925924"/>
    <w:rsid w:val="00925E7F"/>
    <w:rsid w:val="00926A32"/>
    <w:rsid w:val="009275B6"/>
    <w:rsid w:val="0092766A"/>
    <w:rsid w:val="00927DAC"/>
    <w:rsid w:val="00927EC2"/>
    <w:rsid w:val="009307AE"/>
    <w:rsid w:val="0093187A"/>
    <w:rsid w:val="00932083"/>
    <w:rsid w:val="00932B61"/>
    <w:rsid w:val="00933477"/>
    <w:rsid w:val="009334EF"/>
    <w:rsid w:val="00935574"/>
    <w:rsid w:val="0093699B"/>
    <w:rsid w:val="00936A4B"/>
    <w:rsid w:val="00936D9F"/>
    <w:rsid w:val="00936E32"/>
    <w:rsid w:val="00937CFE"/>
    <w:rsid w:val="0094032C"/>
    <w:rsid w:val="00941BE9"/>
    <w:rsid w:val="0094200F"/>
    <w:rsid w:val="00946880"/>
    <w:rsid w:val="00946881"/>
    <w:rsid w:val="00947351"/>
    <w:rsid w:val="00947B54"/>
    <w:rsid w:val="00947C1C"/>
    <w:rsid w:val="00951BC9"/>
    <w:rsid w:val="00952F33"/>
    <w:rsid w:val="00953C66"/>
    <w:rsid w:val="00953D5C"/>
    <w:rsid w:val="00954C44"/>
    <w:rsid w:val="00954FBC"/>
    <w:rsid w:val="00955335"/>
    <w:rsid w:val="00955C61"/>
    <w:rsid w:val="009563FC"/>
    <w:rsid w:val="00956696"/>
    <w:rsid w:val="00956C2B"/>
    <w:rsid w:val="00956DC1"/>
    <w:rsid w:val="0095751B"/>
    <w:rsid w:val="0095782B"/>
    <w:rsid w:val="00957D5F"/>
    <w:rsid w:val="00960137"/>
    <w:rsid w:val="0096098F"/>
    <w:rsid w:val="009618C7"/>
    <w:rsid w:val="00963981"/>
    <w:rsid w:val="0096460A"/>
    <w:rsid w:val="009651D1"/>
    <w:rsid w:val="009653B4"/>
    <w:rsid w:val="009653C4"/>
    <w:rsid w:val="009658B2"/>
    <w:rsid w:val="009663CF"/>
    <w:rsid w:val="00966E1D"/>
    <w:rsid w:val="009676E9"/>
    <w:rsid w:val="00967A0A"/>
    <w:rsid w:val="00967F3A"/>
    <w:rsid w:val="00970FF1"/>
    <w:rsid w:val="00971920"/>
    <w:rsid w:val="009721AC"/>
    <w:rsid w:val="0097220A"/>
    <w:rsid w:val="00972E17"/>
    <w:rsid w:val="00972F45"/>
    <w:rsid w:val="009733CB"/>
    <w:rsid w:val="00973752"/>
    <w:rsid w:val="00973899"/>
    <w:rsid w:val="009738D4"/>
    <w:rsid w:val="00973ABB"/>
    <w:rsid w:val="00973BD2"/>
    <w:rsid w:val="00973BEB"/>
    <w:rsid w:val="00974819"/>
    <w:rsid w:val="00974BD1"/>
    <w:rsid w:val="00974F2C"/>
    <w:rsid w:val="00974FBE"/>
    <w:rsid w:val="00975976"/>
    <w:rsid w:val="009759D7"/>
    <w:rsid w:val="00977908"/>
    <w:rsid w:val="0098177F"/>
    <w:rsid w:val="00982FAB"/>
    <w:rsid w:val="00983804"/>
    <w:rsid w:val="00983879"/>
    <w:rsid w:val="00983BDE"/>
    <w:rsid w:val="009841DB"/>
    <w:rsid w:val="00984A7C"/>
    <w:rsid w:val="0098514D"/>
    <w:rsid w:val="00985A9C"/>
    <w:rsid w:val="009861FC"/>
    <w:rsid w:val="00986347"/>
    <w:rsid w:val="0098659C"/>
    <w:rsid w:val="00986A68"/>
    <w:rsid w:val="00986DDA"/>
    <w:rsid w:val="0098796C"/>
    <w:rsid w:val="00987987"/>
    <w:rsid w:val="00987C0A"/>
    <w:rsid w:val="00987D8E"/>
    <w:rsid w:val="009913CB"/>
    <w:rsid w:val="0099247E"/>
    <w:rsid w:val="00992E7F"/>
    <w:rsid w:val="00993C96"/>
    <w:rsid w:val="009942F9"/>
    <w:rsid w:val="009944D7"/>
    <w:rsid w:val="009961B4"/>
    <w:rsid w:val="00997848"/>
    <w:rsid w:val="009978C4"/>
    <w:rsid w:val="009A0CB8"/>
    <w:rsid w:val="009A1344"/>
    <w:rsid w:val="009A1BD4"/>
    <w:rsid w:val="009A1F23"/>
    <w:rsid w:val="009A2663"/>
    <w:rsid w:val="009A3123"/>
    <w:rsid w:val="009A47A2"/>
    <w:rsid w:val="009A5000"/>
    <w:rsid w:val="009A53FA"/>
    <w:rsid w:val="009A5523"/>
    <w:rsid w:val="009A56E3"/>
    <w:rsid w:val="009A5CE0"/>
    <w:rsid w:val="009A634F"/>
    <w:rsid w:val="009A7155"/>
    <w:rsid w:val="009A754D"/>
    <w:rsid w:val="009A775D"/>
    <w:rsid w:val="009A7BE1"/>
    <w:rsid w:val="009B0162"/>
    <w:rsid w:val="009B10F6"/>
    <w:rsid w:val="009B1FAB"/>
    <w:rsid w:val="009B2186"/>
    <w:rsid w:val="009B2773"/>
    <w:rsid w:val="009B3645"/>
    <w:rsid w:val="009B4478"/>
    <w:rsid w:val="009B480C"/>
    <w:rsid w:val="009B4E80"/>
    <w:rsid w:val="009B5497"/>
    <w:rsid w:val="009B60F5"/>
    <w:rsid w:val="009B6865"/>
    <w:rsid w:val="009B70C7"/>
    <w:rsid w:val="009B7B76"/>
    <w:rsid w:val="009B7C62"/>
    <w:rsid w:val="009C1DC7"/>
    <w:rsid w:val="009C2515"/>
    <w:rsid w:val="009C2B64"/>
    <w:rsid w:val="009C2E2D"/>
    <w:rsid w:val="009C2EEB"/>
    <w:rsid w:val="009C31F8"/>
    <w:rsid w:val="009C388E"/>
    <w:rsid w:val="009C45F9"/>
    <w:rsid w:val="009C4859"/>
    <w:rsid w:val="009C4B72"/>
    <w:rsid w:val="009C5763"/>
    <w:rsid w:val="009C6688"/>
    <w:rsid w:val="009C679A"/>
    <w:rsid w:val="009D024A"/>
    <w:rsid w:val="009D0682"/>
    <w:rsid w:val="009D12A5"/>
    <w:rsid w:val="009D13F0"/>
    <w:rsid w:val="009D25C1"/>
    <w:rsid w:val="009D338C"/>
    <w:rsid w:val="009D3C79"/>
    <w:rsid w:val="009D3F2C"/>
    <w:rsid w:val="009D40E3"/>
    <w:rsid w:val="009D4867"/>
    <w:rsid w:val="009D50C5"/>
    <w:rsid w:val="009D6B0D"/>
    <w:rsid w:val="009D71E5"/>
    <w:rsid w:val="009D7C34"/>
    <w:rsid w:val="009D7E77"/>
    <w:rsid w:val="009E0BB8"/>
    <w:rsid w:val="009E10C7"/>
    <w:rsid w:val="009E1C57"/>
    <w:rsid w:val="009E2600"/>
    <w:rsid w:val="009E2C5F"/>
    <w:rsid w:val="009E3281"/>
    <w:rsid w:val="009E3BCD"/>
    <w:rsid w:val="009E475C"/>
    <w:rsid w:val="009E64BE"/>
    <w:rsid w:val="009E6703"/>
    <w:rsid w:val="009E68BD"/>
    <w:rsid w:val="009E6B92"/>
    <w:rsid w:val="009E6CE4"/>
    <w:rsid w:val="009E7262"/>
    <w:rsid w:val="009E7633"/>
    <w:rsid w:val="009E7BCF"/>
    <w:rsid w:val="009F0264"/>
    <w:rsid w:val="009F03BB"/>
    <w:rsid w:val="009F142E"/>
    <w:rsid w:val="009F203C"/>
    <w:rsid w:val="009F2868"/>
    <w:rsid w:val="009F2D7B"/>
    <w:rsid w:val="009F33F3"/>
    <w:rsid w:val="009F373B"/>
    <w:rsid w:val="009F39CD"/>
    <w:rsid w:val="009F3C21"/>
    <w:rsid w:val="009F4394"/>
    <w:rsid w:val="009F548F"/>
    <w:rsid w:val="009F62BA"/>
    <w:rsid w:val="009F63E1"/>
    <w:rsid w:val="009F7A6D"/>
    <w:rsid w:val="009F7CAC"/>
    <w:rsid w:val="00A00430"/>
    <w:rsid w:val="00A004CF"/>
    <w:rsid w:val="00A00C94"/>
    <w:rsid w:val="00A01999"/>
    <w:rsid w:val="00A01A2C"/>
    <w:rsid w:val="00A01DA4"/>
    <w:rsid w:val="00A02B41"/>
    <w:rsid w:val="00A05B7A"/>
    <w:rsid w:val="00A0631D"/>
    <w:rsid w:val="00A066B2"/>
    <w:rsid w:val="00A06812"/>
    <w:rsid w:val="00A07032"/>
    <w:rsid w:val="00A07A61"/>
    <w:rsid w:val="00A10891"/>
    <w:rsid w:val="00A10AD2"/>
    <w:rsid w:val="00A10CBA"/>
    <w:rsid w:val="00A11229"/>
    <w:rsid w:val="00A11824"/>
    <w:rsid w:val="00A118F7"/>
    <w:rsid w:val="00A119B4"/>
    <w:rsid w:val="00A12B52"/>
    <w:rsid w:val="00A12D94"/>
    <w:rsid w:val="00A12F03"/>
    <w:rsid w:val="00A1378D"/>
    <w:rsid w:val="00A138FA"/>
    <w:rsid w:val="00A13CF2"/>
    <w:rsid w:val="00A13E30"/>
    <w:rsid w:val="00A13FF9"/>
    <w:rsid w:val="00A14044"/>
    <w:rsid w:val="00A14285"/>
    <w:rsid w:val="00A14334"/>
    <w:rsid w:val="00A14B0A"/>
    <w:rsid w:val="00A15EAB"/>
    <w:rsid w:val="00A1642C"/>
    <w:rsid w:val="00A16828"/>
    <w:rsid w:val="00A168E9"/>
    <w:rsid w:val="00A16AF1"/>
    <w:rsid w:val="00A1709B"/>
    <w:rsid w:val="00A2034C"/>
    <w:rsid w:val="00A20DD0"/>
    <w:rsid w:val="00A219D9"/>
    <w:rsid w:val="00A21E7F"/>
    <w:rsid w:val="00A2264F"/>
    <w:rsid w:val="00A2294D"/>
    <w:rsid w:val="00A22AE4"/>
    <w:rsid w:val="00A233CD"/>
    <w:rsid w:val="00A233FA"/>
    <w:rsid w:val="00A2346D"/>
    <w:rsid w:val="00A25872"/>
    <w:rsid w:val="00A2699B"/>
    <w:rsid w:val="00A26DAE"/>
    <w:rsid w:val="00A26F8C"/>
    <w:rsid w:val="00A27360"/>
    <w:rsid w:val="00A2748C"/>
    <w:rsid w:val="00A2781F"/>
    <w:rsid w:val="00A27865"/>
    <w:rsid w:val="00A27C4B"/>
    <w:rsid w:val="00A3063D"/>
    <w:rsid w:val="00A3222B"/>
    <w:rsid w:val="00A32B43"/>
    <w:rsid w:val="00A32F8A"/>
    <w:rsid w:val="00A3317D"/>
    <w:rsid w:val="00A33E2A"/>
    <w:rsid w:val="00A3488F"/>
    <w:rsid w:val="00A34C1F"/>
    <w:rsid w:val="00A3515A"/>
    <w:rsid w:val="00A35554"/>
    <w:rsid w:val="00A35A5E"/>
    <w:rsid w:val="00A35FEA"/>
    <w:rsid w:val="00A366B5"/>
    <w:rsid w:val="00A36DC5"/>
    <w:rsid w:val="00A36EAA"/>
    <w:rsid w:val="00A37424"/>
    <w:rsid w:val="00A37589"/>
    <w:rsid w:val="00A37F32"/>
    <w:rsid w:val="00A405F2"/>
    <w:rsid w:val="00A4149C"/>
    <w:rsid w:val="00A4156B"/>
    <w:rsid w:val="00A4168E"/>
    <w:rsid w:val="00A41C56"/>
    <w:rsid w:val="00A41DA8"/>
    <w:rsid w:val="00A42367"/>
    <w:rsid w:val="00A43298"/>
    <w:rsid w:val="00A4440B"/>
    <w:rsid w:val="00A447B2"/>
    <w:rsid w:val="00A44F9D"/>
    <w:rsid w:val="00A45118"/>
    <w:rsid w:val="00A46896"/>
    <w:rsid w:val="00A468AE"/>
    <w:rsid w:val="00A46A4D"/>
    <w:rsid w:val="00A46D8E"/>
    <w:rsid w:val="00A47A88"/>
    <w:rsid w:val="00A47DAE"/>
    <w:rsid w:val="00A47E51"/>
    <w:rsid w:val="00A501E2"/>
    <w:rsid w:val="00A50905"/>
    <w:rsid w:val="00A50CEF"/>
    <w:rsid w:val="00A50DF7"/>
    <w:rsid w:val="00A50E64"/>
    <w:rsid w:val="00A5140B"/>
    <w:rsid w:val="00A52305"/>
    <w:rsid w:val="00A52C17"/>
    <w:rsid w:val="00A532AC"/>
    <w:rsid w:val="00A53433"/>
    <w:rsid w:val="00A5391D"/>
    <w:rsid w:val="00A53AA1"/>
    <w:rsid w:val="00A546DC"/>
    <w:rsid w:val="00A5535F"/>
    <w:rsid w:val="00A5595E"/>
    <w:rsid w:val="00A55B79"/>
    <w:rsid w:val="00A55DF0"/>
    <w:rsid w:val="00A55FE6"/>
    <w:rsid w:val="00A574A4"/>
    <w:rsid w:val="00A575C3"/>
    <w:rsid w:val="00A617F5"/>
    <w:rsid w:val="00A61E57"/>
    <w:rsid w:val="00A6284F"/>
    <w:rsid w:val="00A628E7"/>
    <w:rsid w:val="00A64332"/>
    <w:rsid w:val="00A65875"/>
    <w:rsid w:val="00A659AC"/>
    <w:rsid w:val="00A65DBD"/>
    <w:rsid w:val="00A66241"/>
    <w:rsid w:val="00A66566"/>
    <w:rsid w:val="00A669D4"/>
    <w:rsid w:val="00A66E64"/>
    <w:rsid w:val="00A67803"/>
    <w:rsid w:val="00A704D7"/>
    <w:rsid w:val="00A70513"/>
    <w:rsid w:val="00A71782"/>
    <w:rsid w:val="00A71F32"/>
    <w:rsid w:val="00A72070"/>
    <w:rsid w:val="00A7350C"/>
    <w:rsid w:val="00A74DED"/>
    <w:rsid w:val="00A74F89"/>
    <w:rsid w:val="00A75454"/>
    <w:rsid w:val="00A76B33"/>
    <w:rsid w:val="00A76C0B"/>
    <w:rsid w:val="00A77E6A"/>
    <w:rsid w:val="00A77EFF"/>
    <w:rsid w:val="00A81BC7"/>
    <w:rsid w:val="00A82339"/>
    <w:rsid w:val="00A82448"/>
    <w:rsid w:val="00A82BBE"/>
    <w:rsid w:val="00A838F2"/>
    <w:rsid w:val="00A83CBF"/>
    <w:rsid w:val="00A857E2"/>
    <w:rsid w:val="00A863F2"/>
    <w:rsid w:val="00A8644E"/>
    <w:rsid w:val="00A865B6"/>
    <w:rsid w:val="00A869D8"/>
    <w:rsid w:val="00A86E86"/>
    <w:rsid w:val="00A8729B"/>
    <w:rsid w:val="00A8792F"/>
    <w:rsid w:val="00A9049E"/>
    <w:rsid w:val="00A904E9"/>
    <w:rsid w:val="00A9115A"/>
    <w:rsid w:val="00A92568"/>
    <w:rsid w:val="00A93158"/>
    <w:rsid w:val="00A93ECE"/>
    <w:rsid w:val="00A94020"/>
    <w:rsid w:val="00A944E3"/>
    <w:rsid w:val="00A951BD"/>
    <w:rsid w:val="00A9627B"/>
    <w:rsid w:val="00A963B0"/>
    <w:rsid w:val="00A963C0"/>
    <w:rsid w:val="00A964D6"/>
    <w:rsid w:val="00A96980"/>
    <w:rsid w:val="00A9698C"/>
    <w:rsid w:val="00A96AED"/>
    <w:rsid w:val="00A96D2E"/>
    <w:rsid w:val="00AA0076"/>
    <w:rsid w:val="00AA0DDA"/>
    <w:rsid w:val="00AA16B3"/>
    <w:rsid w:val="00AA1AB3"/>
    <w:rsid w:val="00AA1FD1"/>
    <w:rsid w:val="00AA242D"/>
    <w:rsid w:val="00AA2AEE"/>
    <w:rsid w:val="00AA3127"/>
    <w:rsid w:val="00AA432B"/>
    <w:rsid w:val="00AA43E9"/>
    <w:rsid w:val="00AA4670"/>
    <w:rsid w:val="00AA496E"/>
    <w:rsid w:val="00AA4A2C"/>
    <w:rsid w:val="00AA554A"/>
    <w:rsid w:val="00AA5D7C"/>
    <w:rsid w:val="00AA638D"/>
    <w:rsid w:val="00AA66DC"/>
    <w:rsid w:val="00AA6A5B"/>
    <w:rsid w:val="00AB066D"/>
    <w:rsid w:val="00AB0B74"/>
    <w:rsid w:val="00AB130D"/>
    <w:rsid w:val="00AB158D"/>
    <w:rsid w:val="00AB24AB"/>
    <w:rsid w:val="00AB278A"/>
    <w:rsid w:val="00AB2BB6"/>
    <w:rsid w:val="00AB3046"/>
    <w:rsid w:val="00AB348E"/>
    <w:rsid w:val="00AB38A1"/>
    <w:rsid w:val="00AB3B33"/>
    <w:rsid w:val="00AB45BE"/>
    <w:rsid w:val="00AB4DA1"/>
    <w:rsid w:val="00AB6120"/>
    <w:rsid w:val="00AB690C"/>
    <w:rsid w:val="00AB6A66"/>
    <w:rsid w:val="00AB769D"/>
    <w:rsid w:val="00AC08B8"/>
    <w:rsid w:val="00AC1609"/>
    <w:rsid w:val="00AC1CF5"/>
    <w:rsid w:val="00AC2697"/>
    <w:rsid w:val="00AC321B"/>
    <w:rsid w:val="00AC3C8A"/>
    <w:rsid w:val="00AC3DA5"/>
    <w:rsid w:val="00AC4192"/>
    <w:rsid w:val="00AC441F"/>
    <w:rsid w:val="00AC4758"/>
    <w:rsid w:val="00AC4DE5"/>
    <w:rsid w:val="00AC4DEE"/>
    <w:rsid w:val="00AC51EB"/>
    <w:rsid w:val="00AC650A"/>
    <w:rsid w:val="00AC6548"/>
    <w:rsid w:val="00AC6E7A"/>
    <w:rsid w:val="00AC71FA"/>
    <w:rsid w:val="00AC775D"/>
    <w:rsid w:val="00AC7A56"/>
    <w:rsid w:val="00AC7B7A"/>
    <w:rsid w:val="00AD0381"/>
    <w:rsid w:val="00AD038F"/>
    <w:rsid w:val="00AD0F01"/>
    <w:rsid w:val="00AD110A"/>
    <w:rsid w:val="00AD13EE"/>
    <w:rsid w:val="00AD1ABE"/>
    <w:rsid w:val="00AD30C8"/>
    <w:rsid w:val="00AD3239"/>
    <w:rsid w:val="00AD3EB1"/>
    <w:rsid w:val="00AD426B"/>
    <w:rsid w:val="00AD486D"/>
    <w:rsid w:val="00AD4DC6"/>
    <w:rsid w:val="00AD4E77"/>
    <w:rsid w:val="00AD58D8"/>
    <w:rsid w:val="00AD5E69"/>
    <w:rsid w:val="00AD69AF"/>
    <w:rsid w:val="00AD6F93"/>
    <w:rsid w:val="00AD786D"/>
    <w:rsid w:val="00AE00DB"/>
    <w:rsid w:val="00AE00FE"/>
    <w:rsid w:val="00AE0530"/>
    <w:rsid w:val="00AE1531"/>
    <w:rsid w:val="00AE1EB6"/>
    <w:rsid w:val="00AE2B7B"/>
    <w:rsid w:val="00AE33E4"/>
    <w:rsid w:val="00AE37EC"/>
    <w:rsid w:val="00AE42A8"/>
    <w:rsid w:val="00AE4E53"/>
    <w:rsid w:val="00AE5596"/>
    <w:rsid w:val="00AE5A55"/>
    <w:rsid w:val="00AE5D60"/>
    <w:rsid w:val="00AE5DD1"/>
    <w:rsid w:val="00AE6023"/>
    <w:rsid w:val="00AE6163"/>
    <w:rsid w:val="00AE6C4D"/>
    <w:rsid w:val="00AE702A"/>
    <w:rsid w:val="00AE766D"/>
    <w:rsid w:val="00AE7C6C"/>
    <w:rsid w:val="00AE7F72"/>
    <w:rsid w:val="00AF03B5"/>
    <w:rsid w:val="00AF0A36"/>
    <w:rsid w:val="00AF0C9B"/>
    <w:rsid w:val="00AF0CF3"/>
    <w:rsid w:val="00AF301F"/>
    <w:rsid w:val="00AF31F1"/>
    <w:rsid w:val="00AF3712"/>
    <w:rsid w:val="00AF38C7"/>
    <w:rsid w:val="00AF3B3E"/>
    <w:rsid w:val="00AF45BD"/>
    <w:rsid w:val="00AF498B"/>
    <w:rsid w:val="00AF5701"/>
    <w:rsid w:val="00AF5CF2"/>
    <w:rsid w:val="00AF64C0"/>
    <w:rsid w:val="00AF686B"/>
    <w:rsid w:val="00AF6BD9"/>
    <w:rsid w:val="00AF768B"/>
    <w:rsid w:val="00AF7E3C"/>
    <w:rsid w:val="00AF7FAD"/>
    <w:rsid w:val="00B00909"/>
    <w:rsid w:val="00B01122"/>
    <w:rsid w:val="00B0115B"/>
    <w:rsid w:val="00B01359"/>
    <w:rsid w:val="00B01FCD"/>
    <w:rsid w:val="00B02259"/>
    <w:rsid w:val="00B026AD"/>
    <w:rsid w:val="00B02C5A"/>
    <w:rsid w:val="00B039ED"/>
    <w:rsid w:val="00B040C2"/>
    <w:rsid w:val="00B04966"/>
    <w:rsid w:val="00B04A83"/>
    <w:rsid w:val="00B0521F"/>
    <w:rsid w:val="00B0573D"/>
    <w:rsid w:val="00B05B2D"/>
    <w:rsid w:val="00B06583"/>
    <w:rsid w:val="00B074A0"/>
    <w:rsid w:val="00B07D39"/>
    <w:rsid w:val="00B1023D"/>
    <w:rsid w:val="00B11620"/>
    <w:rsid w:val="00B11DBA"/>
    <w:rsid w:val="00B1316D"/>
    <w:rsid w:val="00B13282"/>
    <w:rsid w:val="00B15E7C"/>
    <w:rsid w:val="00B16520"/>
    <w:rsid w:val="00B16899"/>
    <w:rsid w:val="00B17C05"/>
    <w:rsid w:val="00B17C2D"/>
    <w:rsid w:val="00B20273"/>
    <w:rsid w:val="00B20439"/>
    <w:rsid w:val="00B2063D"/>
    <w:rsid w:val="00B21480"/>
    <w:rsid w:val="00B218A5"/>
    <w:rsid w:val="00B21E3A"/>
    <w:rsid w:val="00B21F9A"/>
    <w:rsid w:val="00B223D7"/>
    <w:rsid w:val="00B22EE1"/>
    <w:rsid w:val="00B22F98"/>
    <w:rsid w:val="00B24127"/>
    <w:rsid w:val="00B2454D"/>
    <w:rsid w:val="00B2483C"/>
    <w:rsid w:val="00B25AA4"/>
    <w:rsid w:val="00B2638E"/>
    <w:rsid w:val="00B26538"/>
    <w:rsid w:val="00B267EA"/>
    <w:rsid w:val="00B26928"/>
    <w:rsid w:val="00B27012"/>
    <w:rsid w:val="00B27B23"/>
    <w:rsid w:val="00B311BB"/>
    <w:rsid w:val="00B3159C"/>
    <w:rsid w:val="00B33FBE"/>
    <w:rsid w:val="00B34833"/>
    <w:rsid w:val="00B352DC"/>
    <w:rsid w:val="00B361A1"/>
    <w:rsid w:val="00B36370"/>
    <w:rsid w:val="00B3700E"/>
    <w:rsid w:val="00B375D5"/>
    <w:rsid w:val="00B376A9"/>
    <w:rsid w:val="00B3775E"/>
    <w:rsid w:val="00B37C4B"/>
    <w:rsid w:val="00B37FCD"/>
    <w:rsid w:val="00B4018E"/>
    <w:rsid w:val="00B4028E"/>
    <w:rsid w:val="00B40962"/>
    <w:rsid w:val="00B416A8"/>
    <w:rsid w:val="00B42098"/>
    <w:rsid w:val="00B422CE"/>
    <w:rsid w:val="00B42E55"/>
    <w:rsid w:val="00B43D9E"/>
    <w:rsid w:val="00B44A84"/>
    <w:rsid w:val="00B44B0A"/>
    <w:rsid w:val="00B44DD8"/>
    <w:rsid w:val="00B4542B"/>
    <w:rsid w:val="00B46708"/>
    <w:rsid w:val="00B50239"/>
    <w:rsid w:val="00B50DCB"/>
    <w:rsid w:val="00B5194B"/>
    <w:rsid w:val="00B51A50"/>
    <w:rsid w:val="00B5219D"/>
    <w:rsid w:val="00B531AA"/>
    <w:rsid w:val="00B5393C"/>
    <w:rsid w:val="00B53C5C"/>
    <w:rsid w:val="00B54C11"/>
    <w:rsid w:val="00B54D66"/>
    <w:rsid w:val="00B55307"/>
    <w:rsid w:val="00B5561B"/>
    <w:rsid w:val="00B55869"/>
    <w:rsid w:val="00B55BB9"/>
    <w:rsid w:val="00B55F80"/>
    <w:rsid w:val="00B563DA"/>
    <w:rsid w:val="00B57348"/>
    <w:rsid w:val="00B5793A"/>
    <w:rsid w:val="00B57B59"/>
    <w:rsid w:val="00B6058C"/>
    <w:rsid w:val="00B61776"/>
    <w:rsid w:val="00B62DF4"/>
    <w:rsid w:val="00B64AD3"/>
    <w:rsid w:val="00B650E2"/>
    <w:rsid w:val="00B65153"/>
    <w:rsid w:val="00B6651E"/>
    <w:rsid w:val="00B66A20"/>
    <w:rsid w:val="00B66EA4"/>
    <w:rsid w:val="00B6797A"/>
    <w:rsid w:val="00B67A71"/>
    <w:rsid w:val="00B67C64"/>
    <w:rsid w:val="00B67CCE"/>
    <w:rsid w:val="00B73499"/>
    <w:rsid w:val="00B742F0"/>
    <w:rsid w:val="00B769E9"/>
    <w:rsid w:val="00B76B12"/>
    <w:rsid w:val="00B8036E"/>
    <w:rsid w:val="00B80BA6"/>
    <w:rsid w:val="00B80E54"/>
    <w:rsid w:val="00B80FB1"/>
    <w:rsid w:val="00B815D4"/>
    <w:rsid w:val="00B81A12"/>
    <w:rsid w:val="00B81CB6"/>
    <w:rsid w:val="00B81DDE"/>
    <w:rsid w:val="00B822C0"/>
    <w:rsid w:val="00B8255F"/>
    <w:rsid w:val="00B82B42"/>
    <w:rsid w:val="00B831EE"/>
    <w:rsid w:val="00B833AC"/>
    <w:rsid w:val="00B84541"/>
    <w:rsid w:val="00B845A8"/>
    <w:rsid w:val="00B84F08"/>
    <w:rsid w:val="00B86141"/>
    <w:rsid w:val="00B874F1"/>
    <w:rsid w:val="00B87CDF"/>
    <w:rsid w:val="00B908E3"/>
    <w:rsid w:val="00B90ACA"/>
    <w:rsid w:val="00B9101F"/>
    <w:rsid w:val="00B910F3"/>
    <w:rsid w:val="00B91F26"/>
    <w:rsid w:val="00B92462"/>
    <w:rsid w:val="00B9372B"/>
    <w:rsid w:val="00B94AE9"/>
    <w:rsid w:val="00B94C14"/>
    <w:rsid w:val="00B9516D"/>
    <w:rsid w:val="00B95477"/>
    <w:rsid w:val="00B95B49"/>
    <w:rsid w:val="00B95C52"/>
    <w:rsid w:val="00B96AA7"/>
    <w:rsid w:val="00B96D37"/>
    <w:rsid w:val="00B97577"/>
    <w:rsid w:val="00BA049F"/>
    <w:rsid w:val="00BA1412"/>
    <w:rsid w:val="00BA2684"/>
    <w:rsid w:val="00BA29CC"/>
    <w:rsid w:val="00BA3A29"/>
    <w:rsid w:val="00BA3F0D"/>
    <w:rsid w:val="00BA43CA"/>
    <w:rsid w:val="00BA723A"/>
    <w:rsid w:val="00BA73E7"/>
    <w:rsid w:val="00BA7506"/>
    <w:rsid w:val="00BA7613"/>
    <w:rsid w:val="00BB011D"/>
    <w:rsid w:val="00BB04FE"/>
    <w:rsid w:val="00BB10B3"/>
    <w:rsid w:val="00BB1D66"/>
    <w:rsid w:val="00BB24A1"/>
    <w:rsid w:val="00BB40E3"/>
    <w:rsid w:val="00BB44BE"/>
    <w:rsid w:val="00BB4BD5"/>
    <w:rsid w:val="00BB6A5D"/>
    <w:rsid w:val="00BB6C60"/>
    <w:rsid w:val="00BB6E06"/>
    <w:rsid w:val="00BB727A"/>
    <w:rsid w:val="00BB7360"/>
    <w:rsid w:val="00BB7F40"/>
    <w:rsid w:val="00BC0338"/>
    <w:rsid w:val="00BC03DD"/>
    <w:rsid w:val="00BC054A"/>
    <w:rsid w:val="00BC0BCA"/>
    <w:rsid w:val="00BC125C"/>
    <w:rsid w:val="00BC156E"/>
    <w:rsid w:val="00BC1C06"/>
    <w:rsid w:val="00BC1FBF"/>
    <w:rsid w:val="00BC383F"/>
    <w:rsid w:val="00BC4317"/>
    <w:rsid w:val="00BC438D"/>
    <w:rsid w:val="00BC6120"/>
    <w:rsid w:val="00BC6345"/>
    <w:rsid w:val="00BC6EA9"/>
    <w:rsid w:val="00BD06D7"/>
    <w:rsid w:val="00BD10B5"/>
    <w:rsid w:val="00BD10DA"/>
    <w:rsid w:val="00BD19E2"/>
    <w:rsid w:val="00BD233D"/>
    <w:rsid w:val="00BD3031"/>
    <w:rsid w:val="00BD3199"/>
    <w:rsid w:val="00BD31B0"/>
    <w:rsid w:val="00BD3772"/>
    <w:rsid w:val="00BD48E9"/>
    <w:rsid w:val="00BD4C7C"/>
    <w:rsid w:val="00BD6B85"/>
    <w:rsid w:val="00BD759A"/>
    <w:rsid w:val="00BD7CC8"/>
    <w:rsid w:val="00BD7F1A"/>
    <w:rsid w:val="00BE01C9"/>
    <w:rsid w:val="00BE082E"/>
    <w:rsid w:val="00BE0B3C"/>
    <w:rsid w:val="00BE11B6"/>
    <w:rsid w:val="00BE136C"/>
    <w:rsid w:val="00BE197B"/>
    <w:rsid w:val="00BE1B01"/>
    <w:rsid w:val="00BE2C2E"/>
    <w:rsid w:val="00BE2EAC"/>
    <w:rsid w:val="00BE3142"/>
    <w:rsid w:val="00BE3301"/>
    <w:rsid w:val="00BE571E"/>
    <w:rsid w:val="00BE6092"/>
    <w:rsid w:val="00BE778F"/>
    <w:rsid w:val="00BF04C3"/>
    <w:rsid w:val="00BF224E"/>
    <w:rsid w:val="00BF48B2"/>
    <w:rsid w:val="00BF697E"/>
    <w:rsid w:val="00BF74CF"/>
    <w:rsid w:val="00C011A2"/>
    <w:rsid w:val="00C01872"/>
    <w:rsid w:val="00C01952"/>
    <w:rsid w:val="00C01A52"/>
    <w:rsid w:val="00C01EFD"/>
    <w:rsid w:val="00C02747"/>
    <w:rsid w:val="00C02A98"/>
    <w:rsid w:val="00C02B09"/>
    <w:rsid w:val="00C02FC6"/>
    <w:rsid w:val="00C03D95"/>
    <w:rsid w:val="00C04382"/>
    <w:rsid w:val="00C0447D"/>
    <w:rsid w:val="00C0477D"/>
    <w:rsid w:val="00C04A7E"/>
    <w:rsid w:val="00C0502C"/>
    <w:rsid w:val="00C050FD"/>
    <w:rsid w:val="00C058EB"/>
    <w:rsid w:val="00C05D80"/>
    <w:rsid w:val="00C06242"/>
    <w:rsid w:val="00C07D1F"/>
    <w:rsid w:val="00C07FF1"/>
    <w:rsid w:val="00C10A45"/>
    <w:rsid w:val="00C1115D"/>
    <w:rsid w:val="00C11245"/>
    <w:rsid w:val="00C11D9F"/>
    <w:rsid w:val="00C12262"/>
    <w:rsid w:val="00C1227B"/>
    <w:rsid w:val="00C1234C"/>
    <w:rsid w:val="00C12EE1"/>
    <w:rsid w:val="00C12F80"/>
    <w:rsid w:val="00C132EA"/>
    <w:rsid w:val="00C14E8D"/>
    <w:rsid w:val="00C153E4"/>
    <w:rsid w:val="00C1642D"/>
    <w:rsid w:val="00C16EEB"/>
    <w:rsid w:val="00C1706D"/>
    <w:rsid w:val="00C17C1E"/>
    <w:rsid w:val="00C20228"/>
    <w:rsid w:val="00C20F1F"/>
    <w:rsid w:val="00C215CF"/>
    <w:rsid w:val="00C2255C"/>
    <w:rsid w:val="00C22690"/>
    <w:rsid w:val="00C22DE9"/>
    <w:rsid w:val="00C236A2"/>
    <w:rsid w:val="00C23DEE"/>
    <w:rsid w:val="00C25050"/>
    <w:rsid w:val="00C25143"/>
    <w:rsid w:val="00C26BA9"/>
    <w:rsid w:val="00C27DC2"/>
    <w:rsid w:val="00C30E33"/>
    <w:rsid w:val="00C31EDE"/>
    <w:rsid w:val="00C322D6"/>
    <w:rsid w:val="00C32611"/>
    <w:rsid w:val="00C3334D"/>
    <w:rsid w:val="00C33870"/>
    <w:rsid w:val="00C34705"/>
    <w:rsid w:val="00C35B90"/>
    <w:rsid w:val="00C35C17"/>
    <w:rsid w:val="00C36150"/>
    <w:rsid w:val="00C363A0"/>
    <w:rsid w:val="00C36EDA"/>
    <w:rsid w:val="00C36F13"/>
    <w:rsid w:val="00C40597"/>
    <w:rsid w:val="00C405C5"/>
    <w:rsid w:val="00C40AD8"/>
    <w:rsid w:val="00C411E8"/>
    <w:rsid w:val="00C416AE"/>
    <w:rsid w:val="00C41A17"/>
    <w:rsid w:val="00C42189"/>
    <w:rsid w:val="00C425F0"/>
    <w:rsid w:val="00C427DC"/>
    <w:rsid w:val="00C42989"/>
    <w:rsid w:val="00C42F55"/>
    <w:rsid w:val="00C4333E"/>
    <w:rsid w:val="00C43C66"/>
    <w:rsid w:val="00C43C84"/>
    <w:rsid w:val="00C43DB8"/>
    <w:rsid w:val="00C43DEB"/>
    <w:rsid w:val="00C44B73"/>
    <w:rsid w:val="00C45F4D"/>
    <w:rsid w:val="00C4655F"/>
    <w:rsid w:val="00C469CE"/>
    <w:rsid w:val="00C4765B"/>
    <w:rsid w:val="00C476E8"/>
    <w:rsid w:val="00C47A26"/>
    <w:rsid w:val="00C47A9D"/>
    <w:rsid w:val="00C47D06"/>
    <w:rsid w:val="00C50C63"/>
    <w:rsid w:val="00C50E5E"/>
    <w:rsid w:val="00C51026"/>
    <w:rsid w:val="00C52231"/>
    <w:rsid w:val="00C52BB8"/>
    <w:rsid w:val="00C54508"/>
    <w:rsid w:val="00C5454B"/>
    <w:rsid w:val="00C54927"/>
    <w:rsid w:val="00C54935"/>
    <w:rsid w:val="00C549F0"/>
    <w:rsid w:val="00C552D9"/>
    <w:rsid w:val="00C5531B"/>
    <w:rsid w:val="00C5600A"/>
    <w:rsid w:val="00C5603A"/>
    <w:rsid w:val="00C5632E"/>
    <w:rsid w:val="00C56A02"/>
    <w:rsid w:val="00C56C34"/>
    <w:rsid w:val="00C57701"/>
    <w:rsid w:val="00C578BB"/>
    <w:rsid w:val="00C60B69"/>
    <w:rsid w:val="00C60F4B"/>
    <w:rsid w:val="00C61B40"/>
    <w:rsid w:val="00C62DB2"/>
    <w:rsid w:val="00C64411"/>
    <w:rsid w:val="00C64AEE"/>
    <w:rsid w:val="00C64CFE"/>
    <w:rsid w:val="00C64EA0"/>
    <w:rsid w:val="00C6540B"/>
    <w:rsid w:val="00C65425"/>
    <w:rsid w:val="00C66135"/>
    <w:rsid w:val="00C66FE8"/>
    <w:rsid w:val="00C67F7B"/>
    <w:rsid w:val="00C67FF2"/>
    <w:rsid w:val="00C700F5"/>
    <w:rsid w:val="00C71420"/>
    <w:rsid w:val="00C71C62"/>
    <w:rsid w:val="00C72C45"/>
    <w:rsid w:val="00C72E54"/>
    <w:rsid w:val="00C74570"/>
    <w:rsid w:val="00C74DE0"/>
    <w:rsid w:val="00C75A66"/>
    <w:rsid w:val="00C80018"/>
    <w:rsid w:val="00C81CAB"/>
    <w:rsid w:val="00C820F5"/>
    <w:rsid w:val="00C820F7"/>
    <w:rsid w:val="00C824DE"/>
    <w:rsid w:val="00C830CE"/>
    <w:rsid w:val="00C83B06"/>
    <w:rsid w:val="00C84276"/>
    <w:rsid w:val="00C8434E"/>
    <w:rsid w:val="00C858E5"/>
    <w:rsid w:val="00C85A9A"/>
    <w:rsid w:val="00C85F54"/>
    <w:rsid w:val="00C861ED"/>
    <w:rsid w:val="00C8668B"/>
    <w:rsid w:val="00C874A1"/>
    <w:rsid w:val="00C87E92"/>
    <w:rsid w:val="00C905D3"/>
    <w:rsid w:val="00C9075A"/>
    <w:rsid w:val="00C907E1"/>
    <w:rsid w:val="00C90F6A"/>
    <w:rsid w:val="00C9132E"/>
    <w:rsid w:val="00C91B01"/>
    <w:rsid w:val="00C922D2"/>
    <w:rsid w:val="00C92338"/>
    <w:rsid w:val="00C9282F"/>
    <w:rsid w:val="00C92FD9"/>
    <w:rsid w:val="00C9301F"/>
    <w:rsid w:val="00C952ED"/>
    <w:rsid w:val="00C95FDD"/>
    <w:rsid w:val="00C96764"/>
    <w:rsid w:val="00CA0CFF"/>
    <w:rsid w:val="00CA0D95"/>
    <w:rsid w:val="00CA2206"/>
    <w:rsid w:val="00CA2565"/>
    <w:rsid w:val="00CA2BEB"/>
    <w:rsid w:val="00CA3010"/>
    <w:rsid w:val="00CA3344"/>
    <w:rsid w:val="00CA5F76"/>
    <w:rsid w:val="00CA748F"/>
    <w:rsid w:val="00CA7684"/>
    <w:rsid w:val="00CA77E6"/>
    <w:rsid w:val="00CA7E20"/>
    <w:rsid w:val="00CA7FDE"/>
    <w:rsid w:val="00CB25ED"/>
    <w:rsid w:val="00CB3F90"/>
    <w:rsid w:val="00CB410F"/>
    <w:rsid w:val="00CB42C4"/>
    <w:rsid w:val="00CB4D8B"/>
    <w:rsid w:val="00CB55DC"/>
    <w:rsid w:val="00CB5B59"/>
    <w:rsid w:val="00CB7223"/>
    <w:rsid w:val="00CB7744"/>
    <w:rsid w:val="00CB79EB"/>
    <w:rsid w:val="00CC067A"/>
    <w:rsid w:val="00CC0885"/>
    <w:rsid w:val="00CC16D4"/>
    <w:rsid w:val="00CC17AD"/>
    <w:rsid w:val="00CC1A63"/>
    <w:rsid w:val="00CC1DA5"/>
    <w:rsid w:val="00CC1ED7"/>
    <w:rsid w:val="00CC3476"/>
    <w:rsid w:val="00CC5182"/>
    <w:rsid w:val="00CC54B6"/>
    <w:rsid w:val="00CC5C5F"/>
    <w:rsid w:val="00CC6150"/>
    <w:rsid w:val="00CC6176"/>
    <w:rsid w:val="00CC638A"/>
    <w:rsid w:val="00CC715A"/>
    <w:rsid w:val="00CD0285"/>
    <w:rsid w:val="00CD04A7"/>
    <w:rsid w:val="00CD0E1A"/>
    <w:rsid w:val="00CD4682"/>
    <w:rsid w:val="00CD5F38"/>
    <w:rsid w:val="00CD6B92"/>
    <w:rsid w:val="00CE0A72"/>
    <w:rsid w:val="00CE0C1D"/>
    <w:rsid w:val="00CE0CD6"/>
    <w:rsid w:val="00CE1011"/>
    <w:rsid w:val="00CE190D"/>
    <w:rsid w:val="00CE20A1"/>
    <w:rsid w:val="00CE2D68"/>
    <w:rsid w:val="00CE2F4B"/>
    <w:rsid w:val="00CE3539"/>
    <w:rsid w:val="00CE36D7"/>
    <w:rsid w:val="00CE39AE"/>
    <w:rsid w:val="00CE3A65"/>
    <w:rsid w:val="00CE3F29"/>
    <w:rsid w:val="00CE544D"/>
    <w:rsid w:val="00CE5534"/>
    <w:rsid w:val="00CE56E5"/>
    <w:rsid w:val="00CE5CFC"/>
    <w:rsid w:val="00CE6756"/>
    <w:rsid w:val="00CE74E6"/>
    <w:rsid w:val="00CE78B5"/>
    <w:rsid w:val="00CE7F2B"/>
    <w:rsid w:val="00CF0067"/>
    <w:rsid w:val="00CF02AE"/>
    <w:rsid w:val="00CF0873"/>
    <w:rsid w:val="00CF0D49"/>
    <w:rsid w:val="00CF0E49"/>
    <w:rsid w:val="00CF1CA7"/>
    <w:rsid w:val="00CF216D"/>
    <w:rsid w:val="00CF2C86"/>
    <w:rsid w:val="00CF3D4A"/>
    <w:rsid w:val="00CF3E5D"/>
    <w:rsid w:val="00CF4B13"/>
    <w:rsid w:val="00CF5D7F"/>
    <w:rsid w:val="00CF6614"/>
    <w:rsid w:val="00D003DD"/>
    <w:rsid w:val="00D00543"/>
    <w:rsid w:val="00D013D7"/>
    <w:rsid w:val="00D018E8"/>
    <w:rsid w:val="00D01B2A"/>
    <w:rsid w:val="00D0288C"/>
    <w:rsid w:val="00D02A39"/>
    <w:rsid w:val="00D02BFE"/>
    <w:rsid w:val="00D048AE"/>
    <w:rsid w:val="00D05316"/>
    <w:rsid w:val="00D05FFE"/>
    <w:rsid w:val="00D06247"/>
    <w:rsid w:val="00D065CA"/>
    <w:rsid w:val="00D06E2E"/>
    <w:rsid w:val="00D07EEE"/>
    <w:rsid w:val="00D12273"/>
    <w:rsid w:val="00D12855"/>
    <w:rsid w:val="00D13CF2"/>
    <w:rsid w:val="00D14291"/>
    <w:rsid w:val="00D146E7"/>
    <w:rsid w:val="00D14735"/>
    <w:rsid w:val="00D1494B"/>
    <w:rsid w:val="00D14A5A"/>
    <w:rsid w:val="00D14D4E"/>
    <w:rsid w:val="00D167EF"/>
    <w:rsid w:val="00D178CE"/>
    <w:rsid w:val="00D17A9A"/>
    <w:rsid w:val="00D208BC"/>
    <w:rsid w:val="00D22011"/>
    <w:rsid w:val="00D221E2"/>
    <w:rsid w:val="00D222D9"/>
    <w:rsid w:val="00D22791"/>
    <w:rsid w:val="00D22FE6"/>
    <w:rsid w:val="00D2354D"/>
    <w:rsid w:val="00D23ADD"/>
    <w:rsid w:val="00D23C98"/>
    <w:rsid w:val="00D24997"/>
    <w:rsid w:val="00D267F4"/>
    <w:rsid w:val="00D2686F"/>
    <w:rsid w:val="00D275AB"/>
    <w:rsid w:val="00D305FE"/>
    <w:rsid w:val="00D30B34"/>
    <w:rsid w:val="00D30F69"/>
    <w:rsid w:val="00D314E1"/>
    <w:rsid w:val="00D316C9"/>
    <w:rsid w:val="00D31A31"/>
    <w:rsid w:val="00D31F72"/>
    <w:rsid w:val="00D326C6"/>
    <w:rsid w:val="00D33346"/>
    <w:rsid w:val="00D3410D"/>
    <w:rsid w:val="00D34111"/>
    <w:rsid w:val="00D35483"/>
    <w:rsid w:val="00D355CB"/>
    <w:rsid w:val="00D3578A"/>
    <w:rsid w:val="00D36115"/>
    <w:rsid w:val="00D373ED"/>
    <w:rsid w:val="00D4088C"/>
    <w:rsid w:val="00D4102A"/>
    <w:rsid w:val="00D41BAB"/>
    <w:rsid w:val="00D42541"/>
    <w:rsid w:val="00D42A6E"/>
    <w:rsid w:val="00D430E9"/>
    <w:rsid w:val="00D4433A"/>
    <w:rsid w:val="00D443AA"/>
    <w:rsid w:val="00D45767"/>
    <w:rsid w:val="00D45EC3"/>
    <w:rsid w:val="00D46B94"/>
    <w:rsid w:val="00D477A1"/>
    <w:rsid w:val="00D479D5"/>
    <w:rsid w:val="00D50482"/>
    <w:rsid w:val="00D50BE6"/>
    <w:rsid w:val="00D516DC"/>
    <w:rsid w:val="00D5222B"/>
    <w:rsid w:val="00D52958"/>
    <w:rsid w:val="00D5379D"/>
    <w:rsid w:val="00D55903"/>
    <w:rsid w:val="00D55979"/>
    <w:rsid w:val="00D5634A"/>
    <w:rsid w:val="00D56763"/>
    <w:rsid w:val="00D56BB3"/>
    <w:rsid w:val="00D56F98"/>
    <w:rsid w:val="00D57AAD"/>
    <w:rsid w:val="00D600FF"/>
    <w:rsid w:val="00D607BA"/>
    <w:rsid w:val="00D60C85"/>
    <w:rsid w:val="00D60D3F"/>
    <w:rsid w:val="00D61479"/>
    <w:rsid w:val="00D617D0"/>
    <w:rsid w:val="00D62BEF"/>
    <w:rsid w:val="00D62DA1"/>
    <w:rsid w:val="00D64341"/>
    <w:rsid w:val="00D655D2"/>
    <w:rsid w:val="00D65744"/>
    <w:rsid w:val="00D66126"/>
    <w:rsid w:val="00D67B9E"/>
    <w:rsid w:val="00D67C9C"/>
    <w:rsid w:val="00D7149F"/>
    <w:rsid w:val="00D716A1"/>
    <w:rsid w:val="00D72EDA"/>
    <w:rsid w:val="00D73631"/>
    <w:rsid w:val="00D748C6"/>
    <w:rsid w:val="00D74C96"/>
    <w:rsid w:val="00D74F4E"/>
    <w:rsid w:val="00D759CB"/>
    <w:rsid w:val="00D75F9D"/>
    <w:rsid w:val="00D76D39"/>
    <w:rsid w:val="00D7779A"/>
    <w:rsid w:val="00D779AB"/>
    <w:rsid w:val="00D804B8"/>
    <w:rsid w:val="00D80725"/>
    <w:rsid w:val="00D811F1"/>
    <w:rsid w:val="00D814F7"/>
    <w:rsid w:val="00D81D75"/>
    <w:rsid w:val="00D8308C"/>
    <w:rsid w:val="00D84FCD"/>
    <w:rsid w:val="00D85149"/>
    <w:rsid w:val="00D852B2"/>
    <w:rsid w:val="00D856C3"/>
    <w:rsid w:val="00D85B50"/>
    <w:rsid w:val="00D85DB4"/>
    <w:rsid w:val="00D8607C"/>
    <w:rsid w:val="00D864DA"/>
    <w:rsid w:val="00D86ECC"/>
    <w:rsid w:val="00D874D1"/>
    <w:rsid w:val="00D87F39"/>
    <w:rsid w:val="00D9059E"/>
    <w:rsid w:val="00D9062D"/>
    <w:rsid w:val="00D90F6F"/>
    <w:rsid w:val="00D91AAB"/>
    <w:rsid w:val="00D92457"/>
    <w:rsid w:val="00D927E6"/>
    <w:rsid w:val="00D93529"/>
    <w:rsid w:val="00D94BFC"/>
    <w:rsid w:val="00D95082"/>
    <w:rsid w:val="00D95776"/>
    <w:rsid w:val="00D97021"/>
    <w:rsid w:val="00D97A23"/>
    <w:rsid w:val="00D97EB0"/>
    <w:rsid w:val="00D97FEA"/>
    <w:rsid w:val="00DA0E3D"/>
    <w:rsid w:val="00DA0FAD"/>
    <w:rsid w:val="00DA19B4"/>
    <w:rsid w:val="00DA19D7"/>
    <w:rsid w:val="00DA1D44"/>
    <w:rsid w:val="00DA1DFB"/>
    <w:rsid w:val="00DA1E33"/>
    <w:rsid w:val="00DA24A0"/>
    <w:rsid w:val="00DA31CA"/>
    <w:rsid w:val="00DA3953"/>
    <w:rsid w:val="00DA3C82"/>
    <w:rsid w:val="00DA4057"/>
    <w:rsid w:val="00DA421D"/>
    <w:rsid w:val="00DA5067"/>
    <w:rsid w:val="00DA6215"/>
    <w:rsid w:val="00DA669C"/>
    <w:rsid w:val="00DA6E55"/>
    <w:rsid w:val="00DA793B"/>
    <w:rsid w:val="00DA7BDE"/>
    <w:rsid w:val="00DB0EDA"/>
    <w:rsid w:val="00DB12B4"/>
    <w:rsid w:val="00DB1959"/>
    <w:rsid w:val="00DB1CB9"/>
    <w:rsid w:val="00DB1DD2"/>
    <w:rsid w:val="00DB23B1"/>
    <w:rsid w:val="00DB2BB5"/>
    <w:rsid w:val="00DB2EEA"/>
    <w:rsid w:val="00DB3017"/>
    <w:rsid w:val="00DB32E2"/>
    <w:rsid w:val="00DB3D4A"/>
    <w:rsid w:val="00DB3E94"/>
    <w:rsid w:val="00DB521F"/>
    <w:rsid w:val="00DB5793"/>
    <w:rsid w:val="00DB6E87"/>
    <w:rsid w:val="00DB7A6D"/>
    <w:rsid w:val="00DB7D62"/>
    <w:rsid w:val="00DC02CD"/>
    <w:rsid w:val="00DC0B36"/>
    <w:rsid w:val="00DC32AE"/>
    <w:rsid w:val="00DC3A9A"/>
    <w:rsid w:val="00DC3C0F"/>
    <w:rsid w:val="00DC3C3E"/>
    <w:rsid w:val="00DC3E11"/>
    <w:rsid w:val="00DC46CF"/>
    <w:rsid w:val="00DC54E0"/>
    <w:rsid w:val="00DC5824"/>
    <w:rsid w:val="00DC5C61"/>
    <w:rsid w:val="00DC66B7"/>
    <w:rsid w:val="00DC6B32"/>
    <w:rsid w:val="00DC6D12"/>
    <w:rsid w:val="00DC7F34"/>
    <w:rsid w:val="00DC7F61"/>
    <w:rsid w:val="00DD0169"/>
    <w:rsid w:val="00DD0589"/>
    <w:rsid w:val="00DD071D"/>
    <w:rsid w:val="00DD0A69"/>
    <w:rsid w:val="00DD1123"/>
    <w:rsid w:val="00DD136B"/>
    <w:rsid w:val="00DD1CFF"/>
    <w:rsid w:val="00DD2750"/>
    <w:rsid w:val="00DD3C9A"/>
    <w:rsid w:val="00DD3FB8"/>
    <w:rsid w:val="00DD4604"/>
    <w:rsid w:val="00DD59E6"/>
    <w:rsid w:val="00DD5A51"/>
    <w:rsid w:val="00DD6FA8"/>
    <w:rsid w:val="00DD6FAF"/>
    <w:rsid w:val="00DD770D"/>
    <w:rsid w:val="00DE07DE"/>
    <w:rsid w:val="00DE0F74"/>
    <w:rsid w:val="00DE17EC"/>
    <w:rsid w:val="00DE1A24"/>
    <w:rsid w:val="00DE1D05"/>
    <w:rsid w:val="00DE2112"/>
    <w:rsid w:val="00DE24DE"/>
    <w:rsid w:val="00DE269E"/>
    <w:rsid w:val="00DE2B6B"/>
    <w:rsid w:val="00DE310B"/>
    <w:rsid w:val="00DE3252"/>
    <w:rsid w:val="00DE3800"/>
    <w:rsid w:val="00DE555F"/>
    <w:rsid w:val="00DE5692"/>
    <w:rsid w:val="00DE63E3"/>
    <w:rsid w:val="00DE648A"/>
    <w:rsid w:val="00DE74B1"/>
    <w:rsid w:val="00DE75C6"/>
    <w:rsid w:val="00DE75C8"/>
    <w:rsid w:val="00DE78AA"/>
    <w:rsid w:val="00DE7A12"/>
    <w:rsid w:val="00DE7D38"/>
    <w:rsid w:val="00DF079F"/>
    <w:rsid w:val="00DF0BE4"/>
    <w:rsid w:val="00DF18A8"/>
    <w:rsid w:val="00DF29E0"/>
    <w:rsid w:val="00DF592B"/>
    <w:rsid w:val="00DF5DA8"/>
    <w:rsid w:val="00DF66E2"/>
    <w:rsid w:val="00DF6BBE"/>
    <w:rsid w:val="00DF7682"/>
    <w:rsid w:val="00DF78B0"/>
    <w:rsid w:val="00DF7C53"/>
    <w:rsid w:val="00DF7E33"/>
    <w:rsid w:val="00E00F63"/>
    <w:rsid w:val="00E00FE1"/>
    <w:rsid w:val="00E01488"/>
    <w:rsid w:val="00E023E1"/>
    <w:rsid w:val="00E03417"/>
    <w:rsid w:val="00E03CA3"/>
    <w:rsid w:val="00E04355"/>
    <w:rsid w:val="00E0443F"/>
    <w:rsid w:val="00E04972"/>
    <w:rsid w:val="00E04E11"/>
    <w:rsid w:val="00E04FF5"/>
    <w:rsid w:val="00E05337"/>
    <w:rsid w:val="00E05E17"/>
    <w:rsid w:val="00E07775"/>
    <w:rsid w:val="00E0777E"/>
    <w:rsid w:val="00E07B58"/>
    <w:rsid w:val="00E07F27"/>
    <w:rsid w:val="00E10C1C"/>
    <w:rsid w:val="00E10D12"/>
    <w:rsid w:val="00E11738"/>
    <w:rsid w:val="00E12CD9"/>
    <w:rsid w:val="00E1324C"/>
    <w:rsid w:val="00E135FC"/>
    <w:rsid w:val="00E136FB"/>
    <w:rsid w:val="00E14009"/>
    <w:rsid w:val="00E15336"/>
    <w:rsid w:val="00E15B17"/>
    <w:rsid w:val="00E15B46"/>
    <w:rsid w:val="00E15F1D"/>
    <w:rsid w:val="00E163A1"/>
    <w:rsid w:val="00E16CA0"/>
    <w:rsid w:val="00E171B0"/>
    <w:rsid w:val="00E1796A"/>
    <w:rsid w:val="00E211A4"/>
    <w:rsid w:val="00E21852"/>
    <w:rsid w:val="00E21F4F"/>
    <w:rsid w:val="00E22072"/>
    <w:rsid w:val="00E2223F"/>
    <w:rsid w:val="00E226B8"/>
    <w:rsid w:val="00E22847"/>
    <w:rsid w:val="00E228C6"/>
    <w:rsid w:val="00E2407A"/>
    <w:rsid w:val="00E24191"/>
    <w:rsid w:val="00E2466A"/>
    <w:rsid w:val="00E24693"/>
    <w:rsid w:val="00E2493D"/>
    <w:rsid w:val="00E24C37"/>
    <w:rsid w:val="00E255BA"/>
    <w:rsid w:val="00E2565B"/>
    <w:rsid w:val="00E25A7C"/>
    <w:rsid w:val="00E2788A"/>
    <w:rsid w:val="00E27E1C"/>
    <w:rsid w:val="00E314E9"/>
    <w:rsid w:val="00E326D7"/>
    <w:rsid w:val="00E3284B"/>
    <w:rsid w:val="00E328B4"/>
    <w:rsid w:val="00E329DA"/>
    <w:rsid w:val="00E32F40"/>
    <w:rsid w:val="00E330FE"/>
    <w:rsid w:val="00E332FC"/>
    <w:rsid w:val="00E3479C"/>
    <w:rsid w:val="00E34FFD"/>
    <w:rsid w:val="00E3548E"/>
    <w:rsid w:val="00E355BB"/>
    <w:rsid w:val="00E35622"/>
    <w:rsid w:val="00E35A62"/>
    <w:rsid w:val="00E3628F"/>
    <w:rsid w:val="00E36702"/>
    <w:rsid w:val="00E36F7F"/>
    <w:rsid w:val="00E37CFB"/>
    <w:rsid w:val="00E4028A"/>
    <w:rsid w:val="00E409FD"/>
    <w:rsid w:val="00E41CEB"/>
    <w:rsid w:val="00E4241B"/>
    <w:rsid w:val="00E42D8B"/>
    <w:rsid w:val="00E4313A"/>
    <w:rsid w:val="00E4388D"/>
    <w:rsid w:val="00E4453A"/>
    <w:rsid w:val="00E44F61"/>
    <w:rsid w:val="00E45953"/>
    <w:rsid w:val="00E4645A"/>
    <w:rsid w:val="00E46AC3"/>
    <w:rsid w:val="00E46D29"/>
    <w:rsid w:val="00E4736D"/>
    <w:rsid w:val="00E47B24"/>
    <w:rsid w:val="00E50EC7"/>
    <w:rsid w:val="00E5155E"/>
    <w:rsid w:val="00E518A7"/>
    <w:rsid w:val="00E52C5C"/>
    <w:rsid w:val="00E535BE"/>
    <w:rsid w:val="00E53977"/>
    <w:rsid w:val="00E53D7F"/>
    <w:rsid w:val="00E54C5F"/>
    <w:rsid w:val="00E5694F"/>
    <w:rsid w:val="00E569B9"/>
    <w:rsid w:val="00E57DCF"/>
    <w:rsid w:val="00E57EE0"/>
    <w:rsid w:val="00E608A7"/>
    <w:rsid w:val="00E60B84"/>
    <w:rsid w:val="00E60E99"/>
    <w:rsid w:val="00E61C62"/>
    <w:rsid w:val="00E61D29"/>
    <w:rsid w:val="00E621A1"/>
    <w:rsid w:val="00E62A42"/>
    <w:rsid w:val="00E63865"/>
    <w:rsid w:val="00E63B0F"/>
    <w:rsid w:val="00E6503E"/>
    <w:rsid w:val="00E66623"/>
    <w:rsid w:val="00E66916"/>
    <w:rsid w:val="00E67833"/>
    <w:rsid w:val="00E67976"/>
    <w:rsid w:val="00E67FE3"/>
    <w:rsid w:val="00E7133C"/>
    <w:rsid w:val="00E714D5"/>
    <w:rsid w:val="00E71A15"/>
    <w:rsid w:val="00E71BDB"/>
    <w:rsid w:val="00E72903"/>
    <w:rsid w:val="00E741B2"/>
    <w:rsid w:val="00E7426E"/>
    <w:rsid w:val="00E74842"/>
    <w:rsid w:val="00E74C8B"/>
    <w:rsid w:val="00E74F4F"/>
    <w:rsid w:val="00E75154"/>
    <w:rsid w:val="00E753CB"/>
    <w:rsid w:val="00E75DC2"/>
    <w:rsid w:val="00E76174"/>
    <w:rsid w:val="00E7641C"/>
    <w:rsid w:val="00E76A63"/>
    <w:rsid w:val="00E7745B"/>
    <w:rsid w:val="00E779AF"/>
    <w:rsid w:val="00E77AFE"/>
    <w:rsid w:val="00E81046"/>
    <w:rsid w:val="00E812A6"/>
    <w:rsid w:val="00E819EA"/>
    <w:rsid w:val="00E82FE2"/>
    <w:rsid w:val="00E83064"/>
    <w:rsid w:val="00E831E6"/>
    <w:rsid w:val="00E83322"/>
    <w:rsid w:val="00E84DD1"/>
    <w:rsid w:val="00E85A52"/>
    <w:rsid w:val="00E8646B"/>
    <w:rsid w:val="00E87332"/>
    <w:rsid w:val="00E87687"/>
    <w:rsid w:val="00E90727"/>
    <w:rsid w:val="00E9155C"/>
    <w:rsid w:val="00E91BBF"/>
    <w:rsid w:val="00E91FFF"/>
    <w:rsid w:val="00E921AF"/>
    <w:rsid w:val="00E92C57"/>
    <w:rsid w:val="00E930E0"/>
    <w:rsid w:val="00E9412A"/>
    <w:rsid w:val="00E942B8"/>
    <w:rsid w:val="00E9465D"/>
    <w:rsid w:val="00E958F5"/>
    <w:rsid w:val="00E9654A"/>
    <w:rsid w:val="00E97EEA"/>
    <w:rsid w:val="00EA0394"/>
    <w:rsid w:val="00EA10B7"/>
    <w:rsid w:val="00EA1351"/>
    <w:rsid w:val="00EA204D"/>
    <w:rsid w:val="00EA2CE7"/>
    <w:rsid w:val="00EA3A2C"/>
    <w:rsid w:val="00EA3B12"/>
    <w:rsid w:val="00EA3FA6"/>
    <w:rsid w:val="00EA43DF"/>
    <w:rsid w:val="00EA46F9"/>
    <w:rsid w:val="00EA4B95"/>
    <w:rsid w:val="00EA4C4D"/>
    <w:rsid w:val="00EA6172"/>
    <w:rsid w:val="00EA6FD7"/>
    <w:rsid w:val="00EA7072"/>
    <w:rsid w:val="00EA7252"/>
    <w:rsid w:val="00EA74C2"/>
    <w:rsid w:val="00EA77D0"/>
    <w:rsid w:val="00EA784D"/>
    <w:rsid w:val="00EB06C1"/>
    <w:rsid w:val="00EB07E1"/>
    <w:rsid w:val="00EB0849"/>
    <w:rsid w:val="00EB0C90"/>
    <w:rsid w:val="00EB1665"/>
    <w:rsid w:val="00EB2642"/>
    <w:rsid w:val="00EB35AD"/>
    <w:rsid w:val="00EB463D"/>
    <w:rsid w:val="00EB4B2C"/>
    <w:rsid w:val="00EB5109"/>
    <w:rsid w:val="00EB5809"/>
    <w:rsid w:val="00EB5BC6"/>
    <w:rsid w:val="00EB624D"/>
    <w:rsid w:val="00EB69D3"/>
    <w:rsid w:val="00EB716C"/>
    <w:rsid w:val="00EC0374"/>
    <w:rsid w:val="00EC0BD7"/>
    <w:rsid w:val="00EC1972"/>
    <w:rsid w:val="00EC1B8F"/>
    <w:rsid w:val="00EC1DD9"/>
    <w:rsid w:val="00EC3726"/>
    <w:rsid w:val="00EC3E12"/>
    <w:rsid w:val="00EC46C4"/>
    <w:rsid w:val="00EC4D68"/>
    <w:rsid w:val="00EC4F05"/>
    <w:rsid w:val="00EC50FF"/>
    <w:rsid w:val="00EC5231"/>
    <w:rsid w:val="00EC5A18"/>
    <w:rsid w:val="00EC6A86"/>
    <w:rsid w:val="00EC6FFC"/>
    <w:rsid w:val="00EC76E1"/>
    <w:rsid w:val="00ED0318"/>
    <w:rsid w:val="00ED0DBB"/>
    <w:rsid w:val="00ED1596"/>
    <w:rsid w:val="00ED1A6C"/>
    <w:rsid w:val="00ED1EF6"/>
    <w:rsid w:val="00ED2847"/>
    <w:rsid w:val="00ED2C7C"/>
    <w:rsid w:val="00ED3376"/>
    <w:rsid w:val="00ED366A"/>
    <w:rsid w:val="00ED4341"/>
    <w:rsid w:val="00ED4C7D"/>
    <w:rsid w:val="00ED5143"/>
    <w:rsid w:val="00ED61C3"/>
    <w:rsid w:val="00ED6682"/>
    <w:rsid w:val="00ED722B"/>
    <w:rsid w:val="00ED74F0"/>
    <w:rsid w:val="00ED75E9"/>
    <w:rsid w:val="00ED7721"/>
    <w:rsid w:val="00ED7B6A"/>
    <w:rsid w:val="00EE0708"/>
    <w:rsid w:val="00EE13F5"/>
    <w:rsid w:val="00EE16CE"/>
    <w:rsid w:val="00EE1A55"/>
    <w:rsid w:val="00EE34A6"/>
    <w:rsid w:val="00EE372C"/>
    <w:rsid w:val="00EE3B4B"/>
    <w:rsid w:val="00EE3D1D"/>
    <w:rsid w:val="00EE42C6"/>
    <w:rsid w:val="00EE4598"/>
    <w:rsid w:val="00EE463A"/>
    <w:rsid w:val="00EE47CF"/>
    <w:rsid w:val="00EE5128"/>
    <w:rsid w:val="00EE5352"/>
    <w:rsid w:val="00EE651B"/>
    <w:rsid w:val="00EE6A50"/>
    <w:rsid w:val="00EF0436"/>
    <w:rsid w:val="00EF05B5"/>
    <w:rsid w:val="00EF0762"/>
    <w:rsid w:val="00EF07DC"/>
    <w:rsid w:val="00EF0865"/>
    <w:rsid w:val="00EF1265"/>
    <w:rsid w:val="00EF12D3"/>
    <w:rsid w:val="00EF1488"/>
    <w:rsid w:val="00EF1C03"/>
    <w:rsid w:val="00EF35D3"/>
    <w:rsid w:val="00EF3FBF"/>
    <w:rsid w:val="00EF41AD"/>
    <w:rsid w:val="00EF4B9A"/>
    <w:rsid w:val="00EF4C3D"/>
    <w:rsid w:val="00EF4F58"/>
    <w:rsid w:val="00EF4FEE"/>
    <w:rsid w:val="00EF5E03"/>
    <w:rsid w:val="00EF6376"/>
    <w:rsid w:val="00EF74C5"/>
    <w:rsid w:val="00EF7F7F"/>
    <w:rsid w:val="00F00076"/>
    <w:rsid w:val="00F00417"/>
    <w:rsid w:val="00F00B2C"/>
    <w:rsid w:val="00F012C1"/>
    <w:rsid w:val="00F01D8F"/>
    <w:rsid w:val="00F02B78"/>
    <w:rsid w:val="00F03916"/>
    <w:rsid w:val="00F03C42"/>
    <w:rsid w:val="00F03F86"/>
    <w:rsid w:val="00F03FB2"/>
    <w:rsid w:val="00F048B5"/>
    <w:rsid w:val="00F06A69"/>
    <w:rsid w:val="00F06DB0"/>
    <w:rsid w:val="00F074F6"/>
    <w:rsid w:val="00F076F7"/>
    <w:rsid w:val="00F07BAA"/>
    <w:rsid w:val="00F07F30"/>
    <w:rsid w:val="00F10015"/>
    <w:rsid w:val="00F10148"/>
    <w:rsid w:val="00F1032D"/>
    <w:rsid w:val="00F10AF1"/>
    <w:rsid w:val="00F114F9"/>
    <w:rsid w:val="00F12B75"/>
    <w:rsid w:val="00F12CF4"/>
    <w:rsid w:val="00F1321C"/>
    <w:rsid w:val="00F144CE"/>
    <w:rsid w:val="00F1527E"/>
    <w:rsid w:val="00F15AC4"/>
    <w:rsid w:val="00F15CAD"/>
    <w:rsid w:val="00F16E7A"/>
    <w:rsid w:val="00F17687"/>
    <w:rsid w:val="00F221F2"/>
    <w:rsid w:val="00F22728"/>
    <w:rsid w:val="00F23A52"/>
    <w:rsid w:val="00F24831"/>
    <w:rsid w:val="00F2537D"/>
    <w:rsid w:val="00F25645"/>
    <w:rsid w:val="00F25EE7"/>
    <w:rsid w:val="00F26601"/>
    <w:rsid w:val="00F2672B"/>
    <w:rsid w:val="00F26F08"/>
    <w:rsid w:val="00F26F09"/>
    <w:rsid w:val="00F27746"/>
    <w:rsid w:val="00F27831"/>
    <w:rsid w:val="00F31055"/>
    <w:rsid w:val="00F33476"/>
    <w:rsid w:val="00F335C2"/>
    <w:rsid w:val="00F338F4"/>
    <w:rsid w:val="00F33EAF"/>
    <w:rsid w:val="00F3417E"/>
    <w:rsid w:val="00F342A1"/>
    <w:rsid w:val="00F349A5"/>
    <w:rsid w:val="00F34AF6"/>
    <w:rsid w:val="00F3577E"/>
    <w:rsid w:val="00F35A4E"/>
    <w:rsid w:val="00F35E61"/>
    <w:rsid w:val="00F36338"/>
    <w:rsid w:val="00F365A4"/>
    <w:rsid w:val="00F36EFF"/>
    <w:rsid w:val="00F371D4"/>
    <w:rsid w:val="00F40D0D"/>
    <w:rsid w:val="00F411AC"/>
    <w:rsid w:val="00F42313"/>
    <w:rsid w:val="00F42437"/>
    <w:rsid w:val="00F42446"/>
    <w:rsid w:val="00F42848"/>
    <w:rsid w:val="00F429B4"/>
    <w:rsid w:val="00F43476"/>
    <w:rsid w:val="00F43DDF"/>
    <w:rsid w:val="00F44E55"/>
    <w:rsid w:val="00F45232"/>
    <w:rsid w:val="00F466D8"/>
    <w:rsid w:val="00F46726"/>
    <w:rsid w:val="00F46731"/>
    <w:rsid w:val="00F4675A"/>
    <w:rsid w:val="00F4686B"/>
    <w:rsid w:val="00F468C2"/>
    <w:rsid w:val="00F46B0F"/>
    <w:rsid w:val="00F46ED2"/>
    <w:rsid w:val="00F4735B"/>
    <w:rsid w:val="00F47949"/>
    <w:rsid w:val="00F47F93"/>
    <w:rsid w:val="00F47FAE"/>
    <w:rsid w:val="00F510E2"/>
    <w:rsid w:val="00F539D6"/>
    <w:rsid w:val="00F53C1B"/>
    <w:rsid w:val="00F53FB2"/>
    <w:rsid w:val="00F548AA"/>
    <w:rsid w:val="00F548F7"/>
    <w:rsid w:val="00F5497E"/>
    <w:rsid w:val="00F54C08"/>
    <w:rsid w:val="00F55240"/>
    <w:rsid w:val="00F553C1"/>
    <w:rsid w:val="00F55D4D"/>
    <w:rsid w:val="00F564EC"/>
    <w:rsid w:val="00F56C9E"/>
    <w:rsid w:val="00F56CB9"/>
    <w:rsid w:val="00F56D1E"/>
    <w:rsid w:val="00F573EF"/>
    <w:rsid w:val="00F60063"/>
    <w:rsid w:val="00F601F9"/>
    <w:rsid w:val="00F602B7"/>
    <w:rsid w:val="00F60641"/>
    <w:rsid w:val="00F60EF4"/>
    <w:rsid w:val="00F61076"/>
    <w:rsid w:val="00F610D9"/>
    <w:rsid w:val="00F611B9"/>
    <w:rsid w:val="00F61418"/>
    <w:rsid w:val="00F615C9"/>
    <w:rsid w:val="00F623FB"/>
    <w:rsid w:val="00F62EB5"/>
    <w:rsid w:val="00F63473"/>
    <w:rsid w:val="00F63B12"/>
    <w:rsid w:val="00F63CDD"/>
    <w:rsid w:val="00F64146"/>
    <w:rsid w:val="00F64A50"/>
    <w:rsid w:val="00F64B56"/>
    <w:rsid w:val="00F64D00"/>
    <w:rsid w:val="00F653D6"/>
    <w:rsid w:val="00F6555B"/>
    <w:rsid w:val="00F65784"/>
    <w:rsid w:val="00F65897"/>
    <w:rsid w:val="00F65AD1"/>
    <w:rsid w:val="00F65B43"/>
    <w:rsid w:val="00F668FA"/>
    <w:rsid w:val="00F66EF6"/>
    <w:rsid w:val="00F6719C"/>
    <w:rsid w:val="00F67929"/>
    <w:rsid w:val="00F67ADA"/>
    <w:rsid w:val="00F705CD"/>
    <w:rsid w:val="00F70C01"/>
    <w:rsid w:val="00F713DF"/>
    <w:rsid w:val="00F714CB"/>
    <w:rsid w:val="00F72153"/>
    <w:rsid w:val="00F725CA"/>
    <w:rsid w:val="00F726A9"/>
    <w:rsid w:val="00F72D94"/>
    <w:rsid w:val="00F736EA"/>
    <w:rsid w:val="00F742D3"/>
    <w:rsid w:val="00F74586"/>
    <w:rsid w:val="00F74937"/>
    <w:rsid w:val="00F74AB7"/>
    <w:rsid w:val="00F75C0E"/>
    <w:rsid w:val="00F75E29"/>
    <w:rsid w:val="00F75EA8"/>
    <w:rsid w:val="00F769E9"/>
    <w:rsid w:val="00F76BC5"/>
    <w:rsid w:val="00F773F9"/>
    <w:rsid w:val="00F774D9"/>
    <w:rsid w:val="00F779E8"/>
    <w:rsid w:val="00F809C6"/>
    <w:rsid w:val="00F80C62"/>
    <w:rsid w:val="00F82958"/>
    <w:rsid w:val="00F8431F"/>
    <w:rsid w:val="00F852E2"/>
    <w:rsid w:val="00F85B9C"/>
    <w:rsid w:val="00F86B0E"/>
    <w:rsid w:val="00F86C73"/>
    <w:rsid w:val="00F86D77"/>
    <w:rsid w:val="00F8735E"/>
    <w:rsid w:val="00F87A8D"/>
    <w:rsid w:val="00F87E5B"/>
    <w:rsid w:val="00F87E8A"/>
    <w:rsid w:val="00F9007E"/>
    <w:rsid w:val="00F90332"/>
    <w:rsid w:val="00F908C6"/>
    <w:rsid w:val="00F90FFE"/>
    <w:rsid w:val="00F9222C"/>
    <w:rsid w:val="00F92D24"/>
    <w:rsid w:val="00F932D1"/>
    <w:rsid w:val="00F936C1"/>
    <w:rsid w:val="00F93B9F"/>
    <w:rsid w:val="00F94E96"/>
    <w:rsid w:val="00F94F20"/>
    <w:rsid w:val="00F96696"/>
    <w:rsid w:val="00F969DB"/>
    <w:rsid w:val="00F97FFD"/>
    <w:rsid w:val="00FA0372"/>
    <w:rsid w:val="00FA0AF4"/>
    <w:rsid w:val="00FA0BFF"/>
    <w:rsid w:val="00FA163A"/>
    <w:rsid w:val="00FA433F"/>
    <w:rsid w:val="00FA4638"/>
    <w:rsid w:val="00FA4B7C"/>
    <w:rsid w:val="00FA5C6D"/>
    <w:rsid w:val="00FA6B59"/>
    <w:rsid w:val="00FA7951"/>
    <w:rsid w:val="00FA7B59"/>
    <w:rsid w:val="00FB0413"/>
    <w:rsid w:val="00FB0FBD"/>
    <w:rsid w:val="00FB1DA3"/>
    <w:rsid w:val="00FB2B19"/>
    <w:rsid w:val="00FB362D"/>
    <w:rsid w:val="00FB5064"/>
    <w:rsid w:val="00FB52E4"/>
    <w:rsid w:val="00FB599C"/>
    <w:rsid w:val="00FB5BBD"/>
    <w:rsid w:val="00FB5F0C"/>
    <w:rsid w:val="00FB6BF7"/>
    <w:rsid w:val="00FB7AE0"/>
    <w:rsid w:val="00FC0A29"/>
    <w:rsid w:val="00FC15FD"/>
    <w:rsid w:val="00FC2577"/>
    <w:rsid w:val="00FC26B9"/>
    <w:rsid w:val="00FC35DE"/>
    <w:rsid w:val="00FC3A24"/>
    <w:rsid w:val="00FC44EE"/>
    <w:rsid w:val="00FC539A"/>
    <w:rsid w:val="00FC57CF"/>
    <w:rsid w:val="00FC5B43"/>
    <w:rsid w:val="00FC5B77"/>
    <w:rsid w:val="00FC616C"/>
    <w:rsid w:val="00FC6926"/>
    <w:rsid w:val="00FC6CEC"/>
    <w:rsid w:val="00FC7A1D"/>
    <w:rsid w:val="00FC7F38"/>
    <w:rsid w:val="00FC7FA4"/>
    <w:rsid w:val="00FD0CA5"/>
    <w:rsid w:val="00FD1C41"/>
    <w:rsid w:val="00FD2145"/>
    <w:rsid w:val="00FD220A"/>
    <w:rsid w:val="00FD23BA"/>
    <w:rsid w:val="00FD55A4"/>
    <w:rsid w:val="00FD61A7"/>
    <w:rsid w:val="00FD7122"/>
    <w:rsid w:val="00FD7D00"/>
    <w:rsid w:val="00FE1B8A"/>
    <w:rsid w:val="00FE1C93"/>
    <w:rsid w:val="00FE33A3"/>
    <w:rsid w:val="00FE340C"/>
    <w:rsid w:val="00FE350E"/>
    <w:rsid w:val="00FE38AC"/>
    <w:rsid w:val="00FE3F62"/>
    <w:rsid w:val="00FE43B8"/>
    <w:rsid w:val="00FE4D63"/>
    <w:rsid w:val="00FE5D3E"/>
    <w:rsid w:val="00FE6A91"/>
    <w:rsid w:val="00FE6E3D"/>
    <w:rsid w:val="00FE72F4"/>
    <w:rsid w:val="00FE7BE7"/>
    <w:rsid w:val="00FF0290"/>
    <w:rsid w:val="00FF0C31"/>
    <w:rsid w:val="00FF11F0"/>
    <w:rsid w:val="00FF22C6"/>
    <w:rsid w:val="00FF2663"/>
    <w:rsid w:val="00FF2DB3"/>
    <w:rsid w:val="00FF3B9A"/>
    <w:rsid w:val="00FF429C"/>
    <w:rsid w:val="00FF44AA"/>
    <w:rsid w:val="00FF4EC5"/>
    <w:rsid w:val="00FF57C5"/>
    <w:rsid w:val="00FF64CE"/>
    <w:rsid w:val="00FF7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56"/>
    <o:shapelayout v:ext="edit">
      <o:idmap v:ext="edit" data="2,3,4,5"/>
    </o:shapelayout>
  </w:shapeDefaults>
  <w:decimalSymbol w:val="."/>
  <w:listSeparator w:val=","/>
  <w14:docId w14:val="785A79CD"/>
  <w15:chartTrackingRefBased/>
  <w15:docId w15:val="{D45FCE24-C552-436F-B203-D0C0D428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5A43"/>
    <w:rPr>
      <w:rFonts w:ascii="Times New Roman" w:eastAsia="Times New Roman" w:hAnsi="Times New Roman"/>
      <w:sz w:val="24"/>
    </w:rPr>
  </w:style>
  <w:style w:type="paragraph" w:styleId="Heading1">
    <w:name w:val="heading 1"/>
    <w:aliases w:val="h1"/>
    <w:basedOn w:val="Normal"/>
    <w:next w:val="BodyText"/>
    <w:link w:val="Heading1Char"/>
    <w:qFormat/>
    <w:rsid w:val="00A13FF9"/>
    <w:pPr>
      <w:keepNext/>
      <w:numPr>
        <w:numId w:val="1"/>
      </w:numPr>
      <w:spacing w:after="240"/>
      <w:outlineLvl w:val="0"/>
    </w:pPr>
    <w:rPr>
      <w:b/>
      <w:caps/>
    </w:rPr>
  </w:style>
  <w:style w:type="paragraph" w:styleId="Heading2">
    <w:name w:val="heading 2"/>
    <w:aliases w:val="h2"/>
    <w:basedOn w:val="Normal"/>
    <w:next w:val="BodyText"/>
    <w:link w:val="Heading2Char"/>
    <w:qFormat/>
    <w:rsid w:val="00A13FF9"/>
    <w:pPr>
      <w:keepNext/>
      <w:numPr>
        <w:ilvl w:val="1"/>
        <w:numId w:val="1"/>
      </w:numPr>
      <w:tabs>
        <w:tab w:val="left" w:pos="720"/>
      </w:tabs>
      <w:spacing w:before="240" w:after="240"/>
      <w:outlineLvl w:val="1"/>
    </w:pPr>
    <w:rPr>
      <w:b/>
    </w:rPr>
  </w:style>
  <w:style w:type="paragraph" w:styleId="Heading3">
    <w:name w:val="heading 3"/>
    <w:aliases w:val="h3"/>
    <w:basedOn w:val="Normal"/>
    <w:next w:val="BodyText"/>
    <w:link w:val="Heading3Char"/>
    <w:uiPriority w:val="9"/>
    <w:qFormat/>
    <w:rsid w:val="00A13FF9"/>
    <w:pPr>
      <w:keepNext/>
      <w:numPr>
        <w:ilvl w:val="2"/>
        <w:numId w:val="1"/>
      </w:numPr>
      <w:tabs>
        <w:tab w:val="left" w:pos="1008"/>
      </w:tabs>
      <w:spacing w:before="240" w:after="240"/>
      <w:outlineLvl w:val="2"/>
    </w:pPr>
    <w:rPr>
      <w:b/>
      <w:bCs/>
      <w:i/>
    </w:rPr>
  </w:style>
  <w:style w:type="paragraph" w:styleId="Heading4">
    <w:name w:val="heading 4"/>
    <w:aliases w:val="h4,delete"/>
    <w:basedOn w:val="Normal"/>
    <w:next w:val="BodyText"/>
    <w:link w:val="Heading4Char"/>
    <w:uiPriority w:val="9"/>
    <w:qFormat/>
    <w:rsid w:val="00A13FF9"/>
    <w:pPr>
      <w:keepNext/>
      <w:widowControl w:val="0"/>
      <w:numPr>
        <w:ilvl w:val="3"/>
        <w:numId w:val="1"/>
      </w:numPr>
      <w:tabs>
        <w:tab w:val="left" w:pos="1296"/>
      </w:tabs>
      <w:spacing w:before="240" w:after="240"/>
      <w:outlineLvl w:val="3"/>
    </w:pPr>
    <w:rPr>
      <w:b/>
      <w:bCs/>
      <w:snapToGrid w:val="0"/>
    </w:rPr>
  </w:style>
  <w:style w:type="paragraph" w:styleId="Heading5">
    <w:name w:val="heading 5"/>
    <w:aliases w:val="h5"/>
    <w:basedOn w:val="Normal"/>
    <w:next w:val="BodyText"/>
    <w:link w:val="Heading5Char"/>
    <w:qFormat/>
    <w:rsid w:val="00A13FF9"/>
    <w:pPr>
      <w:keepNext/>
      <w:numPr>
        <w:ilvl w:val="4"/>
        <w:numId w:val="1"/>
      </w:numPr>
      <w:tabs>
        <w:tab w:val="left" w:pos="1440"/>
      </w:tabs>
      <w:spacing w:before="240" w:after="240"/>
      <w:outlineLvl w:val="4"/>
    </w:pPr>
    <w:rPr>
      <w:b/>
      <w:bCs/>
      <w:i/>
      <w:iCs/>
      <w:szCs w:val="26"/>
    </w:rPr>
  </w:style>
  <w:style w:type="paragraph" w:styleId="Heading6">
    <w:name w:val="heading 6"/>
    <w:aliases w:val="h6"/>
    <w:basedOn w:val="Normal"/>
    <w:next w:val="BodyText"/>
    <w:link w:val="Heading6Char"/>
    <w:qFormat/>
    <w:rsid w:val="00A13FF9"/>
    <w:pPr>
      <w:keepNext/>
      <w:numPr>
        <w:ilvl w:val="5"/>
        <w:numId w:val="1"/>
      </w:numPr>
      <w:tabs>
        <w:tab w:val="left" w:pos="1584"/>
      </w:tabs>
      <w:spacing w:before="240" w:after="240"/>
      <w:outlineLvl w:val="5"/>
    </w:pPr>
    <w:rPr>
      <w:b/>
      <w:bCs/>
      <w:szCs w:val="22"/>
    </w:rPr>
  </w:style>
  <w:style w:type="paragraph" w:styleId="Heading7">
    <w:name w:val="heading 7"/>
    <w:basedOn w:val="Normal"/>
    <w:next w:val="BodyText"/>
    <w:link w:val="Heading7Char"/>
    <w:qFormat/>
    <w:rsid w:val="00A13FF9"/>
    <w:pPr>
      <w:keepNext/>
      <w:numPr>
        <w:ilvl w:val="6"/>
        <w:numId w:val="1"/>
      </w:numPr>
      <w:tabs>
        <w:tab w:val="left" w:pos="1728"/>
      </w:tabs>
      <w:spacing w:before="240" w:after="240"/>
      <w:outlineLvl w:val="6"/>
    </w:pPr>
    <w:rPr>
      <w:szCs w:val="24"/>
    </w:rPr>
  </w:style>
  <w:style w:type="paragraph" w:styleId="Heading8">
    <w:name w:val="heading 8"/>
    <w:basedOn w:val="Normal"/>
    <w:next w:val="BodyText"/>
    <w:link w:val="Heading8Char"/>
    <w:qFormat/>
    <w:rsid w:val="00A13FF9"/>
    <w:pPr>
      <w:keepNext/>
      <w:numPr>
        <w:ilvl w:val="7"/>
        <w:numId w:val="1"/>
      </w:numPr>
      <w:tabs>
        <w:tab w:val="left" w:pos="1872"/>
      </w:tabs>
      <w:spacing w:before="240" w:after="240"/>
      <w:outlineLvl w:val="7"/>
    </w:pPr>
    <w:rPr>
      <w:i/>
      <w:iCs/>
      <w:szCs w:val="24"/>
    </w:rPr>
  </w:style>
  <w:style w:type="paragraph" w:styleId="Heading9">
    <w:name w:val="heading 9"/>
    <w:basedOn w:val="Normal"/>
    <w:next w:val="BodyText"/>
    <w:link w:val="Heading9Char"/>
    <w:qFormat/>
    <w:rsid w:val="00A13FF9"/>
    <w:pPr>
      <w:keepNext/>
      <w:numPr>
        <w:ilvl w:val="8"/>
        <w:numId w:val="1"/>
      </w:numPr>
      <w:tabs>
        <w:tab w:val="left" w:pos="2160"/>
      </w:tabs>
      <w:spacing w:before="240" w:after="240"/>
      <w:outlineLvl w:val="8"/>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A13FF9"/>
    <w:rPr>
      <w:rFonts w:ascii="Times New Roman" w:eastAsia="Times New Roman" w:hAnsi="Times New Roman" w:cs="Times New Roman"/>
      <w:b/>
      <w:caps/>
      <w:sz w:val="24"/>
      <w:szCs w:val="20"/>
    </w:rPr>
  </w:style>
  <w:style w:type="character" w:customStyle="1" w:styleId="Heading2Char">
    <w:name w:val="Heading 2 Char"/>
    <w:aliases w:val="h2 Char"/>
    <w:link w:val="Heading2"/>
    <w:rsid w:val="00A13FF9"/>
    <w:rPr>
      <w:rFonts w:ascii="Times New Roman" w:eastAsia="Times New Roman" w:hAnsi="Times New Roman" w:cs="Times New Roman"/>
      <w:b/>
      <w:sz w:val="24"/>
      <w:szCs w:val="20"/>
    </w:rPr>
  </w:style>
  <w:style w:type="character" w:customStyle="1" w:styleId="Heading3Char">
    <w:name w:val="Heading 3 Char"/>
    <w:aliases w:val="h3 Char"/>
    <w:link w:val="Heading3"/>
    <w:uiPriority w:val="9"/>
    <w:rsid w:val="00A13FF9"/>
    <w:rPr>
      <w:rFonts w:ascii="Times New Roman" w:eastAsia="Times New Roman" w:hAnsi="Times New Roman" w:cs="Times New Roman"/>
      <w:b/>
      <w:bCs/>
      <w:i/>
      <w:sz w:val="24"/>
      <w:szCs w:val="20"/>
    </w:rPr>
  </w:style>
  <w:style w:type="character" w:customStyle="1" w:styleId="Heading4Char">
    <w:name w:val="Heading 4 Char"/>
    <w:aliases w:val="h4 Char,delete Char"/>
    <w:link w:val="Heading4"/>
    <w:uiPriority w:val="9"/>
    <w:rsid w:val="00A13FF9"/>
    <w:rPr>
      <w:rFonts w:ascii="Times New Roman" w:eastAsia="Times New Roman" w:hAnsi="Times New Roman" w:cs="Times New Roman"/>
      <w:b/>
      <w:bCs/>
      <w:snapToGrid w:val="0"/>
      <w:sz w:val="24"/>
      <w:szCs w:val="20"/>
    </w:rPr>
  </w:style>
  <w:style w:type="character" w:customStyle="1" w:styleId="Heading5Char">
    <w:name w:val="Heading 5 Char"/>
    <w:aliases w:val="h5 Char"/>
    <w:link w:val="Heading5"/>
    <w:rsid w:val="00A13FF9"/>
    <w:rPr>
      <w:rFonts w:ascii="Times New Roman" w:eastAsia="Times New Roman" w:hAnsi="Times New Roman" w:cs="Times New Roman"/>
      <w:b/>
      <w:bCs/>
      <w:i/>
      <w:iCs/>
      <w:sz w:val="24"/>
      <w:szCs w:val="26"/>
    </w:rPr>
  </w:style>
  <w:style w:type="character" w:customStyle="1" w:styleId="Heading6Char">
    <w:name w:val="Heading 6 Char"/>
    <w:aliases w:val="h6 Char"/>
    <w:link w:val="Heading6"/>
    <w:rsid w:val="00A13FF9"/>
    <w:rPr>
      <w:rFonts w:ascii="Times New Roman" w:eastAsia="Times New Roman" w:hAnsi="Times New Roman" w:cs="Times New Roman"/>
      <w:b/>
      <w:bCs/>
      <w:sz w:val="24"/>
    </w:rPr>
  </w:style>
  <w:style w:type="character" w:customStyle="1" w:styleId="Heading7Char">
    <w:name w:val="Heading 7 Char"/>
    <w:link w:val="Heading7"/>
    <w:rsid w:val="00A13FF9"/>
    <w:rPr>
      <w:rFonts w:ascii="Times New Roman" w:eastAsia="Times New Roman" w:hAnsi="Times New Roman" w:cs="Times New Roman"/>
      <w:sz w:val="24"/>
      <w:szCs w:val="24"/>
    </w:rPr>
  </w:style>
  <w:style w:type="character" w:customStyle="1" w:styleId="Heading8Char">
    <w:name w:val="Heading 8 Char"/>
    <w:link w:val="Heading8"/>
    <w:rsid w:val="00A13FF9"/>
    <w:rPr>
      <w:rFonts w:ascii="Times New Roman" w:eastAsia="Times New Roman" w:hAnsi="Times New Roman" w:cs="Times New Roman"/>
      <w:i/>
      <w:iCs/>
      <w:sz w:val="24"/>
      <w:szCs w:val="24"/>
    </w:rPr>
  </w:style>
  <w:style w:type="character" w:customStyle="1" w:styleId="Heading9Char">
    <w:name w:val="Heading 9 Char"/>
    <w:link w:val="Heading9"/>
    <w:rsid w:val="00A13FF9"/>
    <w:rPr>
      <w:rFonts w:ascii="Times New Roman" w:eastAsia="Times New Roman" w:hAnsi="Times New Roman" w:cs="Times New Roman"/>
      <w:b/>
      <w:sz w:val="24"/>
      <w:szCs w:val="24"/>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1"/>
    <w:rsid w:val="00A13FF9"/>
    <w:pPr>
      <w:spacing w:after="240"/>
    </w:pPr>
    <w:rPr>
      <w:iCs/>
    </w:rPr>
  </w:style>
  <w:style w:type="character" w:customStyle="1" w:styleId="BodyTextChar">
    <w:name w:val="Body Text Char"/>
    <w:aliases w:val="Char1 Char Char Char,Body Text Char2 Char Char Char1,Body Text Char2 Char Char Char Char Char Char Char Char Char Char Char Char1,Body Text Char3,Body Text Char1 Char Ch Char, Char1 Char Char Char"/>
    <w:uiPriority w:val="99"/>
    <w:rsid w:val="00A13FF9"/>
    <w:rPr>
      <w:rFonts w:ascii="Times New Roman" w:eastAsia="Times New Roman" w:hAnsi="Times New Roman" w:cs="Times New Roman"/>
      <w:sz w:val="24"/>
      <w:szCs w:val="20"/>
    </w:rPr>
  </w:style>
  <w:style w:type="character" w:customStyle="1" w:styleId="BodyTextChar1">
    <w:name w:val="Body Text Char1"/>
    <w:aliases w:val="Char Char Char Char Char Char Char,Char Char Char Char Char Char Charh2 Char,... Char, Char Char Char Char Char Char Char1, Char Char Char Char Char Char Char Char,Body Text Char Char Char,Body Text Char1 Char Char Char"/>
    <w:link w:val="BodyText"/>
    <w:rsid w:val="00A13FF9"/>
    <w:rPr>
      <w:rFonts w:ascii="Times New Roman" w:eastAsia="Times New Roman" w:hAnsi="Times New Roman" w:cs="Times New Roman"/>
      <w:iCs/>
      <w:sz w:val="24"/>
      <w:szCs w:val="20"/>
    </w:rPr>
  </w:style>
  <w:style w:type="character" w:customStyle="1" w:styleId="CharCharChar1">
    <w:name w:val="Char Char Char1"/>
    <w:aliases w:val=" Char11,Body Text Char Char1, Char Char Char Char Char2, Char1 Char Char1,Body Text Char2 Char Char2,Body Text Char2 Char Char Char Char Char Char Char Char Char Char Char1,Body Text Char2 Char3,Body Text Char2 Char4"/>
    <w:rsid w:val="00A13FF9"/>
    <w:rPr>
      <w:iCs/>
      <w:sz w:val="24"/>
      <w:lang w:val="en-US" w:eastAsia="en-US" w:bidi="ar-SA"/>
    </w:rPr>
  </w:style>
  <w:style w:type="paragraph" w:styleId="List">
    <w:name w:val="List"/>
    <w:aliases w:val=" Char2 Char Char Char Char, Char2 Char, Char1,Char2 Char Char Char Char"/>
    <w:basedOn w:val="Normal"/>
    <w:link w:val="ListChar"/>
    <w:rsid w:val="00A13FF9"/>
    <w:pPr>
      <w:spacing w:after="240"/>
      <w:ind w:left="1440" w:hanging="720"/>
    </w:pPr>
  </w:style>
  <w:style w:type="paragraph" w:styleId="Footer">
    <w:name w:val="footer"/>
    <w:basedOn w:val="Normal"/>
    <w:link w:val="FooterChar"/>
    <w:rsid w:val="00A13FF9"/>
    <w:pPr>
      <w:pBdr>
        <w:top w:val="single" w:sz="4" w:space="0" w:color="auto"/>
      </w:pBdr>
      <w:tabs>
        <w:tab w:val="center" w:pos="4680"/>
        <w:tab w:val="right" w:pos="9360"/>
      </w:tabs>
      <w:spacing w:before="120" w:after="120"/>
    </w:pPr>
    <w:rPr>
      <w:smallCaps/>
      <w:sz w:val="20"/>
    </w:rPr>
  </w:style>
  <w:style w:type="character" w:customStyle="1" w:styleId="FooterChar">
    <w:name w:val="Footer Char"/>
    <w:link w:val="Footer"/>
    <w:rsid w:val="00A13FF9"/>
    <w:rPr>
      <w:rFonts w:ascii="Times New Roman" w:eastAsia="Times New Roman" w:hAnsi="Times New Roman" w:cs="Times New Roman"/>
      <w:smallCaps/>
      <w:sz w:val="20"/>
      <w:szCs w:val="20"/>
    </w:rPr>
  </w:style>
  <w:style w:type="paragraph" w:styleId="FootnoteText">
    <w:name w:val="footnote text"/>
    <w:basedOn w:val="Normal"/>
    <w:link w:val="FootnoteTextChar"/>
    <w:rsid w:val="00A13FF9"/>
    <w:rPr>
      <w:sz w:val="18"/>
    </w:rPr>
  </w:style>
  <w:style w:type="character" w:customStyle="1" w:styleId="FootnoteTextChar">
    <w:name w:val="Footnote Text Char"/>
    <w:link w:val="FootnoteText"/>
    <w:rsid w:val="00A13FF9"/>
    <w:rPr>
      <w:rFonts w:ascii="Times New Roman" w:eastAsia="Times New Roman" w:hAnsi="Times New Roman" w:cs="Times New Roman"/>
      <w:sz w:val="18"/>
      <w:szCs w:val="20"/>
    </w:rPr>
  </w:style>
  <w:style w:type="paragraph" w:styleId="Header">
    <w:name w:val="header"/>
    <w:basedOn w:val="Normal"/>
    <w:link w:val="HeaderChar"/>
    <w:rsid w:val="00A13FF9"/>
    <w:pPr>
      <w:pBdr>
        <w:bottom w:val="single" w:sz="4" w:space="1" w:color="auto"/>
      </w:pBdr>
      <w:tabs>
        <w:tab w:val="center" w:pos="4680"/>
        <w:tab w:val="right" w:pos="9360"/>
      </w:tabs>
      <w:jc w:val="right"/>
    </w:pPr>
    <w:rPr>
      <w:smallCaps/>
      <w:sz w:val="20"/>
    </w:rPr>
  </w:style>
  <w:style w:type="character" w:customStyle="1" w:styleId="HeaderChar">
    <w:name w:val="Header Char"/>
    <w:link w:val="Header"/>
    <w:rsid w:val="00A13FF9"/>
    <w:rPr>
      <w:rFonts w:ascii="Times New Roman" w:eastAsia="Times New Roman" w:hAnsi="Times New Roman" w:cs="Times New Roman"/>
      <w:smallCaps/>
      <w:sz w:val="20"/>
      <w:szCs w:val="20"/>
    </w:rPr>
  </w:style>
  <w:style w:type="character" w:styleId="Hyperlink">
    <w:name w:val="Hyperlink"/>
    <w:uiPriority w:val="99"/>
    <w:rsid w:val="00A13FF9"/>
    <w:rPr>
      <w:color w:val="0000FF"/>
      <w:u w:val="single"/>
    </w:rPr>
  </w:style>
  <w:style w:type="paragraph" w:styleId="TOC1">
    <w:name w:val="toc 1"/>
    <w:basedOn w:val="Normal"/>
    <w:next w:val="Normal"/>
    <w:autoRedefine/>
    <w:uiPriority w:val="39"/>
    <w:rsid w:val="009E7BCF"/>
    <w:pPr>
      <w:tabs>
        <w:tab w:val="left" w:pos="540"/>
        <w:tab w:val="right" w:leader="dot" w:pos="9360"/>
      </w:tabs>
      <w:spacing w:before="120" w:after="120"/>
      <w:ind w:left="540" w:right="720" w:hanging="540"/>
    </w:pPr>
    <w:rPr>
      <w:b/>
      <w:bCs/>
      <w:noProof/>
    </w:rPr>
  </w:style>
  <w:style w:type="paragraph" w:styleId="TOC2">
    <w:name w:val="toc 2"/>
    <w:basedOn w:val="Normal"/>
    <w:next w:val="Normal"/>
    <w:autoRedefine/>
    <w:uiPriority w:val="39"/>
    <w:rsid w:val="00A13FF9"/>
    <w:pPr>
      <w:tabs>
        <w:tab w:val="left" w:pos="1260"/>
        <w:tab w:val="right" w:leader="dot" w:pos="9360"/>
      </w:tabs>
      <w:ind w:left="1260" w:right="720" w:hanging="720"/>
    </w:pPr>
    <w:rPr>
      <w:sz w:val="20"/>
    </w:rPr>
  </w:style>
  <w:style w:type="paragraph" w:styleId="TOC3">
    <w:name w:val="toc 3"/>
    <w:basedOn w:val="Normal"/>
    <w:next w:val="Normal"/>
    <w:autoRedefine/>
    <w:uiPriority w:val="39"/>
    <w:rsid w:val="0098177F"/>
    <w:pPr>
      <w:tabs>
        <w:tab w:val="left" w:pos="1980"/>
        <w:tab w:val="right" w:leader="dot" w:pos="9360"/>
      </w:tabs>
      <w:ind w:left="1980" w:right="720" w:hanging="900"/>
    </w:pPr>
    <w:rPr>
      <w:i/>
      <w:iCs/>
      <w:noProof/>
      <w:sz w:val="20"/>
    </w:rPr>
  </w:style>
  <w:style w:type="character" w:styleId="PageNumber">
    <w:name w:val="page number"/>
    <w:basedOn w:val="DefaultParagraphFont"/>
    <w:rsid w:val="00A13FF9"/>
  </w:style>
  <w:style w:type="paragraph" w:styleId="TOC4">
    <w:name w:val="toc 4"/>
    <w:basedOn w:val="Normal"/>
    <w:next w:val="Normal"/>
    <w:autoRedefine/>
    <w:uiPriority w:val="39"/>
    <w:rsid w:val="007A5F57"/>
    <w:pPr>
      <w:tabs>
        <w:tab w:val="left" w:pos="2700"/>
        <w:tab w:val="right" w:leader="dot" w:pos="9360"/>
      </w:tabs>
      <w:ind w:left="2700" w:right="720" w:hanging="1080"/>
    </w:pPr>
    <w:rPr>
      <w:noProof/>
      <w:sz w:val="20"/>
      <w:lang w:val="fr-FR"/>
    </w:rPr>
  </w:style>
  <w:style w:type="paragraph" w:styleId="TOC5">
    <w:name w:val="toc 5"/>
    <w:basedOn w:val="Normal"/>
    <w:next w:val="Normal"/>
    <w:autoRedefine/>
    <w:uiPriority w:val="39"/>
    <w:rsid w:val="00A13FF9"/>
    <w:pPr>
      <w:tabs>
        <w:tab w:val="left" w:pos="3600"/>
        <w:tab w:val="right" w:leader="dot" w:pos="9360"/>
      </w:tabs>
      <w:ind w:left="3600" w:right="720" w:hanging="1260"/>
    </w:pPr>
    <w:rPr>
      <w:i/>
      <w:noProof/>
      <w:sz w:val="18"/>
      <w:szCs w:val="18"/>
    </w:rPr>
  </w:style>
  <w:style w:type="paragraph" w:styleId="List2">
    <w:name w:val="List 2"/>
    <w:aliases w:val="Char2,Char2 Char Char, Char2"/>
    <w:basedOn w:val="Normal"/>
    <w:link w:val="List2Char"/>
    <w:rsid w:val="00A13FF9"/>
    <w:pPr>
      <w:spacing w:after="240"/>
      <w:ind w:left="2160" w:hanging="720"/>
    </w:pPr>
  </w:style>
  <w:style w:type="paragraph" w:styleId="List3">
    <w:name w:val="List 3"/>
    <w:basedOn w:val="Normal"/>
    <w:rsid w:val="00A13FF9"/>
    <w:pPr>
      <w:spacing w:after="240"/>
      <w:ind w:left="2880" w:hanging="720"/>
    </w:pPr>
  </w:style>
  <w:style w:type="paragraph" w:styleId="TOC6">
    <w:name w:val="toc 6"/>
    <w:basedOn w:val="Normal"/>
    <w:next w:val="Normal"/>
    <w:autoRedefine/>
    <w:uiPriority w:val="39"/>
    <w:rsid w:val="00A13FF9"/>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rsid w:val="00A13FF9"/>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rsid w:val="00A13FF9"/>
    <w:pPr>
      <w:ind w:left="1680"/>
    </w:pPr>
    <w:rPr>
      <w:sz w:val="18"/>
      <w:szCs w:val="18"/>
    </w:rPr>
  </w:style>
  <w:style w:type="paragraph" w:styleId="TOC9">
    <w:name w:val="toc 9"/>
    <w:basedOn w:val="Normal"/>
    <w:next w:val="Normal"/>
    <w:autoRedefine/>
    <w:uiPriority w:val="39"/>
    <w:rsid w:val="00A13FF9"/>
    <w:pPr>
      <w:ind w:left="1920"/>
    </w:pPr>
    <w:rPr>
      <w:sz w:val="18"/>
      <w:szCs w:val="18"/>
    </w:rPr>
  </w:style>
  <w:style w:type="paragraph" w:customStyle="1" w:styleId="H5">
    <w:name w:val="H5"/>
    <w:basedOn w:val="Heading5"/>
    <w:next w:val="BodyText"/>
    <w:link w:val="H5Char"/>
    <w:rsid w:val="00A13FF9"/>
    <w:pPr>
      <w:numPr>
        <w:ilvl w:val="0"/>
        <w:numId w:val="0"/>
      </w:numPr>
      <w:tabs>
        <w:tab w:val="clear" w:pos="1440"/>
        <w:tab w:val="left" w:pos="1620"/>
      </w:tabs>
      <w:ind w:left="1620" w:hanging="1620"/>
    </w:pPr>
  </w:style>
  <w:style w:type="paragraph" w:customStyle="1" w:styleId="H2">
    <w:name w:val="H2"/>
    <w:basedOn w:val="Heading2"/>
    <w:next w:val="BodyText"/>
    <w:link w:val="H2Char"/>
    <w:rsid w:val="00A13FF9"/>
    <w:pPr>
      <w:numPr>
        <w:ilvl w:val="0"/>
        <w:numId w:val="0"/>
      </w:numPr>
      <w:tabs>
        <w:tab w:val="clear" w:pos="720"/>
        <w:tab w:val="left" w:pos="900"/>
      </w:tabs>
      <w:ind w:left="900" w:hanging="900"/>
    </w:pPr>
  </w:style>
  <w:style w:type="paragraph" w:customStyle="1" w:styleId="H4">
    <w:name w:val="H4"/>
    <w:basedOn w:val="Heading4"/>
    <w:next w:val="BodyText"/>
    <w:link w:val="H4Char"/>
    <w:rsid w:val="00A13FF9"/>
    <w:pPr>
      <w:numPr>
        <w:ilvl w:val="0"/>
        <w:numId w:val="0"/>
      </w:numPr>
      <w:tabs>
        <w:tab w:val="clear" w:pos="1296"/>
        <w:tab w:val="left" w:pos="1260"/>
      </w:tabs>
      <w:ind w:left="1260" w:hanging="1260"/>
    </w:pPr>
  </w:style>
  <w:style w:type="paragraph" w:customStyle="1" w:styleId="H6">
    <w:name w:val="H6"/>
    <w:basedOn w:val="Heading6"/>
    <w:next w:val="BodyText"/>
    <w:link w:val="H6Char"/>
    <w:rsid w:val="00A13FF9"/>
    <w:pPr>
      <w:numPr>
        <w:ilvl w:val="0"/>
        <w:numId w:val="0"/>
      </w:numPr>
      <w:tabs>
        <w:tab w:val="clear" w:pos="1584"/>
        <w:tab w:val="left" w:pos="1800"/>
      </w:tabs>
      <w:ind w:left="1800" w:hanging="1800"/>
    </w:pPr>
  </w:style>
  <w:style w:type="paragraph" w:customStyle="1" w:styleId="H7">
    <w:name w:val="H7"/>
    <w:basedOn w:val="Heading7"/>
    <w:next w:val="BodyText"/>
    <w:rsid w:val="00A13FF9"/>
    <w:pPr>
      <w:numPr>
        <w:ilvl w:val="0"/>
        <w:numId w:val="0"/>
      </w:numPr>
      <w:tabs>
        <w:tab w:val="clear" w:pos="1728"/>
        <w:tab w:val="left" w:pos="1980"/>
      </w:tabs>
      <w:ind w:left="1980" w:hanging="1980"/>
    </w:pPr>
    <w:rPr>
      <w:b/>
      <w:i/>
    </w:rPr>
  </w:style>
  <w:style w:type="paragraph" w:customStyle="1" w:styleId="H8">
    <w:name w:val="H8"/>
    <w:basedOn w:val="Heading8"/>
    <w:next w:val="BodyText"/>
    <w:rsid w:val="00A13FF9"/>
    <w:pPr>
      <w:numPr>
        <w:ilvl w:val="0"/>
        <w:numId w:val="0"/>
      </w:numPr>
      <w:tabs>
        <w:tab w:val="clear" w:pos="1872"/>
        <w:tab w:val="left" w:pos="2160"/>
      </w:tabs>
      <w:ind w:left="2160" w:hanging="2160"/>
    </w:pPr>
    <w:rPr>
      <w:b/>
      <w:i w:val="0"/>
    </w:rPr>
  </w:style>
  <w:style w:type="paragraph" w:customStyle="1" w:styleId="H9">
    <w:name w:val="H9"/>
    <w:basedOn w:val="Heading9"/>
    <w:next w:val="BodyText"/>
    <w:rsid w:val="00A13FF9"/>
    <w:pPr>
      <w:numPr>
        <w:ilvl w:val="0"/>
        <w:numId w:val="0"/>
      </w:numPr>
      <w:tabs>
        <w:tab w:val="clear" w:pos="2160"/>
        <w:tab w:val="left" w:pos="2340"/>
      </w:tabs>
      <w:ind w:left="2340" w:hanging="2340"/>
    </w:pPr>
    <w:rPr>
      <w:i/>
    </w:rPr>
  </w:style>
  <w:style w:type="paragraph" w:customStyle="1" w:styleId="VariableDefinition">
    <w:name w:val="Variable Definition"/>
    <w:basedOn w:val="Normal"/>
    <w:link w:val="VariableDefinitionChar"/>
    <w:rsid w:val="00A13FF9"/>
    <w:pPr>
      <w:tabs>
        <w:tab w:val="left" w:pos="2160"/>
      </w:tabs>
      <w:spacing w:after="240"/>
      <w:ind w:left="2160" w:hanging="1440"/>
      <w:contextualSpacing/>
    </w:pPr>
    <w:rPr>
      <w:iCs/>
    </w:rPr>
  </w:style>
  <w:style w:type="paragraph" w:customStyle="1" w:styleId="FormulaBold">
    <w:name w:val="Formula Bold"/>
    <w:basedOn w:val="Normal"/>
    <w:link w:val="FormulaBoldChar"/>
    <w:rsid w:val="00A13FF9"/>
    <w:pPr>
      <w:tabs>
        <w:tab w:val="left" w:pos="2250"/>
        <w:tab w:val="left" w:pos="3150"/>
        <w:tab w:val="left" w:pos="3960"/>
      </w:tabs>
      <w:spacing w:after="240"/>
      <w:ind w:left="3960" w:hanging="3240"/>
    </w:pPr>
    <w:rPr>
      <w:b/>
      <w:bCs/>
      <w:szCs w:val="24"/>
    </w:rPr>
  </w:style>
  <w:style w:type="character" w:customStyle="1" w:styleId="FormulaBoldChar">
    <w:name w:val="Formula Bold Char"/>
    <w:link w:val="FormulaBold"/>
    <w:rsid w:val="00A13FF9"/>
    <w:rPr>
      <w:rFonts w:ascii="Times New Roman" w:eastAsia="Times New Roman" w:hAnsi="Times New Roman" w:cs="Times New Roman"/>
      <w:b/>
      <w:bCs/>
      <w:sz w:val="24"/>
      <w:szCs w:val="24"/>
    </w:rPr>
  </w:style>
  <w:style w:type="paragraph" w:customStyle="1" w:styleId="Formula">
    <w:name w:val="Formula"/>
    <w:basedOn w:val="Normal"/>
    <w:link w:val="FormulaChar"/>
    <w:rsid w:val="00A13FF9"/>
    <w:pPr>
      <w:tabs>
        <w:tab w:val="left" w:pos="2160"/>
        <w:tab w:val="left" w:pos="2880"/>
      </w:tabs>
      <w:spacing w:after="240"/>
      <w:ind w:leftChars="300" w:left="300" w:hangingChars="900" w:hanging="900"/>
    </w:pPr>
    <w:rPr>
      <w:bCs/>
      <w:szCs w:val="24"/>
    </w:rPr>
  </w:style>
  <w:style w:type="paragraph" w:customStyle="1" w:styleId="BodyTextNumbered">
    <w:name w:val="Body Text Numbered"/>
    <w:basedOn w:val="BodyText"/>
    <w:link w:val="BodyTextNumberedChar"/>
    <w:rsid w:val="00A13FF9"/>
    <w:pPr>
      <w:ind w:left="720" w:hanging="720"/>
    </w:pPr>
    <w:rPr>
      <w:iCs w:val="0"/>
    </w:rPr>
  </w:style>
  <w:style w:type="paragraph" w:customStyle="1" w:styleId="tablecontents">
    <w:name w:val="table contents"/>
    <w:basedOn w:val="Normal"/>
    <w:rsid w:val="00A13FF9"/>
    <w:rPr>
      <w:sz w:val="20"/>
    </w:rPr>
  </w:style>
  <w:style w:type="paragraph" w:styleId="BalloonText">
    <w:name w:val="Balloon Text"/>
    <w:basedOn w:val="Normal"/>
    <w:link w:val="BalloonTextChar"/>
    <w:uiPriority w:val="99"/>
    <w:rsid w:val="00A13FF9"/>
    <w:rPr>
      <w:rFonts w:ascii="Tahoma" w:hAnsi="Tahoma" w:cs="Tahoma"/>
      <w:sz w:val="16"/>
      <w:szCs w:val="16"/>
    </w:rPr>
  </w:style>
  <w:style w:type="character" w:customStyle="1" w:styleId="BalloonTextChar">
    <w:name w:val="Balloon Text Char"/>
    <w:link w:val="BalloonText"/>
    <w:uiPriority w:val="99"/>
    <w:rsid w:val="00A13FF9"/>
    <w:rPr>
      <w:rFonts w:ascii="Tahoma" w:eastAsia="Times New Roman" w:hAnsi="Tahoma" w:cs="Tahoma"/>
      <w:sz w:val="16"/>
      <w:szCs w:val="16"/>
    </w:rPr>
  </w:style>
  <w:style w:type="character" w:styleId="CommentReference">
    <w:name w:val="annotation reference"/>
    <w:rsid w:val="00A13FF9"/>
    <w:rPr>
      <w:sz w:val="16"/>
      <w:szCs w:val="16"/>
    </w:rPr>
  </w:style>
  <w:style w:type="paragraph" w:styleId="CommentText">
    <w:name w:val="annotation text"/>
    <w:basedOn w:val="Normal"/>
    <w:link w:val="CommentTextChar"/>
    <w:rsid w:val="00A13FF9"/>
    <w:rPr>
      <w:sz w:val="20"/>
    </w:rPr>
  </w:style>
  <w:style w:type="character" w:customStyle="1" w:styleId="CommentTextChar">
    <w:name w:val="Comment Text Char"/>
    <w:link w:val="CommentText"/>
    <w:rsid w:val="00A13F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A13FF9"/>
    <w:rPr>
      <w:b/>
      <w:bCs/>
    </w:rPr>
  </w:style>
  <w:style w:type="character" w:customStyle="1" w:styleId="CommentSubjectChar">
    <w:name w:val="Comment Subject Char"/>
    <w:link w:val="CommentSubject"/>
    <w:uiPriority w:val="99"/>
    <w:rsid w:val="00A13FF9"/>
    <w:rPr>
      <w:rFonts w:ascii="Times New Roman" w:eastAsia="Times New Roman" w:hAnsi="Times New Roman" w:cs="Times New Roman"/>
      <w:b/>
      <w:bCs/>
      <w:sz w:val="20"/>
      <w:szCs w:val="20"/>
    </w:rPr>
  </w:style>
  <w:style w:type="paragraph" w:customStyle="1" w:styleId="HeadSub">
    <w:name w:val="Head Sub"/>
    <w:basedOn w:val="BodyText"/>
    <w:next w:val="BodyText"/>
    <w:rsid w:val="00A13FF9"/>
    <w:pPr>
      <w:keepNext/>
      <w:spacing w:before="240"/>
    </w:pPr>
    <w:rPr>
      <w:b/>
    </w:rPr>
  </w:style>
  <w:style w:type="paragraph" w:customStyle="1" w:styleId="TableBody">
    <w:name w:val="Table Body"/>
    <w:basedOn w:val="BodyText"/>
    <w:rsid w:val="00A13FF9"/>
    <w:pPr>
      <w:spacing w:after="60"/>
    </w:pPr>
    <w:rPr>
      <w:sz w:val="20"/>
    </w:rPr>
  </w:style>
  <w:style w:type="paragraph" w:customStyle="1" w:styleId="TableHead">
    <w:name w:val="Table Head"/>
    <w:basedOn w:val="BodyText"/>
    <w:rsid w:val="00A13FF9"/>
    <w:pPr>
      <w:spacing w:after="120"/>
    </w:pPr>
    <w:rPr>
      <w:b/>
      <w:sz w:val="20"/>
    </w:rPr>
  </w:style>
  <w:style w:type="paragraph" w:styleId="DocumentMap">
    <w:name w:val="Document Map"/>
    <w:basedOn w:val="Normal"/>
    <w:link w:val="DocumentMapChar"/>
    <w:rsid w:val="00A13FF9"/>
    <w:pPr>
      <w:shd w:val="clear" w:color="auto" w:fill="000080"/>
    </w:pPr>
    <w:rPr>
      <w:rFonts w:ascii="Tahoma" w:hAnsi="Tahoma" w:cs="Tahoma"/>
      <w:sz w:val="20"/>
    </w:rPr>
  </w:style>
  <w:style w:type="character" w:customStyle="1" w:styleId="DocumentMapChar">
    <w:name w:val="Document Map Char"/>
    <w:link w:val="DocumentMap"/>
    <w:rsid w:val="00A13FF9"/>
    <w:rPr>
      <w:rFonts w:ascii="Tahoma" w:eastAsia="Times New Roman" w:hAnsi="Tahoma" w:cs="Tahoma"/>
      <w:sz w:val="20"/>
      <w:szCs w:val="20"/>
      <w:shd w:val="clear" w:color="auto" w:fill="000080"/>
    </w:rPr>
  </w:style>
  <w:style w:type="character" w:styleId="FollowedHyperlink">
    <w:name w:val="FollowedHyperlink"/>
    <w:rsid w:val="00A13FF9"/>
    <w:rPr>
      <w:color w:val="800080"/>
      <w:u w:val="single"/>
    </w:rPr>
  </w:style>
  <w:style w:type="paragraph" w:customStyle="1" w:styleId="Default">
    <w:name w:val="Default"/>
    <w:rsid w:val="00A13FF9"/>
    <w:pPr>
      <w:autoSpaceDE w:val="0"/>
      <w:autoSpaceDN w:val="0"/>
      <w:adjustRightInd w:val="0"/>
    </w:pPr>
    <w:rPr>
      <w:rFonts w:ascii="Arial" w:eastAsia="Times New Roman" w:hAnsi="Arial" w:cs="Arial"/>
      <w:color w:val="000000"/>
      <w:sz w:val="24"/>
      <w:szCs w:val="24"/>
    </w:rPr>
  </w:style>
  <w:style w:type="paragraph" w:customStyle="1" w:styleId="VariableDefinitionwide">
    <w:name w:val="Variable Definition wide"/>
    <w:basedOn w:val="Normal"/>
    <w:rsid w:val="00A13FF9"/>
    <w:pPr>
      <w:tabs>
        <w:tab w:val="left" w:pos="2160"/>
      </w:tabs>
      <w:spacing w:after="240"/>
      <w:ind w:left="4320" w:hanging="3600"/>
      <w:contextualSpacing/>
    </w:pPr>
    <w:rPr>
      <w:iCs/>
    </w:rPr>
  </w:style>
  <w:style w:type="paragraph" w:styleId="BlockText">
    <w:name w:val="Block Text"/>
    <w:basedOn w:val="Normal"/>
    <w:rsid w:val="00A13FF9"/>
    <w:pPr>
      <w:spacing w:after="120"/>
      <w:ind w:left="1440" w:right="1440"/>
    </w:pPr>
  </w:style>
  <w:style w:type="paragraph" w:styleId="NormalWeb">
    <w:name w:val="Normal (Web)"/>
    <w:basedOn w:val="Normal"/>
    <w:uiPriority w:val="99"/>
    <w:rsid w:val="00A13FF9"/>
    <w:pPr>
      <w:spacing w:before="100" w:beforeAutospacing="1" w:after="100" w:afterAutospacing="1"/>
    </w:pPr>
    <w:rPr>
      <w:szCs w:val="24"/>
    </w:rPr>
  </w:style>
  <w:style w:type="paragraph" w:customStyle="1" w:styleId="H3">
    <w:name w:val="H3"/>
    <w:basedOn w:val="Heading3"/>
    <w:next w:val="BodyText"/>
    <w:link w:val="H3Char"/>
    <w:rsid w:val="00A13FF9"/>
    <w:pPr>
      <w:numPr>
        <w:ilvl w:val="0"/>
        <w:numId w:val="0"/>
      </w:numPr>
      <w:tabs>
        <w:tab w:val="clear" w:pos="1008"/>
        <w:tab w:val="left" w:pos="1080"/>
      </w:tabs>
      <w:ind w:left="1080" w:hanging="1080"/>
    </w:pPr>
  </w:style>
  <w:style w:type="table" w:styleId="TableGrid">
    <w:name w:val="Table Grid"/>
    <w:basedOn w:val="TableNormal"/>
    <w:rsid w:val="00A13F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Char">
    <w:name w:val="H2 Char"/>
    <w:link w:val="H2"/>
    <w:rsid w:val="00A13FF9"/>
    <w:rPr>
      <w:rFonts w:ascii="Times New Roman" w:eastAsia="Times New Roman" w:hAnsi="Times New Roman" w:cs="Times New Roman"/>
      <w:b/>
      <w:sz w:val="24"/>
      <w:szCs w:val="20"/>
    </w:rPr>
  </w:style>
  <w:style w:type="character" w:customStyle="1" w:styleId="CharChar">
    <w:name w:val="Char Char"/>
    <w:aliases w:val="Body Text Indent Char, Char Char"/>
    <w:rsid w:val="00A13FF9"/>
    <w:rPr>
      <w:iCs/>
      <w:sz w:val="24"/>
      <w:lang w:val="en-US" w:eastAsia="en-US" w:bidi="ar-SA"/>
    </w:rPr>
  </w:style>
  <w:style w:type="paragraph" w:customStyle="1" w:styleId="NormalArial">
    <w:name w:val="Normal+Arial"/>
    <w:basedOn w:val="Normal"/>
    <w:link w:val="NormalArialChar"/>
    <w:rsid w:val="00A13FF9"/>
    <w:rPr>
      <w:rFonts w:ascii="Arial" w:hAnsi="Arial"/>
      <w:szCs w:val="24"/>
    </w:rPr>
  </w:style>
  <w:style w:type="paragraph" w:customStyle="1" w:styleId="TableBullet">
    <w:name w:val="Table Bullet"/>
    <w:basedOn w:val="TableBody"/>
    <w:rsid w:val="00A13FF9"/>
    <w:pPr>
      <w:numPr>
        <w:numId w:val="2"/>
      </w:numPr>
      <w:tabs>
        <w:tab w:val="clear" w:pos="360"/>
        <w:tab w:val="num" w:pos="1080"/>
      </w:tabs>
      <w:ind w:left="0" w:firstLine="0"/>
    </w:pPr>
  </w:style>
  <w:style w:type="character" w:customStyle="1" w:styleId="NormalArialChar">
    <w:name w:val="Normal+Arial Char"/>
    <w:link w:val="NormalArial"/>
    <w:rsid w:val="00A13FF9"/>
    <w:rPr>
      <w:rFonts w:ascii="Arial" w:eastAsia="Times New Roman" w:hAnsi="Arial" w:cs="Times New Roman"/>
      <w:sz w:val="24"/>
      <w:szCs w:val="24"/>
    </w:rPr>
  </w:style>
  <w:style w:type="character" w:customStyle="1" w:styleId="BodyTextNumberedChar">
    <w:name w:val="Body Text Numbered Char"/>
    <w:link w:val="BodyTextNumbered"/>
    <w:rsid w:val="00A13FF9"/>
    <w:rPr>
      <w:rFonts w:ascii="Times New Roman" w:eastAsia="Times New Roman" w:hAnsi="Times New Roman" w:cs="Times New Roman"/>
      <w:sz w:val="24"/>
      <w:szCs w:val="20"/>
    </w:rPr>
  </w:style>
  <w:style w:type="character" w:customStyle="1" w:styleId="BodyTextCharChar2">
    <w:name w:val="Body Text Char Char2"/>
    <w:aliases w:val=" Char Char Char Char Char Char Char Char1,Body Text Char Char Char Char Char, Char Char Char Char Char Char Char Char1 Char Char Char, Char Char Char Char Char Char1 Char"/>
    <w:rsid w:val="00A13FF9"/>
    <w:rPr>
      <w:iCs/>
      <w:sz w:val="24"/>
      <w:lang w:val="en-US" w:eastAsia="en-US" w:bidi="ar-SA"/>
    </w:rPr>
  </w:style>
  <w:style w:type="character" w:customStyle="1" w:styleId="ListChar">
    <w:name w:val="List Char"/>
    <w:aliases w:val=" Char2 Char Char Char Char Char1, Char2 Char Char, Char1 Char,Char2 Char Char Char Char Char1"/>
    <w:link w:val="List"/>
    <w:rsid w:val="00A13FF9"/>
    <w:rPr>
      <w:rFonts w:ascii="Times New Roman" w:eastAsia="Times New Roman" w:hAnsi="Times New Roman" w:cs="Times New Roman"/>
      <w:sz w:val="24"/>
      <w:szCs w:val="20"/>
    </w:rPr>
  </w:style>
  <w:style w:type="character" w:customStyle="1" w:styleId="BodyTextNumberedChar1">
    <w:name w:val="Body Text Numbered Char1"/>
    <w:rsid w:val="00A13FF9"/>
    <w:rPr>
      <w:iCs/>
      <w:sz w:val="24"/>
      <w:lang w:val="en-US" w:eastAsia="en-US" w:bidi="ar-SA"/>
    </w:rPr>
  </w:style>
  <w:style w:type="character" w:customStyle="1" w:styleId="FormulaChar">
    <w:name w:val="Formula Char"/>
    <w:link w:val="Formula"/>
    <w:rsid w:val="00A13FF9"/>
    <w:rPr>
      <w:rFonts w:ascii="Times New Roman" w:eastAsia="Times New Roman" w:hAnsi="Times New Roman" w:cs="Times New Roman"/>
      <w:bCs/>
      <w:sz w:val="24"/>
      <w:szCs w:val="24"/>
    </w:rPr>
  </w:style>
  <w:style w:type="paragraph" w:customStyle="1" w:styleId="Char3">
    <w:name w:val="Char3"/>
    <w:basedOn w:val="Normal"/>
    <w:rsid w:val="00A13FF9"/>
    <w:pPr>
      <w:spacing w:after="160" w:line="240" w:lineRule="exact"/>
    </w:pPr>
    <w:rPr>
      <w:rFonts w:ascii="Verdana" w:hAnsi="Verdana"/>
      <w:sz w:val="16"/>
    </w:rPr>
  </w:style>
  <w:style w:type="paragraph" w:customStyle="1" w:styleId="Char">
    <w:name w:val="Char"/>
    <w:basedOn w:val="Normal"/>
    <w:rsid w:val="00A13FF9"/>
    <w:pPr>
      <w:spacing w:after="160" w:line="240" w:lineRule="exact"/>
    </w:pPr>
    <w:rPr>
      <w:rFonts w:ascii="Verdana" w:hAnsi="Verdana"/>
      <w:sz w:val="16"/>
    </w:rPr>
  </w:style>
  <w:style w:type="paragraph" w:customStyle="1" w:styleId="formula0">
    <w:name w:val="formula"/>
    <w:basedOn w:val="Normal"/>
    <w:rsid w:val="00A13FF9"/>
    <w:pPr>
      <w:spacing w:after="120"/>
      <w:ind w:left="720" w:hanging="720"/>
    </w:pPr>
    <w:rPr>
      <w:szCs w:val="24"/>
    </w:rPr>
  </w:style>
  <w:style w:type="character" w:customStyle="1" w:styleId="H4Char">
    <w:name w:val="H4 Char"/>
    <w:link w:val="H4"/>
    <w:rsid w:val="00A13FF9"/>
    <w:rPr>
      <w:rFonts w:ascii="Times New Roman" w:eastAsia="Times New Roman" w:hAnsi="Times New Roman" w:cs="Times New Roman"/>
      <w:b/>
      <w:bCs/>
      <w:snapToGrid w:val="0"/>
      <w:sz w:val="24"/>
      <w:szCs w:val="20"/>
    </w:rPr>
  </w:style>
  <w:style w:type="paragraph" w:customStyle="1" w:styleId="tablebody0">
    <w:name w:val="tablebody"/>
    <w:basedOn w:val="Normal"/>
    <w:rsid w:val="00A13FF9"/>
    <w:pPr>
      <w:spacing w:after="60"/>
    </w:pPr>
    <w:rPr>
      <w:sz w:val="20"/>
    </w:rPr>
  </w:style>
  <w:style w:type="paragraph" w:customStyle="1" w:styleId="Instructions">
    <w:name w:val="Instructions"/>
    <w:basedOn w:val="BodyText"/>
    <w:link w:val="InstructionsChar"/>
    <w:rsid w:val="00A13FF9"/>
    <w:rPr>
      <w:b/>
      <w:i/>
      <w:szCs w:val="24"/>
    </w:rPr>
  </w:style>
  <w:style w:type="character" w:customStyle="1" w:styleId="InstructionsChar">
    <w:name w:val="Instructions Char"/>
    <w:link w:val="Instructions"/>
    <w:rsid w:val="00A13FF9"/>
    <w:rPr>
      <w:rFonts w:ascii="Times New Roman" w:eastAsia="Times New Roman" w:hAnsi="Times New Roman" w:cs="Times New Roman"/>
      <w:b/>
      <w:i/>
      <w:iCs/>
      <w:sz w:val="24"/>
      <w:szCs w:val="24"/>
    </w:rPr>
  </w:style>
  <w:style w:type="paragraph" w:customStyle="1" w:styleId="Char4">
    <w:name w:val="Char4"/>
    <w:basedOn w:val="Normal"/>
    <w:rsid w:val="00A13FF9"/>
    <w:pPr>
      <w:spacing w:after="160" w:line="240" w:lineRule="exact"/>
    </w:pPr>
    <w:rPr>
      <w:rFonts w:ascii="Verdana" w:hAnsi="Verdana"/>
      <w:sz w:val="16"/>
    </w:rPr>
  </w:style>
  <w:style w:type="paragraph" w:customStyle="1" w:styleId="TXUHeader">
    <w:name w:val="TXUHeader"/>
    <w:basedOn w:val="Normal"/>
    <w:rsid w:val="00A13FF9"/>
    <w:pPr>
      <w:tabs>
        <w:tab w:val="right" w:pos="9360"/>
      </w:tabs>
    </w:pPr>
    <w:rPr>
      <w:noProof/>
      <w:sz w:val="16"/>
    </w:rPr>
  </w:style>
  <w:style w:type="paragraph" w:customStyle="1" w:styleId="Char32">
    <w:name w:val="Char32"/>
    <w:basedOn w:val="Normal"/>
    <w:rsid w:val="00A13FF9"/>
    <w:pPr>
      <w:spacing w:after="160" w:line="240" w:lineRule="exact"/>
    </w:pPr>
    <w:rPr>
      <w:rFonts w:ascii="Verdana" w:hAnsi="Verdana"/>
      <w:sz w:val="16"/>
    </w:rPr>
  </w:style>
  <w:style w:type="paragraph" w:customStyle="1" w:styleId="Char31">
    <w:name w:val="Char31"/>
    <w:basedOn w:val="Normal"/>
    <w:rsid w:val="00A13FF9"/>
    <w:pPr>
      <w:spacing w:after="160" w:line="240" w:lineRule="exact"/>
    </w:pPr>
    <w:rPr>
      <w:rFonts w:ascii="Verdana" w:hAnsi="Verdana"/>
      <w:sz w:val="16"/>
    </w:rPr>
  </w:style>
  <w:style w:type="character" w:customStyle="1" w:styleId="H5Char">
    <w:name w:val="H5 Char"/>
    <w:link w:val="H5"/>
    <w:rsid w:val="00A13FF9"/>
    <w:rPr>
      <w:rFonts w:ascii="Times New Roman" w:eastAsia="Times New Roman" w:hAnsi="Times New Roman" w:cs="Times New Roman"/>
      <w:b/>
      <w:bCs/>
      <w:i/>
      <w:iCs/>
      <w:sz w:val="24"/>
      <w:szCs w:val="26"/>
    </w:rPr>
  </w:style>
  <w:style w:type="paragraph" w:customStyle="1" w:styleId="TableBulletBullet">
    <w:name w:val="Table Bullet/Bullet"/>
    <w:basedOn w:val="Normal"/>
    <w:rsid w:val="00A13FF9"/>
    <w:pPr>
      <w:numPr>
        <w:numId w:val="3"/>
      </w:numPr>
    </w:pPr>
  </w:style>
  <w:style w:type="paragraph" w:customStyle="1" w:styleId="Char1">
    <w:name w:val="Char1"/>
    <w:basedOn w:val="Normal"/>
    <w:rsid w:val="00A13FF9"/>
    <w:pPr>
      <w:spacing w:after="160" w:line="240" w:lineRule="exact"/>
    </w:pPr>
    <w:rPr>
      <w:rFonts w:ascii="Verdana" w:hAnsi="Verdana"/>
      <w:sz w:val="16"/>
    </w:rPr>
  </w:style>
  <w:style w:type="paragraph" w:customStyle="1" w:styleId="Char11">
    <w:name w:val="Char11"/>
    <w:basedOn w:val="Normal"/>
    <w:rsid w:val="00A13FF9"/>
    <w:pPr>
      <w:spacing w:after="160" w:line="240" w:lineRule="exact"/>
    </w:pPr>
    <w:rPr>
      <w:rFonts w:ascii="Verdana" w:hAnsi="Verdana"/>
      <w:sz w:val="16"/>
    </w:rPr>
  </w:style>
  <w:style w:type="paragraph" w:styleId="Revision">
    <w:name w:val="Revision"/>
    <w:hidden/>
    <w:uiPriority w:val="99"/>
    <w:rsid w:val="00A13FF9"/>
    <w:rPr>
      <w:rFonts w:ascii="Times New Roman" w:eastAsia="Times New Roman" w:hAnsi="Times New Roman"/>
      <w:sz w:val="24"/>
    </w:rPr>
  </w:style>
  <w:style w:type="character" w:customStyle="1" w:styleId="H3Char">
    <w:name w:val="H3 Char"/>
    <w:link w:val="H3"/>
    <w:rsid w:val="00A13FF9"/>
    <w:rPr>
      <w:rFonts w:ascii="Times New Roman" w:eastAsia="Times New Roman" w:hAnsi="Times New Roman" w:cs="Times New Roman"/>
      <w:b/>
      <w:bCs/>
      <w:i/>
      <w:sz w:val="24"/>
      <w:szCs w:val="20"/>
    </w:rPr>
  </w:style>
  <w:style w:type="table" w:customStyle="1" w:styleId="BoxedLanguage">
    <w:name w:val="Boxed Language"/>
    <w:basedOn w:val="TableNormal"/>
    <w:rsid w:val="00A13FF9"/>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TXUSubject">
    <w:name w:val="TXUSubject"/>
    <w:basedOn w:val="Normal"/>
    <w:next w:val="Normal"/>
    <w:rsid w:val="00A13FF9"/>
    <w:pPr>
      <w:spacing w:after="240"/>
    </w:pPr>
    <w:rPr>
      <w:b/>
      <w:sz w:val="20"/>
    </w:rPr>
  </w:style>
  <w:style w:type="table" w:customStyle="1" w:styleId="FormulaVariableTable">
    <w:name w:val="Formula Variable Table"/>
    <w:basedOn w:val="TableNormal"/>
    <w:rsid w:val="00A13FF9"/>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customStyle="1" w:styleId="ListChar1">
    <w:name w:val="List Char1"/>
    <w:aliases w:val=" Char2 Char Char Char Char Char, Char2 Char Char1,Char1 Char1"/>
    <w:uiPriority w:val="99"/>
    <w:rsid w:val="00A13FF9"/>
    <w:rPr>
      <w:sz w:val="24"/>
    </w:rPr>
  </w:style>
  <w:style w:type="character" w:customStyle="1" w:styleId="H6Char">
    <w:name w:val="H6 Char"/>
    <w:link w:val="H6"/>
    <w:rsid w:val="00A13FF9"/>
    <w:rPr>
      <w:rFonts w:ascii="Times New Roman" w:eastAsia="Times New Roman" w:hAnsi="Times New Roman" w:cs="Times New Roman"/>
      <w:b/>
      <w:bCs/>
      <w:sz w:val="24"/>
    </w:rPr>
  </w:style>
  <w:style w:type="paragraph" w:customStyle="1" w:styleId="ColorfulList-Accent11">
    <w:name w:val="Colorful List - Accent 11"/>
    <w:basedOn w:val="Normal"/>
    <w:qFormat/>
    <w:rsid w:val="000169BA"/>
    <w:pPr>
      <w:ind w:left="720"/>
      <w:contextualSpacing/>
    </w:pPr>
    <w:rPr>
      <w:szCs w:val="24"/>
    </w:rPr>
  </w:style>
  <w:style w:type="paragraph" w:styleId="ListParagraph">
    <w:name w:val="List Paragraph"/>
    <w:basedOn w:val="Normal"/>
    <w:uiPriority w:val="34"/>
    <w:qFormat/>
    <w:rsid w:val="000169BA"/>
    <w:pPr>
      <w:ind w:left="720"/>
      <w:contextualSpacing/>
    </w:pPr>
    <w:rPr>
      <w:szCs w:val="24"/>
    </w:rPr>
  </w:style>
  <w:style w:type="character" w:customStyle="1" w:styleId="msoins0">
    <w:name w:val="msoins"/>
    <w:rsid w:val="00C61B40"/>
  </w:style>
  <w:style w:type="paragraph" w:styleId="HTMLAddress">
    <w:name w:val="HTML Address"/>
    <w:basedOn w:val="Normal"/>
    <w:link w:val="HTMLAddressChar"/>
    <w:unhideWhenUsed/>
    <w:rsid w:val="00773B28"/>
    <w:rPr>
      <w:i/>
      <w:iCs/>
    </w:rPr>
  </w:style>
  <w:style w:type="character" w:customStyle="1" w:styleId="HTMLAddressChar">
    <w:name w:val="HTML Address Char"/>
    <w:basedOn w:val="DefaultParagraphFont"/>
    <w:link w:val="HTMLAddress"/>
    <w:rsid w:val="00773B28"/>
    <w:rPr>
      <w:rFonts w:ascii="Times New Roman" w:eastAsia="Times New Roman" w:hAnsi="Times New Roman"/>
      <w:i/>
      <w:iCs/>
      <w:sz w:val="24"/>
    </w:rPr>
  </w:style>
  <w:style w:type="character" w:customStyle="1" w:styleId="Heading1Char1">
    <w:name w:val="Heading 1 Char1"/>
    <w:aliases w:val="h1 Char1"/>
    <w:basedOn w:val="DefaultParagraphFont"/>
    <w:rsid w:val="00773B2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h2 Char1"/>
    <w:basedOn w:val="DefaultParagraphFont"/>
    <w:semiHidden/>
    <w:rsid w:val="00773B2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h3 Char1"/>
    <w:basedOn w:val="DefaultParagraphFont"/>
    <w:semiHidden/>
    <w:rsid w:val="00773B28"/>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h4 Char1,delete Char1"/>
    <w:basedOn w:val="DefaultParagraphFont"/>
    <w:semiHidden/>
    <w:rsid w:val="00773B28"/>
    <w:rPr>
      <w:rFonts w:asciiTheme="majorHAnsi" w:eastAsiaTheme="majorEastAsia" w:hAnsiTheme="majorHAnsi" w:cstheme="majorBidi"/>
      <w:i/>
      <w:iCs/>
      <w:color w:val="2E74B5" w:themeColor="accent1" w:themeShade="BF"/>
      <w:sz w:val="24"/>
      <w:szCs w:val="24"/>
    </w:rPr>
  </w:style>
  <w:style w:type="character" w:customStyle="1" w:styleId="Heading5Char1">
    <w:name w:val="Heading 5 Char1"/>
    <w:aliases w:val="h5 Char1"/>
    <w:basedOn w:val="DefaultParagraphFont"/>
    <w:semiHidden/>
    <w:rsid w:val="00773B28"/>
    <w:rPr>
      <w:rFonts w:asciiTheme="majorHAnsi" w:eastAsiaTheme="majorEastAsia" w:hAnsiTheme="majorHAnsi" w:cstheme="majorBidi"/>
      <w:color w:val="2E74B5" w:themeColor="accent1" w:themeShade="BF"/>
      <w:sz w:val="24"/>
      <w:szCs w:val="24"/>
    </w:rPr>
  </w:style>
  <w:style w:type="character" w:customStyle="1" w:styleId="Heading6Char1">
    <w:name w:val="Heading 6 Char1"/>
    <w:aliases w:val="h6 Char1"/>
    <w:basedOn w:val="DefaultParagraphFont"/>
    <w:semiHidden/>
    <w:rsid w:val="00773B28"/>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nhideWhenUsed/>
    <w:rsid w:val="00773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773B28"/>
    <w:rPr>
      <w:rFonts w:ascii="Courier New" w:eastAsia="Times New Roman" w:hAnsi="Courier New" w:cs="Courier New"/>
    </w:rPr>
  </w:style>
  <w:style w:type="paragraph" w:styleId="Index1">
    <w:name w:val="index 1"/>
    <w:basedOn w:val="Normal"/>
    <w:next w:val="Normal"/>
    <w:autoRedefine/>
    <w:unhideWhenUsed/>
    <w:rsid w:val="00773B28"/>
    <w:pPr>
      <w:ind w:left="240" w:hanging="240"/>
    </w:pPr>
  </w:style>
  <w:style w:type="paragraph" w:styleId="Index2">
    <w:name w:val="index 2"/>
    <w:basedOn w:val="Normal"/>
    <w:next w:val="Normal"/>
    <w:autoRedefine/>
    <w:unhideWhenUsed/>
    <w:rsid w:val="00773B28"/>
    <w:pPr>
      <w:ind w:left="480" w:hanging="240"/>
    </w:pPr>
  </w:style>
  <w:style w:type="paragraph" w:styleId="Index3">
    <w:name w:val="index 3"/>
    <w:basedOn w:val="Normal"/>
    <w:next w:val="Normal"/>
    <w:autoRedefine/>
    <w:unhideWhenUsed/>
    <w:rsid w:val="00773B28"/>
    <w:pPr>
      <w:ind w:left="720" w:hanging="240"/>
    </w:pPr>
  </w:style>
  <w:style w:type="paragraph" w:styleId="Index4">
    <w:name w:val="index 4"/>
    <w:basedOn w:val="Normal"/>
    <w:next w:val="Normal"/>
    <w:autoRedefine/>
    <w:unhideWhenUsed/>
    <w:rsid w:val="00773B28"/>
    <w:pPr>
      <w:ind w:left="960" w:hanging="240"/>
    </w:pPr>
  </w:style>
  <w:style w:type="paragraph" w:styleId="Index5">
    <w:name w:val="index 5"/>
    <w:basedOn w:val="Normal"/>
    <w:next w:val="Normal"/>
    <w:autoRedefine/>
    <w:unhideWhenUsed/>
    <w:rsid w:val="00773B28"/>
    <w:pPr>
      <w:ind w:left="1200" w:hanging="240"/>
    </w:pPr>
  </w:style>
  <w:style w:type="paragraph" w:styleId="Index6">
    <w:name w:val="index 6"/>
    <w:basedOn w:val="Normal"/>
    <w:next w:val="Normal"/>
    <w:autoRedefine/>
    <w:unhideWhenUsed/>
    <w:rsid w:val="00773B28"/>
    <w:pPr>
      <w:ind w:left="1440" w:hanging="240"/>
    </w:pPr>
  </w:style>
  <w:style w:type="paragraph" w:styleId="Index7">
    <w:name w:val="index 7"/>
    <w:basedOn w:val="Normal"/>
    <w:next w:val="Normal"/>
    <w:autoRedefine/>
    <w:unhideWhenUsed/>
    <w:rsid w:val="00773B28"/>
    <w:pPr>
      <w:ind w:left="1680" w:hanging="240"/>
    </w:pPr>
  </w:style>
  <w:style w:type="paragraph" w:styleId="Index8">
    <w:name w:val="index 8"/>
    <w:basedOn w:val="Normal"/>
    <w:next w:val="Normal"/>
    <w:autoRedefine/>
    <w:unhideWhenUsed/>
    <w:rsid w:val="00773B28"/>
    <w:pPr>
      <w:ind w:left="1920" w:hanging="240"/>
    </w:pPr>
  </w:style>
  <w:style w:type="paragraph" w:styleId="Index9">
    <w:name w:val="index 9"/>
    <w:basedOn w:val="Normal"/>
    <w:next w:val="Normal"/>
    <w:autoRedefine/>
    <w:unhideWhenUsed/>
    <w:rsid w:val="00773B28"/>
    <w:pPr>
      <w:ind w:left="2160" w:hanging="240"/>
    </w:pPr>
  </w:style>
  <w:style w:type="paragraph" w:styleId="NormalIndent">
    <w:name w:val="Normal Indent"/>
    <w:basedOn w:val="Normal"/>
    <w:unhideWhenUsed/>
    <w:rsid w:val="00773B28"/>
    <w:pPr>
      <w:ind w:left="720"/>
    </w:pPr>
  </w:style>
  <w:style w:type="paragraph" w:styleId="IndexHeading">
    <w:name w:val="index heading"/>
    <w:basedOn w:val="Normal"/>
    <w:next w:val="Index1"/>
    <w:unhideWhenUsed/>
    <w:rsid w:val="00773B28"/>
    <w:rPr>
      <w:rFonts w:ascii="Arial" w:hAnsi="Arial" w:cs="Arial"/>
      <w:b/>
      <w:bCs/>
    </w:rPr>
  </w:style>
  <w:style w:type="paragraph" w:styleId="Caption">
    <w:name w:val="caption"/>
    <w:basedOn w:val="Normal"/>
    <w:next w:val="Normal"/>
    <w:unhideWhenUsed/>
    <w:qFormat/>
    <w:rsid w:val="00773B28"/>
    <w:rPr>
      <w:b/>
      <w:bCs/>
      <w:sz w:val="20"/>
    </w:rPr>
  </w:style>
  <w:style w:type="paragraph" w:styleId="TableofFigures">
    <w:name w:val="table of figures"/>
    <w:basedOn w:val="Normal"/>
    <w:next w:val="Normal"/>
    <w:unhideWhenUsed/>
    <w:rsid w:val="00773B28"/>
  </w:style>
  <w:style w:type="paragraph" w:styleId="EnvelopeAddress">
    <w:name w:val="envelope address"/>
    <w:basedOn w:val="Normal"/>
    <w:unhideWhenUsed/>
    <w:rsid w:val="00773B28"/>
    <w:pPr>
      <w:framePr w:w="7920" w:h="1980" w:hSpace="180" w:wrap="auto" w:hAnchor="page" w:xAlign="center" w:yAlign="bottom"/>
      <w:ind w:left="2880"/>
    </w:pPr>
    <w:rPr>
      <w:rFonts w:ascii="Arial" w:hAnsi="Arial" w:cs="Arial"/>
      <w:szCs w:val="24"/>
    </w:rPr>
  </w:style>
  <w:style w:type="paragraph" w:styleId="EnvelopeReturn">
    <w:name w:val="envelope return"/>
    <w:basedOn w:val="Normal"/>
    <w:unhideWhenUsed/>
    <w:rsid w:val="00773B28"/>
    <w:rPr>
      <w:rFonts w:ascii="Arial" w:hAnsi="Arial" w:cs="Arial"/>
      <w:sz w:val="20"/>
    </w:rPr>
  </w:style>
  <w:style w:type="paragraph" w:styleId="EndnoteText">
    <w:name w:val="endnote text"/>
    <w:basedOn w:val="Normal"/>
    <w:link w:val="EndnoteTextChar"/>
    <w:unhideWhenUsed/>
    <w:rsid w:val="00773B28"/>
    <w:rPr>
      <w:sz w:val="20"/>
    </w:rPr>
  </w:style>
  <w:style w:type="character" w:customStyle="1" w:styleId="EndnoteTextChar">
    <w:name w:val="Endnote Text Char"/>
    <w:basedOn w:val="DefaultParagraphFont"/>
    <w:link w:val="EndnoteText"/>
    <w:rsid w:val="00773B28"/>
    <w:rPr>
      <w:rFonts w:ascii="Times New Roman" w:eastAsia="Times New Roman" w:hAnsi="Times New Roman"/>
    </w:rPr>
  </w:style>
  <w:style w:type="paragraph" w:styleId="TableofAuthorities">
    <w:name w:val="table of authorities"/>
    <w:basedOn w:val="Normal"/>
    <w:next w:val="Normal"/>
    <w:unhideWhenUsed/>
    <w:rsid w:val="00773B28"/>
    <w:pPr>
      <w:ind w:left="240" w:hanging="240"/>
    </w:pPr>
  </w:style>
  <w:style w:type="paragraph" w:styleId="MacroText">
    <w:name w:val="macro"/>
    <w:link w:val="MacroTextChar"/>
    <w:unhideWhenUsed/>
    <w:rsid w:val="00773B2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rsid w:val="00773B28"/>
    <w:rPr>
      <w:rFonts w:ascii="Courier New" w:eastAsia="Times New Roman" w:hAnsi="Courier New" w:cs="Courier New"/>
    </w:rPr>
  </w:style>
  <w:style w:type="paragraph" w:styleId="TOAHeading">
    <w:name w:val="toa heading"/>
    <w:basedOn w:val="Normal"/>
    <w:next w:val="Normal"/>
    <w:unhideWhenUsed/>
    <w:rsid w:val="00773B28"/>
    <w:pPr>
      <w:spacing w:before="120"/>
    </w:pPr>
    <w:rPr>
      <w:rFonts w:ascii="Arial" w:hAnsi="Arial" w:cs="Arial"/>
      <w:b/>
      <w:bCs/>
      <w:szCs w:val="24"/>
    </w:rPr>
  </w:style>
  <w:style w:type="paragraph" w:styleId="ListBullet">
    <w:name w:val="List Bullet"/>
    <w:basedOn w:val="Normal"/>
    <w:unhideWhenUsed/>
    <w:rsid w:val="00773B28"/>
    <w:pPr>
      <w:tabs>
        <w:tab w:val="num" w:pos="360"/>
      </w:tabs>
      <w:ind w:left="360" w:hanging="360"/>
    </w:pPr>
  </w:style>
  <w:style w:type="paragraph" w:styleId="ListNumber">
    <w:name w:val="List Number"/>
    <w:basedOn w:val="Normal"/>
    <w:unhideWhenUsed/>
    <w:rsid w:val="00773B28"/>
    <w:pPr>
      <w:tabs>
        <w:tab w:val="num" w:pos="360"/>
      </w:tabs>
      <w:ind w:left="360" w:hanging="360"/>
    </w:pPr>
  </w:style>
  <w:style w:type="character" w:customStyle="1" w:styleId="List2Char">
    <w:name w:val="List 2 Char"/>
    <w:aliases w:val="Char2 Char,Char2 Char Char Char, Char2 Char1"/>
    <w:link w:val="List2"/>
    <w:locked/>
    <w:rsid w:val="00773B28"/>
    <w:rPr>
      <w:rFonts w:ascii="Times New Roman" w:eastAsia="Times New Roman" w:hAnsi="Times New Roman"/>
      <w:sz w:val="24"/>
    </w:rPr>
  </w:style>
  <w:style w:type="paragraph" w:styleId="List4">
    <w:name w:val="List 4"/>
    <w:basedOn w:val="Normal"/>
    <w:unhideWhenUsed/>
    <w:rsid w:val="00773B28"/>
    <w:pPr>
      <w:ind w:left="1440" w:hanging="360"/>
    </w:pPr>
  </w:style>
  <w:style w:type="paragraph" w:styleId="List5">
    <w:name w:val="List 5"/>
    <w:basedOn w:val="Normal"/>
    <w:unhideWhenUsed/>
    <w:rsid w:val="00773B28"/>
    <w:pPr>
      <w:ind w:left="1800" w:hanging="360"/>
    </w:pPr>
  </w:style>
  <w:style w:type="paragraph" w:styleId="ListBullet2">
    <w:name w:val="List Bullet 2"/>
    <w:basedOn w:val="Normal"/>
    <w:unhideWhenUsed/>
    <w:rsid w:val="00773B28"/>
    <w:pPr>
      <w:tabs>
        <w:tab w:val="num" w:pos="720"/>
      </w:tabs>
      <w:ind w:left="720" w:hanging="360"/>
    </w:pPr>
  </w:style>
  <w:style w:type="paragraph" w:styleId="ListBullet3">
    <w:name w:val="List Bullet 3"/>
    <w:basedOn w:val="Normal"/>
    <w:unhideWhenUsed/>
    <w:rsid w:val="00773B28"/>
    <w:pPr>
      <w:tabs>
        <w:tab w:val="num" w:pos="1080"/>
      </w:tabs>
      <w:ind w:left="1080" w:hanging="360"/>
    </w:pPr>
  </w:style>
  <w:style w:type="paragraph" w:styleId="ListBullet4">
    <w:name w:val="List Bullet 4"/>
    <w:basedOn w:val="Normal"/>
    <w:unhideWhenUsed/>
    <w:rsid w:val="00773B28"/>
    <w:pPr>
      <w:tabs>
        <w:tab w:val="num" w:pos="1440"/>
      </w:tabs>
      <w:ind w:left="1440" w:hanging="360"/>
    </w:pPr>
  </w:style>
  <w:style w:type="paragraph" w:styleId="ListBullet5">
    <w:name w:val="List Bullet 5"/>
    <w:basedOn w:val="Normal"/>
    <w:unhideWhenUsed/>
    <w:rsid w:val="00773B28"/>
    <w:pPr>
      <w:tabs>
        <w:tab w:val="num" w:pos="1800"/>
      </w:tabs>
      <w:ind w:left="1800" w:hanging="360"/>
    </w:pPr>
  </w:style>
  <w:style w:type="paragraph" w:styleId="ListNumber2">
    <w:name w:val="List Number 2"/>
    <w:basedOn w:val="Normal"/>
    <w:unhideWhenUsed/>
    <w:rsid w:val="00773B28"/>
    <w:pPr>
      <w:tabs>
        <w:tab w:val="num" w:pos="720"/>
      </w:tabs>
      <w:ind w:left="720" w:hanging="360"/>
    </w:pPr>
  </w:style>
  <w:style w:type="paragraph" w:styleId="ListNumber3">
    <w:name w:val="List Number 3"/>
    <w:basedOn w:val="Normal"/>
    <w:unhideWhenUsed/>
    <w:rsid w:val="00773B28"/>
    <w:pPr>
      <w:tabs>
        <w:tab w:val="num" w:pos="1080"/>
      </w:tabs>
      <w:ind w:left="1080" w:hanging="360"/>
    </w:pPr>
  </w:style>
  <w:style w:type="paragraph" w:styleId="ListNumber4">
    <w:name w:val="List Number 4"/>
    <w:basedOn w:val="Normal"/>
    <w:unhideWhenUsed/>
    <w:rsid w:val="00773B28"/>
    <w:pPr>
      <w:tabs>
        <w:tab w:val="num" w:pos="1440"/>
      </w:tabs>
      <w:ind w:left="1440" w:hanging="360"/>
    </w:pPr>
  </w:style>
  <w:style w:type="paragraph" w:styleId="ListNumber5">
    <w:name w:val="List Number 5"/>
    <w:basedOn w:val="Normal"/>
    <w:unhideWhenUsed/>
    <w:rsid w:val="00773B28"/>
    <w:pPr>
      <w:tabs>
        <w:tab w:val="num" w:pos="1800"/>
      </w:tabs>
      <w:ind w:left="1800" w:hanging="360"/>
    </w:pPr>
  </w:style>
  <w:style w:type="paragraph" w:styleId="Title">
    <w:name w:val="Title"/>
    <w:basedOn w:val="Normal"/>
    <w:link w:val="TitleChar"/>
    <w:qFormat/>
    <w:rsid w:val="00773B28"/>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773B28"/>
    <w:rPr>
      <w:rFonts w:ascii="Arial" w:eastAsia="Times New Roman" w:hAnsi="Arial" w:cs="Arial"/>
      <w:b/>
      <w:bCs/>
      <w:kern w:val="28"/>
      <w:sz w:val="32"/>
      <w:szCs w:val="32"/>
    </w:rPr>
  </w:style>
  <w:style w:type="paragraph" w:styleId="Closing">
    <w:name w:val="Closing"/>
    <w:basedOn w:val="Normal"/>
    <w:link w:val="ClosingChar"/>
    <w:unhideWhenUsed/>
    <w:rsid w:val="00773B28"/>
    <w:pPr>
      <w:ind w:left="4320"/>
    </w:pPr>
  </w:style>
  <w:style w:type="character" w:customStyle="1" w:styleId="ClosingChar">
    <w:name w:val="Closing Char"/>
    <w:basedOn w:val="DefaultParagraphFont"/>
    <w:link w:val="Closing"/>
    <w:rsid w:val="00773B28"/>
    <w:rPr>
      <w:rFonts w:ascii="Times New Roman" w:eastAsia="Times New Roman" w:hAnsi="Times New Roman"/>
      <w:sz w:val="24"/>
    </w:rPr>
  </w:style>
  <w:style w:type="paragraph" w:styleId="Signature">
    <w:name w:val="Signature"/>
    <w:basedOn w:val="Normal"/>
    <w:link w:val="SignatureChar"/>
    <w:unhideWhenUsed/>
    <w:rsid w:val="00773B28"/>
    <w:pPr>
      <w:ind w:left="4320"/>
    </w:pPr>
  </w:style>
  <w:style w:type="character" w:customStyle="1" w:styleId="SignatureChar">
    <w:name w:val="Signature Char"/>
    <w:basedOn w:val="DefaultParagraphFont"/>
    <w:link w:val="Signature"/>
    <w:rsid w:val="00773B28"/>
    <w:rPr>
      <w:rFonts w:ascii="Times New Roman" w:eastAsia="Times New Roman" w:hAnsi="Times New Roman"/>
      <w:sz w:val="24"/>
    </w:rPr>
  </w:style>
  <w:style w:type="paragraph" w:styleId="BodyTextIndent">
    <w:name w:val="Body Text Indent"/>
    <w:aliases w:val=" Char"/>
    <w:basedOn w:val="Normal"/>
    <w:link w:val="BodyTextIndentChar1"/>
    <w:unhideWhenUsed/>
    <w:rsid w:val="00773B28"/>
    <w:pPr>
      <w:spacing w:after="160" w:line="240" w:lineRule="exact"/>
    </w:pPr>
    <w:rPr>
      <w:rFonts w:ascii="Verdana" w:hAnsi="Verdana"/>
      <w:sz w:val="16"/>
    </w:rPr>
  </w:style>
  <w:style w:type="character" w:customStyle="1" w:styleId="BodyTextIndentChar1">
    <w:name w:val="Body Text Indent Char1"/>
    <w:aliases w:val=" Char Char1"/>
    <w:basedOn w:val="DefaultParagraphFont"/>
    <w:link w:val="BodyTextIndent"/>
    <w:uiPriority w:val="99"/>
    <w:rsid w:val="00773B28"/>
    <w:rPr>
      <w:rFonts w:ascii="Verdana" w:eastAsia="Times New Roman" w:hAnsi="Verdana"/>
      <w:sz w:val="16"/>
    </w:rPr>
  </w:style>
  <w:style w:type="paragraph" w:styleId="ListContinue">
    <w:name w:val="List Continue"/>
    <w:basedOn w:val="Normal"/>
    <w:unhideWhenUsed/>
    <w:rsid w:val="00773B28"/>
    <w:pPr>
      <w:spacing w:after="120"/>
      <w:ind w:left="360"/>
    </w:pPr>
  </w:style>
  <w:style w:type="paragraph" w:styleId="ListContinue2">
    <w:name w:val="List Continue 2"/>
    <w:basedOn w:val="Normal"/>
    <w:unhideWhenUsed/>
    <w:rsid w:val="00773B28"/>
    <w:pPr>
      <w:spacing w:after="120"/>
      <w:ind w:left="720"/>
    </w:pPr>
  </w:style>
  <w:style w:type="paragraph" w:styleId="ListContinue3">
    <w:name w:val="List Continue 3"/>
    <w:basedOn w:val="Normal"/>
    <w:unhideWhenUsed/>
    <w:rsid w:val="00773B28"/>
    <w:pPr>
      <w:spacing w:after="120"/>
      <w:ind w:left="1080"/>
    </w:pPr>
  </w:style>
  <w:style w:type="paragraph" w:styleId="ListContinue4">
    <w:name w:val="List Continue 4"/>
    <w:basedOn w:val="Normal"/>
    <w:unhideWhenUsed/>
    <w:rsid w:val="00773B28"/>
    <w:pPr>
      <w:spacing w:after="120"/>
      <w:ind w:left="1440"/>
    </w:pPr>
  </w:style>
  <w:style w:type="paragraph" w:styleId="ListContinue5">
    <w:name w:val="List Continue 5"/>
    <w:basedOn w:val="Normal"/>
    <w:unhideWhenUsed/>
    <w:rsid w:val="00773B28"/>
    <w:pPr>
      <w:spacing w:after="120"/>
      <w:ind w:left="1800"/>
    </w:pPr>
  </w:style>
  <w:style w:type="paragraph" w:styleId="MessageHeader">
    <w:name w:val="Message Header"/>
    <w:basedOn w:val="Normal"/>
    <w:link w:val="MessageHeaderChar"/>
    <w:unhideWhenUsed/>
    <w:rsid w:val="00773B2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rsid w:val="00773B28"/>
    <w:rPr>
      <w:rFonts w:ascii="Arial" w:eastAsia="Times New Roman" w:hAnsi="Arial" w:cs="Arial"/>
      <w:sz w:val="24"/>
      <w:szCs w:val="24"/>
      <w:shd w:val="pct20" w:color="auto" w:fill="auto"/>
    </w:rPr>
  </w:style>
  <w:style w:type="paragraph" w:styleId="Subtitle">
    <w:name w:val="Subtitle"/>
    <w:basedOn w:val="Normal"/>
    <w:link w:val="SubtitleChar"/>
    <w:qFormat/>
    <w:rsid w:val="00773B28"/>
    <w:pPr>
      <w:spacing w:after="60"/>
      <w:jc w:val="center"/>
      <w:outlineLvl w:val="1"/>
    </w:pPr>
    <w:rPr>
      <w:rFonts w:ascii="Arial" w:hAnsi="Arial" w:cs="Arial"/>
      <w:szCs w:val="24"/>
    </w:rPr>
  </w:style>
  <w:style w:type="character" w:customStyle="1" w:styleId="SubtitleChar">
    <w:name w:val="Subtitle Char"/>
    <w:basedOn w:val="DefaultParagraphFont"/>
    <w:link w:val="Subtitle"/>
    <w:rsid w:val="00773B28"/>
    <w:rPr>
      <w:rFonts w:ascii="Arial" w:eastAsia="Times New Roman" w:hAnsi="Arial" w:cs="Arial"/>
      <w:sz w:val="24"/>
      <w:szCs w:val="24"/>
    </w:rPr>
  </w:style>
  <w:style w:type="paragraph" w:styleId="Salutation">
    <w:name w:val="Salutation"/>
    <w:basedOn w:val="Normal"/>
    <w:next w:val="Normal"/>
    <w:link w:val="SalutationChar"/>
    <w:unhideWhenUsed/>
    <w:rsid w:val="00773B28"/>
  </w:style>
  <w:style w:type="character" w:customStyle="1" w:styleId="SalutationChar">
    <w:name w:val="Salutation Char"/>
    <w:basedOn w:val="DefaultParagraphFont"/>
    <w:link w:val="Salutation"/>
    <w:rsid w:val="00773B28"/>
    <w:rPr>
      <w:rFonts w:ascii="Times New Roman" w:eastAsia="Times New Roman" w:hAnsi="Times New Roman"/>
      <w:sz w:val="24"/>
    </w:rPr>
  </w:style>
  <w:style w:type="paragraph" w:styleId="Date">
    <w:name w:val="Date"/>
    <w:basedOn w:val="Normal"/>
    <w:next w:val="Normal"/>
    <w:link w:val="DateChar"/>
    <w:unhideWhenUsed/>
    <w:rsid w:val="00773B28"/>
  </w:style>
  <w:style w:type="character" w:customStyle="1" w:styleId="DateChar">
    <w:name w:val="Date Char"/>
    <w:basedOn w:val="DefaultParagraphFont"/>
    <w:link w:val="Date"/>
    <w:rsid w:val="00773B28"/>
    <w:rPr>
      <w:rFonts w:ascii="Times New Roman" w:eastAsia="Times New Roman" w:hAnsi="Times New Roman"/>
      <w:sz w:val="24"/>
    </w:rPr>
  </w:style>
  <w:style w:type="paragraph" w:styleId="BodyTextFirstIndent2">
    <w:name w:val="Body Text First Indent 2"/>
    <w:basedOn w:val="BodyTextIndent"/>
    <w:link w:val="BodyTextFirstIndent2Char"/>
    <w:unhideWhenUsed/>
    <w:rsid w:val="00773B28"/>
    <w:pPr>
      <w:spacing w:after="120" w:line="240" w:lineRule="auto"/>
      <w:ind w:left="360" w:firstLine="210"/>
    </w:pPr>
    <w:rPr>
      <w:rFonts w:ascii="Times New Roman" w:hAnsi="Times New Roman"/>
      <w:sz w:val="24"/>
    </w:rPr>
  </w:style>
  <w:style w:type="character" w:customStyle="1" w:styleId="BodyTextFirstIndent2Char">
    <w:name w:val="Body Text First Indent 2 Char"/>
    <w:basedOn w:val="BodyTextIndentChar1"/>
    <w:link w:val="BodyTextFirstIndent2"/>
    <w:rsid w:val="00773B28"/>
    <w:rPr>
      <w:rFonts w:ascii="Times New Roman" w:eastAsia="Times New Roman" w:hAnsi="Times New Roman"/>
      <w:sz w:val="24"/>
    </w:rPr>
  </w:style>
  <w:style w:type="paragraph" w:styleId="NoteHeading">
    <w:name w:val="Note Heading"/>
    <w:basedOn w:val="Normal"/>
    <w:next w:val="Normal"/>
    <w:link w:val="NoteHeadingChar"/>
    <w:unhideWhenUsed/>
    <w:rsid w:val="00773B28"/>
  </w:style>
  <w:style w:type="character" w:customStyle="1" w:styleId="NoteHeadingChar">
    <w:name w:val="Note Heading Char"/>
    <w:basedOn w:val="DefaultParagraphFont"/>
    <w:link w:val="NoteHeading"/>
    <w:rsid w:val="00773B28"/>
    <w:rPr>
      <w:rFonts w:ascii="Times New Roman" w:eastAsia="Times New Roman" w:hAnsi="Times New Roman"/>
      <w:sz w:val="24"/>
    </w:rPr>
  </w:style>
  <w:style w:type="paragraph" w:styleId="BodyText2">
    <w:name w:val="Body Text 2"/>
    <w:basedOn w:val="Normal"/>
    <w:link w:val="BodyText2Char"/>
    <w:unhideWhenUsed/>
    <w:rsid w:val="00773B28"/>
    <w:pPr>
      <w:spacing w:after="120" w:line="480" w:lineRule="auto"/>
    </w:pPr>
  </w:style>
  <w:style w:type="character" w:customStyle="1" w:styleId="BodyText2Char">
    <w:name w:val="Body Text 2 Char"/>
    <w:basedOn w:val="DefaultParagraphFont"/>
    <w:link w:val="BodyText2"/>
    <w:rsid w:val="00773B28"/>
    <w:rPr>
      <w:rFonts w:ascii="Times New Roman" w:eastAsia="Times New Roman" w:hAnsi="Times New Roman"/>
      <w:sz w:val="24"/>
    </w:rPr>
  </w:style>
  <w:style w:type="paragraph" w:styleId="BodyText3">
    <w:name w:val="Body Text 3"/>
    <w:basedOn w:val="Normal"/>
    <w:link w:val="BodyText3Char"/>
    <w:unhideWhenUsed/>
    <w:rsid w:val="00773B28"/>
    <w:pPr>
      <w:spacing w:after="120"/>
    </w:pPr>
    <w:rPr>
      <w:sz w:val="16"/>
      <w:szCs w:val="16"/>
    </w:rPr>
  </w:style>
  <w:style w:type="character" w:customStyle="1" w:styleId="BodyText3Char">
    <w:name w:val="Body Text 3 Char"/>
    <w:basedOn w:val="DefaultParagraphFont"/>
    <w:link w:val="BodyText3"/>
    <w:rsid w:val="00773B28"/>
    <w:rPr>
      <w:rFonts w:ascii="Times New Roman" w:eastAsia="Times New Roman" w:hAnsi="Times New Roman"/>
      <w:sz w:val="16"/>
      <w:szCs w:val="16"/>
    </w:rPr>
  </w:style>
  <w:style w:type="paragraph" w:styleId="BodyTextIndent2">
    <w:name w:val="Body Text Indent 2"/>
    <w:basedOn w:val="Normal"/>
    <w:link w:val="BodyTextIndent2Char"/>
    <w:unhideWhenUsed/>
    <w:rsid w:val="00773B28"/>
    <w:pPr>
      <w:spacing w:after="120" w:line="480" w:lineRule="auto"/>
      <w:ind w:left="360"/>
    </w:pPr>
  </w:style>
  <w:style w:type="character" w:customStyle="1" w:styleId="BodyTextIndent2Char">
    <w:name w:val="Body Text Indent 2 Char"/>
    <w:basedOn w:val="DefaultParagraphFont"/>
    <w:link w:val="BodyTextIndent2"/>
    <w:rsid w:val="00773B28"/>
    <w:rPr>
      <w:rFonts w:ascii="Times New Roman" w:eastAsia="Times New Roman" w:hAnsi="Times New Roman"/>
      <w:sz w:val="24"/>
    </w:rPr>
  </w:style>
  <w:style w:type="paragraph" w:styleId="BodyTextIndent3">
    <w:name w:val="Body Text Indent 3"/>
    <w:basedOn w:val="Normal"/>
    <w:link w:val="BodyTextIndent3Char"/>
    <w:unhideWhenUsed/>
    <w:rsid w:val="00773B28"/>
    <w:pPr>
      <w:spacing w:after="120"/>
      <w:ind w:left="360"/>
    </w:pPr>
    <w:rPr>
      <w:sz w:val="16"/>
      <w:szCs w:val="16"/>
    </w:rPr>
  </w:style>
  <w:style w:type="character" w:customStyle="1" w:styleId="BodyTextIndent3Char">
    <w:name w:val="Body Text Indent 3 Char"/>
    <w:basedOn w:val="DefaultParagraphFont"/>
    <w:link w:val="BodyTextIndent3"/>
    <w:rsid w:val="00773B28"/>
    <w:rPr>
      <w:rFonts w:ascii="Times New Roman" w:eastAsia="Times New Roman" w:hAnsi="Times New Roman"/>
      <w:sz w:val="16"/>
      <w:szCs w:val="16"/>
    </w:rPr>
  </w:style>
  <w:style w:type="paragraph" w:styleId="PlainText">
    <w:name w:val="Plain Text"/>
    <w:basedOn w:val="Normal"/>
    <w:link w:val="PlainTextChar"/>
    <w:unhideWhenUsed/>
    <w:rsid w:val="00773B28"/>
    <w:rPr>
      <w:rFonts w:ascii="Courier New" w:hAnsi="Courier New" w:cs="Courier New"/>
      <w:sz w:val="20"/>
    </w:rPr>
  </w:style>
  <w:style w:type="character" w:customStyle="1" w:styleId="PlainTextChar">
    <w:name w:val="Plain Text Char"/>
    <w:basedOn w:val="DefaultParagraphFont"/>
    <w:link w:val="PlainText"/>
    <w:rsid w:val="00773B28"/>
    <w:rPr>
      <w:rFonts w:ascii="Courier New" w:eastAsia="Times New Roman" w:hAnsi="Courier New" w:cs="Courier New"/>
    </w:rPr>
  </w:style>
  <w:style w:type="paragraph" w:styleId="E-mailSignature">
    <w:name w:val="E-mail Signature"/>
    <w:basedOn w:val="Normal"/>
    <w:link w:val="E-mailSignatureChar"/>
    <w:unhideWhenUsed/>
    <w:rsid w:val="00773B28"/>
  </w:style>
  <w:style w:type="character" w:customStyle="1" w:styleId="E-mailSignatureChar">
    <w:name w:val="E-mail Signature Char"/>
    <w:basedOn w:val="DefaultParagraphFont"/>
    <w:link w:val="E-mailSignature"/>
    <w:rsid w:val="00773B28"/>
    <w:rPr>
      <w:rFonts w:ascii="Times New Roman" w:eastAsia="Times New Roman" w:hAnsi="Times New Roman"/>
      <w:sz w:val="24"/>
    </w:rPr>
  </w:style>
  <w:style w:type="paragraph" w:styleId="NoSpacing">
    <w:name w:val="No Spacing"/>
    <w:uiPriority w:val="1"/>
    <w:qFormat/>
    <w:rsid w:val="00773B28"/>
    <w:rPr>
      <w:rFonts w:ascii="Times New Roman" w:eastAsia="Times New Roman" w:hAnsi="Times New Roman"/>
      <w:sz w:val="24"/>
      <w:szCs w:val="24"/>
    </w:rPr>
  </w:style>
  <w:style w:type="paragraph" w:customStyle="1" w:styleId="TXUNormal">
    <w:name w:val="TXUNormal"/>
    <w:rsid w:val="00773B28"/>
    <w:pPr>
      <w:spacing w:after="120"/>
    </w:pPr>
    <w:rPr>
      <w:rFonts w:ascii="Times New Roman" w:eastAsia="Times New Roman" w:hAnsi="Times New Roman"/>
    </w:rPr>
  </w:style>
  <w:style w:type="paragraph" w:customStyle="1" w:styleId="TXUHeaderForm">
    <w:name w:val="TXUHeaderForm"/>
    <w:basedOn w:val="TXUHeader"/>
    <w:next w:val="Normal"/>
    <w:rsid w:val="00773B28"/>
    <w:rPr>
      <w:sz w:val="24"/>
    </w:rPr>
  </w:style>
  <w:style w:type="paragraph" w:customStyle="1" w:styleId="TXUFooter">
    <w:name w:val="TXUFooter"/>
    <w:basedOn w:val="TXUNormal"/>
    <w:rsid w:val="00773B28"/>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sid w:val="00773B28"/>
    <w:rPr>
      <w:sz w:val="20"/>
    </w:rPr>
  </w:style>
  <w:style w:type="paragraph" w:customStyle="1" w:styleId="Comments">
    <w:name w:val="Comments"/>
    <w:basedOn w:val="Normal"/>
    <w:rsid w:val="00773B28"/>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style>
  <w:style w:type="character" w:customStyle="1" w:styleId="BulletChar">
    <w:name w:val="Bullet Char"/>
    <w:link w:val="Bullet"/>
    <w:locked/>
    <w:rsid w:val="00773B28"/>
    <w:rPr>
      <w:sz w:val="24"/>
    </w:rPr>
  </w:style>
  <w:style w:type="paragraph" w:customStyle="1" w:styleId="Bullet">
    <w:name w:val="Bullet"/>
    <w:basedOn w:val="Normal"/>
    <w:link w:val="BulletChar"/>
    <w:rsid w:val="00773B28"/>
    <w:pPr>
      <w:numPr>
        <w:numId w:val="22"/>
      </w:numPr>
      <w:tabs>
        <w:tab w:val="clear" w:pos="360"/>
        <w:tab w:val="num" w:pos="432"/>
      </w:tabs>
      <w:spacing w:after="180"/>
      <w:ind w:left="432" w:hanging="432"/>
    </w:pPr>
    <w:rPr>
      <w:rFonts w:ascii="Calibri" w:eastAsia="Calibri" w:hAnsi="Calibri"/>
    </w:rPr>
  </w:style>
  <w:style w:type="character" w:customStyle="1" w:styleId="BulletIndentChar">
    <w:name w:val="Bullet Indent Char"/>
    <w:link w:val="BulletIndent"/>
    <w:locked/>
    <w:rsid w:val="00773B28"/>
    <w:rPr>
      <w:sz w:val="24"/>
    </w:rPr>
  </w:style>
  <w:style w:type="paragraph" w:customStyle="1" w:styleId="BulletIndent">
    <w:name w:val="Bullet Indent"/>
    <w:basedOn w:val="Normal"/>
    <w:link w:val="BulletIndentChar"/>
    <w:rsid w:val="00773B28"/>
    <w:pPr>
      <w:numPr>
        <w:numId w:val="23"/>
      </w:numPr>
      <w:tabs>
        <w:tab w:val="clear" w:pos="360"/>
        <w:tab w:val="num" w:pos="432"/>
      </w:tabs>
      <w:spacing w:after="180"/>
      <w:ind w:left="432" w:hanging="432"/>
    </w:pPr>
    <w:rPr>
      <w:rFonts w:ascii="Calibri" w:eastAsia="Calibri" w:hAnsi="Calibri"/>
    </w:rPr>
  </w:style>
  <w:style w:type="character" w:customStyle="1" w:styleId="ListSubChar">
    <w:name w:val="List Sub Char"/>
    <w:link w:val="ListSub"/>
    <w:locked/>
    <w:rsid w:val="00773B28"/>
    <w:rPr>
      <w:sz w:val="24"/>
    </w:rPr>
  </w:style>
  <w:style w:type="paragraph" w:customStyle="1" w:styleId="ListSub">
    <w:name w:val="List Sub"/>
    <w:basedOn w:val="List"/>
    <w:link w:val="ListSubChar"/>
    <w:rsid w:val="00773B28"/>
    <w:pPr>
      <w:ind w:left="720" w:firstLine="0"/>
    </w:pPr>
    <w:rPr>
      <w:rFonts w:ascii="Calibri" w:eastAsia="Calibri" w:hAnsi="Calibri"/>
    </w:rPr>
  </w:style>
  <w:style w:type="paragraph" w:customStyle="1" w:styleId="Spaceafterbox">
    <w:name w:val="Space after box"/>
    <w:basedOn w:val="Normal"/>
    <w:rsid w:val="00773B28"/>
  </w:style>
  <w:style w:type="character" w:customStyle="1" w:styleId="VariableDefinitionChar">
    <w:name w:val="Variable Definition Char"/>
    <w:link w:val="VariableDefinition"/>
    <w:locked/>
    <w:rsid w:val="00773B28"/>
    <w:rPr>
      <w:rFonts w:ascii="Times New Roman" w:eastAsia="Times New Roman" w:hAnsi="Times New Roman"/>
      <w:iCs/>
      <w:sz w:val="24"/>
    </w:rPr>
  </w:style>
  <w:style w:type="paragraph" w:customStyle="1" w:styleId="TermDefinition">
    <w:name w:val="Term Definition"/>
    <w:basedOn w:val="Normal"/>
    <w:rsid w:val="00773B28"/>
    <w:pPr>
      <w:spacing w:after="60"/>
      <w:ind w:left="720"/>
    </w:pPr>
  </w:style>
  <w:style w:type="character" w:customStyle="1" w:styleId="TermTitleChar">
    <w:name w:val="Term Title Char"/>
    <w:link w:val="TermTitle"/>
    <w:locked/>
    <w:rsid w:val="00773B28"/>
    <w:rPr>
      <w:b/>
      <w:sz w:val="24"/>
    </w:rPr>
  </w:style>
  <w:style w:type="paragraph" w:customStyle="1" w:styleId="TermTitle">
    <w:name w:val="Term Title"/>
    <w:basedOn w:val="Normal"/>
    <w:link w:val="TermTitleChar"/>
    <w:rsid w:val="00773B28"/>
    <w:pPr>
      <w:spacing w:before="120"/>
      <w:ind w:left="720"/>
    </w:pPr>
    <w:rPr>
      <w:rFonts w:ascii="Calibri" w:eastAsia="Calibri" w:hAnsi="Calibri"/>
      <w:b/>
    </w:rPr>
  </w:style>
  <w:style w:type="paragraph" w:customStyle="1" w:styleId="Style1">
    <w:name w:val="Style1"/>
    <w:basedOn w:val="BodyText3"/>
    <w:rsid w:val="00773B28"/>
    <w:rPr>
      <w:b/>
      <w:sz w:val="40"/>
      <w:szCs w:val="40"/>
    </w:rPr>
  </w:style>
  <w:style w:type="paragraph" w:customStyle="1" w:styleId="note">
    <w:name w:val="note"/>
    <w:basedOn w:val="Normal"/>
    <w:rsid w:val="00773B28"/>
    <w:rPr>
      <w:sz w:val="22"/>
    </w:rPr>
  </w:style>
  <w:style w:type="paragraph" w:customStyle="1" w:styleId="List1">
    <w:name w:val="List1"/>
    <w:basedOn w:val="H4"/>
    <w:rsid w:val="00773B28"/>
    <w:pPr>
      <w:tabs>
        <w:tab w:val="clear" w:pos="1260"/>
      </w:tabs>
      <w:snapToGrid w:val="0"/>
      <w:ind w:left="1440" w:hanging="720"/>
    </w:pPr>
    <w:rPr>
      <w:rFonts w:ascii="Calibri" w:eastAsia="Calibri" w:hAnsi="Calibri"/>
      <w:b w:val="0"/>
      <w:bCs w:val="0"/>
      <w:snapToGrid/>
    </w:rPr>
  </w:style>
  <w:style w:type="paragraph" w:customStyle="1" w:styleId="Bullet15">
    <w:name w:val="Bullet (1.5)"/>
    <w:basedOn w:val="Normal"/>
    <w:rsid w:val="00773B28"/>
    <w:pPr>
      <w:tabs>
        <w:tab w:val="num" w:pos="2520"/>
      </w:tabs>
      <w:spacing w:after="120"/>
      <w:ind w:left="2520" w:hanging="720"/>
    </w:pPr>
  </w:style>
  <w:style w:type="character" w:customStyle="1" w:styleId="BulletCharCharChar">
    <w:name w:val="Bullet Char Char Char"/>
    <w:link w:val="BulletCharChar"/>
    <w:locked/>
    <w:rsid w:val="00773B28"/>
    <w:rPr>
      <w:sz w:val="24"/>
    </w:rPr>
  </w:style>
  <w:style w:type="paragraph" w:customStyle="1" w:styleId="BulletCharChar">
    <w:name w:val="Bullet Char Char"/>
    <w:basedOn w:val="Normal"/>
    <w:link w:val="BulletCharCharChar"/>
    <w:rsid w:val="00773B28"/>
    <w:pPr>
      <w:tabs>
        <w:tab w:val="num" w:pos="450"/>
      </w:tabs>
      <w:spacing w:after="180"/>
      <w:ind w:left="450" w:hanging="360"/>
    </w:pPr>
    <w:rPr>
      <w:rFonts w:ascii="Calibri" w:eastAsia="Calibri" w:hAnsi="Calibri"/>
    </w:rPr>
  </w:style>
  <w:style w:type="paragraph" w:customStyle="1" w:styleId="bodytextnumbered0">
    <w:name w:val="bodytextnumbered"/>
    <w:basedOn w:val="Normal"/>
    <w:rsid w:val="00773B28"/>
    <w:pPr>
      <w:spacing w:after="240"/>
      <w:ind w:left="720" w:hanging="720"/>
    </w:pPr>
    <w:rPr>
      <w:rFonts w:eastAsia="Calibri"/>
      <w:szCs w:val="24"/>
    </w:rPr>
  </w:style>
  <w:style w:type="paragraph" w:customStyle="1" w:styleId="PJMNormal">
    <w:name w:val="PJM_Normal"/>
    <w:basedOn w:val="Default"/>
    <w:next w:val="Default"/>
    <w:rsid w:val="00773B28"/>
    <w:pPr>
      <w:spacing w:before="120" w:after="120"/>
    </w:pPr>
    <w:rPr>
      <w:rFonts w:cs="Times New Roman"/>
      <w:color w:val="auto"/>
    </w:rPr>
  </w:style>
  <w:style w:type="paragraph" w:customStyle="1" w:styleId="PJMListOutline1">
    <w:name w:val="PJM_List_Outline_1"/>
    <w:basedOn w:val="Default"/>
    <w:next w:val="Default"/>
    <w:rsid w:val="00773B28"/>
    <w:pPr>
      <w:spacing w:before="120" w:after="120"/>
    </w:pPr>
    <w:rPr>
      <w:rFonts w:cs="Times New Roman"/>
      <w:color w:val="auto"/>
    </w:rPr>
  </w:style>
  <w:style w:type="paragraph" w:customStyle="1" w:styleId="VariableDefinition1">
    <w:name w:val="Variable Definition+1"/>
    <w:basedOn w:val="Default"/>
    <w:next w:val="Default"/>
    <w:rsid w:val="00773B28"/>
    <w:pPr>
      <w:spacing w:after="240"/>
    </w:pPr>
    <w:rPr>
      <w:rFonts w:ascii="Times New Roman" w:hAnsi="Times New Roman" w:cs="Times New Roman"/>
      <w:color w:val="auto"/>
    </w:rPr>
  </w:style>
  <w:style w:type="paragraph" w:customStyle="1" w:styleId="ListSub2">
    <w:name w:val="List Sub+2"/>
    <w:basedOn w:val="Default"/>
    <w:next w:val="Default"/>
    <w:rsid w:val="00773B28"/>
    <w:pPr>
      <w:spacing w:after="240"/>
    </w:pPr>
    <w:rPr>
      <w:rFonts w:ascii="Times New Roman" w:hAnsi="Times New Roman" w:cs="Times New Roman"/>
      <w:color w:val="auto"/>
    </w:rPr>
  </w:style>
  <w:style w:type="paragraph" w:customStyle="1" w:styleId="H">
    <w:name w:val="H%"/>
    <w:basedOn w:val="H4"/>
    <w:rsid w:val="00773B28"/>
    <w:pPr>
      <w:snapToGrid w:val="0"/>
    </w:pPr>
    <w:rPr>
      <w:rFonts w:ascii="Calibri" w:eastAsia="Calibri" w:hAnsi="Calibri"/>
      <w:snapToGrid/>
      <w:szCs w:val="24"/>
    </w:rPr>
  </w:style>
  <w:style w:type="paragraph" w:customStyle="1" w:styleId="Style2">
    <w:name w:val="Style2"/>
    <w:basedOn w:val="H5"/>
    <w:autoRedefine/>
    <w:rsid w:val="00773B28"/>
    <w:rPr>
      <w:rFonts w:ascii="Calibri" w:eastAsia="Calibri" w:hAnsi="Calibri"/>
      <w:i w:val="0"/>
    </w:rPr>
  </w:style>
  <w:style w:type="paragraph" w:customStyle="1" w:styleId="listintroduction">
    <w:name w:val="listintroduction"/>
    <w:basedOn w:val="Normal"/>
    <w:rsid w:val="00773B28"/>
    <w:pPr>
      <w:keepNext/>
      <w:spacing w:after="240"/>
    </w:pPr>
    <w:rPr>
      <w:szCs w:val="24"/>
    </w:rPr>
  </w:style>
  <w:style w:type="paragraph" w:customStyle="1" w:styleId="RegularText">
    <w:name w:val="Regular Text"/>
    <w:basedOn w:val="Normal"/>
    <w:rsid w:val="00773B28"/>
    <w:pPr>
      <w:spacing w:before="120" w:after="120"/>
      <w:ind w:left="432"/>
      <w:jc w:val="both"/>
    </w:pPr>
  </w:style>
  <w:style w:type="character" w:styleId="FootnoteReference">
    <w:name w:val="footnote reference"/>
    <w:unhideWhenUsed/>
    <w:rsid w:val="00773B28"/>
    <w:rPr>
      <w:vertAlign w:val="superscript"/>
    </w:rPr>
  </w:style>
  <w:style w:type="character" w:styleId="PlaceholderText">
    <w:name w:val="Placeholder Text"/>
    <w:basedOn w:val="DefaultParagraphFont"/>
    <w:uiPriority w:val="99"/>
    <w:rsid w:val="00773B28"/>
    <w:rPr>
      <w:color w:val="808080"/>
    </w:rPr>
  </w:style>
  <w:style w:type="character" w:customStyle="1" w:styleId="CharCharCharCharCharCharCharChar">
    <w:name w:val="Char Char Char Char Char Char Char Char"/>
    <w:rsid w:val="00773B28"/>
    <w:rPr>
      <w:iCs/>
      <w:sz w:val="24"/>
      <w:lang w:val="en-US" w:eastAsia="en-US" w:bidi="ar-SA"/>
    </w:rPr>
  </w:style>
  <w:style w:type="paragraph" w:customStyle="1" w:styleId="InstructionsCharCharCharCharCharChar">
    <w:name w:val="Instructions Char Char Char Char Char Char"/>
    <w:basedOn w:val="Normal"/>
    <w:link w:val="InstructionsCharCharCharCharCharCharChar"/>
    <w:rsid w:val="00773B28"/>
    <w:rPr>
      <w:szCs w:val="24"/>
    </w:rPr>
  </w:style>
  <w:style w:type="character" w:customStyle="1" w:styleId="InstructionsCharCharCharCharCharCharChar">
    <w:name w:val="Instructions Char Char Char Char Char Char Char"/>
    <w:link w:val="InstructionsCharCharCharCharCharChar"/>
    <w:locked/>
    <w:rsid w:val="00773B28"/>
    <w:rPr>
      <w:rFonts w:ascii="Times New Roman" w:eastAsia="Times New Roman" w:hAnsi="Times New Roman"/>
      <w:sz w:val="24"/>
      <w:szCs w:val="24"/>
    </w:rPr>
  </w:style>
  <w:style w:type="character" w:customStyle="1" w:styleId="CharCharCharCharCharCharCharChar1">
    <w:name w:val="Char Char Char Char Char Char Char Char1"/>
    <w:rsid w:val="00773B28"/>
    <w:rPr>
      <w:iCs/>
      <w:sz w:val="24"/>
      <w:lang w:val="en-US" w:eastAsia="en-US" w:bidi="ar-SA"/>
    </w:rPr>
  </w:style>
  <w:style w:type="character" w:customStyle="1" w:styleId="BodyTextChar1Char">
    <w:name w:val="Body Text Char1 Char"/>
    <w:aliases w:val="Char Char Char Char Char Char Char1 Char,Char Char Char Char Char Char Char Char2 Char,Body Text Char Char Char1 Char,Body Text Char1 Char Char Char1 Char,Body Text Char Char Char Char Char1 Char"/>
    <w:rsid w:val="00773B28"/>
    <w:rPr>
      <w:iCs/>
      <w:sz w:val="24"/>
      <w:lang w:val="en-US" w:eastAsia="en-US" w:bidi="ar-SA"/>
    </w:rPr>
  </w:style>
  <w:style w:type="character" w:customStyle="1" w:styleId="H2CharChar">
    <w:name w:val="H2 Char Char"/>
    <w:rsid w:val="00773B28"/>
    <w:rPr>
      <w:b w:val="0"/>
      <w:bCs w:val="0"/>
      <w:sz w:val="24"/>
      <w:lang w:val="en-US" w:eastAsia="en-US" w:bidi="ar-SA"/>
    </w:rPr>
  </w:style>
  <w:style w:type="character" w:customStyle="1" w:styleId="CharCharCharCharChar">
    <w:name w:val="Char Char Char Char Char"/>
    <w:aliases w:val="Body Text Char2 Char2,Char Char Char Char Char1,Body Text Char2 Char, Char Char Char Char Char1"/>
    <w:rsid w:val="00773B28"/>
    <w:rPr>
      <w:iCs/>
      <w:sz w:val="24"/>
      <w:lang w:val="en-US" w:eastAsia="en-US" w:bidi="ar-SA"/>
    </w:rPr>
  </w:style>
  <w:style w:type="character" w:customStyle="1" w:styleId="BodyTextChar2Char1">
    <w:name w:val="Body Text Char2 Char1"/>
    <w:aliases w:val="Char Char Char Char11,Char Char Char Char111"/>
    <w:rsid w:val="00773B28"/>
    <w:rPr>
      <w:iCs/>
      <w:sz w:val="24"/>
      <w:lang w:val="en-US" w:eastAsia="en-US" w:bidi="ar-SA"/>
    </w:rPr>
  </w:style>
  <w:style w:type="paragraph" w:customStyle="1" w:styleId="ListIntroduction0">
    <w:name w:val="List Introduction"/>
    <w:basedOn w:val="Normal"/>
    <w:link w:val="ListIntroductionChar"/>
    <w:rsid w:val="00773B28"/>
    <w:rPr>
      <w:szCs w:val="24"/>
    </w:rPr>
  </w:style>
  <w:style w:type="character" w:customStyle="1" w:styleId="ListIntroductionChar">
    <w:name w:val="List Introduction Char"/>
    <w:link w:val="ListIntroduction0"/>
    <w:locked/>
    <w:rsid w:val="00773B28"/>
    <w:rPr>
      <w:rFonts w:ascii="Times New Roman" w:eastAsia="Times New Roman" w:hAnsi="Times New Roman"/>
      <w:sz w:val="24"/>
      <w:szCs w:val="24"/>
    </w:rPr>
  </w:style>
  <w:style w:type="character" w:customStyle="1" w:styleId="BodyTextNumberedCharChar">
    <w:name w:val="Body Text Numbered Char Char"/>
    <w:rsid w:val="00773B28"/>
    <w:rPr>
      <w:iCs/>
      <w:sz w:val="24"/>
      <w:lang w:val="en-US" w:eastAsia="en-US" w:bidi="ar-SA"/>
    </w:rPr>
  </w:style>
  <w:style w:type="character" w:customStyle="1" w:styleId="DeltaViewInsertion">
    <w:name w:val="DeltaView Insertion"/>
    <w:rsid w:val="00773B28"/>
    <w:rPr>
      <w:color w:val="0000FF"/>
      <w:spacing w:val="0"/>
      <w:u w:val="double"/>
    </w:rPr>
  </w:style>
  <w:style w:type="character" w:customStyle="1" w:styleId="DeltaViewMoveDestination">
    <w:name w:val="DeltaView Move Destination"/>
    <w:rsid w:val="00773B28"/>
    <w:rPr>
      <w:color w:val="00C000"/>
      <w:spacing w:val="0"/>
      <w:u w:val="double"/>
    </w:rPr>
  </w:style>
  <w:style w:type="paragraph" w:styleId="BodyTextFirstIndent">
    <w:name w:val="Body Text First Indent"/>
    <w:basedOn w:val="BodyText"/>
    <w:link w:val="BodyTextFirstIndentChar"/>
    <w:unhideWhenUsed/>
    <w:rsid w:val="00773B28"/>
    <w:pPr>
      <w:spacing w:after="0"/>
      <w:ind w:firstLine="360"/>
    </w:pPr>
    <w:rPr>
      <w:iCs w:val="0"/>
      <w:szCs w:val="24"/>
    </w:rPr>
  </w:style>
  <w:style w:type="character" w:customStyle="1" w:styleId="BodyTextFirstIndentChar">
    <w:name w:val="Body Text First Indent Char"/>
    <w:basedOn w:val="BodyTextChar1"/>
    <w:link w:val="BodyTextFirstIndent"/>
    <w:rsid w:val="00773B28"/>
    <w:rPr>
      <w:rFonts w:ascii="Times New Roman" w:eastAsia="Times New Roman" w:hAnsi="Times New Roman" w:cs="Times New Roman"/>
      <w:iCs w:val="0"/>
      <w:sz w:val="24"/>
      <w:szCs w:val="24"/>
    </w:rPr>
  </w:style>
  <w:style w:type="character" w:customStyle="1" w:styleId="BodyTextChar2">
    <w:name w:val="Body Text Char2"/>
    <w:aliases w:val="Char Char Char Char Char Char Char2,Char Char Char Char Char Char Charh2 Char1,... Char1, Char Char Char Char Char Char Char2, Char Char Char Char Char Char Char Char3,Body Text Char Char Char3,Body Text Char1 Char Char Char3"/>
    <w:basedOn w:val="DefaultParagraphFont"/>
    <w:rsid w:val="00773B28"/>
    <w:rPr>
      <w:rFonts w:ascii="Times New Roman" w:eastAsia="Times New Roman" w:hAnsi="Times New Roman"/>
      <w:sz w:val="24"/>
      <w:szCs w:val="24"/>
    </w:rPr>
  </w:style>
  <w:style w:type="character" w:customStyle="1" w:styleId="H3Char1">
    <w:name w:val="H3 Char1"/>
    <w:rsid w:val="00773B28"/>
    <w:rPr>
      <w:b/>
      <w:bCs/>
      <w:i/>
      <w:iCs w:val="0"/>
      <w:sz w:val="24"/>
      <w:lang w:val="en-US" w:eastAsia="en-US" w:bidi="ar-SA"/>
    </w:rPr>
  </w:style>
  <w:style w:type="character" w:customStyle="1" w:styleId="bodytextnumberedchar0">
    <w:name w:val="bodytextnumberedchar"/>
    <w:rsid w:val="00773B28"/>
  </w:style>
  <w:style w:type="character" w:customStyle="1" w:styleId="TableHeadChar">
    <w:name w:val="Table Head Char"/>
    <w:rsid w:val="00773B28"/>
    <w:rPr>
      <w:b/>
      <w:bCs w:val="0"/>
      <w:iCs/>
      <w:sz w:val="24"/>
      <w:lang w:val="en-US" w:eastAsia="en-US" w:bidi="ar-SA"/>
    </w:rPr>
  </w:style>
  <w:style w:type="character" w:customStyle="1" w:styleId="Char1CharChar">
    <w:name w:val="Char1 Char Char"/>
    <w:rsid w:val="00773B28"/>
    <w:rPr>
      <w:iCs/>
      <w:sz w:val="24"/>
      <w:lang w:val="en-US" w:eastAsia="en-US" w:bidi="ar-SA"/>
    </w:rPr>
  </w:style>
  <w:style w:type="character" w:customStyle="1" w:styleId="CharChar2">
    <w:name w:val="Char Char2"/>
    <w:rsid w:val="00773B28"/>
    <w:rPr>
      <w:b/>
      <w:bCs/>
      <w:i/>
      <w:iCs w:val="0"/>
      <w:sz w:val="24"/>
      <w:lang w:val="en-US" w:eastAsia="en-US" w:bidi="ar-SA"/>
    </w:rPr>
  </w:style>
  <w:style w:type="character" w:customStyle="1" w:styleId="Char21">
    <w:name w:val="Char21"/>
    <w:rsid w:val="00773B28"/>
    <w:rPr>
      <w:b/>
      <w:bCs/>
      <w:i/>
      <w:iCs w:val="0"/>
      <w:sz w:val="24"/>
      <w:lang w:val="en-US" w:eastAsia="en-US" w:bidi="ar-SA"/>
    </w:rPr>
  </w:style>
  <w:style w:type="character" w:customStyle="1" w:styleId="CharCharChar">
    <w:name w:val="Char Char Char"/>
    <w:rsid w:val="00773B28"/>
    <w:rPr>
      <w:sz w:val="24"/>
      <w:lang w:val="en-US" w:eastAsia="en-US" w:bidi="ar-SA"/>
    </w:rPr>
  </w:style>
  <w:style w:type="character" w:customStyle="1" w:styleId="h3CharChar">
    <w:name w:val="h3 Char Char"/>
    <w:rsid w:val="00773B28"/>
    <w:rPr>
      <w:b/>
      <w:bCs/>
      <w:i/>
      <w:iCs w:val="0"/>
      <w:sz w:val="24"/>
      <w:lang w:val="en-US" w:eastAsia="en-US" w:bidi="ar-SA"/>
    </w:rPr>
  </w:style>
  <w:style w:type="character" w:customStyle="1" w:styleId="InstructionsCharChar">
    <w:name w:val="Instructions Char Char"/>
    <w:rsid w:val="00773B28"/>
    <w:rPr>
      <w:b/>
      <w:bCs w:val="0"/>
      <w:i/>
      <w:iCs/>
      <w:sz w:val="24"/>
      <w:szCs w:val="24"/>
      <w:lang w:val="en-US" w:eastAsia="en-US" w:bidi="ar-SA"/>
    </w:rPr>
  </w:style>
  <w:style w:type="character" w:customStyle="1" w:styleId="CharCharCharChar1">
    <w:name w:val="Char Char Char Char1"/>
    <w:aliases w:val="Char1 Char Char Char Char, Char1 Char Char Char Char"/>
    <w:rsid w:val="00773B28"/>
    <w:rPr>
      <w:sz w:val="24"/>
      <w:lang w:val="en-US" w:eastAsia="en-US" w:bidi="ar-SA"/>
    </w:rPr>
  </w:style>
  <w:style w:type="character" w:customStyle="1" w:styleId="H3CharChar0">
    <w:name w:val="H3 Char Char"/>
    <w:rsid w:val="00773B28"/>
    <w:rPr>
      <w:b w:val="0"/>
      <w:bCs w:val="0"/>
      <w:i w:val="0"/>
      <w:iCs w:val="0"/>
      <w:sz w:val="24"/>
      <w:lang w:val="en-US" w:eastAsia="en-US" w:bidi="ar-SA"/>
    </w:rPr>
  </w:style>
  <w:style w:type="character" w:customStyle="1" w:styleId="ListIntroductionCharChar">
    <w:name w:val="List Introduction Char Char"/>
    <w:rsid w:val="00773B28"/>
    <w:rPr>
      <w:iCs/>
      <w:sz w:val="24"/>
      <w:lang w:val="en-US" w:eastAsia="en-US" w:bidi="ar-SA"/>
    </w:rPr>
  </w:style>
  <w:style w:type="character" w:customStyle="1" w:styleId="H4CharChar">
    <w:name w:val="H4 Char Char"/>
    <w:rsid w:val="00773B28"/>
    <w:rPr>
      <w:b/>
      <w:bCs/>
      <w:snapToGrid/>
      <w:sz w:val="24"/>
      <w:lang w:val="en-US" w:eastAsia="en-US" w:bidi="ar-SA"/>
    </w:rPr>
  </w:style>
  <w:style w:type="character" w:customStyle="1" w:styleId="Char2CharChar1">
    <w:name w:val="Char2 Char Char1"/>
    <w:rsid w:val="00773B28"/>
    <w:rPr>
      <w:sz w:val="24"/>
      <w:lang w:val="en-US" w:eastAsia="en-US" w:bidi="ar-SA"/>
    </w:rPr>
  </w:style>
  <w:style w:type="character" w:customStyle="1" w:styleId="CharChar3">
    <w:name w:val="Char Char3"/>
    <w:rsid w:val="00773B28"/>
    <w:rPr>
      <w:sz w:val="24"/>
      <w:lang w:val="en-US" w:eastAsia="en-US" w:bidi="ar-SA"/>
    </w:rPr>
  </w:style>
  <w:style w:type="character" w:customStyle="1" w:styleId="CharCharChar11">
    <w:name w:val="Char Char Char11"/>
    <w:aliases w:val="Char111,Body Text Char Char11,Char Char Char Char Char21,Char1 Char Char11,Body Text Char2 Char Char21,Body Text Char2 Char Char Char Char Char Char Char Char Char Char Char11,Body Text Char2 Char31,Body Text Char2 Char41"/>
    <w:rsid w:val="00773B28"/>
    <w:rPr>
      <w:sz w:val="24"/>
      <w:lang w:val="en-US" w:eastAsia="en-US" w:bidi="ar-SA"/>
    </w:rPr>
  </w:style>
  <w:style w:type="character" w:customStyle="1" w:styleId="CharChar4">
    <w:name w:val="Char Char4"/>
    <w:rsid w:val="00773B28"/>
    <w:rPr>
      <w:sz w:val="24"/>
      <w:lang w:val="en-US" w:eastAsia="en-US" w:bidi="ar-SA"/>
    </w:rPr>
  </w:style>
  <w:style w:type="character" w:customStyle="1" w:styleId="Char1CharChar1">
    <w:name w:val="Char1 Char Char1"/>
    <w:rsid w:val="00773B28"/>
    <w:rPr>
      <w:sz w:val="24"/>
      <w:lang w:val="en-US" w:eastAsia="en-US" w:bidi="ar-SA"/>
    </w:rPr>
  </w:style>
  <w:style w:type="character" w:customStyle="1" w:styleId="CharChar12">
    <w:name w:val="Char Char12"/>
    <w:rsid w:val="00773B28"/>
    <w:rPr>
      <w:sz w:val="24"/>
      <w:lang w:val="en-US" w:eastAsia="en-US" w:bidi="ar-SA"/>
    </w:rPr>
  </w:style>
  <w:style w:type="character" w:customStyle="1" w:styleId="CharChar5">
    <w:name w:val="Char Char5"/>
    <w:rsid w:val="00773B28"/>
    <w:rPr>
      <w:iCs/>
      <w:sz w:val="24"/>
      <w:lang w:val="en-US" w:eastAsia="en-US" w:bidi="ar-SA"/>
    </w:rPr>
  </w:style>
  <w:style w:type="character" w:customStyle="1" w:styleId="CharCharCharChar3">
    <w:name w:val="Char Char Char Char3"/>
    <w:rsid w:val="00773B28"/>
    <w:rPr>
      <w:iCs/>
      <w:sz w:val="24"/>
      <w:lang w:val="en-US" w:eastAsia="en-US" w:bidi="ar-SA"/>
    </w:rPr>
  </w:style>
  <w:style w:type="character" w:customStyle="1" w:styleId="CharChar42">
    <w:name w:val="Char Char42"/>
    <w:rsid w:val="00773B28"/>
    <w:rPr>
      <w:sz w:val="24"/>
      <w:lang w:val="en-US" w:eastAsia="en-US" w:bidi="ar-SA"/>
    </w:rPr>
  </w:style>
  <w:style w:type="character" w:customStyle="1" w:styleId="CharCharChar2">
    <w:name w:val="Char Char Char2"/>
    <w:rsid w:val="00773B28"/>
    <w:rPr>
      <w:iCs/>
      <w:sz w:val="24"/>
      <w:lang w:val="en-US" w:eastAsia="en-US" w:bidi="ar-SA"/>
    </w:rPr>
  </w:style>
  <w:style w:type="character" w:customStyle="1" w:styleId="Char1CharChar12">
    <w:name w:val="Char1 Char Char12"/>
    <w:rsid w:val="00773B28"/>
    <w:rPr>
      <w:sz w:val="24"/>
      <w:lang w:val="en-US" w:eastAsia="en-US" w:bidi="ar-SA"/>
    </w:rPr>
  </w:style>
  <w:style w:type="character" w:customStyle="1" w:styleId="CharCharChar22">
    <w:name w:val="Char Char Char22"/>
    <w:rsid w:val="00773B28"/>
    <w:rPr>
      <w:iCs/>
      <w:sz w:val="24"/>
      <w:lang w:val="en-US" w:eastAsia="en-US" w:bidi="ar-SA"/>
    </w:rPr>
  </w:style>
  <w:style w:type="character" w:customStyle="1" w:styleId="CharChar6">
    <w:name w:val="Char Char6"/>
    <w:rsid w:val="00773B28"/>
    <w:rPr>
      <w:sz w:val="24"/>
      <w:lang w:val="en-US" w:eastAsia="en-US" w:bidi="ar-SA"/>
    </w:rPr>
  </w:style>
  <w:style w:type="character" w:customStyle="1" w:styleId="ListCharChar">
    <w:name w:val="List Char Char"/>
    <w:rsid w:val="00773B28"/>
    <w:rPr>
      <w:sz w:val="24"/>
      <w:lang w:val="en-US" w:eastAsia="en-US" w:bidi="ar-SA"/>
    </w:rPr>
  </w:style>
  <w:style w:type="character" w:customStyle="1" w:styleId="CharChar11">
    <w:name w:val="Char Char11"/>
    <w:rsid w:val="00773B28"/>
    <w:rPr>
      <w:sz w:val="24"/>
      <w:lang w:val="en-US" w:eastAsia="en-US" w:bidi="ar-SA"/>
    </w:rPr>
  </w:style>
  <w:style w:type="character" w:customStyle="1" w:styleId="CharCharCharChar2">
    <w:name w:val="Char Char Char Char2"/>
    <w:aliases w:val="Char Char Char Char Char Char1,Char1 Char Char Char1,Body Text Char2 Char Char Char,Body Text Char2 Char Char Char Char Char Char Char Char Char Char Char Char,Body Text Char2 Char Char1, Char Char Char Char Char Char1"/>
    <w:rsid w:val="00773B28"/>
    <w:rPr>
      <w:iCs/>
      <w:sz w:val="24"/>
      <w:lang w:val="en-US" w:eastAsia="en-US" w:bidi="ar-SA"/>
    </w:rPr>
  </w:style>
  <w:style w:type="character" w:customStyle="1" w:styleId="CharChar41">
    <w:name w:val="Char Char41"/>
    <w:rsid w:val="00773B28"/>
    <w:rPr>
      <w:sz w:val="24"/>
      <w:lang w:val="en-US" w:eastAsia="en-US" w:bidi="ar-SA"/>
    </w:rPr>
  </w:style>
  <w:style w:type="character" w:customStyle="1" w:styleId="CharCharChar21">
    <w:name w:val="Char Char Char21"/>
    <w:rsid w:val="00773B28"/>
    <w:rPr>
      <w:iCs/>
      <w:sz w:val="24"/>
      <w:lang w:val="en-US" w:eastAsia="en-US" w:bidi="ar-SA"/>
    </w:rPr>
  </w:style>
  <w:style w:type="character" w:customStyle="1" w:styleId="BodyText1Char">
    <w:name w:val="Body Text1 Char"/>
    <w:aliases w:val="Char11 Char,Char Char Char Char Char Char Char Char Char Char Char Char Char Char Char Char Char Char Char Char Char Char Char Char, Char11 Char"/>
    <w:rsid w:val="00773B28"/>
    <w:rPr>
      <w:iCs/>
      <w:sz w:val="24"/>
      <w:lang w:val="en-US" w:eastAsia="en-US" w:bidi="ar-SA"/>
    </w:rPr>
  </w:style>
  <w:style w:type="character" w:customStyle="1" w:styleId="TextChar">
    <w:name w:val="Text Char"/>
    <w:rsid w:val="00773B28"/>
    <w:rPr>
      <w:iCs/>
      <w:sz w:val="24"/>
      <w:lang w:val="en-US" w:eastAsia="en-US" w:bidi="ar-SA"/>
    </w:rPr>
  </w:style>
  <w:style w:type="table" w:customStyle="1" w:styleId="VariableTable">
    <w:name w:val="Variable Table"/>
    <w:basedOn w:val="TableNormal"/>
    <w:rsid w:val="00773B28"/>
    <w:rPr>
      <w:rFonts w:ascii="Times New Roman" w:eastAsia="Times New Roman" w:hAnsi="Times New Roman"/>
    </w:rPr>
    <w:tblPr>
      <w:tblInd w:w="0" w:type="nil"/>
    </w:tblPr>
  </w:style>
  <w:style w:type="table" w:customStyle="1" w:styleId="TableGrid1">
    <w:name w:val="Table Grid1"/>
    <w:basedOn w:val="TableNormal"/>
    <w:rsid w:val="00773B28"/>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rsid w:val="00773B2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
    <w:name w:val="Boxed Language1"/>
    <w:basedOn w:val="TableNormal"/>
    <w:rsid w:val="00773B2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
    <w:name w:val="Formula Variable Table1"/>
    <w:basedOn w:val="TableNormal"/>
    <w:rsid w:val="00773B28"/>
    <w:rPr>
      <w:rFonts w:ascii="Times New Roman" w:eastAsia="Times New Roman" w:hAnsi="Times New Roman"/>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equals">
    <w:name w:val="equals"/>
    <w:basedOn w:val="Normal"/>
    <w:rsid w:val="00773B28"/>
    <w:pPr>
      <w:spacing w:after="240"/>
      <w:ind w:left="3168" w:hanging="2880"/>
    </w:pPr>
    <w:rPr>
      <w:iCs/>
    </w:rPr>
  </w:style>
  <w:style w:type="paragraph" w:customStyle="1" w:styleId="Acronym">
    <w:name w:val="Acronym"/>
    <w:basedOn w:val="Normal"/>
    <w:rsid w:val="00773B28"/>
    <w:pPr>
      <w:tabs>
        <w:tab w:val="left" w:pos="1440"/>
      </w:tabs>
    </w:pPr>
    <w:rPr>
      <w:iCs/>
    </w:rPr>
  </w:style>
  <w:style w:type="character" w:customStyle="1" w:styleId="CharChar1">
    <w:name w:val="Char Char1"/>
    <w:rsid w:val="00D81D75"/>
    <w:rPr>
      <w:b/>
      <w:bCs/>
      <w:i/>
      <w:iCs/>
      <w:sz w:val="24"/>
      <w:szCs w:val="26"/>
      <w:lang w:val="en-US" w:eastAsia="en-US" w:bidi="ar-SA"/>
    </w:rPr>
  </w:style>
  <w:style w:type="character" w:customStyle="1" w:styleId="Char2CharCharCharCharChar">
    <w:name w:val="Char2 Char Char Char Char Char"/>
    <w:aliases w:val=" Char2 Char Char Char"/>
    <w:rsid w:val="00D81D75"/>
    <w:rPr>
      <w:sz w:val="24"/>
      <w:lang w:val="en-US" w:eastAsia="en-US" w:bidi="ar-SA"/>
    </w:rPr>
  </w:style>
  <w:style w:type="character" w:customStyle="1" w:styleId="CharCharCharChar">
    <w:name w:val="Char Char Char Char"/>
    <w:aliases w:val="Body Text Char2 Char Char"/>
    <w:rsid w:val="00D81D75"/>
    <w:rPr>
      <w:iCs/>
      <w:sz w:val="24"/>
      <w:lang w:val="en-US" w:eastAsia="en-US" w:bidi="ar-SA"/>
    </w:rPr>
  </w:style>
  <w:style w:type="character" w:styleId="Strong">
    <w:name w:val="Strong"/>
    <w:qFormat/>
    <w:rsid w:val="00D81D75"/>
    <w:rPr>
      <w:b/>
      <w:bCs/>
    </w:rPr>
  </w:style>
  <w:style w:type="paragraph" w:customStyle="1" w:styleId="BulletIndent2">
    <w:name w:val="Bullet Indent 2"/>
    <w:basedOn w:val="BulletIndent"/>
    <w:rsid w:val="00D81D75"/>
    <w:pPr>
      <w:numPr>
        <w:numId w:val="0"/>
      </w:numPr>
      <w:tabs>
        <w:tab w:val="left" w:pos="2520"/>
      </w:tabs>
      <w:ind w:left="2520" w:hanging="547"/>
    </w:pPr>
    <w:rPr>
      <w:rFonts w:ascii="Times New Roman" w:eastAsia="Times New Roman" w:hAnsi="Times New Roman"/>
    </w:rPr>
  </w:style>
  <w:style w:type="character" w:customStyle="1" w:styleId="ListCharChar1">
    <w:name w:val="List Char Char1"/>
    <w:rsid w:val="00D81D75"/>
    <w:rPr>
      <w:sz w:val="24"/>
      <w:lang w:val="en-US" w:eastAsia="en-US" w:bidi="ar-SA"/>
    </w:rPr>
  </w:style>
  <w:style w:type="character" w:customStyle="1" w:styleId="UnresolvedMention1">
    <w:name w:val="Unresolved Mention1"/>
    <w:basedOn w:val="DefaultParagraphFont"/>
    <w:uiPriority w:val="99"/>
    <w:semiHidden/>
    <w:unhideWhenUsed/>
    <w:rsid w:val="00D81D75"/>
    <w:rPr>
      <w:color w:val="605E5C"/>
      <w:shd w:val="clear" w:color="auto" w:fill="E1DFDD"/>
    </w:rPr>
  </w:style>
  <w:style w:type="table" w:customStyle="1" w:styleId="BoxedLanguage2">
    <w:name w:val="Boxed Language2"/>
    <w:basedOn w:val="TableNormal"/>
    <w:rsid w:val="00D81D75"/>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
    <w:name w:val="Formula Variable Table2"/>
    <w:basedOn w:val="TableNormal"/>
    <w:rsid w:val="00D81D75"/>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
    <w:name w:val="Table Grid3"/>
    <w:basedOn w:val="TableNormal"/>
    <w:next w:val="TableGrid"/>
    <w:rsid w:val="00D81D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
    <w:name w:val="Variable Table1"/>
    <w:basedOn w:val="TableNormal"/>
    <w:rsid w:val="00D81D75"/>
    <w:rPr>
      <w:rFonts w:ascii="Times New Roman" w:eastAsia="Times New Roman" w:hAnsi="Times New Roman"/>
    </w:rPr>
    <w:tblPr/>
  </w:style>
  <w:style w:type="table" w:customStyle="1" w:styleId="TableGrid11">
    <w:name w:val="Table Grid11"/>
    <w:basedOn w:val="TableNormal"/>
    <w:next w:val="TableGrid"/>
    <w:rsid w:val="00D81D7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
    <w:name w:val="Boxed Language3"/>
    <w:basedOn w:val="TableNormal"/>
    <w:rsid w:val="00D81D75"/>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
    <w:name w:val="Formula Variable Table3"/>
    <w:basedOn w:val="TableNormal"/>
    <w:rsid w:val="00D81D75"/>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
    <w:name w:val="Table Grid4"/>
    <w:basedOn w:val="TableNormal"/>
    <w:next w:val="TableGrid"/>
    <w:rsid w:val="00D81D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
    <w:name w:val="Variable Table2"/>
    <w:basedOn w:val="TableNormal"/>
    <w:rsid w:val="00D81D75"/>
    <w:rPr>
      <w:rFonts w:ascii="Times New Roman" w:eastAsia="Times New Roman" w:hAnsi="Times New Roman"/>
    </w:rPr>
    <w:tblPr/>
  </w:style>
  <w:style w:type="table" w:customStyle="1" w:styleId="TableGrid12">
    <w:name w:val="Table Grid12"/>
    <w:basedOn w:val="TableNormal"/>
    <w:next w:val="TableGrid"/>
    <w:rsid w:val="00D81D7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rsid w:val="00D81D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
    <w:name w:val="Boxed Language11"/>
    <w:basedOn w:val="TableNormal"/>
    <w:rsid w:val="00D81D75"/>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
    <w:name w:val="Formula Variable Table11"/>
    <w:basedOn w:val="TableNormal"/>
    <w:rsid w:val="00D81D75"/>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styleId="UnresolvedMention">
    <w:name w:val="Unresolved Mention"/>
    <w:basedOn w:val="DefaultParagraphFont"/>
    <w:uiPriority w:val="99"/>
    <w:semiHidden/>
    <w:unhideWhenUsed/>
    <w:rsid w:val="00E4313A"/>
    <w:rPr>
      <w:color w:val="605E5C"/>
      <w:shd w:val="clear" w:color="auto" w:fill="E1DFDD"/>
    </w:rPr>
  </w:style>
  <w:style w:type="character" w:customStyle="1" w:styleId="BodyTextIndentChar2">
    <w:name w:val="Body Text Indent Char2"/>
    <w:aliases w:val=" Char Char2"/>
    <w:basedOn w:val="DefaultParagraphFont"/>
    <w:rsid w:val="00567A2A"/>
    <w:rPr>
      <w:iCs/>
      <w:sz w:val="24"/>
    </w:rPr>
  </w:style>
  <w:style w:type="table" w:customStyle="1" w:styleId="FormulaVariableTable111">
    <w:name w:val="Formula Variable Table111"/>
    <w:basedOn w:val="TableNormal"/>
    <w:rsid w:val="00567A2A"/>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
    <w:name w:val="Table Grid5"/>
    <w:basedOn w:val="TableNormal"/>
    <w:next w:val="TableGrid"/>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
    <w:name w:val="Boxed Language4"/>
    <w:basedOn w:val="TableNormal"/>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
    <w:name w:val="Formula Variable Table4"/>
    <w:basedOn w:val="TableNormal"/>
    <w:rsid w:val="00567A2A"/>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
    <w:name w:val="Variable Table3"/>
    <w:basedOn w:val="TableNormal"/>
    <w:rsid w:val="00567A2A"/>
    <w:rPr>
      <w:rFonts w:ascii="Times New Roman" w:eastAsia="Times New Roman" w:hAnsi="Times New Roman"/>
    </w:rPr>
    <w:tblPr>
      <w:tblInd w:w="0" w:type="nil"/>
    </w:tblPr>
  </w:style>
  <w:style w:type="table" w:customStyle="1" w:styleId="TableGrid13">
    <w:name w:val="Table Grid13"/>
    <w:basedOn w:val="TableNormal"/>
    <w:rsid w:val="00567A2A"/>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rsid w:val="00567A2A"/>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
    <w:name w:val="Boxed Language12"/>
    <w:basedOn w:val="TableNormal"/>
    <w:rsid w:val="00567A2A"/>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
    <w:name w:val="Formula Variable Table12"/>
    <w:basedOn w:val="TableNormal"/>
    <w:rsid w:val="00567A2A"/>
    <w:rPr>
      <w:rFonts w:ascii="Times New Roman" w:eastAsia="Times New Roman" w:hAnsi="Times New Roman"/>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
    <w:name w:val="Boxed Language21"/>
    <w:basedOn w:val="TableNormal"/>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
    <w:name w:val="Formula Variable Table21"/>
    <w:basedOn w:val="TableNormal"/>
    <w:rsid w:val="00567A2A"/>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
    <w:name w:val="Table Grid31"/>
    <w:basedOn w:val="TableNormal"/>
    <w:next w:val="TableGrid"/>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
    <w:name w:val="Variable Table11"/>
    <w:basedOn w:val="TableNormal"/>
    <w:rsid w:val="00567A2A"/>
    <w:rPr>
      <w:rFonts w:ascii="Times New Roman" w:eastAsia="Times New Roman" w:hAnsi="Times New Roman"/>
    </w:rPr>
    <w:tblPr/>
  </w:style>
  <w:style w:type="table" w:customStyle="1" w:styleId="TableGrid111">
    <w:name w:val="Table Grid111"/>
    <w:basedOn w:val="TableNormal"/>
    <w:next w:val="TableGrid"/>
    <w:rsid w:val="00567A2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
    <w:name w:val="Boxed Language31"/>
    <w:basedOn w:val="TableNormal"/>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
    <w:name w:val="Formula Variable Table31"/>
    <w:basedOn w:val="TableNormal"/>
    <w:rsid w:val="00567A2A"/>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
    <w:name w:val="Table Grid41"/>
    <w:basedOn w:val="TableNormal"/>
    <w:next w:val="TableGrid"/>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
    <w:name w:val="Variable Table21"/>
    <w:basedOn w:val="TableNormal"/>
    <w:rsid w:val="00567A2A"/>
    <w:rPr>
      <w:rFonts w:ascii="Times New Roman" w:eastAsia="Times New Roman" w:hAnsi="Times New Roman"/>
    </w:rPr>
    <w:tblPr/>
  </w:style>
  <w:style w:type="table" w:customStyle="1" w:styleId="TableGrid121">
    <w:name w:val="Table Grid121"/>
    <w:basedOn w:val="TableNormal"/>
    <w:next w:val="TableGrid"/>
    <w:rsid w:val="00567A2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
    <w:name w:val="Boxed Language111"/>
    <w:basedOn w:val="TableNormal"/>
    <w:rsid w:val="00567A2A"/>
    <w:rPr>
      <w:rFonts w:ascii="Times New Roman" w:eastAsia="Times New Roman" w:hAnsi="Times New Roman"/>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
    <w:name w:val="Formula Variable Table112"/>
    <w:basedOn w:val="TableNormal"/>
    <w:rsid w:val="00567A2A"/>
    <w:rPr>
      <w:rFonts w:ascii="Times New Roman" w:eastAsia="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customStyle="1" w:styleId="ui-provider">
    <w:name w:val="ui-provider"/>
    <w:basedOn w:val="DefaultParagraphFont"/>
    <w:rsid w:val="00994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1617">
      <w:bodyDiv w:val="1"/>
      <w:marLeft w:val="0"/>
      <w:marRight w:val="0"/>
      <w:marTop w:val="0"/>
      <w:marBottom w:val="0"/>
      <w:divBdr>
        <w:top w:val="none" w:sz="0" w:space="0" w:color="auto"/>
        <w:left w:val="none" w:sz="0" w:space="0" w:color="auto"/>
        <w:bottom w:val="none" w:sz="0" w:space="0" w:color="auto"/>
        <w:right w:val="none" w:sz="0" w:space="0" w:color="auto"/>
      </w:divBdr>
    </w:div>
    <w:div w:id="26223770">
      <w:bodyDiv w:val="1"/>
      <w:marLeft w:val="0"/>
      <w:marRight w:val="0"/>
      <w:marTop w:val="0"/>
      <w:marBottom w:val="0"/>
      <w:divBdr>
        <w:top w:val="none" w:sz="0" w:space="0" w:color="auto"/>
        <w:left w:val="none" w:sz="0" w:space="0" w:color="auto"/>
        <w:bottom w:val="none" w:sz="0" w:space="0" w:color="auto"/>
        <w:right w:val="none" w:sz="0" w:space="0" w:color="auto"/>
      </w:divBdr>
    </w:div>
    <w:div w:id="341973728">
      <w:bodyDiv w:val="1"/>
      <w:marLeft w:val="0"/>
      <w:marRight w:val="0"/>
      <w:marTop w:val="0"/>
      <w:marBottom w:val="0"/>
      <w:divBdr>
        <w:top w:val="none" w:sz="0" w:space="0" w:color="auto"/>
        <w:left w:val="none" w:sz="0" w:space="0" w:color="auto"/>
        <w:bottom w:val="none" w:sz="0" w:space="0" w:color="auto"/>
        <w:right w:val="none" w:sz="0" w:space="0" w:color="auto"/>
      </w:divBdr>
    </w:div>
    <w:div w:id="384067590">
      <w:bodyDiv w:val="1"/>
      <w:marLeft w:val="0"/>
      <w:marRight w:val="0"/>
      <w:marTop w:val="0"/>
      <w:marBottom w:val="0"/>
      <w:divBdr>
        <w:top w:val="none" w:sz="0" w:space="0" w:color="auto"/>
        <w:left w:val="none" w:sz="0" w:space="0" w:color="auto"/>
        <w:bottom w:val="none" w:sz="0" w:space="0" w:color="auto"/>
        <w:right w:val="none" w:sz="0" w:space="0" w:color="auto"/>
      </w:divBdr>
    </w:div>
    <w:div w:id="399984184">
      <w:bodyDiv w:val="1"/>
      <w:marLeft w:val="0"/>
      <w:marRight w:val="0"/>
      <w:marTop w:val="0"/>
      <w:marBottom w:val="0"/>
      <w:divBdr>
        <w:top w:val="none" w:sz="0" w:space="0" w:color="auto"/>
        <w:left w:val="none" w:sz="0" w:space="0" w:color="auto"/>
        <w:bottom w:val="none" w:sz="0" w:space="0" w:color="auto"/>
        <w:right w:val="none" w:sz="0" w:space="0" w:color="auto"/>
      </w:divBdr>
    </w:div>
    <w:div w:id="503475334">
      <w:bodyDiv w:val="1"/>
      <w:marLeft w:val="0"/>
      <w:marRight w:val="0"/>
      <w:marTop w:val="0"/>
      <w:marBottom w:val="0"/>
      <w:divBdr>
        <w:top w:val="none" w:sz="0" w:space="0" w:color="auto"/>
        <w:left w:val="none" w:sz="0" w:space="0" w:color="auto"/>
        <w:bottom w:val="none" w:sz="0" w:space="0" w:color="auto"/>
        <w:right w:val="none" w:sz="0" w:space="0" w:color="auto"/>
      </w:divBdr>
    </w:div>
    <w:div w:id="538201306">
      <w:bodyDiv w:val="1"/>
      <w:marLeft w:val="0"/>
      <w:marRight w:val="0"/>
      <w:marTop w:val="0"/>
      <w:marBottom w:val="0"/>
      <w:divBdr>
        <w:top w:val="none" w:sz="0" w:space="0" w:color="auto"/>
        <w:left w:val="none" w:sz="0" w:space="0" w:color="auto"/>
        <w:bottom w:val="none" w:sz="0" w:space="0" w:color="auto"/>
        <w:right w:val="none" w:sz="0" w:space="0" w:color="auto"/>
      </w:divBdr>
    </w:div>
    <w:div w:id="564294947">
      <w:bodyDiv w:val="1"/>
      <w:marLeft w:val="0"/>
      <w:marRight w:val="0"/>
      <w:marTop w:val="0"/>
      <w:marBottom w:val="0"/>
      <w:divBdr>
        <w:top w:val="none" w:sz="0" w:space="0" w:color="auto"/>
        <w:left w:val="none" w:sz="0" w:space="0" w:color="auto"/>
        <w:bottom w:val="none" w:sz="0" w:space="0" w:color="auto"/>
        <w:right w:val="none" w:sz="0" w:space="0" w:color="auto"/>
      </w:divBdr>
    </w:div>
    <w:div w:id="740442591">
      <w:bodyDiv w:val="1"/>
      <w:marLeft w:val="0"/>
      <w:marRight w:val="0"/>
      <w:marTop w:val="0"/>
      <w:marBottom w:val="0"/>
      <w:divBdr>
        <w:top w:val="none" w:sz="0" w:space="0" w:color="auto"/>
        <w:left w:val="none" w:sz="0" w:space="0" w:color="auto"/>
        <w:bottom w:val="none" w:sz="0" w:space="0" w:color="auto"/>
        <w:right w:val="none" w:sz="0" w:space="0" w:color="auto"/>
      </w:divBdr>
    </w:div>
    <w:div w:id="976958186">
      <w:bodyDiv w:val="1"/>
      <w:marLeft w:val="0"/>
      <w:marRight w:val="0"/>
      <w:marTop w:val="0"/>
      <w:marBottom w:val="0"/>
      <w:divBdr>
        <w:top w:val="none" w:sz="0" w:space="0" w:color="auto"/>
        <w:left w:val="none" w:sz="0" w:space="0" w:color="auto"/>
        <w:bottom w:val="none" w:sz="0" w:space="0" w:color="auto"/>
        <w:right w:val="none" w:sz="0" w:space="0" w:color="auto"/>
      </w:divBdr>
    </w:div>
    <w:div w:id="1006714655">
      <w:bodyDiv w:val="1"/>
      <w:marLeft w:val="0"/>
      <w:marRight w:val="0"/>
      <w:marTop w:val="0"/>
      <w:marBottom w:val="0"/>
      <w:divBdr>
        <w:top w:val="none" w:sz="0" w:space="0" w:color="auto"/>
        <w:left w:val="none" w:sz="0" w:space="0" w:color="auto"/>
        <w:bottom w:val="none" w:sz="0" w:space="0" w:color="auto"/>
        <w:right w:val="none" w:sz="0" w:space="0" w:color="auto"/>
      </w:divBdr>
    </w:div>
    <w:div w:id="1193885112">
      <w:bodyDiv w:val="1"/>
      <w:marLeft w:val="0"/>
      <w:marRight w:val="0"/>
      <w:marTop w:val="0"/>
      <w:marBottom w:val="0"/>
      <w:divBdr>
        <w:top w:val="none" w:sz="0" w:space="0" w:color="auto"/>
        <w:left w:val="none" w:sz="0" w:space="0" w:color="auto"/>
        <w:bottom w:val="none" w:sz="0" w:space="0" w:color="auto"/>
        <w:right w:val="none" w:sz="0" w:space="0" w:color="auto"/>
      </w:divBdr>
    </w:div>
    <w:div w:id="1278902238">
      <w:bodyDiv w:val="1"/>
      <w:marLeft w:val="0"/>
      <w:marRight w:val="0"/>
      <w:marTop w:val="0"/>
      <w:marBottom w:val="0"/>
      <w:divBdr>
        <w:top w:val="none" w:sz="0" w:space="0" w:color="auto"/>
        <w:left w:val="none" w:sz="0" w:space="0" w:color="auto"/>
        <w:bottom w:val="none" w:sz="0" w:space="0" w:color="auto"/>
        <w:right w:val="none" w:sz="0" w:space="0" w:color="auto"/>
      </w:divBdr>
    </w:div>
    <w:div w:id="1350912899">
      <w:bodyDiv w:val="1"/>
      <w:marLeft w:val="0"/>
      <w:marRight w:val="0"/>
      <w:marTop w:val="0"/>
      <w:marBottom w:val="0"/>
      <w:divBdr>
        <w:top w:val="none" w:sz="0" w:space="0" w:color="auto"/>
        <w:left w:val="none" w:sz="0" w:space="0" w:color="auto"/>
        <w:bottom w:val="none" w:sz="0" w:space="0" w:color="auto"/>
        <w:right w:val="none" w:sz="0" w:space="0" w:color="auto"/>
      </w:divBdr>
    </w:div>
    <w:div w:id="1428772245">
      <w:bodyDiv w:val="1"/>
      <w:marLeft w:val="0"/>
      <w:marRight w:val="0"/>
      <w:marTop w:val="0"/>
      <w:marBottom w:val="0"/>
      <w:divBdr>
        <w:top w:val="none" w:sz="0" w:space="0" w:color="auto"/>
        <w:left w:val="none" w:sz="0" w:space="0" w:color="auto"/>
        <w:bottom w:val="none" w:sz="0" w:space="0" w:color="auto"/>
        <w:right w:val="none" w:sz="0" w:space="0" w:color="auto"/>
      </w:divBdr>
    </w:div>
    <w:div w:id="1545022755">
      <w:bodyDiv w:val="1"/>
      <w:marLeft w:val="0"/>
      <w:marRight w:val="0"/>
      <w:marTop w:val="0"/>
      <w:marBottom w:val="0"/>
      <w:divBdr>
        <w:top w:val="none" w:sz="0" w:space="0" w:color="auto"/>
        <w:left w:val="none" w:sz="0" w:space="0" w:color="auto"/>
        <w:bottom w:val="none" w:sz="0" w:space="0" w:color="auto"/>
        <w:right w:val="none" w:sz="0" w:space="0" w:color="auto"/>
      </w:divBdr>
    </w:div>
    <w:div w:id="1658535008">
      <w:bodyDiv w:val="1"/>
      <w:marLeft w:val="0"/>
      <w:marRight w:val="0"/>
      <w:marTop w:val="0"/>
      <w:marBottom w:val="0"/>
      <w:divBdr>
        <w:top w:val="none" w:sz="0" w:space="0" w:color="auto"/>
        <w:left w:val="none" w:sz="0" w:space="0" w:color="auto"/>
        <w:bottom w:val="none" w:sz="0" w:space="0" w:color="auto"/>
        <w:right w:val="none" w:sz="0" w:space="0" w:color="auto"/>
      </w:divBdr>
    </w:div>
    <w:div w:id="1692612079">
      <w:bodyDiv w:val="1"/>
      <w:marLeft w:val="0"/>
      <w:marRight w:val="0"/>
      <w:marTop w:val="0"/>
      <w:marBottom w:val="0"/>
      <w:divBdr>
        <w:top w:val="none" w:sz="0" w:space="0" w:color="auto"/>
        <w:left w:val="none" w:sz="0" w:space="0" w:color="auto"/>
        <w:bottom w:val="none" w:sz="0" w:space="0" w:color="auto"/>
        <w:right w:val="none" w:sz="0" w:space="0" w:color="auto"/>
      </w:divBdr>
    </w:div>
    <w:div w:id="1708212023">
      <w:bodyDiv w:val="1"/>
      <w:marLeft w:val="0"/>
      <w:marRight w:val="0"/>
      <w:marTop w:val="0"/>
      <w:marBottom w:val="0"/>
      <w:divBdr>
        <w:top w:val="none" w:sz="0" w:space="0" w:color="auto"/>
        <w:left w:val="none" w:sz="0" w:space="0" w:color="auto"/>
        <w:bottom w:val="none" w:sz="0" w:space="0" w:color="auto"/>
        <w:right w:val="none" w:sz="0" w:space="0" w:color="auto"/>
      </w:divBdr>
    </w:div>
    <w:div w:id="1839071953">
      <w:bodyDiv w:val="1"/>
      <w:marLeft w:val="0"/>
      <w:marRight w:val="0"/>
      <w:marTop w:val="0"/>
      <w:marBottom w:val="0"/>
      <w:divBdr>
        <w:top w:val="none" w:sz="0" w:space="0" w:color="auto"/>
        <w:left w:val="none" w:sz="0" w:space="0" w:color="auto"/>
        <w:bottom w:val="none" w:sz="0" w:space="0" w:color="auto"/>
        <w:right w:val="none" w:sz="0" w:space="0" w:color="auto"/>
      </w:divBdr>
    </w:div>
    <w:div w:id="1843624201">
      <w:bodyDiv w:val="1"/>
      <w:marLeft w:val="0"/>
      <w:marRight w:val="0"/>
      <w:marTop w:val="0"/>
      <w:marBottom w:val="0"/>
      <w:divBdr>
        <w:top w:val="none" w:sz="0" w:space="0" w:color="auto"/>
        <w:left w:val="none" w:sz="0" w:space="0" w:color="auto"/>
        <w:bottom w:val="none" w:sz="0" w:space="0" w:color="auto"/>
        <w:right w:val="none" w:sz="0" w:space="0" w:color="auto"/>
      </w:divBdr>
    </w:div>
    <w:div w:id="1847288253">
      <w:bodyDiv w:val="1"/>
      <w:marLeft w:val="0"/>
      <w:marRight w:val="0"/>
      <w:marTop w:val="0"/>
      <w:marBottom w:val="0"/>
      <w:divBdr>
        <w:top w:val="none" w:sz="0" w:space="0" w:color="auto"/>
        <w:left w:val="none" w:sz="0" w:space="0" w:color="auto"/>
        <w:bottom w:val="none" w:sz="0" w:space="0" w:color="auto"/>
        <w:right w:val="none" w:sz="0" w:space="0" w:color="auto"/>
      </w:divBdr>
    </w:div>
    <w:div w:id="1904833385">
      <w:bodyDiv w:val="1"/>
      <w:marLeft w:val="0"/>
      <w:marRight w:val="0"/>
      <w:marTop w:val="0"/>
      <w:marBottom w:val="0"/>
      <w:divBdr>
        <w:top w:val="none" w:sz="0" w:space="0" w:color="auto"/>
        <w:left w:val="none" w:sz="0" w:space="0" w:color="auto"/>
        <w:bottom w:val="none" w:sz="0" w:space="0" w:color="auto"/>
        <w:right w:val="none" w:sz="0" w:space="0" w:color="auto"/>
      </w:divBdr>
    </w:div>
    <w:div w:id="1915579373">
      <w:bodyDiv w:val="1"/>
      <w:marLeft w:val="0"/>
      <w:marRight w:val="0"/>
      <w:marTop w:val="0"/>
      <w:marBottom w:val="0"/>
      <w:divBdr>
        <w:top w:val="none" w:sz="0" w:space="0" w:color="auto"/>
        <w:left w:val="none" w:sz="0" w:space="0" w:color="auto"/>
        <w:bottom w:val="none" w:sz="0" w:space="0" w:color="auto"/>
        <w:right w:val="none" w:sz="0" w:space="0" w:color="auto"/>
      </w:divBdr>
    </w:div>
    <w:div w:id="213860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3.wmf"/><Relationship Id="rId299" Type="http://schemas.openxmlformats.org/officeDocument/2006/relationships/oleObject" Target="embeddings/oleObject212.bin"/><Relationship Id="rId21" Type="http://schemas.openxmlformats.org/officeDocument/2006/relationships/oleObject" Target="embeddings/oleObject4.bin"/><Relationship Id="rId63" Type="http://schemas.openxmlformats.org/officeDocument/2006/relationships/oleObject" Target="embeddings/oleObject39.bin"/><Relationship Id="rId159" Type="http://schemas.openxmlformats.org/officeDocument/2006/relationships/image" Target="media/image38.wmf"/><Relationship Id="rId324" Type="http://schemas.openxmlformats.org/officeDocument/2006/relationships/oleObject" Target="embeddings/oleObject226.bin"/><Relationship Id="rId366" Type="http://schemas.openxmlformats.org/officeDocument/2006/relationships/oleObject" Target="embeddings/oleObject262.bin"/><Relationship Id="rId170" Type="http://schemas.openxmlformats.org/officeDocument/2006/relationships/image" Target="media/image41.wmf"/><Relationship Id="rId226" Type="http://schemas.openxmlformats.org/officeDocument/2006/relationships/oleObject" Target="embeddings/oleObject156.bin"/><Relationship Id="rId268" Type="http://schemas.openxmlformats.org/officeDocument/2006/relationships/oleObject" Target="embeddings/oleObject186.bin"/><Relationship Id="rId32" Type="http://schemas.openxmlformats.org/officeDocument/2006/relationships/oleObject" Target="embeddings/oleObject11.bin"/><Relationship Id="rId74" Type="http://schemas.openxmlformats.org/officeDocument/2006/relationships/oleObject" Target="embeddings/oleObject49.bin"/><Relationship Id="rId128" Type="http://schemas.openxmlformats.org/officeDocument/2006/relationships/image" Target="media/image28.wmf"/><Relationship Id="rId335" Type="http://schemas.openxmlformats.org/officeDocument/2006/relationships/image" Target="media/image89.wmf"/><Relationship Id="rId377" Type="http://schemas.openxmlformats.org/officeDocument/2006/relationships/oleObject" Target="embeddings/oleObject272.bin"/><Relationship Id="rId5" Type="http://schemas.openxmlformats.org/officeDocument/2006/relationships/webSettings" Target="webSettings.xml"/><Relationship Id="rId181" Type="http://schemas.openxmlformats.org/officeDocument/2006/relationships/oleObject" Target="embeddings/oleObject126.bin"/><Relationship Id="rId237" Type="http://schemas.openxmlformats.org/officeDocument/2006/relationships/oleObject" Target="embeddings/oleObject161.bin"/><Relationship Id="rId279" Type="http://schemas.openxmlformats.org/officeDocument/2006/relationships/oleObject" Target="embeddings/oleObject197.bin"/><Relationship Id="rId43" Type="http://schemas.openxmlformats.org/officeDocument/2006/relationships/image" Target="media/image11.wmf"/><Relationship Id="rId139" Type="http://schemas.openxmlformats.org/officeDocument/2006/relationships/oleObject" Target="embeddings/oleObject97.bin"/><Relationship Id="rId290" Type="http://schemas.openxmlformats.org/officeDocument/2006/relationships/oleObject" Target="embeddings/oleObject205.bin"/><Relationship Id="rId304" Type="http://schemas.openxmlformats.org/officeDocument/2006/relationships/image" Target="media/image78.wmf"/><Relationship Id="rId346" Type="http://schemas.openxmlformats.org/officeDocument/2006/relationships/oleObject" Target="embeddings/oleObject243.bin"/><Relationship Id="rId85" Type="http://schemas.openxmlformats.org/officeDocument/2006/relationships/oleObject" Target="embeddings/oleObject57.bin"/><Relationship Id="rId150" Type="http://schemas.openxmlformats.org/officeDocument/2006/relationships/image" Target="media/image33.wmf"/><Relationship Id="rId192" Type="http://schemas.openxmlformats.org/officeDocument/2006/relationships/oleObject" Target="embeddings/oleObject135.bin"/><Relationship Id="rId206" Type="http://schemas.openxmlformats.org/officeDocument/2006/relationships/oleObject" Target="embeddings/oleObject143.bin"/><Relationship Id="rId248" Type="http://schemas.openxmlformats.org/officeDocument/2006/relationships/oleObject" Target="embeddings/oleObject170.bin"/><Relationship Id="rId12" Type="http://schemas.openxmlformats.org/officeDocument/2006/relationships/footer" Target="footer3.xml"/><Relationship Id="rId108" Type="http://schemas.openxmlformats.org/officeDocument/2006/relationships/oleObject" Target="embeddings/oleObject76.bin"/><Relationship Id="rId315" Type="http://schemas.openxmlformats.org/officeDocument/2006/relationships/image" Target="media/image84.wmf"/><Relationship Id="rId357" Type="http://schemas.openxmlformats.org/officeDocument/2006/relationships/oleObject" Target="embeddings/oleObject253.bin"/><Relationship Id="rId54" Type="http://schemas.openxmlformats.org/officeDocument/2006/relationships/oleObject" Target="embeddings/oleObject30.bin"/><Relationship Id="rId96" Type="http://schemas.openxmlformats.org/officeDocument/2006/relationships/oleObject" Target="embeddings/oleObject66.bin"/><Relationship Id="rId161" Type="http://schemas.openxmlformats.org/officeDocument/2006/relationships/oleObject" Target="embeddings/oleObject111.bin"/><Relationship Id="rId217" Type="http://schemas.openxmlformats.org/officeDocument/2006/relationships/oleObject" Target="embeddings/oleObject150.bin"/><Relationship Id="rId259" Type="http://schemas.openxmlformats.org/officeDocument/2006/relationships/oleObject" Target="embeddings/oleObject177.bin"/><Relationship Id="rId23" Type="http://schemas.openxmlformats.org/officeDocument/2006/relationships/oleObject" Target="embeddings/oleObject5.bin"/><Relationship Id="rId119" Type="http://schemas.openxmlformats.org/officeDocument/2006/relationships/oleObject" Target="embeddings/oleObject84.bin"/><Relationship Id="rId270" Type="http://schemas.openxmlformats.org/officeDocument/2006/relationships/oleObject" Target="embeddings/oleObject188.bin"/><Relationship Id="rId326" Type="http://schemas.openxmlformats.org/officeDocument/2006/relationships/oleObject" Target="embeddings/oleObject228.bin"/><Relationship Id="rId65" Type="http://schemas.openxmlformats.org/officeDocument/2006/relationships/oleObject" Target="embeddings/oleObject41.bin"/><Relationship Id="rId130" Type="http://schemas.openxmlformats.org/officeDocument/2006/relationships/oleObject" Target="embeddings/oleObject90.bin"/><Relationship Id="rId368" Type="http://schemas.openxmlformats.org/officeDocument/2006/relationships/oleObject" Target="embeddings/oleObject264.bin"/><Relationship Id="rId172" Type="http://schemas.openxmlformats.org/officeDocument/2006/relationships/oleObject" Target="embeddings/oleObject119.bin"/><Relationship Id="rId228" Type="http://schemas.openxmlformats.org/officeDocument/2006/relationships/image" Target="media/image60.wmf"/><Relationship Id="rId281" Type="http://schemas.openxmlformats.org/officeDocument/2006/relationships/oleObject" Target="embeddings/oleObject199.bin"/><Relationship Id="rId337" Type="http://schemas.openxmlformats.org/officeDocument/2006/relationships/image" Target="media/image90.wmf"/><Relationship Id="rId34" Type="http://schemas.openxmlformats.org/officeDocument/2006/relationships/oleObject" Target="embeddings/oleObject12.bin"/><Relationship Id="rId76" Type="http://schemas.openxmlformats.org/officeDocument/2006/relationships/oleObject" Target="embeddings/oleObject50.bin"/><Relationship Id="rId141" Type="http://schemas.openxmlformats.org/officeDocument/2006/relationships/oleObject" Target="embeddings/oleObject99.bin"/><Relationship Id="rId379" Type="http://schemas.openxmlformats.org/officeDocument/2006/relationships/oleObject" Target="embeddings/oleObject274.bin"/><Relationship Id="rId7" Type="http://schemas.openxmlformats.org/officeDocument/2006/relationships/endnotes" Target="endnotes.xml"/><Relationship Id="rId183" Type="http://schemas.openxmlformats.org/officeDocument/2006/relationships/oleObject" Target="embeddings/oleObject127.bin"/><Relationship Id="rId239" Type="http://schemas.openxmlformats.org/officeDocument/2006/relationships/oleObject" Target="embeddings/oleObject162.bin"/><Relationship Id="rId250" Type="http://schemas.openxmlformats.org/officeDocument/2006/relationships/image" Target="media/image67.wmf"/><Relationship Id="rId292" Type="http://schemas.openxmlformats.org/officeDocument/2006/relationships/oleObject" Target="embeddings/oleObject207.bin"/><Relationship Id="rId306" Type="http://schemas.openxmlformats.org/officeDocument/2006/relationships/oleObject" Target="embeddings/oleObject216.bin"/><Relationship Id="rId45" Type="http://schemas.openxmlformats.org/officeDocument/2006/relationships/image" Target="media/image12.wmf"/><Relationship Id="rId87" Type="http://schemas.openxmlformats.org/officeDocument/2006/relationships/image" Target="media/image17.wmf"/><Relationship Id="rId110" Type="http://schemas.openxmlformats.org/officeDocument/2006/relationships/oleObject" Target="embeddings/oleObject78.bin"/><Relationship Id="rId348" Type="http://schemas.openxmlformats.org/officeDocument/2006/relationships/image" Target="media/image92.wmf"/><Relationship Id="rId152" Type="http://schemas.openxmlformats.org/officeDocument/2006/relationships/oleObject" Target="embeddings/oleObject106.bin"/><Relationship Id="rId194" Type="http://schemas.openxmlformats.org/officeDocument/2006/relationships/oleObject" Target="embeddings/oleObject137.bin"/><Relationship Id="rId208" Type="http://schemas.openxmlformats.org/officeDocument/2006/relationships/oleObject" Target="embeddings/oleObject144.bin"/><Relationship Id="rId261" Type="http://schemas.openxmlformats.org/officeDocument/2006/relationships/oleObject" Target="embeddings/oleObject179.bin"/><Relationship Id="rId14" Type="http://schemas.openxmlformats.org/officeDocument/2006/relationships/image" Target="media/image2.emf"/><Relationship Id="rId56" Type="http://schemas.openxmlformats.org/officeDocument/2006/relationships/oleObject" Target="embeddings/oleObject32.bin"/><Relationship Id="rId317" Type="http://schemas.openxmlformats.org/officeDocument/2006/relationships/oleObject" Target="embeddings/oleObject221.bin"/><Relationship Id="rId359" Type="http://schemas.openxmlformats.org/officeDocument/2006/relationships/oleObject" Target="embeddings/oleObject255.bin"/><Relationship Id="rId98" Type="http://schemas.openxmlformats.org/officeDocument/2006/relationships/oleObject" Target="embeddings/oleObject68.bin"/><Relationship Id="rId121" Type="http://schemas.openxmlformats.org/officeDocument/2006/relationships/oleObject" Target="embeddings/oleObject86.bin"/><Relationship Id="rId163" Type="http://schemas.openxmlformats.org/officeDocument/2006/relationships/oleObject" Target="embeddings/oleObject112.bin"/><Relationship Id="rId219" Type="http://schemas.openxmlformats.org/officeDocument/2006/relationships/oleObject" Target="embeddings/oleObject152.bin"/><Relationship Id="rId370" Type="http://schemas.openxmlformats.org/officeDocument/2006/relationships/oleObject" Target="embeddings/oleObject266.bin"/><Relationship Id="rId230" Type="http://schemas.openxmlformats.org/officeDocument/2006/relationships/image" Target="media/image62.wmf"/><Relationship Id="rId25" Type="http://schemas.openxmlformats.org/officeDocument/2006/relationships/oleObject" Target="embeddings/oleObject6.bin"/><Relationship Id="rId67" Type="http://schemas.openxmlformats.org/officeDocument/2006/relationships/oleObject" Target="embeddings/oleObject43.bin"/><Relationship Id="rId272" Type="http://schemas.openxmlformats.org/officeDocument/2006/relationships/oleObject" Target="embeddings/oleObject190.bin"/><Relationship Id="rId328" Type="http://schemas.openxmlformats.org/officeDocument/2006/relationships/oleObject" Target="embeddings/oleObject230.bin"/><Relationship Id="rId132" Type="http://schemas.openxmlformats.org/officeDocument/2006/relationships/oleObject" Target="embeddings/oleObject92.bin"/><Relationship Id="rId174" Type="http://schemas.openxmlformats.org/officeDocument/2006/relationships/oleObject" Target="embeddings/oleObject121.bin"/><Relationship Id="rId381" Type="http://schemas.openxmlformats.org/officeDocument/2006/relationships/image" Target="media/image95.wmf"/><Relationship Id="rId241" Type="http://schemas.openxmlformats.org/officeDocument/2006/relationships/oleObject" Target="embeddings/oleObject164.bin"/><Relationship Id="rId36" Type="http://schemas.openxmlformats.org/officeDocument/2006/relationships/oleObject" Target="embeddings/oleObject14.bin"/><Relationship Id="rId283" Type="http://schemas.openxmlformats.org/officeDocument/2006/relationships/image" Target="media/image71.wmf"/><Relationship Id="rId339" Type="http://schemas.openxmlformats.org/officeDocument/2006/relationships/oleObject" Target="embeddings/oleObject237.bin"/><Relationship Id="rId78" Type="http://schemas.openxmlformats.org/officeDocument/2006/relationships/oleObject" Target="embeddings/oleObject52.bin"/><Relationship Id="rId101" Type="http://schemas.openxmlformats.org/officeDocument/2006/relationships/oleObject" Target="embeddings/oleObject71.bin"/><Relationship Id="rId143" Type="http://schemas.openxmlformats.org/officeDocument/2006/relationships/oleObject" Target="embeddings/oleObject100.bin"/><Relationship Id="rId185" Type="http://schemas.openxmlformats.org/officeDocument/2006/relationships/oleObject" Target="embeddings/oleObject129.bin"/><Relationship Id="rId350" Type="http://schemas.openxmlformats.org/officeDocument/2006/relationships/oleObject" Target="embeddings/oleObject246.bin"/><Relationship Id="rId9" Type="http://schemas.openxmlformats.org/officeDocument/2006/relationships/footer" Target="footer1.xml"/><Relationship Id="rId210" Type="http://schemas.openxmlformats.org/officeDocument/2006/relationships/oleObject" Target="embeddings/oleObject145.bin"/><Relationship Id="rId252" Type="http://schemas.openxmlformats.org/officeDocument/2006/relationships/oleObject" Target="embeddings/oleObject173.bin"/><Relationship Id="rId294" Type="http://schemas.openxmlformats.org/officeDocument/2006/relationships/image" Target="media/image75.wmf"/><Relationship Id="rId308" Type="http://schemas.openxmlformats.org/officeDocument/2006/relationships/oleObject" Target="embeddings/oleObject217.bin"/><Relationship Id="rId47" Type="http://schemas.openxmlformats.org/officeDocument/2006/relationships/oleObject" Target="embeddings/oleObject23.bin"/><Relationship Id="rId68" Type="http://schemas.openxmlformats.org/officeDocument/2006/relationships/oleObject" Target="embeddings/oleObject44.bin"/><Relationship Id="rId89" Type="http://schemas.openxmlformats.org/officeDocument/2006/relationships/oleObject" Target="embeddings/oleObject60.bin"/><Relationship Id="rId112" Type="http://schemas.openxmlformats.org/officeDocument/2006/relationships/image" Target="media/image21.wmf"/><Relationship Id="rId133" Type="http://schemas.openxmlformats.org/officeDocument/2006/relationships/image" Target="media/image29.wmf"/><Relationship Id="rId154" Type="http://schemas.openxmlformats.org/officeDocument/2006/relationships/oleObject" Target="embeddings/oleObject108.bin"/><Relationship Id="rId175" Type="http://schemas.openxmlformats.org/officeDocument/2006/relationships/oleObject" Target="embeddings/oleObject122.bin"/><Relationship Id="rId340" Type="http://schemas.openxmlformats.org/officeDocument/2006/relationships/oleObject" Target="embeddings/oleObject238.bin"/><Relationship Id="rId361" Type="http://schemas.openxmlformats.org/officeDocument/2006/relationships/oleObject" Target="embeddings/oleObject257.bin"/><Relationship Id="rId196" Type="http://schemas.openxmlformats.org/officeDocument/2006/relationships/image" Target="media/image46.wmf"/><Relationship Id="rId200" Type="http://schemas.openxmlformats.org/officeDocument/2006/relationships/image" Target="media/image48.wmf"/><Relationship Id="rId382" Type="http://schemas.openxmlformats.org/officeDocument/2006/relationships/oleObject" Target="embeddings/oleObject275.bin"/><Relationship Id="rId16" Type="http://schemas.openxmlformats.org/officeDocument/2006/relationships/oleObject" Target="embeddings/oleObject1.bin"/><Relationship Id="rId221" Type="http://schemas.openxmlformats.org/officeDocument/2006/relationships/oleObject" Target="embeddings/oleObject153.bin"/><Relationship Id="rId242" Type="http://schemas.openxmlformats.org/officeDocument/2006/relationships/oleObject" Target="embeddings/oleObject165.bin"/><Relationship Id="rId263" Type="http://schemas.openxmlformats.org/officeDocument/2006/relationships/oleObject" Target="embeddings/oleObject181.bin"/><Relationship Id="rId284" Type="http://schemas.openxmlformats.org/officeDocument/2006/relationships/oleObject" Target="embeddings/oleObject201.bin"/><Relationship Id="rId319" Type="http://schemas.openxmlformats.org/officeDocument/2006/relationships/oleObject" Target="embeddings/oleObject223.bin"/><Relationship Id="rId37" Type="http://schemas.openxmlformats.org/officeDocument/2006/relationships/oleObject" Target="embeddings/oleObject15.bin"/><Relationship Id="rId58" Type="http://schemas.openxmlformats.org/officeDocument/2006/relationships/oleObject" Target="embeddings/oleObject34.bin"/><Relationship Id="rId79" Type="http://schemas.openxmlformats.org/officeDocument/2006/relationships/image" Target="media/image15.wmf"/><Relationship Id="rId102" Type="http://schemas.openxmlformats.org/officeDocument/2006/relationships/oleObject" Target="embeddings/oleObject72.bin"/><Relationship Id="rId123" Type="http://schemas.openxmlformats.org/officeDocument/2006/relationships/oleObject" Target="embeddings/oleObject88.bin"/><Relationship Id="rId144" Type="http://schemas.openxmlformats.org/officeDocument/2006/relationships/oleObject" Target="embeddings/oleObject101.bin"/><Relationship Id="rId330" Type="http://schemas.openxmlformats.org/officeDocument/2006/relationships/image" Target="media/image87.wmf"/><Relationship Id="rId90" Type="http://schemas.openxmlformats.org/officeDocument/2006/relationships/oleObject" Target="embeddings/oleObject61.bin"/><Relationship Id="rId165" Type="http://schemas.openxmlformats.org/officeDocument/2006/relationships/oleObject" Target="embeddings/oleObject114.bin"/><Relationship Id="rId186" Type="http://schemas.openxmlformats.org/officeDocument/2006/relationships/image" Target="media/image45.wmf"/><Relationship Id="rId351" Type="http://schemas.openxmlformats.org/officeDocument/2006/relationships/oleObject" Target="embeddings/oleObject247.bin"/><Relationship Id="rId372" Type="http://schemas.openxmlformats.org/officeDocument/2006/relationships/oleObject" Target="embeddings/oleObject268.bin"/><Relationship Id="rId211" Type="http://schemas.openxmlformats.org/officeDocument/2006/relationships/image" Target="media/image54.wmf"/><Relationship Id="rId232" Type="http://schemas.openxmlformats.org/officeDocument/2006/relationships/image" Target="media/image64.wmf"/><Relationship Id="rId253" Type="http://schemas.openxmlformats.org/officeDocument/2006/relationships/image" Target="media/image68.wmf"/><Relationship Id="rId274" Type="http://schemas.openxmlformats.org/officeDocument/2006/relationships/oleObject" Target="embeddings/oleObject192.bin"/><Relationship Id="rId295" Type="http://schemas.openxmlformats.org/officeDocument/2006/relationships/oleObject" Target="embeddings/oleObject208.bin"/><Relationship Id="rId309" Type="http://schemas.openxmlformats.org/officeDocument/2006/relationships/image" Target="media/image80.wmf"/><Relationship Id="rId27" Type="http://schemas.openxmlformats.org/officeDocument/2006/relationships/oleObject" Target="embeddings/oleObject7.bin"/><Relationship Id="rId48" Type="http://schemas.openxmlformats.org/officeDocument/2006/relationships/oleObject" Target="embeddings/oleObject24.bin"/><Relationship Id="rId69" Type="http://schemas.openxmlformats.org/officeDocument/2006/relationships/oleObject" Target="embeddings/oleObject45.bin"/><Relationship Id="rId113" Type="http://schemas.openxmlformats.org/officeDocument/2006/relationships/oleObject" Target="embeddings/oleObject80.bin"/><Relationship Id="rId134" Type="http://schemas.openxmlformats.org/officeDocument/2006/relationships/oleObject" Target="embeddings/oleObject93.bin"/><Relationship Id="rId320" Type="http://schemas.openxmlformats.org/officeDocument/2006/relationships/image" Target="media/image85.wmf"/><Relationship Id="rId80" Type="http://schemas.openxmlformats.org/officeDocument/2006/relationships/oleObject" Target="embeddings/oleObject53.bin"/><Relationship Id="rId155" Type="http://schemas.openxmlformats.org/officeDocument/2006/relationships/image" Target="media/image35.wmf"/><Relationship Id="rId176" Type="http://schemas.openxmlformats.org/officeDocument/2006/relationships/image" Target="media/image42.wmf"/><Relationship Id="rId197" Type="http://schemas.openxmlformats.org/officeDocument/2006/relationships/oleObject" Target="embeddings/oleObject139.bin"/><Relationship Id="rId341" Type="http://schemas.openxmlformats.org/officeDocument/2006/relationships/oleObject" Target="embeddings/oleObject239.bin"/><Relationship Id="rId362" Type="http://schemas.openxmlformats.org/officeDocument/2006/relationships/oleObject" Target="embeddings/oleObject258.bin"/><Relationship Id="rId383" Type="http://schemas.openxmlformats.org/officeDocument/2006/relationships/header" Target="header3.xml"/><Relationship Id="rId201" Type="http://schemas.openxmlformats.org/officeDocument/2006/relationships/image" Target="media/image49.wmf"/><Relationship Id="rId222" Type="http://schemas.openxmlformats.org/officeDocument/2006/relationships/image" Target="media/image57.wmf"/><Relationship Id="rId243" Type="http://schemas.openxmlformats.org/officeDocument/2006/relationships/image" Target="media/image66.wmf"/><Relationship Id="rId264" Type="http://schemas.openxmlformats.org/officeDocument/2006/relationships/oleObject" Target="embeddings/oleObject182.bin"/><Relationship Id="rId285" Type="http://schemas.openxmlformats.org/officeDocument/2006/relationships/image" Target="media/image72.wmf"/><Relationship Id="rId17" Type="http://schemas.openxmlformats.org/officeDocument/2006/relationships/oleObject" Target="embeddings/oleObject2.bin"/><Relationship Id="rId38" Type="http://schemas.openxmlformats.org/officeDocument/2006/relationships/oleObject" Target="embeddings/oleObject16.bin"/><Relationship Id="rId59" Type="http://schemas.openxmlformats.org/officeDocument/2006/relationships/oleObject" Target="embeddings/oleObject35.bin"/><Relationship Id="rId103" Type="http://schemas.openxmlformats.org/officeDocument/2006/relationships/image" Target="media/image19.wmf"/><Relationship Id="rId124" Type="http://schemas.openxmlformats.org/officeDocument/2006/relationships/image" Target="media/image24.wmf"/><Relationship Id="rId310" Type="http://schemas.openxmlformats.org/officeDocument/2006/relationships/oleObject" Target="embeddings/oleObject218.bin"/><Relationship Id="rId70" Type="http://schemas.openxmlformats.org/officeDocument/2006/relationships/oleObject" Target="embeddings/oleObject46.bin"/><Relationship Id="rId91" Type="http://schemas.openxmlformats.org/officeDocument/2006/relationships/oleObject" Target="embeddings/oleObject62.bin"/><Relationship Id="rId145" Type="http://schemas.openxmlformats.org/officeDocument/2006/relationships/oleObject" Target="embeddings/oleObject102.bin"/><Relationship Id="rId166" Type="http://schemas.openxmlformats.org/officeDocument/2006/relationships/image" Target="media/image40.wmf"/><Relationship Id="rId187" Type="http://schemas.openxmlformats.org/officeDocument/2006/relationships/oleObject" Target="embeddings/oleObject130.bin"/><Relationship Id="rId331" Type="http://schemas.openxmlformats.org/officeDocument/2006/relationships/oleObject" Target="embeddings/oleObject232.bin"/><Relationship Id="rId352" Type="http://schemas.openxmlformats.org/officeDocument/2006/relationships/oleObject" Target="embeddings/oleObject248.bin"/><Relationship Id="rId373" Type="http://schemas.openxmlformats.org/officeDocument/2006/relationships/oleObject" Target="embeddings/oleObject269.bin"/><Relationship Id="rId1" Type="http://schemas.openxmlformats.org/officeDocument/2006/relationships/customXml" Target="../customXml/item1.xml"/><Relationship Id="rId212" Type="http://schemas.openxmlformats.org/officeDocument/2006/relationships/oleObject" Target="embeddings/oleObject146.bin"/><Relationship Id="rId233" Type="http://schemas.openxmlformats.org/officeDocument/2006/relationships/oleObject" Target="embeddings/oleObject157.bin"/><Relationship Id="rId254" Type="http://schemas.openxmlformats.org/officeDocument/2006/relationships/oleObject" Target="embeddings/oleObject174.bin"/><Relationship Id="rId28" Type="http://schemas.openxmlformats.org/officeDocument/2006/relationships/image" Target="media/image9.wmf"/><Relationship Id="rId49" Type="http://schemas.openxmlformats.org/officeDocument/2006/relationships/oleObject" Target="embeddings/oleObject25.bin"/><Relationship Id="rId114" Type="http://schemas.openxmlformats.org/officeDocument/2006/relationships/oleObject" Target="embeddings/oleObject81.bin"/><Relationship Id="rId275" Type="http://schemas.openxmlformats.org/officeDocument/2006/relationships/oleObject" Target="embeddings/oleObject193.bin"/><Relationship Id="rId296" Type="http://schemas.openxmlformats.org/officeDocument/2006/relationships/oleObject" Target="embeddings/oleObject209.bin"/><Relationship Id="rId300" Type="http://schemas.openxmlformats.org/officeDocument/2006/relationships/image" Target="media/image76.wmf"/><Relationship Id="rId60" Type="http://schemas.openxmlformats.org/officeDocument/2006/relationships/oleObject" Target="embeddings/oleObject36.bin"/><Relationship Id="rId81" Type="http://schemas.openxmlformats.org/officeDocument/2006/relationships/image" Target="media/image16.wmf"/><Relationship Id="rId135" Type="http://schemas.openxmlformats.org/officeDocument/2006/relationships/oleObject" Target="embeddings/oleObject94.bin"/><Relationship Id="rId156" Type="http://schemas.openxmlformats.org/officeDocument/2006/relationships/image" Target="media/image36.wmf"/><Relationship Id="rId177" Type="http://schemas.openxmlformats.org/officeDocument/2006/relationships/oleObject" Target="embeddings/oleObject123.bin"/><Relationship Id="rId198" Type="http://schemas.openxmlformats.org/officeDocument/2006/relationships/image" Target="media/image47.wmf"/><Relationship Id="rId321" Type="http://schemas.openxmlformats.org/officeDocument/2006/relationships/oleObject" Target="embeddings/oleObject224.bin"/><Relationship Id="rId342" Type="http://schemas.openxmlformats.org/officeDocument/2006/relationships/oleObject" Target="embeddings/oleObject240.bin"/><Relationship Id="rId363" Type="http://schemas.openxmlformats.org/officeDocument/2006/relationships/oleObject" Target="embeddings/oleObject259.bin"/><Relationship Id="rId384" Type="http://schemas.openxmlformats.org/officeDocument/2006/relationships/header" Target="header4.xml"/><Relationship Id="rId202" Type="http://schemas.openxmlformats.org/officeDocument/2006/relationships/oleObject" Target="embeddings/oleObject141.bin"/><Relationship Id="rId223" Type="http://schemas.openxmlformats.org/officeDocument/2006/relationships/oleObject" Target="embeddings/oleObject154.bin"/><Relationship Id="rId244" Type="http://schemas.openxmlformats.org/officeDocument/2006/relationships/oleObject" Target="embeddings/oleObject166.bin"/><Relationship Id="rId18" Type="http://schemas.openxmlformats.org/officeDocument/2006/relationships/image" Target="media/image4.wmf"/><Relationship Id="rId39" Type="http://schemas.openxmlformats.org/officeDocument/2006/relationships/oleObject" Target="embeddings/oleObject17.bin"/><Relationship Id="rId265" Type="http://schemas.openxmlformats.org/officeDocument/2006/relationships/oleObject" Target="embeddings/oleObject183.bin"/><Relationship Id="rId286" Type="http://schemas.openxmlformats.org/officeDocument/2006/relationships/oleObject" Target="embeddings/oleObject202.bin"/><Relationship Id="rId50" Type="http://schemas.openxmlformats.org/officeDocument/2006/relationships/oleObject" Target="embeddings/oleObject26.bin"/><Relationship Id="rId104" Type="http://schemas.openxmlformats.org/officeDocument/2006/relationships/oleObject" Target="embeddings/oleObject73.bin"/><Relationship Id="rId125" Type="http://schemas.openxmlformats.org/officeDocument/2006/relationships/image" Target="media/image25.png"/><Relationship Id="rId146" Type="http://schemas.openxmlformats.org/officeDocument/2006/relationships/oleObject" Target="embeddings/oleObject103.bin"/><Relationship Id="rId167" Type="http://schemas.openxmlformats.org/officeDocument/2006/relationships/oleObject" Target="embeddings/oleObject115.bin"/><Relationship Id="rId188" Type="http://schemas.openxmlformats.org/officeDocument/2006/relationships/oleObject" Target="embeddings/oleObject131.bin"/><Relationship Id="rId311" Type="http://schemas.openxmlformats.org/officeDocument/2006/relationships/image" Target="media/image81.wmf"/><Relationship Id="rId332" Type="http://schemas.openxmlformats.org/officeDocument/2006/relationships/image" Target="media/image88.wmf"/><Relationship Id="rId353" Type="http://schemas.openxmlformats.org/officeDocument/2006/relationships/oleObject" Target="embeddings/oleObject249.bin"/><Relationship Id="rId374" Type="http://schemas.openxmlformats.org/officeDocument/2006/relationships/oleObject" Target="embeddings/oleObject270.bin"/><Relationship Id="rId71" Type="http://schemas.openxmlformats.org/officeDocument/2006/relationships/oleObject" Target="embeddings/oleObject47.bin"/><Relationship Id="rId92" Type="http://schemas.openxmlformats.org/officeDocument/2006/relationships/oleObject" Target="embeddings/oleObject63.bin"/><Relationship Id="rId213" Type="http://schemas.openxmlformats.org/officeDocument/2006/relationships/image" Target="media/image55.wmf"/><Relationship Id="rId234" Type="http://schemas.openxmlformats.org/officeDocument/2006/relationships/oleObject" Target="embeddings/oleObject158.bin"/><Relationship Id="rId2" Type="http://schemas.openxmlformats.org/officeDocument/2006/relationships/numbering" Target="numbering.xml"/><Relationship Id="rId29" Type="http://schemas.openxmlformats.org/officeDocument/2006/relationships/oleObject" Target="embeddings/oleObject8.bin"/><Relationship Id="rId255" Type="http://schemas.openxmlformats.org/officeDocument/2006/relationships/image" Target="media/image69.wmf"/><Relationship Id="rId276" Type="http://schemas.openxmlformats.org/officeDocument/2006/relationships/oleObject" Target="embeddings/oleObject194.bin"/><Relationship Id="rId297" Type="http://schemas.openxmlformats.org/officeDocument/2006/relationships/oleObject" Target="embeddings/oleObject210.bin"/><Relationship Id="rId40" Type="http://schemas.openxmlformats.org/officeDocument/2006/relationships/oleObject" Target="embeddings/oleObject18.bin"/><Relationship Id="rId115" Type="http://schemas.openxmlformats.org/officeDocument/2006/relationships/image" Target="media/image22.wmf"/><Relationship Id="rId136" Type="http://schemas.openxmlformats.org/officeDocument/2006/relationships/image" Target="media/image30.wmf"/><Relationship Id="rId157" Type="http://schemas.openxmlformats.org/officeDocument/2006/relationships/image" Target="media/image37.wmf"/><Relationship Id="rId178" Type="http://schemas.openxmlformats.org/officeDocument/2006/relationships/image" Target="media/image43.wmf"/><Relationship Id="rId301" Type="http://schemas.openxmlformats.org/officeDocument/2006/relationships/oleObject" Target="embeddings/oleObject213.bin"/><Relationship Id="rId322" Type="http://schemas.openxmlformats.org/officeDocument/2006/relationships/image" Target="media/image86.wmf"/><Relationship Id="rId343" Type="http://schemas.openxmlformats.org/officeDocument/2006/relationships/image" Target="media/image91.wmf"/><Relationship Id="rId364" Type="http://schemas.openxmlformats.org/officeDocument/2006/relationships/oleObject" Target="embeddings/oleObject260.bin"/><Relationship Id="rId61" Type="http://schemas.openxmlformats.org/officeDocument/2006/relationships/oleObject" Target="embeddings/oleObject37.bin"/><Relationship Id="rId82" Type="http://schemas.openxmlformats.org/officeDocument/2006/relationships/oleObject" Target="embeddings/oleObject54.bin"/><Relationship Id="rId199" Type="http://schemas.openxmlformats.org/officeDocument/2006/relationships/oleObject" Target="embeddings/oleObject140.bin"/><Relationship Id="rId203" Type="http://schemas.openxmlformats.org/officeDocument/2006/relationships/image" Target="media/image50.wmf"/><Relationship Id="rId385" Type="http://schemas.openxmlformats.org/officeDocument/2006/relationships/footer" Target="footer4.xml"/><Relationship Id="rId19" Type="http://schemas.openxmlformats.org/officeDocument/2006/relationships/oleObject" Target="embeddings/oleObject3.bin"/><Relationship Id="rId224" Type="http://schemas.openxmlformats.org/officeDocument/2006/relationships/oleObject" Target="embeddings/oleObject155.bin"/><Relationship Id="rId245" Type="http://schemas.openxmlformats.org/officeDocument/2006/relationships/oleObject" Target="embeddings/oleObject167.bin"/><Relationship Id="rId266" Type="http://schemas.openxmlformats.org/officeDocument/2006/relationships/oleObject" Target="embeddings/oleObject184.bin"/><Relationship Id="rId287" Type="http://schemas.openxmlformats.org/officeDocument/2006/relationships/oleObject" Target="embeddings/oleObject203.bin"/><Relationship Id="rId30" Type="http://schemas.openxmlformats.org/officeDocument/2006/relationships/oleObject" Target="embeddings/oleObject9.bin"/><Relationship Id="rId105" Type="http://schemas.openxmlformats.org/officeDocument/2006/relationships/image" Target="media/image20.wmf"/><Relationship Id="rId126" Type="http://schemas.openxmlformats.org/officeDocument/2006/relationships/image" Target="media/image26.png"/><Relationship Id="rId147" Type="http://schemas.openxmlformats.org/officeDocument/2006/relationships/oleObject" Target="embeddings/oleObject104.bin"/><Relationship Id="rId168" Type="http://schemas.openxmlformats.org/officeDocument/2006/relationships/oleObject" Target="embeddings/oleObject116.bin"/><Relationship Id="rId312" Type="http://schemas.openxmlformats.org/officeDocument/2006/relationships/image" Target="media/image82.wmf"/><Relationship Id="rId333" Type="http://schemas.openxmlformats.org/officeDocument/2006/relationships/oleObject" Target="embeddings/oleObject233.bin"/><Relationship Id="rId354" Type="http://schemas.openxmlformats.org/officeDocument/2006/relationships/oleObject" Target="embeddings/oleObject250.bin"/><Relationship Id="rId51" Type="http://schemas.openxmlformats.org/officeDocument/2006/relationships/oleObject" Target="embeddings/oleObject27.bin"/><Relationship Id="rId72" Type="http://schemas.openxmlformats.org/officeDocument/2006/relationships/oleObject" Target="embeddings/oleObject48.bin"/><Relationship Id="rId93" Type="http://schemas.openxmlformats.org/officeDocument/2006/relationships/image" Target="media/image18.wmf"/><Relationship Id="rId189" Type="http://schemas.openxmlformats.org/officeDocument/2006/relationships/oleObject" Target="embeddings/oleObject132.bin"/><Relationship Id="rId375" Type="http://schemas.openxmlformats.org/officeDocument/2006/relationships/oleObject" Target="embeddings/oleObject271.bin"/><Relationship Id="rId3" Type="http://schemas.openxmlformats.org/officeDocument/2006/relationships/styles" Target="styles.xml"/><Relationship Id="rId214" Type="http://schemas.openxmlformats.org/officeDocument/2006/relationships/oleObject" Target="embeddings/oleObject147.bin"/><Relationship Id="rId235" Type="http://schemas.openxmlformats.org/officeDocument/2006/relationships/oleObject" Target="embeddings/oleObject159.bin"/><Relationship Id="rId256" Type="http://schemas.openxmlformats.org/officeDocument/2006/relationships/oleObject" Target="embeddings/oleObject175.bin"/><Relationship Id="rId277" Type="http://schemas.openxmlformats.org/officeDocument/2006/relationships/oleObject" Target="embeddings/oleObject195.bin"/><Relationship Id="rId298" Type="http://schemas.openxmlformats.org/officeDocument/2006/relationships/oleObject" Target="embeddings/oleObject211.bin"/><Relationship Id="rId116" Type="http://schemas.openxmlformats.org/officeDocument/2006/relationships/oleObject" Target="embeddings/oleObject82.bin"/><Relationship Id="rId137" Type="http://schemas.openxmlformats.org/officeDocument/2006/relationships/oleObject" Target="embeddings/oleObject95.bin"/><Relationship Id="rId158" Type="http://schemas.openxmlformats.org/officeDocument/2006/relationships/oleObject" Target="embeddings/oleObject109.bin"/><Relationship Id="rId302" Type="http://schemas.openxmlformats.org/officeDocument/2006/relationships/image" Target="media/image77.wmf"/><Relationship Id="rId323" Type="http://schemas.openxmlformats.org/officeDocument/2006/relationships/oleObject" Target="embeddings/oleObject225.bin"/><Relationship Id="rId344" Type="http://schemas.openxmlformats.org/officeDocument/2006/relationships/oleObject" Target="embeddings/oleObject241.bin"/><Relationship Id="rId20" Type="http://schemas.openxmlformats.org/officeDocument/2006/relationships/image" Target="media/image5.wmf"/><Relationship Id="rId41" Type="http://schemas.openxmlformats.org/officeDocument/2006/relationships/oleObject" Target="embeddings/oleObject19.bin"/><Relationship Id="rId62" Type="http://schemas.openxmlformats.org/officeDocument/2006/relationships/oleObject" Target="embeddings/oleObject38.bin"/><Relationship Id="rId83" Type="http://schemas.openxmlformats.org/officeDocument/2006/relationships/oleObject" Target="embeddings/oleObject55.bin"/><Relationship Id="rId179" Type="http://schemas.openxmlformats.org/officeDocument/2006/relationships/oleObject" Target="embeddings/oleObject124.bin"/><Relationship Id="rId365" Type="http://schemas.openxmlformats.org/officeDocument/2006/relationships/oleObject" Target="embeddings/oleObject261.bin"/><Relationship Id="rId386" Type="http://schemas.openxmlformats.org/officeDocument/2006/relationships/fontTable" Target="fontTable.xml"/><Relationship Id="rId190" Type="http://schemas.openxmlformats.org/officeDocument/2006/relationships/oleObject" Target="embeddings/oleObject133.bin"/><Relationship Id="rId204" Type="http://schemas.openxmlformats.org/officeDocument/2006/relationships/oleObject" Target="embeddings/oleObject142.bin"/><Relationship Id="rId225" Type="http://schemas.openxmlformats.org/officeDocument/2006/relationships/image" Target="media/image58.wmf"/><Relationship Id="rId246" Type="http://schemas.openxmlformats.org/officeDocument/2006/relationships/oleObject" Target="embeddings/oleObject168.bin"/><Relationship Id="rId267" Type="http://schemas.openxmlformats.org/officeDocument/2006/relationships/oleObject" Target="embeddings/oleObject185.bin"/><Relationship Id="rId288" Type="http://schemas.openxmlformats.org/officeDocument/2006/relationships/image" Target="media/image73.wmf"/><Relationship Id="rId106" Type="http://schemas.openxmlformats.org/officeDocument/2006/relationships/oleObject" Target="embeddings/oleObject74.bin"/><Relationship Id="rId127" Type="http://schemas.openxmlformats.org/officeDocument/2006/relationships/image" Target="media/image27.wmf"/><Relationship Id="rId313" Type="http://schemas.openxmlformats.org/officeDocument/2006/relationships/oleObject" Target="embeddings/oleObject219.bin"/><Relationship Id="rId10" Type="http://schemas.openxmlformats.org/officeDocument/2006/relationships/footer" Target="footer2.xml"/><Relationship Id="rId31" Type="http://schemas.openxmlformats.org/officeDocument/2006/relationships/oleObject" Target="embeddings/oleObject10.bin"/><Relationship Id="rId52" Type="http://schemas.openxmlformats.org/officeDocument/2006/relationships/oleObject" Target="embeddings/oleObject28.bin"/><Relationship Id="rId73" Type="http://schemas.openxmlformats.org/officeDocument/2006/relationships/image" Target="media/image13.wmf"/><Relationship Id="rId94" Type="http://schemas.openxmlformats.org/officeDocument/2006/relationships/oleObject" Target="embeddings/oleObject64.bin"/><Relationship Id="rId148" Type="http://schemas.openxmlformats.org/officeDocument/2006/relationships/image" Target="media/image32.wmf"/><Relationship Id="rId169" Type="http://schemas.openxmlformats.org/officeDocument/2006/relationships/oleObject" Target="embeddings/oleObject117.bin"/><Relationship Id="rId334" Type="http://schemas.openxmlformats.org/officeDocument/2006/relationships/oleObject" Target="embeddings/oleObject234.bin"/><Relationship Id="rId355" Type="http://schemas.openxmlformats.org/officeDocument/2006/relationships/oleObject" Target="embeddings/oleObject251.bin"/><Relationship Id="rId376" Type="http://schemas.openxmlformats.org/officeDocument/2006/relationships/image" Target="media/image93.wmf"/><Relationship Id="rId4" Type="http://schemas.openxmlformats.org/officeDocument/2006/relationships/settings" Target="settings.xml"/><Relationship Id="rId180" Type="http://schemas.openxmlformats.org/officeDocument/2006/relationships/oleObject" Target="embeddings/oleObject125.bin"/><Relationship Id="rId215" Type="http://schemas.openxmlformats.org/officeDocument/2006/relationships/oleObject" Target="embeddings/oleObject148.bin"/><Relationship Id="rId236" Type="http://schemas.openxmlformats.org/officeDocument/2006/relationships/oleObject" Target="embeddings/oleObject160.bin"/><Relationship Id="rId257" Type="http://schemas.openxmlformats.org/officeDocument/2006/relationships/image" Target="media/image70.wmf"/><Relationship Id="rId278" Type="http://schemas.openxmlformats.org/officeDocument/2006/relationships/oleObject" Target="embeddings/oleObject196.bin"/><Relationship Id="rId303" Type="http://schemas.openxmlformats.org/officeDocument/2006/relationships/oleObject" Target="embeddings/oleObject214.bin"/><Relationship Id="rId42" Type="http://schemas.openxmlformats.org/officeDocument/2006/relationships/oleObject" Target="embeddings/oleObject20.bin"/><Relationship Id="rId84" Type="http://schemas.openxmlformats.org/officeDocument/2006/relationships/oleObject" Target="embeddings/oleObject56.bin"/><Relationship Id="rId138" Type="http://schemas.openxmlformats.org/officeDocument/2006/relationships/oleObject" Target="embeddings/oleObject96.bin"/><Relationship Id="rId345" Type="http://schemas.openxmlformats.org/officeDocument/2006/relationships/oleObject" Target="embeddings/oleObject242.bin"/><Relationship Id="rId387" Type="http://schemas.openxmlformats.org/officeDocument/2006/relationships/theme" Target="theme/theme1.xml"/><Relationship Id="rId191" Type="http://schemas.openxmlformats.org/officeDocument/2006/relationships/oleObject" Target="embeddings/oleObject134.bin"/><Relationship Id="rId205" Type="http://schemas.openxmlformats.org/officeDocument/2006/relationships/image" Target="media/image51.wmf"/><Relationship Id="rId247" Type="http://schemas.openxmlformats.org/officeDocument/2006/relationships/oleObject" Target="embeddings/oleObject169.bin"/><Relationship Id="rId107" Type="http://schemas.openxmlformats.org/officeDocument/2006/relationships/oleObject" Target="embeddings/oleObject75.bin"/><Relationship Id="rId289" Type="http://schemas.openxmlformats.org/officeDocument/2006/relationships/oleObject" Target="embeddings/oleObject204.bin"/><Relationship Id="rId11" Type="http://schemas.openxmlformats.org/officeDocument/2006/relationships/header" Target="header2.xml"/><Relationship Id="rId53" Type="http://schemas.openxmlformats.org/officeDocument/2006/relationships/oleObject" Target="embeddings/oleObject29.bin"/><Relationship Id="rId149" Type="http://schemas.openxmlformats.org/officeDocument/2006/relationships/oleObject" Target="embeddings/oleObject105.bin"/><Relationship Id="rId314" Type="http://schemas.openxmlformats.org/officeDocument/2006/relationships/image" Target="media/image83.wmf"/><Relationship Id="rId356" Type="http://schemas.openxmlformats.org/officeDocument/2006/relationships/oleObject" Target="embeddings/oleObject252.bin"/><Relationship Id="rId95" Type="http://schemas.openxmlformats.org/officeDocument/2006/relationships/oleObject" Target="embeddings/oleObject65.bin"/><Relationship Id="rId160" Type="http://schemas.openxmlformats.org/officeDocument/2006/relationships/oleObject" Target="embeddings/oleObject110.bin"/><Relationship Id="rId216" Type="http://schemas.openxmlformats.org/officeDocument/2006/relationships/oleObject" Target="embeddings/oleObject149.bin"/><Relationship Id="rId258" Type="http://schemas.openxmlformats.org/officeDocument/2006/relationships/oleObject" Target="embeddings/oleObject176.bin"/><Relationship Id="rId22" Type="http://schemas.openxmlformats.org/officeDocument/2006/relationships/image" Target="media/image6.wmf"/><Relationship Id="rId64" Type="http://schemas.openxmlformats.org/officeDocument/2006/relationships/oleObject" Target="embeddings/oleObject40.bin"/><Relationship Id="rId118" Type="http://schemas.openxmlformats.org/officeDocument/2006/relationships/oleObject" Target="embeddings/oleObject83.bin"/><Relationship Id="rId325" Type="http://schemas.openxmlformats.org/officeDocument/2006/relationships/oleObject" Target="embeddings/oleObject227.bin"/><Relationship Id="rId367" Type="http://schemas.openxmlformats.org/officeDocument/2006/relationships/oleObject" Target="embeddings/oleObject263.bin"/><Relationship Id="rId171" Type="http://schemas.openxmlformats.org/officeDocument/2006/relationships/oleObject" Target="embeddings/oleObject118.bin"/><Relationship Id="rId227" Type="http://schemas.openxmlformats.org/officeDocument/2006/relationships/image" Target="media/image59.wmf"/><Relationship Id="rId269" Type="http://schemas.openxmlformats.org/officeDocument/2006/relationships/oleObject" Target="embeddings/oleObject187.bin"/><Relationship Id="rId33" Type="http://schemas.openxmlformats.org/officeDocument/2006/relationships/image" Target="media/image10.wmf"/><Relationship Id="rId129" Type="http://schemas.openxmlformats.org/officeDocument/2006/relationships/oleObject" Target="embeddings/oleObject89.bin"/><Relationship Id="rId280" Type="http://schemas.openxmlformats.org/officeDocument/2006/relationships/oleObject" Target="embeddings/oleObject198.bin"/><Relationship Id="rId336" Type="http://schemas.openxmlformats.org/officeDocument/2006/relationships/oleObject" Target="embeddings/oleObject235.bin"/><Relationship Id="rId75" Type="http://schemas.openxmlformats.org/officeDocument/2006/relationships/image" Target="media/image14.wmf"/><Relationship Id="rId140" Type="http://schemas.openxmlformats.org/officeDocument/2006/relationships/oleObject" Target="embeddings/oleObject98.bin"/><Relationship Id="rId182" Type="http://schemas.openxmlformats.org/officeDocument/2006/relationships/image" Target="media/image44.wmf"/><Relationship Id="rId378" Type="http://schemas.openxmlformats.org/officeDocument/2006/relationships/oleObject" Target="embeddings/oleObject273.bin"/><Relationship Id="rId6" Type="http://schemas.openxmlformats.org/officeDocument/2006/relationships/footnotes" Target="footnotes.xml"/><Relationship Id="rId238" Type="http://schemas.openxmlformats.org/officeDocument/2006/relationships/image" Target="media/image65.wmf"/><Relationship Id="rId291" Type="http://schemas.openxmlformats.org/officeDocument/2006/relationships/oleObject" Target="embeddings/oleObject206.bin"/><Relationship Id="rId305" Type="http://schemas.openxmlformats.org/officeDocument/2006/relationships/oleObject" Target="embeddings/oleObject215.bin"/><Relationship Id="rId347" Type="http://schemas.openxmlformats.org/officeDocument/2006/relationships/oleObject" Target="embeddings/oleObject244.bin"/><Relationship Id="rId44" Type="http://schemas.openxmlformats.org/officeDocument/2006/relationships/oleObject" Target="embeddings/oleObject21.bin"/><Relationship Id="rId86" Type="http://schemas.openxmlformats.org/officeDocument/2006/relationships/oleObject" Target="embeddings/oleObject58.bin"/><Relationship Id="rId151" Type="http://schemas.openxmlformats.org/officeDocument/2006/relationships/image" Target="media/image34.wmf"/><Relationship Id="rId193" Type="http://schemas.openxmlformats.org/officeDocument/2006/relationships/oleObject" Target="embeddings/oleObject136.bin"/><Relationship Id="rId207" Type="http://schemas.openxmlformats.org/officeDocument/2006/relationships/image" Target="media/image52.wmf"/><Relationship Id="rId249" Type="http://schemas.openxmlformats.org/officeDocument/2006/relationships/oleObject" Target="embeddings/oleObject171.bin"/><Relationship Id="rId13" Type="http://schemas.openxmlformats.org/officeDocument/2006/relationships/image" Target="media/image1.png"/><Relationship Id="rId109" Type="http://schemas.openxmlformats.org/officeDocument/2006/relationships/oleObject" Target="embeddings/oleObject77.bin"/><Relationship Id="rId260" Type="http://schemas.openxmlformats.org/officeDocument/2006/relationships/oleObject" Target="embeddings/oleObject178.bin"/><Relationship Id="rId316" Type="http://schemas.openxmlformats.org/officeDocument/2006/relationships/oleObject" Target="embeddings/oleObject220.bin"/><Relationship Id="rId55" Type="http://schemas.openxmlformats.org/officeDocument/2006/relationships/oleObject" Target="embeddings/oleObject31.bin"/><Relationship Id="rId97" Type="http://schemas.openxmlformats.org/officeDocument/2006/relationships/oleObject" Target="embeddings/oleObject67.bin"/><Relationship Id="rId120" Type="http://schemas.openxmlformats.org/officeDocument/2006/relationships/oleObject" Target="embeddings/oleObject85.bin"/><Relationship Id="rId358" Type="http://schemas.openxmlformats.org/officeDocument/2006/relationships/oleObject" Target="embeddings/oleObject254.bin"/><Relationship Id="rId162" Type="http://schemas.openxmlformats.org/officeDocument/2006/relationships/image" Target="media/image39.wmf"/><Relationship Id="rId218" Type="http://schemas.openxmlformats.org/officeDocument/2006/relationships/oleObject" Target="embeddings/oleObject151.bin"/><Relationship Id="rId271" Type="http://schemas.openxmlformats.org/officeDocument/2006/relationships/oleObject" Target="embeddings/oleObject189.bin"/><Relationship Id="rId24" Type="http://schemas.openxmlformats.org/officeDocument/2006/relationships/image" Target="media/image7.wmf"/><Relationship Id="rId66" Type="http://schemas.openxmlformats.org/officeDocument/2006/relationships/oleObject" Target="embeddings/oleObject42.bin"/><Relationship Id="rId131" Type="http://schemas.openxmlformats.org/officeDocument/2006/relationships/oleObject" Target="embeddings/oleObject91.bin"/><Relationship Id="rId327" Type="http://schemas.openxmlformats.org/officeDocument/2006/relationships/oleObject" Target="embeddings/oleObject229.bin"/><Relationship Id="rId369" Type="http://schemas.openxmlformats.org/officeDocument/2006/relationships/oleObject" Target="embeddings/oleObject265.bin"/><Relationship Id="rId173" Type="http://schemas.openxmlformats.org/officeDocument/2006/relationships/oleObject" Target="embeddings/oleObject120.bin"/><Relationship Id="rId229" Type="http://schemas.openxmlformats.org/officeDocument/2006/relationships/image" Target="media/image61.wmf"/><Relationship Id="rId380" Type="http://schemas.openxmlformats.org/officeDocument/2006/relationships/image" Target="media/image94.wmf"/><Relationship Id="rId240" Type="http://schemas.openxmlformats.org/officeDocument/2006/relationships/oleObject" Target="embeddings/oleObject163.bin"/><Relationship Id="rId35" Type="http://schemas.openxmlformats.org/officeDocument/2006/relationships/oleObject" Target="embeddings/oleObject13.bin"/><Relationship Id="rId77" Type="http://schemas.openxmlformats.org/officeDocument/2006/relationships/oleObject" Target="embeddings/oleObject51.bin"/><Relationship Id="rId100" Type="http://schemas.openxmlformats.org/officeDocument/2006/relationships/oleObject" Target="embeddings/oleObject70.bin"/><Relationship Id="rId282" Type="http://schemas.openxmlformats.org/officeDocument/2006/relationships/oleObject" Target="embeddings/oleObject200.bin"/><Relationship Id="rId338" Type="http://schemas.openxmlformats.org/officeDocument/2006/relationships/oleObject" Target="embeddings/oleObject236.bin"/><Relationship Id="rId8" Type="http://schemas.openxmlformats.org/officeDocument/2006/relationships/header" Target="header1.xml"/><Relationship Id="rId142" Type="http://schemas.openxmlformats.org/officeDocument/2006/relationships/image" Target="media/image31.wmf"/><Relationship Id="rId184" Type="http://schemas.openxmlformats.org/officeDocument/2006/relationships/oleObject" Target="embeddings/oleObject128.bin"/><Relationship Id="rId251" Type="http://schemas.openxmlformats.org/officeDocument/2006/relationships/oleObject" Target="embeddings/oleObject172.bin"/><Relationship Id="rId46" Type="http://schemas.openxmlformats.org/officeDocument/2006/relationships/oleObject" Target="embeddings/oleObject22.bin"/><Relationship Id="rId293" Type="http://schemas.openxmlformats.org/officeDocument/2006/relationships/image" Target="media/image74.wmf"/><Relationship Id="rId307" Type="http://schemas.openxmlformats.org/officeDocument/2006/relationships/image" Target="media/image79.wmf"/><Relationship Id="rId349" Type="http://schemas.openxmlformats.org/officeDocument/2006/relationships/oleObject" Target="embeddings/oleObject245.bin"/><Relationship Id="rId88" Type="http://schemas.openxmlformats.org/officeDocument/2006/relationships/oleObject" Target="embeddings/oleObject59.bin"/><Relationship Id="rId111" Type="http://schemas.openxmlformats.org/officeDocument/2006/relationships/oleObject" Target="embeddings/oleObject79.bin"/><Relationship Id="rId153" Type="http://schemas.openxmlformats.org/officeDocument/2006/relationships/oleObject" Target="embeddings/oleObject107.bin"/><Relationship Id="rId195" Type="http://schemas.openxmlformats.org/officeDocument/2006/relationships/oleObject" Target="embeddings/oleObject138.bin"/><Relationship Id="rId209" Type="http://schemas.openxmlformats.org/officeDocument/2006/relationships/image" Target="media/image53.wmf"/><Relationship Id="rId360" Type="http://schemas.openxmlformats.org/officeDocument/2006/relationships/oleObject" Target="embeddings/oleObject256.bin"/><Relationship Id="rId220" Type="http://schemas.openxmlformats.org/officeDocument/2006/relationships/image" Target="media/image56.wmf"/><Relationship Id="rId15" Type="http://schemas.openxmlformats.org/officeDocument/2006/relationships/image" Target="media/image3.wmf"/><Relationship Id="rId57" Type="http://schemas.openxmlformats.org/officeDocument/2006/relationships/oleObject" Target="embeddings/oleObject33.bin"/><Relationship Id="rId262" Type="http://schemas.openxmlformats.org/officeDocument/2006/relationships/oleObject" Target="embeddings/oleObject180.bin"/><Relationship Id="rId318" Type="http://schemas.openxmlformats.org/officeDocument/2006/relationships/oleObject" Target="embeddings/oleObject222.bin"/><Relationship Id="rId99" Type="http://schemas.openxmlformats.org/officeDocument/2006/relationships/oleObject" Target="embeddings/oleObject69.bin"/><Relationship Id="rId122" Type="http://schemas.openxmlformats.org/officeDocument/2006/relationships/oleObject" Target="embeddings/oleObject87.bin"/><Relationship Id="rId164" Type="http://schemas.openxmlformats.org/officeDocument/2006/relationships/oleObject" Target="embeddings/oleObject113.bin"/><Relationship Id="rId371" Type="http://schemas.openxmlformats.org/officeDocument/2006/relationships/oleObject" Target="embeddings/oleObject267.bin"/><Relationship Id="rId26" Type="http://schemas.openxmlformats.org/officeDocument/2006/relationships/image" Target="media/image8.wmf"/><Relationship Id="rId231" Type="http://schemas.openxmlformats.org/officeDocument/2006/relationships/image" Target="media/image63.wmf"/><Relationship Id="rId273" Type="http://schemas.openxmlformats.org/officeDocument/2006/relationships/oleObject" Target="embeddings/oleObject191.bin"/><Relationship Id="rId329" Type="http://schemas.openxmlformats.org/officeDocument/2006/relationships/oleObject" Target="embeddings/oleObject23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D4AF7-9148-4D7E-A43E-68DD1F3EF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343</Pages>
  <Words>129164</Words>
  <Characters>657448</Characters>
  <Application>Microsoft Office Word</Application>
  <DocSecurity>0</DocSecurity>
  <Lines>17301</Lines>
  <Paragraphs>10775</Paragraphs>
  <ScaleCrop>false</ScaleCrop>
  <HeadingPairs>
    <vt:vector size="2" baseType="variant">
      <vt:variant>
        <vt:lpstr>Title</vt:lpstr>
      </vt:variant>
      <vt:variant>
        <vt:i4>1</vt:i4>
      </vt:variant>
    </vt:vector>
  </HeadingPairs>
  <TitlesOfParts>
    <vt:vector size="1" baseType="lpstr">
      <vt:lpstr/>
    </vt:vector>
  </TitlesOfParts>
  <Company>The Electric Reliability Council of Texas</Company>
  <LinksUpToDate>false</LinksUpToDate>
  <CharactersWithSpaces>775837</CharactersWithSpaces>
  <SharedDoc>false</SharedDoc>
  <HLinks>
    <vt:vector size="954" baseType="variant">
      <vt:variant>
        <vt:i4>1572918</vt:i4>
      </vt:variant>
      <vt:variant>
        <vt:i4>950</vt:i4>
      </vt:variant>
      <vt:variant>
        <vt:i4>0</vt:i4>
      </vt:variant>
      <vt:variant>
        <vt:i4>5</vt:i4>
      </vt:variant>
      <vt:variant>
        <vt:lpwstr/>
      </vt:variant>
      <vt:variant>
        <vt:lpwstr>_Toc17798786</vt:lpwstr>
      </vt:variant>
      <vt:variant>
        <vt:i4>1769526</vt:i4>
      </vt:variant>
      <vt:variant>
        <vt:i4>944</vt:i4>
      </vt:variant>
      <vt:variant>
        <vt:i4>0</vt:i4>
      </vt:variant>
      <vt:variant>
        <vt:i4>5</vt:i4>
      </vt:variant>
      <vt:variant>
        <vt:lpwstr/>
      </vt:variant>
      <vt:variant>
        <vt:lpwstr>_Toc17798785</vt:lpwstr>
      </vt:variant>
      <vt:variant>
        <vt:i4>1703990</vt:i4>
      </vt:variant>
      <vt:variant>
        <vt:i4>938</vt:i4>
      </vt:variant>
      <vt:variant>
        <vt:i4>0</vt:i4>
      </vt:variant>
      <vt:variant>
        <vt:i4>5</vt:i4>
      </vt:variant>
      <vt:variant>
        <vt:lpwstr/>
      </vt:variant>
      <vt:variant>
        <vt:lpwstr>_Toc17798784</vt:lpwstr>
      </vt:variant>
      <vt:variant>
        <vt:i4>1900598</vt:i4>
      </vt:variant>
      <vt:variant>
        <vt:i4>932</vt:i4>
      </vt:variant>
      <vt:variant>
        <vt:i4>0</vt:i4>
      </vt:variant>
      <vt:variant>
        <vt:i4>5</vt:i4>
      </vt:variant>
      <vt:variant>
        <vt:lpwstr/>
      </vt:variant>
      <vt:variant>
        <vt:lpwstr>_Toc17798783</vt:lpwstr>
      </vt:variant>
      <vt:variant>
        <vt:i4>1835062</vt:i4>
      </vt:variant>
      <vt:variant>
        <vt:i4>926</vt:i4>
      </vt:variant>
      <vt:variant>
        <vt:i4>0</vt:i4>
      </vt:variant>
      <vt:variant>
        <vt:i4>5</vt:i4>
      </vt:variant>
      <vt:variant>
        <vt:lpwstr/>
      </vt:variant>
      <vt:variant>
        <vt:lpwstr>_Toc17798782</vt:lpwstr>
      </vt:variant>
      <vt:variant>
        <vt:i4>2031670</vt:i4>
      </vt:variant>
      <vt:variant>
        <vt:i4>920</vt:i4>
      </vt:variant>
      <vt:variant>
        <vt:i4>0</vt:i4>
      </vt:variant>
      <vt:variant>
        <vt:i4>5</vt:i4>
      </vt:variant>
      <vt:variant>
        <vt:lpwstr/>
      </vt:variant>
      <vt:variant>
        <vt:lpwstr>_Toc17798781</vt:lpwstr>
      </vt:variant>
      <vt:variant>
        <vt:i4>1966134</vt:i4>
      </vt:variant>
      <vt:variant>
        <vt:i4>914</vt:i4>
      </vt:variant>
      <vt:variant>
        <vt:i4>0</vt:i4>
      </vt:variant>
      <vt:variant>
        <vt:i4>5</vt:i4>
      </vt:variant>
      <vt:variant>
        <vt:lpwstr/>
      </vt:variant>
      <vt:variant>
        <vt:lpwstr>_Toc17798780</vt:lpwstr>
      </vt:variant>
      <vt:variant>
        <vt:i4>1507385</vt:i4>
      </vt:variant>
      <vt:variant>
        <vt:i4>908</vt:i4>
      </vt:variant>
      <vt:variant>
        <vt:i4>0</vt:i4>
      </vt:variant>
      <vt:variant>
        <vt:i4>5</vt:i4>
      </vt:variant>
      <vt:variant>
        <vt:lpwstr/>
      </vt:variant>
      <vt:variant>
        <vt:lpwstr>_Toc17798779</vt:lpwstr>
      </vt:variant>
      <vt:variant>
        <vt:i4>1441849</vt:i4>
      </vt:variant>
      <vt:variant>
        <vt:i4>902</vt:i4>
      </vt:variant>
      <vt:variant>
        <vt:i4>0</vt:i4>
      </vt:variant>
      <vt:variant>
        <vt:i4>5</vt:i4>
      </vt:variant>
      <vt:variant>
        <vt:lpwstr/>
      </vt:variant>
      <vt:variant>
        <vt:lpwstr>_Toc17798778</vt:lpwstr>
      </vt:variant>
      <vt:variant>
        <vt:i4>1638457</vt:i4>
      </vt:variant>
      <vt:variant>
        <vt:i4>896</vt:i4>
      </vt:variant>
      <vt:variant>
        <vt:i4>0</vt:i4>
      </vt:variant>
      <vt:variant>
        <vt:i4>5</vt:i4>
      </vt:variant>
      <vt:variant>
        <vt:lpwstr/>
      </vt:variant>
      <vt:variant>
        <vt:lpwstr>_Toc17798777</vt:lpwstr>
      </vt:variant>
      <vt:variant>
        <vt:i4>1572921</vt:i4>
      </vt:variant>
      <vt:variant>
        <vt:i4>890</vt:i4>
      </vt:variant>
      <vt:variant>
        <vt:i4>0</vt:i4>
      </vt:variant>
      <vt:variant>
        <vt:i4>5</vt:i4>
      </vt:variant>
      <vt:variant>
        <vt:lpwstr/>
      </vt:variant>
      <vt:variant>
        <vt:lpwstr>_Toc17798776</vt:lpwstr>
      </vt:variant>
      <vt:variant>
        <vt:i4>1769529</vt:i4>
      </vt:variant>
      <vt:variant>
        <vt:i4>884</vt:i4>
      </vt:variant>
      <vt:variant>
        <vt:i4>0</vt:i4>
      </vt:variant>
      <vt:variant>
        <vt:i4>5</vt:i4>
      </vt:variant>
      <vt:variant>
        <vt:lpwstr/>
      </vt:variant>
      <vt:variant>
        <vt:lpwstr>_Toc17798775</vt:lpwstr>
      </vt:variant>
      <vt:variant>
        <vt:i4>1703993</vt:i4>
      </vt:variant>
      <vt:variant>
        <vt:i4>878</vt:i4>
      </vt:variant>
      <vt:variant>
        <vt:i4>0</vt:i4>
      </vt:variant>
      <vt:variant>
        <vt:i4>5</vt:i4>
      </vt:variant>
      <vt:variant>
        <vt:lpwstr/>
      </vt:variant>
      <vt:variant>
        <vt:lpwstr>_Toc17798774</vt:lpwstr>
      </vt:variant>
      <vt:variant>
        <vt:i4>1900601</vt:i4>
      </vt:variant>
      <vt:variant>
        <vt:i4>872</vt:i4>
      </vt:variant>
      <vt:variant>
        <vt:i4>0</vt:i4>
      </vt:variant>
      <vt:variant>
        <vt:i4>5</vt:i4>
      </vt:variant>
      <vt:variant>
        <vt:lpwstr/>
      </vt:variant>
      <vt:variant>
        <vt:lpwstr>_Toc17798773</vt:lpwstr>
      </vt:variant>
      <vt:variant>
        <vt:i4>1835065</vt:i4>
      </vt:variant>
      <vt:variant>
        <vt:i4>866</vt:i4>
      </vt:variant>
      <vt:variant>
        <vt:i4>0</vt:i4>
      </vt:variant>
      <vt:variant>
        <vt:i4>5</vt:i4>
      </vt:variant>
      <vt:variant>
        <vt:lpwstr/>
      </vt:variant>
      <vt:variant>
        <vt:lpwstr>_Toc17798772</vt:lpwstr>
      </vt:variant>
      <vt:variant>
        <vt:i4>2031673</vt:i4>
      </vt:variant>
      <vt:variant>
        <vt:i4>860</vt:i4>
      </vt:variant>
      <vt:variant>
        <vt:i4>0</vt:i4>
      </vt:variant>
      <vt:variant>
        <vt:i4>5</vt:i4>
      </vt:variant>
      <vt:variant>
        <vt:lpwstr/>
      </vt:variant>
      <vt:variant>
        <vt:lpwstr>_Toc17798771</vt:lpwstr>
      </vt:variant>
      <vt:variant>
        <vt:i4>1966137</vt:i4>
      </vt:variant>
      <vt:variant>
        <vt:i4>854</vt:i4>
      </vt:variant>
      <vt:variant>
        <vt:i4>0</vt:i4>
      </vt:variant>
      <vt:variant>
        <vt:i4>5</vt:i4>
      </vt:variant>
      <vt:variant>
        <vt:lpwstr/>
      </vt:variant>
      <vt:variant>
        <vt:lpwstr>_Toc17798770</vt:lpwstr>
      </vt:variant>
      <vt:variant>
        <vt:i4>1507384</vt:i4>
      </vt:variant>
      <vt:variant>
        <vt:i4>848</vt:i4>
      </vt:variant>
      <vt:variant>
        <vt:i4>0</vt:i4>
      </vt:variant>
      <vt:variant>
        <vt:i4>5</vt:i4>
      </vt:variant>
      <vt:variant>
        <vt:lpwstr/>
      </vt:variant>
      <vt:variant>
        <vt:lpwstr>_Toc17798769</vt:lpwstr>
      </vt:variant>
      <vt:variant>
        <vt:i4>1441848</vt:i4>
      </vt:variant>
      <vt:variant>
        <vt:i4>842</vt:i4>
      </vt:variant>
      <vt:variant>
        <vt:i4>0</vt:i4>
      </vt:variant>
      <vt:variant>
        <vt:i4>5</vt:i4>
      </vt:variant>
      <vt:variant>
        <vt:lpwstr/>
      </vt:variant>
      <vt:variant>
        <vt:lpwstr>_Toc17798768</vt:lpwstr>
      </vt:variant>
      <vt:variant>
        <vt:i4>1638456</vt:i4>
      </vt:variant>
      <vt:variant>
        <vt:i4>836</vt:i4>
      </vt:variant>
      <vt:variant>
        <vt:i4>0</vt:i4>
      </vt:variant>
      <vt:variant>
        <vt:i4>5</vt:i4>
      </vt:variant>
      <vt:variant>
        <vt:lpwstr/>
      </vt:variant>
      <vt:variant>
        <vt:lpwstr>_Toc17798767</vt:lpwstr>
      </vt:variant>
      <vt:variant>
        <vt:i4>1572920</vt:i4>
      </vt:variant>
      <vt:variant>
        <vt:i4>830</vt:i4>
      </vt:variant>
      <vt:variant>
        <vt:i4>0</vt:i4>
      </vt:variant>
      <vt:variant>
        <vt:i4>5</vt:i4>
      </vt:variant>
      <vt:variant>
        <vt:lpwstr/>
      </vt:variant>
      <vt:variant>
        <vt:lpwstr>_Toc17798766</vt:lpwstr>
      </vt:variant>
      <vt:variant>
        <vt:i4>1769528</vt:i4>
      </vt:variant>
      <vt:variant>
        <vt:i4>824</vt:i4>
      </vt:variant>
      <vt:variant>
        <vt:i4>0</vt:i4>
      </vt:variant>
      <vt:variant>
        <vt:i4>5</vt:i4>
      </vt:variant>
      <vt:variant>
        <vt:lpwstr/>
      </vt:variant>
      <vt:variant>
        <vt:lpwstr>_Toc17798765</vt:lpwstr>
      </vt:variant>
      <vt:variant>
        <vt:i4>1703992</vt:i4>
      </vt:variant>
      <vt:variant>
        <vt:i4>818</vt:i4>
      </vt:variant>
      <vt:variant>
        <vt:i4>0</vt:i4>
      </vt:variant>
      <vt:variant>
        <vt:i4>5</vt:i4>
      </vt:variant>
      <vt:variant>
        <vt:lpwstr/>
      </vt:variant>
      <vt:variant>
        <vt:lpwstr>_Toc17798764</vt:lpwstr>
      </vt:variant>
      <vt:variant>
        <vt:i4>1900600</vt:i4>
      </vt:variant>
      <vt:variant>
        <vt:i4>812</vt:i4>
      </vt:variant>
      <vt:variant>
        <vt:i4>0</vt:i4>
      </vt:variant>
      <vt:variant>
        <vt:i4>5</vt:i4>
      </vt:variant>
      <vt:variant>
        <vt:lpwstr/>
      </vt:variant>
      <vt:variant>
        <vt:lpwstr>_Toc17798763</vt:lpwstr>
      </vt:variant>
      <vt:variant>
        <vt:i4>1835064</vt:i4>
      </vt:variant>
      <vt:variant>
        <vt:i4>806</vt:i4>
      </vt:variant>
      <vt:variant>
        <vt:i4>0</vt:i4>
      </vt:variant>
      <vt:variant>
        <vt:i4>5</vt:i4>
      </vt:variant>
      <vt:variant>
        <vt:lpwstr/>
      </vt:variant>
      <vt:variant>
        <vt:lpwstr>_Toc17798762</vt:lpwstr>
      </vt:variant>
      <vt:variant>
        <vt:i4>2031672</vt:i4>
      </vt:variant>
      <vt:variant>
        <vt:i4>800</vt:i4>
      </vt:variant>
      <vt:variant>
        <vt:i4>0</vt:i4>
      </vt:variant>
      <vt:variant>
        <vt:i4>5</vt:i4>
      </vt:variant>
      <vt:variant>
        <vt:lpwstr/>
      </vt:variant>
      <vt:variant>
        <vt:lpwstr>_Toc17798761</vt:lpwstr>
      </vt:variant>
      <vt:variant>
        <vt:i4>1966136</vt:i4>
      </vt:variant>
      <vt:variant>
        <vt:i4>794</vt:i4>
      </vt:variant>
      <vt:variant>
        <vt:i4>0</vt:i4>
      </vt:variant>
      <vt:variant>
        <vt:i4>5</vt:i4>
      </vt:variant>
      <vt:variant>
        <vt:lpwstr/>
      </vt:variant>
      <vt:variant>
        <vt:lpwstr>_Toc17798760</vt:lpwstr>
      </vt:variant>
      <vt:variant>
        <vt:i4>1900603</vt:i4>
      </vt:variant>
      <vt:variant>
        <vt:i4>788</vt:i4>
      </vt:variant>
      <vt:variant>
        <vt:i4>0</vt:i4>
      </vt:variant>
      <vt:variant>
        <vt:i4>5</vt:i4>
      </vt:variant>
      <vt:variant>
        <vt:lpwstr/>
      </vt:variant>
      <vt:variant>
        <vt:lpwstr>_Toc17798753</vt:lpwstr>
      </vt:variant>
      <vt:variant>
        <vt:i4>1835067</vt:i4>
      </vt:variant>
      <vt:variant>
        <vt:i4>782</vt:i4>
      </vt:variant>
      <vt:variant>
        <vt:i4>0</vt:i4>
      </vt:variant>
      <vt:variant>
        <vt:i4>5</vt:i4>
      </vt:variant>
      <vt:variant>
        <vt:lpwstr/>
      </vt:variant>
      <vt:variant>
        <vt:lpwstr>_Toc17798752</vt:lpwstr>
      </vt:variant>
      <vt:variant>
        <vt:i4>2031675</vt:i4>
      </vt:variant>
      <vt:variant>
        <vt:i4>776</vt:i4>
      </vt:variant>
      <vt:variant>
        <vt:i4>0</vt:i4>
      </vt:variant>
      <vt:variant>
        <vt:i4>5</vt:i4>
      </vt:variant>
      <vt:variant>
        <vt:lpwstr/>
      </vt:variant>
      <vt:variant>
        <vt:lpwstr>_Toc17798751</vt:lpwstr>
      </vt:variant>
      <vt:variant>
        <vt:i4>1966139</vt:i4>
      </vt:variant>
      <vt:variant>
        <vt:i4>770</vt:i4>
      </vt:variant>
      <vt:variant>
        <vt:i4>0</vt:i4>
      </vt:variant>
      <vt:variant>
        <vt:i4>5</vt:i4>
      </vt:variant>
      <vt:variant>
        <vt:lpwstr/>
      </vt:variant>
      <vt:variant>
        <vt:lpwstr>_Toc17798750</vt:lpwstr>
      </vt:variant>
      <vt:variant>
        <vt:i4>1507386</vt:i4>
      </vt:variant>
      <vt:variant>
        <vt:i4>764</vt:i4>
      </vt:variant>
      <vt:variant>
        <vt:i4>0</vt:i4>
      </vt:variant>
      <vt:variant>
        <vt:i4>5</vt:i4>
      </vt:variant>
      <vt:variant>
        <vt:lpwstr/>
      </vt:variant>
      <vt:variant>
        <vt:lpwstr>_Toc17798749</vt:lpwstr>
      </vt:variant>
      <vt:variant>
        <vt:i4>1441850</vt:i4>
      </vt:variant>
      <vt:variant>
        <vt:i4>758</vt:i4>
      </vt:variant>
      <vt:variant>
        <vt:i4>0</vt:i4>
      </vt:variant>
      <vt:variant>
        <vt:i4>5</vt:i4>
      </vt:variant>
      <vt:variant>
        <vt:lpwstr/>
      </vt:variant>
      <vt:variant>
        <vt:lpwstr>_Toc17798748</vt:lpwstr>
      </vt:variant>
      <vt:variant>
        <vt:i4>1572922</vt:i4>
      </vt:variant>
      <vt:variant>
        <vt:i4>752</vt:i4>
      </vt:variant>
      <vt:variant>
        <vt:i4>0</vt:i4>
      </vt:variant>
      <vt:variant>
        <vt:i4>5</vt:i4>
      </vt:variant>
      <vt:variant>
        <vt:lpwstr/>
      </vt:variant>
      <vt:variant>
        <vt:lpwstr>_Toc17798746</vt:lpwstr>
      </vt:variant>
      <vt:variant>
        <vt:i4>1769530</vt:i4>
      </vt:variant>
      <vt:variant>
        <vt:i4>746</vt:i4>
      </vt:variant>
      <vt:variant>
        <vt:i4>0</vt:i4>
      </vt:variant>
      <vt:variant>
        <vt:i4>5</vt:i4>
      </vt:variant>
      <vt:variant>
        <vt:lpwstr/>
      </vt:variant>
      <vt:variant>
        <vt:lpwstr>_Toc17798745</vt:lpwstr>
      </vt:variant>
      <vt:variant>
        <vt:i4>1703994</vt:i4>
      </vt:variant>
      <vt:variant>
        <vt:i4>740</vt:i4>
      </vt:variant>
      <vt:variant>
        <vt:i4>0</vt:i4>
      </vt:variant>
      <vt:variant>
        <vt:i4>5</vt:i4>
      </vt:variant>
      <vt:variant>
        <vt:lpwstr/>
      </vt:variant>
      <vt:variant>
        <vt:lpwstr>_Toc17798744</vt:lpwstr>
      </vt:variant>
      <vt:variant>
        <vt:i4>1900602</vt:i4>
      </vt:variant>
      <vt:variant>
        <vt:i4>734</vt:i4>
      </vt:variant>
      <vt:variant>
        <vt:i4>0</vt:i4>
      </vt:variant>
      <vt:variant>
        <vt:i4>5</vt:i4>
      </vt:variant>
      <vt:variant>
        <vt:lpwstr/>
      </vt:variant>
      <vt:variant>
        <vt:lpwstr>_Toc17798743</vt:lpwstr>
      </vt:variant>
      <vt:variant>
        <vt:i4>1835066</vt:i4>
      </vt:variant>
      <vt:variant>
        <vt:i4>728</vt:i4>
      </vt:variant>
      <vt:variant>
        <vt:i4>0</vt:i4>
      </vt:variant>
      <vt:variant>
        <vt:i4>5</vt:i4>
      </vt:variant>
      <vt:variant>
        <vt:lpwstr/>
      </vt:variant>
      <vt:variant>
        <vt:lpwstr>_Toc17798742</vt:lpwstr>
      </vt:variant>
      <vt:variant>
        <vt:i4>2031674</vt:i4>
      </vt:variant>
      <vt:variant>
        <vt:i4>722</vt:i4>
      </vt:variant>
      <vt:variant>
        <vt:i4>0</vt:i4>
      </vt:variant>
      <vt:variant>
        <vt:i4>5</vt:i4>
      </vt:variant>
      <vt:variant>
        <vt:lpwstr/>
      </vt:variant>
      <vt:variant>
        <vt:lpwstr>_Toc17798741</vt:lpwstr>
      </vt:variant>
      <vt:variant>
        <vt:i4>1966138</vt:i4>
      </vt:variant>
      <vt:variant>
        <vt:i4>716</vt:i4>
      </vt:variant>
      <vt:variant>
        <vt:i4>0</vt:i4>
      </vt:variant>
      <vt:variant>
        <vt:i4>5</vt:i4>
      </vt:variant>
      <vt:variant>
        <vt:lpwstr/>
      </vt:variant>
      <vt:variant>
        <vt:lpwstr>_Toc17798740</vt:lpwstr>
      </vt:variant>
      <vt:variant>
        <vt:i4>1507389</vt:i4>
      </vt:variant>
      <vt:variant>
        <vt:i4>710</vt:i4>
      </vt:variant>
      <vt:variant>
        <vt:i4>0</vt:i4>
      </vt:variant>
      <vt:variant>
        <vt:i4>5</vt:i4>
      </vt:variant>
      <vt:variant>
        <vt:lpwstr/>
      </vt:variant>
      <vt:variant>
        <vt:lpwstr>_Toc17798739</vt:lpwstr>
      </vt:variant>
      <vt:variant>
        <vt:i4>1441853</vt:i4>
      </vt:variant>
      <vt:variant>
        <vt:i4>704</vt:i4>
      </vt:variant>
      <vt:variant>
        <vt:i4>0</vt:i4>
      </vt:variant>
      <vt:variant>
        <vt:i4>5</vt:i4>
      </vt:variant>
      <vt:variant>
        <vt:lpwstr/>
      </vt:variant>
      <vt:variant>
        <vt:lpwstr>_Toc17798738</vt:lpwstr>
      </vt:variant>
      <vt:variant>
        <vt:i4>1638461</vt:i4>
      </vt:variant>
      <vt:variant>
        <vt:i4>698</vt:i4>
      </vt:variant>
      <vt:variant>
        <vt:i4>0</vt:i4>
      </vt:variant>
      <vt:variant>
        <vt:i4>5</vt:i4>
      </vt:variant>
      <vt:variant>
        <vt:lpwstr/>
      </vt:variant>
      <vt:variant>
        <vt:lpwstr>_Toc17798737</vt:lpwstr>
      </vt:variant>
      <vt:variant>
        <vt:i4>1572925</vt:i4>
      </vt:variant>
      <vt:variant>
        <vt:i4>692</vt:i4>
      </vt:variant>
      <vt:variant>
        <vt:i4>0</vt:i4>
      </vt:variant>
      <vt:variant>
        <vt:i4>5</vt:i4>
      </vt:variant>
      <vt:variant>
        <vt:lpwstr/>
      </vt:variant>
      <vt:variant>
        <vt:lpwstr>_Toc17798736</vt:lpwstr>
      </vt:variant>
      <vt:variant>
        <vt:i4>1769533</vt:i4>
      </vt:variant>
      <vt:variant>
        <vt:i4>686</vt:i4>
      </vt:variant>
      <vt:variant>
        <vt:i4>0</vt:i4>
      </vt:variant>
      <vt:variant>
        <vt:i4>5</vt:i4>
      </vt:variant>
      <vt:variant>
        <vt:lpwstr/>
      </vt:variant>
      <vt:variant>
        <vt:lpwstr>_Toc17798735</vt:lpwstr>
      </vt:variant>
      <vt:variant>
        <vt:i4>1900605</vt:i4>
      </vt:variant>
      <vt:variant>
        <vt:i4>680</vt:i4>
      </vt:variant>
      <vt:variant>
        <vt:i4>0</vt:i4>
      </vt:variant>
      <vt:variant>
        <vt:i4>5</vt:i4>
      </vt:variant>
      <vt:variant>
        <vt:lpwstr/>
      </vt:variant>
      <vt:variant>
        <vt:lpwstr>_Toc17798733</vt:lpwstr>
      </vt:variant>
      <vt:variant>
        <vt:i4>1835069</vt:i4>
      </vt:variant>
      <vt:variant>
        <vt:i4>674</vt:i4>
      </vt:variant>
      <vt:variant>
        <vt:i4>0</vt:i4>
      </vt:variant>
      <vt:variant>
        <vt:i4>5</vt:i4>
      </vt:variant>
      <vt:variant>
        <vt:lpwstr/>
      </vt:variant>
      <vt:variant>
        <vt:lpwstr>_Toc17798732</vt:lpwstr>
      </vt:variant>
      <vt:variant>
        <vt:i4>2031677</vt:i4>
      </vt:variant>
      <vt:variant>
        <vt:i4>668</vt:i4>
      </vt:variant>
      <vt:variant>
        <vt:i4>0</vt:i4>
      </vt:variant>
      <vt:variant>
        <vt:i4>5</vt:i4>
      </vt:variant>
      <vt:variant>
        <vt:lpwstr/>
      </vt:variant>
      <vt:variant>
        <vt:lpwstr>_Toc17798731</vt:lpwstr>
      </vt:variant>
      <vt:variant>
        <vt:i4>1966141</vt:i4>
      </vt:variant>
      <vt:variant>
        <vt:i4>662</vt:i4>
      </vt:variant>
      <vt:variant>
        <vt:i4>0</vt:i4>
      </vt:variant>
      <vt:variant>
        <vt:i4>5</vt:i4>
      </vt:variant>
      <vt:variant>
        <vt:lpwstr/>
      </vt:variant>
      <vt:variant>
        <vt:lpwstr>_Toc17798730</vt:lpwstr>
      </vt:variant>
      <vt:variant>
        <vt:i4>1507388</vt:i4>
      </vt:variant>
      <vt:variant>
        <vt:i4>656</vt:i4>
      </vt:variant>
      <vt:variant>
        <vt:i4>0</vt:i4>
      </vt:variant>
      <vt:variant>
        <vt:i4>5</vt:i4>
      </vt:variant>
      <vt:variant>
        <vt:lpwstr/>
      </vt:variant>
      <vt:variant>
        <vt:lpwstr>_Toc17798729</vt:lpwstr>
      </vt:variant>
      <vt:variant>
        <vt:i4>1441852</vt:i4>
      </vt:variant>
      <vt:variant>
        <vt:i4>650</vt:i4>
      </vt:variant>
      <vt:variant>
        <vt:i4>0</vt:i4>
      </vt:variant>
      <vt:variant>
        <vt:i4>5</vt:i4>
      </vt:variant>
      <vt:variant>
        <vt:lpwstr/>
      </vt:variant>
      <vt:variant>
        <vt:lpwstr>_Toc17798728</vt:lpwstr>
      </vt:variant>
      <vt:variant>
        <vt:i4>1638460</vt:i4>
      </vt:variant>
      <vt:variant>
        <vt:i4>644</vt:i4>
      </vt:variant>
      <vt:variant>
        <vt:i4>0</vt:i4>
      </vt:variant>
      <vt:variant>
        <vt:i4>5</vt:i4>
      </vt:variant>
      <vt:variant>
        <vt:lpwstr/>
      </vt:variant>
      <vt:variant>
        <vt:lpwstr>_Toc17798727</vt:lpwstr>
      </vt:variant>
      <vt:variant>
        <vt:i4>1572924</vt:i4>
      </vt:variant>
      <vt:variant>
        <vt:i4>638</vt:i4>
      </vt:variant>
      <vt:variant>
        <vt:i4>0</vt:i4>
      </vt:variant>
      <vt:variant>
        <vt:i4>5</vt:i4>
      </vt:variant>
      <vt:variant>
        <vt:lpwstr/>
      </vt:variant>
      <vt:variant>
        <vt:lpwstr>_Toc17798726</vt:lpwstr>
      </vt:variant>
      <vt:variant>
        <vt:i4>1769532</vt:i4>
      </vt:variant>
      <vt:variant>
        <vt:i4>632</vt:i4>
      </vt:variant>
      <vt:variant>
        <vt:i4>0</vt:i4>
      </vt:variant>
      <vt:variant>
        <vt:i4>5</vt:i4>
      </vt:variant>
      <vt:variant>
        <vt:lpwstr/>
      </vt:variant>
      <vt:variant>
        <vt:lpwstr>_Toc17798725</vt:lpwstr>
      </vt:variant>
      <vt:variant>
        <vt:i4>1703996</vt:i4>
      </vt:variant>
      <vt:variant>
        <vt:i4>626</vt:i4>
      </vt:variant>
      <vt:variant>
        <vt:i4>0</vt:i4>
      </vt:variant>
      <vt:variant>
        <vt:i4>5</vt:i4>
      </vt:variant>
      <vt:variant>
        <vt:lpwstr/>
      </vt:variant>
      <vt:variant>
        <vt:lpwstr>_Toc17798724</vt:lpwstr>
      </vt:variant>
      <vt:variant>
        <vt:i4>1900604</vt:i4>
      </vt:variant>
      <vt:variant>
        <vt:i4>620</vt:i4>
      </vt:variant>
      <vt:variant>
        <vt:i4>0</vt:i4>
      </vt:variant>
      <vt:variant>
        <vt:i4>5</vt:i4>
      </vt:variant>
      <vt:variant>
        <vt:lpwstr/>
      </vt:variant>
      <vt:variant>
        <vt:lpwstr>_Toc17798723</vt:lpwstr>
      </vt:variant>
      <vt:variant>
        <vt:i4>1835068</vt:i4>
      </vt:variant>
      <vt:variant>
        <vt:i4>614</vt:i4>
      </vt:variant>
      <vt:variant>
        <vt:i4>0</vt:i4>
      </vt:variant>
      <vt:variant>
        <vt:i4>5</vt:i4>
      </vt:variant>
      <vt:variant>
        <vt:lpwstr/>
      </vt:variant>
      <vt:variant>
        <vt:lpwstr>_Toc17798722</vt:lpwstr>
      </vt:variant>
      <vt:variant>
        <vt:i4>2031676</vt:i4>
      </vt:variant>
      <vt:variant>
        <vt:i4>608</vt:i4>
      </vt:variant>
      <vt:variant>
        <vt:i4>0</vt:i4>
      </vt:variant>
      <vt:variant>
        <vt:i4>5</vt:i4>
      </vt:variant>
      <vt:variant>
        <vt:lpwstr/>
      </vt:variant>
      <vt:variant>
        <vt:lpwstr>_Toc17798721</vt:lpwstr>
      </vt:variant>
      <vt:variant>
        <vt:i4>1966140</vt:i4>
      </vt:variant>
      <vt:variant>
        <vt:i4>602</vt:i4>
      </vt:variant>
      <vt:variant>
        <vt:i4>0</vt:i4>
      </vt:variant>
      <vt:variant>
        <vt:i4>5</vt:i4>
      </vt:variant>
      <vt:variant>
        <vt:lpwstr/>
      </vt:variant>
      <vt:variant>
        <vt:lpwstr>_Toc17798720</vt:lpwstr>
      </vt:variant>
      <vt:variant>
        <vt:i4>1507391</vt:i4>
      </vt:variant>
      <vt:variant>
        <vt:i4>596</vt:i4>
      </vt:variant>
      <vt:variant>
        <vt:i4>0</vt:i4>
      </vt:variant>
      <vt:variant>
        <vt:i4>5</vt:i4>
      </vt:variant>
      <vt:variant>
        <vt:lpwstr/>
      </vt:variant>
      <vt:variant>
        <vt:lpwstr>_Toc17798719</vt:lpwstr>
      </vt:variant>
      <vt:variant>
        <vt:i4>1441855</vt:i4>
      </vt:variant>
      <vt:variant>
        <vt:i4>590</vt:i4>
      </vt:variant>
      <vt:variant>
        <vt:i4>0</vt:i4>
      </vt:variant>
      <vt:variant>
        <vt:i4>5</vt:i4>
      </vt:variant>
      <vt:variant>
        <vt:lpwstr/>
      </vt:variant>
      <vt:variant>
        <vt:lpwstr>_Toc17798718</vt:lpwstr>
      </vt:variant>
      <vt:variant>
        <vt:i4>1638463</vt:i4>
      </vt:variant>
      <vt:variant>
        <vt:i4>584</vt:i4>
      </vt:variant>
      <vt:variant>
        <vt:i4>0</vt:i4>
      </vt:variant>
      <vt:variant>
        <vt:i4>5</vt:i4>
      </vt:variant>
      <vt:variant>
        <vt:lpwstr/>
      </vt:variant>
      <vt:variant>
        <vt:lpwstr>_Toc17798717</vt:lpwstr>
      </vt:variant>
      <vt:variant>
        <vt:i4>1572927</vt:i4>
      </vt:variant>
      <vt:variant>
        <vt:i4>578</vt:i4>
      </vt:variant>
      <vt:variant>
        <vt:i4>0</vt:i4>
      </vt:variant>
      <vt:variant>
        <vt:i4>5</vt:i4>
      </vt:variant>
      <vt:variant>
        <vt:lpwstr/>
      </vt:variant>
      <vt:variant>
        <vt:lpwstr>_Toc17798716</vt:lpwstr>
      </vt:variant>
      <vt:variant>
        <vt:i4>1769535</vt:i4>
      </vt:variant>
      <vt:variant>
        <vt:i4>572</vt:i4>
      </vt:variant>
      <vt:variant>
        <vt:i4>0</vt:i4>
      </vt:variant>
      <vt:variant>
        <vt:i4>5</vt:i4>
      </vt:variant>
      <vt:variant>
        <vt:lpwstr/>
      </vt:variant>
      <vt:variant>
        <vt:lpwstr>_Toc17798715</vt:lpwstr>
      </vt:variant>
      <vt:variant>
        <vt:i4>1703999</vt:i4>
      </vt:variant>
      <vt:variant>
        <vt:i4>566</vt:i4>
      </vt:variant>
      <vt:variant>
        <vt:i4>0</vt:i4>
      </vt:variant>
      <vt:variant>
        <vt:i4>5</vt:i4>
      </vt:variant>
      <vt:variant>
        <vt:lpwstr/>
      </vt:variant>
      <vt:variant>
        <vt:lpwstr>_Toc17798714</vt:lpwstr>
      </vt:variant>
      <vt:variant>
        <vt:i4>1900607</vt:i4>
      </vt:variant>
      <vt:variant>
        <vt:i4>560</vt:i4>
      </vt:variant>
      <vt:variant>
        <vt:i4>0</vt:i4>
      </vt:variant>
      <vt:variant>
        <vt:i4>5</vt:i4>
      </vt:variant>
      <vt:variant>
        <vt:lpwstr/>
      </vt:variant>
      <vt:variant>
        <vt:lpwstr>_Toc17798713</vt:lpwstr>
      </vt:variant>
      <vt:variant>
        <vt:i4>1835071</vt:i4>
      </vt:variant>
      <vt:variant>
        <vt:i4>554</vt:i4>
      </vt:variant>
      <vt:variant>
        <vt:i4>0</vt:i4>
      </vt:variant>
      <vt:variant>
        <vt:i4>5</vt:i4>
      </vt:variant>
      <vt:variant>
        <vt:lpwstr/>
      </vt:variant>
      <vt:variant>
        <vt:lpwstr>_Toc17798712</vt:lpwstr>
      </vt:variant>
      <vt:variant>
        <vt:i4>2031679</vt:i4>
      </vt:variant>
      <vt:variant>
        <vt:i4>548</vt:i4>
      </vt:variant>
      <vt:variant>
        <vt:i4>0</vt:i4>
      </vt:variant>
      <vt:variant>
        <vt:i4>5</vt:i4>
      </vt:variant>
      <vt:variant>
        <vt:lpwstr/>
      </vt:variant>
      <vt:variant>
        <vt:lpwstr>_Toc17798711</vt:lpwstr>
      </vt:variant>
      <vt:variant>
        <vt:i4>1966143</vt:i4>
      </vt:variant>
      <vt:variant>
        <vt:i4>542</vt:i4>
      </vt:variant>
      <vt:variant>
        <vt:i4>0</vt:i4>
      </vt:variant>
      <vt:variant>
        <vt:i4>5</vt:i4>
      </vt:variant>
      <vt:variant>
        <vt:lpwstr/>
      </vt:variant>
      <vt:variant>
        <vt:lpwstr>_Toc17798710</vt:lpwstr>
      </vt:variant>
      <vt:variant>
        <vt:i4>1507390</vt:i4>
      </vt:variant>
      <vt:variant>
        <vt:i4>536</vt:i4>
      </vt:variant>
      <vt:variant>
        <vt:i4>0</vt:i4>
      </vt:variant>
      <vt:variant>
        <vt:i4>5</vt:i4>
      </vt:variant>
      <vt:variant>
        <vt:lpwstr/>
      </vt:variant>
      <vt:variant>
        <vt:lpwstr>_Toc17798709</vt:lpwstr>
      </vt:variant>
      <vt:variant>
        <vt:i4>1441854</vt:i4>
      </vt:variant>
      <vt:variant>
        <vt:i4>530</vt:i4>
      </vt:variant>
      <vt:variant>
        <vt:i4>0</vt:i4>
      </vt:variant>
      <vt:variant>
        <vt:i4>5</vt:i4>
      </vt:variant>
      <vt:variant>
        <vt:lpwstr/>
      </vt:variant>
      <vt:variant>
        <vt:lpwstr>_Toc17798708</vt:lpwstr>
      </vt:variant>
      <vt:variant>
        <vt:i4>1638462</vt:i4>
      </vt:variant>
      <vt:variant>
        <vt:i4>524</vt:i4>
      </vt:variant>
      <vt:variant>
        <vt:i4>0</vt:i4>
      </vt:variant>
      <vt:variant>
        <vt:i4>5</vt:i4>
      </vt:variant>
      <vt:variant>
        <vt:lpwstr/>
      </vt:variant>
      <vt:variant>
        <vt:lpwstr>_Toc17798707</vt:lpwstr>
      </vt:variant>
      <vt:variant>
        <vt:i4>1572926</vt:i4>
      </vt:variant>
      <vt:variant>
        <vt:i4>518</vt:i4>
      </vt:variant>
      <vt:variant>
        <vt:i4>0</vt:i4>
      </vt:variant>
      <vt:variant>
        <vt:i4>5</vt:i4>
      </vt:variant>
      <vt:variant>
        <vt:lpwstr/>
      </vt:variant>
      <vt:variant>
        <vt:lpwstr>_Toc17798706</vt:lpwstr>
      </vt:variant>
      <vt:variant>
        <vt:i4>1769534</vt:i4>
      </vt:variant>
      <vt:variant>
        <vt:i4>512</vt:i4>
      </vt:variant>
      <vt:variant>
        <vt:i4>0</vt:i4>
      </vt:variant>
      <vt:variant>
        <vt:i4>5</vt:i4>
      </vt:variant>
      <vt:variant>
        <vt:lpwstr/>
      </vt:variant>
      <vt:variant>
        <vt:lpwstr>_Toc17798705</vt:lpwstr>
      </vt:variant>
      <vt:variant>
        <vt:i4>1703998</vt:i4>
      </vt:variant>
      <vt:variant>
        <vt:i4>506</vt:i4>
      </vt:variant>
      <vt:variant>
        <vt:i4>0</vt:i4>
      </vt:variant>
      <vt:variant>
        <vt:i4>5</vt:i4>
      </vt:variant>
      <vt:variant>
        <vt:lpwstr/>
      </vt:variant>
      <vt:variant>
        <vt:lpwstr>_Toc17798704</vt:lpwstr>
      </vt:variant>
      <vt:variant>
        <vt:i4>1900606</vt:i4>
      </vt:variant>
      <vt:variant>
        <vt:i4>500</vt:i4>
      </vt:variant>
      <vt:variant>
        <vt:i4>0</vt:i4>
      </vt:variant>
      <vt:variant>
        <vt:i4>5</vt:i4>
      </vt:variant>
      <vt:variant>
        <vt:lpwstr/>
      </vt:variant>
      <vt:variant>
        <vt:lpwstr>_Toc17798703</vt:lpwstr>
      </vt:variant>
      <vt:variant>
        <vt:i4>1835070</vt:i4>
      </vt:variant>
      <vt:variant>
        <vt:i4>494</vt:i4>
      </vt:variant>
      <vt:variant>
        <vt:i4>0</vt:i4>
      </vt:variant>
      <vt:variant>
        <vt:i4>5</vt:i4>
      </vt:variant>
      <vt:variant>
        <vt:lpwstr/>
      </vt:variant>
      <vt:variant>
        <vt:lpwstr>_Toc17798702</vt:lpwstr>
      </vt:variant>
      <vt:variant>
        <vt:i4>2031678</vt:i4>
      </vt:variant>
      <vt:variant>
        <vt:i4>488</vt:i4>
      </vt:variant>
      <vt:variant>
        <vt:i4>0</vt:i4>
      </vt:variant>
      <vt:variant>
        <vt:i4>5</vt:i4>
      </vt:variant>
      <vt:variant>
        <vt:lpwstr/>
      </vt:variant>
      <vt:variant>
        <vt:lpwstr>_Toc17798701</vt:lpwstr>
      </vt:variant>
      <vt:variant>
        <vt:i4>1966142</vt:i4>
      </vt:variant>
      <vt:variant>
        <vt:i4>482</vt:i4>
      </vt:variant>
      <vt:variant>
        <vt:i4>0</vt:i4>
      </vt:variant>
      <vt:variant>
        <vt:i4>5</vt:i4>
      </vt:variant>
      <vt:variant>
        <vt:lpwstr/>
      </vt:variant>
      <vt:variant>
        <vt:lpwstr>_Toc17798700</vt:lpwstr>
      </vt:variant>
      <vt:variant>
        <vt:i4>1441847</vt:i4>
      </vt:variant>
      <vt:variant>
        <vt:i4>476</vt:i4>
      </vt:variant>
      <vt:variant>
        <vt:i4>0</vt:i4>
      </vt:variant>
      <vt:variant>
        <vt:i4>5</vt:i4>
      </vt:variant>
      <vt:variant>
        <vt:lpwstr/>
      </vt:variant>
      <vt:variant>
        <vt:lpwstr>_Toc17798699</vt:lpwstr>
      </vt:variant>
      <vt:variant>
        <vt:i4>1507383</vt:i4>
      </vt:variant>
      <vt:variant>
        <vt:i4>470</vt:i4>
      </vt:variant>
      <vt:variant>
        <vt:i4>0</vt:i4>
      </vt:variant>
      <vt:variant>
        <vt:i4>5</vt:i4>
      </vt:variant>
      <vt:variant>
        <vt:lpwstr/>
      </vt:variant>
      <vt:variant>
        <vt:lpwstr>_Toc17798698</vt:lpwstr>
      </vt:variant>
      <vt:variant>
        <vt:i4>1572919</vt:i4>
      </vt:variant>
      <vt:variant>
        <vt:i4>464</vt:i4>
      </vt:variant>
      <vt:variant>
        <vt:i4>0</vt:i4>
      </vt:variant>
      <vt:variant>
        <vt:i4>5</vt:i4>
      </vt:variant>
      <vt:variant>
        <vt:lpwstr/>
      </vt:variant>
      <vt:variant>
        <vt:lpwstr>_Toc17798697</vt:lpwstr>
      </vt:variant>
      <vt:variant>
        <vt:i4>1638455</vt:i4>
      </vt:variant>
      <vt:variant>
        <vt:i4>458</vt:i4>
      </vt:variant>
      <vt:variant>
        <vt:i4>0</vt:i4>
      </vt:variant>
      <vt:variant>
        <vt:i4>5</vt:i4>
      </vt:variant>
      <vt:variant>
        <vt:lpwstr/>
      </vt:variant>
      <vt:variant>
        <vt:lpwstr>_Toc17798696</vt:lpwstr>
      </vt:variant>
      <vt:variant>
        <vt:i4>1703991</vt:i4>
      </vt:variant>
      <vt:variant>
        <vt:i4>452</vt:i4>
      </vt:variant>
      <vt:variant>
        <vt:i4>0</vt:i4>
      </vt:variant>
      <vt:variant>
        <vt:i4>5</vt:i4>
      </vt:variant>
      <vt:variant>
        <vt:lpwstr/>
      </vt:variant>
      <vt:variant>
        <vt:lpwstr>_Toc17798695</vt:lpwstr>
      </vt:variant>
      <vt:variant>
        <vt:i4>1769527</vt:i4>
      </vt:variant>
      <vt:variant>
        <vt:i4>446</vt:i4>
      </vt:variant>
      <vt:variant>
        <vt:i4>0</vt:i4>
      </vt:variant>
      <vt:variant>
        <vt:i4>5</vt:i4>
      </vt:variant>
      <vt:variant>
        <vt:lpwstr/>
      </vt:variant>
      <vt:variant>
        <vt:lpwstr>_Toc17798694</vt:lpwstr>
      </vt:variant>
      <vt:variant>
        <vt:i4>1835063</vt:i4>
      </vt:variant>
      <vt:variant>
        <vt:i4>440</vt:i4>
      </vt:variant>
      <vt:variant>
        <vt:i4>0</vt:i4>
      </vt:variant>
      <vt:variant>
        <vt:i4>5</vt:i4>
      </vt:variant>
      <vt:variant>
        <vt:lpwstr/>
      </vt:variant>
      <vt:variant>
        <vt:lpwstr>_Toc17798693</vt:lpwstr>
      </vt:variant>
      <vt:variant>
        <vt:i4>1900599</vt:i4>
      </vt:variant>
      <vt:variant>
        <vt:i4>434</vt:i4>
      </vt:variant>
      <vt:variant>
        <vt:i4>0</vt:i4>
      </vt:variant>
      <vt:variant>
        <vt:i4>5</vt:i4>
      </vt:variant>
      <vt:variant>
        <vt:lpwstr/>
      </vt:variant>
      <vt:variant>
        <vt:lpwstr>_Toc17798692</vt:lpwstr>
      </vt:variant>
      <vt:variant>
        <vt:i4>1966135</vt:i4>
      </vt:variant>
      <vt:variant>
        <vt:i4>428</vt:i4>
      </vt:variant>
      <vt:variant>
        <vt:i4>0</vt:i4>
      </vt:variant>
      <vt:variant>
        <vt:i4>5</vt:i4>
      </vt:variant>
      <vt:variant>
        <vt:lpwstr/>
      </vt:variant>
      <vt:variant>
        <vt:lpwstr>_Toc17798691</vt:lpwstr>
      </vt:variant>
      <vt:variant>
        <vt:i4>2031671</vt:i4>
      </vt:variant>
      <vt:variant>
        <vt:i4>422</vt:i4>
      </vt:variant>
      <vt:variant>
        <vt:i4>0</vt:i4>
      </vt:variant>
      <vt:variant>
        <vt:i4>5</vt:i4>
      </vt:variant>
      <vt:variant>
        <vt:lpwstr/>
      </vt:variant>
      <vt:variant>
        <vt:lpwstr>_Toc17798690</vt:lpwstr>
      </vt:variant>
      <vt:variant>
        <vt:i4>1441846</vt:i4>
      </vt:variant>
      <vt:variant>
        <vt:i4>416</vt:i4>
      </vt:variant>
      <vt:variant>
        <vt:i4>0</vt:i4>
      </vt:variant>
      <vt:variant>
        <vt:i4>5</vt:i4>
      </vt:variant>
      <vt:variant>
        <vt:lpwstr/>
      </vt:variant>
      <vt:variant>
        <vt:lpwstr>_Toc17798689</vt:lpwstr>
      </vt:variant>
      <vt:variant>
        <vt:i4>1507382</vt:i4>
      </vt:variant>
      <vt:variant>
        <vt:i4>410</vt:i4>
      </vt:variant>
      <vt:variant>
        <vt:i4>0</vt:i4>
      </vt:variant>
      <vt:variant>
        <vt:i4>5</vt:i4>
      </vt:variant>
      <vt:variant>
        <vt:lpwstr/>
      </vt:variant>
      <vt:variant>
        <vt:lpwstr>_Toc17798688</vt:lpwstr>
      </vt:variant>
      <vt:variant>
        <vt:i4>1572918</vt:i4>
      </vt:variant>
      <vt:variant>
        <vt:i4>404</vt:i4>
      </vt:variant>
      <vt:variant>
        <vt:i4>0</vt:i4>
      </vt:variant>
      <vt:variant>
        <vt:i4>5</vt:i4>
      </vt:variant>
      <vt:variant>
        <vt:lpwstr/>
      </vt:variant>
      <vt:variant>
        <vt:lpwstr>_Toc17798687</vt:lpwstr>
      </vt:variant>
      <vt:variant>
        <vt:i4>1638454</vt:i4>
      </vt:variant>
      <vt:variant>
        <vt:i4>398</vt:i4>
      </vt:variant>
      <vt:variant>
        <vt:i4>0</vt:i4>
      </vt:variant>
      <vt:variant>
        <vt:i4>5</vt:i4>
      </vt:variant>
      <vt:variant>
        <vt:lpwstr/>
      </vt:variant>
      <vt:variant>
        <vt:lpwstr>_Toc17798686</vt:lpwstr>
      </vt:variant>
      <vt:variant>
        <vt:i4>1703990</vt:i4>
      </vt:variant>
      <vt:variant>
        <vt:i4>392</vt:i4>
      </vt:variant>
      <vt:variant>
        <vt:i4>0</vt:i4>
      </vt:variant>
      <vt:variant>
        <vt:i4>5</vt:i4>
      </vt:variant>
      <vt:variant>
        <vt:lpwstr/>
      </vt:variant>
      <vt:variant>
        <vt:lpwstr>_Toc17798685</vt:lpwstr>
      </vt:variant>
      <vt:variant>
        <vt:i4>1769526</vt:i4>
      </vt:variant>
      <vt:variant>
        <vt:i4>386</vt:i4>
      </vt:variant>
      <vt:variant>
        <vt:i4>0</vt:i4>
      </vt:variant>
      <vt:variant>
        <vt:i4>5</vt:i4>
      </vt:variant>
      <vt:variant>
        <vt:lpwstr/>
      </vt:variant>
      <vt:variant>
        <vt:lpwstr>_Toc17798684</vt:lpwstr>
      </vt:variant>
      <vt:variant>
        <vt:i4>1835062</vt:i4>
      </vt:variant>
      <vt:variant>
        <vt:i4>380</vt:i4>
      </vt:variant>
      <vt:variant>
        <vt:i4>0</vt:i4>
      </vt:variant>
      <vt:variant>
        <vt:i4>5</vt:i4>
      </vt:variant>
      <vt:variant>
        <vt:lpwstr/>
      </vt:variant>
      <vt:variant>
        <vt:lpwstr>_Toc17798683</vt:lpwstr>
      </vt:variant>
      <vt:variant>
        <vt:i4>1900598</vt:i4>
      </vt:variant>
      <vt:variant>
        <vt:i4>374</vt:i4>
      </vt:variant>
      <vt:variant>
        <vt:i4>0</vt:i4>
      </vt:variant>
      <vt:variant>
        <vt:i4>5</vt:i4>
      </vt:variant>
      <vt:variant>
        <vt:lpwstr/>
      </vt:variant>
      <vt:variant>
        <vt:lpwstr>_Toc17798682</vt:lpwstr>
      </vt:variant>
      <vt:variant>
        <vt:i4>1966134</vt:i4>
      </vt:variant>
      <vt:variant>
        <vt:i4>368</vt:i4>
      </vt:variant>
      <vt:variant>
        <vt:i4>0</vt:i4>
      </vt:variant>
      <vt:variant>
        <vt:i4>5</vt:i4>
      </vt:variant>
      <vt:variant>
        <vt:lpwstr/>
      </vt:variant>
      <vt:variant>
        <vt:lpwstr>_Toc17798681</vt:lpwstr>
      </vt:variant>
      <vt:variant>
        <vt:i4>2031670</vt:i4>
      </vt:variant>
      <vt:variant>
        <vt:i4>362</vt:i4>
      </vt:variant>
      <vt:variant>
        <vt:i4>0</vt:i4>
      </vt:variant>
      <vt:variant>
        <vt:i4>5</vt:i4>
      </vt:variant>
      <vt:variant>
        <vt:lpwstr/>
      </vt:variant>
      <vt:variant>
        <vt:lpwstr>_Toc17798680</vt:lpwstr>
      </vt:variant>
      <vt:variant>
        <vt:i4>1441849</vt:i4>
      </vt:variant>
      <vt:variant>
        <vt:i4>356</vt:i4>
      </vt:variant>
      <vt:variant>
        <vt:i4>0</vt:i4>
      </vt:variant>
      <vt:variant>
        <vt:i4>5</vt:i4>
      </vt:variant>
      <vt:variant>
        <vt:lpwstr/>
      </vt:variant>
      <vt:variant>
        <vt:lpwstr>_Toc17798679</vt:lpwstr>
      </vt:variant>
      <vt:variant>
        <vt:i4>1507385</vt:i4>
      </vt:variant>
      <vt:variant>
        <vt:i4>350</vt:i4>
      </vt:variant>
      <vt:variant>
        <vt:i4>0</vt:i4>
      </vt:variant>
      <vt:variant>
        <vt:i4>5</vt:i4>
      </vt:variant>
      <vt:variant>
        <vt:lpwstr/>
      </vt:variant>
      <vt:variant>
        <vt:lpwstr>_Toc17798678</vt:lpwstr>
      </vt:variant>
      <vt:variant>
        <vt:i4>1572921</vt:i4>
      </vt:variant>
      <vt:variant>
        <vt:i4>344</vt:i4>
      </vt:variant>
      <vt:variant>
        <vt:i4>0</vt:i4>
      </vt:variant>
      <vt:variant>
        <vt:i4>5</vt:i4>
      </vt:variant>
      <vt:variant>
        <vt:lpwstr/>
      </vt:variant>
      <vt:variant>
        <vt:lpwstr>_Toc17798677</vt:lpwstr>
      </vt:variant>
      <vt:variant>
        <vt:i4>1638457</vt:i4>
      </vt:variant>
      <vt:variant>
        <vt:i4>338</vt:i4>
      </vt:variant>
      <vt:variant>
        <vt:i4>0</vt:i4>
      </vt:variant>
      <vt:variant>
        <vt:i4>5</vt:i4>
      </vt:variant>
      <vt:variant>
        <vt:lpwstr/>
      </vt:variant>
      <vt:variant>
        <vt:lpwstr>_Toc17798676</vt:lpwstr>
      </vt:variant>
      <vt:variant>
        <vt:i4>1703993</vt:i4>
      </vt:variant>
      <vt:variant>
        <vt:i4>332</vt:i4>
      </vt:variant>
      <vt:variant>
        <vt:i4>0</vt:i4>
      </vt:variant>
      <vt:variant>
        <vt:i4>5</vt:i4>
      </vt:variant>
      <vt:variant>
        <vt:lpwstr/>
      </vt:variant>
      <vt:variant>
        <vt:lpwstr>_Toc17798675</vt:lpwstr>
      </vt:variant>
      <vt:variant>
        <vt:i4>1769529</vt:i4>
      </vt:variant>
      <vt:variant>
        <vt:i4>326</vt:i4>
      </vt:variant>
      <vt:variant>
        <vt:i4>0</vt:i4>
      </vt:variant>
      <vt:variant>
        <vt:i4>5</vt:i4>
      </vt:variant>
      <vt:variant>
        <vt:lpwstr/>
      </vt:variant>
      <vt:variant>
        <vt:lpwstr>_Toc17798674</vt:lpwstr>
      </vt:variant>
      <vt:variant>
        <vt:i4>1835065</vt:i4>
      </vt:variant>
      <vt:variant>
        <vt:i4>320</vt:i4>
      </vt:variant>
      <vt:variant>
        <vt:i4>0</vt:i4>
      </vt:variant>
      <vt:variant>
        <vt:i4>5</vt:i4>
      </vt:variant>
      <vt:variant>
        <vt:lpwstr/>
      </vt:variant>
      <vt:variant>
        <vt:lpwstr>_Toc17798673</vt:lpwstr>
      </vt:variant>
      <vt:variant>
        <vt:i4>1900601</vt:i4>
      </vt:variant>
      <vt:variant>
        <vt:i4>314</vt:i4>
      </vt:variant>
      <vt:variant>
        <vt:i4>0</vt:i4>
      </vt:variant>
      <vt:variant>
        <vt:i4>5</vt:i4>
      </vt:variant>
      <vt:variant>
        <vt:lpwstr/>
      </vt:variant>
      <vt:variant>
        <vt:lpwstr>_Toc17798672</vt:lpwstr>
      </vt:variant>
      <vt:variant>
        <vt:i4>1966137</vt:i4>
      </vt:variant>
      <vt:variant>
        <vt:i4>308</vt:i4>
      </vt:variant>
      <vt:variant>
        <vt:i4>0</vt:i4>
      </vt:variant>
      <vt:variant>
        <vt:i4>5</vt:i4>
      </vt:variant>
      <vt:variant>
        <vt:lpwstr/>
      </vt:variant>
      <vt:variant>
        <vt:lpwstr>_Toc17798671</vt:lpwstr>
      </vt:variant>
      <vt:variant>
        <vt:i4>2031673</vt:i4>
      </vt:variant>
      <vt:variant>
        <vt:i4>302</vt:i4>
      </vt:variant>
      <vt:variant>
        <vt:i4>0</vt:i4>
      </vt:variant>
      <vt:variant>
        <vt:i4>5</vt:i4>
      </vt:variant>
      <vt:variant>
        <vt:lpwstr/>
      </vt:variant>
      <vt:variant>
        <vt:lpwstr>_Toc17798670</vt:lpwstr>
      </vt:variant>
      <vt:variant>
        <vt:i4>1441848</vt:i4>
      </vt:variant>
      <vt:variant>
        <vt:i4>296</vt:i4>
      </vt:variant>
      <vt:variant>
        <vt:i4>0</vt:i4>
      </vt:variant>
      <vt:variant>
        <vt:i4>5</vt:i4>
      </vt:variant>
      <vt:variant>
        <vt:lpwstr/>
      </vt:variant>
      <vt:variant>
        <vt:lpwstr>_Toc17798669</vt:lpwstr>
      </vt:variant>
      <vt:variant>
        <vt:i4>1507384</vt:i4>
      </vt:variant>
      <vt:variant>
        <vt:i4>290</vt:i4>
      </vt:variant>
      <vt:variant>
        <vt:i4>0</vt:i4>
      </vt:variant>
      <vt:variant>
        <vt:i4>5</vt:i4>
      </vt:variant>
      <vt:variant>
        <vt:lpwstr/>
      </vt:variant>
      <vt:variant>
        <vt:lpwstr>_Toc17798668</vt:lpwstr>
      </vt:variant>
      <vt:variant>
        <vt:i4>1572920</vt:i4>
      </vt:variant>
      <vt:variant>
        <vt:i4>284</vt:i4>
      </vt:variant>
      <vt:variant>
        <vt:i4>0</vt:i4>
      </vt:variant>
      <vt:variant>
        <vt:i4>5</vt:i4>
      </vt:variant>
      <vt:variant>
        <vt:lpwstr/>
      </vt:variant>
      <vt:variant>
        <vt:lpwstr>_Toc17798667</vt:lpwstr>
      </vt:variant>
      <vt:variant>
        <vt:i4>1638456</vt:i4>
      </vt:variant>
      <vt:variant>
        <vt:i4>278</vt:i4>
      </vt:variant>
      <vt:variant>
        <vt:i4>0</vt:i4>
      </vt:variant>
      <vt:variant>
        <vt:i4>5</vt:i4>
      </vt:variant>
      <vt:variant>
        <vt:lpwstr/>
      </vt:variant>
      <vt:variant>
        <vt:lpwstr>_Toc17798666</vt:lpwstr>
      </vt:variant>
      <vt:variant>
        <vt:i4>1703992</vt:i4>
      </vt:variant>
      <vt:variant>
        <vt:i4>272</vt:i4>
      </vt:variant>
      <vt:variant>
        <vt:i4>0</vt:i4>
      </vt:variant>
      <vt:variant>
        <vt:i4>5</vt:i4>
      </vt:variant>
      <vt:variant>
        <vt:lpwstr/>
      </vt:variant>
      <vt:variant>
        <vt:lpwstr>_Toc17798665</vt:lpwstr>
      </vt:variant>
      <vt:variant>
        <vt:i4>1769528</vt:i4>
      </vt:variant>
      <vt:variant>
        <vt:i4>266</vt:i4>
      </vt:variant>
      <vt:variant>
        <vt:i4>0</vt:i4>
      </vt:variant>
      <vt:variant>
        <vt:i4>5</vt:i4>
      </vt:variant>
      <vt:variant>
        <vt:lpwstr/>
      </vt:variant>
      <vt:variant>
        <vt:lpwstr>_Toc17798664</vt:lpwstr>
      </vt:variant>
      <vt:variant>
        <vt:i4>1835064</vt:i4>
      </vt:variant>
      <vt:variant>
        <vt:i4>260</vt:i4>
      </vt:variant>
      <vt:variant>
        <vt:i4>0</vt:i4>
      </vt:variant>
      <vt:variant>
        <vt:i4>5</vt:i4>
      </vt:variant>
      <vt:variant>
        <vt:lpwstr/>
      </vt:variant>
      <vt:variant>
        <vt:lpwstr>_Toc17798663</vt:lpwstr>
      </vt:variant>
      <vt:variant>
        <vt:i4>1900600</vt:i4>
      </vt:variant>
      <vt:variant>
        <vt:i4>254</vt:i4>
      </vt:variant>
      <vt:variant>
        <vt:i4>0</vt:i4>
      </vt:variant>
      <vt:variant>
        <vt:i4>5</vt:i4>
      </vt:variant>
      <vt:variant>
        <vt:lpwstr/>
      </vt:variant>
      <vt:variant>
        <vt:lpwstr>_Toc17798662</vt:lpwstr>
      </vt:variant>
      <vt:variant>
        <vt:i4>1966136</vt:i4>
      </vt:variant>
      <vt:variant>
        <vt:i4>248</vt:i4>
      </vt:variant>
      <vt:variant>
        <vt:i4>0</vt:i4>
      </vt:variant>
      <vt:variant>
        <vt:i4>5</vt:i4>
      </vt:variant>
      <vt:variant>
        <vt:lpwstr/>
      </vt:variant>
      <vt:variant>
        <vt:lpwstr>_Toc17798661</vt:lpwstr>
      </vt:variant>
      <vt:variant>
        <vt:i4>2031672</vt:i4>
      </vt:variant>
      <vt:variant>
        <vt:i4>242</vt:i4>
      </vt:variant>
      <vt:variant>
        <vt:i4>0</vt:i4>
      </vt:variant>
      <vt:variant>
        <vt:i4>5</vt:i4>
      </vt:variant>
      <vt:variant>
        <vt:lpwstr/>
      </vt:variant>
      <vt:variant>
        <vt:lpwstr>_Toc17798660</vt:lpwstr>
      </vt:variant>
      <vt:variant>
        <vt:i4>1441851</vt:i4>
      </vt:variant>
      <vt:variant>
        <vt:i4>236</vt:i4>
      </vt:variant>
      <vt:variant>
        <vt:i4>0</vt:i4>
      </vt:variant>
      <vt:variant>
        <vt:i4>5</vt:i4>
      </vt:variant>
      <vt:variant>
        <vt:lpwstr/>
      </vt:variant>
      <vt:variant>
        <vt:lpwstr>_Toc17798659</vt:lpwstr>
      </vt:variant>
      <vt:variant>
        <vt:i4>1507387</vt:i4>
      </vt:variant>
      <vt:variant>
        <vt:i4>230</vt:i4>
      </vt:variant>
      <vt:variant>
        <vt:i4>0</vt:i4>
      </vt:variant>
      <vt:variant>
        <vt:i4>5</vt:i4>
      </vt:variant>
      <vt:variant>
        <vt:lpwstr/>
      </vt:variant>
      <vt:variant>
        <vt:lpwstr>_Toc17798658</vt:lpwstr>
      </vt:variant>
      <vt:variant>
        <vt:i4>1572923</vt:i4>
      </vt:variant>
      <vt:variant>
        <vt:i4>224</vt:i4>
      </vt:variant>
      <vt:variant>
        <vt:i4>0</vt:i4>
      </vt:variant>
      <vt:variant>
        <vt:i4>5</vt:i4>
      </vt:variant>
      <vt:variant>
        <vt:lpwstr/>
      </vt:variant>
      <vt:variant>
        <vt:lpwstr>_Toc17798657</vt:lpwstr>
      </vt:variant>
      <vt:variant>
        <vt:i4>1638459</vt:i4>
      </vt:variant>
      <vt:variant>
        <vt:i4>218</vt:i4>
      </vt:variant>
      <vt:variant>
        <vt:i4>0</vt:i4>
      </vt:variant>
      <vt:variant>
        <vt:i4>5</vt:i4>
      </vt:variant>
      <vt:variant>
        <vt:lpwstr/>
      </vt:variant>
      <vt:variant>
        <vt:lpwstr>_Toc17798656</vt:lpwstr>
      </vt:variant>
      <vt:variant>
        <vt:i4>1703995</vt:i4>
      </vt:variant>
      <vt:variant>
        <vt:i4>212</vt:i4>
      </vt:variant>
      <vt:variant>
        <vt:i4>0</vt:i4>
      </vt:variant>
      <vt:variant>
        <vt:i4>5</vt:i4>
      </vt:variant>
      <vt:variant>
        <vt:lpwstr/>
      </vt:variant>
      <vt:variant>
        <vt:lpwstr>_Toc17798655</vt:lpwstr>
      </vt:variant>
      <vt:variant>
        <vt:i4>1769531</vt:i4>
      </vt:variant>
      <vt:variant>
        <vt:i4>206</vt:i4>
      </vt:variant>
      <vt:variant>
        <vt:i4>0</vt:i4>
      </vt:variant>
      <vt:variant>
        <vt:i4>5</vt:i4>
      </vt:variant>
      <vt:variant>
        <vt:lpwstr/>
      </vt:variant>
      <vt:variant>
        <vt:lpwstr>_Toc17798654</vt:lpwstr>
      </vt:variant>
      <vt:variant>
        <vt:i4>1835067</vt:i4>
      </vt:variant>
      <vt:variant>
        <vt:i4>200</vt:i4>
      </vt:variant>
      <vt:variant>
        <vt:i4>0</vt:i4>
      </vt:variant>
      <vt:variant>
        <vt:i4>5</vt:i4>
      </vt:variant>
      <vt:variant>
        <vt:lpwstr/>
      </vt:variant>
      <vt:variant>
        <vt:lpwstr>_Toc17798653</vt:lpwstr>
      </vt:variant>
      <vt:variant>
        <vt:i4>1900603</vt:i4>
      </vt:variant>
      <vt:variant>
        <vt:i4>194</vt:i4>
      </vt:variant>
      <vt:variant>
        <vt:i4>0</vt:i4>
      </vt:variant>
      <vt:variant>
        <vt:i4>5</vt:i4>
      </vt:variant>
      <vt:variant>
        <vt:lpwstr/>
      </vt:variant>
      <vt:variant>
        <vt:lpwstr>_Toc17798652</vt:lpwstr>
      </vt:variant>
      <vt:variant>
        <vt:i4>1966139</vt:i4>
      </vt:variant>
      <vt:variant>
        <vt:i4>188</vt:i4>
      </vt:variant>
      <vt:variant>
        <vt:i4>0</vt:i4>
      </vt:variant>
      <vt:variant>
        <vt:i4>5</vt:i4>
      </vt:variant>
      <vt:variant>
        <vt:lpwstr/>
      </vt:variant>
      <vt:variant>
        <vt:lpwstr>_Toc17798651</vt:lpwstr>
      </vt:variant>
      <vt:variant>
        <vt:i4>2031675</vt:i4>
      </vt:variant>
      <vt:variant>
        <vt:i4>182</vt:i4>
      </vt:variant>
      <vt:variant>
        <vt:i4>0</vt:i4>
      </vt:variant>
      <vt:variant>
        <vt:i4>5</vt:i4>
      </vt:variant>
      <vt:variant>
        <vt:lpwstr/>
      </vt:variant>
      <vt:variant>
        <vt:lpwstr>_Toc17798650</vt:lpwstr>
      </vt:variant>
      <vt:variant>
        <vt:i4>1441850</vt:i4>
      </vt:variant>
      <vt:variant>
        <vt:i4>176</vt:i4>
      </vt:variant>
      <vt:variant>
        <vt:i4>0</vt:i4>
      </vt:variant>
      <vt:variant>
        <vt:i4>5</vt:i4>
      </vt:variant>
      <vt:variant>
        <vt:lpwstr/>
      </vt:variant>
      <vt:variant>
        <vt:lpwstr>_Toc17798649</vt:lpwstr>
      </vt:variant>
      <vt:variant>
        <vt:i4>1507386</vt:i4>
      </vt:variant>
      <vt:variant>
        <vt:i4>170</vt:i4>
      </vt:variant>
      <vt:variant>
        <vt:i4>0</vt:i4>
      </vt:variant>
      <vt:variant>
        <vt:i4>5</vt:i4>
      </vt:variant>
      <vt:variant>
        <vt:lpwstr/>
      </vt:variant>
      <vt:variant>
        <vt:lpwstr>_Toc17798648</vt:lpwstr>
      </vt:variant>
      <vt:variant>
        <vt:i4>1572922</vt:i4>
      </vt:variant>
      <vt:variant>
        <vt:i4>164</vt:i4>
      </vt:variant>
      <vt:variant>
        <vt:i4>0</vt:i4>
      </vt:variant>
      <vt:variant>
        <vt:i4>5</vt:i4>
      </vt:variant>
      <vt:variant>
        <vt:lpwstr/>
      </vt:variant>
      <vt:variant>
        <vt:lpwstr>_Toc17798647</vt:lpwstr>
      </vt:variant>
      <vt:variant>
        <vt:i4>1638458</vt:i4>
      </vt:variant>
      <vt:variant>
        <vt:i4>158</vt:i4>
      </vt:variant>
      <vt:variant>
        <vt:i4>0</vt:i4>
      </vt:variant>
      <vt:variant>
        <vt:i4>5</vt:i4>
      </vt:variant>
      <vt:variant>
        <vt:lpwstr/>
      </vt:variant>
      <vt:variant>
        <vt:lpwstr>_Toc17798646</vt:lpwstr>
      </vt:variant>
      <vt:variant>
        <vt:i4>1703994</vt:i4>
      </vt:variant>
      <vt:variant>
        <vt:i4>152</vt:i4>
      </vt:variant>
      <vt:variant>
        <vt:i4>0</vt:i4>
      </vt:variant>
      <vt:variant>
        <vt:i4>5</vt:i4>
      </vt:variant>
      <vt:variant>
        <vt:lpwstr/>
      </vt:variant>
      <vt:variant>
        <vt:lpwstr>_Toc17798645</vt:lpwstr>
      </vt:variant>
      <vt:variant>
        <vt:i4>1769530</vt:i4>
      </vt:variant>
      <vt:variant>
        <vt:i4>146</vt:i4>
      </vt:variant>
      <vt:variant>
        <vt:i4>0</vt:i4>
      </vt:variant>
      <vt:variant>
        <vt:i4>5</vt:i4>
      </vt:variant>
      <vt:variant>
        <vt:lpwstr/>
      </vt:variant>
      <vt:variant>
        <vt:lpwstr>_Toc17798644</vt:lpwstr>
      </vt:variant>
      <vt:variant>
        <vt:i4>1835066</vt:i4>
      </vt:variant>
      <vt:variant>
        <vt:i4>140</vt:i4>
      </vt:variant>
      <vt:variant>
        <vt:i4>0</vt:i4>
      </vt:variant>
      <vt:variant>
        <vt:i4>5</vt:i4>
      </vt:variant>
      <vt:variant>
        <vt:lpwstr/>
      </vt:variant>
      <vt:variant>
        <vt:lpwstr>_Toc17798643</vt:lpwstr>
      </vt:variant>
      <vt:variant>
        <vt:i4>1900602</vt:i4>
      </vt:variant>
      <vt:variant>
        <vt:i4>134</vt:i4>
      </vt:variant>
      <vt:variant>
        <vt:i4>0</vt:i4>
      </vt:variant>
      <vt:variant>
        <vt:i4>5</vt:i4>
      </vt:variant>
      <vt:variant>
        <vt:lpwstr/>
      </vt:variant>
      <vt:variant>
        <vt:lpwstr>_Toc17798642</vt:lpwstr>
      </vt:variant>
      <vt:variant>
        <vt:i4>1966138</vt:i4>
      </vt:variant>
      <vt:variant>
        <vt:i4>128</vt:i4>
      </vt:variant>
      <vt:variant>
        <vt:i4>0</vt:i4>
      </vt:variant>
      <vt:variant>
        <vt:i4>5</vt:i4>
      </vt:variant>
      <vt:variant>
        <vt:lpwstr/>
      </vt:variant>
      <vt:variant>
        <vt:lpwstr>_Toc17798641</vt:lpwstr>
      </vt:variant>
      <vt:variant>
        <vt:i4>2031674</vt:i4>
      </vt:variant>
      <vt:variant>
        <vt:i4>122</vt:i4>
      </vt:variant>
      <vt:variant>
        <vt:i4>0</vt:i4>
      </vt:variant>
      <vt:variant>
        <vt:i4>5</vt:i4>
      </vt:variant>
      <vt:variant>
        <vt:lpwstr/>
      </vt:variant>
      <vt:variant>
        <vt:lpwstr>_Toc17798640</vt:lpwstr>
      </vt:variant>
      <vt:variant>
        <vt:i4>1441853</vt:i4>
      </vt:variant>
      <vt:variant>
        <vt:i4>116</vt:i4>
      </vt:variant>
      <vt:variant>
        <vt:i4>0</vt:i4>
      </vt:variant>
      <vt:variant>
        <vt:i4>5</vt:i4>
      </vt:variant>
      <vt:variant>
        <vt:lpwstr/>
      </vt:variant>
      <vt:variant>
        <vt:lpwstr>_Toc17798639</vt:lpwstr>
      </vt:variant>
      <vt:variant>
        <vt:i4>1507389</vt:i4>
      </vt:variant>
      <vt:variant>
        <vt:i4>110</vt:i4>
      </vt:variant>
      <vt:variant>
        <vt:i4>0</vt:i4>
      </vt:variant>
      <vt:variant>
        <vt:i4>5</vt:i4>
      </vt:variant>
      <vt:variant>
        <vt:lpwstr/>
      </vt:variant>
      <vt:variant>
        <vt:lpwstr>_Toc17798638</vt:lpwstr>
      </vt:variant>
      <vt:variant>
        <vt:i4>1572925</vt:i4>
      </vt:variant>
      <vt:variant>
        <vt:i4>104</vt:i4>
      </vt:variant>
      <vt:variant>
        <vt:i4>0</vt:i4>
      </vt:variant>
      <vt:variant>
        <vt:i4>5</vt:i4>
      </vt:variant>
      <vt:variant>
        <vt:lpwstr/>
      </vt:variant>
      <vt:variant>
        <vt:lpwstr>_Toc17798637</vt:lpwstr>
      </vt:variant>
      <vt:variant>
        <vt:i4>1638461</vt:i4>
      </vt:variant>
      <vt:variant>
        <vt:i4>98</vt:i4>
      </vt:variant>
      <vt:variant>
        <vt:i4>0</vt:i4>
      </vt:variant>
      <vt:variant>
        <vt:i4>5</vt:i4>
      </vt:variant>
      <vt:variant>
        <vt:lpwstr/>
      </vt:variant>
      <vt:variant>
        <vt:lpwstr>_Toc17798636</vt:lpwstr>
      </vt:variant>
      <vt:variant>
        <vt:i4>1703997</vt:i4>
      </vt:variant>
      <vt:variant>
        <vt:i4>92</vt:i4>
      </vt:variant>
      <vt:variant>
        <vt:i4>0</vt:i4>
      </vt:variant>
      <vt:variant>
        <vt:i4>5</vt:i4>
      </vt:variant>
      <vt:variant>
        <vt:lpwstr/>
      </vt:variant>
      <vt:variant>
        <vt:lpwstr>_Toc17798635</vt:lpwstr>
      </vt:variant>
      <vt:variant>
        <vt:i4>1769533</vt:i4>
      </vt:variant>
      <vt:variant>
        <vt:i4>86</vt:i4>
      </vt:variant>
      <vt:variant>
        <vt:i4>0</vt:i4>
      </vt:variant>
      <vt:variant>
        <vt:i4>5</vt:i4>
      </vt:variant>
      <vt:variant>
        <vt:lpwstr/>
      </vt:variant>
      <vt:variant>
        <vt:lpwstr>_Toc17798634</vt:lpwstr>
      </vt:variant>
      <vt:variant>
        <vt:i4>1835069</vt:i4>
      </vt:variant>
      <vt:variant>
        <vt:i4>80</vt:i4>
      </vt:variant>
      <vt:variant>
        <vt:i4>0</vt:i4>
      </vt:variant>
      <vt:variant>
        <vt:i4>5</vt:i4>
      </vt:variant>
      <vt:variant>
        <vt:lpwstr/>
      </vt:variant>
      <vt:variant>
        <vt:lpwstr>_Toc17798633</vt:lpwstr>
      </vt:variant>
      <vt:variant>
        <vt:i4>1900605</vt:i4>
      </vt:variant>
      <vt:variant>
        <vt:i4>74</vt:i4>
      </vt:variant>
      <vt:variant>
        <vt:i4>0</vt:i4>
      </vt:variant>
      <vt:variant>
        <vt:i4>5</vt:i4>
      </vt:variant>
      <vt:variant>
        <vt:lpwstr/>
      </vt:variant>
      <vt:variant>
        <vt:lpwstr>_Toc17798632</vt:lpwstr>
      </vt:variant>
      <vt:variant>
        <vt:i4>1966141</vt:i4>
      </vt:variant>
      <vt:variant>
        <vt:i4>68</vt:i4>
      </vt:variant>
      <vt:variant>
        <vt:i4>0</vt:i4>
      </vt:variant>
      <vt:variant>
        <vt:i4>5</vt:i4>
      </vt:variant>
      <vt:variant>
        <vt:lpwstr/>
      </vt:variant>
      <vt:variant>
        <vt:lpwstr>_Toc17798631</vt:lpwstr>
      </vt:variant>
      <vt:variant>
        <vt:i4>2031677</vt:i4>
      </vt:variant>
      <vt:variant>
        <vt:i4>62</vt:i4>
      </vt:variant>
      <vt:variant>
        <vt:i4>0</vt:i4>
      </vt:variant>
      <vt:variant>
        <vt:i4>5</vt:i4>
      </vt:variant>
      <vt:variant>
        <vt:lpwstr/>
      </vt:variant>
      <vt:variant>
        <vt:lpwstr>_Toc17798630</vt:lpwstr>
      </vt:variant>
      <vt:variant>
        <vt:i4>1441852</vt:i4>
      </vt:variant>
      <vt:variant>
        <vt:i4>56</vt:i4>
      </vt:variant>
      <vt:variant>
        <vt:i4>0</vt:i4>
      </vt:variant>
      <vt:variant>
        <vt:i4>5</vt:i4>
      </vt:variant>
      <vt:variant>
        <vt:lpwstr/>
      </vt:variant>
      <vt:variant>
        <vt:lpwstr>_Toc17798629</vt:lpwstr>
      </vt:variant>
      <vt:variant>
        <vt:i4>1507388</vt:i4>
      </vt:variant>
      <vt:variant>
        <vt:i4>50</vt:i4>
      </vt:variant>
      <vt:variant>
        <vt:i4>0</vt:i4>
      </vt:variant>
      <vt:variant>
        <vt:i4>5</vt:i4>
      </vt:variant>
      <vt:variant>
        <vt:lpwstr/>
      </vt:variant>
      <vt:variant>
        <vt:lpwstr>_Toc17798628</vt:lpwstr>
      </vt:variant>
      <vt:variant>
        <vt:i4>1572924</vt:i4>
      </vt:variant>
      <vt:variant>
        <vt:i4>44</vt:i4>
      </vt:variant>
      <vt:variant>
        <vt:i4>0</vt:i4>
      </vt:variant>
      <vt:variant>
        <vt:i4>5</vt:i4>
      </vt:variant>
      <vt:variant>
        <vt:lpwstr/>
      </vt:variant>
      <vt:variant>
        <vt:lpwstr>_Toc17798627</vt:lpwstr>
      </vt:variant>
      <vt:variant>
        <vt:i4>1638460</vt:i4>
      </vt:variant>
      <vt:variant>
        <vt:i4>38</vt:i4>
      </vt:variant>
      <vt:variant>
        <vt:i4>0</vt:i4>
      </vt:variant>
      <vt:variant>
        <vt:i4>5</vt:i4>
      </vt:variant>
      <vt:variant>
        <vt:lpwstr/>
      </vt:variant>
      <vt:variant>
        <vt:lpwstr>_Toc17798626</vt:lpwstr>
      </vt:variant>
      <vt:variant>
        <vt:i4>1703996</vt:i4>
      </vt:variant>
      <vt:variant>
        <vt:i4>32</vt:i4>
      </vt:variant>
      <vt:variant>
        <vt:i4>0</vt:i4>
      </vt:variant>
      <vt:variant>
        <vt:i4>5</vt:i4>
      </vt:variant>
      <vt:variant>
        <vt:lpwstr/>
      </vt:variant>
      <vt:variant>
        <vt:lpwstr>_Toc17798625</vt:lpwstr>
      </vt:variant>
      <vt:variant>
        <vt:i4>1769532</vt:i4>
      </vt:variant>
      <vt:variant>
        <vt:i4>26</vt:i4>
      </vt:variant>
      <vt:variant>
        <vt:i4>0</vt:i4>
      </vt:variant>
      <vt:variant>
        <vt:i4>5</vt:i4>
      </vt:variant>
      <vt:variant>
        <vt:lpwstr/>
      </vt:variant>
      <vt:variant>
        <vt:lpwstr>_Toc17798624</vt:lpwstr>
      </vt:variant>
      <vt:variant>
        <vt:i4>1835068</vt:i4>
      </vt:variant>
      <vt:variant>
        <vt:i4>20</vt:i4>
      </vt:variant>
      <vt:variant>
        <vt:i4>0</vt:i4>
      </vt:variant>
      <vt:variant>
        <vt:i4>5</vt:i4>
      </vt:variant>
      <vt:variant>
        <vt:lpwstr/>
      </vt:variant>
      <vt:variant>
        <vt:lpwstr>_Toc17798623</vt:lpwstr>
      </vt:variant>
      <vt:variant>
        <vt:i4>1900604</vt:i4>
      </vt:variant>
      <vt:variant>
        <vt:i4>14</vt:i4>
      </vt:variant>
      <vt:variant>
        <vt:i4>0</vt:i4>
      </vt:variant>
      <vt:variant>
        <vt:i4>5</vt:i4>
      </vt:variant>
      <vt:variant>
        <vt:lpwstr/>
      </vt:variant>
      <vt:variant>
        <vt:lpwstr>_Toc17798622</vt:lpwstr>
      </vt:variant>
      <vt:variant>
        <vt:i4>1966140</vt:i4>
      </vt:variant>
      <vt:variant>
        <vt:i4>8</vt:i4>
      </vt:variant>
      <vt:variant>
        <vt:i4>0</vt:i4>
      </vt:variant>
      <vt:variant>
        <vt:i4>5</vt:i4>
      </vt:variant>
      <vt:variant>
        <vt:lpwstr/>
      </vt:variant>
      <vt:variant>
        <vt:lpwstr>_Toc17798621</vt:lpwstr>
      </vt:variant>
      <vt:variant>
        <vt:i4>2031676</vt:i4>
      </vt:variant>
      <vt:variant>
        <vt:i4>2</vt:i4>
      </vt:variant>
      <vt:variant>
        <vt:i4>0</vt:i4>
      </vt:variant>
      <vt:variant>
        <vt:i4>5</vt:i4>
      </vt:variant>
      <vt:variant>
        <vt:lpwstr/>
      </vt:variant>
      <vt:variant>
        <vt:lpwstr>_Toc17798620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ERCOT</dc:creator>
  <cp:keywords/>
  <dc:description/>
  <cp:lastModifiedBy>ERCOT 081426</cp:lastModifiedBy>
  <cp:revision>3</cp:revision>
  <cp:lastPrinted>2019-04-29T18:19:00Z</cp:lastPrinted>
  <dcterms:created xsi:type="dcterms:W3CDTF">2026-08-24T13:23:00Z</dcterms:created>
  <dcterms:modified xsi:type="dcterms:W3CDTF">2026-08-24T13:25:00Z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44db1d-993e-40da-980d-6eea152adc50_Enabled">
    <vt:lpwstr>true</vt:lpwstr>
  </property>
  <property fmtid="{D5CDD505-2E9C-101B-9397-08002B2CF9AE}" pid="3" name="MSIP_Label_c144db1d-993e-40da-980d-6eea152adc50_SetDate">
    <vt:lpwstr>2025-01-29T17:42:48Z</vt:lpwstr>
  </property>
  <property fmtid="{D5CDD505-2E9C-101B-9397-08002B2CF9AE}" pid="4" name="MSIP_Label_c144db1d-993e-40da-980d-6eea152adc50_Method">
    <vt:lpwstr>Privileged</vt:lpwstr>
  </property>
  <property fmtid="{D5CDD505-2E9C-101B-9397-08002B2CF9AE}" pid="5" name="MSIP_Label_c144db1d-993e-40da-980d-6eea152adc50_Name">
    <vt:lpwstr>Public</vt:lpwstr>
  </property>
  <property fmtid="{D5CDD505-2E9C-101B-9397-08002B2CF9AE}" pid="6" name="MSIP_Label_c144db1d-993e-40da-980d-6eea152adc50_SiteId">
    <vt:lpwstr>0afb747d-bff7-4596-a9fc-950ef9e0ec45</vt:lpwstr>
  </property>
  <property fmtid="{D5CDD505-2E9C-101B-9397-08002B2CF9AE}" pid="7" name="MSIP_Label_c144db1d-993e-40da-980d-6eea152adc50_ActionId">
    <vt:lpwstr>f3ef5318-583d-4c33-8daa-7794fd2b1724</vt:lpwstr>
  </property>
  <property fmtid="{D5CDD505-2E9C-101B-9397-08002B2CF9AE}" pid="8" name="MSIP_Label_c144db1d-993e-40da-980d-6eea152adc50_ContentBits">
    <vt:lpwstr>0</vt:lpwstr>
  </property>
</Properties>
</file>